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5"/>
        <w:gridCol w:w="7830"/>
        <w:gridCol w:w="1830"/>
      </w:tblGrid>
      <w:tr>
        <w:trPr>
          <w:trHeight w:val="1140" w:hRule="atLeast"/>
        </w:trPr>
        <w:tc>
          <w:tcPr>
            <w:tcW w:w="1845" w:type="dxa"/>
          </w:tcPr>
          <w:p>
            <w:pPr>
              <w:pStyle w:val="TableParagraph"/>
              <w:spacing w:before="1"/>
              <w:ind w:right="0"/>
              <w:jc w:val="left"/>
              <w:rPr>
                <w:sz w:val="9"/>
              </w:rPr>
            </w:pPr>
          </w:p>
          <w:p>
            <w:pPr>
              <w:pStyle w:val="TableParagraph"/>
              <w:spacing w:before="0"/>
              <w:ind w:left="360" w:right="0"/>
              <w:jc w:val="left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690632" cy="563879"/>
                  <wp:effectExtent l="0" t="0" r="0" b="0"/>
                  <wp:docPr id="1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0632" cy="563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7830" w:type="dxa"/>
          </w:tcPr>
          <w:p>
            <w:pPr>
              <w:pStyle w:val="TableParagraph"/>
              <w:ind w:left="880" w:right="84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MAINE DEPARTMENT OF LABOR</w:t>
            </w:r>
          </w:p>
          <w:p>
            <w:pPr>
              <w:pStyle w:val="TableParagraph"/>
              <w:spacing w:before="0"/>
              <w:ind w:left="880" w:right="84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Bureau of Unemployment Compensation</w:t>
            </w:r>
          </w:p>
          <w:p>
            <w:pPr>
              <w:pStyle w:val="TableParagraph"/>
              <w:spacing w:before="121"/>
              <w:ind w:left="880" w:right="84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ANNUAL RATE CATEGORY/EMPLOYER ARRAY</w:t>
            </w:r>
          </w:p>
        </w:tc>
        <w:tc>
          <w:tcPr>
            <w:tcW w:w="1830" w:type="dxa"/>
          </w:tcPr>
          <w:p>
            <w:pPr>
              <w:pStyle w:val="TableParagraph"/>
              <w:spacing w:before="7"/>
              <w:ind w:right="0"/>
              <w:jc w:val="left"/>
              <w:rPr>
                <w:sz w:val="10"/>
              </w:rPr>
            </w:pPr>
          </w:p>
          <w:p>
            <w:pPr>
              <w:pStyle w:val="TableParagraph"/>
              <w:spacing w:before="0"/>
              <w:ind w:left="502" w:right="0"/>
              <w:jc w:val="left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515493" cy="569976"/>
                  <wp:effectExtent l="0" t="0" r="0" b="0"/>
                  <wp:docPr id="3" name="image2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2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5493" cy="569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9"/>
        </w:rPr>
      </w:pPr>
    </w:p>
    <w:p>
      <w:pPr>
        <w:pStyle w:val="Heading1"/>
        <w:spacing w:before="92"/>
        <w:ind w:left="126"/>
      </w:pPr>
      <w:r>
        <w:rPr/>
        <w:t>Rate Year: 2021</w:t>
      </w:r>
    </w:p>
    <w:p>
      <w:pPr>
        <w:spacing w:before="190"/>
        <w:ind w:left="136" w:right="0" w:firstLine="0"/>
        <w:jc w:val="left"/>
        <w:rPr>
          <w:sz w:val="20"/>
        </w:rPr>
      </w:pPr>
      <w:r>
        <w:rPr>
          <w:sz w:val="20"/>
        </w:rPr>
        <w:t>Cumulative Taxable Wages for all Employers in the Array: $5,993.59 (M)</w:t>
      </w:r>
    </w:p>
    <w:p>
      <w:pPr>
        <w:pStyle w:val="Heading1"/>
      </w:pPr>
      <w:r>
        <w:rPr/>
        <w:t>New Employer Rate is 2.11% plus the CSSF Rate of 0.07% and UPAF rate of 0.13% for a Combined Rate of 2.31%</w:t>
      </w:r>
    </w:p>
    <w:p>
      <w:pPr>
        <w:pStyle w:val="BodyText"/>
        <w:spacing w:before="9"/>
        <w:rPr>
          <w:sz w:val="14"/>
        </w:rPr>
      </w:pPr>
    </w:p>
    <w:tbl>
      <w:tblPr>
        <w:tblW w:w="0" w:type="auto"/>
        <w:jc w:val="left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0"/>
        <w:gridCol w:w="1140"/>
        <w:gridCol w:w="840"/>
        <w:gridCol w:w="840"/>
        <w:gridCol w:w="1440"/>
        <w:gridCol w:w="780"/>
        <w:gridCol w:w="780"/>
        <w:gridCol w:w="1200"/>
        <w:gridCol w:w="1152"/>
        <w:gridCol w:w="1020"/>
        <w:gridCol w:w="1005"/>
      </w:tblGrid>
      <w:tr>
        <w:trPr>
          <w:trHeight w:val="290" w:hRule="atLeast"/>
        </w:trPr>
        <w:tc>
          <w:tcPr>
            <w:tcW w:w="1200" w:type="dxa"/>
            <w:vMerge w:val="restart"/>
          </w:tcPr>
          <w:p>
            <w:pPr>
              <w:pStyle w:val="TableParagraph"/>
              <w:ind w:left="43" w:right="-1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CATEGORY</w:t>
            </w:r>
          </w:p>
        </w:tc>
        <w:tc>
          <w:tcPr>
            <w:tcW w:w="1140" w:type="dxa"/>
            <w:vMerge w:val="restart"/>
          </w:tcPr>
          <w:p>
            <w:pPr>
              <w:pStyle w:val="TableParagraph"/>
              <w:ind w:left="162" w:right="6" w:hanging="11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ADJUSTED UI RATE</w:t>
            </w:r>
          </w:p>
        </w:tc>
        <w:tc>
          <w:tcPr>
            <w:tcW w:w="840" w:type="dxa"/>
            <w:vMerge w:val="restart"/>
          </w:tcPr>
          <w:p>
            <w:pPr>
              <w:pStyle w:val="TableParagraph"/>
              <w:ind w:left="148" w:right="101" w:firstLine="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CSSF RATE</w:t>
            </w:r>
          </w:p>
        </w:tc>
        <w:tc>
          <w:tcPr>
            <w:tcW w:w="840" w:type="dxa"/>
            <w:vMerge w:val="restart"/>
          </w:tcPr>
          <w:p>
            <w:pPr>
              <w:pStyle w:val="TableParagraph"/>
              <w:ind w:left="148" w:right="101" w:hanging="1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UPAF RATE</w:t>
            </w:r>
          </w:p>
        </w:tc>
        <w:tc>
          <w:tcPr>
            <w:tcW w:w="1440" w:type="dxa"/>
            <w:vMerge w:val="restart"/>
          </w:tcPr>
          <w:p>
            <w:pPr>
              <w:pStyle w:val="TableParagraph"/>
              <w:ind w:left="311" w:right="18" w:hanging="26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UNADJUSTED UI RATE</w:t>
            </w:r>
          </w:p>
        </w:tc>
        <w:tc>
          <w:tcPr>
            <w:tcW w:w="780" w:type="dxa"/>
            <w:vMerge w:val="restart"/>
          </w:tcPr>
          <w:p>
            <w:pPr>
              <w:pStyle w:val="TableParagraph"/>
              <w:ind w:left="68" w:right="21" w:firstLine="9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END RATIO</w:t>
            </w:r>
          </w:p>
        </w:tc>
        <w:tc>
          <w:tcPr>
            <w:tcW w:w="780" w:type="dxa"/>
            <w:vMerge w:val="restart"/>
          </w:tcPr>
          <w:p>
            <w:pPr>
              <w:pStyle w:val="TableParagraph"/>
              <w:ind w:left="68" w:right="21" w:hanging="2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START RATIO</w:t>
            </w:r>
          </w:p>
        </w:tc>
        <w:tc>
          <w:tcPr>
            <w:tcW w:w="1200" w:type="dxa"/>
            <w:vMerge w:val="restart"/>
          </w:tcPr>
          <w:p>
            <w:pPr>
              <w:pStyle w:val="TableParagraph"/>
              <w:ind w:left="244" w:right="-33" w:hanging="2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EMPLOYER COUNT</w:t>
            </w:r>
          </w:p>
        </w:tc>
        <w:tc>
          <w:tcPr>
            <w:tcW w:w="3177" w:type="dxa"/>
            <w:gridSpan w:val="3"/>
          </w:tcPr>
          <w:p>
            <w:pPr>
              <w:pStyle w:val="TableParagraph"/>
              <w:ind w:left="713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TAXABLE WAGES</w:t>
            </w:r>
          </w:p>
        </w:tc>
      </w:tr>
      <w:tr>
        <w:trPr>
          <w:trHeight w:val="290" w:hRule="atLeast"/>
        </w:trPr>
        <w:tc>
          <w:tcPr>
            <w:tcW w:w="12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ind w:right="17"/>
              <w:rPr>
                <w:b/>
                <w:sz w:val="20"/>
              </w:rPr>
            </w:pPr>
            <w:r>
              <w:rPr>
                <w:b/>
                <w:sz w:val="20"/>
              </w:rPr>
              <w:t>TOTAL (M)</w:t>
            </w:r>
          </w:p>
        </w:tc>
        <w:tc>
          <w:tcPr>
            <w:tcW w:w="1020" w:type="dxa"/>
          </w:tcPr>
          <w:p>
            <w:pPr>
              <w:pStyle w:val="TableParagraph"/>
              <w:ind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START %</w:t>
            </w:r>
          </w:p>
        </w:tc>
        <w:tc>
          <w:tcPr>
            <w:tcW w:w="1005" w:type="dxa"/>
          </w:tcPr>
          <w:p>
            <w:pPr>
              <w:pStyle w:val="TableParagraph"/>
              <w:ind w:left="17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END %</w:t>
            </w:r>
          </w:p>
        </w:tc>
      </w:tr>
      <w:tr>
        <w:trPr>
          <w:trHeight w:val="290" w:hRule="atLeast"/>
        </w:trPr>
        <w:tc>
          <w:tcPr>
            <w:tcW w:w="1200" w:type="dxa"/>
          </w:tcPr>
          <w:p>
            <w:pPr>
              <w:pStyle w:val="TableParagraph"/>
              <w:ind w:left="485" w:right="459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140" w:type="dxa"/>
          </w:tcPr>
          <w:p>
            <w:pPr>
              <w:pStyle w:val="TableParagraph"/>
              <w:ind w:left="381" w:right="354"/>
              <w:jc w:val="center"/>
              <w:rPr>
                <w:sz w:val="20"/>
              </w:rPr>
            </w:pPr>
            <w:r>
              <w:rPr>
                <w:sz w:val="20"/>
              </w:rPr>
              <w:t>0.49</w:t>
            </w:r>
          </w:p>
        </w:tc>
        <w:tc>
          <w:tcPr>
            <w:tcW w:w="840" w:type="dxa"/>
          </w:tcPr>
          <w:p>
            <w:pPr>
              <w:pStyle w:val="TableParagraph"/>
              <w:ind w:left="231" w:right="204"/>
              <w:jc w:val="center"/>
              <w:rPr>
                <w:sz w:val="20"/>
              </w:rPr>
            </w:pPr>
            <w:r>
              <w:rPr>
                <w:sz w:val="20"/>
              </w:rPr>
              <w:t>0.07</w:t>
            </w:r>
          </w:p>
        </w:tc>
        <w:tc>
          <w:tcPr>
            <w:tcW w:w="840" w:type="dxa"/>
          </w:tcPr>
          <w:p>
            <w:pPr>
              <w:pStyle w:val="TableParagraph"/>
              <w:ind w:left="231" w:right="204"/>
              <w:jc w:val="center"/>
              <w:rPr>
                <w:sz w:val="20"/>
              </w:rPr>
            </w:pPr>
            <w:r>
              <w:rPr>
                <w:sz w:val="20"/>
              </w:rPr>
              <w:t>0.13</w:t>
            </w:r>
          </w:p>
        </w:tc>
        <w:tc>
          <w:tcPr>
            <w:tcW w:w="1440" w:type="dxa"/>
          </w:tcPr>
          <w:p>
            <w:pPr>
              <w:pStyle w:val="TableParagraph"/>
              <w:ind w:left="531" w:right="504"/>
              <w:jc w:val="center"/>
              <w:rPr>
                <w:sz w:val="20"/>
              </w:rPr>
            </w:pPr>
            <w:r>
              <w:rPr>
                <w:sz w:val="20"/>
              </w:rPr>
              <w:t>0.69</w:t>
            </w:r>
          </w:p>
        </w:tc>
        <w:tc>
          <w:tcPr>
            <w:tcW w:w="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999.99</w:t>
            </w:r>
          </w:p>
        </w:tc>
        <w:tc>
          <w:tcPr>
            <w:tcW w:w="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41.14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3,420</w:t>
            </w:r>
          </w:p>
        </w:tc>
        <w:tc>
          <w:tcPr>
            <w:tcW w:w="115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321.17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00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5.36</w:t>
            </w:r>
          </w:p>
        </w:tc>
      </w:tr>
      <w:tr>
        <w:trPr>
          <w:trHeight w:val="290" w:hRule="atLeast"/>
        </w:trPr>
        <w:tc>
          <w:tcPr>
            <w:tcW w:w="1200" w:type="dxa"/>
          </w:tcPr>
          <w:p>
            <w:pPr>
              <w:pStyle w:val="TableParagraph"/>
              <w:ind w:left="485" w:right="459"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140" w:type="dxa"/>
          </w:tcPr>
          <w:p>
            <w:pPr>
              <w:pStyle w:val="TableParagraph"/>
              <w:ind w:left="381" w:right="354"/>
              <w:jc w:val="center"/>
              <w:rPr>
                <w:sz w:val="20"/>
              </w:rPr>
            </w:pPr>
            <w:r>
              <w:rPr>
                <w:sz w:val="20"/>
              </w:rPr>
              <w:t>0.61</w:t>
            </w:r>
          </w:p>
        </w:tc>
        <w:tc>
          <w:tcPr>
            <w:tcW w:w="840" w:type="dxa"/>
          </w:tcPr>
          <w:p>
            <w:pPr>
              <w:pStyle w:val="TableParagraph"/>
              <w:ind w:left="231" w:right="204"/>
              <w:jc w:val="center"/>
              <w:rPr>
                <w:sz w:val="20"/>
              </w:rPr>
            </w:pPr>
            <w:r>
              <w:rPr>
                <w:sz w:val="20"/>
              </w:rPr>
              <w:t>0.07</w:t>
            </w:r>
          </w:p>
        </w:tc>
        <w:tc>
          <w:tcPr>
            <w:tcW w:w="840" w:type="dxa"/>
          </w:tcPr>
          <w:p>
            <w:pPr>
              <w:pStyle w:val="TableParagraph"/>
              <w:ind w:left="231" w:right="204"/>
              <w:jc w:val="center"/>
              <w:rPr>
                <w:sz w:val="20"/>
              </w:rPr>
            </w:pPr>
            <w:r>
              <w:rPr>
                <w:sz w:val="20"/>
              </w:rPr>
              <w:t>0.13</w:t>
            </w:r>
          </w:p>
        </w:tc>
        <w:tc>
          <w:tcPr>
            <w:tcW w:w="1440" w:type="dxa"/>
          </w:tcPr>
          <w:p>
            <w:pPr>
              <w:pStyle w:val="TableParagraph"/>
              <w:ind w:left="531" w:right="504"/>
              <w:jc w:val="center"/>
              <w:rPr>
                <w:sz w:val="20"/>
              </w:rPr>
            </w:pPr>
            <w:r>
              <w:rPr>
                <w:sz w:val="20"/>
              </w:rPr>
              <w:t>0.81</w:t>
            </w:r>
          </w:p>
        </w:tc>
        <w:tc>
          <w:tcPr>
            <w:tcW w:w="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41.13</w:t>
            </w:r>
          </w:p>
        </w:tc>
        <w:tc>
          <w:tcPr>
            <w:tcW w:w="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34.90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1,702</w:t>
            </w:r>
          </w:p>
        </w:tc>
        <w:tc>
          <w:tcPr>
            <w:tcW w:w="115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278.83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5.36</w:t>
            </w:r>
          </w:p>
        </w:tc>
        <w:tc>
          <w:tcPr>
            <w:tcW w:w="100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10.01</w:t>
            </w:r>
          </w:p>
        </w:tc>
      </w:tr>
      <w:tr>
        <w:trPr>
          <w:trHeight w:val="290" w:hRule="atLeast"/>
        </w:trPr>
        <w:tc>
          <w:tcPr>
            <w:tcW w:w="1200" w:type="dxa"/>
          </w:tcPr>
          <w:p>
            <w:pPr>
              <w:pStyle w:val="TableParagraph"/>
              <w:ind w:left="485" w:right="459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140" w:type="dxa"/>
          </w:tcPr>
          <w:p>
            <w:pPr>
              <w:pStyle w:val="TableParagraph"/>
              <w:ind w:left="381" w:right="354"/>
              <w:jc w:val="center"/>
              <w:rPr>
                <w:sz w:val="20"/>
              </w:rPr>
            </w:pPr>
            <w:r>
              <w:rPr>
                <w:sz w:val="20"/>
              </w:rPr>
              <w:t>0.72</w:t>
            </w:r>
          </w:p>
        </w:tc>
        <w:tc>
          <w:tcPr>
            <w:tcW w:w="840" w:type="dxa"/>
          </w:tcPr>
          <w:p>
            <w:pPr>
              <w:pStyle w:val="TableParagraph"/>
              <w:ind w:left="231" w:right="204"/>
              <w:jc w:val="center"/>
              <w:rPr>
                <w:sz w:val="20"/>
              </w:rPr>
            </w:pPr>
            <w:r>
              <w:rPr>
                <w:sz w:val="20"/>
              </w:rPr>
              <w:t>0.07</w:t>
            </w:r>
          </w:p>
        </w:tc>
        <w:tc>
          <w:tcPr>
            <w:tcW w:w="840" w:type="dxa"/>
          </w:tcPr>
          <w:p>
            <w:pPr>
              <w:pStyle w:val="TableParagraph"/>
              <w:ind w:left="231" w:right="204"/>
              <w:jc w:val="center"/>
              <w:rPr>
                <w:sz w:val="20"/>
              </w:rPr>
            </w:pPr>
            <w:r>
              <w:rPr>
                <w:sz w:val="20"/>
              </w:rPr>
              <w:t>0.13</w:t>
            </w:r>
          </w:p>
        </w:tc>
        <w:tc>
          <w:tcPr>
            <w:tcW w:w="1440" w:type="dxa"/>
          </w:tcPr>
          <w:p>
            <w:pPr>
              <w:pStyle w:val="TableParagraph"/>
              <w:ind w:left="531" w:right="504"/>
              <w:jc w:val="center"/>
              <w:rPr>
                <w:sz w:val="20"/>
              </w:rPr>
            </w:pPr>
            <w:r>
              <w:rPr>
                <w:sz w:val="20"/>
              </w:rPr>
              <w:t>0.92</w:t>
            </w:r>
          </w:p>
        </w:tc>
        <w:tc>
          <w:tcPr>
            <w:tcW w:w="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34.89</w:t>
            </w:r>
          </w:p>
        </w:tc>
        <w:tc>
          <w:tcPr>
            <w:tcW w:w="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31.89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1,267</w:t>
            </w:r>
          </w:p>
        </w:tc>
        <w:tc>
          <w:tcPr>
            <w:tcW w:w="115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299.59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10.01</w:t>
            </w:r>
          </w:p>
        </w:tc>
        <w:tc>
          <w:tcPr>
            <w:tcW w:w="100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15.01</w:t>
            </w:r>
          </w:p>
        </w:tc>
      </w:tr>
      <w:tr>
        <w:trPr>
          <w:trHeight w:val="290" w:hRule="atLeast"/>
        </w:trPr>
        <w:tc>
          <w:tcPr>
            <w:tcW w:w="1200" w:type="dxa"/>
          </w:tcPr>
          <w:p>
            <w:pPr>
              <w:pStyle w:val="TableParagraph"/>
              <w:ind w:left="485" w:right="459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140" w:type="dxa"/>
          </w:tcPr>
          <w:p>
            <w:pPr>
              <w:pStyle w:val="TableParagraph"/>
              <w:ind w:left="381" w:right="354"/>
              <w:jc w:val="center"/>
              <w:rPr>
                <w:sz w:val="20"/>
              </w:rPr>
            </w:pPr>
            <w:r>
              <w:rPr>
                <w:sz w:val="20"/>
              </w:rPr>
              <w:t>0.84</w:t>
            </w:r>
          </w:p>
        </w:tc>
        <w:tc>
          <w:tcPr>
            <w:tcW w:w="840" w:type="dxa"/>
          </w:tcPr>
          <w:p>
            <w:pPr>
              <w:pStyle w:val="TableParagraph"/>
              <w:ind w:left="231" w:right="204"/>
              <w:jc w:val="center"/>
              <w:rPr>
                <w:sz w:val="20"/>
              </w:rPr>
            </w:pPr>
            <w:r>
              <w:rPr>
                <w:sz w:val="20"/>
              </w:rPr>
              <w:t>0.07</w:t>
            </w:r>
          </w:p>
        </w:tc>
        <w:tc>
          <w:tcPr>
            <w:tcW w:w="840" w:type="dxa"/>
          </w:tcPr>
          <w:p>
            <w:pPr>
              <w:pStyle w:val="TableParagraph"/>
              <w:ind w:left="231" w:right="204"/>
              <w:jc w:val="center"/>
              <w:rPr>
                <w:sz w:val="20"/>
              </w:rPr>
            </w:pPr>
            <w:r>
              <w:rPr>
                <w:sz w:val="20"/>
              </w:rPr>
              <w:t>0.13</w:t>
            </w:r>
          </w:p>
        </w:tc>
        <w:tc>
          <w:tcPr>
            <w:tcW w:w="1440" w:type="dxa"/>
          </w:tcPr>
          <w:p>
            <w:pPr>
              <w:pStyle w:val="TableParagraph"/>
              <w:ind w:left="531" w:right="504"/>
              <w:jc w:val="center"/>
              <w:rPr>
                <w:sz w:val="20"/>
              </w:rPr>
            </w:pPr>
            <w:r>
              <w:rPr>
                <w:sz w:val="20"/>
              </w:rPr>
              <w:t>1.04</w:t>
            </w:r>
          </w:p>
        </w:tc>
        <w:tc>
          <w:tcPr>
            <w:tcW w:w="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31.88</w:t>
            </w:r>
          </w:p>
        </w:tc>
        <w:tc>
          <w:tcPr>
            <w:tcW w:w="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28.51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1,822</w:t>
            </w:r>
          </w:p>
        </w:tc>
        <w:tc>
          <w:tcPr>
            <w:tcW w:w="115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369.64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15.01</w:t>
            </w:r>
          </w:p>
        </w:tc>
        <w:tc>
          <w:tcPr>
            <w:tcW w:w="100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21.18</w:t>
            </w:r>
          </w:p>
        </w:tc>
      </w:tr>
      <w:tr>
        <w:trPr>
          <w:trHeight w:val="290" w:hRule="atLeast"/>
        </w:trPr>
        <w:tc>
          <w:tcPr>
            <w:tcW w:w="1200" w:type="dxa"/>
          </w:tcPr>
          <w:p>
            <w:pPr>
              <w:pStyle w:val="TableParagraph"/>
              <w:ind w:left="485" w:right="459"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1140" w:type="dxa"/>
          </w:tcPr>
          <w:p>
            <w:pPr>
              <w:pStyle w:val="TableParagraph"/>
              <w:ind w:left="381" w:right="354"/>
              <w:jc w:val="center"/>
              <w:rPr>
                <w:sz w:val="20"/>
              </w:rPr>
            </w:pPr>
            <w:r>
              <w:rPr>
                <w:sz w:val="20"/>
              </w:rPr>
              <w:t>0.96</w:t>
            </w:r>
          </w:p>
        </w:tc>
        <w:tc>
          <w:tcPr>
            <w:tcW w:w="840" w:type="dxa"/>
          </w:tcPr>
          <w:p>
            <w:pPr>
              <w:pStyle w:val="TableParagraph"/>
              <w:ind w:left="231" w:right="204"/>
              <w:jc w:val="center"/>
              <w:rPr>
                <w:sz w:val="20"/>
              </w:rPr>
            </w:pPr>
            <w:r>
              <w:rPr>
                <w:sz w:val="20"/>
              </w:rPr>
              <w:t>0.07</w:t>
            </w:r>
          </w:p>
        </w:tc>
        <w:tc>
          <w:tcPr>
            <w:tcW w:w="840" w:type="dxa"/>
          </w:tcPr>
          <w:p>
            <w:pPr>
              <w:pStyle w:val="TableParagraph"/>
              <w:ind w:left="231" w:right="204"/>
              <w:jc w:val="center"/>
              <w:rPr>
                <w:sz w:val="20"/>
              </w:rPr>
            </w:pPr>
            <w:r>
              <w:rPr>
                <w:sz w:val="20"/>
              </w:rPr>
              <w:t>0.13</w:t>
            </w:r>
          </w:p>
        </w:tc>
        <w:tc>
          <w:tcPr>
            <w:tcW w:w="1440" w:type="dxa"/>
          </w:tcPr>
          <w:p>
            <w:pPr>
              <w:pStyle w:val="TableParagraph"/>
              <w:ind w:left="531" w:right="504"/>
              <w:jc w:val="center"/>
              <w:rPr>
                <w:sz w:val="20"/>
              </w:rPr>
            </w:pPr>
            <w:r>
              <w:rPr>
                <w:sz w:val="20"/>
              </w:rPr>
              <w:t>1.16</w:t>
            </w:r>
          </w:p>
        </w:tc>
        <w:tc>
          <w:tcPr>
            <w:tcW w:w="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28.50</w:t>
            </w:r>
          </w:p>
        </w:tc>
        <w:tc>
          <w:tcPr>
            <w:tcW w:w="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26.65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1,230</w:t>
            </w:r>
          </w:p>
        </w:tc>
        <w:tc>
          <w:tcPr>
            <w:tcW w:w="115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234.76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21.18</w:t>
            </w:r>
          </w:p>
        </w:tc>
        <w:tc>
          <w:tcPr>
            <w:tcW w:w="100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25.09</w:t>
            </w:r>
          </w:p>
        </w:tc>
      </w:tr>
      <w:tr>
        <w:trPr>
          <w:trHeight w:val="290" w:hRule="atLeast"/>
        </w:trPr>
        <w:tc>
          <w:tcPr>
            <w:tcW w:w="1200" w:type="dxa"/>
          </w:tcPr>
          <w:p>
            <w:pPr>
              <w:pStyle w:val="TableParagraph"/>
              <w:ind w:left="485" w:right="459"/>
              <w:jc w:val="center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1140" w:type="dxa"/>
          </w:tcPr>
          <w:p>
            <w:pPr>
              <w:pStyle w:val="TableParagraph"/>
              <w:ind w:left="381" w:right="354"/>
              <w:jc w:val="center"/>
              <w:rPr>
                <w:sz w:val="20"/>
              </w:rPr>
            </w:pPr>
            <w:r>
              <w:rPr>
                <w:sz w:val="20"/>
              </w:rPr>
              <w:t>1.07</w:t>
            </w:r>
          </w:p>
        </w:tc>
        <w:tc>
          <w:tcPr>
            <w:tcW w:w="840" w:type="dxa"/>
          </w:tcPr>
          <w:p>
            <w:pPr>
              <w:pStyle w:val="TableParagraph"/>
              <w:ind w:left="231" w:right="204"/>
              <w:jc w:val="center"/>
              <w:rPr>
                <w:sz w:val="20"/>
              </w:rPr>
            </w:pPr>
            <w:r>
              <w:rPr>
                <w:sz w:val="20"/>
              </w:rPr>
              <w:t>0.07</w:t>
            </w:r>
          </w:p>
        </w:tc>
        <w:tc>
          <w:tcPr>
            <w:tcW w:w="840" w:type="dxa"/>
          </w:tcPr>
          <w:p>
            <w:pPr>
              <w:pStyle w:val="TableParagraph"/>
              <w:ind w:left="231" w:right="204"/>
              <w:jc w:val="center"/>
              <w:rPr>
                <w:sz w:val="20"/>
              </w:rPr>
            </w:pPr>
            <w:r>
              <w:rPr>
                <w:sz w:val="20"/>
              </w:rPr>
              <w:t>0.13</w:t>
            </w:r>
          </w:p>
        </w:tc>
        <w:tc>
          <w:tcPr>
            <w:tcW w:w="1440" w:type="dxa"/>
          </w:tcPr>
          <w:p>
            <w:pPr>
              <w:pStyle w:val="TableParagraph"/>
              <w:ind w:left="531" w:right="504"/>
              <w:jc w:val="center"/>
              <w:rPr>
                <w:sz w:val="20"/>
              </w:rPr>
            </w:pPr>
            <w:r>
              <w:rPr>
                <w:sz w:val="20"/>
              </w:rPr>
              <w:t>1.27</w:t>
            </w:r>
          </w:p>
        </w:tc>
        <w:tc>
          <w:tcPr>
            <w:tcW w:w="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26.64</w:t>
            </w:r>
          </w:p>
        </w:tc>
        <w:tc>
          <w:tcPr>
            <w:tcW w:w="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25.05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1,194</w:t>
            </w:r>
          </w:p>
        </w:tc>
        <w:tc>
          <w:tcPr>
            <w:tcW w:w="115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324.56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25.09</w:t>
            </w:r>
          </w:p>
        </w:tc>
        <w:tc>
          <w:tcPr>
            <w:tcW w:w="100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30.51</w:t>
            </w:r>
          </w:p>
        </w:tc>
      </w:tr>
      <w:tr>
        <w:trPr>
          <w:trHeight w:val="289" w:hRule="atLeast"/>
        </w:trPr>
        <w:tc>
          <w:tcPr>
            <w:tcW w:w="1200" w:type="dxa"/>
          </w:tcPr>
          <w:p>
            <w:pPr>
              <w:pStyle w:val="TableParagraph"/>
              <w:ind w:left="485" w:right="459"/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1140" w:type="dxa"/>
          </w:tcPr>
          <w:p>
            <w:pPr>
              <w:pStyle w:val="TableParagraph"/>
              <w:ind w:left="381" w:right="354"/>
              <w:jc w:val="center"/>
              <w:rPr>
                <w:sz w:val="20"/>
              </w:rPr>
            </w:pPr>
            <w:r>
              <w:rPr>
                <w:sz w:val="20"/>
              </w:rPr>
              <w:t>1.19</w:t>
            </w:r>
          </w:p>
        </w:tc>
        <w:tc>
          <w:tcPr>
            <w:tcW w:w="840" w:type="dxa"/>
          </w:tcPr>
          <w:p>
            <w:pPr>
              <w:pStyle w:val="TableParagraph"/>
              <w:ind w:left="231" w:right="204"/>
              <w:jc w:val="center"/>
              <w:rPr>
                <w:sz w:val="20"/>
              </w:rPr>
            </w:pPr>
            <w:r>
              <w:rPr>
                <w:sz w:val="20"/>
              </w:rPr>
              <w:t>0.07</w:t>
            </w:r>
          </w:p>
        </w:tc>
        <w:tc>
          <w:tcPr>
            <w:tcW w:w="840" w:type="dxa"/>
          </w:tcPr>
          <w:p>
            <w:pPr>
              <w:pStyle w:val="TableParagraph"/>
              <w:ind w:left="231" w:right="204"/>
              <w:jc w:val="center"/>
              <w:rPr>
                <w:sz w:val="20"/>
              </w:rPr>
            </w:pPr>
            <w:r>
              <w:rPr>
                <w:sz w:val="20"/>
              </w:rPr>
              <w:t>0.13</w:t>
            </w:r>
          </w:p>
        </w:tc>
        <w:tc>
          <w:tcPr>
            <w:tcW w:w="1440" w:type="dxa"/>
          </w:tcPr>
          <w:p>
            <w:pPr>
              <w:pStyle w:val="TableParagraph"/>
              <w:ind w:left="531" w:right="504"/>
              <w:jc w:val="center"/>
              <w:rPr>
                <w:sz w:val="20"/>
              </w:rPr>
            </w:pPr>
            <w:r>
              <w:rPr>
                <w:sz w:val="20"/>
              </w:rPr>
              <w:t>1.39</w:t>
            </w:r>
          </w:p>
        </w:tc>
        <w:tc>
          <w:tcPr>
            <w:tcW w:w="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25.04</w:t>
            </w:r>
          </w:p>
        </w:tc>
        <w:tc>
          <w:tcPr>
            <w:tcW w:w="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24.04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784</w:t>
            </w:r>
          </w:p>
        </w:tc>
        <w:tc>
          <w:tcPr>
            <w:tcW w:w="115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270.80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30.51</w:t>
            </w:r>
          </w:p>
        </w:tc>
        <w:tc>
          <w:tcPr>
            <w:tcW w:w="100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35.03</w:t>
            </w:r>
          </w:p>
        </w:tc>
      </w:tr>
      <w:tr>
        <w:trPr>
          <w:trHeight w:val="290" w:hRule="atLeast"/>
        </w:trPr>
        <w:tc>
          <w:tcPr>
            <w:tcW w:w="1200" w:type="dxa"/>
          </w:tcPr>
          <w:p>
            <w:pPr>
              <w:pStyle w:val="TableParagraph"/>
              <w:ind w:left="485" w:right="459"/>
              <w:jc w:val="center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1140" w:type="dxa"/>
          </w:tcPr>
          <w:p>
            <w:pPr>
              <w:pStyle w:val="TableParagraph"/>
              <w:ind w:left="381" w:right="354"/>
              <w:jc w:val="center"/>
              <w:rPr>
                <w:sz w:val="20"/>
              </w:rPr>
            </w:pPr>
            <w:r>
              <w:rPr>
                <w:sz w:val="20"/>
              </w:rPr>
              <w:t>1.30</w:t>
            </w:r>
          </w:p>
        </w:tc>
        <w:tc>
          <w:tcPr>
            <w:tcW w:w="840" w:type="dxa"/>
          </w:tcPr>
          <w:p>
            <w:pPr>
              <w:pStyle w:val="TableParagraph"/>
              <w:ind w:left="231" w:right="204"/>
              <w:jc w:val="center"/>
              <w:rPr>
                <w:sz w:val="20"/>
              </w:rPr>
            </w:pPr>
            <w:r>
              <w:rPr>
                <w:sz w:val="20"/>
              </w:rPr>
              <w:t>0.07</w:t>
            </w:r>
          </w:p>
        </w:tc>
        <w:tc>
          <w:tcPr>
            <w:tcW w:w="840" w:type="dxa"/>
          </w:tcPr>
          <w:p>
            <w:pPr>
              <w:pStyle w:val="TableParagraph"/>
              <w:ind w:left="231" w:right="204"/>
              <w:jc w:val="center"/>
              <w:rPr>
                <w:sz w:val="20"/>
              </w:rPr>
            </w:pPr>
            <w:r>
              <w:rPr>
                <w:sz w:val="20"/>
              </w:rPr>
              <w:t>0.13</w:t>
            </w:r>
          </w:p>
        </w:tc>
        <w:tc>
          <w:tcPr>
            <w:tcW w:w="1440" w:type="dxa"/>
          </w:tcPr>
          <w:p>
            <w:pPr>
              <w:pStyle w:val="TableParagraph"/>
              <w:ind w:left="531" w:right="504"/>
              <w:jc w:val="center"/>
              <w:rPr>
                <w:sz w:val="20"/>
              </w:rPr>
            </w:pPr>
            <w:r>
              <w:rPr>
                <w:sz w:val="20"/>
              </w:rPr>
              <w:t>1.50</w:t>
            </w:r>
          </w:p>
        </w:tc>
        <w:tc>
          <w:tcPr>
            <w:tcW w:w="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24.03</w:t>
            </w:r>
          </w:p>
        </w:tc>
        <w:tc>
          <w:tcPr>
            <w:tcW w:w="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22.69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1,119</w:t>
            </w:r>
          </w:p>
        </w:tc>
        <w:tc>
          <w:tcPr>
            <w:tcW w:w="115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299.93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35.03</w:t>
            </w:r>
          </w:p>
        </w:tc>
        <w:tc>
          <w:tcPr>
            <w:tcW w:w="100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40.03</w:t>
            </w:r>
          </w:p>
        </w:tc>
      </w:tr>
      <w:tr>
        <w:trPr>
          <w:trHeight w:val="290" w:hRule="atLeast"/>
        </w:trPr>
        <w:tc>
          <w:tcPr>
            <w:tcW w:w="1200" w:type="dxa"/>
          </w:tcPr>
          <w:p>
            <w:pPr>
              <w:pStyle w:val="TableParagraph"/>
              <w:ind w:left="485" w:right="459"/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140" w:type="dxa"/>
          </w:tcPr>
          <w:p>
            <w:pPr>
              <w:pStyle w:val="TableParagraph"/>
              <w:ind w:left="381" w:right="354"/>
              <w:jc w:val="center"/>
              <w:rPr>
                <w:sz w:val="20"/>
              </w:rPr>
            </w:pPr>
            <w:r>
              <w:rPr>
                <w:sz w:val="20"/>
              </w:rPr>
              <w:t>1.42</w:t>
            </w:r>
          </w:p>
        </w:tc>
        <w:tc>
          <w:tcPr>
            <w:tcW w:w="840" w:type="dxa"/>
          </w:tcPr>
          <w:p>
            <w:pPr>
              <w:pStyle w:val="TableParagraph"/>
              <w:ind w:left="231" w:right="204"/>
              <w:jc w:val="center"/>
              <w:rPr>
                <w:sz w:val="20"/>
              </w:rPr>
            </w:pPr>
            <w:r>
              <w:rPr>
                <w:sz w:val="20"/>
              </w:rPr>
              <w:t>0.07</w:t>
            </w:r>
          </w:p>
        </w:tc>
        <w:tc>
          <w:tcPr>
            <w:tcW w:w="840" w:type="dxa"/>
          </w:tcPr>
          <w:p>
            <w:pPr>
              <w:pStyle w:val="TableParagraph"/>
              <w:ind w:left="231" w:right="204"/>
              <w:jc w:val="center"/>
              <w:rPr>
                <w:sz w:val="20"/>
              </w:rPr>
            </w:pPr>
            <w:r>
              <w:rPr>
                <w:sz w:val="20"/>
              </w:rPr>
              <w:t>0.13</w:t>
            </w:r>
          </w:p>
        </w:tc>
        <w:tc>
          <w:tcPr>
            <w:tcW w:w="1440" w:type="dxa"/>
          </w:tcPr>
          <w:p>
            <w:pPr>
              <w:pStyle w:val="TableParagraph"/>
              <w:ind w:left="531" w:right="504"/>
              <w:jc w:val="center"/>
              <w:rPr>
                <w:sz w:val="20"/>
              </w:rPr>
            </w:pPr>
            <w:r>
              <w:rPr>
                <w:sz w:val="20"/>
              </w:rPr>
              <w:t>1.62</w:t>
            </w:r>
          </w:p>
        </w:tc>
        <w:tc>
          <w:tcPr>
            <w:tcW w:w="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22.68</w:t>
            </w:r>
          </w:p>
        </w:tc>
        <w:tc>
          <w:tcPr>
            <w:tcW w:w="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21.40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1,135</w:t>
            </w:r>
          </w:p>
        </w:tc>
        <w:tc>
          <w:tcPr>
            <w:tcW w:w="115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301.44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40.03</w:t>
            </w:r>
          </w:p>
        </w:tc>
        <w:tc>
          <w:tcPr>
            <w:tcW w:w="100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45.06</w:t>
            </w:r>
          </w:p>
        </w:tc>
      </w:tr>
      <w:tr>
        <w:trPr>
          <w:trHeight w:val="290" w:hRule="atLeast"/>
        </w:trPr>
        <w:tc>
          <w:tcPr>
            <w:tcW w:w="1200" w:type="dxa"/>
          </w:tcPr>
          <w:p>
            <w:pPr>
              <w:pStyle w:val="TableParagraph"/>
              <w:ind w:left="485" w:right="459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40" w:type="dxa"/>
          </w:tcPr>
          <w:p>
            <w:pPr>
              <w:pStyle w:val="TableParagraph"/>
              <w:ind w:left="381" w:right="354"/>
              <w:jc w:val="center"/>
              <w:rPr>
                <w:sz w:val="20"/>
              </w:rPr>
            </w:pPr>
            <w:r>
              <w:rPr>
                <w:sz w:val="20"/>
              </w:rPr>
              <w:t>1.53</w:t>
            </w:r>
          </w:p>
        </w:tc>
        <w:tc>
          <w:tcPr>
            <w:tcW w:w="840" w:type="dxa"/>
          </w:tcPr>
          <w:p>
            <w:pPr>
              <w:pStyle w:val="TableParagraph"/>
              <w:ind w:left="231" w:right="204"/>
              <w:jc w:val="center"/>
              <w:rPr>
                <w:sz w:val="20"/>
              </w:rPr>
            </w:pPr>
            <w:r>
              <w:rPr>
                <w:sz w:val="20"/>
              </w:rPr>
              <w:t>0.07</w:t>
            </w:r>
          </w:p>
        </w:tc>
        <w:tc>
          <w:tcPr>
            <w:tcW w:w="840" w:type="dxa"/>
          </w:tcPr>
          <w:p>
            <w:pPr>
              <w:pStyle w:val="TableParagraph"/>
              <w:ind w:left="231" w:right="204"/>
              <w:jc w:val="center"/>
              <w:rPr>
                <w:sz w:val="20"/>
              </w:rPr>
            </w:pPr>
            <w:r>
              <w:rPr>
                <w:sz w:val="20"/>
              </w:rPr>
              <w:t>0.13</w:t>
            </w:r>
          </w:p>
        </w:tc>
        <w:tc>
          <w:tcPr>
            <w:tcW w:w="1440" w:type="dxa"/>
          </w:tcPr>
          <w:p>
            <w:pPr>
              <w:pStyle w:val="TableParagraph"/>
              <w:ind w:left="531" w:right="504"/>
              <w:jc w:val="center"/>
              <w:rPr>
                <w:sz w:val="20"/>
              </w:rPr>
            </w:pPr>
            <w:r>
              <w:rPr>
                <w:sz w:val="20"/>
              </w:rPr>
              <w:t>1.73</w:t>
            </w:r>
          </w:p>
        </w:tc>
        <w:tc>
          <w:tcPr>
            <w:tcW w:w="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21.39</w:t>
            </w:r>
          </w:p>
        </w:tc>
        <w:tc>
          <w:tcPr>
            <w:tcW w:w="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19.96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1,252</w:t>
            </w:r>
          </w:p>
        </w:tc>
        <w:tc>
          <w:tcPr>
            <w:tcW w:w="115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300.31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45.06</w:t>
            </w:r>
          </w:p>
        </w:tc>
        <w:tc>
          <w:tcPr>
            <w:tcW w:w="100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50.07</w:t>
            </w:r>
          </w:p>
        </w:tc>
      </w:tr>
      <w:tr>
        <w:trPr>
          <w:trHeight w:val="290" w:hRule="atLeast"/>
        </w:trPr>
        <w:tc>
          <w:tcPr>
            <w:tcW w:w="1200" w:type="dxa"/>
          </w:tcPr>
          <w:p>
            <w:pPr>
              <w:pStyle w:val="TableParagraph"/>
              <w:ind w:left="485" w:right="459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40" w:type="dxa"/>
          </w:tcPr>
          <w:p>
            <w:pPr>
              <w:pStyle w:val="TableParagraph"/>
              <w:ind w:left="381" w:right="354"/>
              <w:jc w:val="center"/>
              <w:rPr>
                <w:sz w:val="20"/>
              </w:rPr>
            </w:pPr>
            <w:r>
              <w:rPr>
                <w:sz w:val="20"/>
              </w:rPr>
              <w:t>1.65</w:t>
            </w:r>
          </w:p>
        </w:tc>
        <w:tc>
          <w:tcPr>
            <w:tcW w:w="840" w:type="dxa"/>
          </w:tcPr>
          <w:p>
            <w:pPr>
              <w:pStyle w:val="TableParagraph"/>
              <w:ind w:left="231" w:right="204"/>
              <w:jc w:val="center"/>
              <w:rPr>
                <w:sz w:val="20"/>
              </w:rPr>
            </w:pPr>
            <w:r>
              <w:rPr>
                <w:sz w:val="20"/>
              </w:rPr>
              <w:t>0.07</w:t>
            </w:r>
          </w:p>
        </w:tc>
        <w:tc>
          <w:tcPr>
            <w:tcW w:w="840" w:type="dxa"/>
          </w:tcPr>
          <w:p>
            <w:pPr>
              <w:pStyle w:val="TableParagraph"/>
              <w:ind w:left="231" w:right="204"/>
              <w:jc w:val="center"/>
              <w:rPr>
                <w:sz w:val="20"/>
              </w:rPr>
            </w:pPr>
            <w:r>
              <w:rPr>
                <w:sz w:val="20"/>
              </w:rPr>
              <w:t>0.13</w:t>
            </w:r>
          </w:p>
        </w:tc>
        <w:tc>
          <w:tcPr>
            <w:tcW w:w="1440" w:type="dxa"/>
          </w:tcPr>
          <w:p>
            <w:pPr>
              <w:pStyle w:val="TableParagraph"/>
              <w:ind w:left="531" w:right="504"/>
              <w:jc w:val="center"/>
              <w:rPr>
                <w:sz w:val="20"/>
              </w:rPr>
            </w:pPr>
            <w:r>
              <w:rPr>
                <w:sz w:val="20"/>
              </w:rPr>
              <w:t>1.85</w:t>
            </w:r>
          </w:p>
        </w:tc>
        <w:tc>
          <w:tcPr>
            <w:tcW w:w="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19.95</w:t>
            </w:r>
          </w:p>
        </w:tc>
        <w:tc>
          <w:tcPr>
            <w:tcW w:w="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18.82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1,130</w:t>
            </w:r>
          </w:p>
        </w:tc>
        <w:tc>
          <w:tcPr>
            <w:tcW w:w="115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296.31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50.07</w:t>
            </w:r>
          </w:p>
        </w:tc>
        <w:tc>
          <w:tcPr>
            <w:tcW w:w="100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55.02</w:t>
            </w:r>
          </w:p>
        </w:tc>
      </w:tr>
      <w:tr>
        <w:trPr>
          <w:trHeight w:val="290" w:hRule="atLeast"/>
        </w:trPr>
        <w:tc>
          <w:tcPr>
            <w:tcW w:w="1200" w:type="dxa"/>
          </w:tcPr>
          <w:p>
            <w:pPr>
              <w:pStyle w:val="TableParagraph"/>
              <w:ind w:left="485" w:right="459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40" w:type="dxa"/>
          </w:tcPr>
          <w:p>
            <w:pPr>
              <w:pStyle w:val="TableParagraph"/>
              <w:ind w:left="381" w:right="354"/>
              <w:jc w:val="center"/>
              <w:rPr>
                <w:sz w:val="20"/>
              </w:rPr>
            </w:pPr>
            <w:r>
              <w:rPr>
                <w:sz w:val="20"/>
              </w:rPr>
              <w:t>1.88</w:t>
            </w:r>
          </w:p>
        </w:tc>
        <w:tc>
          <w:tcPr>
            <w:tcW w:w="840" w:type="dxa"/>
          </w:tcPr>
          <w:p>
            <w:pPr>
              <w:pStyle w:val="TableParagraph"/>
              <w:ind w:left="231" w:right="204"/>
              <w:jc w:val="center"/>
              <w:rPr>
                <w:sz w:val="20"/>
              </w:rPr>
            </w:pPr>
            <w:r>
              <w:rPr>
                <w:sz w:val="20"/>
              </w:rPr>
              <w:t>0.07</w:t>
            </w:r>
          </w:p>
        </w:tc>
        <w:tc>
          <w:tcPr>
            <w:tcW w:w="840" w:type="dxa"/>
          </w:tcPr>
          <w:p>
            <w:pPr>
              <w:pStyle w:val="TableParagraph"/>
              <w:ind w:left="231" w:right="204"/>
              <w:jc w:val="center"/>
              <w:rPr>
                <w:sz w:val="20"/>
              </w:rPr>
            </w:pPr>
            <w:r>
              <w:rPr>
                <w:sz w:val="20"/>
              </w:rPr>
              <w:t>0.13</w:t>
            </w:r>
          </w:p>
        </w:tc>
        <w:tc>
          <w:tcPr>
            <w:tcW w:w="1440" w:type="dxa"/>
          </w:tcPr>
          <w:p>
            <w:pPr>
              <w:pStyle w:val="TableParagraph"/>
              <w:ind w:left="531" w:right="504"/>
              <w:jc w:val="center"/>
              <w:rPr>
                <w:sz w:val="20"/>
              </w:rPr>
            </w:pPr>
            <w:r>
              <w:rPr>
                <w:sz w:val="20"/>
              </w:rPr>
              <w:t>2.08</w:t>
            </w:r>
          </w:p>
        </w:tc>
        <w:tc>
          <w:tcPr>
            <w:tcW w:w="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18.81</w:t>
            </w:r>
          </w:p>
        </w:tc>
        <w:tc>
          <w:tcPr>
            <w:tcW w:w="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17.73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1,036</w:t>
            </w:r>
          </w:p>
        </w:tc>
        <w:tc>
          <w:tcPr>
            <w:tcW w:w="115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300.97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55.02</w:t>
            </w:r>
          </w:p>
        </w:tc>
        <w:tc>
          <w:tcPr>
            <w:tcW w:w="100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60.04</w:t>
            </w:r>
          </w:p>
        </w:tc>
      </w:tr>
      <w:tr>
        <w:trPr>
          <w:trHeight w:val="290" w:hRule="atLeast"/>
        </w:trPr>
        <w:tc>
          <w:tcPr>
            <w:tcW w:w="1200" w:type="dxa"/>
          </w:tcPr>
          <w:p>
            <w:pPr>
              <w:pStyle w:val="TableParagraph"/>
              <w:ind w:left="485" w:right="459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40" w:type="dxa"/>
          </w:tcPr>
          <w:p>
            <w:pPr>
              <w:pStyle w:val="TableParagraph"/>
              <w:ind w:left="381" w:right="354"/>
              <w:jc w:val="center"/>
              <w:rPr>
                <w:sz w:val="20"/>
              </w:rPr>
            </w:pPr>
            <w:r>
              <w:rPr>
                <w:sz w:val="20"/>
              </w:rPr>
              <w:t>2.11</w:t>
            </w:r>
          </w:p>
        </w:tc>
        <w:tc>
          <w:tcPr>
            <w:tcW w:w="840" w:type="dxa"/>
          </w:tcPr>
          <w:p>
            <w:pPr>
              <w:pStyle w:val="TableParagraph"/>
              <w:ind w:left="231" w:right="204"/>
              <w:jc w:val="center"/>
              <w:rPr>
                <w:sz w:val="20"/>
              </w:rPr>
            </w:pPr>
            <w:r>
              <w:rPr>
                <w:sz w:val="20"/>
              </w:rPr>
              <w:t>0.07</w:t>
            </w:r>
          </w:p>
        </w:tc>
        <w:tc>
          <w:tcPr>
            <w:tcW w:w="840" w:type="dxa"/>
          </w:tcPr>
          <w:p>
            <w:pPr>
              <w:pStyle w:val="TableParagraph"/>
              <w:ind w:left="231" w:right="204"/>
              <w:jc w:val="center"/>
              <w:rPr>
                <w:sz w:val="20"/>
              </w:rPr>
            </w:pPr>
            <w:r>
              <w:rPr>
                <w:sz w:val="20"/>
              </w:rPr>
              <w:t>0.13</w:t>
            </w:r>
          </w:p>
        </w:tc>
        <w:tc>
          <w:tcPr>
            <w:tcW w:w="1440" w:type="dxa"/>
          </w:tcPr>
          <w:p>
            <w:pPr>
              <w:pStyle w:val="TableParagraph"/>
              <w:ind w:left="531" w:right="504"/>
              <w:jc w:val="center"/>
              <w:rPr>
                <w:sz w:val="20"/>
              </w:rPr>
            </w:pPr>
            <w:r>
              <w:rPr>
                <w:sz w:val="20"/>
              </w:rPr>
              <w:t>2.31</w:t>
            </w:r>
          </w:p>
        </w:tc>
        <w:tc>
          <w:tcPr>
            <w:tcW w:w="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17.72</w:t>
            </w:r>
          </w:p>
        </w:tc>
        <w:tc>
          <w:tcPr>
            <w:tcW w:w="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16.32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1,423</w:t>
            </w:r>
          </w:p>
        </w:tc>
        <w:tc>
          <w:tcPr>
            <w:tcW w:w="115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298.34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60.04</w:t>
            </w:r>
          </w:p>
        </w:tc>
        <w:tc>
          <w:tcPr>
            <w:tcW w:w="100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65.01</w:t>
            </w:r>
          </w:p>
        </w:tc>
      </w:tr>
      <w:tr>
        <w:trPr>
          <w:trHeight w:val="290" w:hRule="atLeast"/>
        </w:trPr>
        <w:tc>
          <w:tcPr>
            <w:tcW w:w="1200" w:type="dxa"/>
          </w:tcPr>
          <w:p>
            <w:pPr>
              <w:pStyle w:val="TableParagraph"/>
              <w:ind w:left="485" w:right="459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40" w:type="dxa"/>
          </w:tcPr>
          <w:p>
            <w:pPr>
              <w:pStyle w:val="TableParagraph"/>
              <w:ind w:left="381" w:right="354"/>
              <w:jc w:val="center"/>
              <w:rPr>
                <w:sz w:val="20"/>
              </w:rPr>
            </w:pPr>
            <w:r>
              <w:rPr>
                <w:sz w:val="20"/>
              </w:rPr>
              <w:t>2.34</w:t>
            </w:r>
          </w:p>
        </w:tc>
        <w:tc>
          <w:tcPr>
            <w:tcW w:w="840" w:type="dxa"/>
          </w:tcPr>
          <w:p>
            <w:pPr>
              <w:pStyle w:val="TableParagraph"/>
              <w:ind w:left="231" w:right="204"/>
              <w:jc w:val="center"/>
              <w:rPr>
                <w:sz w:val="20"/>
              </w:rPr>
            </w:pPr>
            <w:r>
              <w:rPr>
                <w:sz w:val="20"/>
              </w:rPr>
              <w:t>0.07</w:t>
            </w:r>
          </w:p>
        </w:tc>
        <w:tc>
          <w:tcPr>
            <w:tcW w:w="840" w:type="dxa"/>
          </w:tcPr>
          <w:p>
            <w:pPr>
              <w:pStyle w:val="TableParagraph"/>
              <w:ind w:left="231" w:right="204"/>
              <w:jc w:val="center"/>
              <w:rPr>
                <w:sz w:val="20"/>
              </w:rPr>
            </w:pPr>
            <w:r>
              <w:rPr>
                <w:sz w:val="20"/>
              </w:rPr>
              <w:t>0.13</w:t>
            </w:r>
          </w:p>
        </w:tc>
        <w:tc>
          <w:tcPr>
            <w:tcW w:w="1440" w:type="dxa"/>
          </w:tcPr>
          <w:p>
            <w:pPr>
              <w:pStyle w:val="TableParagraph"/>
              <w:ind w:left="531" w:right="504"/>
              <w:jc w:val="center"/>
              <w:rPr>
                <w:sz w:val="20"/>
              </w:rPr>
            </w:pPr>
            <w:r>
              <w:rPr>
                <w:sz w:val="20"/>
              </w:rPr>
              <w:t>2.54</w:t>
            </w:r>
          </w:p>
        </w:tc>
        <w:tc>
          <w:tcPr>
            <w:tcW w:w="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16.31</w:t>
            </w:r>
          </w:p>
        </w:tc>
        <w:tc>
          <w:tcPr>
            <w:tcW w:w="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14.58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1,647</w:t>
            </w:r>
          </w:p>
        </w:tc>
        <w:tc>
          <w:tcPr>
            <w:tcW w:w="115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300.44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65.01</w:t>
            </w:r>
          </w:p>
        </w:tc>
        <w:tc>
          <w:tcPr>
            <w:tcW w:w="100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70.03</w:t>
            </w:r>
          </w:p>
        </w:tc>
      </w:tr>
      <w:tr>
        <w:trPr>
          <w:trHeight w:val="290" w:hRule="atLeast"/>
        </w:trPr>
        <w:tc>
          <w:tcPr>
            <w:tcW w:w="1200" w:type="dxa"/>
          </w:tcPr>
          <w:p>
            <w:pPr>
              <w:pStyle w:val="TableParagraph"/>
              <w:ind w:left="485" w:right="459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40" w:type="dxa"/>
          </w:tcPr>
          <w:p>
            <w:pPr>
              <w:pStyle w:val="TableParagraph"/>
              <w:ind w:left="381" w:right="354"/>
              <w:jc w:val="center"/>
              <w:rPr>
                <w:sz w:val="20"/>
              </w:rPr>
            </w:pPr>
            <w:r>
              <w:rPr>
                <w:sz w:val="20"/>
              </w:rPr>
              <w:t>2.69</w:t>
            </w:r>
          </w:p>
        </w:tc>
        <w:tc>
          <w:tcPr>
            <w:tcW w:w="840" w:type="dxa"/>
          </w:tcPr>
          <w:p>
            <w:pPr>
              <w:pStyle w:val="TableParagraph"/>
              <w:ind w:left="231" w:right="204"/>
              <w:jc w:val="center"/>
              <w:rPr>
                <w:sz w:val="20"/>
              </w:rPr>
            </w:pPr>
            <w:r>
              <w:rPr>
                <w:sz w:val="20"/>
              </w:rPr>
              <w:t>0.07</w:t>
            </w:r>
          </w:p>
        </w:tc>
        <w:tc>
          <w:tcPr>
            <w:tcW w:w="840" w:type="dxa"/>
          </w:tcPr>
          <w:p>
            <w:pPr>
              <w:pStyle w:val="TableParagraph"/>
              <w:ind w:left="231" w:right="204"/>
              <w:jc w:val="center"/>
              <w:rPr>
                <w:sz w:val="20"/>
              </w:rPr>
            </w:pPr>
            <w:r>
              <w:rPr>
                <w:sz w:val="20"/>
              </w:rPr>
              <w:t>0.13</w:t>
            </w:r>
          </w:p>
        </w:tc>
        <w:tc>
          <w:tcPr>
            <w:tcW w:w="1440" w:type="dxa"/>
          </w:tcPr>
          <w:p>
            <w:pPr>
              <w:pStyle w:val="TableParagraph"/>
              <w:ind w:left="531" w:right="504"/>
              <w:jc w:val="center"/>
              <w:rPr>
                <w:sz w:val="20"/>
              </w:rPr>
            </w:pPr>
            <w:r>
              <w:rPr>
                <w:sz w:val="20"/>
              </w:rPr>
              <w:t>2.89</w:t>
            </w:r>
          </w:p>
        </w:tc>
        <w:tc>
          <w:tcPr>
            <w:tcW w:w="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14.57</w:t>
            </w:r>
          </w:p>
        </w:tc>
        <w:tc>
          <w:tcPr>
            <w:tcW w:w="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12.62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1,754</w:t>
            </w:r>
          </w:p>
        </w:tc>
        <w:tc>
          <w:tcPr>
            <w:tcW w:w="115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299.14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70.03</w:t>
            </w:r>
          </w:p>
        </w:tc>
        <w:tc>
          <w:tcPr>
            <w:tcW w:w="100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75.02</w:t>
            </w:r>
          </w:p>
        </w:tc>
      </w:tr>
      <w:tr>
        <w:trPr>
          <w:trHeight w:val="290" w:hRule="atLeast"/>
        </w:trPr>
        <w:tc>
          <w:tcPr>
            <w:tcW w:w="1200" w:type="dxa"/>
          </w:tcPr>
          <w:p>
            <w:pPr>
              <w:pStyle w:val="TableParagraph"/>
              <w:ind w:left="485" w:right="459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40" w:type="dxa"/>
          </w:tcPr>
          <w:p>
            <w:pPr>
              <w:pStyle w:val="TableParagraph"/>
              <w:ind w:left="381" w:right="354"/>
              <w:jc w:val="center"/>
              <w:rPr>
                <w:sz w:val="20"/>
              </w:rPr>
            </w:pPr>
            <w:r>
              <w:rPr>
                <w:sz w:val="20"/>
              </w:rPr>
              <w:t>3.03</w:t>
            </w:r>
          </w:p>
        </w:tc>
        <w:tc>
          <w:tcPr>
            <w:tcW w:w="840" w:type="dxa"/>
          </w:tcPr>
          <w:p>
            <w:pPr>
              <w:pStyle w:val="TableParagraph"/>
              <w:ind w:left="231" w:right="204"/>
              <w:jc w:val="center"/>
              <w:rPr>
                <w:sz w:val="20"/>
              </w:rPr>
            </w:pPr>
            <w:r>
              <w:rPr>
                <w:sz w:val="20"/>
              </w:rPr>
              <w:t>0.07</w:t>
            </w:r>
          </w:p>
        </w:tc>
        <w:tc>
          <w:tcPr>
            <w:tcW w:w="840" w:type="dxa"/>
          </w:tcPr>
          <w:p>
            <w:pPr>
              <w:pStyle w:val="TableParagraph"/>
              <w:ind w:left="231" w:right="204"/>
              <w:jc w:val="center"/>
              <w:rPr>
                <w:sz w:val="20"/>
              </w:rPr>
            </w:pPr>
            <w:r>
              <w:rPr>
                <w:sz w:val="20"/>
              </w:rPr>
              <w:t>0.13</w:t>
            </w:r>
          </w:p>
        </w:tc>
        <w:tc>
          <w:tcPr>
            <w:tcW w:w="1440" w:type="dxa"/>
          </w:tcPr>
          <w:p>
            <w:pPr>
              <w:pStyle w:val="TableParagraph"/>
              <w:ind w:left="531" w:right="504"/>
              <w:jc w:val="center"/>
              <w:rPr>
                <w:sz w:val="20"/>
              </w:rPr>
            </w:pPr>
            <w:r>
              <w:rPr>
                <w:sz w:val="20"/>
              </w:rPr>
              <w:t>3.23</w:t>
            </w:r>
          </w:p>
        </w:tc>
        <w:tc>
          <w:tcPr>
            <w:tcW w:w="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12.61</w:t>
            </w:r>
          </w:p>
        </w:tc>
        <w:tc>
          <w:tcPr>
            <w:tcW w:w="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10.00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2,293</w:t>
            </w:r>
          </w:p>
        </w:tc>
        <w:tc>
          <w:tcPr>
            <w:tcW w:w="115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300.40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75.02</w:t>
            </w:r>
          </w:p>
        </w:tc>
        <w:tc>
          <w:tcPr>
            <w:tcW w:w="100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80.03</w:t>
            </w:r>
          </w:p>
        </w:tc>
      </w:tr>
      <w:tr>
        <w:trPr>
          <w:trHeight w:val="290" w:hRule="atLeast"/>
        </w:trPr>
        <w:tc>
          <w:tcPr>
            <w:tcW w:w="1200" w:type="dxa"/>
          </w:tcPr>
          <w:p>
            <w:pPr>
              <w:pStyle w:val="TableParagraph"/>
              <w:ind w:left="485" w:right="459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40" w:type="dxa"/>
          </w:tcPr>
          <w:p>
            <w:pPr>
              <w:pStyle w:val="TableParagraph"/>
              <w:ind w:left="381" w:right="354"/>
              <w:jc w:val="center"/>
              <w:rPr>
                <w:sz w:val="20"/>
              </w:rPr>
            </w:pPr>
            <w:r>
              <w:rPr>
                <w:sz w:val="20"/>
              </w:rPr>
              <w:t>3.50</w:t>
            </w:r>
          </w:p>
        </w:tc>
        <w:tc>
          <w:tcPr>
            <w:tcW w:w="840" w:type="dxa"/>
          </w:tcPr>
          <w:p>
            <w:pPr>
              <w:pStyle w:val="TableParagraph"/>
              <w:ind w:left="231" w:right="204"/>
              <w:jc w:val="center"/>
              <w:rPr>
                <w:sz w:val="20"/>
              </w:rPr>
            </w:pPr>
            <w:r>
              <w:rPr>
                <w:sz w:val="20"/>
              </w:rPr>
              <w:t>0.07</w:t>
            </w:r>
          </w:p>
        </w:tc>
        <w:tc>
          <w:tcPr>
            <w:tcW w:w="840" w:type="dxa"/>
          </w:tcPr>
          <w:p>
            <w:pPr>
              <w:pStyle w:val="TableParagraph"/>
              <w:ind w:left="231" w:right="204"/>
              <w:jc w:val="center"/>
              <w:rPr>
                <w:sz w:val="20"/>
              </w:rPr>
            </w:pPr>
            <w:r>
              <w:rPr>
                <w:sz w:val="20"/>
              </w:rPr>
              <w:t>0.13</w:t>
            </w:r>
          </w:p>
        </w:tc>
        <w:tc>
          <w:tcPr>
            <w:tcW w:w="1440" w:type="dxa"/>
          </w:tcPr>
          <w:p>
            <w:pPr>
              <w:pStyle w:val="TableParagraph"/>
              <w:ind w:left="531" w:right="504"/>
              <w:jc w:val="center"/>
              <w:rPr>
                <w:sz w:val="20"/>
              </w:rPr>
            </w:pPr>
            <w:r>
              <w:rPr>
                <w:sz w:val="20"/>
              </w:rPr>
              <w:t>3.70</w:t>
            </w:r>
          </w:p>
        </w:tc>
        <w:tc>
          <w:tcPr>
            <w:tcW w:w="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9.99</w:t>
            </w:r>
          </w:p>
        </w:tc>
        <w:tc>
          <w:tcPr>
            <w:tcW w:w="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6.85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2,453</w:t>
            </w:r>
          </w:p>
        </w:tc>
        <w:tc>
          <w:tcPr>
            <w:tcW w:w="115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298.32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80.03</w:t>
            </w:r>
          </w:p>
        </w:tc>
        <w:tc>
          <w:tcPr>
            <w:tcW w:w="100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85.01</w:t>
            </w:r>
          </w:p>
        </w:tc>
      </w:tr>
      <w:tr>
        <w:trPr>
          <w:trHeight w:val="290" w:hRule="atLeast"/>
        </w:trPr>
        <w:tc>
          <w:tcPr>
            <w:tcW w:w="1200" w:type="dxa"/>
          </w:tcPr>
          <w:p>
            <w:pPr>
              <w:pStyle w:val="TableParagraph"/>
              <w:ind w:left="485" w:right="459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40" w:type="dxa"/>
          </w:tcPr>
          <w:p>
            <w:pPr>
              <w:pStyle w:val="TableParagraph"/>
              <w:ind w:left="381" w:right="354"/>
              <w:jc w:val="center"/>
              <w:rPr>
                <w:sz w:val="20"/>
              </w:rPr>
            </w:pPr>
            <w:r>
              <w:rPr>
                <w:sz w:val="20"/>
              </w:rPr>
              <w:t>4.19</w:t>
            </w:r>
          </w:p>
        </w:tc>
        <w:tc>
          <w:tcPr>
            <w:tcW w:w="840" w:type="dxa"/>
          </w:tcPr>
          <w:p>
            <w:pPr>
              <w:pStyle w:val="TableParagraph"/>
              <w:ind w:left="231" w:right="204"/>
              <w:jc w:val="center"/>
              <w:rPr>
                <w:sz w:val="20"/>
              </w:rPr>
            </w:pPr>
            <w:r>
              <w:rPr>
                <w:sz w:val="20"/>
              </w:rPr>
              <w:t>0.07</w:t>
            </w:r>
          </w:p>
        </w:tc>
        <w:tc>
          <w:tcPr>
            <w:tcW w:w="840" w:type="dxa"/>
          </w:tcPr>
          <w:p>
            <w:pPr>
              <w:pStyle w:val="TableParagraph"/>
              <w:ind w:left="231" w:right="204"/>
              <w:jc w:val="center"/>
              <w:rPr>
                <w:sz w:val="20"/>
              </w:rPr>
            </w:pPr>
            <w:r>
              <w:rPr>
                <w:sz w:val="20"/>
              </w:rPr>
              <w:t>0.13</w:t>
            </w:r>
          </w:p>
        </w:tc>
        <w:tc>
          <w:tcPr>
            <w:tcW w:w="1440" w:type="dxa"/>
          </w:tcPr>
          <w:p>
            <w:pPr>
              <w:pStyle w:val="TableParagraph"/>
              <w:ind w:left="531" w:right="504"/>
              <w:jc w:val="center"/>
              <w:rPr>
                <w:sz w:val="20"/>
              </w:rPr>
            </w:pPr>
            <w:r>
              <w:rPr>
                <w:sz w:val="20"/>
              </w:rPr>
              <w:t>4.39</w:t>
            </w:r>
          </w:p>
        </w:tc>
        <w:tc>
          <w:tcPr>
            <w:tcW w:w="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6.84</w:t>
            </w:r>
          </w:p>
        </w:tc>
        <w:tc>
          <w:tcPr>
            <w:tcW w:w="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2.86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3,874</w:t>
            </w:r>
          </w:p>
        </w:tc>
        <w:tc>
          <w:tcPr>
            <w:tcW w:w="115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301.05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85.01</w:t>
            </w:r>
          </w:p>
        </w:tc>
        <w:tc>
          <w:tcPr>
            <w:tcW w:w="100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90.03</w:t>
            </w:r>
          </w:p>
        </w:tc>
      </w:tr>
      <w:tr>
        <w:trPr>
          <w:trHeight w:val="290" w:hRule="atLeast"/>
        </w:trPr>
        <w:tc>
          <w:tcPr>
            <w:tcW w:w="1200" w:type="dxa"/>
          </w:tcPr>
          <w:p>
            <w:pPr>
              <w:pStyle w:val="TableParagraph"/>
              <w:ind w:left="485" w:right="459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40" w:type="dxa"/>
          </w:tcPr>
          <w:p>
            <w:pPr>
              <w:pStyle w:val="TableParagraph"/>
              <w:ind w:left="381" w:right="354"/>
              <w:jc w:val="center"/>
              <w:rPr>
                <w:sz w:val="20"/>
              </w:rPr>
            </w:pPr>
            <w:r>
              <w:rPr>
                <w:sz w:val="20"/>
              </w:rPr>
              <w:t>4.88</w:t>
            </w:r>
          </w:p>
        </w:tc>
        <w:tc>
          <w:tcPr>
            <w:tcW w:w="840" w:type="dxa"/>
          </w:tcPr>
          <w:p>
            <w:pPr>
              <w:pStyle w:val="TableParagraph"/>
              <w:ind w:left="231" w:right="204"/>
              <w:jc w:val="center"/>
              <w:rPr>
                <w:sz w:val="20"/>
              </w:rPr>
            </w:pPr>
            <w:r>
              <w:rPr>
                <w:sz w:val="20"/>
              </w:rPr>
              <w:t>0.07</w:t>
            </w:r>
          </w:p>
        </w:tc>
        <w:tc>
          <w:tcPr>
            <w:tcW w:w="840" w:type="dxa"/>
          </w:tcPr>
          <w:p>
            <w:pPr>
              <w:pStyle w:val="TableParagraph"/>
              <w:ind w:left="231" w:right="204"/>
              <w:jc w:val="center"/>
              <w:rPr>
                <w:sz w:val="20"/>
              </w:rPr>
            </w:pPr>
            <w:r>
              <w:rPr>
                <w:sz w:val="20"/>
              </w:rPr>
              <w:t>0.13</w:t>
            </w:r>
          </w:p>
        </w:tc>
        <w:tc>
          <w:tcPr>
            <w:tcW w:w="1440" w:type="dxa"/>
          </w:tcPr>
          <w:p>
            <w:pPr>
              <w:pStyle w:val="TableParagraph"/>
              <w:ind w:left="531" w:right="504"/>
              <w:jc w:val="center"/>
              <w:rPr>
                <w:sz w:val="20"/>
              </w:rPr>
            </w:pPr>
            <w:r>
              <w:rPr>
                <w:sz w:val="20"/>
              </w:rPr>
              <w:t>5.08</w:t>
            </w:r>
          </w:p>
        </w:tc>
        <w:tc>
          <w:tcPr>
            <w:tcW w:w="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2.85</w:t>
            </w:r>
          </w:p>
        </w:tc>
        <w:tc>
          <w:tcPr>
            <w:tcW w:w="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-22.53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2,240</w:t>
            </w:r>
          </w:p>
        </w:tc>
        <w:tc>
          <w:tcPr>
            <w:tcW w:w="115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298.52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90.03</w:t>
            </w:r>
          </w:p>
        </w:tc>
        <w:tc>
          <w:tcPr>
            <w:tcW w:w="100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95.01</w:t>
            </w:r>
          </w:p>
        </w:tc>
      </w:tr>
      <w:tr>
        <w:trPr>
          <w:trHeight w:val="290" w:hRule="atLeast"/>
        </w:trPr>
        <w:tc>
          <w:tcPr>
            <w:tcW w:w="1200" w:type="dxa"/>
          </w:tcPr>
          <w:p>
            <w:pPr>
              <w:pStyle w:val="TableParagraph"/>
              <w:ind w:left="485" w:right="459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40" w:type="dxa"/>
          </w:tcPr>
          <w:p>
            <w:pPr>
              <w:pStyle w:val="TableParagraph"/>
              <w:ind w:left="381" w:right="354"/>
              <w:jc w:val="center"/>
              <w:rPr>
                <w:sz w:val="20"/>
              </w:rPr>
            </w:pPr>
            <w:r>
              <w:rPr>
                <w:sz w:val="20"/>
              </w:rPr>
              <w:t>5.81</w:t>
            </w:r>
          </w:p>
        </w:tc>
        <w:tc>
          <w:tcPr>
            <w:tcW w:w="840" w:type="dxa"/>
          </w:tcPr>
          <w:p>
            <w:pPr>
              <w:pStyle w:val="TableParagraph"/>
              <w:ind w:left="231" w:right="204"/>
              <w:jc w:val="center"/>
              <w:rPr>
                <w:sz w:val="20"/>
              </w:rPr>
            </w:pPr>
            <w:r>
              <w:rPr>
                <w:sz w:val="20"/>
              </w:rPr>
              <w:t>0.07</w:t>
            </w:r>
          </w:p>
        </w:tc>
        <w:tc>
          <w:tcPr>
            <w:tcW w:w="840" w:type="dxa"/>
          </w:tcPr>
          <w:p>
            <w:pPr>
              <w:pStyle w:val="TableParagraph"/>
              <w:ind w:left="231" w:right="204"/>
              <w:jc w:val="center"/>
              <w:rPr>
                <w:sz w:val="20"/>
              </w:rPr>
            </w:pPr>
            <w:r>
              <w:rPr>
                <w:sz w:val="20"/>
              </w:rPr>
              <w:t>0.13</w:t>
            </w:r>
          </w:p>
        </w:tc>
        <w:tc>
          <w:tcPr>
            <w:tcW w:w="1440" w:type="dxa"/>
          </w:tcPr>
          <w:p>
            <w:pPr>
              <w:pStyle w:val="TableParagraph"/>
              <w:ind w:left="531" w:right="504"/>
              <w:jc w:val="center"/>
              <w:rPr>
                <w:sz w:val="20"/>
              </w:rPr>
            </w:pPr>
            <w:r>
              <w:rPr>
                <w:sz w:val="20"/>
              </w:rPr>
              <w:t>6.01</w:t>
            </w:r>
          </w:p>
        </w:tc>
        <w:tc>
          <w:tcPr>
            <w:tcW w:w="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-22.54</w:t>
            </w:r>
          </w:p>
        </w:tc>
        <w:tc>
          <w:tcPr>
            <w:tcW w:w="7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-999.99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2,588</w:t>
            </w:r>
          </w:p>
        </w:tc>
        <w:tc>
          <w:tcPr>
            <w:tcW w:w="115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298.98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95.01</w:t>
            </w:r>
          </w:p>
        </w:tc>
        <w:tc>
          <w:tcPr>
            <w:tcW w:w="100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100.00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top="360" w:bottom="280" w:left="260" w:right="240"/>
        </w:sectPr>
      </w:pPr>
    </w:p>
    <w:p>
      <w:pPr>
        <w:pStyle w:val="BodyText"/>
        <w:spacing w:before="95"/>
        <w:ind w:left="133" w:right="38"/>
      </w:pPr>
      <w:hyperlink r:id="rId7">
        <w:r>
          <w:rPr/>
          <w:t>www.maine.gov/reemployme</w:t>
        </w:r>
      </w:hyperlink>
      <w:r>
        <w:rPr/>
        <w:t> ARRAY-1</w:t>
      </w:r>
    </w:p>
    <w:p>
      <w:pPr>
        <w:pStyle w:val="BodyText"/>
        <w:spacing w:before="95"/>
        <w:ind w:left="113" w:right="20"/>
        <w:jc w:val="center"/>
      </w:pPr>
      <w:r>
        <w:rPr/>
        <w:br w:type="column"/>
      </w:r>
      <w:r>
        <w:rPr/>
        <w:t>Maine Department of Labor is an equal opportunity employer.</w:t>
      </w:r>
    </w:p>
    <w:p>
      <w:pPr>
        <w:pStyle w:val="BodyText"/>
        <w:ind w:left="113" w:right="20"/>
        <w:jc w:val="center"/>
      </w:pPr>
      <w:r>
        <w:rPr/>
        <w:t>Auxiliary aids and services are available upon request to individuals with disabilities.</w:t>
      </w:r>
    </w:p>
    <w:p>
      <w:pPr>
        <w:pStyle w:val="BodyText"/>
        <w:spacing w:line="326" w:lineRule="auto"/>
        <w:ind w:left="1386" w:right="1260"/>
        <w:jc w:val="center"/>
      </w:pPr>
      <w:r>
        <w:rPr/>
        <w:t>TTY Users Call Maine Relay 711 Page 1 of 1</w:t>
      </w:r>
    </w:p>
    <w:p>
      <w:pPr>
        <w:pStyle w:val="BodyText"/>
        <w:spacing w:before="95"/>
        <w:ind w:left="133"/>
      </w:pPr>
      <w:r>
        <w:rPr/>
        <w:br w:type="column"/>
      </w:r>
      <w:r>
        <w:rPr/>
        <w:t>001-20160627</w:t>
      </w:r>
    </w:p>
    <w:sectPr>
      <w:type w:val="continuous"/>
      <w:pgSz w:w="12240" w:h="15840"/>
      <w:pgMar w:top="360" w:bottom="280" w:left="260" w:right="240"/>
      <w:cols w:num="3" w:equalWidth="0">
        <w:col w:w="1600" w:space="2065"/>
        <w:col w:w="4273" w:space="2822"/>
        <w:col w:w="98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2"/>
      <w:szCs w:val="12"/>
    </w:rPr>
  </w:style>
  <w:style w:styleId="Heading1" w:type="paragraph">
    <w:name w:val="Heading 1"/>
    <w:basedOn w:val="Normal"/>
    <w:uiPriority w:val="1"/>
    <w:qFormat/>
    <w:pPr>
      <w:ind w:left="136"/>
      <w:outlineLvl w:val="1"/>
    </w:pPr>
    <w:rPr>
      <w:rFonts w:ascii="Times New Roman" w:hAnsi="Times New Roman" w:eastAsia="Times New Roman" w:cs="Times New Roman"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19"/>
      <w:ind w:right="14"/>
      <w:jc w:val="right"/>
    </w:pPr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yperlink" Target="http://www.maine.gov/reemployme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2020-12-30T14:49:17Z</dcterms:created>
  <dcterms:modified xsi:type="dcterms:W3CDTF">2020-12-30T14:49:17Z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2020-12-17T00:00:00Z</vt:filetime>
  </property>
  <property fmtid="{D5CDD505-2E9C-101B-9397-08002B2CF9AE}" pid="3" name="Creator">
    <vt:lpwstr>BIRT Report Engine 2.6.1 using iText version unknown.</vt:lpwstr>
  </property>
  <property fmtid="{D5CDD505-2E9C-101B-9397-08002B2CF9AE}" pid="4" name="LastSaved">
    <vt:filetime>2020-12-30T00:00:00Z</vt:filetime>
  </property>
</Properties>
</file>