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544" w:rsidRDefault="00577544">
      <w:pPr>
        <w:spacing w:line="240" w:lineRule="atLeast"/>
        <w:jc w:val="center"/>
        <w:rPr>
          <w:rFonts w:ascii="Goudy Old Style" w:hAnsi="Goudy Old Style"/>
          <w:color w:val="0000FF"/>
          <w:spacing w:val="26"/>
          <w:kern w:val="28"/>
          <w:sz w:val="20"/>
          <w:szCs w:val="20"/>
        </w:rPr>
      </w:pPr>
      <w:bookmarkStart w:id="0" w:name="_GoBack"/>
      <w:bookmarkEnd w:id="0"/>
    </w:p>
    <w:p w:rsidR="00C01ECB" w:rsidRPr="006429C8" w:rsidRDefault="009238AB">
      <w:pPr>
        <w:spacing w:line="240" w:lineRule="atLeast"/>
        <w:jc w:val="center"/>
        <w:rPr>
          <w:rFonts w:ascii="Goudy Old Style" w:hAnsi="Goudy Old Style"/>
          <w:color w:val="0000FF"/>
          <w:spacing w:val="26"/>
          <w:kern w:val="28"/>
          <w:sz w:val="20"/>
          <w:szCs w:val="20"/>
        </w:rPr>
      </w:pPr>
      <w:r>
        <w:rPr>
          <w:rFonts w:ascii="Goudy" w:hAnsi="Goudy"/>
          <w:noProof/>
          <w:color w:val="0000FF"/>
          <w:spacing w:val="26"/>
          <w:kern w:val="28"/>
          <w:sz w:val="16"/>
        </w:rPr>
        <mc:AlternateContent>
          <mc:Choice Requires="wps">
            <w:drawing>
              <wp:anchor distT="0" distB="0" distL="114300" distR="114300" simplePos="0" relativeHeight="251656192" behindDoc="0" locked="0" layoutInCell="0" allowOverlap="1" wp14:anchorId="60C1869D" wp14:editId="7B560C66">
                <wp:simplePos x="0" y="0"/>
                <wp:positionH relativeFrom="column">
                  <wp:posOffset>182880</wp:posOffset>
                </wp:positionH>
                <wp:positionV relativeFrom="paragraph">
                  <wp:posOffset>0</wp:posOffset>
                </wp:positionV>
                <wp:extent cx="716915" cy="739775"/>
                <wp:effectExtent l="1905"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774" w:rsidRDefault="00C96774">
                            <w:r>
                              <w:rPr>
                                <w:noProof/>
                                <w:color w:val="0000FF"/>
                              </w:rPr>
                              <w:drawing>
                                <wp:inline distT="0" distB="0" distL="0" distR="0" wp14:anchorId="5DD169FD" wp14:editId="45DBF962">
                                  <wp:extent cx="533400" cy="655320"/>
                                  <wp:effectExtent l="0" t="0" r="0" b="0"/>
                                  <wp:docPr id="1" name="Picture 1" descr="state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53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1869D" id="_x0000_t202" coordsize="21600,21600" o:spt="202" path="m,l,21600r21600,l21600,xe">
                <v:stroke joinstyle="miter"/>
                <v:path gradientshapeok="t" o:connecttype="rect"/>
              </v:shapetype>
              <v:shape id="Text Box 2" o:spid="_x0000_s1026" type="#_x0000_t202" style="position:absolute;left:0;text-align:left;margin-left:14.4pt;margin-top:0;width:56.45pt;height:5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bbtwIAAL8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" o:allowincell="f" filled="f" stroked="f">
                <v:textbox>
                  <w:txbxContent>
                    <w:p w:rsidR="00C96774" w:rsidRDefault="00C96774">
                      <w:r>
                        <w:rPr>
                          <w:noProof/>
                          <w:color w:val="0000FF"/>
                        </w:rPr>
                        <w:drawing>
                          <wp:inline distT="0" distB="0" distL="0" distR="0" wp14:anchorId="5DD169FD" wp14:editId="45DBF962">
                            <wp:extent cx="533400" cy="655320"/>
                            <wp:effectExtent l="0" t="0" r="0" b="0"/>
                            <wp:docPr id="1" name="Picture 1" descr="state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55320"/>
                                    </a:xfrm>
                                    <a:prstGeom prst="rect">
                                      <a:avLst/>
                                    </a:prstGeom>
                                    <a:noFill/>
                                    <a:ln>
                                      <a:noFill/>
                                    </a:ln>
                                  </pic:spPr>
                                </pic:pic>
                              </a:graphicData>
                            </a:graphic>
                          </wp:inline>
                        </w:drawing>
                      </w:r>
                    </w:p>
                  </w:txbxContent>
                </v:textbox>
              </v:shape>
            </w:pict>
          </mc:Fallback>
        </mc:AlternateContent>
      </w:r>
      <w:r w:rsidR="006429C8">
        <w:rPr>
          <w:rFonts w:ascii="Goudy Old Style" w:hAnsi="Goudy Old Style"/>
          <w:color w:val="0000FF"/>
          <w:spacing w:val="26"/>
          <w:kern w:val="28"/>
          <w:sz w:val="20"/>
          <w:szCs w:val="20"/>
        </w:rPr>
        <w:t>ST</w:t>
      </w:r>
      <w:r w:rsidR="006429C8" w:rsidRPr="006429C8">
        <w:rPr>
          <w:rFonts w:ascii="Goudy Old Style" w:hAnsi="Goudy Old Style"/>
          <w:color w:val="0000FF"/>
          <w:spacing w:val="26"/>
          <w:kern w:val="28"/>
          <w:sz w:val="20"/>
          <w:szCs w:val="20"/>
        </w:rPr>
        <w:t>ATE WORKFORCE BOARD</w:t>
      </w:r>
      <w:r w:rsidR="0009775B">
        <w:rPr>
          <w:rFonts w:ascii="Goudy Old Style" w:hAnsi="Goudy Old Style"/>
          <w:color w:val="0000FF"/>
          <w:spacing w:val="26"/>
          <w:kern w:val="28"/>
          <w:sz w:val="20"/>
          <w:szCs w:val="20"/>
        </w:rPr>
        <w:t xml:space="preserve">    </w:t>
      </w:r>
    </w:p>
    <w:p w:rsidR="00C01ECB" w:rsidRPr="006429C8" w:rsidRDefault="009238AB">
      <w:pPr>
        <w:spacing w:line="240" w:lineRule="atLeast"/>
        <w:jc w:val="center"/>
        <w:rPr>
          <w:rFonts w:ascii="Goudy" w:hAnsi="Goudy"/>
          <w:color w:val="0000FF"/>
          <w:spacing w:val="26"/>
          <w:kern w:val="28"/>
          <w:sz w:val="20"/>
          <w:szCs w:val="20"/>
        </w:rPr>
      </w:pPr>
      <w:r>
        <w:rPr>
          <w:rFonts w:ascii="Goudy" w:hAnsi="Goudy"/>
          <w:smallCaps/>
          <w:noProof/>
          <w:color w:val="0000FF"/>
          <w:spacing w:val="26"/>
          <w:kern w:val="28"/>
          <w:sz w:val="20"/>
          <w:szCs w:val="20"/>
        </w:rPr>
        <mc:AlternateContent>
          <mc:Choice Requires="wps">
            <w:drawing>
              <wp:anchor distT="0" distB="0" distL="114300" distR="114300" simplePos="0" relativeHeight="251658240" behindDoc="0" locked="0" layoutInCell="0" allowOverlap="1" wp14:anchorId="2F269D51" wp14:editId="776DF46E">
                <wp:simplePos x="0" y="0"/>
                <wp:positionH relativeFrom="column">
                  <wp:posOffset>4937760</wp:posOffset>
                </wp:positionH>
                <wp:positionV relativeFrom="paragraph">
                  <wp:posOffset>68580</wp:posOffset>
                </wp:positionV>
                <wp:extent cx="1188720" cy="822960"/>
                <wp:effectExtent l="3810" t="1905"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774" w:rsidRDefault="00C96774">
                            <w:pPr>
                              <w:pStyle w:val="BodyText"/>
                              <w:spacing w:line="360" w:lineRule="auto"/>
                              <w:jc w:val="center"/>
                              <w:rPr>
                                <w:color w:val="0000FF"/>
                              </w:rPr>
                            </w:pPr>
                          </w:p>
                          <w:p w:rsidR="00C96774" w:rsidRDefault="00C96774">
                            <w:pPr>
                              <w:pStyle w:val="BodyText"/>
                              <w:spacing w:line="360" w:lineRule="auto"/>
                              <w:jc w:val="center"/>
                              <w:rPr>
                                <w:color w:val="0000FF"/>
                                <w:sz w:val="11"/>
                              </w:rPr>
                            </w:pPr>
                          </w:p>
                          <w:p w:rsidR="00C96774" w:rsidRDefault="00C96774">
                            <w:pPr>
                              <w:pStyle w:val="BodyText"/>
                              <w:spacing w:line="360" w:lineRule="auto"/>
                              <w:jc w:val="center"/>
                              <w:rPr>
                                <w:color w:val="0000FF"/>
                              </w:rPr>
                            </w:pPr>
                          </w:p>
                          <w:p w:rsidR="00C96774" w:rsidRDefault="00C96774">
                            <w:pPr>
                              <w:pStyle w:val="BodyText"/>
                              <w:spacing w:line="360" w:lineRule="auto"/>
                              <w:jc w:val="center"/>
                              <w:rPr>
                                <w:color w:val="0000FF"/>
                              </w:rPr>
                            </w:pPr>
                            <w:r>
                              <w:rPr>
                                <w:color w:val="0000FF"/>
                              </w:rPr>
                              <w:t>Garret J. Oswald</w:t>
                            </w:r>
                          </w:p>
                          <w:p w:rsidR="00C96774" w:rsidRDefault="00C96774">
                            <w:pPr>
                              <w:spacing w:line="360" w:lineRule="auto"/>
                              <w:jc w:val="center"/>
                              <w:rPr>
                                <w:rFonts w:ascii="Helvetica" w:hAnsi="Helvetica"/>
                                <w:color w:val="0000FF"/>
                                <w:sz w:val="11"/>
                              </w:rPr>
                            </w:pPr>
                            <w:r>
                              <w:rPr>
                                <w:rFonts w:ascii="Helvetica" w:hAnsi="Helvetica"/>
                                <w:color w:val="0000FF"/>
                                <w:sz w:val="11"/>
                              </w:rPr>
                              <w:t xml:space="preserve"> DIRECTOR</w:t>
                            </w:r>
                          </w:p>
                          <w:p w:rsidR="00C96774" w:rsidRDefault="00C96774">
                            <w:pPr>
                              <w:spacing w:line="360" w:lineRule="auto"/>
                              <w:rPr>
                                <w:rFonts w:ascii="Helvetica" w:hAnsi="Helvetica"/>
                                <w:sz w:val="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9D51" id="Text Box 4" o:spid="_x0000_s1028" type="#_x0000_t202" style="position:absolute;left:0;text-align:left;margin-left:388.8pt;margin-top:5.4pt;width:93.6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dxtw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" o:allowincell="f" filled="f" stroked="f">
                <v:textbox>
                  <w:txbxContent>
                    <w:p w:rsidR="00C96774" w:rsidRDefault="00C96774">
                      <w:pPr>
                        <w:pStyle w:val="BodyText"/>
                        <w:spacing w:line="360" w:lineRule="auto"/>
                        <w:jc w:val="center"/>
                        <w:rPr>
                          <w:color w:val="0000FF"/>
                        </w:rPr>
                      </w:pPr>
                    </w:p>
                    <w:p w:rsidR="00C96774" w:rsidRDefault="00C96774">
                      <w:pPr>
                        <w:pStyle w:val="BodyText"/>
                        <w:spacing w:line="360" w:lineRule="auto"/>
                        <w:jc w:val="center"/>
                        <w:rPr>
                          <w:color w:val="0000FF"/>
                          <w:sz w:val="11"/>
                        </w:rPr>
                      </w:pPr>
                    </w:p>
                    <w:p w:rsidR="00C96774" w:rsidRDefault="00C96774">
                      <w:pPr>
                        <w:pStyle w:val="BodyText"/>
                        <w:spacing w:line="360" w:lineRule="auto"/>
                        <w:jc w:val="center"/>
                        <w:rPr>
                          <w:color w:val="0000FF"/>
                        </w:rPr>
                      </w:pPr>
                    </w:p>
                    <w:p w:rsidR="00C96774" w:rsidRDefault="00C96774">
                      <w:pPr>
                        <w:pStyle w:val="BodyText"/>
                        <w:spacing w:line="360" w:lineRule="auto"/>
                        <w:jc w:val="center"/>
                        <w:rPr>
                          <w:color w:val="0000FF"/>
                        </w:rPr>
                      </w:pPr>
                      <w:r>
                        <w:rPr>
                          <w:color w:val="0000FF"/>
                        </w:rPr>
                        <w:t>Garret J. Oswald</w:t>
                      </w:r>
                    </w:p>
                    <w:p w:rsidR="00C96774" w:rsidRDefault="00C96774">
                      <w:pPr>
                        <w:spacing w:line="360" w:lineRule="auto"/>
                        <w:jc w:val="center"/>
                        <w:rPr>
                          <w:rFonts w:ascii="Helvetica" w:hAnsi="Helvetica"/>
                          <w:color w:val="0000FF"/>
                          <w:sz w:val="11"/>
                        </w:rPr>
                      </w:pPr>
                      <w:r>
                        <w:rPr>
                          <w:rFonts w:ascii="Helvetica" w:hAnsi="Helvetica"/>
                          <w:color w:val="0000FF"/>
                          <w:sz w:val="11"/>
                        </w:rPr>
                        <w:t xml:space="preserve"> DIRECTOR</w:t>
                      </w:r>
                    </w:p>
                    <w:p w:rsidR="00C96774" w:rsidRDefault="00C96774">
                      <w:pPr>
                        <w:spacing w:line="360" w:lineRule="auto"/>
                        <w:rPr>
                          <w:rFonts w:ascii="Helvetica" w:hAnsi="Helvetica"/>
                          <w:sz w:val="11"/>
                        </w:rPr>
                      </w:pPr>
                    </w:p>
                  </w:txbxContent>
                </v:textbox>
              </v:shape>
            </w:pict>
          </mc:Fallback>
        </mc:AlternateContent>
      </w:r>
      <w:r w:rsidR="006429C8" w:rsidRPr="006429C8">
        <w:rPr>
          <w:rFonts w:ascii="Goudy" w:hAnsi="Goudy"/>
          <w:color w:val="0000FF"/>
          <w:spacing w:val="26"/>
          <w:kern w:val="28"/>
          <w:sz w:val="20"/>
          <w:szCs w:val="20"/>
        </w:rPr>
        <w:t>120 STATE HOUSE STATION</w:t>
      </w:r>
    </w:p>
    <w:p w:rsidR="00C01ECB" w:rsidRPr="006429C8" w:rsidRDefault="006429C8">
      <w:pPr>
        <w:spacing w:line="240" w:lineRule="atLeast"/>
        <w:jc w:val="center"/>
        <w:rPr>
          <w:rFonts w:ascii="Goudy" w:hAnsi="Goudy"/>
          <w:smallCaps/>
          <w:color w:val="0000FF"/>
          <w:spacing w:val="26"/>
          <w:kern w:val="28"/>
          <w:sz w:val="20"/>
          <w:szCs w:val="20"/>
        </w:rPr>
      </w:pPr>
      <w:r w:rsidRPr="006429C8">
        <w:rPr>
          <w:rFonts w:ascii="Goudy" w:hAnsi="Goudy"/>
          <w:color w:val="0000FF"/>
          <w:spacing w:val="26"/>
          <w:kern w:val="28"/>
          <w:sz w:val="20"/>
          <w:szCs w:val="20"/>
        </w:rPr>
        <w:t>AUGUSTA, MAINE 04333-0120</w:t>
      </w:r>
    </w:p>
    <w:p w:rsidR="00C01ECB" w:rsidRPr="006429C8" w:rsidRDefault="003E13EE">
      <w:pPr>
        <w:spacing w:line="240" w:lineRule="atLeast"/>
        <w:jc w:val="center"/>
        <w:rPr>
          <w:rFonts w:ascii="Goudy" w:hAnsi="Goudy"/>
          <w:color w:val="0000FF"/>
          <w:spacing w:val="26"/>
          <w:kern w:val="28"/>
          <w:sz w:val="20"/>
          <w:szCs w:val="20"/>
        </w:rPr>
      </w:pPr>
      <w:r>
        <w:rPr>
          <w:rFonts w:ascii="Goudy" w:hAnsi="Goudy"/>
          <w:color w:val="0000FF"/>
          <w:spacing w:val="26"/>
          <w:kern w:val="28"/>
          <w:sz w:val="20"/>
          <w:szCs w:val="20"/>
        </w:rPr>
        <w:t>www.maine.gov/swb/</w:t>
      </w:r>
    </w:p>
    <w:p w:rsidR="00C01ECB" w:rsidRDefault="009238AB" w:rsidP="006429C8">
      <w:pPr>
        <w:spacing w:after="120" w:line="240" w:lineRule="atLeast"/>
        <w:rPr>
          <w:rFonts w:ascii="Goudy" w:hAnsi="Goudy"/>
          <w:noProof/>
          <w:color w:val="0000FF"/>
          <w:spacing w:val="26"/>
          <w:kern w:val="28"/>
          <w:sz w:val="16"/>
        </w:rPr>
      </w:pPr>
      <w:r>
        <w:rPr>
          <w:rFonts w:ascii="Goudy" w:hAnsi="Goudy"/>
          <w:noProof/>
          <w:color w:val="0000FF"/>
          <w:spacing w:val="26"/>
          <w:kern w:val="28"/>
          <w:sz w:val="16"/>
        </w:rPr>
        <mc:AlternateContent>
          <mc:Choice Requires="wps">
            <w:drawing>
              <wp:anchor distT="0" distB="0" distL="114300" distR="114300" simplePos="0" relativeHeight="251657216" behindDoc="0" locked="0" layoutInCell="0" allowOverlap="1" wp14:anchorId="50470F27" wp14:editId="511D3A49">
                <wp:simplePos x="0" y="0"/>
                <wp:positionH relativeFrom="column">
                  <wp:posOffset>-106680</wp:posOffset>
                </wp:positionH>
                <wp:positionV relativeFrom="paragraph">
                  <wp:posOffset>91440</wp:posOffset>
                </wp:positionV>
                <wp:extent cx="1257300" cy="342900"/>
                <wp:effectExtent l="0" t="0" r="190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774" w:rsidRDefault="00C96774">
                            <w:pPr>
                              <w:spacing w:line="360" w:lineRule="auto"/>
                              <w:jc w:val="center"/>
                              <w:rPr>
                                <w:rFonts w:ascii="Helvetica" w:hAnsi="Helvetica"/>
                                <w:color w:val="0000FF"/>
                                <w:sz w:val="14"/>
                              </w:rPr>
                            </w:pPr>
                            <w:r>
                              <w:rPr>
                                <w:rFonts w:ascii="Helvetica" w:hAnsi="Helvetica"/>
                                <w:color w:val="0000FF"/>
                                <w:sz w:val="14"/>
                              </w:rPr>
                              <w:t>Paul R. LePage</w:t>
                            </w:r>
                          </w:p>
                          <w:p w:rsidR="00C96774" w:rsidRDefault="00C96774">
                            <w:pPr>
                              <w:spacing w:line="360" w:lineRule="auto"/>
                              <w:jc w:val="center"/>
                              <w:rPr>
                                <w:rFonts w:ascii="Helvetica" w:hAnsi="Helvetica"/>
                                <w:color w:val="0000FF"/>
                                <w:sz w:val="11"/>
                              </w:rPr>
                            </w:pPr>
                            <w:r>
                              <w:rPr>
                                <w:rFonts w:ascii="Helvetica" w:hAnsi="Helvetica"/>
                                <w:color w:val="0000FF"/>
                                <w:sz w:val="11"/>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70F27" id="Text Box 3" o:spid="_x0000_s1029" type="#_x0000_t202" style="position:absolute;margin-left:-8.4pt;margin-top:7.2pt;width:9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" o:allowincell="f" filled="f" stroked="f">
                <v:textbox>
                  <w:txbxContent>
                    <w:p w:rsidR="00C96774" w:rsidRDefault="00C96774">
                      <w:pPr>
                        <w:spacing w:line="360" w:lineRule="auto"/>
                        <w:jc w:val="center"/>
                        <w:rPr>
                          <w:rFonts w:ascii="Helvetica" w:hAnsi="Helvetica"/>
                          <w:color w:val="0000FF"/>
                          <w:sz w:val="14"/>
                        </w:rPr>
                      </w:pPr>
                      <w:r>
                        <w:rPr>
                          <w:rFonts w:ascii="Helvetica" w:hAnsi="Helvetica"/>
                          <w:color w:val="0000FF"/>
                          <w:sz w:val="14"/>
                        </w:rPr>
                        <w:t xml:space="preserve">Paul R. </w:t>
                      </w:r>
                      <w:proofErr w:type="spellStart"/>
                      <w:r>
                        <w:rPr>
                          <w:rFonts w:ascii="Helvetica" w:hAnsi="Helvetica"/>
                          <w:color w:val="0000FF"/>
                          <w:sz w:val="14"/>
                        </w:rPr>
                        <w:t>LePage</w:t>
                      </w:r>
                      <w:proofErr w:type="spellEnd"/>
                    </w:p>
                    <w:p w:rsidR="00C96774" w:rsidRDefault="00C96774">
                      <w:pPr>
                        <w:spacing w:line="360" w:lineRule="auto"/>
                        <w:jc w:val="center"/>
                        <w:rPr>
                          <w:rFonts w:ascii="Helvetica" w:hAnsi="Helvetica"/>
                          <w:color w:val="0000FF"/>
                          <w:sz w:val="11"/>
                        </w:rPr>
                      </w:pPr>
                      <w:r>
                        <w:rPr>
                          <w:rFonts w:ascii="Helvetica" w:hAnsi="Helvetica"/>
                          <w:color w:val="0000FF"/>
                          <w:sz w:val="11"/>
                        </w:rPr>
                        <w:t>GOVERNOR</w:t>
                      </w:r>
                    </w:p>
                  </w:txbxContent>
                </v:textbox>
              </v:shape>
            </w:pict>
          </mc:Fallback>
        </mc:AlternateContent>
      </w:r>
    </w:p>
    <w:p w:rsidR="00E004A0" w:rsidRDefault="00E004A0">
      <w:pPr>
        <w:spacing w:after="120" w:line="240" w:lineRule="atLeast"/>
        <w:jc w:val="center"/>
        <w:rPr>
          <w:rFonts w:ascii="Goudy" w:hAnsi="Goudy"/>
          <w:color w:val="0000FF"/>
          <w:spacing w:val="26"/>
          <w:kern w:val="28"/>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3753"/>
        <w:gridCol w:w="1039"/>
        <w:gridCol w:w="3169"/>
        <w:gridCol w:w="8"/>
      </w:tblGrid>
      <w:tr w:rsidR="000A2864" w:rsidRPr="00E3374B" w:rsidTr="00BB694B">
        <w:trPr>
          <w:gridAfter w:val="1"/>
          <w:wAfter w:w="8" w:type="dxa"/>
          <w:jc w:val="center"/>
        </w:trPr>
        <w:tc>
          <w:tcPr>
            <w:tcW w:w="9885" w:type="dxa"/>
            <w:gridSpan w:val="4"/>
            <w:shd w:val="clear" w:color="auto" w:fill="auto"/>
          </w:tcPr>
          <w:p w:rsidR="000A2864" w:rsidRDefault="000A2864" w:rsidP="000A2864">
            <w:pPr>
              <w:jc w:val="center"/>
              <w:rPr>
                <w:rFonts w:ascii="Calibri" w:eastAsia="Calibri" w:hAnsi="Calibri" w:cs="Utsaah"/>
                <w:b/>
                <w:sz w:val="20"/>
                <w:szCs w:val="20"/>
              </w:rPr>
            </w:pPr>
            <w:r w:rsidRPr="000B248E">
              <w:rPr>
                <w:rFonts w:ascii="Calibri" w:eastAsia="Calibri" w:hAnsi="Calibri" w:cs="Utsaah"/>
                <w:b/>
                <w:sz w:val="20"/>
                <w:szCs w:val="20"/>
              </w:rPr>
              <w:t>MAINE WORKFORCE DEVELOPMENT SYSTEM</w:t>
            </w:r>
          </w:p>
        </w:tc>
      </w:tr>
      <w:tr w:rsidR="00E004A0" w:rsidRPr="00E3374B" w:rsidTr="00AD746A">
        <w:trPr>
          <w:gridAfter w:val="1"/>
          <w:wAfter w:w="8" w:type="dxa"/>
          <w:jc w:val="center"/>
        </w:trPr>
        <w:tc>
          <w:tcPr>
            <w:tcW w:w="1425" w:type="dxa"/>
            <w:shd w:val="clear" w:color="auto" w:fill="auto"/>
          </w:tcPr>
          <w:p w:rsidR="00E004A0" w:rsidRPr="00E3374B" w:rsidRDefault="00615367" w:rsidP="00690FF3">
            <w:pPr>
              <w:rPr>
                <w:rFonts w:ascii="Calibri" w:eastAsia="Calibri" w:hAnsi="Calibri" w:cs="Utsaah"/>
                <w:b/>
                <w:sz w:val="20"/>
                <w:szCs w:val="20"/>
              </w:rPr>
            </w:pPr>
            <w:r>
              <w:rPr>
                <w:rFonts w:ascii="Calibri" w:eastAsia="Calibri" w:hAnsi="Calibri" w:cs="Utsaah"/>
                <w:color w:val="0000FF"/>
                <w:sz w:val="20"/>
                <w:szCs w:val="20"/>
              </w:rPr>
              <w:t>Policy Subject</w:t>
            </w:r>
          </w:p>
        </w:tc>
        <w:tc>
          <w:tcPr>
            <w:tcW w:w="3972" w:type="dxa"/>
            <w:shd w:val="clear" w:color="auto" w:fill="auto"/>
          </w:tcPr>
          <w:p w:rsidR="00BB3A6F" w:rsidRPr="00BB3A6F" w:rsidRDefault="002565BF" w:rsidP="00B267D5">
            <w:pPr>
              <w:rPr>
                <w:rFonts w:ascii="Calibri" w:eastAsia="Calibri" w:hAnsi="Calibri" w:cs="Utsaah"/>
                <w:b/>
                <w:sz w:val="20"/>
                <w:szCs w:val="20"/>
              </w:rPr>
            </w:pPr>
            <w:r>
              <w:rPr>
                <w:rFonts w:ascii="Calibri" w:eastAsia="Calibri" w:hAnsi="Calibri" w:cs="Utsaah"/>
                <w:b/>
                <w:sz w:val="20"/>
                <w:szCs w:val="20"/>
              </w:rPr>
              <w:t xml:space="preserve">ACCESSIBILITY, </w:t>
            </w:r>
            <w:r w:rsidRPr="00493AFC">
              <w:rPr>
                <w:rFonts w:ascii="Calibri" w:eastAsia="Calibri" w:hAnsi="Calibri" w:cs="Utsaah"/>
                <w:b/>
                <w:sz w:val="20"/>
                <w:szCs w:val="20"/>
              </w:rPr>
              <w:t>EQUAL OPPORTUNITY</w:t>
            </w:r>
            <w:r>
              <w:rPr>
                <w:rFonts w:ascii="Calibri" w:eastAsia="Calibri" w:hAnsi="Calibri" w:cs="Utsaah"/>
                <w:b/>
                <w:sz w:val="20"/>
                <w:szCs w:val="20"/>
              </w:rPr>
              <w:t>,</w:t>
            </w:r>
            <w:r w:rsidRPr="00493AFC">
              <w:rPr>
                <w:rFonts w:ascii="Calibri" w:eastAsia="Calibri" w:hAnsi="Calibri" w:cs="Utsaah"/>
                <w:b/>
                <w:sz w:val="20"/>
                <w:szCs w:val="20"/>
              </w:rPr>
              <w:t xml:space="preserve"> AND NONDISCRIMINATION</w:t>
            </w:r>
          </w:p>
        </w:tc>
        <w:tc>
          <w:tcPr>
            <w:tcW w:w="1080" w:type="dxa"/>
            <w:shd w:val="clear" w:color="auto" w:fill="auto"/>
          </w:tcPr>
          <w:p w:rsidR="005E3184" w:rsidRPr="005E3184" w:rsidRDefault="005E3184" w:rsidP="00D9160C">
            <w:pPr>
              <w:rPr>
                <w:rFonts w:ascii="Calibri" w:eastAsia="Calibri" w:hAnsi="Calibri" w:cs="Utsaah"/>
                <w:color w:val="0000FF"/>
                <w:sz w:val="20"/>
                <w:szCs w:val="20"/>
              </w:rPr>
            </w:pPr>
            <w:r>
              <w:rPr>
                <w:rFonts w:ascii="Calibri" w:eastAsia="Calibri" w:hAnsi="Calibri" w:cs="Utsaah"/>
                <w:color w:val="0000FF"/>
                <w:sz w:val="20"/>
                <w:szCs w:val="20"/>
              </w:rPr>
              <w:t>Policy</w:t>
            </w:r>
            <w:r w:rsidR="00D9160C">
              <w:rPr>
                <w:rFonts w:ascii="Calibri" w:eastAsia="Calibri" w:hAnsi="Calibri" w:cs="Utsaah"/>
                <w:color w:val="0000FF"/>
                <w:sz w:val="20"/>
                <w:szCs w:val="20"/>
              </w:rPr>
              <w:t xml:space="preserve"> </w:t>
            </w:r>
            <w:r>
              <w:rPr>
                <w:rFonts w:ascii="Calibri" w:eastAsia="Calibri" w:hAnsi="Calibri" w:cs="Utsaah"/>
                <w:color w:val="0000FF"/>
                <w:sz w:val="20"/>
                <w:szCs w:val="20"/>
              </w:rPr>
              <w:t>No:</w:t>
            </w:r>
          </w:p>
        </w:tc>
        <w:tc>
          <w:tcPr>
            <w:tcW w:w="3408" w:type="dxa"/>
            <w:shd w:val="clear" w:color="auto" w:fill="auto"/>
          </w:tcPr>
          <w:p w:rsidR="00E004A0" w:rsidRPr="00E3374B" w:rsidRDefault="00A63690" w:rsidP="002565BF">
            <w:pPr>
              <w:rPr>
                <w:rFonts w:ascii="Calibri" w:eastAsia="Calibri" w:hAnsi="Calibri" w:cs="Utsaah"/>
                <w:b/>
                <w:sz w:val="20"/>
                <w:szCs w:val="20"/>
              </w:rPr>
            </w:pPr>
            <w:r w:rsidRPr="00AA44F1">
              <w:rPr>
                <w:rFonts w:ascii="Calibri" w:eastAsia="Calibri" w:hAnsi="Calibri" w:cs="Utsaah"/>
                <w:b/>
                <w:sz w:val="20"/>
                <w:szCs w:val="20"/>
              </w:rPr>
              <w:t>PY1</w:t>
            </w:r>
            <w:r w:rsidR="002565BF" w:rsidRPr="00AA44F1">
              <w:rPr>
                <w:rFonts w:ascii="Calibri" w:eastAsia="Calibri" w:hAnsi="Calibri" w:cs="Utsaah"/>
                <w:b/>
                <w:sz w:val="20"/>
                <w:szCs w:val="20"/>
              </w:rPr>
              <w:t>7-</w:t>
            </w:r>
            <w:r w:rsidR="00AA44F1" w:rsidRPr="00AA44F1">
              <w:rPr>
                <w:rFonts w:ascii="Calibri" w:eastAsia="Calibri" w:hAnsi="Calibri" w:cs="Utsaah"/>
                <w:b/>
                <w:sz w:val="20"/>
                <w:szCs w:val="20"/>
              </w:rPr>
              <w:t>01</w:t>
            </w:r>
          </w:p>
        </w:tc>
      </w:tr>
      <w:tr w:rsidR="00E004A0" w:rsidRPr="00E3374B" w:rsidTr="00AD746A">
        <w:trPr>
          <w:gridAfter w:val="1"/>
          <w:wAfter w:w="8" w:type="dxa"/>
          <w:jc w:val="center"/>
        </w:trPr>
        <w:tc>
          <w:tcPr>
            <w:tcW w:w="1425" w:type="dxa"/>
            <w:shd w:val="clear" w:color="auto" w:fill="auto"/>
          </w:tcPr>
          <w:p w:rsidR="00E004A0" w:rsidRPr="00E3374B" w:rsidRDefault="00E004A0" w:rsidP="00690FF3">
            <w:pPr>
              <w:rPr>
                <w:rFonts w:ascii="Calibri" w:eastAsia="Calibri" w:hAnsi="Calibri" w:cs="Utsaah"/>
                <w:sz w:val="20"/>
                <w:szCs w:val="20"/>
              </w:rPr>
            </w:pPr>
            <w:r w:rsidRPr="00E3374B">
              <w:rPr>
                <w:rFonts w:ascii="Calibri" w:eastAsia="Calibri" w:hAnsi="Calibri" w:cs="Utsaah"/>
                <w:color w:val="0000FF"/>
                <w:sz w:val="20"/>
                <w:szCs w:val="20"/>
              </w:rPr>
              <w:t>To:</w:t>
            </w:r>
          </w:p>
        </w:tc>
        <w:tc>
          <w:tcPr>
            <w:tcW w:w="3972" w:type="dxa"/>
            <w:shd w:val="clear" w:color="auto" w:fill="auto"/>
          </w:tcPr>
          <w:p w:rsidR="002565BF" w:rsidRDefault="002565BF" w:rsidP="009258C6">
            <w:pPr>
              <w:pStyle w:val="ListParagraph"/>
              <w:numPr>
                <w:ilvl w:val="0"/>
                <w:numId w:val="1"/>
              </w:numPr>
              <w:rPr>
                <w:rFonts w:cs="Utsaah"/>
                <w:sz w:val="20"/>
                <w:szCs w:val="20"/>
              </w:rPr>
            </w:pPr>
            <w:r>
              <w:rPr>
                <w:rFonts w:cs="Utsaah"/>
                <w:sz w:val="20"/>
                <w:szCs w:val="20"/>
              </w:rPr>
              <w:t>Local Workforce Boards</w:t>
            </w:r>
          </w:p>
          <w:p w:rsidR="002565BF" w:rsidRDefault="002565BF" w:rsidP="009258C6">
            <w:pPr>
              <w:pStyle w:val="ListParagraph"/>
              <w:numPr>
                <w:ilvl w:val="0"/>
                <w:numId w:val="1"/>
              </w:numPr>
              <w:rPr>
                <w:rFonts w:cs="Utsaah"/>
                <w:sz w:val="20"/>
                <w:szCs w:val="20"/>
              </w:rPr>
            </w:pPr>
            <w:r>
              <w:rPr>
                <w:rFonts w:cs="Utsaah"/>
                <w:sz w:val="20"/>
                <w:szCs w:val="20"/>
              </w:rPr>
              <w:t>Chief Elected Officials</w:t>
            </w:r>
          </w:p>
          <w:p w:rsidR="002565BF" w:rsidRDefault="002565BF" w:rsidP="009258C6">
            <w:pPr>
              <w:pStyle w:val="ListParagraph"/>
              <w:numPr>
                <w:ilvl w:val="0"/>
                <w:numId w:val="1"/>
              </w:numPr>
              <w:rPr>
                <w:rFonts w:cs="Utsaah"/>
                <w:sz w:val="20"/>
                <w:szCs w:val="20"/>
              </w:rPr>
            </w:pPr>
            <w:r>
              <w:rPr>
                <w:rFonts w:cs="Utsaah"/>
                <w:sz w:val="20"/>
                <w:szCs w:val="20"/>
              </w:rPr>
              <w:t>One-Stop Operators, Managers, Staff</w:t>
            </w:r>
          </w:p>
          <w:p w:rsidR="002565BF" w:rsidRDefault="002565BF" w:rsidP="009258C6">
            <w:pPr>
              <w:pStyle w:val="ListParagraph"/>
              <w:numPr>
                <w:ilvl w:val="0"/>
                <w:numId w:val="1"/>
              </w:numPr>
              <w:rPr>
                <w:rFonts w:cs="Utsaah"/>
                <w:sz w:val="20"/>
                <w:szCs w:val="20"/>
              </w:rPr>
            </w:pPr>
            <w:r>
              <w:rPr>
                <w:rFonts w:cs="Utsaah"/>
                <w:sz w:val="20"/>
                <w:szCs w:val="20"/>
              </w:rPr>
              <w:t>Eligible Training Providers</w:t>
            </w:r>
          </w:p>
          <w:p w:rsidR="00A63690" w:rsidRPr="00A63690" w:rsidRDefault="002565BF" w:rsidP="009258C6">
            <w:pPr>
              <w:pStyle w:val="ListParagraph"/>
              <w:numPr>
                <w:ilvl w:val="0"/>
                <w:numId w:val="1"/>
              </w:numPr>
              <w:rPr>
                <w:rFonts w:cs="Utsaah"/>
                <w:sz w:val="20"/>
                <w:szCs w:val="20"/>
              </w:rPr>
            </w:pPr>
            <w:r>
              <w:rPr>
                <w:rFonts w:cs="Utsaah"/>
                <w:sz w:val="20"/>
                <w:szCs w:val="20"/>
              </w:rPr>
              <w:t>Required One-Stop System Partners</w:t>
            </w:r>
          </w:p>
        </w:tc>
        <w:tc>
          <w:tcPr>
            <w:tcW w:w="1080" w:type="dxa"/>
            <w:shd w:val="clear" w:color="auto" w:fill="auto"/>
          </w:tcPr>
          <w:p w:rsidR="00E004A0" w:rsidRPr="00E3374B" w:rsidRDefault="00E004A0" w:rsidP="00690FF3">
            <w:pPr>
              <w:rPr>
                <w:rFonts w:ascii="Calibri" w:eastAsia="Calibri" w:hAnsi="Calibri" w:cs="Utsaah"/>
                <w:color w:val="0000FF"/>
                <w:sz w:val="20"/>
                <w:szCs w:val="20"/>
              </w:rPr>
            </w:pPr>
            <w:r w:rsidRPr="00E3374B">
              <w:rPr>
                <w:rFonts w:ascii="Calibri" w:eastAsia="Calibri" w:hAnsi="Calibri" w:cs="Utsaah"/>
                <w:color w:val="0000FF"/>
                <w:sz w:val="20"/>
                <w:szCs w:val="20"/>
              </w:rPr>
              <w:t xml:space="preserve">From:                       </w:t>
            </w:r>
          </w:p>
          <w:p w:rsidR="00E004A0" w:rsidRPr="00E3374B" w:rsidRDefault="00E004A0" w:rsidP="00690FF3">
            <w:pPr>
              <w:rPr>
                <w:rFonts w:ascii="Calibri" w:eastAsia="Calibri" w:hAnsi="Calibri" w:cs="Utsaah"/>
                <w:color w:val="0000FF"/>
                <w:sz w:val="20"/>
                <w:szCs w:val="20"/>
              </w:rPr>
            </w:pPr>
          </w:p>
        </w:tc>
        <w:tc>
          <w:tcPr>
            <w:tcW w:w="3408" w:type="dxa"/>
            <w:shd w:val="clear" w:color="auto" w:fill="auto"/>
          </w:tcPr>
          <w:p w:rsidR="00E004A0" w:rsidRDefault="000A2864" w:rsidP="00AD746A">
            <w:pPr>
              <w:rPr>
                <w:rFonts w:ascii="Calibri" w:eastAsia="Calibri" w:hAnsi="Calibri" w:cs="Utsaah"/>
                <w:sz w:val="20"/>
                <w:szCs w:val="20"/>
              </w:rPr>
            </w:pPr>
            <w:r>
              <w:rPr>
                <w:rFonts w:ascii="Calibri" w:eastAsia="Calibri" w:hAnsi="Calibri" w:cs="Utsaah"/>
                <w:sz w:val="20"/>
                <w:szCs w:val="20"/>
              </w:rPr>
              <w:t xml:space="preserve">Garret </w:t>
            </w:r>
            <w:r w:rsidR="003E13EE">
              <w:rPr>
                <w:rFonts w:ascii="Calibri" w:eastAsia="Calibri" w:hAnsi="Calibri" w:cs="Utsaah"/>
                <w:sz w:val="20"/>
                <w:szCs w:val="20"/>
              </w:rPr>
              <w:t xml:space="preserve">J. </w:t>
            </w:r>
            <w:r>
              <w:rPr>
                <w:rFonts w:ascii="Calibri" w:eastAsia="Calibri" w:hAnsi="Calibri" w:cs="Utsaah"/>
                <w:sz w:val="20"/>
                <w:szCs w:val="20"/>
              </w:rPr>
              <w:t xml:space="preserve">Oswald, Director </w:t>
            </w:r>
          </w:p>
          <w:p w:rsidR="000A2864" w:rsidRPr="00E3374B" w:rsidRDefault="000A2864" w:rsidP="00AD746A">
            <w:pPr>
              <w:rPr>
                <w:rFonts w:ascii="Calibri" w:eastAsia="Calibri" w:hAnsi="Calibri" w:cs="Utsaah"/>
                <w:sz w:val="20"/>
                <w:szCs w:val="20"/>
              </w:rPr>
            </w:pPr>
            <w:r>
              <w:rPr>
                <w:rFonts w:ascii="Calibri" w:eastAsia="Calibri" w:hAnsi="Calibri" w:cs="Utsaah"/>
                <w:sz w:val="20"/>
                <w:szCs w:val="20"/>
              </w:rPr>
              <w:t>State Workforce Development Board</w:t>
            </w:r>
          </w:p>
        </w:tc>
      </w:tr>
      <w:tr w:rsidR="00E004A0" w:rsidRPr="00E3374B" w:rsidTr="00AD746A">
        <w:trPr>
          <w:gridAfter w:val="1"/>
          <w:wAfter w:w="8" w:type="dxa"/>
          <w:jc w:val="center"/>
        </w:trPr>
        <w:tc>
          <w:tcPr>
            <w:tcW w:w="1425" w:type="dxa"/>
            <w:shd w:val="clear" w:color="auto" w:fill="auto"/>
          </w:tcPr>
          <w:p w:rsidR="00E004A0" w:rsidRPr="00E3374B" w:rsidRDefault="00E004A0" w:rsidP="005E3184">
            <w:pPr>
              <w:rPr>
                <w:rFonts w:ascii="Calibri" w:eastAsia="Calibri" w:hAnsi="Calibri" w:cs="Utsaah"/>
                <w:color w:val="0000FF"/>
                <w:sz w:val="20"/>
                <w:szCs w:val="20"/>
              </w:rPr>
            </w:pPr>
            <w:r w:rsidRPr="00AA44F1">
              <w:rPr>
                <w:rFonts w:ascii="Calibri" w:eastAsia="Calibri" w:hAnsi="Calibri" w:cs="Utsaah"/>
                <w:color w:val="0000FF"/>
                <w:sz w:val="20"/>
                <w:szCs w:val="20"/>
              </w:rPr>
              <w:t>Issu</w:t>
            </w:r>
            <w:r w:rsidR="005E3184" w:rsidRPr="00AA44F1">
              <w:rPr>
                <w:rFonts w:ascii="Calibri" w:eastAsia="Calibri" w:hAnsi="Calibri" w:cs="Utsaah"/>
                <w:color w:val="0000FF"/>
                <w:sz w:val="20"/>
                <w:szCs w:val="20"/>
              </w:rPr>
              <w:t>ed On:</w:t>
            </w:r>
          </w:p>
        </w:tc>
        <w:tc>
          <w:tcPr>
            <w:tcW w:w="3972" w:type="dxa"/>
            <w:shd w:val="clear" w:color="auto" w:fill="auto"/>
          </w:tcPr>
          <w:p w:rsidR="00E004A0" w:rsidRPr="00AA44F1" w:rsidRDefault="00AA44F1" w:rsidP="00A63690">
            <w:pPr>
              <w:pStyle w:val="ListParagraph"/>
              <w:ind w:left="360"/>
              <w:rPr>
                <w:rFonts w:cs="Utsaah"/>
                <w:sz w:val="20"/>
                <w:szCs w:val="20"/>
              </w:rPr>
            </w:pPr>
            <w:r w:rsidRPr="00AA44F1">
              <w:rPr>
                <w:rFonts w:cs="Utsaah"/>
                <w:sz w:val="20"/>
                <w:szCs w:val="20"/>
              </w:rPr>
              <w:t>September 29, 2017</w:t>
            </w:r>
          </w:p>
        </w:tc>
        <w:tc>
          <w:tcPr>
            <w:tcW w:w="1080" w:type="dxa"/>
            <w:shd w:val="clear" w:color="auto" w:fill="auto"/>
          </w:tcPr>
          <w:p w:rsidR="00E004A0" w:rsidRPr="00E3374B" w:rsidRDefault="00E004A0" w:rsidP="00690FF3">
            <w:pPr>
              <w:rPr>
                <w:rFonts w:ascii="Calibri" w:eastAsia="Calibri" w:hAnsi="Calibri" w:cs="Utsaah"/>
                <w:color w:val="0000FF"/>
                <w:sz w:val="20"/>
                <w:szCs w:val="20"/>
              </w:rPr>
            </w:pPr>
            <w:r w:rsidRPr="00E3374B">
              <w:rPr>
                <w:rFonts w:ascii="Calibri" w:eastAsia="Calibri" w:hAnsi="Calibri" w:cs="Utsaah"/>
                <w:color w:val="0000FF"/>
                <w:sz w:val="20"/>
                <w:szCs w:val="20"/>
              </w:rPr>
              <w:t>Status</w:t>
            </w:r>
          </w:p>
        </w:tc>
        <w:tc>
          <w:tcPr>
            <w:tcW w:w="3408" w:type="dxa"/>
            <w:shd w:val="clear" w:color="auto" w:fill="auto"/>
          </w:tcPr>
          <w:p w:rsidR="00E004A0" w:rsidRPr="00AA44F1" w:rsidRDefault="00AA44F1" w:rsidP="00690FF3">
            <w:pPr>
              <w:rPr>
                <w:rFonts w:ascii="Calibri" w:eastAsia="Calibri" w:hAnsi="Calibri" w:cs="Utsaah"/>
                <w:sz w:val="20"/>
                <w:szCs w:val="20"/>
              </w:rPr>
            </w:pPr>
            <w:r w:rsidRPr="00AA44F1">
              <w:rPr>
                <w:rFonts w:ascii="Calibri" w:eastAsia="Calibri" w:hAnsi="Calibri" w:cs="Utsaah"/>
                <w:sz w:val="20"/>
                <w:szCs w:val="20"/>
              </w:rPr>
              <w:t>ACTIVE</w:t>
            </w:r>
          </w:p>
        </w:tc>
      </w:tr>
      <w:tr w:rsidR="00E004A0" w:rsidRPr="00E3374B" w:rsidTr="00615367">
        <w:trPr>
          <w:jc w:val="center"/>
        </w:trPr>
        <w:tc>
          <w:tcPr>
            <w:tcW w:w="1425" w:type="dxa"/>
            <w:shd w:val="clear" w:color="auto" w:fill="auto"/>
          </w:tcPr>
          <w:p w:rsidR="00E004A0" w:rsidRPr="00E3374B" w:rsidRDefault="00E004A0" w:rsidP="00690FF3">
            <w:pPr>
              <w:rPr>
                <w:rFonts w:ascii="Calibri" w:eastAsia="Calibri" w:hAnsi="Calibri" w:cs="Utsaah"/>
                <w:color w:val="0000FF"/>
                <w:sz w:val="20"/>
                <w:szCs w:val="20"/>
              </w:rPr>
            </w:pPr>
            <w:r w:rsidRPr="00E3374B">
              <w:rPr>
                <w:rFonts w:ascii="Calibri" w:eastAsia="Calibri" w:hAnsi="Calibri" w:cs="Utsaah"/>
                <w:color w:val="0000FF"/>
                <w:sz w:val="20"/>
                <w:szCs w:val="20"/>
              </w:rPr>
              <w:t>Authority:</w:t>
            </w:r>
          </w:p>
        </w:tc>
        <w:tc>
          <w:tcPr>
            <w:tcW w:w="8468" w:type="dxa"/>
            <w:gridSpan w:val="4"/>
            <w:shd w:val="clear" w:color="auto" w:fill="auto"/>
          </w:tcPr>
          <w:p w:rsidR="002565BF" w:rsidRDefault="002565BF" w:rsidP="009258C6">
            <w:pPr>
              <w:pStyle w:val="ListParagraph"/>
              <w:numPr>
                <w:ilvl w:val="0"/>
                <w:numId w:val="2"/>
              </w:numPr>
              <w:rPr>
                <w:rFonts w:cs="Utsaah"/>
                <w:sz w:val="20"/>
                <w:szCs w:val="20"/>
              </w:rPr>
            </w:pPr>
            <w:r>
              <w:rPr>
                <w:rFonts w:cs="Utsaah"/>
                <w:sz w:val="20"/>
                <w:szCs w:val="20"/>
              </w:rPr>
              <w:t xml:space="preserve">Workforce Innovation and Opportunity Act (WIOA)  </w:t>
            </w:r>
            <w:r w:rsidRPr="00227ACC">
              <w:rPr>
                <w:rFonts w:cs="Utsaah"/>
                <w:sz w:val="20"/>
                <w:szCs w:val="20"/>
              </w:rPr>
              <w:t>§121(b)</w:t>
            </w:r>
          </w:p>
          <w:p w:rsidR="002565BF" w:rsidRDefault="002565BF" w:rsidP="009258C6">
            <w:pPr>
              <w:pStyle w:val="ListParagraph"/>
              <w:numPr>
                <w:ilvl w:val="0"/>
                <w:numId w:val="2"/>
              </w:numPr>
              <w:rPr>
                <w:rFonts w:cs="Utsaah"/>
                <w:sz w:val="20"/>
                <w:szCs w:val="20"/>
              </w:rPr>
            </w:pPr>
            <w:r>
              <w:rPr>
                <w:rFonts w:cs="Utsaah"/>
                <w:sz w:val="20"/>
                <w:szCs w:val="20"/>
              </w:rPr>
              <w:t xml:space="preserve">WIOA § 188 </w:t>
            </w:r>
          </w:p>
          <w:p w:rsidR="002565BF" w:rsidRPr="00F4714A" w:rsidRDefault="002565BF" w:rsidP="009258C6">
            <w:pPr>
              <w:pStyle w:val="ListParagraph"/>
              <w:numPr>
                <w:ilvl w:val="0"/>
                <w:numId w:val="2"/>
              </w:numPr>
              <w:rPr>
                <w:rFonts w:cs="Utsaah"/>
                <w:sz w:val="20"/>
                <w:szCs w:val="20"/>
              </w:rPr>
            </w:pPr>
            <w:r>
              <w:rPr>
                <w:rFonts w:cs="Utsaah"/>
                <w:sz w:val="20"/>
                <w:szCs w:val="20"/>
              </w:rPr>
              <w:t>Code of Federal Regulation</w:t>
            </w:r>
            <w:r w:rsidR="00D26ABF">
              <w:rPr>
                <w:rFonts w:cs="Utsaah"/>
                <w:sz w:val="20"/>
                <w:szCs w:val="20"/>
              </w:rPr>
              <w:t>s</w:t>
            </w:r>
            <w:r>
              <w:rPr>
                <w:rFonts w:cs="Utsaah"/>
                <w:sz w:val="20"/>
                <w:szCs w:val="20"/>
              </w:rPr>
              <w:t xml:space="preserve">  29 CFR 38 </w:t>
            </w:r>
          </w:p>
          <w:p w:rsidR="002565BF" w:rsidRDefault="002565BF" w:rsidP="009258C6">
            <w:pPr>
              <w:pStyle w:val="ListParagraph"/>
              <w:numPr>
                <w:ilvl w:val="0"/>
                <w:numId w:val="2"/>
              </w:numPr>
              <w:rPr>
                <w:rFonts w:cs="Utsaah"/>
                <w:sz w:val="20"/>
                <w:szCs w:val="20"/>
              </w:rPr>
            </w:pPr>
            <w:r>
              <w:rPr>
                <w:rFonts w:cs="Utsaah"/>
                <w:sz w:val="20"/>
                <w:szCs w:val="20"/>
              </w:rPr>
              <w:t>Training and Employment Letters (TEGLs) 26-02, 10-14, 11-14, 31-11, 37-14</w:t>
            </w:r>
          </w:p>
          <w:p w:rsidR="002565BF" w:rsidRPr="00481079" w:rsidRDefault="002565BF" w:rsidP="009258C6">
            <w:pPr>
              <w:pStyle w:val="ListParagraph"/>
              <w:numPr>
                <w:ilvl w:val="0"/>
                <w:numId w:val="2"/>
              </w:numPr>
              <w:rPr>
                <w:rFonts w:cs="Utsaah"/>
                <w:sz w:val="20"/>
                <w:szCs w:val="20"/>
              </w:rPr>
            </w:pPr>
            <w:r>
              <w:rPr>
                <w:rFonts w:cs="Utsaah"/>
                <w:sz w:val="20"/>
                <w:szCs w:val="20"/>
              </w:rPr>
              <w:t>Training and Employment Notice (TEN) 1-15</w:t>
            </w:r>
          </w:p>
          <w:p w:rsidR="002565BF" w:rsidRDefault="002565BF" w:rsidP="009258C6">
            <w:pPr>
              <w:pStyle w:val="ListParagraph"/>
              <w:numPr>
                <w:ilvl w:val="0"/>
                <w:numId w:val="2"/>
              </w:numPr>
              <w:rPr>
                <w:rFonts w:cs="Utsaah"/>
                <w:sz w:val="20"/>
                <w:szCs w:val="20"/>
              </w:rPr>
            </w:pPr>
            <w:r>
              <w:rPr>
                <w:rFonts w:cs="Utsaah"/>
                <w:sz w:val="20"/>
                <w:szCs w:val="20"/>
              </w:rPr>
              <w:t xml:space="preserve">Section 188 Checklist </w:t>
            </w:r>
          </w:p>
          <w:p w:rsidR="00843DB7" w:rsidRPr="00577544" w:rsidRDefault="002565BF" w:rsidP="009258C6">
            <w:pPr>
              <w:pStyle w:val="ListParagraph"/>
              <w:numPr>
                <w:ilvl w:val="0"/>
                <w:numId w:val="2"/>
              </w:numPr>
              <w:rPr>
                <w:rFonts w:cs="Utsaah"/>
                <w:sz w:val="20"/>
                <w:szCs w:val="20"/>
              </w:rPr>
            </w:pPr>
            <w:r>
              <w:rPr>
                <w:rFonts w:cs="Utsaah"/>
                <w:sz w:val="20"/>
                <w:szCs w:val="20"/>
              </w:rPr>
              <w:t>See Appendix C for additional references</w:t>
            </w:r>
            <w:r w:rsidRPr="004E1837">
              <w:rPr>
                <w:rFonts w:cs="Utsaah"/>
                <w:sz w:val="20"/>
                <w:szCs w:val="20"/>
              </w:rPr>
              <w:t xml:space="preserve"> </w:t>
            </w:r>
            <w:r>
              <w:rPr>
                <w:rFonts w:cs="Utsaah"/>
                <w:sz w:val="20"/>
                <w:szCs w:val="20"/>
              </w:rPr>
              <w:t>related to this policy</w:t>
            </w:r>
          </w:p>
        </w:tc>
      </w:tr>
    </w:tbl>
    <w:p w:rsidR="00E004A0" w:rsidRDefault="00E004A0" w:rsidP="00E004A0">
      <w:pPr>
        <w:jc w:val="both"/>
        <w:rPr>
          <w:rFonts w:ascii="Calibri" w:hAnsi="Calibri" w:cs="Utsaah"/>
          <w:b/>
          <w:sz w:val="22"/>
          <w:szCs w:val="22"/>
        </w:rPr>
      </w:pPr>
    </w:p>
    <w:sdt>
      <w:sdtPr>
        <w:rPr>
          <w:rFonts w:ascii="Times New Roman" w:eastAsia="Times New Roman" w:hAnsi="Times New Roman" w:cs="Times New Roman"/>
          <w:b w:val="0"/>
          <w:bCs w:val="0"/>
          <w:color w:val="auto"/>
          <w:sz w:val="24"/>
          <w:szCs w:val="24"/>
          <w:lang w:eastAsia="en-US"/>
        </w:rPr>
        <w:id w:val="-626863054"/>
        <w:docPartObj>
          <w:docPartGallery w:val="Table of Contents"/>
          <w:docPartUnique/>
        </w:docPartObj>
      </w:sdtPr>
      <w:sdtEndPr>
        <w:rPr>
          <w:noProof/>
        </w:rPr>
      </w:sdtEndPr>
      <w:sdtContent>
        <w:p w:rsidR="00812CF2" w:rsidRPr="001242BA" w:rsidRDefault="00812CF2">
          <w:pPr>
            <w:pStyle w:val="TOCHeading"/>
            <w:rPr>
              <w:color w:val="auto"/>
              <w:sz w:val="24"/>
              <w:szCs w:val="24"/>
            </w:rPr>
          </w:pPr>
          <w:r w:rsidRPr="001242BA">
            <w:rPr>
              <w:color w:val="auto"/>
              <w:sz w:val="24"/>
              <w:szCs w:val="24"/>
            </w:rPr>
            <w:t>Table of Contents</w:t>
          </w:r>
        </w:p>
        <w:p w:rsidR="001242BA" w:rsidRPr="001242BA" w:rsidRDefault="00812CF2">
          <w:pPr>
            <w:pStyle w:val="TOC1"/>
            <w:tabs>
              <w:tab w:val="right" w:leader="dot" w:pos="9350"/>
            </w:tabs>
            <w:rPr>
              <w:rFonts w:asciiTheme="majorHAnsi" w:eastAsiaTheme="minorEastAsia" w:hAnsiTheme="majorHAnsi" w:cstheme="minorBidi"/>
              <w:noProof/>
              <w:sz w:val="22"/>
              <w:szCs w:val="22"/>
            </w:rPr>
          </w:pPr>
          <w:r w:rsidRPr="001242BA">
            <w:rPr>
              <w:rFonts w:asciiTheme="majorHAnsi" w:hAnsiTheme="majorHAnsi"/>
            </w:rPr>
            <w:fldChar w:fldCharType="begin"/>
          </w:r>
          <w:r w:rsidRPr="001242BA">
            <w:rPr>
              <w:rFonts w:asciiTheme="majorHAnsi" w:hAnsiTheme="majorHAnsi"/>
            </w:rPr>
            <w:instrText xml:space="preserve"> TOC \o "1-3" \h \z \u </w:instrText>
          </w:r>
          <w:r w:rsidRPr="001242BA">
            <w:rPr>
              <w:rFonts w:asciiTheme="majorHAnsi" w:hAnsiTheme="majorHAnsi"/>
            </w:rPr>
            <w:fldChar w:fldCharType="separate"/>
          </w:r>
          <w:hyperlink w:anchor="_Toc491939222" w:history="1">
            <w:r w:rsidR="001242BA" w:rsidRPr="001242BA">
              <w:rPr>
                <w:rStyle w:val="Hyperlink"/>
                <w:rFonts w:asciiTheme="majorHAnsi" w:hAnsiTheme="majorHAnsi"/>
                <w:noProof/>
              </w:rPr>
              <w:t>INTRODUCTION</w:t>
            </w:r>
            <w:r w:rsidR="001242BA" w:rsidRPr="001242BA">
              <w:rPr>
                <w:rFonts w:asciiTheme="majorHAnsi" w:hAnsiTheme="majorHAnsi"/>
                <w:noProof/>
                <w:webHidden/>
              </w:rPr>
              <w:tab/>
            </w:r>
            <w:r w:rsidR="001242BA" w:rsidRPr="001242BA">
              <w:rPr>
                <w:rFonts w:asciiTheme="majorHAnsi" w:hAnsiTheme="majorHAnsi"/>
                <w:noProof/>
                <w:webHidden/>
              </w:rPr>
              <w:fldChar w:fldCharType="begin"/>
            </w:r>
            <w:r w:rsidR="001242BA" w:rsidRPr="001242BA">
              <w:rPr>
                <w:rFonts w:asciiTheme="majorHAnsi" w:hAnsiTheme="majorHAnsi"/>
                <w:noProof/>
                <w:webHidden/>
              </w:rPr>
              <w:instrText xml:space="preserve"> PAGEREF _Toc491939222 \h </w:instrText>
            </w:r>
            <w:r w:rsidR="001242BA" w:rsidRPr="001242BA">
              <w:rPr>
                <w:rFonts w:asciiTheme="majorHAnsi" w:hAnsiTheme="majorHAnsi"/>
                <w:noProof/>
                <w:webHidden/>
              </w:rPr>
            </w:r>
            <w:r w:rsidR="001242BA" w:rsidRPr="001242BA">
              <w:rPr>
                <w:rFonts w:asciiTheme="majorHAnsi" w:hAnsiTheme="majorHAnsi"/>
                <w:noProof/>
                <w:webHidden/>
              </w:rPr>
              <w:fldChar w:fldCharType="separate"/>
            </w:r>
            <w:r w:rsidR="00C96774">
              <w:rPr>
                <w:rFonts w:asciiTheme="majorHAnsi" w:hAnsiTheme="majorHAnsi"/>
                <w:noProof/>
                <w:webHidden/>
              </w:rPr>
              <w:t>1</w:t>
            </w:r>
            <w:r w:rsidR="001242BA" w:rsidRPr="001242BA">
              <w:rPr>
                <w:rFonts w:asciiTheme="majorHAnsi" w:hAnsiTheme="majorHAnsi"/>
                <w:noProof/>
                <w:webHidden/>
              </w:rPr>
              <w:fldChar w:fldCharType="end"/>
            </w:r>
          </w:hyperlink>
        </w:p>
        <w:p w:rsidR="001242BA" w:rsidRPr="001242BA" w:rsidRDefault="00CD548D">
          <w:pPr>
            <w:pStyle w:val="TOC1"/>
            <w:tabs>
              <w:tab w:val="right" w:leader="dot" w:pos="9350"/>
            </w:tabs>
            <w:rPr>
              <w:rFonts w:asciiTheme="majorHAnsi" w:eastAsiaTheme="minorEastAsia" w:hAnsiTheme="majorHAnsi" w:cstheme="minorBidi"/>
              <w:noProof/>
              <w:sz w:val="22"/>
              <w:szCs w:val="22"/>
            </w:rPr>
          </w:pPr>
          <w:hyperlink w:anchor="_Toc491939223" w:history="1">
            <w:r w:rsidR="001242BA" w:rsidRPr="001242BA">
              <w:rPr>
                <w:rStyle w:val="Hyperlink"/>
                <w:rFonts w:asciiTheme="majorHAnsi" w:hAnsiTheme="majorHAnsi"/>
                <w:noProof/>
              </w:rPr>
              <w:t>DEFINITIONS</w:t>
            </w:r>
            <w:r w:rsidR="001242BA" w:rsidRPr="001242BA">
              <w:rPr>
                <w:rFonts w:asciiTheme="majorHAnsi" w:hAnsiTheme="majorHAnsi"/>
                <w:noProof/>
                <w:webHidden/>
              </w:rPr>
              <w:tab/>
            </w:r>
            <w:r w:rsidR="001242BA" w:rsidRPr="001242BA">
              <w:rPr>
                <w:rFonts w:asciiTheme="majorHAnsi" w:hAnsiTheme="majorHAnsi"/>
                <w:noProof/>
                <w:webHidden/>
              </w:rPr>
              <w:fldChar w:fldCharType="begin"/>
            </w:r>
            <w:r w:rsidR="001242BA" w:rsidRPr="001242BA">
              <w:rPr>
                <w:rFonts w:asciiTheme="majorHAnsi" w:hAnsiTheme="majorHAnsi"/>
                <w:noProof/>
                <w:webHidden/>
              </w:rPr>
              <w:instrText xml:space="preserve"> PAGEREF _Toc491939223 \h </w:instrText>
            </w:r>
            <w:r w:rsidR="001242BA" w:rsidRPr="001242BA">
              <w:rPr>
                <w:rFonts w:asciiTheme="majorHAnsi" w:hAnsiTheme="majorHAnsi"/>
                <w:noProof/>
                <w:webHidden/>
              </w:rPr>
            </w:r>
            <w:r w:rsidR="001242BA" w:rsidRPr="001242BA">
              <w:rPr>
                <w:rFonts w:asciiTheme="majorHAnsi" w:hAnsiTheme="majorHAnsi"/>
                <w:noProof/>
                <w:webHidden/>
              </w:rPr>
              <w:fldChar w:fldCharType="separate"/>
            </w:r>
            <w:r w:rsidR="00C96774">
              <w:rPr>
                <w:rFonts w:asciiTheme="majorHAnsi" w:hAnsiTheme="majorHAnsi"/>
                <w:noProof/>
                <w:webHidden/>
              </w:rPr>
              <w:t>2</w:t>
            </w:r>
            <w:r w:rsidR="001242BA" w:rsidRPr="001242BA">
              <w:rPr>
                <w:rFonts w:asciiTheme="majorHAnsi" w:hAnsiTheme="majorHAnsi"/>
                <w:noProof/>
                <w:webHidden/>
              </w:rPr>
              <w:fldChar w:fldCharType="end"/>
            </w:r>
          </w:hyperlink>
        </w:p>
        <w:p w:rsidR="001242BA" w:rsidRPr="001242BA" w:rsidRDefault="00CD548D">
          <w:pPr>
            <w:pStyle w:val="TOC1"/>
            <w:tabs>
              <w:tab w:val="right" w:leader="dot" w:pos="9350"/>
            </w:tabs>
            <w:rPr>
              <w:rFonts w:asciiTheme="majorHAnsi" w:eastAsiaTheme="minorEastAsia" w:hAnsiTheme="majorHAnsi" w:cstheme="minorBidi"/>
              <w:noProof/>
              <w:sz w:val="22"/>
              <w:szCs w:val="22"/>
            </w:rPr>
          </w:pPr>
          <w:hyperlink w:anchor="_Toc491939224" w:history="1">
            <w:r w:rsidR="001242BA" w:rsidRPr="001242BA">
              <w:rPr>
                <w:rStyle w:val="Hyperlink"/>
                <w:rFonts w:asciiTheme="majorHAnsi" w:hAnsiTheme="majorHAnsi"/>
                <w:noProof/>
              </w:rPr>
              <w:t>EQUAL OPPORTUNITY and NONDISCRIMINATION</w:t>
            </w:r>
            <w:r w:rsidR="001242BA" w:rsidRPr="001242BA">
              <w:rPr>
                <w:rFonts w:asciiTheme="majorHAnsi" w:hAnsiTheme="majorHAnsi"/>
                <w:noProof/>
                <w:webHidden/>
              </w:rPr>
              <w:tab/>
            </w:r>
            <w:r w:rsidR="001242BA" w:rsidRPr="001242BA">
              <w:rPr>
                <w:rFonts w:asciiTheme="majorHAnsi" w:hAnsiTheme="majorHAnsi"/>
                <w:noProof/>
                <w:webHidden/>
              </w:rPr>
              <w:fldChar w:fldCharType="begin"/>
            </w:r>
            <w:r w:rsidR="001242BA" w:rsidRPr="001242BA">
              <w:rPr>
                <w:rFonts w:asciiTheme="majorHAnsi" w:hAnsiTheme="majorHAnsi"/>
                <w:noProof/>
                <w:webHidden/>
              </w:rPr>
              <w:instrText xml:space="preserve"> PAGEREF _Toc491939224 \h </w:instrText>
            </w:r>
            <w:r w:rsidR="001242BA" w:rsidRPr="001242BA">
              <w:rPr>
                <w:rFonts w:asciiTheme="majorHAnsi" w:hAnsiTheme="majorHAnsi"/>
                <w:noProof/>
                <w:webHidden/>
              </w:rPr>
            </w:r>
            <w:r w:rsidR="001242BA" w:rsidRPr="001242BA">
              <w:rPr>
                <w:rFonts w:asciiTheme="majorHAnsi" w:hAnsiTheme="majorHAnsi"/>
                <w:noProof/>
                <w:webHidden/>
              </w:rPr>
              <w:fldChar w:fldCharType="separate"/>
            </w:r>
            <w:r w:rsidR="00C96774">
              <w:rPr>
                <w:rFonts w:asciiTheme="majorHAnsi" w:hAnsiTheme="majorHAnsi"/>
                <w:noProof/>
                <w:webHidden/>
              </w:rPr>
              <w:t>5</w:t>
            </w:r>
            <w:r w:rsidR="001242BA" w:rsidRPr="001242BA">
              <w:rPr>
                <w:rFonts w:asciiTheme="majorHAnsi" w:hAnsiTheme="majorHAnsi"/>
                <w:noProof/>
                <w:webHidden/>
              </w:rPr>
              <w:fldChar w:fldCharType="end"/>
            </w:r>
          </w:hyperlink>
        </w:p>
        <w:p w:rsidR="001242BA" w:rsidRPr="001242BA" w:rsidRDefault="00CD548D">
          <w:pPr>
            <w:pStyle w:val="TOC1"/>
            <w:tabs>
              <w:tab w:val="right" w:leader="dot" w:pos="9350"/>
            </w:tabs>
            <w:rPr>
              <w:rFonts w:asciiTheme="majorHAnsi" w:eastAsiaTheme="minorEastAsia" w:hAnsiTheme="majorHAnsi" w:cstheme="minorBidi"/>
              <w:noProof/>
              <w:sz w:val="22"/>
              <w:szCs w:val="22"/>
            </w:rPr>
          </w:pPr>
          <w:hyperlink w:anchor="_Toc491939225" w:history="1">
            <w:r w:rsidR="001242BA" w:rsidRPr="001242BA">
              <w:rPr>
                <w:rStyle w:val="Hyperlink"/>
                <w:rFonts w:asciiTheme="majorHAnsi" w:hAnsiTheme="majorHAnsi"/>
                <w:noProof/>
              </w:rPr>
              <w:t>PHYSICAL and PROGRAMMATIC ACCESSIBILITY</w:t>
            </w:r>
            <w:r w:rsidR="001242BA" w:rsidRPr="001242BA">
              <w:rPr>
                <w:rFonts w:asciiTheme="majorHAnsi" w:hAnsiTheme="majorHAnsi"/>
                <w:noProof/>
                <w:webHidden/>
              </w:rPr>
              <w:tab/>
            </w:r>
            <w:r w:rsidR="001242BA" w:rsidRPr="001242BA">
              <w:rPr>
                <w:rFonts w:asciiTheme="majorHAnsi" w:hAnsiTheme="majorHAnsi"/>
                <w:noProof/>
                <w:webHidden/>
              </w:rPr>
              <w:fldChar w:fldCharType="begin"/>
            </w:r>
            <w:r w:rsidR="001242BA" w:rsidRPr="001242BA">
              <w:rPr>
                <w:rFonts w:asciiTheme="majorHAnsi" w:hAnsiTheme="majorHAnsi"/>
                <w:noProof/>
                <w:webHidden/>
              </w:rPr>
              <w:instrText xml:space="preserve"> PAGEREF _Toc491939225 \h </w:instrText>
            </w:r>
            <w:r w:rsidR="001242BA" w:rsidRPr="001242BA">
              <w:rPr>
                <w:rFonts w:asciiTheme="majorHAnsi" w:hAnsiTheme="majorHAnsi"/>
                <w:noProof/>
                <w:webHidden/>
              </w:rPr>
            </w:r>
            <w:r w:rsidR="001242BA" w:rsidRPr="001242BA">
              <w:rPr>
                <w:rFonts w:asciiTheme="majorHAnsi" w:hAnsiTheme="majorHAnsi"/>
                <w:noProof/>
                <w:webHidden/>
              </w:rPr>
              <w:fldChar w:fldCharType="separate"/>
            </w:r>
            <w:r w:rsidR="00C96774">
              <w:rPr>
                <w:rFonts w:asciiTheme="majorHAnsi" w:hAnsiTheme="majorHAnsi"/>
                <w:noProof/>
                <w:webHidden/>
              </w:rPr>
              <w:t>10</w:t>
            </w:r>
            <w:r w:rsidR="001242BA" w:rsidRPr="001242BA">
              <w:rPr>
                <w:rFonts w:asciiTheme="majorHAnsi" w:hAnsiTheme="majorHAnsi"/>
                <w:noProof/>
                <w:webHidden/>
              </w:rPr>
              <w:fldChar w:fldCharType="end"/>
            </w:r>
          </w:hyperlink>
        </w:p>
        <w:p w:rsidR="001242BA" w:rsidRPr="001242BA" w:rsidRDefault="00CD548D">
          <w:pPr>
            <w:pStyle w:val="TOC1"/>
            <w:tabs>
              <w:tab w:val="right" w:leader="dot" w:pos="9350"/>
            </w:tabs>
            <w:rPr>
              <w:rFonts w:asciiTheme="majorHAnsi" w:eastAsiaTheme="minorEastAsia" w:hAnsiTheme="majorHAnsi" w:cstheme="minorBidi"/>
              <w:noProof/>
              <w:sz w:val="22"/>
              <w:szCs w:val="22"/>
            </w:rPr>
          </w:pPr>
          <w:hyperlink w:anchor="_Toc491939226" w:history="1">
            <w:r w:rsidR="001242BA" w:rsidRPr="001242BA">
              <w:rPr>
                <w:rStyle w:val="Hyperlink"/>
                <w:rFonts w:asciiTheme="majorHAnsi" w:hAnsiTheme="majorHAnsi"/>
                <w:noProof/>
              </w:rPr>
              <w:t>APPENDICIES</w:t>
            </w:r>
            <w:r w:rsidR="001242BA" w:rsidRPr="001242BA">
              <w:rPr>
                <w:rFonts w:asciiTheme="majorHAnsi" w:hAnsiTheme="majorHAnsi"/>
                <w:noProof/>
                <w:webHidden/>
              </w:rPr>
              <w:tab/>
            </w:r>
            <w:r w:rsidR="001242BA" w:rsidRPr="001242BA">
              <w:rPr>
                <w:rFonts w:asciiTheme="majorHAnsi" w:hAnsiTheme="majorHAnsi"/>
                <w:noProof/>
                <w:webHidden/>
              </w:rPr>
              <w:fldChar w:fldCharType="begin"/>
            </w:r>
            <w:r w:rsidR="001242BA" w:rsidRPr="001242BA">
              <w:rPr>
                <w:rFonts w:asciiTheme="majorHAnsi" w:hAnsiTheme="majorHAnsi"/>
                <w:noProof/>
                <w:webHidden/>
              </w:rPr>
              <w:instrText xml:space="preserve"> PAGEREF _Toc491939226 \h </w:instrText>
            </w:r>
            <w:r w:rsidR="001242BA" w:rsidRPr="001242BA">
              <w:rPr>
                <w:rFonts w:asciiTheme="majorHAnsi" w:hAnsiTheme="majorHAnsi"/>
                <w:noProof/>
                <w:webHidden/>
              </w:rPr>
            </w:r>
            <w:r w:rsidR="001242BA" w:rsidRPr="001242BA">
              <w:rPr>
                <w:rFonts w:asciiTheme="majorHAnsi" w:hAnsiTheme="majorHAnsi"/>
                <w:noProof/>
                <w:webHidden/>
              </w:rPr>
              <w:fldChar w:fldCharType="separate"/>
            </w:r>
            <w:r w:rsidR="00C96774">
              <w:rPr>
                <w:rFonts w:asciiTheme="majorHAnsi" w:hAnsiTheme="majorHAnsi"/>
                <w:noProof/>
                <w:webHidden/>
              </w:rPr>
              <w:t>13</w:t>
            </w:r>
            <w:r w:rsidR="001242BA" w:rsidRPr="001242BA">
              <w:rPr>
                <w:rFonts w:asciiTheme="majorHAnsi" w:hAnsiTheme="majorHAnsi"/>
                <w:noProof/>
                <w:webHidden/>
              </w:rPr>
              <w:fldChar w:fldCharType="end"/>
            </w:r>
          </w:hyperlink>
        </w:p>
        <w:p w:rsidR="001242BA" w:rsidRPr="001242BA" w:rsidRDefault="00CD548D">
          <w:pPr>
            <w:pStyle w:val="TOC2"/>
            <w:tabs>
              <w:tab w:val="right" w:leader="dot" w:pos="9350"/>
            </w:tabs>
            <w:rPr>
              <w:rFonts w:asciiTheme="majorHAnsi" w:hAnsiTheme="majorHAnsi"/>
              <w:noProof/>
            </w:rPr>
          </w:pPr>
          <w:hyperlink w:anchor="_Toc491939227" w:history="1">
            <w:r w:rsidR="001242BA" w:rsidRPr="001242BA">
              <w:rPr>
                <w:rStyle w:val="Hyperlink"/>
                <w:rFonts w:asciiTheme="majorHAnsi" w:hAnsiTheme="majorHAnsi"/>
                <w:noProof/>
              </w:rPr>
              <w:t>Appendix A:  One-stop system and WIOA Resources</w:t>
            </w:r>
            <w:r w:rsidR="001242BA" w:rsidRPr="001242BA">
              <w:rPr>
                <w:rFonts w:asciiTheme="majorHAnsi" w:hAnsiTheme="majorHAnsi"/>
                <w:noProof/>
                <w:webHidden/>
              </w:rPr>
              <w:tab/>
            </w:r>
            <w:r w:rsidR="001242BA" w:rsidRPr="001242BA">
              <w:rPr>
                <w:rFonts w:asciiTheme="majorHAnsi" w:hAnsiTheme="majorHAnsi"/>
                <w:noProof/>
                <w:webHidden/>
              </w:rPr>
              <w:fldChar w:fldCharType="begin"/>
            </w:r>
            <w:r w:rsidR="001242BA" w:rsidRPr="001242BA">
              <w:rPr>
                <w:rFonts w:asciiTheme="majorHAnsi" w:hAnsiTheme="majorHAnsi"/>
                <w:noProof/>
                <w:webHidden/>
              </w:rPr>
              <w:instrText xml:space="preserve"> PAGEREF _Toc491939227 \h </w:instrText>
            </w:r>
            <w:r w:rsidR="001242BA" w:rsidRPr="001242BA">
              <w:rPr>
                <w:rFonts w:asciiTheme="majorHAnsi" w:hAnsiTheme="majorHAnsi"/>
                <w:noProof/>
                <w:webHidden/>
              </w:rPr>
            </w:r>
            <w:r w:rsidR="001242BA" w:rsidRPr="001242BA">
              <w:rPr>
                <w:rFonts w:asciiTheme="majorHAnsi" w:hAnsiTheme="majorHAnsi"/>
                <w:noProof/>
                <w:webHidden/>
              </w:rPr>
              <w:fldChar w:fldCharType="separate"/>
            </w:r>
            <w:r w:rsidR="00C96774">
              <w:rPr>
                <w:rFonts w:asciiTheme="majorHAnsi" w:hAnsiTheme="majorHAnsi"/>
                <w:noProof/>
                <w:webHidden/>
              </w:rPr>
              <w:t>13</w:t>
            </w:r>
            <w:r w:rsidR="001242BA" w:rsidRPr="001242BA">
              <w:rPr>
                <w:rFonts w:asciiTheme="majorHAnsi" w:hAnsiTheme="majorHAnsi"/>
                <w:noProof/>
                <w:webHidden/>
              </w:rPr>
              <w:fldChar w:fldCharType="end"/>
            </w:r>
          </w:hyperlink>
        </w:p>
        <w:p w:rsidR="001242BA" w:rsidRPr="001242BA" w:rsidRDefault="00CD548D">
          <w:pPr>
            <w:pStyle w:val="TOC2"/>
            <w:tabs>
              <w:tab w:val="right" w:leader="dot" w:pos="9350"/>
            </w:tabs>
            <w:rPr>
              <w:rFonts w:asciiTheme="majorHAnsi" w:hAnsiTheme="majorHAnsi"/>
              <w:noProof/>
            </w:rPr>
          </w:pPr>
          <w:hyperlink w:anchor="_Toc491939228" w:history="1">
            <w:r w:rsidR="001242BA" w:rsidRPr="001242BA">
              <w:rPr>
                <w:rStyle w:val="Hyperlink"/>
                <w:rFonts w:asciiTheme="majorHAnsi" w:hAnsiTheme="majorHAnsi"/>
                <w:noProof/>
              </w:rPr>
              <w:t>Appendix B: Programs covered by this policy</w:t>
            </w:r>
            <w:r w:rsidR="001242BA" w:rsidRPr="001242BA">
              <w:rPr>
                <w:rFonts w:asciiTheme="majorHAnsi" w:hAnsiTheme="majorHAnsi"/>
                <w:noProof/>
                <w:webHidden/>
              </w:rPr>
              <w:tab/>
            </w:r>
            <w:r w:rsidR="001242BA" w:rsidRPr="001242BA">
              <w:rPr>
                <w:rFonts w:asciiTheme="majorHAnsi" w:hAnsiTheme="majorHAnsi"/>
                <w:noProof/>
                <w:webHidden/>
              </w:rPr>
              <w:fldChar w:fldCharType="begin"/>
            </w:r>
            <w:r w:rsidR="001242BA" w:rsidRPr="001242BA">
              <w:rPr>
                <w:rFonts w:asciiTheme="majorHAnsi" w:hAnsiTheme="majorHAnsi"/>
                <w:noProof/>
                <w:webHidden/>
              </w:rPr>
              <w:instrText xml:space="preserve"> PAGEREF _Toc491939228 \h </w:instrText>
            </w:r>
            <w:r w:rsidR="001242BA" w:rsidRPr="001242BA">
              <w:rPr>
                <w:rFonts w:asciiTheme="majorHAnsi" w:hAnsiTheme="majorHAnsi"/>
                <w:noProof/>
                <w:webHidden/>
              </w:rPr>
            </w:r>
            <w:r w:rsidR="001242BA" w:rsidRPr="001242BA">
              <w:rPr>
                <w:rFonts w:asciiTheme="majorHAnsi" w:hAnsiTheme="majorHAnsi"/>
                <w:noProof/>
                <w:webHidden/>
              </w:rPr>
              <w:fldChar w:fldCharType="separate"/>
            </w:r>
            <w:r w:rsidR="00C96774">
              <w:rPr>
                <w:rFonts w:asciiTheme="majorHAnsi" w:hAnsiTheme="majorHAnsi"/>
                <w:noProof/>
                <w:webHidden/>
              </w:rPr>
              <w:t>17</w:t>
            </w:r>
            <w:r w:rsidR="001242BA" w:rsidRPr="001242BA">
              <w:rPr>
                <w:rFonts w:asciiTheme="majorHAnsi" w:hAnsiTheme="majorHAnsi"/>
                <w:noProof/>
                <w:webHidden/>
              </w:rPr>
              <w:fldChar w:fldCharType="end"/>
            </w:r>
          </w:hyperlink>
        </w:p>
        <w:p w:rsidR="001242BA" w:rsidRPr="001242BA" w:rsidRDefault="00CD548D">
          <w:pPr>
            <w:pStyle w:val="TOC2"/>
            <w:tabs>
              <w:tab w:val="right" w:leader="dot" w:pos="9350"/>
            </w:tabs>
            <w:rPr>
              <w:rFonts w:asciiTheme="majorHAnsi" w:hAnsiTheme="majorHAnsi"/>
              <w:noProof/>
            </w:rPr>
          </w:pPr>
          <w:hyperlink w:anchor="_Toc491939229" w:history="1">
            <w:r w:rsidR="001242BA" w:rsidRPr="001242BA">
              <w:rPr>
                <w:rStyle w:val="Hyperlink"/>
                <w:rFonts w:asciiTheme="majorHAnsi" w:hAnsiTheme="majorHAnsi"/>
                <w:noProof/>
              </w:rPr>
              <w:t>Appendix C: Other related statutes, rules and policies</w:t>
            </w:r>
            <w:r w:rsidR="001242BA" w:rsidRPr="001242BA">
              <w:rPr>
                <w:rFonts w:asciiTheme="majorHAnsi" w:hAnsiTheme="majorHAnsi"/>
                <w:noProof/>
                <w:webHidden/>
              </w:rPr>
              <w:tab/>
            </w:r>
            <w:r w:rsidR="001242BA" w:rsidRPr="001242BA">
              <w:rPr>
                <w:rFonts w:asciiTheme="majorHAnsi" w:hAnsiTheme="majorHAnsi"/>
                <w:noProof/>
                <w:webHidden/>
              </w:rPr>
              <w:fldChar w:fldCharType="begin"/>
            </w:r>
            <w:r w:rsidR="001242BA" w:rsidRPr="001242BA">
              <w:rPr>
                <w:rFonts w:asciiTheme="majorHAnsi" w:hAnsiTheme="majorHAnsi"/>
                <w:noProof/>
                <w:webHidden/>
              </w:rPr>
              <w:instrText xml:space="preserve"> PAGEREF _Toc491939229 \h </w:instrText>
            </w:r>
            <w:r w:rsidR="001242BA" w:rsidRPr="001242BA">
              <w:rPr>
                <w:rFonts w:asciiTheme="majorHAnsi" w:hAnsiTheme="majorHAnsi"/>
                <w:noProof/>
                <w:webHidden/>
              </w:rPr>
            </w:r>
            <w:r w:rsidR="001242BA" w:rsidRPr="001242BA">
              <w:rPr>
                <w:rFonts w:asciiTheme="majorHAnsi" w:hAnsiTheme="majorHAnsi"/>
                <w:noProof/>
                <w:webHidden/>
              </w:rPr>
              <w:fldChar w:fldCharType="separate"/>
            </w:r>
            <w:r w:rsidR="00C96774">
              <w:rPr>
                <w:rFonts w:asciiTheme="majorHAnsi" w:hAnsiTheme="majorHAnsi"/>
                <w:noProof/>
                <w:webHidden/>
              </w:rPr>
              <w:t>18</w:t>
            </w:r>
            <w:r w:rsidR="001242BA" w:rsidRPr="001242BA">
              <w:rPr>
                <w:rFonts w:asciiTheme="majorHAnsi" w:hAnsiTheme="majorHAnsi"/>
                <w:noProof/>
                <w:webHidden/>
              </w:rPr>
              <w:fldChar w:fldCharType="end"/>
            </w:r>
          </w:hyperlink>
        </w:p>
        <w:p w:rsidR="001242BA" w:rsidRPr="001242BA" w:rsidRDefault="00CD548D">
          <w:pPr>
            <w:pStyle w:val="TOC2"/>
            <w:tabs>
              <w:tab w:val="right" w:leader="dot" w:pos="9350"/>
            </w:tabs>
            <w:rPr>
              <w:rFonts w:asciiTheme="majorHAnsi" w:hAnsiTheme="majorHAnsi"/>
              <w:noProof/>
            </w:rPr>
          </w:pPr>
          <w:hyperlink w:anchor="_Toc491939230" w:history="1">
            <w:r w:rsidR="001242BA" w:rsidRPr="001242BA">
              <w:rPr>
                <w:rStyle w:val="Hyperlink"/>
                <w:rFonts w:asciiTheme="majorHAnsi" w:hAnsiTheme="majorHAnsi"/>
                <w:noProof/>
              </w:rPr>
              <w:t>Appendix D: Equal Opportunity Statement</w:t>
            </w:r>
            <w:r w:rsidR="001242BA" w:rsidRPr="001242BA">
              <w:rPr>
                <w:rFonts w:asciiTheme="majorHAnsi" w:hAnsiTheme="majorHAnsi"/>
                <w:noProof/>
                <w:webHidden/>
              </w:rPr>
              <w:tab/>
            </w:r>
            <w:r w:rsidR="001242BA" w:rsidRPr="001242BA">
              <w:rPr>
                <w:rFonts w:asciiTheme="majorHAnsi" w:hAnsiTheme="majorHAnsi"/>
                <w:noProof/>
                <w:webHidden/>
              </w:rPr>
              <w:fldChar w:fldCharType="begin"/>
            </w:r>
            <w:r w:rsidR="001242BA" w:rsidRPr="001242BA">
              <w:rPr>
                <w:rFonts w:asciiTheme="majorHAnsi" w:hAnsiTheme="majorHAnsi"/>
                <w:noProof/>
                <w:webHidden/>
              </w:rPr>
              <w:instrText xml:space="preserve"> PAGEREF _Toc491939230 \h </w:instrText>
            </w:r>
            <w:r w:rsidR="001242BA" w:rsidRPr="001242BA">
              <w:rPr>
                <w:rFonts w:asciiTheme="majorHAnsi" w:hAnsiTheme="majorHAnsi"/>
                <w:noProof/>
                <w:webHidden/>
              </w:rPr>
            </w:r>
            <w:r w:rsidR="001242BA" w:rsidRPr="001242BA">
              <w:rPr>
                <w:rFonts w:asciiTheme="majorHAnsi" w:hAnsiTheme="majorHAnsi"/>
                <w:noProof/>
                <w:webHidden/>
              </w:rPr>
              <w:fldChar w:fldCharType="separate"/>
            </w:r>
            <w:r w:rsidR="00C96774">
              <w:rPr>
                <w:rFonts w:asciiTheme="majorHAnsi" w:hAnsiTheme="majorHAnsi"/>
                <w:noProof/>
                <w:webHidden/>
              </w:rPr>
              <w:t>19</w:t>
            </w:r>
            <w:r w:rsidR="001242BA" w:rsidRPr="001242BA">
              <w:rPr>
                <w:rFonts w:asciiTheme="majorHAnsi" w:hAnsiTheme="majorHAnsi"/>
                <w:noProof/>
                <w:webHidden/>
              </w:rPr>
              <w:fldChar w:fldCharType="end"/>
            </w:r>
          </w:hyperlink>
        </w:p>
        <w:p w:rsidR="00812CF2" w:rsidRDefault="00812CF2">
          <w:r w:rsidRPr="001242BA">
            <w:rPr>
              <w:rFonts w:asciiTheme="majorHAnsi" w:hAnsiTheme="majorHAnsi"/>
              <w:b/>
              <w:bCs/>
              <w:noProof/>
            </w:rPr>
            <w:fldChar w:fldCharType="end"/>
          </w:r>
        </w:p>
      </w:sdtContent>
    </w:sdt>
    <w:p w:rsidR="00FB48B1" w:rsidRDefault="00FB48B1" w:rsidP="00A63690">
      <w:pPr>
        <w:jc w:val="both"/>
        <w:rPr>
          <w:rFonts w:ascii="Calibri" w:hAnsi="Calibri" w:cs="Utsaah"/>
          <w:b/>
          <w:sz w:val="22"/>
          <w:szCs w:val="22"/>
        </w:rPr>
      </w:pPr>
    </w:p>
    <w:p w:rsidR="00A9091D" w:rsidRPr="00812CF2" w:rsidRDefault="00A9091D" w:rsidP="00501F91">
      <w:pPr>
        <w:pStyle w:val="Heading1"/>
        <w:rPr>
          <w:sz w:val="24"/>
          <w:szCs w:val="24"/>
        </w:rPr>
      </w:pPr>
      <w:bookmarkStart w:id="1" w:name="_Toc491939222"/>
      <w:r w:rsidRPr="00812CF2">
        <w:rPr>
          <w:sz w:val="24"/>
          <w:szCs w:val="24"/>
        </w:rPr>
        <w:t>INTRODUCTION</w:t>
      </w:r>
      <w:bookmarkEnd w:id="1"/>
    </w:p>
    <w:p w:rsidR="00A9091D" w:rsidRDefault="00A9091D" w:rsidP="00A63690">
      <w:pPr>
        <w:jc w:val="both"/>
        <w:rPr>
          <w:rFonts w:ascii="Calibri" w:hAnsi="Calibri" w:cs="Utsaah"/>
          <w:b/>
          <w:sz w:val="22"/>
          <w:szCs w:val="22"/>
        </w:rPr>
      </w:pPr>
    </w:p>
    <w:p w:rsidR="00A63690" w:rsidRPr="0046687D" w:rsidRDefault="00A63690" w:rsidP="00A63690">
      <w:pPr>
        <w:jc w:val="both"/>
        <w:rPr>
          <w:rFonts w:ascii="Calibri" w:hAnsi="Calibri" w:cs="Utsaah"/>
          <w:sz w:val="22"/>
          <w:szCs w:val="22"/>
        </w:rPr>
      </w:pPr>
      <w:r w:rsidRPr="0046687D">
        <w:rPr>
          <w:rFonts w:ascii="Calibri" w:hAnsi="Calibri" w:cs="Utsaah"/>
          <w:b/>
          <w:sz w:val="22"/>
          <w:szCs w:val="22"/>
        </w:rPr>
        <w:t>Purpose:</w:t>
      </w:r>
      <w:r w:rsidR="002565BF">
        <w:rPr>
          <w:rFonts w:ascii="Calibri" w:hAnsi="Calibri" w:cs="Utsaah"/>
          <w:sz w:val="22"/>
          <w:szCs w:val="22"/>
        </w:rPr>
        <w:t xml:space="preserve">  To provide guidance to recipients and required partners in Maine’s one-stop workforce development system on the implementation of equal opportunity, nondiscrimination, and physical and programmatic accessibility provisions in the Workforce Innovation and Opportunity Act (WIOA) and related statutes, regulations, and guidance.</w:t>
      </w:r>
    </w:p>
    <w:p w:rsidR="00A63690" w:rsidRPr="0046687D" w:rsidRDefault="00A63690" w:rsidP="00A63690">
      <w:pPr>
        <w:jc w:val="both"/>
        <w:rPr>
          <w:rFonts w:ascii="Calibri" w:hAnsi="Calibri" w:cs="Utsaah"/>
          <w:sz w:val="22"/>
          <w:szCs w:val="22"/>
        </w:rPr>
      </w:pPr>
    </w:p>
    <w:p w:rsidR="002565BF" w:rsidRDefault="00A63690" w:rsidP="002565BF">
      <w:pPr>
        <w:jc w:val="both"/>
        <w:rPr>
          <w:rFonts w:ascii="Calibri" w:hAnsi="Calibri" w:cs="Utsaah"/>
          <w:sz w:val="22"/>
          <w:szCs w:val="22"/>
        </w:rPr>
      </w:pPr>
      <w:r w:rsidRPr="0046687D">
        <w:rPr>
          <w:rFonts w:ascii="Calibri" w:hAnsi="Calibri" w:cs="Utsaah"/>
          <w:b/>
          <w:sz w:val="22"/>
          <w:szCs w:val="22"/>
        </w:rPr>
        <w:t xml:space="preserve">Background: </w:t>
      </w:r>
      <w:r w:rsidR="002565BF">
        <w:rPr>
          <w:rFonts w:ascii="Calibri" w:hAnsi="Calibri" w:cs="Utsaah"/>
          <w:sz w:val="22"/>
          <w:szCs w:val="22"/>
        </w:rPr>
        <w:t xml:space="preserve">WIOA assigns responsibilities at the local, state and federal levels to ensure a one-stop delivery system that prohibits discrimination on the basis of race, color, religion, sex (including pregnancy, childbirth, and related medical conditions, sex stereotyping, transgender status, and gender identity), national origin (including limited English proficiency), age, disability, or political affiliation or belief. The act also prohibits discrimination on the basis of the status as any beneficiary of/applicant to/participant in WIOA programs or on the basis of the individual’s citizenship status in any WIOA programs or activity.  </w:t>
      </w:r>
    </w:p>
    <w:p w:rsidR="002565BF" w:rsidRDefault="002565BF" w:rsidP="002565BF">
      <w:pPr>
        <w:jc w:val="both"/>
        <w:rPr>
          <w:rFonts w:ascii="Calibri" w:hAnsi="Calibri" w:cs="Utsaah"/>
          <w:sz w:val="22"/>
          <w:szCs w:val="22"/>
        </w:rPr>
      </w:pPr>
    </w:p>
    <w:p w:rsidR="002565BF" w:rsidRDefault="002565BF" w:rsidP="002565BF">
      <w:pPr>
        <w:rPr>
          <w:rFonts w:ascii="Calibri" w:hAnsi="Calibri" w:cs="Utsaah"/>
          <w:sz w:val="22"/>
          <w:szCs w:val="22"/>
        </w:rPr>
      </w:pPr>
      <w:r>
        <w:rPr>
          <w:rFonts w:ascii="Calibri" w:hAnsi="Calibri" w:cs="Utsaah"/>
          <w:sz w:val="22"/>
          <w:szCs w:val="22"/>
        </w:rPr>
        <w:t>WIOA also addresses physical and programmatic accessibility, including the use of assistive technology, to ensure access to information and workforce services. The State Unified Plan calls for universal access, with emphasis on improved access and engagement of under-served and under-employed people.</w:t>
      </w:r>
    </w:p>
    <w:p w:rsidR="002565BF" w:rsidRDefault="002565BF" w:rsidP="002565BF">
      <w:pPr>
        <w:jc w:val="both"/>
        <w:rPr>
          <w:rFonts w:ascii="Calibri" w:hAnsi="Calibri" w:cs="Utsaah"/>
          <w:sz w:val="22"/>
          <w:szCs w:val="22"/>
        </w:rPr>
      </w:pPr>
    </w:p>
    <w:p w:rsidR="002565BF" w:rsidRDefault="00BB016D" w:rsidP="002565BF">
      <w:pPr>
        <w:jc w:val="both"/>
        <w:rPr>
          <w:rFonts w:ascii="Calibri" w:hAnsi="Calibri" w:cs="Utsaah"/>
          <w:sz w:val="22"/>
          <w:szCs w:val="22"/>
        </w:rPr>
      </w:pPr>
      <w:r>
        <w:rPr>
          <w:rFonts w:ascii="Calibri" w:hAnsi="Calibri" w:cs="Utsaah"/>
          <w:b/>
          <w:sz w:val="22"/>
          <w:szCs w:val="22"/>
        </w:rPr>
        <w:t xml:space="preserve">Applicability: </w:t>
      </w:r>
      <w:r w:rsidR="002565BF" w:rsidRPr="0099529C">
        <w:rPr>
          <w:rFonts w:ascii="Calibri" w:hAnsi="Calibri" w:cs="Utsaah"/>
          <w:sz w:val="22"/>
          <w:szCs w:val="22"/>
        </w:rPr>
        <w:t>This policy applies to all core and required partners</w:t>
      </w:r>
      <w:r w:rsidR="002565BF">
        <w:rPr>
          <w:rFonts w:ascii="Calibri" w:hAnsi="Calibri" w:cs="Utsaah"/>
          <w:sz w:val="22"/>
          <w:szCs w:val="22"/>
        </w:rPr>
        <w:t>, and eligible training providers</w:t>
      </w:r>
      <w:r w:rsidR="002565BF" w:rsidRPr="0099529C">
        <w:rPr>
          <w:rFonts w:ascii="Calibri" w:hAnsi="Calibri" w:cs="Utsaah"/>
          <w:sz w:val="22"/>
          <w:szCs w:val="22"/>
        </w:rPr>
        <w:t xml:space="preserve"> in Maine’s one-stop system. </w:t>
      </w:r>
      <w:r w:rsidR="002565BF">
        <w:rPr>
          <w:rFonts w:ascii="Calibri" w:hAnsi="Calibri" w:cs="Utsaah"/>
          <w:sz w:val="22"/>
          <w:szCs w:val="22"/>
        </w:rPr>
        <w:t xml:space="preserve">It is designed to </w:t>
      </w:r>
      <w:r>
        <w:rPr>
          <w:rFonts w:ascii="Calibri" w:hAnsi="Calibri" w:cs="Utsaah"/>
          <w:sz w:val="22"/>
          <w:szCs w:val="22"/>
        </w:rPr>
        <w:t>guide</w:t>
      </w:r>
      <w:r w:rsidR="002565BF">
        <w:rPr>
          <w:rFonts w:ascii="Calibri" w:hAnsi="Calibri" w:cs="Utsaah"/>
          <w:sz w:val="22"/>
          <w:szCs w:val="22"/>
        </w:rPr>
        <w:t xml:space="preserve"> Maine’s one-stop system </w:t>
      </w:r>
      <w:r>
        <w:rPr>
          <w:rFonts w:ascii="Calibri" w:hAnsi="Calibri" w:cs="Utsaah"/>
          <w:sz w:val="22"/>
          <w:szCs w:val="22"/>
        </w:rPr>
        <w:t>in complying</w:t>
      </w:r>
      <w:r w:rsidR="002565BF">
        <w:rPr>
          <w:rFonts w:ascii="Calibri" w:hAnsi="Calibri" w:cs="Utsaah"/>
          <w:sz w:val="22"/>
          <w:szCs w:val="22"/>
        </w:rPr>
        <w:t xml:space="preserve"> with section 188, 29 CFR 38, and other state and federal equal opportunity, nondiscrimination, and physical and programmatic accessibility requirements</w:t>
      </w:r>
      <w:r>
        <w:rPr>
          <w:rFonts w:ascii="Calibri" w:hAnsi="Calibri" w:cs="Utsaah"/>
          <w:sz w:val="22"/>
          <w:szCs w:val="22"/>
        </w:rPr>
        <w:t>.</w:t>
      </w:r>
      <w:r w:rsidR="002565BF">
        <w:rPr>
          <w:rFonts w:ascii="Calibri" w:hAnsi="Calibri" w:cs="Utsaah"/>
          <w:sz w:val="22"/>
          <w:szCs w:val="22"/>
        </w:rPr>
        <w:t xml:space="preserve">  See Training and Guidance Letters noted above.</w:t>
      </w:r>
    </w:p>
    <w:p w:rsidR="002565BF" w:rsidRDefault="002565BF" w:rsidP="002565BF">
      <w:pPr>
        <w:jc w:val="both"/>
        <w:rPr>
          <w:rFonts w:ascii="Calibri" w:hAnsi="Calibri" w:cs="Utsaah"/>
          <w:sz w:val="22"/>
          <w:szCs w:val="22"/>
        </w:rPr>
      </w:pPr>
    </w:p>
    <w:p w:rsidR="002565BF" w:rsidRDefault="002565BF" w:rsidP="002565BF">
      <w:pPr>
        <w:jc w:val="both"/>
        <w:rPr>
          <w:rFonts w:ascii="Calibri" w:hAnsi="Calibri" w:cs="Utsaah"/>
          <w:sz w:val="22"/>
          <w:szCs w:val="22"/>
        </w:rPr>
      </w:pPr>
      <w:r w:rsidRPr="00D6227D">
        <w:rPr>
          <w:rFonts w:ascii="Calibri" w:hAnsi="Calibri" w:cs="Utsaah"/>
          <w:sz w:val="22"/>
          <w:szCs w:val="22"/>
        </w:rPr>
        <w:t>Recipients and required partners must ensure that their staff people are familiar with this policy and how to implement it.</w:t>
      </w:r>
    </w:p>
    <w:p w:rsidR="002565BF" w:rsidRDefault="002565BF" w:rsidP="002565BF">
      <w:pPr>
        <w:jc w:val="both"/>
        <w:rPr>
          <w:rFonts w:ascii="Calibri" w:hAnsi="Calibri" w:cs="Utsaah"/>
          <w:sz w:val="22"/>
          <w:szCs w:val="22"/>
        </w:rPr>
      </w:pPr>
    </w:p>
    <w:p w:rsidR="00A63690" w:rsidRDefault="00A63690" w:rsidP="00A63690">
      <w:pPr>
        <w:jc w:val="both"/>
        <w:rPr>
          <w:rFonts w:ascii="Calibri" w:hAnsi="Calibri" w:cs="Utsaah"/>
          <w:b/>
          <w:sz w:val="22"/>
          <w:szCs w:val="22"/>
        </w:rPr>
      </w:pPr>
    </w:p>
    <w:p w:rsidR="002565BF" w:rsidRPr="00812CF2" w:rsidRDefault="00501F91" w:rsidP="00501F91">
      <w:pPr>
        <w:pStyle w:val="Heading1"/>
        <w:rPr>
          <w:sz w:val="24"/>
          <w:szCs w:val="24"/>
        </w:rPr>
      </w:pPr>
      <w:bookmarkStart w:id="2" w:name="_Toc491939223"/>
      <w:r w:rsidRPr="00812CF2">
        <w:rPr>
          <w:sz w:val="24"/>
          <w:szCs w:val="24"/>
        </w:rPr>
        <w:t>DEFINITIONS</w:t>
      </w:r>
      <w:bookmarkEnd w:id="2"/>
    </w:p>
    <w:p w:rsidR="002565BF" w:rsidRDefault="002565BF" w:rsidP="002565BF">
      <w:pPr>
        <w:jc w:val="center"/>
        <w:rPr>
          <w:rFonts w:ascii="Calibri" w:hAnsi="Calibri" w:cs="Utsaah"/>
          <w:b/>
          <w:caps/>
          <w:sz w:val="22"/>
          <w:szCs w:val="22"/>
        </w:rPr>
      </w:pPr>
    </w:p>
    <w:p w:rsidR="009E4E19" w:rsidRPr="00285143" w:rsidRDefault="002565BF" w:rsidP="009E4E19">
      <w:pPr>
        <w:rPr>
          <w:rFonts w:ascii="Calibri" w:hAnsi="Calibri"/>
          <w:sz w:val="22"/>
          <w:szCs w:val="22"/>
        </w:rPr>
      </w:pPr>
      <w:r w:rsidRPr="00A02E01">
        <w:rPr>
          <w:rFonts w:ascii="Calibri" w:hAnsi="Calibri" w:cs="Utsaah"/>
          <w:b/>
          <w:sz w:val="22"/>
          <w:szCs w:val="22"/>
        </w:rPr>
        <w:t xml:space="preserve">Accessibility/Access </w:t>
      </w:r>
      <w:r w:rsidR="009E4E19">
        <w:rPr>
          <w:rFonts w:ascii="Calibri" w:hAnsi="Calibri" w:cs="Utsaah"/>
          <w:sz w:val="22"/>
          <w:szCs w:val="22"/>
        </w:rPr>
        <w:t xml:space="preserve">People with disabilities or limited English proficiency are afforded </w:t>
      </w:r>
      <w:r w:rsidR="009E4E19" w:rsidRPr="00285143">
        <w:rPr>
          <w:rFonts w:ascii="Calibri" w:hAnsi="Calibri"/>
          <w:iCs/>
          <w:sz w:val="22"/>
          <w:szCs w:val="22"/>
        </w:rPr>
        <w:t>the opportunity to acquire the same information, engage in the same interactions, and enjoy the same services as a person without a disability in an equally effective and equally integrated manner, with substantially equivalent ease of use.  (</w:t>
      </w:r>
      <w:r w:rsidR="00BB016D" w:rsidRPr="00DC260A">
        <w:rPr>
          <w:rFonts w:ascii="Calibri" w:hAnsi="Calibri"/>
          <w:i/>
          <w:iCs/>
          <w:sz w:val="22"/>
          <w:szCs w:val="22"/>
        </w:rPr>
        <w:t>A</w:t>
      </w:r>
      <w:r w:rsidR="009E4E19" w:rsidRPr="00DC260A">
        <w:rPr>
          <w:rFonts w:ascii="Calibri" w:hAnsi="Calibri"/>
          <w:i/>
          <w:iCs/>
          <w:sz w:val="22"/>
          <w:szCs w:val="22"/>
        </w:rPr>
        <w:t>dapted from U.S. Department of Justice Resolution Agreement. 11-11-6002</w:t>
      </w:r>
      <w:r w:rsidR="009E4E19" w:rsidRPr="00285143">
        <w:rPr>
          <w:rFonts w:ascii="Calibri" w:hAnsi="Calibri"/>
          <w:iCs/>
          <w:sz w:val="22"/>
          <w:szCs w:val="22"/>
        </w:rPr>
        <w:t>)</w:t>
      </w:r>
    </w:p>
    <w:p w:rsidR="002565BF" w:rsidRPr="00285143" w:rsidRDefault="002565BF" w:rsidP="002565BF">
      <w:pPr>
        <w:rPr>
          <w:rFonts w:ascii="Calibri" w:hAnsi="Calibri" w:cs="Utsaah"/>
          <w:sz w:val="22"/>
          <w:szCs w:val="22"/>
        </w:rPr>
      </w:pPr>
      <w:r w:rsidRPr="00285143">
        <w:rPr>
          <w:rFonts w:ascii="Calibri" w:hAnsi="Calibri" w:cs="Utsaah"/>
          <w:sz w:val="22"/>
          <w:szCs w:val="22"/>
        </w:rPr>
        <w:t>Accessibility/access may require a reasonable accommodation.</w:t>
      </w:r>
    </w:p>
    <w:p w:rsidR="002565BF" w:rsidRPr="0099529C" w:rsidRDefault="002565BF" w:rsidP="002565BF">
      <w:pPr>
        <w:jc w:val="center"/>
        <w:rPr>
          <w:rFonts w:ascii="Calibri" w:hAnsi="Calibri" w:cs="Utsaah"/>
          <w:b/>
          <w:caps/>
          <w:sz w:val="22"/>
          <w:szCs w:val="22"/>
        </w:rPr>
      </w:pPr>
    </w:p>
    <w:p w:rsidR="002565BF" w:rsidRPr="0099529C" w:rsidRDefault="002565BF" w:rsidP="002565BF">
      <w:pPr>
        <w:rPr>
          <w:rFonts w:ascii="Calibri" w:hAnsi="Calibri" w:cs="Utsaah"/>
          <w:b/>
          <w:caps/>
          <w:sz w:val="22"/>
          <w:szCs w:val="22"/>
        </w:rPr>
      </w:pPr>
      <w:r w:rsidRPr="0099529C">
        <w:rPr>
          <w:rStyle w:val="et03"/>
          <w:rFonts w:ascii="Calibri" w:hAnsi="Calibri"/>
          <w:b/>
          <w:bCs/>
          <w:iCs/>
          <w:sz w:val="22"/>
          <w:szCs w:val="22"/>
          <w:shd w:val="clear" w:color="auto" w:fill="FFFFFF"/>
        </w:rPr>
        <w:t>Applicant</w:t>
      </w:r>
      <w:r w:rsidRPr="0099529C">
        <w:rPr>
          <w:rStyle w:val="apple-converted-space"/>
          <w:rFonts w:ascii="Calibri" w:hAnsi="Calibri"/>
          <w:sz w:val="22"/>
          <w:szCs w:val="22"/>
          <w:shd w:val="clear" w:color="auto" w:fill="FFFFFF"/>
        </w:rPr>
        <w:t> A</w:t>
      </w:r>
      <w:r w:rsidRPr="0099529C">
        <w:rPr>
          <w:rFonts w:ascii="Calibri" w:hAnsi="Calibri"/>
          <w:sz w:val="22"/>
          <w:szCs w:val="22"/>
          <w:shd w:val="clear" w:color="auto" w:fill="FFFFFF"/>
        </w:rPr>
        <w:t xml:space="preserve">n individual who is interested in being considered for any WIOA </w:t>
      </w:r>
      <w:hyperlink r:id="rId10" w:tooltip="aid, benefit, service, or training" w:history="1">
        <w:r w:rsidRPr="0099529C">
          <w:rPr>
            <w:rStyle w:val="Hyperlink"/>
            <w:rFonts w:ascii="Calibri" w:hAnsi="Calibri"/>
            <w:color w:val="auto"/>
            <w:sz w:val="22"/>
            <w:szCs w:val="22"/>
            <w:u w:val="none"/>
            <w:shd w:val="clear" w:color="auto" w:fill="FFFFFF"/>
          </w:rPr>
          <w:t>aid, benefit, service, or training</w:t>
        </w:r>
      </w:hyperlink>
      <w:r w:rsidRPr="0099529C">
        <w:rPr>
          <w:rStyle w:val="apple-converted-space"/>
          <w:rFonts w:ascii="Calibri" w:hAnsi="Calibri"/>
          <w:sz w:val="22"/>
          <w:szCs w:val="22"/>
          <w:shd w:val="clear" w:color="auto" w:fill="FFFFFF"/>
        </w:rPr>
        <w:t> </w:t>
      </w:r>
      <w:r w:rsidRPr="0099529C">
        <w:rPr>
          <w:rFonts w:ascii="Calibri" w:hAnsi="Calibri"/>
          <w:sz w:val="22"/>
          <w:szCs w:val="22"/>
          <w:shd w:val="clear" w:color="auto" w:fill="FFFFFF"/>
        </w:rPr>
        <w:t>by a</w:t>
      </w:r>
      <w:r w:rsidRPr="0099529C">
        <w:rPr>
          <w:rStyle w:val="apple-converted-space"/>
          <w:rFonts w:ascii="Calibri" w:hAnsi="Calibri"/>
          <w:sz w:val="22"/>
          <w:szCs w:val="22"/>
          <w:shd w:val="clear" w:color="auto" w:fill="FFFFFF"/>
        </w:rPr>
        <w:t> </w:t>
      </w:r>
      <w:hyperlink r:id="rId11" w:tooltip="recipient" w:history="1">
        <w:r w:rsidRPr="0099529C">
          <w:rPr>
            <w:rStyle w:val="Hyperlink"/>
            <w:rFonts w:ascii="Calibri" w:hAnsi="Calibri"/>
            <w:color w:val="auto"/>
            <w:sz w:val="22"/>
            <w:szCs w:val="22"/>
            <w:u w:val="none"/>
            <w:shd w:val="clear" w:color="auto" w:fill="FFFFFF"/>
          </w:rPr>
          <w:t>recipient</w:t>
        </w:r>
      </w:hyperlink>
      <w:r w:rsidRPr="0099529C">
        <w:rPr>
          <w:rFonts w:ascii="Calibri" w:hAnsi="Calibri"/>
          <w:sz w:val="22"/>
          <w:szCs w:val="22"/>
          <w:shd w:val="clear" w:color="auto" w:fill="FFFFFF"/>
        </w:rPr>
        <w:t>, and who has signified that interest by submitting personal information in response to a request by the</w:t>
      </w:r>
      <w:r w:rsidRPr="0099529C">
        <w:rPr>
          <w:rStyle w:val="apple-converted-space"/>
          <w:rFonts w:ascii="Calibri" w:hAnsi="Calibri"/>
          <w:sz w:val="22"/>
          <w:szCs w:val="22"/>
          <w:shd w:val="clear" w:color="auto" w:fill="FFFFFF"/>
        </w:rPr>
        <w:t> </w:t>
      </w:r>
      <w:hyperlink r:id="rId12" w:tooltip="recipient" w:history="1">
        <w:r w:rsidRPr="0099529C">
          <w:rPr>
            <w:rStyle w:val="Hyperlink"/>
            <w:rFonts w:ascii="Calibri" w:hAnsi="Calibri"/>
            <w:color w:val="auto"/>
            <w:sz w:val="22"/>
            <w:szCs w:val="22"/>
            <w:u w:val="none"/>
            <w:shd w:val="clear" w:color="auto" w:fill="FFFFFF"/>
          </w:rPr>
          <w:t>recipient</w:t>
        </w:r>
      </w:hyperlink>
      <w:r w:rsidRPr="0099529C">
        <w:rPr>
          <w:rFonts w:ascii="Calibri" w:hAnsi="Calibri"/>
          <w:sz w:val="22"/>
          <w:szCs w:val="22"/>
          <w:shd w:val="clear" w:color="auto" w:fill="FFFFFF"/>
        </w:rPr>
        <w:t>.</w:t>
      </w:r>
    </w:p>
    <w:p w:rsidR="002565BF" w:rsidRDefault="002565BF" w:rsidP="002565BF">
      <w:pPr>
        <w:jc w:val="both"/>
        <w:rPr>
          <w:rFonts w:ascii="Calibri" w:hAnsi="Calibri" w:cs="Utsaah"/>
          <w:b/>
          <w:sz w:val="22"/>
          <w:szCs w:val="22"/>
        </w:rPr>
      </w:pPr>
    </w:p>
    <w:p w:rsidR="002565BF" w:rsidRDefault="002565BF" w:rsidP="002565BF">
      <w:pPr>
        <w:pStyle w:val="NormalWeb"/>
        <w:spacing w:before="0" w:beforeAutospacing="0" w:after="0" w:afterAutospacing="0"/>
        <w:textAlignment w:val="baseline"/>
        <w:rPr>
          <w:rFonts w:ascii="Calibri" w:hAnsi="Calibri" w:cs="Helvetica"/>
          <w:color w:val="303030"/>
          <w:sz w:val="22"/>
          <w:szCs w:val="22"/>
        </w:rPr>
      </w:pPr>
      <w:r w:rsidRPr="00CB0CD4">
        <w:rPr>
          <w:rFonts w:ascii="Calibri" w:hAnsi="Calibri" w:cs="Utsaah"/>
          <w:b/>
          <w:sz w:val="22"/>
          <w:szCs w:val="22"/>
        </w:rPr>
        <w:t>Assistive (or Adaptive) Equipment/Technology (AT or AE)</w:t>
      </w:r>
      <w:r w:rsidRPr="00CB0CD4">
        <w:rPr>
          <w:rFonts w:ascii="inherit" w:hAnsi="inherit" w:cs="Helvetica"/>
          <w:color w:val="303030"/>
          <w:sz w:val="22"/>
          <w:szCs w:val="22"/>
        </w:rPr>
        <w:t xml:space="preserve"> </w:t>
      </w:r>
      <w:r w:rsidRPr="00CB0CD4">
        <w:rPr>
          <w:rFonts w:ascii="Calibri" w:hAnsi="Calibri" w:cs="Helvetica"/>
          <w:sz w:val="22"/>
          <w:szCs w:val="22"/>
        </w:rPr>
        <w:t>Assistive Technology (AT) is any device, piece of equipment or product that makes it easier for someone with a disability to live more independently and safely, work at a job, learn in school, get about their communit</w:t>
      </w:r>
      <w:r w:rsidR="00BB016D">
        <w:rPr>
          <w:rFonts w:ascii="Calibri" w:hAnsi="Calibri" w:cs="Helvetica"/>
          <w:sz w:val="22"/>
          <w:szCs w:val="22"/>
        </w:rPr>
        <w:t>y,</w:t>
      </w:r>
      <w:r w:rsidRPr="00CB0CD4">
        <w:rPr>
          <w:rFonts w:ascii="Calibri" w:hAnsi="Calibri" w:cs="Helvetica"/>
          <w:sz w:val="22"/>
          <w:szCs w:val="22"/>
        </w:rPr>
        <w:t xml:space="preserve"> or pursue play and leisure</w:t>
      </w:r>
      <w:r w:rsidRPr="00CB0CD4">
        <w:rPr>
          <w:rFonts w:ascii="Calibri" w:hAnsi="Calibri" w:cs="Helvetica"/>
          <w:color w:val="303030"/>
          <w:sz w:val="22"/>
          <w:szCs w:val="22"/>
        </w:rPr>
        <w:t>.</w:t>
      </w:r>
      <w:r>
        <w:rPr>
          <w:rFonts w:ascii="Calibri" w:hAnsi="Calibri" w:cs="Helvetica"/>
          <w:color w:val="303030"/>
          <w:sz w:val="22"/>
          <w:szCs w:val="22"/>
        </w:rPr>
        <w:t xml:space="preserve">  In this context, AT makes it possible for individuals to benefit from, and fully participate in, employment, programs, services, activities, and training.</w:t>
      </w:r>
    </w:p>
    <w:p w:rsidR="002565BF" w:rsidRDefault="002565BF" w:rsidP="002565BF">
      <w:pPr>
        <w:pStyle w:val="NormalWeb"/>
        <w:spacing w:before="0" w:beforeAutospacing="0" w:after="0" w:afterAutospacing="0"/>
        <w:textAlignment w:val="baseline"/>
        <w:rPr>
          <w:rFonts w:ascii="Calibri" w:hAnsi="Calibri" w:cs="Helvetica"/>
          <w:color w:val="303030"/>
          <w:sz w:val="22"/>
          <w:szCs w:val="22"/>
        </w:rPr>
      </w:pPr>
    </w:p>
    <w:p w:rsidR="002565BF" w:rsidRPr="00CB0CD4" w:rsidRDefault="002565BF" w:rsidP="002565BF">
      <w:pPr>
        <w:pStyle w:val="NormalWeb"/>
        <w:spacing w:before="0" w:beforeAutospacing="0" w:after="0" w:afterAutospacing="0"/>
        <w:textAlignment w:val="baseline"/>
        <w:rPr>
          <w:rFonts w:ascii="Calibri" w:hAnsi="Calibri" w:cs="Helvetica"/>
          <w:color w:val="303030"/>
          <w:sz w:val="22"/>
          <w:szCs w:val="22"/>
        </w:rPr>
      </w:pPr>
      <w:r w:rsidRPr="00E6321D">
        <w:rPr>
          <w:rFonts w:ascii="Calibri" w:hAnsi="Calibri" w:cs="Helvetica"/>
          <w:b/>
          <w:color w:val="303030"/>
          <w:sz w:val="22"/>
          <w:szCs w:val="22"/>
        </w:rPr>
        <w:t>Beneficiary(ies)</w:t>
      </w:r>
      <w:r w:rsidRPr="00E6321D">
        <w:rPr>
          <w:rFonts w:ascii="Calibri" w:hAnsi="Calibri" w:cs="Helvetica"/>
          <w:color w:val="303030"/>
          <w:sz w:val="22"/>
          <w:szCs w:val="22"/>
        </w:rPr>
        <w:t xml:space="preserve"> The individual or individuals intended by Congress to receive aid, benefits, services, or training from the recipient or required partners</w:t>
      </w:r>
      <w:r w:rsidR="00BB016D">
        <w:rPr>
          <w:rFonts w:ascii="Calibri" w:hAnsi="Calibri" w:cs="Helvetica"/>
          <w:color w:val="303030"/>
          <w:sz w:val="22"/>
          <w:szCs w:val="22"/>
        </w:rPr>
        <w:t>.</w:t>
      </w:r>
    </w:p>
    <w:p w:rsidR="002565BF" w:rsidRDefault="002565BF" w:rsidP="002565BF">
      <w:pPr>
        <w:jc w:val="both"/>
        <w:rPr>
          <w:rFonts w:ascii="Calibri" w:hAnsi="Calibri" w:cs="Utsaah"/>
          <w:b/>
          <w:sz w:val="22"/>
          <w:szCs w:val="22"/>
        </w:rPr>
      </w:pPr>
    </w:p>
    <w:p w:rsidR="002565BF" w:rsidRPr="00A60BD4" w:rsidRDefault="002565BF" w:rsidP="002565BF">
      <w:pPr>
        <w:jc w:val="both"/>
        <w:rPr>
          <w:rFonts w:ascii="Calibri" w:hAnsi="Calibri" w:cs="Utsaah"/>
          <w:sz w:val="22"/>
          <w:szCs w:val="22"/>
        </w:rPr>
      </w:pPr>
      <w:r>
        <w:rPr>
          <w:rFonts w:ascii="Calibri" w:hAnsi="Calibri" w:cs="Utsaah"/>
          <w:b/>
          <w:sz w:val="22"/>
          <w:szCs w:val="22"/>
        </w:rPr>
        <w:t xml:space="preserve">Digital </w:t>
      </w:r>
      <w:r w:rsidRPr="00A62558">
        <w:rPr>
          <w:rFonts w:ascii="Calibri" w:hAnsi="Calibri" w:cs="Utsaah"/>
          <w:b/>
          <w:sz w:val="22"/>
          <w:szCs w:val="22"/>
        </w:rPr>
        <w:t>accessibility</w:t>
      </w:r>
      <w:r>
        <w:rPr>
          <w:rFonts w:ascii="Calibri" w:hAnsi="Calibri" w:cs="Utsaah"/>
          <w:sz w:val="22"/>
          <w:szCs w:val="22"/>
        </w:rPr>
        <w:t xml:space="preserve"> T</w:t>
      </w:r>
      <w:r w:rsidRPr="00A60BD4">
        <w:rPr>
          <w:rFonts w:ascii="Calibri" w:hAnsi="Calibri" w:cs="Arial"/>
          <w:color w:val="222222"/>
          <w:sz w:val="22"/>
          <w:szCs w:val="22"/>
          <w:shd w:val="clear" w:color="auto" w:fill="FFFFFF"/>
        </w:rPr>
        <w:t>he ability of persons with disabilities to access electronic resources such as the internet, software, mobile devices, e-readers, etc.</w:t>
      </w:r>
    </w:p>
    <w:p w:rsidR="002565BF" w:rsidRPr="00A60BD4" w:rsidRDefault="002565BF" w:rsidP="002565BF">
      <w:pPr>
        <w:jc w:val="both"/>
        <w:rPr>
          <w:rFonts w:ascii="Calibri" w:hAnsi="Calibri" w:cs="Utsaah"/>
          <w:sz w:val="22"/>
          <w:szCs w:val="22"/>
        </w:rPr>
      </w:pPr>
    </w:p>
    <w:p w:rsidR="002565BF" w:rsidRDefault="002565BF" w:rsidP="002565BF">
      <w:pPr>
        <w:pStyle w:val="ListParagraph"/>
        <w:ind w:left="0"/>
        <w:jc w:val="both"/>
      </w:pPr>
      <w:r>
        <w:rPr>
          <w:rFonts w:cs="Utsaah"/>
          <w:b/>
        </w:rPr>
        <w:lastRenderedPageBreak/>
        <w:t xml:space="preserve">Disability </w:t>
      </w:r>
      <w:r>
        <w:t xml:space="preserve">The ADA defines  “disability” </w:t>
      </w:r>
      <w:r w:rsidR="00BB016D">
        <w:t>as follows: W</w:t>
      </w:r>
      <w:r>
        <w:t xml:space="preserve">ith respect to an individual, a physical or mental impairment that substantially limits one or more of the major life activities of such individual, a record of such impairment, or being regarded as having such impairment. </w:t>
      </w:r>
    </w:p>
    <w:p w:rsidR="002565BF" w:rsidRDefault="002565BF" w:rsidP="002565BF">
      <w:pPr>
        <w:pStyle w:val="ListParagraph"/>
        <w:ind w:left="0"/>
        <w:jc w:val="both"/>
      </w:pPr>
    </w:p>
    <w:p w:rsidR="002565BF" w:rsidRDefault="002565BF" w:rsidP="002565BF">
      <w:pPr>
        <w:jc w:val="both"/>
        <w:rPr>
          <w:rFonts w:ascii="Calibri" w:hAnsi="Calibri" w:cs="Utsaah"/>
          <w:b/>
          <w:sz w:val="22"/>
          <w:szCs w:val="22"/>
        </w:rPr>
      </w:pPr>
      <w:r>
        <w:rPr>
          <w:rFonts w:ascii="Calibri" w:hAnsi="Calibri" w:cs="Utsaah"/>
          <w:b/>
          <w:sz w:val="22"/>
          <w:szCs w:val="22"/>
        </w:rPr>
        <w:t>Eligible/Eligibility</w:t>
      </w:r>
      <w:r>
        <w:rPr>
          <w:rFonts w:ascii="Calibri" w:hAnsi="Calibri" w:cs="Utsaah"/>
          <w:sz w:val="22"/>
          <w:szCs w:val="22"/>
        </w:rPr>
        <w:t xml:space="preserve"> Meeting the requirements for receiving services</w:t>
      </w:r>
      <w:r w:rsidR="00BB016D">
        <w:rPr>
          <w:rFonts w:ascii="Calibri" w:hAnsi="Calibri" w:cs="Utsaah"/>
          <w:sz w:val="22"/>
          <w:szCs w:val="22"/>
        </w:rPr>
        <w:t>.</w:t>
      </w:r>
      <w:r>
        <w:rPr>
          <w:rFonts w:ascii="Calibri" w:hAnsi="Calibri" w:cs="Utsaah"/>
          <w:b/>
          <w:sz w:val="22"/>
          <w:szCs w:val="22"/>
        </w:rPr>
        <w:t xml:space="preserve">  </w:t>
      </w:r>
    </w:p>
    <w:p w:rsidR="002565BF" w:rsidRDefault="002565BF" w:rsidP="002565BF">
      <w:pPr>
        <w:jc w:val="both"/>
        <w:rPr>
          <w:rFonts w:ascii="Calibri" w:hAnsi="Calibri" w:cs="Utsaah"/>
          <w:b/>
          <w:sz w:val="22"/>
          <w:szCs w:val="22"/>
        </w:rPr>
      </w:pPr>
    </w:p>
    <w:p w:rsidR="002565BF" w:rsidRPr="00803B5A" w:rsidRDefault="002565BF" w:rsidP="002565BF">
      <w:pPr>
        <w:jc w:val="both"/>
        <w:rPr>
          <w:rFonts w:ascii="Calibri" w:hAnsi="Calibri" w:cs="Utsaah"/>
          <w:b/>
          <w:sz w:val="22"/>
          <w:szCs w:val="22"/>
        </w:rPr>
      </w:pPr>
      <w:r>
        <w:rPr>
          <w:rFonts w:ascii="Calibri" w:hAnsi="Calibri" w:cs="Utsaah"/>
          <w:b/>
          <w:sz w:val="22"/>
          <w:szCs w:val="22"/>
        </w:rPr>
        <w:t xml:space="preserve">Hidden (or invisible) disabilities </w:t>
      </w:r>
      <w:r w:rsidRPr="00803B5A">
        <w:rPr>
          <w:rFonts w:ascii="Calibri" w:hAnsi="Calibri" w:cs="Arial"/>
          <w:bCs/>
          <w:color w:val="222222"/>
          <w:sz w:val="22"/>
          <w:szCs w:val="22"/>
          <w:shd w:val="clear" w:color="auto" w:fill="FFFFFF"/>
        </w:rPr>
        <w:t>Disabilities</w:t>
      </w:r>
      <w:r w:rsidRPr="00803B5A">
        <w:rPr>
          <w:rFonts w:ascii="Calibri" w:hAnsi="Calibri" w:cs="Arial"/>
          <w:b/>
          <w:bCs/>
          <w:color w:val="222222"/>
          <w:sz w:val="22"/>
          <w:szCs w:val="22"/>
          <w:shd w:val="clear" w:color="auto" w:fill="FFFFFF"/>
        </w:rPr>
        <w:t xml:space="preserve"> </w:t>
      </w:r>
      <w:r w:rsidRPr="00803B5A">
        <w:rPr>
          <w:rFonts w:ascii="Calibri" w:hAnsi="Calibri" w:cs="Arial"/>
          <w:color w:val="222222"/>
          <w:sz w:val="22"/>
          <w:szCs w:val="22"/>
          <w:shd w:val="clear" w:color="auto" w:fill="FFFFFF"/>
        </w:rPr>
        <w:t xml:space="preserve">that are not immediately apparent.  Some common hidden disabilities </w:t>
      </w:r>
      <w:r w:rsidR="00BB016D">
        <w:rPr>
          <w:rFonts w:ascii="Calibri" w:hAnsi="Calibri" w:cs="Arial"/>
          <w:color w:val="222222"/>
          <w:sz w:val="22"/>
          <w:szCs w:val="22"/>
          <w:shd w:val="clear" w:color="auto" w:fill="FFFFFF"/>
        </w:rPr>
        <w:t>are</w:t>
      </w:r>
      <w:r w:rsidRPr="00803B5A">
        <w:rPr>
          <w:rFonts w:ascii="Calibri" w:hAnsi="Calibri" w:cs="Arial"/>
          <w:color w:val="222222"/>
          <w:sz w:val="22"/>
          <w:szCs w:val="22"/>
          <w:shd w:val="clear" w:color="auto" w:fill="FFFFFF"/>
        </w:rPr>
        <w:t xml:space="preserve"> diabetes, post-traumatic stress, traumatic brain injury, cancer, anxiety disorders, heart disease, and arthritis. </w:t>
      </w:r>
    </w:p>
    <w:p w:rsidR="002565BF" w:rsidRDefault="002565BF" w:rsidP="002565BF">
      <w:pPr>
        <w:pStyle w:val="ListParagraph"/>
        <w:ind w:left="0"/>
        <w:jc w:val="both"/>
      </w:pPr>
    </w:p>
    <w:p w:rsidR="002565BF" w:rsidRPr="008A4413" w:rsidRDefault="002565BF" w:rsidP="002565BF">
      <w:pPr>
        <w:pStyle w:val="ListParagraph"/>
        <w:ind w:left="0"/>
        <w:jc w:val="both"/>
        <w:rPr>
          <w:rFonts w:cs="Utsaah"/>
        </w:rPr>
      </w:pPr>
      <w:r>
        <w:rPr>
          <w:b/>
        </w:rPr>
        <w:t xml:space="preserve">Limited English </w:t>
      </w:r>
      <w:r w:rsidR="00BB016D">
        <w:rPr>
          <w:b/>
        </w:rPr>
        <w:t>P</w:t>
      </w:r>
      <w:r>
        <w:rPr>
          <w:b/>
        </w:rPr>
        <w:t xml:space="preserve">roficient (LEP) individual </w:t>
      </w:r>
      <w:r>
        <w:t>An individual whose primary language for communications is not English and who has a limited ability to read, speak, write, and/or understand English. LEP individuals may be competent in English for certain types of communication (e.g.</w:t>
      </w:r>
      <w:r w:rsidR="00BB016D">
        <w:t>;</w:t>
      </w:r>
      <w:r>
        <w:t xml:space="preserve"> speaking or understanding), but still </w:t>
      </w:r>
      <w:r w:rsidR="00BB016D">
        <w:t xml:space="preserve">may </w:t>
      </w:r>
      <w:r w:rsidR="005310A1">
        <w:t xml:space="preserve">be </w:t>
      </w:r>
      <w:r>
        <w:t>LEP for other purposes (e.g.</w:t>
      </w:r>
      <w:r w:rsidR="00BB016D">
        <w:t>;</w:t>
      </w:r>
      <w:r>
        <w:t xml:space="preserve"> reading or writing).</w:t>
      </w:r>
    </w:p>
    <w:p w:rsidR="002565BF" w:rsidRDefault="002565BF" w:rsidP="002565BF">
      <w:pPr>
        <w:jc w:val="both"/>
        <w:rPr>
          <w:rFonts w:ascii="Calibri" w:hAnsi="Calibri" w:cs="Utsaah"/>
          <w:b/>
          <w:sz w:val="22"/>
          <w:szCs w:val="22"/>
        </w:rPr>
      </w:pPr>
    </w:p>
    <w:p w:rsidR="002565BF" w:rsidRDefault="002565BF" w:rsidP="002565BF">
      <w:pPr>
        <w:jc w:val="both"/>
        <w:rPr>
          <w:rFonts w:ascii="Calibri" w:hAnsi="Calibri" w:cs="Utsaah"/>
          <w:sz w:val="22"/>
          <w:szCs w:val="22"/>
        </w:rPr>
      </w:pPr>
      <w:r>
        <w:rPr>
          <w:rFonts w:ascii="Calibri" w:hAnsi="Calibri" w:cs="Utsaah"/>
          <w:b/>
          <w:sz w:val="22"/>
          <w:szCs w:val="22"/>
        </w:rPr>
        <w:t>Nondiscrimination</w:t>
      </w:r>
      <w:r>
        <w:rPr>
          <w:rFonts w:ascii="Calibri" w:hAnsi="Calibri" w:cs="Utsaah"/>
          <w:sz w:val="22"/>
          <w:szCs w:val="22"/>
        </w:rPr>
        <w:t xml:space="preserve"> Fairness in treating people without prejudice. The absence or avoidance of discrimination.</w:t>
      </w:r>
    </w:p>
    <w:p w:rsidR="002565BF" w:rsidRDefault="002565BF" w:rsidP="002565BF">
      <w:pPr>
        <w:jc w:val="both"/>
        <w:rPr>
          <w:rFonts w:ascii="Calibri" w:hAnsi="Calibri" w:cs="Utsaah"/>
          <w:sz w:val="22"/>
          <w:szCs w:val="22"/>
        </w:rPr>
      </w:pPr>
    </w:p>
    <w:p w:rsidR="002565BF" w:rsidRPr="009768C9" w:rsidRDefault="002565BF" w:rsidP="002565BF">
      <w:pPr>
        <w:jc w:val="both"/>
        <w:rPr>
          <w:rFonts w:ascii="Calibri" w:hAnsi="Calibri" w:cs="Utsaah"/>
          <w:sz w:val="22"/>
          <w:szCs w:val="22"/>
        </w:rPr>
      </w:pPr>
      <w:r w:rsidRPr="00906412">
        <w:rPr>
          <w:rFonts w:ascii="Calibri" w:hAnsi="Calibri" w:cs="Utsaah"/>
          <w:b/>
          <w:sz w:val="22"/>
          <w:szCs w:val="22"/>
        </w:rPr>
        <w:t>One-stop partner</w:t>
      </w:r>
      <w:r>
        <w:rPr>
          <w:rFonts w:ascii="Calibri" w:hAnsi="Calibri" w:cs="Utsaah"/>
          <w:b/>
          <w:sz w:val="22"/>
          <w:szCs w:val="22"/>
        </w:rPr>
        <w:t xml:space="preserve"> </w:t>
      </w:r>
      <w:r w:rsidRPr="009768C9">
        <w:rPr>
          <w:rFonts w:ascii="Calibri" w:hAnsi="Calibri" w:cs="Utsaah"/>
          <w:sz w:val="22"/>
          <w:szCs w:val="22"/>
        </w:rPr>
        <w:t>An entity described in WIOA section 121(b)(1) and an entity described in WIOA section 121(b)(2) that is participating, with the approval of the local workforce development board and chief elected official, in the operation of the one-stop delivery system.</w:t>
      </w:r>
      <w:r>
        <w:rPr>
          <w:rFonts w:ascii="Calibri" w:hAnsi="Calibri" w:cs="Utsaah"/>
          <w:sz w:val="22"/>
          <w:szCs w:val="22"/>
        </w:rPr>
        <w:t xml:space="preserve">  See Appendix </w:t>
      </w:r>
      <w:r w:rsidR="00BB016D">
        <w:rPr>
          <w:rFonts w:ascii="Calibri" w:hAnsi="Calibri" w:cs="Utsaah"/>
          <w:sz w:val="22"/>
          <w:szCs w:val="22"/>
        </w:rPr>
        <w:t>B</w:t>
      </w:r>
      <w:r>
        <w:rPr>
          <w:rFonts w:ascii="Calibri" w:hAnsi="Calibri" w:cs="Utsaah"/>
          <w:sz w:val="22"/>
          <w:szCs w:val="22"/>
        </w:rPr>
        <w:t xml:space="preserve"> for a list of these entities.</w:t>
      </w:r>
    </w:p>
    <w:p w:rsidR="002565BF" w:rsidRDefault="002565BF" w:rsidP="002565BF">
      <w:pPr>
        <w:jc w:val="both"/>
        <w:rPr>
          <w:rFonts w:ascii="Calibri" w:hAnsi="Calibri" w:cs="Utsaah"/>
          <w:sz w:val="22"/>
          <w:szCs w:val="22"/>
        </w:rPr>
      </w:pPr>
    </w:p>
    <w:p w:rsidR="002565BF" w:rsidRDefault="002565BF" w:rsidP="002565BF">
      <w:pPr>
        <w:jc w:val="both"/>
        <w:rPr>
          <w:rFonts w:ascii="Calibri" w:hAnsi="Calibri" w:cs="Utsaah"/>
          <w:b/>
          <w:sz w:val="22"/>
          <w:szCs w:val="22"/>
        </w:rPr>
      </w:pPr>
      <w:r w:rsidRPr="00411D62">
        <w:rPr>
          <w:rFonts w:ascii="Calibri" w:hAnsi="Calibri" w:cs="Utsaah"/>
          <w:b/>
          <w:sz w:val="22"/>
          <w:szCs w:val="22"/>
        </w:rPr>
        <w:t>One-stop system</w:t>
      </w:r>
      <w:r>
        <w:rPr>
          <w:rFonts w:ascii="Calibri" w:hAnsi="Calibri" w:cs="Utsaah"/>
          <w:b/>
          <w:sz w:val="22"/>
          <w:szCs w:val="22"/>
        </w:rPr>
        <w:t xml:space="preserve"> </w:t>
      </w:r>
      <w:r w:rsidRPr="009768C9">
        <w:rPr>
          <w:rFonts w:ascii="Calibri" w:hAnsi="Calibri" w:cs="Utsaah"/>
          <w:sz w:val="22"/>
          <w:szCs w:val="22"/>
        </w:rPr>
        <w:t xml:space="preserve">The network of </w:t>
      </w:r>
      <w:r>
        <w:rPr>
          <w:rFonts w:ascii="Calibri" w:hAnsi="Calibri" w:cs="Utsaah"/>
          <w:sz w:val="22"/>
          <w:szCs w:val="22"/>
        </w:rPr>
        <w:t>entities</w:t>
      </w:r>
      <w:r w:rsidRPr="009768C9">
        <w:rPr>
          <w:rFonts w:ascii="Calibri" w:hAnsi="Calibri" w:cs="Utsaah"/>
          <w:sz w:val="22"/>
          <w:szCs w:val="22"/>
        </w:rPr>
        <w:t xml:space="preserve"> </w:t>
      </w:r>
      <w:r>
        <w:rPr>
          <w:rFonts w:ascii="Calibri" w:hAnsi="Calibri" w:cs="Utsaah"/>
          <w:sz w:val="22"/>
          <w:szCs w:val="22"/>
        </w:rPr>
        <w:t>described</w:t>
      </w:r>
      <w:r w:rsidRPr="009768C9">
        <w:rPr>
          <w:rFonts w:ascii="Calibri" w:hAnsi="Calibri" w:cs="Utsaah"/>
          <w:sz w:val="22"/>
          <w:szCs w:val="22"/>
        </w:rPr>
        <w:t xml:space="preserve"> in WIOA section</w:t>
      </w:r>
      <w:r>
        <w:rPr>
          <w:rFonts w:ascii="Calibri" w:hAnsi="Calibri" w:cs="Utsaah"/>
          <w:sz w:val="22"/>
          <w:szCs w:val="22"/>
        </w:rPr>
        <w:t>s</w:t>
      </w:r>
      <w:r w:rsidRPr="009768C9">
        <w:rPr>
          <w:rFonts w:ascii="Calibri" w:hAnsi="Calibri" w:cs="Utsaah"/>
          <w:sz w:val="22"/>
          <w:szCs w:val="22"/>
        </w:rPr>
        <w:t xml:space="preserve"> 121(b)(1) and (2).</w:t>
      </w:r>
      <w:r>
        <w:rPr>
          <w:rFonts w:ascii="Calibri" w:hAnsi="Calibri" w:cs="Utsaah"/>
          <w:b/>
          <w:sz w:val="22"/>
          <w:szCs w:val="22"/>
        </w:rPr>
        <w:t xml:space="preserve">  </w:t>
      </w:r>
      <w:r w:rsidRPr="009768C9">
        <w:rPr>
          <w:rFonts w:ascii="Calibri" w:hAnsi="Calibri" w:cs="Utsaah"/>
          <w:sz w:val="22"/>
          <w:szCs w:val="22"/>
        </w:rPr>
        <w:t xml:space="preserve">See Appendix </w:t>
      </w:r>
      <w:r w:rsidR="00BB016D">
        <w:rPr>
          <w:rFonts w:ascii="Calibri" w:hAnsi="Calibri" w:cs="Utsaah"/>
          <w:sz w:val="22"/>
          <w:szCs w:val="22"/>
        </w:rPr>
        <w:t>B</w:t>
      </w:r>
      <w:r w:rsidRPr="009768C9">
        <w:rPr>
          <w:rFonts w:ascii="Calibri" w:hAnsi="Calibri" w:cs="Utsaah"/>
          <w:sz w:val="22"/>
          <w:szCs w:val="22"/>
        </w:rPr>
        <w:t>.</w:t>
      </w:r>
    </w:p>
    <w:p w:rsidR="002565BF" w:rsidRDefault="002565BF" w:rsidP="002565BF">
      <w:pPr>
        <w:jc w:val="both"/>
        <w:rPr>
          <w:rFonts w:ascii="Calibri" w:hAnsi="Calibri" w:cs="Utsaah"/>
          <w:b/>
          <w:sz w:val="22"/>
          <w:szCs w:val="22"/>
        </w:rPr>
      </w:pPr>
    </w:p>
    <w:p w:rsidR="002565BF" w:rsidRDefault="002565BF" w:rsidP="002565BF">
      <w:pPr>
        <w:jc w:val="both"/>
        <w:rPr>
          <w:rFonts w:ascii="Calibri" w:hAnsi="Calibri" w:cs="Utsaah"/>
          <w:sz w:val="22"/>
          <w:szCs w:val="22"/>
        </w:rPr>
      </w:pPr>
      <w:r w:rsidRPr="00411D62">
        <w:rPr>
          <w:rFonts w:ascii="Calibri" w:hAnsi="Calibri" w:cs="Utsaah"/>
          <w:b/>
          <w:sz w:val="22"/>
          <w:szCs w:val="22"/>
        </w:rPr>
        <w:t>Participant</w:t>
      </w:r>
      <w:r w:rsidRPr="00411D62">
        <w:rPr>
          <w:rFonts w:ascii="Calibri" w:hAnsi="Calibri" w:cs="Utsaah"/>
          <w:sz w:val="22"/>
          <w:szCs w:val="22"/>
        </w:rPr>
        <w:t xml:space="preserve">  An individual who has been determined eligible to participate in and who is receiving any aid, benefit, service, or training under a program or activity financially assisted in whole </w:t>
      </w:r>
      <w:r>
        <w:rPr>
          <w:rFonts w:ascii="Calibri" w:hAnsi="Calibri" w:cs="Utsaah"/>
          <w:sz w:val="22"/>
          <w:szCs w:val="22"/>
        </w:rPr>
        <w:t xml:space="preserve">or part under Title I of WIOA. </w:t>
      </w:r>
      <w:r w:rsidR="00BB016D">
        <w:rPr>
          <w:rFonts w:ascii="Calibri" w:hAnsi="Calibri" w:cs="Utsaah"/>
          <w:sz w:val="22"/>
          <w:szCs w:val="22"/>
        </w:rPr>
        <w:t>“</w:t>
      </w:r>
      <w:r w:rsidRPr="00411D62">
        <w:rPr>
          <w:rFonts w:ascii="Calibri" w:hAnsi="Calibri" w:cs="Utsaah"/>
          <w:sz w:val="22"/>
          <w:szCs w:val="22"/>
        </w:rPr>
        <w:t>Participant</w:t>
      </w:r>
      <w:r w:rsidR="00BB016D">
        <w:rPr>
          <w:rFonts w:ascii="Calibri" w:hAnsi="Calibri" w:cs="Utsaah"/>
          <w:sz w:val="22"/>
          <w:szCs w:val="22"/>
        </w:rPr>
        <w:t>”</w:t>
      </w:r>
      <w:r w:rsidRPr="00411D62">
        <w:rPr>
          <w:rFonts w:ascii="Calibri" w:hAnsi="Calibri" w:cs="Utsaah"/>
          <w:sz w:val="22"/>
          <w:szCs w:val="22"/>
        </w:rPr>
        <w:t xml:space="preserve"> includes, but is not limited to, individuals receiving any service(s) under State Employment Service programs and claimants receiving any service(s) or benefits under State Employment Insurance programs.</w:t>
      </w:r>
    </w:p>
    <w:p w:rsidR="002565BF" w:rsidRDefault="002565BF" w:rsidP="002565BF">
      <w:pPr>
        <w:jc w:val="both"/>
        <w:rPr>
          <w:rFonts w:ascii="Calibri" w:hAnsi="Calibri" w:cs="Utsaah"/>
          <w:sz w:val="22"/>
          <w:szCs w:val="22"/>
        </w:rPr>
      </w:pPr>
    </w:p>
    <w:p w:rsidR="00F3075A" w:rsidRDefault="002565BF" w:rsidP="002565BF">
      <w:pPr>
        <w:jc w:val="both"/>
        <w:rPr>
          <w:rFonts w:ascii="Calibri" w:hAnsi="Calibri" w:cs="Utsaah"/>
          <w:sz w:val="22"/>
          <w:szCs w:val="22"/>
        </w:rPr>
      </w:pPr>
      <w:r w:rsidRPr="00A02E01">
        <w:rPr>
          <w:rFonts w:ascii="Calibri" w:hAnsi="Calibri" w:cs="Utsaah"/>
          <w:b/>
          <w:sz w:val="22"/>
          <w:szCs w:val="22"/>
        </w:rPr>
        <w:t>Physical accessibility</w:t>
      </w:r>
      <w:r>
        <w:rPr>
          <w:rFonts w:ascii="Calibri" w:hAnsi="Calibri" w:cs="Utsaah"/>
          <w:b/>
          <w:sz w:val="22"/>
          <w:szCs w:val="22"/>
        </w:rPr>
        <w:t xml:space="preserve"> </w:t>
      </w:r>
      <w:r w:rsidRPr="00197EFE">
        <w:rPr>
          <w:rFonts w:ascii="Calibri" w:hAnsi="Calibri" w:cs="Utsaah"/>
          <w:sz w:val="22"/>
          <w:szCs w:val="22"/>
        </w:rPr>
        <w:t xml:space="preserve">Buildings, grounds, </w:t>
      </w:r>
      <w:r w:rsidR="00BB016D">
        <w:rPr>
          <w:rFonts w:ascii="Calibri" w:hAnsi="Calibri" w:cs="Utsaah"/>
          <w:sz w:val="22"/>
          <w:szCs w:val="22"/>
        </w:rPr>
        <w:t>and facilities</w:t>
      </w:r>
      <w:r w:rsidRPr="00197EFE">
        <w:rPr>
          <w:rFonts w:ascii="Calibri" w:hAnsi="Calibri" w:cs="Utsaah"/>
          <w:sz w:val="22"/>
          <w:szCs w:val="22"/>
        </w:rPr>
        <w:t xml:space="preserve"> that are easy to find, reach, enter, use.  Physical accessibility includes</w:t>
      </w:r>
      <w:r>
        <w:rPr>
          <w:rFonts w:ascii="Calibri" w:hAnsi="Calibri" w:cs="Utsaah"/>
          <w:sz w:val="22"/>
          <w:szCs w:val="22"/>
        </w:rPr>
        <w:t xml:space="preserve">, but is not limited to, offices that are easy to reach via public transportation, alternative locations of service, </w:t>
      </w:r>
      <w:r w:rsidRPr="00197EFE">
        <w:rPr>
          <w:rFonts w:ascii="Calibri" w:hAnsi="Calibri" w:cs="Utsaah"/>
          <w:sz w:val="22"/>
          <w:szCs w:val="22"/>
        </w:rPr>
        <w:t xml:space="preserve">training </w:t>
      </w:r>
      <w:r>
        <w:rPr>
          <w:rFonts w:ascii="Calibri" w:hAnsi="Calibri" w:cs="Utsaah"/>
          <w:sz w:val="22"/>
          <w:szCs w:val="22"/>
        </w:rPr>
        <w:t xml:space="preserve">and education </w:t>
      </w:r>
      <w:r w:rsidRPr="00197EFE">
        <w:rPr>
          <w:rFonts w:ascii="Calibri" w:hAnsi="Calibri" w:cs="Utsaah"/>
          <w:sz w:val="22"/>
          <w:szCs w:val="22"/>
        </w:rPr>
        <w:t xml:space="preserve">facilities, </w:t>
      </w:r>
      <w:r>
        <w:rPr>
          <w:rFonts w:ascii="Calibri" w:hAnsi="Calibri" w:cs="Utsaah"/>
          <w:sz w:val="22"/>
          <w:szCs w:val="22"/>
        </w:rPr>
        <w:t xml:space="preserve">events, </w:t>
      </w:r>
      <w:r w:rsidRPr="00197EFE">
        <w:rPr>
          <w:rFonts w:ascii="Calibri" w:hAnsi="Calibri" w:cs="Utsaah"/>
          <w:sz w:val="22"/>
          <w:szCs w:val="22"/>
        </w:rPr>
        <w:t>work spaces, meeting and interview rooms, bathrooms,  computers</w:t>
      </w:r>
      <w:r>
        <w:rPr>
          <w:rFonts w:ascii="Calibri" w:hAnsi="Calibri" w:cs="Utsaah"/>
          <w:sz w:val="22"/>
          <w:szCs w:val="22"/>
        </w:rPr>
        <w:t>/</w:t>
      </w:r>
      <w:r w:rsidRPr="00197EFE">
        <w:rPr>
          <w:rFonts w:ascii="Calibri" w:hAnsi="Calibri" w:cs="Utsaah"/>
          <w:sz w:val="22"/>
          <w:szCs w:val="22"/>
        </w:rPr>
        <w:t>computer equipment</w:t>
      </w:r>
      <w:r>
        <w:rPr>
          <w:rFonts w:ascii="Calibri" w:hAnsi="Calibri" w:cs="Utsaah"/>
          <w:sz w:val="22"/>
          <w:szCs w:val="22"/>
        </w:rPr>
        <w:t xml:space="preserve">, office equipment, and reading material.  Electronic documents must be readable by software designed for blind and visually impaired individuals. </w:t>
      </w:r>
    </w:p>
    <w:p w:rsidR="00F3075A" w:rsidRDefault="00F3075A" w:rsidP="002565BF">
      <w:pPr>
        <w:jc w:val="both"/>
        <w:rPr>
          <w:rFonts w:ascii="Calibri" w:hAnsi="Calibri" w:cs="Utsaah"/>
          <w:sz w:val="22"/>
          <w:szCs w:val="22"/>
        </w:rPr>
      </w:pPr>
    </w:p>
    <w:p w:rsidR="002565BF" w:rsidRPr="00F33270" w:rsidRDefault="002565BF" w:rsidP="002565BF">
      <w:pPr>
        <w:jc w:val="both"/>
        <w:rPr>
          <w:rFonts w:ascii="Calibri" w:hAnsi="Calibri" w:cs="Arial"/>
          <w:sz w:val="22"/>
          <w:szCs w:val="22"/>
          <w:shd w:val="clear" w:color="auto" w:fill="FFFFFF"/>
        </w:rPr>
      </w:pPr>
      <w:r w:rsidRPr="00A02E01">
        <w:rPr>
          <w:rFonts w:ascii="Calibri" w:hAnsi="Calibri" w:cs="Utsaah"/>
          <w:b/>
          <w:sz w:val="22"/>
          <w:szCs w:val="22"/>
        </w:rPr>
        <w:t>Programmatic accessibility</w:t>
      </w:r>
      <w:r>
        <w:rPr>
          <w:rFonts w:ascii="Calibri" w:hAnsi="Calibri" w:cs="Utsaah"/>
          <w:b/>
          <w:sz w:val="22"/>
          <w:szCs w:val="22"/>
        </w:rPr>
        <w:t xml:space="preserve"> </w:t>
      </w:r>
      <w:r w:rsidRPr="00A60BD4">
        <w:rPr>
          <w:rFonts w:ascii="Calibri" w:hAnsi="Calibri" w:cs="Utsaah"/>
          <w:sz w:val="22"/>
          <w:szCs w:val="22"/>
        </w:rPr>
        <w:t>P</w:t>
      </w:r>
      <w:r w:rsidRPr="00A60BD4">
        <w:rPr>
          <w:rFonts w:ascii="Calibri" w:hAnsi="Calibri" w:cs="Arial"/>
          <w:color w:val="000000"/>
          <w:sz w:val="22"/>
          <w:szCs w:val="22"/>
          <w:shd w:val="clear" w:color="auto" w:fill="FFFFFF"/>
        </w:rPr>
        <w:t xml:space="preserve">olicies, practices, and procedures providing effective and meaningful opportunity for persons with disabilities, limited English proficiency, and </w:t>
      </w:r>
      <w:r w:rsidRPr="001C64D6">
        <w:rPr>
          <w:rFonts w:ascii="Calibri" w:hAnsi="Calibri" w:cs="Arial"/>
          <w:color w:val="000000"/>
          <w:sz w:val="22"/>
          <w:szCs w:val="22"/>
          <w:shd w:val="clear" w:color="auto" w:fill="FFFFFF"/>
        </w:rPr>
        <w:t>religious practices that require accommodation</w:t>
      </w:r>
      <w:r w:rsidRPr="00A60BD4">
        <w:rPr>
          <w:rFonts w:ascii="Calibri" w:hAnsi="Calibri" w:cs="Arial"/>
          <w:color w:val="000000"/>
          <w:sz w:val="22"/>
          <w:szCs w:val="22"/>
          <w:shd w:val="clear" w:color="auto" w:fill="FFFFFF"/>
        </w:rPr>
        <w:t xml:space="preserve"> to participate in or benefit from </w:t>
      </w:r>
      <w:r>
        <w:rPr>
          <w:rFonts w:ascii="Calibri" w:hAnsi="Calibri" w:cs="Arial"/>
          <w:color w:val="000000"/>
          <w:sz w:val="22"/>
          <w:szCs w:val="22"/>
          <w:shd w:val="clear" w:color="auto" w:fill="FFFFFF"/>
        </w:rPr>
        <w:t xml:space="preserve">employment opportunities, </w:t>
      </w:r>
      <w:r w:rsidRPr="00A60BD4">
        <w:rPr>
          <w:rFonts w:ascii="Calibri" w:hAnsi="Calibri" w:cs="Arial"/>
          <w:color w:val="000000"/>
          <w:sz w:val="22"/>
          <w:szCs w:val="22"/>
          <w:shd w:val="clear" w:color="auto" w:fill="FFFFFF"/>
        </w:rPr>
        <w:t>aid, ben</w:t>
      </w:r>
      <w:r w:rsidR="00F3075A">
        <w:rPr>
          <w:rFonts w:ascii="Calibri" w:hAnsi="Calibri" w:cs="Arial"/>
          <w:color w:val="000000"/>
          <w:sz w:val="22"/>
          <w:szCs w:val="22"/>
          <w:shd w:val="clear" w:color="auto" w:fill="FFFFFF"/>
        </w:rPr>
        <w:t xml:space="preserve">efits, services, and training. </w:t>
      </w:r>
      <w:r w:rsidRPr="00A60BD4">
        <w:rPr>
          <w:rFonts w:ascii="Calibri" w:hAnsi="Calibri" w:cs="Arial"/>
          <w:color w:val="000000"/>
          <w:sz w:val="22"/>
          <w:szCs w:val="22"/>
          <w:shd w:val="clear" w:color="auto" w:fill="FFFFFF"/>
        </w:rPr>
        <w:t xml:space="preserve">Programmatic accessibility includes, but is not limited to, </w:t>
      </w:r>
      <w:r w:rsidRPr="00F33270">
        <w:rPr>
          <w:rFonts w:ascii="Calibri" w:hAnsi="Calibri"/>
          <w:sz w:val="22"/>
          <w:szCs w:val="22"/>
          <w:shd w:val="clear" w:color="auto" w:fill="FFFFFF"/>
        </w:rPr>
        <w:t>providing reasonable accommodations, making reasonable modifications to policies, practices, and procedures, administering programs in the most integrated setting appropriate, communicating with persons with disabilities or limited English proficiency as effectively as with others, and providing appropriate auxiliary aids or services, including assistive technology devices and services, where necessary to afford individuals an equal opportunity to participate in and enjoy the benefits of the program or activity.</w:t>
      </w:r>
    </w:p>
    <w:p w:rsidR="002565BF" w:rsidRDefault="002565BF" w:rsidP="002565BF">
      <w:pPr>
        <w:jc w:val="both"/>
        <w:rPr>
          <w:rFonts w:ascii="Calibri" w:hAnsi="Calibri" w:cs="Utsaah"/>
          <w:b/>
          <w:sz w:val="22"/>
          <w:szCs w:val="22"/>
        </w:rPr>
      </w:pPr>
    </w:p>
    <w:p w:rsidR="002565BF" w:rsidRDefault="002565BF" w:rsidP="002565BF">
      <w:pPr>
        <w:jc w:val="both"/>
        <w:rPr>
          <w:rFonts w:ascii="Calibri" w:hAnsi="Calibri" w:cs="Utsaah"/>
          <w:sz w:val="22"/>
          <w:szCs w:val="22"/>
        </w:rPr>
      </w:pPr>
      <w:r>
        <w:rPr>
          <w:rFonts w:ascii="Calibri" w:hAnsi="Calibri" w:cs="Utsaah"/>
          <w:b/>
          <w:sz w:val="22"/>
          <w:szCs w:val="22"/>
        </w:rPr>
        <w:t xml:space="preserve">Recipient  </w:t>
      </w:r>
      <w:r w:rsidRPr="00E6321D">
        <w:rPr>
          <w:rFonts w:ascii="Calibri" w:hAnsi="Calibri" w:cs="Utsaah"/>
          <w:sz w:val="22"/>
          <w:szCs w:val="22"/>
        </w:rPr>
        <w:t>Any agency or entity that receives financial assistance under WIOA,</w:t>
      </w:r>
      <w:r>
        <w:rPr>
          <w:rFonts w:ascii="Calibri" w:hAnsi="Calibri" w:cs="Utsaah"/>
          <w:sz w:val="22"/>
          <w:szCs w:val="22"/>
        </w:rPr>
        <w:t xml:space="preserve"> including but not limited to state agencies, state and local workforce boards, WIOA discretionary grant recipients, one-stop operators, service providers-including eligible training providers, on-the-job training (OJT) employers, Job </w:t>
      </w:r>
      <w:r>
        <w:rPr>
          <w:rFonts w:ascii="Calibri" w:hAnsi="Calibri" w:cs="Utsaah"/>
          <w:sz w:val="22"/>
          <w:szCs w:val="22"/>
        </w:rPr>
        <w:lastRenderedPageBreak/>
        <w:t xml:space="preserve">Corp operators, and others.  As outlined in the </w:t>
      </w:r>
      <w:r w:rsidRPr="00A07AC8">
        <w:rPr>
          <w:rFonts w:ascii="Calibri" w:hAnsi="Calibri" w:cs="Utsaah"/>
          <w:i/>
          <w:sz w:val="22"/>
          <w:szCs w:val="22"/>
        </w:rPr>
        <w:t>Federal Register</w:t>
      </w:r>
      <w:r>
        <w:rPr>
          <w:rFonts w:ascii="Calibri" w:hAnsi="Calibri" w:cs="Utsaah"/>
          <w:sz w:val="22"/>
          <w:szCs w:val="22"/>
        </w:rPr>
        <w:t xml:space="preserve"> Volume 81, Number 232, December 2, 2016, “The term ‘recipient’ includes every one-stop partner listed in WIOA Section 121(b), whenever the partner operates or conducts programs or activities that are part of the one-stop delivery system</w:t>
      </w:r>
      <w:r w:rsidRPr="005F0DE1">
        <w:rPr>
          <w:rFonts w:ascii="Calibri" w:hAnsi="Calibri" w:cs="Utsaah"/>
          <w:sz w:val="22"/>
          <w:szCs w:val="22"/>
        </w:rPr>
        <w:t xml:space="preserve">.” </w:t>
      </w:r>
      <w:r>
        <w:rPr>
          <w:rFonts w:ascii="Calibri" w:hAnsi="Calibri" w:cs="Utsaah"/>
          <w:sz w:val="22"/>
          <w:szCs w:val="22"/>
        </w:rPr>
        <w:t xml:space="preserve">See Appendix </w:t>
      </w:r>
      <w:r w:rsidR="00DC260A">
        <w:rPr>
          <w:rFonts w:ascii="Calibri" w:hAnsi="Calibri" w:cs="Utsaah"/>
          <w:sz w:val="22"/>
          <w:szCs w:val="22"/>
        </w:rPr>
        <w:t>B</w:t>
      </w:r>
      <w:r>
        <w:rPr>
          <w:rFonts w:ascii="Calibri" w:hAnsi="Calibri" w:cs="Utsaah"/>
          <w:sz w:val="22"/>
          <w:szCs w:val="22"/>
        </w:rPr>
        <w:t xml:space="preserve"> for list of required partners under WIOA Section 121(b).</w:t>
      </w:r>
    </w:p>
    <w:p w:rsidR="002565BF" w:rsidRDefault="002565BF" w:rsidP="002565BF">
      <w:pPr>
        <w:jc w:val="both"/>
        <w:rPr>
          <w:rFonts w:ascii="Calibri" w:hAnsi="Calibri" w:cs="Utsaah"/>
          <w:sz w:val="22"/>
          <w:szCs w:val="22"/>
        </w:rPr>
      </w:pPr>
    </w:p>
    <w:p w:rsidR="002565BF" w:rsidRPr="009768C9" w:rsidRDefault="002565BF" w:rsidP="002565BF">
      <w:pPr>
        <w:jc w:val="both"/>
        <w:rPr>
          <w:rFonts w:ascii="Calibri" w:hAnsi="Calibri" w:cs="Utsaah"/>
          <w:sz w:val="22"/>
          <w:szCs w:val="22"/>
        </w:rPr>
      </w:pPr>
      <w:r w:rsidRPr="009768C9">
        <w:rPr>
          <w:rFonts w:ascii="Calibri" w:hAnsi="Calibri" w:cs="Utsaah"/>
          <w:b/>
          <w:sz w:val="22"/>
          <w:szCs w:val="22"/>
        </w:rPr>
        <w:t xml:space="preserve">Required </w:t>
      </w:r>
      <w:r>
        <w:rPr>
          <w:rFonts w:ascii="Calibri" w:hAnsi="Calibri" w:cs="Utsaah"/>
          <w:b/>
          <w:sz w:val="22"/>
          <w:szCs w:val="22"/>
        </w:rPr>
        <w:t>p</w:t>
      </w:r>
      <w:r w:rsidRPr="009768C9">
        <w:rPr>
          <w:rFonts w:ascii="Calibri" w:hAnsi="Calibri" w:cs="Utsaah"/>
          <w:b/>
          <w:sz w:val="22"/>
          <w:szCs w:val="22"/>
        </w:rPr>
        <w:t>artner</w:t>
      </w:r>
      <w:r>
        <w:rPr>
          <w:rFonts w:ascii="Calibri" w:hAnsi="Calibri" w:cs="Utsaah"/>
          <w:sz w:val="22"/>
          <w:szCs w:val="22"/>
        </w:rPr>
        <w:t xml:space="preserve"> A</w:t>
      </w:r>
      <w:r w:rsidRPr="009768C9">
        <w:rPr>
          <w:rFonts w:ascii="Calibri" w:hAnsi="Calibri" w:cs="Utsaah"/>
          <w:sz w:val="22"/>
          <w:szCs w:val="22"/>
        </w:rPr>
        <w:t>n entity described in WIOA section 121(b)(2) that is participating, with the approval of the local workforce development board and chief elected official, in the operation of the one-stop delivery system.</w:t>
      </w:r>
      <w:r>
        <w:rPr>
          <w:rFonts w:ascii="Calibri" w:hAnsi="Calibri" w:cs="Utsaah"/>
          <w:sz w:val="22"/>
          <w:szCs w:val="22"/>
        </w:rPr>
        <w:t xml:space="preserve">  See </w:t>
      </w:r>
      <w:r w:rsidRPr="004B7953">
        <w:rPr>
          <w:rFonts w:ascii="Calibri" w:hAnsi="Calibri" w:cs="Utsaah"/>
          <w:b/>
          <w:sz w:val="22"/>
          <w:szCs w:val="22"/>
        </w:rPr>
        <w:t>One-stop partner</w:t>
      </w:r>
      <w:r>
        <w:rPr>
          <w:rFonts w:ascii="Calibri" w:hAnsi="Calibri" w:cs="Utsaah"/>
          <w:sz w:val="22"/>
          <w:szCs w:val="22"/>
        </w:rPr>
        <w:t xml:space="preserve"> above and Appendix </w:t>
      </w:r>
      <w:r w:rsidR="005310A1">
        <w:rPr>
          <w:rFonts w:ascii="Calibri" w:hAnsi="Calibri" w:cs="Utsaah"/>
          <w:sz w:val="22"/>
          <w:szCs w:val="22"/>
        </w:rPr>
        <w:t>B</w:t>
      </w:r>
      <w:r>
        <w:rPr>
          <w:rFonts w:ascii="Calibri" w:hAnsi="Calibri" w:cs="Utsaah"/>
          <w:sz w:val="22"/>
          <w:szCs w:val="22"/>
        </w:rPr>
        <w:t xml:space="preserve"> for a list of these entities.</w:t>
      </w:r>
    </w:p>
    <w:p w:rsidR="002565BF" w:rsidRDefault="002565BF" w:rsidP="002565BF">
      <w:pPr>
        <w:jc w:val="both"/>
        <w:rPr>
          <w:rFonts w:ascii="Calibri" w:hAnsi="Calibri" w:cs="Utsaah"/>
          <w:sz w:val="22"/>
          <w:szCs w:val="22"/>
        </w:rPr>
      </w:pPr>
    </w:p>
    <w:p w:rsidR="002565BF" w:rsidRPr="003B4FD9" w:rsidRDefault="002565BF" w:rsidP="002565BF">
      <w:pPr>
        <w:jc w:val="both"/>
        <w:rPr>
          <w:rFonts w:ascii="Calibri" w:hAnsi="Calibri" w:cs="Utsaah"/>
          <w:sz w:val="22"/>
          <w:szCs w:val="22"/>
        </w:rPr>
      </w:pPr>
      <w:r w:rsidRPr="00764834">
        <w:rPr>
          <w:rFonts w:ascii="Calibri" w:hAnsi="Calibri" w:cs="Utsaah"/>
          <w:b/>
          <w:sz w:val="22"/>
          <w:szCs w:val="22"/>
        </w:rPr>
        <w:t xml:space="preserve">Qualified individual </w:t>
      </w:r>
      <w:r>
        <w:rPr>
          <w:rFonts w:ascii="Calibri" w:hAnsi="Calibri" w:cs="Utsaah"/>
          <w:b/>
          <w:sz w:val="22"/>
          <w:szCs w:val="22"/>
        </w:rPr>
        <w:t xml:space="preserve"> </w:t>
      </w:r>
      <w:r w:rsidRPr="00764834">
        <w:rPr>
          <w:rFonts w:ascii="Calibri" w:hAnsi="Calibri" w:cs="Utsaah"/>
          <w:sz w:val="22"/>
          <w:szCs w:val="22"/>
        </w:rPr>
        <w:t xml:space="preserve">A person who has been determined eligible to receive certain services that require </w:t>
      </w:r>
      <w:r w:rsidR="00DC260A">
        <w:rPr>
          <w:rFonts w:ascii="Calibri" w:hAnsi="Calibri" w:cs="Utsaah"/>
          <w:sz w:val="22"/>
          <w:szCs w:val="22"/>
        </w:rPr>
        <w:t xml:space="preserve">participants to </w:t>
      </w:r>
      <w:r w:rsidRPr="00764834">
        <w:rPr>
          <w:rFonts w:ascii="Calibri" w:hAnsi="Calibri" w:cs="Utsaah"/>
          <w:sz w:val="22"/>
          <w:szCs w:val="22"/>
        </w:rPr>
        <w:t>meet specific qualifications.  (This is not the same as “qualified individual with a disability.”)</w:t>
      </w:r>
    </w:p>
    <w:p w:rsidR="002565BF" w:rsidRDefault="002565BF" w:rsidP="002565BF">
      <w:pPr>
        <w:jc w:val="both"/>
        <w:rPr>
          <w:rFonts w:ascii="Calibri" w:hAnsi="Calibri" w:cs="Utsaah"/>
          <w:sz w:val="22"/>
          <w:szCs w:val="22"/>
        </w:rPr>
      </w:pPr>
    </w:p>
    <w:p w:rsidR="002565BF" w:rsidRDefault="002565BF" w:rsidP="002565BF">
      <w:pPr>
        <w:jc w:val="both"/>
        <w:rPr>
          <w:rFonts w:ascii="Calibri" w:hAnsi="Calibri" w:cs="Utsaah"/>
          <w:sz w:val="22"/>
          <w:szCs w:val="22"/>
        </w:rPr>
      </w:pPr>
      <w:r>
        <w:rPr>
          <w:rFonts w:ascii="Calibri" w:hAnsi="Calibri" w:cs="Utsaah"/>
          <w:b/>
          <w:sz w:val="22"/>
          <w:szCs w:val="22"/>
        </w:rPr>
        <w:t xml:space="preserve">Qualified individual with a disability  </w:t>
      </w:r>
      <w:r w:rsidRPr="008005FE">
        <w:rPr>
          <w:rFonts w:ascii="Calibri" w:hAnsi="Calibri" w:cs="Utsaah"/>
          <w:sz w:val="22"/>
          <w:szCs w:val="22"/>
          <w:u w:val="single"/>
        </w:rPr>
        <w:t>With respect to employment</w:t>
      </w:r>
      <w:r w:rsidRPr="008005FE">
        <w:rPr>
          <w:rFonts w:ascii="Calibri" w:hAnsi="Calibri" w:cs="Utsaah"/>
          <w:sz w:val="22"/>
          <w:szCs w:val="22"/>
        </w:rPr>
        <w:t>, an individual who satisfies the requisite skill, experience, educat</w:t>
      </w:r>
      <w:r>
        <w:rPr>
          <w:rFonts w:ascii="Calibri" w:hAnsi="Calibri" w:cs="Utsaah"/>
          <w:sz w:val="22"/>
          <w:szCs w:val="22"/>
        </w:rPr>
        <w:t>io</w:t>
      </w:r>
      <w:r w:rsidRPr="008005FE">
        <w:rPr>
          <w:rFonts w:ascii="Calibri" w:hAnsi="Calibri" w:cs="Utsaah"/>
          <w:sz w:val="22"/>
          <w:szCs w:val="22"/>
        </w:rPr>
        <w:t xml:space="preserve">n, and other job-related requirements of the employment position such individual holds or </w:t>
      </w:r>
      <w:r>
        <w:rPr>
          <w:rFonts w:ascii="Calibri" w:hAnsi="Calibri" w:cs="Utsaah"/>
          <w:sz w:val="22"/>
          <w:szCs w:val="22"/>
        </w:rPr>
        <w:t>d</w:t>
      </w:r>
      <w:r w:rsidRPr="008005FE">
        <w:rPr>
          <w:rFonts w:ascii="Calibri" w:hAnsi="Calibri" w:cs="Utsaah"/>
          <w:sz w:val="22"/>
          <w:szCs w:val="22"/>
        </w:rPr>
        <w:t xml:space="preserve">esires, and who, with or </w:t>
      </w:r>
      <w:r>
        <w:rPr>
          <w:rFonts w:ascii="Calibri" w:hAnsi="Calibri" w:cs="Utsaah"/>
          <w:sz w:val="22"/>
          <w:szCs w:val="22"/>
        </w:rPr>
        <w:t>without r</w:t>
      </w:r>
      <w:r w:rsidRPr="008005FE">
        <w:rPr>
          <w:rFonts w:ascii="Calibri" w:hAnsi="Calibri" w:cs="Utsaah"/>
          <w:sz w:val="22"/>
          <w:szCs w:val="22"/>
        </w:rPr>
        <w:t>easonable accommodation, can perform the essential functions of such position.</w:t>
      </w:r>
      <w:r>
        <w:rPr>
          <w:rFonts w:ascii="Calibri" w:hAnsi="Calibri" w:cs="Utsaah"/>
          <w:sz w:val="22"/>
          <w:szCs w:val="22"/>
        </w:rPr>
        <w:t xml:space="preserve">  </w:t>
      </w:r>
      <w:r w:rsidRPr="008005FE">
        <w:rPr>
          <w:rFonts w:ascii="Calibri" w:hAnsi="Calibri" w:cs="Utsaah"/>
          <w:sz w:val="22"/>
          <w:szCs w:val="22"/>
          <w:u w:val="single"/>
        </w:rPr>
        <w:t>With respect to aid, benefits, services, or training</w:t>
      </w:r>
      <w:r w:rsidRPr="008005FE">
        <w:rPr>
          <w:rFonts w:ascii="Calibri" w:hAnsi="Calibri" w:cs="Utsaah"/>
          <w:sz w:val="22"/>
          <w:szCs w:val="22"/>
        </w:rPr>
        <w:t>,</w:t>
      </w:r>
      <w:r>
        <w:rPr>
          <w:rFonts w:ascii="Calibri" w:hAnsi="Calibri" w:cs="Utsaah"/>
          <w:sz w:val="22"/>
          <w:szCs w:val="22"/>
        </w:rPr>
        <w:t xml:space="preserve"> an individual who, with or without auxiliary aids and services, reasonable accommodations, and/or reasonable modifications in policies, practices and procedures, meets the essential eligibility requirements for the receipt of such aid, benefits, services, or training.</w:t>
      </w:r>
      <w:r w:rsidR="00F3075A">
        <w:rPr>
          <w:rFonts w:ascii="Calibri" w:hAnsi="Calibri" w:cs="Utsaah"/>
          <w:sz w:val="22"/>
          <w:szCs w:val="22"/>
        </w:rPr>
        <w:t xml:space="preserve"> </w:t>
      </w:r>
      <w:r w:rsidR="00F13EED">
        <w:rPr>
          <w:rFonts w:ascii="Calibri" w:hAnsi="Calibri" w:cs="Utsaah"/>
          <w:sz w:val="22"/>
          <w:szCs w:val="22"/>
        </w:rPr>
        <w:t xml:space="preserve"> 29 CFR 38.4(ww)</w:t>
      </w:r>
    </w:p>
    <w:p w:rsidR="002565BF" w:rsidRDefault="002565BF" w:rsidP="002565BF">
      <w:pPr>
        <w:jc w:val="both"/>
        <w:rPr>
          <w:rFonts w:ascii="Calibri" w:hAnsi="Calibri" w:cs="Utsaah"/>
          <w:sz w:val="22"/>
          <w:szCs w:val="22"/>
        </w:rPr>
      </w:pPr>
    </w:p>
    <w:p w:rsidR="002565BF" w:rsidRDefault="002565BF" w:rsidP="002565BF">
      <w:pPr>
        <w:jc w:val="both"/>
        <w:rPr>
          <w:rFonts w:ascii="Calibri" w:hAnsi="Calibri" w:cs="Arial"/>
          <w:color w:val="000000"/>
          <w:sz w:val="22"/>
          <w:szCs w:val="22"/>
          <w:shd w:val="clear" w:color="auto" w:fill="FFFFFF"/>
        </w:rPr>
      </w:pPr>
      <w:r w:rsidRPr="00A06B6D">
        <w:rPr>
          <w:rFonts w:ascii="Calibri" w:hAnsi="Calibri" w:cs="Utsaah"/>
          <w:b/>
          <w:sz w:val="22"/>
          <w:szCs w:val="22"/>
        </w:rPr>
        <w:t xml:space="preserve">Service </w:t>
      </w:r>
      <w:r>
        <w:rPr>
          <w:rFonts w:ascii="Calibri" w:hAnsi="Calibri" w:cs="Utsaah"/>
          <w:b/>
          <w:sz w:val="22"/>
          <w:szCs w:val="22"/>
        </w:rPr>
        <w:t>animal/service dog</w:t>
      </w:r>
      <w:r w:rsidRPr="00A06B6D">
        <w:rPr>
          <w:rFonts w:ascii="Calibri" w:hAnsi="Calibri" w:cs="Utsaah"/>
          <w:b/>
          <w:sz w:val="22"/>
          <w:szCs w:val="22"/>
        </w:rPr>
        <w:t xml:space="preserve"> </w:t>
      </w:r>
      <w:r w:rsidRPr="00A60BD4">
        <w:rPr>
          <w:rFonts w:ascii="Calibri" w:hAnsi="Calibri" w:cs="Utsaah"/>
          <w:sz w:val="22"/>
          <w:szCs w:val="22"/>
        </w:rPr>
        <w:t>A</w:t>
      </w:r>
      <w:r w:rsidRPr="00A60BD4">
        <w:rPr>
          <w:rFonts w:ascii="Calibri" w:hAnsi="Calibri" w:cs="Arial"/>
          <w:color w:val="000000"/>
          <w:sz w:val="22"/>
          <w:szCs w:val="22"/>
          <w:shd w:val="clear" w:color="auto" w:fill="FFFFFF"/>
        </w:rPr>
        <w:t>ny dog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 The crime deterrent effects of an animal's presence and the provision of emotional support, well-be</w:t>
      </w:r>
      <w:r w:rsidR="00DC260A">
        <w:rPr>
          <w:rFonts w:ascii="Calibri" w:hAnsi="Calibri" w:cs="Arial"/>
          <w:color w:val="000000"/>
          <w:sz w:val="22"/>
          <w:szCs w:val="22"/>
          <w:shd w:val="clear" w:color="auto" w:fill="FFFFFF"/>
        </w:rPr>
        <w:t xml:space="preserve">ing, comfort, or companionship </w:t>
      </w:r>
      <w:r w:rsidRPr="00A60BD4">
        <w:rPr>
          <w:rFonts w:ascii="Calibri" w:hAnsi="Calibri" w:cs="Arial"/>
          <w:color w:val="000000"/>
          <w:sz w:val="22"/>
          <w:szCs w:val="22"/>
          <w:shd w:val="clear" w:color="auto" w:fill="FFFFFF"/>
        </w:rPr>
        <w:t>do not constitute work or tasks for the purposes of this definition.</w:t>
      </w:r>
      <w:r>
        <w:rPr>
          <w:rFonts w:ascii="Calibri" w:hAnsi="Calibri" w:cs="Arial"/>
          <w:color w:val="000000"/>
          <w:sz w:val="22"/>
          <w:szCs w:val="22"/>
          <w:shd w:val="clear" w:color="auto" w:fill="FFFFFF"/>
        </w:rPr>
        <w:t xml:space="preserve"> 29 CFR </w:t>
      </w:r>
      <w:r w:rsidR="00F13EED">
        <w:rPr>
          <w:rFonts w:ascii="Calibri" w:hAnsi="Calibri" w:cs="Arial"/>
          <w:color w:val="000000"/>
          <w:sz w:val="22"/>
          <w:szCs w:val="22"/>
          <w:shd w:val="clear" w:color="auto" w:fill="FFFFFF"/>
        </w:rPr>
        <w:t xml:space="preserve">38.4(fff) and </w:t>
      </w:r>
      <w:r>
        <w:rPr>
          <w:rFonts w:ascii="Calibri" w:hAnsi="Calibri" w:cs="Arial"/>
          <w:color w:val="000000"/>
          <w:sz w:val="22"/>
          <w:szCs w:val="22"/>
          <w:shd w:val="clear" w:color="auto" w:fill="FFFFFF"/>
        </w:rPr>
        <w:t xml:space="preserve">38.16    </w:t>
      </w:r>
      <w:r w:rsidRPr="00A02E01">
        <w:rPr>
          <w:rFonts w:ascii="Calibri" w:hAnsi="Calibri" w:cs="Arial"/>
          <w:color w:val="000000"/>
          <w:sz w:val="22"/>
          <w:szCs w:val="22"/>
          <w:shd w:val="clear" w:color="auto" w:fill="FFFFFF"/>
        </w:rPr>
        <w:t xml:space="preserve">See </w:t>
      </w:r>
      <w:r>
        <w:rPr>
          <w:rFonts w:ascii="Calibri" w:hAnsi="Calibri" w:cs="Arial"/>
          <w:color w:val="000000"/>
          <w:sz w:val="22"/>
          <w:szCs w:val="22"/>
          <w:shd w:val="clear" w:color="auto" w:fill="FFFFFF"/>
        </w:rPr>
        <w:t>appendix A.</w:t>
      </w:r>
    </w:p>
    <w:p w:rsidR="00F13EED" w:rsidRDefault="00F13EED" w:rsidP="002565BF">
      <w:pPr>
        <w:rPr>
          <w:rFonts w:ascii="Calibri" w:hAnsi="Calibri" w:cs="Arial"/>
          <w:sz w:val="22"/>
          <w:szCs w:val="22"/>
          <w:shd w:val="clear" w:color="auto" w:fill="FFFFFF"/>
        </w:rPr>
      </w:pPr>
    </w:p>
    <w:p w:rsidR="002565BF" w:rsidRPr="003874A2" w:rsidRDefault="002565BF" w:rsidP="005310A1">
      <w:pPr>
        <w:jc w:val="both"/>
        <w:rPr>
          <w:rFonts w:ascii="Calibri" w:hAnsi="Calibri" w:cs="Helvetica"/>
          <w:sz w:val="22"/>
          <w:szCs w:val="22"/>
        </w:rPr>
      </w:pPr>
      <w:r w:rsidRPr="00B74402">
        <w:rPr>
          <w:rFonts w:ascii="Calibri" w:hAnsi="Calibri" w:cs="Arial"/>
          <w:sz w:val="22"/>
          <w:szCs w:val="22"/>
          <w:shd w:val="clear" w:color="auto" w:fill="FFFFFF"/>
        </w:rPr>
        <w:t>NOTE:</w:t>
      </w:r>
      <w:r w:rsidRPr="003874A2">
        <w:rPr>
          <w:rFonts w:ascii="Calibri" w:hAnsi="Calibri" w:cs="Arial"/>
          <w:b/>
          <w:sz w:val="22"/>
          <w:szCs w:val="22"/>
          <w:shd w:val="clear" w:color="auto" w:fill="FFFFFF"/>
        </w:rPr>
        <w:t xml:space="preserve">  </w:t>
      </w:r>
      <w:r w:rsidRPr="003874A2">
        <w:rPr>
          <w:rFonts w:ascii="Calibri" w:hAnsi="Calibri" w:cs="Helvetica"/>
          <w:sz w:val="22"/>
          <w:szCs w:val="22"/>
        </w:rPr>
        <w:t>The miniature horse is not included in the definition of service animal, which is limited to dogs. However, the new ADA regulations contain a specific provision which covers miniature horses.  Businesses must make reasonable modifications in policies, practices, or procedures to permit the use of a miniature horse by an individual with a disability if the miniature horse has been individually trained to do work or perform tasks for the benefit of the individual with a disability.  </w:t>
      </w:r>
      <w:r w:rsidRPr="002E54AB">
        <w:rPr>
          <w:rFonts w:ascii="Calibri" w:hAnsi="Calibri" w:cs="Arial"/>
          <w:color w:val="000000"/>
          <w:sz w:val="22"/>
          <w:szCs w:val="22"/>
          <w:shd w:val="clear" w:color="auto" w:fill="FFFFFF"/>
        </w:rPr>
        <w:t>28 CFR 35.136</w:t>
      </w:r>
      <w:r>
        <w:rPr>
          <w:rFonts w:ascii="Calibri" w:hAnsi="Calibri" w:cs="Arial"/>
          <w:color w:val="000000"/>
          <w:sz w:val="22"/>
          <w:szCs w:val="22"/>
          <w:shd w:val="clear" w:color="auto" w:fill="FFFFFF"/>
        </w:rPr>
        <w:t>(i)</w:t>
      </w:r>
      <w:r w:rsidRPr="002E54AB">
        <w:rPr>
          <w:rFonts w:ascii="Calibri" w:hAnsi="Calibri" w:cs="Arial"/>
          <w:color w:val="000000"/>
          <w:sz w:val="22"/>
          <w:szCs w:val="22"/>
          <w:shd w:val="clear" w:color="auto" w:fill="FFFFFF"/>
        </w:rPr>
        <w:t xml:space="preserve">  </w:t>
      </w:r>
      <w:r>
        <w:rPr>
          <w:rFonts w:ascii="Calibri" w:hAnsi="Calibri" w:cs="Arial"/>
          <w:color w:val="000000"/>
          <w:sz w:val="22"/>
          <w:szCs w:val="22"/>
          <w:shd w:val="clear" w:color="auto" w:fill="FFFFFF"/>
        </w:rPr>
        <w:t xml:space="preserve"> </w:t>
      </w:r>
      <w:r w:rsidRPr="003874A2">
        <w:rPr>
          <w:rFonts w:ascii="Calibri" w:hAnsi="Calibri" w:cs="Helvetica"/>
          <w:sz w:val="22"/>
          <w:szCs w:val="22"/>
        </w:rPr>
        <w:t>See Appendix A.</w:t>
      </w:r>
    </w:p>
    <w:p w:rsidR="002565BF" w:rsidRDefault="002565BF" w:rsidP="002565BF">
      <w:pPr>
        <w:jc w:val="both"/>
        <w:rPr>
          <w:rFonts w:ascii="Calibri" w:hAnsi="Calibri" w:cs="Utsaah"/>
          <w:sz w:val="22"/>
          <w:szCs w:val="22"/>
        </w:rPr>
      </w:pPr>
    </w:p>
    <w:p w:rsidR="002565BF" w:rsidRDefault="002565BF" w:rsidP="00DC260A">
      <w:pPr>
        <w:jc w:val="both"/>
        <w:rPr>
          <w:rFonts w:ascii="Calibri" w:hAnsi="Calibri" w:cs="Utsaah"/>
          <w:sz w:val="22"/>
          <w:szCs w:val="22"/>
        </w:rPr>
      </w:pPr>
      <w:r w:rsidRPr="00C972EB">
        <w:rPr>
          <w:rFonts w:ascii="Calibri" w:hAnsi="Calibri" w:cs="Utsaah"/>
          <w:b/>
          <w:sz w:val="22"/>
          <w:szCs w:val="22"/>
        </w:rPr>
        <w:t>Subrecipient</w:t>
      </w:r>
      <w:r>
        <w:rPr>
          <w:rFonts w:ascii="Calibri" w:hAnsi="Calibri" w:cs="Utsaah"/>
          <w:b/>
          <w:sz w:val="22"/>
          <w:szCs w:val="22"/>
        </w:rPr>
        <w:t xml:space="preserve">  </w:t>
      </w:r>
      <w:r>
        <w:rPr>
          <w:rFonts w:ascii="Calibri" w:hAnsi="Calibri" w:cs="Utsaah"/>
          <w:sz w:val="22"/>
          <w:szCs w:val="22"/>
        </w:rPr>
        <w:t>Any non-federal entity that receives a subaward from a pass-through entity. A subrecipient also may be a recipient of other federal awards directly from a federal awarding agency.</w:t>
      </w:r>
    </w:p>
    <w:p w:rsidR="002565BF" w:rsidRDefault="002565BF" w:rsidP="00DC260A">
      <w:pPr>
        <w:jc w:val="both"/>
        <w:rPr>
          <w:rFonts w:ascii="Calibri" w:hAnsi="Calibri" w:cs="Utsaah"/>
          <w:sz w:val="22"/>
          <w:szCs w:val="22"/>
        </w:rPr>
      </w:pPr>
    </w:p>
    <w:p w:rsidR="002565BF" w:rsidRDefault="002565BF" w:rsidP="00DC260A">
      <w:pPr>
        <w:pStyle w:val="Default"/>
        <w:jc w:val="both"/>
        <w:rPr>
          <w:rFonts w:ascii="Calibri" w:hAnsi="Calibri" w:cs="Utsaah"/>
          <w:sz w:val="22"/>
          <w:szCs w:val="22"/>
        </w:rPr>
      </w:pPr>
      <w:r w:rsidRPr="0013055A">
        <w:rPr>
          <w:rFonts w:ascii="Calibri" w:hAnsi="Calibri" w:cs="Utsaah"/>
          <w:b/>
          <w:sz w:val="22"/>
          <w:szCs w:val="22"/>
        </w:rPr>
        <w:t>Universal access</w:t>
      </w:r>
      <w:r>
        <w:rPr>
          <w:rFonts w:ascii="Calibri" w:hAnsi="Calibri" w:cs="Utsaah"/>
          <w:b/>
          <w:sz w:val="22"/>
          <w:szCs w:val="22"/>
        </w:rPr>
        <w:t xml:space="preserve"> </w:t>
      </w:r>
      <w:r w:rsidRPr="00184D13">
        <w:rPr>
          <w:rFonts w:ascii="Calibri" w:hAnsi="Calibri" w:cs="Utsaah"/>
          <w:sz w:val="22"/>
          <w:szCs w:val="22"/>
        </w:rPr>
        <w:t>The concept</w:t>
      </w:r>
      <w:r>
        <w:rPr>
          <w:rFonts w:ascii="Calibri" w:hAnsi="Calibri" w:cs="Utsaah"/>
          <w:b/>
          <w:sz w:val="22"/>
          <w:szCs w:val="22"/>
        </w:rPr>
        <w:t xml:space="preserve"> </w:t>
      </w:r>
      <w:r w:rsidRPr="00184D13">
        <w:rPr>
          <w:rFonts w:ascii="Calibri" w:hAnsi="Calibri" w:cs="Utsaah"/>
          <w:sz w:val="22"/>
          <w:szCs w:val="22"/>
        </w:rPr>
        <w:t>that an environment (building, product, service, information, etc) can be found, reached, understood and used to the greatest extent possible.  Universal access intends to meet the needs of all people who wish to use that environment.</w:t>
      </w:r>
      <w:r>
        <w:rPr>
          <w:rFonts w:ascii="Calibri" w:hAnsi="Calibri" w:cs="Utsaah"/>
          <w:sz w:val="22"/>
          <w:szCs w:val="22"/>
        </w:rPr>
        <w:t xml:space="preserve"> Universal access means that anyone can reach and use the one-stop system to the degree they are qualified or eligible. It does not mean that people who are not qualified or </w:t>
      </w:r>
      <w:r w:rsidR="00DC260A">
        <w:rPr>
          <w:rFonts w:ascii="Calibri" w:hAnsi="Calibri" w:cs="Utsaah"/>
          <w:sz w:val="22"/>
          <w:szCs w:val="22"/>
        </w:rPr>
        <w:t xml:space="preserve">not </w:t>
      </w:r>
      <w:r>
        <w:rPr>
          <w:rFonts w:ascii="Calibri" w:hAnsi="Calibri" w:cs="Utsaah"/>
          <w:sz w:val="22"/>
          <w:szCs w:val="22"/>
        </w:rPr>
        <w:t>eligible must be granted access to services.  See “Universal design” below.</w:t>
      </w:r>
    </w:p>
    <w:p w:rsidR="002565BF" w:rsidRDefault="002565BF" w:rsidP="002565BF">
      <w:pPr>
        <w:pStyle w:val="Default"/>
        <w:rPr>
          <w:rFonts w:ascii="Calibri" w:hAnsi="Calibri" w:cs="Utsaah"/>
          <w:sz w:val="22"/>
          <w:szCs w:val="22"/>
        </w:rPr>
      </w:pPr>
    </w:p>
    <w:p w:rsidR="002565BF" w:rsidRPr="00A60BD4" w:rsidRDefault="002565BF" w:rsidP="00DC260A">
      <w:pPr>
        <w:pStyle w:val="Default"/>
        <w:jc w:val="both"/>
        <w:rPr>
          <w:rFonts w:ascii="Calibri" w:hAnsi="Calibri"/>
          <w:sz w:val="22"/>
          <w:szCs w:val="22"/>
        </w:rPr>
      </w:pPr>
      <w:r w:rsidRPr="000F591D">
        <w:rPr>
          <w:rFonts w:ascii="Calibri" w:hAnsi="Calibri" w:cs="Utsaah"/>
          <w:sz w:val="22"/>
          <w:szCs w:val="22"/>
        </w:rPr>
        <w:t>According to the US Department of</w:t>
      </w:r>
      <w:r>
        <w:rPr>
          <w:rFonts w:ascii="Calibri" w:hAnsi="Calibri" w:cs="Utsaah"/>
          <w:sz w:val="22"/>
          <w:szCs w:val="22"/>
        </w:rPr>
        <w:t xml:space="preserve"> Labor’s Office of Disability Employment Policy (ODEP),</w:t>
      </w:r>
      <w:r w:rsidRPr="000F591D">
        <w:rPr>
          <w:rFonts w:ascii="Calibri" w:hAnsi="Calibri" w:cs="Utsaah"/>
          <w:sz w:val="22"/>
          <w:szCs w:val="22"/>
        </w:rPr>
        <w:t xml:space="preserve"> </w:t>
      </w:r>
      <w:r>
        <w:rPr>
          <w:rFonts w:ascii="Calibri" w:hAnsi="Calibri" w:cs="Utsaah"/>
          <w:sz w:val="22"/>
          <w:szCs w:val="22"/>
        </w:rPr>
        <w:t>u</w:t>
      </w:r>
      <w:r w:rsidRPr="00A60BD4">
        <w:rPr>
          <w:rFonts w:ascii="Calibri" w:hAnsi="Calibri"/>
          <w:sz w:val="22"/>
          <w:szCs w:val="22"/>
        </w:rPr>
        <w:t xml:space="preserve">niversal access includes performance of the following functions: </w:t>
      </w:r>
    </w:p>
    <w:p w:rsidR="002565BF" w:rsidRPr="00A60BD4" w:rsidRDefault="002565BF" w:rsidP="00DC260A">
      <w:pPr>
        <w:pStyle w:val="Default"/>
        <w:numPr>
          <w:ilvl w:val="0"/>
          <w:numId w:val="16"/>
        </w:numPr>
        <w:jc w:val="both"/>
        <w:rPr>
          <w:rFonts w:ascii="Calibri" w:hAnsi="Calibri"/>
          <w:sz w:val="22"/>
          <w:szCs w:val="22"/>
        </w:rPr>
      </w:pPr>
      <w:r w:rsidRPr="00A60BD4">
        <w:rPr>
          <w:rFonts w:ascii="Calibri" w:hAnsi="Calibri"/>
          <w:sz w:val="22"/>
          <w:szCs w:val="22"/>
        </w:rPr>
        <w:t xml:space="preserve">Understanding local needs; </w:t>
      </w:r>
    </w:p>
    <w:p w:rsidR="002565BF" w:rsidRPr="00A60BD4" w:rsidRDefault="002565BF" w:rsidP="00DC260A">
      <w:pPr>
        <w:pStyle w:val="Default"/>
        <w:numPr>
          <w:ilvl w:val="0"/>
          <w:numId w:val="16"/>
        </w:numPr>
        <w:jc w:val="both"/>
        <w:rPr>
          <w:rFonts w:ascii="Calibri" w:hAnsi="Calibri"/>
          <w:sz w:val="22"/>
          <w:szCs w:val="22"/>
        </w:rPr>
      </w:pPr>
      <w:r w:rsidRPr="00A60BD4">
        <w:rPr>
          <w:rFonts w:ascii="Calibri" w:hAnsi="Calibri"/>
          <w:sz w:val="22"/>
          <w:szCs w:val="22"/>
        </w:rPr>
        <w:t xml:space="preserve">Marketing and outreach; </w:t>
      </w:r>
    </w:p>
    <w:p w:rsidR="002565BF" w:rsidRPr="00A60BD4" w:rsidRDefault="002565BF" w:rsidP="00DC260A">
      <w:pPr>
        <w:pStyle w:val="Default"/>
        <w:numPr>
          <w:ilvl w:val="0"/>
          <w:numId w:val="16"/>
        </w:numPr>
        <w:jc w:val="both"/>
        <w:rPr>
          <w:rFonts w:ascii="Calibri" w:hAnsi="Calibri"/>
          <w:sz w:val="22"/>
          <w:szCs w:val="22"/>
        </w:rPr>
      </w:pPr>
      <w:r w:rsidRPr="00A60BD4">
        <w:rPr>
          <w:rFonts w:ascii="Calibri" w:hAnsi="Calibri"/>
          <w:sz w:val="22"/>
          <w:szCs w:val="22"/>
        </w:rPr>
        <w:t xml:space="preserve">Involving community groups and schools; </w:t>
      </w:r>
    </w:p>
    <w:p w:rsidR="002565BF" w:rsidRPr="00A60BD4" w:rsidRDefault="002565BF" w:rsidP="00DC260A">
      <w:pPr>
        <w:pStyle w:val="Default"/>
        <w:numPr>
          <w:ilvl w:val="0"/>
          <w:numId w:val="16"/>
        </w:numPr>
        <w:jc w:val="both"/>
        <w:rPr>
          <w:rFonts w:ascii="Calibri" w:hAnsi="Calibri"/>
          <w:sz w:val="22"/>
          <w:szCs w:val="22"/>
        </w:rPr>
      </w:pPr>
      <w:r w:rsidRPr="00A60BD4">
        <w:rPr>
          <w:rFonts w:ascii="Calibri" w:hAnsi="Calibri"/>
          <w:sz w:val="22"/>
          <w:szCs w:val="22"/>
        </w:rPr>
        <w:t xml:space="preserve">Effecting collaboration, including partnerships and linkages; </w:t>
      </w:r>
    </w:p>
    <w:p w:rsidR="002565BF" w:rsidRPr="00A60BD4" w:rsidRDefault="002565BF" w:rsidP="00DC260A">
      <w:pPr>
        <w:pStyle w:val="Default"/>
        <w:numPr>
          <w:ilvl w:val="0"/>
          <w:numId w:val="16"/>
        </w:numPr>
        <w:jc w:val="both"/>
        <w:rPr>
          <w:rFonts w:ascii="Calibri" w:hAnsi="Calibri"/>
          <w:sz w:val="22"/>
          <w:szCs w:val="22"/>
        </w:rPr>
      </w:pPr>
      <w:r w:rsidRPr="00A60BD4">
        <w:rPr>
          <w:rFonts w:ascii="Calibri" w:hAnsi="Calibri"/>
          <w:sz w:val="22"/>
          <w:szCs w:val="22"/>
        </w:rPr>
        <w:lastRenderedPageBreak/>
        <w:t xml:space="preserve">Staff training; </w:t>
      </w:r>
    </w:p>
    <w:p w:rsidR="002565BF" w:rsidRPr="00A60BD4" w:rsidRDefault="002565BF" w:rsidP="00DC260A">
      <w:pPr>
        <w:pStyle w:val="Default"/>
        <w:numPr>
          <w:ilvl w:val="0"/>
          <w:numId w:val="16"/>
        </w:numPr>
        <w:jc w:val="both"/>
        <w:rPr>
          <w:rFonts w:ascii="Calibri" w:hAnsi="Calibri"/>
          <w:sz w:val="22"/>
          <w:szCs w:val="22"/>
        </w:rPr>
      </w:pPr>
      <w:r w:rsidRPr="00A60BD4">
        <w:rPr>
          <w:rFonts w:ascii="Calibri" w:hAnsi="Calibri"/>
          <w:sz w:val="22"/>
          <w:szCs w:val="22"/>
        </w:rPr>
        <w:t xml:space="preserve">Intake, registration and orientation; </w:t>
      </w:r>
    </w:p>
    <w:p w:rsidR="002565BF" w:rsidRPr="00A60BD4" w:rsidRDefault="002565BF" w:rsidP="00DC260A">
      <w:pPr>
        <w:pStyle w:val="Default"/>
        <w:numPr>
          <w:ilvl w:val="0"/>
          <w:numId w:val="16"/>
        </w:numPr>
        <w:jc w:val="both"/>
        <w:rPr>
          <w:rFonts w:ascii="Calibri" w:hAnsi="Calibri"/>
          <w:sz w:val="22"/>
          <w:szCs w:val="22"/>
        </w:rPr>
      </w:pPr>
      <w:r w:rsidRPr="00A60BD4">
        <w:rPr>
          <w:rFonts w:ascii="Calibri" w:hAnsi="Calibri"/>
          <w:sz w:val="22"/>
          <w:szCs w:val="22"/>
        </w:rPr>
        <w:t xml:space="preserve">Assessments and screenings; and </w:t>
      </w:r>
    </w:p>
    <w:p w:rsidR="002565BF" w:rsidRPr="00A60BD4" w:rsidRDefault="002565BF" w:rsidP="00DC260A">
      <w:pPr>
        <w:pStyle w:val="Default"/>
        <w:numPr>
          <w:ilvl w:val="0"/>
          <w:numId w:val="16"/>
        </w:numPr>
        <w:jc w:val="both"/>
        <w:rPr>
          <w:rFonts w:ascii="Calibri" w:hAnsi="Calibri"/>
          <w:sz w:val="22"/>
          <w:szCs w:val="22"/>
        </w:rPr>
      </w:pPr>
      <w:r w:rsidRPr="00A60BD4">
        <w:rPr>
          <w:rFonts w:ascii="Calibri" w:hAnsi="Calibri"/>
          <w:sz w:val="22"/>
          <w:szCs w:val="22"/>
        </w:rPr>
        <w:t xml:space="preserve">Service delivery. </w:t>
      </w:r>
    </w:p>
    <w:p w:rsidR="002565BF" w:rsidRDefault="002565BF" w:rsidP="00DC260A">
      <w:pPr>
        <w:pStyle w:val="Default"/>
        <w:jc w:val="both"/>
        <w:rPr>
          <w:rFonts w:ascii="Calibri" w:hAnsi="Calibri"/>
          <w:i/>
          <w:sz w:val="22"/>
          <w:szCs w:val="22"/>
        </w:rPr>
      </w:pPr>
      <w:r w:rsidRPr="00A60BD4">
        <w:rPr>
          <w:rFonts w:ascii="Calibri" w:hAnsi="Calibri"/>
          <w:sz w:val="22"/>
          <w:szCs w:val="22"/>
        </w:rPr>
        <w:t xml:space="preserve">See the publication </w:t>
      </w:r>
      <w:r w:rsidRPr="00A60BD4">
        <w:rPr>
          <w:rFonts w:ascii="Calibri" w:hAnsi="Calibri"/>
          <w:i/>
          <w:sz w:val="22"/>
          <w:szCs w:val="22"/>
        </w:rPr>
        <w:t xml:space="preserve">Promising Practices In Achieving Universal Access and Equal Opportunity: A Section 188 Disability Reference Guide  </w:t>
      </w:r>
      <w:hyperlink r:id="rId13" w:history="1">
        <w:r w:rsidRPr="00076447">
          <w:rPr>
            <w:rStyle w:val="Hyperlink"/>
            <w:rFonts w:ascii="Calibri" w:hAnsi="Calibri"/>
            <w:i/>
            <w:sz w:val="22"/>
            <w:szCs w:val="22"/>
          </w:rPr>
          <w:t>https://www.dol.gov/oasam/programs/crc/188Guide.htm</w:t>
        </w:r>
      </w:hyperlink>
      <w:r>
        <w:rPr>
          <w:rFonts w:ascii="Calibri" w:hAnsi="Calibri"/>
          <w:i/>
          <w:sz w:val="22"/>
          <w:szCs w:val="22"/>
        </w:rPr>
        <w:t xml:space="preserve"> </w:t>
      </w:r>
    </w:p>
    <w:p w:rsidR="002565BF" w:rsidRDefault="002565BF" w:rsidP="00DC260A">
      <w:pPr>
        <w:pStyle w:val="Default"/>
        <w:jc w:val="both"/>
        <w:rPr>
          <w:rFonts w:ascii="Calibri" w:hAnsi="Calibri" w:cs="Utsaah"/>
          <w:sz w:val="22"/>
          <w:szCs w:val="22"/>
        </w:rPr>
      </w:pPr>
    </w:p>
    <w:p w:rsidR="002565BF" w:rsidRPr="00CB37D0" w:rsidRDefault="002565BF" w:rsidP="00DC260A">
      <w:pPr>
        <w:pStyle w:val="Default"/>
        <w:jc w:val="both"/>
        <w:rPr>
          <w:rFonts w:ascii="Calibri" w:hAnsi="Calibri" w:cs="Helvetica"/>
          <w:color w:val="333333"/>
          <w:sz w:val="22"/>
          <w:szCs w:val="22"/>
          <w:shd w:val="clear" w:color="auto" w:fill="FFFFFF"/>
        </w:rPr>
      </w:pPr>
      <w:r w:rsidRPr="009D446B">
        <w:rPr>
          <w:rFonts w:ascii="Calibri" w:hAnsi="Calibri" w:cs="Utsaah"/>
          <w:b/>
          <w:sz w:val="22"/>
          <w:szCs w:val="22"/>
        </w:rPr>
        <w:t>Universal design</w:t>
      </w:r>
      <w:r>
        <w:rPr>
          <w:rFonts w:ascii="Calibri" w:hAnsi="Calibri" w:cs="Utsaah"/>
          <w:sz w:val="22"/>
          <w:szCs w:val="22"/>
        </w:rPr>
        <w:t xml:space="preserve"> </w:t>
      </w:r>
      <w:r w:rsidRPr="00CB37D0">
        <w:rPr>
          <w:rFonts w:ascii="Calibri" w:hAnsi="Calibri" w:cs="Helvetica"/>
          <w:color w:val="auto"/>
          <w:sz w:val="22"/>
          <w:szCs w:val="22"/>
          <w:shd w:val="clear" w:color="auto" w:fill="FFFFFF"/>
        </w:rPr>
        <w:t xml:space="preserve">Also known as "inclusive design" and "design for all," this is </w:t>
      </w:r>
      <w:r>
        <w:rPr>
          <w:rFonts w:ascii="Calibri" w:hAnsi="Calibri" w:cs="Helvetica"/>
          <w:color w:val="auto"/>
          <w:sz w:val="22"/>
          <w:szCs w:val="22"/>
          <w:shd w:val="clear" w:color="auto" w:fill="FFFFFF"/>
        </w:rPr>
        <w:t>a strategy for making products, environments, operational systems, and services welcoming and useable to the most diverse range of people possible.  The key principles of universal design are simplicity, flexibility, ease of access, and efficiency.</w:t>
      </w:r>
    </w:p>
    <w:p w:rsidR="002565BF" w:rsidRPr="00A60BD4" w:rsidRDefault="002565BF" w:rsidP="00DC260A">
      <w:pPr>
        <w:pStyle w:val="Default"/>
        <w:jc w:val="both"/>
        <w:rPr>
          <w:rFonts w:ascii="Calibri" w:hAnsi="Calibri"/>
          <w:sz w:val="22"/>
          <w:szCs w:val="22"/>
        </w:rPr>
      </w:pPr>
    </w:p>
    <w:p w:rsidR="002565BF" w:rsidRPr="00803B5A" w:rsidRDefault="002565BF" w:rsidP="00DC260A">
      <w:pPr>
        <w:jc w:val="both"/>
        <w:rPr>
          <w:rFonts w:ascii="Calibri" w:hAnsi="Calibri"/>
          <w:sz w:val="22"/>
          <w:szCs w:val="22"/>
        </w:rPr>
      </w:pPr>
      <w:r w:rsidRPr="007C3E7F">
        <w:rPr>
          <w:rFonts w:ascii="Calibri" w:hAnsi="Calibri"/>
          <w:b/>
          <w:sz w:val="22"/>
          <w:szCs w:val="22"/>
        </w:rPr>
        <w:t xml:space="preserve">Web accessibility </w:t>
      </w:r>
      <w:r w:rsidRPr="007C3E7F">
        <w:rPr>
          <w:rFonts w:ascii="Calibri" w:hAnsi="Calibri"/>
          <w:sz w:val="22"/>
          <w:szCs w:val="22"/>
        </w:rPr>
        <w:t>Website design and</w:t>
      </w:r>
      <w:r w:rsidRPr="007C3E7F">
        <w:rPr>
          <w:rFonts w:ascii="Calibri" w:hAnsi="Calibri"/>
          <w:b/>
          <w:sz w:val="22"/>
          <w:szCs w:val="22"/>
        </w:rPr>
        <w:t xml:space="preserve"> </w:t>
      </w:r>
      <w:r w:rsidRPr="007C3E7F">
        <w:rPr>
          <w:rFonts w:ascii="Calibri" w:hAnsi="Calibri"/>
          <w:sz w:val="22"/>
          <w:szCs w:val="22"/>
        </w:rPr>
        <w:t xml:space="preserve">practices that </w:t>
      </w:r>
      <w:r w:rsidRPr="00803B5A">
        <w:rPr>
          <w:rFonts w:ascii="Calibri" w:hAnsi="Calibri"/>
          <w:iCs/>
          <w:sz w:val="22"/>
          <w:szCs w:val="22"/>
        </w:rPr>
        <w:t>afford the opportunity to acquire the same information, engage in the same interactions, and enjoy the same services as a person without a disability in an equally effective and equally integrated manner, with substantially equivalent ease of use.</w:t>
      </w:r>
      <w:r w:rsidRPr="007C3E7F">
        <w:rPr>
          <w:i/>
          <w:iCs/>
          <w:sz w:val="22"/>
          <w:szCs w:val="22"/>
        </w:rPr>
        <w:t xml:space="preserve">  </w:t>
      </w:r>
      <w:r w:rsidRPr="00803B5A">
        <w:rPr>
          <w:rFonts w:ascii="Calibri" w:hAnsi="Calibri"/>
          <w:i/>
          <w:iCs/>
          <w:sz w:val="22"/>
          <w:szCs w:val="22"/>
        </w:rPr>
        <w:t>(Adapted from USDOJ Resolution Agreement. 11-11-6002)</w:t>
      </w:r>
    </w:p>
    <w:p w:rsidR="002565BF" w:rsidRDefault="002565BF" w:rsidP="00DC260A">
      <w:pPr>
        <w:jc w:val="both"/>
        <w:rPr>
          <w:rFonts w:ascii="Calibri" w:hAnsi="Calibri" w:cs="Utsaah"/>
          <w:b/>
          <w:sz w:val="22"/>
          <w:szCs w:val="22"/>
        </w:rPr>
      </w:pPr>
    </w:p>
    <w:p w:rsidR="002565BF" w:rsidRPr="00812CF2" w:rsidRDefault="002565BF" w:rsidP="00DC260A">
      <w:pPr>
        <w:pStyle w:val="Heading1"/>
        <w:jc w:val="both"/>
        <w:rPr>
          <w:sz w:val="24"/>
          <w:szCs w:val="24"/>
        </w:rPr>
      </w:pPr>
      <w:bookmarkStart w:id="3" w:name="_Toc491939224"/>
      <w:r w:rsidRPr="00812CF2">
        <w:rPr>
          <w:sz w:val="24"/>
          <w:szCs w:val="24"/>
        </w:rPr>
        <w:t>EQUAL OPPORTUNITY and NONDISCRIMINATION</w:t>
      </w:r>
      <w:bookmarkEnd w:id="3"/>
    </w:p>
    <w:p w:rsidR="002565BF" w:rsidRDefault="002565BF" w:rsidP="00DC260A">
      <w:pPr>
        <w:jc w:val="both"/>
        <w:rPr>
          <w:rFonts w:ascii="Calibri" w:hAnsi="Calibri" w:cs="Utsaah"/>
          <w:b/>
          <w:sz w:val="22"/>
          <w:szCs w:val="22"/>
        </w:rPr>
      </w:pPr>
    </w:p>
    <w:p w:rsidR="002565BF" w:rsidRPr="00235320" w:rsidRDefault="002565BF" w:rsidP="00DC260A">
      <w:pPr>
        <w:jc w:val="both"/>
        <w:rPr>
          <w:rFonts w:ascii="Calibri" w:hAnsi="Calibri" w:cs="Utsaah"/>
          <w:b/>
          <w:strike/>
          <w:sz w:val="22"/>
          <w:szCs w:val="22"/>
        </w:rPr>
      </w:pPr>
      <w:r>
        <w:rPr>
          <w:rFonts w:ascii="Calibri" w:hAnsi="Calibri" w:cs="Utsaah"/>
          <w:b/>
          <w:sz w:val="22"/>
          <w:szCs w:val="22"/>
        </w:rPr>
        <w:t>I.</w:t>
      </w:r>
      <w:r>
        <w:rPr>
          <w:rFonts w:ascii="Calibri" w:hAnsi="Calibri" w:cs="Utsaah"/>
          <w:b/>
          <w:sz w:val="22"/>
          <w:szCs w:val="22"/>
        </w:rPr>
        <w:tab/>
      </w:r>
      <w:r w:rsidRPr="008005FE">
        <w:rPr>
          <w:rFonts w:ascii="Calibri" w:hAnsi="Calibri" w:cs="Utsaah"/>
          <w:b/>
          <w:sz w:val="22"/>
          <w:szCs w:val="22"/>
        </w:rPr>
        <w:t xml:space="preserve">Discrimination </w:t>
      </w:r>
      <w:r>
        <w:rPr>
          <w:rFonts w:ascii="Calibri" w:hAnsi="Calibri" w:cs="Utsaah"/>
          <w:b/>
          <w:sz w:val="22"/>
          <w:szCs w:val="22"/>
        </w:rPr>
        <w:t>p</w:t>
      </w:r>
      <w:r w:rsidRPr="008005FE">
        <w:rPr>
          <w:rFonts w:ascii="Calibri" w:hAnsi="Calibri" w:cs="Utsaah"/>
          <w:b/>
          <w:sz w:val="22"/>
          <w:szCs w:val="22"/>
        </w:rPr>
        <w:t>rohibited</w:t>
      </w:r>
    </w:p>
    <w:p w:rsidR="002565BF" w:rsidRDefault="002565BF" w:rsidP="00DC260A">
      <w:pPr>
        <w:jc w:val="both"/>
        <w:rPr>
          <w:rFonts w:ascii="Calibri" w:hAnsi="Calibri" w:cs="Utsaah"/>
          <w:sz w:val="22"/>
          <w:szCs w:val="22"/>
        </w:rPr>
      </w:pPr>
      <w:r>
        <w:rPr>
          <w:rFonts w:ascii="Calibri" w:hAnsi="Calibri" w:cs="Utsaah"/>
          <w:sz w:val="22"/>
          <w:szCs w:val="22"/>
        </w:rPr>
        <w:t xml:space="preserve">No individual is to be excluded from participation in, denied the benefits of, subjected to discrimination under, or denied employment in the administration of, or in connection with any program or activity funded in whole or in part under WIOA because of their race, color, religion, sex, national origin, age, disability, political affiliation or belief, and for beneficiaries only - citizenship or participation status. </w:t>
      </w:r>
    </w:p>
    <w:p w:rsidR="002565BF" w:rsidRDefault="002565BF" w:rsidP="002565BF">
      <w:pPr>
        <w:rPr>
          <w:rFonts w:ascii="Calibri" w:hAnsi="Calibri" w:cs="Utsaah"/>
          <w:sz w:val="22"/>
          <w:szCs w:val="22"/>
        </w:rPr>
      </w:pPr>
    </w:p>
    <w:p w:rsidR="002565BF" w:rsidRDefault="002565BF" w:rsidP="002565BF">
      <w:pPr>
        <w:pStyle w:val="ListParagraph"/>
        <w:ind w:left="0"/>
        <w:jc w:val="both"/>
        <w:rPr>
          <w:b/>
        </w:rPr>
      </w:pPr>
      <w:r>
        <w:rPr>
          <w:b/>
        </w:rPr>
        <w:t>II.</w:t>
      </w:r>
      <w:r>
        <w:rPr>
          <w:b/>
        </w:rPr>
        <w:tab/>
        <w:t xml:space="preserve">Discriminatory actions </w:t>
      </w:r>
      <w:r w:rsidRPr="008005FE">
        <w:rPr>
          <w:b/>
        </w:rPr>
        <w:t>prohibited:</w:t>
      </w:r>
    </w:p>
    <w:p w:rsidR="002565BF" w:rsidRPr="00DC260A" w:rsidRDefault="002565BF" w:rsidP="002565BF">
      <w:pPr>
        <w:pStyle w:val="ListParagraph"/>
        <w:ind w:left="0"/>
        <w:jc w:val="both"/>
      </w:pPr>
      <w:r w:rsidRPr="008338C8">
        <w:t xml:space="preserve">When providing </w:t>
      </w:r>
      <w:r>
        <w:t xml:space="preserve">employment, </w:t>
      </w:r>
      <w:r w:rsidRPr="008338C8">
        <w:t xml:space="preserve">aid, benefits, or services under </w:t>
      </w:r>
      <w:r w:rsidRPr="006029E3">
        <w:t>WIOA</w:t>
      </w:r>
      <w:r>
        <w:t>,</w:t>
      </w:r>
      <w:r w:rsidRPr="008338C8">
        <w:t xml:space="preserve"> </w:t>
      </w:r>
      <w:r w:rsidRPr="00DC260A">
        <w:t xml:space="preserve">recipients and required partners must not, </w:t>
      </w:r>
    </w:p>
    <w:p w:rsidR="002565BF" w:rsidRDefault="002565BF" w:rsidP="002565BF">
      <w:pPr>
        <w:pStyle w:val="ListParagraph"/>
        <w:ind w:left="0"/>
        <w:jc w:val="both"/>
      </w:pPr>
    </w:p>
    <w:p w:rsidR="002565BF" w:rsidRDefault="002565BF" w:rsidP="009258C6">
      <w:pPr>
        <w:pStyle w:val="ListParagraph"/>
        <w:numPr>
          <w:ilvl w:val="0"/>
          <w:numId w:val="6"/>
        </w:numPr>
        <w:ind w:left="360"/>
        <w:jc w:val="both"/>
      </w:pPr>
      <w:r>
        <w:t>Directly or through contractual</w:t>
      </w:r>
      <w:r w:rsidRPr="008338C8">
        <w:t xml:space="preserve"> licensing or other ar</w:t>
      </w:r>
      <w:r>
        <w:t xml:space="preserve">rangements, on the grounds of race, color, religion, sex, sexual orientation, national origin, age, political affiliation or belief, disability status, or for </w:t>
      </w:r>
      <w:r w:rsidRPr="00E6321D">
        <w:t>beneficiaries</w:t>
      </w:r>
      <w:r>
        <w:t xml:space="preserve"> - citizenship or participant status:</w:t>
      </w:r>
    </w:p>
    <w:p w:rsidR="002565BF" w:rsidRDefault="002565BF" w:rsidP="002565BF">
      <w:pPr>
        <w:pStyle w:val="ListParagraph"/>
        <w:jc w:val="both"/>
      </w:pPr>
    </w:p>
    <w:p w:rsidR="002565BF" w:rsidRDefault="002565BF" w:rsidP="009258C6">
      <w:pPr>
        <w:pStyle w:val="ListParagraph"/>
        <w:numPr>
          <w:ilvl w:val="0"/>
          <w:numId w:val="5"/>
        </w:numPr>
        <w:ind w:left="720"/>
        <w:jc w:val="both"/>
      </w:pPr>
      <w:r>
        <w:t xml:space="preserve">Deny an individual any aid, benefits, services or training; </w:t>
      </w:r>
    </w:p>
    <w:p w:rsidR="002565BF" w:rsidRDefault="002565BF" w:rsidP="009258C6">
      <w:pPr>
        <w:pStyle w:val="ListParagraph"/>
        <w:numPr>
          <w:ilvl w:val="0"/>
          <w:numId w:val="5"/>
        </w:numPr>
        <w:ind w:left="720"/>
        <w:jc w:val="both"/>
      </w:pPr>
      <w:r>
        <w:t xml:space="preserve">Provide an individual with employment or any aid, benefits, services or training that is different, or is provided in a different manner, from that provided to others; </w:t>
      </w:r>
    </w:p>
    <w:p w:rsidR="002565BF" w:rsidRDefault="002565BF" w:rsidP="009258C6">
      <w:pPr>
        <w:pStyle w:val="ListParagraph"/>
        <w:numPr>
          <w:ilvl w:val="0"/>
          <w:numId w:val="5"/>
        </w:numPr>
        <w:ind w:left="720"/>
        <w:jc w:val="both"/>
      </w:pPr>
      <w:r>
        <w:t>Subject an individual to segregation or separate treatment in any matter related to his or her employment or receipt of aid, benefits, services or training;</w:t>
      </w:r>
    </w:p>
    <w:p w:rsidR="002565BF" w:rsidRDefault="002565BF" w:rsidP="009258C6">
      <w:pPr>
        <w:pStyle w:val="ListParagraph"/>
        <w:numPr>
          <w:ilvl w:val="0"/>
          <w:numId w:val="5"/>
        </w:numPr>
        <w:ind w:left="720"/>
        <w:jc w:val="both"/>
      </w:pPr>
      <w:r>
        <w:t xml:space="preserve">Restrict an individual in any way from enjoying any advantage or privilege enjoyed by others employed or receiving aid, benefits, services or training; </w:t>
      </w:r>
    </w:p>
    <w:p w:rsidR="002565BF" w:rsidRDefault="002565BF" w:rsidP="009258C6">
      <w:pPr>
        <w:pStyle w:val="ListParagraph"/>
        <w:numPr>
          <w:ilvl w:val="0"/>
          <w:numId w:val="5"/>
        </w:numPr>
        <w:ind w:left="720"/>
        <w:jc w:val="both"/>
      </w:pPr>
      <w:r>
        <w:t xml:space="preserve">Treat an individual differently from others in determining whether she or he satisfies any admission, enrollment, eligibility, membership or other requirement or condition for employment or any aid, benefits, services or training; </w:t>
      </w:r>
    </w:p>
    <w:p w:rsidR="002565BF" w:rsidRDefault="002565BF" w:rsidP="009258C6">
      <w:pPr>
        <w:pStyle w:val="ListParagraph"/>
        <w:numPr>
          <w:ilvl w:val="0"/>
          <w:numId w:val="5"/>
        </w:numPr>
        <w:ind w:left="720"/>
        <w:jc w:val="both"/>
      </w:pPr>
      <w:r>
        <w:t xml:space="preserve">Deny or limit an individual with respect to any opportunity to participate in a WIOA Title I program or activity, or afford him or her an opportunity to do so that is different from the opportunity afforded others under such program; </w:t>
      </w:r>
    </w:p>
    <w:p w:rsidR="002565BF" w:rsidRDefault="002565BF" w:rsidP="009258C6">
      <w:pPr>
        <w:pStyle w:val="ListParagraph"/>
        <w:numPr>
          <w:ilvl w:val="0"/>
          <w:numId w:val="5"/>
        </w:numPr>
        <w:ind w:left="720"/>
        <w:jc w:val="both"/>
      </w:pPr>
      <w:r>
        <w:lastRenderedPageBreak/>
        <w:t xml:space="preserve">Deny an individual the opportunity to participate as a member of a planning or advisory  body that is an integral part of a WIOA program or activity; </w:t>
      </w:r>
    </w:p>
    <w:p w:rsidR="002565BF" w:rsidRDefault="002565BF" w:rsidP="009258C6">
      <w:pPr>
        <w:pStyle w:val="ListParagraph"/>
        <w:numPr>
          <w:ilvl w:val="0"/>
          <w:numId w:val="5"/>
        </w:numPr>
        <w:ind w:left="720"/>
        <w:jc w:val="both"/>
      </w:pPr>
      <w:r>
        <w:t xml:space="preserve">Otherwise limit on a prohibited ground an individual from enjoying any right, privilege, advantage or opportunity enjoyed by others receiving WIOA-related employment, aid, benefits, services or training. </w:t>
      </w:r>
    </w:p>
    <w:p w:rsidR="002565BF" w:rsidRDefault="002565BF" w:rsidP="002565BF">
      <w:pPr>
        <w:pStyle w:val="ListParagraph"/>
        <w:jc w:val="both"/>
      </w:pPr>
    </w:p>
    <w:p w:rsidR="002565BF" w:rsidRDefault="002565BF" w:rsidP="009258C6">
      <w:pPr>
        <w:pStyle w:val="ListParagraph"/>
        <w:numPr>
          <w:ilvl w:val="0"/>
          <w:numId w:val="6"/>
        </w:numPr>
        <w:ind w:left="360"/>
        <w:jc w:val="both"/>
      </w:pPr>
      <w:r>
        <w:t xml:space="preserve">Aid or perpetuate discrimination by providing significant assistance to an agency, organization, or person that discriminates on a prohibited ground in providing employment, aid, benefits, services, or training to registrants, applicants or participants </w:t>
      </w:r>
      <w:r w:rsidRPr="006029E3">
        <w:t>in a WIOA program or activity</w:t>
      </w:r>
      <w:r>
        <w:t xml:space="preserve">. </w:t>
      </w:r>
    </w:p>
    <w:p w:rsidR="002565BF" w:rsidRDefault="002565BF" w:rsidP="002565BF">
      <w:pPr>
        <w:pStyle w:val="ListParagraph"/>
        <w:ind w:left="0"/>
        <w:jc w:val="both"/>
      </w:pPr>
    </w:p>
    <w:p w:rsidR="002565BF" w:rsidRDefault="002565BF" w:rsidP="009258C6">
      <w:pPr>
        <w:pStyle w:val="ListParagraph"/>
        <w:numPr>
          <w:ilvl w:val="0"/>
          <w:numId w:val="6"/>
        </w:numPr>
        <w:ind w:left="360"/>
        <w:jc w:val="both"/>
      </w:pPr>
      <w:r>
        <w:t>Refuse to accommodate an individual’s religious practices or beliefs, unless to do so would result in undue hardship, as defined in 29 CFR 38.4.</w:t>
      </w:r>
    </w:p>
    <w:p w:rsidR="002565BF" w:rsidRDefault="002565BF" w:rsidP="002565BF">
      <w:pPr>
        <w:pStyle w:val="ListParagraph"/>
        <w:ind w:left="360"/>
      </w:pPr>
    </w:p>
    <w:p w:rsidR="002565BF" w:rsidRDefault="002565BF" w:rsidP="009258C6">
      <w:pPr>
        <w:pStyle w:val="ListParagraph"/>
        <w:numPr>
          <w:ilvl w:val="0"/>
          <w:numId w:val="6"/>
        </w:numPr>
        <w:ind w:left="360"/>
        <w:jc w:val="both"/>
      </w:pPr>
      <w:r>
        <w:t xml:space="preserve">Refer a person to another program, agency, or service before that individual has received the same greeting, orientation, initial assessment and triage that all individuals are required to receive when they access the system.  </w:t>
      </w:r>
    </w:p>
    <w:p w:rsidR="002565BF" w:rsidRDefault="002565BF" w:rsidP="002565BF">
      <w:pPr>
        <w:pStyle w:val="ListParagraph"/>
      </w:pPr>
    </w:p>
    <w:p w:rsidR="002565BF" w:rsidRPr="00161597" w:rsidRDefault="002565BF" w:rsidP="002565BF">
      <w:pPr>
        <w:pStyle w:val="ListParagraph"/>
        <w:ind w:left="0"/>
        <w:jc w:val="both"/>
      </w:pPr>
      <w:r>
        <w:t xml:space="preserve">NOTE: Section </w:t>
      </w:r>
      <w:r w:rsidR="00DC260A">
        <w:t>A.</w:t>
      </w:r>
      <w:r>
        <w:t xml:space="preserve">2. above does not provide a rationale for refusing to provide an accommodation.  It means that with a reasonable accommodation or modification, a person can access the same services as others.  See the section on </w:t>
      </w:r>
      <w:r w:rsidRPr="003002BA">
        <w:rPr>
          <w:b/>
        </w:rPr>
        <w:t>Reasonable Modifications of Policies, Practices, and Procedures</w:t>
      </w:r>
      <w:r>
        <w:t xml:space="preserve"> on </w:t>
      </w:r>
      <w:r w:rsidRPr="00161597">
        <w:t xml:space="preserve">page </w:t>
      </w:r>
      <w:r w:rsidR="00F742AC">
        <w:t>7</w:t>
      </w:r>
      <w:r w:rsidR="00DC260A">
        <w:t>.</w:t>
      </w:r>
    </w:p>
    <w:p w:rsidR="002565BF" w:rsidRDefault="002565BF" w:rsidP="002565BF">
      <w:pPr>
        <w:pStyle w:val="ListParagraph"/>
        <w:ind w:left="0"/>
      </w:pPr>
    </w:p>
    <w:p w:rsidR="002565BF" w:rsidRDefault="002565BF" w:rsidP="005310A1">
      <w:pPr>
        <w:jc w:val="both"/>
        <w:rPr>
          <w:rFonts w:ascii="Calibri" w:hAnsi="Calibri" w:cs="Utsaah"/>
          <w:b/>
          <w:sz w:val="22"/>
          <w:szCs w:val="22"/>
        </w:rPr>
      </w:pPr>
      <w:r>
        <w:rPr>
          <w:rFonts w:ascii="Calibri" w:hAnsi="Calibri" w:cs="Utsaah"/>
          <w:b/>
          <w:sz w:val="22"/>
          <w:szCs w:val="22"/>
        </w:rPr>
        <w:t>III.</w:t>
      </w:r>
      <w:r>
        <w:rPr>
          <w:rFonts w:ascii="Calibri" w:hAnsi="Calibri" w:cs="Utsaah"/>
          <w:b/>
          <w:sz w:val="22"/>
          <w:szCs w:val="22"/>
        </w:rPr>
        <w:tab/>
      </w:r>
      <w:r w:rsidRPr="009B049F">
        <w:rPr>
          <w:rFonts w:ascii="Calibri" w:hAnsi="Calibri" w:cs="Utsaah"/>
          <w:b/>
          <w:sz w:val="22"/>
          <w:szCs w:val="22"/>
        </w:rPr>
        <w:t xml:space="preserve">Discrimination on the </w:t>
      </w:r>
      <w:r>
        <w:rPr>
          <w:rFonts w:ascii="Calibri" w:hAnsi="Calibri" w:cs="Utsaah"/>
          <w:b/>
          <w:sz w:val="22"/>
          <w:szCs w:val="22"/>
        </w:rPr>
        <w:t>g</w:t>
      </w:r>
      <w:r w:rsidRPr="009B049F">
        <w:rPr>
          <w:rFonts w:ascii="Calibri" w:hAnsi="Calibri" w:cs="Utsaah"/>
          <w:b/>
          <w:sz w:val="22"/>
          <w:szCs w:val="22"/>
        </w:rPr>
        <w:t xml:space="preserve">rounds of </w:t>
      </w:r>
      <w:r>
        <w:rPr>
          <w:rFonts w:ascii="Calibri" w:hAnsi="Calibri" w:cs="Utsaah"/>
          <w:b/>
          <w:sz w:val="22"/>
          <w:szCs w:val="22"/>
        </w:rPr>
        <w:t>c</w:t>
      </w:r>
      <w:r w:rsidRPr="009B049F">
        <w:rPr>
          <w:rFonts w:ascii="Calibri" w:hAnsi="Calibri" w:cs="Utsaah"/>
          <w:b/>
          <w:sz w:val="22"/>
          <w:szCs w:val="22"/>
        </w:rPr>
        <w:t xml:space="preserve">itizenship </w:t>
      </w:r>
      <w:r>
        <w:rPr>
          <w:rFonts w:ascii="Calibri" w:hAnsi="Calibri" w:cs="Utsaah"/>
          <w:b/>
          <w:sz w:val="22"/>
          <w:szCs w:val="22"/>
        </w:rPr>
        <w:t>prohibited</w:t>
      </w:r>
    </w:p>
    <w:p w:rsidR="002565BF" w:rsidRDefault="002565BF" w:rsidP="005310A1">
      <w:pPr>
        <w:jc w:val="both"/>
      </w:pPr>
      <w:r>
        <w:rPr>
          <w:rFonts w:ascii="Calibri" w:hAnsi="Calibri" w:cs="Utsaah"/>
          <w:sz w:val="22"/>
          <w:szCs w:val="22"/>
        </w:rPr>
        <w:t xml:space="preserve">Denial of participation in </w:t>
      </w:r>
      <w:r w:rsidRPr="00BF08F2">
        <w:rPr>
          <w:rFonts w:ascii="Calibri" w:hAnsi="Calibri" w:cs="Utsaah"/>
          <w:sz w:val="22"/>
          <w:szCs w:val="22"/>
        </w:rPr>
        <w:t>WIOA programs</w:t>
      </w:r>
      <w:r w:rsidRPr="006029E3">
        <w:rPr>
          <w:rFonts w:ascii="Calibri" w:hAnsi="Calibri" w:cs="Utsaah"/>
          <w:sz w:val="22"/>
          <w:szCs w:val="22"/>
        </w:rPr>
        <w:t xml:space="preserve"> or activities</w:t>
      </w:r>
      <w:r>
        <w:rPr>
          <w:rFonts w:ascii="Calibri" w:hAnsi="Calibri" w:cs="Utsaah"/>
          <w:sz w:val="22"/>
          <w:szCs w:val="22"/>
        </w:rPr>
        <w:t xml:space="preserve"> on the basis of the participant’s  status as citizen or national of the U</w:t>
      </w:r>
      <w:r w:rsidR="00DC260A">
        <w:rPr>
          <w:rFonts w:ascii="Calibri" w:hAnsi="Calibri" w:cs="Utsaah"/>
          <w:sz w:val="22"/>
          <w:szCs w:val="22"/>
        </w:rPr>
        <w:t>nited States</w:t>
      </w:r>
      <w:r>
        <w:rPr>
          <w:rFonts w:ascii="Calibri" w:hAnsi="Calibri" w:cs="Utsaah"/>
          <w:sz w:val="22"/>
          <w:szCs w:val="22"/>
        </w:rPr>
        <w:t xml:space="preserve"> who are lawfully admitted resident non-citizens, refugees, asylees, </w:t>
      </w:r>
      <w:r w:rsidRPr="006029E3">
        <w:rPr>
          <w:rFonts w:ascii="Calibri" w:hAnsi="Calibri" w:cs="Utsaah"/>
          <w:sz w:val="22"/>
          <w:szCs w:val="22"/>
        </w:rPr>
        <w:t>parolees</w:t>
      </w:r>
      <w:r w:rsidRPr="008043D2">
        <w:rPr>
          <w:rFonts w:ascii="Calibri" w:hAnsi="Calibri" w:cs="Utsaah"/>
          <w:sz w:val="22"/>
          <w:szCs w:val="22"/>
        </w:rPr>
        <w:t xml:space="preserve"> </w:t>
      </w:r>
      <w:r w:rsidRPr="001F0D8E">
        <w:rPr>
          <w:rFonts w:ascii="Calibri" w:hAnsi="Calibri" w:cs="Utsaah"/>
          <w:sz w:val="22"/>
          <w:szCs w:val="22"/>
        </w:rPr>
        <w:t>(</w:t>
      </w:r>
      <w:r>
        <w:rPr>
          <w:rFonts w:ascii="Calibri" w:hAnsi="Calibri" w:cs="Utsaah"/>
          <w:sz w:val="22"/>
          <w:szCs w:val="22"/>
        </w:rPr>
        <w:t>See Appendix A:  “</w:t>
      </w:r>
      <w:r w:rsidRPr="00391502">
        <w:rPr>
          <w:rFonts w:ascii="Calibri" w:hAnsi="Calibri" w:cs="Utsaah"/>
          <w:sz w:val="22"/>
          <w:szCs w:val="22"/>
        </w:rPr>
        <w:t>Non-citizens authorized to accept employment: 8 CFR 274A.12</w:t>
      </w:r>
      <w:r>
        <w:rPr>
          <w:rFonts w:ascii="Calibri" w:hAnsi="Calibri" w:cs="Utsaah"/>
          <w:sz w:val="22"/>
          <w:szCs w:val="22"/>
        </w:rPr>
        <w:t>”)</w:t>
      </w:r>
      <w:r w:rsidRPr="00391502">
        <w:rPr>
          <w:rFonts w:ascii="Calibri" w:hAnsi="Calibri" w:cs="Utsaah"/>
          <w:sz w:val="22"/>
          <w:szCs w:val="22"/>
        </w:rPr>
        <w:t xml:space="preserve">  </w:t>
      </w:r>
      <w:r>
        <w:rPr>
          <w:rFonts w:ascii="Calibri" w:hAnsi="Calibri" w:cs="Utsaah"/>
          <w:sz w:val="22"/>
          <w:szCs w:val="22"/>
        </w:rPr>
        <w:t xml:space="preserve">or other immigrants authorized by the federal government to work in the United States.  </w:t>
      </w:r>
      <w:r w:rsidRPr="00BB2F86">
        <w:rPr>
          <w:rFonts w:ascii="Calibri" w:hAnsi="Calibri" w:cs="Utsaah"/>
          <w:sz w:val="22"/>
          <w:szCs w:val="22"/>
        </w:rPr>
        <w:t xml:space="preserve"> </w:t>
      </w:r>
    </w:p>
    <w:p w:rsidR="002565BF" w:rsidRDefault="002565BF" w:rsidP="002565BF">
      <w:pPr>
        <w:pStyle w:val="ListParagraph"/>
        <w:ind w:left="0"/>
        <w:jc w:val="both"/>
        <w:rPr>
          <w:b/>
        </w:rPr>
      </w:pPr>
    </w:p>
    <w:p w:rsidR="002565BF" w:rsidRDefault="002565BF" w:rsidP="002565BF">
      <w:pPr>
        <w:pStyle w:val="ListParagraph"/>
        <w:ind w:left="0"/>
        <w:jc w:val="both"/>
        <w:rPr>
          <w:b/>
        </w:rPr>
      </w:pPr>
      <w:r w:rsidRPr="00BF08F2">
        <w:rPr>
          <w:b/>
        </w:rPr>
        <w:t>IV.</w:t>
      </w:r>
      <w:r w:rsidRPr="00BF08F2">
        <w:rPr>
          <w:b/>
        </w:rPr>
        <w:tab/>
      </w:r>
      <w:r w:rsidRPr="00A36089">
        <w:rPr>
          <w:b/>
        </w:rPr>
        <w:t xml:space="preserve"> Discrimination on </w:t>
      </w:r>
      <w:r>
        <w:rPr>
          <w:b/>
        </w:rPr>
        <w:t>the b</w:t>
      </w:r>
      <w:r w:rsidRPr="00A36089">
        <w:rPr>
          <w:b/>
        </w:rPr>
        <w:t xml:space="preserve">asis of </w:t>
      </w:r>
      <w:r>
        <w:rPr>
          <w:b/>
        </w:rPr>
        <w:t>d</w:t>
      </w:r>
      <w:r w:rsidRPr="00A36089">
        <w:rPr>
          <w:b/>
        </w:rPr>
        <w:t>isability</w:t>
      </w:r>
      <w:r>
        <w:rPr>
          <w:b/>
        </w:rPr>
        <w:t xml:space="preserve"> prohibited</w:t>
      </w:r>
    </w:p>
    <w:p w:rsidR="002565BF" w:rsidRDefault="002565BF" w:rsidP="002565BF">
      <w:pPr>
        <w:pStyle w:val="ListParagraph"/>
        <w:ind w:left="0"/>
        <w:jc w:val="both"/>
      </w:pPr>
      <w:r w:rsidRPr="006029E3">
        <w:t>WIOA recipients</w:t>
      </w:r>
      <w:r>
        <w:t xml:space="preserve"> and required partners</w:t>
      </w:r>
      <w:r w:rsidRPr="006029E3">
        <w:t xml:space="preserve"> </w:t>
      </w:r>
      <w:r>
        <w:t xml:space="preserve">are obligated to provide physical and programmatic accessibility and reasonable accommodation/modification as required under section 504 of the Rehabilitation Act of 1973, as amended, and the Americans with Disabilities Act of 1990, as amended, and Section 188 of WIOA.  Individuals with disabilities must not be treated differently from any other individual attempting to access information, aid, benefits, services or training, except for providing accommodations as needed.  </w:t>
      </w:r>
      <w:r w:rsidRPr="00C35EDF">
        <w:t xml:space="preserve">See 29 CFR 38.4 and Appendix </w:t>
      </w:r>
      <w:r w:rsidR="005310A1">
        <w:t>C</w:t>
      </w:r>
      <w:r w:rsidRPr="00C35EDF">
        <w:t>.</w:t>
      </w:r>
      <w:r>
        <w:t xml:space="preserve"> </w:t>
      </w:r>
    </w:p>
    <w:p w:rsidR="002565BF" w:rsidRDefault="002565BF" w:rsidP="002565BF">
      <w:pPr>
        <w:pStyle w:val="ListParagraph"/>
        <w:ind w:left="0"/>
        <w:jc w:val="both"/>
      </w:pPr>
    </w:p>
    <w:p w:rsidR="002565BF" w:rsidRDefault="002565BF" w:rsidP="00DC260A">
      <w:pPr>
        <w:pStyle w:val="ListParagraph"/>
        <w:numPr>
          <w:ilvl w:val="0"/>
          <w:numId w:val="15"/>
        </w:numPr>
        <w:ind w:left="360"/>
      </w:pPr>
      <w:r>
        <w:t xml:space="preserve">When providing employment, aid, benefits </w:t>
      </w:r>
      <w:r w:rsidRPr="006029E3">
        <w:t>or services under WIOA</w:t>
      </w:r>
      <w:r>
        <w:t xml:space="preserve">, a recipient/required partner must not directly, through contractual licensing, or through other arrangements, on the ground of disability: </w:t>
      </w:r>
    </w:p>
    <w:p w:rsidR="002565BF" w:rsidRDefault="002565BF" w:rsidP="002565BF">
      <w:pPr>
        <w:pStyle w:val="ListParagraph"/>
        <w:ind w:left="360"/>
        <w:jc w:val="both"/>
      </w:pPr>
    </w:p>
    <w:p w:rsidR="002565BF" w:rsidRDefault="002565BF" w:rsidP="009258C6">
      <w:pPr>
        <w:pStyle w:val="ListParagraph"/>
        <w:numPr>
          <w:ilvl w:val="0"/>
          <w:numId w:val="8"/>
        </w:numPr>
        <w:jc w:val="both"/>
      </w:pPr>
      <w:r>
        <w:t xml:space="preserve">Deny a qualified individual the opportunity to participate in or benefit from the aid, benefits, services or training; </w:t>
      </w:r>
    </w:p>
    <w:p w:rsidR="002565BF" w:rsidRPr="008338C8" w:rsidRDefault="002565BF" w:rsidP="009258C6">
      <w:pPr>
        <w:pStyle w:val="ListParagraph"/>
        <w:numPr>
          <w:ilvl w:val="0"/>
          <w:numId w:val="8"/>
        </w:numPr>
        <w:jc w:val="both"/>
      </w:pPr>
      <w:r>
        <w:t xml:space="preserve">Afford a qualified individual with a disability employment opportunities or an opportunity to participate in or benefit from the information, aid, benefits, services or training </w:t>
      </w:r>
      <w:r w:rsidRPr="00283110">
        <w:t>that is not equal to</w:t>
      </w:r>
      <w:r w:rsidRPr="008338C8">
        <w:t xml:space="preserve"> that same opportunity afforded to others; </w:t>
      </w:r>
    </w:p>
    <w:p w:rsidR="002565BF" w:rsidRDefault="002565BF" w:rsidP="009258C6">
      <w:pPr>
        <w:pStyle w:val="ListParagraph"/>
        <w:numPr>
          <w:ilvl w:val="0"/>
          <w:numId w:val="8"/>
        </w:numPr>
        <w:jc w:val="both"/>
      </w:pPr>
      <w:r>
        <w:t xml:space="preserve">Provide a qualified individual with a disability with employment opportunities or an aid, benefit, service or training that is not as effective in affording equal opportunity to obtain the same result, to gain the same benefit or to reach the same level of achievement as that provided to others; </w:t>
      </w:r>
    </w:p>
    <w:p w:rsidR="002565BF" w:rsidRDefault="002565BF" w:rsidP="009258C6">
      <w:pPr>
        <w:pStyle w:val="ListParagraph"/>
        <w:numPr>
          <w:ilvl w:val="0"/>
          <w:numId w:val="8"/>
        </w:numPr>
        <w:jc w:val="both"/>
      </w:pPr>
      <w:r>
        <w:t xml:space="preserve">Provide different, segregated, or separate information, aid, benefits, services, or training to individuals with disabilities, or to any class of individuals with disabilities, unless such action is </w:t>
      </w:r>
      <w:r>
        <w:lastRenderedPageBreak/>
        <w:t xml:space="preserve">necessary to provide qualified individuals with disabilities with employment opportunities, information, aid, benefits, services or training that are as effective as those provided to others; </w:t>
      </w:r>
    </w:p>
    <w:p w:rsidR="002565BF" w:rsidRDefault="002565BF" w:rsidP="009258C6">
      <w:pPr>
        <w:pStyle w:val="ListParagraph"/>
        <w:numPr>
          <w:ilvl w:val="0"/>
          <w:numId w:val="8"/>
        </w:numPr>
        <w:jc w:val="both"/>
      </w:pPr>
      <w:r>
        <w:t>Deny a qualified individual with a disability the opportunity to participate as a member of planning or advisory boards;  or</w:t>
      </w:r>
    </w:p>
    <w:p w:rsidR="002565BF" w:rsidRDefault="002565BF" w:rsidP="009258C6">
      <w:pPr>
        <w:pStyle w:val="ListParagraph"/>
        <w:numPr>
          <w:ilvl w:val="0"/>
          <w:numId w:val="8"/>
        </w:numPr>
        <w:jc w:val="both"/>
      </w:pPr>
      <w:r>
        <w:t xml:space="preserve">Otherwise limit a qualified individual with a disability in enjoyment of any right, privilege, advantage, or opportunity enjoyed by others receiving such employment opportunities, information, aid, benefit, service or training. </w:t>
      </w:r>
    </w:p>
    <w:p w:rsidR="002565BF" w:rsidRDefault="002565BF" w:rsidP="002565BF">
      <w:pPr>
        <w:pStyle w:val="ListParagraph"/>
        <w:ind w:left="0"/>
        <w:jc w:val="both"/>
      </w:pPr>
    </w:p>
    <w:p w:rsidR="002565BF" w:rsidRDefault="002565BF" w:rsidP="002565BF">
      <w:pPr>
        <w:pStyle w:val="ListParagraph"/>
        <w:ind w:left="360" w:hanging="360"/>
        <w:jc w:val="both"/>
      </w:pPr>
      <w:r>
        <w:t>B.</w:t>
      </w:r>
      <w:r>
        <w:tab/>
      </w:r>
      <w:r w:rsidR="00111F9A">
        <w:t>R</w:t>
      </w:r>
      <w:r w:rsidRPr="008A4413">
        <w:t>ecipient</w:t>
      </w:r>
      <w:r w:rsidR="00111F9A">
        <w:t xml:space="preserve">s and </w:t>
      </w:r>
      <w:r w:rsidRPr="008A4413">
        <w:t>required partner</w:t>
      </w:r>
      <w:r w:rsidR="00111F9A">
        <w:t>s</w:t>
      </w:r>
      <w:r w:rsidRPr="008A4413">
        <w:t xml:space="preserve"> must not deny a qualified individual with a disability the opportunity to participate in any WIOA programs or activities despite the existence of separate or different programs or activities. For example, a person with a disability cannot be denied labor exchange services or formula funded training services because they could be served by Bureau of Rehabilitation Services or any other program targeted to serve individuals with disabilities specifically.   29 CFR 38.12(c)</w:t>
      </w:r>
    </w:p>
    <w:p w:rsidR="00F742AC" w:rsidRDefault="00F742AC" w:rsidP="002565BF">
      <w:pPr>
        <w:pStyle w:val="ListParagraph"/>
        <w:ind w:left="360" w:hanging="360"/>
        <w:jc w:val="both"/>
      </w:pPr>
    </w:p>
    <w:p w:rsidR="00F742AC" w:rsidRPr="00701211" w:rsidRDefault="00F742AC" w:rsidP="002565BF">
      <w:pPr>
        <w:pStyle w:val="ListParagraph"/>
        <w:ind w:left="360" w:hanging="360"/>
        <w:jc w:val="both"/>
      </w:pPr>
      <w:r>
        <w:t>C.  Individuals with disabilities cannot be referred directly to Vocational Rehabilitation Services before that individual has received the same greeting, orientation, initial assessment, and triage that all individuals receive when they access the system.</w:t>
      </w:r>
    </w:p>
    <w:p w:rsidR="002565BF" w:rsidRDefault="002565BF" w:rsidP="002565BF">
      <w:pPr>
        <w:pStyle w:val="ListParagraph"/>
        <w:ind w:left="360" w:hanging="360"/>
        <w:jc w:val="both"/>
      </w:pPr>
    </w:p>
    <w:p w:rsidR="002565BF" w:rsidRDefault="002565BF" w:rsidP="002565BF">
      <w:pPr>
        <w:pStyle w:val="ListParagraph"/>
        <w:ind w:left="0"/>
        <w:jc w:val="both"/>
      </w:pPr>
    </w:p>
    <w:p w:rsidR="002565BF" w:rsidRDefault="002565BF" w:rsidP="002565BF">
      <w:pPr>
        <w:pStyle w:val="ListParagraph"/>
        <w:ind w:left="360" w:hanging="360"/>
        <w:jc w:val="both"/>
        <w:rPr>
          <w:b/>
        </w:rPr>
      </w:pPr>
      <w:r w:rsidRPr="004B4656">
        <w:rPr>
          <w:b/>
        </w:rPr>
        <w:t>V.</w:t>
      </w:r>
      <w:r w:rsidRPr="004B4656">
        <w:rPr>
          <w:b/>
        </w:rPr>
        <w:tab/>
        <w:t>Reasonable modifications of policies, practices, and procedures</w:t>
      </w:r>
      <w:r>
        <w:rPr>
          <w:b/>
        </w:rPr>
        <w:t xml:space="preserve">  </w:t>
      </w:r>
    </w:p>
    <w:p w:rsidR="002565BF" w:rsidRDefault="002565BF" w:rsidP="002565BF">
      <w:pPr>
        <w:pStyle w:val="ListParagraph"/>
        <w:ind w:left="360" w:hanging="360"/>
        <w:jc w:val="both"/>
      </w:pPr>
    </w:p>
    <w:p w:rsidR="002565BF" w:rsidRDefault="002565BF" w:rsidP="009258C6">
      <w:pPr>
        <w:pStyle w:val="ListParagraph"/>
        <w:numPr>
          <w:ilvl w:val="0"/>
          <w:numId w:val="9"/>
        </w:numPr>
        <w:ind w:left="360"/>
        <w:jc w:val="both"/>
      </w:pPr>
      <w:r>
        <w:t>Recipients and required partners must make reasonable modifications to their policies, practices, and procedures unless they can demonstrate that making modifications would fundamentally alter the nature of the service, program, or activity.</w:t>
      </w:r>
    </w:p>
    <w:p w:rsidR="002565BF" w:rsidRDefault="002565BF" w:rsidP="002565BF">
      <w:pPr>
        <w:pStyle w:val="ListParagraph"/>
        <w:ind w:left="360"/>
        <w:jc w:val="both"/>
      </w:pPr>
    </w:p>
    <w:p w:rsidR="002565BF" w:rsidRDefault="002565BF" w:rsidP="009258C6">
      <w:pPr>
        <w:pStyle w:val="ListParagraph"/>
        <w:numPr>
          <w:ilvl w:val="0"/>
          <w:numId w:val="9"/>
        </w:numPr>
        <w:ind w:left="360"/>
        <w:jc w:val="both"/>
      </w:pPr>
      <w:r>
        <w:t xml:space="preserve">Recipients and required partners must have a written procedure for handling a request for a modification. </w:t>
      </w:r>
    </w:p>
    <w:p w:rsidR="002565BF" w:rsidRDefault="002565BF" w:rsidP="002565BF">
      <w:pPr>
        <w:pStyle w:val="ListParagraph"/>
        <w:ind w:left="0"/>
        <w:jc w:val="both"/>
      </w:pPr>
    </w:p>
    <w:p w:rsidR="002565BF" w:rsidRDefault="002565BF" w:rsidP="009258C6">
      <w:pPr>
        <w:pStyle w:val="ListParagraph"/>
        <w:numPr>
          <w:ilvl w:val="0"/>
          <w:numId w:val="9"/>
        </w:numPr>
        <w:ind w:left="360"/>
        <w:jc w:val="both"/>
      </w:pPr>
      <w:r>
        <w:t>To provide the best customer service, to document who we serve, and to accurately reflect our services to people with barriers to employment, our system encourages people to disclose their disability, but disclosure is not required unless</w:t>
      </w:r>
      <w:r w:rsidR="00283110">
        <w:t xml:space="preserve"> an individual is</w:t>
      </w:r>
      <w:r>
        <w:t xml:space="preserve"> requesting an accommodation.</w:t>
      </w:r>
    </w:p>
    <w:p w:rsidR="002565BF" w:rsidRDefault="002565BF" w:rsidP="002565BF">
      <w:pPr>
        <w:pStyle w:val="ListParagraph"/>
        <w:ind w:left="360"/>
        <w:jc w:val="both"/>
      </w:pPr>
    </w:p>
    <w:p w:rsidR="002565BF" w:rsidRDefault="002565BF" w:rsidP="009258C6">
      <w:pPr>
        <w:pStyle w:val="ListParagraph"/>
        <w:numPr>
          <w:ilvl w:val="0"/>
          <w:numId w:val="9"/>
        </w:numPr>
        <w:ind w:left="360"/>
        <w:jc w:val="both"/>
      </w:pPr>
      <w:r>
        <w:t>Recipients and required partners must maintain in operable condition those features of facilities and equipment that are required to be readily accessible to and useable by persons with disabilities.  This section does not prohibit isolated or temporary interruptions in service or access due to maintenance and repairs.</w:t>
      </w:r>
    </w:p>
    <w:p w:rsidR="00F742AC" w:rsidRDefault="00F742AC" w:rsidP="00F742AC">
      <w:pPr>
        <w:jc w:val="both"/>
      </w:pPr>
    </w:p>
    <w:p w:rsidR="00F742AC" w:rsidRPr="00F742AC" w:rsidRDefault="00C96774" w:rsidP="00F742AC">
      <w:pPr>
        <w:pStyle w:val="ListParagraph"/>
        <w:numPr>
          <w:ilvl w:val="0"/>
          <w:numId w:val="9"/>
        </w:numPr>
        <w:ind w:left="360"/>
        <w:jc w:val="both"/>
      </w:pPr>
      <w:r>
        <w:t xml:space="preserve">Denying services solely because a person needs an accommodation is considered discriminatory.  </w:t>
      </w:r>
      <w:r w:rsidR="00266806">
        <w:t>Automatically referring people with disabilities to agencies specializing in services for such individuals, such as VR, without determining if they could benefit from your services is considered discriminatory.</w:t>
      </w:r>
    </w:p>
    <w:p w:rsidR="002565BF" w:rsidRDefault="002565BF" w:rsidP="002565BF">
      <w:pPr>
        <w:pStyle w:val="ListParagraph"/>
        <w:ind w:left="0"/>
        <w:jc w:val="both"/>
      </w:pPr>
    </w:p>
    <w:p w:rsidR="002565BF" w:rsidRDefault="002565BF" w:rsidP="009258C6">
      <w:pPr>
        <w:pStyle w:val="ListParagraph"/>
        <w:numPr>
          <w:ilvl w:val="0"/>
          <w:numId w:val="9"/>
        </w:numPr>
        <w:ind w:left="360"/>
        <w:jc w:val="both"/>
      </w:pPr>
      <w:r w:rsidRPr="008A4413">
        <w:t>Recipients and required partners should be prepared and willing to initiate an interactive process with a person in need of accommodation.  The conversation may be informal.  People with a disability need not formally request an accommodation. They may simply indicate that they are not able to participate under the current physical or procedural circumstances.  The conversation should include adequate information about the person’s condition and potential reasonable accommodations to overcome those circumstances.  See Appendix A for resources regarding accommodations.</w:t>
      </w:r>
      <w:r>
        <w:t xml:space="preserve">   </w:t>
      </w:r>
      <w:r w:rsidRPr="00CB0CD4">
        <w:t>29 CFR 38.4 (yy) (1) and (2)</w:t>
      </w:r>
    </w:p>
    <w:p w:rsidR="002565BF" w:rsidRPr="00A36089" w:rsidRDefault="002565BF" w:rsidP="002565BF">
      <w:pPr>
        <w:pStyle w:val="ListParagraph"/>
        <w:ind w:left="0"/>
        <w:jc w:val="both"/>
      </w:pPr>
    </w:p>
    <w:p w:rsidR="002565BF" w:rsidRDefault="002565BF" w:rsidP="002565BF">
      <w:pPr>
        <w:pStyle w:val="ListParagraph"/>
        <w:ind w:left="0"/>
        <w:jc w:val="both"/>
        <w:rPr>
          <w:b/>
        </w:rPr>
      </w:pPr>
    </w:p>
    <w:p w:rsidR="002565BF" w:rsidRDefault="002565BF" w:rsidP="002565BF">
      <w:pPr>
        <w:pStyle w:val="ListParagraph"/>
        <w:ind w:left="0"/>
        <w:jc w:val="both"/>
      </w:pPr>
      <w:r>
        <w:rPr>
          <w:b/>
        </w:rPr>
        <w:t>VI.</w:t>
      </w:r>
      <w:r>
        <w:rPr>
          <w:b/>
        </w:rPr>
        <w:tab/>
      </w:r>
      <w:r w:rsidRPr="007F5463">
        <w:rPr>
          <w:b/>
        </w:rPr>
        <w:t xml:space="preserve">Notice and </w:t>
      </w:r>
      <w:r>
        <w:rPr>
          <w:b/>
        </w:rPr>
        <w:t xml:space="preserve">communication </w:t>
      </w:r>
      <w:r w:rsidRPr="004B4656">
        <w:t xml:space="preserve"> (</w:t>
      </w:r>
      <w:r w:rsidRPr="00CB0CD4">
        <w:t>29 CFR §38.34</w:t>
      </w:r>
      <w:r>
        <w:t xml:space="preserve">)  </w:t>
      </w:r>
    </w:p>
    <w:p w:rsidR="002565BF" w:rsidRDefault="002565BF" w:rsidP="002565BF">
      <w:pPr>
        <w:pStyle w:val="ListParagraph"/>
        <w:ind w:left="0"/>
        <w:jc w:val="both"/>
        <w:rPr>
          <w:b/>
        </w:rPr>
      </w:pPr>
    </w:p>
    <w:p w:rsidR="002565BF" w:rsidRDefault="002565BF" w:rsidP="009258C6">
      <w:pPr>
        <w:pStyle w:val="ListParagraph"/>
        <w:numPr>
          <w:ilvl w:val="0"/>
          <w:numId w:val="10"/>
        </w:numPr>
        <w:ind w:left="360"/>
        <w:jc w:val="both"/>
      </w:pPr>
      <w:r>
        <w:t xml:space="preserve">Recipients and required partners must provide </w:t>
      </w:r>
      <w:r w:rsidRPr="00CB0CD4">
        <w:t>initial and continuing notice</w:t>
      </w:r>
      <w:r>
        <w:t xml:space="preserve"> that they do not discriminate on any prohibited ground, to: </w:t>
      </w:r>
    </w:p>
    <w:p w:rsidR="002565BF" w:rsidRDefault="002565BF" w:rsidP="009258C6">
      <w:pPr>
        <w:pStyle w:val="ListParagraph"/>
        <w:numPr>
          <w:ilvl w:val="0"/>
          <w:numId w:val="11"/>
        </w:numPr>
        <w:jc w:val="both"/>
      </w:pPr>
      <w:r>
        <w:t xml:space="preserve">Registrants, applicants, and eligible registrants/applicants; </w:t>
      </w:r>
    </w:p>
    <w:p w:rsidR="002565BF" w:rsidRDefault="002565BF" w:rsidP="009258C6">
      <w:pPr>
        <w:pStyle w:val="ListParagraph"/>
        <w:numPr>
          <w:ilvl w:val="0"/>
          <w:numId w:val="11"/>
        </w:numPr>
        <w:jc w:val="both"/>
      </w:pPr>
      <w:r>
        <w:t>Participants;</w:t>
      </w:r>
    </w:p>
    <w:p w:rsidR="002565BF" w:rsidRDefault="002565BF" w:rsidP="009258C6">
      <w:pPr>
        <w:pStyle w:val="ListParagraph"/>
        <w:numPr>
          <w:ilvl w:val="0"/>
          <w:numId w:val="11"/>
        </w:numPr>
        <w:jc w:val="both"/>
      </w:pPr>
      <w:r>
        <w:t xml:space="preserve">Applicants for employment and employees; </w:t>
      </w:r>
    </w:p>
    <w:p w:rsidR="002565BF" w:rsidRDefault="002565BF" w:rsidP="009258C6">
      <w:pPr>
        <w:pStyle w:val="ListParagraph"/>
        <w:numPr>
          <w:ilvl w:val="0"/>
          <w:numId w:val="11"/>
        </w:numPr>
        <w:jc w:val="both"/>
      </w:pPr>
      <w:r>
        <w:t xml:space="preserve">Unions or professional organizations that hold collective bargaining or professional agreements with the recipient/required partner; </w:t>
      </w:r>
    </w:p>
    <w:p w:rsidR="002565BF" w:rsidRDefault="002565BF" w:rsidP="009258C6">
      <w:pPr>
        <w:pStyle w:val="ListParagraph"/>
        <w:numPr>
          <w:ilvl w:val="0"/>
          <w:numId w:val="11"/>
        </w:numPr>
        <w:jc w:val="both"/>
      </w:pPr>
      <w:r>
        <w:t>Subrecipients; and</w:t>
      </w:r>
    </w:p>
    <w:p w:rsidR="002565BF" w:rsidRDefault="002565BF" w:rsidP="009258C6">
      <w:pPr>
        <w:pStyle w:val="ListParagraph"/>
        <w:numPr>
          <w:ilvl w:val="0"/>
          <w:numId w:val="11"/>
        </w:numPr>
        <w:jc w:val="both"/>
      </w:pPr>
      <w:r>
        <w:t xml:space="preserve">Members of the public, including those with impaired vision or hearing and those with limited English proficiency.  </w:t>
      </w:r>
    </w:p>
    <w:p w:rsidR="002565BF" w:rsidRDefault="002565BF" w:rsidP="002565BF">
      <w:pPr>
        <w:pStyle w:val="ListParagraph"/>
        <w:ind w:left="0"/>
        <w:jc w:val="both"/>
      </w:pPr>
    </w:p>
    <w:p w:rsidR="002565BF" w:rsidRDefault="002565BF" w:rsidP="009258C6">
      <w:pPr>
        <w:pStyle w:val="ListParagraph"/>
        <w:numPr>
          <w:ilvl w:val="0"/>
          <w:numId w:val="10"/>
        </w:numPr>
        <w:ind w:left="360"/>
        <w:jc w:val="both"/>
      </w:pPr>
      <w:r>
        <w:t xml:space="preserve">To meet the requirement for initial and continuing notice, recipients and required partners must indicate that </w:t>
      </w:r>
      <w:r w:rsidRPr="00B7446E">
        <w:t>the WIOA program or activity</w:t>
      </w:r>
      <w:r>
        <w:t xml:space="preserve"> is “an equal opportunity employer/program,” and that “auxiliary aids and services are available upon request to individuals with disabilities” in recruitment brochures and other materials that are ordinarily distributed to or communicated in written or oral form, electronically and/or on paper, to staff, clients, or the public at large. When such materials indicate that the recipient/required partner may be reached by telephone the materials must state the TDD/TTY number or relay service used by the recipient/required partner. </w:t>
      </w:r>
    </w:p>
    <w:p w:rsidR="002565BF" w:rsidRDefault="002565BF" w:rsidP="002565BF">
      <w:pPr>
        <w:pStyle w:val="ListParagraph"/>
        <w:ind w:left="0"/>
        <w:jc w:val="both"/>
      </w:pPr>
    </w:p>
    <w:p w:rsidR="002565BF" w:rsidRDefault="002565BF" w:rsidP="009258C6">
      <w:pPr>
        <w:pStyle w:val="ListParagraph"/>
        <w:numPr>
          <w:ilvl w:val="0"/>
          <w:numId w:val="10"/>
        </w:numPr>
        <w:ind w:left="360"/>
      </w:pPr>
      <w:r>
        <w:t>Recipients and required partners must take steps to ensure that communications with individuals with disabilities are as effective as communications with others.  29 CFR 38.15</w:t>
      </w:r>
    </w:p>
    <w:p w:rsidR="002565BF" w:rsidRDefault="002565BF" w:rsidP="002565BF">
      <w:pPr>
        <w:pStyle w:val="ListParagraph"/>
        <w:ind w:left="0"/>
      </w:pPr>
    </w:p>
    <w:p w:rsidR="002565BF" w:rsidRPr="008A4413" w:rsidRDefault="002565BF" w:rsidP="009258C6">
      <w:pPr>
        <w:pStyle w:val="ListParagraph"/>
        <w:numPr>
          <w:ilvl w:val="0"/>
          <w:numId w:val="10"/>
        </w:numPr>
        <w:ind w:left="360"/>
      </w:pPr>
      <w:r w:rsidRPr="008A4413">
        <w:t>Recipients and required partners must take reasonable steps to ensure meaningful access for individuals with limited English proficiency served or encountered to effectively inform them about and/or participate in programs and activities. 29 CFR 38.9(b)</w:t>
      </w:r>
    </w:p>
    <w:p w:rsidR="002565BF" w:rsidRDefault="002565BF" w:rsidP="002565BF">
      <w:pPr>
        <w:pStyle w:val="ListParagraph"/>
        <w:ind w:left="0"/>
        <w:jc w:val="both"/>
      </w:pPr>
    </w:p>
    <w:p w:rsidR="002565BF" w:rsidRDefault="002565BF" w:rsidP="009258C6">
      <w:pPr>
        <w:pStyle w:val="ListParagraph"/>
        <w:numPr>
          <w:ilvl w:val="0"/>
          <w:numId w:val="13"/>
        </w:numPr>
        <w:ind w:left="720"/>
        <w:jc w:val="both"/>
      </w:pPr>
      <w:r>
        <w:t>Orientations: During each presentation to orient new participants, new employees, and/or the general public to its WIOA program or activity, in person or by technology, recipients and required partners must include a discussion of the rights and responsibilities under WIOA’s nondiscrimination and equal opportunity provisions, including the right to file a complaint.  The information must be communicated in appropriate languages and formats.  (29 CFR §§ 38.15, 38.39, and 38.9)</w:t>
      </w:r>
    </w:p>
    <w:p w:rsidR="002565BF" w:rsidRDefault="002565BF" w:rsidP="002565BF">
      <w:pPr>
        <w:pStyle w:val="ListParagraph"/>
        <w:jc w:val="both"/>
      </w:pPr>
    </w:p>
    <w:p w:rsidR="002565BF" w:rsidRDefault="002565BF" w:rsidP="009258C6">
      <w:pPr>
        <w:pStyle w:val="ListParagraph"/>
        <w:numPr>
          <w:ilvl w:val="0"/>
          <w:numId w:val="13"/>
        </w:numPr>
        <w:ind w:left="720"/>
        <w:jc w:val="both"/>
      </w:pPr>
      <w:r>
        <w:t>Affirmative Outreach: Recipients and required partners must make reasonable efforts to include members of the various groups protected by 29 CFR §38.  Such efforts can include:</w:t>
      </w:r>
    </w:p>
    <w:p w:rsidR="002565BF" w:rsidRDefault="002565BF" w:rsidP="009258C6">
      <w:pPr>
        <w:pStyle w:val="ListParagraph"/>
        <w:numPr>
          <w:ilvl w:val="0"/>
          <w:numId w:val="14"/>
        </w:numPr>
        <w:jc w:val="both"/>
      </w:pPr>
      <w:r>
        <w:t>Advertising in media specifically targeting these populations;</w:t>
      </w:r>
    </w:p>
    <w:p w:rsidR="002565BF" w:rsidRDefault="002565BF" w:rsidP="009258C6">
      <w:pPr>
        <w:pStyle w:val="ListParagraph"/>
        <w:numPr>
          <w:ilvl w:val="0"/>
          <w:numId w:val="14"/>
        </w:numPr>
        <w:jc w:val="both"/>
      </w:pPr>
      <w:r>
        <w:t>Sending notices about openings in the recipient’s</w:t>
      </w:r>
      <w:r w:rsidR="00111F9A">
        <w:t xml:space="preserve"> or </w:t>
      </w:r>
      <w:r>
        <w:t>required partner’s programs and its activities to agencies, schools, and community service groups that serve these populations,</w:t>
      </w:r>
    </w:p>
    <w:p w:rsidR="002565BF" w:rsidRDefault="002565BF" w:rsidP="009258C6">
      <w:pPr>
        <w:pStyle w:val="ListParagraph"/>
        <w:numPr>
          <w:ilvl w:val="0"/>
          <w:numId w:val="14"/>
        </w:numPr>
        <w:jc w:val="both"/>
      </w:pPr>
      <w:r>
        <w:t>Consulting with appropriate community service groups on ways to improve the recipient’s/required partner’s outreach and services to these populations. (29 CFR §38.40)</w:t>
      </w:r>
    </w:p>
    <w:p w:rsidR="002565BF" w:rsidRDefault="002565BF" w:rsidP="002565BF">
      <w:pPr>
        <w:pStyle w:val="ListParagraph"/>
        <w:ind w:left="0"/>
        <w:jc w:val="both"/>
      </w:pPr>
    </w:p>
    <w:p w:rsidR="002565BF" w:rsidRDefault="002565BF" w:rsidP="009258C6">
      <w:pPr>
        <w:pStyle w:val="ListParagraph"/>
        <w:numPr>
          <w:ilvl w:val="0"/>
          <w:numId w:val="10"/>
        </w:numPr>
        <w:ind w:left="360" w:hanging="306"/>
        <w:jc w:val="both"/>
      </w:pPr>
      <w:r w:rsidRPr="00B6410E">
        <w:t>Notices in publications, broadcasts, news media and other communications:</w:t>
      </w:r>
      <w:r>
        <w:t xml:space="preserve"> 29 CFR 38.35 through 38.40</w:t>
      </w:r>
    </w:p>
    <w:p w:rsidR="002565BF" w:rsidRDefault="002565BF" w:rsidP="002565BF">
      <w:pPr>
        <w:pStyle w:val="ListParagraph"/>
        <w:ind w:left="0"/>
        <w:jc w:val="both"/>
      </w:pPr>
    </w:p>
    <w:p w:rsidR="00313620" w:rsidRPr="00313620" w:rsidRDefault="002565BF" w:rsidP="00313620">
      <w:pPr>
        <w:pStyle w:val="ListParagraph"/>
        <w:numPr>
          <w:ilvl w:val="0"/>
          <w:numId w:val="52"/>
        </w:numPr>
        <w:rPr>
          <w:rFonts w:asciiTheme="majorHAnsi" w:hAnsiTheme="majorHAnsi"/>
        </w:rPr>
      </w:pPr>
      <w:r w:rsidRPr="00313620">
        <w:rPr>
          <w:rFonts w:asciiTheme="majorHAnsi" w:hAnsiTheme="majorHAnsi"/>
        </w:rPr>
        <w:lastRenderedPageBreak/>
        <w:t xml:space="preserve">Recipients and required partners must provide the Equal Opportunity Statement, </w:t>
      </w:r>
      <w:r w:rsidRPr="00313620">
        <w:rPr>
          <w:rFonts w:asciiTheme="majorHAnsi" w:hAnsiTheme="majorHAnsi"/>
          <w:i/>
        </w:rPr>
        <w:t>Equal Opportunity Is The Law</w:t>
      </w:r>
      <w:r w:rsidRPr="00313620">
        <w:rPr>
          <w:rFonts w:asciiTheme="majorHAnsi" w:hAnsiTheme="majorHAnsi"/>
        </w:rPr>
        <w:t xml:space="preserve">, to each participant and </w:t>
      </w:r>
      <w:r w:rsidR="00283110" w:rsidRPr="00313620">
        <w:rPr>
          <w:rFonts w:asciiTheme="majorHAnsi" w:hAnsiTheme="majorHAnsi"/>
        </w:rPr>
        <w:t xml:space="preserve">must </w:t>
      </w:r>
      <w:r w:rsidRPr="00313620">
        <w:rPr>
          <w:rFonts w:asciiTheme="majorHAnsi" w:hAnsiTheme="majorHAnsi"/>
        </w:rPr>
        <w:t xml:space="preserve">document such in each participant’s file. See Appendix D and </w:t>
      </w:r>
      <w:hyperlink r:id="rId14" w:history="1">
        <w:r w:rsidR="00313620" w:rsidRPr="00313620">
          <w:rPr>
            <w:rStyle w:val="Hyperlink"/>
            <w:rFonts w:asciiTheme="majorHAnsi" w:hAnsiTheme="majorHAnsi"/>
          </w:rPr>
          <w:t>https://www.dol.gov/oasam/programs/crc/EOPosters.htm</w:t>
        </w:r>
      </w:hyperlink>
      <w:r w:rsidR="00313620" w:rsidRPr="00313620">
        <w:rPr>
          <w:rFonts w:asciiTheme="majorHAnsi" w:hAnsiTheme="majorHAnsi"/>
        </w:rPr>
        <w:t xml:space="preserve"> </w:t>
      </w:r>
    </w:p>
    <w:p w:rsidR="002565BF" w:rsidRDefault="002565BF" w:rsidP="002565BF">
      <w:pPr>
        <w:pStyle w:val="ListParagraph"/>
        <w:jc w:val="both"/>
      </w:pPr>
    </w:p>
    <w:p w:rsidR="002565BF" w:rsidRDefault="002565BF" w:rsidP="00313620">
      <w:pPr>
        <w:pStyle w:val="ListParagraph"/>
        <w:numPr>
          <w:ilvl w:val="0"/>
          <w:numId w:val="52"/>
        </w:numPr>
        <w:jc w:val="both"/>
      </w:pPr>
      <w:r>
        <w:t xml:space="preserve">Recipients and required partners must ensure that this notice is provided in appropriate languages to ensure meaningful access for </w:t>
      </w:r>
      <w:r w:rsidR="00283110">
        <w:t>l</w:t>
      </w:r>
      <w:r>
        <w:t>imited English proficient (LEP) individuals. 29</w:t>
      </w:r>
      <w:r w:rsidR="00283110">
        <w:t xml:space="preserve"> CFR 38.9, 38.15 and 38.34 (b)</w:t>
      </w:r>
    </w:p>
    <w:p w:rsidR="002565BF" w:rsidRDefault="002565BF" w:rsidP="002565BF">
      <w:pPr>
        <w:pStyle w:val="ListParagraph"/>
        <w:jc w:val="both"/>
      </w:pPr>
    </w:p>
    <w:p w:rsidR="002565BF" w:rsidRDefault="002565BF" w:rsidP="00313620">
      <w:pPr>
        <w:pStyle w:val="ListParagraph"/>
        <w:numPr>
          <w:ilvl w:val="0"/>
          <w:numId w:val="52"/>
        </w:numPr>
        <w:jc w:val="both"/>
      </w:pPr>
      <w:r>
        <w:t xml:space="preserve">If both paper and electronic files are maintained, documentation that the participant acknowledged receiving the statement must be recorded in both the electronic and paper files.  </w:t>
      </w:r>
    </w:p>
    <w:p w:rsidR="002565BF" w:rsidRDefault="002565BF" w:rsidP="002565BF">
      <w:pPr>
        <w:pStyle w:val="ListParagraph"/>
        <w:jc w:val="both"/>
      </w:pPr>
    </w:p>
    <w:p w:rsidR="002565BF" w:rsidRDefault="002565BF" w:rsidP="00313620">
      <w:pPr>
        <w:pStyle w:val="ListParagraph"/>
        <w:numPr>
          <w:ilvl w:val="0"/>
          <w:numId w:val="52"/>
        </w:numPr>
        <w:jc w:val="both"/>
      </w:pPr>
      <w:r>
        <w:t xml:space="preserve">Recipients and required partners should inform participants about the procedure outlined in the Equal Opportunity Statement when filing a </w:t>
      </w:r>
      <w:r w:rsidR="00283110">
        <w:t xml:space="preserve"> </w:t>
      </w:r>
      <w:r>
        <w:t>discrimination complaint under WIOA.  The required wording of the statement is found at 29 CFR 38.35.  See Appendix D.</w:t>
      </w:r>
    </w:p>
    <w:p w:rsidR="002565BF" w:rsidRDefault="002565BF" w:rsidP="002565BF">
      <w:pPr>
        <w:pStyle w:val="ListParagraph"/>
        <w:jc w:val="both"/>
      </w:pPr>
    </w:p>
    <w:p w:rsidR="002565BF" w:rsidRPr="007F5463" w:rsidRDefault="002565BF" w:rsidP="00313620">
      <w:pPr>
        <w:pStyle w:val="ListParagraph"/>
        <w:numPr>
          <w:ilvl w:val="0"/>
          <w:numId w:val="52"/>
        </w:numPr>
        <w:jc w:val="both"/>
      </w:pPr>
      <w:r>
        <w:t>Recipients and required partners must indicate that the program or activity is “an equal opportunity employer/program,</w:t>
      </w:r>
      <w:r w:rsidR="00283110">
        <w:t>”</w:t>
      </w:r>
      <w:r>
        <w:t xml:space="preserve"> and “auxiliary aids and services are available upon request to individuals with disabilities” in recruitment brochures and other materials that are ordinarily distributed to or communicated in written or oral form, electronically and/or on paper, to staff, clients, or the public at large.  When such materials indicate that the recipient</w:t>
      </w:r>
      <w:r w:rsidR="00111F9A">
        <w:t xml:space="preserve"> or</w:t>
      </w:r>
      <w:r>
        <w:t>required partner may be reached by telephone, the materials must state the TDD/TTY number or relay service used by the recipient.</w:t>
      </w:r>
    </w:p>
    <w:p w:rsidR="002565BF" w:rsidRDefault="002565BF" w:rsidP="002565BF">
      <w:pPr>
        <w:pStyle w:val="ListParagraph"/>
        <w:jc w:val="both"/>
      </w:pPr>
    </w:p>
    <w:p w:rsidR="002565BF" w:rsidRDefault="002565BF" w:rsidP="00313620">
      <w:pPr>
        <w:pStyle w:val="ListParagraph"/>
        <w:numPr>
          <w:ilvl w:val="0"/>
          <w:numId w:val="52"/>
        </w:numPr>
        <w:jc w:val="both"/>
      </w:pPr>
      <w:r>
        <w:t>Recipients and required partners must communicate equal opportunity and nondiscrimination provisions to those signing up for or attending orientation sessions and other events open to the public and to participants.</w:t>
      </w:r>
    </w:p>
    <w:p w:rsidR="002565BF" w:rsidRDefault="002565BF" w:rsidP="002565BF">
      <w:pPr>
        <w:pStyle w:val="ListParagraph"/>
        <w:ind w:left="0"/>
        <w:jc w:val="both"/>
      </w:pPr>
    </w:p>
    <w:p w:rsidR="002565BF" w:rsidRDefault="002565BF" w:rsidP="002565BF">
      <w:pPr>
        <w:pStyle w:val="ListParagraph"/>
        <w:ind w:left="360" w:hanging="360"/>
        <w:jc w:val="both"/>
      </w:pPr>
      <w:r>
        <w:t>F</w:t>
      </w:r>
      <w:r w:rsidRPr="00844C79">
        <w:t>.</w:t>
      </w:r>
      <w:r w:rsidRPr="00844C79">
        <w:tab/>
        <w:t xml:space="preserve">Responsibility to provide services and information in languages other than English: </w:t>
      </w:r>
    </w:p>
    <w:p w:rsidR="002565BF" w:rsidRPr="00844C79" w:rsidRDefault="002565BF" w:rsidP="002565BF">
      <w:pPr>
        <w:pStyle w:val="ListParagraph"/>
        <w:ind w:left="0"/>
        <w:jc w:val="both"/>
      </w:pPr>
    </w:p>
    <w:p w:rsidR="002565BF" w:rsidRDefault="002565BF" w:rsidP="002565BF">
      <w:pPr>
        <w:pStyle w:val="ListParagraph"/>
        <w:ind w:left="0"/>
        <w:jc w:val="both"/>
      </w:pPr>
      <w:r w:rsidRPr="00B27907">
        <w:t xml:space="preserve">Populations eligible to be served or directly affected </w:t>
      </w:r>
      <w:r w:rsidRPr="00DB1FF5">
        <w:t>by a WIOA</w:t>
      </w:r>
      <w:r>
        <w:t xml:space="preserve"> </w:t>
      </w:r>
      <w:r w:rsidRPr="00DB1FF5">
        <w:t xml:space="preserve">program or activity </w:t>
      </w:r>
      <w:r w:rsidRPr="00B27907">
        <w:t>may need services or information in a language other than English in order t</w:t>
      </w:r>
      <w:r w:rsidR="00283110">
        <w:t>o be effectively informed about</w:t>
      </w:r>
      <w:r w:rsidRPr="00B27907">
        <w:t xml:space="preserve"> or </w:t>
      </w:r>
      <w:r w:rsidR="00283110">
        <w:t xml:space="preserve">to be </w:t>
      </w:r>
      <w:r w:rsidRPr="00B27907">
        <w:t xml:space="preserve">able to participate in the program or activity.  </w:t>
      </w:r>
    </w:p>
    <w:p w:rsidR="002565BF" w:rsidRDefault="002565BF" w:rsidP="002565BF">
      <w:pPr>
        <w:pStyle w:val="ListParagraph"/>
        <w:ind w:left="0"/>
        <w:jc w:val="both"/>
      </w:pPr>
    </w:p>
    <w:p w:rsidR="002565BF" w:rsidRPr="00C35EDF" w:rsidRDefault="00111F9A" w:rsidP="002565BF">
      <w:pPr>
        <w:pStyle w:val="ListParagraph"/>
        <w:ind w:left="0"/>
        <w:jc w:val="both"/>
      </w:pPr>
      <w:r>
        <w:t>R</w:t>
      </w:r>
      <w:r w:rsidR="002565BF" w:rsidRPr="00B27907">
        <w:t>ecipient</w:t>
      </w:r>
      <w:r>
        <w:t xml:space="preserve">s and </w:t>
      </w:r>
      <w:r w:rsidR="002565BF">
        <w:t>required partner</w:t>
      </w:r>
      <w:r>
        <w:t>s</w:t>
      </w:r>
      <w:r w:rsidR="002565BF" w:rsidRPr="00B27907">
        <w:t xml:space="preserve"> should make reasonable efforts to meet the particular language needs of limited-English-speaking individuals </w:t>
      </w:r>
      <w:r w:rsidR="00283110">
        <w:t xml:space="preserve">seeking </w:t>
      </w:r>
      <w:r w:rsidR="002565BF" w:rsidRPr="0003601A">
        <w:t xml:space="preserve">WIOA-funded </w:t>
      </w:r>
      <w:r w:rsidR="002565BF" w:rsidRPr="00C35EDF">
        <w:t>services.  See 29 CFR 38.39    See Appendix B for Language Resources for interpreter and translation services, including such services for people with hearing loss.</w:t>
      </w:r>
    </w:p>
    <w:p w:rsidR="002565BF" w:rsidRDefault="002565BF" w:rsidP="002565BF">
      <w:pPr>
        <w:pStyle w:val="ListParagraph"/>
        <w:ind w:left="0"/>
        <w:jc w:val="both"/>
      </w:pPr>
    </w:p>
    <w:p w:rsidR="002565BF" w:rsidRDefault="002565BF" w:rsidP="002565BF">
      <w:pPr>
        <w:pStyle w:val="ListParagraph"/>
        <w:ind w:left="0"/>
        <w:jc w:val="both"/>
      </w:pPr>
      <w:r w:rsidRPr="00B27907">
        <w:t xml:space="preserve">Where a significant number or proportion </w:t>
      </w:r>
      <w:r>
        <w:t xml:space="preserve">of people with limited English proficiency </w:t>
      </w:r>
      <w:r w:rsidRPr="00B27907">
        <w:t>exists, a recipient</w:t>
      </w:r>
      <w:r>
        <w:t>/required partner</w:t>
      </w:r>
      <w:r w:rsidRPr="00B27907">
        <w:t xml:space="preserve"> must take the following actions: </w:t>
      </w:r>
    </w:p>
    <w:p w:rsidR="002565BF" w:rsidRPr="00B27907" w:rsidRDefault="002565BF" w:rsidP="002565BF">
      <w:pPr>
        <w:pStyle w:val="ListParagraph"/>
        <w:ind w:left="0"/>
        <w:jc w:val="both"/>
      </w:pPr>
    </w:p>
    <w:p w:rsidR="002565BF" w:rsidRPr="00B27907" w:rsidRDefault="002565BF" w:rsidP="009258C6">
      <w:pPr>
        <w:pStyle w:val="ListParagraph"/>
        <w:numPr>
          <w:ilvl w:val="0"/>
          <w:numId w:val="7"/>
        </w:numPr>
        <w:ind w:left="1080" w:hanging="720"/>
        <w:jc w:val="both"/>
      </w:pPr>
      <w:r w:rsidRPr="00B27907">
        <w:t xml:space="preserve">Consider: </w:t>
      </w:r>
    </w:p>
    <w:p w:rsidR="002565BF" w:rsidRPr="00B27907" w:rsidRDefault="002565BF" w:rsidP="00283110">
      <w:pPr>
        <w:pStyle w:val="ListParagraph"/>
        <w:numPr>
          <w:ilvl w:val="1"/>
          <w:numId w:val="7"/>
        </w:numPr>
        <w:ind w:left="1170"/>
        <w:jc w:val="both"/>
      </w:pPr>
      <w:r w:rsidRPr="00B27907">
        <w:t>The scope of the program or activity; and</w:t>
      </w:r>
    </w:p>
    <w:p w:rsidR="002565BF" w:rsidRPr="00B27907" w:rsidRDefault="005310A1" w:rsidP="00283110">
      <w:pPr>
        <w:pStyle w:val="ListParagraph"/>
        <w:numPr>
          <w:ilvl w:val="1"/>
          <w:numId w:val="7"/>
        </w:numPr>
        <w:ind w:left="1080" w:hanging="270"/>
        <w:jc w:val="both"/>
      </w:pPr>
      <w:r>
        <w:t xml:space="preserve"> </w:t>
      </w:r>
      <w:r w:rsidR="00283110">
        <w:t xml:space="preserve"> </w:t>
      </w:r>
      <w:r w:rsidR="002565BF" w:rsidRPr="00B27907">
        <w:t>The size and concentration of the population that needs servic</w:t>
      </w:r>
      <w:r w:rsidR="002565BF">
        <w:t xml:space="preserve">es or information in a </w:t>
      </w:r>
      <w:r>
        <w:t xml:space="preserve">                   </w:t>
      </w:r>
      <w:r>
        <w:br/>
        <w:t xml:space="preserve">   </w:t>
      </w:r>
      <w:r w:rsidR="002565BF">
        <w:t xml:space="preserve">language </w:t>
      </w:r>
      <w:r w:rsidR="002565BF" w:rsidRPr="00B27907">
        <w:t>other than English; and</w:t>
      </w:r>
    </w:p>
    <w:p w:rsidR="002565BF" w:rsidRDefault="002565BF" w:rsidP="009258C6">
      <w:pPr>
        <w:pStyle w:val="ListParagraph"/>
        <w:numPr>
          <w:ilvl w:val="0"/>
          <w:numId w:val="7"/>
        </w:numPr>
        <w:jc w:val="both"/>
      </w:pPr>
      <w:r w:rsidRPr="00B27907">
        <w:t xml:space="preserve">Based on those considerations, take reasonable steps to provide services and information in appropriate languages; including initial and continuing notice of </w:t>
      </w:r>
      <w:r w:rsidR="00283110">
        <w:t>equal opportunity</w:t>
      </w:r>
      <w:r w:rsidRPr="00B27907">
        <w:t xml:space="preserve"> requirements. </w:t>
      </w:r>
    </w:p>
    <w:p w:rsidR="002565BF" w:rsidRDefault="002565BF" w:rsidP="002565BF">
      <w:pPr>
        <w:pStyle w:val="ListParagraph"/>
        <w:ind w:left="360"/>
        <w:jc w:val="both"/>
      </w:pPr>
    </w:p>
    <w:p w:rsidR="00AB381C" w:rsidRDefault="00AB381C" w:rsidP="00305839">
      <w:pPr>
        <w:jc w:val="both"/>
        <w:rPr>
          <w:rFonts w:asciiTheme="majorHAnsi" w:hAnsiTheme="majorHAnsi"/>
          <w:b/>
          <w:sz w:val="22"/>
          <w:szCs w:val="22"/>
        </w:rPr>
      </w:pPr>
    </w:p>
    <w:p w:rsidR="00305839" w:rsidRDefault="00305839" w:rsidP="00305839">
      <w:pPr>
        <w:jc w:val="both"/>
        <w:rPr>
          <w:rFonts w:asciiTheme="majorHAnsi" w:hAnsiTheme="majorHAnsi"/>
          <w:b/>
          <w:sz w:val="22"/>
          <w:szCs w:val="22"/>
        </w:rPr>
      </w:pPr>
      <w:r w:rsidRPr="00305839">
        <w:rPr>
          <w:rFonts w:asciiTheme="majorHAnsi" w:hAnsiTheme="majorHAnsi"/>
          <w:b/>
          <w:sz w:val="22"/>
          <w:szCs w:val="22"/>
        </w:rPr>
        <w:lastRenderedPageBreak/>
        <w:t>VII.</w:t>
      </w:r>
      <w:r>
        <w:rPr>
          <w:rFonts w:asciiTheme="majorHAnsi" w:hAnsiTheme="majorHAnsi"/>
          <w:b/>
          <w:sz w:val="22"/>
          <w:szCs w:val="22"/>
        </w:rPr>
        <w:t xml:space="preserve"> Complaints</w:t>
      </w:r>
    </w:p>
    <w:p w:rsidR="00305839" w:rsidRDefault="00305839" w:rsidP="00305839">
      <w:pPr>
        <w:jc w:val="both"/>
        <w:rPr>
          <w:rFonts w:asciiTheme="majorHAnsi" w:hAnsiTheme="majorHAnsi"/>
          <w:b/>
          <w:sz w:val="22"/>
          <w:szCs w:val="22"/>
        </w:rPr>
      </w:pPr>
    </w:p>
    <w:p w:rsidR="00305839" w:rsidRPr="000F7EDD" w:rsidRDefault="00305839" w:rsidP="00305839">
      <w:pPr>
        <w:jc w:val="both"/>
        <w:rPr>
          <w:rFonts w:asciiTheme="majorHAnsi" w:hAnsiTheme="majorHAnsi"/>
          <w:sz w:val="22"/>
          <w:szCs w:val="22"/>
        </w:rPr>
      </w:pPr>
      <w:r w:rsidRPr="000F7EDD">
        <w:rPr>
          <w:rFonts w:asciiTheme="majorHAnsi" w:hAnsiTheme="majorHAnsi"/>
          <w:sz w:val="22"/>
          <w:szCs w:val="22"/>
        </w:rPr>
        <w:t xml:space="preserve">Equal opportunity and nondiscrimination complaints </w:t>
      </w:r>
      <w:r w:rsidR="000F7EDD">
        <w:rPr>
          <w:rFonts w:asciiTheme="majorHAnsi" w:hAnsiTheme="majorHAnsi"/>
          <w:sz w:val="22"/>
          <w:szCs w:val="22"/>
        </w:rPr>
        <w:t xml:space="preserve">must be addressed according to the process outlined in the Equal Opportunity Statement, </w:t>
      </w:r>
      <w:r w:rsidR="000F7EDD" w:rsidRPr="000F7EDD">
        <w:rPr>
          <w:rFonts w:asciiTheme="majorHAnsi" w:hAnsiTheme="majorHAnsi"/>
          <w:i/>
          <w:sz w:val="22"/>
          <w:szCs w:val="22"/>
        </w:rPr>
        <w:t>Equal Opportunity Is The Law</w:t>
      </w:r>
      <w:r w:rsidR="000F7EDD">
        <w:rPr>
          <w:rFonts w:asciiTheme="majorHAnsi" w:hAnsiTheme="majorHAnsi"/>
          <w:sz w:val="22"/>
          <w:szCs w:val="22"/>
        </w:rPr>
        <w:t>.  See Appendix D.</w:t>
      </w:r>
    </w:p>
    <w:p w:rsidR="002565BF" w:rsidRPr="00812CF2" w:rsidRDefault="002565BF" w:rsidP="00501F91">
      <w:pPr>
        <w:pStyle w:val="Heading1"/>
        <w:rPr>
          <w:sz w:val="24"/>
          <w:szCs w:val="24"/>
        </w:rPr>
      </w:pPr>
      <w:bookmarkStart w:id="4" w:name="_Toc491939225"/>
      <w:r w:rsidRPr="00812CF2">
        <w:rPr>
          <w:sz w:val="24"/>
          <w:szCs w:val="24"/>
        </w:rPr>
        <w:t>PHYSICAL and PROGRAMMATIC ACCESSIBILITY</w:t>
      </w:r>
      <w:bookmarkEnd w:id="4"/>
    </w:p>
    <w:p w:rsidR="002565BF" w:rsidRDefault="002565BF" w:rsidP="00283110">
      <w:pPr>
        <w:jc w:val="both"/>
        <w:rPr>
          <w:rFonts w:ascii="Calibri" w:hAnsi="Calibri" w:cs="Utsaah"/>
          <w:b/>
          <w:sz w:val="22"/>
          <w:szCs w:val="22"/>
        </w:rPr>
      </w:pPr>
    </w:p>
    <w:p w:rsidR="002565BF" w:rsidRPr="002B56D0" w:rsidRDefault="002565BF" w:rsidP="00283110">
      <w:pPr>
        <w:pStyle w:val="ListParagraph"/>
        <w:ind w:left="0"/>
        <w:jc w:val="both"/>
        <w:rPr>
          <w:b/>
        </w:rPr>
      </w:pPr>
      <w:r>
        <w:rPr>
          <w:b/>
        </w:rPr>
        <w:t xml:space="preserve">I.  </w:t>
      </w:r>
      <w:r w:rsidRPr="002B56D0">
        <w:rPr>
          <w:b/>
        </w:rPr>
        <w:t>Purpose</w:t>
      </w:r>
    </w:p>
    <w:p w:rsidR="002565BF" w:rsidRDefault="002565BF" w:rsidP="00283110">
      <w:pPr>
        <w:pStyle w:val="ListParagraph"/>
        <w:ind w:left="0"/>
        <w:jc w:val="both"/>
      </w:pPr>
    </w:p>
    <w:p w:rsidR="002565BF" w:rsidRDefault="002565BF" w:rsidP="00283110">
      <w:pPr>
        <w:pStyle w:val="ListParagraph"/>
        <w:ind w:left="0"/>
        <w:jc w:val="both"/>
      </w:pPr>
      <w:r w:rsidRPr="002C3816">
        <w:t xml:space="preserve">This </w:t>
      </w:r>
      <w:r w:rsidR="00E22697">
        <w:t xml:space="preserve">part of the </w:t>
      </w:r>
      <w:r>
        <w:t>policy:</w:t>
      </w:r>
    </w:p>
    <w:p w:rsidR="002565BF" w:rsidRPr="006465AE" w:rsidRDefault="002565BF" w:rsidP="00283110">
      <w:pPr>
        <w:pStyle w:val="ListParagraph"/>
        <w:numPr>
          <w:ilvl w:val="0"/>
          <w:numId w:val="26"/>
        </w:numPr>
        <w:ind w:left="360"/>
        <w:jc w:val="both"/>
      </w:pPr>
      <w:r>
        <w:t>E</w:t>
      </w:r>
      <w:r w:rsidRPr="002C3816">
        <w:t xml:space="preserve">stablishes requirements </w:t>
      </w:r>
      <w:r>
        <w:t>to</w:t>
      </w:r>
      <w:r w:rsidRPr="002C3816">
        <w:t xml:space="preserve"> ensure th</w:t>
      </w:r>
      <w:r>
        <w:t xml:space="preserve">at all members of the </w:t>
      </w:r>
      <w:r w:rsidRPr="002C3816">
        <w:t xml:space="preserve">public </w:t>
      </w:r>
      <w:r>
        <w:t>can</w:t>
      </w:r>
      <w:r w:rsidRPr="002C3816">
        <w:t xml:space="preserve"> access information and</w:t>
      </w:r>
      <w:r>
        <w:t>, as appropriate,</w:t>
      </w:r>
      <w:r w:rsidRPr="002C3816">
        <w:t xml:space="preserve"> career </w:t>
      </w:r>
      <w:r w:rsidRPr="006465AE">
        <w:t>and training services provided through Maine’s one-stop system,</w:t>
      </w:r>
    </w:p>
    <w:p w:rsidR="002565BF" w:rsidRDefault="002565BF" w:rsidP="00283110">
      <w:pPr>
        <w:pStyle w:val="ListParagraph"/>
        <w:numPr>
          <w:ilvl w:val="0"/>
          <w:numId w:val="26"/>
        </w:numPr>
        <w:ind w:left="360"/>
        <w:jc w:val="both"/>
      </w:pPr>
      <w:r>
        <w:t xml:space="preserve">Promotes client-centered approaches in the design and delivery of </w:t>
      </w:r>
      <w:r w:rsidR="002B0F0E">
        <w:t>the</w:t>
      </w:r>
      <w:r>
        <w:t xml:space="preserve"> system of services, information, policies, and procedures, and </w:t>
      </w:r>
    </w:p>
    <w:p w:rsidR="002565BF" w:rsidRPr="002B56D0" w:rsidRDefault="002565BF" w:rsidP="00283110">
      <w:pPr>
        <w:pStyle w:val="ListParagraph"/>
        <w:numPr>
          <w:ilvl w:val="0"/>
          <w:numId w:val="26"/>
        </w:numPr>
        <w:ind w:left="360"/>
        <w:jc w:val="both"/>
        <w:rPr>
          <w:b/>
        </w:rPr>
      </w:pPr>
      <w:r>
        <w:t>Encourages one-stop system recipients and required partners to practice continuous improvement in accessibility.</w:t>
      </w:r>
    </w:p>
    <w:p w:rsidR="002565BF" w:rsidRDefault="002565BF" w:rsidP="00283110">
      <w:pPr>
        <w:pStyle w:val="ListParagraph"/>
        <w:ind w:left="0"/>
        <w:jc w:val="both"/>
      </w:pPr>
    </w:p>
    <w:p w:rsidR="002565BF" w:rsidRDefault="002565BF" w:rsidP="00283110">
      <w:pPr>
        <w:pStyle w:val="ListParagraph"/>
        <w:ind w:left="0"/>
        <w:jc w:val="both"/>
        <w:rPr>
          <w:b/>
        </w:rPr>
      </w:pPr>
      <w:r w:rsidRPr="002B56D0">
        <w:rPr>
          <w:b/>
        </w:rPr>
        <w:t>II.  Universal Access</w:t>
      </w:r>
    </w:p>
    <w:p w:rsidR="002565BF" w:rsidRDefault="002565BF" w:rsidP="00283110">
      <w:pPr>
        <w:pStyle w:val="ListParagraph"/>
        <w:ind w:left="0"/>
        <w:jc w:val="both"/>
        <w:rPr>
          <w:b/>
        </w:rPr>
      </w:pPr>
    </w:p>
    <w:p w:rsidR="002565BF" w:rsidRDefault="002565BF" w:rsidP="00283110">
      <w:pPr>
        <w:jc w:val="both"/>
        <w:rPr>
          <w:rFonts w:ascii="Calibri" w:hAnsi="Calibri" w:cs="Utsaah"/>
          <w:sz w:val="22"/>
          <w:szCs w:val="22"/>
        </w:rPr>
      </w:pPr>
      <w:r w:rsidRPr="00FF53D9">
        <w:rPr>
          <w:rFonts w:ascii="Calibri" w:hAnsi="Calibri" w:cs="Utsaah"/>
          <w:sz w:val="22"/>
          <w:szCs w:val="22"/>
        </w:rPr>
        <w:t>Universal access</w:t>
      </w:r>
      <w:r>
        <w:rPr>
          <w:rFonts w:ascii="Calibri" w:hAnsi="Calibri" w:cs="Utsaah"/>
          <w:sz w:val="22"/>
          <w:szCs w:val="22"/>
        </w:rPr>
        <w:t xml:space="preserve"> is full availability of services, products, environments, systems, and communications by all qualified or eligible individuals. When combined with client-centered design, the one-stop system is welcoming and usable by the most diverse range of people possible. </w:t>
      </w:r>
    </w:p>
    <w:p w:rsidR="002565BF" w:rsidRDefault="002565BF" w:rsidP="00283110">
      <w:pPr>
        <w:jc w:val="both"/>
        <w:rPr>
          <w:rFonts w:ascii="Calibri" w:hAnsi="Calibri" w:cs="Utsaah"/>
          <w:sz w:val="22"/>
          <w:szCs w:val="22"/>
        </w:rPr>
      </w:pPr>
    </w:p>
    <w:p w:rsidR="002565BF" w:rsidRDefault="002565BF" w:rsidP="00283110">
      <w:pPr>
        <w:jc w:val="both"/>
        <w:rPr>
          <w:rFonts w:ascii="Calibri" w:hAnsi="Calibri" w:cs="Utsaah"/>
          <w:sz w:val="22"/>
          <w:szCs w:val="22"/>
        </w:rPr>
      </w:pPr>
      <w:r>
        <w:rPr>
          <w:rFonts w:ascii="Calibri" w:hAnsi="Calibri" w:cs="Utsaah"/>
          <w:sz w:val="22"/>
          <w:szCs w:val="22"/>
        </w:rPr>
        <w:t xml:space="preserve">In order to provide inclusive access to the one-stop system, the system’s partners should pay attention to the various functions </w:t>
      </w:r>
      <w:r w:rsidR="002B0F0E">
        <w:rPr>
          <w:rFonts w:ascii="Calibri" w:hAnsi="Calibri" w:cs="Utsaah"/>
          <w:sz w:val="22"/>
          <w:szCs w:val="22"/>
        </w:rPr>
        <w:t>they perform</w:t>
      </w:r>
      <w:r>
        <w:rPr>
          <w:rFonts w:ascii="Calibri" w:hAnsi="Calibri" w:cs="Utsaah"/>
          <w:sz w:val="22"/>
          <w:szCs w:val="22"/>
        </w:rPr>
        <w:t>, including strategic planning, marketing and outreach, consultation with community groups and schools, operational collaboration among the partners, training, registration, intake, assessment, orientation, events, supportive services, referrals, and service delivery.</w:t>
      </w:r>
    </w:p>
    <w:p w:rsidR="002565BF" w:rsidRPr="00FF53D9" w:rsidRDefault="002565BF" w:rsidP="00283110">
      <w:pPr>
        <w:jc w:val="both"/>
        <w:rPr>
          <w:rFonts w:ascii="Calibri" w:hAnsi="Calibri" w:cs="Utsaah"/>
          <w:sz w:val="22"/>
          <w:szCs w:val="22"/>
        </w:rPr>
      </w:pPr>
    </w:p>
    <w:p w:rsidR="002565BF" w:rsidRDefault="002565BF" w:rsidP="00283110">
      <w:pPr>
        <w:jc w:val="both"/>
        <w:rPr>
          <w:rFonts w:ascii="Calibri" w:hAnsi="Calibri" w:cs="Utsaah"/>
          <w:sz w:val="22"/>
          <w:szCs w:val="22"/>
        </w:rPr>
      </w:pPr>
      <w:r>
        <w:rPr>
          <w:rFonts w:ascii="Calibri" w:hAnsi="Calibri" w:cs="Utsaah"/>
          <w:sz w:val="22"/>
          <w:szCs w:val="22"/>
        </w:rPr>
        <w:t xml:space="preserve">It is the policy of Maine’s one-stop system that programs, services, aid, and benefits are designed to be accessible to all qualified/eligible users.  Physical space, hours of service, web-based communications and services, and events are included.  A policy or procedure should be modified if it presents a barrier to access. Modification in order to provide access </w:t>
      </w:r>
      <w:r w:rsidR="002B0F0E">
        <w:rPr>
          <w:rFonts w:ascii="Calibri" w:hAnsi="Calibri" w:cs="Utsaah"/>
          <w:sz w:val="22"/>
          <w:szCs w:val="22"/>
        </w:rPr>
        <w:t>might</w:t>
      </w:r>
      <w:r>
        <w:rPr>
          <w:rFonts w:ascii="Calibri" w:hAnsi="Calibri" w:cs="Utsaah"/>
          <w:sz w:val="22"/>
          <w:szCs w:val="22"/>
        </w:rPr>
        <w:t xml:space="preserve"> not require a permanent change, but it may indicate a need for revision or redesign to improve access for all.</w:t>
      </w:r>
    </w:p>
    <w:p w:rsidR="002565BF" w:rsidRDefault="002565BF" w:rsidP="00283110">
      <w:pPr>
        <w:jc w:val="both"/>
        <w:rPr>
          <w:rFonts w:ascii="Calibri" w:hAnsi="Calibri" w:cs="Utsaah"/>
          <w:sz w:val="22"/>
          <w:szCs w:val="22"/>
        </w:rPr>
      </w:pPr>
    </w:p>
    <w:p w:rsidR="002565BF" w:rsidRDefault="002565BF" w:rsidP="00283110">
      <w:pPr>
        <w:jc w:val="both"/>
        <w:rPr>
          <w:rFonts w:ascii="Calibri" w:hAnsi="Calibri" w:cs="Utsaah"/>
          <w:sz w:val="22"/>
          <w:szCs w:val="22"/>
        </w:rPr>
      </w:pPr>
      <w:r>
        <w:rPr>
          <w:rFonts w:ascii="Calibri" w:hAnsi="Calibri" w:cs="Utsaah"/>
          <w:sz w:val="22"/>
          <w:szCs w:val="22"/>
        </w:rPr>
        <w:t>Every reasonable action shall be taken to ensure that all persons are given maximum opportunity as:</w:t>
      </w:r>
    </w:p>
    <w:p w:rsidR="002565BF" w:rsidRDefault="002565BF" w:rsidP="00283110">
      <w:pPr>
        <w:numPr>
          <w:ilvl w:val="0"/>
          <w:numId w:val="20"/>
        </w:numPr>
        <w:ind w:left="450" w:hanging="450"/>
        <w:jc w:val="both"/>
        <w:rPr>
          <w:rFonts w:ascii="Calibri" w:hAnsi="Calibri" w:cs="Utsaah"/>
          <w:sz w:val="22"/>
          <w:szCs w:val="22"/>
        </w:rPr>
      </w:pPr>
      <w:r>
        <w:rPr>
          <w:rFonts w:ascii="Calibri" w:hAnsi="Calibri" w:cs="Utsaah"/>
          <w:sz w:val="22"/>
          <w:szCs w:val="22"/>
        </w:rPr>
        <w:t>Applicants and participants of employment and training programs provided by the Maine one-stop system;</w:t>
      </w:r>
    </w:p>
    <w:p w:rsidR="002565BF" w:rsidRDefault="002565BF" w:rsidP="00283110">
      <w:pPr>
        <w:numPr>
          <w:ilvl w:val="0"/>
          <w:numId w:val="20"/>
        </w:numPr>
        <w:ind w:left="450" w:hanging="450"/>
        <w:jc w:val="both"/>
        <w:rPr>
          <w:rFonts w:ascii="Calibri" w:hAnsi="Calibri" w:cs="Utsaah"/>
          <w:sz w:val="22"/>
          <w:szCs w:val="22"/>
        </w:rPr>
      </w:pPr>
      <w:r>
        <w:rPr>
          <w:rFonts w:ascii="Calibri" w:hAnsi="Calibri" w:cs="Utsaah"/>
          <w:sz w:val="22"/>
          <w:szCs w:val="22"/>
        </w:rPr>
        <w:t>Members of councils and boards formed in association with WIOA and other employment and training programs;</w:t>
      </w:r>
    </w:p>
    <w:p w:rsidR="002565BF" w:rsidRDefault="002565BF" w:rsidP="00283110">
      <w:pPr>
        <w:numPr>
          <w:ilvl w:val="0"/>
          <w:numId w:val="20"/>
        </w:numPr>
        <w:ind w:left="450" w:hanging="450"/>
        <w:jc w:val="both"/>
        <w:rPr>
          <w:rFonts w:ascii="Calibri" w:hAnsi="Calibri" w:cs="Utsaah"/>
          <w:sz w:val="22"/>
          <w:szCs w:val="22"/>
        </w:rPr>
      </w:pPr>
      <w:r>
        <w:rPr>
          <w:rFonts w:ascii="Calibri" w:hAnsi="Calibri" w:cs="Utsaah"/>
          <w:sz w:val="22"/>
          <w:szCs w:val="22"/>
        </w:rPr>
        <w:t xml:space="preserve">Applicants for employment and employees in the administration and operation of the services provided by the one-stop system required partners; and </w:t>
      </w:r>
    </w:p>
    <w:p w:rsidR="002565BF" w:rsidRDefault="002565BF" w:rsidP="00283110">
      <w:pPr>
        <w:numPr>
          <w:ilvl w:val="0"/>
          <w:numId w:val="20"/>
        </w:numPr>
        <w:ind w:left="450" w:hanging="450"/>
        <w:jc w:val="both"/>
        <w:rPr>
          <w:rFonts w:ascii="Calibri" w:hAnsi="Calibri" w:cs="Utsaah"/>
          <w:sz w:val="22"/>
          <w:szCs w:val="22"/>
        </w:rPr>
      </w:pPr>
      <w:r>
        <w:rPr>
          <w:rFonts w:ascii="Calibri" w:hAnsi="Calibri" w:cs="Utsaah"/>
          <w:sz w:val="22"/>
          <w:szCs w:val="22"/>
        </w:rPr>
        <w:t>Recipients of procurement contracts for the purchase of goods and services.</w:t>
      </w:r>
    </w:p>
    <w:p w:rsidR="002565BF" w:rsidRDefault="002565BF" w:rsidP="002565BF">
      <w:pPr>
        <w:rPr>
          <w:rFonts w:ascii="Calibri" w:hAnsi="Calibri" w:cs="Utsaah"/>
          <w:sz w:val="22"/>
          <w:szCs w:val="22"/>
        </w:rPr>
      </w:pPr>
    </w:p>
    <w:p w:rsidR="002565BF" w:rsidRDefault="002565BF" w:rsidP="002565BF">
      <w:pPr>
        <w:pStyle w:val="ListParagraph"/>
        <w:ind w:left="360"/>
        <w:jc w:val="both"/>
      </w:pPr>
    </w:p>
    <w:p w:rsidR="002565BF" w:rsidRDefault="002565BF" w:rsidP="002565BF">
      <w:pPr>
        <w:pStyle w:val="ListParagraph"/>
        <w:ind w:left="0"/>
        <w:jc w:val="both"/>
        <w:rPr>
          <w:b/>
        </w:rPr>
      </w:pPr>
      <w:r>
        <w:rPr>
          <w:b/>
        </w:rPr>
        <w:t>I</w:t>
      </w:r>
      <w:r w:rsidR="000F7EDD">
        <w:rPr>
          <w:b/>
        </w:rPr>
        <w:t>II</w:t>
      </w:r>
      <w:r>
        <w:rPr>
          <w:b/>
        </w:rPr>
        <w:t xml:space="preserve">.   </w:t>
      </w:r>
      <w:r w:rsidRPr="00523F91">
        <w:rPr>
          <w:b/>
        </w:rPr>
        <w:t xml:space="preserve">Auxiliary </w:t>
      </w:r>
      <w:r>
        <w:rPr>
          <w:b/>
        </w:rPr>
        <w:t>a</w:t>
      </w:r>
      <w:r w:rsidRPr="00523F91">
        <w:rPr>
          <w:b/>
        </w:rPr>
        <w:t xml:space="preserve">ids, </w:t>
      </w:r>
      <w:r>
        <w:rPr>
          <w:b/>
        </w:rPr>
        <w:t>s</w:t>
      </w:r>
      <w:r w:rsidRPr="00523F91">
        <w:rPr>
          <w:b/>
        </w:rPr>
        <w:t xml:space="preserve">ervices and </w:t>
      </w:r>
      <w:r>
        <w:rPr>
          <w:b/>
        </w:rPr>
        <w:t>a</w:t>
      </w:r>
      <w:r w:rsidRPr="00523F91">
        <w:rPr>
          <w:b/>
        </w:rPr>
        <w:t xml:space="preserve">ssistive </w:t>
      </w:r>
      <w:r>
        <w:rPr>
          <w:b/>
        </w:rPr>
        <w:t>t</w:t>
      </w:r>
      <w:r w:rsidRPr="00523F91">
        <w:rPr>
          <w:b/>
        </w:rPr>
        <w:t>echnology</w:t>
      </w:r>
    </w:p>
    <w:p w:rsidR="002565BF" w:rsidRDefault="002565BF" w:rsidP="002565BF">
      <w:pPr>
        <w:pStyle w:val="ListParagraph"/>
        <w:ind w:left="0"/>
        <w:jc w:val="both"/>
        <w:rPr>
          <w:b/>
        </w:rPr>
      </w:pPr>
    </w:p>
    <w:p w:rsidR="002565BF" w:rsidRPr="00523F91" w:rsidRDefault="002565BF" w:rsidP="002B0F0E">
      <w:pPr>
        <w:pStyle w:val="ListParagraph"/>
        <w:numPr>
          <w:ilvl w:val="0"/>
          <w:numId w:val="23"/>
        </w:numPr>
        <w:ind w:left="360"/>
      </w:pPr>
      <w:r>
        <w:t xml:space="preserve">In order to guarantee that individuals with disabilities </w:t>
      </w:r>
      <w:r w:rsidRPr="007A3CD8">
        <w:t>are</w:t>
      </w:r>
      <w:r>
        <w:t xml:space="preserve"> provided an equal opportunity to participate in and enjoy the benefits of WIOA Title I funded programs and activities, </w:t>
      </w:r>
      <w:r w:rsidR="00111F9A">
        <w:t>r</w:t>
      </w:r>
      <w:r>
        <w:t>ecipient</w:t>
      </w:r>
      <w:r w:rsidR="00111F9A">
        <w:t xml:space="preserve">s and </w:t>
      </w:r>
      <w:r>
        <w:lastRenderedPageBreak/>
        <w:t>required partner</w:t>
      </w:r>
      <w:r w:rsidR="00111F9A">
        <w:t>s</w:t>
      </w:r>
      <w:r>
        <w:t xml:space="preserve"> must furnish appropriate auxiliary aids or services as necessary and must give primary consideration to the requests of the individual with the disability.  Primary consideration means honoring the choice of auxiliary aid selected by the individual (unless the agency can demonstrate that another equally effective means of communication is available or that using the means selected by the individual would result in a fundamental alteration in the service, program, or activity or place undue financial and administrative burden on the entity). </w:t>
      </w:r>
    </w:p>
    <w:p w:rsidR="002565BF" w:rsidRDefault="002565BF" w:rsidP="00426DB0">
      <w:pPr>
        <w:pStyle w:val="ListParagraph"/>
        <w:ind w:left="0"/>
        <w:rPr>
          <w:b/>
        </w:rPr>
      </w:pPr>
    </w:p>
    <w:p w:rsidR="002565BF" w:rsidRDefault="002565BF" w:rsidP="002B0F0E">
      <w:pPr>
        <w:pStyle w:val="ListParagraph"/>
        <w:numPr>
          <w:ilvl w:val="0"/>
          <w:numId w:val="23"/>
        </w:numPr>
        <w:ind w:left="360"/>
      </w:pPr>
      <w:r>
        <w:t>This obligation does not require recipient</w:t>
      </w:r>
      <w:r w:rsidR="00111F9A">
        <w:t xml:space="preserve">s and </w:t>
      </w:r>
      <w:r>
        <w:t>required partner</w:t>
      </w:r>
      <w:r w:rsidR="00111F9A">
        <w:t>s</w:t>
      </w:r>
      <w:r>
        <w:t xml:space="preserve"> to provide personal devices, such as wheelchairs; prescribed devices, such as prescription eyeglasses or hearing aids; readers for personal use or study; or services of a personal nature. 29 CFR 38.12(n)</w:t>
      </w:r>
    </w:p>
    <w:p w:rsidR="002565BF" w:rsidRDefault="002565BF" w:rsidP="00426DB0">
      <w:pPr>
        <w:pStyle w:val="ListParagraph"/>
        <w:ind w:left="0"/>
        <w:jc w:val="both"/>
        <w:rPr>
          <w:b/>
        </w:rPr>
      </w:pPr>
    </w:p>
    <w:p w:rsidR="002565BF" w:rsidRPr="002B56D0" w:rsidRDefault="002565BF" w:rsidP="002B0F0E">
      <w:pPr>
        <w:pStyle w:val="ListParagraph"/>
        <w:numPr>
          <w:ilvl w:val="0"/>
          <w:numId w:val="23"/>
        </w:numPr>
        <w:ind w:left="360"/>
      </w:pPr>
      <w:r w:rsidRPr="002B56D0">
        <w:t xml:space="preserve">Auxiliary aids and services include: </w:t>
      </w:r>
    </w:p>
    <w:p w:rsidR="002565BF" w:rsidRDefault="002565BF" w:rsidP="00D41CCB">
      <w:pPr>
        <w:pStyle w:val="ListParagraph"/>
        <w:numPr>
          <w:ilvl w:val="0"/>
          <w:numId w:val="49"/>
        </w:numPr>
      </w:pPr>
      <w:r>
        <w:t xml:space="preserve">Qualified interpreters, note-takers, transcription services, written materials, telephone handset amplifiers, assistive listening systems, telephones compatible with hearing aids, closed caption decoders, open and closed captioning, telecommunications devices for deaf persons (TDDs/TTYs), videotext displays, or other effective means of making aurally delivered materials available to individuals with hearing impairments; </w:t>
      </w:r>
    </w:p>
    <w:p w:rsidR="002565BF" w:rsidRDefault="002565BF" w:rsidP="00D41CCB">
      <w:pPr>
        <w:pStyle w:val="ListParagraph"/>
        <w:numPr>
          <w:ilvl w:val="0"/>
          <w:numId w:val="49"/>
        </w:numPr>
      </w:pPr>
      <w:r>
        <w:t xml:space="preserve">Qualified readers, taped texts, audio recordings, </w:t>
      </w:r>
      <w:r w:rsidR="002B0F0E">
        <w:t>Braille</w:t>
      </w:r>
      <w:r>
        <w:t xml:space="preserve"> materials, large print materials, or other effective means of making visually delivered materials available to individuals with hearing impairments. </w:t>
      </w:r>
    </w:p>
    <w:p w:rsidR="002565BF" w:rsidRDefault="002565BF" w:rsidP="00D41CCB">
      <w:pPr>
        <w:pStyle w:val="ListParagraph"/>
        <w:numPr>
          <w:ilvl w:val="0"/>
          <w:numId w:val="49"/>
        </w:numPr>
      </w:pPr>
      <w:r>
        <w:t xml:space="preserve">Acquisition of modification equipment or devices; and </w:t>
      </w:r>
    </w:p>
    <w:p w:rsidR="002565BF" w:rsidRPr="009B049F" w:rsidRDefault="002565BF" w:rsidP="00D41CCB">
      <w:pPr>
        <w:pStyle w:val="ListParagraph"/>
        <w:numPr>
          <w:ilvl w:val="0"/>
          <w:numId w:val="49"/>
        </w:numPr>
      </w:pPr>
      <w:r>
        <w:t xml:space="preserve">Other similar services and actions. </w:t>
      </w:r>
    </w:p>
    <w:p w:rsidR="002565BF" w:rsidRDefault="002565BF" w:rsidP="00426DB0">
      <w:pPr>
        <w:pStyle w:val="ListParagraph"/>
        <w:ind w:left="0"/>
        <w:rPr>
          <w:b/>
        </w:rPr>
      </w:pPr>
    </w:p>
    <w:p w:rsidR="002565BF" w:rsidRDefault="002565BF" w:rsidP="00D41CCB">
      <w:pPr>
        <w:pStyle w:val="ListParagraph"/>
        <w:numPr>
          <w:ilvl w:val="0"/>
          <w:numId w:val="23"/>
        </w:numPr>
        <w:ind w:left="0" w:firstLine="0"/>
      </w:pPr>
      <w:r>
        <w:t>A recipient/required partner must not place a surcharge on a particular individual with a disability, or any group of individuals with disabilities, to cover the costs of measures associated with providing auxiliary aids, services, or assistive technology that are required to provide that individual or group with the nondiscriminatory treatment required by WIOA.  29 CFR 38.12(k)</w:t>
      </w:r>
    </w:p>
    <w:p w:rsidR="002565BF" w:rsidRDefault="002565BF" w:rsidP="002565BF">
      <w:pPr>
        <w:pStyle w:val="ListParagraph"/>
        <w:ind w:left="0"/>
      </w:pPr>
    </w:p>
    <w:p w:rsidR="002565BF" w:rsidRDefault="000F7EDD" w:rsidP="002565BF">
      <w:pPr>
        <w:pStyle w:val="ListParagraph"/>
        <w:ind w:left="0"/>
        <w:rPr>
          <w:b/>
        </w:rPr>
      </w:pPr>
      <w:r>
        <w:rPr>
          <w:b/>
        </w:rPr>
        <w:t>I</w:t>
      </w:r>
      <w:r w:rsidR="002565BF" w:rsidRPr="006465AE">
        <w:rPr>
          <w:b/>
        </w:rPr>
        <w:t>V.</w:t>
      </w:r>
      <w:r w:rsidR="002565BF">
        <w:t xml:space="preserve">  </w:t>
      </w:r>
      <w:r w:rsidR="002565BF">
        <w:rPr>
          <w:b/>
        </w:rPr>
        <w:t>Facility Accessibility</w:t>
      </w:r>
    </w:p>
    <w:p w:rsidR="002565BF" w:rsidRDefault="002565BF" w:rsidP="002565BF">
      <w:pPr>
        <w:pStyle w:val="ListParagraph"/>
        <w:ind w:left="0"/>
        <w:rPr>
          <w:b/>
        </w:rPr>
      </w:pPr>
    </w:p>
    <w:p w:rsidR="002565BF" w:rsidRDefault="00425C2B" w:rsidP="00425C2B">
      <w:pPr>
        <w:pStyle w:val="ListParagraph"/>
        <w:ind w:left="0"/>
      </w:pPr>
      <w:r>
        <w:t xml:space="preserve">A.   </w:t>
      </w:r>
      <w:r w:rsidR="002565BF">
        <w:t xml:space="preserve">Specific information on ADA accessibility guidelines for buildings and facilities is provided on the internet at </w:t>
      </w:r>
      <w:hyperlink r:id="rId15" w:history="1">
        <w:r w:rsidR="002565BF" w:rsidRPr="00DC1508">
          <w:rPr>
            <w:rStyle w:val="Hyperlink"/>
          </w:rPr>
          <w:t>http://www.access-board.gov/guidelines-and-standards/buildings-and-sites/about-the-ada-standards/ada-standards</w:t>
        </w:r>
      </w:hyperlink>
      <w:r w:rsidR="002565BF">
        <w:t xml:space="preserve"> </w:t>
      </w:r>
    </w:p>
    <w:p w:rsidR="002565BF" w:rsidRDefault="002565BF" w:rsidP="00426DB0">
      <w:pPr>
        <w:pStyle w:val="ListParagraph"/>
        <w:ind w:left="0"/>
      </w:pPr>
    </w:p>
    <w:p w:rsidR="002565BF" w:rsidRDefault="002565BF" w:rsidP="00426DB0">
      <w:pPr>
        <w:pStyle w:val="ListParagraph"/>
        <w:ind w:left="0"/>
      </w:pPr>
      <w:r>
        <w:t xml:space="preserve">Areas requiring attention include, but are not limited to: </w:t>
      </w:r>
    </w:p>
    <w:p w:rsidR="002565BF" w:rsidRDefault="002565BF" w:rsidP="00425C2B">
      <w:pPr>
        <w:pStyle w:val="ListParagraph"/>
        <w:numPr>
          <w:ilvl w:val="0"/>
          <w:numId w:val="50"/>
        </w:numPr>
        <w:ind w:left="360"/>
      </w:pPr>
      <w:r>
        <w:t xml:space="preserve">Signage </w:t>
      </w:r>
    </w:p>
    <w:p w:rsidR="002565BF" w:rsidRDefault="002565BF" w:rsidP="00425C2B">
      <w:pPr>
        <w:pStyle w:val="ListParagraph"/>
        <w:numPr>
          <w:ilvl w:val="0"/>
          <w:numId w:val="50"/>
        </w:numPr>
        <w:ind w:left="360"/>
      </w:pPr>
      <w:r>
        <w:t>Parking</w:t>
      </w:r>
    </w:p>
    <w:p w:rsidR="002565BF" w:rsidRDefault="002565BF" w:rsidP="00425C2B">
      <w:pPr>
        <w:pStyle w:val="ListParagraph"/>
        <w:numPr>
          <w:ilvl w:val="0"/>
          <w:numId w:val="50"/>
        </w:numPr>
        <w:ind w:left="360"/>
      </w:pPr>
      <w:r>
        <w:t>Accessible counters, restrooms, and workstations</w:t>
      </w:r>
    </w:p>
    <w:p w:rsidR="002565BF" w:rsidRDefault="002565BF" w:rsidP="00425C2B">
      <w:pPr>
        <w:pStyle w:val="ListParagraph"/>
        <w:numPr>
          <w:ilvl w:val="0"/>
          <w:numId w:val="50"/>
        </w:numPr>
        <w:ind w:left="360"/>
      </w:pPr>
      <w:r>
        <w:t>Automatic and power-assisted doors and obstacle-free entrances</w:t>
      </w:r>
    </w:p>
    <w:p w:rsidR="002565BF" w:rsidRDefault="002565BF" w:rsidP="00425C2B">
      <w:pPr>
        <w:pStyle w:val="ListParagraph"/>
        <w:numPr>
          <w:ilvl w:val="0"/>
          <w:numId w:val="50"/>
        </w:numPr>
        <w:ind w:left="360"/>
      </w:pPr>
      <w:r>
        <w:t>Space in waiting rooms for people using wheelchairs</w:t>
      </w:r>
    </w:p>
    <w:p w:rsidR="002565BF" w:rsidRDefault="002565BF" w:rsidP="00425C2B">
      <w:pPr>
        <w:pStyle w:val="ListParagraph"/>
        <w:numPr>
          <w:ilvl w:val="0"/>
          <w:numId w:val="50"/>
        </w:numPr>
        <w:ind w:left="360"/>
      </w:pPr>
      <w:r>
        <w:t>Reducing distractions through adjusted lighting and sound levels</w:t>
      </w:r>
    </w:p>
    <w:p w:rsidR="002565BF" w:rsidRDefault="002565BF" w:rsidP="00425C2B">
      <w:pPr>
        <w:pStyle w:val="ListParagraph"/>
        <w:numPr>
          <w:ilvl w:val="0"/>
          <w:numId w:val="50"/>
        </w:numPr>
        <w:ind w:left="360"/>
      </w:pPr>
      <w:r>
        <w:t>Doorways and aisles in public spaces that are wide enough for easy navigation</w:t>
      </w:r>
    </w:p>
    <w:p w:rsidR="002565BF" w:rsidRDefault="002565BF" w:rsidP="00425C2B">
      <w:pPr>
        <w:pStyle w:val="ListParagraph"/>
        <w:numPr>
          <w:ilvl w:val="0"/>
          <w:numId w:val="50"/>
        </w:numPr>
        <w:ind w:left="360"/>
      </w:pPr>
      <w:r>
        <w:t xml:space="preserve">Digital and web accessibility, both within the agency and for the public </w:t>
      </w:r>
    </w:p>
    <w:p w:rsidR="002565BF" w:rsidRDefault="002565BF" w:rsidP="00426DB0">
      <w:pPr>
        <w:pStyle w:val="ListParagraph"/>
        <w:ind w:left="0"/>
      </w:pPr>
    </w:p>
    <w:p w:rsidR="002565BF" w:rsidRDefault="00425C2B" w:rsidP="00425C2B">
      <w:pPr>
        <w:pStyle w:val="ListParagraph"/>
        <w:ind w:left="0"/>
      </w:pPr>
      <w:r>
        <w:t xml:space="preserve">B.   </w:t>
      </w:r>
      <w:r w:rsidR="002565BF">
        <w:t xml:space="preserve">Upon request, a private space other than a bathroom or closet must be made available for a nursing mother who needs to express breast milk.   </w:t>
      </w:r>
    </w:p>
    <w:p w:rsidR="002565BF" w:rsidRPr="003874A2" w:rsidRDefault="00425C2B" w:rsidP="00425C2B">
      <w:pPr>
        <w:pStyle w:val="NormalWeb"/>
        <w:shd w:val="clear" w:color="auto" w:fill="FFFFFF"/>
        <w:spacing w:before="240" w:beforeAutospacing="0" w:after="0" w:afterAutospacing="0"/>
        <w:rPr>
          <w:rFonts w:ascii="Calibri" w:hAnsi="Calibri"/>
          <w:sz w:val="22"/>
          <w:szCs w:val="22"/>
        </w:rPr>
      </w:pPr>
      <w:r>
        <w:rPr>
          <w:rFonts w:ascii="Calibri" w:hAnsi="Calibri"/>
          <w:sz w:val="22"/>
          <w:szCs w:val="22"/>
        </w:rPr>
        <w:lastRenderedPageBreak/>
        <w:t xml:space="preserve">C.   </w:t>
      </w:r>
      <w:r w:rsidR="002565BF" w:rsidRPr="003874A2">
        <w:rPr>
          <w:rFonts w:ascii="Calibri" w:hAnsi="Calibri"/>
          <w:sz w:val="22"/>
          <w:szCs w:val="22"/>
        </w:rPr>
        <w:t xml:space="preserve">Recipients and required partners cannot deny access to a person with a service animal. See Definitions section </w:t>
      </w:r>
      <w:r w:rsidR="002565BF">
        <w:rPr>
          <w:rFonts w:ascii="Calibri" w:hAnsi="Calibri"/>
          <w:sz w:val="22"/>
          <w:szCs w:val="22"/>
        </w:rPr>
        <w:t xml:space="preserve">and Appendix A for more information on service animals.  </w:t>
      </w:r>
    </w:p>
    <w:p w:rsidR="002565BF" w:rsidRPr="003874A2" w:rsidRDefault="002565BF" w:rsidP="00426DB0">
      <w:pPr>
        <w:pStyle w:val="NormalWeb"/>
        <w:shd w:val="clear" w:color="auto" w:fill="FFFFFF"/>
        <w:spacing w:before="240" w:beforeAutospacing="0" w:after="0" w:afterAutospacing="0"/>
        <w:rPr>
          <w:rFonts w:ascii="Calibri" w:hAnsi="Calibri" w:cs="Helvetica"/>
          <w:sz w:val="22"/>
          <w:szCs w:val="22"/>
        </w:rPr>
      </w:pPr>
      <w:r w:rsidRPr="003874A2">
        <w:rPr>
          <w:rFonts w:ascii="Calibri" w:hAnsi="Calibri" w:cs="Helvetica"/>
          <w:sz w:val="22"/>
          <w:szCs w:val="22"/>
        </w:rPr>
        <w:t>Allergies and fear of dogs are not valid reasons for denying access or refusing service to people using service animals.  If employees or customers are afraid of service animals, a solution may be to allow enough space for that person to avoid getting close to the service animal.</w:t>
      </w:r>
    </w:p>
    <w:p w:rsidR="002565BF" w:rsidRPr="003874A2" w:rsidRDefault="002565BF" w:rsidP="00426DB0">
      <w:pPr>
        <w:pStyle w:val="NormalWeb"/>
        <w:shd w:val="clear" w:color="auto" w:fill="FFFFFF"/>
        <w:spacing w:before="240" w:beforeAutospacing="0" w:after="0" w:afterAutospacing="0"/>
        <w:rPr>
          <w:rFonts w:ascii="Calibri" w:hAnsi="Calibri" w:cs="Helvetica"/>
          <w:sz w:val="22"/>
          <w:szCs w:val="22"/>
        </w:rPr>
      </w:pPr>
      <w:r w:rsidRPr="003874A2">
        <w:rPr>
          <w:rFonts w:ascii="Calibri" w:hAnsi="Calibri" w:cs="Helvetica"/>
          <w:sz w:val="22"/>
          <w:szCs w:val="22"/>
        </w:rPr>
        <w:t>Most allergies to animals are caused by direct contact with the animal. A separate space might be adequate to avoid allergic reactions.</w:t>
      </w:r>
    </w:p>
    <w:p w:rsidR="002565BF" w:rsidRDefault="002565BF" w:rsidP="00426DB0">
      <w:pPr>
        <w:pStyle w:val="NormalWeb"/>
        <w:shd w:val="clear" w:color="auto" w:fill="FFFFFF"/>
        <w:spacing w:before="240" w:beforeAutospacing="0" w:after="0" w:afterAutospacing="0"/>
        <w:rPr>
          <w:rFonts w:ascii="Calibri" w:hAnsi="Calibri" w:cs="Helvetica"/>
          <w:sz w:val="22"/>
          <w:szCs w:val="22"/>
        </w:rPr>
      </w:pPr>
      <w:r w:rsidRPr="003874A2">
        <w:rPr>
          <w:rFonts w:ascii="Calibri" w:hAnsi="Calibri" w:cs="Helvetica"/>
          <w:sz w:val="22"/>
          <w:szCs w:val="22"/>
        </w:rPr>
        <w:t>If a person is at risk of a significant allergic reaction to an animal, the recipient</w:t>
      </w:r>
      <w:r w:rsidR="00111F9A">
        <w:rPr>
          <w:rFonts w:ascii="Calibri" w:hAnsi="Calibri" w:cs="Helvetica"/>
          <w:sz w:val="22"/>
          <w:szCs w:val="22"/>
        </w:rPr>
        <w:t xml:space="preserve"> or </w:t>
      </w:r>
      <w:r w:rsidRPr="003874A2">
        <w:rPr>
          <w:rFonts w:ascii="Calibri" w:hAnsi="Calibri" w:cs="Helvetica"/>
          <w:sz w:val="22"/>
          <w:szCs w:val="22"/>
        </w:rPr>
        <w:t>required partner is responsible for finding a way to accommodate both the individual using the service animal and the individual with the allergy. See: </w:t>
      </w:r>
      <w:hyperlink r:id="rId16" w:history="1">
        <w:r w:rsidRPr="00770A57">
          <w:rPr>
            <w:rStyle w:val="Hyperlink"/>
            <w:rFonts w:ascii="Calibri" w:hAnsi="Calibri" w:cs="Helvetica"/>
            <w:sz w:val="22"/>
            <w:szCs w:val="22"/>
          </w:rPr>
          <w:t>https://adata.org/publication/service-animals-booklet</w:t>
        </w:r>
      </w:hyperlink>
      <w:r>
        <w:rPr>
          <w:rFonts w:ascii="Calibri" w:hAnsi="Calibri" w:cs="Helvetica"/>
          <w:sz w:val="22"/>
          <w:szCs w:val="22"/>
        </w:rPr>
        <w:t xml:space="preserve"> Section VI. Reaction/Response of Others</w:t>
      </w:r>
    </w:p>
    <w:p w:rsidR="00F13EED" w:rsidRDefault="00F13EED" w:rsidP="00F13EED">
      <w:pPr>
        <w:pStyle w:val="ListParagraph"/>
        <w:ind w:left="0"/>
        <w:rPr>
          <w:rFonts w:cs="Helvetica"/>
        </w:rPr>
      </w:pPr>
    </w:p>
    <w:p w:rsidR="00F13EED" w:rsidRDefault="00F13EED" w:rsidP="00F13EED">
      <w:pPr>
        <w:pStyle w:val="ListParagraph"/>
        <w:ind w:left="0"/>
        <w:rPr>
          <w:rFonts w:cs="Utsaah"/>
          <w:b/>
        </w:rPr>
      </w:pPr>
      <w:r w:rsidRPr="00F13EED">
        <w:rPr>
          <w:rFonts w:cs="Helvetica"/>
          <w:b/>
        </w:rPr>
        <w:t>V.</w:t>
      </w:r>
      <w:r>
        <w:rPr>
          <w:rFonts w:cs="Helvetica"/>
        </w:rPr>
        <w:t xml:space="preserve">   </w:t>
      </w:r>
      <w:r>
        <w:rPr>
          <w:rFonts w:cs="Utsaah"/>
          <w:b/>
        </w:rPr>
        <w:t>Document A</w:t>
      </w:r>
      <w:r w:rsidRPr="00361F16">
        <w:rPr>
          <w:rFonts w:cs="Utsaah"/>
          <w:b/>
        </w:rPr>
        <w:t>ccessibility</w:t>
      </w:r>
    </w:p>
    <w:p w:rsidR="007B6D9E" w:rsidRDefault="007B6D9E" w:rsidP="00F13EED">
      <w:pPr>
        <w:pStyle w:val="ListParagraph"/>
        <w:ind w:left="0"/>
        <w:rPr>
          <w:rFonts w:cs="Utsaah"/>
          <w:b/>
        </w:rPr>
      </w:pPr>
    </w:p>
    <w:p w:rsidR="00B37F03" w:rsidRPr="00B37F03" w:rsidRDefault="007B6D9E" w:rsidP="00B37F03">
      <w:pPr>
        <w:pStyle w:val="ListParagraph"/>
        <w:ind w:left="0"/>
        <w:rPr>
          <w:rFonts w:cs="Utsaah"/>
        </w:rPr>
      </w:pPr>
      <w:r>
        <w:rPr>
          <w:rFonts w:cs="Utsaah"/>
        </w:rPr>
        <w:t>D</w:t>
      </w:r>
      <w:r w:rsidR="00B37F03" w:rsidRPr="00B37F03">
        <w:rPr>
          <w:rFonts w:cs="Utsaah"/>
        </w:rPr>
        <w:t xml:space="preserve">ocuments must follow </w:t>
      </w:r>
      <w:r>
        <w:rPr>
          <w:rFonts w:cs="Utsaah"/>
        </w:rPr>
        <w:t xml:space="preserve">accessibility requirements outlined in </w:t>
      </w:r>
      <w:r w:rsidR="00B37F03" w:rsidRPr="00B37F03">
        <w:rPr>
          <w:rFonts w:cs="Utsaah"/>
        </w:rPr>
        <w:t xml:space="preserve">Section 508 </w:t>
      </w:r>
      <w:r>
        <w:rPr>
          <w:rFonts w:cs="Utsaah"/>
        </w:rPr>
        <w:t>of the Rehabilitation Act of 1973, as amended.</w:t>
      </w:r>
      <w:r w:rsidR="00B37F03" w:rsidRPr="00B37F03">
        <w:rPr>
          <w:rFonts w:cs="Utsaah"/>
        </w:rPr>
        <w:t xml:space="preserve">  See</w:t>
      </w:r>
      <w:r w:rsidR="00B37F03">
        <w:rPr>
          <w:rFonts w:cs="Utsaah"/>
          <w:b/>
        </w:rPr>
        <w:t xml:space="preserve"> Document and </w:t>
      </w:r>
      <w:r w:rsidR="00B37F03" w:rsidRPr="00361F16">
        <w:rPr>
          <w:rFonts w:cs="Utsaah"/>
          <w:b/>
        </w:rPr>
        <w:t xml:space="preserve">Digital </w:t>
      </w:r>
      <w:r w:rsidR="00B37F03">
        <w:rPr>
          <w:rFonts w:cs="Utsaah"/>
          <w:b/>
        </w:rPr>
        <w:t>A</w:t>
      </w:r>
      <w:r w:rsidR="00B37F03" w:rsidRPr="00361F16">
        <w:rPr>
          <w:rFonts w:cs="Utsaah"/>
          <w:b/>
        </w:rPr>
        <w:t>ccessibility</w:t>
      </w:r>
      <w:r w:rsidR="00B37F03">
        <w:rPr>
          <w:rFonts w:cs="Utsaah"/>
          <w:b/>
        </w:rPr>
        <w:t xml:space="preserve"> </w:t>
      </w:r>
      <w:r w:rsidR="00B37F03">
        <w:rPr>
          <w:rFonts w:cs="Utsaah"/>
        </w:rPr>
        <w:t>section of Appendix A on page 16</w:t>
      </w:r>
      <w:r w:rsidR="00C11021">
        <w:rPr>
          <w:rFonts w:cs="Utsaah"/>
        </w:rPr>
        <w:t>-17</w:t>
      </w:r>
      <w:r w:rsidR="00B37F03">
        <w:rPr>
          <w:rFonts w:cs="Utsaah"/>
        </w:rPr>
        <w:t xml:space="preserve"> for resources on </w:t>
      </w:r>
      <w:r>
        <w:rPr>
          <w:rFonts w:cs="Utsaah"/>
        </w:rPr>
        <w:t>S</w:t>
      </w:r>
      <w:r w:rsidR="00B37F03">
        <w:rPr>
          <w:rFonts w:cs="Utsaah"/>
        </w:rPr>
        <w:t>ection 508</w:t>
      </w:r>
      <w:r>
        <w:rPr>
          <w:rFonts w:cs="Utsaah"/>
        </w:rPr>
        <w:t xml:space="preserve"> requirements.</w:t>
      </w:r>
    </w:p>
    <w:p w:rsidR="002565BF" w:rsidRDefault="002565BF" w:rsidP="002565BF">
      <w:pPr>
        <w:pStyle w:val="NormalWeb"/>
        <w:shd w:val="clear" w:color="auto" w:fill="FFFFFF"/>
        <w:spacing w:before="240" w:beforeAutospacing="0" w:after="0" w:afterAutospacing="0"/>
        <w:rPr>
          <w:rFonts w:ascii="Calibri" w:hAnsi="Calibri" w:cs="Helvetica"/>
          <w:b/>
          <w:sz w:val="22"/>
          <w:szCs w:val="22"/>
        </w:rPr>
      </w:pPr>
      <w:r w:rsidRPr="006465AE">
        <w:rPr>
          <w:rFonts w:ascii="Calibri" w:hAnsi="Calibri" w:cs="Helvetica"/>
          <w:b/>
          <w:sz w:val="22"/>
          <w:szCs w:val="22"/>
        </w:rPr>
        <w:t>V</w:t>
      </w:r>
      <w:r w:rsidR="00F13EED">
        <w:rPr>
          <w:rFonts w:ascii="Calibri" w:hAnsi="Calibri" w:cs="Helvetica"/>
          <w:b/>
          <w:sz w:val="22"/>
          <w:szCs w:val="22"/>
        </w:rPr>
        <w:t>I</w:t>
      </w:r>
      <w:r w:rsidRPr="006465AE">
        <w:rPr>
          <w:rFonts w:ascii="Calibri" w:hAnsi="Calibri" w:cs="Helvetica"/>
          <w:b/>
          <w:sz w:val="22"/>
          <w:szCs w:val="22"/>
        </w:rPr>
        <w:t>.   Internet and Technology Accessibility</w:t>
      </w:r>
    </w:p>
    <w:p w:rsidR="002565BF" w:rsidRDefault="002565BF" w:rsidP="002565BF">
      <w:pPr>
        <w:pStyle w:val="ListParagraph"/>
        <w:ind w:left="0"/>
        <w:rPr>
          <w:rFonts w:cs="Helvetica"/>
          <w:lang w:val="en"/>
        </w:rPr>
      </w:pPr>
    </w:p>
    <w:p w:rsidR="002565BF" w:rsidRPr="00E73876" w:rsidRDefault="002565BF" w:rsidP="00425C2B">
      <w:pPr>
        <w:pStyle w:val="ListParagraph"/>
        <w:numPr>
          <w:ilvl w:val="0"/>
          <w:numId w:val="27"/>
        </w:numPr>
        <w:ind w:left="360"/>
        <w:rPr>
          <w:rFonts w:cs="Helvetica"/>
          <w:lang w:val="en"/>
        </w:rPr>
      </w:pPr>
      <w:r w:rsidRPr="00E73876">
        <w:rPr>
          <w:rFonts w:cs="Helvetica"/>
          <w:lang w:val="en"/>
        </w:rPr>
        <w:t xml:space="preserve">Access to information and services through websites </w:t>
      </w:r>
      <w:r w:rsidR="002B0F0E">
        <w:rPr>
          <w:rFonts w:cs="Helvetica"/>
          <w:lang w:val="en"/>
        </w:rPr>
        <w:t>is</w:t>
      </w:r>
      <w:r w:rsidRPr="00E73876">
        <w:rPr>
          <w:rFonts w:cs="Helvetica"/>
          <w:lang w:val="en"/>
        </w:rPr>
        <w:t xml:space="preserve"> and will continue to be an integral component of Maine’s one-stop system.  </w:t>
      </w:r>
    </w:p>
    <w:p w:rsidR="002565BF" w:rsidRPr="00E73876" w:rsidRDefault="002565BF" w:rsidP="00425C2B">
      <w:pPr>
        <w:pStyle w:val="ListParagraph"/>
        <w:ind w:left="360"/>
        <w:rPr>
          <w:rFonts w:cs="Helvetica"/>
          <w:b/>
          <w:lang w:val="en"/>
        </w:rPr>
      </w:pPr>
    </w:p>
    <w:p w:rsidR="002565BF" w:rsidRPr="00E73876" w:rsidRDefault="002565BF" w:rsidP="00425C2B">
      <w:pPr>
        <w:pStyle w:val="ListParagraph"/>
        <w:ind w:left="360"/>
        <w:rPr>
          <w:rFonts w:cs="Helvetica"/>
          <w:lang w:val="en"/>
        </w:rPr>
      </w:pPr>
      <w:r w:rsidRPr="00E73876">
        <w:rPr>
          <w:rFonts w:cs="Helvetica"/>
          <w:lang w:val="en"/>
        </w:rPr>
        <w:t xml:space="preserve">Section 508 of the Rehabilitation Act, as amended, requires that individuals with disabilities who are members of the public seeking information or services from a federal department or agency have access to and use of information and data that is comparable to that provided to the public who are not individuals with disabilities. </w:t>
      </w:r>
    </w:p>
    <w:p w:rsidR="002565BF" w:rsidRPr="00E73876" w:rsidRDefault="002565BF" w:rsidP="00425C2B">
      <w:pPr>
        <w:pStyle w:val="ListParagraph"/>
        <w:ind w:left="360"/>
        <w:rPr>
          <w:rFonts w:cs="Helvetica"/>
          <w:lang w:val="en"/>
        </w:rPr>
      </w:pPr>
    </w:p>
    <w:p w:rsidR="002565BF" w:rsidRPr="00E73876" w:rsidRDefault="002565BF" w:rsidP="00425C2B">
      <w:pPr>
        <w:pStyle w:val="ListParagraph"/>
        <w:ind w:left="360"/>
        <w:rPr>
          <w:rFonts w:cs="Helvetica"/>
          <w:lang w:val="en"/>
        </w:rPr>
      </w:pPr>
      <w:r w:rsidRPr="00E73876">
        <w:rPr>
          <w:rFonts w:cs="Helvetica"/>
          <w:lang w:val="en"/>
        </w:rPr>
        <w:t xml:space="preserve">See Appendix A and Appendix C for Maine State Government </w:t>
      </w:r>
      <w:r w:rsidRPr="00E73876">
        <w:rPr>
          <w:rFonts w:cs="Helvetica"/>
          <w:i/>
          <w:lang w:val="en"/>
        </w:rPr>
        <w:t>Web Accessibility and Usability Policy</w:t>
      </w:r>
      <w:r w:rsidRPr="00E73876">
        <w:rPr>
          <w:rFonts w:cs="Helvetica"/>
          <w:lang w:val="en"/>
        </w:rPr>
        <w:t xml:space="preserve"> and </w:t>
      </w:r>
      <w:r w:rsidRPr="00E73876">
        <w:rPr>
          <w:rFonts w:cs="Helvetica"/>
          <w:i/>
          <w:lang w:val="en"/>
        </w:rPr>
        <w:t>Accessibility Policy on Effective Electronic Communications</w:t>
      </w:r>
      <w:r w:rsidRPr="00E73876">
        <w:rPr>
          <w:rFonts w:cs="Helvetica"/>
          <w:lang w:val="en"/>
        </w:rPr>
        <w:t>.</w:t>
      </w:r>
    </w:p>
    <w:p w:rsidR="002565BF" w:rsidRPr="00E73876" w:rsidRDefault="002565BF" w:rsidP="00425C2B">
      <w:pPr>
        <w:pStyle w:val="ListParagraph"/>
        <w:ind w:left="360"/>
        <w:rPr>
          <w:rFonts w:cs="Helvetica"/>
          <w:lang w:val="en"/>
        </w:rPr>
      </w:pPr>
    </w:p>
    <w:p w:rsidR="002565BF" w:rsidRDefault="002565BF" w:rsidP="00425C2B">
      <w:pPr>
        <w:pStyle w:val="ListParagraph"/>
        <w:numPr>
          <w:ilvl w:val="0"/>
          <w:numId w:val="27"/>
        </w:numPr>
        <w:ind w:left="360"/>
        <w:rPr>
          <w:rFonts w:cs="Helvetica"/>
          <w:lang w:val="en"/>
        </w:rPr>
      </w:pPr>
      <w:r w:rsidRPr="00E73876">
        <w:rPr>
          <w:rFonts w:cs="Helvetica"/>
          <w:lang w:val="en"/>
        </w:rPr>
        <w:t>This policy extends this web/internet and technology accessibility to people who have limited English proficiency.</w:t>
      </w:r>
    </w:p>
    <w:p w:rsidR="002565BF" w:rsidRDefault="002565BF" w:rsidP="002565BF">
      <w:pPr>
        <w:pStyle w:val="ListParagraph"/>
        <w:ind w:left="0"/>
        <w:jc w:val="both"/>
      </w:pPr>
    </w:p>
    <w:p w:rsidR="002565BF" w:rsidRPr="0093467F" w:rsidRDefault="002565BF" w:rsidP="002565BF">
      <w:pPr>
        <w:jc w:val="both"/>
        <w:rPr>
          <w:rFonts w:ascii="Calibri" w:hAnsi="Calibri" w:cs="Utsaah"/>
          <w:b/>
          <w:sz w:val="22"/>
          <w:szCs w:val="22"/>
        </w:rPr>
      </w:pPr>
      <w:r>
        <w:rPr>
          <w:rFonts w:ascii="Calibri" w:hAnsi="Calibri" w:cs="Utsaah"/>
          <w:b/>
          <w:sz w:val="22"/>
          <w:szCs w:val="22"/>
        </w:rPr>
        <w:t>For further information:</w:t>
      </w:r>
    </w:p>
    <w:p w:rsidR="002565BF" w:rsidRDefault="002565BF" w:rsidP="002565BF">
      <w:pPr>
        <w:jc w:val="both"/>
        <w:rPr>
          <w:rFonts w:ascii="Calibri" w:hAnsi="Calibri" w:cs="Utsaah"/>
          <w:sz w:val="22"/>
          <w:szCs w:val="22"/>
        </w:rPr>
      </w:pPr>
      <w:r>
        <w:rPr>
          <w:rFonts w:ascii="Calibri" w:hAnsi="Calibri" w:cs="Utsaah"/>
          <w:sz w:val="22"/>
          <w:szCs w:val="22"/>
        </w:rPr>
        <w:t>Garret Oswald</w:t>
      </w:r>
    </w:p>
    <w:p w:rsidR="002565BF" w:rsidRDefault="002565BF" w:rsidP="002565BF">
      <w:pPr>
        <w:jc w:val="both"/>
        <w:rPr>
          <w:rFonts w:ascii="Calibri" w:hAnsi="Calibri" w:cs="Utsaah"/>
          <w:sz w:val="22"/>
          <w:szCs w:val="22"/>
        </w:rPr>
      </w:pPr>
      <w:r>
        <w:rPr>
          <w:rFonts w:ascii="Calibri" w:hAnsi="Calibri" w:cs="Utsaah"/>
          <w:sz w:val="22"/>
          <w:szCs w:val="22"/>
        </w:rPr>
        <w:t>Director</w:t>
      </w:r>
    </w:p>
    <w:p w:rsidR="002565BF" w:rsidRDefault="002565BF" w:rsidP="002565BF">
      <w:pPr>
        <w:jc w:val="both"/>
        <w:rPr>
          <w:rFonts w:ascii="Calibri" w:hAnsi="Calibri" w:cs="Utsaah"/>
          <w:sz w:val="22"/>
          <w:szCs w:val="22"/>
        </w:rPr>
      </w:pPr>
      <w:r>
        <w:rPr>
          <w:rFonts w:ascii="Calibri" w:hAnsi="Calibri" w:cs="Utsaah"/>
          <w:sz w:val="22"/>
          <w:szCs w:val="22"/>
        </w:rPr>
        <w:t>Maine State Workforce Board</w:t>
      </w:r>
    </w:p>
    <w:p w:rsidR="002565BF" w:rsidRDefault="002565BF" w:rsidP="002565BF">
      <w:pPr>
        <w:jc w:val="both"/>
        <w:rPr>
          <w:rFonts w:ascii="Calibri" w:hAnsi="Calibri" w:cs="Utsaah"/>
          <w:sz w:val="22"/>
          <w:szCs w:val="22"/>
        </w:rPr>
      </w:pPr>
      <w:r>
        <w:rPr>
          <w:rFonts w:ascii="Calibri" w:hAnsi="Calibri" w:cs="Utsaah"/>
          <w:sz w:val="22"/>
          <w:szCs w:val="22"/>
        </w:rPr>
        <w:t>54 State House Station</w:t>
      </w:r>
    </w:p>
    <w:p w:rsidR="002565BF" w:rsidRDefault="002565BF" w:rsidP="002565BF">
      <w:pPr>
        <w:jc w:val="both"/>
        <w:rPr>
          <w:rFonts w:ascii="Calibri" w:hAnsi="Calibri" w:cs="Utsaah"/>
          <w:sz w:val="22"/>
          <w:szCs w:val="22"/>
        </w:rPr>
      </w:pPr>
      <w:r>
        <w:rPr>
          <w:rFonts w:ascii="Calibri" w:hAnsi="Calibri" w:cs="Utsaah"/>
          <w:sz w:val="22"/>
          <w:szCs w:val="22"/>
        </w:rPr>
        <w:t>Augusta ME  04333-0054</w:t>
      </w:r>
    </w:p>
    <w:p w:rsidR="002565BF" w:rsidRDefault="002565BF" w:rsidP="002565BF">
      <w:pPr>
        <w:jc w:val="both"/>
        <w:rPr>
          <w:rFonts w:ascii="Calibri" w:hAnsi="Calibri" w:cs="Utsaah"/>
          <w:sz w:val="22"/>
          <w:szCs w:val="22"/>
        </w:rPr>
      </w:pPr>
      <w:r>
        <w:rPr>
          <w:rFonts w:ascii="Calibri" w:hAnsi="Calibri" w:cs="Utsaah"/>
          <w:sz w:val="22"/>
          <w:szCs w:val="22"/>
        </w:rPr>
        <w:t>Phone:  207.621.5087</w:t>
      </w:r>
    </w:p>
    <w:p w:rsidR="002565BF" w:rsidRDefault="002565BF" w:rsidP="002565BF">
      <w:pPr>
        <w:jc w:val="both"/>
        <w:rPr>
          <w:rFonts w:ascii="Calibri" w:hAnsi="Calibri" w:cs="Utsaah"/>
          <w:sz w:val="22"/>
          <w:szCs w:val="22"/>
        </w:rPr>
      </w:pPr>
      <w:r>
        <w:rPr>
          <w:rFonts w:ascii="Calibri" w:hAnsi="Calibri" w:cs="Utsaah"/>
          <w:sz w:val="22"/>
          <w:szCs w:val="22"/>
        </w:rPr>
        <w:t xml:space="preserve">Fax:       207.287.5292 </w:t>
      </w:r>
    </w:p>
    <w:p w:rsidR="002565BF" w:rsidRDefault="002565BF" w:rsidP="002565BF">
      <w:pPr>
        <w:jc w:val="both"/>
        <w:rPr>
          <w:rFonts w:ascii="Calibri" w:hAnsi="Calibri" w:cs="Utsaah"/>
          <w:sz w:val="22"/>
          <w:szCs w:val="22"/>
        </w:rPr>
      </w:pPr>
      <w:r>
        <w:rPr>
          <w:rFonts w:ascii="Calibri" w:hAnsi="Calibri" w:cs="Utsaah"/>
          <w:sz w:val="22"/>
          <w:szCs w:val="22"/>
        </w:rPr>
        <w:t xml:space="preserve">TTY/TDD:   Maine Relay 711  </w:t>
      </w:r>
    </w:p>
    <w:p w:rsidR="000F7EDD" w:rsidRPr="001242BA" w:rsidRDefault="00E420C3" w:rsidP="000F7EDD">
      <w:pPr>
        <w:pStyle w:val="Heading1"/>
        <w:rPr>
          <w:sz w:val="24"/>
          <w:szCs w:val="24"/>
        </w:rPr>
      </w:pPr>
      <w:bookmarkStart w:id="5" w:name="_Toc491939226"/>
      <w:r>
        <w:rPr>
          <w:sz w:val="24"/>
          <w:szCs w:val="24"/>
        </w:rPr>
        <w:lastRenderedPageBreak/>
        <w:t>A</w:t>
      </w:r>
      <w:r w:rsidR="000F7EDD" w:rsidRPr="001242BA">
        <w:rPr>
          <w:sz w:val="24"/>
          <w:szCs w:val="24"/>
        </w:rPr>
        <w:t>PPENDICIES</w:t>
      </w:r>
      <w:bookmarkEnd w:id="5"/>
    </w:p>
    <w:p w:rsidR="0009775B" w:rsidRPr="001242BA" w:rsidRDefault="0009775B" w:rsidP="001242BA">
      <w:pPr>
        <w:pStyle w:val="Heading2"/>
        <w:rPr>
          <w:color w:val="auto"/>
          <w:sz w:val="22"/>
          <w:szCs w:val="22"/>
        </w:rPr>
      </w:pPr>
      <w:bookmarkStart w:id="6" w:name="_Toc491939227"/>
      <w:r w:rsidRPr="001242BA">
        <w:rPr>
          <w:color w:val="auto"/>
          <w:sz w:val="22"/>
          <w:szCs w:val="22"/>
        </w:rPr>
        <w:t>Appendix A:  One-stop system and WIOA Resources</w:t>
      </w:r>
      <w:bookmarkEnd w:id="6"/>
      <w:r w:rsidRPr="001242BA">
        <w:rPr>
          <w:color w:val="auto"/>
          <w:sz w:val="22"/>
          <w:szCs w:val="22"/>
        </w:rPr>
        <w:t xml:space="preserve"> </w:t>
      </w:r>
    </w:p>
    <w:p w:rsidR="0009775B" w:rsidRPr="00391502" w:rsidRDefault="0009775B" w:rsidP="0009775B">
      <w:pPr>
        <w:jc w:val="both"/>
        <w:rPr>
          <w:rFonts w:ascii="Calibri" w:hAnsi="Calibri" w:cs="Utsaah"/>
          <w:sz w:val="22"/>
          <w:szCs w:val="22"/>
        </w:rPr>
      </w:pPr>
    </w:p>
    <w:p w:rsidR="0009775B" w:rsidRPr="00EF7E00" w:rsidRDefault="0009775B" w:rsidP="009258C6">
      <w:pPr>
        <w:pStyle w:val="ListParagraph"/>
        <w:numPr>
          <w:ilvl w:val="0"/>
          <w:numId w:val="29"/>
        </w:numPr>
        <w:rPr>
          <w:rFonts w:cs="Utsaah"/>
        </w:rPr>
      </w:pPr>
      <w:r w:rsidRPr="00391502">
        <w:rPr>
          <w:rFonts w:cs="Utsaah"/>
        </w:rPr>
        <w:t xml:space="preserve">Promising Practices in Achieving Universal Access and Equal Opportunity: A Section 188 Disability Reference Guide </w:t>
      </w:r>
      <w:r w:rsidRPr="00391502">
        <w:t xml:space="preserve"> </w:t>
      </w:r>
      <w:hyperlink r:id="rId17" w:history="1">
        <w:r w:rsidRPr="00391502">
          <w:rPr>
            <w:rStyle w:val="Hyperlink"/>
            <w:rFonts w:cs="Utsaah"/>
          </w:rPr>
          <w:t>https://www.dol.gov/oasam/programs/crc/Section188Guide.pdf</w:t>
        </w:r>
      </w:hyperlink>
      <w:r w:rsidRPr="00391502">
        <w:rPr>
          <w:rFonts w:cs="Utsaah"/>
          <w:color w:val="0070C0"/>
        </w:rPr>
        <w:t xml:space="preserve"> </w:t>
      </w:r>
    </w:p>
    <w:p w:rsidR="0009775B" w:rsidRPr="00391502" w:rsidRDefault="0009775B" w:rsidP="009258C6">
      <w:pPr>
        <w:pStyle w:val="ListParagraph"/>
        <w:numPr>
          <w:ilvl w:val="0"/>
          <w:numId w:val="29"/>
        </w:numPr>
        <w:rPr>
          <w:rFonts w:cs="Utsaah"/>
        </w:rPr>
      </w:pPr>
      <w:r>
        <w:rPr>
          <w:rFonts w:cs="Utsaah"/>
        </w:rPr>
        <w:t>US Department of Labor WIOA Section 188 Disability Checklist</w:t>
      </w:r>
    </w:p>
    <w:p w:rsidR="0009775B" w:rsidRDefault="00CD548D" w:rsidP="0009775B">
      <w:pPr>
        <w:pStyle w:val="ListParagraph"/>
        <w:ind w:left="360"/>
        <w:rPr>
          <w:rFonts w:cs="Utsaah"/>
        </w:rPr>
      </w:pPr>
      <w:hyperlink r:id="rId18" w:history="1">
        <w:r w:rsidR="0009775B" w:rsidRPr="00391502">
          <w:rPr>
            <w:rStyle w:val="Hyperlink"/>
            <w:rFonts w:cs="Utsaah"/>
          </w:rPr>
          <w:t>https://www.dol.gov/oasam/programs/crc/section188.htm</w:t>
        </w:r>
      </w:hyperlink>
      <w:r w:rsidR="0009775B" w:rsidRPr="00391502">
        <w:rPr>
          <w:rFonts w:cs="Utsaah"/>
        </w:rPr>
        <w:t xml:space="preserve"> </w:t>
      </w:r>
    </w:p>
    <w:p w:rsidR="0009775B" w:rsidRPr="00683975" w:rsidRDefault="0009775B" w:rsidP="009258C6">
      <w:pPr>
        <w:pStyle w:val="ListParagraph"/>
        <w:numPr>
          <w:ilvl w:val="0"/>
          <w:numId w:val="29"/>
        </w:numPr>
        <w:rPr>
          <w:rFonts w:cs="Utsaah"/>
        </w:rPr>
      </w:pPr>
      <w:r w:rsidRPr="00683975">
        <w:rPr>
          <w:rFonts w:cs="Utsaah"/>
        </w:rPr>
        <w:t xml:space="preserve">Maine Bureau of Rehabilitation Services (BRS) Accessibility Guide </w:t>
      </w:r>
      <w:hyperlink r:id="rId19" w:history="1">
        <w:r w:rsidR="0008479B" w:rsidRPr="00883A32">
          <w:rPr>
            <w:rStyle w:val="Hyperlink"/>
            <w:rFonts w:cs="Utsaah"/>
          </w:rPr>
          <w:t>http://www.maine.gov/rehab/accessibility_guide</w:t>
        </w:r>
      </w:hyperlink>
      <w:r w:rsidR="0008479B">
        <w:rPr>
          <w:rFonts w:cs="Utsaah"/>
        </w:rPr>
        <w:t xml:space="preserve"> </w:t>
      </w:r>
      <w:r w:rsidRPr="00683975">
        <w:rPr>
          <w:rFonts w:cs="Utsaah"/>
        </w:rPr>
        <w:t xml:space="preserve"> </w:t>
      </w:r>
    </w:p>
    <w:p w:rsidR="0009775B" w:rsidRPr="00391502" w:rsidRDefault="0009775B" w:rsidP="009258C6">
      <w:pPr>
        <w:numPr>
          <w:ilvl w:val="0"/>
          <w:numId w:val="29"/>
        </w:numPr>
        <w:rPr>
          <w:rFonts w:ascii="Calibri" w:hAnsi="Calibri" w:cs="Arial"/>
          <w:color w:val="000000"/>
          <w:sz w:val="22"/>
          <w:szCs w:val="22"/>
        </w:rPr>
      </w:pPr>
      <w:r w:rsidRPr="00391502">
        <w:rPr>
          <w:rFonts w:ascii="Calibri" w:hAnsi="Calibri" w:cs="Utsaah"/>
          <w:sz w:val="22"/>
          <w:szCs w:val="22"/>
        </w:rPr>
        <w:t xml:space="preserve">Non-citizens authorized to accept employment: 8 CFR 274A.12  </w:t>
      </w:r>
      <w:hyperlink r:id="rId20" w:history="1">
        <w:r w:rsidRPr="00391502">
          <w:rPr>
            <w:rStyle w:val="Hyperlink"/>
            <w:rFonts w:ascii="Calibri" w:hAnsi="Calibri" w:cs="Utsaah"/>
            <w:sz w:val="22"/>
            <w:szCs w:val="22"/>
          </w:rPr>
          <w:t>https://www.law.cornell.edu/cfr/text/8/274a.12</w:t>
        </w:r>
      </w:hyperlink>
      <w:r w:rsidRPr="00391502">
        <w:rPr>
          <w:rFonts w:ascii="Calibri" w:hAnsi="Calibri" w:cs="Utsaah"/>
          <w:sz w:val="22"/>
          <w:szCs w:val="22"/>
        </w:rPr>
        <w:t xml:space="preserve"> </w:t>
      </w:r>
    </w:p>
    <w:p w:rsidR="0009775B" w:rsidRPr="00390FBB" w:rsidRDefault="0009775B" w:rsidP="009258C6">
      <w:pPr>
        <w:numPr>
          <w:ilvl w:val="0"/>
          <w:numId w:val="29"/>
        </w:numPr>
        <w:rPr>
          <w:rFonts w:ascii="Calibri" w:hAnsi="Calibri" w:cs="Utsaah"/>
          <w:i/>
          <w:sz w:val="22"/>
          <w:szCs w:val="22"/>
        </w:rPr>
      </w:pPr>
      <w:r w:rsidRPr="00391502">
        <w:rPr>
          <w:rFonts w:ascii="Calibri" w:hAnsi="Calibri" w:cs="Utsaah"/>
          <w:sz w:val="22"/>
          <w:szCs w:val="22"/>
        </w:rPr>
        <w:t xml:space="preserve">Equal Opportunity (EO) Notice </w:t>
      </w:r>
      <w:r w:rsidRPr="00391502">
        <w:rPr>
          <w:rFonts w:ascii="Calibri" w:hAnsi="Calibri" w:cs="Utsaah"/>
          <w:i/>
          <w:sz w:val="22"/>
          <w:szCs w:val="22"/>
        </w:rPr>
        <w:t xml:space="preserve">Equal Opportunity Is The Law </w:t>
      </w:r>
      <w:r w:rsidR="005310A1">
        <w:rPr>
          <w:rFonts w:ascii="Calibri" w:hAnsi="Calibri" w:cs="Utsaah"/>
          <w:sz w:val="22"/>
          <w:szCs w:val="22"/>
        </w:rPr>
        <w:t xml:space="preserve">(also see Appendix D) </w:t>
      </w:r>
      <w:hyperlink r:id="rId21" w:history="1">
        <w:r w:rsidRPr="00391502">
          <w:rPr>
            <w:rStyle w:val="Hyperlink"/>
            <w:rFonts w:ascii="Calibri" w:hAnsi="Calibri" w:cs="Arial"/>
            <w:sz w:val="22"/>
            <w:szCs w:val="22"/>
          </w:rPr>
          <w:t>https://www.dol.gov/oasam/programs/crc/EOPosters.htm</w:t>
        </w:r>
      </w:hyperlink>
    </w:p>
    <w:p w:rsidR="0009775B" w:rsidRPr="00B37F03" w:rsidRDefault="0009775B" w:rsidP="009258C6">
      <w:pPr>
        <w:pStyle w:val="ListParagraph"/>
        <w:numPr>
          <w:ilvl w:val="0"/>
          <w:numId w:val="33"/>
        </w:numPr>
        <w:rPr>
          <w:rFonts w:cs="Utsaah"/>
        </w:rPr>
      </w:pPr>
      <w:r w:rsidRPr="00B37F03">
        <w:rPr>
          <w:rFonts w:cs="Utsaah"/>
          <w:i/>
        </w:rPr>
        <w:t>Access for All</w:t>
      </w:r>
      <w:r w:rsidRPr="00B37F03">
        <w:rPr>
          <w:rFonts w:cs="Utsaah"/>
        </w:rPr>
        <w:t xml:space="preserve">  A resource manual for meeting the needs of one-stop customers  </w:t>
      </w:r>
      <w:hyperlink r:id="rId22" w:history="1">
        <w:r w:rsidRPr="00B37F03">
          <w:rPr>
            <w:rStyle w:val="Hyperlink"/>
            <w:rFonts w:cs="Utsaah"/>
          </w:rPr>
          <w:t>https://www.communityinclusion.org/onestop/onestopmanual.html</w:t>
        </w:r>
      </w:hyperlink>
      <w:r w:rsidRPr="00B37F03">
        <w:rPr>
          <w:rFonts w:cs="Utsaah"/>
        </w:rPr>
        <w:t xml:space="preserve"> </w:t>
      </w:r>
    </w:p>
    <w:p w:rsidR="0009775B" w:rsidRPr="00B37F03" w:rsidRDefault="0009775B" w:rsidP="009258C6">
      <w:pPr>
        <w:pStyle w:val="ListParagraph"/>
        <w:numPr>
          <w:ilvl w:val="0"/>
          <w:numId w:val="33"/>
        </w:numPr>
        <w:rPr>
          <w:rFonts w:cs="Utsaah"/>
        </w:rPr>
      </w:pPr>
      <w:r w:rsidRPr="00B37F03">
        <w:rPr>
          <w:rFonts w:cs="Utsaah"/>
          <w:i/>
        </w:rPr>
        <w:t>At Your Service: Welcoming Customers With Disabilities</w:t>
      </w:r>
      <w:r w:rsidRPr="00B37F03">
        <w:rPr>
          <w:rFonts w:cs="Utsaah"/>
        </w:rPr>
        <w:t xml:space="preserve"> web-based course, free of charge, offers education credits and certificate of completion  </w:t>
      </w:r>
      <w:hyperlink r:id="rId23" w:history="1">
        <w:r w:rsidRPr="00B37F03">
          <w:rPr>
            <w:rStyle w:val="Hyperlink"/>
            <w:rFonts w:cs="Utsaah"/>
          </w:rPr>
          <w:t>http://www.wiawebcourse.org/</w:t>
        </w:r>
      </w:hyperlink>
      <w:r w:rsidRPr="00B37F03">
        <w:rPr>
          <w:rFonts w:cs="Utsaah"/>
        </w:rPr>
        <w:t xml:space="preserve"> </w:t>
      </w:r>
    </w:p>
    <w:p w:rsidR="0009775B" w:rsidRPr="00B37F03" w:rsidRDefault="0009775B" w:rsidP="009258C6">
      <w:pPr>
        <w:pStyle w:val="ListParagraph"/>
        <w:numPr>
          <w:ilvl w:val="0"/>
          <w:numId w:val="33"/>
        </w:numPr>
        <w:rPr>
          <w:rFonts w:cs="Utsaah"/>
          <w:i/>
        </w:rPr>
      </w:pPr>
      <w:r w:rsidRPr="00B37F03">
        <w:rPr>
          <w:rFonts w:cs="Utsaah"/>
          <w:i/>
        </w:rPr>
        <w:t xml:space="preserve">American Job Centers and Digital Access: A Guide to Accessible ICT  </w:t>
      </w:r>
      <w:hyperlink r:id="rId24" w:history="1">
        <w:r w:rsidRPr="00B37F03">
          <w:rPr>
            <w:rStyle w:val="Hyperlink"/>
            <w:rFonts w:cs="Utsaah"/>
            <w:i/>
          </w:rPr>
          <w:t>http://www.peatworks.org/content/american-job-centers-and-digital-access-guide-accessible-ict</w:t>
        </w:r>
      </w:hyperlink>
      <w:r w:rsidRPr="00B37F03">
        <w:rPr>
          <w:rFonts w:cs="Utsaah"/>
          <w:i/>
        </w:rPr>
        <w:t xml:space="preserve"> </w:t>
      </w:r>
    </w:p>
    <w:p w:rsidR="0009775B" w:rsidRPr="00B37F03" w:rsidRDefault="0009775B" w:rsidP="009258C6">
      <w:pPr>
        <w:pStyle w:val="ListParagraph"/>
        <w:numPr>
          <w:ilvl w:val="0"/>
          <w:numId w:val="33"/>
        </w:numPr>
        <w:rPr>
          <w:rFonts w:cs="Utsaah"/>
          <w:i/>
        </w:rPr>
      </w:pPr>
      <w:r w:rsidRPr="00B37F03">
        <w:rPr>
          <w:rFonts w:cs="Utsaah"/>
          <w:i/>
        </w:rPr>
        <w:t xml:space="preserve">Disability Inquiries in the Workforce Development System </w:t>
      </w:r>
    </w:p>
    <w:p w:rsidR="0009775B" w:rsidRPr="00B37F03" w:rsidRDefault="0009775B" w:rsidP="0009775B">
      <w:pPr>
        <w:pStyle w:val="ListParagraph"/>
        <w:ind w:left="0" w:firstLine="360"/>
        <w:rPr>
          <w:rFonts w:cs="Utsaah"/>
        </w:rPr>
      </w:pPr>
      <w:r w:rsidRPr="00B37F03">
        <w:rPr>
          <w:rFonts w:cs="Utsaah"/>
        </w:rPr>
        <w:t xml:space="preserve">PDF </w:t>
      </w:r>
      <w:hyperlink r:id="rId25" w:history="1">
        <w:r w:rsidRPr="00B37F03">
          <w:rPr>
            <w:rStyle w:val="Hyperlink"/>
            <w:rFonts w:cs="Utsaah"/>
          </w:rPr>
          <w:t>http://www.ncwd-youth.info/sites/default/files/page/2009/02/infobrief_issue9.pdf</w:t>
        </w:r>
      </w:hyperlink>
      <w:r w:rsidRPr="00B37F03">
        <w:rPr>
          <w:rFonts w:cs="Utsaah"/>
        </w:rPr>
        <w:t xml:space="preserve"> </w:t>
      </w:r>
    </w:p>
    <w:p w:rsidR="0009775B" w:rsidRPr="00B37F03" w:rsidRDefault="0009775B" w:rsidP="0009775B">
      <w:pPr>
        <w:pStyle w:val="ListParagraph"/>
        <w:ind w:left="0" w:firstLine="360"/>
        <w:rPr>
          <w:rFonts w:cs="Utsaah"/>
        </w:rPr>
      </w:pPr>
      <w:r w:rsidRPr="00B37F03">
        <w:rPr>
          <w:rFonts w:cs="Utsaah"/>
        </w:rPr>
        <w:t xml:space="preserve">WORD  </w:t>
      </w:r>
      <w:hyperlink r:id="rId26" w:history="1">
        <w:r w:rsidRPr="00B37F03">
          <w:rPr>
            <w:rStyle w:val="Hyperlink"/>
            <w:rFonts w:cs="Utsaah"/>
          </w:rPr>
          <w:t>http://www.ncwd-youth.info/sites/default/files/page/2009/02/infobrief_issue9.doc</w:t>
        </w:r>
      </w:hyperlink>
      <w:r w:rsidRPr="00B37F03">
        <w:rPr>
          <w:rFonts w:cs="Utsaah"/>
        </w:rPr>
        <w:t xml:space="preserve"> </w:t>
      </w:r>
    </w:p>
    <w:p w:rsidR="0009775B" w:rsidRPr="00B37F03" w:rsidRDefault="0009775B" w:rsidP="009258C6">
      <w:pPr>
        <w:pStyle w:val="ListParagraph"/>
        <w:numPr>
          <w:ilvl w:val="0"/>
          <w:numId w:val="35"/>
        </w:numPr>
        <w:ind w:left="360"/>
        <w:rPr>
          <w:rFonts w:cs="Utsaah"/>
          <w:i/>
        </w:rPr>
      </w:pPr>
      <w:r w:rsidRPr="00B37F03">
        <w:rPr>
          <w:rFonts w:cs="Utsaah"/>
        </w:rPr>
        <w:t xml:space="preserve">National Center on Workforce and Disability  </w:t>
      </w:r>
      <w:hyperlink r:id="rId27" w:history="1">
        <w:r w:rsidRPr="00B37F03">
          <w:rPr>
            <w:rStyle w:val="Hyperlink"/>
            <w:rFonts w:cs="Utsaah"/>
          </w:rPr>
          <w:t>http://www.onestops.info/</w:t>
        </w:r>
      </w:hyperlink>
      <w:r w:rsidRPr="00B37F03">
        <w:rPr>
          <w:rFonts w:cs="Utsaah"/>
        </w:rPr>
        <w:t xml:space="preserve"> </w:t>
      </w:r>
    </w:p>
    <w:p w:rsidR="0009775B" w:rsidRPr="00B37F03" w:rsidRDefault="0009775B" w:rsidP="009258C6">
      <w:pPr>
        <w:pStyle w:val="ListParagraph"/>
        <w:numPr>
          <w:ilvl w:val="0"/>
          <w:numId w:val="35"/>
        </w:numPr>
        <w:ind w:left="360"/>
        <w:rPr>
          <w:rFonts w:cs="Utsaah"/>
          <w:i/>
        </w:rPr>
      </w:pPr>
      <w:r w:rsidRPr="00B37F03">
        <w:rPr>
          <w:rFonts w:cs="Utsaah"/>
        </w:rPr>
        <w:t xml:space="preserve">Evaluating the Accessibility of American Job Centers for People with Disabilities  </w:t>
      </w:r>
      <w:hyperlink r:id="rId28" w:history="1">
        <w:r w:rsidRPr="00B37F03">
          <w:rPr>
            <w:rStyle w:val="Hyperlink"/>
            <w:rFonts w:cs="Utsaah"/>
          </w:rPr>
          <w:t>http://www.impaqint.com/sites/default/files/project-reports/AJC-Accessibility-Study.pdf</w:t>
        </w:r>
      </w:hyperlink>
      <w:r w:rsidRPr="00B37F03">
        <w:rPr>
          <w:rFonts w:cs="Utsaah"/>
        </w:rPr>
        <w:t xml:space="preserve"> </w:t>
      </w:r>
    </w:p>
    <w:p w:rsidR="0009775B" w:rsidRDefault="0009775B" w:rsidP="0009775B">
      <w:pPr>
        <w:pStyle w:val="ListParagraph"/>
      </w:pPr>
    </w:p>
    <w:p w:rsidR="0009775B" w:rsidRPr="00391502" w:rsidRDefault="0009775B" w:rsidP="0009775B">
      <w:pPr>
        <w:jc w:val="both"/>
        <w:rPr>
          <w:rFonts w:ascii="Calibri" w:hAnsi="Calibri" w:cs="Utsaah"/>
          <w:b/>
          <w:sz w:val="22"/>
          <w:szCs w:val="22"/>
        </w:rPr>
      </w:pPr>
      <w:r w:rsidRPr="00391502">
        <w:rPr>
          <w:rFonts w:ascii="Calibri" w:hAnsi="Calibri" w:cs="Utsaah"/>
          <w:b/>
          <w:sz w:val="22"/>
          <w:szCs w:val="22"/>
        </w:rPr>
        <w:t xml:space="preserve">Language </w:t>
      </w:r>
      <w:r>
        <w:rPr>
          <w:rFonts w:ascii="Calibri" w:hAnsi="Calibri" w:cs="Utsaah"/>
          <w:b/>
          <w:sz w:val="22"/>
          <w:szCs w:val="22"/>
        </w:rPr>
        <w:t>r</w:t>
      </w:r>
      <w:r w:rsidRPr="00391502">
        <w:rPr>
          <w:rFonts w:ascii="Calibri" w:hAnsi="Calibri" w:cs="Utsaah"/>
          <w:b/>
          <w:sz w:val="22"/>
          <w:szCs w:val="22"/>
        </w:rPr>
        <w:t>esources</w:t>
      </w:r>
    </w:p>
    <w:p w:rsidR="0009775B" w:rsidRPr="00391502" w:rsidRDefault="0009775B" w:rsidP="0009775B">
      <w:pPr>
        <w:jc w:val="both"/>
        <w:rPr>
          <w:rFonts w:ascii="Calibri" w:hAnsi="Calibri" w:cs="Utsaah"/>
          <w:b/>
          <w:color w:val="FF0000"/>
          <w:sz w:val="22"/>
          <w:szCs w:val="22"/>
        </w:rPr>
      </w:pPr>
    </w:p>
    <w:p w:rsidR="0009775B" w:rsidRPr="008043D2" w:rsidRDefault="0009775B" w:rsidP="0009775B">
      <w:pPr>
        <w:jc w:val="both"/>
        <w:rPr>
          <w:rFonts w:ascii="Calibri" w:hAnsi="Calibri" w:cs="Utsaah"/>
          <w:sz w:val="22"/>
          <w:szCs w:val="22"/>
          <w:u w:val="single"/>
        </w:rPr>
      </w:pPr>
      <w:r w:rsidRPr="00391502">
        <w:rPr>
          <w:rFonts w:ascii="Calibri" w:hAnsi="Calibri" w:cs="Utsaah"/>
          <w:sz w:val="22"/>
          <w:szCs w:val="22"/>
          <w:u w:val="single"/>
        </w:rPr>
        <w:t xml:space="preserve">For people with limited English </w:t>
      </w:r>
      <w:r w:rsidRPr="008043D2">
        <w:rPr>
          <w:rFonts w:ascii="Calibri" w:hAnsi="Calibri" w:cs="Utsaah"/>
          <w:sz w:val="22"/>
          <w:szCs w:val="22"/>
          <w:u w:val="single"/>
        </w:rPr>
        <w:t>proficiency</w:t>
      </w:r>
    </w:p>
    <w:p w:rsidR="0009775B" w:rsidRPr="008043D2" w:rsidRDefault="0009775B" w:rsidP="0009775B">
      <w:pPr>
        <w:pStyle w:val="ListParagraph"/>
        <w:ind w:left="0"/>
        <w:rPr>
          <w:rFonts w:cs="Arial"/>
        </w:rPr>
      </w:pPr>
    </w:p>
    <w:p w:rsidR="00425C2B" w:rsidRPr="00425C2B" w:rsidRDefault="00CD548D" w:rsidP="009258C6">
      <w:pPr>
        <w:pStyle w:val="ListParagraph"/>
        <w:numPr>
          <w:ilvl w:val="0"/>
          <w:numId w:val="32"/>
        </w:numPr>
        <w:tabs>
          <w:tab w:val="clear" w:pos="720"/>
          <w:tab w:val="num" w:pos="-360"/>
        </w:tabs>
        <w:ind w:left="360"/>
        <w:contextualSpacing w:val="0"/>
        <w:rPr>
          <w:rFonts w:cs="Arial"/>
        </w:rPr>
      </w:pPr>
      <w:hyperlink r:id="rId29" w:history="1">
        <w:r w:rsidR="0009775B" w:rsidRPr="00425C2B">
          <w:rPr>
            <w:rStyle w:val="Hyperlink"/>
          </w:rPr>
          <w:t>Limited English Proficiency  </w:t>
        </w:r>
      </w:hyperlink>
      <w:r w:rsidR="0009775B" w:rsidRPr="00683975">
        <w:t xml:space="preserve"> </w:t>
      </w:r>
    </w:p>
    <w:p w:rsidR="0009775B" w:rsidRPr="00425C2B" w:rsidRDefault="00425C2B" w:rsidP="00425C2B">
      <w:pPr>
        <w:tabs>
          <w:tab w:val="num" w:pos="-360"/>
        </w:tabs>
        <w:rPr>
          <w:rFonts w:asciiTheme="majorHAnsi" w:hAnsiTheme="majorHAnsi" w:cs="Arial"/>
          <w:sz w:val="22"/>
          <w:szCs w:val="22"/>
        </w:rPr>
      </w:pPr>
      <w:r>
        <w:rPr>
          <w:rFonts w:cs="Arial"/>
        </w:rPr>
        <w:t xml:space="preserve">      </w:t>
      </w:r>
      <w:hyperlink r:id="rId30" w:history="1">
        <w:r w:rsidR="0009775B" w:rsidRPr="00425C2B">
          <w:rPr>
            <w:rStyle w:val="Hyperlink"/>
            <w:rFonts w:asciiTheme="majorHAnsi" w:hAnsiTheme="majorHAnsi" w:cs="Arial"/>
            <w:sz w:val="22"/>
            <w:szCs w:val="22"/>
          </w:rPr>
          <w:t>https://www.lep.gov</w:t>
        </w:r>
      </w:hyperlink>
      <w:r w:rsidR="0009775B" w:rsidRPr="00425C2B">
        <w:rPr>
          <w:rFonts w:asciiTheme="majorHAnsi" w:hAnsiTheme="majorHAnsi" w:cs="Arial"/>
          <w:sz w:val="22"/>
          <w:szCs w:val="22"/>
        </w:rPr>
        <w:t xml:space="preserve"> </w:t>
      </w:r>
    </w:p>
    <w:p w:rsidR="0009775B" w:rsidRPr="00683975" w:rsidRDefault="0009775B" w:rsidP="0009775B">
      <w:pPr>
        <w:pStyle w:val="ListParagraph"/>
        <w:ind w:left="360"/>
        <w:rPr>
          <w:rFonts w:cs="Arial"/>
        </w:rPr>
      </w:pPr>
    </w:p>
    <w:p w:rsidR="0009775B" w:rsidRPr="00683975" w:rsidRDefault="00CD548D" w:rsidP="009258C6">
      <w:pPr>
        <w:pStyle w:val="ListParagraph"/>
        <w:numPr>
          <w:ilvl w:val="0"/>
          <w:numId w:val="32"/>
        </w:numPr>
        <w:tabs>
          <w:tab w:val="clear" w:pos="720"/>
          <w:tab w:val="num" w:pos="0"/>
        </w:tabs>
        <w:ind w:left="360"/>
        <w:contextualSpacing w:val="0"/>
      </w:pPr>
      <w:hyperlink r:id="rId31" w:history="1">
        <w:r w:rsidR="0009775B" w:rsidRPr="00683975">
          <w:rPr>
            <w:rStyle w:val="Hyperlink"/>
          </w:rPr>
          <w:t>Language Identification Card</w:t>
        </w:r>
      </w:hyperlink>
      <w:r w:rsidR="0009775B" w:rsidRPr="00683975">
        <w:t xml:space="preserve"> </w:t>
      </w:r>
    </w:p>
    <w:p w:rsidR="0009775B" w:rsidRPr="00683975" w:rsidRDefault="0009775B" w:rsidP="00425C2B">
      <w:pPr>
        <w:ind w:left="360"/>
        <w:rPr>
          <w:rFonts w:ascii="Calibri" w:hAnsi="Calibri" w:cs="Arial"/>
          <w:color w:val="000000"/>
          <w:sz w:val="22"/>
          <w:szCs w:val="22"/>
        </w:rPr>
      </w:pPr>
      <w:r w:rsidRPr="00683975">
        <w:rPr>
          <w:rFonts w:ascii="Calibri" w:hAnsi="Calibri" w:cs="Arial"/>
          <w:color w:val="000000"/>
          <w:sz w:val="22"/>
          <w:szCs w:val="22"/>
        </w:rPr>
        <w:t xml:space="preserve">Word: </w:t>
      </w:r>
      <w:hyperlink r:id="rId32" w:history="1">
        <w:r w:rsidRPr="00683975">
          <w:rPr>
            <w:rStyle w:val="Hyperlink"/>
            <w:rFonts w:ascii="Calibri" w:hAnsi="Calibri" w:cs="Arial"/>
            <w:sz w:val="22"/>
            <w:szCs w:val="22"/>
          </w:rPr>
          <w:t>http://www.maine.gov/dhhs/documents/Language_ID_Card.doc</w:t>
        </w:r>
      </w:hyperlink>
      <w:r w:rsidRPr="00683975">
        <w:rPr>
          <w:rFonts w:ascii="Calibri" w:hAnsi="Calibri" w:cs="Arial"/>
          <w:color w:val="000000"/>
          <w:sz w:val="22"/>
          <w:szCs w:val="22"/>
        </w:rPr>
        <w:t xml:space="preserve"> </w:t>
      </w:r>
    </w:p>
    <w:p w:rsidR="0009775B" w:rsidRPr="00683975" w:rsidRDefault="0009775B" w:rsidP="00425C2B">
      <w:pPr>
        <w:ind w:left="360"/>
        <w:rPr>
          <w:rFonts w:ascii="Calibri" w:hAnsi="Calibri" w:cs="Arial"/>
          <w:color w:val="000000"/>
          <w:sz w:val="22"/>
          <w:szCs w:val="22"/>
        </w:rPr>
      </w:pPr>
      <w:r w:rsidRPr="00683975">
        <w:rPr>
          <w:rFonts w:ascii="Calibri" w:hAnsi="Calibri" w:cs="Arial"/>
          <w:color w:val="000000"/>
          <w:sz w:val="22"/>
          <w:szCs w:val="22"/>
        </w:rPr>
        <w:t xml:space="preserve">PDF: </w:t>
      </w:r>
      <w:hyperlink r:id="rId33" w:history="1">
        <w:r w:rsidRPr="00683975">
          <w:rPr>
            <w:rStyle w:val="Hyperlink"/>
            <w:rFonts w:ascii="Calibri" w:hAnsi="Calibri" w:cs="Arial"/>
            <w:sz w:val="22"/>
            <w:szCs w:val="22"/>
          </w:rPr>
          <w:t>http://www.maine.gov/dhhs/documents/Language_ID_Card.pdf</w:t>
        </w:r>
      </w:hyperlink>
      <w:r w:rsidRPr="00683975">
        <w:rPr>
          <w:rFonts w:ascii="Calibri" w:hAnsi="Calibri" w:cs="Arial"/>
          <w:color w:val="000000"/>
          <w:sz w:val="22"/>
          <w:szCs w:val="22"/>
        </w:rPr>
        <w:t xml:space="preserve"> </w:t>
      </w:r>
    </w:p>
    <w:p w:rsidR="0009775B" w:rsidRPr="00683975" w:rsidRDefault="0009775B" w:rsidP="0009775B">
      <w:pPr>
        <w:ind w:firstLine="720"/>
        <w:rPr>
          <w:rFonts w:ascii="Calibri" w:hAnsi="Calibri" w:cs="Arial"/>
          <w:color w:val="000000"/>
          <w:sz w:val="22"/>
          <w:szCs w:val="22"/>
        </w:rPr>
      </w:pPr>
    </w:p>
    <w:p w:rsidR="0009775B" w:rsidRPr="00683975" w:rsidRDefault="00CD548D" w:rsidP="009258C6">
      <w:pPr>
        <w:pStyle w:val="ListParagraph"/>
        <w:numPr>
          <w:ilvl w:val="0"/>
          <w:numId w:val="3"/>
        </w:numPr>
        <w:ind w:left="360"/>
        <w:contextualSpacing w:val="0"/>
      </w:pPr>
      <w:hyperlink r:id="rId34" w:history="1">
        <w:r w:rsidR="0009775B" w:rsidRPr="00683975">
          <w:rPr>
            <w:rStyle w:val="Hyperlink"/>
          </w:rPr>
          <w:t>Interpretation Services for the general public</w:t>
        </w:r>
      </w:hyperlink>
      <w:r w:rsidR="0009775B" w:rsidRPr="00683975">
        <w:t xml:space="preserve"> </w:t>
      </w:r>
    </w:p>
    <w:p w:rsidR="0009775B" w:rsidRPr="00683975" w:rsidRDefault="00425C2B" w:rsidP="0009775B">
      <w:pPr>
        <w:pStyle w:val="ListParagraph"/>
        <w:ind w:left="0"/>
      </w:pPr>
      <w:r>
        <w:rPr>
          <w:color w:val="000000"/>
        </w:rPr>
        <w:t xml:space="preserve">      </w:t>
      </w:r>
      <w:r w:rsidR="0009775B" w:rsidRPr="00683975">
        <w:rPr>
          <w:color w:val="000000"/>
        </w:rPr>
        <w:t> </w:t>
      </w:r>
      <w:hyperlink r:id="rId35" w:history="1">
        <w:r w:rsidR="0009775B" w:rsidRPr="00683975">
          <w:rPr>
            <w:rStyle w:val="Hyperlink"/>
          </w:rPr>
          <w:t>https://211maine.communityos.org/zf/profile/search?keyword=interpreter&amp;dosearch=1</w:t>
        </w:r>
      </w:hyperlink>
    </w:p>
    <w:p w:rsidR="0009775B" w:rsidRPr="00683975" w:rsidRDefault="0009775B" w:rsidP="0009775B">
      <w:pPr>
        <w:pStyle w:val="ListParagraph"/>
        <w:ind w:left="0"/>
      </w:pPr>
    </w:p>
    <w:p w:rsidR="00F3075A" w:rsidRDefault="00CD548D" w:rsidP="009258C6">
      <w:pPr>
        <w:pStyle w:val="ListParagraph"/>
        <w:numPr>
          <w:ilvl w:val="0"/>
          <w:numId w:val="3"/>
        </w:numPr>
        <w:ind w:left="360"/>
      </w:pPr>
      <w:hyperlink r:id="rId36" w:history="1">
        <w:r w:rsidR="0009775B" w:rsidRPr="00F3075A">
          <w:rPr>
            <w:rStyle w:val="Hyperlink"/>
          </w:rPr>
          <w:t>Best Practices, Partnership Models, and Resources for Serving English Language Learners, Immigrants, Refugees, and New Americans</w:t>
        </w:r>
      </w:hyperlink>
    </w:p>
    <w:p w:rsidR="0009775B" w:rsidRPr="00F3075A" w:rsidRDefault="00F3075A" w:rsidP="00F3075A">
      <w:pPr>
        <w:rPr>
          <w:rFonts w:asciiTheme="majorHAnsi" w:hAnsiTheme="majorHAnsi"/>
          <w:sz w:val="22"/>
          <w:szCs w:val="22"/>
        </w:rPr>
      </w:pPr>
      <w:r>
        <w:t xml:space="preserve">     </w:t>
      </w:r>
      <w:r w:rsidR="0009775B" w:rsidRPr="00683975">
        <w:t xml:space="preserve"> </w:t>
      </w:r>
      <w:hyperlink r:id="rId37" w:history="1">
        <w:r w:rsidR="0009775B" w:rsidRPr="00F3075A">
          <w:rPr>
            <w:rStyle w:val="Hyperlink"/>
            <w:rFonts w:asciiTheme="majorHAnsi" w:hAnsiTheme="majorHAnsi"/>
            <w:sz w:val="22"/>
            <w:szCs w:val="22"/>
          </w:rPr>
          <w:t>https://wdr.doleta.gov/directives/attach/TEN/TEN_28-16_Change_2_acc.pdf</w:t>
        </w:r>
      </w:hyperlink>
      <w:r w:rsidR="0009775B" w:rsidRPr="00F3075A">
        <w:rPr>
          <w:rFonts w:asciiTheme="majorHAnsi" w:hAnsiTheme="majorHAnsi"/>
          <w:sz w:val="22"/>
          <w:szCs w:val="22"/>
        </w:rPr>
        <w:t xml:space="preserve"> </w:t>
      </w:r>
    </w:p>
    <w:p w:rsidR="0009775B" w:rsidRPr="00391502" w:rsidRDefault="0009775B" w:rsidP="0009775B">
      <w:pPr>
        <w:pStyle w:val="ListParagraph"/>
        <w:ind w:left="360"/>
      </w:pPr>
    </w:p>
    <w:p w:rsidR="005310A1" w:rsidRDefault="005310A1" w:rsidP="0009775B">
      <w:pPr>
        <w:pStyle w:val="ListParagraph"/>
        <w:ind w:left="0"/>
        <w:rPr>
          <w:u w:val="single"/>
        </w:rPr>
      </w:pPr>
    </w:p>
    <w:p w:rsidR="005310A1" w:rsidRDefault="005310A1" w:rsidP="0009775B">
      <w:pPr>
        <w:pStyle w:val="ListParagraph"/>
        <w:ind w:left="0"/>
        <w:rPr>
          <w:u w:val="single"/>
        </w:rPr>
      </w:pPr>
    </w:p>
    <w:p w:rsidR="005310A1" w:rsidRDefault="005310A1" w:rsidP="0009775B">
      <w:pPr>
        <w:pStyle w:val="ListParagraph"/>
        <w:ind w:left="0"/>
        <w:rPr>
          <w:u w:val="single"/>
        </w:rPr>
      </w:pPr>
    </w:p>
    <w:p w:rsidR="0009775B" w:rsidRPr="00391502" w:rsidRDefault="0009775B" w:rsidP="0009775B">
      <w:pPr>
        <w:pStyle w:val="ListParagraph"/>
        <w:ind w:left="0"/>
        <w:rPr>
          <w:u w:val="single"/>
        </w:rPr>
      </w:pPr>
      <w:r w:rsidRPr="00391502">
        <w:rPr>
          <w:u w:val="single"/>
        </w:rPr>
        <w:lastRenderedPageBreak/>
        <w:t>For Deaf and Hard of Hearing people</w:t>
      </w:r>
    </w:p>
    <w:p w:rsidR="0009775B" w:rsidRPr="00391502" w:rsidRDefault="0009775B" w:rsidP="0009775B">
      <w:pPr>
        <w:pStyle w:val="ListParagraph"/>
        <w:ind w:left="0"/>
      </w:pPr>
    </w:p>
    <w:p w:rsidR="00F3075A" w:rsidRDefault="0009775B" w:rsidP="009258C6">
      <w:pPr>
        <w:pStyle w:val="ListParagraph"/>
        <w:numPr>
          <w:ilvl w:val="0"/>
          <w:numId w:val="30"/>
        </w:numPr>
        <w:ind w:left="360"/>
      </w:pPr>
      <w:r w:rsidRPr="00EF7E00">
        <w:rPr>
          <w:b/>
        </w:rPr>
        <w:t>For services delivered by Maine state agencies</w:t>
      </w:r>
      <w:r w:rsidRPr="00391502">
        <w:t xml:space="preserve">, American Sign Language interpreters and other interpreters for Deaf, </w:t>
      </w:r>
      <w:r w:rsidR="00C64A5E">
        <w:t>hard of hearing, and l</w:t>
      </w:r>
      <w:r w:rsidRPr="00391502">
        <w:t xml:space="preserve">ate-deafened individuals can be identified and accessed through the state Division of </w:t>
      </w:r>
      <w:r w:rsidR="00F3075A">
        <w:t>Purchases</w:t>
      </w:r>
    </w:p>
    <w:p w:rsidR="0009775B" w:rsidRPr="00F3075A" w:rsidRDefault="00F3075A" w:rsidP="00F3075A">
      <w:pPr>
        <w:rPr>
          <w:rFonts w:asciiTheme="majorHAnsi" w:hAnsiTheme="majorHAnsi"/>
          <w:sz w:val="22"/>
          <w:szCs w:val="22"/>
        </w:rPr>
      </w:pPr>
      <w:r>
        <w:rPr>
          <w:rFonts w:asciiTheme="majorHAnsi" w:hAnsiTheme="majorHAnsi"/>
          <w:sz w:val="22"/>
          <w:szCs w:val="22"/>
        </w:rPr>
        <w:t xml:space="preserve">       </w:t>
      </w:r>
      <w:hyperlink r:id="rId38" w:history="1">
        <w:r w:rsidR="0009775B" w:rsidRPr="00F3075A">
          <w:rPr>
            <w:rStyle w:val="Hyperlink"/>
            <w:rFonts w:asciiTheme="majorHAnsi" w:hAnsiTheme="majorHAnsi"/>
            <w:sz w:val="22"/>
            <w:szCs w:val="22"/>
          </w:rPr>
          <w:t>http://www.maine.gov/purchase/contracts/americansignlang.shtml</w:t>
        </w:r>
      </w:hyperlink>
      <w:r w:rsidR="0009775B" w:rsidRPr="00F3075A">
        <w:rPr>
          <w:rFonts w:asciiTheme="majorHAnsi" w:hAnsiTheme="majorHAnsi"/>
          <w:sz w:val="22"/>
          <w:szCs w:val="22"/>
        </w:rPr>
        <w:t xml:space="preserve"> </w:t>
      </w:r>
    </w:p>
    <w:p w:rsidR="0009775B" w:rsidRDefault="0009775B" w:rsidP="0009775B">
      <w:pPr>
        <w:pStyle w:val="ListParagraph"/>
        <w:ind w:left="360"/>
      </w:pPr>
    </w:p>
    <w:p w:rsidR="0009775B" w:rsidRPr="00391502" w:rsidRDefault="0009775B" w:rsidP="009258C6">
      <w:pPr>
        <w:pStyle w:val="ListParagraph"/>
        <w:numPr>
          <w:ilvl w:val="0"/>
          <w:numId w:val="30"/>
        </w:numPr>
        <w:ind w:left="360"/>
      </w:pPr>
      <w:r>
        <w:t xml:space="preserve">Interpreter services recommended by Bureau of Rehabilitation Services </w:t>
      </w:r>
      <w:hyperlink r:id="rId39" w:history="1">
        <w:r w:rsidRPr="00357E8B">
          <w:rPr>
            <w:rStyle w:val="Hyperlink"/>
          </w:rPr>
          <w:t>http://www.maine.gov/rehab/dod/resource_guide/interpreting.shtml</w:t>
        </w:r>
      </w:hyperlink>
      <w:r>
        <w:t xml:space="preserve"> </w:t>
      </w:r>
    </w:p>
    <w:p w:rsidR="0009775B" w:rsidRPr="00391502" w:rsidRDefault="0009775B" w:rsidP="0009775B">
      <w:pPr>
        <w:pStyle w:val="ListParagraph"/>
        <w:ind w:left="0"/>
      </w:pPr>
    </w:p>
    <w:p w:rsidR="0009775B" w:rsidRDefault="0009775B" w:rsidP="0009775B">
      <w:pPr>
        <w:pStyle w:val="ListParagraph"/>
        <w:ind w:left="0"/>
      </w:pPr>
      <w:r w:rsidRPr="00391502">
        <w:t xml:space="preserve">Other </w:t>
      </w:r>
      <w:r>
        <w:t>one-stop system</w:t>
      </w:r>
      <w:r w:rsidRPr="00391502">
        <w:t xml:space="preserve"> partners may use interpreters of their choice.  Deaf</w:t>
      </w:r>
      <w:r w:rsidR="00C64A5E">
        <w:t>, h</w:t>
      </w:r>
      <w:r w:rsidRPr="00391502">
        <w:t xml:space="preserve">ard of </w:t>
      </w:r>
      <w:r w:rsidR="00C64A5E">
        <w:t>h</w:t>
      </w:r>
      <w:r w:rsidRPr="00391502">
        <w:t>earing</w:t>
      </w:r>
      <w:r w:rsidR="00C64A5E">
        <w:t>, and l</w:t>
      </w:r>
      <w:r w:rsidRPr="00391502">
        <w:t xml:space="preserve">ate </w:t>
      </w:r>
      <w:r w:rsidR="00C64A5E">
        <w:t>d</w:t>
      </w:r>
      <w:r w:rsidRPr="00391502">
        <w:t>eafened language resources:</w:t>
      </w:r>
    </w:p>
    <w:p w:rsidR="0009775B" w:rsidRPr="00391502" w:rsidRDefault="0009775B" w:rsidP="0009775B">
      <w:pPr>
        <w:pStyle w:val="ListParagraph"/>
        <w:ind w:left="0"/>
      </w:pPr>
    </w:p>
    <w:p w:rsidR="0009775B" w:rsidRPr="00391502" w:rsidRDefault="0009775B" w:rsidP="009258C6">
      <w:pPr>
        <w:pStyle w:val="ListParagraph"/>
        <w:numPr>
          <w:ilvl w:val="0"/>
          <w:numId w:val="28"/>
        </w:numPr>
        <w:ind w:left="360"/>
      </w:pPr>
      <w:r w:rsidRPr="00391502">
        <w:t xml:space="preserve">Division for the Deaf, Hard of Hearing &amp; Late Deafened  </w:t>
      </w:r>
      <w:hyperlink r:id="rId40" w:history="1">
        <w:r w:rsidR="0008479B" w:rsidRPr="00883A32">
          <w:rPr>
            <w:rStyle w:val="Hyperlink"/>
          </w:rPr>
          <w:t>http://www.maine.gov/rehab/dod/resource_guide/</w:t>
        </w:r>
      </w:hyperlink>
    </w:p>
    <w:p w:rsidR="0009775B" w:rsidRDefault="0009775B" w:rsidP="0009775B">
      <w:pPr>
        <w:pStyle w:val="ListParagraph"/>
        <w:ind w:left="360"/>
        <w:jc w:val="both"/>
      </w:pPr>
    </w:p>
    <w:p w:rsidR="00F3075A" w:rsidRDefault="0009775B" w:rsidP="00F3075A">
      <w:pPr>
        <w:pStyle w:val="ListParagraph"/>
        <w:numPr>
          <w:ilvl w:val="0"/>
          <w:numId w:val="28"/>
        </w:numPr>
        <w:ind w:left="360"/>
        <w:jc w:val="both"/>
      </w:pPr>
      <w:r w:rsidRPr="00391502">
        <w:t xml:space="preserve">Deaf Services, Disability Rights Maine </w:t>
      </w:r>
    </w:p>
    <w:p w:rsidR="0009775B" w:rsidRPr="00F3075A" w:rsidRDefault="00F3075A" w:rsidP="00F3075A">
      <w:pPr>
        <w:jc w:val="both"/>
        <w:rPr>
          <w:rFonts w:asciiTheme="majorHAnsi" w:hAnsiTheme="majorHAnsi"/>
          <w:sz w:val="22"/>
          <w:szCs w:val="22"/>
        </w:rPr>
      </w:pPr>
      <w:r>
        <w:t xml:space="preserve">      </w:t>
      </w:r>
      <w:hyperlink r:id="rId41" w:history="1">
        <w:r w:rsidR="0009775B" w:rsidRPr="00F3075A">
          <w:rPr>
            <w:rStyle w:val="Hyperlink"/>
            <w:rFonts w:asciiTheme="majorHAnsi" w:hAnsiTheme="majorHAnsi"/>
            <w:sz w:val="22"/>
            <w:szCs w:val="22"/>
          </w:rPr>
          <w:t>http://drme.org/deaf-services</w:t>
        </w:r>
      </w:hyperlink>
      <w:r w:rsidR="0009775B" w:rsidRPr="00F3075A">
        <w:rPr>
          <w:rFonts w:asciiTheme="majorHAnsi" w:hAnsiTheme="majorHAnsi"/>
          <w:sz w:val="22"/>
          <w:szCs w:val="22"/>
        </w:rPr>
        <w:t xml:space="preserve"> </w:t>
      </w:r>
    </w:p>
    <w:p w:rsidR="0009775B" w:rsidRDefault="0009775B" w:rsidP="0009775B">
      <w:pPr>
        <w:pStyle w:val="ListParagraph"/>
        <w:ind w:left="360"/>
        <w:jc w:val="both"/>
      </w:pPr>
    </w:p>
    <w:p w:rsidR="0009775B" w:rsidRPr="00391502" w:rsidRDefault="0009775B" w:rsidP="000F7EDD">
      <w:pPr>
        <w:pStyle w:val="ListParagraph"/>
        <w:numPr>
          <w:ilvl w:val="0"/>
          <w:numId w:val="28"/>
        </w:numPr>
        <w:ind w:left="360"/>
      </w:pPr>
      <w:r w:rsidRPr="00391502">
        <w:t xml:space="preserve">Maine CART &amp; Captioning Service (a speech to text translation service): </w:t>
      </w:r>
      <w:hyperlink r:id="rId42" w:history="1">
        <w:r w:rsidRPr="00391502">
          <w:rPr>
            <w:rStyle w:val="Hyperlink"/>
          </w:rPr>
          <w:t>http://mainecartservice.com./</w:t>
        </w:r>
      </w:hyperlink>
      <w:r w:rsidRPr="00391502">
        <w:t xml:space="preserve"> </w:t>
      </w:r>
    </w:p>
    <w:p w:rsidR="0009775B" w:rsidRPr="00391502" w:rsidRDefault="0009775B" w:rsidP="0009775B">
      <w:pPr>
        <w:pStyle w:val="ListParagraph"/>
        <w:ind w:left="0"/>
        <w:jc w:val="both"/>
      </w:pPr>
    </w:p>
    <w:p w:rsidR="0009775B" w:rsidRPr="00391502" w:rsidRDefault="0009775B" w:rsidP="0009775B">
      <w:pPr>
        <w:rPr>
          <w:rFonts w:ascii="Calibri" w:hAnsi="Calibri" w:cs="Arial"/>
          <w:b/>
          <w:color w:val="000000"/>
          <w:sz w:val="22"/>
          <w:szCs w:val="22"/>
        </w:rPr>
      </w:pPr>
      <w:r>
        <w:rPr>
          <w:rFonts w:ascii="Calibri" w:hAnsi="Calibri" w:cs="Arial"/>
          <w:b/>
          <w:color w:val="000000"/>
          <w:sz w:val="22"/>
          <w:szCs w:val="22"/>
        </w:rPr>
        <w:t>G</w:t>
      </w:r>
      <w:r w:rsidRPr="00391502">
        <w:rPr>
          <w:rFonts w:ascii="Calibri" w:hAnsi="Calibri" w:cs="Arial"/>
          <w:b/>
          <w:color w:val="000000"/>
          <w:sz w:val="22"/>
          <w:szCs w:val="22"/>
        </w:rPr>
        <w:t>eneral Information and assistance on accommodations and nondiscrimination</w:t>
      </w:r>
    </w:p>
    <w:p w:rsidR="0009775B" w:rsidRPr="00391502" w:rsidRDefault="0009775B" w:rsidP="0009775B">
      <w:pPr>
        <w:rPr>
          <w:rFonts w:ascii="Calibri" w:hAnsi="Calibri" w:cs="Arial"/>
          <w:color w:val="000000"/>
          <w:sz w:val="22"/>
          <w:szCs w:val="22"/>
        </w:rPr>
      </w:pPr>
    </w:p>
    <w:p w:rsidR="0009775B" w:rsidRPr="00391502" w:rsidRDefault="0009775B" w:rsidP="009258C6">
      <w:pPr>
        <w:numPr>
          <w:ilvl w:val="0"/>
          <w:numId w:val="31"/>
        </w:numPr>
        <w:ind w:left="360"/>
        <w:rPr>
          <w:rFonts w:ascii="Calibri" w:hAnsi="Calibri" w:cs="Arial"/>
          <w:b/>
          <w:color w:val="000000"/>
          <w:sz w:val="22"/>
          <w:szCs w:val="22"/>
        </w:rPr>
      </w:pPr>
      <w:r w:rsidRPr="00391502">
        <w:rPr>
          <w:rFonts w:ascii="Calibri" w:hAnsi="Calibri" w:cs="Arial"/>
          <w:b/>
          <w:color w:val="000000"/>
          <w:sz w:val="22"/>
          <w:szCs w:val="22"/>
        </w:rPr>
        <w:t>State ADA Accessibility Coordinator</w:t>
      </w:r>
    </w:p>
    <w:p w:rsidR="0009775B" w:rsidRPr="00391502" w:rsidRDefault="0009775B" w:rsidP="0009775B">
      <w:pPr>
        <w:ind w:firstLine="360"/>
        <w:rPr>
          <w:rFonts w:ascii="Calibri" w:hAnsi="Calibri" w:cs="Arial"/>
          <w:color w:val="000000"/>
          <w:sz w:val="22"/>
          <w:szCs w:val="22"/>
        </w:rPr>
      </w:pPr>
      <w:r w:rsidRPr="00391502">
        <w:rPr>
          <w:rFonts w:ascii="Calibri" w:hAnsi="Calibri" w:cs="Arial"/>
          <w:color w:val="000000"/>
          <w:sz w:val="22"/>
          <w:szCs w:val="22"/>
        </w:rPr>
        <w:t>Eric Dibner</w:t>
      </w:r>
    </w:p>
    <w:p w:rsidR="0009775B" w:rsidRPr="00391502" w:rsidRDefault="00CD548D" w:rsidP="0009775B">
      <w:pPr>
        <w:ind w:firstLine="360"/>
        <w:rPr>
          <w:rFonts w:ascii="Calibri" w:hAnsi="Calibri" w:cs="Arial"/>
          <w:color w:val="000000"/>
          <w:sz w:val="22"/>
          <w:szCs w:val="22"/>
        </w:rPr>
      </w:pPr>
      <w:hyperlink r:id="rId43" w:history="1">
        <w:r w:rsidR="0009775B" w:rsidRPr="00391502">
          <w:rPr>
            <w:rStyle w:val="Hyperlink"/>
            <w:rFonts w:ascii="Calibri" w:hAnsi="Calibri" w:cs="Arial"/>
            <w:sz w:val="22"/>
            <w:szCs w:val="22"/>
          </w:rPr>
          <w:t>Eric.dibner@maine.gov</w:t>
        </w:r>
      </w:hyperlink>
      <w:r w:rsidR="0009775B" w:rsidRPr="00391502">
        <w:rPr>
          <w:rFonts w:ascii="Calibri" w:hAnsi="Calibri" w:cs="Arial"/>
          <w:color w:val="000000"/>
          <w:sz w:val="22"/>
          <w:szCs w:val="22"/>
        </w:rPr>
        <w:t xml:space="preserve"> </w:t>
      </w:r>
    </w:p>
    <w:p w:rsidR="0009775B" w:rsidRDefault="0009775B" w:rsidP="0009775B">
      <w:pPr>
        <w:ind w:firstLine="360"/>
        <w:rPr>
          <w:rFonts w:ascii="Calibri" w:hAnsi="Calibri" w:cs="Arial"/>
          <w:color w:val="000000"/>
          <w:sz w:val="22"/>
          <w:szCs w:val="22"/>
        </w:rPr>
      </w:pPr>
      <w:r w:rsidRPr="00391502">
        <w:rPr>
          <w:rFonts w:ascii="Calibri" w:hAnsi="Calibri" w:cs="Arial"/>
          <w:color w:val="000000"/>
          <w:sz w:val="22"/>
          <w:szCs w:val="22"/>
        </w:rPr>
        <w:t>207-623-7950    TTY Users: Call Maine Relay 711</w:t>
      </w:r>
    </w:p>
    <w:p w:rsidR="0009775B" w:rsidRDefault="0009775B" w:rsidP="0009775B">
      <w:pPr>
        <w:ind w:firstLine="360"/>
        <w:rPr>
          <w:rFonts w:ascii="Calibri" w:hAnsi="Calibri" w:cs="Arial"/>
          <w:color w:val="000000"/>
          <w:sz w:val="22"/>
          <w:szCs w:val="22"/>
        </w:rPr>
      </w:pPr>
    </w:p>
    <w:p w:rsidR="0009775B" w:rsidRDefault="0009775B" w:rsidP="009258C6">
      <w:pPr>
        <w:pStyle w:val="ListParagraph"/>
        <w:numPr>
          <w:ilvl w:val="0"/>
          <w:numId w:val="29"/>
        </w:numPr>
        <w:rPr>
          <w:rFonts w:cs="Utsaah"/>
        </w:rPr>
      </w:pPr>
      <w:r w:rsidRPr="00E73876">
        <w:rPr>
          <w:rFonts w:cs="Utsaah"/>
          <w:b/>
        </w:rPr>
        <w:t>Maine Bureau of Rehabilitation Services Accessibility Guide</w:t>
      </w:r>
      <w:r w:rsidRPr="002B4FF6">
        <w:rPr>
          <w:rFonts w:cs="Utsaah"/>
        </w:rPr>
        <w:t xml:space="preserve"> </w:t>
      </w:r>
      <w:hyperlink r:id="rId44" w:history="1">
        <w:r w:rsidR="0008479B" w:rsidRPr="00883A32">
          <w:rPr>
            <w:rStyle w:val="Hyperlink"/>
            <w:rFonts w:cs="Utsaah"/>
          </w:rPr>
          <w:t>http://www.maine.gov/rehab/accessibility_guide</w:t>
        </w:r>
      </w:hyperlink>
    </w:p>
    <w:p w:rsidR="0009775B" w:rsidRPr="00391502" w:rsidRDefault="0009775B" w:rsidP="0009775B">
      <w:pPr>
        <w:rPr>
          <w:rFonts w:ascii="Calibri" w:hAnsi="Calibri" w:cs="Arial"/>
          <w:color w:val="000000"/>
          <w:sz w:val="22"/>
          <w:szCs w:val="22"/>
        </w:rPr>
      </w:pPr>
    </w:p>
    <w:p w:rsidR="0009775B" w:rsidRPr="00391502" w:rsidRDefault="0009775B" w:rsidP="009258C6">
      <w:pPr>
        <w:numPr>
          <w:ilvl w:val="0"/>
          <w:numId w:val="31"/>
        </w:numPr>
        <w:ind w:left="360"/>
        <w:rPr>
          <w:rFonts w:ascii="Calibri" w:hAnsi="Calibri" w:cs="Arial"/>
          <w:color w:val="000000"/>
          <w:sz w:val="22"/>
          <w:szCs w:val="22"/>
        </w:rPr>
      </w:pPr>
      <w:r w:rsidRPr="00391502">
        <w:rPr>
          <w:rFonts w:ascii="Calibri" w:hAnsi="Calibri" w:cs="Arial"/>
          <w:b/>
          <w:color w:val="000000"/>
          <w:sz w:val="22"/>
          <w:szCs w:val="22"/>
        </w:rPr>
        <w:t>Maine CITE</w:t>
      </w:r>
      <w:r w:rsidRPr="00391502">
        <w:rPr>
          <w:rFonts w:ascii="Calibri" w:hAnsi="Calibri" w:cs="Arial"/>
          <w:color w:val="000000"/>
          <w:sz w:val="22"/>
          <w:szCs w:val="22"/>
        </w:rPr>
        <w:t xml:space="preserve"> (assistive technology, resources, and training)</w:t>
      </w:r>
    </w:p>
    <w:p w:rsidR="0009775B" w:rsidRPr="00391502" w:rsidRDefault="00CD548D" w:rsidP="0009775B">
      <w:pPr>
        <w:ind w:firstLine="360"/>
        <w:rPr>
          <w:rFonts w:ascii="Calibri" w:hAnsi="Calibri" w:cs="Arial"/>
          <w:color w:val="000000"/>
          <w:sz w:val="22"/>
          <w:szCs w:val="22"/>
        </w:rPr>
      </w:pPr>
      <w:hyperlink r:id="rId45" w:history="1">
        <w:r w:rsidR="0009775B" w:rsidRPr="00391502">
          <w:rPr>
            <w:rStyle w:val="Hyperlink"/>
            <w:rFonts w:ascii="Calibri" w:hAnsi="Calibri" w:cs="Arial"/>
            <w:sz w:val="22"/>
            <w:szCs w:val="22"/>
          </w:rPr>
          <w:t>iweb@mainecite.org</w:t>
        </w:r>
      </w:hyperlink>
      <w:r w:rsidR="0009775B" w:rsidRPr="00391502">
        <w:rPr>
          <w:rFonts w:ascii="Calibri" w:hAnsi="Calibri" w:cs="Arial"/>
          <w:color w:val="000000"/>
          <w:sz w:val="22"/>
          <w:szCs w:val="22"/>
        </w:rPr>
        <w:t xml:space="preserve"> </w:t>
      </w:r>
    </w:p>
    <w:p w:rsidR="0009775B" w:rsidRPr="00391502" w:rsidRDefault="0009775B" w:rsidP="0009775B">
      <w:pPr>
        <w:ind w:firstLine="360"/>
        <w:rPr>
          <w:rFonts w:ascii="Calibri" w:hAnsi="Calibri" w:cs="Arial"/>
          <w:color w:val="000000"/>
          <w:sz w:val="22"/>
          <w:szCs w:val="22"/>
        </w:rPr>
      </w:pPr>
      <w:r w:rsidRPr="00391502">
        <w:rPr>
          <w:rFonts w:ascii="Calibri" w:hAnsi="Calibri" w:cs="Helvetica"/>
          <w:color w:val="303030"/>
          <w:sz w:val="22"/>
          <w:szCs w:val="22"/>
          <w:shd w:val="clear" w:color="auto" w:fill="FFFFFF"/>
        </w:rPr>
        <w:t>207-621-3195   TTY Users call Maine Relay 711</w:t>
      </w:r>
    </w:p>
    <w:p w:rsidR="0009775B" w:rsidRPr="00391502" w:rsidRDefault="00CD548D" w:rsidP="0009775B">
      <w:pPr>
        <w:ind w:firstLine="360"/>
        <w:rPr>
          <w:rFonts w:ascii="Calibri" w:hAnsi="Calibri" w:cs="Arial"/>
          <w:color w:val="000000"/>
          <w:sz w:val="22"/>
          <w:szCs w:val="22"/>
        </w:rPr>
      </w:pPr>
      <w:hyperlink r:id="rId46" w:history="1">
        <w:r w:rsidR="0009775B" w:rsidRPr="00391502">
          <w:rPr>
            <w:rStyle w:val="Hyperlink"/>
            <w:rFonts w:ascii="Calibri" w:hAnsi="Calibri" w:cs="Arial"/>
            <w:sz w:val="22"/>
            <w:szCs w:val="22"/>
          </w:rPr>
          <w:t>www.mainecite.org</w:t>
        </w:r>
      </w:hyperlink>
    </w:p>
    <w:p w:rsidR="0009775B" w:rsidRPr="00391502" w:rsidRDefault="0009775B" w:rsidP="0009775B">
      <w:pPr>
        <w:rPr>
          <w:rFonts w:ascii="Calibri" w:hAnsi="Calibri" w:cs="Arial"/>
          <w:color w:val="000000"/>
          <w:sz w:val="22"/>
          <w:szCs w:val="22"/>
        </w:rPr>
      </w:pPr>
    </w:p>
    <w:p w:rsidR="0009775B" w:rsidRPr="00391502" w:rsidRDefault="0009775B" w:rsidP="009258C6">
      <w:pPr>
        <w:numPr>
          <w:ilvl w:val="0"/>
          <w:numId w:val="31"/>
        </w:numPr>
        <w:ind w:left="360"/>
        <w:rPr>
          <w:rFonts w:ascii="Calibri" w:hAnsi="Calibri" w:cs="Arial"/>
          <w:color w:val="000000"/>
          <w:sz w:val="22"/>
          <w:szCs w:val="22"/>
        </w:rPr>
      </w:pPr>
      <w:r w:rsidRPr="00391502">
        <w:rPr>
          <w:rFonts w:ascii="Calibri" w:hAnsi="Calibri" w:cs="Arial"/>
          <w:b/>
          <w:color w:val="000000"/>
          <w:sz w:val="22"/>
          <w:szCs w:val="22"/>
        </w:rPr>
        <w:t>AlphaOne</w:t>
      </w:r>
      <w:r w:rsidRPr="00391502">
        <w:rPr>
          <w:rFonts w:ascii="Calibri" w:hAnsi="Calibri" w:cs="Arial"/>
          <w:color w:val="000000"/>
          <w:sz w:val="22"/>
          <w:szCs w:val="22"/>
        </w:rPr>
        <w:t xml:space="preserve"> (resources for independent living)</w:t>
      </w:r>
    </w:p>
    <w:p w:rsidR="0009775B" w:rsidRPr="00391502" w:rsidRDefault="00CD548D" w:rsidP="0009775B">
      <w:pPr>
        <w:ind w:firstLine="360"/>
        <w:rPr>
          <w:rFonts w:ascii="Calibri" w:hAnsi="Calibri" w:cs="Arial"/>
          <w:color w:val="000000"/>
          <w:sz w:val="22"/>
          <w:szCs w:val="22"/>
        </w:rPr>
      </w:pPr>
      <w:hyperlink r:id="rId47" w:history="1">
        <w:r w:rsidR="0009775B" w:rsidRPr="00391502">
          <w:rPr>
            <w:rStyle w:val="Hyperlink"/>
            <w:rFonts w:ascii="Calibri" w:hAnsi="Calibri" w:cs="Arial"/>
            <w:sz w:val="22"/>
            <w:szCs w:val="22"/>
          </w:rPr>
          <w:t>http://www.alphaonenow.com/</w:t>
        </w:r>
      </w:hyperlink>
      <w:r w:rsidR="0009775B" w:rsidRPr="00391502">
        <w:rPr>
          <w:rFonts w:ascii="Calibri" w:hAnsi="Calibri" w:cs="Arial"/>
          <w:color w:val="000000"/>
          <w:sz w:val="22"/>
          <w:szCs w:val="22"/>
        </w:rPr>
        <w:t xml:space="preserve"> </w:t>
      </w:r>
    </w:p>
    <w:p w:rsidR="0009775B" w:rsidRPr="00391502" w:rsidRDefault="0009775B" w:rsidP="0009775B">
      <w:pPr>
        <w:ind w:firstLine="360"/>
        <w:rPr>
          <w:rFonts w:ascii="Calibri" w:hAnsi="Calibri" w:cs="Arial"/>
          <w:color w:val="000000"/>
          <w:sz w:val="22"/>
          <w:szCs w:val="22"/>
        </w:rPr>
      </w:pPr>
      <w:r w:rsidRPr="00391502">
        <w:rPr>
          <w:rFonts w:ascii="Calibri" w:hAnsi="Calibri" w:cs="Arial"/>
          <w:color w:val="000000"/>
          <w:sz w:val="22"/>
          <w:szCs w:val="22"/>
        </w:rPr>
        <w:t>Portland: 800-640-7200</w:t>
      </w:r>
    </w:p>
    <w:p w:rsidR="0009775B" w:rsidRPr="00391502" w:rsidRDefault="0009775B" w:rsidP="0009775B">
      <w:pPr>
        <w:ind w:firstLine="360"/>
        <w:rPr>
          <w:rFonts w:ascii="Calibri" w:hAnsi="Calibri" w:cs="Arial"/>
          <w:color w:val="000000"/>
          <w:sz w:val="22"/>
          <w:szCs w:val="22"/>
        </w:rPr>
      </w:pPr>
      <w:r w:rsidRPr="00391502">
        <w:rPr>
          <w:rFonts w:ascii="Calibri" w:hAnsi="Calibri" w:cs="Arial"/>
          <w:color w:val="000000"/>
          <w:sz w:val="22"/>
          <w:szCs w:val="22"/>
        </w:rPr>
        <w:t xml:space="preserve">Bangor: 800-300-6016 </w:t>
      </w:r>
    </w:p>
    <w:p w:rsidR="0009775B" w:rsidRPr="00391502" w:rsidRDefault="0009775B" w:rsidP="0009775B">
      <w:pPr>
        <w:ind w:firstLine="360"/>
        <w:rPr>
          <w:rFonts w:ascii="Calibri" w:hAnsi="Calibri" w:cs="Arial"/>
          <w:color w:val="000000"/>
          <w:sz w:val="22"/>
          <w:szCs w:val="22"/>
        </w:rPr>
      </w:pPr>
      <w:r w:rsidRPr="00391502">
        <w:rPr>
          <w:rFonts w:ascii="Calibri" w:hAnsi="Calibri" w:cs="Arial"/>
          <w:color w:val="000000"/>
          <w:sz w:val="22"/>
          <w:szCs w:val="22"/>
        </w:rPr>
        <w:t>Presque Isle: 800-974-6466</w:t>
      </w:r>
    </w:p>
    <w:p w:rsidR="00B37F03" w:rsidRPr="00391502" w:rsidRDefault="00B37F03" w:rsidP="0009775B">
      <w:pPr>
        <w:rPr>
          <w:rFonts w:ascii="Calibri" w:hAnsi="Calibri" w:cs="Arial"/>
          <w:color w:val="000000"/>
          <w:sz w:val="22"/>
          <w:szCs w:val="22"/>
        </w:rPr>
      </w:pPr>
    </w:p>
    <w:p w:rsidR="0009775B" w:rsidRPr="00391502" w:rsidRDefault="0009775B" w:rsidP="009258C6">
      <w:pPr>
        <w:numPr>
          <w:ilvl w:val="0"/>
          <w:numId w:val="31"/>
        </w:numPr>
        <w:ind w:left="360"/>
        <w:rPr>
          <w:rFonts w:ascii="Calibri" w:hAnsi="Calibri" w:cs="Arial"/>
          <w:color w:val="000000"/>
          <w:sz w:val="22"/>
          <w:szCs w:val="22"/>
        </w:rPr>
      </w:pPr>
      <w:r w:rsidRPr="00391502">
        <w:rPr>
          <w:rFonts w:ascii="Calibri" w:hAnsi="Calibri" w:cs="Arial"/>
          <w:b/>
          <w:color w:val="000000"/>
          <w:sz w:val="22"/>
          <w:szCs w:val="22"/>
        </w:rPr>
        <w:t>Disability Rights Maine</w:t>
      </w:r>
      <w:r w:rsidRPr="00391502">
        <w:rPr>
          <w:rFonts w:ascii="Calibri" w:hAnsi="Calibri" w:cs="Arial"/>
          <w:color w:val="000000"/>
          <w:sz w:val="22"/>
          <w:szCs w:val="22"/>
        </w:rPr>
        <w:t xml:space="preserve"> (information, referrals, advocacy, legal representation, education and training)</w:t>
      </w:r>
    </w:p>
    <w:p w:rsidR="0009775B" w:rsidRPr="00391502" w:rsidRDefault="0009775B" w:rsidP="0009775B">
      <w:pPr>
        <w:ind w:firstLine="360"/>
        <w:rPr>
          <w:rFonts w:ascii="Calibri" w:hAnsi="Calibri" w:cs="Arial"/>
          <w:color w:val="000000"/>
          <w:sz w:val="22"/>
          <w:szCs w:val="22"/>
        </w:rPr>
      </w:pPr>
      <w:r w:rsidRPr="00391502">
        <w:rPr>
          <w:rFonts w:ascii="Calibri" w:hAnsi="Calibri" w:cs="Arial"/>
          <w:color w:val="000000"/>
          <w:sz w:val="22"/>
          <w:szCs w:val="22"/>
        </w:rPr>
        <w:t>advocate@drme.org</w:t>
      </w:r>
    </w:p>
    <w:p w:rsidR="0009775B" w:rsidRPr="00391502" w:rsidRDefault="0009775B" w:rsidP="0009775B">
      <w:pPr>
        <w:ind w:left="360"/>
        <w:rPr>
          <w:rFonts w:ascii="Calibri" w:hAnsi="Calibri" w:cs="Arial"/>
          <w:color w:val="000000"/>
          <w:sz w:val="22"/>
          <w:szCs w:val="22"/>
        </w:rPr>
      </w:pPr>
      <w:r w:rsidRPr="00391502">
        <w:rPr>
          <w:rFonts w:ascii="Calibri" w:hAnsi="Calibri" w:cs="Arial"/>
          <w:color w:val="000000"/>
          <w:sz w:val="22"/>
          <w:szCs w:val="22"/>
        </w:rPr>
        <w:t>800-452-1948 (V/TTY)</w:t>
      </w:r>
    </w:p>
    <w:p w:rsidR="0009775B" w:rsidRPr="00391502" w:rsidRDefault="00CD548D" w:rsidP="0009775B">
      <w:pPr>
        <w:ind w:left="360"/>
        <w:rPr>
          <w:rFonts w:ascii="Calibri" w:hAnsi="Calibri" w:cs="Arial"/>
          <w:color w:val="000000"/>
          <w:sz w:val="22"/>
          <w:szCs w:val="22"/>
        </w:rPr>
      </w:pPr>
      <w:hyperlink r:id="rId48" w:history="1">
        <w:r w:rsidR="0009775B" w:rsidRPr="00391502">
          <w:rPr>
            <w:rStyle w:val="Hyperlink"/>
            <w:rFonts w:ascii="Calibri" w:hAnsi="Calibri" w:cs="Arial"/>
            <w:sz w:val="22"/>
            <w:szCs w:val="22"/>
          </w:rPr>
          <w:t>http://www.drme.org/</w:t>
        </w:r>
      </w:hyperlink>
      <w:r w:rsidR="0009775B" w:rsidRPr="00391502">
        <w:rPr>
          <w:rFonts w:ascii="Calibri" w:hAnsi="Calibri" w:cs="Arial"/>
          <w:color w:val="000000"/>
          <w:sz w:val="22"/>
          <w:szCs w:val="22"/>
        </w:rPr>
        <w:t xml:space="preserve"> </w:t>
      </w:r>
    </w:p>
    <w:p w:rsidR="0009775B" w:rsidRPr="00391502" w:rsidRDefault="005310A1" w:rsidP="0009775B">
      <w:pPr>
        <w:ind w:left="360"/>
        <w:rPr>
          <w:rFonts w:ascii="Calibri" w:hAnsi="Calibri" w:cs="Arial"/>
          <w:color w:val="000000"/>
          <w:sz w:val="22"/>
          <w:szCs w:val="22"/>
        </w:rPr>
      </w:pPr>
      <w:r>
        <w:rPr>
          <w:rFonts w:ascii="Calibri" w:hAnsi="Calibri" w:cs="Arial"/>
          <w:color w:val="000000"/>
          <w:sz w:val="22"/>
          <w:szCs w:val="22"/>
        </w:rPr>
        <w:lastRenderedPageBreak/>
        <w:t xml:space="preserve">Disability Rights Maine </w:t>
      </w:r>
      <w:r w:rsidR="0009775B" w:rsidRPr="00D41CCB">
        <w:rPr>
          <w:rFonts w:ascii="Calibri" w:hAnsi="Calibri" w:cs="Arial"/>
          <w:color w:val="000000"/>
          <w:sz w:val="22"/>
          <w:szCs w:val="22"/>
        </w:rPr>
        <w:t>Deaf Services</w:t>
      </w:r>
      <w:r w:rsidR="0009775B" w:rsidRPr="00391502">
        <w:rPr>
          <w:rFonts w:ascii="Calibri" w:hAnsi="Calibri" w:cs="Arial"/>
          <w:color w:val="000000"/>
          <w:sz w:val="22"/>
          <w:szCs w:val="22"/>
        </w:rPr>
        <w:t>:</w:t>
      </w:r>
    </w:p>
    <w:p w:rsidR="0009775B" w:rsidRPr="00391502" w:rsidRDefault="00CD548D" w:rsidP="0009775B">
      <w:pPr>
        <w:ind w:left="360"/>
        <w:rPr>
          <w:rFonts w:ascii="Calibri" w:hAnsi="Calibri" w:cs="Arial"/>
          <w:color w:val="000000"/>
          <w:sz w:val="22"/>
          <w:szCs w:val="22"/>
        </w:rPr>
      </w:pPr>
      <w:hyperlink r:id="rId49" w:history="1">
        <w:r w:rsidR="0009775B" w:rsidRPr="00391502">
          <w:rPr>
            <w:rStyle w:val="Hyperlink"/>
            <w:rFonts w:ascii="Calibri" w:hAnsi="Calibri" w:cs="Arial"/>
            <w:sz w:val="22"/>
            <w:szCs w:val="22"/>
          </w:rPr>
          <w:t>deafservices@drme.org</w:t>
        </w:r>
      </w:hyperlink>
      <w:r w:rsidR="0009775B" w:rsidRPr="00391502">
        <w:rPr>
          <w:rFonts w:ascii="Calibri" w:hAnsi="Calibri" w:cs="Arial"/>
          <w:color w:val="000000"/>
          <w:sz w:val="22"/>
          <w:szCs w:val="22"/>
        </w:rPr>
        <w:t xml:space="preserve"> </w:t>
      </w:r>
    </w:p>
    <w:p w:rsidR="0009775B" w:rsidRPr="00391502" w:rsidRDefault="0009775B" w:rsidP="0009775B">
      <w:pPr>
        <w:ind w:left="360"/>
        <w:rPr>
          <w:rFonts w:ascii="Calibri" w:hAnsi="Calibri" w:cs="Arial"/>
          <w:color w:val="000000"/>
          <w:sz w:val="22"/>
          <w:szCs w:val="22"/>
        </w:rPr>
      </w:pPr>
      <w:r w:rsidRPr="00391502">
        <w:rPr>
          <w:rFonts w:ascii="Calibri" w:hAnsi="Calibri" w:cs="Arial"/>
          <w:color w:val="000000"/>
          <w:sz w:val="22"/>
          <w:szCs w:val="22"/>
        </w:rPr>
        <w:t>800-639-3884 (V/TTY)</w:t>
      </w:r>
    </w:p>
    <w:p w:rsidR="0009775B" w:rsidRPr="00391502" w:rsidRDefault="0009775B" w:rsidP="0009775B">
      <w:pPr>
        <w:ind w:left="360"/>
        <w:rPr>
          <w:rFonts w:ascii="Calibri" w:hAnsi="Calibri" w:cs="Arial"/>
          <w:color w:val="000000"/>
          <w:sz w:val="22"/>
          <w:szCs w:val="22"/>
        </w:rPr>
      </w:pPr>
      <w:r w:rsidRPr="00391502">
        <w:rPr>
          <w:rFonts w:ascii="Calibri" w:hAnsi="Calibri" w:cs="Arial"/>
          <w:color w:val="000000"/>
          <w:sz w:val="22"/>
          <w:szCs w:val="22"/>
        </w:rPr>
        <w:t>207-766-7111 (VP)</w:t>
      </w:r>
    </w:p>
    <w:p w:rsidR="0009775B" w:rsidRPr="00391502" w:rsidRDefault="0009775B" w:rsidP="0009775B">
      <w:pPr>
        <w:rPr>
          <w:rFonts w:ascii="Calibri" w:hAnsi="Calibri" w:cs="Arial"/>
          <w:b/>
          <w:sz w:val="22"/>
          <w:szCs w:val="22"/>
        </w:rPr>
      </w:pPr>
    </w:p>
    <w:p w:rsidR="0009775B" w:rsidRPr="00391502" w:rsidRDefault="0009775B" w:rsidP="009258C6">
      <w:pPr>
        <w:numPr>
          <w:ilvl w:val="0"/>
          <w:numId w:val="31"/>
        </w:numPr>
        <w:ind w:left="360"/>
        <w:rPr>
          <w:rFonts w:ascii="Calibri" w:hAnsi="Calibri" w:cs="Arial"/>
          <w:sz w:val="22"/>
          <w:szCs w:val="22"/>
        </w:rPr>
      </w:pPr>
      <w:r w:rsidRPr="00391502">
        <w:rPr>
          <w:rFonts w:ascii="Calibri" w:hAnsi="Calibri" w:cs="Arial"/>
          <w:b/>
          <w:sz w:val="22"/>
          <w:szCs w:val="22"/>
        </w:rPr>
        <w:t xml:space="preserve">Maine Human Rights Commission </w:t>
      </w:r>
      <w:r w:rsidRPr="00391502">
        <w:rPr>
          <w:rFonts w:ascii="Calibri" w:hAnsi="Calibri" w:cs="Arial"/>
          <w:sz w:val="22"/>
          <w:szCs w:val="22"/>
        </w:rPr>
        <w:t>(handles discrimination complaints under the Maine Human Rights Act)</w:t>
      </w:r>
    </w:p>
    <w:p w:rsidR="0009775B" w:rsidRPr="00391502" w:rsidRDefault="0009775B" w:rsidP="0009775B">
      <w:pPr>
        <w:ind w:left="360"/>
        <w:rPr>
          <w:rFonts w:ascii="Calibri" w:hAnsi="Calibri" w:cs="Arial"/>
          <w:sz w:val="22"/>
          <w:szCs w:val="22"/>
        </w:rPr>
      </w:pPr>
      <w:r w:rsidRPr="00391502">
        <w:rPr>
          <w:rFonts w:ascii="Calibri" w:hAnsi="Calibri" w:cs="Arial"/>
          <w:sz w:val="22"/>
          <w:szCs w:val="22"/>
        </w:rPr>
        <w:t>207-624-6290  Maine Relay 711</w:t>
      </w:r>
    </w:p>
    <w:p w:rsidR="0009775B" w:rsidRPr="00391502" w:rsidRDefault="00CD548D" w:rsidP="0009775B">
      <w:pPr>
        <w:ind w:firstLine="360"/>
        <w:rPr>
          <w:rFonts w:ascii="Calibri" w:hAnsi="Calibri" w:cs="Arial"/>
          <w:sz w:val="22"/>
          <w:szCs w:val="22"/>
        </w:rPr>
      </w:pPr>
      <w:hyperlink r:id="rId50" w:history="1">
        <w:r w:rsidR="0009775B" w:rsidRPr="00391502">
          <w:rPr>
            <w:rStyle w:val="Hyperlink"/>
            <w:rFonts w:ascii="Calibri" w:hAnsi="Calibri" w:cs="Arial"/>
            <w:sz w:val="22"/>
            <w:szCs w:val="22"/>
          </w:rPr>
          <w:t>http://www.maine.gov/mhrc/</w:t>
        </w:r>
      </w:hyperlink>
    </w:p>
    <w:p w:rsidR="0009775B" w:rsidRPr="00391502" w:rsidRDefault="0009775B" w:rsidP="0009775B">
      <w:pPr>
        <w:rPr>
          <w:rFonts w:ascii="Calibri" w:hAnsi="Calibri" w:cs="Arial"/>
          <w:color w:val="000000"/>
          <w:sz w:val="22"/>
          <w:szCs w:val="22"/>
        </w:rPr>
      </w:pPr>
    </w:p>
    <w:p w:rsidR="0009775B" w:rsidRPr="00391502" w:rsidRDefault="0009775B" w:rsidP="009258C6">
      <w:pPr>
        <w:numPr>
          <w:ilvl w:val="0"/>
          <w:numId w:val="31"/>
        </w:numPr>
        <w:ind w:left="360"/>
        <w:rPr>
          <w:rFonts w:ascii="Calibri" w:hAnsi="Calibri" w:cs="Arial"/>
          <w:b/>
          <w:color w:val="000000"/>
          <w:sz w:val="22"/>
          <w:szCs w:val="22"/>
        </w:rPr>
      </w:pPr>
      <w:r w:rsidRPr="00391502">
        <w:rPr>
          <w:rFonts w:ascii="Calibri" w:hAnsi="Calibri" w:cs="Arial"/>
          <w:b/>
          <w:color w:val="000000"/>
          <w:sz w:val="22"/>
          <w:szCs w:val="22"/>
        </w:rPr>
        <w:t>Job Accommodations Network</w:t>
      </w:r>
      <w:r w:rsidRPr="00391502">
        <w:rPr>
          <w:rFonts w:ascii="Calibri" w:hAnsi="Calibri" w:cs="Arial"/>
          <w:color w:val="000000"/>
          <w:sz w:val="22"/>
          <w:szCs w:val="22"/>
        </w:rPr>
        <w:t xml:space="preserve"> (database of accommodations, includes assistance by phone, email, and live chat. Focuses on workplace accommodations</w:t>
      </w:r>
      <w:r>
        <w:rPr>
          <w:rFonts w:ascii="Calibri" w:hAnsi="Calibri" w:cs="Arial"/>
          <w:color w:val="000000"/>
          <w:sz w:val="22"/>
          <w:szCs w:val="22"/>
        </w:rPr>
        <w:t>, and provides useful guidance for accommodations in general</w:t>
      </w:r>
      <w:r w:rsidRPr="00391502">
        <w:rPr>
          <w:rFonts w:ascii="Calibri" w:hAnsi="Calibri" w:cs="Arial"/>
          <w:color w:val="000000"/>
          <w:sz w:val="22"/>
          <w:szCs w:val="22"/>
        </w:rPr>
        <w:t>)</w:t>
      </w:r>
    </w:p>
    <w:p w:rsidR="0009775B" w:rsidRPr="00391502" w:rsidRDefault="0009775B" w:rsidP="0009775B">
      <w:pPr>
        <w:ind w:firstLine="360"/>
        <w:rPr>
          <w:rFonts w:ascii="Calibri" w:hAnsi="Calibri" w:cs="Arial"/>
          <w:color w:val="000000"/>
          <w:sz w:val="22"/>
          <w:szCs w:val="22"/>
        </w:rPr>
      </w:pPr>
      <w:r w:rsidRPr="00391502">
        <w:rPr>
          <w:rFonts w:ascii="Calibri" w:hAnsi="Calibri" w:cs="Arial"/>
          <w:color w:val="000000"/>
          <w:sz w:val="22"/>
          <w:szCs w:val="22"/>
        </w:rPr>
        <w:t>800-526-7234   TTY: 877-781-9403</w:t>
      </w:r>
    </w:p>
    <w:p w:rsidR="0009775B" w:rsidRDefault="00CD548D" w:rsidP="0009775B">
      <w:pPr>
        <w:tabs>
          <w:tab w:val="left" w:pos="3600"/>
        </w:tabs>
        <w:ind w:left="360"/>
        <w:rPr>
          <w:rFonts w:ascii="Calibri" w:hAnsi="Calibri" w:cs="Arial"/>
          <w:color w:val="000000"/>
          <w:sz w:val="22"/>
          <w:szCs w:val="22"/>
        </w:rPr>
      </w:pPr>
      <w:hyperlink r:id="rId51" w:history="1">
        <w:r w:rsidR="0009775B" w:rsidRPr="00391502">
          <w:rPr>
            <w:rStyle w:val="Hyperlink"/>
            <w:rFonts w:ascii="Calibri" w:hAnsi="Calibri" w:cs="Arial"/>
            <w:sz w:val="22"/>
            <w:szCs w:val="22"/>
          </w:rPr>
          <w:t>https://askjan.org/index.html</w:t>
        </w:r>
      </w:hyperlink>
    </w:p>
    <w:p w:rsidR="0009775B" w:rsidRDefault="0009775B" w:rsidP="0009775B">
      <w:pPr>
        <w:tabs>
          <w:tab w:val="left" w:pos="3600"/>
        </w:tabs>
        <w:ind w:left="360"/>
        <w:rPr>
          <w:rFonts w:ascii="Calibri" w:hAnsi="Calibri" w:cs="Arial"/>
          <w:color w:val="000000"/>
          <w:sz w:val="22"/>
          <w:szCs w:val="22"/>
        </w:rPr>
      </w:pPr>
    </w:p>
    <w:p w:rsidR="0009775B" w:rsidRDefault="0009775B" w:rsidP="009258C6">
      <w:pPr>
        <w:numPr>
          <w:ilvl w:val="0"/>
          <w:numId w:val="31"/>
        </w:numPr>
        <w:tabs>
          <w:tab w:val="left" w:pos="360"/>
        </w:tabs>
        <w:ind w:hanging="720"/>
        <w:rPr>
          <w:rFonts w:ascii="Calibri" w:hAnsi="Calibri" w:cs="Arial"/>
          <w:color w:val="000000"/>
          <w:sz w:val="22"/>
          <w:szCs w:val="22"/>
        </w:rPr>
      </w:pPr>
      <w:r w:rsidRPr="00F87A0F">
        <w:rPr>
          <w:rFonts w:ascii="Calibri" w:hAnsi="Calibri" w:cs="Arial"/>
          <w:b/>
          <w:color w:val="000000"/>
          <w:sz w:val="22"/>
          <w:szCs w:val="22"/>
        </w:rPr>
        <w:t>ADA information</w:t>
      </w:r>
      <w:r>
        <w:rPr>
          <w:rFonts w:ascii="Calibri" w:hAnsi="Calibri" w:cs="Arial"/>
          <w:color w:val="000000"/>
          <w:sz w:val="22"/>
          <w:szCs w:val="22"/>
        </w:rPr>
        <w:t xml:space="preserve">   </w:t>
      </w:r>
      <w:hyperlink r:id="rId52" w:history="1">
        <w:r w:rsidRPr="00726056">
          <w:rPr>
            <w:rStyle w:val="Hyperlink"/>
            <w:rFonts w:ascii="Calibri" w:hAnsi="Calibri" w:cs="Arial"/>
            <w:sz w:val="22"/>
            <w:szCs w:val="22"/>
          </w:rPr>
          <w:t>www.ada.gov</w:t>
        </w:r>
      </w:hyperlink>
      <w:r>
        <w:rPr>
          <w:rFonts w:ascii="Calibri" w:hAnsi="Calibri" w:cs="Arial"/>
          <w:color w:val="000000"/>
          <w:sz w:val="22"/>
          <w:szCs w:val="22"/>
        </w:rPr>
        <w:t xml:space="preserve"> </w:t>
      </w:r>
    </w:p>
    <w:p w:rsidR="0009775B" w:rsidRDefault="0009775B" w:rsidP="0009775B">
      <w:pPr>
        <w:tabs>
          <w:tab w:val="left" w:pos="3600"/>
        </w:tabs>
        <w:ind w:left="360"/>
        <w:rPr>
          <w:rFonts w:ascii="Calibri" w:hAnsi="Calibri" w:cs="Arial"/>
          <w:color w:val="000000"/>
          <w:sz w:val="22"/>
          <w:szCs w:val="22"/>
        </w:rPr>
      </w:pPr>
    </w:p>
    <w:p w:rsidR="0009775B" w:rsidRPr="00E217EB" w:rsidRDefault="0009775B" w:rsidP="009258C6">
      <w:pPr>
        <w:pStyle w:val="ListParagraph"/>
        <w:numPr>
          <w:ilvl w:val="0"/>
          <w:numId w:val="33"/>
        </w:numPr>
        <w:rPr>
          <w:rFonts w:cs="Utsaah"/>
          <w:sz w:val="20"/>
          <w:szCs w:val="20"/>
        </w:rPr>
      </w:pPr>
      <w:r w:rsidRPr="007277C2">
        <w:rPr>
          <w:rFonts w:cs="Arial"/>
          <w:b/>
          <w:color w:val="000000"/>
        </w:rPr>
        <w:t>ADA Technical Assistance National Network</w:t>
      </w:r>
      <w:r>
        <w:rPr>
          <w:rFonts w:cs="Utsaah"/>
          <w:sz w:val="20"/>
          <w:szCs w:val="20"/>
        </w:rPr>
        <w:t xml:space="preserve">  </w:t>
      </w:r>
      <w:hyperlink r:id="rId53" w:history="1">
        <w:r w:rsidRPr="00614A99">
          <w:rPr>
            <w:rStyle w:val="Hyperlink"/>
            <w:rFonts w:cs="Utsaah"/>
            <w:sz w:val="20"/>
            <w:szCs w:val="20"/>
          </w:rPr>
          <w:t>https://adata.org/</w:t>
        </w:r>
      </w:hyperlink>
      <w:r>
        <w:rPr>
          <w:rFonts w:cs="Utsaah"/>
          <w:sz w:val="20"/>
          <w:szCs w:val="20"/>
        </w:rPr>
        <w:t xml:space="preserve"> </w:t>
      </w:r>
    </w:p>
    <w:p w:rsidR="0009775B" w:rsidRPr="00D975AE" w:rsidRDefault="0009775B" w:rsidP="0009775B">
      <w:pPr>
        <w:ind w:left="360"/>
        <w:rPr>
          <w:rFonts w:ascii="Calibri" w:hAnsi="Calibri" w:cs="Arial"/>
          <w:b/>
          <w:color w:val="000000"/>
        </w:rPr>
      </w:pPr>
    </w:p>
    <w:p w:rsidR="0009775B" w:rsidRPr="00ED39BC" w:rsidRDefault="0009775B" w:rsidP="0009775B">
      <w:pPr>
        <w:rPr>
          <w:rFonts w:ascii="Calibri" w:hAnsi="Calibri" w:cs="Arial"/>
          <w:b/>
          <w:color w:val="000000"/>
          <w:sz w:val="22"/>
          <w:szCs w:val="22"/>
        </w:rPr>
      </w:pPr>
      <w:r w:rsidRPr="00ED39BC">
        <w:rPr>
          <w:rFonts w:ascii="Calibri" w:hAnsi="Calibri" w:cs="Arial"/>
          <w:b/>
          <w:color w:val="000000"/>
          <w:sz w:val="22"/>
          <w:szCs w:val="22"/>
        </w:rPr>
        <w:t>Disability Awareness, Etiquette, Hidden Disabilities</w:t>
      </w:r>
    </w:p>
    <w:p w:rsidR="0009775B" w:rsidRPr="00B37F03" w:rsidRDefault="0009775B" w:rsidP="0009775B">
      <w:pPr>
        <w:rPr>
          <w:rFonts w:ascii="Calibri" w:hAnsi="Calibri"/>
          <w:b/>
          <w:sz w:val="22"/>
          <w:szCs w:val="22"/>
        </w:rPr>
      </w:pPr>
    </w:p>
    <w:p w:rsidR="0009775B" w:rsidRPr="006A11ED" w:rsidRDefault="00CD548D" w:rsidP="009258C6">
      <w:pPr>
        <w:pStyle w:val="ListParagraph"/>
        <w:numPr>
          <w:ilvl w:val="0"/>
          <w:numId w:val="33"/>
        </w:numPr>
        <w:rPr>
          <w:rFonts w:cs="Utsaah"/>
          <w:i/>
        </w:rPr>
      </w:pPr>
      <w:hyperlink r:id="rId54" w:history="1">
        <w:r w:rsidR="0009775B" w:rsidRPr="006F77C8">
          <w:rPr>
            <w:rStyle w:val="Hyperlink"/>
            <w:rFonts w:cs="Utsaah"/>
          </w:rPr>
          <w:t>Disability Etiquette</w:t>
        </w:r>
      </w:hyperlink>
      <w:r w:rsidR="0009775B" w:rsidRPr="00B37F03">
        <w:rPr>
          <w:rFonts w:cs="Utsaah"/>
        </w:rPr>
        <w:t xml:space="preserve"> downloadable, free of charge: </w:t>
      </w:r>
      <w:hyperlink r:id="rId55" w:history="1">
        <w:r w:rsidR="0009775B" w:rsidRPr="00B37F03">
          <w:rPr>
            <w:rStyle w:val="Hyperlink"/>
            <w:rFonts w:cs="Utsaah"/>
          </w:rPr>
          <w:t>https://www.unitedspinal.org/disability-etiquette/</w:t>
        </w:r>
      </w:hyperlink>
      <w:r w:rsidR="00B37F03">
        <w:rPr>
          <w:rFonts w:cs="Utsaah"/>
        </w:rPr>
        <w:t xml:space="preserve">  This website includes an version that is screen reader accessible </w:t>
      </w:r>
    </w:p>
    <w:p w:rsidR="006A11ED" w:rsidRDefault="00CD548D" w:rsidP="006A11ED">
      <w:pPr>
        <w:pStyle w:val="ListParagraph"/>
        <w:numPr>
          <w:ilvl w:val="0"/>
          <w:numId w:val="33"/>
        </w:numPr>
        <w:spacing w:before="100" w:beforeAutospacing="1" w:after="100" w:afterAutospacing="1"/>
      </w:pPr>
      <w:hyperlink r:id="rId56" w:history="1">
        <w:r w:rsidR="006A11ED">
          <w:rPr>
            <w:rStyle w:val="Hyperlink"/>
          </w:rPr>
          <w:t>Watch Your Language</w:t>
        </w:r>
      </w:hyperlink>
      <w:r w:rsidR="006A11ED">
        <w:t xml:space="preserve"> from National Center on Workforce and Disability</w:t>
      </w:r>
    </w:p>
    <w:p w:rsidR="0009775B" w:rsidRPr="00B37F03" w:rsidRDefault="0009775B" w:rsidP="009258C6">
      <w:pPr>
        <w:pStyle w:val="ListParagraph"/>
        <w:numPr>
          <w:ilvl w:val="0"/>
          <w:numId w:val="33"/>
        </w:numPr>
        <w:tabs>
          <w:tab w:val="left" w:pos="360"/>
        </w:tabs>
        <w:rPr>
          <w:rFonts w:cs="Utsaah"/>
        </w:rPr>
      </w:pPr>
      <w:r w:rsidRPr="00B37F03">
        <w:rPr>
          <w:rFonts w:cs="Utsaah"/>
          <w:i/>
        </w:rPr>
        <w:t xml:space="preserve">Basic Etiquette: People with Mental Illness  </w:t>
      </w:r>
      <w:r w:rsidRPr="00B37F03">
        <w:rPr>
          <w:rFonts w:cs="Utsaah"/>
        </w:rPr>
        <w:t>http://www.onestops.info/article.php?article_id=38</w:t>
      </w:r>
    </w:p>
    <w:p w:rsidR="0009775B" w:rsidRPr="00B37F03" w:rsidRDefault="0009775B" w:rsidP="009258C6">
      <w:pPr>
        <w:pStyle w:val="ListParagraph"/>
        <w:numPr>
          <w:ilvl w:val="0"/>
          <w:numId w:val="33"/>
        </w:numPr>
        <w:rPr>
          <w:rFonts w:cs="Utsaah"/>
          <w:i/>
        </w:rPr>
      </w:pPr>
      <w:r w:rsidRPr="00B37F03">
        <w:rPr>
          <w:rFonts w:cs="Utsaah"/>
          <w:i/>
        </w:rPr>
        <w:t xml:space="preserve">Hidden Disabilities Quick  Reference Guide </w:t>
      </w:r>
    </w:p>
    <w:p w:rsidR="0009775B" w:rsidRPr="00B37F03" w:rsidRDefault="0009775B" w:rsidP="0009775B">
      <w:pPr>
        <w:pStyle w:val="ListParagraph"/>
        <w:ind w:left="360"/>
        <w:rPr>
          <w:rFonts w:cs="Utsaah"/>
        </w:rPr>
      </w:pPr>
      <w:r w:rsidRPr="00B37F03">
        <w:rPr>
          <w:rFonts w:cs="Utsaah"/>
        </w:rPr>
        <w:t xml:space="preserve">PDF  </w:t>
      </w:r>
      <w:hyperlink r:id="rId57" w:history="1">
        <w:r w:rsidRPr="00B37F03">
          <w:rPr>
            <w:rStyle w:val="Hyperlink"/>
            <w:rFonts w:cs="Utsaah"/>
          </w:rPr>
          <w:t>http://www.ncwd-youth.info/assets/guides/quick_reference_guides/hidden_disabilities.pdf</w:t>
        </w:r>
      </w:hyperlink>
      <w:r w:rsidRPr="00B37F03">
        <w:rPr>
          <w:rFonts w:cs="Utsaah"/>
        </w:rPr>
        <w:t xml:space="preserve"> </w:t>
      </w:r>
    </w:p>
    <w:p w:rsidR="0009775B" w:rsidRPr="00B37F03" w:rsidRDefault="0009775B" w:rsidP="0009775B">
      <w:pPr>
        <w:pStyle w:val="ListParagraph"/>
        <w:ind w:left="360"/>
        <w:rPr>
          <w:rFonts w:cs="Utsaah"/>
        </w:rPr>
      </w:pPr>
      <w:r w:rsidRPr="00B37F03">
        <w:rPr>
          <w:rFonts w:cs="Utsaah"/>
        </w:rPr>
        <w:t xml:space="preserve">WORD </w:t>
      </w:r>
      <w:hyperlink r:id="rId58" w:history="1">
        <w:r w:rsidRPr="00B37F03">
          <w:rPr>
            <w:rStyle w:val="Hyperlink"/>
            <w:rFonts w:cs="Utsaah"/>
          </w:rPr>
          <w:t>http://www.ncwd-youth.info/assets/guides/quick_reference_guides/hidden_disabilities.doc</w:t>
        </w:r>
      </w:hyperlink>
      <w:r w:rsidRPr="00B37F03">
        <w:rPr>
          <w:rFonts w:cs="Utsaah"/>
        </w:rPr>
        <w:t xml:space="preserve"> </w:t>
      </w:r>
    </w:p>
    <w:p w:rsidR="0009775B" w:rsidRPr="00B37F03" w:rsidRDefault="0009775B" w:rsidP="009258C6">
      <w:pPr>
        <w:pStyle w:val="ListParagraph"/>
        <w:numPr>
          <w:ilvl w:val="0"/>
          <w:numId w:val="33"/>
        </w:numPr>
        <w:rPr>
          <w:rFonts w:cs="Utsaah"/>
        </w:rPr>
      </w:pPr>
      <w:r w:rsidRPr="00B37F03">
        <w:rPr>
          <w:rFonts w:cs="Utsaah"/>
        </w:rPr>
        <w:t xml:space="preserve">ADA Technical Assistance National Network  </w:t>
      </w:r>
      <w:hyperlink r:id="rId59" w:history="1">
        <w:r w:rsidRPr="00B37F03">
          <w:rPr>
            <w:rStyle w:val="Hyperlink"/>
            <w:rFonts w:cs="Utsaah"/>
          </w:rPr>
          <w:t>https://adata.org/</w:t>
        </w:r>
      </w:hyperlink>
      <w:r w:rsidRPr="00B37F03">
        <w:rPr>
          <w:rFonts w:cs="Utsaah"/>
        </w:rPr>
        <w:t xml:space="preserve"> </w:t>
      </w:r>
    </w:p>
    <w:p w:rsidR="0009775B" w:rsidRDefault="0009775B" w:rsidP="0009775B">
      <w:pPr>
        <w:rPr>
          <w:rFonts w:ascii="Calibri" w:hAnsi="Calibri"/>
          <w:b/>
          <w:sz w:val="22"/>
          <w:szCs w:val="22"/>
        </w:rPr>
      </w:pPr>
    </w:p>
    <w:p w:rsidR="0009775B" w:rsidRDefault="0009775B" w:rsidP="0009775B">
      <w:pPr>
        <w:pStyle w:val="ListParagraph"/>
        <w:ind w:left="0"/>
        <w:rPr>
          <w:rFonts w:cs="Utsaah"/>
          <w:b/>
        </w:rPr>
      </w:pPr>
      <w:r>
        <w:rPr>
          <w:rFonts w:cs="Utsaah"/>
          <w:b/>
        </w:rPr>
        <w:t xml:space="preserve">Document and </w:t>
      </w:r>
      <w:r w:rsidRPr="00361F16">
        <w:rPr>
          <w:rFonts w:cs="Utsaah"/>
          <w:b/>
        </w:rPr>
        <w:t xml:space="preserve">Digital </w:t>
      </w:r>
      <w:r w:rsidR="00F13EED">
        <w:rPr>
          <w:rFonts w:cs="Utsaah"/>
          <w:b/>
        </w:rPr>
        <w:t>A</w:t>
      </w:r>
      <w:r w:rsidRPr="00361F16">
        <w:rPr>
          <w:rFonts w:cs="Utsaah"/>
          <w:b/>
        </w:rPr>
        <w:t>ccessibility</w:t>
      </w:r>
    </w:p>
    <w:p w:rsidR="0009775B" w:rsidRDefault="0009775B" w:rsidP="0009775B">
      <w:pPr>
        <w:pStyle w:val="ListParagraph"/>
        <w:ind w:left="0"/>
        <w:rPr>
          <w:rFonts w:cs="Utsaah"/>
          <w:b/>
        </w:rPr>
      </w:pPr>
    </w:p>
    <w:p w:rsidR="00B37F03" w:rsidRDefault="00B37F03" w:rsidP="00B37F03">
      <w:pPr>
        <w:pStyle w:val="ListParagraph"/>
        <w:numPr>
          <w:ilvl w:val="0"/>
          <w:numId w:val="33"/>
        </w:numPr>
        <w:rPr>
          <w:rFonts w:cs="Utsaah"/>
        </w:rPr>
      </w:pPr>
      <w:r w:rsidRPr="00B37F03">
        <w:rPr>
          <w:rFonts w:cs="Utsaah"/>
        </w:rPr>
        <w:t>Create Accessible Electronic Documents</w:t>
      </w:r>
    </w:p>
    <w:p w:rsidR="00B37F03" w:rsidRPr="00B37F03" w:rsidRDefault="00CD548D" w:rsidP="00B37F03">
      <w:pPr>
        <w:pStyle w:val="ListParagraph"/>
        <w:ind w:left="360"/>
        <w:rPr>
          <w:rFonts w:cs="Utsaah"/>
        </w:rPr>
      </w:pPr>
      <w:hyperlink r:id="rId60" w:history="1">
        <w:r w:rsidR="00B37F03" w:rsidRPr="00BE3AEF">
          <w:rPr>
            <w:rStyle w:val="Hyperlink"/>
            <w:rFonts w:cs="Utsaah"/>
          </w:rPr>
          <w:t>https://www.section508.gov/content/build/create-accessible-documents</w:t>
        </w:r>
      </w:hyperlink>
      <w:r w:rsidR="00B37F03">
        <w:rPr>
          <w:rFonts w:cs="Utsaah"/>
        </w:rPr>
        <w:t xml:space="preserve"> </w:t>
      </w:r>
    </w:p>
    <w:p w:rsidR="00EC6C3A" w:rsidRPr="00EC6C3A" w:rsidRDefault="00EC6C3A" w:rsidP="00EC6C3A">
      <w:pPr>
        <w:pStyle w:val="ListParagraph"/>
        <w:numPr>
          <w:ilvl w:val="0"/>
          <w:numId w:val="33"/>
        </w:numPr>
        <w:rPr>
          <w:rFonts w:cs="Utsaah"/>
        </w:rPr>
      </w:pPr>
      <w:r w:rsidRPr="00EC6C3A">
        <w:rPr>
          <w:rFonts w:cs="Utsaah"/>
        </w:rPr>
        <w:t>Creating Accessible Documents in Microsoft Word</w:t>
      </w:r>
      <w:r>
        <w:rPr>
          <w:rFonts w:cs="Utsaah"/>
        </w:rPr>
        <w:t xml:space="preserve">  </w:t>
      </w:r>
      <w:hyperlink r:id="rId61" w:history="1">
        <w:r w:rsidRPr="0038630B">
          <w:rPr>
            <w:rStyle w:val="Hyperlink"/>
            <w:rFonts w:cs="Utsaah"/>
          </w:rPr>
          <w:t>http://www.washington.edu/accessibility/documents/word</w:t>
        </w:r>
      </w:hyperlink>
      <w:r>
        <w:rPr>
          <w:rFonts w:cs="Utsaah"/>
        </w:rPr>
        <w:t xml:space="preserve"> </w:t>
      </w:r>
    </w:p>
    <w:p w:rsidR="0009775B" w:rsidRDefault="0009775B" w:rsidP="009258C6">
      <w:pPr>
        <w:pStyle w:val="ListParagraph"/>
        <w:numPr>
          <w:ilvl w:val="0"/>
          <w:numId w:val="29"/>
        </w:numPr>
        <w:rPr>
          <w:rFonts w:cs="Utsaah"/>
        </w:rPr>
      </w:pPr>
      <w:r w:rsidRPr="0075071C">
        <w:rPr>
          <w:rFonts w:cs="Utsaah"/>
          <w:i/>
        </w:rPr>
        <w:t>How to Meet Web Content Accessibility Guidelines (WCAG) 2.0</w:t>
      </w:r>
      <w:r w:rsidRPr="00391502">
        <w:rPr>
          <w:rFonts w:cs="Utsaah"/>
        </w:rPr>
        <w:t xml:space="preserve"> </w:t>
      </w:r>
      <w:hyperlink r:id="rId62" w:history="1">
        <w:r w:rsidRPr="00391502">
          <w:rPr>
            <w:rStyle w:val="Hyperlink"/>
            <w:rFonts w:cs="Utsaah"/>
          </w:rPr>
          <w:t>https://www.w3.org/WAI/WCAG20/quickref/</w:t>
        </w:r>
      </w:hyperlink>
      <w:r w:rsidRPr="00391502">
        <w:rPr>
          <w:rFonts w:cs="Utsaah"/>
        </w:rPr>
        <w:t xml:space="preserve"> </w:t>
      </w:r>
    </w:p>
    <w:p w:rsidR="0009775B" w:rsidRPr="00B37F03" w:rsidRDefault="0009775B" w:rsidP="009258C6">
      <w:pPr>
        <w:pStyle w:val="ListParagraph"/>
        <w:numPr>
          <w:ilvl w:val="0"/>
          <w:numId w:val="29"/>
        </w:numPr>
        <w:rPr>
          <w:rFonts w:cs="Utsaah"/>
        </w:rPr>
      </w:pPr>
      <w:r w:rsidRPr="00B37F03">
        <w:rPr>
          <w:rFonts w:cs="Utsaah"/>
          <w:i/>
        </w:rPr>
        <w:t xml:space="preserve">American Job Centers and Digital Access: A Guide to Accessible </w:t>
      </w:r>
      <w:r w:rsidRPr="00B37F03">
        <w:rPr>
          <w:rFonts w:cs="Utsaah"/>
        </w:rPr>
        <w:t xml:space="preserve">ICT  </w:t>
      </w:r>
      <w:hyperlink r:id="rId63" w:history="1">
        <w:r w:rsidRPr="00B37F03">
          <w:rPr>
            <w:rStyle w:val="Hyperlink"/>
            <w:rFonts w:cs="Utsaah"/>
          </w:rPr>
          <w:t>http://www.peatworks.org/content/american-job-centers-and-digital-access-guide-accessible-ict</w:t>
        </w:r>
      </w:hyperlink>
      <w:r w:rsidRPr="00B37F03">
        <w:rPr>
          <w:rFonts w:cs="Utsaah"/>
        </w:rPr>
        <w:t xml:space="preserve"> </w:t>
      </w:r>
    </w:p>
    <w:p w:rsidR="0009775B" w:rsidRPr="00B37F03" w:rsidRDefault="0009775B" w:rsidP="009258C6">
      <w:pPr>
        <w:pStyle w:val="ListParagraph"/>
        <w:numPr>
          <w:ilvl w:val="0"/>
          <w:numId w:val="29"/>
        </w:numPr>
        <w:rPr>
          <w:rFonts w:cs="Utsaah"/>
        </w:rPr>
      </w:pPr>
      <w:r w:rsidRPr="00B37F03">
        <w:rPr>
          <w:rFonts w:cs="Utsaah"/>
        </w:rPr>
        <w:t xml:space="preserve">Partnership on Employment and Accessible Technology (PEAT) </w:t>
      </w:r>
      <w:hyperlink r:id="rId64" w:history="1">
        <w:r w:rsidRPr="00B37F03">
          <w:rPr>
            <w:rStyle w:val="Hyperlink"/>
            <w:rFonts w:cs="Utsaah"/>
          </w:rPr>
          <w:t>http://www.peatworks.org/</w:t>
        </w:r>
      </w:hyperlink>
      <w:r w:rsidRPr="00B37F03">
        <w:rPr>
          <w:rFonts w:cs="Utsaah"/>
        </w:rPr>
        <w:t xml:space="preserve"> </w:t>
      </w:r>
    </w:p>
    <w:p w:rsidR="0009775B" w:rsidRPr="00B37F03" w:rsidRDefault="0009775B" w:rsidP="009258C6">
      <w:pPr>
        <w:numPr>
          <w:ilvl w:val="0"/>
          <w:numId w:val="29"/>
        </w:numPr>
        <w:rPr>
          <w:rFonts w:ascii="Calibri" w:hAnsi="Calibri"/>
          <w:b/>
          <w:sz w:val="22"/>
          <w:szCs w:val="22"/>
        </w:rPr>
      </w:pPr>
      <w:r w:rsidRPr="00B37F03">
        <w:rPr>
          <w:rFonts w:ascii="Calibri" w:hAnsi="Calibri" w:cs="Utsaah"/>
          <w:i/>
          <w:sz w:val="22"/>
          <w:szCs w:val="22"/>
        </w:rPr>
        <w:t>Accessibility of Office Documents and Office Applications</w:t>
      </w:r>
      <w:r w:rsidRPr="00B37F03">
        <w:rPr>
          <w:rFonts w:ascii="Calibri" w:hAnsi="Calibri" w:cs="Utsaah"/>
          <w:sz w:val="22"/>
          <w:szCs w:val="22"/>
        </w:rPr>
        <w:t xml:space="preserve"> </w:t>
      </w:r>
      <w:hyperlink r:id="rId65" w:history="1">
        <w:r w:rsidRPr="00B37F03">
          <w:rPr>
            <w:rStyle w:val="Hyperlink"/>
            <w:rFonts w:ascii="Calibri" w:hAnsi="Calibri" w:cs="Utsaah"/>
            <w:sz w:val="22"/>
            <w:szCs w:val="22"/>
          </w:rPr>
          <w:t>http://aoda.nipissingu.ca/</w:t>
        </w:r>
      </w:hyperlink>
    </w:p>
    <w:p w:rsidR="0009775B" w:rsidRPr="00ED39BC" w:rsidRDefault="0009775B" w:rsidP="009258C6">
      <w:pPr>
        <w:pStyle w:val="ListParagraph"/>
        <w:numPr>
          <w:ilvl w:val="0"/>
          <w:numId w:val="34"/>
        </w:numPr>
        <w:ind w:left="360"/>
        <w:contextualSpacing w:val="0"/>
      </w:pPr>
      <w:r w:rsidRPr="00B37F03">
        <w:rPr>
          <w:rFonts w:cs="Utsaah"/>
        </w:rPr>
        <w:t xml:space="preserve">Maine State Government </w:t>
      </w:r>
      <w:r w:rsidRPr="00B37F03">
        <w:t xml:space="preserve">Web Accessibility and Usability Policy </w:t>
      </w:r>
      <w:hyperlink r:id="rId66" w:history="1">
        <w:r w:rsidRPr="00ED39BC">
          <w:rPr>
            <w:rStyle w:val="Hyperlink"/>
          </w:rPr>
          <w:t>http://www.maine.gov/oit/policies/WebAccessibilityUsabilityPolicy.pdf</w:t>
        </w:r>
      </w:hyperlink>
    </w:p>
    <w:p w:rsidR="0009775B" w:rsidRPr="00ED39BC" w:rsidRDefault="0009775B" w:rsidP="009258C6">
      <w:pPr>
        <w:pStyle w:val="ListParagraph"/>
        <w:numPr>
          <w:ilvl w:val="0"/>
          <w:numId w:val="34"/>
        </w:numPr>
        <w:ind w:left="360"/>
      </w:pPr>
      <w:r w:rsidRPr="00ED39BC">
        <w:t xml:space="preserve">Maine State Government Accessibility Policy on Effective Electronic Communications </w:t>
      </w:r>
      <w:hyperlink r:id="rId67" w:history="1">
        <w:r w:rsidRPr="00ED39BC">
          <w:rPr>
            <w:rStyle w:val="Hyperlink"/>
          </w:rPr>
          <w:t>http://www.maine.gov/oit/policies/ADA-effective-communication-policy.pdf</w:t>
        </w:r>
      </w:hyperlink>
    </w:p>
    <w:p w:rsidR="0009775B" w:rsidRPr="00ED39BC" w:rsidRDefault="0009775B" w:rsidP="0009775B">
      <w:pPr>
        <w:pStyle w:val="ListParagraph"/>
        <w:ind w:left="0"/>
      </w:pPr>
    </w:p>
    <w:p w:rsidR="0009775B" w:rsidRPr="00ED39BC" w:rsidRDefault="0009775B" w:rsidP="0009775B">
      <w:pPr>
        <w:pStyle w:val="ListParagraph"/>
        <w:ind w:left="0"/>
        <w:rPr>
          <w:u w:val="single"/>
        </w:rPr>
      </w:pPr>
      <w:r w:rsidRPr="00ED39BC">
        <w:rPr>
          <w:u w:val="single"/>
        </w:rPr>
        <w:lastRenderedPageBreak/>
        <w:t>Social Media</w:t>
      </w:r>
    </w:p>
    <w:p w:rsidR="0009775B" w:rsidRPr="00ED39BC" w:rsidRDefault="0009775B" w:rsidP="009258C6">
      <w:pPr>
        <w:numPr>
          <w:ilvl w:val="0"/>
          <w:numId w:val="29"/>
        </w:numPr>
        <w:rPr>
          <w:rFonts w:ascii="Calibri" w:hAnsi="Calibri" w:cs="Arial"/>
          <w:color w:val="000000"/>
          <w:sz w:val="22"/>
          <w:szCs w:val="22"/>
        </w:rPr>
      </w:pPr>
      <w:r w:rsidRPr="00ED39BC">
        <w:rPr>
          <w:rFonts w:ascii="Calibri" w:hAnsi="Calibri" w:cs="Utsaah"/>
          <w:sz w:val="22"/>
          <w:szCs w:val="22"/>
        </w:rPr>
        <w:t xml:space="preserve">Social Media Accessibility Tips </w:t>
      </w:r>
      <w:hyperlink r:id="rId68" w:anchor="SocialMediaTips" w:history="1">
        <w:r w:rsidRPr="00ED39BC">
          <w:rPr>
            <w:rStyle w:val="Hyperlink"/>
            <w:rFonts w:ascii="Calibri" w:hAnsi="Calibri" w:cs="Utsaah"/>
            <w:sz w:val="22"/>
            <w:szCs w:val="22"/>
          </w:rPr>
          <w:t>https://www.dol.gov/odep/topics/ndeam/resources.htm#SocialMediaTips</w:t>
        </w:r>
      </w:hyperlink>
      <w:r w:rsidRPr="00ED39BC">
        <w:rPr>
          <w:rFonts w:ascii="Calibri" w:hAnsi="Calibri" w:cs="Utsaah"/>
          <w:sz w:val="22"/>
          <w:szCs w:val="22"/>
        </w:rPr>
        <w:t xml:space="preserve"> </w:t>
      </w:r>
    </w:p>
    <w:p w:rsidR="0009775B" w:rsidRPr="00ED39BC" w:rsidRDefault="0009775B" w:rsidP="009258C6">
      <w:pPr>
        <w:numPr>
          <w:ilvl w:val="0"/>
          <w:numId w:val="29"/>
        </w:numPr>
        <w:rPr>
          <w:rFonts w:ascii="Calibri" w:hAnsi="Calibri" w:cs="Arial"/>
          <w:color w:val="000000"/>
          <w:sz w:val="22"/>
          <w:szCs w:val="22"/>
        </w:rPr>
      </w:pPr>
      <w:r w:rsidRPr="00ED39BC">
        <w:rPr>
          <w:rFonts w:ascii="Calibri" w:hAnsi="Calibri" w:cs="Arial"/>
          <w:color w:val="000000"/>
          <w:sz w:val="22"/>
          <w:szCs w:val="22"/>
        </w:rPr>
        <w:t>Social Media Accessibility Toolkit for Public Service</w:t>
      </w:r>
    </w:p>
    <w:p w:rsidR="0009775B" w:rsidRPr="00ED39BC" w:rsidRDefault="00CD548D" w:rsidP="0009775B">
      <w:pPr>
        <w:ind w:left="360"/>
        <w:rPr>
          <w:rFonts w:ascii="Calibri" w:hAnsi="Calibri" w:cs="Arial"/>
          <w:color w:val="000000"/>
          <w:sz w:val="22"/>
          <w:szCs w:val="22"/>
        </w:rPr>
      </w:pPr>
      <w:hyperlink r:id="rId69" w:history="1">
        <w:r w:rsidR="0009775B" w:rsidRPr="00ED39BC">
          <w:rPr>
            <w:rStyle w:val="Hyperlink"/>
            <w:rFonts w:ascii="Calibri" w:hAnsi="Calibri" w:cs="Arial"/>
            <w:sz w:val="22"/>
            <w:szCs w:val="22"/>
          </w:rPr>
          <w:t>https://www.digitalgov.gov/resources/federal-social-media-accessibility-toolkit-hackpad/</w:t>
        </w:r>
      </w:hyperlink>
      <w:r w:rsidR="0009775B" w:rsidRPr="00ED39BC">
        <w:rPr>
          <w:rFonts w:ascii="Calibri" w:hAnsi="Calibri" w:cs="Arial"/>
          <w:color w:val="000000"/>
          <w:sz w:val="22"/>
          <w:szCs w:val="22"/>
        </w:rPr>
        <w:t xml:space="preserve"> </w:t>
      </w:r>
    </w:p>
    <w:p w:rsidR="0009775B" w:rsidRPr="00ED39BC" w:rsidRDefault="0009775B" w:rsidP="0009775B">
      <w:pPr>
        <w:pStyle w:val="ListParagraph"/>
        <w:ind w:left="0"/>
        <w:rPr>
          <w:highlight w:val="yellow"/>
        </w:rPr>
      </w:pPr>
    </w:p>
    <w:p w:rsidR="0009775B" w:rsidRDefault="0009775B" w:rsidP="0009775B">
      <w:pPr>
        <w:pStyle w:val="ListParagraph"/>
        <w:ind w:left="0"/>
        <w:rPr>
          <w:rFonts w:cs="Utsaah"/>
          <w:b/>
        </w:rPr>
      </w:pPr>
      <w:r w:rsidRPr="00236DB5">
        <w:rPr>
          <w:rFonts w:cs="Utsaah"/>
          <w:b/>
        </w:rPr>
        <w:t>Accessible facilities, workshops, meetings, and events</w:t>
      </w:r>
    </w:p>
    <w:p w:rsidR="0009775B" w:rsidRPr="004818A3" w:rsidRDefault="0009775B" w:rsidP="009258C6">
      <w:pPr>
        <w:pStyle w:val="ListParagraph"/>
        <w:numPr>
          <w:ilvl w:val="0"/>
          <w:numId w:val="36"/>
        </w:numPr>
        <w:ind w:left="360"/>
        <w:rPr>
          <w:rFonts w:cs="Utsaah"/>
        </w:rPr>
      </w:pPr>
      <w:r w:rsidRPr="004818A3">
        <w:rPr>
          <w:rFonts w:cs="Utsaah"/>
          <w:i/>
        </w:rPr>
        <w:t>Tips for Planning an Accessible Job Fair</w:t>
      </w:r>
      <w:r w:rsidRPr="004818A3">
        <w:rPr>
          <w:rFonts w:cs="Utsaah"/>
        </w:rPr>
        <w:t xml:space="preserve">  </w:t>
      </w:r>
      <w:hyperlink r:id="rId70" w:history="1">
        <w:r w:rsidRPr="004818A3">
          <w:rPr>
            <w:rStyle w:val="Hyperlink"/>
            <w:rFonts w:cs="Utsaah"/>
          </w:rPr>
          <w:t>http://calworkforce.org/wp-content/uploads/2017/05/Tips-for-Planning-an-Accessible-Job-WorkCon-2017.pdf</w:t>
        </w:r>
      </w:hyperlink>
      <w:r w:rsidRPr="004818A3">
        <w:rPr>
          <w:rFonts w:cs="Utsaah"/>
        </w:rPr>
        <w:t xml:space="preserve"> </w:t>
      </w:r>
    </w:p>
    <w:p w:rsidR="0009775B" w:rsidRPr="004818A3" w:rsidRDefault="0009775B" w:rsidP="009258C6">
      <w:pPr>
        <w:pStyle w:val="ListParagraph"/>
        <w:numPr>
          <w:ilvl w:val="0"/>
          <w:numId w:val="33"/>
        </w:numPr>
        <w:rPr>
          <w:rFonts w:cs="Utsaah"/>
        </w:rPr>
      </w:pPr>
      <w:r w:rsidRPr="004818A3">
        <w:rPr>
          <w:rFonts w:cs="Helvetica"/>
          <w:bCs/>
          <w:i/>
          <w:color w:val="333333"/>
          <w:shd w:val="clear" w:color="auto" w:fill="FFFFFF"/>
        </w:rPr>
        <w:t xml:space="preserve">A Planning Guide for Making Temporary Events Accessible to People With Disabilities </w:t>
      </w:r>
      <w:hyperlink r:id="rId71" w:history="1">
        <w:r w:rsidRPr="004818A3">
          <w:rPr>
            <w:rStyle w:val="Hyperlink"/>
            <w:rFonts w:cs="Helvetica"/>
            <w:bCs/>
            <w:shd w:val="clear" w:color="auto" w:fill="FFFFFF"/>
          </w:rPr>
          <w:t>https://adata.org/publication/temporary-events-guide</w:t>
        </w:r>
      </w:hyperlink>
      <w:r w:rsidRPr="004818A3">
        <w:rPr>
          <w:rFonts w:cs="Helvetica"/>
          <w:bCs/>
          <w:color w:val="333333"/>
          <w:shd w:val="clear" w:color="auto" w:fill="FFFFFF"/>
        </w:rPr>
        <w:t xml:space="preserve"> </w:t>
      </w:r>
    </w:p>
    <w:p w:rsidR="0009775B" w:rsidRPr="004818A3" w:rsidRDefault="0009775B" w:rsidP="009258C6">
      <w:pPr>
        <w:pStyle w:val="ListParagraph"/>
        <w:numPr>
          <w:ilvl w:val="0"/>
          <w:numId w:val="33"/>
        </w:numPr>
        <w:rPr>
          <w:rFonts w:cs="Utsaah"/>
        </w:rPr>
      </w:pPr>
      <w:r w:rsidRPr="004818A3">
        <w:rPr>
          <w:rFonts w:cs="Utsaah"/>
          <w:i/>
        </w:rPr>
        <w:t>Planning Accessible Meetings and Conferences</w:t>
      </w:r>
      <w:r w:rsidRPr="004818A3">
        <w:rPr>
          <w:rFonts w:cs="Utsaah"/>
        </w:rPr>
        <w:t xml:space="preserve"> </w:t>
      </w:r>
      <w:hyperlink r:id="rId72" w:history="1">
        <w:r w:rsidRPr="004818A3">
          <w:rPr>
            <w:rStyle w:val="Hyperlink"/>
            <w:rFonts w:cs="Utsaah"/>
          </w:rPr>
          <w:t>https://ccids.umaine.edu/wp-content/uploads/sites/26/2017/06/CCIDS_SUFU_Planning_Accessible_Meetings_Final-fillable_022515.pdf</w:t>
        </w:r>
      </w:hyperlink>
    </w:p>
    <w:p w:rsidR="0009775B" w:rsidRPr="004818A3" w:rsidRDefault="0009775B" w:rsidP="009258C6">
      <w:pPr>
        <w:pStyle w:val="ListParagraph"/>
        <w:numPr>
          <w:ilvl w:val="0"/>
          <w:numId w:val="33"/>
        </w:numPr>
        <w:rPr>
          <w:rFonts w:cs="Utsaah"/>
        </w:rPr>
      </w:pPr>
      <w:r w:rsidRPr="004818A3">
        <w:rPr>
          <w:rFonts w:cs="Utsaah"/>
          <w:i/>
        </w:rPr>
        <w:t xml:space="preserve">Planning Accessible Meetings and Event:s A Toolkit </w:t>
      </w:r>
      <w:hyperlink r:id="rId73" w:history="1">
        <w:r w:rsidRPr="004818A3">
          <w:rPr>
            <w:rStyle w:val="Hyperlink"/>
            <w:rFonts w:cs="Utsaah"/>
          </w:rPr>
          <w:t>https://www.americanbar.org/content/dam/aba/administrative/mental_physical_disability/Accessible_Meetings_Toolkit.authcheckdam.pdf</w:t>
        </w:r>
      </w:hyperlink>
      <w:r w:rsidRPr="004818A3">
        <w:rPr>
          <w:rFonts w:cs="Utsaah"/>
          <w:i/>
        </w:rPr>
        <w:t xml:space="preserve"> </w:t>
      </w:r>
    </w:p>
    <w:p w:rsidR="0009775B" w:rsidRPr="004818A3" w:rsidRDefault="0009775B" w:rsidP="009258C6">
      <w:pPr>
        <w:pStyle w:val="ListParagraph"/>
        <w:numPr>
          <w:ilvl w:val="0"/>
          <w:numId w:val="33"/>
        </w:numPr>
        <w:rPr>
          <w:rFonts w:cs="Utsaah"/>
        </w:rPr>
      </w:pPr>
      <w:r w:rsidRPr="004818A3">
        <w:rPr>
          <w:rFonts w:cs="Utsaah"/>
          <w:i/>
        </w:rPr>
        <w:t>Accessible Events</w:t>
      </w:r>
      <w:r w:rsidRPr="004818A3">
        <w:rPr>
          <w:rFonts w:cs="Utsaah"/>
        </w:rPr>
        <w:t xml:space="preserve">  </w:t>
      </w:r>
      <w:hyperlink r:id="rId74" w:history="1">
        <w:r w:rsidRPr="004818A3">
          <w:rPr>
            <w:rStyle w:val="Hyperlink"/>
            <w:rFonts w:cs="Utsaah"/>
          </w:rPr>
          <w:t>http://www.meetingsevents.com.au/downloads/Accessible_Events_Guide.pdf</w:t>
        </w:r>
      </w:hyperlink>
      <w:r w:rsidRPr="004818A3">
        <w:rPr>
          <w:rFonts w:cs="Utsaah"/>
        </w:rPr>
        <w:t xml:space="preserve"> </w:t>
      </w:r>
    </w:p>
    <w:p w:rsidR="0009775B" w:rsidRPr="00ED39BC" w:rsidRDefault="0009775B" w:rsidP="009258C6">
      <w:pPr>
        <w:numPr>
          <w:ilvl w:val="0"/>
          <w:numId w:val="33"/>
        </w:numPr>
        <w:rPr>
          <w:rFonts w:ascii="Calibri" w:hAnsi="Calibri"/>
          <w:b/>
          <w:sz w:val="22"/>
          <w:szCs w:val="22"/>
        </w:rPr>
      </w:pPr>
      <w:r w:rsidRPr="004818A3">
        <w:rPr>
          <w:rFonts w:ascii="Calibri" w:hAnsi="Calibri" w:cs="Utsaah"/>
          <w:i/>
          <w:sz w:val="22"/>
          <w:szCs w:val="22"/>
        </w:rPr>
        <w:t>Design for Accessibility:  A Cultural Administrator’s Handbook</w:t>
      </w:r>
      <w:r w:rsidRPr="004818A3">
        <w:rPr>
          <w:rFonts w:ascii="Calibri" w:hAnsi="Calibri" w:cs="Utsaah"/>
          <w:sz w:val="22"/>
          <w:szCs w:val="22"/>
        </w:rPr>
        <w:t xml:space="preserve"> </w:t>
      </w:r>
      <w:hyperlink r:id="rId75" w:history="1">
        <w:r w:rsidRPr="004818A3">
          <w:rPr>
            <w:rStyle w:val="Hyperlink"/>
            <w:rFonts w:ascii="Calibri" w:hAnsi="Calibri" w:cs="Utsaah"/>
            <w:sz w:val="22"/>
            <w:szCs w:val="22"/>
          </w:rPr>
          <w:t>https://www.arts.gov/sites/default/files/Design-for-Accessibility.pdf</w:t>
        </w:r>
      </w:hyperlink>
    </w:p>
    <w:p w:rsidR="0009775B" w:rsidRDefault="0009775B" w:rsidP="0009775B">
      <w:pPr>
        <w:rPr>
          <w:rFonts w:ascii="Calibri" w:hAnsi="Calibri"/>
          <w:b/>
          <w:sz w:val="22"/>
          <w:szCs w:val="22"/>
        </w:rPr>
      </w:pPr>
    </w:p>
    <w:p w:rsidR="0009775B" w:rsidRPr="002E54AB" w:rsidRDefault="0009775B" w:rsidP="0009775B">
      <w:pPr>
        <w:ind w:left="360" w:hanging="360"/>
        <w:rPr>
          <w:rFonts w:ascii="Calibri" w:hAnsi="Calibri" w:cs="Arial"/>
          <w:b/>
          <w:color w:val="000000"/>
          <w:sz w:val="22"/>
          <w:szCs w:val="22"/>
        </w:rPr>
      </w:pPr>
      <w:r w:rsidRPr="002E54AB">
        <w:rPr>
          <w:rFonts w:ascii="Calibri" w:hAnsi="Calibri" w:cs="Arial"/>
          <w:b/>
          <w:color w:val="000000"/>
          <w:sz w:val="22"/>
          <w:szCs w:val="22"/>
        </w:rPr>
        <w:t>Service animals</w:t>
      </w:r>
    </w:p>
    <w:p w:rsidR="0009775B" w:rsidRPr="003B347B" w:rsidRDefault="0009775B" w:rsidP="009258C6">
      <w:pPr>
        <w:numPr>
          <w:ilvl w:val="0"/>
          <w:numId w:val="28"/>
        </w:numPr>
        <w:ind w:left="360"/>
        <w:rPr>
          <w:rFonts w:ascii="Calibri" w:hAnsi="Calibri" w:cs="Arial"/>
          <w:color w:val="604A7B"/>
          <w:sz w:val="22"/>
          <w:szCs w:val="22"/>
        </w:rPr>
      </w:pPr>
      <w:r w:rsidRPr="00DA7C02">
        <w:rPr>
          <w:rFonts w:ascii="Calibri" w:hAnsi="Calibri" w:cs="Arial"/>
          <w:color w:val="000000"/>
          <w:sz w:val="22"/>
          <w:szCs w:val="22"/>
        </w:rPr>
        <w:t>Maine Human Rights Act</w:t>
      </w:r>
      <w:r>
        <w:rPr>
          <w:rFonts w:ascii="Calibri" w:hAnsi="Calibri" w:cs="Arial"/>
          <w:b/>
          <w:color w:val="000000"/>
          <w:sz w:val="22"/>
          <w:szCs w:val="22"/>
        </w:rPr>
        <w:t xml:space="preserve">   </w:t>
      </w:r>
      <w:hyperlink r:id="rId76" w:history="1">
        <w:r w:rsidRPr="003B347B">
          <w:rPr>
            <w:rStyle w:val="Hyperlink"/>
            <w:rFonts w:ascii="Calibri" w:hAnsi="Calibri" w:cs="Arial"/>
            <w:color w:val="0000BF"/>
            <w:sz w:val="22"/>
            <w:szCs w:val="22"/>
          </w:rPr>
          <w:t>http://legislature.maine.gov/statutes/5/title5sec4553.html</w:t>
        </w:r>
      </w:hyperlink>
    </w:p>
    <w:p w:rsidR="0009775B" w:rsidRPr="003B347B" w:rsidRDefault="0009775B" w:rsidP="009258C6">
      <w:pPr>
        <w:numPr>
          <w:ilvl w:val="0"/>
          <w:numId w:val="28"/>
        </w:numPr>
        <w:ind w:left="360"/>
        <w:rPr>
          <w:rFonts w:ascii="Calibri" w:hAnsi="Calibri" w:cs="Arial"/>
          <w:b/>
          <w:color w:val="000000"/>
          <w:sz w:val="22"/>
          <w:szCs w:val="22"/>
        </w:rPr>
      </w:pPr>
      <w:r w:rsidRPr="00DA7C02">
        <w:rPr>
          <w:rFonts w:ascii="Calibri" w:hAnsi="Calibri" w:cs="Arial"/>
          <w:color w:val="000000"/>
          <w:sz w:val="22"/>
          <w:szCs w:val="22"/>
        </w:rPr>
        <w:t>Americans with Disabilities Act</w:t>
      </w:r>
      <w:r>
        <w:rPr>
          <w:rFonts w:ascii="Calibri" w:hAnsi="Calibri" w:cs="Arial"/>
          <w:b/>
          <w:color w:val="000000"/>
          <w:sz w:val="22"/>
          <w:szCs w:val="22"/>
        </w:rPr>
        <w:t xml:space="preserve"> </w:t>
      </w:r>
      <w:r w:rsidRPr="00EC1584">
        <w:rPr>
          <w:rFonts w:ascii="Calibri" w:hAnsi="Calibri" w:cs="Arial"/>
          <w:color w:val="000000"/>
          <w:sz w:val="22"/>
          <w:szCs w:val="22"/>
        </w:rPr>
        <w:t>regulations</w:t>
      </w:r>
    </w:p>
    <w:p w:rsidR="0009775B" w:rsidRDefault="00CD548D" w:rsidP="0009775B">
      <w:pPr>
        <w:ind w:firstLine="360"/>
        <w:rPr>
          <w:rFonts w:ascii="Calibri" w:hAnsi="Calibri" w:cs="Arial"/>
          <w:color w:val="000000"/>
          <w:sz w:val="22"/>
          <w:szCs w:val="22"/>
        </w:rPr>
      </w:pPr>
      <w:hyperlink r:id="rId77" w:anchor="se28.1.35_1136" w:history="1">
        <w:r w:rsidR="0009775B" w:rsidRPr="00245EE5">
          <w:rPr>
            <w:rStyle w:val="Hyperlink"/>
            <w:rFonts w:ascii="Calibri" w:hAnsi="Calibri" w:cs="Arial"/>
            <w:sz w:val="22"/>
            <w:szCs w:val="22"/>
          </w:rPr>
          <w:t>https://www.ecfr.gov/cgi-bin/text-idx?rgn=div5&amp;node=28:1.0.1.1.36#se28.1.35_1136</w:t>
        </w:r>
      </w:hyperlink>
    </w:p>
    <w:p w:rsidR="0009775B" w:rsidRDefault="00CD548D" w:rsidP="009258C6">
      <w:pPr>
        <w:numPr>
          <w:ilvl w:val="0"/>
          <w:numId w:val="38"/>
        </w:numPr>
        <w:ind w:left="360"/>
        <w:rPr>
          <w:rFonts w:ascii="Calibri" w:hAnsi="Calibri" w:cs="Arial"/>
          <w:color w:val="000000"/>
          <w:sz w:val="22"/>
          <w:szCs w:val="22"/>
        </w:rPr>
      </w:pPr>
      <w:hyperlink r:id="rId78" w:history="1">
        <w:r w:rsidR="0009775B" w:rsidRPr="00770A57">
          <w:rPr>
            <w:rStyle w:val="Hyperlink"/>
            <w:rFonts w:ascii="Calibri" w:hAnsi="Calibri" w:cs="Arial"/>
            <w:sz w:val="22"/>
            <w:szCs w:val="22"/>
          </w:rPr>
          <w:t>https://www.ada.gov/service_animals_2010.htm</w:t>
        </w:r>
      </w:hyperlink>
    </w:p>
    <w:p w:rsidR="0009775B" w:rsidRDefault="0009775B" w:rsidP="009258C6">
      <w:pPr>
        <w:numPr>
          <w:ilvl w:val="0"/>
          <w:numId w:val="37"/>
        </w:numPr>
        <w:ind w:left="360"/>
        <w:rPr>
          <w:rFonts w:ascii="Calibri" w:hAnsi="Calibri" w:cs="Arial"/>
          <w:color w:val="000000"/>
          <w:sz w:val="22"/>
          <w:szCs w:val="22"/>
        </w:rPr>
      </w:pPr>
      <w:r>
        <w:rPr>
          <w:rFonts w:ascii="Calibri" w:hAnsi="Calibri" w:cs="Arial"/>
          <w:color w:val="000000"/>
          <w:sz w:val="22"/>
          <w:szCs w:val="22"/>
        </w:rPr>
        <w:t xml:space="preserve">Frequently asked questions </w:t>
      </w:r>
      <w:hyperlink r:id="rId79" w:history="1">
        <w:r w:rsidRPr="00245EE5">
          <w:rPr>
            <w:rStyle w:val="Hyperlink"/>
            <w:rFonts w:ascii="Calibri" w:hAnsi="Calibri" w:cs="Arial"/>
            <w:sz w:val="22"/>
            <w:szCs w:val="22"/>
          </w:rPr>
          <w:t>https://www.ada.gov/regs2010/service_animal_qa.html</w:t>
        </w:r>
      </w:hyperlink>
      <w:r>
        <w:rPr>
          <w:rFonts w:ascii="Calibri" w:hAnsi="Calibri" w:cs="Arial"/>
          <w:color w:val="000000"/>
          <w:sz w:val="22"/>
          <w:szCs w:val="22"/>
        </w:rPr>
        <w:t xml:space="preserve"> </w:t>
      </w:r>
    </w:p>
    <w:p w:rsidR="0009775B" w:rsidRPr="009D376B" w:rsidRDefault="00CD548D" w:rsidP="009258C6">
      <w:pPr>
        <w:numPr>
          <w:ilvl w:val="0"/>
          <w:numId w:val="37"/>
        </w:numPr>
        <w:ind w:left="360"/>
        <w:rPr>
          <w:rFonts w:ascii="Calibri" w:hAnsi="Calibri" w:cs="Arial"/>
          <w:color w:val="000000"/>
          <w:sz w:val="22"/>
          <w:szCs w:val="22"/>
        </w:rPr>
      </w:pPr>
      <w:hyperlink r:id="rId80" w:history="1">
        <w:r w:rsidR="0009775B" w:rsidRPr="00770A57">
          <w:rPr>
            <w:rStyle w:val="Hyperlink"/>
            <w:rFonts w:ascii="Calibri" w:hAnsi="Calibri" w:cs="Arial"/>
            <w:sz w:val="22"/>
            <w:szCs w:val="22"/>
          </w:rPr>
          <w:t>https://adata.org/publication/service-animals-booklet</w:t>
        </w:r>
      </w:hyperlink>
      <w:r w:rsidR="0009775B">
        <w:rPr>
          <w:rFonts w:ascii="Calibri" w:hAnsi="Calibri" w:cs="Arial"/>
          <w:color w:val="000000"/>
          <w:sz w:val="22"/>
          <w:szCs w:val="22"/>
        </w:rPr>
        <w:t xml:space="preserve"> </w:t>
      </w:r>
    </w:p>
    <w:p w:rsidR="0009775B" w:rsidRDefault="0009775B" w:rsidP="0009775B">
      <w:pPr>
        <w:rPr>
          <w:rFonts w:ascii="Calibri" w:hAnsi="Calibri" w:cs="Arial"/>
          <w:color w:val="000000"/>
          <w:sz w:val="22"/>
          <w:szCs w:val="22"/>
        </w:rPr>
      </w:pPr>
    </w:p>
    <w:p w:rsidR="0009775B" w:rsidRPr="009D376B" w:rsidRDefault="0009775B" w:rsidP="0009775B">
      <w:pPr>
        <w:rPr>
          <w:rFonts w:ascii="Calibri" w:hAnsi="Calibri" w:cs="Arial"/>
          <w:b/>
          <w:color w:val="000000"/>
          <w:sz w:val="22"/>
          <w:szCs w:val="22"/>
          <w:u w:val="single"/>
        </w:rPr>
      </w:pPr>
      <w:r w:rsidRPr="009D376B">
        <w:rPr>
          <w:rFonts w:ascii="Calibri" w:hAnsi="Calibri" w:cs="Arial"/>
          <w:color w:val="000000"/>
          <w:sz w:val="22"/>
          <w:szCs w:val="22"/>
          <w:u w:val="single"/>
        </w:rPr>
        <w:t>Miniature horses</w:t>
      </w:r>
      <w:r w:rsidRPr="009D376B">
        <w:rPr>
          <w:rFonts w:ascii="Calibri" w:hAnsi="Calibri" w:cs="Arial"/>
          <w:b/>
          <w:color w:val="000000"/>
          <w:sz w:val="22"/>
          <w:szCs w:val="22"/>
          <w:u w:val="single"/>
        </w:rPr>
        <w:t xml:space="preserve">  </w:t>
      </w:r>
    </w:p>
    <w:p w:rsidR="0009775B" w:rsidRDefault="0009775B" w:rsidP="009258C6">
      <w:pPr>
        <w:numPr>
          <w:ilvl w:val="0"/>
          <w:numId w:val="38"/>
        </w:numPr>
        <w:ind w:left="360"/>
        <w:rPr>
          <w:rFonts w:ascii="Calibri" w:hAnsi="Calibri" w:cs="Arial"/>
          <w:color w:val="000000"/>
          <w:sz w:val="22"/>
          <w:szCs w:val="22"/>
          <w:shd w:val="clear" w:color="auto" w:fill="FFFFFF"/>
        </w:rPr>
      </w:pPr>
      <w:r w:rsidRPr="002E54AB">
        <w:rPr>
          <w:rFonts w:ascii="Calibri" w:hAnsi="Calibri" w:cs="Arial"/>
          <w:color w:val="000000"/>
          <w:sz w:val="22"/>
          <w:szCs w:val="22"/>
          <w:shd w:val="clear" w:color="auto" w:fill="FFFFFF"/>
        </w:rPr>
        <w:t>28 CFR 35.136</w:t>
      </w:r>
      <w:r>
        <w:rPr>
          <w:rFonts w:ascii="Calibri" w:hAnsi="Calibri" w:cs="Arial"/>
          <w:color w:val="000000"/>
          <w:sz w:val="22"/>
          <w:szCs w:val="22"/>
          <w:shd w:val="clear" w:color="auto" w:fill="FFFFFF"/>
        </w:rPr>
        <w:t>(i)</w:t>
      </w:r>
      <w:r w:rsidRPr="002E54AB">
        <w:rPr>
          <w:rFonts w:ascii="Calibri" w:hAnsi="Calibri" w:cs="Arial"/>
          <w:color w:val="000000"/>
          <w:sz w:val="22"/>
          <w:szCs w:val="22"/>
          <w:shd w:val="clear" w:color="auto" w:fill="FFFFFF"/>
        </w:rPr>
        <w:t xml:space="preserve">  </w:t>
      </w:r>
    </w:p>
    <w:p w:rsidR="0009775B" w:rsidRDefault="00CD548D" w:rsidP="0009775B">
      <w:pPr>
        <w:ind w:left="360"/>
        <w:rPr>
          <w:rFonts w:ascii="Calibri" w:hAnsi="Calibri" w:cs="Arial"/>
          <w:color w:val="000000"/>
          <w:sz w:val="22"/>
          <w:szCs w:val="22"/>
          <w:shd w:val="clear" w:color="auto" w:fill="FFFFFF"/>
        </w:rPr>
      </w:pPr>
      <w:hyperlink r:id="rId81" w:history="1">
        <w:r w:rsidR="0009775B" w:rsidRPr="00770A57">
          <w:rPr>
            <w:rStyle w:val="Hyperlink"/>
            <w:rFonts w:ascii="Calibri" w:hAnsi="Calibri" w:cs="Arial"/>
            <w:sz w:val="22"/>
            <w:szCs w:val="22"/>
            <w:shd w:val="clear" w:color="auto" w:fill="FFFFFF"/>
          </w:rPr>
          <w:t>https://www.ecfr.gov/cgi-bin/text-idx?SID=4484f0e26c14fac711aa9c1eff1a3b90&amp;mc=true&amp;node=se28.1.35_1136&amp;rgn=div8</w:t>
        </w:r>
      </w:hyperlink>
    </w:p>
    <w:p w:rsidR="0009775B" w:rsidRDefault="00CD548D" w:rsidP="00F3075A">
      <w:pPr>
        <w:pStyle w:val="ListParagraph"/>
        <w:numPr>
          <w:ilvl w:val="0"/>
          <w:numId w:val="38"/>
        </w:numPr>
        <w:spacing w:after="200" w:line="276" w:lineRule="auto"/>
        <w:ind w:left="360"/>
      </w:pPr>
      <w:hyperlink r:id="rId82" w:history="1">
        <w:r w:rsidR="0009775B" w:rsidRPr="003874A2">
          <w:rPr>
            <w:rStyle w:val="Hyperlink"/>
          </w:rPr>
          <w:t>https://adata.org/faq/i-heard-miniature-horses-are-considered-be-service-animals-ada-true</w:t>
        </w:r>
      </w:hyperlink>
    </w:p>
    <w:p w:rsidR="00E420C3" w:rsidRDefault="00E420C3" w:rsidP="001242BA">
      <w:pPr>
        <w:pStyle w:val="Heading2"/>
        <w:rPr>
          <w:color w:val="auto"/>
          <w:sz w:val="22"/>
          <w:szCs w:val="22"/>
        </w:rPr>
      </w:pPr>
      <w:bookmarkStart w:id="7" w:name="_Toc491939228"/>
    </w:p>
    <w:p w:rsidR="00E420C3" w:rsidRPr="00E420C3" w:rsidRDefault="00E420C3" w:rsidP="00E420C3"/>
    <w:p w:rsidR="00E420C3" w:rsidRDefault="00E420C3" w:rsidP="001242BA">
      <w:pPr>
        <w:pStyle w:val="Heading2"/>
        <w:rPr>
          <w:color w:val="auto"/>
          <w:sz w:val="22"/>
          <w:szCs w:val="22"/>
        </w:rPr>
      </w:pPr>
    </w:p>
    <w:p w:rsidR="00E420C3" w:rsidRDefault="00E420C3" w:rsidP="00E420C3"/>
    <w:p w:rsidR="00E420C3" w:rsidRDefault="00E420C3" w:rsidP="00E420C3"/>
    <w:p w:rsidR="00E420C3" w:rsidRDefault="00E420C3" w:rsidP="00E420C3"/>
    <w:p w:rsidR="00E420C3" w:rsidRDefault="00E420C3" w:rsidP="00E420C3"/>
    <w:p w:rsidR="00E420C3" w:rsidRDefault="00E420C3" w:rsidP="00E420C3"/>
    <w:p w:rsidR="00E420C3" w:rsidRDefault="00E420C3" w:rsidP="00E420C3"/>
    <w:p w:rsidR="00E420C3" w:rsidRPr="00E420C3" w:rsidRDefault="00E420C3" w:rsidP="00E420C3"/>
    <w:p w:rsidR="0009775B" w:rsidRPr="001242BA" w:rsidRDefault="00E420C3" w:rsidP="001242BA">
      <w:pPr>
        <w:pStyle w:val="Heading2"/>
        <w:rPr>
          <w:color w:val="auto"/>
          <w:sz w:val="22"/>
          <w:szCs w:val="22"/>
        </w:rPr>
      </w:pPr>
      <w:r>
        <w:rPr>
          <w:color w:val="auto"/>
          <w:sz w:val="22"/>
          <w:szCs w:val="22"/>
        </w:rPr>
        <w:lastRenderedPageBreak/>
        <w:t>A</w:t>
      </w:r>
      <w:r w:rsidR="0009775B" w:rsidRPr="001242BA">
        <w:rPr>
          <w:color w:val="auto"/>
          <w:sz w:val="22"/>
          <w:szCs w:val="22"/>
        </w:rPr>
        <w:t>ppendix B: Programs covered by this policy</w:t>
      </w:r>
      <w:bookmarkEnd w:id="7"/>
    </w:p>
    <w:p w:rsidR="0009775B" w:rsidRPr="001F0E62" w:rsidRDefault="0009775B" w:rsidP="0009775B">
      <w:pPr>
        <w:rPr>
          <w:sz w:val="22"/>
          <w:szCs w:val="22"/>
        </w:rPr>
      </w:pPr>
    </w:p>
    <w:p w:rsidR="0009775B" w:rsidRPr="00EB6D19" w:rsidRDefault="0009775B" w:rsidP="0009775B">
      <w:pPr>
        <w:rPr>
          <w:rFonts w:ascii="Calibri" w:hAnsi="Calibri"/>
          <w:sz w:val="22"/>
          <w:szCs w:val="22"/>
        </w:rPr>
      </w:pPr>
      <w:r w:rsidRPr="00EB6D19">
        <w:rPr>
          <w:rFonts w:ascii="Calibri" w:hAnsi="Calibri"/>
          <w:sz w:val="22"/>
          <w:szCs w:val="22"/>
        </w:rPr>
        <w:t>Title I programs and all programs identified under WIOA Section 121(b) whenever they participate as part of the WIOA one-stop system are covered by this policy.  See 29 CFR 38 Preamble Page 87138 Federal Register December 2, 2016, which further explains 20 CFR 38.2.</w:t>
      </w:r>
    </w:p>
    <w:p w:rsidR="0009775B" w:rsidRPr="00EB6D19" w:rsidRDefault="0009775B" w:rsidP="0009775B">
      <w:pPr>
        <w:rPr>
          <w:rFonts w:ascii="Calibri" w:hAnsi="Calibri"/>
          <w:sz w:val="22"/>
          <w:szCs w:val="22"/>
        </w:rPr>
      </w:pPr>
      <w:r w:rsidRPr="00EB6D19">
        <w:rPr>
          <w:rFonts w:ascii="Calibri" w:hAnsi="Calibri"/>
          <w:sz w:val="22"/>
          <w:szCs w:val="22"/>
        </w:rPr>
        <w:t xml:space="preserve">This includes the following entities who participate in the one-stop system: </w:t>
      </w:r>
    </w:p>
    <w:p w:rsidR="0009775B" w:rsidRPr="001F0E62" w:rsidRDefault="0009775B" w:rsidP="0009775B">
      <w:pPr>
        <w:rPr>
          <w:sz w:val="22"/>
          <w:szCs w:val="22"/>
        </w:rPr>
      </w:pPr>
    </w:p>
    <w:p w:rsidR="0009775B" w:rsidRPr="001F0E62" w:rsidRDefault="0009775B" w:rsidP="009258C6">
      <w:pPr>
        <w:pStyle w:val="ListParagraph"/>
        <w:numPr>
          <w:ilvl w:val="0"/>
          <w:numId w:val="4"/>
        </w:numPr>
        <w:contextualSpacing w:val="0"/>
      </w:pPr>
      <w:r w:rsidRPr="001F0E62">
        <w:t xml:space="preserve">Title I – Formula Funded service providers of Adult, Dislocated Worker and Youth Services  and National Dislocated Worker Grant which include: </w:t>
      </w:r>
    </w:p>
    <w:p w:rsidR="0009775B" w:rsidRPr="001F0E62" w:rsidRDefault="0009775B" w:rsidP="009258C6">
      <w:pPr>
        <w:pStyle w:val="ListParagraph"/>
        <w:numPr>
          <w:ilvl w:val="0"/>
          <w:numId w:val="40"/>
        </w:numPr>
        <w:ind w:left="1080"/>
        <w:contextualSpacing w:val="0"/>
      </w:pPr>
      <w:r w:rsidRPr="001F0E62">
        <w:t>Aroostook County Action Program (ACAP) in Aroostook County</w:t>
      </w:r>
    </w:p>
    <w:p w:rsidR="0009775B" w:rsidRPr="001F0E62" w:rsidRDefault="0009775B" w:rsidP="009258C6">
      <w:pPr>
        <w:pStyle w:val="ListParagraph"/>
        <w:numPr>
          <w:ilvl w:val="0"/>
          <w:numId w:val="40"/>
        </w:numPr>
        <w:ind w:left="1080"/>
        <w:contextualSpacing w:val="0"/>
      </w:pPr>
      <w:r w:rsidRPr="001F0E62">
        <w:t>Eastern Maine Development Corp. in Penobscot, Piscataquis and Hancock Counties</w:t>
      </w:r>
    </w:p>
    <w:p w:rsidR="0009775B" w:rsidRPr="001F0E62" w:rsidRDefault="0009775B" w:rsidP="009258C6">
      <w:pPr>
        <w:pStyle w:val="ListParagraph"/>
        <w:numPr>
          <w:ilvl w:val="0"/>
          <w:numId w:val="40"/>
        </w:numPr>
        <w:ind w:left="1080"/>
        <w:contextualSpacing w:val="0"/>
      </w:pPr>
      <w:r w:rsidRPr="001F0E62">
        <w:t>Western Maine Community Action in Androscoggin, Franklin, and Oxford Counties</w:t>
      </w:r>
    </w:p>
    <w:p w:rsidR="0009775B" w:rsidRPr="001F0E62" w:rsidRDefault="0009775B" w:rsidP="009258C6">
      <w:pPr>
        <w:pStyle w:val="ListParagraph"/>
        <w:numPr>
          <w:ilvl w:val="0"/>
          <w:numId w:val="40"/>
        </w:numPr>
        <w:ind w:left="1080"/>
        <w:contextualSpacing w:val="0"/>
      </w:pPr>
      <w:r w:rsidRPr="001F0E62">
        <w:t>Goodwill Industries in Cumberland, Lincoln, Knox, Sagadahoc, Waldo, and York Counties</w:t>
      </w:r>
    </w:p>
    <w:p w:rsidR="0009775B" w:rsidRPr="001F0E62" w:rsidRDefault="0009775B" w:rsidP="009258C6">
      <w:pPr>
        <w:pStyle w:val="ListParagraph"/>
        <w:numPr>
          <w:ilvl w:val="0"/>
          <w:numId w:val="40"/>
        </w:numPr>
        <w:ind w:left="1080"/>
        <w:contextualSpacing w:val="0"/>
      </w:pPr>
      <w:r w:rsidRPr="001F0E62">
        <w:t>Bureau of Employment Services Direct Delivery in Kennebec, Somerset and Washington Counties</w:t>
      </w:r>
    </w:p>
    <w:p w:rsidR="0009775B" w:rsidRPr="001F0E62" w:rsidRDefault="0009775B" w:rsidP="009258C6">
      <w:pPr>
        <w:pStyle w:val="ListParagraph"/>
        <w:numPr>
          <w:ilvl w:val="0"/>
          <w:numId w:val="4"/>
        </w:numPr>
        <w:contextualSpacing w:val="0"/>
      </w:pPr>
      <w:r w:rsidRPr="001F0E62">
        <w:t>Title I – Job Corps Programs in Penobscot and Aroostook Counties – statewide services</w:t>
      </w:r>
    </w:p>
    <w:p w:rsidR="0009775B" w:rsidRPr="001F0E62" w:rsidRDefault="0009775B" w:rsidP="009258C6">
      <w:pPr>
        <w:pStyle w:val="ListParagraph"/>
        <w:numPr>
          <w:ilvl w:val="0"/>
          <w:numId w:val="4"/>
        </w:numPr>
        <w:contextualSpacing w:val="0"/>
      </w:pPr>
      <w:r w:rsidRPr="001F0E62">
        <w:t xml:space="preserve">Title I – Penobscot Indian Nation (Native American Programs) Penobscot County </w:t>
      </w:r>
    </w:p>
    <w:p w:rsidR="0009775B" w:rsidRPr="001F0E62" w:rsidRDefault="0009775B" w:rsidP="009258C6">
      <w:pPr>
        <w:pStyle w:val="ListParagraph"/>
        <w:numPr>
          <w:ilvl w:val="0"/>
          <w:numId w:val="4"/>
        </w:numPr>
        <w:contextualSpacing w:val="0"/>
      </w:pPr>
      <w:r w:rsidRPr="001F0E62">
        <w:t>Title I – Migrant &amp; Seasonal Farmworker Programs  (MSFW) - statewide services</w:t>
      </w:r>
    </w:p>
    <w:p w:rsidR="0009775B" w:rsidRPr="001F0E62" w:rsidRDefault="0009775B" w:rsidP="009258C6">
      <w:pPr>
        <w:pStyle w:val="ListParagraph"/>
        <w:numPr>
          <w:ilvl w:val="1"/>
          <w:numId w:val="41"/>
        </w:numPr>
        <w:contextualSpacing w:val="0"/>
      </w:pPr>
      <w:r w:rsidRPr="001F0E62">
        <w:t xml:space="preserve">Bureau of Employment Services for MSFW administration </w:t>
      </w:r>
    </w:p>
    <w:p w:rsidR="0009775B" w:rsidRPr="001F0E62" w:rsidRDefault="0009775B" w:rsidP="009258C6">
      <w:pPr>
        <w:pStyle w:val="ListParagraph"/>
        <w:numPr>
          <w:ilvl w:val="1"/>
          <w:numId w:val="41"/>
        </w:numPr>
        <w:contextualSpacing w:val="0"/>
      </w:pPr>
      <w:r w:rsidRPr="001F0E62">
        <w:t>Eastern Maine Development Corporation for National Farmworker Jobs Program (NFJP)</w:t>
      </w:r>
    </w:p>
    <w:p w:rsidR="0009775B" w:rsidRPr="001F0E62" w:rsidRDefault="0009775B" w:rsidP="009258C6">
      <w:pPr>
        <w:pStyle w:val="ListParagraph"/>
        <w:numPr>
          <w:ilvl w:val="0"/>
          <w:numId w:val="39"/>
        </w:numPr>
        <w:contextualSpacing w:val="0"/>
      </w:pPr>
      <w:r w:rsidRPr="001F0E62">
        <w:t>Title I – Youthbuild Programs in Cumberland County</w:t>
      </w:r>
    </w:p>
    <w:p w:rsidR="0009775B" w:rsidRPr="001F0E62" w:rsidRDefault="0009775B" w:rsidP="009258C6">
      <w:pPr>
        <w:pStyle w:val="ListParagraph"/>
        <w:numPr>
          <w:ilvl w:val="0"/>
          <w:numId w:val="39"/>
        </w:numPr>
        <w:contextualSpacing w:val="0"/>
      </w:pPr>
      <w:r w:rsidRPr="001F0E62">
        <w:t>Title II – Adult Education providers of AEFLA multiple sites statewide</w:t>
      </w:r>
    </w:p>
    <w:p w:rsidR="0009775B" w:rsidRPr="001F0E62" w:rsidRDefault="0009775B" w:rsidP="009258C6">
      <w:pPr>
        <w:pStyle w:val="ListParagraph"/>
        <w:numPr>
          <w:ilvl w:val="0"/>
          <w:numId w:val="39"/>
        </w:numPr>
        <w:contextualSpacing w:val="0"/>
      </w:pPr>
      <w:r w:rsidRPr="001F0E62">
        <w:t>Title III – Wagner Peyser Act - Bureau of Employment Services Labor Exchange Services all 16 counties</w:t>
      </w:r>
    </w:p>
    <w:p w:rsidR="0009775B" w:rsidRPr="001F0E62" w:rsidRDefault="0009775B" w:rsidP="009258C6">
      <w:pPr>
        <w:pStyle w:val="ListParagraph"/>
        <w:numPr>
          <w:ilvl w:val="0"/>
          <w:numId w:val="39"/>
        </w:numPr>
        <w:contextualSpacing w:val="0"/>
      </w:pPr>
      <w:r w:rsidRPr="001F0E62">
        <w:t xml:space="preserve">Title IV – Bureau of Rehabilitation Services and Subcontracted service </w:t>
      </w:r>
    </w:p>
    <w:p w:rsidR="0009775B" w:rsidRPr="001F0E62" w:rsidRDefault="0009775B" w:rsidP="009258C6">
      <w:pPr>
        <w:pStyle w:val="ListParagraph"/>
        <w:numPr>
          <w:ilvl w:val="0"/>
          <w:numId w:val="39"/>
        </w:numPr>
        <w:contextualSpacing w:val="0"/>
      </w:pPr>
      <w:r w:rsidRPr="001F0E62">
        <w:t xml:space="preserve">WIOA Required Partners as follows: </w:t>
      </w:r>
    </w:p>
    <w:p w:rsidR="0009775B" w:rsidRPr="001F0E62" w:rsidRDefault="0009775B" w:rsidP="009258C6">
      <w:pPr>
        <w:pStyle w:val="ListParagraph"/>
        <w:numPr>
          <w:ilvl w:val="1"/>
          <w:numId w:val="42"/>
        </w:numPr>
        <w:contextualSpacing w:val="0"/>
      </w:pPr>
      <w:r w:rsidRPr="001F0E62">
        <w:t>Senior Community Service Employment Program (SCSEP) currently administered by Maine DHHS and provided by Able ME and Goodwill Industries NNE</w:t>
      </w:r>
    </w:p>
    <w:p w:rsidR="0009775B" w:rsidRPr="001F0E62" w:rsidRDefault="0009775B" w:rsidP="009258C6">
      <w:pPr>
        <w:pStyle w:val="ListParagraph"/>
        <w:numPr>
          <w:ilvl w:val="1"/>
          <w:numId w:val="42"/>
        </w:numPr>
        <w:contextualSpacing w:val="0"/>
      </w:pPr>
      <w:r w:rsidRPr="001F0E62">
        <w:t>Carl Perkins Act Post-Secondary Programs currently administered by Maine Department of Education and provided by the seven campuses of the Maine Community College System</w:t>
      </w:r>
    </w:p>
    <w:p w:rsidR="0009775B" w:rsidRPr="001F0E62" w:rsidRDefault="0009775B" w:rsidP="009258C6">
      <w:pPr>
        <w:pStyle w:val="ListParagraph"/>
        <w:numPr>
          <w:ilvl w:val="1"/>
          <w:numId w:val="42"/>
        </w:numPr>
        <w:contextualSpacing w:val="0"/>
      </w:pPr>
      <w:r w:rsidRPr="001F0E62">
        <w:t>Trade Assistance Act – administered and provided by Bureau of Employment Services</w:t>
      </w:r>
    </w:p>
    <w:p w:rsidR="0009775B" w:rsidRPr="001F0E62" w:rsidRDefault="0009775B" w:rsidP="009258C6">
      <w:pPr>
        <w:pStyle w:val="ListParagraph"/>
        <w:numPr>
          <w:ilvl w:val="1"/>
          <w:numId w:val="42"/>
        </w:numPr>
        <w:contextualSpacing w:val="0"/>
      </w:pPr>
      <w:r w:rsidRPr="001F0E62">
        <w:t>Jobs for State Veteran’s Grants (JSVG) – administered and provided by Bureau of Employment Services</w:t>
      </w:r>
    </w:p>
    <w:p w:rsidR="0009775B" w:rsidRPr="001F0E62" w:rsidRDefault="0009775B" w:rsidP="009258C6">
      <w:pPr>
        <w:pStyle w:val="ListParagraph"/>
        <w:numPr>
          <w:ilvl w:val="1"/>
          <w:numId w:val="42"/>
        </w:numPr>
        <w:contextualSpacing w:val="0"/>
      </w:pPr>
      <w:r w:rsidRPr="001F0E62">
        <w:t>Community Services Block Grant – administered by Maine Department of Health and Human Services and provided through various agencies, including most Community Action Programs;</w:t>
      </w:r>
    </w:p>
    <w:p w:rsidR="0009775B" w:rsidRPr="001F0E62" w:rsidRDefault="0009775B" w:rsidP="009258C6">
      <w:pPr>
        <w:pStyle w:val="ListParagraph"/>
        <w:numPr>
          <w:ilvl w:val="1"/>
          <w:numId w:val="42"/>
        </w:numPr>
        <w:contextualSpacing w:val="0"/>
      </w:pPr>
      <w:r w:rsidRPr="001F0E62">
        <w:t>Employment &amp; Training Grants of Housing &amp; Urban Development (HUD) administered by HUD and delivered by a variety of agencies including Housing Authorities, CAP agencies and others</w:t>
      </w:r>
    </w:p>
    <w:p w:rsidR="0009775B" w:rsidRPr="001F0E62" w:rsidRDefault="0009775B" w:rsidP="009258C6">
      <w:pPr>
        <w:pStyle w:val="ListParagraph"/>
        <w:numPr>
          <w:ilvl w:val="1"/>
          <w:numId w:val="42"/>
        </w:numPr>
        <w:contextualSpacing w:val="0"/>
      </w:pPr>
      <w:r w:rsidRPr="001F0E62">
        <w:t>Unemployment Compensation &amp; RESEA administered by Bureau of Unemployment Compensation and provided by BUC and BES</w:t>
      </w:r>
    </w:p>
    <w:p w:rsidR="0009775B" w:rsidRPr="001F0E62" w:rsidRDefault="0009775B" w:rsidP="009258C6">
      <w:pPr>
        <w:pStyle w:val="ListParagraph"/>
        <w:numPr>
          <w:ilvl w:val="1"/>
          <w:numId w:val="42"/>
        </w:numPr>
        <w:contextualSpacing w:val="0"/>
      </w:pPr>
      <w:r w:rsidRPr="001F0E62">
        <w:t xml:space="preserve">Second Chance Act – Employment &amp; Training Funds for individuals leaving the Corrections System, currently administered by Maine Department of Corrections and services provided by a variety of agencies, including some listed above </w:t>
      </w:r>
    </w:p>
    <w:p w:rsidR="0009775B" w:rsidRPr="001F0E62" w:rsidRDefault="0009775B" w:rsidP="009258C6">
      <w:pPr>
        <w:pStyle w:val="ListParagraph"/>
        <w:numPr>
          <w:ilvl w:val="1"/>
          <w:numId w:val="42"/>
        </w:numPr>
        <w:contextualSpacing w:val="0"/>
      </w:pPr>
      <w:r w:rsidRPr="001F0E62">
        <w:t>Eligible Training Providers approved for WIOA training purposes, includes over 300 providers of occupational or educational training services, including community colleges, trade schools, adult education, universities, apprenticeship programs and more</w:t>
      </w:r>
    </w:p>
    <w:p w:rsidR="0009775B" w:rsidRDefault="0009775B" w:rsidP="009258C6">
      <w:pPr>
        <w:pStyle w:val="ListParagraph"/>
        <w:numPr>
          <w:ilvl w:val="1"/>
          <w:numId w:val="42"/>
        </w:numPr>
        <w:contextualSpacing w:val="0"/>
      </w:pPr>
      <w:r w:rsidRPr="001F0E62">
        <w:t>Employers that provide Work Experience, On-the-Job Training, Transitional Jobs Training, Customized Training, or Incumbent Worker Training funded by WIOA.</w:t>
      </w:r>
    </w:p>
    <w:p w:rsidR="0009775B" w:rsidRPr="001242BA" w:rsidRDefault="0009775B" w:rsidP="001242BA">
      <w:pPr>
        <w:pStyle w:val="Heading2"/>
        <w:rPr>
          <w:color w:val="auto"/>
          <w:sz w:val="22"/>
          <w:szCs w:val="22"/>
        </w:rPr>
      </w:pPr>
      <w:bookmarkStart w:id="8" w:name="_Toc491939229"/>
      <w:r w:rsidRPr="001242BA">
        <w:rPr>
          <w:color w:val="auto"/>
          <w:sz w:val="22"/>
          <w:szCs w:val="22"/>
        </w:rPr>
        <w:lastRenderedPageBreak/>
        <w:t>Appendix C: Other related statutes, rules and policies</w:t>
      </w:r>
      <w:bookmarkEnd w:id="8"/>
    </w:p>
    <w:p w:rsidR="0009775B" w:rsidRDefault="0009775B" w:rsidP="0009775B">
      <w:pPr>
        <w:pStyle w:val="ListParagraph"/>
        <w:contextualSpacing w:val="0"/>
      </w:pPr>
    </w:p>
    <w:p w:rsidR="0009775B" w:rsidRPr="0004121D" w:rsidRDefault="0009775B" w:rsidP="009258C6">
      <w:pPr>
        <w:pStyle w:val="ListParagraph"/>
        <w:numPr>
          <w:ilvl w:val="0"/>
          <w:numId w:val="43"/>
        </w:numPr>
        <w:rPr>
          <w:rFonts w:cs="Utsaah"/>
        </w:rPr>
      </w:pPr>
      <w:r w:rsidRPr="0004121D">
        <w:rPr>
          <w:rFonts w:cs="Utsaah"/>
        </w:rPr>
        <w:t>Americans with Disabilities Act</w:t>
      </w:r>
      <w:r>
        <w:rPr>
          <w:rFonts w:cs="Utsaah"/>
        </w:rPr>
        <w:t xml:space="preserve"> of 1990</w:t>
      </w:r>
      <w:r w:rsidRPr="0004121D">
        <w:rPr>
          <w:rFonts w:cs="Utsaah"/>
        </w:rPr>
        <w:t>, as amended</w:t>
      </w:r>
      <w:r>
        <w:rPr>
          <w:rFonts w:cs="Utsaah"/>
        </w:rPr>
        <w:t xml:space="preserve"> (ADA)</w:t>
      </w:r>
    </w:p>
    <w:p w:rsidR="0009775B" w:rsidRPr="0004121D" w:rsidRDefault="0009775B" w:rsidP="009258C6">
      <w:pPr>
        <w:pStyle w:val="ListParagraph"/>
        <w:numPr>
          <w:ilvl w:val="0"/>
          <w:numId w:val="43"/>
        </w:numPr>
        <w:rPr>
          <w:rFonts w:cs="Utsaah"/>
        </w:rPr>
      </w:pPr>
      <w:r w:rsidRPr="0004121D">
        <w:rPr>
          <w:rFonts w:cs="Utsaah"/>
        </w:rPr>
        <w:t>Section</w:t>
      </w:r>
      <w:r>
        <w:rPr>
          <w:rFonts w:cs="Utsaah"/>
        </w:rPr>
        <w:t>s</w:t>
      </w:r>
      <w:r w:rsidRPr="0004121D">
        <w:rPr>
          <w:rFonts w:cs="Utsaah"/>
        </w:rPr>
        <w:t xml:space="preserve"> 50</w:t>
      </w:r>
      <w:r>
        <w:rPr>
          <w:rFonts w:cs="Utsaah"/>
        </w:rPr>
        <w:t>3 and 504</w:t>
      </w:r>
      <w:r w:rsidRPr="0004121D">
        <w:rPr>
          <w:rFonts w:cs="Utsaah"/>
        </w:rPr>
        <w:t xml:space="preserve"> of the Rehabilitation Act of 1973, as amended</w:t>
      </w:r>
    </w:p>
    <w:p w:rsidR="0009775B" w:rsidRPr="0004121D" w:rsidRDefault="0009775B" w:rsidP="009258C6">
      <w:pPr>
        <w:pStyle w:val="ListParagraph"/>
        <w:numPr>
          <w:ilvl w:val="0"/>
          <w:numId w:val="43"/>
        </w:numPr>
        <w:rPr>
          <w:rFonts w:cs="Utsaah"/>
        </w:rPr>
      </w:pPr>
      <w:r w:rsidRPr="0004121D">
        <w:t>Section 508 of the Rehabilitation Act (29 U.S.C. 794d), as amended</w:t>
      </w:r>
    </w:p>
    <w:p w:rsidR="0009775B" w:rsidRDefault="0009775B" w:rsidP="009258C6">
      <w:pPr>
        <w:pStyle w:val="ListParagraph"/>
        <w:numPr>
          <w:ilvl w:val="0"/>
          <w:numId w:val="43"/>
        </w:numPr>
        <w:rPr>
          <w:rFonts w:cs="Utsaah"/>
        </w:rPr>
      </w:pPr>
      <w:r w:rsidRPr="0004121D">
        <w:rPr>
          <w:rFonts w:cs="Utsaah"/>
        </w:rPr>
        <w:t xml:space="preserve">Age Discrimination Act of 1975, as amended 34 CFR 110 </w:t>
      </w:r>
    </w:p>
    <w:p w:rsidR="0009775B" w:rsidRDefault="0009775B" w:rsidP="009258C6">
      <w:pPr>
        <w:pStyle w:val="ListParagraph"/>
        <w:numPr>
          <w:ilvl w:val="0"/>
          <w:numId w:val="43"/>
        </w:numPr>
        <w:rPr>
          <w:rFonts w:cs="Utsaah"/>
        </w:rPr>
      </w:pPr>
      <w:r>
        <w:rPr>
          <w:rFonts w:cs="Utsaah"/>
        </w:rPr>
        <w:t>Age Discrimination in Employment Act of 1967, as amended</w:t>
      </w:r>
    </w:p>
    <w:p w:rsidR="0009775B" w:rsidRPr="0004121D" w:rsidRDefault="0009775B" w:rsidP="009258C6">
      <w:pPr>
        <w:pStyle w:val="ListParagraph"/>
        <w:numPr>
          <w:ilvl w:val="0"/>
          <w:numId w:val="43"/>
        </w:numPr>
        <w:rPr>
          <w:rFonts w:cs="Utsaah"/>
        </w:rPr>
      </w:pPr>
      <w:r>
        <w:rPr>
          <w:rFonts w:cs="Utsaah"/>
        </w:rPr>
        <w:t>Title VII of the Civil Rights Act of 1964, as amended</w:t>
      </w:r>
    </w:p>
    <w:p w:rsidR="0009775B" w:rsidRDefault="0009775B" w:rsidP="009258C6">
      <w:pPr>
        <w:pStyle w:val="ListParagraph"/>
        <w:numPr>
          <w:ilvl w:val="0"/>
          <w:numId w:val="43"/>
        </w:numPr>
        <w:rPr>
          <w:rFonts w:cs="Utsaah"/>
        </w:rPr>
      </w:pPr>
      <w:r w:rsidRPr="0004121D">
        <w:rPr>
          <w:rFonts w:cs="Utsaah"/>
        </w:rPr>
        <w:t>Title IX of the Education Amendments of 1972, as amended</w:t>
      </w:r>
    </w:p>
    <w:p w:rsidR="0009775B" w:rsidRDefault="0009775B" w:rsidP="009258C6">
      <w:pPr>
        <w:pStyle w:val="ListParagraph"/>
        <w:numPr>
          <w:ilvl w:val="0"/>
          <w:numId w:val="43"/>
        </w:numPr>
        <w:rPr>
          <w:rFonts w:cs="Utsaah"/>
        </w:rPr>
      </w:pPr>
      <w:r w:rsidRPr="00782BC0">
        <w:rPr>
          <w:rFonts w:cs="Utsaah"/>
        </w:rPr>
        <w:t xml:space="preserve">Individuals with Disabilities Education Act (IDEA) </w:t>
      </w:r>
    </w:p>
    <w:p w:rsidR="0009775B" w:rsidRDefault="0009775B" w:rsidP="009258C6">
      <w:pPr>
        <w:pStyle w:val="ListParagraph"/>
        <w:numPr>
          <w:ilvl w:val="0"/>
          <w:numId w:val="43"/>
        </w:numPr>
        <w:rPr>
          <w:rFonts w:cs="Utsaah"/>
        </w:rPr>
      </w:pPr>
      <w:r>
        <w:rPr>
          <w:rFonts w:cs="Utsaah"/>
        </w:rPr>
        <w:t>Affirmative action provisions of the Vietnam Era Veterans’ Readjustment Assistance Act of 1974, as amended</w:t>
      </w:r>
    </w:p>
    <w:p w:rsidR="0009775B" w:rsidRDefault="0009775B" w:rsidP="009258C6">
      <w:pPr>
        <w:pStyle w:val="ListParagraph"/>
        <w:numPr>
          <w:ilvl w:val="0"/>
          <w:numId w:val="43"/>
        </w:numPr>
        <w:rPr>
          <w:rFonts w:cs="Utsaah"/>
        </w:rPr>
      </w:pPr>
      <w:r>
        <w:rPr>
          <w:rFonts w:cs="Utsaah"/>
        </w:rPr>
        <w:t>Anti-discrimination provision of the Immigration and Nationality Act, as amended</w:t>
      </w:r>
    </w:p>
    <w:p w:rsidR="0009775B" w:rsidRDefault="0009775B" w:rsidP="009258C6">
      <w:pPr>
        <w:pStyle w:val="ListParagraph"/>
        <w:numPr>
          <w:ilvl w:val="0"/>
          <w:numId w:val="43"/>
        </w:numPr>
        <w:rPr>
          <w:rFonts w:cs="Utsaah"/>
        </w:rPr>
      </w:pPr>
      <w:r>
        <w:rPr>
          <w:rFonts w:cs="Utsaah"/>
        </w:rPr>
        <w:t>Equal Pay Act of 1963, as amended</w:t>
      </w:r>
    </w:p>
    <w:p w:rsidR="0009775B" w:rsidRPr="00782BC0" w:rsidRDefault="0009775B" w:rsidP="009258C6">
      <w:pPr>
        <w:pStyle w:val="ListParagraph"/>
        <w:numPr>
          <w:ilvl w:val="0"/>
          <w:numId w:val="43"/>
        </w:numPr>
        <w:rPr>
          <w:rFonts w:cs="Utsaah"/>
        </w:rPr>
      </w:pPr>
      <w:r w:rsidRPr="00782BC0">
        <w:rPr>
          <w:rFonts w:cs="Utsaah"/>
        </w:rPr>
        <w:t>Federal Executive Order 11246, as amended</w:t>
      </w:r>
    </w:p>
    <w:p w:rsidR="0009775B" w:rsidRDefault="0009775B" w:rsidP="009258C6">
      <w:pPr>
        <w:pStyle w:val="ListParagraph"/>
        <w:numPr>
          <w:ilvl w:val="0"/>
          <w:numId w:val="43"/>
        </w:numPr>
        <w:rPr>
          <w:rFonts w:cs="Utsaah"/>
        </w:rPr>
      </w:pPr>
      <w:r>
        <w:rPr>
          <w:rFonts w:cs="Utsaah"/>
        </w:rPr>
        <w:t>Federal Executive order 13160</w:t>
      </w:r>
    </w:p>
    <w:p w:rsidR="00C64A5E" w:rsidRPr="00453220" w:rsidRDefault="00C64A5E" w:rsidP="00C64A5E">
      <w:pPr>
        <w:pStyle w:val="ListParagraph"/>
        <w:numPr>
          <w:ilvl w:val="0"/>
          <w:numId w:val="43"/>
        </w:numPr>
        <w:rPr>
          <w:rFonts w:cs="Utsaah"/>
          <w:sz w:val="20"/>
          <w:szCs w:val="20"/>
        </w:rPr>
      </w:pPr>
      <w:r w:rsidRPr="00BC458F">
        <w:rPr>
          <w:rFonts w:cs="Utsaah"/>
          <w:sz w:val="20"/>
          <w:szCs w:val="20"/>
        </w:rPr>
        <w:t xml:space="preserve">MRSA 5 Chapter 337 </w:t>
      </w:r>
      <w:r>
        <w:rPr>
          <w:rFonts w:cs="Utsaah"/>
          <w:sz w:val="20"/>
          <w:szCs w:val="20"/>
        </w:rPr>
        <w:t xml:space="preserve">Maine </w:t>
      </w:r>
      <w:r w:rsidRPr="00BC458F">
        <w:rPr>
          <w:rFonts w:cs="Utsaah"/>
          <w:sz w:val="20"/>
          <w:szCs w:val="20"/>
        </w:rPr>
        <w:t>Human Rights Act</w:t>
      </w:r>
    </w:p>
    <w:p w:rsidR="0009775B" w:rsidRPr="004768EB" w:rsidRDefault="00313620" w:rsidP="009258C6">
      <w:pPr>
        <w:pStyle w:val="ListParagraph"/>
        <w:numPr>
          <w:ilvl w:val="0"/>
          <w:numId w:val="43"/>
        </w:numPr>
        <w:rPr>
          <w:rFonts w:cs="Utsaah"/>
        </w:rPr>
      </w:pPr>
      <w:r>
        <w:rPr>
          <w:rFonts w:cs="Utsaah"/>
        </w:rPr>
        <w:t xml:space="preserve">Maine </w:t>
      </w:r>
      <w:r w:rsidR="0009775B">
        <w:rPr>
          <w:rFonts w:cs="Utsaah"/>
        </w:rPr>
        <w:t xml:space="preserve">Department of Labor Policy No. 001  </w:t>
      </w:r>
      <w:r w:rsidR="0009775B" w:rsidRPr="00861128">
        <w:rPr>
          <w:rFonts w:cs="Utsaah"/>
          <w:i/>
        </w:rPr>
        <w:t>Policy and Procedure for Processing Requests from Employees and Applicants for Reasonable Accommodation</w:t>
      </w:r>
    </w:p>
    <w:p w:rsidR="0009775B" w:rsidRPr="0004121D" w:rsidRDefault="0009775B" w:rsidP="009258C6">
      <w:pPr>
        <w:pStyle w:val="ListParagraph"/>
        <w:numPr>
          <w:ilvl w:val="0"/>
          <w:numId w:val="43"/>
        </w:numPr>
        <w:rPr>
          <w:rFonts w:cs="Utsaah"/>
        </w:rPr>
      </w:pPr>
      <w:r w:rsidRPr="0004121D">
        <w:rPr>
          <w:rFonts w:cs="Utsaah"/>
        </w:rPr>
        <w:t xml:space="preserve">Maine Department of Labor Policy No. </w:t>
      </w:r>
      <w:r>
        <w:rPr>
          <w:rFonts w:cs="Utsaah"/>
        </w:rPr>
        <w:t>0</w:t>
      </w:r>
      <w:r w:rsidRPr="0004121D">
        <w:rPr>
          <w:rFonts w:cs="Utsaah"/>
        </w:rPr>
        <w:t xml:space="preserve">13 </w:t>
      </w:r>
      <w:r w:rsidRPr="00861128">
        <w:rPr>
          <w:rFonts w:cs="Utsaah"/>
          <w:i/>
        </w:rPr>
        <w:t>Universal Access</w:t>
      </w:r>
    </w:p>
    <w:p w:rsidR="0009775B" w:rsidRPr="00ED40A9" w:rsidRDefault="0009775B" w:rsidP="009258C6">
      <w:pPr>
        <w:pStyle w:val="ListParagraph"/>
        <w:numPr>
          <w:ilvl w:val="0"/>
          <w:numId w:val="43"/>
        </w:numPr>
        <w:contextualSpacing w:val="0"/>
      </w:pPr>
      <w:r w:rsidRPr="0004121D">
        <w:rPr>
          <w:rFonts w:cs="Utsaah"/>
        </w:rPr>
        <w:t xml:space="preserve">Maine Department of Labor Policy No. </w:t>
      </w:r>
      <w:r>
        <w:rPr>
          <w:rFonts w:cs="Utsaah"/>
        </w:rPr>
        <w:t>0</w:t>
      </w:r>
      <w:r w:rsidRPr="0004121D">
        <w:rPr>
          <w:rFonts w:cs="Utsaah"/>
        </w:rPr>
        <w:t xml:space="preserve">14 </w:t>
      </w:r>
      <w:r w:rsidRPr="00861128">
        <w:rPr>
          <w:rFonts w:cs="Utsaah"/>
          <w:i/>
        </w:rPr>
        <w:t>Equal Employment Opportunity/Affirmative Action</w:t>
      </w:r>
    </w:p>
    <w:p w:rsidR="0009775B" w:rsidRPr="003B084E" w:rsidRDefault="0009775B" w:rsidP="009258C6">
      <w:pPr>
        <w:pStyle w:val="ListParagraph"/>
        <w:numPr>
          <w:ilvl w:val="0"/>
          <w:numId w:val="43"/>
        </w:numPr>
        <w:contextualSpacing w:val="0"/>
      </w:pPr>
      <w:r w:rsidRPr="00ED40A9">
        <w:rPr>
          <w:rFonts w:cs="Utsaah"/>
        </w:rPr>
        <w:t xml:space="preserve">Maine Department of Labor </w:t>
      </w:r>
      <w:r>
        <w:rPr>
          <w:rFonts w:cs="Utsaah"/>
        </w:rPr>
        <w:t xml:space="preserve">Administrative </w:t>
      </w:r>
      <w:r w:rsidRPr="00ED40A9">
        <w:rPr>
          <w:rFonts w:cs="Utsaah"/>
        </w:rPr>
        <w:t xml:space="preserve">Rules </w:t>
      </w:r>
      <w:r w:rsidRPr="00ED40A9">
        <w:rPr>
          <w:rFonts w:cs="Utsaah"/>
          <w:i/>
        </w:rPr>
        <w:t>Non-Discrimination Policy and Grievance Procedure</w:t>
      </w:r>
      <w:r w:rsidRPr="00ED40A9">
        <w:rPr>
          <w:rFonts w:cs="Utsaah"/>
        </w:rPr>
        <w:t xml:space="preserve"> 12-168, Chapter 50</w:t>
      </w:r>
    </w:p>
    <w:p w:rsidR="0009775B" w:rsidRDefault="0009775B" w:rsidP="009258C6">
      <w:pPr>
        <w:pStyle w:val="ListParagraph"/>
        <w:numPr>
          <w:ilvl w:val="0"/>
          <w:numId w:val="34"/>
        </w:numPr>
        <w:ind w:left="360"/>
        <w:contextualSpacing w:val="0"/>
      </w:pPr>
      <w:r w:rsidRPr="003B084E">
        <w:rPr>
          <w:rFonts w:cs="Utsaah"/>
        </w:rPr>
        <w:t xml:space="preserve">Maine State Government </w:t>
      </w:r>
      <w:r>
        <w:t xml:space="preserve">Web Accessibility and Usability Policy </w:t>
      </w:r>
    </w:p>
    <w:p w:rsidR="0009775B" w:rsidRPr="00DD6387" w:rsidRDefault="0009775B" w:rsidP="009258C6">
      <w:pPr>
        <w:pStyle w:val="ListParagraph"/>
        <w:numPr>
          <w:ilvl w:val="0"/>
          <w:numId w:val="34"/>
        </w:numPr>
        <w:ind w:left="360"/>
        <w:contextualSpacing w:val="0"/>
      </w:pPr>
      <w:r>
        <w:t xml:space="preserve">Maine State Government Accessibility Policy on Effective Electronic Communications </w:t>
      </w:r>
    </w:p>
    <w:p w:rsidR="0009775B" w:rsidRDefault="0009775B" w:rsidP="0009775B">
      <w:pPr>
        <w:pStyle w:val="ListParagraph"/>
        <w:contextualSpacing w:val="0"/>
        <w:rPr>
          <w:rFonts w:cs="Utsaah"/>
        </w:rPr>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Default="0009775B" w:rsidP="0009775B">
      <w:pPr>
        <w:pStyle w:val="ListParagraph"/>
        <w:spacing w:after="200" w:line="276" w:lineRule="auto"/>
        <w:ind w:left="0"/>
      </w:pPr>
    </w:p>
    <w:p w:rsidR="0009775B" w:rsidRPr="001242BA" w:rsidRDefault="0009775B" w:rsidP="001242BA">
      <w:pPr>
        <w:pStyle w:val="Heading2"/>
        <w:rPr>
          <w:color w:val="auto"/>
          <w:sz w:val="22"/>
          <w:szCs w:val="22"/>
        </w:rPr>
      </w:pPr>
      <w:bookmarkStart w:id="9" w:name="_Toc491939230"/>
      <w:r w:rsidRPr="001242BA">
        <w:rPr>
          <w:color w:val="auto"/>
          <w:sz w:val="22"/>
          <w:szCs w:val="22"/>
        </w:rPr>
        <w:lastRenderedPageBreak/>
        <w:t>Appendix D: Equal Opportunity Statement</w:t>
      </w:r>
      <w:bookmarkEnd w:id="9"/>
    </w:p>
    <w:p w:rsidR="0009775B" w:rsidRPr="0009775B" w:rsidRDefault="0009775B" w:rsidP="0009775B">
      <w:pPr>
        <w:pStyle w:val="ListParagraph"/>
        <w:ind w:left="0"/>
        <w:contextualSpacing w:val="0"/>
        <w:rPr>
          <w:rFonts w:cs="Utsaah"/>
          <w:b/>
          <w:sz w:val="16"/>
          <w:szCs w:val="16"/>
        </w:rPr>
      </w:pPr>
    </w:p>
    <w:p w:rsidR="0009775B" w:rsidRPr="001242BA" w:rsidRDefault="0009775B" w:rsidP="0009775B">
      <w:pPr>
        <w:rPr>
          <w:rFonts w:ascii="Calibri" w:hAnsi="Calibri"/>
          <w:b/>
          <w:i/>
          <w:sz w:val="22"/>
          <w:szCs w:val="22"/>
        </w:rPr>
      </w:pPr>
      <w:r w:rsidRPr="001242BA">
        <w:rPr>
          <w:rFonts w:ascii="Calibri" w:hAnsi="Calibri"/>
          <w:b/>
          <w:i/>
          <w:sz w:val="22"/>
          <w:szCs w:val="22"/>
        </w:rPr>
        <w:t xml:space="preserve">Equal Opportunity Is the Law </w:t>
      </w:r>
    </w:p>
    <w:p w:rsidR="0009775B" w:rsidRPr="005B5FA1" w:rsidRDefault="0009775B" w:rsidP="0009775B">
      <w:pPr>
        <w:rPr>
          <w:rFonts w:ascii="Calibri" w:hAnsi="Calibri"/>
          <w:b/>
          <w:sz w:val="22"/>
          <w:szCs w:val="22"/>
        </w:rPr>
      </w:pPr>
    </w:p>
    <w:p w:rsidR="0009775B" w:rsidRPr="005B5FA1" w:rsidRDefault="0009775B" w:rsidP="0009775B">
      <w:pPr>
        <w:pStyle w:val="NormalWeb"/>
        <w:spacing w:before="0" w:beforeAutospacing="0" w:after="0" w:afterAutospacing="0"/>
        <w:rPr>
          <w:rFonts w:ascii="Calibri" w:hAnsi="Calibri"/>
          <w:sz w:val="22"/>
          <w:szCs w:val="22"/>
        </w:rPr>
      </w:pPr>
      <w:r w:rsidRPr="005B5FA1">
        <w:rPr>
          <w:rFonts w:ascii="Calibri" w:hAnsi="Calibri"/>
          <w:sz w:val="22"/>
          <w:szCs w:val="22"/>
        </w:rPr>
        <w:t>It is against the law for this recipient of Federal financial assistance to discriminate on the following bases: Against any individual in the United States, on the basis of 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I of the Workforce Innovation and Opportunity Act, on the basis of the individual's citizenship status or participation in any WIOA Title I-financially assisted program or activity.</w:t>
      </w:r>
    </w:p>
    <w:p w:rsidR="0009775B" w:rsidRDefault="0009775B" w:rsidP="0009775B">
      <w:pPr>
        <w:pStyle w:val="NormalWeb"/>
        <w:spacing w:before="0" w:beforeAutospacing="0" w:after="0" w:afterAutospacing="0"/>
        <w:rPr>
          <w:rFonts w:ascii="Calibri" w:hAnsi="Calibri"/>
          <w:sz w:val="22"/>
          <w:szCs w:val="22"/>
        </w:rPr>
      </w:pPr>
    </w:p>
    <w:p w:rsidR="0009775B" w:rsidRPr="005B5FA1" w:rsidRDefault="0009775B" w:rsidP="0009775B">
      <w:pPr>
        <w:pStyle w:val="NormalWeb"/>
        <w:spacing w:before="0" w:beforeAutospacing="0" w:after="0" w:afterAutospacing="0"/>
        <w:rPr>
          <w:rFonts w:ascii="Calibri" w:hAnsi="Calibri"/>
          <w:sz w:val="22"/>
          <w:szCs w:val="22"/>
        </w:rPr>
      </w:pPr>
      <w:r w:rsidRPr="005B5FA1">
        <w:rPr>
          <w:rFonts w:ascii="Calibri" w:hAnsi="Calibri"/>
          <w:sz w:val="22"/>
          <w:szCs w:val="22"/>
        </w:rPr>
        <w:t xml:space="preserve">The recipient must not discriminate in any of the following areas: </w:t>
      </w:r>
    </w:p>
    <w:p w:rsidR="0009775B" w:rsidRPr="005B5FA1" w:rsidRDefault="0009775B" w:rsidP="009258C6">
      <w:pPr>
        <w:pStyle w:val="NormalWeb"/>
        <w:numPr>
          <w:ilvl w:val="0"/>
          <w:numId w:val="44"/>
        </w:numPr>
        <w:spacing w:before="0" w:beforeAutospacing="0" w:after="0" w:afterAutospacing="0"/>
        <w:rPr>
          <w:rFonts w:ascii="Calibri" w:hAnsi="Calibri"/>
          <w:sz w:val="22"/>
          <w:szCs w:val="22"/>
        </w:rPr>
      </w:pPr>
      <w:r w:rsidRPr="005B5FA1">
        <w:rPr>
          <w:rFonts w:ascii="Calibri" w:hAnsi="Calibri"/>
          <w:sz w:val="22"/>
          <w:szCs w:val="22"/>
        </w:rPr>
        <w:t xml:space="preserve">Deciding who will be admitted, or have access, to any WIOA Title I-financially assisted program or activity;  </w:t>
      </w:r>
    </w:p>
    <w:p w:rsidR="0009775B" w:rsidRPr="005B5FA1" w:rsidRDefault="0009775B" w:rsidP="009258C6">
      <w:pPr>
        <w:pStyle w:val="NormalWeb"/>
        <w:numPr>
          <w:ilvl w:val="0"/>
          <w:numId w:val="44"/>
        </w:numPr>
        <w:spacing w:before="0" w:beforeAutospacing="0" w:after="0" w:afterAutospacing="0"/>
        <w:rPr>
          <w:rFonts w:ascii="Calibri" w:hAnsi="Calibri"/>
          <w:sz w:val="22"/>
          <w:szCs w:val="22"/>
        </w:rPr>
      </w:pPr>
      <w:r w:rsidRPr="005B5FA1">
        <w:rPr>
          <w:rFonts w:ascii="Calibri" w:hAnsi="Calibri"/>
          <w:sz w:val="22"/>
          <w:szCs w:val="22"/>
        </w:rPr>
        <w:t xml:space="preserve">providing opportunities in, or treating any person with regard to, such a program or activity; or </w:t>
      </w:r>
    </w:p>
    <w:p w:rsidR="0009775B" w:rsidRPr="005B5FA1" w:rsidRDefault="0009775B" w:rsidP="009258C6">
      <w:pPr>
        <w:pStyle w:val="NormalWeb"/>
        <w:numPr>
          <w:ilvl w:val="0"/>
          <w:numId w:val="44"/>
        </w:numPr>
        <w:spacing w:before="0" w:beforeAutospacing="0" w:after="0" w:afterAutospacing="0"/>
        <w:rPr>
          <w:rFonts w:ascii="Calibri" w:hAnsi="Calibri"/>
          <w:sz w:val="22"/>
          <w:szCs w:val="22"/>
        </w:rPr>
      </w:pPr>
      <w:r w:rsidRPr="005B5FA1">
        <w:rPr>
          <w:rFonts w:ascii="Calibri" w:hAnsi="Calibri"/>
          <w:sz w:val="22"/>
          <w:szCs w:val="22"/>
        </w:rPr>
        <w:t xml:space="preserve">making employment decisions in the administration of, or in connection with, such a program or activity. </w:t>
      </w:r>
    </w:p>
    <w:p w:rsidR="0009775B" w:rsidRDefault="0009775B" w:rsidP="0009775B">
      <w:pPr>
        <w:pStyle w:val="NormalWeb"/>
        <w:spacing w:before="0" w:beforeAutospacing="0" w:after="0" w:afterAutospacing="0"/>
        <w:rPr>
          <w:rFonts w:ascii="Calibri" w:hAnsi="Calibri"/>
          <w:sz w:val="22"/>
          <w:szCs w:val="22"/>
        </w:rPr>
      </w:pPr>
    </w:p>
    <w:p w:rsidR="0009775B" w:rsidRPr="005B5FA1" w:rsidRDefault="0009775B" w:rsidP="0009775B">
      <w:pPr>
        <w:pStyle w:val="NormalWeb"/>
        <w:spacing w:before="0" w:beforeAutospacing="0" w:after="0" w:afterAutospacing="0"/>
        <w:rPr>
          <w:rFonts w:ascii="Calibri" w:hAnsi="Calibri"/>
          <w:sz w:val="22"/>
          <w:szCs w:val="22"/>
        </w:rPr>
      </w:pPr>
      <w:r w:rsidRPr="005B5FA1">
        <w:rPr>
          <w:rFonts w:ascii="Calibri" w:hAnsi="Calibri"/>
          <w:sz w:val="22"/>
          <w:szCs w:val="22"/>
        </w:rPr>
        <w:t>R</w:t>
      </w:r>
      <w:r w:rsidR="004734DA">
        <w:rPr>
          <w:rFonts w:ascii="Calibri" w:hAnsi="Calibri"/>
          <w:sz w:val="22"/>
          <w:szCs w:val="22"/>
        </w:rPr>
        <w:t>ecipients of federal financial</w:t>
      </w:r>
      <w:r w:rsidRPr="005B5FA1">
        <w:rPr>
          <w:rFonts w:ascii="Calibri" w:hAnsi="Calibri"/>
          <w:sz w:val="22"/>
          <w:szCs w:val="22"/>
        </w:rPr>
        <w:t xml:space="preserve"> assistance must take reasonable steps to ensure that communications with individuals with disabilities are as effective as communications with others. This means that, upon request and at no cost to the individual, recipients are required to provide appropriate auxiliary aids and services to qualified individuals with disabilities. </w:t>
      </w:r>
    </w:p>
    <w:p w:rsidR="0009775B" w:rsidRDefault="0009775B" w:rsidP="0009775B">
      <w:pPr>
        <w:rPr>
          <w:rFonts w:ascii="Calibri" w:hAnsi="Calibri"/>
          <w:b/>
          <w:sz w:val="22"/>
          <w:szCs w:val="22"/>
        </w:rPr>
      </w:pPr>
    </w:p>
    <w:p w:rsidR="0009775B" w:rsidRPr="005B5FA1" w:rsidRDefault="0009775B" w:rsidP="0009775B">
      <w:pPr>
        <w:rPr>
          <w:rFonts w:ascii="Calibri" w:hAnsi="Calibri"/>
          <w:b/>
          <w:sz w:val="22"/>
          <w:szCs w:val="22"/>
        </w:rPr>
      </w:pPr>
      <w:r w:rsidRPr="005B5FA1">
        <w:rPr>
          <w:rFonts w:ascii="Calibri" w:hAnsi="Calibri"/>
          <w:b/>
          <w:sz w:val="22"/>
          <w:szCs w:val="22"/>
        </w:rPr>
        <w:t xml:space="preserve">What To Do If You Believe You Have Experienced Discrimination </w:t>
      </w:r>
    </w:p>
    <w:p w:rsidR="0009775B" w:rsidRDefault="0009775B" w:rsidP="0009775B">
      <w:pPr>
        <w:pStyle w:val="NormalWeb"/>
        <w:spacing w:before="0" w:beforeAutospacing="0" w:after="0" w:afterAutospacing="0"/>
        <w:rPr>
          <w:rFonts w:ascii="Calibri" w:hAnsi="Calibri"/>
          <w:sz w:val="22"/>
          <w:szCs w:val="22"/>
        </w:rPr>
      </w:pPr>
    </w:p>
    <w:p w:rsidR="0009775B" w:rsidRPr="005B5FA1" w:rsidRDefault="0009775B" w:rsidP="0009775B">
      <w:pPr>
        <w:pStyle w:val="NormalWeb"/>
        <w:spacing w:before="0" w:beforeAutospacing="0" w:after="0" w:afterAutospacing="0"/>
        <w:rPr>
          <w:rFonts w:ascii="Calibri" w:hAnsi="Calibri"/>
          <w:sz w:val="22"/>
          <w:szCs w:val="22"/>
        </w:rPr>
      </w:pPr>
      <w:r w:rsidRPr="005B5FA1">
        <w:rPr>
          <w:rFonts w:ascii="Calibri" w:hAnsi="Calibri"/>
          <w:sz w:val="22"/>
          <w:szCs w:val="22"/>
        </w:rPr>
        <w:t xml:space="preserve">If you think that you have been subjected to discrimination under a WIOA Title I-financially assisted program or activity, you may file a complaint within 180 days from the date of the alleged violation with either: </w:t>
      </w:r>
    </w:p>
    <w:p w:rsidR="0009775B" w:rsidRDefault="0009775B" w:rsidP="0009775B">
      <w:pPr>
        <w:pStyle w:val="NormalWeb"/>
        <w:spacing w:before="0" w:beforeAutospacing="0" w:after="0" w:afterAutospacing="0"/>
        <w:rPr>
          <w:rFonts w:ascii="Calibri" w:hAnsi="Calibri"/>
          <w:sz w:val="22"/>
          <w:szCs w:val="22"/>
        </w:rPr>
      </w:pPr>
    </w:p>
    <w:p w:rsidR="0009775B" w:rsidRPr="005B5FA1" w:rsidRDefault="004734DA" w:rsidP="0009775B">
      <w:pPr>
        <w:pStyle w:val="NormalWeb"/>
        <w:spacing w:before="0" w:beforeAutospacing="0" w:after="0" w:afterAutospacing="0"/>
        <w:rPr>
          <w:rFonts w:ascii="Calibri" w:hAnsi="Calibri"/>
          <w:sz w:val="22"/>
          <w:szCs w:val="22"/>
        </w:rPr>
      </w:pPr>
      <w:r>
        <w:rPr>
          <w:rFonts w:ascii="Calibri" w:hAnsi="Calibri"/>
          <w:sz w:val="22"/>
          <w:szCs w:val="22"/>
        </w:rPr>
        <w:t xml:space="preserve">The recipient’s </w:t>
      </w:r>
      <w:r w:rsidR="0009775B" w:rsidRPr="005B5FA1">
        <w:rPr>
          <w:rFonts w:ascii="Calibri" w:hAnsi="Calibri"/>
          <w:sz w:val="22"/>
          <w:szCs w:val="22"/>
        </w:rPr>
        <w:t xml:space="preserve">Equal Opportunity Officer </w:t>
      </w:r>
      <w:r w:rsidR="0009775B" w:rsidRPr="005B5FA1">
        <w:rPr>
          <w:rFonts w:ascii="Calibri" w:hAnsi="Calibri"/>
          <w:b/>
          <w:sz w:val="22"/>
          <w:szCs w:val="22"/>
        </w:rPr>
        <w:t>NAME and FULL CONTACT INFORMATION</w:t>
      </w:r>
      <w:r w:rsidR="0009775B" w:rsidRPr="005B5FA1">
        <w:rPr>
          <w:rFonts w:ascii="Calibri" w:hAnsi="Calibri"/>
          <w:sz w:val="22"/>
          <w:szCs w:val="22"/>
        </w:rPr>
        <w:t xml:space="preserve">  (or the person whom the  recipient has designated for this purpose); or </w:t>
      </w:r>
    </w:p>
    <w:p w:rsidR="0009775B" w:rsidRDefault="0009775B" w:rsidP="0009775B">
      <w:pPr>
        <w:pStyle w:val="NormalWeb"/>
        <w:spacing w:before="0" w:beforeAutospacing="0" w:after="0" w:afterAutospacing="0"/>
        <w:rPr>
          <w:rFonts w:ascii="Calibri" w:hAnsi="Calibri"/>
          <w:sz w:val="22"/>
          <w:szCs w:val="22"/>
        </w:rPr>
      </w:pPr>
    </w:p>
    <w:p w:rsidR="0009775B" w:rsidRPr="005B5FA1" w:rsidRDefault="0009775B" w:rsidP="0009775B">
      <w:pPr>
        <w:pStyle w:val="NormalWeb"/>
        <w:spacing w:before="0" w:beforeAutospacing="0" w:after="0" w:afterAutospacing="0"/>
        <w:rPr>
          <w:rFonts w:ascii="Calibri" w:hAnsi="Calibri"/>
          <w:sz w:val="22"/>
          <w:szCs w:val="22"/>
        </w:rPr>
      </w:pPr>
      <w:r w:rsidRPr="005B5FA1">
        <w:rPr>
          <w:rFonts w:ascii="Calibri" w:hAnsi="Calibri"/>
          <w:sz w:val="22"/>
          <w:szCs w:val="22"/>
        </w:rPr>
        <w:t xml:space="preserve">The Director, Civil Rights Center (CRC), U.S. Department of Labor, 200 Constitution Avenue NW., Room N-4123, Washington, DC 20210 or electronically as directed on the CRC Web site at </w:t>
      </w:r>
      <w:r w:rsidRPr="005B5FA1">
        <w:rPr>
          <w:rStyle w:val="et03"/>
          <w:rFonts w:ascii="Calibri" w:hAnsi="Calibri"/>
          <w:sz w:val="22"/>
          <w:szCs w:val="22"/>
        </w:rPr>
        <w:t>www.dol.gov/crc</w:t>
      </w:r>
      <w:r w:rsidRPr="005B5FA1">
        <w:rPr>
          <w:rFonts w:ascii="Calibri" w:hAnsi="Calibri"/>
          <w:sz w:val="22"/>
          <w:szCs w:val="22"/>
        </w:rPr>
        <w:t xml:space="preserve">. </w:t>
      </w:r>
    </w:p>
    <w:p w:rsidR="0009775B" w:rsidRDefault="0009775B" w:rsidP="0009775B">
      <w:pPr>
        <w:pStyle w:val="NormalWeb"/>
        <w:spacing w:before="0" w:beforeAutospacing="0" w:after="0" w:afterAutospacing="0"/>
        <w:rPr>
          <w:rFonts w:ascii="Calibri" w:hAnsi="Calibri"/>
          <w:sz w:val="22"/>
          <w:szCs w:val="22"/>
        </w:rPr>
      </w:pPr>
    </w:p>
    <w:p w:rsidR="0009775B" w:rsidRPr="005B5FA1" w:rsidRDefault="0009775B" w:rsidP="0009775B">
      <w:pPr>
        <w:pStyle w:val="NormalWeb"/>
        <w:spacing w:before="0" w:beforeAutospacing="0" w:after="0" w:afterAutospacing="0"/>
        <w:rPr>
          <w:rFonts w:ascii="Calibri" w:hAnsi="Calibri"/>
          <w:sz w:val="22"/>
          <w:szCs w:val="22"/>
        </w:rPr>
      </w:pPr>
      <w:r w:rsidRPr="005B5FA1">
        <w:rPr>
          <w:rFonts w:ascii="Calibri" w:hAnsi="Calibri"/>
          <w:sz w:val="22"/>
          <w:szCs w:val="22"/>
        </w:rPr>
        <w:t xml:space="preserve">If you file your complaint with the recipient, you must wait either until the recipient issues a written Notice of Final Action, or until 90 days have passed (whichever is sooner), before filing with the Civil Rights Center (see address above). </w:t>
      </w:r>
    </w:p>
    <w:p w:rsidR="0009775B" w:rsidRDefault="0009775B" w:rsidP="0009775B">
      <w:pPr>
        <w:pStyle w:val="NormalWeb"/>
        <w:spacing w:before="0" w:beforeAutospacing="0" w:after="0" w:afterAutospacing="0"/>
        <w:rPr>
          <w:rFonts w:ascii="Calibri" w:hAnsi="Calibri"/>
          <w:sz w:val="22"/>
          <w:szCs w:val="22"/>
        </w:rPr>
      </w:pPr>
    </w:p>
    <w:p w:rsidR="0009775B" w:rsidRPr="005B5FA1" w:rsidRDefault="0009775B" w:rsidP="0009775B">
      <w:pPr>
        <w:pStyle w:val="NormalWeb"/>
        <w:spacing w:before="0" w:beforeAutospacing="0" w:after="0" w:afterAutospacing="0"/>
        <w:rPr>
          <w:rFonts w:ascii="Calibri" w:hAnsi="Calibri"/>
          <w:sz w:val="22"/>
          <w:szCs w:val="22"/>
        </w:rPr>
      </w:pPr>
      <w:r w:rsidRPr="005B5FA1">
        <w:rPr>
          <w:rFonts w:ascii="Calibri" w:hAnsi="Calibri"/>
          <w:sz w:val="22"/>
          <w:szCs w:val="22"/>
        </w:rPr>
        <w:t xml:space="preserve">If the recipient does not give you a written Notice of Final Action within 90 days of the day on which you filed your complaint, you may file a complaint with CRC before receiving that Notice. However, you must file your CRC complaint within 30 days of the 90-day deadline (in other words, within 120 days after the day on which you filed your complaint with the recipient). </w:t>
      </w:r>
    </w:p>
    <w:p w:rsidR="0009775B" w:rsidRDefault="0009775B" w:rsidP="0009775B">
      <w:pPr>
        <w:pStyle w:val="NormalWeb"/>
        <w:spacing w:before="0" w:beforeAutospacing="0" w:after="0" w:afterAutospacing="0"/>
        <w:rPr>
          <w:rFonts w:ascii="Calibri" w:hAnsi="Calibri"/>
          <w:sz w:val="22"/>
          <w:szCs w:val="22"/>
        </w:rPr>
      </w:pPr>
    </w:p>
    <w:p w:rsidR="0009775B" w:rsidRPr="005B5FA1" w:rsidRDefault="0009775B" w:rsidP="0009775B">
      <w:pPr>
        <w:pStyle w:val="NormalWeb"/>
        <w:spacing w:before="0" w:beforeAutospacing="0" w:after="0" w:afterAutospacing="0"/>
        <w:rPr>
          <w:rFonts w:ascii="Calibri" w:hAnsi="Calibri" w:cs="Utsaah"/>
          <w:b/>
          <w:sz w:val="22"/>
          <w:szCs w:val="22"/>
        </w:rPr>
      </w:pPr>
      <w:r w:rsidRPr="005B5FA1">
        <w:rPr>
          <w:rFonts w:ascii="Calibri" w:hAnsi="Calibri"/>
          <w:sz w:val="22"/>
          <w:szCs w:val="22"/>
        </w:rPr>
        <w:t xml:space="preserve">If the recipient does give you a written Notice of Final Action on your complaint, but you are dissatisfied with the decision or resolution, you may file a complaint with CRC. You must file your CRC complaint within 30 days of the date on which you received the Notice of Final Action. </w:t>
      </w:r>
    </w:p>
    <w:p w:rsidR="0009775B" w:rsidRDefault="0009775B" w:rsidP="00A63690">
      <w:pPr>
        <w:pStyle w:val="ListParagraph"/>
        <w:spacing w:after="200" w:line="276" w:lineRule="auto"/>
        <w:ind w:left="0"/>
      </w:pPr>
    </w:p>
    <w:sectPr w:rsidR="0009775B">
      <w:headerReference w:type="even" r:id="rId83"/>
      <w:headerReference w:type="default" r:id="rId84"/>
      <w:footerReference w:type="even" r:id="rId85"/>
      <w:footerReference w:type="default" r:id="rId86"/>
      <w:headerReference w:type="first" r:id="rId87"/>
      <w:footerReference w:type="first" r:id="rId88"/>
      <w:type w:val="continuous"/>
      <w:pgSz w:w="12240" w:h="15840" w:code="1"/>
      <w:pgMar w:top="720" w:right="1440" w:bottom="72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84" w:rsidRDefault="00D77584">
      <w:r>
        <w:separator/>
      </w:r>
    </w:p>
  </w:endnote>
  <w:endnote w:type="continuationSeparator" w:id="0">
    <w:p w:rsidR="00D77584" w:rsidRDefault="00D7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oudy">
    <w:altName w:val="Cambria"/>
    <w:panose1 w:val="00000000000000000000"/>
    <w:charset w:val="00"/>
    <w:family w:val="roman"/>
    <w:notTrueType/>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74" w:rsidRDefault="00C9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74" w:rsidRDefault="00C96774">
    <w:pPr>
      <w:pStyle w:val="Footer"/>
      <w:jc w:val="right"/>
    </w:pPr>
    <w:r>
      <w:fldChar w:fldCharType="begin"/>
    </w:r>
    <w:r>
      <w:instrText xml:space="preserve"> PAGE   \* MERGEFORMAT </w:instrText>
    </w:r>
    <w:r>
      <w:fldChar w:fldCharType="separate"/>
    </w:r>
    <w:r w:rsidR="00CD548D">
      <w:rPr>
        <w:noProof/>
      </w:rPr>
      <w:t>1</w:t>
    </w:r>
    <w:r>
      <w:rPr>
        <w:noProof/>
      </w:rPr>
      <w:fldChar w:fldCharType="end"/>
    </w:r>
  </w:p>
  <w:p w:rsidR="00C96774" w:rsidRPr="000A2864" w:rsidRDefault="00C96774" w:rsidP="000A2864">
    <w:pPr>
      <w:jc w:val="center"/>
      <w:rPr>
        <w:rFonts w:ascii="Arial" w:hAnsi="Arial" w:cs="Arial"/>
        <w:noProof/>
        <w:color w:val="0000FF"/>
        <w:sz w:val="16"/>
        <w:szCs w:val="16"/>
        <w:lang w:val="en"/>
      </w:rPr>
    </w:pPr>
    <w:r w:rsidRPr="000A2864">
      <w:rPr>
        <w:rFonts w:ascii="Arial" w:hAnsi="Arial" w:cs="Arial"/>
        <w:noProof/>
        <w:color w:val="0000FF"/>
        <w:sz w:val="16"/>
        <w:szCs w:val="16"/>
        <w:lang w:val="en"/>
      </w:rPr>
      <w:t xml:space="preserve">The Maine Department of Labor provides equal opportunity in employment and programs. </w:t>
    </w:r>
  </w:p>
  <w:p w:rsidR="00C96774" w:rsidRPr="000A2864" w:rsidRDefault="00C96774" w:rsidP="000A2864">
    <w:pPr>
      <w:jc w:val="center"/>
      <w:rPr>
        <w:rFonts w:ascii="Arial" w:hAnsi="Arial" w:cs="Arial"/>
        <w:noProof/>
        <w:color w:val="0000FF"/>
        <w:sz w:val="16"/>
        <w:szCs w:val="16"/>
      </w:rPr>
    </w:pPr>
    <w:r w:rsidRPr="000A2864">
      <w:rPr>
        <w:rFonts w:ascii="Arial" w:hAnsi="Arial" w:cs="Arial"/>
        <w:noProof/>
        <w:color w:val="0000FF"/>
        <w:sz w:val="16"/>
        <w:szCs w:val="16"/>
        <w:lang w:val="en"/>
      </w:rPr>
      <w:t>Auxiliary aids and services are available to individuals with disabilities upon request.</w:t>
    </w:r>
  </w:p>
  <w:p w:rsidR="00C96774" w:rsidRPr="000A2864" w:rsidRDefault="00C96774">
    <w:pPr>
      <w:pStyle w:val="Footer"/>
      <w:rPr>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74" w:rsidRDefault="00C96774" w:rsidP="006429C8">
    <w:pPr>
      <w:tabs>
        <w:tab w:val="center" w:pos="5016"/>
        <w:tab w:val="right" w:pos="9975"/>
      </w:tabs>
      <w:rPr>
        <w:rFonts w:ascii="Arial" w:hAnsi="Arial" w:cs="Arial"/>
        <w:color w:val="0000FF"/>
        <w:sz w:val="16"/>
      </w:rPr>
    </w:pPr>
    <w:r>
      <w:rPr>
        <w:rFonts w:ascii="Arial" w:hAnsi="Arial" w:cs="Arial"/>
        <w:color w:val="0000FF"/>
        <w:sz w:val="16"/>
      </w:rPr>
      <w:t>PHONE: (207) 621-5087</w:t>
    </w:r>
    <w:r>
      <w:rPr>
        <w:rFonts w:ascii="Arial" w:hAnsi="Arial" w:cs="Arial"/>
        <w:color w:val="0000FF"/>
        <w:sz w:val="16"/>
      </w:rPr>
      <w:tab/>
      <w:t xml:space="preserve">                    </w:t>
    </w:r>
    <w:r w:rsidRPr="00526496">
      <w:rPr>
        <w:rFonts w:ascii="Arial" w:hAnsi="Arial" w:cs="Arial"/>
        <w:color w:val="0033CC"/>
        <w:sz w:val="16"/>
        <w:szCs w:val="16"/>
      </w:rPr>
      <w:t>TTY users</w:t>
    </w:r>
    <w:r>
      <w:rPr>
        <w:rFonts w:ascii="Arial" w:hAnsi="Arial" w:cs="Arial"/>
        <w:color w:val="0033CC"/>
        <w:sz w:val="16"/>
        <w:szCs w:val="16"/>
      </w:rPr>
      <w:t>:</w:t>
    </w:r>
    <w:r w:rsidRPr="00526496">
      <w:rPr>
        <w:rFonts w:ascii="Arial" w:hAnsi="Arial" w:cs="Arial"/>
        <w:color w:val="0033CC"/>
        <w:sz w:val="16"/>
        <w:szCs w:val="16"/>
      </w:rPr>
      <w:t xml:space="preserve"> call Maine Relay 711</w:t>
    </w:r>
    <w:r>
      <w:rPr>
        <w:rFonts w:ascii="Arial" w:hAnsi="Arial" w:cs="Arial"/>
        <w:color w:val="0033CC"/>
        <w:sz w:val="16"/>
        <w:szCs w:val="16"/>
      </w:rPr>
      <w:t xml:space="preserve">                            F</w:t>
    </w:r>
    <w:r>
      <w:rPr>
        <w:rFonts w:ascii="Arial" w:hAnsi="Arial" w:cs="Arial"/>
        <w:color w:val="0000FF"/>
        <w:sz w:val="16"/>
      </w:rPr>
      <w:t>AX: (207) 287-5292</w:t>
    </w:r>
  </w:p>
  <w:p w:rsidR="00C96774" w:rsidRDefault="00C96774" w:rsidP="006429C8">
    <w:pPr>
      <w:tabs>
        <w:tab w:val="center" w:pos="5040"/>
        <w:tab w:val="right" w:pos="10080"/>
      </w:tabs>
      <w:jc w:val="center"/>
      <w:rPr>
        <w:rFonts w:ascii="Goudy" w:hAnsi="Goudy"/>
        <w:color w:val="0000FF"/>
        <w:spacing w:val="26"/>
        <w:kern w:val="28"/>
        <w:sz w:val="12"/>
      </w:rPr>
    </w:pPr>
    <w:r>
      <w:rPr>
        <w:rFonts w:ascii="Arial" w:hAnsi="Arial" w:cs="Arial"/>
        <w:color w:val="0000FF"/>
        <w:sz w:val="16"/>
      </w:rPr>
      <w:tab/>
    </w:r>
  </w:p>
  <w:p w:rsidR="00C96774" w:rsidRDefault="00C96774" w:rsidP="006429C8">
    <w:pPr>
      <w:tabs>
        <w:tab w:val="center" w:pos="5016"/>
        <w:tab w:val="right" w:pos="9975"/>
      </w:tabs>
      <w:rPr>
        <w:rFonts w:ascii="Arial" w:hAnsi="Arial" w:cs="Arial"/>
        <w:color w:val="0000FF"/>
        <w:sz w:val="16"/>
      </w:rPr>
    </w:pPr>
    <w:r>
      <w:rPr>
        <w:rFonts w:ascii="Goudy" w:hAnsi="Goudy"/>
        <w:color w:val="0000FF"/>
        <w:spacing w:val="26"/>
        <w:kern w:val="28"/>
        <w:sz w:val="12"/>
      </w:rPr>
      <w:t>.</w:t>
    </w:r>
  </w:p>
  <w:p w:rsidR="00C96774" w:rsidRPr="00703670" w:rsidRDefault="00C96774" w:rsidP="00690FF3">
    <w:pPr>
      <w:pStyle w:val="Footer"/>
    </w:pPr>
    <w:r w:rsidRPr="0070367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84" w:rsidRDefault="00D77584">
      <w:r>
        <w:separator/>
      </w:r>
    </w:p>
  </w:footnote>
  <w:footnote w:type="continuationSeparator" w:id="0">
    <w:p w:rsidR="00D77584" w:rsidRDefault="00D7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74" w:rsidRDefault="00C96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74" w:rsidRDefault="00C96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74" w:rsidRDefault="00C96774">
    <w:pPr>
      <w:pStyle w:val="Header"/>
    </w:pPr>
  </w:p>
  <w:p w:rsidR="00C96774" w:rsidRDefault="00C96774">
    <w:pPr>
      <w:pStyle w:val="Header"/>
    </w:pPr>
  </w:p>
  <w:p w:rsidR="00C96774" w:rsidRDefault="00C96774">
    <w:pPr>
      <w:pStyle w:val="Header"/>
    </w:pPr>
    <w:r w:rsidRPr="008C0537">
      <w:rPr>
        <w:rFonts w:ascii="Calibri" w:hAnsi="Calibri"/>
        <w:sz w:val="16"/>
        <w:szCs w:val="16"/>
      </w:rPr>
      <w:t xml:space="preserve"> PY15-2</w:t>
    </w:r>
    <w:r>
      <w:rPr>
        <w:rFonts w:ascii="Calibri" w:hAnsi="Calibri"/>
        <w:sz w:val="16"/>
        <w:szCs w:val="16"/>
      </w:rPr>
      <w:t>4</w:t>
    </w:r>
    <w:r w:rsidRPr="008C0537">
      <w:rPr>
        <w:rFonts w:ascii="Calibri" w:hAnsi="Calibri"/>
        <w:sz w:val="16"/>
        <w:szCs w:val="16"/>
      </w:rPr>
      <w:t xml:space="preserve"> Local Board Certification   </w:t>
    </w:r>
    <w:r>
      <w:rPr>
        <w:rFonts w:ascii="Calibri" w:hAnsi="Calibri"/>
        <w:sz w:val="16"/>
        <w:szCs w:val="16"/>
      </w:rPr>
      <w:t>02-23-16</w:t>
    </w:r>
    <w:r w:rsidRPr="008C0537">
      <w:rPr>
        <w:rFonts w:ascii="Calibri" w:hAnsi="Calibri"/>
        <w:sz w:val="16"/>
        <w:szCs w:val="16"/>
      </w:rPr>
      <w:t xml:space="preserve">                                                                                                             </w:t>
    </w:r>
    <w:r w:rsidRPr="008C0537">
      <w:rPr>
        <w:rFonts w:ascii="Calibri" w:hAnsi="Calibri"/>
        <w:b/>
        <w:sz w:val="16"/>
        <w:szCs w:val="16"/>
      </w:rPr>
      <w:t>Title I-B Assurance Attachment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0C186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clip_image001"/>
      </v:shape>
    </w:pict>
  </w:numPicBullet>
  <w:abstractNum w:abstractNumId="0" w15:restartNumberingAfterBreak="0">
    <w:nsid w:val="00A8691E"/>
    <w:multiLevelType w:val="hybridMultilevel"/>
    <w:tmpl w:val="0EFC20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41C7A"/>
    <w:multiLevelType w:val="hybridMultilevel"/>
    <w:tmpl w:val="C7F0F2B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5DB"/>
    <w:multiLevelType w:val="hybridMultilevel"/>
    <w:tmpl w:val="5D528E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87C29"/>
    <w:multiLevelType w:val="multilevel"/>
    <w:tmpl w:val="FD728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0782C"/>
    <w:multiLevelType w:val="hybridMultilevel"/>
    <w:tmpl w:val="E1DC31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D7391"/>
    <w:multiLevelType w:val="hybridMultilevel"/>
    <w:tmpl w:val="AF667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C32E3"/>
    <w:multiLevelType w:val="hybridMultilevel"/>
    <w:tmpl w:val="165871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C37BE"/>
    <w:multiLevelType w:val="hybridMultilevel"/>
    <w:tmpl w:val="7BD0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2D43BD"/>
    <w:multiLevelType w:val="hybridMultilevel"/>
    <w:tmpl w:val="CEDA12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7B11CDA"/>
    <w:multiLevelType w:val="hybridMultilevel"/>
    <w:tmpl w:val="283613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C350A"/>
    <w:multiLevelType w:val="hybridMultilevel"/>
    <w:tmpl w:val="21C62B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CD24CA"/>
    <w:multiLevelType w:val="hybridMultilevel"/>
    <w:tmpl w:val="679A1D88"/>
    <w:lvl w:ilvl="0" w:tplc="40B0F2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675D03"/>
    <w:multiLevelType w:val="hybridMultilevel"/>
    <w:tmpl w:val="FFDA0438"/>
    <w:lvl w:ilvl="0" w:tplc="11703EC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86660"/>
    <w:multiLevelType w:val="hybridMultilevel"/>
    <w:tmpl w:val="92AEB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F0364"/>
    <w:multiLevelType w:val="hybridMultilevel"/>
    <w:tmpl w:val="DF8EC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EB119E"/>
    <w:multiLevelType w:val="hybridMultilevel"/>
    <w:tmpl w:val="029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218FA"/>
    <w:multiLevelType w:val="hybridMultilevel"/>
    <w:tmpl w:val="E9F4B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7A55BA"/>
    <w:multiLevelType w:val="hybridMultilevel"/>
    <w:tmpl w:val="8254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363594"/>
    <w:multiLevelType w:val="hybridMultilevel"/>
    <w:tmpl w:val="56EE7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65081"/>
    <w:multiLevelType w:val="hybridMultilevel"/>
    <w:tmpl w:val="41A00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04D47"/>
    <w:multiLevelType w:val="hybridMultilevel"/>
    <w:tmpl w:val="B9BE4BEA"/>
    <w:lvl w:ilvl="0" w:tplc="36B89D06">
      <w:start w:val="1"/>
      <w:numFmt w:val="bullet"/>
      <w:lvlText w:val=""/>
      <w:lvlJc w:val="left"/>
      <w:pPr>
        <w:ind w:left="360" w:hanging="360"/>
      </w:pPr>
      <w:rPr>
        <w:rFonts w:ascii="Symbol" w:hAnsi="Symbol" w:hint="default"/>
        <w:w w:val="100"/>
        <w:sz w:val="20"/>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A5637AF"/>
    <w:multiLevelType w:val="hybridMultilevel"/>
    <w:tmpl w:val="A9F4A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957942"/>
    <w:multiLevelType w:val="hybridMultilevel"/>
    <w:tmpl w:val="3CC267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D681E"/>
    <w:multiLevelType w:val="hybridMultilevel"/>
    <w:tmpl w:val="43EA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E3493"/>
    <w:multiLevelType w:val="hybridMultilevel"/>
    <w:tmpl w:val="2F7A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62762"/>
    <w:multiLevelType w:val="hybridMultilevel"/>
    <w:tmpl w:val="15F8466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F82EA8"/>
    <w:multiLevelType w:val="hybridMultilevel"/>
    <w:tmpl w:val="2DC8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875C8"/>
    <w:multiLevelType w:val="multilevel"/>
    <w:tmpl w:val="8540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A5C23"/>
    <w:multiLevelType w:val="hybridMultilevel"/>
    <w:tmpl w:val="F4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21D11"/>
    <w:multiLevelType w:val="hybridMultilevel"/>
    <w:tmpl w:val="66FC44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265D27"/>
    <w:multiLevelType w:val="hybridMultilevel"/>
    <w:tmpl w:val="76D2E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351132"/>
    <w:multiLevelType w:val="hybridMultilevel"/>
    <w:tmpl w:val="8AD4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F020A"/>
    <w:multiLevelType w:val="hybridMultilevel"/>
    <w:tmpl w:val="AD14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C4375"/>
    <w:multiLevelType w:val="hybridMultilevel"/>
    <w:tmpl w:val="4BCC2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C075DD"/>
    <w:multiLevelType w:val="hybridMultilevel"/>
    <w:tmpl w:val="BD90BC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4F2B11"/>
    <w:multiLevelType w:val="hybridMultilevel"/>
    <w:tmpl w:val="E6E2EF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D512DE"/>
    <w:multiLevelType w:val="hybridMultilevel"/>
    <w:tmpl w:val="FFE2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C0C79"/>
    <w:multiLevelType w:val="hybridMultilevel"/>
    <w:tmpl w:val="50821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9E02C6"/>
    <w:multiLevelType w:val="hybridMultilevel"/>
    <w:tmpl w:val="E8D03C26"/>
    <w:lvl w:ilvl="0" w:tplc="40B0F2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DA6D03"/>
    <w:multiLevelType w:val="hybridMultilevel"/>
    <w:tmpl w:val="9C7A5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F32C2"/>
    <w:multiLevelType w:val="hybridMultilevel"/>
    <w:tmpl w:val="B5ECD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16AE0"/>
    <w:multiLevelType w:val="hybridMultilevel"/>
    <w:tmpl w:val="C168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C1536"/>
    <w:multiLevelType w:val="hybridMultilevel"/>
    <w:tmpl w:val="F6500706"/>
    <w:lvl w:ilvl="0" w:tplc="36B89D06">
      <w:start w:val="1"/>
      <w:numFmt w:val="bullet"/>
      <w:lvlText w:val=""/>
      <w:lvlJc w:val="left"/>
      <w:pPr>
        <w:ind w:left="360" w:hanging="360"/>
      </w:pPr>
      <w:rPr>
        <w:rFonts w:ascii="Symbol" w:hAnsi="Symbol" w:hint="default"/>
        <w:w w:val="100"/>
        <w:sz w:val="20"/>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75B3955"/>
    <w:multiLevelType w:val="hybridMultilevel"/>
    <w:tmpl w:val="3C9A58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A288F"/>
    <w:multiLevelType w:val="hybridMultilevel"/>
    <w:tmpl w:val="473C50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C6986"/>
    <w:multiLevelType w:val="hybridMultilevel"/>
    <w:tmpl w:val="9EB4D320"/>
    <w:lvl w:ilvl="0" w:tplc="2BE2F0C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A378D"/>
    <w:multiLevelType w:val="hybridMultilevel"/>
    <w:tmpl w:val="DDF47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910B4"/>
    <w:multiLevelType w:val="hybridMultilevel"/>
    <w:tmpl w:val="0E8A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21811"/>
    <w:multiLevelType w:val="hybridMultilevel"/>
    <w:tmpl w:val="FADA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9B7312"/>
    <w:multiLevelType w:val="hybridMultilevel"/>
    <w:tmpl w:val="973419EC"/>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7DC8476F"/>
    <w:multiLevelType w:val="hybridMultilevel"/>
    <w:tmpl w:val="066236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A30559"/>
    <w:multiLevelType w:val="hybridMultilevel"/>
    <w:tmpl w:val="618C8C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1"/>
  </w:num>
  <w:num w:numId="3">
    <w:abstractNumId w:val="21"/>
  </w:num>
  <w:num w:numId="4">
    <w:abstractNumId w:val="42"/>
  </w:num>
  <w:num w:numId="5">
    <w:abstractNumId w:val="29"/>
  </w:num>
  <w:num w:numId="6">
    <w:abstractNumId w:val="40"/>
  </w:num>
  <w:num w:numId="7">
    <w:abstractNumId w:val="1"/>
  </w:num>
  <w:num w:numId="8">
    <w:abstractNumId w:val="36"/>
  </w:num>
  <w:num w:numId="9">
    <w:abstractNumId w:val="51"/>
  </w:num>
  <w:num w:numId="10">
    <w:abstractNumId w:val="6"/>
  </w:num>
  <w:num w:numId="11">
    <w:abstractNumId w:val="9"/>
  </w:num>
  <w:num w:numId="12">
    <w:abstractNumId w:val="39"/>
  </w:num>
  <w:num w:numId="13">
    <w:abstractNumId w:val="5"/>
  </w:num>
  <w:num w:numId="14">
    <w:abstractNumId w:val="37"/>
  </w:num>
  <w:num w:numId="15">
    <w:abstractNumId w:val="46"/>
  </w:num>
  <w:num w:numId="16">
    <w:abstractNumId w:val="45"/>
  </w:num>
  <w:num w:numId="17">
    <w:abstractNumId w:val="0"/>
  </w:num>
  <w:num w:numId="18">
    <w:abstractNumId w:val="43"/>
  </w:num>
  <w:num w:numId="19">
    <w:abstractNumId w:val="10"/>
  </w:num>
  <w:num w:numId="20">
    <w:abstractNumId w:val="47"/>
  </w:num>
  <w:num w:numId="21">
    <w:abstractNumId w:val="22"/>
  </w:num>
  <w:num w:numId="22">
    <w:abstractNumId w:val="2"/>
  </w:num>
  <w:num w:numId="23">
    <w:abstractNumId w:val="44"/>
  </w:num>
  <w:num w:numId="24">
    <w:abstractNumId w:val="23"/>
  </w:num>
  <w:num w:numId="25">
    <w:abstractNumId w:val="4"/>
  </w:num>
  <w:num w:numId="26">
    <w:abstractNumId w:val="12"/>
  </w:num>
  <w:num w:numId="27">
    <w:abstractNumId w:val="50"/>
  </w:num>
  <w:num w:numId="28">
    <w:abstractNumId w:val="15"/>
  </w:num>
  <w:num w:numId="29">
    <w:abstractNumId w:val="17"/>
  </w:num>
  <w:num w:numId="30">
    <w:abstractNumId w:val="24"/>
  </w:num>
  <w:num w:numId="31">
    <w:abstractNumId w:val="28"/>
  </w:num>
  <w:num w:numId="32">
    <w:abstractNumId w:val="27"/>
  </w:num>
  <w:num w:numId="33">
    <w:abstractNumId w:val="30"/>
  </w:num>
  <w:num w:numId="34">
    <w:abstractNumId w:val="7"/>
  </w:num>
  <w:num w:numId="35">
    <w:abstractNumId w:val="14"/>
  </w:num>
  <w:num w:numId="36">
    <w:abstractNumId w:val="32"/>
  </w:num>
  <w:num w:numId="37">
    <w:abstractNumId w:val="48"/>
  </w:num>
  <w:num w:numId="38">
    <w:abstractNumId w:val="31"/>
  </w:num>
  <w:num w:numId="39">
    <w:abstractNumId w:val="20"/>
  </w:num>
  <w:num w:numId="40">
    <w:abstractNumId w:val="34"/>
  </w:num>
  <w:num w:numId="41">
    <w:abstractNumId w:val="8"/>
  </w:num>
  <w:num w:numId="42">
    <w:abstractNumId w:val="49"/>
  </w:num>
  <w:num w:numId="43">
    <w:abstractNumId w:val="16"/>
  </w:num>
  <w:num w:numId="44">
    <w:abstractNumId w:val="41"/>
  </w:num>
  <w:num w:numId="45">
    <w:abstractNumId w:val="7"/>
  </w:num>
  <w:num w:numId="46">
    <w:abstractNumId w:val="18"/>
  </w:num>
  <w:num w:numId="47">
    <w:abstractNumId w:val="35"/>
  </w:num>
  <w:num w:numId="48">
    <w:abstractNumId w:val="33"/>
  </w:num>
  <w:num w:numId="49">
    <w:abstractNumId w:val="25"/>
  </w:num>
  <w:num w:numId="50">
    <w:abstractNumId w:val="26"/>
  </w:num>
  <w:num w:numId="51">
    <w:abstractNumId w:val="13"/>
  </w:num>
  <w:num w:numId="52">
    <w:abstractNumId w:val="19"/>
  </w:num>
  <w:num w:numId="53">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E6"/>
    <w:rsid w:val="00014AF5"/>
    <w:rsid w:val="000209FA"/>
    <w:rsid w:val="0002713A"/>
    <w:rsid w:val="0005043E"/>
    <w:rsid w:val="00083202"/>
    <w:rsid w:val="0008423B"/>
    <w:rsid w:val="0008479B"/>
    <w:rsid w:val="0009775B"/>
    <w:rsid w:val="000A2864"/>
    <w:rsid w:val="000C05AF"/>
    <w:rsid w:val="000D4A07"/>
    <w:rsid w:val="000F7EDD"/>
    <w:rsid w:val="00111F9A"/>
    <w:rsid w:val="0012068A"/>
    <w:rsid w:val="001242BA"/>
    <w:rsid w:val="00151951"/>
    <w:rsid w:val="00161AC8"/>
    <w:rsid w:val="001A2828"/>
    <w:rsid w:val="001B0372"/>
    <w:rsid w:val="001B35C4"/>
    <w:rsid w:val="001D5D9A"/>
    <w:rsid w:val="001E0EAD"/>
    <w:rsid w:val="001F7867"/>
    <w:rsid w:val="00216AAE"/>
    <w:rsid w:val="00224F9B"/>
    <w:rsid w:val="00243BED"/>
    <w:rsid w:val="002565BF"/>
    <w:rsid w:val="00262D38"/>
    <w:rsid w:val="00264790"/>
    <w:rsid w:val="00266806"/>
    <w:rsid w:val="0026780F"/>
    <w:rsid w:val="00275EED"/>
    <w:rsid w:val="002823DE"/>
    <w:rsid w:val="00283110"/>
    <w:rsid w:val="00285143"/>
    <w:rsid w:val="00294FAE"/>
    <w:rsid w:val="002A22FE"/>
    <w:rsid w:val="002B0F0E"/>
    <w:rsid w:val="002B2A8A"/>
    <w:rsid w:val="002C7EFA"/>
    <w:rsid w:val="002F4575"/>
    <w:rsid w:val="00305839"/>
    <w:rsid w:val="00313620"/>
    <w:rsid w:val="00322D49"/>
    <w:rsid w:val="00361EDD"/>
    <w:rsid w:val="00384CAC"/>
    <w:rsid w:val="00396E8E"/>
    <w:rsid w:val="003A6222"/>
    <w:rsid w:val="003D0859"/>
    <w:rsid w:val="003D516C"/>
    <w:rsid w:val="003E13EE"/>
    <w:rsid w:val="003E5AE3"/>
    <w:rsid w:val="00414A76"/>
    <w:rsid w:val="00416786"/>
    <w:rsid w:val="00425C2B"/>
    <w:rsid w:val="00426DB0"/>
    <w:rsid w:val="00433610"/>
    <w:rsid w:val="00440281"/>
    <w:rsid w:val="004432FA"/>
    <w:rsid w:val="004664C2"/>
    <w:rsid w:val="00466CBC"/>
    <w:rsid w:val="00470FDE"/>
    <w:rsid w:val="00472297"/>
    <w:rsid w:val="004734DA"/>
    <w:rsid w:val="0047626A"/>
    <w:rsid w:val="00496A4F"/>
    <w:rsid w:val="004A39F1"/>
    <w:rsid w:val="004D46FF"/>
    <w:rsid w:val="004E07AF"/>
    <w:rsid w:val="004E172A"/>
    <w:rsid w:val="00501F91"/>
    <w:rsid w:val="00506745"/>
    <w:rsid w:val="005310A1"/>
    <w:rsid w:val="00531841"/>
    <w:rsid w:val="005421EA"/>
    <w:rsid w:val="00547146"/>
    <w:rsid w:val="005720E3"/>
    <w:rsid w:val="00577544"/>
    <w:rsid w:val="00581656"/>
    <w:rsid w:val="00587A5D"/>
    <w:rsid w:val="005A45EE"/>
    <w:rsid w:val="005B18C8"/>
    <w:rsid w:val="005C3F55"/>
    <w:rsid w:val="005D4FA7"/>
    <w:rsid w:val="005D5005"/>
    <w:rsid w:val="005E3184"/>
    <w:rsid w:val="005F2795"/>
    <w:rsid w:val="00607816"/>
    <w:rsid w:val="00615367"/>
    <w:rsid w:val="00615FCD"/>
    <w:rsid w:val="00626CC0"/>
    <w:rsid w:val="006429C8"/>
    <w:rsid w:val="00656711"/>
    <w:rsid w:val="00690FF3"/>
    <w:rsid w:val="00694520"/>
    <w:rsid w:val="00695E77"/>
    <w:rsid w:val="006A11ED"/>
    <w:rsid w:val="006A1F1A"/>
    <w:rsid w:val="006A271A"/>
    <w:rsid w:val="006A44E9"/>
    <w:rsid w:val="006A68FA"/>
    <w:rsid w:val="006C4AE6"/>
    <w:rsid w:val="006D3759"/>
    <w:rsid w:val="006D6E17"/>
    <w:rsid w:val="006F77C8"/>
    <w:rsid w:val="007352F4"/>
    <w:rsid w:val="00744196"/>
    <w:rsid w:val="007A289A"/>
    <w:rsid w:val="007A76DC"/>
    <w:rsid w:val="007B62F9"/>
    <w:rsid w:val="007B6D9E"/>
    <w:rsid w:val="007B6F58"/>
    <w:rsid w:val="007B77C2"/>
    <w:rsid w:val="007D4B56"/>
    <w:rsid w:val="007E55F8"/>
    <w:rsid w:val="007E63FE"/>
    <w:rsid w:val="0080347D"/>
    <w:rsid w:val="00804E4E"/>
    <w:rsid w:val="00812CF2"/>
    <w:rsid w:val="00831BEC"/>
    <w:rsid w:val="008344A9"/>
    <w:rsid w:val="00843DB7"/>
    <w:rsid w:val="00883CBE"/>
    <w:rsid w:val="008A14CC"/>
    <w:rsid w:val="008A4065"/>
    <w:rsid w:val="008A5F1F"/>
    <w:rsid w:val="008C0537"/>
    <w:rsid w:val="008E18E2"/>
    <w:rsid w:val="008E566C"/>
    <w:rsid w:val="00903757"/>
    <w:rsid w:val="0091165F"/>
    <w:rsid w:val="009119A3"/>
    <w:rsid w:val="00920956"/>
    <w:rsid w:val="009238AB"/>
    <w:rsid w:val="009258C6"/>
    <w:rsid w:val="00926C7D"/>
    <w:rsid w:val="00943F19"/>
    <w:rsid w:val="00952BDC"/>
    <w:rsid w:val="00961AF5"/>
    <w:rsid w:val="00962B05"/>
    <w:rsid w:val="00981DC1"/>
    <w:rsid w:val="00984E2F"/>
    <w:rsid w:val="009966EC"/>
    <w:rsid w:val="00996A94"/>
    <w:rsid w:val="009A6A61"/>
    <w:rsid w:val="009E4E19"/>
    <w:rsid w:val="009F010B"/>
    <w:rsid w:val="009F12FC"/>
    <w:rsid w:val="009F42C3"/>
    <w:rsid w:val="009F68E4"/>
    <w:rsid w:val="00A028CA"/>
    <w:rsid w:val="00A3428D"/>
    <w:rsid w:val="00A4140E"/>
    <w:rsid w:val="00A47FC5"/>
    <w:rsid w:val="00A63690"/>
    <w:rsid w:val="00A9091D"/>
    <w:rsid w:val="00AA44F1"/>
    <w:rsid w:val="00AA7004"/>
    <w:rsid w:val="00AB381C"/>
    <w:rsid w:val="00AD215B"/>
    <w:rsid w:val="00AD36B4"/>
    <w:rsid w:val="00AD746A"/>
    <w:rsid w:val="00AE0F3E"/>
    <w:rsid w:val="00AE271D"/>
    <w:rsid w:val="00AF52A0"/>
    <w:rsid w:val="00B267D5"/>
    <w:rsid w:val="00B33239"/>
    <w:rsid w:val="00B37F03"/>
    <w:rsid w:val="00B54601"/>
    <w:rsid w:val="00B65602"/>
    <w:rsid w:val="00B72867"/>
    <w:rsid w:val="00B769A4"/>
    <w:rsid w:val="00B829A8"/>
    <w:rsid w:val="00BB016D"/>
    <w:rsid w:val="00BB3A6F"/>
    <w:rsid w:val="00BB4564"/>
    <w:rsid w:val="00BB694B"/>
    <w:rsid w:val="00BC02F3"/>
    <w:rsid w:val="00BD2AE3"/>
    <w:rsid w:val="00BE3AFF"/>
    <w:rsid w:val="00BE402A"/>
    <w:rsid w:val="00BE7507"/>
    <w:rsid w:val="00BF583F"/>
    <w:rsid w:val="00C01ECB"/>
    <w:rsid w:val="00C11021"/>
    <w:rsid w:val="00C2698C"/>
    <w:rsid w:val="00C41C99"/>
    <w:rsid w:val="00C50FDC"/>
    <w:rsid w:val="00C556A6"/>
    <w:rsid w:val="00C64A5E"/>
    <w:rsid w:val="00C71D1A"/>
    <w:rsid w:val="00C91C6A"/>
    <w:rsid w:val="00C9514F"/>
    <w:rsid w:val="00C96774"/>
    <w:rsid w:val="00CA2171"/>
    <w:rsid w:val="00CA6B00"/>
    <w:rsid w:val="00CB3C72"/>
    <w:rsid w:val="00CD548D"/>
    <w:rsid w:val="00CD69D7"/>
    <w:rsid w:val="00CF7AC9"/>
    <w:rsid w:val="00D028EC"/>
    <w:rsid w:val="00D058D9"/>
    <w:rsid w:val="00D119CC"/>
    <w:rsid w:val="00D15246"/>
    <w:rsid w:val="00D26ABF"/>
    <w:rsid w:val="00D41CCB"/>
    <w:rsid w:val="00D514A7"/>
    <w:rsid w:val="00D517B0"/>
    <w:rsid w:val="00D5238C"/>
    <w:rsid w:val="00D6227D"/>
    <w:rsid w:val="00D63CA6"/>
    <w:rsid w:val="00D640C7"/>
    <w:rsid w:val="00D77255"/>
    <w:rsid w:val="00D77584"/>
    <w:rsid w:val="00D86EDB"/>
    <w:rsid w:val="00D907B5"/>
    <w:rsid w:val="00D9160C"/>
    <w:rsid w:val="00D93685"/>
    <w:rsid w:val="00DC260A"/>
    <w:rsid w:val="00DD353D"/>
    <w:rsid w:val="00DD78B2"/>
    <w:rsid w:val="00E004A0"/>
    <w:rsid w:val="00E01EDB"/>
    <w:rsid w:val="00E14346"/>
    <w:rsid w:val="00E22697"/>
    <w:rsid w:val="00E36C98"/>
    <w:rsid w:val="00E420C3"/>
    <w:rsid w:val="00E4251D"/>
    <w:rsid w:val="00E70EFD"/>
    <w:rsid w:val="00EA142F"/>
    <w:rsid w:val="00EA5F9B"/>
    <w:rsid w:val="00EA6134"/>
    <w:rsid w:val="00EB703A"/>
    <w:rsid w:val="00EC6C3A"/>
    <w:rsid w:val="00EE43CF"/>
    <w:rsid w:val="00F053D2"/>
    <w:rsid w:val="00F13EED"/>
    <w:rsid w:val="00F17897"/>
    <w:rsid w:val="00F17A99"/>
    <w:rsid w:val="00F239A5"/>
    <w:rsid w:val="00F271E3"/>
    <w:rsid w:val="00F3075A"/>
    <w:rsid w:val="00F32523"/>
    <w:rsid w:val="00F435DA"/>
    <w:rsid w:val="00F51812"/>
    <w:rsid w:val="00F67A96"/>
    <w:rsid w:val="00F742AC"/>
    <w:rsid w:val="00F74D81"/>
    <w:rsid w:val="00F77563"/>
    <w:rsid w:val="00F9143B"/>
    <w:rsid w:val="00FA1E64"/>
    <w:rsid w:val="00FA5182"/>
    <w:rsid w:val="00FA62D6"/>
    <w:rsid w:val="00FB388A"/>
    <w:rsid w:val="00FB48B1"/>
    <w:rsid w:val="00FB6A4D"/>
    <w:rsid w:val="00FC25B9"/>
    <w:rsid w:val="00FC6FAF"/>
    <w:rsid w:val="00FD53BB"/>
    <w:rsid w:val="00FF6559"/>
    <w:rsid w:val="00FF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46930"/>
  <w15:docId w15:val="{F171BFCF-BE2B-4E13-8B4C-9019A255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242BA"/>
    <w:rPr>
      <w:sz w:val="24"/>
      <w:szCs w:val="24"/>
    </w:rPr>
  </w:style>
  <w:style w:type="paragraph" w:styleId="Heading1">
    <w:name w:val="heading 1"/>
    <w:basedOn w:val="Normal"/>
    <w:next w:val="Normal"/>
    <w:link w:val="Heading1Char"/>
    <w:qFormat/>
    <w:rsid w:val="00501F9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242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Helvetica" w:hAnsi="Helvetica"/>
      <w:sz w:val="14"/>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character" w:customStyle="1" w:styleId="MerleDavis">
    <w:name w:val="Merle.Davis"/>
    <w:semiHidden/>
    <w:rsid w:val="00587A5D"/>
    <w:rPr>
      <w:rFonts w:ascii="Arial" w:hAnsi="Arial" w:cs="Arial"/>
      <w:color w:val="auto"/>
      <w:sz w:val="20"/>
      <w:szCs w:val="20"/>
    </w:rPr>
  </w:style>
  <w:style w:type="character" w:customStyle="1" w:styleId="StateofMaine">
    <w:name w:val="State of Maine"/>
    <w:semiHidden/>
    <w:rsid w:val="00587A5D"/>
    <w:rPr>
      <w:rFonts w:ascii="Arial" w:hAnsi="Arial" w:cs="Arial"/>
      <w:b w:val="0"/>
      <w:bCs w:val="0"/>
      <w:i w:val="0"/>
      <w:iCs w:val="0"/>
      <w:strike w:val="0"/>
      <w:color w:val="auto"/>
      <w:sz w:val="20"/>
      <w:szCs w:val="20"/>
      <w:u w:val="none"/>
    </w:rPr>
  </w:style>
  <w:style w:type="character" w:styleId="HTMLTypewriter">
    <w:name w:val="HTML Typewriter"/>
    <w:rsid w:val="00BB4564"/>
    <w:rPr>
      <w:rFonts w:ascii="Courier New" w:eastAsia="Times New Roman" w:hAnsi="Courier New" w:cs="Courier New"/>
      <w:sz w:val="20"/>
      <w:szCs w:val="20"/>
    </w:rPr>
  </w:style>
  <w:style w:type="paragraph" w:styleId="ListParagraph">
    <w:name w:val="List Paragraph"/>
    <w:basedOn w:val="Normal"/>
    <w:uiPriority w:val="34"/>
    <w:qFormat/>
    <w:rsid w:val="00E004A0"/>
    <w:pPr>
      <w:ind w:left="720"/>
      <w:contextualSpacing/>
    </w:pPr>
    <w:rPr>
      <w:rFonts w:ascii="Calibri" w:eastAsia="Calibri" w:hAnsi="Calibri"/>
      <w:sz w:val="22"/>
      <w:szCs w:val="22"/>
    </w:rPr>
  </w:style>
  <w:style w:type="character" w:customStyle="1" w:styleId="FooterChar">
    <w:name w:val="Footer Char"/>
    <w:link w:val="Footer"/>
    <w:uiPriority w:val="99"/>
    <w:rsid w:val="00E004A0"/>
    <w:rPr>
      <w:sz w:val="24"/>
      <w:szCs w:val="24"/>
    </w:rPr>
  </w:style>
  <w:style w:type="paragraph" w:styleId="BalloonText">
    <w:name w:val="Balloon Text"/>
    <w:basedOn w:val="Normal"/>
    <w:link w:val="BalloonTextChar"/>
    <w:rsid w:val="00D119CC"/>
    <w:rPr>
      <w:rFonts w:ascii="Tahoma" w:hAnsi="Tahoma" w:cs="Tahoma"/>
      <w:sz w:val="16"/>
      <w:szCs w:val="16"/>
    </w:rPr>
  </w:style>
  <w:style w:type="character" w:customStyle="1" w:styleId="BalloonTextChar">
    <w:name w:val="Balloon Text Char"/>
    <w:link w:val="BalloonText"/>
    <w:rsid w:val="00D119CC"/>
    <w:rPr>
      <w:rFonts w:ascii="Tahoma" w:hAnsi="Tahoma" w:cs="Tahoma"/>
      <w:sz w:val="16"/>
      <w:szCs w:val="16"/>
    </w:rPr>
  </w:style>
  <w:style w:type="paragraph" w:styleId="NormalWeb">
    <w:name w:val="Normal (Web)"/>
    <w:basedOn w:val="Normal"/>
    <w:uiPriority w:val="99"/>
    <w:unhideWhenUsed/>
    <w:rsid w:val="002565BF"/>
    <w:pPr>
      <w:spacing w:before="100" w:beforeAutospacing="1" w:after="100" w:afterAutospacing="1"/>
    </w:pPr>
  </w:style>
  <w:style w:type="character" w:customStyle="1" w:styleId="et03">
    <w:name w:val="et03"/>
    <w:rsid w:val="002565BF"/>
  </w:style>
  <w:style w:type="character" w:customStyle="1" w:styleId="apple-converted-space">
    <w:name w:val="apple-converted-space"/>
    <w:rsid w:val="002565BF"/>
  </w:style>
  <w:style w:type="paragraph" w:customStyle="1" w:styleId="Default">
    <w:name w:val="Default"/>
    <w:rsid w:val="002565BF"/>
    <w:pPr>
      <w:autoSpaceDE w:val="0"/>
      <w:autoSpaceDN w:val="0"/>
      <w:adjustRightInd w:val="0"/>
    </w:pPr>
    <w:rPr>
      <w:rFonts w:ascii="Tahoma" w:hAnsi="Tahoma" w:cs="Tahoma"/>
      <w:color w:val="000000"/>
      <w:sz w:val="24"/>
      <w:szCs w:val="24"/>
    </w:rPr>
  </w:style>
  <w:style w:type="character" w:customStyle="1" w:styleId="Heading1Char">
    <w:name w:val="Heading 1 Char"/>
    <w:basedOn w:val="DefaultParagraphFont"/>
    <w:link w:val="Heading1"/>
    <w:rsid w:val="00501F91"/>
    <w:rPr>
      <w:rFonts w:asciiTheme="majorHAnsi" w:eastAsiaTheme="majorEastAsia" w:hAnsiTheme="majorHAnsi" w:cstheme="majorBidi"/>
      <w:b/>
      <w:bCs/>
      <w:kern w:val="32"/>
      <w:sz w:val="32"/>
      <w:szCs w:val="32"/>
    </w:rPr>
  </w:style>
  <w:style w:type="paragraph" w:styleId="TOCHeading">
    <w:name w:val="TOC Heading"/>
    <w:basedOn w:val="Heading1"/>
    <w:next w:val="Normal"/>
    <w:uiPriority w:val="39"/>
    <w:semiHidden/>
    <w:unhideWhenUsed/>
    <w:qFormat/>
    <w:rsid w:val="009238AB"/>
    <w:pPr>
      <w:keepLines/>
      <w:spacing w:before="480" w:after="0" w:line="276" w:lineRule="auto"/>
      <w:outlineLvl w:val="9"/>
    </w:pPr>
    <w:rPr>
      <w:color w:val="365F91" w:themeColor="accent1" w:themeShade="BF"/>
      <w:kern w:val="0"/>
      <w:sz w:val="28"/>
      <w:szCs w:val="28"/>
      <w:lang w:eastAsia="ja-JP"/>
    </w:rPr>
  </w:style>
  <w:style w:type="paragraph" w:styleId="TOC1">
    <w:name w:val="toc 1"/>
    <w:basedOn w:val="Normal"/>
    <w:next w:val="Normal"/>
    <w:autoRedefine/>
    <w:uiPriority w:val="39"/>
    <w:rsid w:val="009238AB"/>
    <w:pPr>
      <w:spacing w:after="100"/>
    </w:pPr>
  </w:style>
  <w:style w:type="paragraph" w:styleId="Subtitle">
    <w:name w:val="Subtitle"/>
    <w:basedOn w:val="Normal"/>
    <w:next w:val="Normal"/>
    <w:link w:val="SubtitleChar"/>
    <w:qFormat/>
    <w:rsid w:val="00812CF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12CF2"/>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1242BA"/>
    <w:rPr>
      <w:rFonts w:asciiTheme="majorHAnsi" w:eastAsiaTheme="majorEastAsia" w:hAnsiTheme="majorHAnsi" w:cstheme="majorBidi"/>
      <w:b/>
      <w:bCs/>
      <w:color w:val="4F81BD" w:themeColor="accent1"/>
      <w:sz w:val="26"/>
      <w:szCs w:val="26"/>
    </w:rPr>
  </w:style>
  <w:style w:type="character" w:customStyle="1" w:styleId="BodyTextChar">
    <w:name w:val="Body Text Char"/>
    <w:basedOn w:val="DefaultParagraphFont"/>
    <w:link w:val="BodyText"/>
    <w:rsid w:val="001242BA"/>
    <w:rPr>
      <w:rFonts w:ascii="Helvetica" w:hAnsi="Helvetica"/>
      <w:sz w:val="14"/>
    </w:rPr>
  </w:style>
  <w:style w:type="paragraph" w:styleId="TOC2">
    <w:name w:val="toc 2"/>
    <w:basedOn w:val="Normal"/>
    <w:next w:val="Normal"/>
    <w:autoRedefine/>
    <w:uiPriority w:val="39"/>
    <w:rsid w:val="001242BA"/>
    <w:pPr>
      <w:spacing w:after="100"/>
      <w:ind w:left="240"/>
    </w:pPr>
  </w:style>
  <w:style w:type="character" w:styleId="Mention">
    <w:name w:val="Mention"/>
    <w:basedOn w:val="DefaultParagraphFont"/>
    <w:uiPriority w:val="99"/>
    <w:semiHidden/>
    <w:unhideWhenUsed/>
    <w:rsid w:val="004E17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09375">
      <w:bodyDiv w:val="1"/>
      <w:marLeft w:val="0"/>
      <w:marRight w:val="0"/>
      <w:marTop w:val="0"/>
      <w:marBottom w:val="0"/>
      <w:divBdr>
        <w:top w:val="none" w:sz="0" w:space="0" w:color="auto"/>
        <w:left w:val="none" w:sz="0" w:space="0" w:color="auto"/>
        <w:bottom w:val="none" w:sz="0" w:space="0" w:color="auto"/>
        <w:right w:val="none" w:sz="0" w:space="0" w:color="auto"/>
      </w:divBdr>
    </w:div>
    <w:div w:id="742876401">
      <w:bodyDiv w:val="1"/>
      <w:marLeft w:val="0"/>
      <w:marRight w:val="0"/>
      <w:marTop w:val="0"/>
      <w:marBottom w:val="0"/>
      <w:divBdr>
        <w:top w:val="none" w:sz="0" w:space="0" w:color="auto"/>
        <w:left w:val="none" w:sz="0" w:space="0" w:color="auto"/>
        <w:bottom w:val="none" w:sz="0" w:space="0" w:color="auto"/>
        <w:right w:val="none" w:sz="0" w:space="0" w:color="auto"/>
      </w:divBdr>
    </w:div>
    <w:div w:id="1103107001">
      <w:bodyDiv w:val="1"/>
      <w:marLeft w:val="0"/>
      <w:marRight w:val="0"/>
      <w:marTop w:val="0"/>
      <w:marBottom w:val="0"/>
      <w:divBdr>
        <w:top w:val="none" w:sz="0" w:space="0" w:color="auto"/>
        <w:left w:val="none" w:sz="0" w:space="0" w:color="auto"/>
        <w:bottom w:val="none" w:sz="0" w:space="0" w:color="auto"/>
        <w:right w:val="none" w:sz="0" w:space="0" w:color="auto"/>
      </w:divBdr>
    </w:div>
    <w:div w:id="150674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ol.gov/oasam/programs/crc/188Guide.htm" TargetMode="External"/><Relationship Id="rId18" Type="http://schemas.openxmlformats.org/officeDocument/2006/relationships/hyperlink" Target="https://www.dol.gov/oasam/programs/crc/section188.htm" TargetMode="External"/><Relationship Id="rId26" Type="http://schemas.openxmlformats.org/officeDocument/2006/relationships/hyperlink" Target="http://www.ncwd-youth.info/sites/default/files/page/2009/02/infobrief_issue9.doc" TargetMode="External"/><Relationship Id="rId39" Type="http://schemas.openxmlformats.org/officeDocument/2006/relationships/hyperlink" Target="http://www.maine.gov/rehab/dod/resource_guide/interpreting.shtml" TargetMode="External"/><Relationship Id="rId21" Type="http://schemas.openxmlformats.org/officeDocument/2006/relationships/hyperlink" Target="https://www.dol.gov/oasam/programs/crc/EOPosters.htm" TargetMode="External"/><Relationship Id="rId34" Type="http://schemas.openxmlformats.org/officeDocument/2006/relationships/hyperlink" Target="https://211maine.communityos.org/zf/profile/search?keyword=interpreter&amp;dosearch=1" TargetMode="External"/><Relationship Id="rId42" Type="http://schemas.openxmlformats.org/officeDocument/2006/relationships/hyperlink" Target="http://mainecartservice.com./" TargetMode="External"/><Relationship Id="rId47" Type="http://schemas.openxmlformats.org/officeDocument/2006/relationships/hyperlink" Target="http://www.alphaonenow.com/" TargetMode="External"/><Relationship Id="rId50" Type="http://schemas.openxmlformats.org/officeDocument/2006/relationships/hyperlink" Target="http://www.maine.gov/mhrc/" TargetMode="External"/><Relationship Id="rId55" Type="http://schemas.openxmlformats.org/officeDocument/2006/relationships/hyperlink" Target="https://www.unitedspinal.org/disability-etiquette/" TargetMode="External"/><Relationship Id="rId63" Type="http://schemas.openxmlformats.org/officeDocument/2006/relationships/hyperlink" Target="http://www.peatworks.org/content/american-job-centers-and-digital-access-guide-accessible-ict" TargetMode="External"/><Relationship Id="rId68" Type="http://schemas.openxmlformats.org/officeDocument/2006/relationships/hyperlink" Target="https://www.dol.gov/odep/topics/ndeam/resources.htm" TargetMode="External"/><Relationship Id="rId76" Type="http://schemas.openxmlformats.org/officeDocument/2006/relationships/hyperlink" Target="http://legislature.maine.gov/statutes/5/title5sec4553.html"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adata.org/publication/temporary-events-guide" TargetMode="External"/><Relationship Id="rId2" Type="http://schemas.openxmlformats.org/officeDocument/2006/relationships/numbering" Target="numbering.xml"/><Relationship Id="rId16" Type="http://schemas.openxmlformats.org/officeDocument/2006/relationships/hyperlink" Target="https://adata.org/publication/service-animals-booklet" TargetMode="External"/><Relationship Id="rId29" Type="http://schemas.openxmlformats.org/officeDocument/2006/relationships/hyperlink" Target="https://www.lep.gov" TargetMode="External"/><Relationship Id="rId11" Type="http://schemas.openxmlformats.org/officeDocument/2006/relationships/hyperlink" Target="https://www.law.cornell.edu/definitions/index.php?width=840&amp;height=800&amp;iframe=true&amp;def_id=5ba810ea4dc0b0517b1725cf5fc8520f&amp;term_occur=4&amp;term_src=Title:29:Subtitle:A:Part:38:Subpart:A:38.4" TargetMode="External"/><Relationship Id="rId24" Type="http://schemas.openxmlformats.org/officeDocument/2006/relationships/hyperlink" Target="http://www.peatworks.org/content/american-job-centers-and-digital-access-guide-accessible-ict" TargetMode="External"/><Relationship Id="rId32" Type="http://schemas.openxmlformats.org/officeDocument/2006/relationships/hyperlink" Target="http://www.maine.gov/dhhs/documents/Language_ID_Card.doc" TargetMode="External"/><Relationship Id="rId37" Type="http://schemas.openxmlformats.org/officeDocument/2006/relationships/hyperlink" Target="https://wdr.doleta.gov/directives/attach/TEN/TEN_28-16_Change_2_acc.pdf" TargetMode="External"/><Relationship Id="rId40" Type="http://schemas.openxmlformats.org/officeDocument/2006/relationships/hyperlink" Target="http://www.maine.gov/rehab/dod/resource_guide/" TargetMode="External"/><Relationship Id="rId45" Type="http://schemas.openxmlformats.org/officeDocument/2006/relationships/hyperlink" Target="mailto:iweb@mainecite.org" TargetMode="External"/><Relationship Id="rId53" Type="http://schemas.openxmlformats.org/officeDocument/2006/relationships/hyperlink" Target="https://adata.org/" TargetMode="External"/><Relationship Id="rId58" Type="http://schemas.openxmlformats.org/officeDocument/2006/relationships/hyperlink" Target="http://www.ncwd-youth.info/assets/guides/quick_reference_guides/hidden_disabilities.doc" TargetMode="External"/><Relationship Id="rId66" Type="http://schemas.openxmlformats.org/officeDocument/2006/relationships/hyperlink" Target="http://www.maine.gov/oit/policies/WebAccessibilityUsabilityPolicy.pdf" TargetMode="External"/><Relationship Id="rId74" Type="http://schemas.openxmlformats.org/officeDocument/2006/relationships/hyperlink" Target="http://www.meetingsevents.com.au/downloads/Accessible_Events_Guide.pdf" TargetMode="External"/><Relationship Id="rId79" Type="http://schemas.openxmlformats.org/officeDocument/2006/relationships/hyperlink" Target="https://www.ada.gov/regs2010/service_animal_qa.html" TargetMode="External"/><Relationship Id="rId87"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washington.edu/accessibility/documents/word" TargetMode="External"/><Relationship Id="rId82" Type="http://schemas.openxmlformats.org/officeDocument/2006/relationships/hyperlink" Target="https://adata.org/faq/i-heard-miniature-horses-are-considered-be-service-animals-ada-true" TargetMode="External"/><Relationship Id="rId90" Type="http://schemas.openxmlformats.org/officeDocument/2006/relationships/theme" Target="theme/theme1.xml"/><Relationship Id="rId19" Type="http://schemas.openxmlformats.org/officeDocument/2006/relationships/hyperlink" Target="http://www.maine.gov/rehab/accessibility_guide"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https://www.dol.gov/oasam/programs/crc/EOPosters.htm" TargetMode="External"/><Relationship Id="rId22" Type="http://schemas.openxmlformats.org/officeDocument/2006/relationships/hyperlink" Target="https://www.communityinclusion.org/onestop/onestopmanual.html" TargetMode="External"/><Relationship Id="rId27" Type="http://schemas.openxmlformats.org/officeDocument/2006/relationships/hyperlink" Target="http://www.onestops.info/" TargetMode="External"/><Relationship Id="rId30" Type="http://schemas.openxmlformats.org/officeDocument/2006/relationships/hyperlink" Target="https://www.lep.gov" TargetMode="External"/><Relationship Id="rId35" Type="http://schemas.openxmlformats.org/officeDocument/2006/relationships/hyperlink" Target="https://211maine.communityos.org/zf/profile/search?keyword=interpreter&amp;dosearch=1" TargetMode="External"/><Relationship Id="rId43" Type="http://schemas.openxmlformats.org/officeDocument/2006/relationships/hyperlink" Target="mailto:Eric.dibner@maine.gov" TargetMode="External"/><Relationship Id="rId48" Type="http://schemas.openxmlformats.org/officeDocument/2006/relationships/hyperlink" Target="http://www.drme.org/" TargetMode="External"/><Relationship Id="rId56" Type="http://schemas.openxmlformats.org/officeDocument/2006/relationships/hyperlink" Target="http://www.onestops.info/article.php?article_id=14&amp;subcat_id=14" TargetMode="External"/><Relationship Id="rId64" Type="http://schemas.openxmlformats.org/officeDocument/2006/relationships/hyperlink" Target="http://www.peatworks.org/" TargetMode="External"/><Relationship Id="rId69" Type="http://schemas.openxmlformats.org/officeDocument/2006/relationships/hyperlink" Target="https://www.digitalgov.gov/resources/federal-social-media-accessibility-toolkit-hackpad/" TargetMode="External"/><Relationship Id="rId77" Type="http://schemas.openxmlformats.org/officeDocument/2006/relationships/hyperlink" Target="https://www.ecfr.gov/cgi-bin/text-idx?rgn=div5&amp;node=28:1.0.1.1.36" TargetMode="External"/><Relationship Id="rId8" Type="http://schemas.openxmlformats.org/officeDocument/2006/relationships/image" Target="media/image2.png"/><Relationship Id="rId51" Type="http://schemas.openxmlformats.org/officeDocument/2006/relationships/hyperlink" Target="https://askjan.org/index.html" TargetMode="External"/><Relationship Id="rId72" Type="http://schemas.openxmlformats.org/officeDocument/2006/relationships/hyperlink" Target="https://ccids.umaine.edu/wp-content/uploads/sites/26/2017/06/CCIDS_SUFU_Planning_Accessible_Meetings_Final-fillable_022515.pdf" TargetMode="External"/><Relationship Id="rId80" Type="http://schemas.openxmlformats.org/officeDocument/2006/relationships/hyperlink" Target="https://adata.org/publication/service-animals-bookle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aw.cornell.edu/definitions/index.php?width=840&amp;height=800&amp;iframe=true&amp;def_id=5ba810ea4dc0b0517b1725cf5fc8520f&amp;term_occur=3&amp;term_src=Title:29:Subtitle:A:Part:38:Subpart:A:38.4" TargetMode="External"/><Relationship Id="rId17" Type="http://schemas.openxmlformats.org/officeDocument/2006/relationships/hyperlink" Target="https://www.dol.gov/oasam/programs/crc/Section188Guide.pdf" TargetMode="External"/><Relationship Id="rId25" Type="http://schemas.openxmlformats.org/officeDocument/2006/relationships/hyperlink" Target="http://www.ncwd-youth.info/sites/default/files/page/2009/02/infobrief_issue9.pdf" TargetMode="External"/><Relationship Id="rId33" Type="http://schemas.openxmlformats.org/officeDocument/2006/relationships/hyperlink" Target="http://www.maine.gov/dhhs/documents/Language_ID_Card.pdf" TargetMode="External"/><Relationship Id="rId38" Type="http://schemas.openxmlformats.org/officeDocument/2006/relationships/hyperlink" Target="http://www.maine.gov/purchase/contracts/americansignlang.shtml" TargetMode="External"/><Relationship Id="rId46" Type="http://schemas.openxmlformats.org/officeDocument/2006/relationships/hyperlink" Target="http://www.mainecite.org" TargetMode="External"/><Relationship Id="rId59" Type="http://schemas.openxmlformats.org/officeDocument/2006/relationships/hyperlink" Target="https://adata.org/" TargetMode="External"/><Relationship Id="rId67" Type="http://schemas.openxmlformats.org/officeDocument/2006/relationships/hyperlink" Target="http://www.maine.gov/oit/policies/ADA-effective-communication-policy.pdf" TargetMode="External"/><Relationship Id="rId20" Type="http://schemas.openxmlformats.org/officeDocument/2006/relationships/hyperlink" Target="https://www.law.cornell.edu/cfr/text/8/274a.12" TargetMode="External"/><Relationship Id="rId41" Type="http://schemas.openxmlformats.org/officeDocument/2006/relationships/hyperlink" Target="http://drme.org/deaf-services" TargetMode="External"/><Relationship Id="rId54" Type="http://schemas.openxmlformats.org/officeDocument/2006/relationships/hyperlink" Target="https://www.unitedspinal.org/disability-etiquette" TargetMode="External"/><Relationship Id="rId62" Type="http://schemas.openxmlformats.org/officeDocument/2006/relationships/hyperlink" Target="https://www.w3.org/WAI/WCAG20/quickref/" TargetMode="External"/><Relationship Id="rId70" Type="http://schemas.openxmlformats.org/officeDocument/2006/relationships/hyperlink" Target="http://calworkforce.org/wp-content/uploads/2017/05/Tips-for-Planning-an-Accessible-Job-WorkCon-2017.pdf" TargetMode="External"/><Relationship Id="rId75" Type="http://schemas.openxmlformats.org/officeDocument/2006/relationships/hyperlink" Target="https://www.arts.gov/sites/default/files/Design-for-Accessibility.pdf"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ccess-board.gov/guidelines-and-standards/buildings-and-sites/about-the-ada-standards/ada-standards" TargetMode="External"/><Relationship Id="rId23" Type="http://schemas.openxmlformats.org/officeDocument/2006/relationships/hyperlink" Target="http://www.wiawebcourse.org/" TargetMode="External"/><Relationship Id="rId28" Type="http://schemas.openxmlformats.org/officeDocument/2006/relationships/hyperlink" Target="http://www.impaqint.com/sites/default/files/project-reports/AJC-Accessibility-Study.pdf" TargetMode="External"/><Relationship Id="rId36" Type="http://schemas.openxmlformats.org/officeDocument/2006/relationships/hyperlink" Target="https://wdr.doleta.gov/directives/attach/TEN/TEN_28-16_Change_2_acc.pdf" TargetMode="External"/><Relationship Id="rId49" Type="http://schemas.openxmlformats.org/officeDocument/2006/relationships/hyperlink" Target="mailto:deafservices@drme.org" TargetMode="External"/><Relationship Id="rId57" Type="http://schemas.openxmlformats.org/officeDocument/2006/relationships/hyperlink" Target="http://www.ncwd-youth.info/assets/guides/quick_reference_guides/hidden_disabilities.pdf" TargetMode="External"/><Relationship Id="rId10" Type="http://schemas.openxmlformats.org/officeDocument/2006/relationships/hyperlink" Target="https://www.law.cornell.edu/definitions/index.php?width=840&amp;height=800&amp;iframe=true&amp;def_id=919709d559bd6acf5f9ab502322ffcd2&amp;term_occur=1&amp;term_src=Title:29:Subtitle:A:Part:38:Subpart:A:38.4" TargetMode="External"/><Relationship Id="rId31" Type="http://schemas.openxmlformats.org/officeDocument/2006/relationships/hyperlink" Target="http://www.maine.gov/dhhs/documents/Language_ID_Card.doc" TargetMode="External"/><Relationship Id="rId44" Type="http://schemas.openxmlformats.org/officeDocument/2006/relationships/hyperlink" Target="http://www.maine.gov/rehab/accessibility_guide" TargetMode="External"/><Relationship Id="rId52" Type="http://schemas.openxmlformats.org/officeDocument/2006/relationships/hyperlink" Target="http://www.ada.gov" TargetMode="External"/><Relationship Id="rId60" Type="http://schemas.openxmlformats.org/officeDocument/2006/relationships/hyperlink" Target="https://www.section508.gov/content/build/create-accessible-documents" TargetMode="External"/><Relationship Id="rId65" Type="http://schemas.openxmlformats.org/officeDocument/2006/relationships/hyperlink" Target="http://aoda.nipissingu.ca/" TargetMode="External"/><Relationship Id="rId73" Type="http://schemas.openxmlformats.org/officeDocument/2006/relationships/hyperlink" Target="https://www.americanbar.org/content/dam/aba/administrative/mental_physical_disability/Accessible_Meetings_Toolkit.authcheckdam.pdf" TargetMode="External"/><Relationship Id="rId78" Type="http://schemas.openxmlformats.org/officeDocument/2006/relationships/hyperlink" Target="https://www.ada.gov/service_animals_2010.htm" TargetMode="External"/><Relationship Id="rId81" Type="http://schemas.openxmlformats.org/officeDocument/2006/relationships/hyperlink" Target="https://www.ecfr.gov/cgi-bin/text-idx?SID=4484f0e26c14fac711aa9c1eff1a3b90&amp;mc=true&amp;node=se28.1.35_1136&amp;rgn=div8" TargetMode="External"/><Relationship Id="rId86"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tterhead-bangor-q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2AF8-F91A-4FB3-B850-DC00B5F3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letterhead-bangor-qc.dot</Template>
  <TotalTime>1</TotalTime>
  <Pages>19</Pages>
  <Words>6805</Words>
  <Characters>50693</Characters>
  <Application>Microsoft Office Word</Application>
  <DocSecurity>0</DocSecurity>
  <Lines>422</Lines>
  <Paragraphs>114</Paragraphs>
  <ScaleCrop>false</ScaleCrop>
  <HeadingPairs>
    <vt:vector size="2" baseType="variant">
      <vt:variant>
        <vt:lpstr>Title</vt:lpstr>
      </vt:variant>
      <vt:variant>
        <vt:i4>1</vt:i4>
      </vt:variant>
    </vt:vector>
  </HeadingPairs>
  <TitlesOfParts>
    <vt:vector size="1" baseType="lpstr">
      <vt:lpstr>STATE OF MAINE</vt:lpstr>
    </vt:vector>
  </TitlesOfParts>
  <Company>MDOL</Company>
  <LinksUpToDate>false</LinksUpToDate>
  <CharactersWithSpaces>57384</CharactersWithSpaces>
  <SharedDoc>false</SharedDoc>
  <HLinks>
    <vt:vector size="414" baseType="variant">
      <vt:variant>
        <vt:i4>5308480</vt:i4>
      </vt:variant>
      <vt:variant>
        <vt:i4>204</vt:i4>
      </vt:variant>
      <vt:variant>
        <vt:i4>0</vt:i4>
      </vt:variant>
      <vt:variant>
        <vt:i4>5</vt:i4>
      </vt:variant>
      <vt:variant>
        <vt:lpwstr>https://adata.org/faq/i-heard-miniature-horses-are-considered-be-service-animals-ada-true</vt:lpwstr>
      </vt:variant>
      <vt:variant>
        <vt:lpwstr/>
      </vt:variant>
      <vt:variant>
        <vt:i4>1638453</vt:i4>
      </vt:variant>
      <vt:variant>
        <vt:i4>201</vt:i4>
      </vt:variant>
      <vt:variant>
        <vt:i4>0</vt:i4>
      </vt:variant>
      <vt:variant>
        <vt:i4>5</vt:i4>
      </vt:variant>
      <vt:variant>
        <vt:lpwstr>https://www.ecfr.gov/cgi-bin/text-idx?SID=4484f0e26c14fac711aa9c1eff1a3b90&amp;mc=true&amp;node=se28.1.35_1136&amp;rgn=div8</vt:lpwstr>
      </vt:variant>
      <vt:variant>
        <vt:lpwstr/>
      </vt:variant>
      <vt:variant>
        <vt:i4>4325442</vt:i4>
      </vt:variant>
      <vt:variant>
        <vt:i4>198</vt:i4>
      </vt:variant>
      <vt:variant>
        <vt:i4>0</vt:i4>
      </vt:variant>
      <vt:variant>
        <vt:i4>5</vt:i4>
      </vt:variant>
      <vt:variant>
        <vt:lpwstr>https://adata.org/publication/service-animals-booklet</vt:lpwstr>
      </vt:variant>
      <vt:variant>
        <vt:lpwstr/>
      </vt:variant>
      <vt:variant>
        <vt:i4>720899</vt:i4>
      </vt:variant>
      <vt:variant>
        <vt:i4>195</vt:i4>
      </vt:variant>
      <vt:variant>
        <vt:i4>0</vt:i4>
      </vt:variant>
      <vt:variant>
        <vt:i4>5</vt:i4>
      </vt:variant>
      <vt:variant>
        <vt:lpwstr>https://www.ada.gov/regs2010/service_animal_qa.html</vt:lpwstr>
      </vt:variant>
      <vt:variant>
        <vt:lpwstr/>
      </vt:variant>
      <vt:variant>
        <vt:i4>5767199</vt:i4>
      </vt:variant>
      <vt:variant>
        <vt:i4>192</vt:i4>
      </vt:variant>
      <vt:variant>
        <vt:i4>0</vt:i4>
      </vt:variant>
      <vt:variant>
        <vt:i4>5</vt:i4>
      </vt:variant>
      <vt:variant>
        <vt:lpwstr>https://www.ada.gov/service_animals_2010.htm</vt:lpwstr>
      </vt:variant>
      <vt:variant>
        <vt:lpwstr/>
      </vt:variant>
      <vt:variant>
        <vt:i4>524413</vt:i4>
      </vt:variant>
      <vt:variant>
        <vt:i4>189</vt:i4>
      </vt:variant>
      <vt:variant>
        <vt:i4>0</vt:i4>
      </vt:variant>
      <vt:variant>
        <vt:i4>5</vt:i4>
      </vt:variant>
      <vt:variant>
        <vt:lpwstr>https://www.ecfr.gov/cgi-bin/text-idx?rgn=div5&amp;node=28:1.0.1.1.36</vt:lpwstr>
      </vt:variant>
      <vt:variant>
        <vt:lpwstr>se28.1.35_1136</vt:lpwstr>
      </vt:variant>
      <vt:variant>
        <vt:i4>3276900</vt:i4>
      </vt:variant>
      <vt:variant>
        <vt:i4>186</vt:i4>
      </vt:variant>
      <vt:variant>
        <vt:i4>0</vt:i4>
      </vt:variant>
      <vt:variant>
        <vt:i4>5</vt:i4>
      </vt:variant>
      <vt:variant>
        <vt:lpwstr>http://legislature.maine.gov/statutes/5/title5sec4553.html</vt:lpwstr>
      </vt:variant>
      <vt:variant>
        <vt:lpwstr/>
      </vt:variant>
      <vt:variant>
        <vt:i4>786459</vt:i4>
      </vt:variant>
      <vt:variant>
        <vt:i4>183</vt:i4>
      </vt:variant>
      <vt:variant>
        <vt:i4>0</vt:i4>
      </vt:variant>
      <vt:variant>
        <vt:i4>5</vt:i4>
      </vt:variant>
      <vt:variant>
        <vt:lpwstr>https://www.arts.gov/sites/default/files/Design-for-Accessibility.pdf</vt:lpwstr>
      </vt:variant>
      <vt:variant>
        <vt:lpwstr/>
      </vt:variant>
      <vt:variant>
        <vt:i4>1245264</vt:i4>
      </vt:variant>
      <vt:variant>
        <vt:i4>180</vt:i4>
      </vt:variant>
      <vt:variant>
        <vt:i4>0</vt:i4>
      </vt:variant>
      <vt:variant>
        <vt:i4>5</vt:i4>
      </vt:variant>
      <vt:variant>
        <vt:lpwstr>http://www.meetingsevents.com.au/downloads/Accessible_Events_Guide.pdf</vt:lpwstr>
      </vt:variant>
      <vt:variant>
        <vt:lpwstr/>
      </vt:variant>
      <vt:variant>
        <vt:i4>6357037</vt:i4>
      </vt:variant>
      <vt:variant>
        <vt:i4>177</vt:i4>
      </vt:variant>
      <vt:variant>
        <vt:i4>0</vt:i4>
      </vt:variant>
      <vt:variant>
        <vt:i4>5</vt:i4>
      </vt:variant>
      <vt:variant>
        <vt:lpwstr>https://www.americanbar.org/content/dam/aba/administrative/mental_physical_disability/Accessible_Meetings_Toolkit.authcheckdam.pdf</vt:lpwstr>
      </vt:variant>
      <vt:variant>
        <vt:lpwstr/>
      </vt:variant>
      <vt:variant>
        <vt:i4>1179731</vt:i4>
      </vt:variant>
      <vt:variant>
        <vt:i4>174</vt:i4>
      </vt:variant>
      <vt:variant>
        <vt:i4>0</vt:i4>
      </vt:variant>
      <vt:variant>
        <vt:i4>5</vt:i4>
      </vt:variant>
      <vt:variant>
        <vt:lpwstr>https://ccids.umaine.edu/wp-content/uploads/sites/26/2017/06/CCIDS_SUFU_Planning_Accessible_Meetings_Final-fillable_022515.pdf</vt:lpwstr>
      </vt:variant>
      <vt:variant>
        <vt:lpwstr/>
      </vt:variant>
      <vt:variant>
        <vt:i4>262162</vt:i4>
      </vt:variant>
      <vt:variant>
        <vt:i4>171</vt:i4>
      </vt:variant>
      <vt:variant>
        <vt:i4>0</vt:i4>
      </vt:variant>
      <vt:variant>
        <vt:i4>5</vt:i4>
      </vt:variant>
      <vt:variant>
        <vt:lpwstr>https://adata.org/publication/temporary-events-guide</vt:lpwstr>
      </vt:variant>
      <vt:variant>
        <vt:lpwstr/>
      </vt:variant>
      <vt:variant>
        <vt:i4>3211310</vt:i4>
      </vt:variant>
      <vt:variant>
        <vt:i4>168</vt:i4>
      </vt:variant>
      <vt:variant>
        <vt:i4>0</vt:i4>
      </vt:variant>
      <vt:variant>
        <vt:i4>5</vt:i4>
      </vt:variant>
      <vt:variant>
        <vt:lpwstr>http://calworkforce.org/wp-content/uploads/2017/05/Tips-for-Planning-an-Accessible-Job-WorkCon-2017.pdf</vt:lpwstr>
      </vt:variant>
      <vt:variant>
        <vt:lpwstr/>
      </vt:variant>
      <vt:variant>
        <vt:i4>852060</vt:i4>
      </vt:variant>
      <vt:variant>
        <vt:i4>165</vt:i4>
      </vt:variant>
      <vt:variant>
        <vt:i4>0</vt:i4>
      </vt:variant>
      <vt:variant>
        <vt:i4>5</vt:i4>
      </vt:variant>
      <vt:variant>
        <vt:lpwstr>https://www.digitalgov.gov/resources/federal-social-media-accessibility-toolkit-hackpad/</vt:lpwstr>
      </vt:variant>
      <vt:variant>
        <vt:lpwstr/>
      </vt:variant>
      <vt:variant>
        <vt:i4>1703955</vt:i4>
      </vt:variant>
      <vt:variant>
        <vt:i4>162</vt:i4>
      </vt:variant>
      <vt:variant>
        <vt:i4>0</vt:i4>
      </vt:variant>
      <vt:variant>
        <vt:i4>5</vt:i4>
      </vt:variant>
      <vt:variant>
        <vt:lpwstr>https://www.dol.gov/odep/topics/ndeam/resources.htm</vt:lpwstr>
      </vt:variant>
      <vt:variant>
        <vt:lpwstr>SocialMediaTips</vt:lpwstr>
      </vt:variant>
      <vt:variant>
        <vt:i4>4194374</vt:i4>
      </vt:variant>
      <vt:variant>
        <vt:i4>159</vt:i4>
      </vt:variant>
      <vt:variant>
        <vt:i4>0</vt:i4>
      </vt:variant>
      <vt:variant>
        <vt:i4>5</vt:i4>
      </vt:variant>
      <vt:variant>
        <vt:lpwstr>http://www.maine.gov/oit/policies/ADA-effective-communication-policy.pdf</vt:lpwstr>
      </vt:variant>
      <vt:variant>
        <vt:lpwstr/>
      </vt:variant>
      <vt:variant>
        <vt:i4>5046291</vt:i4>
      </vt:variant>
      <vt:variant>
        <vt:i4>156</vt:i4>
      </vt:variant>
      <vt:variant>
        <vt:i4>0</vt:i4>
      </vt:variant>
      <vt:variant>
        <vt:i4>5</vt:i4>
      </vt:variant>
      <vt:variant>
        <vt:lpwstr>http://www.maine.gov/oit/policies/WebAccessibilityUsabilityPolicy.pdf</vt:lpwstr>
      </vt:variant>
      <vt:variant>
        <vt:lpwstr/>
      </vt:variant>
      <vt:variant>
        <vt:i4>2359339</vt:i4>
      </vt:variant>
      <vt:variant>
        <vt:i4>153</vt:i4>
      </vt:variant>
      <vt:variant>
        <vt:i4>0</vt:i4>
      </vt:variant>
      <vt:variant>
        <vt:i4>5</vt:i4>
      </vt:variant>
      <vt:variant>
        <vt:lpwstr>http://aoda.nipissingu.ca/</vt:lpwstr>
      </vt:variant>
      <vt:variant>
        <vt:lpwstr/>
      </vt:variant>
      <vt:variant>
        <vt:i4>4456473</vt:i4>
      </vt:variant>
      <vt:variant>
        <vt:i4>150</vt:i4>
      </vt:variant>
      <vt:variant>
        <vt:i4>0</vt:i4>
      </vt:variant>
      <vt:variant>
        <vt:i4>5</vt:i4>
      </vt:variant>
      <vt:variant>
        <vt:lpwstr>http://www.peatworks.org/</vt:lpwstr>
      </vt:variant>
      <vt:variant>
        <vt:lpwstr/>
      </vt:variant>
      <vt:variant>
        <vt:i4>6160392</vt:i4>
      </vt:variant>
      <vt:variant>
        <vt:i4>147</vt:i4>
      </vt:variant>
      <vt:variant>
        <vt:i4>0</vt:i4>
      </vt:variant>
      <vt:variant>
        <vt:i4>5</vt:i4>
      </vt:variant>
      <vt:variant>
        <vt:lpwstr>http://www.peatworks.org/content/american-job-centers-and-digital-access-guide-accessible-ict</vt:lpwstr>
      </vt:variant>
      <vt:variant>
        <vt:lpwstr/>
      </vt:variant>
      <vt:variant>
        <vt:i4>6553640</vt:i4>
      </vt:variant>
      <vt:variant>
        <vt:i4>144</vt:i4>
      </vt:variant>
      <vt:variant>
        <vt:i4>0</vt:i4>
      </vt:variant>
      <vt:variant>
        <vt:i4>5</vt:i4>
      </vt:variant>
      <vt:variant>
        <vt:lpwstr>https://www.w3.org/WAI/WCAG20/quickref/</vt:lpwstr>
      </vt:variant>
      <vt:variant>
        <vt:lpwstr/>
      </vt:variant>
      <vt:variant>
        <vt:i4>2359342</vt:i4>
      </vt:variant>
      <vt:variant>
        <vt:i4>141</vt:i4>
      </vt:variant>
      <vt:variant>
        <vt:i4>0</vt:i4>
      </vt:variant>
      <vt:variant>
        <vt:i4>5</vt:i4>
      </vt:variant>
      <vt:variant>
        <vt:lpwstr>http://www.washington.edu/accessibility/documents/word</vt:lpwstr>
      </vt:variant>
      <vt:variant>
        <vt:lpwstr/>
      </vt:variant>
      <vt:variant>
        <vt:i4>7471145</vt:i4>
      </vt:variant>
      <vt:variant>
        <vt:i4>138</vt:i4>
      </vt:variant>
      <vt:variant>
        <vt:i4>0</vt:i4>
      </vt:variant>
      <vt:variant>
        <vt:i4>5</vt:i4>
      </vt:variant>
      <vt:variant>
        <vt:lpwstr>https://adata.org/</vt:lpwstr>
      </vt:variant>
      <vt:variant>
        <vt:lpwstr/>
      </vt:variant>
      <vt:variant>
        <vt:i4>7340032</vt:i4>
      </vt:variant>
      <vt:variant>
        <vt:i4>135</vt:i4>
      </vt:variant>
      <vt:variant>
        <vt:i4>0</vt:i4>
      </vt:variant>
      <vt:variant>
        <vt:i4>5</vt:i4>
      </vt:variant>
      <vt:variant>
        <vt:lpwstr>http://www.ncwd-youth.info/assets/guides/quick_reference_guides/hidden_disabilities.doc</vt:lpwstr>
      </vt:variant>
      <vt:variant>
        <vt:lpwstr/>
      </vt:variant>
      <vt:variant>
        <vt:i4>8060948</vt:i4>
      </vt:variant>
      <vt:variant>
        <vt:i4>132</vt:i4>
      </vt:variant>
      <vt:variant>
        <vt:i4>0</vt:i4>
      </vt:variant>
      <vt:variant>
        <vt:i4>5</vt:i4>
      </vt:variant>
      <vt:variant>
        <vt:lpwstr>http://www.ncwd-youth.info/assets/guides/quick_reference_guides/hidden_disabilities.pdf</vt:lpwstr>
      </vt:variant>
      <vt:variant>
        <vt:lpwstr/>
      </vt:variant>
      <vt:variant>
        <vt:i4>3604520</vt:i4>
      </vt:variant>
      <vt:variant>
        <vt:i4>129</vt:i4>
      </vt:variant>
      <vt:variant>
        <vt:i4>0</vt:i4>
      </vt:variant>
      <vt:variant>
        <vt:i4>5</vt:i4>
      </vt:variant>
      <vt:variant>
        <vt:lpwstr>https://www.unitedspinal.org/disability-etiquette/</vt:lpwstr>
      </vt:variant>
      <vt:variant>
        <vt:lpwstr/>
      </vt:variant>
      <vt:variant>
        <vt:i4>7471145</vt:i4>
      </vt:variant>
      <vt:variant>
        <vt:i4>126</vt:i4>
      </vt:variant>
      <vt:variant>
        <vt:i4>0</vt:i4>
      </vt:variant>
      <vt:variant>
        <vt:i4>5</vt:i4>
      </vt:variant>
      <vt:variant>
        <vt:lpwstr>https://adata.org/</vt:lpwstr>
      </vt:variant>
      <vt:variant>
        <vt:lpwstr/>
      </vt:variant>
      <vt:variant>
        <vt:i4>3801205</vt:i4>
      </vt:variant>
      <vt:variant>
        <vt:i4>123</vt:i4>
      </vt:variant>
      <vt:variant>
        <vt:i4>0</vt:i4>
      </vt:variant>
      <vt:variant>
        <vt:i4>5</vt:i4>
      </vt:variant>
      <vt:variant>
        <vt:lpwstr>http://www.ada.gov/</vt:lpwstr>
      </vt:variant>
      <vt:variant>
        <vt:lpwstr/>
      </vt:variant>
      <vt:variant>
        <vt:i4>1966089</vt:i4>
      </vt:variant>
      <vt:variant>
        <vt:i4>120</vt:i4>
      </vt:variant>
      <vt:variant>
        <vt:i4>0</vt:i4>
      </vt:variant>
      <vt:variant>
        <vt:i4>5</vt:i4>
      </vt:variant>
      <vt:variant>
        <vt:lpwstr>https://askjan.org/index.html</vt:lpwstr>
      </vt:variant>
      <vt:variant>
        <vt:lpwstr/>
      </vt:variant>
      <vt:variant>
        <vt:i4>7012410</vt:i4>
      </vt:variant>
      <vt:variant>
        <vt:i4>117</vt:i4>
      </vt:variant>
      <vt:variant>
        <vt:i4>0</vt:i4>
      </vt:variant>
      <vt:variant>
        <vt:i4>5</vt:i4>
      </vt:variant>
      <vt:variant>
        <vt:lpwstr>http://www.maine.gov/mhrc/</vt:lpwstr>
      </vt:variant>
      <vt:variant>
        <vt:lpwstr/>
      </vt:variant>
      <vt:variant>
        <vt:i4>3473439</vt:i4>
      </vt:variant>
      <vt:variant>
        <vt:i4>114</vt:i4>
      </vt:variant>
      <vt:variant>
        <vt:i4>0</vt:i4>
      </vt:variant>
      <vt:variant>
        <vt:i4>5</vt:i4>
      </vt:variant>
      <vt:variant>
        <vt:lpwstr>mailto:deafservices@drme.org</vt:lpwstr>
      </vt:variant>
      <vt:variant>
        <vt:lpwstr/>
      </vt:variant>
      <vt:variant>
        <vt:i4>5308495</vt:i4>
      </vt:variant>
      <vt:variant>
        <vt:i4>111</vt:i4>
      </vt:variant>
      <vt:variant>
        <vt:i4>0</vt:i4>
      </vt:variant>
      <vt:variant>
        <vt:i4>5</vt:i4>
      </vt:variant>
      <vt:variant>
        <vt:lpwstr>http://www.drme.org/</vt:lpwstr>
      </vt:variant>
      <vt:variant>
        <vt:lpwstr/>
      </vt:variant>
      <vt:variant>
        <vt:i4>2228336</vt:i4>
      </vt:variant>
      <vt:variant>
        <vt:i4>108</vt:i4>
      </vt:variant>
      <vt:variant>
        <vt:i4>0</vt:i4>
      </vt:variant>
      <vt:variant>
        <vt:i4>5</vt:i4>
      </vt:variant>
      <vt:variant>
        <vt:lpwstr>http://www.alphaonenow.com/</vt:lpwstr>
      </vt:variant>
      <vt:variant>
        <vt:lpwstr/>
      </vt:variant>
      <vt:variant>
        <vt:i4>5111828</vt:i4>
      </vt:variant>
      <vt:variant>
        <vt:i4>105</vt:i4>
      </vt:variant>
      <vt:variant>
        <vt:i4>0</vt:i4>
      </vt:variant>
      <vt:variant>
        <vt:i4>5</vt:i4>
      </vt:variant>
      <vt:variant>
        <vt:lpwstr>http://www.mainecite.org/</vt:lpwstr>
      </vt:variant>
      <vt:variant>
        <vt:lpwstr/>
      </vt:variant>
      <vt:variant>
        <vt:i4>6946909</vt:i4>
      </vt:variant>
      <vt:variant>
        <vt:i4>102</vt:i4>
      </vt:variant>
      <vt:variant>
        <vt:i4>0</vt:i4>
      </vt:variant>
      <vt:variant>
        <vt:i4>5</vt:i4>
      </vt:variant>
      <vt:variant>
        <vt:lpwstr>mailto:iweb@mainecite.org</vt:lpwstr>
      </vt:variant>
      <vt:variant>
        <vt:lpwstr/>
      </vt:variant>
      <vt:variant>
        <vt:i4>3014656</vt:i4>
      </vt:variant>
      <vt:variant>
        <vt:i4>99</vt:i4>
      </vt:variant>
      <vt:variant>
        <vt:i4>0</vt:i4>
      </vt:variant>
      <vt:variant>
        <vt:i4>5</vt:i4>
      </vt:variant>
      <vt:variant>
        <vt:lpwstr>http://www.maine.gov/rehab/dod/resource_guide/interpreting.shtml</vt:lpwstr>
      </vt:variant>
      <vt:variant>
        <vt:lpwstr/>
      </vt:variant>
      <vt:variant>
        <vt:i4>4522038</vt:i4>
      </vt:variant>
      <vt:variant>
        <vt:i4>96</vt:i4>
      </vt:variant>
      <vt:variant>
        <vt:i4>0</vt:i4>
      </vt:variant>
      <vt:variant>
        <vt:i4>5</vt:i4>
      </vt:variant>
      <vt:variant>
        <vt:lpwstr>mailto:Eric.dibner@maine.gov</vt:lpwstr>
      </vt:variant>
      <vt:variant>
        <vt:lpwstr/>
      </vt:variant>
      <vt:variant>
        <vt:i4>4194324</vt:i4>
      </vt:variant>
      <vt:variant>
        <vt:i4>93</vt:i4>
      </vt:variant>
      <vt:variant>
        <vt:i4>0</vt:i4>
      </vt:variant>
      <vt:variant>
        <vt:i4>5</vt:i4>
      </vt:variant>
      <vt:variant>
        <vt:lpwstr>http://mainecartservice.com./</vt:lpwstr>
      </vt:variant>
      <vt:variant>
        <vt:lpwstr/>
      </vt:variant>
      <vt:variant>
        <vt:i4>6225998</vt:i4>
      </vt:variant>
      <vt:variant>
        <vt:i4>90</vt:i4>
      </vt:variant>
      <vt:variant>
        <vt:i4>0</vt:i4>
      </vt:variant>
      <vt:variant>
        <vt:i4>5</vt:i4>
      </vt:variant>
      <vt:variant>
        <vt:lpwstr>http://drme.org/deaf-services</vt:lpwstr>
      </vt:variant>
      <vt:variant>
        <vt:lpwstr/>
      </vt:variant>
      <vt:variant>
        <vt:i4>3014656</vt:i4>
      </vt:variant>
      <vt:variant>
        <vt:i4>87</vt:i4>
      </vt:variant>
      <vt:variant>
        <vt:i4>0</vt:i4>
      </vt:variant>
      <vt:variant>
        <vt:i4>5</vt:i4>
      </vt:variant>
      <vt:variant>
        <vt:lpwstr>http://www.maine.gov/rehab/dod/resource_guide/interpreting.shtml</vt:lpwstr>
      </vt:variant>
      <vt:variant>
        <vt:lpwstr/>
      </vt:variant>
      <vt:variant>
        <vt:i4>3014656</vt:i4>
      </vt:variant>
      <vt:variant>
        <vt:i4>84</vt:i4>
      </vt:variant>
      <vt:variant>
        <vt:i4>0</vt:i4>
      </vt:variant>
      <vt:variant>
        <vt:i4>5</vt:i4>
      </vt:variant>
      <vt:variant>
        <vt:lpwstr>http://www.maine.gov/rehab/dod/resource_guide/interpreting.shtml</vt:lpwstr>
      </vt:variant>
      <vt:variant>
        <vt:lpwstr/>
      </vt:variant>
      <vt:variant>
        <vt:i4>3407997</vt:i4>
      </vt:variant>
      <vt:variant>
        <vt:i4>81</vt:i4>
      </vt:variant>
      <vt:variant>
        <vt:i4>0</vt:i4>
      </vt:variant>
      <vt:variant>
        <vt:i4>5</vt:i4>
      </vt:variant>
      <vt:variant>
        <vt:lpwstr>http://www.maine.gov/purchase/contracts/americansignlang.shtml</vt:lpwstr>
      </vt:variant>
      <vt:variant>
        <vt:lpwstr/>
      </vt:variant>
      <vt:variant>
        <vt:i4>7274614</vt:i4>
      </vt:variant>
      <vt:variant>
        <vt:i4>78</vt:i4>
      </vt:variant>
      <vt:variant>
        <vt:i4>0</vt:i4>
      </vt:variant>
      <vt:variant>
        <vt:i4>5</vt:i4>
      </vt:variant>
      <vt:variant>
        <vt:lpwstr>https://wdr.doleta.gov/directives/attach/TEN/TEN_28-16_Change_2_acc.pdf</vt:lpwstr>
      </vt:variant>
      <vt:variant>
        <vt:lpwstr/>
      </vt:variant>
      <vt:variant>
        <vt:i4>393293</vt:i4>
      </vt:variant>
      <vt:variant>
        <vt:i4>75</vt:i4>
      </vt:variant>
      <vt:variant>
        <vt:i4>0</vt:i4>
      </vt:variant>
      <vt:variant>
        <vt:i4>5</vt:i4>
      </vt:variant>
      <vt:variant>
        <vt:lpwstr>https://211maine.communityos.org/zf/profile/search?keyword=interpreter&amp;dosearch=1</vt:lpwstr>
      </vt:variant>
      <vt:variant>
        <vt:lpwstr/>
      </vt:variant>
      <vt:variant>
        <vt:i4>393293</vt:i4>
      </vt:variant>
      <vt:variant>
        <vt:i4>72</vt:i4>
      </vt:variant>
      <vt:variant>
        <vt:i4>0</vt:i4>
      </vt:variant>
      <vt:variant>
        <vt:i4>5</vt:i4>
      </vt:variant>
      <vt:variant>
        <vt:lpwstr>https://211maine.communityos.org/zf/profile/search?keyword=interpreter&amp;dosearch=1</vt:lpwstr>
      </vt:variant>
      <vt:variant>
        <vt:lpwstr/>
      </vt:variant>
      <vt:variant>
        <vt:i4>8060973</vt:i4>
      </vt:variant>
      <vt:variant>
        <vt:i4>69</vt:i4>
      </vt:variant>
      <vt:variant>
        <vt:i4>0</vt:i4>
      </vt:variant>
      <vt:variant>
        <vt:i4>5</vt:i4>
      </vt:variant>
      <vt:variant>
        <vt:lpwstr>http://www.maine.gov/dhhs/documents/Language_ID_Card.pdf</vt:lpwstr>
      </vt:variant>
      <vt:variant>
        <vt:lpwstr/>
      </vt:variant>
      <vt:variant>
        <vt:i4>6946854</vt:i4>
      </vt:variant>
      <vt:variant>
        <vt:i4>66</vt:i4>
      </vt:variant>
      <vt:variant>
        <vt:i4>0</vt:i4>
      </vt:variant>
      <vt:variant>
        <vt:i4>5</vt:i4>
      </vt:variant>
      <vt:variant>
        <vt:lpwstr>http://www.maine.gov/dhhs/documents/Language_ID_Card.doc</vt:lpwstr>
      </vt:variant>
      <vt:variant>
        <vt:lpwstr/>
      </vt:variant>
      <vt:variant>
        <vt:i4>6946854</vt:i4>
      </vt:variant>
      <vt:variant>
        <vt:i4>63</vt:i4>
      </vt:variant>
      <vt:variant>
        <vt:i4>0</vt:i4>
      </vt:variant>
      <vt:variant>
        <vt:i4>5</vt:i4>
      </vt:variant>
      <vt:variant>
        <vt:lpwstr>http://www.maine.gov/dhhs/documents/Language_ID_Card.doc</vt:lpwstr>
      </vt:variant>
      <vt:variant>
        <vt:lpwstr/>
      </vt:variant>
      <vt:variant>
        <vt:i4>4390989</vt:i4>
      </vt:variant>
      <vt:variant>
        <vt:i4>60</vt:i4>
      </vt:variant>
      <vt:variant>
        <vt:i4>0</vt:i4>
      </vt:variant>
      <vt:variant>
        <vt:i4>5</vt:i4>
      </vt:variant>
      <vt:variant>
        <vt:lpwstr>https://www.lep.gov/</vt:lpwstr>
      </vt:variant>
      <vt:variant>
        <vt:lpwstr/>
      </vt:variant>
      <vt:variant>
        <vt:i4>3932192</vt:i4>
      </vt:variant>
      <vt:variant>
        <vt:i4>57</vt:i4>
      </vt:variant>
      <vt:variant>
        <vt:i4>0</vt:i4>
      </vt:variant>
      <vt:variant>
        <vt:i4>5</vt:i4>
      </vt:variant>
      <vt:variant>
        <vt:lpwstr>http://www.impaqint.com/sites/default/files/project-reports/AJC-Accessibility-Study.pdf</vt:lpwstr>
      </vt:variant>
      <vt:variant>
        <vt:lpwstr/>
      </vt:variant>
      <vt:variant>
        <vt:i4>655454</vt:i4>
      </vt:variant>
      <vt:variant>
        <vt:i4>54</vt:i4>
      </vt:variant>
      <vt:variant>
        <vt:i4>0</vt:i4>
      </vt:variant>
      <vt:variant>
        <vt:i4>5</vt:i4>
      </vt:variant>
      <vt:variant>
        <vt:lpwstr>http://www.onestops.info/</vt:lpwstr>
      </vt:variant>
      <vt:variant>
        <vt:lpwstr/>
      </vt:variant>
      <vt:variant>
        <vt:i4>7995411</vt:i4>
      </vt:variant>
      <vt:variant>
        <vt:i4>51</vt:i4>
      </vt:variant>
      <vt:variant>
        <vt:i4>0</vt:i4>
      </vt:variant>
      <vt:variant>
        <vt:i4>5</vt:i4>
      </vt:variant>
      <vt:variant>
        <vt:lpwstr>http://www.ncwd-youth.info/sites/default/files/page/2009/02/infobrief_issue9.doc</vt:lpwstr>
      </vt:variant>
      <vt:variant>
        <vt:lpwstr/>
      </vt:variant>
      <vt:variant>
        <vt:i4>7012376</vt:i4>
      </vt:variant>
      <vt:variant>
        <vt:i4>48</vt:i4>
      </vt:variant>
      <vt:variant>
        <vt:i4>0</vt:i4>
      </vt:variant>
      <vt:variant>
        <vt:i4>5</vt:i4>
      </vt:variant>
      <vt:variant>
        <vt:lpwstr>http://www.ncwd-youth.info/sites/default/files/page/2009/02/infobrief_issue9.pdf</vt:lpwstr>
      </vt:variant>
      <vt:variant>
        <vt:lpwstr/>
      </vt:variant>
      <vt:variant>
        <vt:i4>6160392</vt:i4>
      </vt:variant>
      <vt:variant>
        <vt:i4>45</vt:i4>
      </vt:variant>
      <vt:variant>
        <vt:i4>0</vt:i4>
      </vt:variant>
      <vt:variant>
        <vt:i4>5</vt:i4>
      </vt:variant>
      <vt:variant>
        <vt:lpwstr>http://www.peatworks.org/content/american-job-centers-and-digital-access-guide-accessible-ict</vt:lpwstr>
      </vt:variant>
      <vt:variant>
        <vt:lpwstr/>
      </vt:variant>
      <vt:variant>
        <vt:i4>5111900</vt:i4>
      </vt:variant>
      <vt:variant>
        <vt:i4>42</vt:i4>
      </vt:variant>
      <vt:variant>
        <vt:i4>0</vt:i4>
      </vt:variant>
      <vt:variant>
        <vt:i4>5</vt:i4>
      </vt:variant>
      <vt:variant>
        <vt:lpwstr>http://www.wiawebcourse.org/</vt:lpwstr>
      </vt:variant>
      <vt:variant>
        <vt:lpwstr/>
      </vt:variant>
      <vt:variant>
        <vt:i4>6094929</vt:i4>
      </vt:variant>
      <vt:variant>
        <vt:i4>39</vt:i4>
      </vt:variant>
      <vt:variant>
        <vt:i4>0</vt:i4>
      </vt:variant>
      <vt:variant>
        <vt:i4>5</vt:i4>
      </vt:variant>
      <vt:variant>
        <vt:lpwstr>https://www.communityinclusion.org/onestop/onestopmanual.html</vt:lpwstr>
      </vt:variant>
      <vt:variant>
        <vt:lpwstr/>
      </vt:variant>
      <vt:variant>
        <vt:i4>1310726</vt:i4>
      </vt:variant>
      <vt:variant>
        <vt:i4>36</vt:i4>
      </vt:variant>
      <vt:variant>
        <vt:i4>0</vt:i4>
      </vt:variant>
      <vt:variant>
        <vt:i4>5</vt:i4>
      </vt:variant>
      <vt:variant>
        <vt:lpwstr>https://www.dol.gov/oasam/programs/crc/EOPosters.htm</vt:lpwstr>
      </vt:variant>
      <vt:variant>
        <vt:lpwstr/>
      </vt:variant>
      <vt:variant>
        <vt:i4>7667753</vt:i4>
      </vt:variant>
      <vt:variant>
        <vt:i4>33</vt:i4>
      </vt:variant>
      <vt:variant>
        <vt:i4>0</vt:i4>
      </vt:variant>
      <vt:variant>
        <vt:i4>5</vt:i4>
      </vt:variant>
      <vt:variant>
        <vt:lpwstr>https://www.law.cornell.edu/cfr/text/8/274a.12</vt:lpwstr>
      </vt:variant>
      <vt:variant>
        <vt:lpwstr/>
      </vt:variant>
      <vt:variant>
        <vt:i4>1310726</vt:i4>
      </vt:variant>
      <vt:variant>
        <vt:i4>30</vt:i4>
      </vt:variant>
      <vt:variant>
        <vt:i4>0</vt:i4>
      </vt:variant>
      <vt:variant>
        <vt:i4>5</vt:i4>
      </vt:variant>
      <vt:variant>
        <vt:lpwstr>https://www.dol.gov/oasam/programs/crc/EOPosters.htm</vt:lpwstr>
      </vt:variant>
      <vt:variant>
        <vt:lpwstr/>
      </vt:variant>
      <vt:variant>
        <vt:i4>3014656</vt:i4>
      </vt:variant>
      <vt:variant>
        <vt:i4>27</vt:i4>
      </vt:variant>
      <vt:variant>
        <vt:i4>0</vt:i4>
      </vt:variant>
      <vt:variant>
        <vt:i4>5</vt:i4>
      </vt:variant>
      <vt:variant>
        <vt:lpwstr>http://www.maine.gov/rehab/dod/resource_guide/interpreting.shtml</vt:lpwstr>
      </vt:variant>
      <vt:variant>
        <vt:lpwstr/>
      </vt:variant>
      <vt:variant>
        <vt:i4>1310789</vt:i4>
      </vt:variant>
      <vt:variant>
        <vt:i4>24</vt:i4>
      </vt:variant>
      <vt:variant>
        <vt:i4>0</vt:i4>
      </vt:variant>
      <vt:variant>
        <vt:i4>5</vt:i4>
      </vt:variant>
      <vt:variant>
        <vt:lpwstr>https://www.dol.gov/oasam/programs/crc/section188.htm</vt:lpwstr>
      </vt:variant>
      <vt:variant>
        <vt:lpwstr/>
      </vt:variant>
      <vt:variant>
        <vt:i4>3342454</vt:i4>
      </vt:variant>
      <vt:variant>
        <vt:i4>21</vt:i4>
      </vt:variant>
      <vt:variant>
        <vt:i4>0</vt:i4>
      </vt:variant>
      <vt:variant>
        <vt:i4>5</vt:i4>
      </vt:variant>
      <vt:variant>
        <vt:lpwstr>https://www.dol.gov/oasam/programs/crc/Section188Guide.pdf</vt:lpwstr>
      </vt:variant>
      <vt:variant>
        <vt:lpwstr/>
      </vt:variant>
      <vt:variant>
        <vt:i4>4325442</vt:i4>
      </vt:variant>
      <vt:variant>
        <vt:i4>18</vt:i4>
      </vt:variant>
      <vt:variant>
        <vt:i4>0</vt:i4>
      </vt:variant>
      <vt:variant>
        <vt:i4>5</vt:i4>
      </vt:variant>
      <vt:variant>
        <vt:lpwstr>https://adata.org/publication/service-animals-booklet</vt:lpwstr>
      </vt:variant>
      <vt:variant>
        <vt:lpwstr/>
      </vt:variant>
      <vt:variant>
        <vt:i4>8257632</vt:i4>
      </vt:variant>
      <vt:variant>
        <vt:i4>15</vt:i4>
      </vt:variant>
      <vt:variant>
        <vt:i4>0</vt:i4>
      </vt:variant>
      <vt:variant>
        <vt:i4>5</vt:i4>
      </vt:variant>
      <vt:variant>
        <vt:lpwstr>http://www.access-board.gov/guidelines-and-standards/buildings-and-sites/about-the-ada-standards/ada-standards</vt:lpwstr>
      </vt:variant>
      <vt:variant>
        <vt:lpwstr/>
      </vt:variant>
      <vt:variant>
        <vt:i4>1310726</vt:i4>
      </vt:variant>
      <vt:variant>
        <vt:i4>12</vt:i4>
      </vt:variant>
      <vt:variant>
        <vt:i4>0</vt:i4>
      </vt:variant>
      <vt:variant>
        <vt:i4>5</vt:i4>
      </vt:variant>
      <vt:variant>
        <vt:lpwstr>https://www.dol.gov/oasam/programs/crc/EOPosters.htm</vt:lpwstr>
      </vt:variant>
      <vt:variant>
        <vt:lpwstr/>
      </vt:variant>
      <vt:variant>
        <vt:i4>2293857</vt:i4>
      </vt:variant>
      <vt:variant>
        <vt:i4>9</vt:i4>
      </vt:variant>
      <vt:variant>
        <vt:i4>0</vt:i4>
      </vt:variant>
      <vt:variant>
        <vt:i4>5</vt:i4>
      </vt:variant>
      <vt:variant>
        <vt:lpwstr>https://www.dol.gov/oasam/programs/crc/188Guide.htm</vt:lpwstr>
      </vt:variant>
      <vt:variant>
        <vt:lpwstr/>
      </vt:variant>
      <vt:variant>
        <vt:i4>786488</vt:i4>
      </vt:variant>
      <vt:variant>
        <vt:i4>6</vt:i4>
      </vt:variant>
      <vt:variant>
        <vt:i4>0</vt:i4>
      </vt:variant>
      <vt:variant>
        <vt:i4>5</vt:i4>
      </vt:variant>
      <vt:variant>
        <vt:lpwstr>https://www.law.cornell.edu/definitions/index.php?width=840&amp;height=800&amp;iframe=true&amp;def_id=5ba810ea4dc0b0517b1725cf5fc8520f&amp;term_occur=3&amp;term_src=Title:29:Subtitle:A:Part:38:Subpart:A:38.4</vt:lpwstr>
      </vt:variant>
      <vt:variant>
        <vt:lpwstr/>
      </vt:variant>
      <vt:variant>
        <vt:i4>786495</vt:i4>
      </vt:variant>
      <vt:variant>
        <vt:i4>3</vt:i4>
      </vt:variant>
      <vt:variant>
        <vt:i4>0</vt:i4>
      </vt:variant>
      <vt:variant>
        <vt:i4>5</vt:i4>
      </vt:variant>
      <vt:variant>
        <vt:lpwstr>https://www.law.cornell.edu/definitions/index.php?width=840&amp;height=800&amp;iframe=true&amp;def_id=5ba810ea4dc0b0517b1725cf5fc8520f&amp;term_occur=4&amp;term_src=Title:29:Subtitle:A:Part:38:Subpart:A:38.4</vt:lpwstr>
      </vt:variant>
      <vt:variant>
        <vt:lpwstr/>
      </vt:variant>
      <vt:variant>
        <vt:i4>720949</vt:i4>
      </vt:variant>
      <vt:variant>
        <vt:i4>0</vt:i4>
      </vt:variant>
      <vt:variant>
        <vt:i4>0</vt:i4>
      </vt:variant>
      <vt:variant>
        <vt:i4>5</vt:i4>
      </vt:variant>
      <vt:variant>
        <vt:lpwstr>https://www.law.cornell.edu/definitions/index.php?width=840&amp;height=800&amp;iframe=true&amp;def_id=919709d559bd6acf5f9ab502322ffcd2&amp;term_occur=1&amp;term_src=Title:29:Subtitle:A:Part:38:Subpart:A:38.4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UI PROTO</dc:creator>
  <cp:lastModifiedBy>Howe, Joshua A.</cp:lastModifiedBy>
  <cp:revision>2</cp:revision>
  <cp:lastPrinted>2017-10-25T19:13:00Z</cp:lastPrinted>
  <dcterms:created xsi:type="dcterms:W3CDTF">2017-11-20T15:32:00Z</dcterms:created>
  <dcterms:modified xsi:type="dcterms:W3CDTF">2017-11-20T15:32:00Z</dcterms:modified>
</cp:coreProperties>
</file>