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9114" w14:textId="77777777" w:rsidR="00C81BE4" w:rsidRPr="00C81BE4" w:rsidRDefault="00C81BE4" w:rsidP="00C81BE4">
      <w:pPr>
        <w:spacing w:after="40"/>
        <w:jc w:val="center"/>
        <w:rPr>
          <w:rFonts w:ascii="Cambria" w:hAnsi="Cambria"/>
          <w:b/>
          <w:sz w:val="28"/>
          <w:szCs w:val="28"/>
          <w:u w:val="single"/>
        </w:rPr>
      </w:pPr>
      <w:bookmarkStart w:id="0" w:name="_Hlk534379528"/>
      <w:r w:rsidRPr="00C81BE4">
        <w:rPr>
          <w:rFonts w:ascii="Cambria" w:hAnsi="Cambria"/>
          <w:b/>
          <w:sz w:val="28"/>
          <w:szCs w:val="28"/>
          <w:u w:val="single"/>
        </w:rPr>
        <w:t xml:space="preserve">STATE WORKFORCE BOARD </w:t>
      </w:r>
    </w:p>
    <w:p w14:paraId="345A8A01" w14:textId="77777777" w:rsidR="00C81BE4" w:rsidRPr="00C81BE4" w:rsidRDefault="00C81BE4" w:rsidP="00C81BE4">
      <w:pPr>
        <w:spacing w:after="40"/>
        <w:jc w:val="center"/>
        <w:rPr>
          <w:rFonts w:ascii="Cambria" w:hAnsi="Cambria"/>
          <w:b/>
          <w:u w:val="single"/>
        </w:rPr>
      </w:pPr>
    </w:p>
    <w:p w14:paraId="106D04C2" w14:textId="11D59BBE" w:rsidR="00C81BE4" w:rsidRPr="00DE4625" w:rsidRDefault="00116AB4" w:rsidP="00C81BE4">
      <w:pPr>
        <w:pStyle w:val="Normal3Paragraph"/>
        <w:spacing w:before="0" w:after="0" w:line="240" w:lineRule="auto"/>
        <w:ind w:left="0"/>
        <w:rPr>
          <w:rFonts w:ascii="Cambria" w:hAnsi="Cambria"/>
          <w:b/>
          <w:bCs/>
          <w:u w:val="single"/>
        </w:rPr>
      </w:pPr>
      <w:r w:rsidRPr="00DE4625">
        <w:rPr>
          <w:rFonts w:ascii="Cambria" w:hAnsi="Cambria"/>
          <w:b/>
          <w:bCs/>
          <w:u w:val="single"/>
        </w:rPr>
        <w:t>Overview</w:t>
      </w:r>
    </w:p>
    <w:p w14:paraId="0231632A" w14:textId="720BA4C7" w:rsidR="00491FC3" w:rsidRPr="00491FC3" w:rsidRDefault="00491FC3" w:rsidP="00491FC3">
      <w:pPr>
        <w:rPr>
          <w:rFonts w:asciiTheme="majorHAnsi" w:hAnsiTheme="majorHAnsi" w:cstheme="minorHAnsi"/>
          <w:sz w:val="22"/>
          <w:szCs w:val="22"/>
        </w:rPr>
      </w:pPr>
      <w:r w:rsidRPr="00491FC3">
        <w:rPr>
          <w:rFonts w:asciiTheme="majorHAnsi" w:hAnsiTheme="majorHAnsi" w:cstheme="minorHAnsi"/>
          <w:sz w:val="22"/>
          <w:szCs w:val="22"/>
        </w:rPr>
        <w:t>The State Workforce Board</w:t>
      </w:r>
      <w:r w:rsidR="00DE4625">
        <w:rPr>
          <w:rFonts w:asciiTheme="majorHAnsi" w:hAnsiTheme="majorHAnsi" w:cstheme="minorHAnsi"/>
          <w:sz w:val="22"/>
          <w:szCs w:val="22"/>
        </w:rPr>
        <w:t>’s</w:t>
      </w:r>
      <w:r w:rsidRPr="00491FC3">
        <w:rPr>
          <w:rFonts w:asciiTheme="majorHAnsi" w:hAnsiTheme="majorHAnsi" w:cstheme="minorHAnsi"/>
          <w:sz w:val="22"/>
          <w:szCs w:val="22"/>
        </w:rPr>
        <w:t xml:space="preserve"> (SWB) purpose is</w:t>
      </w:r>
      <w:r w:rsidRPr="00491FC3">
        <w:rPr>
          <w:rFonts w:asciiTheme="majorHAnsi" w:hAnsiTheme="majorHAnsi" w:cstheme="minorHAnsi"/>
          <w:color w:val="141414"/>
          <w:sz w:val="22"/>
          <w:szCs w:val="22"/>
        </w:rPr>
        <w:t xml:space="preserve"> to ensure that Maine’s workforce development system helps Maine people and businesses compete successfully in the global economy, </w:t>
      </w:r>
      <w:r w:rsidRPr="00491FC3">
        <w:rPr>
          <w:rFonts w:asciiTheme="majorHAnsi" w:hAnsiTheme="majorHAnsi" w:cstheme="minorHAnsi"/>
          <w:sz w:val="22"/>
          <w:szCs w:val="22"/>
        </w:rPr>
        <w:t>by convening state, regional and local workforce system partners to:</w:t>
      </w:r>
    </w:p>
    <w:p w14:paraId="3BB5EDA4" w14:textId="77777777" w:rsidR="00491FC3" w:rsidRPr="00491FC3" w:rsidRDefault="00491FC3" w:rsidP="00491FC3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inorHAnsi"/>
        </w:rPr>
      </w:pPr>
      <w:r w:rsidRPr="00491FC3">
        <w:rPr>
          <w:rFonts w:asciiTheme="majorHAnsi" w:hAnsiTheme="majorHAnsi" w:cstheme="minorHAnsi"/>
        </w:rPr>
        <w:t>enhance the capacity and performance of Maine’s workforce development system,</w:t>
      </w:r>
    </w:p>
    <w:p w14:paraId="4D6A8CF0" w14:textId="77777777" w:rsidR="00491FC3" w:rsidRPr="00491FC3" w:rsidRDefault="00491FC3" w:rsidP="00491FC3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inorHAnsi"/>
        </w:rPr>
      </w:pPr>
      <w:r w:rsidRPr="00491FC3">
        <w:rPr>
          <w:rFonts w:asciiTheme="majorHAnsi" w:hAnsiTheme="majorHAnsi" w:cstheme="minorHAnsi"/>
        </w:rPr>
        <w:t>align and improve the outcomes and effectiveness of workforce programs and investments,</w:t>
      </w:r>
    </w:p>
    <w:p w14:paraId="0BADB44C" w14:textId="77777777" w:rsidR="00491FC3" w:rsidRPr="00491FC3" w:rsidRDefault="00491FC3" w:rsidP="00491FC3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inorHAnsi"/>
        </w:rPr>
      </w:pPr>
      <w:r w:rsidRPr="00491FC3">
        <w:rPr>
          <w:rFonts w:asciiTheme="majorHAnsi" w:hAnsiTheme="majorHAnsi" w:cstheme="minorHAnsi"/>
        </w:rPr>
        <w:t xml:space="preserve">promote economic growth, and </w:t>
      </w:r>
    </w:p>
    <w:p w14:paraId="21EA8AAC" w14:textId="77777777" w:rsidR="00491FC3" w:rsidRPr="00491FC3" w:rsidRDefault="00491FC3" w:rsidP="00491FC3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inorHAnsi"/>
        </w:rPr>
      </w:pPr>
      <w:r w:rsidRPr="00491FC3">
        <w:rPr>
          <w:rFonts w:asciiTheme="majorHAnsi" w:hAnsiTheme="majorHAnsi" w:cstheme="minorHAnsi"/>
        </w:rPr>
        <w:t>engage businesses, workers, education providers, economic development, labor representatives and other stakeholders to achieve Maine’s strategic and operational workforce vision and goals.</w:t>
      </w:r>
    </w:p>
    <w:p w14:paraId="3DD6B1C4" w14:textId="77777777" w:rsidR="00491FC3" w:rsidRPr="00491FC3" w:rsidRDefault="00491FC3" w:rsidP="00491FC3">
      <w:pPr>
        <w:rPr>
          <w:rFonts w:asciiTheme="majorHAnsi" w:hAnsiTheme="majorHAnsi" w:cstheme="minorHAnsi"/>
          <w:sz w:val="22"/>
          <w:szCs w:val="22"/>
        </w:rPr>
      </w:pPr>
    </w:p>
    <w:p w14:paraId="706E7867" w14:textId="77777777" w:rsidR="00491FC3" w:rsidRPr="00491FC3" w:rsidRDefault="00491FC3" w:rsidP="00491FC3">
      <w:pPr>
        <w:rPr>
          <w:rFonts w:asciiTheme="majorHAnsi" w:hAnsiTheme="majorHAnsi" w:cstheme="minorHAnsi"/>
          <w:sz w:val="22"/>
          <w:szCs w:val="22"/>
        </w:rPr>
      </w:pPr>
      <w:r w:rsidRPr="00491FC3">
        <w:rPr>
          <w:rFonts w:asciiTheme="majorHAnsi" w:hAnsiTheme="majorHAnsi" w:cstheme="minorHAnsi"/>
          <w:sz w:val="22"/>
          <w:szCs w:val="22"/>
        </w:rPr>
        <w:t>The SWB’s vision for Maine’s workforce system:</w:t>
      </w:r>
    </w:p>
    <w:p w14:paraId="590DFD34" w14:textId="77777777" w:rsidR="00491FC3" w:rsidRPr="00491FC3" w:rsidRDefault="00491FC3" w:rsidP="00491FC3">
      <w:pPr>
        <w:pStyle w:val="ListParagraph"/>
        <w:spacing w:after="0" w:line="240" w:lineRule="auto"/>
        <w:rPr>
          <w:rFonts w:asciiTheme="majorHAnsi" w:hAnsiTheme="majorHAnsi" w:cstheme="minorHAnsi"/>
          <w:i/>
          <w:iCs/>
        </w:rPr>
      </w:pPr>
      <w:r w:rsidRPr="00491FC3">
        <w:rPr>
          <w:rFonts w:asciiTheme="majorHAnsi" w:hAnsiTheme="majorHAnsi" w:cstheme="minorHAnsi"/>
          <w:i/>
          <w:iCs/>
        </w:rPr>
        <w:t xml:space="preserve">Maine’s </w:t>
      </w:r>
      <w:r w:rsidRPr="00491FC3">
        <w:rPr>
          <w:rFonts w:asciiTheme="majorHAnsi" w:eastAsia="Times New Roman" w:hAnsiTheme="majorHAnsi" w:cstheme="minorHAnsi"/>
          <w:i/>
          <w:iCs/>
          <w:color w:val="000000"/>
        </w:rPr>
        <w:t>residents and businesses will have economic opportunity and contribute to the growth of Maine through a responsive, networked and coordinated workforce development system across public and private sectors.</w:t>
      </w:r>
      <w:r w:rsidRPr="00491FC3">
        <w:rPr>
          <w:rFonts w:asciiTheme="majorHAnsi" w:eastAsia="Times New Roman" w:hAnsiTheme="majorHAnsi" w:cstheme="minorHAnsi"/>
          <w:i/>
          <w:iCs/>
        </w:rPr>
        <w:t xml:space="preserve">  </w:t>
      </w:r>
      <w:r w:rsidRPr="00491FC3">
        <w:rPr>
          <w:rFonts w:asciiTheme="majorHAnsi" w:hAnsiTheme="majorHAnsi" w:cstheme="minorHAnsi"/>
          <w:i/>
          <w:iCs/>
        </w:rPr>
        <w:t>The system will integrate all stakeholders into a seamless continuum resulting in increased educational and employment attainment for residents with a focus on careers, not just jobs, and support Maine’s business sectors with skilled and qualified workers.</w:t>
      </w:r>
    </w:p>
    <w:p w14:paraId="08B7A26A" w14:textId="77777777" w:rsidR="00491FC3" w:rsidRPr="00491FC3" w:rsidRDefault="00491FC3" w:rsidP="00491FC3">
      <w:pPr>
        <w:pStyle w:val="ListParagraph"/>
        <w:spacing w:after="0" w:line="240" w:lineRule="auto"/>
        <w:jc w:val="both"/>
        <w:rPr>
          <w:rFonts w:asciiTheme="majorHAnsi" w:hAnsiTheme="majorHAnsi" w:cstheme="minorHAnsi"/>
          <w:i/>
          <w:iCs/>
        </w:rPr>
      </w:pPr>
    </w:p>
    <w:p w14:paraId="07DE6CEA" w14:textId="7C3F8360" w:rsidR="00491FC3" w:rsidRPr="00491FC3" w:rsidRDefault="00491FC3" w:rsidP="00491FC3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</w:rPr>
      </w:pPr>
      <w:r w:rsidRPr="00491FC3">
        <w:rPr>
          <w:rFonts w:asciiTheme="majorHAnsi" w:hAnsiTheme="majorHAnsi" w:cstheme="minorHAnsi"/>
          <w:sz w:val="22"/>
          <w:szCs w:val="22"/>
        </w:rPr>
        <w:t xml:space="preserve">This SWB’s vision focuses on three goals which target the state’s workforce resources to achieve the goals outlined in </w:t>
      </w:r>
      <w:r>
        <w:rPr>
          <w:rFonts w:asciiTheme="majorHAnsi" w:hAnsiTheme="majorHAnsi" w:cstheme="minorHAnsi"/>
          <w:sz w:val="22"/>
          <w:szCs w:val="22"/>
        </w:rPr>
        <w:t xml:space="preserve">Maine’s </w:t>
      </w:r>
      <w:r w:rsidRPr="00491FC3">
        <w:rPr>
          <w:rFonts w:asciiTheme="majorHAnsi" w:hAnsiTheme="majorHAnsi" w:cstheme="minorHAnsi"/>
          <w:sz w:val="22"/>
          <w:szCs w:val="22"/>
        </w:rPr>
        <w:t xml:space="preserve">10-year economic development plan: </w:t>
      </w:r>
    </w:p>
    <w:p w14:paraId="7B050D85" w14:textId="77777777" w:rsidR="00491FC3" w:rsidRPr="00491FC3" w:rsidRDefault="00491FC3" w:rsidP="00491F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 w:rsidRPr="00491FC3">
        <w:rPr>
          <w:rFonts w:asciiTheme="majorHAnsi" w:eastAsia="Times New Roman" w:hAnsiTheme="majorHAnsi" w:cstheme="minorHAnsi"/>
          <w:color w:val="000000"/>
        </w:rPr>
        <w:t>Maine’s untapped labor pool, those with significant barriers to employment, will find jobs and advance into high-demand occupations of their choice through public investment in training, education and supports.</w:t>
      </w:r>
    </w:p>
    <w:p w14:paraId="0BE49038" w14:textId="77777777" w:rsidR="00491FC3" w:rsidRPr="00491FC3" w:rsidRDefault="00491FC3" w:rsidP="00491F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 w:rsidRPr="00491FC3">
        <w:rPr>
          <w:rFonts w:asciiTheme="majorHAnsi" w:hAnsiTheme="majorHAnsi" w:cstheme="minorHAnsi"/>
        </w:rPr>
        <w:t xml:space="preserve">Current and future workers will be equipped to meet industry talent needs, with the goal that 60% of Maine’s workforce will hold a credential of value by 2025.  </w:t>
      </w:r>
    </w:p>
    <w:p w14:paraId="5A7D7335" w14:textId="77777777" w:rsidR="00491FC3" w:rsidRPr="00491FC3" w:rsidRDefault="00491FC3" w:rsidP="00491F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 w:rsidRPr="00491FC3">
        <w:rPr>
          <w:rFonts w:asciiTheme="majorHAnsi" w:hAnsiTheme="majorHAnsi" w:cstheme="minorHAnsi"/>
        </w:rPr>
        <w:t>Maine will create a connected, aligned and demand-driven workforce system across public and private partners that fosters the growth of the state’s economy while supporting equitable, safe, and productive employment opportunities for all residents.</w:t>
      </w:r>
    </w:p>
    <w:p w14:paraId="05C58724" w14:textId="77777777" w:rsidR="00C81BE4" w:rsidRPr="00C81BE4" w:rsidRDefault="00C81BE4" w:rsidP="00C81BE4">
      <w:pPr>
        <w:rPr>
          <w:rFonts w:ascii="Cambria" w:hAnsi="Cambria" w:cstheme="minorHAnsi"/>
          <w:color w:val="141414"/>
        </w:rPr>
      </w:pPr>
    </w:p>
    <w:p w14:paraId="3CC875D2" w14:textId="00D98ABF" w:rsidR="00491FC3" w:rsidRPr="00491FC3" w:rsidRDefault="00491FC3" w:rsidP="00491FC3">
      <w:pPr>
        <w:pStyle w:val="Default"/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</w:pPr>
      <w:r w:rsidRPr="00491FC3"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 xml:space="preserve">The </w:t>
      </w:r>
      <w:r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>SWB</w:t>
      </w:r>
      <w:r w:rsidRPr="00491FC3"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 xml:space="preserve"> </w:t>
      </w:r>
      <w:r w:rsidR="00DE4625"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 xml:space="preserve">has </w:t>
      </w:r>
      <w:r w:rsidR="005D3C40"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>four</w:t>
      </w:r>
      <w:r w:rsidR="00DE4625"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 xml:space="preserve"> </w:t>
      </w:r>
      <w:r w:rsidRPr="00491FC3"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>advisory committees to support the board in serving Maine's diverse economy and initiatives:</w:t>
      </w:r>
    </w:p>
    <w:p w14:paraId="715CC231" w14:textId="77777777" w:rsidR="00491FC3" w:rsidRPr="00491FC3" w:rsidRDefault="00491FC3" w:rsidP="00491FC3">
      <w:pPr>
        <w:pStyle w:val="Default"/>
        <w:numPr>
          <w:ilvl w:val="0"/>
          <w:numId w:val="7"/>
        </w:numPr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</w:pPr>
      <w:r w:rsidRPr="00491FC3"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>Worker Employment, Education and Training Committee</w:t>
      </w:r>
    </w:p>
    <w:p w14:paraId="0E92C7E4" w14:textId="77777777" w:rsidR="00491FC3" w:rsidRPr="00491FC3" w:rsidRDefault="00491FC3" w:rsidP="00491FC3">
      <w:pPr>
        <w:pStyle w:val="Default"/>
        <w:numPr>
          <w:ilvl w:val="0"/>
          <w:numId w:val="7"/>
        </w:numPr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</w:pPr>
      <w:r w:rsidRPr="00491FC3"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>Industry Leadership Committee</w:t>
      </w:r>
    </w:p>
    <w:p w14:paraId="7C81C1B9" w14:textId="34AC6162" w:rsidR="00C01ECB" w:rsidRDefault="00491FC3" w:rsidP="00DE4625">
      <w:pPr>
        <w:pStyle w:val="Default"/>
        <w:numPr>
          <w:ilvl w:val="0"/>
          <w:numId w:val="7"/>
        </w:numPr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</w:pPr>
      <w:r w:rsidRPr="00491FC3"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>Workforce System Coordination Committee</w:t>
      </w:r>
    </w:p>
    <w:p w14:paraId="5420B595" w14:textId="78773B57" w:rsidR="005D3C40" w:rsidRDefault="005D3C40" w:rsidP="00DE4625">
      <w:pPr>
        <w:pStyle w:val="Default"/>
        <w:numPr>
          <w:ilvl w:val="0"/>
          <w:numId w:val="7"/>
        </w:numPr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</w:pPr>
      <w:r>
        <w:rPr>
          <w:rFonts w:asciiTheme="majorHAnsi" w:hAnsiTheme="majorHAnsi" w:cstheme="minorHAnsi"/>
          <w:color w:val="141414"/>
          <w:sz w:val="22"/>
          <w:szCs w:val="22"/>
          <w:shd w:val="clear" w:color="auto" w:fill="FFFFFF"/>
        </w:rPr>
        <w:t>Commissioner on Disability Employment</w:t>
      </w:r>
    </w:p>
    <w:bookmarkEnd w:id="0"/>
    <w:p w14:paraId="393BDB59" w14:textId="77777777" w:rsidR="00DE4625" w:rsidRDefault="00DE4625" w:rsidP="00491FC3">
      <w:pPr>
        <w:pStyle w:val="Default"/>
        <w:rPr>
          <w:b/>
          <w:bCs/>
          <w:sz w:val="23"/>
          <w:szCs w:val="23"/>
        </w:rPr>
      </w:pPr>
    </w:p>
    <w:p w14:paraId="78693AD5" w14:textId="77777777" w:rsidR="00DE4625" w:rsidRDefault="00DE4625" w:rsidP="00491FC3">
      <w:pPr>
        <w:pStyle w:val="Default"/>
        <w:rPr>
          <w:b/>
          <w:bCs/>
          <w:sz w:val="23"/>
          <w:szCs w:val="23"/>
        </w:rPr>
      </w:pPr>
    </w:p>
    <w:p w14:paraId="23826900" w14:textId="77777777" w:rsidR="00DE4625" w:rsidRDefault="00DE4625" w:rsidP="00491FC3">
      <w:pPr>
        <w:pStyle w:val="Default"/>
        <w:rPr>
          <w:b/>
          <w:bCs/>
          <w:sz w:val="23"/>
          <w:szCs w:val="23"/>
        </w:rPr>
      </w:pPr>
    </w:p>
    <w:p w14:paraId="56399850" w14:textId="77777777" w:rsidR="00DE4625" w:rsidRDefault="00DE4625" w:rsidP="00491FC3">
      <w:pPr>
        <w:pStyle w:val="Default"/>
        <w:rPr>
          <w:b/>
          <w:bCs/>
          <w:sz w:val="23"/>
          <w:szCs w:val="23"/>
        </w:rPr>
      </w:pPr>
    </w:p>
    <w:p w14:paraId="31FB2722" w14:textId="77777777" w:rsidR="00DC315E" w:rsidRPr="00DC315E" w:rsidRDefault="00DC315E" w:rsidP="00DC315E">
      <w:pPr>
        <w:pStyle w:val="Default"/>
        <w:rPr>
          <w:rFonts w:asciiTheme="majorHAnsi" w:hAnsiTheme="majorHAnsi"/>
          <w:b/>
          <w:bCs/>
          <w:sz w:val="22"/>
          <w:szCs w:val="22"/>
          <w:u w:val="single"/>
        </w:rPr>
      </w:pPr>
      <w:r w:rsidRPr="00DC315E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 xml:space="preserve">Roles </w:t>
      </w:r>
      <w:r w:rsidR="00DE4625" w:rsidRPr="00DC315E">
        <w:rPr>
          <w:rFonts w:asciiTheme="majorHAnsi" w:hAnsiTheme="majorHAnsi"/>
          <w:b/>
          <w:bCs/>
          <w:sz w:val="22"/>
          <w:szCs w:val="22"/>
          <w:u w:val="single"/>
        </w:rPr>
        <w:t>and Responsibilities</w:t>
      </w:r>
      <w:r w:rsidRPr="00DC315E">
        <w:rPr>
          <w:rFonts w:asciiTheme="majorHAnsi" w:hAnsiTheme="majorHAnsi"/>
          <w:b/>
          <w:bCs/>
          <w:sz w:val="22"/>
          <w:szCs w:val="22"/>
          <w:u w:val="single"/>
        </w:rPr>
        <w:t xml:space="preserve"> of SWB Members: </w:t>
      </w:r>
    </w:p>
    <w:p w14:paraId="51C4A278" w14:textId="11A99664" w:rsidR="00DE4625" w:rsidRPr="00DE4625" w:rsidRDefault="00DE4625" w:rsidP="00DC315E">
      <w:pPr>
        <w:pStyle w:val="Default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Board members are nominated by the Governor, and confirmed by the Maine Legislature, to serve a three-year term.</w:t>
      </w:r>
    </w:p>
    <w:p w14:paraId="63C60B33" w14:textId="77777777" w:rsidR="00DE4625" w:rsidRDefault="00DE4625" w:rsidP="00DE4625">
      <w:pPr>
        <w:pStyle w:val="Defaul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SWB meets quarterly (4 times a calendar year). Board members are required to attend each SWB meeting. </w:t>
      </w:r>
    </w:p>
    <w:p w14:paraId="64BBBA01" w14:textId="01C833C1" w:rsidR="00DE4625" w:rsidRPr="00DE4625" w:rsidRDefault="00DE4625" w:rsidP="00DE4625">
      <w:pPr>
        <w:pStyle w:val="Default"/>
        <w:numPr>
          <w:ilvl w:val="0"/>
          <w:numId w:val="8"/>
        </w:numPr>
        <w:rPr>
          <w:rFonts w:ascii="Cambria" w:hAnsi="Cambria" w:cstheme="minorHAnsi"/>
          <w:sz w:val="22"/>
          <w:szCs w:val="22"/>
        </w:rPr>
      </w:pPr>
      <w:r w:rsidRPr="00DE4625">
        <w:rPr>
          <w:rFonts w:ascii="Cambria" w:hAnsi="Cambria" w:cstheme="minorHAnsi"/>
          <w:sz w:val="22"/>
          <w:szCs w:val="22"/>
        </w:rPr>
        <w:t xml:space="preserve">SWB members </w:t>
      </w:r>
      <w:r>
        <w:rPr>
          <w:rFonts w:ascii="Cambria" w:hAnsi="Cambria" w:cstheme="minorHAnsi"/>
          <w:sz w:val="22"/>
          <w:szCs w:val="22"/>
        </w:rPr>
        <w:t xml:space="preserve">are required to serve on at </w:t>
      </w:r>
      <w:r w:rsidRPr="00DE4625">
        <w:rPr>
          <w:rFonts w:ascii="Cambria" w:hAnsi="Cambria" w:cstheme="minorHAnsi"/>
          <w:sz w:val="22"/>
          <w:szCs w:val="22"/>
        </w:rPr>
        <w:t xml:space="preserve">least one </w:t>
      </w:r>
      <w:r>
        <w:rPr>
          <w:rFonts w:ascii="Cambria" w:hAnsi="Cambria" w:cstheme="minorHAnsi"/>
          <w:sz w:val="22"/>
          <w:szCs w:val="22"/>
        </w:rPr>
        <w:t xml:space="preserve">advisory </w:t>
      </w:r>
      <w:r w:rsidRPr="00DE4625">
        <w:rPr>
          <w:rFonts w:ascii="Cambria" w:hAnsi="Cambria" w:cstheme="minorHAnsi"/>
          <w:sz w:val="22"/>
          <w:szCs w:val="22"/>
        </w:rPr>
        <w:t>committee</w:t>
      </w:r>
      <w:r>
        <w:rPr>
          <w:rFonts w:ascii="Cambria" w:hAnsi="Cambria" w:cstheme="minorHAnsi"/>
          <w:sz w:val="22"/>
          <w:szCs w:val="22"/>
        </w:rPr>
        <w:t xml:space="preserve"> and attend regular advisory committee meetings. Advisory committees meet every other month (6 times per calendar year. </w:t>
      </w:r>
    </w:p>
    <w:p w14:paraId="162ECB78" w14:textId="77777777" w:rsidR="00DE4625" w:rsidRDefault="00DE4625" w:rsidP="00491FC3">
      <w:pPr>
        <w:pStyle w:val="Defaul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SWB members will b</w:t>
      </w:r>
      <w:r w:rsidR="00491FC3" w:rsidRPr="00DE4625">
        <w:rPr>
          <w:rFonts w:asciiTheme="majorHAnsi" w:hAnsiTheme="majorHAnsi"/>
          <w:sz w:val="22"/>
          <w:szCs w:val="22"/>
        </w:rPr>
        <w:t xml:space="preserve">ecome knowledgeable about the workforce system and the </w:t>
      </w:r>
      <w:r>
        <w:rPr>
          <w:rFonts w:asciiTheme="majorHAnsi" w:hAnsiTheme="majorHAnsi"/>
          <w:sz w:val="22"/>
          <w:szCs w:val="22"/>
        </w:rPr>
        <w:t>SWB’s</w:t>
      </w:r>
      <w:r w:rsidR="00491FC3" w:rsidRPr="00DE4625">
        <w:rPr>
          <w:rFonts w:asciiTheme="majorHAnsi" w:hAnsiTheme="majorHAnsi"/>
          <w:sz w:val="22"/>
          <w:szCs w:val="22"/>
        </w:rPr>
        <w:t xml:space="preserve"> role within the system. </w:t>
      </w:r>
    </w:p>
    <w:p w14:paraId="648C5DA2" w14:textId="77777777" w:rsidR="00DE4625" w:rsidRDefault="00DE4625" w:rsidP="00491FC3">
      <w:pPr>
        <w:pStyle w:val="Defaul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SWB members are expected to c</w:t>
      </w:r>
      <w:r w:rsidR="00491FC3" w:rsidRPr="00DE4625">
        <w:rPr>
          <w:rFonts w:asciiTheme="majorHAnsi" w:hAnsiTheme="majorHAnsi"/>
          <w:sz w:val="22"/>
          <w:szCs w:val="22"/>
        </w:rPr>
        <w:t>ome to Board</w:t>
      </w:r>
      <w:r>
        <w:rPr>
          <w:rFonts w:asciiTheme="majorHAnsi" w:hAnsiTheme="majorHAnsi"/>
          <w:sz w:val="22"/>
          <w:szCs w:val="22"/>
        </w:rPr>
        <w:t xml:space="preserve"> and advisory committee</w:t>
      </w:r>
      <w:r w:rsidR="00491FC3" w:rsidRPr="00DE4625">
        <w:rPr>
          <w:rFonts w:asciiTheme="majorHAnsi" w:hAnsiTheme="majorHAnsi"/>
          <w:sz w:val="22"/>
          <w:szCs w:val="22"/>
        </w:rPr>
        <w:t xml:space="preserve"> meetings well prepared and well informed about the issues on the agenda. </w:t>
      </w:r>
    </w:p>
    <w:p w14:paraId="7A29AE4C" w14:textId="77777777" w:rsidR="00DE4625" w:rsidRDefault="00DE4625" w:rsidP="00491FC3">
      <w:pPr>
        <w:pStyle w:val="Defaul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DE4625">
        <w:rPr>
          <w:rFonts w:asciiTheme="majorHAnsi" w:hAnsiTheme="majorHAnsi"/>
          <w:sz w:val="22"/>
          <w:szCs w:val="22"/>
        </w:rPr>
        <w:t>SWB members are expected to c</w:t>
      </w:r>
      <w:r w:rsidR="00491FC3" w:rsidRPr="00DE4625">
        <w:rPr>
          <w:rFonts w:asciiTheme="majorHAnsi" w:hAnsiTheme="majorHAnsi"/>
          <w:sz w:val="22"/>
          <w:szCs w:val="22"/>
        </w:rPr>
        <w:t>ontribute to meetings by expressing your point of view</w:t>
      </w:r>
      <w:r w:rsidRPr="00DE4625">
        <w:rPr>
          <w:rFonts w:asciiTheme="majorHAnsi" w:hAnsiTheme="majorHAnsi"/>
          <w:sz w:val="22"/>
          <w:szCs w:val="22"/>
        </w:rPr>
        <w:t>, and c</w:t>
      </w:r>
      <w:r w:rsidR="00491FC3" w:rsidRPr="00DE4625">
        <w:rPr>
          <w:rFonts w:asciiTheme="majorHAnsi" w:hAnsiTheme="majorHAnsi"/>
          <w:sz w:val="22"/>
          <w:szCs w:val="22"/>
        </w:rPr>
        <w:t xml:space="preserve">onsider other points of view, make constructive suggestions, and help the Board make decisions that benefit those persons the Board serves within the workforce system. </w:t>
      </w:r>
    </w:p>
    <w:p w14:paraId="786F5E32" w14:textId="77777777" w:rsidR="00DE4625" w:rsidRDefault="00DE4625" w:rsidP="00491FC3">
      <w:pPr>
        <w:pStyle w:val="Defaul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SWB members are expected to r</w:t>
      </w:r>
      <w:r w:rsidR="00491FC3" w:rsidRPr="00DE4625">
        <w:rPr>
          <w:rFonts w:asciiTheme="majorHAnsi" w:hAnsiTheme="majorHAnsi"/>
          <w:sz w:val="22"/>
          <w:szCs w:val="22"/>
        </w:rPr>
        <w:t xml:space="preserve">epresent the workforce system and </w:t>
      </w:r>
      <w:r>
        <w:rPr>
          <w:rFonts w:asciiTheme="majorHAnsi" w:hAnsiTheme="majorHAnsi"/>
          <w:sz w:val="22"/>
          <w:szCs w:val="22"/>
        </w:rPr>
        <w:t xml:space="preserve">SWB </w:t>
      </w:r>
      <w:r w:rsidR="00491FC3" w:rsidRPr="00DE4625">
        <w:rPr>
          <w:rFonts w:asciiTheme="majorHAnsi" w:hAnsiTheme="majorHAnsi"/>
          <w:sz w:val="22"/>
          <w:szCs w:val="22"/>
        </w:rPr>
        <w:t>to individuals, the public, and other organizations in a positive and professional manner.</w:t>
      </w:r>
    </w:p>
    <w:p w14:paraId="5879E698" w14:textId="77777777" w:rsidR="00DC315E" w:rsidRDefault="00DE4625" w:rsidP="00491FC3">
      <w:pPr>
        <w:pStyle w:val="Defaul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SWB members will s</w:t>
      </w:r>
      <w:r w:rsidR="00491FC3" w:rsidRPr="00DE4625">
        <w:rPr>
          <w:rFonts w:asciiTheme="majorHAnsi" w:hAnsiTheme="majorHAnsi"/>
          <w:sz w:val="22"/>
          <w:szCs w:val="22"/>
        </w:rPr>
        <w:t>upport the Board</w:t>
      </w:r>
      <w:r>
        <w:rPr>
          <w:rFonts w:asciiTheme="majorHAnsi" w:hAnsiTheme="majorHAnsi"/>
          <w:sz w:val="22"/>
          <w:szCs w:val="22"/>
        </w:rPr>
        <w:t xml:space="preserve">, as needed, </w:t>
      </w:r>
      <w:r w:rsidR="00491FC3" w:rsidRPr="00DE4625">
        <w:rPr>
          <w:rFonts w:asciiTheme="majorHAnsi" w:hAnsiTheme="majorHAnsi"/>
          <w:sz w:val="22"/>
          <w:szCs w:val="22"/>
        </w:rPr>
        <w:t>through attendance at special events and activities.</w:t>
      </w:r>
    </w:p>
    <w:p w14:paraId="2FDAF1E6" w14:textId="77777777" w:rsidR="00DC315E" w:rsidRDefault="00DC315E" w:rsidP="00491FC3">
      <w:pPr>
        <w:pStyle w:val="Defaul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SWB members will c</w:t>
      </w:r>
      <w:r w:rsidR="00491FC3" w:rsidRPr="00DC315E">
        <w:rPr>
          <w:rFonts w:asciiTheme="majorHAnsi" w:hAnsiTheme="majorHAnsi"/>
          <w:sz w:val="22"/>
          <w:szCs w:val="22"/>
        </w:rPr>
        <w:t xml:space="preserve">ontinue to increase </w:t>
      </w:r>
      <w:r>
        <w:rPr>
          <w:rFonts w:asciiTheme="majorHAnsi" w:hAnsiTheme="majorHAnsi"/>
          <w:sz w:val="22"/>
          <w:szCs w:val="22"/>
        </w:rPr>
        <w:t xml:space="preserve">their </w:t>
      </w:r>
      <w:r w:rsidR="00491FC3" w:rsidRPr="00DC315E">
        <w:rPr>
          <w:rFonts w:asciiTheme="majorHAnsi" w:hAnsiTheme="majorHAnsi"/>
          <w:sz w:val="22"/>
          <w:szCs w:val="22"/>
        </w:rPr>
        <w:t xml:space="preserve">knowledge about the workforce system through learning opportunities. </w:t>
      </w:r>
    </w:p>
    <w:p w14:paraId="34D8D513" w14:textId="77777777" w:rsidR="00DC315E" w:rsidRDefault="00DC315E" w:rsidP="00491FC3">
      <w:pPr>
        <w:pStyle w:val="Defaul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SWB members should be open to taking on </w:t>
      </w:r>
      <w:r w:rsidR="00491FC3" w:rsidRPr="00DC315E">
        <w:rPr>
          <w:rFonts w:asciiTheme="majorHAnsi" w:hAnsiTheme="majorHAnsi"/>
          <w:sz w:val="22"/>
          <w:szCs w:val="22"/>
        </w:rPr>
        <w:t>Board leadership roles when asked</w:t>
      </w:r>
      <w:r>
        <w:rPr>
          <w:rFonts w:asciiTheme="majorHAnsi" w:hAnsiTheme="majorHAnsi"/>
          <w:sz w:val="22"/>
          <w:szCs w:val="22"/>
        </w:rPr>
        <w:t>.</w:t>
      </w:r>
    </w:p>
    <w:p w14:paraId="01DC6BD6" w14:textId="77777777" w:rsidR="00DC315E" w:rsidRDefault="00DC315E" w:rsidP="00491FC3">
      <w:pPr>
        <w:pStyle w:val="Defaul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SWB members will m</w:t>
      </w:r>
      <w:r w:rsidR="00491FC3" w:rsidRPr="00DC315E">
        <w:rPr>
          <w:rFonts w:asciiTheme="majorHAnsi" w:hAnsiTheme="majorHAnsi"/>
          <w:sz w:val="22"/>
          <w:szCs w:val="22"/>
        </w:rPr>
        <w:t xml:space="preserve">aintain confidentiality of Board discussion, as appropriate. </w:t>
      </w:r>
    </w:p>
    <w:p w14:paraId="3BCE0EC3" w14:textId="6C967121" w:rsidR="00491FC3" w:rsidRPr="00DC315E" w:rsidRDefault="00DC315E" w:rsidP="00491FC3">
      <w:pPr>
        <w:pStyle w:val="Defaul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SWB members will s</w:t>
      </w:r>
      <w:r w:rsidR="00491FC3" w:rsidRPr="00DC315E">
        <w:rPr>
          <w:rFonts w:asciiTheme="majorHAnsi" w:hAnsiTheme="majorHAnsi"/>
          <w:sz w:val="22"/>
          <w:szCs w:val="22"/>
        </w:rPr>
        <w:t>hare information about the industry or profession represented in terms of trends, opportunities, developments, and activities that could impact the public workforce system.</w:t>
      </w:r>
    </w:p>
    <w:p w14:paraId="3D1F0B21" w14:textId="77777777" w:rsidR="00491FC3" w:rsidRDefault="00491FC3" w:rsidP="00DC315E">
      <w:pPr>
        <w:pStyle w:val="ListParagraph"/>
        <w:spacing w:after="160" w:line="259" w:lineRule="auto"/>
        <w:ind w:left="360"/>
        <w:sectPr w:rsidR="00491FC3" w:rsidSect="00A40707">
          <w:headerReference w:type="firs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284F120" w14:textId="5B50D54D" w:rsidR="00587A5D" w:rsidRPr="00DC315E" w:rsidRDefault="00587A5D" w:rsidP="00DC315E">
      <w:pPr>
        <w:spacing w:after="160" w:line="259" w:lineRule="auto"/>
        <w:rPr>
          <w:rFonts w:ascii="Cambria" w:hAnsi="Cambria" w:cs="Arial"/>
        </w:rPr>
      </w:pPr>
    </w:p>
    <w:sectPr w:rsidR="00587A5D" w:rsidRPr="00DC315E" w:rsidSect="00491FC3">
      <w:type w:val="continuous"/>
      <w:pgSz w:w="12240" w:h="16340"/>
      <w:pgMar w:top="1436" w:right="946" w:bottom="1440" w:left="7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D5A5" w14:textId="77777777" w:rsidR="008E1E77" w:rsidRDefault="008E1E77">
      <w:r>
        <w:separator/>
      </w:r>
    </w:p>
  </w:endnote>
  <w:endnote w:type="continuationSeparator" w:id="0">
    <w:p w14:paraId="121C184A" w14:textId="77777777" w:rsidR="008E1E77" w:rsidRDefault="008E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4BC2" w14:textId="77777777" w:rsidR="00C01ECB" w:rsidRDefault="00C01ECB">
    <w:pPr>
      <w:tabs>
        <w:tab w:val="center" w:pos="5040"/>
        <w:tab w:val="right" w:pos="10080"/>
      </w:tabs>
      <w:spacing w:line="240" w:lineRule="atLeast"/>
      <w:rPr>
        <w:rFonts w:ascii="Goudy" w:hAnsi="Goudy"/>
        <w:color w:val="0000FF"/>
        <w:spacing w:val="26"/>
        <w:kern w:val="28"/>
        <w:sz w:val="12"/>
      </w:rPr>
    </w:pPr>
    <w:r>
      <w:rPr>
        <w:rFonts w:ascii="Goudy" w:hAnsi="Goudy"/>
        <w:color w:val="0000FF"/>
        <w:spacing w:val="26"/>
        <w:kern w:val="28"/>
        <w:sz w:val="12"/>
      </w:rPr>
      <w:t xml:space="preserve">PHONE: (207) </w:t>
    </w:r>
    <w:r w:rsidR="008B3DAC">
      <w:rPr>
        <w:rFonts w:ascii="Goudy" w:hAnsi="Goudy"/>
        <w:color w:val="0000FF"/>
        <w:spacing w:val="26"/>
        <w:kern w:val="28"/>
        <w:sz w:val="12"/>
      </w:rPr>
      <w:t>623-7900</w:t>
    </w:r>
    <w:r w:rsidR="00AD36B4">
      <w:rPr>
        <w:rFonts w:ascii="Goudy" w:hAnsi="Goudy"/>
        <w:color w:val="0000FF"/>
        <w:spacing w:val="26"/>
        <w:kern w:val="28"/>
        <w:sz w:val="12"/>
      </w:rPr>
      <w:t xml:space="preserve">                                    </w:t>
    </w:r>
    <w:r w:rsidR="00AD36B4">
      <w:rPr>
        <w:rFonts w:ascii="Goudy" w:hAnsi="Goudy"/>
        <w:color w:val="0000FF"/>
        <w:spacing w:val="26"/>
        <w:kern w:val="28"/>
        <w:sz w:val="12"/>
      </w:rPr>
      <w:tab/>
    </w:r>
    <w:r w:rsidR="00903757">
      <w:rPr>
        <w:rFonts w:ascii="Goudy" w:hAnsi="Goudy"/>
        <w:color w:val="0000FF"/>
        <w:spacing w:val="26"/>
        <w:kern w:val="28"/>
        <w:sz w:val="12"/>
      </w:rPr>
      <w:t>TTY</w:t>
    </w:r>
    <w:r w:rsidR="00AD36B4">
      <w:rPr>
        <w:rFonts w:ascii="Goudy" w:hAnsi="Goudy"/>
        <w:color w:val="0000FF"/>
        <w:spacing w:val="26"/>
        <w:kern w:val="28"/>
        <w:sz w:val="12"/>
      </w:rPr>
      <w:t xml:space="preserve"> users call Maine Relay 711                                           </w:t>
    </w:r>
    <w:r>
      <w:rPr>
        <w:rFonts w:ascii="Goudy" w:hAnsi="Goudy"/>
        <w:color w:val="0000FF"/>
        <w:spacing w:val="26"/>
        <w:kern w:val="28"/>
        <w:sz w:val="12"/>
      </w:rPr>
      <w:t>FAX: (207) 287-</w:t>
    </w:r>
    <w:r w:rsidR="0006261B">
      <w:rPr>
        <w:rFonts w:ascii="Goudy" w:hAnsi="Goudy"/>
        <w:color w:val="0000FF"/>
        <w:spacing w:val="26"/>
        <w:kern w:val="28"/>
        <w:sz w:val="12"/>
      </w:rPr>
      <w:t>5292</w:t>
    </w:r>
  </w:p>
  <w:p w14:paraId="14BF04F5" w14:textId="77777777" w:rsidR="00C01ECB" w:rsidRDefault="00C01ECB" w:rsidP="00903757">
    <w:pPr>
      <w:tabs>
        <w:tab w:val="center" w:pos="5040"/>
        <w:tab w:val="right" w:pos="10080"/>
      </w:tabs>
      <w:spacing w:line="240" w:lineRule="atLeast"/>
      <w:jc w:val="center"/>
      <w:rPr>
        <w:rFonts w:ascii="Goudy" w:hAnsi="Goudy"/>
        <w:color w:val="0000FF"/>
        <w:spacing w:val="26"/>
        <w:kern w:val="28"/>
        <w:sz w:val="12"/>
      </w:rPr>
    </w:pPr>
    <w:r>
      <w:rPr>
        <w:rFonts w:ascii="Goudy" w:hAnsi="Goudy"/>
        <w:color w:val="0000FF"/>
        <w:spacing w:val="26"/>
        <w:kern w:val="28"/>
        <w:sz w:val="12"/>
      </w:rPr>
      <w:t>The Maine Department of Labor provides equal</w:t>
    </w:r>
    <w:r w:rsidR="00AD36B4">
      <w:rPr>
        <w:rFonts w:ascii="Goudy" w:hAnsi="Goudy"/>
        <w:color w:val="0000FF"/>
        <w:spacing w:val="26"/>
        <w:kern w:val="28"/>
        <w:sz w:val="12"/>
      </w:rPr>
      <w:t xml:space="preserve"> </w:t>
    </w:r>
    <w:r>
      <w:rPr>
        <w:rFonts w:ascii="Goudy" w:hAnsi="Goudy"/>
        <w:color w:val="0000FF"/>
        <w:spacing w:val="26"/>
        <w:kern w:val="28"/>
        <w:sz w:val="12"/>
      </w:rPr>
      <w:t xml:space="preserve">opportunity in </w:t>
    </w:r>
    <w:r w:rsidR="00AD36B4">
      <w:rPr>
        <w:rFonts w:ascii="Goudy" w:hAnsi="Goudy"/>
        <w:color w:val="0000FF"/>
        <w:spacing w:val="26"/>
        <w:kern w:val="28"/>
        <w:sz w:val="12"/>
      </w:rPr>
      <w:t xml:space="preserve">employment and </w:t>
    </w:r>
    <w:r>
      <w:rPr>
        <w:rFonts w:ascii="Goudy" w:hAnsi="Goudy"/>
        <w:color w:val="0000FF"/>
        <w:spacing w:val="26"/>
        <w:kern w:val="28"/>
        <w:sz w:val="12"/>
      </w:rPr>
      <w:t>programs</w:t>
    </w:r>
    <w:r w:rsidR="00AD36B4">
      <w:rPr>
        <w:rFonts w:ascii="Goudy" w:hAnsi="Goudy"/>
        <w:color w:val="0000FF"/>
        <w:spacing w:val="26"/>
        <w:kern w:val="28"/>
        <w:sz w:val="12"/>
      </w:rPr>
      <w:t>.</w:t>
    </w:r>
    <w:r>
      <w:rPr>
        <w:rFonts w:ascii="Goudy" w:hAnsi="Goudy"/>
        <w:color w:val="0000FF"/>
        <w:spacing w:val="26"/>
        <w:kern w:val="28"/>
        <w:sz w:val="12"/>
      </w:rPr>
      <w:t xml:space="preserve"> </w:t>
    </w:r>
  </w:p>
  <w:p w14:paraId="7F2DD64F" w14:textId="77777777" w:rsidR="00903757" w:rsidRDefault="00903757" w:rsidP="00903757">
    <w:pPr>
      <w:tabs>
        <w:tab w:val="center" w:pos="5040"/>
        <w:tab w:val="right" w:pos="10080"/>
      </w:tabs>
      <w:spacing w:after="120" w:line="240" w:lineRule="atLeast"/>
      <w:jc w:val="center"/>
      <w:rPr>
        <w:rFonts w:ascii="Goudy" w:hAnsi="Goudy"/>
        <w:color w:val="0000FF"/>
        <w:spacing w:val="26"/>
        <w:kern w:val="28"/>
        <w:sz w:val="16"/>
      </w:rPr>
    </w:pPr>
    <w:r>
      <w:rPr>
        <w:rFonts w:ascii="Goudy" w:hAnsi="Goudy"/>
        <w:color w:val="0000FF"/>
        <w:spacing w:val="26"/>
        <w:kern w:val="28"/>
        <w:sz w:val="12"/>
      </w:rPr>
      <w:t>Auxiliary aids and services are available</w:t>
    </w:r>
    <w:r w:rsidR="00AD36B4" w:rsidRPr="00AD36B4">
      <w:rPr>
        <w:rFonts w:ascii="Goudy" w:hAnsi="Goudy"/>
        <w:color w:val="0000FF"/>
        <w:spacing w:val="26"/>
        <w:kern w:val="28"/>
        <w:sz w:val="12"/>
      </w:rPr>
      <w:t xml:space="preserve"> </w:t>
    </w:r>
    <w:r w:rsidR="00AD36B4">
      <w:rPr>
        <w:rFonts w:ascii="Goudy" w:hAnsi="Goudy"/>
        <w:color w:val="0000FF"/>
        <w:spacing w:val="26"/>
        <w:kern w:val="28"/>
        <w:sz w:val="12"/>
      </w:rPr>
      <w:t>upon request</w:t>
    </w:r>
    <w:r>
      <w:rPr>
        <w:rFonts w:ascii="Goudy" w:hAnsi="Goudy"/>
        <w:color w:val="0000FF"/>
        <w:spacing w:val="26"/>
        <w:kern w:val="28"/>
        <w:sz w:val="12"/>
      </w:rPr>
      <w:t xml:space="preserve"> to individuals with disabilities</w:t>
    </w:r>
    <w:r w:rsidR="00AD36B4">
      <w:rPr>
        <w:rFonts w:ascii="Goudy" w:hAnsi="Goudy"/>
        <w:color w:val="0000FF"/>
        <w:spacing w:val="26"/>
        <w:kern w:val="28"/>
        <w:sz w:val="12"/>
      </w:rPr>
      <w:t>.</w:t>
    </w:r>
    <w:r>
      <w:rPr>
        <w:rFonts w:ascii="Goudy" w:hAnsi="Goudy"/>
        <w:color w:val="0000FF"/>
        <w:spacing w:val="26"/>
        <w:kern w:val="28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E6BD" w14:textId="77777777" w:rsidR="008E1E77" w:rsidRDefault="008E1E77">
      <w:r>
        <w:separator/>
      </w:r>
    </w:p>
  </w:footnote>
  <w:footnote w:type="continuationSeparator" w:id="0">
    <w:p w14:paraId="72153945" w14:textId="77777777" w:rsidR="008E1E77" w:rsidRDefault="008E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4B21" w14:textId="77777777" w:rsidR="0006261B" w:rsidRDefault="0006261B" w:rsidP="0006261B">
    <w:pPr>
      <w:spacing w:line="240" w:lineRule="atLeast"/>
      <w:jc w:val="center"/>
      <w:rPr>
        <w:color w:val="0000FF"/>
        <w:spacing w:val="26"/>
        <w:kern w:val="28"/>
        <w:sz w:val="16"/>
        <w:szCs w:val="16"/>
      </w:rPr>
    </w:pPr>
  </w:p>
  <w:p w14:paraId="6082FF70" w14:textId="77777777" w:rsidR="0006261B" w:rsidRPr="004E75F5" w:rsidRDefault="0006261B" w:rsidP="0006261B">
    <w:pPr>
      <w:spacing w:line="240" w:lineRule="atLeast"/>
      <w:jc w:val="center"/>
      <w:rPr>
        <w:color w:val="0000FF"/>
        <w:spacing w:val="26"/>
        <w:kern w:val="28"/>
        <w:sz w:val="16"/>
        <w:szCs w:val="16"/>
      </w:rPr>
    </w:pPr>
    <w:r w:rsidRPr="004E75F5">
      <w:rPr>
        <w:noProof/>
        <w:color w:val="0000FF"/>
        <w:spacing w:val="26"/>
        <w:kern w:val="28"/>
        <w:sz w:val="16"/>
        <w:szCs w:val="16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3C865C5" wp14:editId="19F524CA">
              <wp:simplePos x="0" y="0"/>
              <wp:positionH relativeFrom="column">
                <wp:posOffset>182880</wp:posOffset>
              </wp:positionH>
              <wp:positionV relativeFrom="paragraph">
                <wp:posOffset>0</wp:posOffset>
              </wp:positionV>
              <wp:extent cx="716915" cy="739775"/>
              <wp:effectExtent l="1905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605BA" w14:textId="77777777" w:rsidR="0006261B" w:rsidRDefault="0006261B" w:rsidP="0006261B"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 wp14:anchorId="5EF263E2" wp14:editId="13EEBC81">
                                <wp:extent cx="533400" cy="654050"/>
                                <wp:effectExtent l="0" t="0" r="0" b="0"/>
                                <wp:docPr id="7" name="Picture 7" descr="stateseal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ateseal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654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865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.4pt;margin-top:0;width:56.45pt;height:5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" o:allowincell="f" filled="f" stroked="f">
              <v:textbox>
                <w:txbxContent>
                  <w:p w14:paraId="46E605BA" w14:textId="77777777" w:rsidR="0006261B" w:rsidRDefault="0006261B" w:rsidP="0006261B">
                    <w:r>
                      <w:rPr>
                        <w:noProof/>
                        <w:color w:val="0000FF"/>
                      </w:rPr>
                      <w:drawing>
                        <wp:inline distT="0" distB="0" distL="0" distR="0" wp14:anchorId="5EF263E2" wp14:editId="13EEBC81">
                          <wp:extent cx="533400" cy="654050"/>
                          <wp:effectExtent l="0" t="0" r="0" b="0"/>
                          <wp:docPr id="7" name="Picture 7" descr="stateseal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tateseal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65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E75F5">
      <w:rPr>
        <w:color w:val="0000FF"/>
        <w:spacing w:val="26"/>
        <w:kern w:val="28"/>
        <w:sz w:val="16"/>
        <w:szCs w:val="16"/>
      </w:rPr>
      <w:t>STATE OF MAINE</w:t>
    </w:r>
  </w:p>
  <w:p w14:paraId="1C8E4C59" w14:textId="77777777" w:rsidR="0006261B" w:rsidRPr="004E75F5" w:rsidRDefault="0006261B" w:rsidP="0006261B">
    <w:pPr>
      <w:spacing w:line="240" w:lineRule="atLeast"/>
      <w:jc w:val="center"/>
      <w:rPr>
        <w:color w:val="0000FF"/>
        <w:spacing w:val="26"/>
        <w:kern w:val="28"/>
        <w:sz w:val="16"/>
        <w:szCs w:val="16"/>
      </w:rPr>
    </w:pPr>
    <w:r w:rsidRPr="004E75F5">
      <w:rPr>
        <w:color w:val="0000FF"/>
        <w:spacing w:val="26"/>
        <w:kern w:val="28"/>
        <w:sz w:val="16"/>
        <w:szCs w:val="16"/>
      </w:rPr>
      <w:t>DEPARTMENT OF LABOR</w:t>
    </w:r>
  </w:p>
  <w:p w14:paraId="1A13B1F3" w14:textId="77777777" w:rsidR="0006261B" w:rsidRPr="004E75F5" w:rsidRDefault="0006261B" w:rsidP="0006261B">
    <w:pPr>
      <w:spacing w:line="240" w:lineRule="atLeast"/>
      <w:jc w:val="center"/>
      <w:rPr>
        <w:color w:val="0000FF"/>
        <w:spacing w:val="26"/>
        <w:kern w:val="28"/>
        <w:sz w:val="16"/>
        <w:szCs w:val="16"/>
      </w:rPr>
    </w:pPr>
    <w:r w:rsidRPr="004E75F5">
      <w:rPr>
        <w:color w:val="0000FF"/>
        <w:spacing w:val="26"/>
        <w:kern w:val="28"/>
        <w:sz w:val="16"/>
        <w:szCs w:val="16"/>
      </w:rPr>
      <w:t>54 STATE HOUSE STATION</w:t>
    </w:r>
  </w:p>
  <w:p w14:paraId="009E72ED" w14:textId="77777777" w:rsidR="0006261B" w:rsidRPr="004E75F5" w:rsidRDefault="0006261B" w:rsidP="0006261B">
    <w:pPr>
      <w:spacing w:after="120" w:line="240" w:lineRule="atLeast"/>
      <w:jc w:val="center"/>
      <w:rPr>
        <w:color w:val="0000FF"/>
        <w:spacing w:val="26"/>
        <w:kern w:val="28"/>
        <w:sz w:val="16"/>
        <w:szCs w:val="16"/>
      </w:rPr>
    </w:pPr>
    <w:r w:rsidRPr="004E75F5">
      <w:rPr>
        <w:smallCaps/>
        <w:noProof/>
        <w:color w:val="0000FF"/>
        <w:spacing w:val="26"/>
        <w:kern w:val="28"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C911446" wp14:editId="14C3B8CB">
              <wp:simplePos x="0" y="0"/>
              <wp:positionH relativeFrom="column">
                <wp:posOffset>5234940</wp:posOffset>
              </wp:positionH>
              <wp:positionV relativeFrom="paragraph">
                <wp:posOffset>15240</wp:posOffset>
              </wp:positionV>
              <wp:extent cx="1463040" cy="82296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61043" w14:textId="77777777" w:rsidR="0006261B" w:rsidRDefault="0006261B" w:rsidP="0006261B">
                          <w:pPr>
                            <w:pStyle w:val="BodyText"/>
                            <w:spacing w:line="360" w:lineRule="auto"/>
                            <w:jc w:val="center"/>
                            <w:rPr>
                              <w:color w:val="0000FF"/>
                            </w:rPr>
                          </w:pPr>
                        </w:p>
                        <w:p w14:paraId="6C8AABA3" w14:textId="77777777" w:rsidR="0006261B" w:rsidRPr="004E75F5" w:rsidRDefault="0006261B" w:rsidP="0006261B">
                          <w:pPr>
                            <w:pStyle w:val="BodyText"/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16"/>
                              <w:szCs w:val="16"/>
                            </w:rPr>
                            <w:t xml:space="preserve">Laura </w:t>
                          </w:r>
                          <w:r w:rsidR="008B3DAC">
                            <w:rPr>
                              <w:rFonts w:ascii="Times New Roman" w:hAnsi="Times New Roman"/>
                              <w:color w:val="0000FF"/>
                              <w:sz w:val="16"/>
                              <w:szCs w:val="16"/>
                            </w:rPr>
                            <w:t xml:space="preserve">A.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16"/>
                              <w:szCs w:val="16"/>
                            </w:rPr>
                            <w:t>Fortman</w:t>
                          </w:r>
                        </w:p>
                        <w:p w14:paraId="1EE77498" w14:textId="77777777" w:rsidR="0006261B" w:rsidRPr="004E75F5" w:rsidRDefault="0006261B" w:rsidP="0006261B">
                          <w:pPr>
                            <w:spacing w:line="360" w:lineRule="auto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4E75F5">
                            <w:rPr>
                              <w:color w:val="0000FF"/>
                              <w:sz w:val="16"/>
                              <w:szCs w:val="16"/>
                            </w:rPr>
                            <w:t>COMMISSIONER</w:t>
                          </w:r>
                        </w:p>
                        <w:p w14:paraId="30709FBF" w14:textId="77777777" w:rsidR="0006261B" w:rsidRDefault="0006261B" w:rsidP="0006261B">
                          <w:pPr>
                            <w:spacing w:line="360" w:lineRule="auto"/>
                            <w:rPr>
                              <w:rFonts w:ascii="Helvetica" w:hAnsi="Helvetica"/>
                              <w:sz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11446" id="Text Box 4" o:spid="_x0000_s1027" type="#_x0000_t202" style="position:absolute;left:0;text-align:left;margin-left:412.2pt;margin-top:1.2pt;width:115.2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" o:allowincell="f" filled="f" stroked="f">
              <v:textbox>
                <w:txbxContent>
                  <w:p w14:paraId="3E661043" w14:textId="77777777" w:rsidR="0006261B" w:rsidRDefault="0006261B" w:rsidP="0006261B">
                    <w:pPr>
                      <w:pStyle w:val="BodyText"/>
                      <w:spacing w:line="360" w:lineRule="auto"/>
                      <w:jc w:val="center"/>
                      <w:rPr>
                        <w:color w:val="0000FF"/>
                      </w:rPr>
                    </w:pPr>
                  </w:p>
                  <w:p w14:paraId="6C8AABA3" w14:textId="77777777" w:rsidR="0006261B" w:rsidRPr="004E75F5" w:rsidRDefault="0006261B" w:rsidP="0006261B">
                    <w:pPr>
                      <w:pStyle w:val="BodyText"/>
                      <w:spacing w:line="360" w:lineRule="auto"/>
                      <w:jc w:val="center"/>
                      <w:rPr>
                        <w:rFonts w:ascii="Times New Roman" w:hAnsi="Times New Roman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z w:val="16"/>
                        <w:szCs w:val="16"/>
                      </w:rPr>
                      <w:t xml:space="preserve">Laura </w:t>
                    </w:r>
                    <w:r w:rsidR="008B3DAC">
                      <w:rPr>
                        <w:rFonts w:ascii="Times New Roman" w:hAnsi="Times New Roman"/>
                        <w:color w:val="0000FF"/>
                        <w:sz w:val="16"/>
                        <w:szCs w:val="16"/>
                      </w:rPr>
                      <w:t xml:space="preserve">A. </w:t>
                    </w:r>
                    <w:r>
                      <w:rPr>
                        <w:rFonts w:ascii="Times New Roman" w:hAnsi="Times New Roman"/>
                        <w:color w:val="0000FF"/>
                        <w:sz w:val="16"/>
                        <w:szCs w:val="16"/>
                      </w:rPr>
                      <w:t>Fortman</w:t>
                    </w:r>
                  </w:p>
                  <w:p w14:paraId="1EE77498" w14:textId="77777777" w:rsidR="0006261B" w:rsidRPr="004E75F5" w:rsidRDefault="0006261B" w:rsidP="0006261B">
                    <w:pPr>
                      <w:spacing w:line="360" w:lineRule="auto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4E75F5">
                      <w:rPr>
                        <w:color w:val="0000FF"/>
                        <w:sz w:val="16"/>
                        <w:szCs w:val="16"/>
                      </w:rPr>
                      <w:t>COMMISSIONER</w:t>
                    </w:r>
                  </w:p>
                  <w:p w14:paraId="30709FBF" w14:textId="77777777" w:rsidR="0006261B" w:rsidRDefault="0006261B" w:rsidP="0006261B">
                    <w:pPr>
                      <w:spacing w:line="360" w:lineRule="auto"/>
                      <w:rPr>
                        <w:rFonts w:ascii="Helvetica" w:hAnsi="Helvetica"/>
                        <w:sz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4E75F5">
      <w:rPr>
        <w:noProof/>
        <w:color w:val="0000FF"/>
        <w:spacing w:val="26"/>
        <w:kern w:val="28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39504DC" wp14:editId="76E83FD7">
              <wp:simplePos x="0" y="0"/>
              <wp:positionH relativeFrom="column">
                <wp:posOffset>-91440</wp:posOffset>
              </wp:positionH>
              <wp:positionV relativeFrom="paragraph">
                <wp:posOffset>213360</wp:posOffset>
              </wp:positionV>
              <wp:extent cx="1257300" cy="396240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25B19" w14:textId="77777777" w:rsidR="0006261B" w:rsidRPr="004E75F5" w:rsidRDefault="0006261B" w:rsidP="0006261B">
                          <w:pPr>
                            <w:spacing w:line="360" w:lineRule="auto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4E75F5">
                            <w:rPr>
                              <w:color w:val="0000FF"/>
                              <w:sz w:val="16"/>
                              <w:szCs w:val="16"/>
                            </w:rPr>
                            <w:t>Janet T. Mills</w:t>
                          </w:r>
                        </w:p>
                        <w:p w14:paraId="173DC7FE" w14:textId="77777777" w:rsidR="0006261B" w:rsidRPr="004E75F5" w:rsidRDefault="0006261B" w:rsidP="0006261B">
                          <w:pPr>
                            <w:spacing w:line="360" w:lineRule="auto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4E75F5">
                            <w:rPr>
                              <w:color w:val="0000FF"/>
                              <w:sz w:val="16"/>
                              <w:szCs w:val="16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504DC" id="Text Box 3" o:spid="_x0000_s1028" type="#_x0000_t202" style="position:absolute;left:0;text-align:left;margin-left:-7.2pt;margin-top:16.8pt;width:99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" o:allowincell="f" filled="f" stroked="f">
              <v:textbox>
                <w:txbxContent>
                  <w:p w14:paraId="6C125B19" w14:textId="77777777" w:rsidR="0006261B" w:rsidRPr="004E75F5" w:rsidRDefault="0006261B" w:rsidP="0006261B">
                    <w:pPr>
                      <w:spacing w:line="360" w:lineRule="auto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4E75F5">
                      <w:rPr>
                        <w:color w:val="0000FF"/>
                        <w:sz w:val="16"/>
                        <w:szCs w:val="16"/>
                      </w:rPr>
                      <w:t>Janet T. Mills</w:t>
                    </w:r>
                  </w:p>
                  <w:p w14:paraId="173DC7FE" w14:textId="77777777" w:rsidR="0006261B" w:rsidRPr="004E75F5" w:rsidRDefault="0006261B" w:rsidP="0006261B">
                    <w:pPr>
                      <w:spacing w:line="360" w:lineRule="auto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4E75F5">
                      <w:rPr>
                        <w:color w:val="0000FF"/>
                        <w:sz w:val="16"/>
                        <w:szCs w:val="16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072ABD">
      <w:rPr>
        <w:noProof/>
        <w:color w:val="0000FF"/>
        <w:spacing w:val="26"/>
        <w:kern w:val="28"/>
        <w:sz w:val="16"/>
        <w:szCs w:val="16"/>
      </w:rPr>
      <w:t>AUGUSTA, MAINE  04333-0054</w:t>
    </w:r>
  </w:p>
  <w:p w14:paraId="59AB91B0" w14:textId="77777777" w:rsidR="0006261B" w:rsidRDefault="0006261B" w:rsidP="0006261B">
    <w:pPr>
      <w:spacing w:line="240" w:lineRule="atLeast"/>
      <w:jc w:val="center"/>
      <w:rPr>
        <w:rFonts w:ascii="Goudy" w:hAnsi="Goudy"/>
        <w:color w:val="0000FF"/>
        <w:spacing w:val="26"/>
        <w:kern w:val="28"/>
        <w:sz w:val="16"/>
      </w:rPr>
    </w:pPr>
  </w:p>
  <w:p w14:paraId="2600F17F" w14:textId="77777777" w:rsidR="0006261B" w:rsidRDefault="0006261B" w:rsidP="0006261B">
    <w:pPr>
      <w:spacing w:line="240" w:lineRule="atLeast"/>
      <w:rPr>
        <w:rFonts w:ascii="Goudy" w:hAnsi="Goudy"/>
        <w:color w:val="0000FF"/>
        <w:spacing w:val="26"/>
        <w:kern w:val="28"/>
        <w:sz w:val="16"/>
      </w:rPr>
    </w:pPr>
  </w:p>
  <w:p w14:paraId="0D3D4AF0" w14:textId="77777777" w:rsidR="0006261B" w:rsidRDefault="00062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6BC"/>
    <w:multiLevelType w:val="hybridMultilevel"/>
    <w:tmpl w:val="7E3C4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85A2E"/>
    <w:multiLevelType w:val="hybridMultilevel"/>
    <w:tmpl w:val="DB9C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2DC6"/>
    <w:multiLevelType w:val="hybridMultilevel"/>
    <w:tmpl w:val="4190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9ED"/>
    <w:multiLevelType w:val="hybridMultilevel"/>
    <w:tmpl w:val="67F45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8213C0"/>
    <w:multiLevelType w:val="hybridMultilevel"/>
    <w:tmpl w:val="9FC020C6"/>
    <w:lvl w:ilvl="0" w:tplc="1068CA3E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1CB"/>
    <w:multiLevelType w:val="hybridMultilevel"/>
    <w:tmpl w:val="EBFCB6B0"/>
    <w:lvl w:ilvl="0" w:tplc="1068CA3E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5D2789"/>
    <w:multiLevelType w:val="hybridMultilevel"/>
    <w:tmpl w:val="CF28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B0EA8"/>
    <w:multiLevelType w:val="hybridMultilevel"/>
    <w:tmpl w:val="EBC0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202AE"/>
    <w:multiLevelType w:val="hybridMultilevel"/>
    <w:tmpl w:val="B7BA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57296"/>
    <w:multiLevelType w:val="hybridMultilevel"/>
    <w:tmpl w:val="6400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84810"/>
    <w:multiLevelType w:val="hybridMultilevel"/>
    <w:tmpl w:val="A2BA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EC"/>
    <w:rsid w:val="00030641"/>
    <w:rsid w:val="0006261B"/>
    <w:rsid w:val="00072ABD"/>
    <w:rsid w:val="0009794F"/>
    <w:rsid w:val="000D4A07"/>
    <w:rsid w:val="000F39E1"/>
    <w:rsid w:val="00115620"/>
    <w:rsid w:val="00116AB4"/>
    <w:rsid w:val="001E099F"/>
    <w:rsid w:val="001F250F"/>
    <w:rsid w:val="00216AAE"/>
    <w:rsid w:val="00243BED"/>
    <w:rsid w:val="00261234"/>
    <w:rsid w:val="00262D38"/>
    <w:rsid w:val="0026780F"/>
    <w:rsid w:val="00275EED"/>
    <w:rsid w:val="002E70D5"/>
    <w:rsid w:val="00354872"/>
    <w:rsid w:val="003A6222"/>
    <w:rsid w:val="003D0859"/>
    <w:rsid w:val="003D516C"/>
    <w:rsid w:val="003F6091"/>
    <w:rsid w:val="00402DF8"/>
    <w:rsid w:val="00421081"/>
    <w:rsid w:val="00426DAC"/>
    <w:rsid w:val="004664C2"/>
    <w:rsid w:val="00466CBC"/>
    <w:rsid w:val="00470FDE"/>
    <w:rsid w:val="00491FC3"/>
    <w:rsid w:val="004E225E"/>
    <w:rsid w:val="004E75F5"/>
    <w:rsid w:val="004E7911"/>
    <w:rsid w:val="00587A5D"/>
    <w:rsid w:val="00595E4A"/>
    <w:rsid w:val="005B0464"/>
    <w:rsid w:val="005C3F55"/>
    <w:rsid w:val="005D1B29"/>
    <w:rsid w:val="005D3C40"/>
    <w:rsid w:val="005F2795"/>
    <w:rsid w:val="00681F2A"/>
    <w:rsid w:val="00695E77"/>
    <w:rsid w:val="006C4AE6"/>
    <w:rsid w:val="0072462C"/>
    <w:rsid w:val="00736995"/>
    <w:rsid w:val="00776506"/>
    <w:rsid w:val="00782A2F"/>
    <w:rsid w:val="007A289A"/>
    <w:rsid w:val="007D4B56"/>
    <w:rsid w:val="00864A97"/>
    <w:rsid w:val="008B3DAC"/>
    <w:rsid w:val="008E1E77"/>
    <w:rsid w:val="008E566C"/>
    <w:rsid w:val="00903757"/>
    <w:rsid w:val="00992AC4"/>
    <w:rsid w:val="009966EC"/>
    <w:rsid w:val="009A6A61"/>
    <w:rsid w:val="009E1D14"/>
    <w:rsid w:val="009F2604"/>
    <w:rsid w:val="00A028CA"/>
    <w:rsid w:val="00A3428D"/>
    <w:rsid w:val="00A46D6D"/>
    <w:rsid w:val="00A52BEC"/>
    <w:rsid w:val="00A77D49"/>
    <w:rsid w:val="00AD36B4"/>
    <w:rsid w:val="00AF28C4"/>
    <w:rsid w:val="00AF52A0"/>
    <w:rsid w:val="00B1769E"/>
    <w:rsid w:val="00B51600"/>
    <w:rsid w:val="00B81F07"/>
    <w:rsid w:val="00BB4564"/>
    <w:rsid w:val="00BB5980"/>
    <w:rsid w:val="00BC3794"/>
    <w:rsid w:val="00BD2AE3"/>
    <w:rsid w:val="00BE7507"/>
    <w:rsid w:val="00C01ECB"/>
    <w:rsid w:val="00C322B2"/>
    <w:rsid w:val="00C515C2"/>
    <w:rsid w:val="00C81BE4"/>
    <w:rsid w:val="00C92474"/>
    <w:rsid w:val="00C9514F"/>
    <w:rsid w:val="00CA02E4"/>
    <w:rsid w:val="00CA6B00"/>
    <w:rsid w:val="00CB3C72"/>
    <w:rsid w:val="00CD4BE9"/>
    <w:rsid w:val="00CD69D7"/>
    <w:rsid w:val="00CF24E8"/>
    <w:rsid w:val="00D028EC"/>
    <w:rsid w:val="00D65C39"/>
    <w:rsid w:val="00D907B5"/>
    <w:rsid w:val="00DC315E"/>
    <w:rsid w:val="00DD353D"/>
    <w:rsid w:val="00DD4CD2"/>
    <w:rsid w:val="00DD78B2"/>
    <w:rsid w:val="00DE4625"/>
    <w:rsid w:val="00E0659E"/>
    <w:rsid w:val="00E47CF4"/>
    <w:rsid w:val="00E70EFD"/>
    <w:rsid w:val="00EB3696"/>
    <w:rsid w:val="00EC6D87"/>
    <w:rsid w:val="00EE4024"/>
    <w:rsid w:val="00EE43CF"/>
    <w:rsid w:val="00F15453"/>
    <w:rsid w:val="00F271E3"/>
    <w:rsid w:val="00F41B1C"/>
    <w:rsid w:val="00F51812"/>
    <w:rsid w:val="00F77563"/>
    <w:rsid w:val="00F82D0D"/>
    <w:rsid w:val="00FC6FAF"/>
    <w:rsid w:val="00FD53BB"/>
    <w:rsid w:val="00FF702B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FBB34E"/>
  <w15:docId w15:val="{62140F89-FD09-4CF3-8021-5BEBB521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1F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1B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Helvetica" w:hAnsi="Helvetica"/>
      <w:sz w:val="1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MerleDavis">
    <w:name w:val="Merle.Davis"/>
    <w:semiHidden/>
    <w:rsid w:val="00587A5D"/>
    <w:rPr>
      <w:rFonts w:ascii="Arial" w:hAnsi="Arial" w:cs="Arial"/>
      <w:color w:val="auto"/>
      <w:sz w:val="20"/>
      <w:szCs w:val="20"/>
    </w:rPr>
  </w:style>
  <w:style w:type="character" w:customStyle="1" w:styleId="StateofMaine">
    <w:name w:val="State of Maine"/>
    <w:semiHidden/>
    <w:rsid w:val="00587A5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HTMLTypewriter">
    <w:name w:val="HTML Typewriter"/>
    <w:rsid w:val="00BB456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115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6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1BE4"/>
    <w:rPr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uiPriority w:val="34"/>
    <w:qFormat/>
    <w:rsid w:val="00C81B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3Paragraph">
    <w:name w:val="Normal 3 Paragraph"/>
    <w:basedOn w:val="Normal"/>
    <w:link w:val="Normal3ParagraphChar"/>
    <w:qFormat/>
    <w:rsid w:val="00C81BE4"/>
    <w:pPr>
      <w:suppressAutoHyphens/>
      <w:spacing w:before="120" w:after="120" w:line="252" w:lineRule="auto"/>
      <w:ind w:left="360"/>
    </w:pPr>
    <w:rPr>
      <w:rFonts w:asciiTheme="majorHAnsi" w:hAnsiTheme="majorHAnsi" w:cstheme="majorBidi"/>
      <w:sz w:val="22"/>
      <w:szCs w:val="22"/>
    </w:rPr>
  </w:style>
  <w:style w:type="character" w:customStyle="1" w:styleId="Normal3ParagraphChar">
    <w:name w:val="Normal 3 Paragraph Char"/>
    <w:basedOn w:val="DefaultParagraphFont"/>
    <w:link w:val="Normal3Paragraph"/>
    <w:rsid w:val="00C81BE4"/>
    <w:rPr>
      <w:rFonts w:asciiTheme="majorHAnsi" w:hAnsiTheme="majorHAnsi" w:cstheme="maj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1BE4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BE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81BE4"/>
    <w:rPr>
      <w:vertAlign w:val="superscript"/>
    </w:rPr>
  </w:style>
  <w:style w:type="paragraph" w:customStyle="1" w:styleId="Default">
    <w:name w:val="Default"/>
    <w:rsid w:val="00491F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91F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491FC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6B08-45D1-4D98-BCAC-B89D0081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MDOL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creator>Payne, Gloria R</dc:creator>
  <cp:lastModifiedBy>Quint, Christopher</cp:lastModifiedBy>
  <cp:revision>2</cp:revision>
  <cp:lastPrinted>2018-10-17T13:23:00Z</cp:lastPrinted>
  <dcterms:created xsi:type="dcterms:W3CDTF">2023-01-19T17:36:00Z</dcterms:created>
  <dcterms:modified xsi:type="dcterms:W3CDTF">2023-01-19T17:36:00Z</dcterms:modified>
</cp:coreProperties>
</file>