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8099" w14:textId="1C33386B" w:rsidR="00BF15AD" w:rsidRPr="004741F2" w:rsidRDefault="00BF15AD" w:rsidP="00F32171">
      <w:pPr>
        <w:pStyle w:val="ListParagraph"/>
        <w:numPr>
          <w:ilvl w:val="0"/>
          <w:numId w:val="6"/>
        </w:numPr>
        <w:ind w:left="360" w:right="360"/>
        <w:rPr>
          <w:b/>
          <w:sz w:val="22"/>
          <w:szCs w:val="22"/>
        </w:rPr>
      </w:pPr>
      <w:r w:rsidRPr="004741F2">
        <w:rPr>
          <w:b/>
          <w:sz w:val="22"/>
          <w:szCs w:val="22"/>
        </w:rPr>
        <w:t>If the requirements of Chapter II, Section 93</w:t>
      </w:r>
      <w:r w:rsidR="002C083F">
        <w:rPr>
          <w:b/>
          <w:sz w:val="22"/>
          <w:szCs w:val="22"/>
        </w:rPr>
        <w:t>,</w:t>
      </w:r>
      <w:r w:rsidRPr="004741F2">
        <w:rPr>
          <w:b/>
          <w:sz w:val="22"/>
          <w:szCs w:val="22"/>
        </w:rPr>
        <w:t xml:space="preserve"> are met, reimbursement shall be as follows:</w:t>
      </w:r>
    </w:p>
    <w:p w14:paraId="7F892CD1" w14:textId="77777777" w:rsidR="00BF15AD" w:rsidRPr="00F32171" w:rsidRDefault="00BF15AD" w:rsidP="00F32171">
      <w:pPr>
        <w:ind w:right="360"/>
        <w:rPr>
          <w:rFonts w:eastAsia="Arial"/>
          <w:sz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215"/>
        <w:gridCol w:w="2700"/>
        <w:gridCol w:w="2250"/>
      </w:tblGrid>
      <w:tr w:rsidR="004E6410" w14:paraId="4845A221" w14:textId="5FF038D3" w:rsidTr="00E26B6C">
        <w:tc>
          <w:tcPr>
            <w:tcW w:w="5215" w:type="dxa"/>
          </w:tcPr>
          <w:p w14:paraId="647966AA" w14:textId="77777777" w:rsidR="004E6410" w:rsidRPr="00CE0656" w:rsidRDefault="004E6410" w:rsidP="00064D8C">
            <w:pPr>
              <w:ind w:right="36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6470BC" w14:textId="6DD9B2B8" w:rsidR="004E6410" w:rsidRDefault="004E6410" w:rsidP="00064D8C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Per Member Per Month (PMPM) rate</w:t>
            </w:r>
          </w:p>
        </w:tc>
        <w:tc>
          <w:tcPr>
            <w:tcW w:w="2250" w:type="dxa"/>
          </w:tcPr>
          <w:p w14:paraId="1DC0E027" w14:textId="01EF5F64" w:rsidR="004E6410" w:rsidRDefault="00F16E91" w:rsidP="00064D8C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PMPM Rate </w:t>
            </w:r>
            <w:r w:rsidR="00E26B6C">
              <w:rPr>
                <w:rFonts w:eastAsia="Arial"/>
                <w:sz w:val="22"/>
                <w:szCs w:val="22"/>
              </w:rPr>
              <w:t xml:space="preserve">with </w:t>
            </w:r>
            <w:r w:rsidR="00E26B6C" w:rsidRPr="00731598">
              <w:rPr>
                <w:rFonts w:eastAsia="Arial"/>
                <w:sz w:val="22"/>
                <w:szCs w:val="22"/>
              </w:rPr>
              <w:t xml:space="preserve">4% </w:t>
            </w:r>
            <w:r w:rsidR="00E26B6C">
              <w:rPr>
                <w:rFonts w:eastAsia="Arial"/>
                <w:sz w:val="22"/>
                <w:szCs w:val="22"/>
              </w:rPr>
              <w:t>Withh</w:t>
            </w:r>
            <w:r w:rsidR="009A0FF0">
              <w:rPr>
                <w:rFonts w:eastAsia="Arial"/>
                <w:sz w:val="22"/>
                <w:szCs w:val="22"/>
              </w:rPr>
              <w:t>e</w:t>
            </w:r>
            <w:r w:rsidR="00E26B6C">
              <w:rPr>
                <w:rFonts w:eastAsia="Arial"/>
                <w:sz w:val="22"/>
                <w:szCs w:val="22"/>
              </w:rPr>
              <w:t>ld</w:t>
            </w:r>
          </w:p>
        </w:tc>
      </w:tr>
      <w:tr w:rsidR="0081710A" w14:paraId="1BB4F48D" w14:textId="7EFB3870" w:rsidTr="0089048D">
        <w:trPr>
          <w:trHeight w:val="360"/>
        </w:trPr>
        <w:tc>
          <w:tcPr>
            <w:tcW w:w="10165" w:type="dxa"/>
            <w:gridSpan w:val="3"/>
          </w:tcPr>
          <w:p w14:paraId="06B10BB0" w14:textId="0AA6F106" w:rsidR="0081710A" w:rsidRPr="005E5152" w:rsidRDefault="0081710A" w:rsidP="00064D8C">
            <w:pPr>
              <w:ind w:right="360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5E5152">
              <w:rPr>
                <w:rFonts w:eastAsia="Arial"/>
                <w:b/>
                <w:sz w:val="22"/>
                <w:szCs w:val="22"/>
                <w:u w:val="single"/>
              </w:rPr>
              <w:t xml:space="preserve">Intensive Outpatient Services (IOP) Level of Care </w:t>
            </w:r>
          </w:p>
        </w:tc>
      </w:tr>
      <w:tr w:rsidR="004E6410" w14:paraId="23C97F64" w14:textId="7FE456AB" w:rsidTr="00E26B6C">
        <w:trPr>
          <w:trHeight w:val="360"/>
        </w:trPr>
        <w:tc>
          <w:tcPr>
            <w:tcW w:w="5215" w:type="dxa"/>
          </w:tcPr>
          <w:p w14:paraId="08167C26" w14:textId="496A48DA" w:rsidR="004E6410" w:rsidRPr="00E0414D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 xml:space="preserve">with no additional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E0414D">
              <w:rPr>
                <w:rFonts w:eastAsia="Arial"/>
                <w:sz w:val="22"/>
                <w:szCs w:val="22"/>
              </w:rPr>
              <w:t>support (T2022)</w:t>
            </w:r>
          </w:p>
        </w:tc>
        <w:tc>
          <w:tcPr>
            <w:tcW w:w="2700" w:type="dxa"/>
          </w:tcPr>
          <w:p w14:paraId="61A576C0" w14:textId="64113F9F" w:rsidR="004E6410" w:rsidRPr="00731598" w:rsidRDefault="004E6410" w:rsidP="00101C7E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731598">
              <w:rPr>
                <w:rFonts w:eastAsia="Arial"/>
                <w:sz w:val="22"/>
                <w:szCs w:val="22"/>
              </w:rPr>
              <w:t>$2,</w:t>
            </w:r>
            <w:r w:rsidR="00CC14A7">
              <w:rPr>
                <w:rFonts w:eastAsia="Arial"/>
                <w:sz w:val="22"/>
                <w:szCs w:val="22"/>
              </w:rPr>
              <w:t>32</w:t>
            </w:r>
            <w:r w:rsidRPr="00D77814">
              <w:rPr>
                <w:rFonts w:eastAsia="Arial"/>
                <w:sz w:val="22"/>
                <w:szCs w:val="22"/>
              </w:rPr>
              <w:t>7.</w:t>
            </w:r>
            <w:r w:rsidR="00CC14A7">
              <w:rPr>
                <w:rFonts w:eastAsia="Arial"/>
                <w:sz w:val="22"/>
                <w:szCs w:val="22"/>
              </w:rPr>
              <w:t>32</w:t>
            </w:r>
          </w:p>
        </w:tc>
        <w:tc>
          <w:tcPr>
            <w:tcW w:w="2250" w:type="dxa"/>
          </w:tcPr>
          <w:p w14:paraId="75DDCF7C" w14:textId="2CC5FAD7" w:rsidR="004E6410" w:rsidRPr="00731598" w:rsidRDefault="000B6671" w:rsidP="00101C7E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731598">
              <w:rPr>
                <w:rFonts w:eastAsia="Arial"/>
                <w:sz w:val="22"/>
                <w:szCs w:val="22"/>
              </w:rPr>
              <w:t>$</w:t>
            </w:r>
            <w:r w:rsidRPr="004F4B70">
              <w:rPr>
                <w:rFonts w:eastAsia="Arial"/>
                <w:sz w:val="22"/>
                <w:szCs w:val="22"/>
              </w:rPr>
              <w:t>2,</w:t>
            </w:r>
            <w:r w:rsidR="00CC14A7">
              <w:rPr>
                <w:rFonts w:eastAsia="Arial"/>
                <w:sz w:val="22"/>
                <w:szCs w:val="22"/>
              </w:rPr>
              <w:t>234</w:t>
            </w:r>
            <w:r w:rsidRPr="004F4B70">
              <w:rPr>
                <w:rFonts w:eastAsia="Arial"/>
                <w:sz w:val="22"/>
                <w:szCs w:val="22"/>
              </w:rPr>
              <w:t>.</w:t>
            </w:r>
            <w:r w:rsidR="00CC14A7">
              <w:rPr>
                <w:rFonts w:eastAsia="Arial"/>
                <w:sz w:val="22"/>
                <w:szCs w:val="22"/>
              </w:rPr>
              <w:t>23</w:t>
            </w:r>
          </w:p>
        </w:tc>
      </w:tr>
      <w:tr w:rsidR="004E6410" w14:paraId="59D72C6A" w14:textId="7CDFACD5" w:rsidTr="00E26B6C">
        <w:trPr>
          <w:trHeight w:val="360"/>
        </w:trPr>
        <w:tc>
          <w:tcPr>
            <w:tcW w:w="5215" w:type="dxa"/>
          </w:tcPr>
          <w:p w14:paraId="0428D86D" w14:textId="0C0043CF" w:rsidR="004E6410" w:rsidRPr="00E0414D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 xml:space="preserve">with additional Section 13, 17, </w:t>
            </w:r>
            <w:r>
              <w:rPr>
                <w:rFonts w:eastAsia="Arial"/>
                <w:sz w:val="22"/>
                <w:szCs w:val="22"/>
              </w:rPr>
              <w:t xml:space="preserve">or </w:t>
            </w:r>
            <w:r w:rsidRPr="00E0414D">
              <w:rPr>
                <w:rFonts w:eastAsia="Arial"/>
                <w:sz w:val="22"/>
                <w:szCs w:val="22"/>
              </w:rPr>
              <w:t xml:space="preserve">92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E0414D">
              <w:rPr>
                <w:rFonts w:eastAsia="Arial"/>
                <w:sz w:val="22"/>
                <w:szCs w:val="22"/>
              </w:rPr>
              <w:t>support ((T1012)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E0414D">
              <w:rPr>
                <w:rFonts w:eastAsia="Arial"/>
                <w:sz w:val="22"/>
                <w:szCs w:val="22"/>
              </w:rPr>
              <w:t xml:space="preserve"> there is a $394.40 pass-through payment to the additional provider</w:t>
            </w:r>
            <w:r w:rsidRPr="00E0414D">
              <w:rPr>
                <w:rStyle w:val="FootnoteReference"/>
                <w:rFonts w:eastAsia="Arial"/>
                <w:sz w:val="22"/>
                <w:szCs w:val="22"/>
              </w:rPr>
              <w:footnoteReference w:id="2"/>
            </w:r>
          </w:p>
        </w:tc>
        <w:tc>
          <w:tcPr>
            <w:tcW w:w="2700" w:type="dxa"/>
          </w:tcPr>
          <w:p w14:paraId="2E0390CF" w14:textId="1A65CFF8" w:rsidR="004E6410" w:rsidRPr="00E0414D" w:rsidRDefault="004E6410" w:rsidP="00101C7E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>$2,</w:t>
            </w:r>
            <w:r w:rsidR="00CB04FF">
              <w:rPr>
                <w:rFonts w:eastAsia="Arial"/>
                <w:sz w:val="22"/>
                <w:szCs w:val="22"/>
              </w:rPr>
              <w:t>474</w:t>
            </w:r>
            <w:r w:rsidRPr="00E0414D">
              <w:rPr>
                <w:rFonts w:eastAsia="Arial"/>
                <w:sz w:val="22"/>
                <w:szCs w:val="22"/>
              </w:rPr>
              <w:t>.</w:t>
            </w:r>
            <w:r w:rsidR="00CB04FF">
              <w:rPr>
                <w:rFonts w:eastAsia="Arial"/>
                <w:sz w:val="22"/>
                <w:szCs w:val="22"/>
              </w:rPr>
              <w:t>33</w:t>
            </w:r>
          </w:p>
        </w:tc>
        <w:tc>
          <w:tcPr>
            <w:tcW w:w="2250" w:type="dxa"/>
          </w:tcPr>
          <w:p w14:paraId="2BF65C7E" w14:textId="4D8A013C" w:rsidR="004E6410" w:rsidRPr="00E0414D" w:rsidRDefault="002C5B92" w:rsidP="00101C7E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$2,</w:t>
            </w:r>
            <w:r w:rsidR="00CB04FF">
              <w:rPr>
                <w:rFonts w:eastAsia="Arial"/>
                <w:sz w:val="22"/>
                <w:szCs w:val="22"/>
              </w:rPr>
              <w:t>381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CB04FF">
              <w:rPr>
                <w:rFonts w:eastAsia="Arial"/>
                <w:sz w:val="22"/>
                <w:szCs w:val="22"/>
              </w:rPr>
              <w:t>2</w:t>
            </w:r>
            <w:r>
              <w:rPr>
                <w:rFonts w:eastAsia="Arial"/>
                <w:sz w:val="22"/>
                <w:szCs w:val="22"/>
              </w:rPr>
              <w:t>4</w:t>
            </w:r>
          </w:p>
        </w:tc>
      </w:tr>
      <w:tr w:rsidR="0081710A" w14:paraId="7458638D" w14:textId="14E0B565" w:rsidTr="006D3CF2">
        <w:trPr>
          <w:trHeight w:val="360"/>
        </w:trPr>
        <w:tc>
          <w:tcPr>
            <w:tcW w:w="10165" w:type="dxa"/>
            <w:gridSpan w:val="3"/>
          </w:tcPr>
          <w:p w14:paraId="0B9B9FF0" w14:textId="518881B2" w:rsidR="0081710A" w:rsidRPr="0063358E" w:rsidRDefault="0081710A" w:rsidP="00064D8C">
            <w:pPr>
              <w:ind w:right="360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63358E">
              <w:rPr>
                <w:rFonts w:eastAsia="Arial"/>
                <w:b/>
                <w:sz w:val="22"/>
                <w:szCs w:val="22"/>
                <w:u w:val="single"/>
              </w:rPr>
              <w:t>Induction</w:t>
            </w:r>
            <w:r>
              <w:rPr>
                <w:rFonts w:eastAsia="Arial"/>
                <w:b/>
                <w:sz w:val="22"/>
                <w:szCs w:val="22"/>
                <w:u w:val="single"/>
              </w:rPr>
              <w:t xml:space="preserve"> and </w:t>
            </w:r>
            <w:r w:rsidRPr="003112EA">
              <w:rPr>
                <w:rFonts w:eastAsia="Arial"/>
                <w:b/>
                <w:sz w:val="22"/>
                <w:szCs w:val="22"/>
                <w:u w:val="single"/>
              </w:rPr>
              <w:t>Stabilization Level</w:t>
            </w:r>
            <w:r>
              <w:rPr>
                <w:rFonts w:eastAsia="Arial"/>
                <w:b/>
                <w:sz w:val="22"/>
                <w:szCs w:val="22"/>
                <w:u w:val="single"/>
              </w:rPr>
              <w:t>s</w:t>
            </w:r>
            <w:r w:rsidRPr="003112EA">
              <w:rPr>
                <w:rFonts w:eastAsia="Arial"/>
                <w:b/>
                <w:sz w:val="22"/>
                <w:szCs w:val="22"/>
                <w:u w:val="single"/>
              </w:rPr>
              <w:t xml:space="preserve"> of Care</w:t>
            </w:r>
            <w:r>
              <w:rPr>
                <w:rFonts w:eastAsia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4E6410" w14:paraId="2CF1937C" w14:textId="3CA26F50" w:rsidTr="00E26B6C">
        <w:trPr>
          <w:trHeight w:val="360"/>
        </w:trPr>
        <w:tc>
          <w:tcPr>
            <w:tcW w:w="5215" w:type="dxa"/>
          </w:tcPr>
          <w:p w14:paraId="7DEFFFB2" w14:textId="19D86FF2" w:rsidR="004E6410" w:rsidRPr="00E0414D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 xml:space="preserve">with no additional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E0414D">
              <w:rPr>
                <w:rFonts w:eastAsia="Arial"/>
                <w:sz w:val="22"/>
                <w:szCs w:val="22"/>
              </w:rPr>
              <w:t>support (T2022))</w:t>
            </w:r>
          </w:p>
        </w:tc>
        <w:tc>
          <w:tcPr>
            <w:tcW w:w="2700" w:type="dxa"/>
          </w:tcPr>
          <w:p w14:paraId="7B314A05" w14:textId="2F23F868" w:rsidR="004E6410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3112EA">
              <w:rPr>
                <w:rFonts w:eastAsia="Arial"/>
                <w:sz w:val="22"/>
                <w:szCs w:val="22"/>
              </w:rPr>
              <w:t>$1,0</w:t>
            </w:r>
            <w:r w:rsidR="00A82F4B">
              <w:rPr>
                <w:rFonts w:eastAsia="Arial"/>
                <w:sz w:val="22"/>
                <w:szCs w:val="22"/>
              </w:rPr>
              <w:t>96</w:t>
            </w:r>
            <w:r w:rsidRPr="003112EA">
              <w:rPr>
                <w:rFonts w:eastAsia="Arial"/>
                <w:sz w:val="22"/>
                <w:szCs w:val="22"/>
              </w:rPr>
              <w:t>.</w:t>
            </w:r>
            <w:r w:rsidR="00A82F4B">
              <w:rPr>
                <w:rFonts w:eastAsia="Arial"/>
                <w:sz w:val="22"/>
                <w:szCs w:val="22"/>
              </w:rPr>
              <w:t>63</w:t>
            </w:r>
          </w:p>
        </w:tc>
        <w:tc>
          <w:tcPr>
            <w:tcW w:w="2250" w:type="dxa"/>
          </w:tcPr>
          <w:p w14:paraId="3E9533B8" w14:textId="5FF4029E" w:rsidR="004E6410" w:rsidRPr="003112EA" w:rsidRDefault="000B6671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$1,0</w:t>
            </w:r>
            <w:r w:rsidR="00A82F4B">
              <w:rPr>
                <w:rFonts w:eastAsia="Arial"/>
                <w:sz w:val="22"/>
                <w:szCs w:val="22"/>
              </w:rPr>
              <w:t>52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A82F4B">
              <w:rPr>
                <w:rFonts w:eastAsia="Arial"/>
                <w:sz w:val="22"/>
                <w:szCs w:val="22"/>
              </w:rPr>
              <w:t>77</w:t>
            </w:r>
          </w:p>
        </w:tc>
      </w:tr>
      <w:tr w:rsidR="004E6410" w14:paraId="3209F041" w14:textId="25458FAD" w:rsidTr="00E26B6C">
        <w:trPr>
          <w:trHeight w:val="360"/>
        </w:trPr>
        <w:tc>
          <w:tcPr>
            <w:tcW w:w="5215" w:type="dxa"/>
          </w:tcPr>
          <w:p w14:paraId="4AB3C4A7" w14:textId="3345206F" w:rsidR="004E6410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w</w:t>
            </w:r>
            <w:r w:rsidRPr="00283B0D">
              <w:rPr>
                <w:rFonts w:eastAsia="Arial"/>
                <w:sz w:val="22"/>
                <w:szCs w:val="22"/>
              </w:rPr>
              <w:t xml:space="preserve">ith additional Section 13, 17, </w:t>
            </w:r>
            <w:r>
              <w:rPr>
                <w:rFonts w:eastAsia="Arial"/>
                <w:sz w:val="22"/>
                <w:szCs w:val="22"/>
              </w:rPr>
              <w:t xml:space="preserve">or </w:t>
            </w:r>
            <w:r w:rsidRPr="00283B0D">
              <w:rPr>
                <w:rFonts w:eastAsia="Arial"/>
                <w:sz w:val="22"/>
                <w:szCs w:val="22"/>
              </w:rPr>
              <w:t xml:space="preserve">92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283B0D">
              <w:rPr>
                <w:rFonts w:eastAsia="Arial"/>
                <w:sz w:val="22"/>
                <w:szCs w:val="22"/>
              </w:rPr>
              <w:t>support (T</w:t>
            </w:r>
            <w:r>
              <w:rPr>
                <w:rFonts w:eastAsia="Arial"/>
                <w:sz w:val="22"/>
                <w:szCs w:val="22"/>
              </w:rPr>
              <w:t xml:space="preserve">1012), </w:t>
            </w:r>
            <w:r w:rsidRPr="00283B0D">
              <w:rPr>
                <w:rFonts w:eastAsia="Arial"/>
                <w:sz w:val="22"/>
                <w:szCs w:val="22"/>
              </w:rPr>
              <w:t xml:space="preserve">there is a </w:t>
            </w:r>
            <w:r>
              <w:rPr>
                <w:rFonts w:eastAsia="Arial"/>
                <w:sz w:val="22"/>
                <w:szCs w:val="22"/>
              </w:rPr>
              <w:t>$</w:t>
            </w:r>
            <w:r w:rsidRPr="00283B0D">
              <w:rPr>
                <w:rFonts w:eastAsia="Arial"/>
                <w:sz w:val="22"/>
                <w:szCs w:val="22"/>
              </w:rPr>
              <w:t>394.40 pass-through payment</w:t>
            </w:r>
            <w:r>
              <w:rPr>
                <w:rFonts w:eastAsia="Arial"/>
                <w:sz w:val="22"/>
                <w:szCs w:val="22"/>
              </w:rPr>
              <w:t xml:space="preserve"> to the additional provider</w:t>
            </w:r>
            <w:r>
              <w:rPr>
                <w:rStyle w:val="FootnoteReference"/>
                <w:rFonts w:eastAsia="Arial"/>
                <w:sz w:val="22"/>
                <w:szCs w:val="22"/>
              </w:rPr>
              <w:footnoteReference w:id="3"/>
            </w:r>
          </w:p>
        </w:tc>
        <w:tc>
          <w:tcPr>
            <w:tcW w:w="2700" w:type="dxa"/>
          </w:tcPr>
          <w:p w14:paraId="6D8C14E1" w14:textId="7776EB7E" w:rsidR="004E6410" w:rsidRPr="00283B0D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283B0D">
              <w:rPr>
                <w:rFonts w:eastAsia="Arial"/>
                <w:sz w:val="22"/>
                <w:szCs w:val="22"/>
              </w:rPr>
              <w:t>$1</w:t>
            </w:r>
            <w:r w:rsidR="00A82F4B">
              <w:rPr>
                <w:rFonts w:eastAsia="Arial"/>
                <w:sz w:val="22"/>
                <w:szCs w:val="22"/>
              </w:rPr>
              <w:t>,243</w:t>
            </w:r>
            <w:r w:rsidRPr="00283B0D">
              <w:rPr>
                <w:rFonts w:eastAsia="Arial"/>
                <w:sz w:val="22"/>
                <w:szCs w:val="22"/>
              </w:rPr>
              <w:t>.</w:t>
            </w:r>
            <w:r w:rsidR="00A82F4B">
              <w:rPr>
                <w:rFonts w:eastAsia="Arial"/>
                <w:sz w:val="22"/>
                <w:szCs w:val="22"/>
              </w:rPr>
              <w:t>64</w:t>
            </w:r>
          </w:p>
        </w:tc>
        <w:tc>
          <w:tcPr>
            <w:tcW w:w="2250" w:type="dxa"/>
          </w:tcPr>
          <w:p w14:paraId="78A5AA9F" w14:textId="02DE3BC4" w:rsidR="004E6410" w:rsidRPr="00283B0D" w:rsidRDefault="002C5B92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$1,1</w:t>
            </w:r>
            <w:r w:rsidR="00A82F4B">
              <w:rPr>
                <w:rFonts w:eastAsia="Arial"/>
                <w:sz w:val="22"/>
                <w:szCs w:val="22"/>
              </w:rPr>
              <w:t>99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A82F4B">
              <w:rPr>
                <w:rFonts w:eastAsia="Arial"/>
                <w:sz w:val="22"/>
                <w:szCs w:val="22"/>
              </w:rPr>
              <w:t>78</w:t>
            </w:r>
          </w:p>
        </w:tc>
      </w:tr>
      <w:tr w:rsidR="0081710A" w14:paraId="7995A305" w14:textId="5FA34327" w:rsidTr="003F1A3E">
        <w:trPr>
          <w:trHeight w:val="360"/>
        </w:trPr>
        <w:tc>
          <w:tcPr>
            <w:tcW w:w="10165" w:type="dxa"/>
            <w:gridSpan w:val="3"/>
          </w:tcPr>
          <w:p w14:paraId="1554081C" w14:textId="1AA30982" w:rsidR="0081710A" w:rsidRPr="003112EA" w:rsidRDefault="0081710A" w:rsidP="00064D8C">
            <w:pPr>
              <w:ind w:right="360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3112EA">
              <w:rPr>
                <w:rFonts w:eastAsia="Arial"/>
                <w:b/>
                <w:sz w:val="22"/>
                <w:szCs w:val="22"/>
                <w:u w:val="single"/>
              </w:rPr>
              <w:t>Maintenance Level of Care</w:t>
            </w:r>
          </w:p>
        </w:tc>
      </w:tr>
      <w:tr w:rsidR="004E6410" w14:paraId="5CC02107" w14:textId="44ED3635" w:rsidTr="00E26B6C">
        <w:trPr>
          <w:trHeight w:val="360"/>
        </w:trPr>
        <w:tc>
          <w:tcPr>
            <w:tcW w:w="5215" w:type="dxa"/>
          </w:tcPr>
          <w:p w14:paraId="7C9BF990" w14:textId="511E75C4" w:rsidR="004E6410" w:rsidRPr="00E0414D" w:rsidRDefault="004E6410" w:rsidP="00064D8C">
            <w:pPr>
              <w:ind w:left="720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>with no additional</w:t>
            </w:r>
            <w:r>
              <w:rPr>
                <w:rFonts w:eastAsia="Arial"/>
                <w:sz w:val="22"/>
                <w:szCs w:val="22"/>
              </w:rPr>
              <w:t xml:space="preserve"> provider</w:t>
            </w:r>
            <w:r w:rsidRPr="00E0414D">
              <w:rPr>
                <w:rFonts w:eastAsia="Arial"/>
                <w:sz w:val="22"/>
                <w:szCs w:val="22"/>
              </w:rPr>
              <w:t xml:space="preserve"> support (T2022)</w:t>
            </w:r>
          </w:p>
        </w:tc>
        <w:tc>
          <w:tcPr>
            <w:tcW w:w="2700" w:type="dxa"/>
          </w:tcPr>
          <w:p w14:paraId="06C2082B" w14:textId="36E18FB0" w:rsidR="004E6410" w:rsidRPr="00283B0D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3112EA">
              <w:rPr>
                <w:rFonts w:eastAsia="Arial"/>
                <w:sz w:val="22"/>
                <w:szCs w:val="22"/>
              </w:rPr>
              <w:t>$6</w:t>
            </w:r>
            <w:r w:rsidR="00EC0EA8">
              <w:rPr>
                <w:rFonts w:eastAsia="Arial"/>
                <w:sz w:val="22"/>
                <w:szCs w:val="22"/>
              </w:rPr>
              <w:t>95</w:t>
            </w:r>
            <w:r w:rsidRPr="003112EA">
              <w:rPr>
                <w:rFonts w:eastAsia="Arial"/>
                <w:sz w:val="22"/>
                <w:szCs w:val="22"/>
              </w:rPr>
              <w:t>.</w:t>
            </w:r>
            <w:r w:rsidR="00EC0EA8">
              <w:rPr>
                <w:rFonts w:eastAsia="Arial"/>
                <w:sz w:val="22"/>
                <w:szCs w:val="22"/>
              </w:rPr>
              <w:t>41</w:t>
            </w:r>
          </w:p>
        </w:tc>
        <w:tc>
          <w:tcPr>
            <w:tcW w:w="2250" w:type="dxa"/>
          </w:tcPr>
          <w:p w14:paraId="5B455EE7" w14:textId="1D8F5EA0" w:rsidR="004E6410" w:rsidRPr="003112EA" w:rsidRDefault="001E54E3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$6</w:t>
            </w:r>
            <w:r w:rsidR="00EC0EA8">
              <w:rPr>
                <w:rFonts w:eastAsia="Arial"/>
                <w:sz w:val="22"/>
                <w:szCs w:val="22"/>
              </w:rPr>
              <w:t>67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EC0EA8">
              <w:rPr>
                <w:rFonts w:eastAsia="Arial"/>
                <w:sz w:val="22"/>
                <w:szCs w:val="22"/>
              </w:rPr>
              <w:t>60</w:t>
            </w:r>
          </w:p>
        </w:tc>
      </w:tr>
      <w:tr w:rsidR="004E6410" w14:paraId="150F5B07" w14:textId="56E06D7E" w:rsidTr="00E26B6C">
        <w:trPr>
          <w:trHeight w:val="360"/>
        </w:trPr>
        <w:tc>
          <w:tcPr>
            <w:tcW w:w="5215" w:type="dxa"/>
          </w:tcPr>
          <w:p w14:paraId="51BFE75A" w14:textId="03669D22" w:rsidR="004E6410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w</w:t>
            </w:r>
            <w:r w:rsidRPr="00F45E65">
              <w:rPr>
                <w:rFonts w:eastAsia="Arial"/>
                <w:sz w:val="22"/>
                <w:szCs w:val="22"/>
              </w:rPr>
              <w:t xml:space="preserve">ith additional Section 13, 17, </w:t>
            </w:r>
            <w:r>
              <w:rPr>
                <w:rFonts w:eastAsia="Arial"/>
                <w:sz w:val="22"/>
                <w:szCs w:val="22"/>
              </w:rPr>
              <w:t xml:space="preserve">or </w:t>
            </w:r>
            <w:r w:rsidRPr="00F45E65">
              <w:rPr>
                <w:rFonts w:eastAsia="Arial"/>
                <w:sz w:val="22"/>
                <w:szCs w:val="22"/>
              </w:rPr>
              <w:t xml:space="preserve">92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F45E65">
              <w:rPr>
                <w:rFonts w:eastAsia="Arial"/>
                <w:sz w:val="22"/>
                <w:szCs w:val="22"/>
              </w:rPr>
              <w:t>support (</w:t>
            </w:r>
            <w:r>
              <w:rPr>
                <w:rFonts w:eastAsia="Arial"/>
                <w:sz w:val="22"/>
                <w:szCs w:val="22"/>
              </w:rPr>
              <w:t>T1012),</w:t>
            </w:r>
            <w:r w:rsidRPr="00F45E65">
              <w:rPr>
                <w:rFonts w:eastAsia="Arial"/>
                <w:sz w:val="22"/>
                <w:szCs w:val="22"/>
              </w:rPr>
              <w:t xml:space="preserve"> there is a</w:t>
            </w:r>
            <w:r>
              <w:rPr>
                <w:rFonts w:eastAsia="Arial"/>
                <w:sz w:val="22"/>
                <w:szCs w:val="22"/>
              </w:rPr>
              <w:t xml:space="preserve"> $</w:t>
            </w:r>
            <w:r w:rsidRPr="00F45E65">
              <w:rPr>
                <w:rFonts w:eastAsia="Arial"/>
                <w:sz w:val="22"/>
                <w:szCs w:val="22"/>
              </w:rPr>
              <w:t>394.40 pass-through payment</w:t>
            </w:r>
            <w:r>
              <w:rPr>
                <w:rFonts w:eastAsia="Arial"/>
                <w:sz w:val="22"/>
                <w:szCs w:val="22"/>
              </w:rPr>
              <w:t xml:space="preserve"> to the additional provider</w:t>
            </w:r>
            <w:r>
              <w:rPr>
                <w:rStyle w:val="FootnoteReference"/>
                <w:rFonts w:eastAsia="Arial"/>
                <w:sz w:val="22"/>
                <w:szCs w:val="22"/>
              </w:rPr>
              <w:footnoteReference w:id="4"/>
            </w:r>
          </w:p>
        </w:tc>
        <w:tc>
          <w:tcPr>
            <w:tcW w:w="2700" w:type="dxa"/>
          </w:tcPr>
          <w:p w14:paraId="4A1B516B" w14:textId="1A148916" w:rsidR="004E6410" w:rsidRPr="00283B0D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F45E65">
              <w:rPr>
                <w:rFonts w:eastAsia="Arial"/>
                <w:sz w:val="22"/>
                <w:szCs w:val="22"/>
              </w:rPr>
              <w:t>$8</w:t>
            </w:r>
            <w:r w:rsidR="00EC0EA8">
              <w:rPr>
                <w:rFonts w:eastAsia="Arial"/>
                <w:sz w:val="22"/>
                <w:szCs w:val="22"/>
              </w:rPr>
              <w:t>4</w:t>
            </w:r>
            <w:r w:rsidRPr="00F45E65">
              <w:rPr>
                <w:rFonts w:eastAsia="Arial"/>
                <w:sz w:val="22"/>
                <w:szCs w:val="22"/>
              </w:rPr>
              <w:t>2.</w:t>
            </w:r>
            <w:r w:rsidR="00EC0EA8">
              <w:rPr>
                <w:rFonts w:eastAsia="Arial"/>
                <w:sz w:val="22"/>
                <w:szCs w:val="22"/>
              </w:rPr>
              <w:t>42</w:t>
            </w:r>
          </w:p>
        </w:tc>
        <w:tc>
          <w:tcPr>
            <w:tcW w:w="2250" w:type="dxa"/>
          </w:tcPr>
          <w:p w14:paraId="7AD5591B" w14:textId="4C3C97B4" w:rsidR="004E6410" w:rsidRPr="00F45E65" w:rsidRDefault="002C5B92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</w:t>
            </w:r>
            <w:r w:rsidR="00EC0EA8">
              <w:rPr>
                <w:rFonts w:eastAsia="Arial"/>
                <w:sz w:val="22"/>
                <w:szCs w:val="22"/>
              </w:rPr>
              <w:t>814</w:t>
            </w:r>
            <w:r w:rsidR="00101C7E">
              <w:rPr>
                <w:rFonts w:eastAsia="Arial"/>
                <w:sz w:val="22"/>
                <w:szCs w:val="22"/>
              </w:rPr>
              <w:t>.</w:t>
            </w:r>
            <w:r w:rsidR="00EC0EA8">
              <w:rPr>
                <w:rFonts w:eastAsia="Arial"/>
                <w:sz w:val="22"/>
                <w:szCs w:val="22"/>
              </w:rPr>
              <w:t>61</w:t>
            </w:r>
          </w:p>
        </w:tc>
      </w:tr>
      <w:tr w:rsidR="0081710A" w14:paraId="3F05F643" w14:textId="45C21693" w:rsidTr="00F82EBE">
        <w:trPr>
          <w:trHeight w:val="360"/>
        </w:trPr>
        <w:tc>
          <w:tcPr>
            <w:tcW w:w="10165" w:type="dxa"/>
            <w:gridSpan w:val="3"/>
          </w:tcPr>
          <w:p w14:paraId="41E8DBCB" w14:textId="2B15C304" w:rsidR="0081710A" w:rsidRPr="00CA3C3F" w:rsidRDefault="0081710A" w:rsidP="00064D8C">
            <w:pPr>
              <w:ind w:right="360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CA3C3F">
              <w:rPr>
                <w:rFonts w:eastAsia="Arial"/>
                <w:b/>
                <w:sz w:val="22"/>
                <w:szCs w:val="22"/>
                <w:u w:val="single"/>
              </w:rPr>
              <w:t>Medication Plus Level of Care</w:t>
            </w:r>
          </w:p>
        </w:tc>
      </w:tr>
      <w:tr w:rsidR="004E6410" w14:paraId="3317DF5F" w14:textId="5E859E7B" w:rsidTr="00E26B6C">
        <w:trPr>
          <w:trHeight w:val="360"/>
        </w:trPr>
        <w:tc>
          <w:tcPr>
            <w:tcW w:w="5215" w:type="dxa"/>
          </w:tcPr>
          <w:p w14:paraId="62C548C5" w14:textId="7CA3AD1C" w:rsidR="004E6410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 w:rsidRPr="00F45E65">
              <w:rPr>
                <w:rFonts w:eastAsia="Arial"/>
                <w:sz w:val="22"/>
                <w:szCs w:val="22"/>
              </w:rPr>
              <w:t xml:space="preserve">with no additional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F45E65">
              <w:rPr>
                <w:rFonts w:eastAsia="Arial"/>
                <w:sz w:val="22"/>
                <w:szCs w:val="22"/>
              </w:rPr>
              <w:t>support</w:t>
            </w:r>
            <w:r>
              <w:rPr>
                <w:rFonts w:eastAsia="Arial"/>
                <w:sz w:val="22"/>
                <w:szCs w:val="22"/>
              </w:rPr>
              <w:t xml:space="preserve"> (T1041) </w:t>
            </w:r>
          </w:p>
        </w:tc>
        <w:tc>
          <w:tcPr>
            <w:tcW w:w="2700" w:type="dxa"/>
          </w:tcPr>
          <w:p w14:paraId="4585A501" w14:textId="2D4CE0AE" w:rsidR="004E6410" w:rsidRPr="00F45E65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F45E65">
              <w:rPr>
                <w:rFonts w:eastAsia="Arial"/>
                <w:sz w:val="22"/>
                <w:szCs w:val="22"/>
              </w:rPr>
              <w:t>$</w:t>
            </w:r>
            <w:r>
              <w:rPr>
                <w:rFonts w:eastAsia="Arial"/>
                <w:sz w:val="22"/>
                <w:szCs w:val="22"/>
              </w:rPr>
              <w:t>6</w:t>
            </w:r>
            <w:r w:rsidR="00EC0EA8">
              <w:rPr>
                <w:rFonts w:eastAsia="Arial"/>
                <w:sz w:val="22"/>
                <w:szCs w:val="22"/>
              </w:rPr>
              <w:t>70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EC0EA8">
              <w:rPr>
                <w:rFonts w:eastAsia="Arial"/>
                <w:sz w:val="22"/>
                <w:szCs w:val="22"/>
              </w:rPr>
              <w:t>36</w:t>
            </w:r>
          </w:p>
        </w:tc>
        <w:tc>
          <w:tcPr>
            <w:tcW w:w="2250" w:type="dxa"/>
          </w:tcPr>
          <w:p w14:paraId="471DCF7E" w14:textId="167B1B1C" w:rsidR="004E6410" w:rsidRPr="00F45E65" w:rsidRDefault="00E54FAF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$6</w:t>
            </w:r>
            <w:r w:rsidR="00E213EB">
              <w:rPr>
                <w:rFonts w:eastAsia="Arial"/>
                <w:sz w:val="22"/>
                <w:szCs w:val="22"/>
              </w:rPr>
              <w:t>4</w:t>
            </w:r>
            <w:r>
              <w:rPr>
                <w:rFonts w:eastAsia="Arial"/>
                <w:sz w:val="22"/>
                <w:szCs w:val="22"/>
              </w:rPr>
              <w:t>3.</w:t>
            </w:r>
            <w:r w:rsidR="00E213EB">
              <w:rPr>
                <w:rFonts w:eastAsia="Arial"/>
                <w:sz w:val="22"/>
                <w:szCs w:val="22"/>
              </w:rPr>
              <w:t>78</w:t>
            </w:r>
          </w:p>
        </w:tc>
      </w:tr>
      <w:tr w:rsidR="004E6410" w14:paraId="36FF015C" w14:textId="35B62D6F" w:rsidTr="00E26B6C">
        <w:trPr>
          <w:trHeight w:val="360"/>
        </w:trPr>
        <w:tc>
          <w:tcPr>
            <w:tcW w:w="5215" w:type="dxa"/>
          </w:tcPr>
          <w:p w14:paraId="35E10858" w14:textId="12A6CC37" w:rsidR="004E6410" w:rsidRPr="00EF594D" w:rsidRDefault="004E6410" w:rsidP="00064D8C">
            <w:pPr>
              <w:ind w:left="720" w:right="360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 xml:space="preserve">with additional Section 13, 17, </w:t>
            </w:r>
            <w:r>
              <w:rPr>
                <w:rFonts w:eastAsia="Arial"/>
                <w:sz w:val="22"/>
                <w:szCs w:val="22"/>
              </w:rPr>
              <w:t xml:space="preserve">or </w:t>
            </w:r>
            <w:r w:rsidRPr="00E0414D">
              <w:rPr>
                <w:rFonts w:eastAsia="Arial"/>
                <w:sz w:val="22"/>
                <w:szCs w:val="22"/>
              </w:rPr>
              <w:t xml:space="preserve">92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E0414D">
              <w:rPr>
                <w:rFonts w:eastAsia="Arial"/>
                <w:sz w:val="22"/>
                <w:szCs w:val="22"/>
              </w:rPr>
              <w:t>support (T1041 HH)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E0414D">
              <w:rPr>
                <w:rFonts w:eastAsia="Arial"/>
                <w:sz w:val="22"/>
                <w:szCs w:val="22"/>
              </w:rPr>
              <w:t xml:space="preserve"> there is a $394.40 pass-through payment to the additional provider</w:t>
            </w:r>
            <w:r>
              <w:rPr>
                <w:rStyle w:val="FootnoteReference"/>
                <w:rFonts w:eastAsia="Arial"/>
                <w:sz w:val="22"/>
                <w:szCs w:val="22"/>
              </w:rPr>
              <w:footnoteReference w:id="5"/>
            </w:r>
          </w:p>
        </w:tc>
        <w:tc>
          <w:tcPr>
            <w:tcW w:w="2700" w:type="dxa"/>
          </w:tcPr>
          <w:p w14:paraId="1509E0BA" w14:textId="4C4E2039" w:rsidR="004E6410" w:rsidRPr="00F45E65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</w:t>
            </w:r>
            <w:r w:rsidR="00E213EB">
              <w:rPr>
                <w:rFonts w:eastAsia="Arial"/>
                <w:sz w:val="22"/>
                <w:szCs w:val="22"/>
              </w:rPr>
              <w:t>817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E213EB">
              <w:rPr>
                <w:rFonts w:eastAsia="Arial"/>
                <w:sz w:val="22"/>
                <w:szCs w:val="22"/>
              </w:rPr>
              <w:t>61</w:t>
            </w:r>
          </w:p>
        </w:tc>
        <w:tc>
          <w:tcPr>
            <w:tcW w:w="2250" w:type="dxa"/>
          </w:tcPr>
          <w:p w14:paraId="28F9DE75" w14:textId="709E2584" w:rsidR="004E6410" w:rsidRDefault="00101C7E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$7</w:t>
            </w:r>
            <w:r w:rsidR="0061651F">
              <w:rPr>
                <w:rFonts w:eastAsia="Arial"/>
                <w:sz w:val="22"/>
                <w:szCs w:val="22"/>
              </w:rPr>
              <w:t>90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61651F">
              <w:rPr>
                <w:rFonts w:eastAsia="Arial"/>
                <w:sz w:val="22"/>
                <w:szCs w:val="22"/>
              </w:rPr>
              <w:t>79</w:t>
            </w:r>
          </w:p>
        </w:tc>
      </w:tr>
      <w:tr w:rsidR="002C083F" w14:paraId="15EE3E6A" w14:textId="142C0E91" w:rsidTr="00C8693E">
        <w:trPr>
          <w:trHeight w:val="360"/>
        </w:trPr>
        <w:tc>
          <w:tcPr>
            <w:tcW w:w="10165" w:type="dxa"/>
            <w:gridSpan w:val="3"/>
          </w:tcPr>
          <w:p w14:paraId="79378DBD" w14:textId="0B85611E" w:rsidR="002C083F" w:rsidRPr="00601C28" w:rsidRDefault="002C083F" w:rsidP="00064D8C">
            <w:pPr>
              <w:ind w:right="360"/>
              <w:rPr>
                <w:rFonts w:eastAsia="Arial"/>
                <w:b/>
                <w:sz w:val="22"/>
                <w:szCs w:val="22"/>
                <w:u w:val="single"/>
              </w:rPr>
            </w:pPr>
            <w:r w:rsidRPr="00601C28">
              <w:rPr>
                <w:rFonts w:eastAsia="Arial"/>
                <w:b/>
                <w:sz w:val="22"/>
                <w:szCs w:val="22"/>
                <w:u w:val="single"/>
              </w:rPr>
              <w:t xml:space="preserve">Methadone Health Home Level of Care </w:t>
            </w:r>
          </w:p>
        </w:tc>
      </w:tr>
      <w:tr w:rsidR="004E6410" w14:paraId="4453B265" w14:textId="79D4220E" w:rsidTr="00E26B6C">
        <w:trPr>
          <w:trHeight w:val="360"/>
        </w:trPr>
        <w:tc>
          <w:tcPr>
            <w:tcW w:w="5215" w:type="dxa"/>
          </w:tcPr>
          <w:p w14:paraId="6FDD318F" w14:textId="64B8BE83" w:rsidR="004E6410" w:rsidRPr="00E0414D" w:rsidRDefault="004E6410" w:rsidP="00521F42">
            <w:pPr>
              <w:ind w:left="720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 xml:space="preserve">with no additional </w:t>
            </w:r>
            <w:r>
              <w:rPr>
                <w:rFonts w:eastAsia="Arial"/>
                <w:sz w:val="22"/>
                <w:szCs w:val="22"/>
              </w:rPr>
              <w:t xml:space="preserve">provider </w:t>
            </w:r>
            <w:r w:rsidRPr="00E0414D">
              <w:rPr>
                <w:rFonts w:eastAsia="Arial"/>
                <w:sz w:val="22"/>
                <w:szCs w:val="22"/>
              </w:rPr>
              <w:t>support (T2022 HF)</w:t>
            </w:r>
          </w:p>
        </w:tc>
        <w:tc>
          <w:tcPr>
            <w:tcW w:w="2700" w:type="dxa"/>
          </w:tcPr>
          <w:p w14:paraId="13C33EFA" w14:textId="122A775A" w:rsidR="004E6410" w:rsidRPr="00E0414D" w:rsidRDefault="004E6410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 w:rsidRPr="00E0414D">
              <w:rPr>
                <w:rFonts w:eastAsia="Arial"/>
                <w:sz w:val="22"/>
                <w:szCs w:val="22"/>
              </w:rPr>
              <w:t>$</w:t>
            </w:r>
            <w:r w:rsidR="0061651F">
              <w:rPr>
                <w:rFonts w:eastAsia="Arial"/>
                <w:sz w:val="22"/>
                <w:szCs w:val="22"/>
              </w:rPr>
              <w:t>413</w:t>
            </w:r>
            <w:r w:rsidRPr="00E0414D">
              <w:rPr>
                <w:rFonts w:eastAsia="Arial"/>
                <w:sz w:val="22"/>
                <w:szCs w:val="22"/>
              </w:rPr>
              <w:t>.</w:t>
            </w:r>
            <w:r w:rsidR="0061651F">
              <w:rPr>
                <w:rFonts w:eastAsia="Arial"/>
                <w:sz w:val="22"/>
                <w:szCs w:val="22"/>
              </w:rPr>
              <w:t>88</w:t>
            </w:r>
          </w:p>
        </w:tc>
        <w:tc>
          <w:tcPr>
            <w:tcW w:w="2250" w:type="dxa"/>
          </w:tcPr>
          <w:p w14:paraId="5A2B66B3" w14:textId="2BAF1BB4" w:rsidR="004E6410" w:rsidRPr="00E0414D" w:rsidRDefault="00C65B9B" w:rsidP="00E52040">
            <w:pPr>
              <w:ind w:right="36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$3</w:t>
            </w:r>
            <w:r w:rsidR="0061651F">
              <w:rPr>
                <w:rFonts w:eastAsia="Arial"/>
                <w:sz w:val="22"/>
                <w:szCs w:val="22"/>
              </w:rPr>
              <w:t>97</w:t>
            </w:r>
            <w:r>
              <w:rPr>
                <w:rFonts w:eastAsia="Arial"/>
                <w:sz w:val="22"/>
                <w:szCs w:val="22"/>
              </w:rPr>
              <w:t>.</w:t>
            </w:r>
            <w:r w:rsidR="0061651F">
              <w:rPr>
                <w:rFonts w:eastAsia="Arial"/>
                <w:sz w:val="22"/>
                <w:szCs w:val="22"/>
              </w:rPr>
              <w:t>3</w:t>
            </w:r>
            <w:r>
              <w:rPr>
                <w:rFonts w:eastAsia="Arial"/>
                <w:sz w:val="22"/>
                <w:szCs w:val="22"/>
              </w:rPr>
              <w:t>2</w:t>
            </w:r>
          </w:p>
        </w:tc>
      </w:tr>
    </w:tbl>
    <w:p w14:paraId="2FE5E00B" w14:textId="1FE561BF" w:rsidR="00826B8C" w:rsidRDefault="00826B8C">
      <w:pPr>
        <w:spacing w:after="200" w:line="276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br w:type="page"/>
      </w:r>
    </w:p>
    <w:p w14:paraId="5919A97C" w14:textId="312362C6" w:rsidR="000960DA" w:rsidRDefault="000960DA" w:rsidP="00E91A83">
      <w:pPr>
        <w:pStyle w:val="ListParagraph"/>
        <w:numPr>
          <w:ilvl w:val="0"/>
          <w:numId w:val="6"/>
        </w:numPr>
        <w:ind w:left="360"/>
        <w:rPr>
          <w:sz w:val="22"/>
          <w:szCs w:val="22"/>
        </w:rPr>
      </w:pPr>
      <w:r w:rsidRPr="003313FE">
        <w:rPr>
          <w:b/>
          <w:sz w:val="22"/>
          <w:szCs w:val="22"/>
        </w:rPr>
        <w:lastRenderedPageBreak/>
        <w:t>Pay-for-Performance Provisions:</w:t>
      </w:r>
      <w:r w:rsidRPr="003313FE">
        <w:rPr>
          <w:sz w:val="22"/>
          <w:szCs w:val="22"/>
        </w:rPr>
        <w:t xml:space="preserve"> </w:t>
      </w:r>
    </w:p>
    <w:p w14:paraId="35911056" w14:textId="77777777" w:rsidR="009A6495" w:rsidRDefault="009A6495" w:rsidP="009A6495">
      <w:pPr>
        <w:pStyle w:val="ListParagraph"/>
        <w:rPr>
          <w:sz w:val="22"/>
          <w:szCs w:val="22"/>
        </w:rPr>
      </w:pPr>
    </w:p>
    <w:p w14:paraId="24033FCB" w14:textId="4A006FFF" w:rsidR="003527FD" w:rsidRDefault="000960DA" w:rsidP="00E91A83">
      <w:pPr>
        <w:ind w:left="360"/>
        <w:rPr>
          <w:sz w:val="22"/>
          <w:szCs w:val="22"/>
        </w:rPr>
      </w:pPr>
      <w:r w:rsidRPr="003313FE">
        <w:rPr>
          <w:sz w:val="22"/>
          <w:szCs w:val="22"/>
        </w:rPr>
        <w:t xml:space="preserve">Four </w:t>
      </w:r>
      <w:r w:rsidRPr="00AF46E0">
        <w:rPr>
          <w:sz w:val="22"/>
          <w:szCs w:val="22"/>
        </w:rPr>
        <w:t xml:space="preserve">(4) percent of total OHH PMPM payments is </w:t>
      </w:r>
      <w:r w:rsidRPr="00F03011">
        <w:rPr>
          <w:sz w:val="22"/>
          <w:szCs w:val="22"/>
        </w:rPr>
        <w:t>withheld from regular payments and</w:t>
      </w:r>
      <w:r w:rsidRPr="003313FE">
        <w:rPr>
          <w:sz w:val="22"/>
          <w:szCs w:val="22"/>
        </w:rPr>
        <w:t xml:space="preserve"> </w:t>
      </w:r>
      <w:r w:rsidR="00055263">
        <w:rPr>
          <w:sz w:val="22"/>
          <w:szCs w:val="22"/>
        </w:rPr>
        <w:t>reimbursed</w:t>
      </w:r>
      <w:r w:rsidRPr="003313FE">
        <w:rPr>
          <w:sz w:val="22"/>
          <w:szCs w:val="22"/>
        </w:rPr>
        <w:t xml:space="preserve"> </w:t>
      </w:r>
      <w:r w:rsidR="00B56D0C">
        <w:rPr>
          <w:sz w:val="22"/>
          <w:szCs w:val="22"/>
        </w:rPr>
        <w:t>every six (6) months</w:t>
      </w:r>
      <w:r w:rsidR="00530893">
        <w:rPr>
          <w:sz w:val="22"/>
          <w:szCs w:val="22"/>
        </w:rPr>
        <w:t>,</w:t>
      </w:r>
      <w:r w:rsidR="00B56D0C">
        <w:rPr>
          <w:sz w:val="22"/>
          <w:szCs w:val="22"/>
        </w:rPr>
        <w:t xml:space="preserve"> </w:t>
      </w:r>
      <w:r w:rsidRPr="003313FE">
        <w:rPr>
          <w:sz w:val="22"/>
          <w:szCs w:val="22"/>
        </w:rPr>
        <w:t xml:space="preserve">based on </w:t>
      </w:r>
      <w:r w:rsidR="0045693B">
        <w:rPr>
          <w:sz w:val="22"/>
          <w:szCs w:val="22"/>
        </w:rPr>
        <w:t xml:space="preserve">a </w:t>
      </w:r>
      <w:r w:rsidR="00DD279F" w:rsidRPr="003313FE">
        <w:rPr>
          <w:sz w:val="22"/>
          <w:szCs w:val="22"/>
        </w:rPr>
        <w:t>twelve</w:t>
      </w:r>
      <w:r w:rsidR="0045693B">
        <w:rPr>
          <w:sz w:val="22"/>
          <w:szCs w:val="22"/>
        </w:rPr>
        <w:t>-</w:t>
      </w:r>
      <w:r w:rsidR="00DD279F" w:rsidRPr="003313FE">
        <w:rPr>
          <w:sz w:val="22"/>
          <w:szCs w:val="22"/>
        </w:rPr>
        <w:t xml:space="preserve"> (12) month </w:t>
      </w:r>
      <w:r w:rsidR="00C152A8">
        <w:rPr>
          <w:sz w:val="22"/>
          <w:szCs w:val="22"/>
        </w:rPr>
        <w:t>assessment period</w:t>
      </w:r>
      <w:r w:rsidR="00DD279F" w:rsidRPr="003313FE">
        <w:rPr>
          <w:sz w:val="22"/>
          <w:szCs w:val="22"/>
        </w:rPr>
        <w:t xml:space="preserve"> of </w:t>
      </w:r>
      <w:r w:rsidR="0048541F">
        <w:rPr>
          <w:sz w:val="22"/>
          <w:szCs w:val="22"/>
        </w:rPr>
        <w:t xml:space="preserve">performance on </w:t>
      </w:r>
      <w:r>
        <w:rPr>
          <w:sz w:val="22"/>
          <w:szCs w:val="22"/>
        </w:rPr>
        <w:t>the below</w:t>
      </w:r>
      <w:r w:rsidR="003527FD">
        <w:rPr>
          <w:sz w:val="22"/>
          <w:szCs w:val="22"/>
        </w:rPr>
        <w:t xml:space="preserve"> </w:t>
      </w:r>
      <w:r w:rsidR="003527FD" w:rsidRPr="00B00ECE">
        <w:rPr>
          <w:sz w:val="22"/>
          <w:szCs w:val="22"/>
        </w:rPr>
        <w:t>three</w:t>
      </w:r>
      <w:r>
        <w:rPr>
          <w:sz w:val="22"/>
          <w:szCs w:val="22"/>
        </w:rPr>
        <w:t xml:space="preserve"> </w:t>
      </w:r>
      <w:r w:rsidRPr="003313FE">
        <w:rPr>
          <w:sz w:val="22"/>
          <w:szCs w:val="22"/>
        </w:rPr>
        <w:t xml:space="preserve">performance measures. </w:t>
      </w:r>
      <w:r w:rsidR="00F637AB">
        <w:rPr>
          <w:sz w:val="22"/>
          <w:szCs w:val="22"/>
        </w:rPr>
        <w:t>A</w:t>
      </w:r>
      <w:r w:rsidR="004A0366">
        <w:rPr>
          <w:sz w:val="22"/>
          <w:szCs w:val="22"/>
        </w:rPr>
        <w:t xml:space="preserve">fter </w:t>
      </w:r>
      <w:r w:rsidR="001F3918">
        <w:rPr>
          <w:sz w:val="22"/>
          <w:szCs w:val="22"/>
        </w:rPr>
        <w:t>the</w:t>
      </w:r>
      <w:r w:rsidR="004A0366">
        <w:rPr>
          <w:sz w:val="22"/>
          <w:szCs w:val="22"/>
        </w:rPr>
        <w:t xml:space="preserve"> </w:t>
      </w:r>
      <w:r w:rsidR="00DA6532">
        <w:rPr>
          <w:sz w:val="22"/>
          <w:szCs w:val="22"/>
        </w:rPr>
        <w:t>twelve</w:t>
      </w:r>
      <w:r w:rsidR="00EE0BFF">
        <w:rPr>
          <w:sz w:val="22"/>
          <w:szCs w:val="22"/>
        </w:rPr>
        <w:t>-</w:t>
      </w:r>
      <w:r w:rsidR="00DA6532">
        <w:rPr>
          <w:sz w:val="22"/>
          <w:szCs w:val="22"/>
        </w:rPr>
        <w:t xml:space="preserve"> </w:t>
      </w:r>
      <w:r w:rsidR="00B34917">
        <w:rPr>
          <w:sz w:val="22"/>
          <w:szCs w:val="22"/>
        </w:rPr>
        <w:t>(12)</w:t>
      </w:r>
      <w:r w:rsidR="00EE0BFF">
        <w:rPr>
          <w:sz w:val="22"/>
          <w:szCs w:val="22"/>
        </w:rPr>
        <w:t xml:space="preserve"> month assessment period</w:t>
      </w:r>
      <w:r w:rsidR="00426ACC">
        <w:rPr>
          <w:sz w:val="22"/>
          <w:szCs w:val="22"/>
        </w:rPr>
        <w:t xml:space="preserve"> and </w:t>
      </w:r>
      <w:r w:rsidR="006C5B23">
        <w:rPr>
          <w:sz w:val="22"/>
          <w:szCs w:val="22"/>
        </w:rPr>
        <w:t xml:space="preserve">a three- (3) month </w:t>
      </w:r>
      <w:r w:rsidR="009B6FBD">
        <w:rPr>
          <w:sz w:val="22"/>
          <w:szCs w:val="22"/>
        </w:rPr>
        <w:t>claims runout period</w:t>
      </w:r>
      <w:r w:rsidR="00675F5D">
        <w:rPr>
          <w:sz w:val="22"/>
          <w:szCs w:val="22"/>
        </w:rPr>
        <w:t xml:space="preserve">, </w:t>
      </w:r>
      <w:r w:rsidR="0055359A">
        <w:rPr>
          <w:sz w:val="22"/>
          <w:szCs w:val="22"/>
        </w:rPr>
        <w:t>a</w:t>
      </w:r>
      <w:r w:rsidR="00B96A6D">
        <w:rPr>
          <w:sz w:val="22"/>
          <w:szCs w:val="22"/>
        </w:rPr>
        <w:t xml:space="preserve">ll </w:t>
      </w:r>
      <w:r w:rsidR="00A05A21" w:rsidRPr="00C307AE">
        <w:rPr>
          <w:sz w:val="22"/>
          <w:szCs w:val="22"/>
        </w:rPr>
        <w:t>OHHs</w:t>
      </w:r>
      <w:r w:rsidR="00B96A6D">
        <w:rPr>
          <w:sz w:val="22"/>
          <w:szCs w:val="22"/>
        </w:rPr>
        <w:t>, regardless of performance,</w:t>
      </w:r>
      <w:r w:rsidR="00A05A21" w:rsidRPr="00C307AE">
        <w:rPr>
          <w:sz w:val="22"/>
          <w:szCs w:val="22"/>
        </w:rPr>
        <w:t xml:space="preserve"> will receive </w:t>
      </w:r>
      <w:r w:rsidR="00173DA7">
        <w:rPr>
          <w:sz w:val="22"/>
          <w:szCs w:val="22"/>
        </w:rPr>
        <w:t>a</w:t>
      </w:r>
      <w:r w:rsidR="001E773E">
        <w:rPr>
          <w:sz w:val="22"/>
          <w:szCs w:val="22"/>
        </w:rPr>
        <w:t xml:space="preserve"> </w:t>
      </w:r>
      <w:r w:rsidR="00BC134E">
        <w:rPr>
          <w:sz w:val="22"/>
          <w:szCs w:val="22"/>
        </w:rPr>
        <w:t>quarterly</w:t>
      </w:r>
      <w:r w:rsidR="001E773E">
        <w:rPr>
          <w:sz w:val="22"/>
          <w:szCs w:val="22"/>
        </w:rPr>
        <w:t xml:space="preserve"> </w:t>
      </w:r>
      <w:r w:rsidR="00C307AE" w:rsidRPr="00C307AE">
        <w:rPr>
          <w:sz w:val="22"/>
          <w:szCs w:val="22"/>
        </w:rPr>
        <w:t xml:space="preserve">report with </w:t>
      </w:r>
      <w:r w:rsidR="00F635FF" w:rsidRPr="00C307AE">
        <w:rPr>
          <w:sz w:val="22"/>
          <w:szCs w:val="22"/>
        </w:rPr>
        <w:t>the</w:t>
      </w:r>
      <w:r w:rsidR="00A05A21" w:rsidRPr="00C307AE">
        <w:rPr>
          <w:sz w:val="22"/>
          <w:szCs w:val="22"/>
        </w:rPr>
        <w:t xml:space="preserve"> </w:t>
      </w:r>
      <w:r w:rsidR="00BD2A78">
        <w:rPr>
          <w:sz w:val="22"/>
          <w:szCs w:val="22"/>
        </w:rPr>
        <w:t xml:space="preserve">performance </w:t>
      </w:r>
      <w:r w:rsidR="00A05A21" w:rsidRPr="00C307AE">
        <w:rPr>
          <w:sz w:val="22"/>
          <w:szCs w:val="22"/>
        </w:rPr>
        <w:t xml:space="preserve">assessment, indicating whether they qualify for receipt of the 4% withheld amount </w:t>
      </w:r>
      <w:r w:rsidR="00A05A21" w:rsidRPr="005E1557">
        <w:rPr>
          <w:sz w:val="22"/>
          <w:szCs w:val="22"/>
        </w:rPr>
        <w:t>or</w:t>
      </w:r>
      <w:r w:rsidR="00342AE5">
        <w:rPr>
          <w:sz w:val="22"/>
          <w:szCs w:val="22"/>
        </w:rPr>
        <w:t xml:space="preserve"> the withheld amount </w:t>
      </w:r>
      <w:r w:rsidR="00937510">
        <w:rPr>
          <w:sz w:val="22"/>
          <w:szCs w:val="22"/>
        </w:rPr>
        <w:t>and</w:t>
      </w:r>
      <w:r w:rsidR="00A05A21" w:rsidRPr="00C307AE">
        <w:rPr>
          <w:sz w:val="22"/>
          <w:szCs w:val="22"/>
        </w:rPr>
        <w:t xml:space="preserve"> an additional amount</w:t>
      </w:r>
      <w:r w:rsidR="00A05A21" w:rsidRPr="00B56D0C">
        <w:rPr>
          <w:sz w:val="22"/>
          <w:szCs w:val="22"/>
        </w:rPr>
        <w:t>, based on whether OHHs satisfy the minimum or excellen</w:t>
      </w:r>
      <w:r w:rsidR="00DF52B2">
        <w:rPr>
          <w:sz w:val="22"/>
          <w:szCs w:val="22"/>
        </w:rPr>
        <w:t>t</w:t>
      </w:r>
      <w:r w:rsidR="00A05A21" w:rsidRPr="009843E0">
        <w:rPr>
          <w:sz w:val="22"/>
          <w:szCs w:val="22"/>
        </w:rPr>
        <w:t xml:space="preserve"> performance threshold</w:t>
      </w:r>
      <w:r w:rsidR="00A05A21" w:rsidRPr="003641FE">
        <w:rPr>
          <w:sz w:val="22"/>
          <w:szCs w:val="22"/>
        </w:rPr>
        <w:t>s</w:t>
      </w:r>
      <w:r w:rsidR="00A05A21" w:rsidRPr="00024C73">
        <w:rPr>
          <w:sz w:val="22"/>
          <w:szCs w:val="22"/>
        </w:rPr>
        <w:t xml:space="preserve">. </w:t>
      </w:r>
      <w:r w:rsidR="00A05A21" w:rsidRPr="00C307AE">
        <w:rPr>
          <w:sz w:val="22"/>
          <w:szCs w:val="22"/>
        </w:rPr>
        <w:t>The report will contain instructions for the OHH to rebut the report’s data i</w:t>
      </w:r>
      <w:r w:rsidR="009843E0">
        <w:rPr>
          <w:sz w:val="22"/>
          <w:szCs w:val="22"/>
        </w:rPr>
        <w:t>f</w:t>
      </w:r>
      <w:r w:rsidR="00A05A21" w:rsidRPr="00C307AE">
        <w:rPr>
          <w:sz w:val="22"/>
          <w:szCs w:val="22"/>
        </w:rPr>
        <w:t xml:space="preserve"> the OHH disagrees with the report and the reimbursement they are set to receive.</w:t>
      </w:r>
      <w:r w:rsidR="00A05A21">
        <w:rPr>
          <w:sz w:val="22"/>
          <w:szCs w:val="22"/>
        </w:rPr>
        <w:t xml:space="preserve"> </w:t>
      </w:r>
      <w:r w:rsidR="001D2A31">
        <w:rPr>
          <w:sz w:val="22"/>
          <w:szCs w:val="22"/>
        </w:rPr>
        <w:t>The Department will p</w:t>
      </w:r>
      <w:r w:rsidR="00E63356">
        <w:rPr>
          <w:sz w:val="22"/>
          <w:szCs w:val="22"/>
        </w:rPr>
        <w:t xml:space="preserve">rovide a </w:t>
      </w:r>
      <w:r w:rsidR="00877658">
        <w:rPr>
          <w:sz w:val="22"/>
          <w:szCs w:val="22"/>
        </w:rPr>
        <w:t>thirty- (30)</w:t>
      </w:r>
      <w:r w:rsidR="00357EC5">
        <w:rPr>
          <w:sz w:val="22"/>
          <w:szCs w:val="22"/>
        </w:rPr>
        <w:t xml:space="preserve"> </w:t>
      </w:r>
      <w:r w:rsidR="00E63356">
        <w:rPr>
          <w:sz w:val="22"/>
          <w:szCs w:val="22"/>
        </w:rPr>
        <w:t xml:space="preserve">day </w:t>
      </w:r>
      <w:r w:rsidR="0008091C">
        <w:rPr>
          <w:sz w:val="22"/>
          <w:szCs w:val="22"/>
        </w:rPr>
        <w:t>rebuttal</w:t>
      </w:r>
      <w:r w:rsidR="0053415A">
        <w:rPr>
          <w:sz w:val="22"/>
          <w:szCs w:val="22"/>
        </w:rPr>
        <w:t xml:space="preserve"> period</w:t>
      </w:r>
      <w:r w:rsidR="00A075DB">
        <w:rPr>
          <w:sz w:val="22"/>
          <w:szCs w:val="22"/>
        </w:rPr>
        <w:t xml:space="preserve"> prior to </w:t>
      </w:r>
      <w:r w:rsidR="00D45182">
        <w:rPr>
          <w:sz w:val="22"/>
          <w:szCs w:val="22"/>
        </w:rPr>
        <w:t xml:space="preserve">issuing </w:t>
      </w:r>
      <w:r w:rsidR="00D2522D">
        <w:rPr>
          <w:sz w:val="22"/>
          <w:szCs w:val="22"/>
        </w:rPr>
        <w:t>reimbursement.</w:t>
      </w:r>
      <w:r w:rsidR="00A05A21">
        <w:rPr>
          <w:sz w:val="22"/>
          <w:szCs w:val="22"/>
        </w:rPr>
        <w:t xml:space="preserve">  </w:t>
      </w:r>
    </w:p>
    <w:p w14:paraId="11378A8A" w14:textId="77777777" w:rsidR="003527FD" w:rsidRDefault="003527FD" w:rsidP="00E91A83">
      <w:pPr>
        <w:ind w:left="360"/>
        <w:rPr>
          <w:sz w:val="22"/>
          <w:szCs w:val="22"/>
        </w:rPr>
      </w:pPr>
    </w:p>
    <w:p w14:paraId="6CE8E08F" w14:textId="12314A08" w:rsidR="003527FD" w:rsidRDefault="001717D2" w:rsidP="00E91A83">
      <w:pPr>
        <w:ind w:left="360"/>
        <w:rPr>
          <w:sz w:val="22"/>
          <w:szCs w:val="22"/>
        </w:rPr>
      </w:pPr>
      <w:r w:rsidRPr="001717D2">
        <w:rPr>
          <w:sz w:val="22"/>
          <w:szCs w:val="22"/>
        </w:rPr>
        <w:t>If</w:t>
      </w:r>
      <w:r w:rsidR="003527FD" w:rsidRPr="001717D2">
        <w:rPr>
          <w:sz w:val="22"/>
          <w:szCs w:val="22"/>
        </w:rPr>
        <w:t xml:space="preserve"> the performance measures change via rulemaking,</w:t>
      </w:r>
      <w:r w:rsidR="003527FD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0C54E6">
        <w:rPr>
          <w:sz w:val="22"/>
          <w:szCs w:val="22"/>
        </w:rPr>
        <w:t xml:space="preserve">roviders will not be scored </w:t>
      </w:r>
      <w:r w:rsidR="00F22E35">
        <w:rPr>
          <w:sz w:val="22"/>
          <w:szCs w:val="22"/>
        </w:rPr>
        <w:t>on a new</w:t>
      </w:r>
      <w:r w:rsidR="00CA1398">
        <w:rPr>
          <w:sz w:val="22"/>
          <w:szCs w:val="22"/>
        </w:rPr>
        <w:t xml:space="preserve"> or adjusted</w:t>
      </w:r>
      <w:r w:rsidR="00F22E35">
        <w:rPr>
          <w:sz w:val="22"/>
          <w:szCs w:val="22"/>
        </w:rPr>
        <w:t xml:space="preserve"> performance measure </w:t>
      </w:r>
      <w:r w:rsidR="00A84615">
        <w:rPr>
          <w:sz w:val="22"/>
          <w:szCs w:val="22"/>
        </w:rPr>
        <w:t xml:space="preserve">until </w:t>
      </w:r>
      <w:r w:rsidR="005357C7">
        <w:rPr>
          <w:sz w:val="22"/>
          <w:szCs w:val="22"/>
        </w:rPr>
        <w:t>six (6) months</w:t>
      </w:r>
      <w:r w:rsidR="00CB0F77">
        <w:rPr>
          <w:sz w:val="22"/>
          <w:szCs w:val="22"/>
        </w:rPr>
        <w:t xml:space="preserve"> after </w:t>
      </w:r>
      <w:r w:rsidR="00921D01">
        <w:rPr>
          <w:sz w:val="22"/>
          <w:szCs w:val="22"/>
        </w:rPr>
        <w:t>the change</w:t>
      </w:r>
      <w:r w:rsidR="000260D8">
        <w:rPr>
          <w:sz w:val="22"/>
          <w:szCs w:val="22"/>
        </w:rPr>
        <w:t xml:space="preserve"> is implemented</w:t>
      </w:r>
      <w:r w:rsidR="00921D01">
        <w:rPr>
          <w:sz w:val="22"/>
          <w:szCs w:val="22"/>
        </w:rPr>
        <w:t>.</w:t>
      </w:r>
      <w:r w:rsidR="000960DA" w:rsidRPr="00AF46E0">
        <w:rPr>
          <w:sz w:val="22"/>
          <w:szCs w:val="22"/>
        </w:rPr>
        <w:t xml:space="preserve"> </w:t>
      </w:r>
    </w:p>
    <w:p w14:paraId="22E142C3" w14:textId="77777777" w:rsidR="003527FD" w:rsidRDefault="003527FD" w:rsidP="00E91A83">
      <w:pPr>
        <w:ind w:left="360"/>
        <w:rPr>
          <w:sz w:val="22"/>
          <w:szCs w:val="22"/>
        </w:rPr>
      </w:pPr>
    </w:p>
    <w:p w14:paraId="4887D2C3" w14:textId="3CFBCC81" w:rsidR="000960DA" w:rsidRPr="003313FE" w:rsidRDefault="00A31532" w:rsidP="00E91A83">
      <w:pPr>
        <w:ind w:left="360"/>
        <w:rPr>
          <w:sz w:val="22"/>
          <w:szCs w:val="22"/>
        </w:rPr>
      </w:pPr>
      <w:r w:rsidRPr="00A31532">
        <w:rPr>
          <w:sz w:val="22"/>
          <w:szCs w:val="22"/>
        </w:rPr>
        <w:t>OHH</w:t>
      </w:r>
      <w:r w:rsidR="00061677">
        <w:rPr>
          <w:sz w:val="22"/>
          <w:szCs w:val="22"/>
        </w:rPr>
        <w:t>s</w:t>
      </w:r>
      <w:r w:rsidRPr="00A31532">
        <w:rPr>
          <w:sz w:val="22"/>
          <w:szCs w:val="22"/>
        </w:rPr>
        <w:t xml:space="preserve"> are</w:t>
      </w:r>
      <w:r w:rsidR="007E1E85">
        <w:rPr>
          <w:sz w:val="22"/>
          <w:szCs w:val="22"/>
        </w:rPr>
        <w:t xml:space="preserve"> eligible for the pay-for-performance </w:t>
      </w:r>
      <w:r w:rsidR="007E1E85" w:rsidRPr="00731598">
        <w:rPr>
          <w:sz w:val="22"/>
          <w:szCs w:val="22"/>
        </w:rPr>
        <w:t>provision</w:t>
      </w:r>
      <w:r w:rsidR="009136AC">
        <w:rPr>
          <w:sz w:val="22"/>
          <w:szCs w:val="22"/>
        </w:rPr>
        <w:t xml:space="preserve"> if</w:t>
      </w:r>
      <w:r w:rsidRPr="00A31532">
        <w:rPr>
          <w:sz w:val="22"/>
          <w:szCs w:val="22"/>
        </w:rPr>
        <w:t xml:space="preserve"> at least ten percent (10%) of their member panel is clinically eligible for inclusion in </w:t>
      </w:r>
      <w:r w:rsidR="007039BA">
        <w:rPr>
          <w:sz w:val="22"/>
          <w:szCs w:val="22"/>
        </w:rPr>
        <w:t>the</w:t>
      </w:r>
      <w:r w:rsidRPr="00A31532">
        <w:rPr>
          <w:sz w:val="22"/>
          <w:szCs w:val="22"/>
        </w:rPr>
        <w:t xml:space="preserve"> performance measure</w:t>
      </w:r>
      <w:r w:rsidR="007039BA">
        <w:rPr>
          <w:sz w:val="22"/>
          <w:szCs w:val="22"/>
        </w:rPr>
        <w:t>s</w:t>
      </w:r>
      <w:r w:rsidRPr="00A31532">
        <w:rPr>
          <w:sz w:val="22"/>
          <w:szCs w:val="22"/>
        </w:rPr>
        <w:t xml:space="preserve">. If </w:t>
      </w:r>
      <w:r w:rsidR="00B82C72">
        <w:rPr>
          <w:sz w:val="22"/>
          <w:szCs w:val="22"/>
        </w:rPr>
        <w:t>the OHH</w:t>
      </w:r>
      <w:r w:rsidRPr="00A31532">
        <w:rPr>
          <w:sz w:val="22"/>
          <w:szCs w:val="22"/>
        </w:rPr>
        <w:t xml:space="preserve"> does not</w:t>
      </w:r>
      <w:r w:rsidR="00EF56F1" w:rsidRPr="00A31532">
        <w:rPr>
          <w:sz w:val="22"/>
          <w:szCs w:val="22"/>
        </w:rPr>
        <w:t xml:space="preserve"> </w:t>
      </w:r>
      <w:r w:rsidR="00EF56F1">
        <w:rPr>
          <w:sz w:val="22"/>
          <w:szCs w:val="22"/>
        </w:rPr>
        <w:t>have the minimum number of required members</w:t>
      </w:r>
      <w:r w:rsidRPr="00A31532">
        <w:rPr>
          <w:sz w:val="22"/>
          <w:szCs w:val="22"/>
        </w:rPr>
        <w:t xml:space="preserve">, </w:t>
      </w:r>
      <w:r w:rsidR="00B82C72">
        <w:rPr>
          <w:sz w:val="22"/>
          <w:szCs w:val="22"/>
        </w:rPr>
        <w:t>it</w:t>
      </w:r>
      <w:r w:rsidRPr="00A31532">
        <w:rPr>
          <w:sz w:val="22"/>
          <w:szCs w:val="22"/>
        </w:rPr>
        <w:t xml:space="preserve"> will </w:t>
      </w:r>
      <w:r w:rsidR="00EF56F1">
        <w:rPr>
          <w:sz w:val="22"/>
          <w:szCs w:val="22"/>
        </w:rPr>
        <w:t>automatically</w:t>
      </w:r>
      <w:r w:rsidR="00EF56F1" w:rsidRPr="00A31532">
        <w:rPr>
          <w:sz w:val="22"/>
          <w:szCs w:val="22"/>
        </w:rPr>
        <w:t xml:space="preserve"> receive </w:t>
      </w:r>
      <w:r w:rsidRPr="00A31532">
        <w:rPr>
          <w:sz w:val="22"/>
          <w:szCs w:val="22"/>
        </w:rPr>
        <w:t xml:space="preserve">the </w:t>
      </w:r>
      <w:r w:rsidR="00EE5631">
        <w:rPr>
          <w:sz w:val="22"/>
          <w:szCs w:val="22"/>
        </w:rPr>
        <w:t>four (4) percent</w:t>
      </w:r>
      <w:r w:rsidR="00D828BB">
        <w:rPr>
          <w:sz w:val="22"/>
          <w:szCs w:val="22"/>
        </w:rPr>
        <w:t xml:space="preserve"> </w:t>
      </w:r>
      <w:r w:rsidRPr="00731598">
        <w:rPr>
          <w:sz w:val="22"/>
          <w:szCs w:val="22"/>
        </w:rPr>
        <w:t>withhold.</w:t>
      </w:r>
      <w:r w:rsidRPr="00A31532">
        <w:rPr>
          <w:sz w:val="22"/>
          <w:szCs w:val="22"/>
        </w:rPr>
        <w:t xml:space="preserve"> </w:t>
      </w:r>
    </w:p>
    <w:p w14:paraId="1DAD5F14" w14:textId="77777777" w:rsidR="000960DA" w:rsidRPr="003313FE" w:rsidRDefault="000960DA" w:rsidP="000960DA">
      <w:pPr>
        <w:tabs>
          <w:tab w:val="left" w:pos="1950"/>
        </w:tabs>
        <w:rPr>
          <w:b/>
          <w:sz w:val="22"/>
          <w:szCs w:val="22"/>
        </w:rPr>
      </w:pPr>
    </w:p>
    <w:p w14:paraId="1F254CBF" w14:textId="6F30AC3A" w:rsidR="000960DA" w:rsidRDefault="000960DA" w:rsidP="00E91A83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sz w:val="22"/>
          <w:szCs w:val="22"/>
        </w:rPr>
      </w:pPr>
      <w:r w:rsidRPr="003313FE">
        <w:rPr>
          <w:b/>
          <w:sz w:val="22"/>
          <w:szCs w:val="22"/>
        </w:rPr>
        <w:t xml:space="preserve">Performance Measures: </w:t>
      </w:r>
    </w:p>
    <w:p w14:paraId="394C1E70" w14:textId="77777777" w:rsidR="000F6D3B" w:rsidRPr="003313FE" w:rsidRDefault="000F6D3B" w:rsidP="000F6D3B">
      <w:pPr>
        <w:pStyle w:val="ListParagraph"/>
        <w:tabs>
          <w:tab w:val="left" w:pos="360"/>
        </w:tabs>
        <w:rPr>
          <w:b/>
          <w:sz w:val="22"/>
          <w:szCs w:val="22"/>
        </w:rPr>
      </w:pPr>
    </w:p>
    <w:p w14:paraId="74FE03FD" w14:textId="383881C9" w:rsidR="000960DA" w:rsidRDefault="000960DA" w:rsidP="00E91A83">
      <w:pPr>
        <w:pStyle w:val="ListParagraph"/>
        <w:numPr>
          <w:ilvl w:val="0"/>
          <w:numId w:val="3"/>
        </w:numPr>
        <w:tabs>
          <w:tab w:val="left" w:pos="360"/>
        </w:tabs>
        <w:ind w:left="720"/>
        <w:rPr>
          <w:sz w:val="22"/>
          <w:szCs w:val="22"/>
        </w:rPr>
      </w:pPr>
      <w:r w:rsidRPr="003313FE">
        <w:rPr>
          <w:sz w:val="22"/>
          <w:szCs w:val="22"/>
        </w:rPr>
        <w:t xml:space="preserve">Continuity of Pharmacotherapy for Opioid Use Disorder (OUD) </w:t>
      </w:r>
    </w:p>
    <w:p w14:paraId="6AD7C05A" w14:textId="77777777" w:rsidR="000F6D3B" w:rsidRPr="003313FE" w:rsidRDefault="000F6D3B" w:rsidP="00E91A83">
      <w:pPr>
        <w:pStyle w:val="ListParagraph"/>
        <w:tabs>
          <w:tab w:val="left" w:pos="360"/>
        </w:tabs>
        <w:rPr>
          <w:sz w:val="22"/>
          <w:szCs w:val="22"/>
        </w:rPr>
      </w:pPr>
    </w:p>
    <w:p w14:paraId="4FEC017D" w14:textId="3C9A4864" w:rsidR="000960DA" w:rsidRPr="003313FE" w:rsidRDefault="000960DA" w:rsidP="00E91A83">
      <w:pPr>
        <w:ind w:left="720"/>
        <w:rPr>
          <w:sz w:val="22"/>
          <w:szCs w:val="22"/>
        </w:rPr>
      </w:pPr>
      <w:r w:rsidRPr="004122A6">
        <w:rPr>
          <w:b/>
          <w:sz w:val="22"/>
          <w:szCs w:val="22"/>
        </w:rPr>
        <w:t>Denominator:</w:t>
      </w:r>
      <w:r w:rsidRPr="003313FE">
        <w:rPr>
          <w:sz w:val="22"/>
          <w:szCs w:val="22"/>
        </w:rPr>
        <w:t xml:space="preserve"> MaineCare members </w:t>
      </w:r>
      <w:r w:rsidR="006C55AF">
        <w:rPr>
          <w:sz w:val="22"/>
          <w:szCs w:val="22"/>
        </w:rPr>
        <w:t>assigned to</w:t>
      </w:r>
      <w:r w:rsidRPr="003313FE">
        <w:rPr>
          <w:sz w:val="22"/>
          <w:szCs w:val="22"/>
        </w:rPr>
        <w:t xml:space="preserve"> the OHH panel</w:t>
      </w:r>
      <w:r w:rsidR="00652264">
        <w:rPr>
          <w:sz w:val="22"/>
          <w:szCs w:val="22"/>
        </w:rPr>
        <w:t xml:space="preserve"> for </w:t>
      </w:r>
      <w:r w:rsidR="00EC349A">
        <w:rPr>
          <w:sz w:val="22"/>
          <w:szCs w:val="22"/>
        </w:rPr>
        <w:t>a minimum of</w:t>
      </w:r>
      <w:r w:rsidR="00652264">
        <w:rPr>
          <w:sz w:val="22"/>
          <w:szCs w:val="22"/>
        </w:rPr>
        <w:t xml:space="preserve"> </w:t>
      </w:r>
      <w:r w:rsidR="009F74C5">
        <w:rPr>
          <w:sz w:val="22"/>
          <w:szCs w:val="22"/>
        </w:rPr>
        <w:t>60 days</w:t>
      </w:r>
      <w:r w:rsidR="00EC349A">
        <w:rPr>
          <w:sz w:val="22"/>
          <w:szCs w:val="22"/>
        </w:rPr>
        <w:t xml:space="preserve"> </w:t>
      </w:r>
      <w:r w:rsidR="00D175E6">
        <w:rPr>
          <w:sz w:val="22"/>
          <w:szCs w:val="22"/>
        </w:rPr>
        <w:t>in the measurement period</w:t>
      </w:r>
      <w:r w:rsidRPr="003313FE">
        <w:rPr>
          <w:sz w:val="22"/>
          <w:szCs w:val="22"/>
        </w:rPr>
        <w:t xml:space="preserve"> who are in the </w:t>
      </w:r>
      <w:r w:rsidR="00630DB4">
        <w:rPr>
          <w:sz w:val="22"/>
          <w:szCs w:val="22"/>
        </w:rPr>
        <w:t>M</w:t>
      </w:r>
      <w:r w:rsidRPr="003313FE">
        <w:rPr>
          <w:sz w:val="22"/>
          <w:szCs w:val="22"/>
        </w:rPr>
        <w:t>aintenance</w:t>
      </w:r>
      <w:r>
        <w:rPr>
          <w:sz w:val="22"/>
          <w:szCs w:val="22"/>
        </w:rPr>
        <w:t xml:space="preserve"> and </w:t>
      </w:r>
      <w:r w:rsidR="00630DB4">
        <w:rPr>
          <w:sz w:val="22"/>
          <w:szCs w:val="22"/>
        </w:rPr>
        <w:t>S</w:t>
      </w:r>
      <w:r>
        <w:rPr>
          <w:sz w:val="22"/>
          <w:szCs w:val="22"/>
        </w:rPr>
        <w:t>tabilization</w:t>
      </w:r>
      <w:r w:rsidRPr="003313FE">
        <w:rPr>
          <w:sz w:val="22"/>
          <w:szCs w:val="22"/>
        </w:rPr>
        <w:t xml:space="preserve"> </w:t>
      </w:r>
      <w:r w:rsidR="00630DB4">
        <w:rPr>
          <w:sz w:val="22"/>
          <w:szCs w:val="22"/>
        </w:rPr>
        <w:t>Levels of Care</w:t>
      </w:r>
      <w:r w:rsidRPr="003313FE">
        <w:rPr>
          <w:sz w:val="22"/>
          <w:szCs w:val="22"/>
        </w:rPr>
        <w:t>.</w:t>
      </w:r>
    </w:p>
    <w:p w14:paraId="2C01E690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5FF6E718" w14:textId="1E69A94A" w:rsidR="000960DA" w:rsidRPr="003313FE" w:rsidRDefault="000960DA" w:rsidP="00E91A83">
      <w:pPr>
        <w:ind w:left="720"/>
        <w:rPr>
          <w:sz w:val="22"/>
          <w:szCs w:val="22"/>
        </w:rPr>
      </w:pPr>
      <w:r w:rsidRPr="004122A6">
        <w:rPr>
          <w:b/>
          <w:sz w:val="22"/>
          <w:szCs w:val="22"/>
        </w:rPr>
        <w:t>Numerator:</w:t>
      </w:r>
      <w:r w:rsidRPr="003313FE">
        <w:rPr>
          <w:sz w:val="22"/>
          <w:szCs w:val="22"/>
        </w:rPr>
        <w:t xml:space="preserve"> </w:t>
      </w:r>
      <w:r w:rsidR="00147024" w:rsidRPr="00147024">
        <w:rPr>
          <w:sz w:val="22"/>
          <w:szCs w:val="22"/>
        </w:rPr>
        <w:t>MaineCare members in the denominator who have at least 180 days of continuous pharmacotherapy with a medication prescribed for OUD without a gap of more than seven (7) days</w:t>
      </w:r>
      <w:r w:rsidR="003869AF">
        <w:rPr>
          <w:sz w:val="22"/>
          <w:szCs w:val="22"/>
        </w:rPr>
        <w:t xml:space="preserve">, </w:t>
      </w:r>
      <w:r w:rsidR="006072AE" w:rsidRPr="006072AE">
        <w:rPr>
          <w:sz w:val="22"/>
          <w:szCs w:val="22"/>
        </w:rPr>
        <w:t>based on the measure ‘Continuity of Pharmacotherapy for Opioid Use Disorder,’ as stewarded by the University of Southern California</w:t>
      </w:r>
      <w:r w:rsidR="00556616">
        <w:rPr>
          <w:sz w:val="22"/>
          <w:szCs w:val="22"/>
        </w:rPr>
        <w:t>.</w:t>
      </w:r>
    </w:p>
    <w:p w14:paraId="1E0C7A2F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5FB81738" w14:textId="77777777" w:rsidR="000960DA" w:rsidRPr="003313FE" w:rsidRDefault="000960DA" w:rsidP="00E91A83">
      <w:pPr>
        <w:ind w:left="720"/>
        <w:rPr>
          <w:sz w:val="22"/>
          <w:szCs w:val="22"/>
        </w:rPr>
      </w:pPr>
      <w:r w:rsidRPr="004122A6">
        <w:rPr>
          <w:b/>
          <w:sz w:val="22"/>
          <w:szCs w:val="22"/>
        </w:rPr>
        <w:t>Medications:</w:t>
      </w:r>
      <w:r w:rsidRPr="003313FE">
        <w:rPr>
          <w:sz w:val="22"/>
          <w:szCs w:val="22"/>
        </w:rPr>
        <w:t xml:space="preserve"> Medications included in this measure are Buprenorphine, Naltrexone, Buprenorphine-Naloxone, and Methadone.  </w:t>
      </w:r>
    </w:p>
    <w:p w14:paraId="345F9763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523F74D9" w14:textId="4C622C10" w:rsidR="000960DA" w:rsidRDefault="00E47AC6" w:rsidP="00E91A83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77404F">
        <w:rPr>
          <w:sz w:val="22"/>
          <w:szCs w:val="22"/>
        </w:rPr>
        <w:t>Community Engagement</w:t>
      </w:r>
    </w:p>
    <w:p w14:paraId="6D413EA5" w14:textId="77777777" w:rsidR="000F6D3B" w:rsidRPr="0077404F" w:rsidRDefault="000F6D3B" w:rsidP="00E91A83">
      <w:pPr>
        <w:pStyle w:val="ListParagraph"/>
        <w:rPr>
          <w:sz w:val="22"/>
          <w:szCs w:val="22"/>
        </w:rPr>
      </w:pPr>
    </w:p>
    <w:p w14:paraId="67729866" w14:textId="18A3BFAB" w:rsidR="000960DA" w:rsidRPr="003313FE" w:rsidRDefault="000960DA" w:rsidP="00E91A83">
      <w:pPr>
        <w:ind w:left="720"/>
        <w:rPr>
          <w:sz w:val="22"/>
          <w:szCs w:val="22"/>
        </w:rPr>
      </w:pPr>
      <w:r w:rsidRPr="004122A6">
        <w:rPr>
          <w:b/>
          <w:bCs/>
          <w:sz w:val="22"/>
          <w:szCs w:val="22"/>
        </w:rPr>
        <w:t>Denominator:</w:t>
      </w:r>
      <w:r w:rsidRPr="003313FE">
        <w:rPr>
          <w:sz w:val="22"/>
          <w:szCs w:val="22"/>
        </w:rPr>
        <w:t xml:space="preserve"> MaineCare members </w:t>
      </w:r>
      <w:r w:rsidR="006C55AF">
        <w:rPr>
          <w:sz w:val="22"/>
          <w:szCs w:val="22"/>
        </w:rPr>
        <w:t>assigned to</w:t>
      </w:r>
      <w:r w:rsidR="00890C32" w:rsidRPr="003313FE">
        <w:rPr>
          <w:sz w:val="22"/>
          <w:szCs w:val="22"/>
        </w:rPr>
        <w:t xml:space="preserve"> the OHH panel</w:t>
      </w:r>
      <w:r w:rsidR="00890C32">
        <w:rPr>
          <w:sz w:val="22"/>
          <w:szCs w:val="22"/>
        </w:rPr>
        <w:t xml:space="preserve"> for a minimum of 60 days in the measurement period</w:t>
      </w:r>
      <w:r w:rsidRPr="003313FE">
        <w:rPr>
          <w:sz w:val="22"/>
          <w:szCs w:val="22"/>
        </w:rPr>
        <w:t xml:space="preserve"> who are in the </w:t>
      </w:r>
      <w:r w:rsidR="003843E6">
        <w:rPr>
          <w:sz w:val="22"/>
          <w:szCs w:val="22"/>
        </w:rPr>
        <w:t>M</w:t>
      </w:r>
      <w:r w:rsidRPr="003313FE">
        <w:rPr>
          <w:sz w:val="22"/>
          <w:szCs w:val="22"/>
        </w:rPr>
        <w:t xml:space="preserve">aintenance </w:t>
      </w:r>
      <w:r>
        <w:rPr>
          <w:sz w:val="22"/>
          <w:szCs w:val="22"/>
        </w:rPr>
        <w:t xml:space="preserve">and </w:t>
      </w:r>
      <w:r w:rsidR="003843E6">
        <w:rPr>
          <w:sz w:val="22"/>
          <w:szCs w:val="22"/>
        </w:rPr>
        <w:t>S</w:t>
      </w:r>
      <w:r>
        <w:rPr>
          <w:sz w:val="22"/>
          <w:szCs w:val="22"/>
        </w:rPr>
        <w:t xml:space="preserve">tabilization </w:t>
      </w:r>
      <w:r w:rsidR="003843E6">
        <w:rPr>
          <w:sz w:val="22"/>
          <w:szCs w:val="22"/>
        </w:rPr>
        <w:t>Levels of Care</w:t>
      </w:r>
      <w:r w:rsidRPr="003313FE">
        <w:rPr>
          <w:sz w:val="22"/>
          <w:szCs w:val="22"/>
        </w:rPr>
        <w:t xml:space="preserve">. </w:t>
      </w:r>
    </w:p>
    <w:p w14:paraId="324D6CA7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5F4E1636" w14:textId="79B7959F" w:rsidR="000960DA" w:rsidRPr="003313FE" w:rsidRDefault="000960DA" w:rsidP="00E91A83">
      <w:pPr>
        <w:ind w:left="720"/>
        <w:rPr>
          <w:sz w:val="22"/>
          <w:szCs w:val="22"/>
        </w:rPr>
      </w:pPr>
      <w:r w:rsidRPr="004122A6">
        <w:rPr>
          <w:b/>
          <w:bCs/>
          <w:sz w:val="22"/>
          <w:szCs w:val="22"/>
        </w:rPr>
        <w:t>Numerator:</w:t>
      </w:r>
      <w:r w:rsidRPr="003313FE">
        <w:rPr>
          <w:sz w:val="22"/>
          <w:szCs w:val="22"/>
        </w:rPr>
        <w:t xml:space="preserve"> MaineCare members who meet all denominator criteria and on their most recent assessment by the Department’s designated contractor, gave a response other than “Not </w:t>
      </w:r>
      <w:r w:rsidR="00E85829">
        <w:rPr>
          <w:sz w:val="22"/>
          <w:szCs w:val="22"/>
        </w:rPr>
        <w:t xml:space="preserve">currently </w:t>
      </w:r>
      <w:r w:rsidRPr="003313FE">
        <w:rPr>
          <w:sz w:val="22"/>
          <w:szCs w:val="22"/>
        </w:rPr>
        <w:t>employed</w:t>
      </w:r>
      <w:r w:rsidR="00302EDF">
        <w:rPr>
          <w:sz w:val="22"/>
          <w:szCs w:val="22"/>
        </w:rPr>
        <w:t>.</w:t>
      </w:r>
      <w:r w:rsidRPr="003313FE">
        <w:rPr>
          <w:sz w:val="22"/>
          <w:szCs w:val="22"/>
        </w:rPr>
        <w:t xml:space="preserve">”  </w:t>
      </w:r>
    </w:p>
    <w:p w14:paraId="51B703C3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75182A20" w14:textId="78C8243E" w:rsidR="000960DA" w:rsidRPr="003313FE" w:rsidRDefault="000960DA" w:rsidP="00E91A83">
      <w:pPr>
        <w:ind w:left="720"/>
        <w:rPr>
          <w:sz w:val="22"/>
          <w:szCs w:val="22"/>
        </w:rPr>
      </w:pPr>
      <w:r w:rsidRPr="003313FE">
        <w:rPr>
          <w:sz w:val="22"/>
          <w:szCs w:val="22"/>
        </w:rPr>
        <w:t>Other responses include</w:t>
      </w:r>
      <w:r w:rsidR="009A6495">
        <w:rPr>
          <w:sz w:val="22"/>
          <w:szCs w:val="22"/>
        </w:rPr>
        <w:t>,</w:t>
      </w:r>
      <w:r w:rsidRPr="003313FE">
        <w:rPr>
          <w:sz w:val="22"/>
          <w:szCs w:val="22"/>
        </w:rPr>
        <w:t xml:space="preserve"> but are not limited to, competitively employed, self-employed, student, and parent of a child under age 18. </w:t>
      </w:r>
    </w:p>
    <w:p w14:paraId="3B15091C" w14:textId="5AD40B13" w:rsidR="00826B8C" w:rsidRDefault="00826B8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B9CAEC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310B37D6" w14:textId="7B0D422A" w:rsidR="000960DA" w:rsidRDefault="000960DA" w:rsidP="00E91A83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3313FE">
        <w:rPr>
          <w:sz w:val="22"/>
          <w:szCs w:val="22"/>
        </w:rPr>
        <w:t xml:space="preserve">Access to Preventive and Ambulatory Care </w:t>
      </w:r>
    </w:p>
    <w:p w14:paraId="46B039C5" w14:textId="77777777" w:rsidR="000F6D3B" w:rsidRPr="003313FE" w:rsidRDefault="000F6D3B" w:rsidP="00E91A83">
      <w:pPr>
        <w:pStyle w:val="ListParagraph"/>
        <w:rPr>
          <w:sz w:val="22"/>
          <w:szCs w:val="22"/>
        </w:rPr>
      </w:pPr>
    </w:p>
    <w:p w14:paraId="1669DD38" w14:textId="2372E2EA" w:rsidR="000960DA" w:rsidRPr="003313FE" w:rsidRDefault="000960DA" w:rsidP="00E91A83">
      <w:pPr>
        <w:ind w:left="720"/>
        <w:rPr>
          <w:sz w:val="22"/>
          <w:szCs w:val="22"/>
        </w:rPr>
      </w:pPr>
      <w:r w:rsidRPr="00521F42">
        <w:rPr>
          <w:b/>
          <w:bCs/>
          <w:sz w:val="22"/>
          <w:szCs w:val="22"/>
        </w:rPr>
        <w:t>Denominator:</w:t>
      </w:r>
      <w:r w:rsidRPr="003313FE">
        <w:rPr>
          <w:sz w:val="22"/>
          <w:szCs w:val="22"/>
          <w:u w:val="single"/>
        </w:rPr>
        <w:t xml:space="preserve"> </w:t>
      </w:r>
      <w:r w:rsidRPr="003313FE">
        <w:rPr>
          <w:sz w:val="22"/>
          <w:szCs w:val="22"/>
        </w:rPr>
        <w:t xml:space="preserve">MaineCare members </w:t>
      </w:r>
      <w:r w:rsidR="006C55AF">
        <w:rPr>
          <w:sz w:val="22"/>
          <w:szCs w:val="22"/>
        </w:rPr>
        <w:t>assigned to</w:t>
      </w:r>
      <w:r w:rsidRPr="003313FE">
        <w:rPr>
          <w:sz w:val="22"/>
          <w:szCs w:val="22"/>
        </w:rPr>
        <w:t xml:space="preserve"> the OHH panel </w:t>
      </w:r>
      <w:r w:rsidR="00DF5BD4">
        <w:rPr>
          <w:sz w:val="22"/>
          <w:szCs w:val="22"/>
        </w:rPr>
        <w:t>for a minimum of 60 days in the measurement period</w:t>
      </w:r>
      <w:r w:rsidR="00216157">
        <w:rPr>
          <w:sz w:val="22"/>
          <w:szCs w:val="22"/>
        </w:rPr>
        <w:t xml:space="preserve"> who</w:t>
      </w:r>
      <w:r w:rsidRPr="003313FE">
        <w:rPr>
          <w:sz w:val="22"/>
          <w:szCs w:val="22"/>
        </w:rPr>
        <w:t xml:space="preserve"> are in the </w:t>
      </w:r>
      <w:r w:rsidR="003843E6">
        <w:rPr>
          <w:sz w:val="22"/>
          <w:szCs w:val="22"/>
        </w:rPr>
        <w:t>Maintenance and Stabilization Levels of Care</w:t>
      </w:r>
      <w:r w:rsidRPr="003313FE">
        <w:rPr>
          <w:sz w:val="22"/>
          <w:szCs w:val="22"/>
        </w:rPr>
        <w:t xml:space="preserve">. </w:t>
      </w:r>
    </w:p>
    <w:p w14:paraId="765863F7" w14:textId="77777777" w:rsidR="000960DA" w:rsidRPr="003313FE" w:rsidRDefault="000960DA" w:rsidP="00E91A83">
      <w:pPr>
        <w:ind w:left="720"/>
        <w:rPr>
          <w:sz w:val="22"/>
          <w:szCs w:val="22"/>
        </w:rPr>
      </w:pPr>
    </w:p>
    <w:p w14:paraId="37FFE488" w14:textId="77777777" w:rsidR="000960DA" w:rsidRPr="003313FE" w:rsidRDefault="000960DA" w:rsidP="00E91A83">
      <w:pPr>
        <w:ind w:left="720"/>
        <w:rPr>
          <w:sz w:val="22"/>
          <w:szCs w:val="22"/>
        </w:rPr>
      </w:pPr>
      <w:r w:rsidRPr="00521F42">
        <w:rPr>
          <w:b/>
          <w:bCs/>
          <w:sz w:val="22"/>
          <w:szCs w:val="22"/>
        </w:rPr>
        <w:t>Numerator:</w:t>
      </w:r>
      <w:r w:rsidRPr="003313FE">
        <w:rPr>
          <w:sz w:val="22"/>
          <w:szCs w:val="22"/>
          <w:u w:val="single"/>
        </w:rPr>
        <w:t xml:space="preserve"> </w:t>
      </w:r>
      <w:r w:rsidRPr="003313FE">
        <w:rPr>
          <w:sz w:val="22"/>
          <w:szCs w:val="22"/>
        </w:rPr>
        <w:t xml:space="preserve">MaineCare members who meet the denominator criteria and who had an ambulatory or preventive care visit during the 12 months being assessed.  </w:t>
      </w:r>
    </w:p>
    <w:p w14:paraId="6EEEFB29" w14:textId="77777777" w:rsidR="000960DA" w:rsidRPr="003313FE" w:rsidRDefault="000960DA" w:rsidP="000960DA">
      <w:pPr>
        <w:rPr>
          <w:b/>
          <w:sz w:val="22"/>
          <w:szCs w:val="22"/>
        </w:rPr>
      </w:pPr>
    </w:p>
    <w:p w14:paraId="61265837" w14:textId="192C74E2" w:rsidR="000960DA" w:rsidRDefault="000960DA" w:rsidP="00E91A83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2"/>
          <w:szCs w:val="22"/>
        </w:rPr>
      </w:pPr>
      <w:r w:rsidRPr="65426C9A">
        <w:rPr>
          <w:b/>
          <w:bCs/>
          <w:sz w:val="22"/>
          <w:szCs w:val="22"/>
        </w:rPr>
        <w:t>Performance Threshold</w:t>
      </w:r>
      <w:r w:rsidR="00EF71DA" w:rsidRPr="00731598">
        <w:rPr>
          <w:b/>
          <w:bCs/>
          <w:sz w:val="22"/>
          <w:szCs w:val="22"/>
        </w:rPr>
        <w:t>s</w:t>
      </w:r>
      <w:r w:rsidRPr="65426C9A">
        <w:rPr>
          <w:b/>
          <w:bCs/>
          <w:sz w:val="22"/>
          <w:szCs w:val="22"/>
        </w:rPr>
        <w:t>:</w:t>
      </w:r>
    </w:p>
    <w:p w14:paraId="598CBA12" w14:textId="77777777" w:rsidR="009A6495" w:rsidRPr="009B45C2" w:rsidRDefault="009A6495" w:rsidP="009A6495">
      <w:pPr>
        <w:pStyle w:val="ListParagraph"/>
        <w:tabs>
          <w:tab w:val="left" w:pos="720"/>
        </w:tabs>
        <w:rPr>
          <w:b/>
          <w:bCs/>
          <w:sz w:val="22"/>
          <w:szCs w:val="22"/>
        </w:rPr>
      </w:pPr>
    </w:p>
    <w:p w14:paraId="17132DCB" w14:textId="0A61C18C" w:rsidR="000960DA" w:rsidRPr="00E91A83" w:rsidRDefault="000960DA" w:rsidP="00E91A83">
      <w:pPr>
        <w:ind w:left="360"/>
        <w:rPr>
          <w:rStyle w:val="Hyperlink"/>
          <w:sz w:val="22"/>
          <w:szCs w:val="22"/>
          <w:u w:val="none"/>
        </w:rPr>
      </w:pPr>
      <w:r w:rsidRPr="003313FE">
        <w:rPr>
          <w:sz w:val="22"/>
          <w:szCs w:val="22"/>
        </w:rPr>
        <w:t>The current threshold</w:t>
      </w:r>
      <w:r>
        <w:rPr>
          <w:sz w:val="22"/>
          <w:szCs w:val="22"/>
        </w:rPr>
        <w:t>s</w:t>
      </w:r>
      <w:r w:rsidRPr="003313FE">
        <w:rPr>
          <w:sz w:val="22"/>
          <w:szCs w:val="22"/>
        </w:rPr>
        <w:t xml:space="preserve"> for the OHH pay-for-performance will be listed on: </w:t>
      </w:r>
      <w:hyperlink r:id="rId11" w:history="1">
        <w:r w:rsidR="00521F42" w:rsidRPr="00176E99">
          <w:rPr>
            <w:rStyle w:val="Hyperlink"/>
            <w:sz w:val="22"/>
            <w:szCs w:val="22"/>
          </w:rPr>
          <w:t>http://www.maine.gov/dhhs/oms/vbp</w:t>
        </w:r>
      </w:hyperlink>
      <w:r w:rsidR="00E91A83" w:rsidRPr="00E91A83">
        <w:rPr>
          <w:rStyle w:val="Hyperlink"/>
          <w:color w:val="auto"/>
          <w:sz w:val="22"/>
          <w:szCs w:val="22"/>
          <w:u w:val="none"/>
        </w:rPr>
        <w:t>.</w:t>
      </w:r>
    </w:p>
    <w:p w14:paraId="55D0893B" w14:textId="77777777" w:rsidR="000960DA" w:rsidRPr="003313FE" w:rsidRDefault="000960DA" w:rsidP="00E91A83">
      <w:pPr>
        <w:ind w:left="360"/>
        <w:rPr>
          <w:sz w:val="22"/>
          <w:szCs w:val="22"/>
        </w:rPr>
      </w:pPr>
      <w:r w:rsidRPr="003313FE">
        <w:rPr>
          <w:sz w:val="22"/>
          <w:szCs w:val="22"/>
        </w:rPr>
        <w:t xml:space="preserve"> </w:t>
      </w:r>
    </w:p>
    <w:p w14:paraId="3C2D7706" w14:textId="6D37BC88" w:rsidR="00191547" w:rsidRPr="00191547" w:rsidRDefault="000960DA" w:rsidP="00E91A83">
      <w:pPr>
        <w:ind w:left="360"/>
        <w:rPr>
          <w:sz w:val="22"/>
          <w:szCs w:val="22"/>
        </w:rPr>
      </w:pPr>
      <w:r w:rsidRPr="003313FE">
        <w:rPr>
          <w:sz w:val="22"/>
          <w:szCs w:val="22"/>
        </w:rPr>
        <w:t xml:space="preserve">The </w:t>
      </w:r>
      <w:r w:rsidRPr="0077404F">
        <w:rPr>
          <w:sz w:val="22"/>
          <w:szCs w:val="22"/>
        </w:rPr>
        <w:t>minimum and excellen</w:t>
      </w:r>
      <w:r w:rsidR="006D4BD7">
        <w:rPr>
          <w:sz w:val="22"/>
          <w:szCs w:val="22"/>
        </w:rPr>
        <w:t>t</w:t>
      </w:r>
      <w:r w:rsidRPr="0077404F">
        <w:rPr>
          <w:sz w:val="22"/>
          <w:szCs w:val="22"/>
        </w:rPr>
        <w:t xml:space="preserve"> </w:t>
      </w:r>
      <w:r w:rsidR="00EF71DA" w:rsidRPr="00731598">
        <w:rPr>
          <w:sz w:val="22"/>
          <w:szCs w:val="22"/>
        </w:rPr>
        <w:t>performance</w:t>
      </w:r>
      <w:r w:rsidR="00EF71DA">
        <w:rPr>
          <w:sz w:val="22"/>
          <w:szCs w:val="22"/>
        </w:rPr>
        <w:t xml:space="preserve"> </w:t>
      </w:r>
      <w:r w:rsidRPr="0077404F">
        <w:rPr>
          <w:sz w:val="22"/>
          <w:szCs w:val="22"/>
        </w:rPr>
        <w:t>thresholds</w:t>
      </w:r>
      <w:r w:rsidRPr="003313FE">
        <w:rPr>
          <w:sz w:val="22"/>
          <w:szCs w:val="22"/>
        </w:rPr>
        <w:t xml:space="preserve"> will be composite score</w:t>
      </w:r>
      <w:r w:rsidR="00BD6B1F">
        <w:rPr>
          <w:sz w:val="22"/>
          <w:szCs w:val="22"/>
        </w:rPr>
        <w:t>s</w:t>
      </w:r>
      <w:r w:rsidRPr="003313FE">
        <w:rPr>
          <w:sz w:val="22"/>
          <w:szCs w:val="22"/>
        </w:rPr>
        <w:t xml:space="preserve"> of</w:t>
      </w:r>
      <w:r w:rsidR="003D0687">
        <w:rPr>
          <w:sz w:val="22"/>
          <w:szCs w:val="22"/>
        </w:rPr>
        <w:t xml:space="preserve"> </w:t>
      </w:r>
      <w:r w:rsidR="003D0687" w:rsidRPr="00735BA5">
        <w:rPr>
          <w:sz w:val="22"/>
          <w:szCs w:val="22"/>
        </w:rPr>
        <w:t>all</w:t>
      </w:r>
      <w:r w:rsidRPr="00735BA5">
        <w:rPr>
          <w:sz w:val="22"/>
          <w:szCs w:val="22"/>
        </w:rPr>
        <w:t xml:space="preserve"> </w:t>
      </w:r>
      <w:r w:rsidRPr="003313FE">
        <w:rPr>
          <w:sz w:val="22"/>
          <w:szCs w:val="22"/>
        </w:rPr>
        <w:t xml:space="preserve">three </w:t>
      </w:r>
      <w:r>
        <w:rPr>
          <w:sz w:val="22"/>
          <w:szCs w:val="22"/>
        </w:rPr>
        <w:t xml:space="preserve">performance </w:t>
      </w:r>
      <w:proofErr w:type="gramStart"/>
      <w:r w:rsidRPr="003313FE">
        <w:rPr>
          <w:sz w:val="22"/>
          <w:szCs w:val="22"/>
        </w:rPr>
        <w:t>measures</w:t>
      </w:r>
      <w:r w:rsidR="003D0687" w:rsidRPr="00735BA5">
        <w:rPr>
          <w:sz w:val="22"/>
          <w:szCs w:val="22"/>
        </w:rPr>
        <w:t>,</w:t>
      </w:r>
      <w:proofErr w:type="gramEnd"/>
      <w:r w:rsidR="003D0687" w:rsidRPr="00735BA5">
        <w:rPr>
          <w:sz w:val="22"/>
          <w:szCs w:val="22"/>
        </w:rPr>
        <w:t xml:space="preserve"> above</w:t>
      </w:r>
      <w:r>
        <w:rPr>
          <w:sz w:val="22"/>
          <w:szCs w:val="22"/>
        </w:rPr>
        <w:t>.</w:t>
      </w:r>
      <w:r w:rsidRPr="003313FE">
        <w:rPr>
          <w:sz w:val="22"/>
          <w:szCs w:val="22"/>
        </w:rPr>
        <w:t xml:space="preserve"> </w:t>
      </w:r>
      <w:r w:rsidR="00C50679">
        <w:rPr>
          <w:sz w:val="22"/>
          <w:szCs w:val="22"/>
        </w:rPr>
        <w:t>Performance thresholds are set in advance of performance periods</w:t>
      </w:r>
      <w:r w:rsidR="000E5382">
        <w:rPr>
          <w:sz w:val="22"/>
          <w:szCs w:val="22"/>
        </w:rPr>
        <w:t>.</w:t>
      </w:r>
      <w:r w:rsidR="00C50679">
        <w:rPr>
          <w:sz w:val="22"/>
          <w:szCs w:val="22"/>
        </w:rPr>
        <w:t xml:space="preserve"> </w:t>
      </w:r>
      <w:r w:rsidR="00AE11EF" w:rsidRPr="001717D2">
        <w:rPr>
          <w:sz w:val="22"/>
          <w:szCs w:val="22"/>
        </w:rPr>
        <w:t xml:space="preserve">If the performance </w:t>
      </w:r>
      <w:r w:rsidR="00AE11EF">
        <w:rPr>
          <w:sz w:val="22"/>
          <w:szCs w:val="22"/>
        </w:rPr>
        <w:t>threshold(s) change</w:t>
      </w:r>
      <w:r w:rsidR="00AE11EF" w:rsidRPr="001717D2">
        <w:rPr>
          <w:sz w:val="22"/>
          <w:szCs w:val="22"/>
        </w:rPr>
        <w:t>,</w:t>
      </w:r>
      <w:r w:rsidR="00AE11EF">
        <w:rPr>
          <w:sz w:val="22"/>
          <w:szCs w:val="22"/>
        </w:rPr>
        <w:t xml:space="preserve"> providers will not be scored on </w:t>
      </w:r>
      <w:r w:rsidR="00AE11EF" w:rsidRPr="50CC7D75">
        <w:rPr>
          <w:sz w:val="22"/>
          <w:szCs w:val="22"/>
        </w:rPr>
        <w:t>a</w:t>
      </w:r>
      <w:r w:rsidR="4156F337" w:rsidRPr="50CC7D75">
        <w:rPr>
          <w:sz w:val="22"/>
          <w:szCs w:val="22"/>
        </w:rPr>
        <w:t>n</w:t>
      </w:r>
      <w:r w:rsidR="00AE11EF">
        <w:rPr>
          <w:sz w:val="22"/>
          <w:szCs w:val="22"/>
        </w:rPr>
        <w:t xml:space="preserve"> adjusted threshold until six (6) months after the change is implemented.</w:t>
      </w:r>
      <w:r w:rsidR="00AE11EF" w:rsidRPr="00AF46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Based upon the available data at the time of the </w:t>
      </w:r>
      <w:r w:rsidR="00EF71DA" w:rsidRPr="00731598">
        <w:rPr>
          <w:sz w:val="22"/>
          <w:szCs w:val="22"/>
        </w:rPr>
        <w:t xml:space="preserve">performance </w:t>
      </w:r>
      <w:r w:rsidRPr="00731598">
        <w:rPr>
          <w:sz w:val="22"/>
          <w:szCs w:val="22"/>
        </w:rPr>
        <w:t>threshold</w:t>
      </w:r>
      <w:r w:rsidR="00EF71DA" w:rsidRPr="00731598">
        <w:rPr>
          <w:sz w:val="22"/>
          <w:szCs w:val="22"/>
        </w:rPr>
        <w:t>s</w:t>
      </w:r>
      <w:r w:rsidRPr="00731598">
        <w:rPr>
          <w:sz w:val="22"/>
          <w:szCs w:val="22"/>
        </w:rPr>
        <w:t xml:space="preserve"> calculation</w:t>
      </w:r>
      <w:r w:rsidR="00EF71DA" w:rsidRPr="00731598">
        <w:rPr>
          <w:sz w:val="22"/>
          <w:szCs w:val="22"/>
        </w:rPr>
        <w:t>s</w:t>
      </w:r>
      <w:r>
        <w:rPr>
          <w:sz w:val="22"/>
          <w:szCs w:val="22"/>
        </w:rPr>
        <w:t xml:space="preserve">, the Department </w:t>
      </w:r>
      <w:r w:rsidR="00133D35">
        <w:rPr>
          <w:sz w:val="22"/>
          <w:szCs w:val="22"/>
        </w:rPr>
        <w:t>shall</w:t>
      </w:r>
      <w:r>
        <w:rPr>
          <w:sz w:val="22"/>
          <w:szCs w:val="22"/>
        </w:rPr>
        <w:t xml:space="preserve"> set the</w:t>
      </w:r>
      <w:r w:rsidRPr="003313FE">
        <w:rPr>
          <w:sz w:val="22"/>
          <w:szCs w:val="22"/>
        </w:rPr>
        <w:t xml:space="preserve"> threshold</w:t>
      </w:r>
      <w:r>
        <w:rPr>
          <w:sz w:val="22"/>
          <w:szCs w:val="22"/>
        </w:rPr>
        <w:t>s</w:t>
      </w:r>
      <w:r w:rsidRPr="003313FE">
        <w:rPr>
          <w:sz w:val="22"/>
          <w:szCs w:val="22"/>
        </w:rPr>
        <w:t xml:space="preserve"> so </w:t>
      </w:r>
      <w:r w:rsidR="006B2E72">
        <w:rPr>
          <w:sz w:val="22"/>
          <w:szCs w:val="22"/>
        </w:rPr>
        <w:t>that no less than</w:t>
      </w:r>
      <w:r w:rsidRPr="003313FE">
        <w:rPr>
          <w:sz w:val="22"/>
          <w:szCs w:val="22"/>
        </w:rPr>
        <w:t xml:space="preserve"> 70% of eligible OHHs </w:t>
      </w:r>
      <w:r w:rsidR="006B2E72">
        <w:rPr>
          <w:sz w:val="22"/>
          <w:szCs w:val="22"/>
        </w:rPr>
        <w:t>are expected to be</w:t>
      </w:r>
      <w:r w:rsidRPr="003313FE">
        <w:rPr>
          <w:sz w:val="22"/>
          <w:szCs w:val="22"/>
        </w:rPr>
        <w:t xml:space="preserve"> above the</w:t>
      </w:r>
      <w:r>
        <w:rPr>
          <w:sz w:val="22"/>
          <w:szCs w:val="22"/>
        </w:rPr>
        <w:t xml:space="preserve"> minimum </w:t>
      </w:r>
      <w:r w:rsidR="00EF71DA" w:rsidRPr="00731598">
        <w:rPr>
          <w:sz w:val="22"/>
          <w:szCs w:val="22"/>
        </w:rPr>
        <w:t>performance</w:t>
      </w:r>
      <w:r w:rsidR="00EF71DA">
        <w:rPr>
          <w:sz w:val="22"/>
          <w:szCs w:val="22"/>
        </w:rPr>
        <w:t xml:space="preserve"> </w:t>
      </w:r>
      <w:r>
        <w:rPr>
          <w:sz w:val="22"/>
          <w:szCs w:val="22"/>
        </w:rPr>
        <w:t>threshold</w:t>
      </w:r>
      <w:r w:rsidRPr="003313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80539A">
        <w:rPr>
          <w:sz w:val="22"/>
          <w:szCs w:val="22"/>
        </w:rPr>
        <w:t xml:space="preserve">no less than </w:t>
      </w:r>
      <w:r>
        <w:rPr>
          <w:sz w:val="22"/>
          <w:szCs w:val="22"/>
        </w:rPr>
        <w:t xml:space="preserve">20% of OHHs </w:t>
      </w:r>
      <w:r w:rsidR="0080539A">
        <w:rPr>
          <w:sz w:val="22"/>
          <w:szCs w:val="22"/>
        </w:rPr>
        <w:t xml:space="preserve">are expected to be </w:t>
      </w:r>
      <w:r>
        <w:rPr>
          <w:sz w:val="22"/>
          <w:szCs w:val="22"/>
        </w:rPr>
        <w:t>above the excellen</w:t>
      </w:r>
      <w:r w:rsidR="006D4BD7">
        <w:rPr>
          <w:sz w:val="22"/>
          <w:szCs w:val="22"/>
        </w:rPr>
        <w:t>t</w:t>
      </w:r>
      <w:r w:rsidR="00EF71DA">
        <w:rPr>
          <w:sz w:val="22"/>
          <w:szCs w:val="22"/>
        </w:rPr>
        <w:t xml:space="preserve"> </w:t>
      </w:r>
      <w:r w:rsidR="00EF71DA" w:rsidRPr="00731598">
        <w:rPr>
          <w:sz w:val="22"/>
          <w:szCs w:val="22"/>
        </w:rPr>
        <w:t>performance</w:t>
      </w:r>
      <w:r>
        <w:rPr>
          <w:sz w:val="22"/>
          <w:szCs w:val="22"/>
        </w:rPr>
        <w:t xml:space="preserve"> threshold.</w:t>
      </w:r>
      <w:r w:rsidRPr="003313FE">
        <w:rPr>
          <w:sz w:val="22"/>
          <w:szCs w:val="22"/>
        </w:rPr>
        <w:t xml:space="preserve"> </w:t>
      </w:r>
      <w:r w:rsidR="00FC4E0B">
        <w:rPr>
          <w:sz w:val="22"/>
          <w:szCs w:val="22"/>
        </w:rPr>
        <w:t xml:space="preserve">To </w:t>
      </w:r>
      <w:r w:rsidR="004B60A1">
        <w:rPr>
          <w:sz w:val="22"/>
          <w:szCs w:val="22"/>
        </w:rPr>
        <w:t xml:space="preserve">clarify, the Department expects </w:t>
      </w:r>
      <w:r w:rsidR="003512DD">
        <w:rPr>
          <w:sz w:val="22"/>
          <w:szCs w:val="22"/>
        </w:rPr>
        <w:t xml:space="preserve">no more than </w:t>
      </w:r>
      <w:r w:rsidR="001D6AA2" w:rsidRPr="001D6AA2">
        <w:rPr>
          <w:sz w:val="22"/>
          <w:szCs w:val="22"/>
        </w:rPr>
        <w:t>30%</w:t>
      </w:r>
      <w:r w:rsidR="00AA2400">
        <w:rPr>
          <w:sz w:val="22"/>
          <w:szCs w:val="22"/>
        </w:rPr>
        <w:t xml:space="preserve"> </w:t>
      </w:r>
      <w:r w:rsidR="001D6AA2" w:rsidRPr="001D6AA2">
        <w:rPr>
          <w:sz w:val="22"/>
          <w:szCs w:val="22"/>
        </w:rPr>
        <w:t xml:space="preserve">of OHHs </w:t>
      </w:r>
      <w:r w:rsidR="004B60A1">
        <w:rPr>
          <w:sz w:val="22"/>
          <w:szCs w:val="22"/>
        </w:rPr>
        <w:t>to</w:t>
      </w:r>
      <w:r w:rsidR="001D4BAB">
        <w:rPr>
          <w:sz w:val="22"/>
          <w:szCs w:val="22"/>
        </w:rPr>
        <w:t xml:space="preserve"> </w:t>
      </w:r>
      <w:r w:rsidR="00B50589">
        <w:rPr>
          <w:sz w:val="22"/>
          <w:szCs w:val="22"/>
        </w:rPr>
        <w:t>be below</w:t>
      </w:r>
      <w:r w:rsidR="001D6AA2" w:rsidRPr="001D6AA2">
        <w:rPr>
          <w:sz w:val="22"/>
          <w:szCs w:val="22"/>
        </w:rPr>
        <w:t xml:space="preserve"> the minimum performance threshold</w:t>
      </w:r>
      <w:r w:rsidR="00B347E4">
        <w:rPr>
          <w:sz w:val="22"/>
          <w:szCs w:val="22"/>
        </w:rPr>
        <w:t xml:space="preserve">. </w:t>
      </w:r>
      <w:r w:rsidRPr="003313FE">
        <w:rPr>
          <w:sz w:val="22"/>
          <w:szCs w:val="22"/>
        </w:rPr>
        <w:t>The Department cannot anticipate the</w:t>
      </w:r>
      <w:r w:rsidR="003D0687">
        <w:rPr>
          <w:sz w:val="22"/>
          <w:szCs w:val="22"/>
        </w:rPr>
        <w:t xml:space="preserve"> </w:t>
      </w:r>
      <w:r w:rsidR="003D0687" w:rsidRPr="00946EE8">
        <w:rPr>
          <w:sz w:val="22"/>
          <w:szCs w:val="22"/>
        </w:rPr>
        <w:t>exact</w:t>
      </w:r>
      <w:r w:rsidRPr="003313FE">
        <w:rPr>
          <w:sz w:val="22"/>
          <w:szCs w:val="22"/>
        </w:rPr>
        <w:t xml:space="preserve"> percent of </w:t>
      </w:r>
      <w:r>
        <w:rPr>
          <w:sz w:val="22"/>
          <w:szCs w:val="22"/>
        </w:rPr>
        <w:t>OHHs</w:t>
      </w:r>
      <w:r w:rsidRPr="003313FE">
        <w:rPr>
          <w:sz w:val="22"/>
          <w:szCs w:val="22"/>
        </w:rPr>
        <w:t xml:space="preserve"> that will, during the performance period</w:t>
      </w:r>
      <w:r w:rsidRPr="00B643ED">
        <w:rPr>
          <w:sz w:val="22"/>
          <w:szCs w:val="22"/>
        </w:rPr>
        <w:t xml:space="preserve">, </w:t>
      </w:r>
      <w:r w:rsidR="003D0687" w:rsidRPr="00B643ED">
        <w:rPr>
          <w:sz w:val="22"/>
          <w:szCs w:val="22"/>
        </w:rPr>
        <w:t>satisfy either or neither of the performance thresholds</w:t>
      </w:r>
      <w:r w:rsidR="003D0687">
        <w:rPr>
          <w:sz w:val="22"/>
          <w:szCs w:val="22"/>
        </w:rPr>
        <w:t xml:space="preserve">. </w:t>
      </w:r>
    </w:p>
    <w:p w14:paraId="589C0277" w14:textId="77777777" w:rsidR="00AE11EF" w:rsidRDefault="00AE11EF" w:rsidP="00E91A83">
      <w:pPr>
        <w:ind w:left="360"/>
        <w:rPr>
          <w:sz w:val="22"/>
          <w:szCs w:val="22"/>
        </w:rPr>
      </w:pPr>
    </w:p>
    <w:p w14:paraId="10D23ABF" w14:textId="118FF595" w:rsidR="000960DA" w:rsidRPr="003313FE" w:rsidRDefault="000960DA" w:rsidP="00E91A83">
      <w:pPr>
        <w:ind w:left="360"/>
        <w:rPr>
          <w:sz w:val="22"/>
          <w:szCs w:val="22"/>
        </w:rPr>
      </w:pPr>
      <w:r w:rsidRPr="003313FE">
        <w:rPr>
          <w:sz w:val="22"/>
          <w:szCs w:val="22"/>
        </w:rPr>
        <w:t xml:space="preserve">OHHs </w:t>
      </w:r>
      <w:r>
        <w:rPr>
          <w:sz w:val="22"/>
          <w:szCs w:val="22"/>
        </w:rPr>
        <w:t xml:space="preserve">that meet </w:t>
      </w:r>
      <w:r w:rsidRPr="003313FE">
        <w:rPr>
          <w:sz w:val="22"/>
          <w:szCs w:val="22"/>
        </w:rPr>
        <w:t>the</w:t>
      </w:r>
      <w:r>
        <w:rPr>
          <w:sz w:val="22"/>
          <w:szCs w:val="22"/>
        </w:rPr>
        <w:t xml:space="preserve"> minimum</w:t>
      </w:r>
      <w:r w:rsidRPr="003313FE">
        <w:rPr>
          <w:sz w:val="22"/>
          <w:szCs w:val="22"/>
        </w:rPr>
        <w:t xml:space="preserve"> </w:t>
      </w:r>
      <w:r w:rsidR="009F443F">
        <w:rPr>
          <w:sz w:val="22"/>
          <w:szCs w:val="22"/>
        </w:rPr>
        <w:t>performance</w:t>
      </w:r>
      <w:r w:rsidR="00D84286">
        <w:rPr>
          <w:sz w:val="22"/>
          <w:szCs w:val="22"/>
        </w:rPr>
        <w:t xml:space="preserve"> </w:t>
      </w:r>
      <w:r w:rsidRPr="003313FE">
        <w:rPr>
          <w:sz w:val="22"/>
          <w:szCs w:val="22"/>
        </w:rPr>
        <w:t>threshold will receive the</w:t>
      </w:r>
      <w:r w:rsidR="00546FB1">
        <w:rPr>
          <w:sz w:val="22"/>
          <w:szCs w:val="22"/>
        </w:rPr>
        <w:t xml:space="preserve"> full</w:t>
      </w:r>
      <w:r w:rsidRPr="003313FE">
        <w:rPr>
          <w:sz w:val="22"/>
          <w:szCs w:val="22"/>
        </w:rPr>
        <w:t xml:space="preserve"> </w:t>
      </w:r>
      <w:r>
        <w:rPr>
          <w:sz w:val="22"/>
          <w:szCs w:val="22"/>
        </w:rPr>
        <w:t>four (</w:t>
      </w:r>
      <w:r w:rsidRPr="003313FE">
        <w:rPr>
          <w:sz w:val="22"/>
          <w:szCs w:val="22"/>
        </w:rPr>
        <w:t>4</w:t>
      </w:r>
      <w:r>
        <w:rPr>
          <w:sz w:val="22"/>
          <w:szCs w:val="22"/>
        </w:rPr>
        <w:t>)</w:t>
      </w:r>
      <w:r w:rsidRPr="003313FE">
        <w:rPr>
          <w:sz w:val="22"/>
          <w:szCs w:val="22"/>
        </w:rPr>
        <w:t xml:space="preserve"> percent </w:t>
      </w:r>
      <w:r w:rsidRPr="00A901B3">
        <w:rPr>
          <w:sz w:val="22"/>
          <w:szCs w:val="22"/>
        </w:rPr>
        <w:t xml:space="preserve">of the PMPM payments that </w:t>
      </w:r>
      <w:r w:rsidR="00546FB1">
        <w:rPr>
          <w:sz w:val="22"/>
          <w:szCs w:val="22"/>
        </w:rPr>
        <w:t>was</w:t>
      </w:r>
      <w:r w:rsidRPr="00A901B3">
        <w:rPr>
          <w:sz w:val="22"/>
          <w:szCs w:val="22"/>
        </w:rPr>
        <w:t xml:space="preserve"> withheld</w:t>
      </w:r>
      <w:r w:rsidRPr="003313FE">
        <w:rPr>
          <w:sz w:val="22"/>
          <w:szCs w:val="22"/>
        </w:rPr>
        <w:t>.</w:t>
      </w:r>
      <w:r w:rsidR="00966C9B">
        <w:rPr>
          <w:sz w:val="22"/>
          <w:szCs w:val="22"/>
        </w:rPr>
        <w:t xml:space="preserve"> </w:t>
      </w:r>
      <w:r w:rsidR="00966C9B" w:rsidRPr="0005734E">
        <w:rPr>
          <w:sz w:val="22"/>
          <w:szCs w:val="22"/>
        </w:rPr>
        <w:t xml:space="preserve">The </w:t>
      </w:r>
      <w:r w:rsidR="00540756" w:rsidRPr="0005734E">
        <w:rPr>
          <w:sz w:val="22"/>
          <w:szCs w:val="22"/>
        </w:rPr>
        <w:t xml:space="preserve">four (4) percent </w:t>
      </w:r>
      <w:r w:rsidR="00966C9B" w:rsidRPr="0005734E">
        <w:rPr>
          <w:sz w:val="22"/>
          <w:szCs w:val="22"/>
        </w:rPr>
        <w:t xml:space="preserve">withholds </w:t>
      </w:r>
      <w:r w:rsidR="00900489" w:rsidRPr="0005734E">
        <w:rPr>
          <w:sz w:val="22"/>
          <w:szCs w:val="22"/>
        </w:rPr>
        <w:t xml:space="preserve">that are not distributed to OHHs that fail to meet the minimum performance threshold </w:t>
      </w:r>
      <w:r w:rsidR="003F196F" w:rsidRPr="0005734E">
        <w:rPr>
          <w:sz w:val="22"/>
          <w:szCs w:val="22"/>
        </w:rPr>
        <w:t>will be distributed to the OHHs that meet the excellen</w:t>
      </w:r>
      <w:r w:rsidR="006D4BD7">
        <w:rPr>
          <w:sz w:val="22"/>
          <w:szCs w:val="22"/>
        </w:rPr>
        <w:t>t</w:t>
      </w:r>
      <w:r w:rsidR="00574C32">
        <w:rPr>
          <w:sz w:val="22"/>
          <w:szCs w:val="22"/>
        </w:rPr>
        <w:t xml:space="preserve"> </w:t>
      </w:r>
      <w:r w:rsidR="003F196F" w:rsidRPr="0005734E">
        <w:rPr>
          <w:sz w:val="22"/>
          <w:szCs w:val="22"/>
        </w:rPr>
        <w:t>performance threshold</w:t>
      </w:r>
      <w:r w:rsidR="00DB0639">
        <w:rPr>
          <w:sz w:val="22"/>
          <w:szCs w:val="22"/>
        </w:rPr>
        <w:t xml:space="preserve">, based on </w:t>
      </w:r>
      <w:r w:rsidR="007E4F83">
        <w:rPr>
          <w:sz w:val="22"/>
          <w:szCs w:val="22"/>
        </w:rPr>
        <w:t>each</w:t>
      </w:r>
      <w:r w:rsidR="007D16A5">
        <w:rPr>
          <w:sz w:val="22"/>
          <w:szCs w:val="22"/>
        </w:rPr>
        <w:t xml:space="preserve"> OHH’s</w:t>
      </w:r>
      <w:r w:rsidR="00DB0639">
        <w:rPr>
          <w:sz w:val="22"/>
          <w:szCs w:val="22"/>
        </w:rPr>
        <w:t xml:space="preserve"> </w:t>
      </w:r>
      <w:r w:rsidR="00201CEA">
        <w:rPr>
          <w:sz w:val="22"/>
          <w:szCs w:val="22"/>
        </w:rPr>
        <w:t xml:space="preserve">proportion of the </w:t>
      </w:r>
      <w:r w:rsidR="00525223">
        <w:rPr>
          <w:sz w:val="22"/>
          <w:szCs w:val="22"/>
        </w:rPr>
        <w:t xml:space="preserve">total </w:t>
      </w:r>
      <w:r w:rsidR="001430E9">
        <w:rPr>
          <w:sz w:val="22"/>
          <w:szCs w:val="22"/>
        </w:rPr>
        <w:t>number of attributed members who me</w:t>
      </w:r>
      <w:r w:rsidR="007D16A5">
        <w:rPr>
          <w:sz w:val="22"/>
          <w:szCs w:val="22"/>
        </w:rPr>
        <w:t>e</w:t>
      </w:r>
      <w:r w:rsidR="001430E9">
        <w:rPr>
          <w:sz w:val="22"/>
          <w:szCs w:val="22"/>
        </w:rPr>
        <w:t>t all three performance measure numerator criteria</w:t>
      </w:r>
      <w:r w:rsidR="004E61AC">
        <w:rPr>
          <w:sz w:val="22"/>
          <w:szCs w:val="22"/>
        </w:rPr>
        <w:t xml:space="preserve"> and are attributed to OHHs that meet the excellen</w:t>
      </w:r>
      <w:r w:rsidR="0048541F">
        <w:rPr>
          <w:sz w:val="22"/>
          <w:szCs w:val="22"/>
        </w:rPr>
        <w:t>t</w:t>
      </w:r>
      <w:r w:rsidR="004E61AC">
        <w:rPr>
          <w:sz w:val="22"/>
          <w:szCs w:val="22"/>
        </w:rPr>
        <w:t xml:space="preserve"> </w:t>
      </w:r>
      <w:r w:rsidR="00C104AA">
        <w:rPr>
          <w:sz w:val="22"/>
          <w:szCs w:val="22"/>
        </w:rPr>
        <w:t xml:space="preserve">performance </w:t>
      </w:r>
      <w:r w:rsidR="004E61AC">
        <w:rPr>
          <w:sz w:val="22"/>
          <w:szCs w:val="22"/>
        </w:rPr>
        <w:t>threshold</w:t>
      </w:r>
      <w:r w:rsidR="003F196F">
        <w:rPr>
          <w:sz w:val="22"/>
          <w:szCs w:val="22"/>
        </w:rPr>
        <w:t>.</w:t>
      </w:r>
      <w:r w:rsidRPr="003313FE">
        <w:rPr>
          <w:sz w:val="22"/>
          <w:szCs w:val="22"/>
        </w:rPr>
        <w:t xml:space="preserve"> </w:t>
      </w:r>
      <w:r w:rsidR="00DC1271">
        <w:rPr>
          <w:sz w:val="22"/>
          <w:szCs w:val="22"/>
        </w:rPr>
        <w:t xml:space="preserve">Hence, the </w:t>
      </w:r>
      <w:r w:rsidR="006A5F22">
        <w:rPr>
          <w:sz w:val="22"/>
          <w:szCs w:val="22"/>
        </w:rPr>
        <w:t xml:space="preserve">amount of funds </w:t>
      </w:r>
      <w:r w:rsidR="00007C9E">
        <w:rPr>
          <w:sz w:val="22"/>
          <w:szCs w:val="22"/>
        </w:rPr>
        <w:t>ava</w:t>
      </w:r>
      <w:r w:rsidR="006644EE">
        <w:rPr>
          <w:sz w:val="22"/>
          <w:szCs w:val="22"/>
        </w:rPr>
        <w:t>ilable to distribute to OHHs that meet the excellen</w:t>
      </w:r>
      <w:r w:rsidR="006D4BD7">
        <w:rPr>
          <w:sz w:val="22"/>
          <w:szCs w:val="22"/>
        </w:rPr>
        <w:t>t</w:t>
      </w:r>
      <w:r w:rsidR="008171AD">
        <w:rPr>
          <w:sz w:val="22"/>
          <w:szCs w:val="22"/>
        </w:rPr>
        <w:t xml:space="preserve"> performance</w:t>
      </w:r>
      <w:r w:rsidR="006644EE">
        <w:rPr>
          <w:sz w:val="22"/>
          <w:szCs w:val="22"/>
        </w:rPr>
        <w:t xml:space="preserve"> threshold </w:t>
      </w:r>
      <w:r w:rsidR="001E12FF">
        <w:rPr>
          <w:sz w:val="22"/>
          <w:szCs w:val="22"/>
        </w:rPr>
        <w:t xml:space="preserve">depends on the </w:t>
      </w:r>
      <w:r w:rsidR="008171AD">
        <w:rPr>
          <w:sz w:val="22"/>
          <w:szCs w:val="22"/>
        </w:rPr>
        <w:t xml:space="preserve">number of OHHs that fail to meet the minimum performance threshold. </w:t>
      </w:r>
      <w:r w:rsidR="001F6F11">
        <w:rPr>
          <w:sz w:val="22"/>
          <w:szCs w:val="22"/>
        </w:rPr>
        <w:t xml:space="preserve">If all OHHs meet the minimum </w:t>
      </w:r>
      <w:r w:rsidR="004C053D">
        <w:rPr>
          <w:sz w:val="22"/>
          <w:szCs w:val="22"/>
        </w:rPr>
        <w:t xml:space="preserve">performance </w:t>
      </w:r>
      <w:r w:rsidR="001F6F11">
        <w:rPr>
          <w:sz w:val="22"/>
          <w:szCs w:val="22"/>
        </w:rPr>
        <w:t>threshold</w:t>
      </w:r>
      <w:r w:rsidR="00FE447C">
        <w:rPr>
          <w:sz w:val="22"/>
          <w:szCs w:val="22"/>
        </w:rPr>
        <w:t xml:space="preserve"> then </w:t>
      </w:r>
      <w:r w:rsidR="00B86BB9">
        <w:rPr>
          <w:sz w:val="22"/>
          <w:szCs w:val="22"/>
        </w:rPr>
        <w:t>there will be no funds to</w:t>
      </w:r>
      <w:r w:rsidR="00242575">
        <w:rPr>
          <w:sz w:val="22"/>
          <w:szCs w:val="22"/>
        </w:rPr>
        <w:t xml:space="preserve"> distribute to </w:t>
      </w:r>
      <w:r w:rsidR="004E46C7">
        <w:rPr>
          <w:sz w:val="22"/>
          <w:szCs w:val="22"/>
        </w:rPr>
        <w:t>OHHs that meet the excellen</w:t>
      </w:r>
      <w:r w:rsidR="006D4BD7">
        <w:rPr>
          <w:sz w:val="22"/>
          <w:szCs w:val="22"/>
        </w:rPr>
        <w:t>t</w:t>
      </w:r>
      <w:r w:rsidR="004E46C7">
        <w:rPr>
          <w:sz w:val="22"/>
          <w:szCs w:val="22"/>
        </w:rPr>
        <w:t xml:space="preserve"> </w:t>
      </w:r>
      <w:r w:rsidR="004C053D">
        <w:rPr>
          <w:sz w:val="22"/>
          <w:szCs w:val="22"/>
        </w:rPr>
        <w:t xml:space="preserve">performance </w:t>
      </w:r>
      <w:r w:rsidR="00AD6096">
        <w:rPr>
          <w:sz w:val="22"/>
          <w:szCs w:val="22"/>
        </w:rPr>
        <w:t>threshold</w:t>
      </w:r>
      <w:r w:rsidR="00242575">
        <w:rPr>
          <w:sz w:val="22"/>
          <w:szCs w:val="22"/>
        </w:rPr>
        <w:t>.</w:t>
      </w:r>
    </w:p>
    <w:p w14:paraId="1573A143" w14:textId="7A1D1FCD" w:rsidR="00C600D1" w:rsidRDefault="00C600D1" w:rsidP="00F32171">
      <w:pPr>
        <w:ind w:right="360"/>
        <w:jc w:val="both"/>
        <w:rPr>
          <w:b/>
          <w:sz w:val="22"/>
        </w:rPr>
      </w:pPr>
    </w:p>
    <w:p w14:paraId="3ACEA7C9" w14:textId="77777777" w:rsidR="004B22F4" w:rsidRDefault="004B22F4" w:rsidP="00F32171">
      <w:pPr>
        <w:ind w:right="360"/>
        <w:jc w:val="both"/>
        <w:rPr>
          <w:b/>
          <w:sz w:val="22"/>
        </w:rPr>
      </w:pPr>
    </w:p>
    <w:p w14:paraId="7386545E" w14:textId="77777777" w:rsidR="004B22F4" w:rsidRDefault="004B22F4" w:rsidP="004B22F4">
      <w:pPr>
        <w:pBdr>
          <w:bottom w:val="single" w:sz="4" w:space="1" w:color="auto"/>
        </w:pBdr>
        <w:ind w:right="360"/>
        <w:jc w:val="both"/>
        <w:rPr>
          <w:b/>
          <w:sz w:val="22"/>
        </w:rPr>
      </w:pPr>
    </w:p>
    <w:p w14:paraId="24FCC292" w14:textId="77777777" w:rsidR="004B22F4" w:rsidRDefault="004B22F4" w:rsidP="00F32171">
      <w:pPr>
        <w:ind w:right="360"/>
        <w:jc w:val="both"/>
        <w:rPr>
          <w:b/>
          <w:sz w:val="22"/>
        </w:rPr>
      </w:pPr>
    </w:p>
    <w:p w14:paraId="70B9A747" w14:textId="549DD0A5" w:rsidR="004B22F4" w:rsidRPr="004B22F4" w:rsidRDefault="004B22F4" w:rsidP="00F32171">
      <w:pPr>
        <w:ind w:right="360"/>
        <w:jc w:val="both"/>
        <w:rPr>
          <w:bCs/>
          <w:sz w:val="22"/>
        </w:rPr>
      </w:pPr>
      <w:r w:rsidRPr="004B22F4">
        <w:rPr>
          <w:bCs/>
          <w:sz w:val="22"/>
        </w:rPr>
        <w:t xml:space="preserve">APAO ACCESSIBILITY CHECK: </w:t>
      </w:r>
    </w:p>
    <w:p w14:paraId="413352F1" w14:textId="226F2646" w:rsidR="004B22F4" w:rsidRPr="004B22F4" w:rsidRDefault="004B22F4" w:rsidP="00F32171">
      <w:pPr>
        <w:ind w:right="360"/>
        <w:jc w:val="both"/>
        <w:rPr>
          <w:bCs/>
          <w:sz w:val="22"/>
        </w:rPr>
      </w:pPr>
      <w:r w:rsidRPr="004B22F4">
        <w:rPr>
          <w:bCs/>
          <w:sz w:val="22"/>
        </w:rPr>
        <w:tab/>
        <w:t>February 5, 2026 (no issues detected by agency of jurisdiction)</w:t>
      </w:r>
    </w:p>
    <w:sectPr w:rsidR="004B22F4" w:rsidRPr="004B22F4" w:rsidSect="00FB64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584A" w14:textId="77777777" w:rsidR="00227299" w:rsidRDefault="00227299" w:rsidP="003B61E4">
      <w:r>
        <w:separator/>
      </w:r>
    </w:p>
  </w:endnote>
  <w:endnote w:type="continuationSeparator" w:id="0">
    <w:p w14:paraId="5E2FDA02" w14:textId="77777777" w:rsidR="00227299" w:rsidRDefault="00227299" w:rsidP="003B61E4">
      <w:r>
        <w:continuationSeparator/>
      </w:r>
    </w:p>
  </w:endnote>
  <w:endnote w:type="continuationNotice" w:id="1">
    <w:p w14:paraId="5078FFB1" w14:textId="77777777" w:rsidR="00227299" w:rsidRDefault="0022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0CA6" w14:textId="77777777" w:rsidR="000D3F4E" w:rsidRDefault="000D3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60139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18204" w14:textId="498918A8" w:rsidR="00993BC1" w:rsidRPr="00993BC1" w:rsidRDefault="00993BC1">
        <w:pPr>
          <w:pStyle w:val="Footer"/>
          <w:jc w:val="center"/>
          <w:rPr>
            <w:rFonts w:ascii="Times New Roman" w:hAnsi="Times New Roman" w:cs="Times New Roman"/>
          </w:rPr>
        </w:pPr>
        <w:r w:rsidRPr="00993BC1">
          <w:rPr>
            <w:rFonts w:ascii="Times New Roman" w:hAnsi="Times New Roman" w:cs="Times New Roman"/>
          </w:rPr>
          <w:fldChar w:fldCharType="begin"/>
        </w:r>
        <w:r w:rsidRPr="00993BC1">
          <w:rPr>
            <w:rFonts w:ascii="Times New Roman" w:hAnsi="Times New Roman" w:cs="Times New Roman"/>
          </w:rPr>
          <w:instrText xml:space="preserve"> PAGE   \* MERGEFORMAT </w:instrText>
        </w:r>
        <w:r w:rsidRPr="00993BC1">
          <w:rPr>
            <w:rFonts w:ascii="Times New Roman" w:hAnsi="Times New Roman" w:cs="Times New Roman"/>
          </w:rPr>
          <w:fldChar w:fldCharType="separate"/>
        </w:r>
        <w:r w:rsidRPr="00993BC1">
          <w:rPr>
            <w:rFonts w:ascii="Times New Roman" w:hAnsi="Times New Roman" w:cs="Times New Roman"/>
            <w:noProof/>
          </w:rPr>
          <w:t>2</w:t>
        </w:r>
        <w:r w:rsidRPr="00993BC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A9CE51" w14:textId="77777777" w:rsidR="00993BC1" w:rsidRDefault="00993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A435" w14:textId="77777777" w:rsidR="000D3F4E" w:rsidRDefault="000D3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44A3" w14:textId="77777777" w:rsidR="00227299" w:rsidRDefault="00227299" w:rsidP="003B61E4">
      <w:r>
        <w:separator/>
      </w:r>
    </w:p>
  </w:footnote>
  <w:footnote w:type="continuationSeparator" w:id="0">
    <w:p w14:paraId="1FEFBF86" w14:textId="77777777" w:rsidR="00227299" w:rsidRDefault="00227299" w:rsidP="003B61E4">
      <w:r>
        <w:continuationSeparator/>
      </w:r>
    </w:p>
  </w:footnote>
  <w:footnote w:type="continuationNotice" w:id="1">
    <w:p w14:paraId="69F697AA" w14:textId="77777777" w:rsidR="00227299" w:rsidRDefault="00227299"/>
  </w:footnote>
  <w:footnote w:id="2">
    <w:p w14:paraId="6C245CFE" w14:textId="1373A6DC" w:rsidR="004E6410" w:rsidRDefault="004E6410" w:rsidP="000960DA">
      <w:pPr>
        <w:pStyle w:val="FootnoteText"/>
      </w:pPr>
      <w:r>
        <w:rPr>
          <w:rStyle w:val="FootnoteReference"/>
        </w:rPr>
        <w:footnoteRef/>
      </w:r>
      <w:r>
        <w:t xml:space="preserve"> For Section 13, Opioid Health Home (OHH) providers will use the following codes with modifiers for their authorization: T1017 HG-TCM HIV, T1017 U5 HG-TCM Homeless, T1017 UC HG- TCM Children. For Section 92, OHH providers will use the following codes with modifiers for their authorization: T2022 HA HG-BHH Children, T2022 HB HG- BHH Adult. For Section 17, OHH providers will use the following codes with modifiers for their authorization: H2015 HG- Community Integration. </w:t>
      </w:r>
    </w:p>
  </w:footnote>
  <w:footnote w:id="3">
    <w:p w14:paraId="4A107189" w14:textId="77777777" w:rsidR="004E6410" w:rsidRDefault="004E6410" w:rsidP="000960DA">
      <w:pPr>
        <w:pStyle w:val="FootnoteText"/>
      </w:pPr>
      <w:r>
        <w:rPr>
          <w:rStyle w:val="FootnoteReference"/>
        </w:rPr>
        <w:footnoteRef/>
      </w:r>
      <w:r>
        <w:t xml:space="preserve"> See footnote 1</w:t>
      </w:r>
    </w:p>
  </w:footnote>
  <w:footnote w:id="4">
    <w:p w14:paraId="73E078F2" w14:textId="77777777" w:rsidR="004E6410" w:rsidRDefault="004E6410" w:rsidP="000960DA">
      <w:pPr>
        <w:pStyle w:val="FootnoteText"/>
      </w:pPr>
      <w:r>
        <w:rPr>
          <w:rStyle w:val="FootnoteReference"/>
        </w:rPr>
        <w:footnoteRef/>
      </w:r>
      <w:r>
        <w:t xml:space="preserve"> See footnote 1</w:t>
      </w:r>
    </w:p>
  </w:footnote>
  <w:footnote w:id="5">
    <w:p w14:paraId="058CD680" w14:textId="77777777" w:rsidR="004E6410" w:rsidRDefault="004E6410" w:rsidP="000960DA">
      <w:pPr>
        <w:pStyle w:val="FootnoteText"/>
      </w:pPr>
      <w:r>
        <w:rPr>
          <w:rStyle w:val="FootnoteReference"/>
        </w:rPr>
        <w:footnoteRef/>
      </w:r>
      <w:r>
        <w:t xml:space="preserve"> See footnote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82CB" w14:textId="77777777" w:rsidR="000D3F4E" w:rsidRDefault="000D3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0F16" w14:textId="77777777" w:rsidR="00512325" w:rsidRPr="00AD1A0B" w:rsidRDefault="00512325" w:rsidP="00AD1A0B">
    <w:pPr>
      <w:tabs>
        <w:tab w:val="center" w:pos="4680"/>
        <w:tab w:val="right" w:pos="9360"/>
      </w:tabs>
      <w:jc w:val="center"/>
      <w:rPr>
        <w:sz w:val="22"/>
        <w:szCs w:val="22"/>
      </w:rPr>
    </w:pPr>
    <w:r w:rsidRPr="00AD1A0B">
      <w:rPr>
        <w:sz w:val="22"/>
        <w:szCs w:val="22"/>
      </w:rPr>
      <w:t>10-144 Chapter 101</w:t>
    </w:r>
  </w:p>
  <w:p w14:paraId="197D68F4" w14:textId="77777777" w:rsidR="00512325" w:rsidRPr="00AD1A0B" w:rsidRDefault="00512325" w:rsidP="00AD1A0B">
    <w:pPr>
      <w:tabs>
        <w:tab w:val="center" w:pos="4680"/>
        <w:tab w:val="right" w:pos="9360"/>
      </w:tabs>
      <w:jc w:val="center"/>
      <w:rPr>
        <w:sz w:val="22"/>
        <w:szCs w:val="22"/>
      </w:rPr>
    </w:pPr>
    <w:r w:rsidRPr="00AD1A0B">
      <w:rPr>
        <w:sz w:val="22"/>
        <w:szCs w:val="22"/>
      </w:rPr>
      <w:t>MAINECARE BENEFITS MANUAL</w:t>
    </w:r>
  </w:p>
  <w:p w14:paraId="7B3027B0" w14:textId="77777777" w:rsidR="00512325" w:rsidRPr="00AD1A0B" w:rsidRDefault="00512325" w:rsidP="00AD1A0B">
    <w:pPr>
      <w:tabs>
        <w:tab w:val="center" w:pos="4680"/>
        <w:tab w:val="right" w:pos="9360"/>
      </w:tabs>
      <w:jc w:val="center"/>
      <w:rPr>
        <w:sz w:val="22"/>
        <w:szCs w:val="22"/>
      </w:rPr>
    </w:pPr>
    <w:r w:rsidRPr="00AD1A0B">
      <w:rPr>
        <w:sz w:val="22"/>
        <w:szCs w:val="22"/>
      </w:rPr>
      <w:t>Chapter II</w:t>
    </w:r>
    <w:r>
      <w:rPr>
        <w:sz w:val="22"/>
        <w:szCs w:val="22"/>
      </w:rPr>
      <w:t>I</w:t>
    </w:r>
  </w:p>
  <w:p w14:paraId="016F7CFC" w14:textId="2F753A37" w:rsidR="00512325" w:rsidRPr="009F3B3A" w:rsidRDefault="00512325" w:rsidP="009F3B3A">
    <w:pPr>
      <w:pBdr>
        <w:top w:val="single" w:sz="12" w:space="1" w:color="auto"/>
        <w:bottom w:val="single" w:sz="12" w:space="1" w:color="auto"/>
      </w:pBdr>
      <w:tabs>
        <w:tab w:val="center" w:pos="4680"/>
        <w:tab w:val="right" w:pos="9360"/>
      </w:tabs>
      <w:rPr>
        <w:sz w:val="22"/>
        <w:szCs w:val="22"/>
      </w:rPr>
    </w:pPr>
    <w:r w:rsidRPr="00AD1A0B">
      <w:rPr>
        <w:sz w:val="22"/>
        <w:szCs w:val="22"/>
      </w:rPr>
      <w:t>Section 93</w:t>
    </w:r>
    <w:r w:rsidRPr="00AD1A0B">
      <w:rPr>
        <w:sz w:val="22"/>
        <w:szCs w:val="22"/>
      </w:rPr>
      <w:tab/>
    </w:r>
    <w:r>
      <w:rPr>
        <w:sz w:val="22"/>
        <w:szCs w:val="22"/>
      </w:rPr>
      <w:t xml:space="preserve">REIMBURSEMENT FOR </w:t>
    </w:r>
    <w:r w:rsidRPr="00AD1A0B">
      <w:rPr>
        <w:sz w:val="22"/>
        <w:szCs w:val="22"/>
      </w:rPr>
      <w:t>OPIOID HEALTH HOME SERVICES</w:t>
    </w:r>
  </w:p>
  <w:p w14:paraId="2D1A6E58" w14:textId="18E6DA25" w:rsidR="00512325" w:rsidRDefault="00512325" w:rsidP="009F3B3A">
    <w:pPr>
      <w:pBdr>
        <w:top w:val="single" w:sz="12" w:space="1" w:color="auto"/>
        <w:bottom w:val="single" w:sz="12" w:space="1" w:color="auto"/>
      </w:pBdr>
      <w:tabs>
        <w:tab w:val="center" w:pos="4680"/>
        <w:tab w:val="right" w:pos="936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>Established: 4/11/17</w:t>
    </w:r>
  </w:p>
  <w:p w14:paraId="30648AF5" w14:textId="6B27BBF5" w:rsidR="00512325" w:rsidRPr="00F32171" w:rsidRDefault="00993BC1" w:rsidP="00F32171">
    <w:pPr>
      <w:pStyle w:val="Header"/>
      <w:pBdr>
        <w:top w:val="single" w:sz="12" w:space="1" w:color="auto"/>
        <w:bottom w:val="single" w:sz="12" w:space="1" w:color="auto"/>
      </w:pBdr>
      <w:jc w:val="right"/>
    </w:pPr>
    <w:r>
      <w:rPr>
        <w:rFonts w:ascii="Times New Roman" w:eastAsia="Times New Roman" w:hAnsi="Times New Roman" w:cs="Times New Roman"/>
      </w:rPr>
      <w:t>Legal Effective Date</w:t>
    </w:r>
    <w:r w:rsidR="00512325" w:rsidRPr="002946D4">
      <w:rPr>
        <w:rFonts w:ascii="Times New Roman" w:eastAsia="Times New Roman" w:hAnsi="Times New Roman" w:cs="Times New Roman"/>
      </w:rPr>
      <w:t>:</w:t>
    </w:r>
    <w:r>
      <w:rPr>
        <w:rFonts w:ascii="Times New Roman" w:eastAsia="Times New Roman" w:hAnsi="Times New Roman" w:cs="Times New Roman"/>
      </w:rPr>
      <w:t xml:space="preserve"> </w:t>
    </w:r>
    <w:r w:rsidR="000D3F4E">
      <w:rPr>
        <w:rFonts w:ascii="Times New Roman" w:eastAsia="Times New Roman" w:hAnsi="Times New Roman" w:cs="Times New Roman"/>
      </w:rPr>
      <w:t>8</w:t>
    </w:r>
    <w:r>
      <w:rPr>
        <w:rFonts w:ascii="Times New Roman" w:eastAsia="Times New Roman" w:hAnsi="Times New Roman" w:cs="Times New Roman"/>
      </w:rPr>
      <w:t>/</w:t>
    </w:r>
    <w:r w:rsidR="000D3F4E"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t>1/22</w:t>
    </w:r>
    <w:r w:rsidR="00512325" w:rsidRPr="002946D4"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7B4C" w14:textId="77777777" w:rsidR="000D3F4E" w:rsidRDefault="000D3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3A27"/>
    <w:multiLevelType w:val="hybridMultilevel"/>
    <w:tmpl w:val="9904C9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671C8"/>
    <w:multiLevelType w:val="hybridMultilevel"/>
    <w:tmpl w:val="64FA3612"/>
    <w:lvl w:ilvl="0" w:tplc="D166E7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6AB"/>
    <w:multiLevelType w:val="hybridMultilevel"/>
    <w:tmpl w:val="D3B20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E2FD5"/>
    <w:multiLevelType w:val="hybridMultilevel"/>
    <w:tmpl w:val="EDAEBBDA"/>
    <w:lvl w:ilvl="0" w:tplc="B6848D0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11CA1"/>
    <w:multiLevelType w:val="hybridMultilevel"/>
    <w:tmpl w:val="3650F2CE"/>
    <w:lvl w:ilvl="0" w:tplc="89EEE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943A1"/>
    <w:multiLevelType w:val="hybridMultilevel"/>
    <w:tmpl w:val="8832827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C1E6C47"/>
    <w:multiLevelType w:val="hybridMultilevel"/>
    <w:tmpl w:val="7C7E5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29088">
    <w:abstractNumId w:val="6"/>
  </w:num>
  <w:num w:numId="2" w16cid:durableId="776681732">
    <w:abstractNumId w:val="4"/>
  </w:num>
  <w:num w:numId="3" w16cid:durableId="1676301565">
    <w:abstractNumId w:val="0"/>
  </w:num>
  <w:num w:numId="4" w16cid:durableId="507523186">
    <w:abstractNumId w:val="5"/>
  </w:num>
  <w:num w:numId="5" w16cid:durableId="28190849">
    <w:abstractNumId w:val="1"/>
  </w:num>
  <w:num w:numId="6" w16cid:durableId="220795259">
    <w:abstractNumId w:val="3"/>
  </w:num>
  <w:num w:numId="7" w16cid:durableId="370887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4"/>
    <w:rsid w:val="000006E9"/>
    <w:rsid w:val="000038A5"/>
    <w:rsid w:val="00005D0F"/>
    <w:rsid w:val="00006C74"/>
    <w:rsid w:val="00007C9E"/>
    <w:rsid w:val="00015AB2"/>
    <w:rsid w:val="00023D54"/>
    <w:rsid w:val="000243B9"/>
    <w:rsid w:val="00024514"/>
    <w:rsid w:val="00024C73"/>
    <w:rsid w:val="000260D8"/>
    <w:rsid w:val="00026A77"/>
    <w:rsid w:val="00026D07"/>
    <w:rsid w:val="00027708"/>
    <w:rsid w:val="00027C11"/>
    <w:rsid w:val="00032966"/>
    <w:rsid w:val="00033AA8"/>
    <w:rsid w:val="000362D8"/>
    <w:rsid w:val="000426B4"/>
    <w:rsid w:val="00046359"/>
    <w:rsid w:val="00051BF6"/>
    <w:rsid w:val="00055263"/>
    <w:rsid w:val="0005568A"/>
    <w:rsid w:val="000557B0"/>
    <w:rsid w:val="00056FE1"/>
    <w:rsid w:val="0005734E"/>
    <w:rsid w:val="0006144B"/>
    <w:rsid w:val="00061677"/>
    <w:rsid w:val="00063B5C"/>
    <w:rsid w:val="000648C1"/>
    <w:rsid w:val="00064D8C"/>
    <w:rsid w:val="00070637"/>
    <w:rsid w:val="00071942"/>
    <w:rsid w:val="00071D35"/>
    <w:rsid w:val="00072BD3"/>
    <w:rsid w:val="00080919"/>
    <w:rsid w:val="0008091C"/>
    <w:rsid w:val="00080EAC"/>
    <w:rsid w:val="00082702"/>
    <w:rsid w:val="000872D8"/>
    <w:rsid w:val="00095209"/>
    <w:rsid w:val="000960DA"/>
    <w:rsid w:val="00096802"/>
    <w:rsid w:val="000A1003"/>
    <w:rsid w:val="000A2071"/>
    <w:rsid w:val="000A242B"/>
    <w:rsid w:val="000A5E18"/>
    <w:rsid w:val="000A71CE"/>
    <w:rsid w:val="000A7573"/>
    <w:rsid w:val="000B097C"/>
    <w:rsid w:val="000B3E51"/>
    <w:rsid w:val="000B6671"/>
    <w:rsid w:val="000C034E"/>
    <w:rsid w:val="000C193E"/>
    <w:rsid w:val="000C1BE8"/>
    <w:rsid w:val="000C264C"/>
    <w:rsid w:val="000C43D5"/>
    <w:rsid w:val="000C54E6"/>
    <w:rsid w:val="000D3F4E"/>
    <w:rsid w:val="000E0B39"/>
    <w:rsid w:val="000E4ACD"/>
    <w:rsid w:val="000E4F83"/>
    <w:rsid w:val="000E5382"/>
    <w:rsid w:val="000E77F5"/>
    <w:rsid w:val="000E7D56"/>
    <w:rsid w:val="000F1844"/>
    <w:rsid w:val="000F3EA0"/>
    <w:rsid w:val="000F6D3B"/>
    <w:rsid w:val="00101C7E"/>
    <w:rsid w:val="001053BE"/>
    <w:rsid w:val="001065F7"/>
    <w:rsid w:val="001217FB"/>
    <w:rsid w:val="0012196E"/>
    <w:rsid w:val="00122101"/>
    <w:rsid w:val="00127F05"/>
    <w:rsid w:val="001323CA"/>
    <w:rsid w:val="00133397"/>
    <w:rsid w:val="00133D35"/>
    <w:rsid w:val="00133EAE"/>
    <w:rsid w:val="001359C6"/>
    <w:rsid w:val="00135AD1"/>
    <w:rsid w:val="001430E9"/>
    <w:rsid w:val="0014355E"/>
    <w:rsid w:val="00145F37"/>
    <w:rsid w:val="00147024"/>
    <w:rsid w:val="00147959"/>
    <w:rsid w:val="0015235A"/>
    <w:rsid w:val="0015584D"/>
    <w:rsid w:val="00161B24"/>
    <w:rsid w:val="00165D3D"/>
    <w:rsid w:val="00166216"/>
    <w:rsid w:val="001717D2"/>
    <w:rsid w:val="00173DA7"/>
    <w:rsid w:val="00174838"/>
    <w:rsid w:val="00180FB0"/>
    <w:rsid w:val="00181B0F"/>
    <w:rsid w:val="001821E9"/>
    <w:rsid w:val="001823E3"/>
    <w:rsid w:val="00184F4C"/>
    <w:rsid w:val="00186A1B"/>
    <w:rsid w:val="00187959"/>
    <w:rsid w:val="00191547"/>
    <w:rsid w:val="001979A8"/>
    <w:rsid w:val="001A1BE6"/>
    <w:rsid w:val="001A32F1"/>
    <w:rsid w:val="001A4D31"/>
    <w:rsid w:val="001A7809"/>
    <w:rsid w:val="001B29C4"/>
    <w:rsid w:val="001B5449"/>
    <w:rsid w:val="001B7C70"/>
    <w:rsid w:val="001C0192"/>
    <w:rsid w:val="001C7DFF"/>
    <w:rsid w:val="001D1E23"/>
    <w:rsid w:val="001D2A31"/>
    <w:rsid w:val="001D4BAB"/>
    <w:rsid w:val="001D62EF"/>
    <w:rsid w:val="001D6AA2"/>
    <w:rsid w:val="001D7142"/>
    <w:rsid w:val="001E12FF"/>
    <w:rsid w:val="001E341A"/>
    <w:rsid w:val="001E415B"/>
    <w:rsid w:val="001E54E3"/>
    <w:rsid w:val="001E5622"/>
    <w:rsid w:val="001E6423"/>
    <w:rsid w:val="001E7071"/>
    <w:rsid w:val="001E773E"/>
    <w:rsid w:val="001F1486"/>
    <w:rsid w:val="001F3918"/>
    <w:rsid w:val="001F40CB"/>
    <w:rsid w:val="001F6F11"/>
    <w:rsid w:val="00201CEA"/>
    <w:rsid w:val="00207F6D"/>
    <w:rsid w:val="00210376"/>
    <w:rsid w:val="002147EB"/>
    <w:rsid w:val="002151EC"/>
    <w:rsid w:val="00215A1C"/>
    <w:rsid w:val="00216157"/>
    <w:rsid w:val="00216D77"/>
    <w:rsid w:val="002236C5"/>
    <w:rsid w:val="0022407C"/>
    <w:rsid w:val="00227175"/>
    <w:rsid w:val="00227299"/>
    <w:rsid w:val="00227E5A"/>
    <w:rsid w:val="00230AF9"/>
    <w:rsid w:val="00230AFC"/>
    <w:rsid w:val="002325AC"/>
    <w:rsid w:val="002326B4"/>
    <w:rsid w:val="002329C6"/>
    <w:rsid w:val="00232F1D"/>
    <w:rsid w:val="00232F30"/>
    <w:rsid w:val="00232F7E"/>
    <w:rsid w:val="00237053"/>
    <w:rsid w:val="00237DA7"/>
    <w:rsid w:val="00242575"/>
    <w:rsid w:val="00262E8A"/>
    <w:rsid w:val="002632AF"/>
    <w:rsid w:val="00267457"/>
    <w:rsid w:val="00272300"/>
    <w:rsid w:val="00283B0D"/>
    <w:rsid w:val="00284451"/>
    <w:rsid w:val="00285244"/>
    <w:rsid w:val="00285453"/>
    <w:rsid w:val="002863DB"/>
    <w:rsid w:val="00286F18"/>
    <w:rsid w:val="00293C15"/>
    <w:rsid w:val="002946D4"/>
    <w:rsid w:val="002A0814"/>
    <w:rsid w:val="002A0B83"/>
    <w:rsid w:val="002A2209"/>
    <w:rsid w:val="002A335F"/>
    <w:rsid w:val="002A617C"/>
    <w:rsid w:val="002A61E0"/>
    <w:rsid w:val="002B130C"/>
    <w:rsid w:val="002B7631"/>
    <w:rsid w:val="002B7F43"/>
    <w:rsid w:val="002C083F"/>
    <w:rsid w:val="002C27CF"/>
    <w:rsid w:val="002C5B92"/>
    <w:rsid w:val="002D03D0"/>
    <w:rsid w:val="002D0DBE"/>
    <w:rsid w:val="002E1AFF"/>
    <w:rsid w:val="002E27C0"/>
    <w:rsid w:val="002E4B1C"/>
    <w:rsid w:val="002E56DE"/>
    <w:rsid w:val="002E5AA5"/>
    <w:rsid w:val="002F1B4D"/>
    <w:rsid w:val="002F5BC4"/>
    <w:rsid w:val="002F7F84"/>
    <w:rsid w:val="00300236"/>
    <w:rsid w:val="00302415"/>
    <w:rsid w:val="00302EDF"/>
    <w:rsid w:val="00307202"/>
    <w:rsid w:val="00307820"/>
    <w:rsid w:val="00310462"/>
    <w:rsid w:val="003110FB"/>
    <w:rsid w:val="003112EA"/>
    <w:rsid w:val="003118E1"/>
    <w:rsid w:val="00311D48"/>
    <w:rsid w:val="00312284"/>
    <w:rsid w:val="00321959"/>
    <w:rsid w:val="00322B27"/>
    <w:rsid w:val="0032386B"/>
    <w:rsid w:val="003263F8"/>
    <w:rsid w:val="00327F3B"/>
    <w:rsid w:val="003313FE"/>
    <w:rsid w:val="003342BA"/>
    <w:rsid w:val="003347E8"/>
    <w:rsid w:val="00342AE5"/>
    <w:rsid w:val="00344CFB"/>
    <w:rsid w:val="003466C4"/>
    <w:rsid w:val="003512DD"/>
    <w:rsid w:val="003527FD"/>
    <w:rsid w:val="00353AC5"/>
    <w:rsid w:val="00353D88"/>
    <w:rsid w:val="00354DC0"/>
    <w:rsid w:val="00355597"/>
    <w:rsid w:val="00357C59"/>
    <w:rsid w:val="00357EC5"/>
    <w:rsid w:val="003603B5"/>
    <w:rsid w:val="0036359C"/>
    <w:rsid w:val="003641FE"/>
    <w:rsid w:val="00365674"/>
    <w:rsid w:val="003706E2"/>
    <w:rsid w:val="003709EC"/>
    <w:rsid w:val="00373186"/>
    <w:rsid w:val="003749E1"/>
    <w:rsid w:val="00375411"/>
    <w:rsid w:val="0038311B"/>
    <w:rsid w:val="00383AD1"/>
    <w:rsid w:val="003843E6"/>
    <w:rsid w:val="003869AF"/>
    <w:rsid w:val="00396772"/>
    <w:rsid w:val="003968B1"/>
    <w:rsid w:val="00397828"/>
    <w:rsid w:val="003A31D7"/>
    <w:rsid w:val="003A505A"/>
    <w:rsid w:val="003A6324"/>
    <w:rsid w:val="003A66B9"/>
    <w:rsid w:val="003A7C03"/>
    <w:rsid w:val="003B61E4"/>
    <w:rsid w:val="003B7D35"/>
    <w:rsid w:val="003C3983"/>
    <w:rsid w:val="003C6CDA"/>
    <w:rsid w:val="003D0687"/>
    <w:rsid w:val="003D2332"/>
    <w:rsid w:val="003D38E4"/>
    <w:rsid w:val="003E0786"/>
    <w:rsid w:val="003E0FFA"/>
    <w:rsid w:val="003E4B54"/>
    <w:rsid w:val="003F196F"/>
    <w:rsid w:val="003F1C44"/>
    <w:rsid w:val="003F544D"/>
    <w:rsid w:val="003F7BC8"/>
    <w:rsid w:val="00400E2D"/>
    <w:rsid w:val="00403E3B"/>
    <w:rsid w:val="00406BD4"/>
    <w:rsid w:val="004074F8"/>
    <w:rsid w:val="004122A6"/>
    <w:rsid w:val="004141DC"/>
    <w:rsid w:val="004157D0"/>
    <w:rsid w:val="00420073"/>
    <w:rsid w:val="00422F72"/>
    <w:rsid w:val="00423093"/>
    <w:rsid w:val="00423B1E"/>
    <w:rsid w:val="00424EE1"/>
    <w:rsid w:val="00425BCB"/>
    <w:rsid w:val="00426ACC"/>
    <w:rsid w:val="004277BF"/>
    <w:rsid w:val="00432F1E"/>
    <w:rsid w:val="00434BB2"/>
    <w:rsid w:val="00434F19"/>
    <w:rsid w:val="0044130F"/>
    <w:rsid w:val="00451B87"/>
    <w:rsid w:val="0045693B"/>
    <w:rsid w:val="00456B8F"/>
    <w:rsid w:val="00460E91"/>
    <w:rsid w:val="00461AFD"/>
    <w:rsid w:val="00462D87"/>
    <w:rsid w:val="004632B6"/>
    <w:rsid w:val="00467041"/>
    <w:rsid w:val="004741F2"/>
    <w:rsid w:val="00474AC4"/>
    <w:rsid w:val="00474D97"/>
    <w:rsid w:val="00476078"/>
    <w:rsid w:val="004774C7"/>
    <w:rsid w:val="00480C05"/>
    <w:rsid w:val="0048541F"/>
    <w:rsid w:val="004862C9"/>
    <w:rsid w:val="00490ACB"/>
    <w:rsid w:val="0049504F"/>
    <w:rsid w:val="004974ED"/>
    <w:rsid w:val="004A0366"/>
    <w:rsid w:val="004A0D16"/>
    <w:rsid w:val="004A278B"/>
    <w:rsid w:val="004A4497"/>
    <w:rsid w:val="004A4AEF"/>
    <w:rsid w:val="004A5F5C"/>
    <w:rsid w:val="004B1AF2"/>
    <w:rsid w:val="004B22F4"/>
    <w:rsid w:val="004B60A1"/>
    <w:rsid w:val="004B6886"/>
    <w:rsid w:val="004B740A"/>
    <w:rsid w:val="004C053D"/>
    <w:rsid w:val="004C338F"/>
    <w:rsid w:val="004C701D"/>
    <w:rsid w:val="004C7134"/>
    <w:rsid w:val="004D3DC9"/>
    <w:rsid w:val="004D7EAE"/>
    <w:rsid w:val="004E4323"/>
    <w:rsid w:val="004E46C7"/>
    <w:rsid w:val="004E61AC"/>
    <w:rsid w:val="004E6410"/>
    <w:rsid w:val="004E7E73"/>
    <w:rsid w:val="004F3078"/>
    <w:rsid w:val="004F40DF"/>
    <w:rsid w:val="004F4B70"/>
    <w:rsid w:val="00501473"/>
    <w:rsid w:val="005016C8"/>
    <w:rsid w:val="00503B62"/>
    <w:rsid w:val="00512325"/>
    <w:rsid w:val="00514BC2"/>
    <w:rsid w:val="00515863"/>
    <w:rsid w:val="00515FB5"/>
    <w:rsid w:val="0051606D"/>
    <w:rsid w:val="0052158B"/>
    <w:rsid w:val="00521D3B"/>
    <w:rsid w:val="00521F42"/>
    <w:rsid w:val="00524EC3"/>
    <w:rsid w:val="00525223"/>
    <w:rsid w:val="00530893"/>
    <w:rsid w:val="0053415A"/>
    <w:rsid w:val="005357C7"/>
    <w:rsid w:val="00536515"/>
    <w:rsid w:val="00540756"/>
    <w:rsid w:val="005427FE"/>
    <w:rsid w:val="00543C2F"/>
    <w:rsid w:val="00546FB1"/>
    <w:rsid w:val="005478F1"/>
    <w:rsid w:val="0055359A"/>
    <w:rsid w:val="005545F3"/>
    <w:rsid w:val="00556616"/>
    <w:rsid w:val="00556822"/>
    <w:rsid w:val="00556A47"/>
    <w:rsid w:val="005616D5"/>
    <w:rsid w:val="005619A0"/>
    <w:rsid w:val="00561D96"/>
    <w:rsid w:val="00562AC4"/>
    <w:rsid w:val="005637BD"/>
    <w:rsid w:val="00566451"/>
    <w:rsid w:val="00570731"/>
    <w:rsid w:val="00571BB5"/>
    <w:rsid w:val="00573A00"/>
    <w:rsid w:val="00574624"/>
    <w:rsid w:val="00574C32"/>
    <w:rsid w:val="00574E68"/>
    <w:rsid w:val="00575644"/>
    <w:rsid w:val="00577DCF"/>
    <w:rsid w:val="00580BA7"/>
    <w:rsid w:val="00582B64"/>
    <w:rsid w:val="005878F1"/>
    <w:rsid w:val="0059223F"/>
    <w:rsid w:val="005954B5"/>
    <w:rsid w:val="00595D99"/>
    <w:rsid w:val="005967D0"/>
    <w:rsid w:val="00596AF9"/>
    <w:rsid w:val="005A234F"/>
    <w:rsid w:val="005A2F1C"/>
    <w:rsid w:val="005A45DF"/>
    <w:rsid w:val="005A5549"/>
    <w:rsid w:val="005A7665"/>
    <w:rsid w:val="005A7982"/>
    <w:rsid w:val="005B118E"/>
    <w:rsid w:val="005B4816"/>
    <w:rsid w:val="005B5EE1"/>
    <w:rsid w:val="005B639A"/>
    <w:rsid w:val="005C0784"/>
    <w:rsid w:val="005C0D24"/>
    <w:rsid w:val="005C2B43"/>
    <w:rsid w:val="005C62D6"/>
    <w:rsid w:val="005C7A00"/>
    <w:rsid w:val="005D0027"/>
    <w:rsid w:val="005D1790"/>
    <w:rsid w:val="005D4192"/>
    <w:rsid w:val="005D5449"/>
    <w:rsid w:val="005D7058"/>
    <w:rsid w:val="005D763B"/>
    <w:rsid w:val="005E1557"/>
    <w:rsid w:val="005E2864"/>
    <w:rsid w:val="005E5022"/>
    <w:rsid w:val="005E5152"/>
    <w:rsid w:val="005F1402"/>
    <w:rsid w:val="005F7DD5"/>
    <w:rsid w:val="005F7F40"/>
    <w:rsid w:val="00601C28"/>
    <w:rsid w:val="00602836"/>
    <w:rsid w:val="00602C11"/>
    <w:rsid w:val="006072AE"/>
    <w:rsid w:val="0061112A"/>
    <w:rsid w:val="006118BA"/>
    <w:rsid w:val="00611C15"/>
    <w:rsid w:val="0061213B"/>
    <w:rsid w:val="00612222"/>
    <w:rsid w:val="00615EFC"/>
    <w:rsid w:val="0061651F"/>
    <w:rsid w:val="00617437"/>
    <w:rsid w:val="00620BD0"/>
    <w:rsid w:val="00624C69"/>
    <w:rsid w:val="00624D24"/>
    <w:rsid w:val="00630DB4"/>
    <w:rsid w:val="006313CB"/>
    <w:rsid w:val="00632943"/>
    <w:rsid w:val="0063358E"/>
    <w:rsid w:val="0063458C"/>
    <w:rsid w:val="00634EC4"/>
    <w:rsid w:val="00637BEA"/>
    <w:rsid w:val="00637F29"/>
    <w:rsid w:val="00641D29"/>
    <w:rsid w:val="00644FF0"/>
    <w:rsid w:val="00652264"/>
    <w:rsid w:val="00653C8A"/>
    <w:rsid w:val="0066154B"/>
    <w:rsid w:val="006644EE"/>
    <w:rsid w:val="006646C7"/>
    <w:rsid w:val="00664863"/>
    <w:rsid w:val="00666843"/>
    <w:rsid w:val="0067445F"/>
    <w:rsid w:val="00675F5D"/>
    <w:rsid w:val="00681934"/>
    <w:rsid w:val="00690E7D"/>
    <w:rsid w:val="0069460B"/>
    <w:rsid w:val="006A1D7B"/>
    <w:rsid w:val="006A455C"/>
    <w:rsid w:val="006A5F22"/>
    <w:rsid w:val="006B2A00"/>
    <w:rsid w:val="006B2E72"/>
    <w:rsid w:val="006B4B74"/>
    <w:rsid w:val="006B7A63"/>
    <w:rsid w:val="006C55AF"/>
    <w:rsid w:val="006C5B23"/>
    <w:rsid w:val="006C7DAF"/>
    <w:rsid w:val="006D4BD7"/>
    <w:rsid w:val="006D71B7"/>
    <w:rsid w:val="006D76F7"/>
    <w:rsid w:val="006E6306"/>
    <w:rsid w:val="006E663A"/>
    <w:rsid w:val="006E6F2C"/>
    <w:rsid w:val="006E7C3B"/>
    <w:rsid w:val="006F0674"/>
    <w:rsid w:val="006F34EA"/>
    <w:rsid w:val="006F3E3E"/>
    <w:rsid w:val="007039BA"/>
    <w:rsid w:val="00703C94"/>
    <w:rsid w:val="007108C6"/>
    <w:rsid w:val="007123AA"/>
    <w:rsid w:val="007136DF"/>
    <w:rsid w:val="007177B2"/>
    <w:rsid w:val="00717F41"/>
    <w:rsid w:val="00721614"/>
    <w:rsid w:val="0072462A"/>
    <w:rsid w:val="00726B07"/>
    <w:rsid w:val="00731598"/>
    <w:rsid w:val="00733021"/>
    <w:rsid w:val="007331EA"/>
    <w:rsid w:val="00735BA5"/>
    <w:rsid w:val="0073613A"/>
    <w:rsid w:val="007371D7"/>
    <w:rsid w:val="00737E10"/>
    <w:rsid w:val="007409A9"/>
    <w:rsid w:val="007414A9"/>
    <w:rsid w:val="00745DCC"/>
    <w:rsid w:val="007467ED"/>
    <w:rsid w:val="007503A1"/>
    <w:rsid w:val="007514D1"/>
    <w:rsid w:val="00752DE6"/>
    <w:rsid w:val="0075381A"/>
    <w:rsid w:val="00755D22"/>
    <w:rsid w:val="0076646D"/>
    <w:rsid w:val="0076676A"/>
    <w:rsid w:val="007737E6"/>
    <w:rsid w:val="0077404F"/>
    <w:rsid w:val="00774C31"/>
    <w:rsid w:val="00775145"/>
    <w:rsid w:val="0077545B"/>
    <w:rsid w:val="00775848"/>
    <w:rsid w:val="00775CD6"/>
    <w:rsid w:val="00784CA8"/>
    <w:rsid w:val="00790E19"/>
    <w:rsid w:val="00794664"/>
    <w:rsid w:val="007973B2"/>
    <w:rsid w:val="00797963"/>
    <w:rsid w:val="007A0B42"/>
    <w:rsid w:val="007A27C2"/>
    <w:rsid w:val="007A3E82"/>
    <w:rsid w:val="007A4020"/>
    <w:rsid w:val="007A42FE"/>
    <w:rsid w:val="007B122B"/>
    <w:rsid w:val="007B28DD"/>
    <w:rsid w:val="007B411F"/>
    <w:rsid w:val="007B4E1D"/>
    <w:rsid w:val="007C653D"/>
    <w:rsid w:val="007D1464"/>
    <w:rsid w:val="007D16A5"/>
    <w:rsid w:val="007D57CA"/>
    <w:rsid w:val="007D5989"/>
    <w:rsid w:val="007E1E85"/>
    <w:rsid w:val="007E2972"/>
    <w:rsid w:val="007E3811"/>
    <w:rsid w:val="007E4F83"/>
    <w:rsid w:val="007E5018"/>
    <w:rsid w:val="007E6A31"/>
    <w:rsid w:val="007F1054"/>
    <w:rsid w:val="007F59C5"/>
    <w:rsid w:val="007F5DB7"/>
    <w:rsid w:val="007F6928"/>
    <w:rsid w:val="00801856"/>
    <w:rsid w:val="0080431A"/>
    <w:rsid w:val="0080539A"/>
    <w:rsid w:val="008116FD"/>
    <w:rsid w:val="0081256E"/>
    <w:rsid w:val="00816E33"/>
    <w:rsid w:val="0081710A"/>
    <w:rsid w:val="008171AD"/>
    <w:rsid w:val="00824B17"/>
    <w:rsid w:val="00826B8C"/>
    <w:rsid w:val="0083203F"/>
    <w:rsid w:val="00833FB1"/>
    <w:rsid w:val="0083572B"/>
    <w:rsid w:val="008405FE"/>
    <w:rsid w:val="0084194F"/>
    <w:rsid w:val="00841FCA"/>
    <w:rsid w:val="00842A45"/>
    <w:rsid w:val="00842E8A"/>
    <w:rsid w:val="00844029"/>
    <w:rsid w:val="00844C21"/>
    <w:rsid w:val="00845A37"/>
    <w:rsid w:val="008470F9"/>
    <w:rsid w:val="00850221"/>
    <w:rsid w:val="00851B4F"/>
    <w:rsid w:val="00853B0C"/>
    <w:rsid w:val="00854086"/>
    <w:rsid w:val="0085453C"/>
    <w:rsid w:val="00854F2A"/>
    <w:rsid w:val="00856D78"/>
    <w:rsid w:val="0086180E"/>
    <w:rsid w:val="00863438"/>
    <w:rsid w:val="00867E1B"/>
    <w:rsid w:val="00870581"/>
    <w:rsid w:val="00870A4C"/>
    <w:rsid w:val="00870AE1"/>
    <w:rsid w:val="00872C13"/>
    <w:rsid w:val="008736D5"/>
    <w:rsid w:val="00877658"/>
    <w:rsid w:val="008809FB"/>
    <w:rsid w:val="00883C38"/>
    <w:rsid w:val="0088638B"/>
    <w:rsid w:val="008865BD"/>
    <w:rsid w:val="00890C32"/>
    <w:rsid w:val="00890F77"/>
    <w:rsid w:val="008918B6"/>
    <w:rsid w:val="0089212A"/>
    <w:rsid w:val="00892F99"/>
    <w:rsid w:val="0089323B"/>
    <w:rsid w:val="0089411E"/>
    <w:rsid w:val="00896E2C"/>
    <w:rsid w:val="008A3D08"/>
    <w:rsid w:val="008A5E01"/>
    <w:rsid w:val="008A62FB"/>
    <w:rsid w:val="008A6F6A"/>
    <w:rsid w:val="008C00BE"/>
    <w:rsid w:val="008C2B3F"/>
    <w:rsid w:val="008C469B"/>
    <w:rsid w:val="008D163E"/>
    <w:rsid w:val="008D4960"/>
    <w:rsid w:val="008D510A"/>
    <w:rsid w:val="008E0561"/>
    <w:rsid w:val="008E2424"/>
    <w:rsid w:val="008E36A0"/>
    <w:rsid w:val="008E4508"/>
    <w:rsid w:val="008E7B92"/>
    <w:rsid w:val="008F37EE"/>
    <w:rsid w:val="008F5FC1"/>
    <w:rsid w:val="00900489"/>
    <w:rsid w:val="0090412F"/>
    <w:rsid w:val="009064E3"/>
    <w:rsid w:val="00912EE1"/>
    <w:rsid w:val="009136AC"/>
    <w:rsid w:val="00914E91"/>
    <w:rsid w:val="00915E6D"/>
    <w:rsid w:val="00921D01"/>
    <w:rsid w:val="009265C8"/>
    <w:rsid w:val="00931CB0"/>
    <w:rsid w:val="009333D9"/>
    <w:rsid w:val="009348CC"/>
    <w:rsid w:val="00935534"/>
    <w:rsid w:val="00937510"/>
    <w:rsid w:val="00941912"/>
    <w:rsid w:val="00941C48"/>
    <w:rsid w:val="009440A2"/>
    <w:rsid w:val="00946EE8"/>
    <w:rsid w:val="009509AC"/>
    <w:rsid w:val="009521F5"/>
    <w:rsid w:val="00953537"/>
    <w:rsid w:val="0095368F"/>
    <w:rsid w:val="00953C81"/>
    <w:rsid w:val="009546CB"/>
    <w:rsid w:val="00956809"/>
    <w:rsid w:val="009633DD"/>
    <w:rsid w:val="00965F41"/>
    <w:rsid w:val="00966702"/>
    <w:rsid w:val="00966C9B"/>
    <w:rsid w:val="00983747"/>
    <w:rsid w:val="009843E0"/>
    <w:rsid w:val="009864C3"/>
    <w:rsid w:val="0099108B"/>
    <w:rsid w:val="00991928"/>
    <w:rsid w:val="009929FF"/>
    <w:rsid w:val="009939A5"/>
    <w:rsid w:val="00993BC1"/>
    <w:rsid w:val="0099442A"/>
    <w:rsid w:val="00995875"/>
    <w:rsid w:val="0099653A"/>
    <w:rsid w:val="009A0FF0"/>
    <w:rsid w:val="009A6495"/>
    <w:rsid w:val="009B05CF"/>
    <w:rsid w:val="009B45C2"/>
    <w:rsid w:val="009B6FBD"/>
    <w:rsid w:val="009B712A"/>
    <w:rsid w:val="009C11AA"/>
    <w:rsid w:val="009C2D45"/>
    <w:rsid w:val="009D08AA"/>
    <w:rsid w:val="009D13B7"/>
    <w:rsid w:val="009D31E1"/>
    <w:rsid w:val="009D3DC5"/>
    <w:rsid w:val="009D5433"/>
    <w:rsid w:val="009F16B6"/>
    <w:rsid w:val="009F3B3A"/>
    <w:rsid w:val="009F443F"/>
    <w:rsid w:val="009F74C5"/>
    <w:rsid w:val="00A00B1E"/>
    <w:rsid w:val="00A02684"/>
    <w:rsid w:val="00A0372E"/>
    <w:rsid w:val="00A04A5E"/>
    <w:rsid w:val="00A05A21"/>
    <w:rsid w:val="00A075DB"/>
    <w:rsid w:val="00A161F4"/>
    <w:rsid w:val="00A2211F"/>
    <w:rsid w:val="00A271C4"/>
    <w:rsid w:val="00A311FE"/>
    <w:rsid w:val="00A31532"/>
    <w:rsid w:val="00A3443C"/>
    <w:rsid w:val="00A36DF9"/>
    <w:rsid w:val="00A46B52"/>
    <w:rsid w:val="00A512D3"/>
    <w:rsid w:val="00A54907"/>
    <w:rsid w:val="00A646A5"/>
    <w:rsid w:val="00A6645D"/>
    <w:rsid w:val="00A751C6"/>
    <w:rsid w:val="00A760B5"/>
    <w:rsid w:val="00A76C1F"/>
    <w:rsid w:val="00A8024D"/>
    <w:rsid w:val="00A82F4B"/>
    <w:rsid w:val="00A84615"/>
    <w:rsid w:val="00A901B3"/>
    <w:rsid w:val="00A90B37"/>
    <w:rsid w:val="00A91D4B"/>
    <w:rsid w:val="00A946DD"/>
    <w:rsid w:val="00A97440"/>
    <w:rsid w:val="00AA2400"/>
    <w:rsid w:val="00AA619F"/>
    <w:rsid w:val="00AB3EA5"/>
    <w:rsid w:val="00AB580E"/>
    <w:rsid w:val="00AB79F9"/>
    <w:rsid w:val="00AB7EE0"/>
    <w:rsid w:val="00AC5C9F"/>
    <w:rsid w:val="00AD1A0B"/>
    <w:rsid w:val="00AD32D6"/>
    <w:rsid w:val="00AD400F"/>
    <w:rsid w:val="00AD6096"/>
    <w:rsid w:val="00AD61FE"/>
    <w:rsid w:val="00AE026B"/>
    <w:rsid w:val="00AE060F"/>
    <w:rsid w:val="00AE11EF"/>
    <w:rsid w:val="00AE127C"/>
    <w:rsid w:val="00AE27E8"/>
    <w:rsid w:val="00AE7A69"/>
    <w:rsid w:val="00AF188A"/>
    <w:rsid w:val="00AF1C2A"/>
    <w:rsid w:val="00AF2512"/>
    <w:rsid w:val="00AF46E0"/>
    <w:rsid w:val="00AF4BE5"/>
    <w:rsid w:val="00AF7F30"/>
    <w:rsid w:val="00B00ECE"/>
    <w:rsid w:val="00B02329"/>
    <w:rsid w:val="00B03708"/>
    <w:rsid w:val="00B125BE"/>
    <w:rsid w:val="00B154E9"/>
    <w:rsid w:val="00B162BA"/>
    <w:rsid w:val="00B24759"/>
    <w:rsid w:val="00B26AA6"/>
    <w:rsid w:val="00B346C5"/>
    <w:rsid w:val="00B347E4"/>
    <w:rsid w:val="00B34917"/>
    <w:rsid w:val="00B35B6A"/>
    <w:rsid w:val="00B37396"/>
    <w:rsid w:val="00B375BD"/>
    <w:rsid w:val="00B43BD3"/>
    <w:rsid w:val="00B454A1"/>
    <w:rsid w:val="00B50589"/>
    <w:rsid w:val="00B56D0C"/>
    <w:rsid w:val="00B613D8"/>
    <w:rsid w:val="00B643ED"/>
    <w:rsid w:val="00B700FC"/>
    <w:rsid w:val="00B768CD"/>
    <w:rsid w:val="00B82C72"/>
    <w:rsid w:val="00B82C77"/>
    <w:rsid w:val="00B86BB9"/>
    <w:rsid w:val="00B96A6D"/>
    <w:rsid w:val="00BA5A02"/>
    <w:rsid w:val="00BA688D"/>
    <w:rsid w:val="00BB0E4C"/>
    <w:rsid w:val="00BB3062"/>
    <w:rsid w:val="00BB3E2B"/>
    <w:rsid w:val="00BB4FFB"/>
    <w:rsid w:val="00BC134E"/>
    <w:rsid w:val="00BC4B84"/>
    <w:rsid w:val="00BD2A78"/>
    <w:rsid w:val="00BD54D5"/>
    <w:rsid w:val="00BD6B1F"/>
    <w:rsid w:val="00BF15AD"/>
    <w:rsid w:val="00BF214A"/>
    <w:rsid w:val="00BF22D2"/>
    <w:rsid w:val="00BF6427"/>
    <w:rsid w:val="00BF6A28"/>
    <w:rsid w:val="00C05263"/>
    <w:rsid w:val="00C104AA"/>
    <w:rsid w:val="00C15277"/>
    <w:rsid w:val="00C152A8"/>
    <w:rsid w:val="00C212B3"/>
    <w:rsid w:val="00C2357A"/>
    <w:rsid w:val="00C23CCA"/>
    <w:rsid w:val="00C307AE"/>
    <w:rsid w:val="00C36972"/>
    <w:rsid w:val="00C419FF"/>
    <w:rsid w:val="00C43A77"/>
    <w:rsid w:val="00C45BD9"/>
    <w:rsid w:val="00C47290"/>
    <w:rsid w:val="00C50679"/>
    <w:rsid w:val="00C5221E"/>
    <w:rsid w:val="00C600D1"/>
    <w:rsid w:val="00C62480"/>
    <w:rsid w:val="00C63D3A"/>
    <w:rsid w:val="00C6402E"/>
    <w:rsid w:val="00C65B9B"/>
    <w:rsid w:val="00C725E5"/>
    <w:rsid w:val="00C75B16"/>
    <w:rsid w:val="00C8158E"/>
    <w:rsid w:val="00C84F7F"/>
    <w:rsid w:val="00C85559"/>
    <w:rsid w:val="00C868A2"/>
    <w:rsid w:val="00C87723"/>
    <w:rsid w:val="00C92114"/>
    <w:rsid w:val="00C92CB4"/>
    <w:rsid w:val="00C933BB"/>
    <w:rsid w:val="00C9579B"/>
    <w:rsid w:val="00C960AB"/>
    <w:rsid w:val="00CA1398"/>
    <w:rsid w:val="00CA1581"/>
    <w:rsid w:val="00CA2FE3"/>
    <w:rsid w:val="00CA3C3F"/>
    <w:rsid w:val="00CA4375"/>
    <w:rsid w:val="00CB04FF"/>
    <w:rsid w:val="00CB0F77"/>
    <w:rsid w:val="00CB71F7"/>
    <w:rsid w:val="00CC099F"/>
    <w:rsid w:val="00CC14A7"/>
    <w:rsid w:val="00CC3C58"/>
    <w:rsid w:val="00CC4D17"/>
    <w:rsid w:val="00CC6705"/>
    <w:rsid w:val="00CC6AC0"/>
    <w:rsid w:val="00CD0F88"/>
    <w:rsid w:val="00CD2C08"/>
    <w:rsid w:val="00CD657E"/>
    <w:rsid w:val="00CE0656"/>
    <w:rsid w:val="00CE146C"/>
    <w:rsid w:val="00CE6EA8"/>
    <w:rsid w:val="00CF0C13"/>
    <w:rsid w:val="00CF18E4"/>
    <w:rsid w:val="00CF20D4"/>
    <w:rsid w:val="00CF6865"/>
    <w:rsid w:val="00CF68AD"/>
    <w:rsid w:val="00D02D30"/>
    <w:rsid w:val="00D03831"/>
    <w:rsid w:val="00D038D0"/>
    <w:rsid w:val="00D04092"/>
    <w:rsid w:val="00D06450"/>
    <w:rsid w:val="00D122E5"/>
    <w:rsid w:val="00D175E6"/>
    <w:rsid w:val="00D176AE"/>
    <w:rsid w:val="00D20337"/>
    <w:rsid w:val="00D21AD4"/>
    <w:rsid w:val="00D2522D"/>
    <w:rsid w:val="00D32966"/>
    <w:rsid w:val="00D34F9D"/>
    <w:rsid w:val="00D3705E"/>
    <w:rsid w:val="00D37575"/>
    <w:rsid w:val="00D45182"/>
    <w:rsid w:val="00D4576B"/>
    <w:rsid w:val="00D469CD"/>
    <w:rsid w:val="00D50168"/>
    <w:rsid w:val="00D5740F"/>
    <w:rsid w:val="00D57B02"/>
    <w:rsid w:val="00D617C6"/>
    <w:rsid w:val="00D624F1"/>
    <w:rsid w:val="00D62657"/>
    <w:rsid w:val="00D72317"/>
    <w:rsid w:val="00D73E47"/>
    <w:rsid w:val="00D77814"/>
    <w:rsid w:val="00D80CA8"/>
    <w:rsid w:val="00D81302"/>
    <w:rsid w:val="00D828BB"/>
    <w:rsid w:val="00D84286"/>
    <w:rsid w:val="00D90598"/>
    <w:rsid w:val="00D90FC6"/>
    <w:rsid w:val="00D9437D"/>
    <w:rsid w:val="00D95CFF"/>
    <w:rsid w:val="00DA16FA"/>
    <w:rsid w:val="00DA1B4C"/>
    <w:rsid w:val="00DA4733"/>
    <w:rsid w:val="00DA60A1"/>
    <w:rsid w:val="00DA6532"/>
    <w:rsid w:val="00DB0639"/>
    <w:rsid w:val="00DB16BA"/>
    <w:rsid w:val="00DB55EF"/>
    <w:rsid w:val="00DC1271"/>
    <w:rsid w:val="00DC1739"/>
    <w:rsid w:val="00DC497E"/>
    <w:rsid w:val="00DC5632"/>
    <w:rsid w:val="00DD07C3"/>
    <w:rsid w:val="00DD279F"/>
    <w:rsid w:val="00DD2864"/>
    <w:rsid w:val="00DD399C"/>
    <w:rsid w:val="00DE04EB"/>
    <w:rsid w:val="00DE5007"/>
    <w:rsid w:val="00DF09D0"/>
    <w:rsid w:val="00DF1F77"/>
    <w:rsid w:val="00DF443A"/>
    <w:rsid w:val="00DF52B2"/>
    <w:rsid w:val="00DF5BD4"/>
    <w:rsid w:val="00E0414D"/>
    <w:rsid w:val="00E0429F"/>
    <w:rsid w:val="00E06139"/>
    <w:rsid w:val="00E0709A"/>
    <w:rsid w:val="00E0757B"/>
    <w:rsid w:val="00E119C4"/>
    <w:rsid w:val="00E120CA"/>
    <w:rsid w:val="00E13883"/>
    <w:rsid w:val="00E14B97"/>
    <w:rsid w:val="00E1780C"/>
    <w:rsid w:val="00E213EB"/>
    <w:rsid w:val="00E21771"/>
    <w:rsid w:val="00E21EC5"/>
    <w:rsid w:val="00E24E37"/>
    <w:rsid w:val="00E26B6C"/>
    <w:rsid w:val="00E2725C"/>
    <w:rsid w:val="00E27EAE"/>
    <w:rsid w:val="00E30E40"/>
    <w:rsid w:val="00E317DB"/>
    <w:rsid w:val="00E372F2"/>
    <w:rsid w:val="00E40ABA"/>
    <w:rsid w:val="00E41EE2"/>
    <w:rsid w:val="00E42950"/>
    <w:rsid w:val="00E47920"/>
    <w:rsid w:val="00E47AC6"/>
    <w:rsid w:val="00E50A3F"/>
    <w:rsid w:val="00E50A73"/>
    <w:rsid w:val="00E5189E"/>
    <w:rsid w:val="00E52040"/>
    <w:rsid w:val="00E52752"/>
    <w:rsid w:val="00E52C7C"/>
    <w:rsid w:val="00E54FAF"/>
    <w:rsid w:val="00E554BC"/>
    <w:rsid w:val="00E56A5D"/>
    <w:rsid w:val="00E610F1"/>
    <w:rsid w:val="00E63356"/>
    <w:rsid w:val="00E65B4E"/>
    <w:rsid w:val="00E714DA"/>
    <w:rsid w:val="00E71CAA"/>
    <w:rsid w:val="00E7298D"/>
    <w:rsid w:val="00E73369"/>
    <w:rsid w:val="00E766F9"/>
    <w:rsid w:val="00E800C0"/>
    <w:rsid w:val="00E80F5E"/>
    <w:rsid w:val="00E85829"/>
    <w:rsid w:val="00E902B8"/>
    <w:rsid w:val="00E90544"/>
    <w:rsid w:val="00E90D55"/>
    <w:rsid w:val="00E917D9"/>
    <w:rsid w:val="00E91A83"/>
    <w:rsid w:val="00E93EC7"/>
    <w:rsid w:val="00E953A3"/>
    <w:rsid w:val="00E96252"/>
    <w:rsid w:val="00EA2FC0"/>
    <w:rsid w:val="00EA5574"/>
    <w:rsid w:val="00EA63BF"/>
    <w:rsid w:val="00EB06CA"/>
    <w:rsid w:val="00EB7AB4"/>
    <w:rsid w:val="00EC0288"/>
    <w:rsid w:val="00EC062F"/>
    <w:rsid w:val="00EC0EA8"/>
    <w:rsid w:val="00EC2824"/>
    <w:rsid w:val="00EC349A"/>
    <w:rsid w:val="00EC600B"/>
    <w:rsid w:val="00ED087C"/>
    <w:rsid w:val="00ED2B4C"/>
    <w:rsid w:val="00ED361C"/>
    <w:rsid w:val="00ED3C67"/>
    <w:rsid w:val="00ED5BAC"/>
    <w:rsid w:val="00ED7648"/>
    <w:rsid w:val="00EE0BFF"/>
    <w:rsid w:val="00EE3375"/>
    <w:rsid w:val="00EE49D7"/>
    <w:rsid w:val="00EE5631"/>
    <w:rsid w:val="00EE643F"/>
    <w:rsid w:val="00EF0AE1"/>
    <w:rsid w:val="00EF34EC"/>
    <w:rsid w:val="00EF4A16"/>
    <w:rsid w:val="00EF56F1"/>
    <w:rsid w:val="00EF594D"/>
    <w:rsid w:val="00EF5AE9"/>
    <w:rsid w:val="00EF5D5A"/>
    <w:rsid w:val="00EF6D23"/>
    <w:rsid w:val="00EF71DA"/>
    <w:rsid w:val="00F0075C"/>
    <w:rsid w:val="00F00E5C"/>
    <w:rsid w:val="00F03011"/>
    <w:rsid w:val="00F047BB"/>
    <w:rsid w:val="00F0507F"/>
    <w:rsid w:val="00F05DF3"/>
    <w:rsid w:val="00F07072"/>
    <w:rsid w:val="00F07B2E"/>
    <w:rsid w:val="00F07B78"/>
    <w:rsid w:val="00F14A82"/>
    <w:rsid w:val="00F151EA"/>
    <w:rsid w:val="00F16E91"/>
    <w:rsid w:val="00F20497"/>
    <w:rsid w:val="00F223C3"/>
    <w:rsid w:val="00F22E35"/>
    <w:rsid w:val="00F23572"/>
    <w:rsid w:val="00F2448E"/>
    <w:rsid w:val="00F25DED"/>
    <w:rsid w:val="00F269D2"/>
    <w:rsid w:val="00F32171"/>
    <w:rsid w:val="00F342C2"/>
    <w:rsid w:val="00F356DD"/>
    <w:rsid w:val="00F4259E"/>
    <w:rsid w:val="00F42F55"/>
    <w:rsid w:val="00F449C5"/>
    <w:rsid w:val="00F4564F"/>
    <w:rsid w:val="00F45E19"/>
    <w:rsid w:val="00F45E65"/>
    <w:rsid w:val="00F47436"/>
    <w:rsid w:val="00F478E6"/>
    <w:rsid w:val="00F50C38"/>
    <w:rsid w:val="00F5185F"/>
    <w:rsid w:val="00F635FF"/>
    <w:rsid w:val="00F637AB"/>
    <w:rsid w:val="00F71BDD"/>
    <w:rsid w:val="00F71D99"/>
    <w:rsid w:val="00F72BB8"/>
    <w:rsid w:val="00F74F9E"/>
    <w:rsid w:val="00F758B1"/>
    <w:rsid w:val="00F776C7"/>
    <w:rsid w:val="00F77AD3"/>
    <w:rsid w:val="00F80BC7"/>
    <w:rsid w:val="00F82442"/>
    <w:rsid w:val="00F908D9"/>
    <w:rsid w:val="00F90FFD"/>
    <w:rsid w:val="00F9430E"/>
    <w:rsid w:val="00FA12FB"/>
    <w:rsid w:val="00FA3D5B"/>
    <w:rsid w:val="00FA4091"/>
    <w:rsid w:val="00FA47D4"/>
    <w:rsid w:val="00FA4A52"/>
    <w:rsid w:val="00FA5733"/>
    <w:rsid w:val="00FA5DDD"/>
    <w:rsid w:val="00FA72AC"/>
    <w:rsid w:val="00FB64E0"/>
    <w:rsid w:val="00FC1A39"/>
    <w:rsid w:val="00FC20E5"/>
    <w:rsid w:val="00FC2721"/>
    <w:rsid w:val="00FC2D32"/>
    <w:rsid w:val="00FC4E0B"/>
    <w:rsid w:val="00FD1D47"/>
    <w:rsid w:val="00FD37C3"/>
    <w:rsid w:val="00FD3FBA"/>
    <w:rsid w:val="00FD5051"/>
    <w:rsid w:val="00FD63EC"/>
    <w:rsid w:val="00FD7DC2"/>
    <w:rsid w:val="00FE011D"/>
    <w:rsid w:val="00FE15F5"/>
    <w:rsid w:val="00FE447C"/>
    <w:rsid w:val="00FE5CE2"/>
    <w:rsid w:val="00FE6AAE"/>
    <w:rsid w:val="00FF1FCB"/>
    <w:rsid w:val="00FF2297"/>
    <w:rsid w:val="00FF3475"/>
    <w:rsid w:val="00FF638D"/>
    <w:rsid w:val="026EF655"/>
    <w:rsid w:val="0A0B392E"/>
    <w:rsid w:val="0ED9D842"/>
    <w:rsid w:val="10611AB4"/>
    <w:rsid w:val="1C120C59"/>
    <w:rsid w:val="1CF2B3E5"/>
    <w:rsid w:val="1F6F26F6"/>
    <w:rsid w:val="24502499"/>
    <w:rsid w:val="24F36117"/>
    <w:rsid w:val="27946213"/>
    <w:rsid w:val="27E806E3"/>
    <w:rsid w:val="2AADC5A4"/>
    <w:rsid w:val="2C93FBD7"/>
    <w:rsid w:val="2DC8E2C9"/>
    <w:rsid w:val="2E89E40F"/>
    <w:rsid w:val="344059A7"/>
    <w:rsid w:val="349151C4"/>
    <w:rsid w:val="4156F337"/>
    <w:rsid w:val="43413F3B"/>
    <w:rsid w:val="46990CC6"/>
    <w:rsid w:val="4B71933A"/>
    <w:rsid w:val="4B78B72A"/>
    <w:rsid w:val="4DDF32E0"/>
    <w:rsid w:val="50CC7D75"/>
    <w:rsid w:val="5B5EE5D4"/>
    <w:rsid w:val="5FD88D73"/>
    <w:rsid w:val="6093A68E"/>
    <w:rsid w:val="65426C9A"/>
    <w:rsid w:val="7563DA71"/>
    <w:rsid w:val="7E689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606AC"/>
  <w15:docId w15:val="{A63D0E54-B463-487D-A47B-6449529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1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B61E4"/>
  </w:style>
  <w:style w:type="paragraph" w:styleId="Footer">
    <w:name w:val="footer"/>
    <w:basedOn w:val="Normal"/>
    <w:link w:val="FooterChar"/>
    <w:uiPriority w:val="99"/>
    <w:unhideWhenUsed/>
    <w:rsid w:val="003B61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B61E4"/>
  </w:style>
  <w:style w:type="paragraph" w:styleId="BalloonText">
    <w:name w:val="Balloon Text"/>
    <w:basedOn w:val="Normal"/>
    <w:link w:val="BalloonTextChar"/>
    <w:uiPriority w:val="99"/>
    <w:semiHidden/>
    <w:unhideWhenUsed/>
    <w:rsid w:val="001A1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E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B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B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36D5"/>
    <w:pPr>
      <w:ind w:left="720"/>
      <w:contextualSpacing/>
    </w:pPr>
  </w:style>
  <w:style w:type="paragraph" w:styleId="Revision">
    <w:name w:val="Revision"/>
    <w:hidden/>
    <w:uiPriority w:val="99"/>
    <w:semiHidden/>
    <w:rsid w:val="0063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B3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002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33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3D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3D9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8470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470F9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59223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eop">
    <w:name w:val="eop"/>
    <w:basedOn w:val="DefaultParagraphFont"/>
    <w:rsid w:val="0059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ne.gov/dhhs/oms/vb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900EE6EDA7459F0745D73AE1CEE2" ma:contentTypeVersion="5" ma:contentTypeDescription="Create a new document." ma:contentTypeScope="" ma:versionID="a160f415d45b5a2731178ce269fc2aee">
  <xsd:schema xmlns:xsd="http://www.w3.org/2001/XMLSchema" xmlns:xs="http://www.w3.org/2001/XMLSchema" xmlns:p="http://schemas.microsoft.com/office/2006/metadata/properties" xmlns:ns3="17eb1921-eb5a-41ad-8364-8957f4b418eb" xmlns:ns4="5c7285f8-fd4a-4910-9c6e-173fac3d7a02" targetNamespace="http://schemas.microsoft.com/office/2006/metadata/properties" ma:root="true" ma:fieldsID="080c80a4ead6e8415ae6b74fbc8f6efe" ns3:_="" ns4:_="">
    <xsd:import namespace="17eb1921-eb5a-41ad-8364-8957f4b418eb"/>
    <xsd:import namespace="5c7285f8-fd4a-4910-9c6e-173fac3d7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1921-eb5a-41ad-8364-8957f4b41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85f8-fd4a-4910-9c6e-173fac3d7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CE95-54CF-4BC2-89FB-CE66241C7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b1921-eb5a-41ad-8364-8957f4b418eb"/>
    <ds:schemaRef ds:uri="5c7285f8-fd4a-4910-9c6e-173fac3d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8FF1E-FB96-4188-B85A-161E02722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FD51E-9132-4DB7-B8A6-282E4B435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A47A5-8BA7-475D-8317-51DD9C85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6299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http://www.maine.gov/dhhs/oms/vbp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Anne</dc:creator>
  <cp:keywords/>
  <cp:lastModifiedBy>Parr, J.Chris</cp:lastModifiedBy>
  <cp:revision>3</cp:revision>
  <cp:lastPrinted>2017-03-22T01:06:00Z</cp:lastPrinted>
  <dcterms:created xsi:type="dcterms:W3CDTF">2026-01-28T13:46:00Z</dcterms:created>
  <dcterms:modified xsi:type="dcterms:W3CDTF">2026-02-05T15:06:00Z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0x01010097BE900EE6EDA7459F0745D73AE1CEE2</vt:lpwstr>
  </property>
</Properties>
</file>