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2CDC" w14:textId="77777777" w:rsidR="00730314" w:rsidRPr="001E0EF5" w:rsidRDefault="00D87587" w:rsidP="00730314">
      <w:pPr>
        <w:ind w:left="1260" w:hanging="540"/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F2187E" wp14:editId="0DA26022">
                <wp:simplePos x="0" y="0"/>
                <wp:positionH relativeFrom="column">
                  <wp:posOffset>-776177</wp:posOffset>
                </wp:positionH>
                <wp:positionV relativeFrom="paragraph">
                  <wp:posOffset>-75655</wp:posOffset>
                </wp:positionV>
                <wp:extent cx="722630" cy="5465135"/>
                <wp:effectExtent l="0" t="0" r="0" b="254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546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42ABD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E895B1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2C352AF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47E3F0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0028EF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2F1BE2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Effective 11/18/14</w:t>
                            </w:r>
                          </w:p>
                          <w:p w14:paraId="224D9CBF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6831797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2CCB48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7F5150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5F40D4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346EBE4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D472BB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B422ECC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0A3129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0CBED8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B025336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3F2A4B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9463379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317396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52C1808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A2E33E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F49092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5B2315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E5DA1CA" w14:textId="77777777" w:rsidR="00916CA6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148EF5" w14:textId="77777777" w:rsidR="00916CA6" w:rsidRPr="0092749D" w:rsidRDefault="00916CA6" w:rsidP="00D87587">
                            <w:pPr>
                              <w:pBdr>
                                <w:left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2187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61.1pt;margin-top:-5.95pt;width:56.9pt;height:43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" filled="f" stroked="f">
                <v:textbox>
                  <w:txbxContent>
                    <w:p w14:paraId="73042ABD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01E895B1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52C352AF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2A47E3F0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230028EF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582F1BE2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Effective 11/18/14</w:t>
                      </w:r>
                    </w:p>
                    <w:p w14:paraId="224D9CBF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16831797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3E2CCB48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577F5150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4A5F40D4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4346EBE4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12D472BB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7B422ECC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350A3129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630CBED8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7B025336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233F2A4B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49463379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25317396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752C1808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37A2E33E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7EF49092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075B2315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4E5DA1CA" w14:textId="77777777" w:rsidR="00916CA6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79148EF5" w14:textId="77777777" w:rsidR="00916CA6" w:rsidRPr="0092749D" w:rsidRDefault="00916CA6" w:rsidP="00D87587">
                      <w:pPr>
                        <w:pBdr>
                          <w:left w:val="single" w:sz="4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435">
        <w:rPr>
          <w:rFonts w:ascii="Times New Roman" w:hAnsi="Times New Roman" w:cs="Times New Roman"/>
          <w:b/>
        </w:rPr>
        <w:t>Federal regulations require the Department to utilize certain medical data billing code sets.</w:t>
      </w:r>
      <w:r w:rsidR="007F6F1C">
        <w:rPr>
          <w:rFonts w:ascii="Times New Roman" w:hAnsi="Times New Roman" w:cs="Times New Roman"/>
          <w:b/>
        </w:rPr>
        <w:t xml:space="preserve"> </w:t>
      </w:r>
      <w:r w:rsidR="00DC3435">
        <w:rPr>
          <w:rFonts w:ascii="Times New Roman" w:hAnsi="Times New Roman" w:cs="Times New Roman"/>
          <w:b/>
        </w:rPr>
        <w:t>45 C.F.R</w:t>
      </w:r>
      <w:r w:rsidR="001B462E">
        <w:rPr>
          <w:rFonts w:ascii="Times New Roman" w:hAnsi="Times New Roman" w:cs="Times New Roman"/>
          <w:b/>
        </w:rPr>
        <w:t>. §</w:t>
      </w:r>
      <w:r w:rsidR="00DC3435">
        <w:rPr>
          <w:rFonts w:ascii="Times New Roman" w:hAnsi="Times New Roman" w:cs="Times New Roman"/>
          <w:b/>
        </w:rPr>
        <w:t>162.1000.</w:t>
      </w:r>
      <w:r w:rsidR="007F6F1C">
        <w:rPr>
          <w:rFonts w:ascii="Times New Roman" w:hAnsi="Times New Roman" w:cs="Times New Roman"/>
          <w:b/>
        </w:rPr>
        <w:t xml:space="preserve"> </w:t>
      </w:r>
      <w:r w:rsidR="00DC3435">
        <w:rPr>
          <w:rFonts w:ascii="Times New Roman" w:hAnsi="Times New Roman" w:cs="Times New Roman"/>
          <w:b/>
        </w:rPr>
        <w:t>Each code set is valid within the dates specified by the organization responsible for maintaining that code set.</w:t>
      </w:r>
      <w:r w:rsidR="007F6F1C">
        <w:rPr>
          <w:rFonts w:ascii="Times New Roman" w:hAnsi="Times New Roman" w:cs="Times New Roman"/>
          <w:b/>
        </w:rPr>
        <w:t xml:space="preserve"> </w:t>
      </w:r>
      <w:r w:rsidR="001B462E">
        <w:rPr>
          <w:rFonts w:ascii="Times New Roman" w:hAnsi="Times New Roman" w:cs="Times New Roman"/>
          <w:b/>
        </w:rPr>
        <w:t>45 C.F.R. §</w:t>
      </w:r>
      <w:r w:rsidR="00DC3435">
        <w:rPr>
          <w:rFonts w:ascii="Times New Roman" w:hAnsi="Times New Roman" w:cs="Times New Roman"/>
          <w:b/>
        </w:rPr>
        <w:t>1011.</w:t>
      </w:r>
      <w:r w:rsidR="007F6F1C">
        <w:rPr>
          <w:rFonts w:ascii="Times New Roman" w:hAnsi="Times New Roman" w:cs="Times New Roman"/>
          <w:b/>
        </w:rPr>
        <w:t xml:space="preserve"> </w:t>
      </w:r>
      <w:r w:rsidR="00D41CCC">
        <w:rPr>
          <w:rFonts w:ascii="Times New Roman" w:hAnsi="Times New Roman" w:cs="Times New Roman"/>
          <w:b/>
        </w:rPr>
        <w:t>Approximately</w:t>
      </w:r>
      <w:r w:rsidR="00B42423">
        <w:rPr>
          <w:rFonts w:ascii="Times New Roman" w:hAnsi="Times New Roman" w:cs="Times New Roman"/>
          <w:b/>
        </w:rPr>
        <w:t xml:space="preserve"> quarterly</w:t>
      </w:r>
      <w:r w:rsidR="00730314" w:rsidRPr="001E0EF5">
        <w:rPr>
          <w:rFonts w:ascii="Times New Roman" w:hAnsi="Times New Roman" w:cs="Times New Roman"/>
          <w:b/>
        </w:rPr>
        <w:t xml:space="preserve">, the Centers for Medicare and Medicaid Services (CMS) issues to </w:t>
      </w:r>
      <w:r w:rsidR="00191265">
        <w:rPr>
          <w:rFonts w:ascii="Times New Roman" w:hAnsi="Times New Roman" w:cs="Times New Roman"/>
          <w:b/>
        </w:rPr>
        <w:t>S</w:t>
      </w:r>
      <w:r w:rsidR="00730314" w:rsidRPr="001E0EF5">
        <w:rPr>
          <w:rFonts w:ascii="Times New Roman" w:hAnsi="Times New Roman" w:cs="Times New Roman"/>
          <w:b/>
        </w:rPr>
        <w:t>tates a Healthcare Common Procedure Coding System Transaction List that includes</w:t>
      </w:r>
    </w:p>
    <w:p w14:paraId="099EC752" w14:textId="77777777" w:rsidR="00730314" w:rsidRDefault="00730314" w:rsidP="001E0EF5">
      <w:pPr>
        <w:tabs>
          <w:tab w:val="left" w:pos="2340"/>
        </w:tabs>
        <w:ind w:right="-360"/>
        <w:jc w:val="center"/>
        <w:rPr>
          <w:rFonts w:ascii="Times New Roman" w:hAnsi="Times New Roman" w:cs="Times New Roman"/>
          <w:b/>
          <w:szCs w:val="22"/>
        </w:rPr>
      </w:pPr>
      <w:r w:rsidRPr="001E0EF5">
        <w:rPr>
          <w:rFonts w:ascii="Times New Roman" w:hAnsi="Times New Roman" w:cs="Times New Roman"/>
          <w:b/>
        </w:rPr>
        <w:t xml:space="preserve">additions to and deletions from this schedule of </w:t>
      </w:r>
      <w:r w:rsidR="00DC3435">
        <w:rPr>
          <w:rFonts w:ascii="Times New Roman" w:hAnsi="Times New Roman" w:cs="Times New Roman"/>
          <w:b/>
        </w:rPr>
        <w:t xml:space="preserve">billing </w:t>
      </w:r>
      <w:r w:rsidRPr="001E0EF5">
        <w:rPr>
          <w:rFonts w:ascii="Times New Roman" w:hAnsi="Times New Roman" w:cs="Times New Roman"/>
          <w:b/>
        </w:rPr>
        <w:t>codes.</w:t>
      </w:r>
      <w:r w:rsidR="007F6F1C">
        <w:rPr>
          <w:rFonts w:ascii="Times New Roman" w:hAnsi="Times New Roman" w:cs="Times New Roman"/>
          <w:b/>
        </w:rPr>
        <w:t xml:space="preserve"> </w:t>
      </w:r>
      <w:r w:rsidRPr="001E0EF5">
        <w:rPr>
          <w:rFonts w:ascii="Times New Roman" w:hAnsi="Times New Roman" w:cs="Times New Roman"/>
          <w:b/>
        </w:rPr>
        <w:t>Providers will be notified of all such additions and deletions through the</w:t>
      </w:r>
      <w:r w:rsidR="00DC3435">
        <w:rPr>
          <w:rFonts w:ascii="Times New Roman" w:hAnsi="Times New Roman" w:cs="Times New Roman"/>
          <w:b/>
        </w:rPr>
        <w:t xml:space="preserve"> publication of notices of reimbursement methodology ch</w:t>
      </w:r>
      <w:r w:rsidR="001B462E">
        <w:rPr>
          <w:rFonts w:ascii="Times New Roman" w:hAnsi="Times New Roman" w:cs="Times New Roman"/>
          <w:b/>
        </w:rPr>
        <w:t>ange, pursuant to 42 C.F.R. §</w:t>
      </w:r>
      <w:r w:rsidR="00DC3435">
        <w:rPr>
          <w:rFonts w:ascii="Times New Roman" w:hAnsi="Times New Roman" w:cs="Times New Roman"/>
          <w:b/>
        </w:rPr>
        <w:t>447.205, through</w:t>
      </w:r>
      <w:r w:rsidRPr="001E0EF5">
        <w:rPr>
          <w:rFonts w:ascii="Times New Roman" w:hAnsi="Times New Roman" w:cs="Times New Roman"/>
          <w:b/>
        </w:rPr>
        <w:t xml:space="preserve"> regular mail, by a revised Allowances for Family Planning Agency Services</w:t>
      </w:r>
      <w:r w:rsidR="00DC3435">
        <w:rPr>
          <w:rFonts w:ascii="Times New Roman" w:hAnsi="Times New Roman" w:cs="Times New Roman"/>
          <w:b/>
        </w:rPr>
        <w:t>,</w:t>
      </w:r>
      <w:r w:rsidRPr="001E0EF5">
        <w:rPr>
          <w:rFonts w:ascii="Times New Roman" w:hAnsi="Times New Roman" w:cs="Times New Roman"/>
          <w:b/>
        </w:rPr>
        <w:t xml:space="preserve"> or by revised billing instructions</w:t>
      </w:r>
      <w:r w:rsidR="00DC3435">
        <w:rPr>
          <w:rFonts w:ascii="Times New Roman" w:hAnsi="Times New Roman" w:cs="Times New Roman"/>
          <w:b/>
        </w:rPr>
        <w:t>, as appropriate</w:t>
      </w:r>
      <w:r w:rsidR="000404AA" w:rsidRPr="001E0EF5">
        <w:rPr>
          <w:rFonts w:ascii="Times New Roman" w:hAnsi="Times New Roman" w:cs="Times New Roman"/>
          <w:b/>
          <w:szCs w:val="22"/>
        </w:rPr>
        <w:t>.</w:t>
      </w:r>
    </w:p>
    <w:p w14:paraId="2B514EA3" w14:textId="77777777" w:rsidR="00D87587" w:rsidRPr="00A664B8" w:rsidRDefault="00D87587" w:rsidP="001E0EF5">
      <w:pPr>
        <w:tabs>
          <w:tab w:val="left" w:pos="2340"/>
        </w:tabs>
        <w:ind w:right="-360"/>
        <w:jc w:val="center"/>
        <w:rPr>
          <w:rFonts w:ascii="Times New Roman" w:hAnsi="Times New Roman" w:cs="Times New Roman"/>
          <w:szCs w:val="22"/>
        </w:rPr>
      </w:pPr>
    </w:p>
    <w:p w14:paraId="69427F61" w14:textId="77777777" w:rsidR="000404AA" w:rsidRPr="00A664B8" w:rsidRDefault="000404AA" w:rsidP="001E0EF5">
      <w:pPr>
        <w:tabs>
          <w:tab w:val="left" w:pos="2340"/>
        </w:tabs>
        <w:ind w:right="-360"/>
        <w:rPr>
          <w:rFonts w:ascii="Times New Roman" w:hAnsi="Times New Roman" w:cs="Times New Roman"/>
          <w:b/>
          <w:szCs w:val="22"/>
        </w:rPr>
      </w:pPr>
      <w:r w:rsidRPr="00A664B8">
        <w:rPr>
          <w:rFonts w:ascii="Times New Roman" w:hAnsi="Times New Roman" w:cs="Times New Roman"/>
          <w:b/>
          <w:szCs w:val="22"/>
        </w:rPr>
        <w:t>Please note:</w:t>
      </w:r>
      <w:r w:rsidR="00D87587">
        <w:rPr>
          <w:rFonts w:ascii="Times New Roman" w:hAnsi="Times New Roman" w:cs="Times New Roman"/>
          <w:b/>
          <w:szCs w:val="22"/>
        </w:rPr>
        <w:t xml:space="preserve"> </w:t>
      </w:r>
      <w:r w:rsidRPr="00A664B8">
        <w:rPr>
          <w:rFonts w:ascii="Times New Roman" w:hAnsi="Times New Roman" w:cs="Times New Roman"/>
          <w:b/>
          <w:szCs w:val="22"/>
        </w:rPr>
        <w:t xml:space="preserve">As of the </w:t>
      </w:r>
      <w:r w:rsidR="009A6B36">
        <w:rPr>
          <w:rFonts w:ascii="Times New Roman" w:hAnsi="Times New Roman" w:cs="Times New Roman"/>
          <w:b/>
          <w:szCs w:val="22"/>
        </w:rPr>
        <w:t xml:space="preserve">7/1/11 </w:t>
      </w:r>
      <w:r w:rsidRPr="00A664B8">
        <w:rPr>
          <w:rFonts w:ascii="Times New Roman" w:hAnsi="Times New Roman" w:cs="Times New Roman"/>
          <w:b/>
          <w:szCs w:val="22"/>
        </w:rPr>
        <w:t xml:space="preserve">effective date of this rule, Family Planning agencies will be reimbursed at the same </w:t>
      </w:r>
      <w:r>
        <w:rPr>
          <w:rFonts w:ascii="Times New Roman" w:hAnsi="Times New Roman" w:cs="Times New Roman"/>
          <w:b/>
          <w:szCs w:val="22"/>
        </w:rPr>
        <w:t xml:space="preserve">fee for service </w:t>
      </w:r>
      <w:r w:rsidRPr="00A664B8">
        <w:rPr>
          <w:rFonts w:ascii="Times New Roman" w:hAnsi="Times New Roman" w:cs="Times New Roman"/>
          <w:b/>
          <w:szCs w:val="22"/>
        </w:rPr>
        <w:t>rates as other providers of these services, including Section 90, Physicians Services</w:t>
      </w:r>
      <w:r>
        <w:rPr>
          <w:rFonts w:ascii="Times New Roman" w:hAnsi="Times New Roman" w:cs="Times New Roman"/>
          <w:b/>
          <w:szCs w:val="22"/>
        </w:rPr>
        <w:t xml:space="preserve"> where applicable</w:t>
      </w:r>
      <w:r w:rsidRPr="00A664B8">
        <w:rPr>
          <w:rFonts w:ascii="Times New Roman" w:hAnsi="Times New Roman" w:cs="Times New Roman"/>
          <w:b/>
          <w:szCs w:val="22"/>
        </w:rPr>
        <w:t>.</w:t>
      </w:r>
      <w:r w:rsidR="007F6F1C">
        <w:rPr>
          <w:rFonts w:ascii="Times New Roman" w:hAnsi="Times New Roman" w:cs="Times New Roman"/>
          <w:b/>
          <w:szCs w:val="22"/>
        </w:rPr>
        <w:t xml:space="preserve"> </w:t>
      </w:r>
      <w:r w:rsidRPr="00A664B8">
        <w:rPr>
          <w:rFonts w:ascii="Times New Roman" w:hAnsi="Times New Roman" w:cs="Times New Roman"/>
          <w:b/>
          <w:szCs w:val="22"/>
        </w:rPr>
        <w:t>All information below is current on the effective date of this rule.</w:t>
      </w:r>
      <w:r w:rsidR="007F6F1C">
        <w:rPr>
          <w:rFonts w:ascii="Times New Roman" w:hAnsi="Times New Roman" w:cs="Times New Roman"/>
          <w:b/>
          <w:szCs w:val="22"/>
        </w:rPr>
        <w:t xml:space="preserve"> </w:t>
      </w:r>
      <w:r w:rsidRPr="00A664B8">
        <w:rPr>
          <w:rFonts w:ascii="Times New Roman" w:hAnsi="Times New Roman" w:cs="Times New Roman"/>
          <w:b/>
          <w:szCs w:val="22"/>
        </w:rPr>
        <w:t>Subsequent to the effective date, the rates in effect and other information will be posted and available at:</w:t>
      </w:r>
      <w:r w:rsidR="007F6F1C">
        <w:rPr>
          <w:rFonts w:ascii="Times New Roman" w:hAnsi="Times New Roman" w:cs="Times New Roman"/>
          <w:b/>
          <w:szCs w:val="22"/>
        </w:rPr>
        <w:t xml:space="preserve"> </w:t>
      </w:r>
      <w:hyperlink r:id="rId7" w:history="1">
        <w:r w:rsidRPr="00A664B8">
          <w:rPr>
            <w:rStyle w:val="Hyperlink"/>
            <w:rFonts w:ascii="Times New Roman" w:hAnsi="Times New Roman"/>
            <w:b/>
            <w:color w:val="auto"/>
            <w:szCs w:val="22"/>
          </w:rPr>
          <w:t>www.maine.gov/dhhs/audit/rate-setting/index.shtml</w:t>
        </w:r>
      </w:hyperlink>
      <w:r>
        <w:rPr>
          <w:rStyle w:val="Hyperlink"/>
          <w:rFonts w:ascii="Times New Roman" w:hAnsi="Times New Roman"/>
          <w:b/>
          <w:color w:val="auto"/>
          <w:szCs w:val="22"/>
        </w:rPr>
        <w:t>.</w:t>
      </w:r>
    </w:p>
    <w:p w14:paraId="371DA6F9" w14:textId="77777777" w:rsidR="000404AA" w:rsidRDefault="000404AA" w:rsidP="00161D82">
      <w:pPr>
        <w:tabs>
          <w:tab w:val="left" w:pos="2340"/>
        </w:tabs>
        <w:ind w:left="1440" w:right="-360" w:hanging="1440"/>
        <w:rPr>
          <w:rFonts w:ascii="Times New Roman" w:hAnsi="Times New Roman" w:cs="Times New Roman"/>
          <w:b/>
          <w:szCs w:val="22"/>
        </w:rPr>
      </w:pPr>
    </w:p>
    <w:p w14:paraId="079B662B" w14:textId="77777777" w:rsidR="00312175" w:rsidRDefault="00312175" w:rsidP="00312175">
      <w:pPr>
        <w:tabs>
          <w:tab w:val="left" w:pos="2340"/>
        </w:tabs>
        <w:ind w:left="1440" w:right="-360" w:hanging="144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** MaineCare payment under these codes is dependent upon approval</w:t>
      </w:r>
      <w:r w:rsidR="007F6F1C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b/>
          <w:szCs w:val="22"/>
        </w:rPr>
        <w:t>by the Centers for Medicare and Medicaid of a state plan amendment.</w:t>
      </w:r>
    </w:p>
    <w:p w14:paraId="6FAB2C93" w14:textId="77777777" w:rsidR="00312175" w:rsidRPr="00A664B8" w:rsidRDefault="00312175" w:rsidP="00161D82">
      <w:pPr>
        <w:tabs>
          <w:tab w:val="left" w:pos="2340"/>
        </w:tabs>
        <w:ind w:left="1440" w:right="-360" w:hanging="1440"/>
        <w:rPr>
          <w:rFonts w:ascii="Times New Roman" w:hAnsi="Times New Roman" w:cs="Times New Roman"/>
          <w:b/>
          <w:szCs w:val="22"/>
        </w:rPr>
      </w:pPr>
    </w:p>
    <w:p w14:paraId="14DA0302" w14:textId="77777777" w:rsidR="000404AA" w:rsidRDefault="000404AA">
      <w:pPr>
        <w:tabs>
          <w:tab w:val="left" w:pos="2340"/>
        </w:tabs>
        <w:ind w:right="-360"/>
        <w:rPr>
          <w:rFonts w:ascii="Times New Roman" w:hAnsi="Times New Roman" w:cs="Times New Roman"/>
          <w:b/>
          <w:szCs w:val="22"/>
        </w:rPr>
      </w:pPr>
      <w:r w:rsidRPr="00A664B8">
        <w:rPr>
          <w:rFonts w:ascii="Times New Roman" w:hAnsi="Times New Roman" w:cs="Times New Roman"/>
          <w:b/>
          <w:szCs w:val="22"/>
        </w:rPr>
        <w:t>Billing codes that</w:t>
      </w:r>
      <w:r w:rsidRPr="00A664B8">
        <w:rPr>
          <w:rFonts w:ascii="Times New Roman" w:hAnsi="Times New Roman" w:cs="Times New Roman"/>
          <w:b/>
          <w:snapToGrid w:val="0"/>
          <w:szCs w:val="22"/>
        </w:rPr>
        <w:t xml:space="preserve"> “prevent or delay pregnancy or otherwise control family size”</w:t>
      </w:r>
      <w:r w:rsidRPr="00A664B8">
        <w:rPr>
          <w:rFonts w:ascii="Times New Roman" w:hAnsi="Times New Roman" w:cs="Times New Roman"/>
          <w:b/>
          <w:szCs w:val="22"/>
        </w:rPr>
        <w:t xml:space="preserve"> now require an FP modifier in MIHMS.</w:t>
      </w:r>
      <w:r w:rsidR="007F6F1C">
        <w:rPr>
          <w:rFonts w:ascii="Times New Roman" w:hAnsi="Times New Roman" w:cs="Times New Roman"/>
          <w:b/>
          <w:szCs w:val="22"/>
        </w:rPr>
        <w:t xml:space="preserve"> </w:t>
      </w:r>
      <w:r w:rsidRPr="00A664B8">
        <w:rPr>
          <w:rFonts w:ascii="Times New Roman" w:hAnsi="Times New Roman" w:cs="Times New Roman"/>
          <w:b/>
          <w:szCs w:val="22"/>
        </w:rPr>
        <w:t>The “Modifier” column below is listed for guidance only.</w:t>
      </w:r>
      <w:r w:rsidR="007F6F1C">
        <w:rPr>
          <w:rFonts w:ascii="Times New Roman" w:hAnsi="Times New Roman" w:cs="Times New Roman"/>
          <w:b/>
          <w:szCs w:val="22"/>
        </w:rPr>
        <w:t xml:space="preserve"> </w:t>
      </w:r>
      <w:r w:rsidRPr="00A664B8">
        <w:rPr>
          <w:rFonts w:ascii="Times New Roman" w:hAnsi="Times New Roman" w:cs="Times New Roman"/>
          <w:b/>
          <w:szCs w:val="22"/>
        </w:rPr>
        <w:t>Professional judgment should be used in determining whether the service being provided is</w:t>
      </w:r>
      <w:r w:rsidRPr="00A664B8">
        <w:rPr>
          <w:rFonts w:ascii="Times New Roman" w:hAnsi="Times New Roman" w:cs="Times New Roman"/>
          <w:b/>
          <w:snapToGrid w:val="0"/>
          <w:szCs w:val="22"/>
        </w:rPr>
        <w:t xml:space="preserve"> “to prevent or delay pregnancy or otherwise control family size”</w:t>
      </w:r>
      <w:r w:rsidRPr="00A664B8">
        <w:rPr>
          <w:rFonts w:ascii="Times New Roman" w:hAnsi="Times New Roman" w:cs="Times New Roman"/>
          <w:b/>
          <w:szCs w:val="22"/>
        </w:rPr>
        <w:t xml:space="preserve"> and the modifier appropriately applied.</w:t>
      </w:r>
    </w:p>
    <w:p w14:paraId="0AB22418" w14:textId="77777777" w:rsidR="006D2DE3" w:rsidRDefault="006D2DE3">
      <w:pPr>
        <w:tabs>
          <w:tab w:val="left" w:pos="2340"/>
        </w:tabs>
        <w:ind w:right="-360"/>
        <w:rPr>
          <w:rFonts w:ascii="Times New Roman" w:hAnsi="Times New Roman" w:cs="Times New Roman"/>
          <w:b/>
          <w:szCs w:val="22"/>
        </w:rPr>
      </w:pPr>
    </w:p>
    <w:p w14:paraId="6F1F6151" w14:textId="77777777" w:rsidR="000404AA" w:rsidRPr="00A664B8" w:rsidRDefault="000404AA">
      <w:pPr>
        <w:tabs>
          <w:tab w:val="left" w:pos="2340"/>
        </w:tabs>
        <w:ind w:right="-360"/>
        <w:rPr>
          <w:rFonts w:ascii="Times New Roman" w:hAnsi="Times New Roman" w:cs="Times New Roman"/>
          <w:szCs w:val="22"/>
        </w:rPr>
      </w:pPr>
    </w:p>
    <w:tbl>
      <w:tblPr>
        <w:tblW w:w="12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8"/>
        <w:gridCol w:w="7902"/>
        <w:gridCol w:w="1483"/>
        <w:gridCol w:w="1859"/>
      </w:tblGrid>
      <w:tr w:rsidR="000404AA" w:rsidRPr="00A664B8" w14:paraId="1D52F718" w14:textId="77777777" w:rsidTr="006803F9">
        <w:trPr>
          <w:trHeight w:val="431"/>
          <w:tblHeader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54DE6" w14:textId="77777777" w:rsidR="000404AA" w:rsidRPr="00A664B8" w:rsidRDefault="000404AA" w:rsidP="00B96A2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664B8">
              <w:rPr>
                <w:rFonts w:ascii="Times New Roman" w:hAnsi="Times New Roman" w:cs="Times New Roman"/>
                <w:b/>
                <w:bCs/>
                <w:szCs w:val="22"/>
              </w:rPr>
              <w:t>Procedure Code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3290" w14:textId="77777777" w:rsidR="000404AA" w:rsidRPr="00A664B8" w:rsidRDefault="000404AA" w:rsidP="006803F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664B8">
              <w:rPr>
                <w:rFonts w:ascii="Times New Roman" w:hAnsi="Times New Roman" w:cs="Times New Roman"/>
                <w:b/>
                <w:bCs/>
                <w:szCs w:val="22"/>
              </w:rPr>
              <w:t>Description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2BF7D" w14:textId="77777777" w:rsidR="000404AA" w:rsidRPr="00A664B8" w:rsidRDefault="000404AA" w:rsidP="00B96A2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664B8">
              <w:rPr>
                <w:rFonts w:ascii="Times New Roman" w:hAnsi="Times New Roman" w:cs="Times New Roman"/>
                <w:b/>
                <w:bCs/>
                <w:szCs w:val="22"/>
              </w:rPr>
              <w:t>Modifier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8FDF2" w14:textId="77777777" w:rsidR="000404AA" w:rsidRPr="00A664B8" w:rsidRDefault="000404AA" w:rsidP="00B96A2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664B8">
              <w:rPr>
                <w:rFonts w:ascii="Times New Roman" w:hAnsi="Times New Roman" w:cs="Times New Roman"/>
                <w:b/>
                <w:bCs/>
                <w:szCs w:val="22"/>
              </w:rPr>
              <w:t>Rate</w:t>
            </w:r>
          </w:p>
        </w:tc>
      </w:tr>
      <w:tr w:rsidR="003E609F" w:rsidRPr="00A664B8" w14:paraId="78E3321A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E26D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11976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3E44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Removal, implantable contraceptive capsules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8AAF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4A53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$87.91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2A27A912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60AB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noProof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56D96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F74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0F65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45B2B74D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DF13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609F">
              <w:rPr>
                <w:rFonts w:ascii="Times New Roman" w:hAnsi="Times New Roman" w:cs="Times New Roman"/>
              </w:rPr>
              <w:t>11981</w:t>
            </w:r>
            <w:r w:rsidR="0010297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282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3E609F">
              <w:rPr>
                <w:rFonts w:ascii="Times New Roman" w:hAnsi="Times New Roman" w:cs="Times New Roman"/>
              </w:rPr>
              <w:t>Inserti</w:t>
            </w:r>
            <w:r w:rsidR="003B4A64">
              <w:rPr>
                <w:rFonts w:ascii="Times New Roman" w:hAnsi="Times New Roman" w:cs="Times New Roman"/>
              </w:rPr>
              <w:t>on, non-biodegradable drug deliv</w:t>
            </w:r>
            <w:r w:rsidRPr="003E609F">
              <w:rPr>
                <w:rFonts w:ascii="Times New Roman" w:hAnsi="Times New Roman" w:cs="Times New Roman"/>
              </w:rPr>
              <w:t>ery implant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DB4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609F">
              <w:rPr>
                <w:rFonts w:ascii="Times New Roman" w:hAnsi="Times New Roman" w:cs="Times New Roman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11A1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609F">
              <w:rPr>
                <w:rFonts w:ascii="Times New Roman" w:hAnsi="Times New Roman" w:cs="Times New Roman"/>
              </w:rPr>
              <w:t>80.56</w:t>
            </w:r>
          </w:p>
        </w:tc>
      </w:tr>
      <w:tr w:rsidR="003E609F" w:rsidRPr="00A664B8" w14:paraId="09051FCC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EE1BB" w14:textId="77777777" w:rsidR="003E609F" w:rsidRPr="00A664B8" w:rsidDel="001F64AF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BE31" w14:textId="77777777" w:rsidR="003E609F" w:rsidRPr="00A664B8" w:rsidDel="001F64AF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2FFF" w14:textId="77777777" w:rsidR="003E609F" w:rsidRPr="00A664B8" w:rsidDel="001F64AF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D2D72" w14:textId="77777777" w:rsidR="003E609F" w:rsidRPr="00A664B8" w:rsidDel="001F64AF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DC873B3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17D20" w14:textId="77777777" w:rsidR="003E609F" w:rsidRPr="003E609F" w:rsidRDefault="003E609F" w:rsidP="00B96A25">
            <w:pPr>
              <w:jc w:val="center"/>
              <w:rPr>
                <w:rFonts w:ascii="Times New Roman" w:hAnsi="Times New Roman" w:cs="Times New Roman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54050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9E7F3" w14:textId="77777777" w:rsidR="003E609F" w:rsidRPr="003E609F" w:rsidRDefault="003E609F" w:rsidP="006803F9">
            <w:pPr>
              <w:rPr>
                <w:rFonts w:ascii="Times New Roman" w:hAnsi="Times New Roman" w:cs="Times New Roman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lesion(s); penis (e.g. condyloma, papilloma, molluscum contagiousum, herpetic vesicle), simple; chemical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3F60" w14:textId="77777777" w:rsidR="003E609F" w:rsidRPr="003E609F" w:rsidRDefault="003E609F" w:rsidP="00B96A25">
            <w:pPr>
              <w:jc w:val="center"/>
              <w:rPr>
                <w:rFonts w:ascii="Times New Roman" w:hAnsi="Times New Roman" w:cs="Times New Roman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02781" w14:textId="77777777" w:rsidR="003E609F" w:rsidRPr="003E609F" w:rsidRDefault="003E609F" w:rsidP="00B96A25">
            <w:pPr>
              <w:jc w:val="center"/>
              <w:rPr>
                <w:rFonts w:ascii="Times New Roman" w:hAnsi="Times New Roman" w:cs="Times New Roman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$78.12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43F83162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B9331" w14:textId="77777777" w:rsidR="003E609F" w:rsidRPr="00A664B8" w:rsidDel="001F64AF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6756" w14:textId="77777777" w:rsidR="003E609F" w:rsidRPr="00A664B8" w:rsidDel="001F64AF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B3259" w14:textId="77777777" w:rsidR="003E609F" w:rsidRPr="00A664B8" w:rsidDel="001F64AF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4D95" w14:textId="77777777" w:rsidR="003E609F" w:rsidRPr="00A664B8" w:rsidDel="001F64AF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4ACC7C98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B57C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54055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3BC6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lesion(s); penis (e.g. condyloma, papilloma, molluscum contagiousum, herpetic vesicle), simple; electrodessication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4AA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ED77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$74.66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E8FC226" w14:textId="77777777" w:rsidTr="006803F9">
        <w:trPr>
          <w:trHeight w:val="1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4ABF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CC0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54C4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CA20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597ADC24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8181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54056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07CD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Destruction of lesion(s); penis (e.g. condyloma, papilloma, molluscum contagiousum, </w:t>
            </w:r>
            <w:r w:rsidR="00176CE2" w:rsidRPr="00166DD0">
              <w:rPr>
                <w:rFonts w:ascii="Times New Roman" w:hAnsi="Times New Roman" w:cs="Times New Roman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94EC155" wp14:editId="4D5BB092">
                      <wp:simplePos x="0" y="0"/>
                      <wp:positionH relativeFrom="column">
                        <wp:posOffset>-1574003</wp:posOffset>
                      </wp:positionH>
                      <wp:positionV relativeFrom="paragraph">
                        <wp:posOffset>-5715</wp:posOffset>
                      </wp:positionV>
                      <wp:extent cx="754380" cy="295529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2955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1140F" w14:textId="77777777" w:rsidR="00916CA6" w:rsidRPr="00166DD0" w:rsidRDefault="00916CA6" w:rsidP="00C0614A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66DD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Effective </w:t>
                                  </w:r>
                                </w:p>
                                <w:p w14:paraId="74DB3CB1" w14:textId="77777777" w:rsidR="00916CA6" w:rsidRPr="00166DD0" w:rsidRDefault="00916CA6" w:rsidP="00C0614A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11/18</w:t>
                                  </w:r>
                                  <w:r w:rsidRPr="00166DD0">
                                    <w:rPr>
                                      <w:rFonts w:ascii="Times New Roman" w:hAnsi="Times New Roman" w:cs="Times New Roman"/>
                                    </w:rPr>
                                    <w:t>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EC155" id="Text Box 2" o:spid="_x0000_s1027" type="#_x0000_t202" style="position:absolute;margin-left:-123.95pt;margin-top:-.45pt;width:59.4pt;height:23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" filled="f" stroked="f">
                      <v:textbox>
                        <w:txbxContent>
                          <w:p w14:paraId="0B31140F" w14:textId="77777777" w:rsidR="00916CA6" w:rsidRPr="00166DD0" w:rsidRDefault="00916CA6" w:rsidP="00C0614A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6DD0">
                              <w:rPr>
                                <w:rFonts w:ascii="Times New Roman" w:hAnsi="Times New Roman" w:cs="Times New Roman"/>
                              </w:rPr>
                              <w:t xml:space="preserve">Effective </w:t>
                            </w:r>
                          </w:p>
                          <w:p w14:paraId="74DB3CB1" w14:textId="77777777" w:rsidR="00916CA6" w:rsidRPr="00166DD0" w:rsidRDefault="00916CA6" w:rsidP="00C0614A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11/18</w:t>
                            </w:r>
                            <w:r w:rsidRPr="00166DD0">
                              <w:rPr>
                                <w:rFonts w:ascii="Times New Roman" w:hAnsi="Times New Roman" w:cs="Times New Roman"/>
                              </w:rPr>
                              <w:t>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64B8">
              <w:rPr>
                <w:rFonts w:ascii="Times New Roman" w:hAnsi="Times New Roman" w:cs="Times New Roman"/>
                <w:szCs w:val="22"/>
              </w:rPr>
              <w:t>herpetic vesicle), simple; cryosurgery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6D7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lastRenderedPageBreak/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B9B8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$81.48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43C1DE12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C373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EB5D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47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60B7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4C093948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1213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54057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44287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lesion(s); penis (e.g. condyloma, papilloma, molluscum contagiousum, herpetic vesicle), simple;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laser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8FF2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120E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$71.81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1AA4A17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74B7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B7B7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5D1E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17BE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32BC7F03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94F0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54060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90D30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lesion(s); penis (e.g. condyloma, papilloma, molluscum contagiousum, herpetic vesicle), simple; surgical excision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E83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6B7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$121.18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18322BA0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1543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83EFC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5193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4703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290049CD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68B3" w14:textId="77777777" w:rsidR="003E609F" w:rsidRDefault="003E609F" w:rsidP="00B96A25">
            <w:pPr>
              <w:jc w:val="center"/>
            </w:pPr>
            <w:r w:rsidRPr="00A664B8">
              <w:rPr>
                <w:rFonts w:ascii="Times New Roman" w:hAnsi="Times New Roman" w:cs="Times New Roman"/>
                <w:szCs w:val="22"/>
              </w:rPr>
              <w:t>54065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7120" w14:textId="77777777" w:rsidR="003E609F" w:rsidRDefault="003E609F" w:rsidP="006803F9">
            <w:r w:rsidRPr="00A664B8">
              <w:rPr>
                <w:rFonts w:ascii="Times New Roman" w:hAnsi="Times New Roman" w:cs="Times New Roman"/>
                <w:szCs w:val="22"/>
              </w:rPr>
              <w:t>Destruction of lesion(s); penis (e.g. condyloma, papilloma, molluscum contagiousum, herpetic vesicle), extensive; (e.g. laser surgery, electrosurgery, cryosurgery, chemosurgery)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980C9" w14:textId="77777777" w:rsidR="003E609F" w:rsidRDefault="003E609F" w:rsidP="00B96A25">
            <w:pPr>
              <w:jc w:val="center"/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E86A4" w14:textId="77777777" w:rsidR="003E609F" w:rsidRDefault="003E609F" w:rsidP="00B96A25">
            <w:pPr>
              <w:jc w:val="center"/>
            </w:pPr>
            <w:r w:rsidRPr="00A664B8">
              <w:rPr>
                <w:rFonts w:ascii="Times New Roman" w:hAnsi="Times New Roman" w:cs="Times New Roman"/>
                <w:szCs w:val="22"/>
              </w:rPr>
              <w:t>$139.32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50D760E3" w14:textId="77777777" w:rsidTr="006803F9">
        <w:trPr>
          <w:trHeight w:val="42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BF9A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4DCF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1DF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41FD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B63545F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CCB1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56501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911E6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lesion(s) vulva; simple (laser surgery, electrosurgery, cryosurgery, chemosurgery)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0497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055A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$79.25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33773CDF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86C6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42FA4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A0A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362F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75BBB47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0CE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56515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F3BA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lesion(s); vulva; extensive (e.g. laser surgery, electrosurgery, cryosurgery, chemosurgery)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3CDD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C537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$138.60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11D9B658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C569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33A8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D63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BCF3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86D7C4F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5126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56605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EE6D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Biopsy of vulva or perineum (separate procedure); one lesion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54A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C20A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$51.25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4FB16300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6D42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54338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828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C3DF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B36B96A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FDB0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56606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8830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Biopsy of vulva or perineum (separate procedure); each separate additional lesion (List separately in addition to the 56605 billing code for primary procedure.)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F81D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3E36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$23.77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06B89664" w14:textId="77777777" w:rsidTr="006803F9">
        <w:trPr>
          <w:trHeight w:val="15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3BB5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6323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2859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B982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423CCF29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E30B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56820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2478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Colposcopy of the vulva;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3BB6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A286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$68.06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B02D5B9" w14:textId="77777777" w:rsidTr="006803F9">
        <w:trPr>
          <w:trHeight w:val="16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4264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FEC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61C3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5253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65707AC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E138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56821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8BC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Colposcopy of the vulva; with biopsy(s)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2A03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A5EE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$91.16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4B5E4C35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E503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2146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43A1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679D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28AA77D6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E722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57061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4241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vaginal lesion(s); simple (laser surgery, electrosurgery, cryosurgery, chemosurgery)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6EA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C1CD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$68.87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06372FAB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4148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449F9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6A18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EE01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3570B8CA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C62C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lastRenderedPageBreak/>
              <w:t>57065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33D9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Destruction of vaginal lesion(s); extensive (laser surgery, electrosurgery, cryosurgery, chemosurgery)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F79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9CA3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$117.82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3E408923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DF86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191B0F2" wp14:editId="5D3E20EF">
                      <wp:simplePos x="0" y="0"/>
                      <wp:positionH relativeFrom="column">
                        <wp:posOffset>-890905</wp:posOffset>
                      </wp:positionH>
                      <wp:positionV relativeFrom="paragraph">
                        <wp:posOffset>146050</wp:posOffset>
                      </wp:positionV>
                      <wp:extent cx="842645" cy="506095"/>
                      <wp:effectExtent l="4445" t="3175" r="635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506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07F9D" w14:textId="77777777" w:rsidR="00916CA6" w:rsidRDefault="00916C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1B0F2" id="Text Box 4" o:spid="_x0000_s1028" type="#_x0000_t202" style="position:absolute;left:0;text-align:left;margin-left:-70.15pt;margin-top:11.5pt;width:66.35pt;height:3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" filled="f" stroked="f">
                      <v:textbox>
                        <w:txbxContent>
                          <w:p w14:paraId="34807F9D" w14:textId="77777777" w:rsidR="00916CA6" w:rsidRDefault="00916CA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0154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E5BE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79AF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789AB1D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9DF4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57170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F48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Diaphragm or cervical cap fitting with instructions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DAD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AB40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$46.38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517C7D30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667D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98AD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A37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ADC2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0CA1334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B7D1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57452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CA3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Colposcopy of the cervix including upper/adjacent vagina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912B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FF0E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$67.39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3ED8371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F95B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EA567" w14:textId="77777777" w:rsidR="003E609F" w:rsidRPr="00A664B8" w:rsidRDefault="003E609F" w:rsidP="006803F9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C552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BB93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3E609F" w:rsidRPr="00A664B8" w14:paraId="5869B215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867A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57454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E720C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Colposcopy with biopsy(s) of the cervix and endocervical curettage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A2F8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DD03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$95.67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FE05899" w14:textId="77777777" w:rsidTr="006803F9">
        <w:trPr>
          <w:trHeight w:val="4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1C33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C05C8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7E7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F10B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3162FF33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3E0F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57500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B2A0A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Biopsy of cervix, single or multiple, or local excision of lesion, with or without fulguration (separate procedure)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8C38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31D9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$80.03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09C16A69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51D1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A0C3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291E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476E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5A68E879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BFB5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57511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E19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Cautery of cervix; electro or thermal; cryocautery, initial or repeat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6B8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AE61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$88.98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4EC8D30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B630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64D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0E07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F932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331E471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164B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58100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D178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Endometrial sampling (biopsy) with or without endocervical sampling (biopsy), without cervical dilation, any method (separate procedure)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AE4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3B0C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$67.91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29F9A9A2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5793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86610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042E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4C3D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D87AB2C" w14:textId="77777777" w:rsidTr="006803F9">
        <w:trPr>
          <w:trHeight w:val="25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D6B0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58110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F5703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Endometrial sampling (biopsy) performed in conjunction with colposcopy (list separately in addition to code for primary procedure) </w:t>
            </w:r>
          </w:p>
          <w:p w14:paraId="3729F0C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[Use 58110 in conjunction with 57452-57454.]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697D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D2BD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$30.48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2CF2AD87" w14:textId="77777777" w:rsidTr="006803F9">
        <w:trPr>
          <w:trHeight w:val="1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EAF8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4B61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5809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2C4B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2D6FA27A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7DB4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58300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E8D8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Insertion of intrauterine device (IUD)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5989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B7E7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$43.27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4DD2F00C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8F6D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38255AE" wp14:editId="2A1DBA6C">
                      <wp:simplePos x="0" y="0"/>
                      <wp:positionH relativeFrom="column">
                        <wp:posOffset>-751678</wp:posOffset>
                      </wp:positionH>
                      <wp:positionV relativeFrom="paragraph">
                        <wp:posOffset>140335</wp:posOffset>
                      </wp:positionV>
                      <wp:extent cx="828675" cy="457200"/>
                      <wp:effectExtent l="0" t="0" r="0" b="0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2CB27E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Effective 11/18/14</w:t>
                                  </w:r>
                                </w:p>
                                <w:p w14:paraId="54C84A6A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2DB98A8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D7C17D5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CAB260F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CE00BED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A36745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6190C83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A01C333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0AA4B8E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02139C3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5B1CA0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09F4BE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A2E9D1B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94DC84A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8096A32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C3BB33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9562D07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A0A314D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411FC96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113E761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3A02264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1545255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AE783EE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EBD47BC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E75BDF4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6051E7E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D6FB458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166755F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2B1C2D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88B5E6E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5B29D0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03DB6EF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A9FAF90" w14:textId="77777777" w:rsidR="00916CA6" w:rsidRPr="0092749D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55AE" id="Text Box 24" o:spid="_x0000_s1029" type="#_x0000_t202" style="position:absolute;left:0;text-align:left;margin-left:-59.2pt;margin-top:11.05pt;width:65.25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" filled="f" stroked="f">
                      <v:textbox>
                        <w:txbxContent>
                          <w:p w14:paraId="332CB27E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Effective 11/18/14</w:t>
                            </w:r>
                          </w:p>
                          <w:p w14:paraId="54C84A6A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DB98A8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7C17D5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AB260F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E00BED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36745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6190C83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01C333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AA4B8E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2139C3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B1CA0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9F4BE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A2E9D1B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4DC84A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096A32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C3BB33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9562D07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A0A314D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11FC96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13E761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3A02264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545255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AE783EE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EBD47BC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75BDF4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051E7E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D6FB458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66755F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B1C2D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8B5E6E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B29D0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3DB6EF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9FAF90" w14:textId="77777777" w:rsidR="00916CA6" w:rsidRPr="0092749D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26BC1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6FD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AF20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401D6559" w14:textId="77777777" w:rsidTr="006803F9">
        <w:trPr>
          <w:trHeight w:val="3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FD47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58301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7172E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Removal of intrauterine device (IUD)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0DE6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20DE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$59.18*</w:t>
            </w:r>
          </w:p>
        </w:tc>
      </w:tr>
      <w:tr w:rsidR="003E609F" w:rsidRPr="00A664B8" w14:paraId="0EFA872D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5EF7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12DF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D58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8D83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29B738DF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085B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81025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78CE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Urine pregnancy test, by visual color comparison methods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8E8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6CBD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$9.83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5959C46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D923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FB3C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8E99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51F1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BC5172E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9263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85018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C38D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Hemoglobin (Hgb)</w:t>
            </w:r>
            <w:r w:rsidRPr="007F2AB6">
              <w:rPr>
                <w:rFonts w:ascii="Times New Roman" w:hAnsi="Times New Roman" w:cs="Times New Roman"/>
                <w:bCs/>
                <w:szCs w:val="22"/>
              </w:rPr>
              <w:t xml:space="preserve">(To bill this code providers must have their current CLIA-waiver certificates on file with MaineCare and update their provider enrollment with the </w:t>
            </w:r>
            <w:r w:rsidRPr="007F2AB6">
              <w:rPr>
                <w:rFonts w:ascii="Times New Roman" w:hAnsi="Times New Roman" w:cs="Times New Roman"/>
                <w:bCs/>
                <w:szCs w:val="22"/>
              </w:rPr>
              <w:lastRenderedPageBreak/>
              <w:t>Department.)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CAFF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79C53" w14:textId="77777777" w:rsidR="003E609F" w:rsidRPr="00A664B8" w:rsidDel="00537702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$2.88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144050FD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749A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174F1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234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56F6B" w14:textId="77777777" w:rsidR="003E609F" w:rsidRPr="00A664B8" w:rsidDel="00537702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0CCF0BC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A9B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86703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EA6FA" w14:textId="77777777" w:rsidR="003E609F" w:rsidRPr="00A664B8" w:rsidRDefault="003E609F" w:rsidP="0031455F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HIV-1 and HIV-2, single assay (ex. Oraquick Advance Rapid ½. (If positive result, providers must recommend Western Blot confirmatory testing and collect a sample, blood or saliva, during the same encounter to send to an outside professional lab for testing.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Prepaid Kits to collect the sample are to be purchased from the </w:t>
            </w:r>
            <w:r w:rsidRPr="00A664B8">
              <w:rPr>
                <w:rFonts w:ascii="Times New Roman" w:hAnsi="Times New Roman" w:cs="Times New Roman"/>
                <w:bCs/>
                <w:szCs w:val="22"/>
              </w:rPr>
              <w:t>Maine Center for Disease Control and Prevention,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 Health and Environmental Testing Laboratory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in accordance with </w:t>
            </w:r>
            <w:r w:rsidRPr="00916CA6">
              <w:rPr>
                <w:rFonts w:ascii="Times New Roman" w:hAnsi="Times New Roman" w:cs="Times New Roman"/>
                <w:i/>
                <w:szCs w:val="22"/>
              </w:rPr>
              <w:t>MaineCare Benefits Manual</w:t>
            </w:r>
            <w:r w:rsidRPr="00A664B8">
              <w:rPr>
                <w:rFonts w:ascii="Times New Roman" w:hAnsi="Times New Roman" w:cs="Times New Roman"/>
                <w:szCs w:val="22"/>
              </w:rPr>
              <w:t>, Section 90.04-24).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81F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EB39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$39.34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4A32047" w14:textId="77777777" w:rsidTr="006803F9">
        <w:trPr>
          <w:trHeight w:val="23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C5BA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CD99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D209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7A35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5B30ED67" w14:textId="77777777" w:rsidTr="006803F9">
        <w:trPr>
          <w:trHeight w:val="25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A452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87086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BED6A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Culture, bacterial; quantitative colony count, urine</w:t>
            </w:r>
            <w:r w:rsidR="007F6F1C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bCs/>
                <w:szCs w:val="22"/>
              </w:rPr>
              <w:t>(To bill this code providers must have their current CLIA-waiver certificates on file with MaineCare and update their provider enrollment with the Department.)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FEC34" w14:textId="77777777" w:rsidR="003E609F" w:rsidRPr="00A664B8" w:rsidDel="005B6D72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5418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$7.35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02E02A42" w14:textId="77777777" w:rsidTr="006803F9">
        <w:trPr>
          <w:trHeight w:val="8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07C2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8E2E7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58AD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D1D0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454ED7D4" w14:textId="77777777" w:rsidTr="006803F9">
        <w:trPr>
          <w:trHeight w:val="23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1D1B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87210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7F62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Smear, primary source with interpretation; Gram or Giemsa stain for bacteria, fungi, or cell types; wet mount for infectious agents (e.g. saline, India ink, KOH preps)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693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34E4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$7.08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2981E6A2" w14:textId="77777777" w:rsidTr="006803F9">
        <w:trPr>
          <w:trHeight w:val="3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AB84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C7AF3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5793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7407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5F9C6D70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9ABE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90636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32C3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Hepatitis A and hepatitis B vaccine (HepA-HepB), adult dosage for intramuscular use (If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under eighteen (18) years of age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A664B8">
              <w:rPr>
                <w:rFonts w:ascii="Times New Roman" w:hAnsi="Times New Roman" w:cs="Times New Roman"/>
                <w:szCs w:val="22"/>
              </w:rPr>
              <w:t>“Vaccines For Children” program must be used for this service and documented.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If under age twenty-one (21) all </w:t>
            </w:r>
            <w:r w:rsidRPr="00916CA6">
              <w:rPr>
                <w:rFonts w:ascii="Times New Roman" w:hAnsi="Times New Roman" w:cs="Times New Roman"/>
                <w:i/>
                <w:szCs w:val="22"/>
              </w:rPr>
              <w:t>MaineCare Benefits Manual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, Section 94, </w:t>
            </w:r>
            <w:r w:rsidR="00916CA6">
              <w:rPr>
                <w:rFonts w:ascii="Times New Roman" w:hAnsi="Times New Roman" w:cs="Times New Roman"/>
                <w:szCs w:val="22"/>
              </w:rPr>
              <w:t>“</w:t>
            </w:r>
            <w:r w:rsidRPr="00A664B8">
              <w:rPr>
                <w:rFonts w:ascii="Times New Roman" w:hAnsi="Times New Roman" w:cs="Times New Roman"/>
                <w:szCs w:val="22"/>
              </w:rPr>
              <w:t>Early, Periodic, Screening, Diagnosis and Treatment (EPSDT)</w:t>
            </w:r>
            <w:r w:rsidR="00916CA6">
              <w:rPr>
                <w:rFonts w:ascii="Times New Roman" w:hAnsi="Times New Roman" w:cs="Times New Roman"/>
                <w:szCs w:val="22"/>
              </w:rPr>
              <w:t>”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 requirements for this service must be met and documented.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14F7" w14:textId="77777777" w:rsidR="003E609F" w:rsidRPr="00A664B8" w:rsidDel="005B6D72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6356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$110.64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4FE7D86F" w14:textId="77777777" w:rsidTr="006803F9">
        <w:trPr>
          <w:trHeight w:val="11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F4F8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AF92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665A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7836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4501D087" w14:textId="77777777" w:rsidTr="006803F9">
        <w:trPr>
          <w:trHeight w:val="29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6FD0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24C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1857C47" wp14:editId="08FD8EBB">
                      <wp:simplePos x="0" y="0"/>
                      <wp:positionH relativeFrom="column">
                        <wp:posOffset>-763108</wp:posOffset>
                      </wp:positionH>
                      <wp:positionV relativeFrom="paragraph">
                        <wp:posOffset>2540</wp:posOffset>
                      </wp:positionV>
                      <wp:extent cx="828675" cy="1127051"/>
                      <wp:effectExtent l="0" t="0" r="0" b="0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1127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20195E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D79EA29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Effective 11/18/14</w:t>
                                  </w:r>
                                </w:p>
                                <w:p w14:paraId="49191DE1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39C2BA9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943D3F3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A26FE26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4F0CECD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53A3D88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6574094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C55541F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088E163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E3B485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3520B7D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D8F9FF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9F798D2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AAE99F1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7546A87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C876474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125A4D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1C307DE8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B5AE58F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9254760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62FF458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8BDBA9F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1AD39C3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D8D92B4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B41EB51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AED70CB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20D0B03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96C682E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EE56A61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22ED186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928C3B1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0BE8381F" w14:textId="77777777" w:rsidR="00916CA6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6BDA712" w14:textId="77777777" w:rsidR="00916CA6" w:rsidRPr="0092749D" w:rsidRDefault="00916CA6" w:rsidP="00D87587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57C47" id="_x0000_s1030" type="#_x0000_t202" style="position:absolute;left:0;text-align:left;margin-left:-60.1pt;margin-top:.2pt;width:65.25pt;height:8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" filled="f" stroked="f">
                      <v:textbox>
                        <w:txbxContent>
                          <w:p w14:paraId="2F20195E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D79EA29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Effective 11/18/14</w:t>
                            </w:r>
                          </w:p>
                          <w:p w14:paraId="49191DE1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9C2BA9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43D3F3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A26FE26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F0CECD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3A3D88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6574094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55541F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088E163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3B485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3520B7D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8F9FF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F798D2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AE99F1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546A87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876474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25A4D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307DE8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B5AE58F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9254760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2FF458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BDBA9F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AD39C3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D8D92B4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B41EB51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ED70CB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0D0B03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96C682E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E56A61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2ED186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28C3B1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BE8381F" w14:textId="77777777" w:rsidR="00916CA6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BDA712" w14:textId="77777777" w:rsidR="00916CA6" w:rsidRPr="0092749D" w:rsidRDefault="00916CA6" w:rsidP="00D8758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2"/>
              </w:rPr>
              <w:t>90649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4F1A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Human Papilloma Virus (HPV) vaccine types 6, 11, 16, 18 (quadrivalent), 3 dose schedule, for intramuscular use. </w:t>
            </w:r>
            <w:r w:rsidRPr="00A664B8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For administration to both men and women from nine (9) years until twenty-seven (27) years. If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 under eighteen (18) years of age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“Vaccines For Children” program must be used for this service and documented. If under age twenty-one (21) all </w:t>
            </w:r>
            <w:r w:rsidRPr="00916CA6">
              <w:rPr>
                <w:rFonts w:ascii="Times New Roman" w:hAnsi="Times New Roman" w:cs="Times New Roman"/>
                <w:i/>
                <w:szCs w:val="22"/>
              </w:rPr>
              <w:t>MaineCare Benefits Manual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, Section 94, </w:t>
            </w:r>
            <w:r w:rsidR="00916CA6">
              <w:rPr>
                <w:rFonts w:ascii="Times New Roman" w:hAnsi="Times New Roman" w:cs="Times New Roman"/>
                <w:szCs w:val="22"/>
              </w:rPr>
              <w:t>“</w:t>
            </w:r>
            <w:r w:rsidRPr="00A664B8">
              <w:rPr>
                <w:rFonts w:ascii="Times New Roman" w:hAnsi="Times New Roman" w:cs="Times New Roman"/>
                <w:szCs w:val="22"/>
              </w:rPr>
              <w:t>Early, Periodic, Screening, Diagnosis and Treatment (EPSDT)</w:t>
            </w:r>
            <w:r w:rsidR="00916CA6">
              <w:rPr>
                <w:rFonts w:ascii="Times New Roman" w:hAnsi="Times New Roman" w:cs="Times New Roman"/>
                <w:szCs w:val="22"/>
              </w:rPr>
              <w:t>”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 requirements for this service must be met and documented.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12F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BC85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$120.00*</w:t>
            </w:r>
          </w:p>
        </w:tc>
      </w:tr>
      <w:tr w:rsidR="003E609F" w:rsidRPr="00A664B8" w14:paraId="4A41272C" w14:textId="77777777" w:rsidTr="006803F9">
        <w:trPr>
          <w:trHeight w:val="1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9AED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59293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4DFD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C8ED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550EF41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8A4F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lastRenderedPageBreak/>
              <w:t>99201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6E3A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Office or other outpatient visit for the evaluation and management of a new patient, which requires these three (3) key components: a problem focused history; a problem focused examination; and straightforward medical decision making. Counseling and/or coordination of care with other providers or agencies are provided consistent with the nature of the problem(s) and the patient's and/or family's needs. Usually, the presenting problem(s) are </w:t>
            </w:r>
            <w:proofErr w:type="spellStart"/>
            <w:r w:rsidRPr="00A664B8">
              <w:rPr>
                <w:rFonts w:ascii="Times New Roman" w:hAnsi="Times New Roman" w:cs="Times New Roman"/>
                <w:szCs w:val="22"/>
              </w:rPr>
              <w:t>self limited</w:t>
            </w:r>
            <w:proofErr w:type="spellEnd"/>
            <w:r w:rsidRPr="00A664B8">
              <w:rPr>
                <w:rFonts w:ascii="Times New Roman" w:hAnsi="Times New Roman" w:cs="Times New Roman"/>
                <w:szCs w:val="22"/>
              </w:rPr>
              <w:t xml:space="preserve"> or minor. Physicians typically spend ten (10) minutes face-to-face with the patient and/or family. (Physician assistants and nurse practitioners may also perform these services within the scope of their licensure.)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78B9F" w14:textId="77777777" w:rsidR="003E609F" w:rsidRPr="00A664B8" w:rsidDel="00C159FB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449D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$23.91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1F86CC45" w14:textId="77777777" w:rsidTr="006803F9">
        <w:trPr>
          <w:trHeight w:val="1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77504" w14:textId="77777777" w:rsidR="003E609F" w:rsidRDefault="003E609F" w:rsidP="00B96A25">
            <w:pPr>
              <w:jc w:val="center"/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0393" w14:textId="77777777" w:rsidR="003E609F" w:rsidRDefault="003E609F" w:rsidP="006803F9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189B" w14:textId="77777777" w:rsidR="003E609F" w:rsidRDefault="003E609F" w:rsidP="00B96A25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3FC67" w14:textId="77777777" w:rsidR="003E609F" w:rsidRDefault="003E609F" w:rsidP="00B96A25">
            <w:pPr>
              <w:jc w:val="center"/>
            </w:pPr>
          </w:p>
        </w:tc>
      </w:tr>
      <w:tr w:rsidR="003E609F" w:rsidRPr="00A664B8" w14:paraId="56B87E55" w14:textId="77777777" w:rsidTr="006803F9">
        <w:trPr>
          <w:trHeight w:val="1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7262C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25954BC" wp14:editId="381457A3">
                      <wp:simplePos x="0" y="0"/>
                      <wp:positionH relativeFrom="column">
                        <wp:posOffset>-672465</wp:posOffset>
                      </wp:positionH>
                      <wp:positionV relativeFrom="paragraph">
                        <wp:posOffset>-167005</wp:posOffset>
                      </wp:positionV>
                      <wp:extent cx="711200" cy="568325"/>
                      <wp:effectExtent l="3810" t="4445" r="0" b="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56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77E60" w14:textId="77777777" w:rsidR="00916CA6" w:rsidRDefault="00916C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954BC" id="Text Box 5" o:spid="_x0000_s1031" type="#_x0000_t202" style="position:absolute;left:0;text-align:left;margin-left:-52.95pt;margin-top:-13.15pt;width:56pt;height:4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" filled="f" stroked="f">
                      <v:textbox>
                        <w:txbxContent>
                          <w:p w14:paraId="08C77E60" w14:textId="77777777" w:rsidR="00916CA6" w:rsidRDefault="00916CA6"/>
                        </w:txbxContent>
                      </v:textbox>
                    </v:shape>
                  </w:pict>
                </mc:Fallback>
              </mc:AlternateContent>
            </w:r>
            <w:r w:rsidRPr="00A664B8">
              <w:rPr>
                <w:rFonts w:ascii="Times New Roman" w:hAnsi="Times New Roman" w:cs="Times New Roman"/>
                <w:szCs w:val="22"/>
              </w:rPr>
              <w:t>99202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014D0" w14:textId="77777777" w:rsidR="003E609F" w:rsidRPr="00A664B8" w:rsidDel="00060796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 new patient, which requires these three (3)key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components: an expanded problem focused history; an expanded problem focused examination; and straightforward medical decision making. Counseling and/or coordination of care with other providers or agencies are provided consistent with the nature of the problem(s) and the patient’s and/or family’s needs.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Usually, the presenting problem(s) are of low to moderate severity. Physicians typically spend twenty (20)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5D8F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252D">
              <w:rPr>
                <w:rFonts w:ascii="Times New Roman" w:hAnsi="Times New Roman" w:cs="Times New Roman"/>
                <w:sz w:val="20"/>
              </w:rPr>
              <w:t xml:space="preserve">Apply </w:t>
            </w:r>
            <w:proofErr w:type="spellStart"/>
            <w:r w:rsidRPr="0023252D">
              <w:rPr>
                <w:rFonts w:ascii="Times New Roman" w:hAnsi="Times New Roman" w:cs="Times New Roman"/>
                <w:sz w:val="20"/>
              </w:rPr>
              <w:t>FPmodifier</w:t>
            </w:r>
            <w:proofErr w:type="spellEnd"/>
            <w:r w:rsidRPr="0023252D">
              <w:rPr>
                <w:rFonts w:ascii="Times New Roman" w:hAnsi="Times New Roman" w:cs="Times New Roman"/>
                <w:sz w:val="20"/>
              </w:rPr>
              <w:t xml:space="preserve"> if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 xml:space="preserve">prevent or </w:t>
            </w:r>
            <w:proofErr w:type="spellStart"/>
            <w:r w:rsidRPr="0023252D">
              <w:rPr>
                <w:rFonts w:ascii="Times New Roman" w:hAnsi="Times New Roman" w:cs="Times New Roman"/>
                <w:snapToGrid w:val="0"/>
                <w:sz w:val="20"/>
              </w:rPr>
              <w:t>delaypregnancy</w:t>
            </w:r>
            <w:proofErr w:type="spellEnd"/>
            <w:r w:rsidRPr="0023252D">
              <w:rPr>
                <w:rFonts w:ascii="Times New Roman" w:hAnsi="Times New Roman" w:cs="Times New Roman"/>
                <w:snapToGrid w:val="0"/>
                <w:sz w:val="20"/>
              </w:rPr>
              <w:t xml:space="preserve"> or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 xml:space="preserve">to otherwise </w:t>
            </w:r>
            <w:r w:rsidRPr="0023252D">
              <w:rPr>
                <w:rFonts w:ascii="Times New Roman" w:hAnsi="Times New Roman" w:cs="Times New Roman"/>
                <w:snapToGrid w:val="0"/>
                <w:sz w:val="20"/>
              </w:rPr>
              <w:t xml:space="preserve">control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1034C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$41.55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1E4B32B1" w14:textId="77777777" w:rsidTr="006803F9">
        <w:trPr>
          <w:trHeight w:val="1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3694D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BBACB" w14:textId="77777777" w:rsidR="003E609F" w:rsidRPr="00A664B8" w:rsidDel="00060796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9AF20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02D00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36A5643C" w14:textId="77777777" w:rsidTr="006803F9">
        <w:trPr>
          <w:trHeight w:val="9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4740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99203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45EE6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 new patient, which requires these three (3) key components: a detailed history; a detailed examination; and medical decision making of low complexity. Counseling and/or coordination of care with other providers or agencies are provided consistent with the nature of the problem(s) and the patient’s and/or family’s needs.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Usually, the presenting problem(s) are of moderate severity. Physicians typically spend thirty (30)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9916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BA27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$60.20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40710061" w14:textId="77777777" w:rsidTr="006803F9">
        <w:trPr>
          <w:trHeight w:val="1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32EF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C583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05A0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B4DB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CE44281" w14:textId="77777777" w:rsidTr="006803F9">
        <w:trPr>
          <w:trHeight w:val="21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86B1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lastRenderedPageBreak/>
              <w:t>99204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15A1A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 new patient, which requires these three (3) key components: a comprehensive history; a comprehensive examination; and medical decision making of moderate complexity. Counseling and/or coordination of care with other providers or agencies are provided consistent with the nature of the problem(s) and the patient's and/or family's needs. Usually, the presenting problem(s) are of moderate to high severity. Physicians typically spend forty-five (45)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A5DE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050B0" w14:textId="77777777" w:rsidR="003E609F" w:rsidRPr="00A664B8" w:rsidRDefault="003E609F" w:rsidP="00B96A25">
            <w:pPr>
              <w:keepNext/>
              <w:keepLines/>
              <w:spacing w:before="200"/>
              <w:jc w:val="center"/>
              <w:outlineLvl w:val="4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$93.60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3B15C83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8558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545CE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A0B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86A4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155D9EAA" w14:textId="77777777" w:rsidTr="006803F9">
        <w:trPr>
          <w:trHeight w:val="72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6F51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F72C98D" wp14:editId="71AB260C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-8890</wp:posOffset>
                      </wp:positionV>
                      <wp:extent cx="745490" cy="534670"/>
                      <wp:effectExtent l="0" t="635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5490" cy="534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11D66" w14:textId="77777777" w:rsidR="00916CA6" w:rsidRPr="00961E9A" w:rsidRDefault="00916CA6" w:rsidP="00961E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C98D" id="Text Box 9" o:spid="_x0000_s1032" type="#_x0000_t202" style="position:absolute;left:0;text-align:left;margin-left:-64.65pt;margin-top:-.7pt;width:58.7pt;height:42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" filled="f" stroked="f">
                      <v:textbox>
                        <w:txbxContent>
                          <w:p w14:paraId="2A611D66" w14:textId="77777777" w:rsidR="00916CA6" w:rsidRPr="00961E9A" w:rsidRDefault="00916CA6" w:rsidP="00961E9A"/>
                        </w:txbxContent>
                      </v:textbox>
                    </v:shape>
                  </w:pict>
                </mc:Fallback>
              </mc:AlternateContent>
            </w:r>
            <w:r w:rsidRPr="00A664B8">
              <w:rPr>
                <w:rFonts w:ascii="Times New Roman" w:hAnsi="Times New Roman" w:cs="Times New Roman"/>
                <w:szCs w:val="22"/>
              </w:rPr>
              <w:t>99205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46119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 new patient, which requires these three (3) key components: a comprehensive history; a comprehensive examination; and medical decision making of high complexity. Counseling and/or coordination of care with other providers or agencies are provided consistent with the nature of the problem(s) and the patient's and/or family's needs.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Usually, the presenting problem(s) are of moderate to high severity. Physicians typically spend sixty (60)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DC05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8B5A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$118.41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0D403E9" w14:textId="77777777" w:rsidTr="006803F9">
        <w:trPr>
          <w:trHeight w:val="12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C8ED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9E19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10B7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07FC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195CA3B" w14:textId="77777777" w:rsidTr="006803F9">
        <w:trPr>
          <w:trHeight w:val="12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6E81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99211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1E010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an established patient, that may not require the presence of a physician. Usually, the presenting problem(s) are minimal. Typically, five (5)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minutes are spent performing or supervising these services.</w:t>
            </w:r>
          </w:p>
          <w:p w14:paraId="249DCABD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712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BC8D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$13.17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CB7940C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C349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B5C8E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6E2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1B63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F061B45" w14:textId="77777777" w:rsidTr="006803F9">
        <w:trPr>
          <w:trHeight w:val="218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7822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lastRenderedPageBreak/>
              <w:t>99212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9CEE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an established patient, which requires at least two (2) of these three (3) key components: a problem focused history; a problem focused examination; and straightforward medical decision making. Counseling and/or coordination of care with other providers or agencies are provided consistent with the nature of the problem(s) and the patient's and/or family's needs.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Usually, the presenting problem(s) are self-limited or minor. Physicians typically spend ten (10)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D2C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DD15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$24.14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035B08F1" w14:textId="77777777" w:rsidTr="006803F9">
        <w:trPr>
          <w:trHeight w:val="13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1142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E561C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506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A7BC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4C3971D" w14:textId="77777777" w:rsidTr="006803F9">
        <w:trPr>
          <w:trHeight w:val="5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2A6E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DF9611" wp14:editId="158CDFD2">
                      <wp:simplePos x="0" y="0"/>
                      <wp:positionH relativeFrom="column">
                        <wp:posOffset>-745490</wp:posOffset>
                      </wp:positionH>
                      <wp:positionV relativeFrom="paragraph">
                        <wp:posOffset>-10160</wp:posOffset>
                      </wp:positionV>
                      <wp:extent cx="698500" cy="509905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509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AF06C7" w14:textId="77777777" w:rsidR="00916CA6" w:rsidRPr="000879D6" w:rsidRDefault="00916CA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F9611" id="Text Box 11" o:spid="_x0000_s1033" type="#_x0000_t202" style="position:absolute;left:0;text-align:left;margin-left:-58.7pt;margin-top:-.8pt;width:55pt;height:40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" filled="f" stroked="f">
                      <v:textbox>
                        <w:txbxContent>
                          <w:p w14:paraId="3CAF06C7" w14:textId="77777777" w:rsidR="00916CA6" w:rsidRPr="000879D6" w:rsidRDefault="00916C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64B8">
              <w:rPr>
                <w:rFonts w:ascii="Times New Roman" w:hAnsi="Times New Roman" w:cs="Times New Roman"/>
                <w:szCs w:val="22"/>
              </w:rPr>
              <w:t>99213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97284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an established patient, which requires at least two (2) of these three (3) key components: an expanded problem focused history; an expanded problem focused examination; and medical decision making of low complexity. Counseling and/or coordination of care with other providers or agencies are provided consistent with the nature of the problem(s) and the patient's and/or family's needs. Usually, the presenting problem(s) are of low to moderate severity. Physicians typically spend fifteen (15)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E4D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97FA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$40.51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3C48A0B" w14:textId="77777777" w:rsidTr="006803F9">
        <w:trPr>
          <w:trHeight w:val="2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9252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2248D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10C9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CCEC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949EF20" w14:textId="77777777" w:rsidTr="006803F9">
        <w:trPr>
          <w:trHeight w:val="3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0B03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99214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4794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an established patient, which requires at least two (2) of these three (3) key components: a detailed history; a detailed examination; and medical decision making of moderate complexity.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Counseling and/or coordination of care with other providers or agencies are provided consistent with the nature of the problem(s) and the patient's and/or family's needs. Usually, the presenting problem(s) are of moderate to high severity. Physicians typically spend twenty-five (25)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806E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DBBC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$61.05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52A0D5CE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7880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2414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3E67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C21F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10A8B1F" w14:textId="77777777" w:rsidTr="006803F9">
        <w:trPr>
          <w:trHeight w:val="218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7131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lastRenderedPageBreak/>
              <w:t>99215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DEE6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Office or other outpatient visit for the evaluation and management of an established patient, which requires at least two (2) of these three (3) key components: a comprehensive history; a comprehensive examination; and medical decision making of high complexity. Counseling and/or coordination of care with other providers or agencies are provided consistent with the nature of the problem(s) and the patient's and/or family's needs. Usually, the presenting problem(s) are of moderate to high severity. Physicians typically spend forty (40) minutes face-to-face with the patient and/or family.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087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111F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$82.60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16156FEC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7D0B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E227C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DD65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52EE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1269024" w14:textId="77777777" w:rsidTr="006803F9">
        <w:trPr>
          <w:trHeight w:val="102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36AF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99384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F1A7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Initial comprehensive preventative medicine evaluation and management of an individual including an age and gender appropriate history, examination, counseling/anticipatory guidance/risk factor reduction interventions, and the ordering of laboratory/diagnostic procedures, new patient, adolescent (age 12 through 17 years). (All providers of these services must meet all </w:t>
            </w:r>
            <w:r w:rsidRPr="00916CA6">
              <w:rPr>
                <w:rFonts w:ascii="Times New Roman" w:hAnsi="Times New Roman" w:cs="Times New Roman"/>
                <w:i/>
                <w:szCs w:val="22"/>
              </w:rPr>
              <w:t>MaineCare Benefits Manual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, Section 94 </w:t>
            </w:r>
            <w:r w:rsidR="007B77F6">
              <w:rPr>
                <w:rFonts w:ascii="Times New Roman" w:hAnsi="Times New Roman" w:cs="Times New Roman"/>
                <w:szCs w:val="22"/>
              </w:rPr>
              <w:t>“</w:t>
            </w:r>
            <w:r w:rsidRPr="00A664B8">
              <w:rPr>
                <w:rFonts w:ascii="Times New Roman" w:hAnsi="Times New Roman" w:cs="Times New Roman"/>
                <w:szCs w:val="22"/>
              </w:rPr>
              <w:t>Early, Periodic, Screening, Diagnostic and Treatment (EPSDT)</w:t>
            </w:r>
            <w:r w:rsidR="007B77F6">
              <w:rPr>
                <w:rFonts w:ascii="Times New Roman" w:hAnsi="Times New Roman" w:cs="Times New Roman"/>
                <w:szCs w:val="22"/>
              </w:rPr>
              <w:t>”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 periodicity requirements for MaineCare members up to their twenty-first (21) birthday.)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5536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E92E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$62.06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1AB9C5F1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4A85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A1359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53B2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A869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E15E31A" w14:textId="77777777" w:rsidTr="0031455F">
        <w:trPr>
          <w:trHeight w:val="74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B70C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99385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2BEBD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Initial comprehensive preventative medicine evaluation and management of an individual including an age and gender appropriate history, examination, counseling/anticipatory guidance/risk factor reduction interventions, and the ordering of laboratory/diagnostic procedures, new patient, adolescent age 18-39 years. (All providers of these services must meet all </w:t>
            </w:r>
            <w:r w:rsidRPr="007B77F6">
              <w:rPr>
                <w:rFonts w:ascii="Times New Roman" w:hAnsi="Times New Roman" w:cs="Times New Roman"/>
                <w:i/>
                <w:szCs w:val="22"/>
              </w:rPr>
              <w:t>MaineCare Benefits Manual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, Section 94 </w:t>
            </w:r>
            <w:r w:rsidR="007B77F6">
              <w:rPr>
                <w:rFonts w:ascii="Times New Roman" w:hAnsi="Times New Roman" w:cs="Times New Roman"/>
                <w:szCs w:val="22"/>
              </w:rPr>
              <w:t>“</w:t>
            </w:r>
            <w:r w:rsidRPr="00A664B8">
              <w:rPr>
                <w:rFonts w:ascii="Times New Roman" w:hAnsi="Times New Roman" w:cs="Times New Roman"/>
                <w:szCs w:val="22"/>
              </w:rPr>
              <w:t>Early, Periodic, Screening, Diagnostic and Treatment (EPSDT)</w:t>
            </w:r>
            <w:r w:rsidR="007B77F6">
              <w:rPr>
                <w:rFonts w:ascii="Times New Roman" w:hAnsi="Times New Roman" w:cs="Times New Roman"/>
                <w:szCs w:val="22"/>
              </w:rPr>
              <w:t>”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 periodicity requirements for MaineCare members up to their twenty-first (21) birthday.)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C2BD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A55A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$61.43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1455F" w:rsidRPr="00A664B8" w14:paraId="203F03F4" w14:textId="77777777" w:rsidTr="0031455F">
        <w:trPr>
          <w:trHeight w:val="24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6560E" w14:textId="77777777" w:rsidR="0031455F" w:rsidRPr="00A664B8" w:rsidRDefault="0031455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10296E" w14:textId="77777777" w:rsidR="0031455F" w:rsidRPr="00A664B8" w:rsidRDefault="0031455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1252B4" w14:textId="77777777" w:rsidR="0031455F" w:rsidRPr="00A664B8" w:rsidRDefault="0031455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B92E3" w14:textId="77777777" w:rsidR="0031455F" w:rsidRPr="00A664B8" w:rsidRDefault="0031455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89CBDB0" w14:textId="77777777" w:rsidTr="0031455F">
        <w:trPr>
          <w:trHeight w:val="24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77A4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29C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4FF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DC78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6827756F" w14:textId="77777777" w:rsidTr="006803F9">
        <w:trPr>
          <w:trHeight w:val="17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610DC" w14:textId="77777777" w:rsidR="0031455F" w:rsidRDefault="0031455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F618E9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99386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7A89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Initial comprehensive preventative medicine evaluation and management of an individual including an age and gender appropriate history, examination, counseling/anticipatory guidance/risk factor reduction interventions, and the ordering of laboratory/diagnostic procedures, new patient, adolescent (age 40-64)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CA1F8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E888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$63.32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DAA9F2F" w14:textId="77777777" w:rsidTr="006803F9">
        <w:trPr>
          <w:trHeight w:val="56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1027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91CC0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B31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33BD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560AE824" w14:textId="77777777" w:rsidTr="006803F9">
        <w:trPr>
          <w:trHeight w:val="31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9BB3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99387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2C64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Initial comprehensive preventative medicine evaluation and management of an individual including an age and gender appropriate history, examination, counseling/anticipatory guidance/risk factor reduction interventions, and the ordering of laboratory/diagnostic procedures, new patient, adolescent (65 years and older)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0BD43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9916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$65.89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A173A89" w14:textId="77777777" w:rsidTr="006803F9">
        <w:trPr>
          <w:trHeight w:val="2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885D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78DA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2FE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41359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8D4EBF2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D87B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99394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B56B0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Periodic comprehensive preventative medicine reevaluation and management of an individual including an age and gender appropriate history, examination, counseling/anticipatory guidance/risk factor reduction interventions, and the ordering of laboratory diagnostic procedures, established patient; adolescent (age 12 through 17 years). (All providers of these services must meet all </w:t>
            </w:r>
            <w:r w:rsidRPr="007B77F6">
              <w:rPr>
                <w:rFonts w:ascii="Times New Roman" w:hAnsi="Times New Roman" w:cs="Times New Roman"/>
                <w:i/>
                <w:szCs w:val="22"/>
              </w:rPr>
              <w:t>MaineCare Benefits Manual</w:t>
            </w:r>
            <w:r w:rsidRPr="00A664B8">
              <w:rPr>
                <w:rFonts w:ascii="Times New Roman" w:hAnsi="Times New Roman" w:cs="Times New Roman"/>
                <w:szCs w:val="22"/>
              </w:rPr>
              <w:t>, Section 94 Early, Periodic, Screening, Diagnostic and Treatment (EPSDT) periodicity requirements for MaineCare members up to their twenty-first (21) birthday.)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9590F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Apply 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A53F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$58.37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25B17A9" w14:textId="77777777" w:rsidTr="006803F9">
        <w:trPr>
          <w:trHeight w:val="32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C975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73C07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945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7F2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50077F7C" w14:textId="77777777" w:rsidTr="006803F9">
        <w:trPr>
          <w:trHeight w:val="287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7A63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lastRenderedPageBreak/>
              <w:t>99395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03D0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Periodic comprehensive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 xml:space="preserve">preventive medicine reevaluation and management of an individual including an age and gender appropriate history, examination, counseling/anticipatory guidance/risk factor reduction interventions and the ordering of appropriate laboratory/diagnostic procedures, established patient; age 18-39 years. (All providers of these services must meet all </w:t>
            </w:r>
            <w:r w:rsidRPr="007B77F6">
              <w:rPr>
                <w:rFonts w:ascii="Times New Roman" w:hAnsi="Times New Roman" w:cs="Times New Roman"/>
                <w:i/>
                <w:szCs w:val="22"/>
              </w:rPr>
              <w:t>MaineCare Benefits Manual</w:t>
            </w:r>
            <w:r w:rsidRPr="00A664B8">
              <w:rPr>
                <w:rFonts w:ascii="Times New Roman" w:hAnsi="Times New Roman" w:cs="Times New Roman"/>
                <w:szCs w:val="22"/>
              </w:rPr>
              <w:t>, Section 94 Early, Periodic, Screening, Diagnostic and Treatment (EPSDT) periodicity requirements for MaineCare members up to their twenty-first (21) birthday.)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F241E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97FC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$58.74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B2FDDEE" w14:textId="77777777" w:rsidTr="006803F9">
        <w:trPr>
          <w:trHeight w:val="39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2867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E96CB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BCFB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CCE3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124CFA8D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1FE6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99396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A016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Periodic comprehensive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preventive medicine reevaluation and management of an individual including an age and gender appropriate history, examination, counseling/anticipatory guidance/risk factor reduction interventions and the ordering of appropriate laboratory/diagnostic procedures, established patient;</w:t>
            </w:r>
            <w:r w:rsidR="007F6F1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64B8">
              <w:rPr>
                <w:rFonts w:ascii="Times New Roman" w:hAnsi="Times New Roman" w:cs="Times New Roman"/>
                <w:szCs w:val="22"/>
              </w:rPr>
              <w:t>40-64 years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24588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24E9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$58.74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39FDEF30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4BFF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A71E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BFB9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EE96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38B31D51" w14:textId="77777777" w:rsidTr="00725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DD03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99397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BF3E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Periodic comprehensive preventative medicine reevaluation and management of an individual including an age and gender appropriate history, examination, counseling/anticipatory guidance/risk factor reduction interventions, and the ordering of laboratory diagnostic procedures, established patient; adolescent (65 years and older)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D8664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96E2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$58.74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725DE1" w:rsidRPr="00A664B8" w14:paraId="0306330A" w14:textId="77777777" w:rsidTr="00725DE1">
        <w:trPr>
          <w:trHeight w:val="1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875C8" w14:textId="77777777" w:rsidR="00725DE1" w:rsidRPr="00A664B8" w:rsidRDefault="00725DE1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4B4CD5" w14:textId="77777777" w:rsidR="00725DE1" w:rsidRPr="00A664B8" w:rsidRDefault="00725DE1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CF2C53" w14:textId="77777777" w:rsidR="00725DE1" w:rsidRPr="00A664B8" w:rsidRDefault="00725DE1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40E51" w14:textId="77777777" w:rsidR="00725DE1" w:rsidRPr="00A664B8" w:rsidRDefault="00725DE1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2ACA5F18" w14:textId="77777777" w:rsidTr="00725DE1">
        <w:trPr>
          <w:trHeight w:val="197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0B29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122C8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12C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DE22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CC002F1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EDCA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873465E" wp14:editId="595F5E23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-28575</wp:posOffset>
                      </wp:positionV>
                      <wp:extent cx="732155" cy="459105"/>
                      <wp:effectExtent l="0" t="0" r="3175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155" cy="459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5B975F" w14:textId="77777777" w:rsidR="00916CA6" w:rsidRPr="000879D6" w:rsidRDefault="00916CA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3465E" id="_x0000_s1034" type="#_x0000_t202" style="position:absolute;left:0;text-align:left;margin-left:-63.9pt;margin-top:-2.25pt;width:57.65pt;height:36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" filled="f" stroked="f">
                      <v:textbox>
                        <w:txbxContent>
                          <w:p w14:paraId="265B975F" w14:textId="77777777" w:rsidR="00916CA6" w:rsidRPr="000879D6" w:rsidRDefault="00916C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64B8">
              <w:rPr>
                <w:rFonts w:ascii="Times New Roman" w:hAnsi="Times New Roman" w:cs="Times New Roman"/>
                <w:szCs w:val="22"/>
              </w:rPr>
              <w:t>99401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4EB8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Preventative medicine counseling and/or risk factor reduction intervention(s) provided to an individual (separate procedure); approximately 15 minutes (Family planning professionals and other qualified staff may provide.]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9974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4BC1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$6.15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63B0F5A9" w14:textId="77777777" w:rsidTr="006803F9">
        <w:trPr>
          <w:trHeight w:val="50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D897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FFED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D30A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0D67B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7C3C991B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D517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99402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A88A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Preventative medicine counseling and/or risk factor reduction intervention(s) provided to an individual (separate procedure); approximately 30 minutes (Family planning professionals and other qualified staff may provide.]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8E98" w14:textId="77777777" w:rsidR="003E609F" w:rsidRPr="00A664B8" w:rsidDel="00060796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 xml:space="preserve">Apply FP modifier if visit is only to </w:t>
            </w:r>
            <w:r w:rsidRPr="00A664B8">
              <w:rPr>
                <w:rFonts w:ascii="Times New Roman" w:hAnsi="Times New Roman" w:cs="Times New Roman"/>
                <w:snapToGrid w:val="0"/>
                <w:szCs w:val="22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D421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$27.05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EDEEF69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AA89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214B3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0F63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15D2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310DB75C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39E5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99403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E0137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Preventative medicine counseling and/or risk factor reduction intervention(s) provided to an individual (separate procedure); approximately 45 minutes (Family planning professionals and other qualified staff may provide.]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168C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A471C">
              <w:rPr>
                <w:rFonts w:ascii="Times New Roman" w:hAnsi="Times New Roman" w:cs="Times New Roman"/>
                <w:sz w:val="18"/>
                <w:szCs w:val="18"/>
              </w:rPr>
              <w:t xml:space="preserve">Apply FP modifier if visit is only to </w:t>
            </w:r>
            <w:r w:rsidRPr="000A471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prevent or delay pregnancy or to otherwise control family size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CA2C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$12.29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2D7CA3F2" w14:textId="77777777" w:rsidTr="006803F9">
        <w:trPr>
          <w:trHeight w:val="24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0230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A4266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DB9BD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Diaphragm for contraceptive use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3FA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4F7A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$21.48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0564E17B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A473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9F93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B73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5F6A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143FBCDE" w14:textId="77777777" w:rsidTr="006803F9">
        <w:trPr>
          <w:trHeight w:val="61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AD99E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A4267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4323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Contraceptive supply, condom, male, each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B6D27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7706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$0.65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59285FE2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D52F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77B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0905A" w14:textId="77777777" w:rsidR="003E609F" w:rsidRPr="000A471C" w:rsidRDefault="003E609F" w:rsidP="00B96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E986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38222853" w14:textId="77777777" w:rsidTr="006803F9">
        <w:trPr>
          <w:trHeight w:val="32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3461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A4268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4DF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Contraceptive supply, condom, female, each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C62E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A386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$2.10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2BF9E41D" w14:textId="77777777" w:rsidTr="006803F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1C362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482A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4AA0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DAE0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95DECFF" w14:textId="77777777" w:rsidTr="006803F9">
        <w:trPr>
          <w:trHeight w:val="2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0EE6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A4269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68BEF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Contraceptive supply, spermicide (e.g., foam, gel) each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3113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91A9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$8.60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25FE4350" w14:textId="77777777" w:rsidTr="006803F9">
        <w:trPr>
          <w:trHeight w:val="3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9B9D1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763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52BF6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4675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0B6366CC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91673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62C3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AAB4453" wp14:editId="5768F54C">
                      <wp:simplePos x="0" y="0"/>
                      <wp:positionH relativeFrom="column">
                        <wp:posOffset>-752313</wp:posOffset>
                      </wp:positionH>
                      <wp:positionV relativeFrom="paragraph">
                        <wp:posOffset>4445</wp:posOffset>
                      </wp:positionV>
                      <wp:extent cx="754911" cy="2838893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911" cy="28388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C5590" w14:textId="77777777" w:rsidR="00916CA6" w:rsidRPr="00062C32" w:rsidRDefault="00916CA6" w:rsidP="00062C32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62C32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ffective 11/18</w:t>
                                  </w:r>
                                  <w:r w:rsidRPr="00062C32">
                                    <w:rPr>
                                      <w:rFonts w:ascii="Times New Roman" w:hAnsi="Times New Roman" w:cs="Times New Roman"/>
                                    </w:rPr>
                                    <w:t>/14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B4453" id="_x0000_s1035" type="#_x0000_t202" style="position:absolute;left:0;text-align:left;margin-left:-59.25pt;margin-top:.35pt;width:59.45pt;height:223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" filled="f" stroked="f">
                      <v:textbox>
                        <w:txbxContent>
                          <w:p w14:paraId="598C5590" w14:textId="77777777" w:rsidR="00916CA6" w:rsidRPr="00062C32" w:rsidRDefault="00916CA6" w:rsidP="00062C3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2C32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ffective 11/18</w:t>
                            </w:r>
                            <w:r w:rsidRPr="00062C32">
                              <w:rPr>
                                <w:rFonts w:ascii="Times New Roman" w:hAnsi="Times New Roman" w:cs="Times New Roman"/>
                              </w:rPr>
                              <w:t>/14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2"/>
              </w:rPr>
              <w:t>J1050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F1112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Injection, medroxyprogesterone acetate, 1 mg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AA78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E89A5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$00.24*</w:t>
            </w:r>
          </w:p>
        </w:tc>
      </w:tr>
      <w:tr w:rsidR="003E609F" w:rsidRPr="00A664B8" w14:paraId="602AE5AA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B4A24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4375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0CD6D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593F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14:paraId="2D8B6863" w14:textId="77777777" w:rsidTr="006803F9">
        <w:trPr>
          <w:trHeight w:val="3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990BC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J7300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5E4E" w14:textId="77777777" w:rsidR="003E609F" w:rsidRPr="00A664B8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Intrauterine copper contraceptive (Paragard T3880A)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A04A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A1B6F" w14:textId="77777777" w:rsidR="003E609F" w:rsidRPr="00A664B8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$600.00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:rsidDel="005D6870" w14:paraId="5ED95079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0697E" w14:textId="77777777" w:rsidR="003E609F" w:rsidRPr="00A664B8" w:rsidDel="005D6870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E435" w14:textId="77777777" w:rsidR="003E609F" w:rsidRPr="00A664B8" w:rsidDel="005D6870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EB27F" w14:textId="77777777" w:rsidR="003E609F" w:rsidRPr="00A664B8" w:rsidDel="005D6870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2ABE5" w14:textId="77777777" w:rsidR="003E609F" w:rsidRPr="00A664B8" w:rsidDel="00537702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7013" w:rsidRPr="00A664B8" w:rsidDel="005D6870" w14:paraId="6AADD870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11B75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J7301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27C1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  <w:r w:rsidRPr="00A23D6E">
              <w:rPr>
                <w:rFonts w:ascii="Times New Roman" w:hAnsi="Times New Roman" w:cs="Times New Roman"/>
                <w:szCs w:val="22"/>
              </w:rPr>
              <w:t>Levonorgestrel-releasing intr</w:t>
            </w:r>
            <w:r>
              <w:rPr>
                <w:rFonts w:ascii="Times New Roman" w:hAnsi="Times New Roman" w:cs="Times New Roman"/>
              </w:rPr>
              <w:t>auterine contraceptive system</w:t>
            </w:r>
            <w:r w:rsidRPr="00A23D6E">
              <w:rPr>
                <w:rFonts w:ascii="Times New Roman" w:hAnsi="Times New Roman" w:cs="Times New Roman"/>
                <w:szCs w:val="22"/>
              </w:rPr>
              <w:t>, 13.5 mg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</w:t>
            </w:r>
            <w:r w:rsidRPr="00A23D6E">
              <w:rPr>
                <w:rFonts w:ascii="Times New Roman" w:hAnsi="Times New Roman" w:cs="Times New Roman"/>
                <w:szCs w:val="22"/>
              </w:rPr>
              <w:t>kyla)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CDF31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B50F7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5C3297">
              <w:rPr>
                <w:rFonts w:ascii="Times New Roman" w:hAnsi="Times New Roman" w:cs="Times New Roman"/>
                <w:szCs w:val="22"/>
              </w:rPr>
              <w:t>$675.73</w:t>
            </w:r>
            <w:r w:rsidRPr="0017678F"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BC7013" w:rsidRPr="00A664B8" w:rsidDel="005D6870" w14:paraId="256E698E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5302F" w14:textId="77777777" w:rsidR="00BC7013" w:rsidRPr="00A664B8" w:rsidDel="005D6870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3958" w14:textId="77777777" w:rsidR="00BC7013" w:rsidRPr="00A664B8" w:rsidDel="005D6870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29645" w14:textId="77777777" w:rsidR="00BC7013" w:rsidRPr="00A664B8" w:rsidDel="005D6870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BC2D7" w14:textId="77777777" w:rsidR="00BC7013" w:rsidRPr="00A664B8" w:rsidDel="00537702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09F" w:rsidRPr="00A664B8" w:rsidDel="005D6870" w14:paraId="749B45FC" w14:textId="77777777" w:rsidTr="006803F9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42FF3" w14:textId="77777777" w:rsidR="003E609F" w:rsidRPr="00A664B8" w:rsidDel="005D6870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J7302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03C11" w14:textId="77777777" w:rsidR="003E609F" w:rsidRPr="00A664B8" w:rsidDel="005D6870" w:rsidRDefault="003E609F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Levonorgestrel-releasing intrauterine contraceptive system, 52 mg (Mirena)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D3A42" w14:textId="77777777" w:rsidR="003E609F" w:rsidRPr="00A664B8" w:rsidDel="005D6870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0C6E6" w14:textId="77777777" w:rsidR="003E609F" w:rsidRPr="00A664B8" w:rsidDel="00537702" w:rsidRDefault="003E609F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$716.00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3E609F" w:rsidRPr="00A664B8" w14:paraId="7C5DF8EB" w14:textId="77777777" w:rsidTr="006803F9">
        <w:trPr>
          <w:trHeight w:val="2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8CC10" w14:textId="77777777" w:rsidR="003E609F" w:rsidRDefault="003E609F" w:rsidP="00B96A25">
            <w:pPr>
              <w:jc w:val="center"/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92A80" w14:textId="77777777" w:rsidR="003E609F" w:rsidRDefault="003E609F" w:rsidP="006803F9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03C2D" w14:textId="77777777" w:rsidR="003E609F" w:rsidRDefault="003E609F" w:rsidP="00B96A25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175B9" w14:textId="77777777" w:rsidR="003E609F" w:rsidRDefault="003E609F" w:rsidP="00B96A25">
            <w:pPr>
              <w:jc w:val="center"/>
            </w:pPr>
          </w:p>
        </w:tc>
      </w:tr>
      <w:tr w:rsidR="00BC7013" w:rsidRPr="00A664B8" w14:paraId="62BAB7FB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350D9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J7303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69E0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Contraceptive Supply, hormone containing vaginal ring, each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7966F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2F4EB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$41.78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BC7013" w:rsidRPr="00A664B8" w14:paraId="38C50B89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10581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D003A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E8D27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A1A70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7013" w:rsidRPr="00A664B8" w14:paraId="5FFC271A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603B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J7304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0B2FE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Contraceptive Supply, hormone containing patch, each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F81FB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A4D81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$14.78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BC7013" w:rsidRPr="00A664B8" w14:paraId="541ACF65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4F718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84E14" w14:textId="77777777" w:rsidR="00BC7013" w:rsidRPr="00A664B8" w:rsidRDefault="00BC7013" w:rsidP="006803F9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8207E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369B2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BC7013" w:rsidRPr="00A664B8" w14:paraId="2746565B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327BD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J7307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85387" w14:textId="77777777" w:rsidR="00BC7013" w:rsidRPr="00A664B8" w:rsidRDefault="00BC7013" w:rsidP="006803F9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A664B8">
              <w:rPr>
                <w:rFonts w:ascii="Times New Roman" w:hAnsi="Times New Roman" w:cs="Times New Roman"/>
                <w:szCs w:val="22"/>
              </w:rPr>
              <w:t>Etongestrel</w:t>
            </w:r>
            <w:proofErr w:type="spellEnd"/>
            <w:r w:rsidRPr="00A664B8">
              <w:rPr>
                <w:rFonts w:ascii="Times New Roman" w:hAnsi="Times New Roman" w:cs="Times New Roman"/>
                <w:szCs w:val="22"/>
              </w:rPr>
              <w:t xml:space="preserve"> (contraceptive) implant system, including implant and supplies (Implanon</w:t>
            </w:r>
            <w:r>
              <w:rPr>
                <w:rFonts w:ascii="Times New Roman" w:hAnsi="Times New Roman" w:cs="Times New Roman"/>
                <w:szCs w:val="22"/>
              </w:rPr>
              <w:t xml:space="preserve"> and Nexplanon</w:t>
            </w:r>
            <w:r w:rsidRPr="00A664B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94207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6D42B" w14:textId="77777777" w:rsidR="00BC7013" w:rsidRPr="005C3297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$588.38</w:t>
            </w:r>
            <w:r>
              <w:rPr>
                <w:rFonts w:ascii="Times New Roman" w:hAnsi="Times New Roman" w:cs="Times New Roman"/>
                <w:szCs w:val="22"/>
              </w:rPr>
              <w:t>*</w:t>
            </w:r>
          </w:p>
        </w:tc>
      </w:tr>
      <w:tr w:rsidR="00BC7013" w:rsidRPr="00A664B8" w14:paraId="58C238A3" w14:textId="77777777" w:rsidTr="006803F9">
        <w:trPr>
          <w:trHeight w:val="28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BA7A4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1C76" w14:textId="77777777" w:rsidR="00BC7013" w:rsidRPr="00A664B8" w:rsidRDefault="00BC7013" w:rsidP="006803F9">
            <w:pPr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FCB8F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10DFC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BC7013" w:rsidRPr="00A664B8" w14:paraId="546AE0CD" w14:textId="77777777" w:rsidTr="006803F9">
        <w:trPr>
          <w:trHeight w:val="1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3B8FB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S4993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4102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Contraceptive pills for birth control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6E30A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FP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0AD08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664B8">
              <w:rPr>
                <w:rFonts w:ascii="Times New Roman" w:hAnsi="Times New Roman" w:cs="Times New Roman"/>
                <w:szCs w:val="22"/>
              </w:rPr>
              <w:t>$12.40</w:t>
            </w:r>
          </w:p>
        </w:tc>
      </w:tr>
      <w:tr w:rsidR="00BC7013" w:rsidRPr="00A664B8" w14:paraId="017FAB15" w14:textId="77777777" w:rsidTr="006803F9">
        <w:trPr>
          <w:trHeight w:val="40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EEA99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A60E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142F2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23247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7013" w:rsidRPr="00A664B8" w14:paraId="335831F6" w14:textId="77777777" w:rsidTr="006803F9">
        <w:trPr>
          <w:trHeight w:val="14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2FD94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6CC0A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E8697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E470A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7013" w:rsidRPr="00A664B8" w14:paraId="0BE3A030" w14:textId="77777777" w:rsidTr="006803F9">
        <w:trPr>
          <w:trHeight w:val="38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17059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F932" w14:textId="77777777" w:rsidR="00BC7013" w:rsidRPr="00A664B8" w:rsidRDefault="00BC7013" w:rsidP="006803F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7DE76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E32E7" w14:textId="77777777" w:rsidR="00BC7013" w:rsidRPr="00A664B8" w:rsidRDefault="00BC7013" w:rsidP="00B96A2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68503DD" w14:textId="77777777" w:rsidR="000404AA" w:rsidRDefault="000404AA" w:rsidP="005C3297">
      <w:pPr>
        <w:tabs>
          <w:tab w:val="left" w:pos="900"/>
          <w:tab w:val="left" w:pos="7200"/>
        </w:tabs>
        <w:rPr>
          <w:rFonts w:ascii="Times New Roman" w:hAnsi="Times New Roman" w:cs="Times New Roman"/>
          <w:b/>
          <w:szCs w:val="22"/>
        </w:rPr>
      </w:pPr>
    </w:p>
    <w:p w14:paraId="7435CE3A" w14:textId="77777777" w:rsidR="00520FA2" w:rsidRDefault="00520FA2" w:rsidP="00520FA2">
      <w:pPr>
        <w:pBdr>
          <w:bottom w:val="single" w:sz="4" w:space="1" w:color="auto"/>
        </w:pBdr>
        <w:tabs>
          <w:tab w:val="left" w:pos="900"/>
          <w:tab w:val="left" w:pos="7200"/>
        </w:tabs>
        <w:rPr>
          <w:rFonts w:ascii="Times New Roman" w:hAnsi="Times New Roman" w:cs="Times New Roman"/>
          <w:b/>
          <w:szCs w:val="22"/>
        </w:rPr>
      </w:pPr>
    </w:p>
    <w:p w14:paraId="2C535714" w14:textId="77777777" w:rsidR="00520FA2" w:rsidRDefault="00520FA2" w:rsidP="005C3297">
      <w:pPr>
        <w:tabs>
          <w:tab w:val="left" w:pos="900"/>
          <w:tab w:val="left" w:pos="7200"/>
        </w:tabs>
        <w:rPr>
          <w:rFonts w:ascii="Times New Roman" w:hAnsi="Times New Roman" w:cs="Times New Roman"/>
          <w:b/>
          <w:szCs w:val="22"/>
        </w:rPr>
      </w:pPr>
    </w:p>
    <w:p w14:paraId="60137D24" w14:textId="20BF30CC" w:rsidR="00520FA2" w:rsidRPr="00520FA2" w:rsidRDefault="00520FA2" w:rsidP="005C3297">
      <w:pPr>
        <w:tabs>
          <w:tab w:val="left" w:pos="900"/>
          <w:tab w:val="left" w:pos="7200"/>
        </w:tabs>
        <w:rPr>
          <w:rFonts w:ascii="Times New Roman" w:hAnsi="Times New Roman" w:cs="Times New Roman"/>
          <w:bCs/>
          <w:szCs w:val="22"/>
        </w:rPr>
      </w:pPr>
      <w:r w:rsidRPr="00520FA2">
        <w:rPr>
          <w:rFonts w:ascii="Times New Roman" w:hAnsi="Times New Roman" w:cs="Times New Roman"/>
          <w:bCs/>
          <w:szCs w:val="22"/>
        </w:rPr>
        <w:t xml:space="preserve">APAO ACCESSIBILITY CHECK: </w:t>
      </w:r>
    </w:p>
    <w:p w14:paraId="0AE5E0CB" w14:textId="4F6847C4" w:rsidR="00520FA2" w:rsidRPr="00520FA2" w:rsidRDefault="00520FA2" w:rsidP="005C3297">
      <w:pPr>
        <w:tabs>
          <w:tab w:val="left" w:pos="900"/>
          <w:tab w:val="left" w:pos="7200"/>
        </w:tabs>
        <w:rPr>
          <w:rFonts w:ascii="Times New Roman" w:hAnsi="Times New Roman" w:cs="Times New Roman"/>
          <w:bCs/>
          <w:szCs w:val="22"/>
        </w:rPr>
      </w:pPr>
      <w:r w:rsidRPr="00520FA2">
        <w:rPr>
          <w:rFonts w:ascii="Times New Roman" w:hAnsi="Times New Roman" w:cs="Times New Roman"/>
          <w:bCs/>
          <w:szCs w:val="22"/>
        </w:rPr>
        <w:lastRenderedPageBreak/>
        <w:tab/>
        <w:t>February 5, 2026 (no issues detected)</w:t>
      </w:r>
    </w:p>
    <w:sectPr w:rsidR="00520FA2" w:rsidRPr="00520FA2" w:rsidSect="004D5B13">
      <w:headerReference w:type="default" r:id="rId8"/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CA26" w14:textId="77777777" w:rsidR="00562515" w:rsidRDefault="00562515">
      <w:r>
        <w:separator/>
      </w:r>
    </w:p>
  </w:endnote>
  <w:endnote w:type="continuationSeparator" w:id="0">
    <w:p w14:paraId="5E85FED9" w14:textId="77777777" w:rsidR="00562515" w:rsidRDefault="0056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216B" w14:textId="77777777" w:rsidR="00916CA6" w:rsidRDefault="00916CA6">
    <w:pPr>
      <w:pStyle w:val="Footer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 w:rsidR="007B77F6">
      <w:rPr>
        <w:noProof/>
        <w:sz w:val="18"/>
        <w:szCs w:val="18"/>
      </w:rPr>
      <w:t>12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97D5" w14:textId="77777777" w:rsidR="00562515" w:rsidRDefault="00562515">
      <w:r>
        <w:separator/>
      </w:r>
    </w:p>
  </w:footnote>
  <w:footnote w:type="continuationSeparator" w:id="0">
    <w:p w14:paraId="5668649D" w14:textId="77777777" w:rsidR="00562515" w:rsidRDefault="0056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AA62" w14:textId="77777777" w:rsidR="00916CA6" w:rsidRPr="0092749D" w:rsidRDefault="00916CA6" w:rsidP="000A3661">
    <w:pPr>
      <w:jc w:val="center"/>
      <w:rPr>
        <w:rFonts w:ascii="Times New Roman" w:hAnsi="Times New Roman" w:cs="Times New Roman"/>
        <w:szCs w:val="22"/>
      </w:rPr>
    </w:pPr>
    <w:r w:rsidRPr="0092749D">
      <w:rPr>
        <w:rFonts w:ascii="Times New Roman" w:hAnsi="Times New Roman" w:cs="Times New Roman"/>
        <w:szCs w:val="22"/>
      </w:rPr>
      <w:t>10-144 Chapter 101</w:t>
    </w:r>
  </w:p>
  <w:p w14:paraId="7A443CFA" w14:textId="77777777" w:rsidR="00916CA6" w:rsidRPr="0092749D" w:rsidRDefault="00916CA6" w:rsidP="000A3661">
    <w:pPr>
      <w:jc w:val="center"/>
      <w:rPr>
        <w:rFonts w:ascii="Times New Roman" w:hAnsi="Times New Roman" w:cs="Times New Roman"/>
        <w:szCs w:val="22"/>
      </w:rPr>
    </w:pPr>
    <w:r w:rsidRPr="0092749D">
      <w:rPr>
        <w:rFonts w:ascii="Times New Roman" w:hAnsi="Times New Roman" w:cs="Times New Roman"/>
        <w:szCs w:val="22"/>
      </w:rPr>
      <w:t>MAINECARE BENEFITS MANUAL</w:t>
    </w:r>
  </w:p>
  <w:p w14:paraId="26E438AF" w14:textId="77777777" w:rsidR="00916CA6" w:rsidRPr="0092749D" w:rsidRDefault="00916CA6" w:rsidP="007F6F1C">
    <w:pPr>
      <w:tabs>
        <w:tab w:val="left" w:pos="720"/>
        <w:tab w:val="center" w:pos="6480"/>
      </w:tabs>
      <w:jc w:val="center"/>
      <w:rPr>
        <w:rFonts w:ascii="Times New Roman" w:hAnsi="Times New Roman" w:cs="Times New Roman"/>
        <w:szCs w:val="22"/>
      </w:rPr>
    </w:pPr>
    <w:r w:rsidRPr="0092749D">
      <w:rPr>
        <w:rFonts w:ascii="Times New Roman" w:hAnsi="Times New Roman" w:cs="Times New Roman"/>
        <w:szCs w:val="22"/>
      </w:rPr>
      <w:t>CHAPTER III</w:t>
    </w:r>
  </w:p>
  <w:p w14:paraId="1C5F60C7" w14:textId="77777777" w:rsidR="00916CA6" w:rsidRPr="0092749D" w:rsidRDefault="00916CA6" w:rsidP="000A3661">
    <w:pPr>
      <w:spacing w:before="120"/>
      <w:jc w:val="center"/>
      <w:rPr>
        <w:rFonts w:ascii="Times New Roman" w:hAnsi="Times New Roman" w:cs="Times New Roman"/>
        <w:szCs w:val="22"/>
      </w:rPr>
    </w:pPr>
  </w:p>
  <w:p w14:paraId="1210658C" w14:textId="77777777" w:rsidR="00916CA6" w:rsidRPr="0092749D" w:rsidRDefault="00916CA6" w:rsidP="007F6F1C">
    <w:pPr>
      <w:pBdr>
        <w:top w:val="single" w:sz="6" w:space="1" w:color="auto"/>
        <w:bottom w:val="single" w:sz="6" w:space="1" w:color="auto"/>
      </w:pBdr>
      <w:tabs>
        <w:tab w:val="center" w:pos="6480"/>
        <w:tab w:val="right" w:pos="12960"/>
      </w:tabs>
      <w:rPr>
        <w:rFonts w:ascii="Times New Roman" w:hAnsi="Times New Roman" w:cs="Times New Roman"/>
        <w:szCs w:val="22"/>
      </w:rPr>
    </w:pPr>
    <w:r w:rsidRPr="0092749D">
      <w:rPr>
        <w:rFonts w:ascii="Times New Roman" w:hAnsi="Times New Roman" w:cs="Times New Roman"/>
        <w:szCs w:val="22"/>
      </w:rPr>
      <w:t>SECTION 30</w:t>
    </w:r>
    <w:r>
      <w:rPr>
        <w:rFonts w:ascii="Times New Roman" w:hAnsi="Times New Roman" w:cs="Times New Roman"/>
        <w:szCs w:val="22"/>
      </w:rPr>
      <w:tab/>
    </w:r>
    <w:r w:rsidRPr="0092749D">
      <w:rPr>
        <w:rFonts w:ascii="Times New Roman" w:hAnsi="Times New Roman" w:cs="Times New Roman"/>
        <w:b/>
        <w:szCs w:val="22"/>
      </w:rPr>
      <w:t>ALLOWANCES FOR FAMILY PLANNING AGENCY SERVICES</w:t>
    </w:r>
    <w:r w:rsidRPr="0092749D">
      <w:rPr>
        <w:rFonts w:ascii="Times New Roman" w:hAnsi="Times New Roman" w:cs="Times New Roman"/>
        <w:szCs w:val="22"/>
      </w:rPr>
      <w:tab/>
      <w:t>Established:  3/1/79</w:t>
    </w:r>
  </w:p>
  <w:p w14:paraId="1A1468A1" w14:textId="77777777" w:rsidR="00916CA6" w:rsidRPr="0092749D" w:rsidRDefault="00916CA6" w:rsidP="007F6F1C">
    <w:pPr>
      <w:pBdr>
        <w:top w:val="single" w:sz="6" w:space="1" w:color="auto"/>
        <w:bottom w:val="single" w:sz="6" w:space="1" w:color="auto"/>
      </w:pBdr>
      <w:tabs>
        <w:tab w:val="center" w:pos="12960"/>
      </w:tabs>
      <w:jc w:val="right"/>
      <w:rPr>
        <w:rFonts w:ascii="Times New Roman" w:hAnsi="Times New Roman" w:cs="Times New Roman"/>
        <w:szCs w:val="22"/>
      </w:rPr>
    </w:pPr>
    <w:r>
      <w:rPr>
        <w:rFonts w:ascii="Times New Roman" w:hAnsi="Times New Roman" w:cs="Times New Roman"/>
        <w:szCs w:val="22"/>
      </w:rPr>
      <w:t>Last updated: 11/10/14</w:t>
    </w:r>
  </w:p>
  <w:p w14:paraId="1BFEA7E1" w14:textId="77777777" w:rsidR="00916CA6" w:rsidRPr="0092749D" w:rsidRDefault="00916CA6">
    <w:pPr>
      <w:pStyle w:val="Header"/>
      <w:rPr>
        <w:rFonts w:ascii="Times New Roman" w:hAnsi="Times New Roman" w:cs="Times New Roman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0A9"/>
    <w:rsid w:val="00005B21"/>
    <w:rsid w:val="00015087"/>
    <w:rsid w:val="00017D14"/>
    <w:rsid w:val="00031586"/>
    <w:rsid w:val="00036D8A"/>
    <w:rsid w:val="000404AA"/>
    <w:rsid w:val="000523C1"/>
    <w:rsid w:val="00053C6B"/>
    <w:rsid w:val="00054FD0"/>
    <w:rsid w:val="00060796"/>
    <w:rsid w:val="00062C32"/>
    <w:rsid w:val="00072E41"/>
    <w:rsid w:val="00074657"/>
    <w:rsid w:val="00074D44"/>
    <w:rsid w:val="00076F12"/>
    <w:rsid w:val="00082717"/>
    <w:rsid w:val="000874DE"/>
    <w:rsid w:val="000879D6"/>
    <w:rsid w:val="00091B22"/>
    <w:rsid w:val="00091ED1"/>
    <w:rsid w:val="00094508"/>
    <w:rsid w:val="00097CC6"/>
    <w:rsid w:val="000A3661"/>
    <w:rsid w:val="000A3A8A"/>
    <w:rsid w:val="000A42F3"/>
    <w:rsid w:val="000A471C"/>
    <w:rsid w:val="000B3A4A"/>
    <w:rsid w:val="000C63A5"/>
    <w:rsid w:val="000E5128"/>
    <w:rsid w:val="000F09E3"/>
    <w:rsid w:val="00102971"/>
    <w:rsid w:val="0010518F"/>
    <w:rsid w:val="00112025"/>
    <w:rsid w:val="00112037"/>
    <w:rsid w:val="00114B92"/>
    <w:rsid w:val="00121A15"/>
    <w:rsid w:val="00130292"/>
    <w:rsid w:val="00132A5B"/>
    <w:rsid w:val="00140206"/>
    <w:rsid w:val="00142BB2"/>
    <w:rsid w:val="001430EF"/>
    <w:rsid w:val="00144751"/>
    <w:rsid w:val="0014505C"/>
    <w:rsid w:val="001470B5"/>
    <w:rsid w:val="0015764D"/>
    <w:rsid w:val="00161D82"/>
    <w:rsid w:val="00165622"/>
    <w:rsid w:val="00166DD0"/>
    <w:rsid w:val="00174661"/>
    <w:rsid w:val="0017678F"/>
    <w:rsid w:val="00176CE2"/>
    <w:rsid w:val="001822C3"/>
    <w:rsid w:val="00191265"/>
    <w:rsid w:val="001B0F53"/>
    <w:rsid w:val="001B1AED"/>
    <w:rsid w:val="001B462E"/>
    <w:rsid w:val="001C3822"/>
    <w:rsid w:val="001D1C14"/>
    <w:rsid w:val="001E0EF5"/>
    <w:rsid w:val="001E1620"/>
    <w:rsid w:val="001E6C74"/>
    <w:rsid w:val="001F0AEE"/>
    <w:rsid w:val="001F3B4F"/>
    <w:rsid w:val="001F512F"/>
    <w:rsid w:val="001F64AF"/>
    <w:rsid w:val="00200630"/>
    <w:rsid w:val="002014CB"/>
    <w:rsid w:val="00201972"/>
    <w:rsid w:val="00206186"/>
    <w:rsid w:val="002102B3"/>
    <w:rsid w:val="00212746"/>
    <w:rsid w:val="00221C59"/>
    <w:rsid w:val="002230DD"/>
    <w:rsid w:val="002311B2"/>
    <w:rsid w:val="0023252D"/>
    <w:rsid w:val="002416D8"/>
    <w:rsid w:val="00255B9F"/>
    <w:rsid w:val="00261BA8"/>
    <w:rsid w:val="00262254"/>
    <w:rsid w:val="002637B1"/>
    <w:rsid w:val="00266789"/>
    <w:rsid w:val="0027512F"/>
    <w:rsid w:val="002825E8"/>
    <w:rsid w:val="002918C3"/>
    <w:rsid w:val="002A5C67"/>
    <w:rsid w:val="002B5645"/>
    <w:rsid w:val="002C0CDE"/>
    <w:rsid w:val="002C6289"/>
    <w:rsid w:val="002E30BD"/>
    <w:rsid w:val="002F3A94"/>
    <w:rsid w:val="002F72C7"/>
    <w:rsid w:val="003008AA"/>
    <w:rsid w:val="00312175"/>
    <w:rsid w:val="00313BCA"/>
    <w:rsid w:val="0031455F"/>
    <w:rsid w:val="003209C5"/>
    <w:rsid w:val="0032312B"/>
    <w:rsid w:val="003239FC"/>
    <w:rsid w:val="00334939"/>
    <w:rsid w:val="003415DA"/>
    <w:rsid w:val="00353C2E"/>
    <w:rsid w:val="00355538"/>
    <w:rsid w:val="00370A32"/>
    <w:rsid w:val="003829E3"/>
    <w:rsid w:val="00391A59"/>
    <w:rsid w:val="003970A9"/>
    <w:rsid w:val="003B4A64"/>
    <w:rsid w:val="003C120E"/>
    <w:rsid w:val="003D5AA6"/>
    <w:rsid w:val="003E609F"/>
    <w:rsid w:val="003E623C"/>
    <w:rsid w:val="003E7D8E"/>
    <w:rsid w:val="003F0B5D"/>
    <w:rsid w:val="003F4F0C"/>
    <w:rsid w:val="003F5B05"/>
    <w:rsid w:val="0040450B"/>
    <w:rsid w:val="00410E6D"/>
    <w:rsid w:val="00446796"/>
    <w:rsid w:val="00472B25"/>
    <w:rsid w:val="00472E78"/>
    <w:rsid w:val="0047413F"/>
    <w:rsid w:val="00490DC2"/>
    <w:rsid w:val="004947F2"/>
    <w:rsid w:val="004B054B"/>
    <w:rsid w:val="004C1D22"/>
    <w:rsid w:val="004C476E"/>
    <w:rsid w:val="004D3908"/>
    <w:rsid w:val="004D5B13"/>
    <w:rsid w:val="004F2121"/>
    <w:rsid w:val="004F6D94"/>
    <w:rsid w:val="00501473"/>
    <w:rsid w:val="005117A9"/>
    <w:rsid w:val="0051291A"/>
    <w:rsid w:val="00516DBF"/>
    <w:rsid w:val="00520FA2"/>
    <w:rsid w:val="005231EE"/>
    <w:rsid w:val="00523D15"/>
    <w:rsid w:val="005376B9"/>
    <w:rsid w:val="00537702"/>
    <w:rsid w:val="00545D82"/>
    <w:rsid w:val="0055075A"/>
    <w:rsid w:val="00555F8F"/>
    <w:rsid w:val="00560AE7"/>
    <w:rsid w:val="00562515"/>
    <w:rsid w:val="0056276D"/>
    <w:rsid w:val="0056412B"/>
    <w:rsid w:val="00564143"/>
    <w:rsid w:val="0057122E"/>
    <w:rsid w:val="00573938"/>
    <w:rsid w:val="00577686"/>
    <w:rsid w:val="00583A4F"/>
    <w:rsid w:val="00584814"/>
    <w:rsid w:val="00591522"/>
    <w:rsid w:val="00594374"/>
    <w:rsid w:val="005A5EA1"/>
    <w:rsid w:val="005B1420"/>
    <w:rsid w:val="005B6246"/>
    <w:rsid w:val="005B6D72"/>
    <w:rsid w:val="005C3297"/>
    <w:rsid w:val="005C5C2F"/>
    <w:rsid w:val="005D6870"/>
    <w:rsid w:val="005E132B"/>
    <w:rsid w:val="005E135A"/>
    <w:rsid w:val="005E5CEA"/>
    <w:rsid w:val="005E696D"/>
    <w:rsid w:val="005F0EC8"/>
    <w:rsid w:val="005F5D2E"/>
    <w:rsid w:val="0060050C"/>
    <w:rsid w:val="006115D1"/>
    <w:rsid w:val="00635453"/>
    <w:rsid w:val="006425A6"/>
    <w:rsid w:val="0064442E"/>
    <w:rsid w:val="00644EBE"/>
    <w:rsid w:val="006502A0"/>
    <w:rsid w:val="0066236C"/>
    <w:rsid w:val="00664504"/>
    <w:rsid w:val="00676681"/>
    <w:rsid w:val="006803F9"/>
    <w:rsid w:val="006860A2"/>
    <w:rsid w:val="006938F2"/>
    <w:rsid w:val="00695DAE"/>
    <w:rsid w:val="006A5899"/>
    <w:rsid w:val="006B18C9"/>
    <w:rsid w:val="006B37B0"/>
    <w:rsid w:val="006C12A5"/>
    <w:rsid w:val="006C4157"/>
    <w:rsid w:val="006C7510"/>
    <w:rsid w:val="006D2DE3"/>
    <w:rsid w:val="006E02D8"/>
    <w:rsid w:val="006F15E3"/>
    <w:rsid w:val="006F6C57"/>
    <w:rsid w:val="00707C1A"/>
    <w:rsid w:val="00721175"/>
    <w:rsid w:val="00724B39"/>
    <w:rsid w:val="00725DE1"/>
    <w:rsid w:val="00726D96"/>
    <w:rsid w:val="00727405"/>
    <w:rsid w:val="00730314"/>
    <w:rsid w:val="0073337F"/>
    <w:rsid w:val="00733DD0"/>
    <w:rsid w:val="007414C2"/>
    <w:rsid w:val="00764392"/>
    <w:rsid w:val="00765E1B"/>
    <w:rsid w:val="007669A3"/>
    <w:rsid w:val="00770DF3"/>
    <w:rsid w:val="00776B8A"/>
    <w:rsid w:val="00781F54"/>
    <w:rsid w:val="007864B9"/>
    <w:rsid w:val="00792A36"/>
    <w:rsid w:val="00796CF0"/>
    <w:rsid w:val="00796F9E"/>
    <w:rsid w:val="00797C9F"/>
    <w:rsid w:val="007B36FE"/>
    <w:rsid w:val="007B77F6"/>
    <w:rsid w:val="007C0B25"/>
    <w:rsid w:val="007C4472"/>
    <w:rsid w:val="007D7B3C"/>
    <w:rsid w:val="007E05DE"/>
    <w:rsid w:val="007E0B51"/>
    <w:rsid w:val="007E4F90"/>
    <w:rsid w:val="007E7697"/>
    <w:rsid w:val="007E7FE0"/>
    <w:rsid w:val="007F2AB6"/>
    <w:rsid w:val="007F42E1"/>
    <w:rsid w:val="007F68D8"/>
    <w:rsid w:val="007F6F1C"/>
    <w:rsid w:val="008222A2"/>
    <w:rsid w:val="00824289"/>
    <w:rsid w:val="00834F16"/>
    <w:rsid w:val="00841FDF"/>
    <w:rsid w:val="008439AD"/>
    <w:rsid w:val="00846ECC"/>
    <w:rsid w:val="0084731A"/>
    <w:rsid w:val="00856380"/>
    <w:rsid w:val="00864B3E"/>
    <w:rsid w:val="00870A97"/>
    <w:rsid w:val="008715B5"/>
    <w:rsid w:val="00873DBC"/>
    <w:rsid w:val="00877D34"/>
    <w:rsid w:val="008A5BF9"/>
    <w:rsid w:val="008B158C"/>
    <w:rsid w:val="008B4CAB"/>
    <w:rsid w:val="008C37C7"/>
    <w:rsid w:val="008C6D58"/>
    <w:rsid w:val="008E2713"/>
    <w:rsid w:val="008E43D1"/>
    <w:rsid w:val="008F159A"/>
    <w:rsid w:val="008F462C"/>
    <w:rsid w:val="008F5234"/>
    <w:rsid w:val="0091235E"/>
    <w:rsid w:val="009130F9"/>
    <w:rsid w:val="0091689A"/>
    <w:rsid w:val="00916CA6"/>
    <w:rsid w:val="0092749D"/>
    <w:rsid w:val="0093643A"/>
    <w:rsid w:val="00936A01"/>
    <w:rsid w:val="009450FE"/>
    <w:rsid w:val="009534EB"/>
    <w:rsid w:val="00961E9A"/>
    <w:rsid w:val="0096606B"/>
    <w:rsid w:val="00974590"/>
    <w:rsid w:val="00981BF0"/>
    <w:rsid w:val="009861E3"/>
    <w:rsid w:val="0099720A"/>
    <w:rsid w:val="009A6B36"/>
    <w:rsid w:val="009B42A4"/>
    <w:rsid w:val="009B6182"/>
    <w:rsid w:val="009C025C"/>
    <w:rsid w:val="009C02F5"/>
    <w:rsid w:val="009E2391"/>
    <w:rsid w:val="00A00351"/>
    <w:rsid w:val="00A01850"/>
    <w:rsid w:val="00A0305A"/>
    <w:rsid w:val="00A032C3"/>
    <w:rsid w:val="00A17BC6"/>
    <w:rsid w:val="00A205F5"/>
    <w:rsid w:val="00A22FB6"/>
    <w:rsid w:val="00A27710"/>
    <w:rsid w:val="00A36A47"/>
    <w:rsid w:val="00A47191"/>
    <w:rsid w:val="00A50452"/>
    <w:rsid w:val="00A622F3"/>
    <w:rsid w:val="00A63E33"/>
    <w:rsid w:val="00A664B8"/>
    <w:rsid w:val="00A75EE9"/>
    <w:rsid w:val="00A83D15"/>
    <w:rsid w:val="00A858A0"/>
    <w:rsid w:val="00A872F4"/>
    <w:rsid w:val="00A93215"/>
    <w:rsid w:val="00A93657"/>
    <w:rsid w:val="00A944CE"/>
    <w:rsid w:val="00A976E5"/>
    <w:rsid w:val="00AA4445"/>
    <w:rsid w:val="00AB6942"/>
    <w:rsid w:val="00AD78F2"/>
    <w:rsid w:val="00AE2DEE"/>
    <w:rsid w:val="00AE2EF1"/>
    <w:rsid w:val="00AE5226"/>
    <w:rsid w:val="00AF0FA8"/>
    <w:rsid w:val="00AF3CB9"/>
    <w:rsid w:val="00B002B1"/>
    <w:rsid w:val="00B007C2"/>
    <w:rsid w:val="00B05FAF"/>
    <w:rsid w:val="00B12CA1"/>
    <w:rsid w:val="00B16D7F"/>
    <w:rsid w:val="00B23163"/>
    <w:rsid w:val="00B41DA8"/>
    <w:rsid w:val="00B42423"/>
    <w:rsid w:val="00B47421"/>
    <w:rsid w:val="00B47D25"/>
    <w:rsid w:val="00B71C8E"/>
    <w:rsid w:val="00B73690"/>
    <w:rsid w:val="00B737C2"/>
    <w:rsid w:val="00B773CE"/>
    <w:rsid w:val="00B77C93"/>
    <w:rsid w:val="00B96A25"/>
    <w:rsid w:val="00BA362D"/>
    <w:rsid w:val="00BA6566"/>
    <w:rsid w:val="00BB2512"/>
    <w:rsid w:val="00BB3796"/>
    <w:rsid w:val="00BC0514"/>
    <w:rsid w:val="00BC3F93"/>
    <w:rsid w:val="00BC54CD"/>
    <w:rsid w:val="00BC7013"/>
    <w:rsid w:val="00BC7DF2"/>
    <w:rsid w:val="00BD01E5"/>
    <w:rsid w:val="00BD6F7F"/>
    <w:rsid w:val="00BE3D29"/>
    <w:rsid w:val="00BF1E3A"/>
    <w:rsid w:val="00C0180C"/>
    <w:rsid w:val="00C0614A"/>
    <w:rsid w:val="00C159FB"/>
    <w:rsid w:val="00C23712"/>
    <w:rsid w:val="00C309F2"/>
    <w:rsid w:val="00C42112"/>
    <w:rsid w:val="00C43849"/>
    <w:rsid w:val="00C54B08"/>
    <w:rsid w:val="00C87713"/>
    <w:rsid w:val="00C956CF"/>
    <w:rsid w:val="00CA4BB2"/>
    <w:rsid w:val="00CC0775"/>
    <w:rsid w:val="00CC3568"/>
    <w:rsid w:val="00CD01F8"/>
    <w:rsid w:val="00CE3F9F"/>
    <w:rsid w:val="00CF2AFD"/>
    <w:rsid w:val="00CF2CFB"/>
    <w:rsid w:val="00D01BD5"/>
    <w:rsid w:val="00D20684"/>
    <w:rsid w:val="00D2448D"/>
    <w:rsid w:val="00D31FE6"/>
    <w:rsid w:val="00D3693C"/>
    <w:rsid w:val="00D41CCC"/>
    <w:rsid w:val="00D54596"/>
    <w:rsid w:val="00D63CE1"/>
    <w:rsid w:val="00D7644D"/>
    <w:rsid w:val="00D82034"/>
    <w:rsid w:val="00D836FC"/>
    <w:rsid w:val="00D87038"/>
    <w:rsid w:val="00D87587"/>
    <w:rsid w:val="00D8774B"/>
    <w:rsid w:val="00D95AF9"/>
    <w:rsid w:val="00DB02F7"/>
    <w:rsid w:val="00DB2F5E"/>
    <w:rsid w:val="00DC3435"/>
    <w:rsid w:val="00DC61C8"/>
    <w:rsid w:val="00DD042C"/>
    <w:rsid w:val="00DD4441"/>
    <w:rsid w:val="00DE1F17"/>
    <w:rsid w:val="00DF4068"/>
    <w:rsid w:val="00E022A1"/>
    <w:rsid w:val="00E0346E"/>
    <w:rsid w:val="00E12E38"/>
    <w:rsid w:val="00E149F6"/>
    <w:rsid w:val="00E2144C"/>
    <w:rsid w:val="00E2284A"/>
    <w:rsid w:val="00E23E8E"/>
    <w:rsid w:val="00E25D2B"/>
    <w:rsid w:val="00E33967"/>
    <w:rsid w:val="00E66097"/>
    <w:rsid w:val="00E71F02"/>
    <w:rsid w:val="00E72E31"/>
    <w:rsid w:val="00E808FE"/>
    <w:rsid w:val="00E9077D"/>
    <w:rsid w:val="00E9371F"/>
    <w:rsid w:val="00EA0149"/>
    <w:rsid w:val="00EB0D30"/>
    <w:rsid w:val="00EB3463"/>
    <w:rsid w:val="00EB3A49"/>
    <w:rsid w:val="00EB749B"/>
    <w:rsid w:val="00EC0090"/>
    <w:rsid w:val="00EC7D69"/>
    <w:rsid w:val="00ED0D5D"/>
    <w:rsid w:val="00ED2172"/>
    <w:rsid w:val="00EE6FB3"/>
    <w:rsid w:val="00EF2AF7"/>
    <w:rsid w:val="00F02553"/>
    <w:rsid w:val="00F20622"/>
    <w:rsid w:val="00F20D10"/>
    <w:rsid w:val="00F21832"/>
    <w:rsid w:val="00F23B7C"/>
    <w:rsid w:val="00F3028F"/>
    <w:rsid w:val="00F3364F"/>
    <w:rsid w:val="00F33E42"/>
    <w:rsid w:val="00F34371"/>
    <w:rsid w:val="00F44751"/>
    <w:rsid w:val="00F45E50"/>
    <w:rsid w:val="00F54284"/>
    <w:rsid w:val="00F60FDC"/>
    <w:rsid w:val="00F62B92"/>
    <w:rsid w:val="00F66194"/>
    <w:rsid w:val="00F77C98"/>
    <w:rsid w:val="00F8123A"/>
    <w:rsid w:val="00F9414F"/>
    <w:rsid w:val="00F9526B"/>
    <w:rsid w:val="00F95F55"/>
    <w:rsid w:val="00FA05E4"/>
    <w:rsid w:val="00FA4C2A"/>
    <w:rsid w:val="00FA5F90"/>
    <w:rsid w:val="00FC0A2C"/>
    <w:rsid w:val="00FD45B9"/>
    <w:rsid w:val="00FD6DE0"/>
    <w:rsid w:val="00FE2405"/>
    <w:rsid w:val="00FE4FEB"/>
    <w:rsid w:val="00FE5BA2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EBA12B"/>
  <w15:docId w15:val="{6E53E166-EFAE-4162-86EC-9F80DB60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DE3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4D5B13"/>
    <w:pPr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D5B1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D5B13"/>
    <w:pPr>
      <w:tabs>
        <w:tab w:val="center" w:pos="4320"/>
        <w:tab w:val="right" w:pos="8640"/>
      </w:tabs>
    </w:pPr>
  </w:style>
  <w:style w:type="character" w:styleId="Hyperlink">
    <w:name w:val="Hyperlink"/>
    <w:rsid w:val="001822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6B3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B37B0"/>
    <w:rPr>
      <w:rFonts w:ascii="Tahoma" w:hAnsi="Tahoma" w:cs="Tahoma"/>
      <w:sz w:val="16"/>
      <w:szCs w:val="16"/>
    </w:rPr>
  </w:style>
  <w:style w:type="character" w:styleId="Strong">
    <w:name w:val="Strong"/>
    <w:qFormat/>
    <w:rsid w:val="00776B8A"/>
    <w:rPr>
      <w:rFonts w:cs="Times New Roman"/>
      <w:b/>
      <w:bCs/>
    </w:rPr>
  </w:style>
  <w:style w:type="character" w:styleId="CommentReference">
    <w:name w:val="annotation reference"/>
    <w:rsid w:val="005739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938"/>
    <w:rPr>
      <w:sz w:val="20"/>
    </w:rPr>
  </w:style>
  <w:style w:type="character" w:customStyle="1" w:styleId="CommentTextChar">
    <w:name w:val="Comment Text Char"/>
    <w:link w:val="CommentText"/>
    <w:rsid w:val="0057393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73938"/>
    <w:rPr>
      <w:b/>
      <w:bCs/>
    </w:rPr>
  </w:style>
  <w:style w:type="character" w:customStyle="1" w:styleId="CommentSubjectChar">
    <w:name w:val="Comment Subject Char"/>
    <w:link w:val="CommentSubject"/>
    <w:rsid w:val="00573938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57393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ne.gov/dhhs/audit/rate-setting/index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FA74-5C0C-450C-B9B1-83D529E2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MEDICAL ASSISTANCE MANUAL</vt:lpstr>
    </vt:vector>
  </TitlesOfParts>
  <Company>Maine Office of the Attorney General</Company>
  <LinksUpToDate>false</LinksUpToDate>
  <CharactersWithSpaces>20269</CharactersWithSpaces>
  <SharedDoc>false</SharedDoc>
  <HLinks>
    <vt:vector size="12" baseType="variant">
      <vt:variant>
        <vt:i4>1638500</vt:i4>
      </vt:variant>
      <vt:variant>
        <vt:i4>3</vt:i4>
      </vt:variant>
      <vt:variant>
        <vt:i4>0</vt:i4>
      </vt:variant>
      <vt:variant>
        <vt:i4>5</vt:i4>
      </vt:variant>
      <vt:variant>
        <vt:lpwstr>http://www.maine.gov/dhhs/audit/rate-setting/documents/S30FamilyPlanning_000.pdf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http://www.maine.gov/dhhs/audit/rate-setting/index.shtml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MEDICAL ASSISTANCE MANUAL</dc:title>
  <dc:creator>Peter Ezzy</dc:creator>
  <cp:lastModifiedBy>Parr, J.Chris</cp:lastModifiedBy>
  <cp:revision>3</cp:revision>
  <cp:lastPrinted>2014-11-13T16:49:00Z</cp:lastPrinted>
  <dcterms:created xsi:type="dcterms:W3CDTF">2026-01-27T15:03:00Z</dcterms:created>
  <dcterms:modified xsi:type="dcterms:W3CDTF">2026-02-05T14:45:00Z</dcterms:modified>
</cp:coreProperties>
</file>