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811DA" w14:textId="77777777" w:rsidR="00BA098D" w:rsidRPr="004068EE" w:rsidRDefault="00BA098D" w:rsidP="00756E31">
      <w:pPr>
        <w:widowControl/>
        <w:suppressAutoHyphens/>
        <w:rPr>
          <w:rFonts w:ascii="Times New Roman" w:hAnsi="Times New Roman"/>
          <w:b/>
          <w:sz w:val="22"/>
          <w:szCs w:val="22"/>
        </w:rPr>
      </w:pPr>
      <w:r w:rsidRPr="004068EE">
        <w:rPr>
          <w:rFonts w:ascii="Times New Roman" w:hAnsi="Times New Roman"/>
          <w:b/>
          <w:sz w:val="22"/>
          <w:szCs w:val="22"/>
        </w:rPr>
        <w:t>65-407</w:t>
      </w:r>
      <w:r w:rsidRPr="004068EE">
        <w:rPr>
          <w:rFonts w:ascii="Times New Roman" w:hAnsi="Times New Roman"/>
          <w:b/>
          <w:sz w:val="22"/>
          <w:szCs w:val="22"/>
        </w:rPr>
        <w:tab/>
      </w:r>
      <w:r w:rsidRPr="004068EE">
        <w:rPr>
          <w:rFonts w:ascii="Times New Roman" w:hAnsi="Times New Roman"/>
          <w:b/>
          <w:sz w:val="22"/>
          <w:szCs w:val="22"/>
        </w:rPr>
        <w:tab/>
        <w:t>PUBLIC UTILITIES COMMISSION</w:t>
      </w:r>
    </w:p>
    <w:p w14:paraId="7A11B15B" w14:textId="77777777" w:rsidR="00BA098D" w:rsidRPr="004068EE" w:rsidRDefault="00BA098D" w:rsidP="00756E31">
      <w:pPr>
        <w:widowControl/>
        <w:suppressAutoHyphens/>
        <w:rPr>
          <w:rFonts w:ascii="Times New Roman" w:hAnsi="Times New Roman"/>
          <w:b/>
          <w:sz w:val="22"/>
          <w:szCs w:val="22"/>
        </w:rPr>
      </w:pPr>
    </w:p>
    <w:p w14:paraId="13CDF61C" w14:textId="77777777" w:rsidR="00BA098D" w:rsidRPr="004068EE" w:rsidRDefault="00BA098D" w:rsidP="00756E31">
      <w:pPr>
        <w:widowControl/>
        <w:suppressAutoHyphens/>
        <w:ind w:left="1440" w:hanging="1440"/>
        <w:rPr>
          <w:rFonts w:ascii="Times New Roman" w:hAnsi="Times New Roman"/>
          <w:sz w:val="22"/>
          <w:szCs w:val="22"/>
        </w:rPr>
      </w:pPr>
      <w:r w:rsidRPr="004068EE">
        <w:rPr>
          <w:rFonts w:ascii="Times New Roman" w:hAnsi="Times New Roman"/>
          <w:b/>
          <w:sz w:val="22"/>
          <w:szCs w:val="22"/>
        </w:rPr>
        <w:t xml:space="preserve">Chapter </w:t>
      </w:r>
      <w:r w:rsidR="00942C37" w:rsidRPr="004068EE">
        <w:rPr>
          <w:rFonts w:ascii="Times New Roman" w:hAnsi="Times New Roman"/>
          <w:b/>
          <w:sz w:val="22"/>
          <w:szCs w:val="22"/>
        </w:rPr>
        <w:t>615</w:t>
      </w:r>
      <w:r w:rsidRPr="004068EE">
        <w:rPr>
          <w:rFonts w:ascii="Times New Roman" w:hAnsi="Times New Roman"/>
          <w:b/>
          <w:sz w:val="22"/>
          <w:szCs w:val="22"/>
        </w:rPr>
        <w:t>:</w:t>
      </w:r>
      <w:r w:rsidRPr="004068EE">
        <w:rPr>
          <w:rFonts w:ascii="Times New Roman" w:hAnsi="Times New Roman"/>
          <w:b/>
          <w:sz w:val="22"/>
          <w:szCs w:val="22"/>
        </w:rPr>
        <w:tab/>
      </w:r>
      <w:r w:rsidR="007653F3" w:rsidRPr="004068EE">
        <w:rPr>
          <w:rFonts w:ascii="Times New Roman" w:hAnsi="Times New Roman"/>
          <w:b/>
          <w:sz w:val="22"/>
          <w:szCs w:val="22"/>
        </w:rPr>
        <w:t>EXEMPTIONS FROM REGULATORY REQUIREMENTS</w:t>
      </w:r>
      <w:r w:rsidR="00942C37" w:rsidRPr="004068EE">
        <w:rPr>
          <w:rFonts w:ascii="Times New Roman" w:hAnsi="Times New Roman"/>
          <w:b/>
          <w:sz w:val="22"/>
          <w:szCs w:val="22"/>
        </w:rPr>
        <w:t xml:space="preserve"> FOR CONSUMER-OWNED WATER UTILITIES</w:t>
      </w:r>
    </w:p>
    <w:p w14:paraId="5F6741FF" w14:textId="77777777" w:rsidR="00BA098D" w:rsidRPr="004068EE" w:rsidRDefault="00BA098D" w:rsidP="00756E31">
      <w:pPr>
        <w:widowControl/>
        <w:pBdr>
          <w:bottom w:val="single" w:sz="4" w:space="1" w:color="auto"/>
        </w:pBdr>
        <w:suppressAutoHyphens/>
        <w:rPr>
          <w:rFonts w:ascii="Times New Roman" w:hAnsi="Times New Roman"/>
          <w:sz w:val="22"/>
          <w:szCs w:val="22"/>
        </w:rPr>
      </w:pPr>
    </w:p>
    <w:p w14:paraId="175BCBD3" w14:textId="77777777" w:rsidR="00114449" w:rsidRPr="004068EE" w:rsidRDefault="00114449" w:rsidP="00756E31">
      <w:pPr>
        <w:widowControl/>
        <w:suppressAutoHyphens/>
        <w:rPr>
          <w:rFonts w:ascii="Times New Roman" w:hAnsi="Times New Roman"/>
          <w:sz w:val="22"/>
          <w:szCs w:val="22"/>
        </w:rPr>
      </w:pPr>
    </w:p>
    <w:p w14:paraId="37A71E9E" w14:textId="4C345203" w:rsidR="00BA098D" w:rsidRPr="004068EE" w:rsidRDefault="00BA098D" w:rsidP="00756E31">
      <w:pPr>
        <w:widowControl/>
        <w:suppressAutoHyphens/>
        <w:rPr>
          <w:rFonts w:ascii="Times New Roman" w:hAnsi="Times New Roman"/>
          <w:sz w:val="22"/>
          <w:szCs w:val="22"/>
        </w:rPr>
      </w:pPr>
      <w:r w:rsidRPr="004068EE">
        <w:rPr>
          <w:rFonts w:ascii="Times New Roman" w:hAnsi="Times New Roman"/>
          <w:b/>
          <w:sz w:val="22"/>
          <w:szCs w:val="22"/>
        </w:rPr>
        <w:t>SUMMARY:</w:t>
      </w:r>
      <w:r w:rsidRPr="004068EE">
        <w:rPr>
          <w:rFonts w:ascii="Times New Roman" w:hAnsi="Times New Roman"/>
          <w:sz w:val="22"/>
          <w:szCs w:val="22"/>
        </w:rPr>
        <w:t xml:space="preserve"> This </w:t>
      </w:r>
      <w:r w:rsidR="00AF7FDD">
        <w:rPr>
          <w:rFonts w:ascii="Times New Roman" w:hAnsi="Times New Roman"/>
          <w:sz w:val="22"/>
          <w:szCs w:val="22"/>
        </w:rPr>
        <w:t>R</w:t>
      </w:r>
      <w:r w:rsidRPr="004068EE">
        <w:rPr>
          <w:rFonts w:ascii="Times New Roman" w:hAnsi="Times New Roman"/>
          <w:sz w:val="22"/>
          <w:szCs w:val="22"/>
        </w:rPr>
        <w:t xml:space="preserve">ule establishes rules </w:t>
      </w:r>
      <w:r w:rsidR="00BD56C1" w:rsidRPr="004068EE">
        <w:rPr>
          <w:rFonts w:ascii="Times New Roman" w:hAnsi="Times New Roman"/>
          <w:sz w:val="22"/>
          <w:szCs w:val="22"/>
        </w:rPr>
        <w:t xml:space="preserve">for </w:t>
      </w:r>
      <w:r w:rsidR="00096A43" w:rsidRPr="004068EE">
        <w:rPr>
          <w:rFonts w:ascii="Times New Roman" w:hAnsi="Times New Roman"/>
          <w:sz w:val="22"/>
          <w:szCs w:val="22"/>
        </w:rPr>
        <w:t>the form, content, and procedure for granting</w:t>
      </w:r>
      <w:r w:rsidR="00311068" w:rsidRPr="004068EE">
        <w:rPr>
          <w:rFonts w:ascii="Times New Roman" w:hAnsi="Times New Roman"/>
          <w:sz w:val="22"/>
          <w:szCs w:val="22"/>
        </w:rPr>
        <w:t xml:space="preserve">, </w:t>
      </w:r>
      <w:r w:rsidR="00942C37" w:rsidRPr="004068EE">
        <w:rPr>
          <w:rFonts w:ascii="Times New Roman" w:hAnsi="Times New Roman"/>
          <w:sz w:val="22"/>
          <w:szCs w:val="22"/>
        </w:rPr>
        <w:t>modifying</w:t>
      </w:r>
      <w:r w:rsidR="00311068" w:rsidRPr="004068EE">
        <w:rPr>
          <w:rFonts w:ascii="Times New Roman" w:hAnsi="Times New Roman"/>
          <w:sz w:val="22"/>
          <w:szCs w:val="22"/>
        </w:rPr>
        <w:t>,</w:t>
      </w:r>
      <w:r w:rsidR="00096A43" w:rsidRPr="004068EE">
        <w:rPr>
          <w:rFonts w:ascii="Times New Roman" w:hAnsi="Times New Roman"/>
          <w:sz w:val="22"/>
          <w:szCs w:val="22"/>
        </w:rPr>
        <w:t xml:space="preserve"> and resc</w:t>
      </w:r>
      <w:r w:rsidR="00942C37" w:rsidRPr="004068EE">
        <w:rPr>
          <w:rFonts w:ascii="Times New Roman" w:hAnsi="Times New Roman"/>
          <w:sz w:val="22"/>
          <w:szCs w:val="22"/>
        </w:rPr>
        <w:t>inding</w:t>
      </w:r>
      <w:r w:rsidR="00096A43" w:rsidRPr="004068EE">
        <w:rPr>
          <w:rFonts w:ascii="Times New Roman" w:hAnsi="Times New Roman"/>
          <w:sz w:val="22"/>
          <w:szCs w:val="22"/>
        </w:rPr>
        <w:t xml:space="preserve"> </w:t>
      </w:r>
      <w:r w:rsidR="00311068" w:rsidRPr="004068EE">
        <w:rPr>
          <w:rFonts w:ascii="Times New Roman" w:hAnsi="Times New Roman"/>
          <w:sz w:val="22"/>
          <w:szCs w:val="22"/>
        </w:rPr>
        <w:t>exemptions from</w:t>
      </w:r>
      <w:r w:rsidR="00096A43" w:rsidRPr="004068EE">
        <w:rPr>
          <w:rFonts w:ascii="Times New Roman" w:hAnsi="Times New Roman"/>
          <w:sz w:val="22"/>
          <w:szCs w:val="22"/>
        </w:rPr>
        <w:t xml:space="preserve"> regulatory requirements before</w:t>
      </w:r>
      <w:r w:rsidRPr="004068EE">
        <w:rPr>
          <w:rFonts w:ascii="Times New Roman" w:hAnsi="Times New Roman"/>
          <w:sz w:val="22"/>
          <w:szCs w:val="22"/>
        </w:rPr>
        <w:t xml:space="preserve"> the Maine Public Utilities Commission</w:t>
      </w:r>
      <w:r w:rsidR="00FB6015" w:rsidRPr="004068EE">
        <w:rPr>
          <w:rFonts w:ascii="Times New Roman" w:hAnsi="Times New Roman"/>
          <w:sz w:val="22"/>
          <w:szCs w:val="22"/>
        </w:rPr>
        <w:t>.</w:t>
      </w:r>
    </w:p>
    <w:p w14:paraId="214E5962" w14:textId="77777777" w:rsidR="00BA098D" w:rsidRPr="004068EE" w:rsidRDefault="00BA098D" w:rsidP="00756E31">
      <w:pPr>
        <w:widowControl/>
        <w:pBdr>
          <w:bottom w:val="single" w:sz="4" w:space="1" w:color="auto"/>
        </w:pBdr>
        <w:suppressAutoHyphens/>
        <w:rPr>
          <w:rFonts w:ascii="Times New Roman" w:hAnsi="Times New Roman"/>
          <w:sz w:val="22"/>
          <w:szCs w:val="22"/>
        </w:rPr>
      </w:pPr>
    </w:p>
    <w:p w14:paraId="55C7D11A" w14:textId="77777777" w:rsidR="00BA098D" w:rsidRPr="004068EE" w:rsidRDefault="00BA098D" w:rsidP="00756E31">
      <w:pPr>
        <w:widowControl/>
        <w:suppressAutoHyphens/>
        <w:rPr>
          <w:rFonts w:ascii="Times New Roman" w:hAnsi="Times New Roman"/>
          <w:sz w:val="22"/>
          <w:szCs w:val="22"/>
        </w:rPr>
      </w:pPr>
    </w:p>
    <w:p w14:paraId="6DADBDBD" w14:textId="77777777" w:rsidR="00BA098D" w:rsidRPr="004068EE" w:rsidRDefault="00BA098D" w:rsidP="00756E31">
      <w:pPr>
        <w:widowControl/>
        <w:suppressAutoHyphens/>
        <w:rPr>
          <w:rFonts w:ascii="Times New Roman" w:hAnsi="Times New Roman"/>
          <w:sz w:val="22"/>
          <w:szCs w:val="22"/>
        </w:rPr>
      </w:pPr>
    </w:p>
    <w:p w14:paraId="3D55000F" w14:textId="2A5E4814" w:rsidR="00BA098D" w:rsidRPr="004068EE" w:rsidRDefault="00BA098D" w:rsidP="00570715">
      <w:pPr>
        <w:widowControl/>
        <w:suppressAutoHyphens/>
        <w:jc w:val="center"/>
        <w:rPr>
          <w:rFonts w:ascii="Times New Roman" w:hAnsi="Times New Roman"/>
          <w:sz w:val="22"/>
          <w:szCs w:val="22"/>
        </w:rPr>
      </w:pPr>
      <w:r w:rsidRPr="004068EE">
        <w:rPr>
          <w:rFonts w:ascii="Times New Roman" w:hAnsi="Times New Roman"/>
          <w:b/>
          <w:sz w:val="22"/>
          <w:szCs w:val="22"/>
        </w:rPr>
        <w:t>TABLE OF CONTENTS</w:t>
      </w:r>
    </w:p>
    <w:p w14:paraId="00F017CB" w14:textId="77777777" w:rsidR="00BA098D" w:rsidRPr="004068EE" w:rsidRDefault="00BA098D" w:rsidP="00756E31">
      <w:pPr>
        <w:widowControl/>
        <w:suppressAutoHyphens/>
        <w:rPr>
          <w:rFonts w:ascii="Times New Roman" w:hAnsi="Times New Roman"/>
          <w:sz w:val="22"/>
          <w:szCs w:val="22"/>
        </w:rPr>
      </w:pPr>
    </w:p>
    <w:p w14:paraId="15CD8025" w14:textId="60E2CA31" w:rsidR="00BA098D" w:rsidRPr="004068EE" w:rsidRDefault="00FB6015" w:rsidP="00570715">
      <w:pPr>
        <w:widowControl/>
        <w:tabs>
          <w:tab w:val="left" w:pos="720"/>
          <w:tab w:val="left" w:pos="1440"/>
          <w:tab w:val="left" w:pos="2160"/>
          <w:tab w:val="right" w:leader="dot" w:pos="9360"/>
        </w:tabs>
        <w:suppressAutoHyphens/>
        <w:rPr>
          <w:rFonts w:ascii="Times New Roman" w:hAnsi="Times New Roman"/>
          <w:sz w:val="22"/>
          <w:szCs w:val="22"/>
        </w:rPr>
      </w:pPr>
      <w:r w:rsidRPr="004068EE">
        <w:rPr>
          <w:rFonts w:ascii="Times New Roman" w:hAnsi="Times New Roman"/>
          <w:b/>
          <w:sz w:val="22"/>
          <w:szCs w:val="22"/>
        </w:rPr>
        <w:t>§</w:t>
      </w:r>
      <w:r w:rsidR="00570715" w:rsidRPr="004068EE">
        <w:rPr>
          <w:rFonts w:ascii="Times New Roman" w:hAnsi="Times New Roman"/>
          <w:b/>
          <w:sz w:val="22"/>
          <w:szCs w:val="22"/>
        </w:rPr>
        <w:t xml:space="preserve"> </w:t>
      </w:r>
      <w:r w:rsidRPr="004068EE">
        <w:rPr>
          <w:rFonts w:ascii="Times New Roman" w:hAnsi="Times New Roman"/>
          <w:b/>
          <w:sz w:val="22"/>
          <w:szCs w:val="22"/>
        </w:rPr>
        <w:t>1</w:t>
      </w:r>
      <w:r w:rsidRPr="004068EE">
        <w:rPr>
          <w:rFonts w:ascii="Times New Roman" w:hAnsi="Times New Roman"/>
          <w:b/>
          <w:sz w:val="22"/>
          <w:szCs w:val="22"/>
        </w:rPr>
        <w:tab/>
      </w:r>
      <w:r w:rsidR="00BA098D" w:rsidRPr="004068EE">
        <w:rPr>
          <w:rFonts w:ascii="Times New Roman" w:hAnsi="Times New Roman"/>
          <w:b/>
          <w:sz w:val="22"/>
          <w:szCs w:val="22"/>
        </w:rPr>
        <w:t>APPLICABILITY</w:t>
      </w:r>
      <w:r w:rsidR="00570715" w:rsidRPr="004068EE">
        <w:rPr>
          <w:rFonts w:ascii="Times New Roman" w:hAnsi="Times New Roman"/>
          <w:b/>
          <w:sz w:val="22"/>
          <w:szCs w:val="22"/>
        </w:rPr>
        <w:t xml:space="preserve"> </w:t>
      </w:r>
      <w:r w:rsidR="00BA098D"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1</w:t>
      </w:r>
    </w:p>
    <w:p w14:paraId="07B9C42B" w14:textId="77777777" w:rsidR="00BA098D" w:rsidRPr="004068EE" w:rsidRDefault="00BA098D" w:rsidP="00570715">
      <w:pPr>
        <w:widowControl/>
        <w:tabs>
          <w:tab w:val="left" w:pos="720"/>
          <w:tab w:val="left" w:pos="1440"/>
          <w:tab w:val="left" w:pos="2160"/>
          <w:tab w:val="right" w:leader="dot" w:pos="9360"/>
        </w:tabs>
        <w:suppressAutoHyphens/>
        <w:rPr>
          <w:rFonts w:ascii="Times New Roman" w:hAnsi="Times New Roman"/>
          <w:sz w:val="22"/>
          <w:szCs w:val="22"/>
        </w:rPr>
      </w:pPr>
    </w:p>
    <w:p w14:paraId="7FBCFAB6" w14:textId="77777777" w:rsidR="00FB6015" w:rsidRPr="004068EE" w:rsidRDefault="00FB6015" w:rsidP="00570715">
      <w:pPr>
        <w:widowControl/>
        <w:tabs>
          <w:tab w:val="left" w:pos="720"/>
          <w:tab w:val="left" w:pos="1440"/>
          <w:tab w:val="left" w:pos="2160"/>
          <w:tab w:val="right" w:leader="dot" w:pos="9360"/>
        </w:tabs>
        <w:suppressAutoHyphens/>
        <w:ind w:left="1440" w:hanging="1440"/>
        <w:rPr>
          <w:rFonts w:ascii="Times New Roman" w:hAnsi="Times New Roman"/>
          <w:sz w:val="22"/>
          <w:szCs w:val="22"/>
        </w:rPr>
      </w:pPr>
    </w:p>
    <w:p w14:paraId="0FEB0451" w14:textId="2CB3B58C" w:rsidR="00BA098D" w:rsidRPr="004068EE" w:rsidRDefault="002F077E"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sidRPr="004068EE">
        <w:rPr>
          <w:rFonts w:ascii="Times New Roman" w:hAnsi="Times New Roman"/>
          <w:b/>
          <w:sz w:val="22"/>
          <w:szCs w:val="22"/>
        </w:rPr>
        <w:t>§</w:t>
      </w:r>
      <w:r w:rsidR="00570715" w:rsidRPr="004068EE">
        <w:rPr>
          <w:rFonts w:ascii="Times New Roman" w:hAnsi="Times New Roman"/>
          <w:b/>
          <w:sz w:val="22"/>
          <w:szCs w:val="22"/>
        </w:rPr>
        <w:t xml:space="preserve"> </w:t>
      </w:r>
      <w:r w:rsidRPr="004068EE">
        <w:rPr>
          <w:rFonts w:ascii="Times New Roman" w:hAnsi="Times New Roman"/>
          <w:b/>
          <w:sz w:val="22"/>
          <w:szCs w:val="22"/>
        </w:rPr>
        <w:t>2</w:t>
      </w:r>
      <w:r w:rsidR="00FB6015" w:rsidRPr="004068EE">
        <w:rPr>
          <w:rFonts w:ascii="Times New Roman" w:hAnsi="Times New Roman"/>
          <w:b/>
          <w:sz w:val="22"/>
          <w:szCs w:val="22"/>
        </w:rPr>
        <w:tab/>
      </w:r>
      <w:r w:rsidRPr="004068EE">
        <w:rPr>
          <w:rFonts w:ascii="Times New Roman" w:hAnsi="Times New Roman"/>
          <w:b/>
          <w:sz w:val="22"/>
          <w:szCs w:val="22"/>
        </w:rPr>
        <w:t>DEFINITIONS</w:t>
      </w:r>
      <w:r w:rsidR="00570715" w:rsidRPr="004068EE">
        <w:rPr>
          <w:rFonts w:ascii="Times New Roman" w:hAnsi="Times New Roman"/>
          <w:b/>
          <w:sz w:val="22"/>
          <w:szCs w:val="22"/>
        </w:rPr>
        <w:t xml:space="preserve"> </w:t>
      </w:r>
      <w:r w:rsidR="00BA098D"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1</w:t>
      </w:r>
    </w:p>
    <w:p w14:paraId="461155FE" w14:textId="77777777" w:rsidR="00BA098D" w:rsidRPr="004068EE" w:rsidRDefault="00BA098D" w:rsidP="00570715">
      <w:pPr>
        <w:widowControl/>
        <w:tabs>
          <w:tab w:val="left" w:pos="720"/>
          <w:tab w:val="left" w:pos="1440"/>
          <w:tab w:val="left" w:pos="2160"/>
          <w:tab w:val="right" w:leader="dot" w:pos="9360"/>
        </w:tabs>
        <w:suppressAutoHyphens/>
        <w:rPr>
          <w:rFonts w:ascii="Times New Roman" w:hAnsi="Times New Roman"/>
          <w:sz w:val="22"/>
          <w:szCs w:val="22"/>
        </w:rPr>
      </w:pPr>
    </w:p>
    <w:p w14:paraId="384845D5" w14:textId="77777777" w:rsidR="00FB6015" w:rsidRPr="004068EE" w:rsidRDefault="00FB6015"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p>
    <w:p w14:paraId="47ABBD7E" w14:textId="740A8FDD" w:rsidR="00BA098D" w:rsidRPr="004068EE" w:rsidRDefault="00FB6015" w:rsidP="00570715">
      <w:pPr>
        <w:widowControl/>
        <w:tabs>
          <w:tab w:val="left" w:pos="720"/>
          <w:tab w:val="left" w:pos="1440"/>
          <w:tab w:val="left" w:pos="2160"/>
          <w:tab w:val="right" w:leader="dot" w:pos="9360"/>
        </w:tabs>
        <w:suppressAutoHyphens/>
        <w:rPr>
          <w:rFonts w:ascii="Times New Roman" w:hAnsi="Times New Roman"/>
          <w:sz w:val="22"/>
          <w:szCs w:val="22"/>
        </w:rPr>
      </w:pPr>
      <w:r w:rsidRPr="004068EE">
        <w:rPr>
          <w:rFonts w:ascii="Times New Roman" w:hAnsi="Times New Roman"/>
          <w:b/>
          <w:sz w:val="22"/>
          <w:szCs w:val="22"/>
        </w:rPr>
        <w:t>§</w:t>
      </w:r>
      <w:r w:rsidR="00570715" w:rsidRPr="004068EE">
        <w:rPr>
          <w:rFonts w:ascii="Times New Roman" w:hAnsi="Times New Roman"/>
          <w:b/>
          <w:sz w:val="22"/>
          <w:szCs w:val="22"/>
        </w:rPr>
        <w:t xml:space="preserve"> </w:t>
      </w:r>
      <w:r w:rsidRPr="004068EE">
        <w:rPr>
          <w:rFonts w:ascii="Times New Roman" w:hAnsi="Times New Roman"/>
          <w:b/>
          <w:sz w:val="22"/>
          <w:szCs w:val="22"/>
        </w:rPr>
        <w:t>3</w:t>
      </w:r>
      <w:r w:rsidRPr="004068EE">
        <w:rPr>
          <w:rFonts w:ascii="Times New Roman" w:hAnsi="Times New Roman"/>
          <w:b/>
          <w:sz w:val="22"/>
          <w:szCs w:val="22"/>
        </w:rPr>
        <w:tab/>
      </w:r>
      <w:r w:rsidR="00942C37" w:rsidRPr="004068EE">
        <w:rPr>
          <w:rFonts w:ascii="Times New Roman" w:hAnsi="Times New Roman"/>
          <w:b/>
          <w:sz w:val="22"/>
          <w:szCs w:val="22"/>
        </w:rPr>
        <w:t>PETITION FOR EXEMPTION FROM REGULATORY REQUIREMENTS</w:t>
      </w:r>
      <w:r w:rsidR="00570715" w:rsidRPr="004068EE">
        <w:rPr>
          <w:rFonts w:ascii="Times New Roman" w:hAnsi="Times New Roman"/>
          <w:b/>
          <w:sz w:val="22"/>
          <w:szCs w:val="22"/>
        </w:rPr>
        <w:t xml:space="preserve"> </w:t>
      </w:r>
      <w:r w:rsidR="002F077E"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2</w:t>
      </w:r>
    </w:p>
    <w:p w14:paraId="22915EB2" w14:textId="77777777" w:rsidR="00BA098D" w:rsidRPr="004068EE" w:rsidRDefault="00BA098D" w:rsidP="00570715">
      <w:pPr>
        <w:widowControl/>
        <w:tabs>
          <w:tab w:val="left" w:pos="720"/>
          <w:tab w:val="left" w:pos="1440"/>
          <w:tab w:val="left" w:pos="2160"/>
          <w:tab w:val="right" w:leader="dot" w:pos="9360"/>
        </w:tabs>
        <w:suppressAutoHyphens/>
        <w:rPr>
          <w:rFonts w:ascii="Times New Roman" w:hAnsi="Times New Roman"/>
          <w:sz w:val="22"/>
          <w:szCs w:val="22"/>
        </w:rPr>
      </w:pPr>
    </w:p>
    <w:p w14:paraId="3DEA96ED" w14:textId="6A37D0EB" w:rsidR="00BA098D" w:rsidRPr="004068EE" w:rsidRDefault="00BA098D" w:rsidP="00570715">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sidRPr="004068EE">
        <w:rPr>
          <w:rFonts w:ascii="Times New Roman" w:hAnsi="Times New Roman"/>
          <w:sz w:val="22"/>
          <w:szCs w:val="22"/>
        </w:rPr>
        <w:tab/>
      </w:r>
      <w:r w:rsidR="002F077E" w:rsidRPr="004068EE">
        <w:rPr>
          <w:rFonts w:ascii="Times New Roman" w:hAnsi="Times New Roman"/>
          <w:sz w:val="22"/>
          <w:szCs w:val="22"/>
        </w:rPr>
        <w:t>A.</w:t>
      </w:r>
      <w:r w:rsidR="002F077E" w:rsidRPr="004068EE">
        <w:rPr>
          <w:rFonts w:ascii="Times New Roman" w:hAnsi="Times New Roman"/>
          <w:sz w:val="22"/>
          <w:szCs w:val="22"/>
        </w:rPr>
        <w:tab/>
      </w:r>
      <w:r w:rsidR="00777E69" w:rsidRPr="004068EE">
        <w:rPr>
          <w:rFonts w:ascii="Times New Roman" w:hAnsi="Times New Roman"/>
          <w:sz w:val="22"/>
          <w:szCs w:val="22"/>
        </w:rPr>
        <w:t xml:space="preserve">Notice to Customers </w:t>
      </w:r>
      <w:r w:rsidR="008C2419">
        <w:rPr>
          <w:rFonts w:ascii="Times New Roman" w:hAnsi="Times New Roman"/>
          <w:sz w:val="22"/>
          <w:szCs w:val="22"/>
        </w:rPr>
        <w:t>and Public Meeting</w:t>
      </w:r>
      <w:r w:rsidR="002F077E"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2</w:t>
      </w:r>
    </w:p>
    <w:p w14:paraId="5ADFD490" w14:textId="68E3813E" w:rsidR="002F077E" w:rsidRPr="004068EE" w:rsidRDefault="00E641FD" w:rsidP="00570715">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sidRPr="004068EE">
        <w:rPr>
          <w:rFonts w:ascii="Times New Roman" w:hAnsi="Times New Roman"/>
          <w:sz w:val="22"/>
          <w:szCs w:val="22"/>
        </w:rPr>
        <w:tab/>
      </w:r>
      <w:r w:rsidR="007653F3" w:rsidRPr="004068EE">
        <w:rPr>
          <w:rFonts w:ascii="Times New Roman" w:hAnsi="Times New Roman"/>
          <w:sz w:val="22"/>
          <w:szCs w:val="22"/>
        </w:rPr>
        <w:t>B</w:t>
      </w:r>
      <w:r w:rsidR="005E50A5" w:rsidRPr="004068EE">
        <w:rPr>
          <w:rFonts w:ascii="Times New Roman" w:hAnsi="Times New Roman"/>
          <w:sz w:val="22"/>
          <w:szCs w:val="22"/>
        </w:rPr>
        <w:t>.</w:t>
      </w:r>
      <w:r w:rsidR="005E50A5" w:rsidRPr="004068EE">
        <w:rPr>
          <w:rFonts w:ascii="Times New Roman" w:hAnsi="Times New Roman"/>
          <w:sz w:val="22"/>
          <w:szCs w:val="22"/>
        </w:rPr>
        <w:tab/>
      </w:r>
      <w:r w:rsidR="007653F3" w:rsidRPr="004068EE">
        <w:rPr>
          <w:rFonts w:ascii="Times New Roman" w:hAnsi="Times New Roman"/>
          <w:sz w:val="22"/>
          <w:szCs w:val="22"/>
        </w:rPr>
        <w:t>Contents</w:t>
      </w:r>
      <w:r w:rsidR="00777E69" w:rsidRPr="004068EE">
        <w:rPr>
          <w:rFonts w:ascii="Times New Roman" w:hAnsi="Times New Roman"/>
          <w:sz w:val="22"/>
          <w:szCs w:val="22"/>
        </w:rPr>
        <w:t xml:space="preserve"> of </w:t>
      </w:r>
      <w:r w:rsidR="00D60B10" w:rsidRPr="004068EE">
        <w:rPr>
          <w:rFonts w:ascii="Times New Roman" w:hAnsi="Times New Roman"/>
          <w:sz w:val="22"/>
          <w:szCs w:val="22"/>
        </w:rPr>
        <w:t xml:space="preserve">the </w:t>
      </w:r>
      <w:r w:rsidR="00777E69" w:rsidRPr="004068EE">
        <w:rPr>
          <w:rFonts w:ascii="Times New Roman" w:hAnsi="Times New Roman"/>
          <w:sz w:val="22"/>
          <w:szCs w:val="22"/>
        </w:rPr>
        <w:t>Petition</w:t>
      </w:r>
      <w:r w:rsidR="00570715" w:rsidRPr="004068EE">
        <w:rPr>
          <w:rFonts w:ascii="Times New Roman" w:hAnsi="Times New Roman"/>
          <w:sz w:val="22"/>
          <w:szCs w:val="22"/>
        </w:rPr>
        <w:t xml:space="preserve"> </w:t>
      </w:r>
      <w:r w:rsidR="002F077E"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3</w:t>
      </w:r>
    </w:p>
    <w:p w14:paraId="57EAEDB0" w14:textId="155596A9" w:rsidR="00BA098D" w:rsidRPr="004068EE" w:rsidRDefault="00BA098D"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sidRPr="004068EE">
        <w:rPr>
          <w:rFonts w:ascii="Times New Roman" w:hAnsi="Times New Roman"/>
          <w:sz w:val="22"/>
          <w:szCs w:val="22"/>
        </w:rPr>
        <w:tab/>
      </w:r>
      <w:r w:rsidR="005E50A5" w:rsidRPr="004068EE">
        <w:rPr>
          <w:rFonts w:ascii="Times New Roman" w:hAnsi="Times New Roman"/>
          <w:sz w:val="22"/>
          <w:szCs w:val="22"/>
        </w:rPr>
        <w:t>C.</w:t>
      </w:r>
      <w:r w:rsidR="002F077E" w:rsidRPr="004068EE">
        <w:rPr>
          <w:rFonts w:ascii="Times New Roman" w:hAnsi="Times New Roman"/>
          <w:sz w:val="22"/>
          <w:szCs w:val="22"/>
        </w:rPr>
        <w:tab/>
      </w:r>
      <w:r w:rsidR="00D60B10" w:rsidRPr="004068EE">
        <w:rPr>
          <w:rFonts w:ascii="Times New Roman" w:hAnsi="Times New Roman"/>
          <w:sz w:val="22"/>
          <w:szCs w:val="22"/>
        </w:rPr>
        <w:t>Process u</w:t>
      </w:r>
      <w:r w:rsidR="007653F3" w:rsidRPr="004068EE">
        <w:rPr>
          <w:rFonts w:ascii="Times New Roman" w:hAnsi="Times New Roman"/>
          <w:sz w:val="22"/>
          <w:szCs w:val="22"/>
        </w:rPr>
        <w:t>pon Filing Petition for Exemption</w:t>
      </w:r>
      <w:r w:rsidR="00570715" w:rsidRPr="004068EE">
        <w:rPr>
          <w:rFonts w:ascii="Times New Roman" w:hAnsi="Times New Roman"/>
          <w:sz w:val="22"/>
          <w:szCs w:val="22"/>
        </w:rPr>
        <w:t xml:space="preserve"> </w:t>
      </w:r>
      <w:r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4</w:t>
      </w:r>
    </w:p>
    <w:p w14:paraId="16F70656" w14:textId="77FE233B" w:rsidR="005E2BFE" w:rsidRPr="004068EE" w:rsidRDefault="005E50A5"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sidRPr="004068EE">
        <w:rPr>
          <w:rFonts w:ascii="Times New Roman" w:hAnsi="Times New Roman"/>
          <w:sz w:val="22"/>
          <w:szCs w:val="22"/>
        </w:rPr>
        <w:tab/>
      </w:r>
      <w:r w:rsidR="007653F3" w:rsidRPr="004068EE">
        <w:rPr>
          <w:rFonts w:ascii="Times New Roman" w:hAnsi="Times New Roman"/>
          <w:sz w:val="22"/>
          <w:szCs w:val="22"/>
        </w:rPr>
        <w:t>D.</w:t>
      </w:r>
      <w:r w:rsidR="007653F3" w:rsidRPr="004068EE">
        <w:rPr>
          <w:rFonts w:ascii="Times New Roman" w:hAnsi="Times New Roman"/>
          <w:sz w:val="22"/>
          <w:szCs w:val="22"/>
        </w:rPr>
        <w:tab/>
        <w:t>Exemption Proceedings initiated by the Commission</w:t>
      </w:r>
      <w:r w:rsidR="00570715" w:rsidRPr="004068EE">
        <w:rPr>
          <w:rFonts w:ascii="Times New Roman" w:hAnsi="Times New Roman"/>
          <w:sz w:val="22"/>
          <w:szCs w:val="22"/>
        </w:rPr>
        <w:t xml:space="preserve"> </w:t>
      </w:r>
      <w:r w:rsidR="005E2BFE"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4</w:t>
      </w:r>
    </w:p>
    <w:p w14:paraId="1DBADDAC" w14:textId="77777777" w:rsidR="005E2BFE" w:rsidRPr="004068EE" w:rsidRDefault="005E2BFE"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p>
    <w:p w14:paraId="24D6CD74" w14:textId="77777777" w:rsidR="00917BF7" w:rsidRPr="004068EE" w:rsidRDefault="00917BF7"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p>
    <w:p w14:paraId="5F9496EF" w14:textId="2250A11F" w:rsidR="00BA098D" w:rsidRPr="004068EE" w:rsidRDefault="00917BF7" w:rsidP="00570715">
      <w:pPr>
        <w:widowControl/>
        <w:tabs>
          <w:tab w:val="left" w:pos="720"/>
          <w:tab w:val="left" w:pos="1440"/>
          <w:tab w:val="left" w:pos="2160"/>
          <w:tab w:val="right" w:leader="dot" w:pos="9360"/>
        </w:tabs>
        <w:suppressAutoHyphens/>
        <w:ind w:left="900" w:hanging="900"/>
        <w:rPr>
          <w:rFonts w:ascii="Times New Roman" w:hAnsi="Times New Roman"/>
          <w:sz w:val="22"/>
          <w:szCs w:val="22"/>
        </w:rPr>
      </w:pPr>
      <w:r w:rsidRPr="004068EE">
        <w:rPr>
          <w:rFonts w:ascii="Times New Roman" w:hAnsi="Times New Roman"/>
          <w:b/>
          <w:sz w:val="22"/>
          <w:szCs w:val="22"/>
        </w:rPr>
        <w:t>§</w:t>
      </w:r>
      <w:r w:rsidR="00570715" w:rsidRPr="004068EE">
        <w:rPr>
          <w:rFonts w:ascii="Times New Roman" w:hAnsi="Times New Roman"/>
          <w:b/>
          <w:sz w:val="22"/>
          <w:szCs w:val="22"/>
        </w:rPr>
        <w:t xml:space="preserve"> </w:t>
      </w:r>
      <w:r w:rsidRPr="004068EE">
        <w:rPr>
          <w:rFonts w:ascii="Times New Roman" w:hAnsi="Times New Roman"/>
          <w:b/>
          <w:sz w:val="22"/>
          <w:szCs w:val="22"/>
        </w:rPr>
        <w:t>4</w:t>
      </w:r>
      <w:r w:rsidRPr="004068EE">
        <w:rPr>
          <w:rFonts w:ascii="Times New Roman" w:hAnsi="Times New Roman"/>
          <w:b/>
          <w:sz w:val="22"/>
          <w:szCs w:val="22"/>
        </w:rPr>
        <w:tab/>
      </w:r>
      <w:r w:rsidR="007653F3" w:rsidRPr="004068EE">
        <w:rPr>
          <w:rFonts w:ascii="Times New Roman" w:hAnsi="Times New Roman"/>
          <w:b/>
          <w:sz w:val="22"/>
          <w:szCs w:val="22"/>
        </w:rPr>
        <w:t>PROCEEDINGS SUBSEQUENT TO EXEMPTIONS</w:t>
      </w:r>
      <w:r w:rsidR="00570715" w:rsidRPr="004068EE">
        <w:rPr>
          <w:rFonts w:ascii="Times New Roman" w:hAnsi="Times New Roman"/>
          <w:b/>
          <w:sz w:val="22"/>
          <w:szCs w:val="22"/>
        </w:rPr>
        <w:t xml:space="preserve"> </w:t>
      </w:r>
      <w:r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4</w:t>
      </w:r>
    </w:p>
    <w:p w14:paraId="626F26B7" w14:textId="77777777" w:rsidR="00BA098D" w:rsidRPr="004068EE" w:rsidRDefault="00BA098D" w:rsidP="00570715">
      <w:pPr>
        <w:widowControl/>
        <w:tabs>
          <w:tab w:val="left" w:pos="720"/>
          <w:tab w:val="left" w:pos="1440"/>
          <w:tab w:val="left" w:pos="2160"/>
          <w:tab w:val="right" w:leader="dot" w:pos="9360"/>
        </w:tabs>
        <w:suppressAutoHyphens/>
        <w:rPr>
          <w:rFonts w:ascii="Times New Roman" w:hAnsi="Times New Roman"/>
          <w:sz w:val="22"/>
          <w:szCs w:val="22"/>
        </w:rPr>
      </w:pPr>
    </w:p>
    <w:p w14:paraId="5D2D16CA" w14:textId="1C3E337D" w:rsidR="00BA098D" w:rsidRPr="004068EE" w:rsidRDefault="00BA098D" w:rsidP="00570715">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sidRPr="004068EE">
        <w:rPr>
          <w:rFonts w:ascii="Times New Roman" w:hAnsi="Times New Roman"/>
          <w:sz w:val="22"/>
          <w:szCs w:val="22"/>
        </w:rPr>
        <w:tab/>
      </w:r>
      <w:r w:rsidR="005E2BFE" w:rsidRPr="004068EE">
        <w:rPr>
          <w:rFonts w:ascii="Times New Roman" w:hAnsi="Times New Roman"/>
          <w:sz w:val="22"/>
          <w:szCs w:val="22"/>
        </w:rPr>
        <w:t>A.</w:t>
      </w:r>
      <w:r w:rsidRPr="004068EE">
        <w:rPr>
          <w:rFonts w:ascii="Times New Roman" w:hAnsi="Times New Roman"/>
          <w:sz w:val="22"/>
          <w:szCs w:val="22"/>
        </w:rPr>
        <w:tab/>
      </w:r>
      <w:r w:rsidR="007653F3" w:rsidRPr="004068EE">
        <w:rPr>
          <w:rFonts w:ascii="Times New Roman" w:hAnsi="Times New Roman"/>
          <w:sz w:val="22"/>
          <w:szCs w:val="22"/>
        </w:rPr>
        <w:t>Review of Exemption</w:t>
      </w:r>
      <w:r w:rsidR="00570715" w:rsidRPr="004068EE">
        <w:rPr>
          <w:rFonts w:ascii="Times New Roman" w:hAnsi="Times New Roman"/>
          <w:sz w:val="22"/>
          <w:szCs w:val="22"/>
        </w:rPr>
        <w:t xml:space="preserve"> </w:t>
      </w:r>
      <w:r w:rsidR="007653F3"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4</w:t>
      </w:r>
    </w:p>
    <w:p w14:paraId="407BB1A6" w14:textId="4FF5A96F" w:rsidR="00BA098D" w:rsidRPr="004068EE" w:rsidRDefault="00BA098D" w:rsidP="00570715">
      <w:pPr>
        <w:keepNext/>
        <w:keepLines/>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sidRPr="004068EE">
        <w:rPr>
          <w:rFonts w:ascii="Times New Roman" w:hAnsi="Times New Roman"/>
          <w:sz w:val="22"/>
          <w:szCs w:val="22"/>
        </w:rPr>
        <w:tab/>
      </w:r>
      <w:r w:rsidR="005E2BFE" w:rsidRPr="004068EE">
        <w:rPr>
          <w:rFonts w:ascii="Times New Roman" w:hAnsi="Times New Roman"/>
          <w:sz w:val="22"/>
          <w:szCs w:val="22"/>
        </w:rPr>
        <w:t>B.</w:t>
      </w:r>
      <w:r w:rsidRPr="004068EE">
        <w:rPr>
          <w:rFonts w:ascii="Times New Roman" w:hAnsi="Times New Roman"/>
          <w:sz w:val="22"/>
          <w:szCs w:val="22"/>
        </w:rPr>
        <w:tab/>
      </w:r>
      <w:r w:rsidR="007653F3" w:rsidRPr="004068EE">
        <w:rPr>
          <w:rFonts w:ascii="Times New Roman" w:hAnsi="Times New Roman"/>
          <w:sz w:val="22"/>
          <w:szCs w:val="22"/>
        </w:rPr>
        <w:t>Review Procedure</w:t>
      </w:r>
      <w:r w:rsidR="00570715" w:rsidRPr="004068EE">
        <w:rPr>
          <w:rFonts w:ascii="Times New Roman" w:hAnsi="Times New Roman"/>
          <w:sz w:val="22"/>
          <w:szCs w:val="22"/>
        </w:rPr>
        <w:t xml:space="preserve"> </w:t>
      </w:r>
      <w:r w:rsidR="00777E69"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5</w:t>
      </w:r>
    </w:p>
    <w:p w14:paraId="1AB8EFAD" w14:textId="7FDBB210" w:rsidR="00BA098D" w:rsidRPr="004068EE" w:rsidRDefault="00BA098D"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sidRPr="004068EE">
        <w:rPr>
          <w:rFonts w:ascii="Times New Roman" w:hAnsi="Times New Roman"/>
          <w:sz w:val="22"/>
          <w:szCs w:val="22"/>
        </w:rPr>
        <w:tab/>
      </w:r>
      <w:r w:rsidR="005E2BFE" w:rsidRPr="004068EE">
        <w:rPr>
          <w:rFonts w:ascii="Times New Roman" w:hAnsi="Times New Roman"/>
          <w:sz w:val="22"/>
          <w:szCs w:val="22"/>
        </w:rPr>
        <w:t>C.</w:t>
      </w:r>
      <w:r w:rsidR="005E2BFE" w:rsidRPr="004068EE">
        <w:rPr>
          <w:rFonts w:ascii="Times New Roman" w:hAnsi="Times New Roman"/>
          <w:sz w:val="22"/>
          <w:szCs w:val="22"/>
        </w:rPr>
        <w:tab/>
      </w:r>
      <w:r w:rsidR="007653F3" w:rsidRPr="004068EE">
        <w:rPr>
          <w:rFonts w:ascii="Times New Roman" w:hAnsi="Times New Roman"/>
          <w:sz w:val="22"/>
          <w:szCs w:val="22"/>
        </w:rPr>
        <w:t>Rescission or Modification of Exemption</w:t>
      </w:r>
      <w:r w:rsidR="00570715" w:rsidRPr="004068EE">
        <w:rPr>
          <w:rFonts w:ascii="Times New Roman" w:hAnsi="Times New Roman"/>
          <w:sz w:val="22"/>
          <w:szCs w:val="22"/>
        </w:rPr>
        <w:t xml:space="preserve"> </w:t>
      </w:r>
      <w:r w:rsidR="005E2BFE"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5</w:t>
      </w:r>
    </w:p>
    <w:p w14:paraId="6AD0E54D" w14:textId="32414B35" w:rsidR="0009716E" w:rsidRPr="004068EE" w:rsidRDefault="0009716E" w:rsidP="00570715">
      <w:pPr>
        <w:widowControl/>
        <w:tabs>
          <w:tab w:val="left" w:pos="720"/>
          <w:tab w:val="left" w:pos="1440"/>
          <w:tab w:val="left" w:pos="2160"/>
          <w:tab w:val="right" w:leader="dot" w:pos="9360"/>
        </w:tabs>
        <w:suppressAutoHyphens/>
        <w:rPr>
          <w:rFonts w:ascii="Times New Roman" w:hAnsi="Times New Roman"/>
          <w:sz w:val="22"/>
          <w:szCs w:val="22"/>
        </w:rPr>
      </w:pPr>
    </w:p>
    <w:p w14:paraId="0DEF00BB" w14:textId="77777777" w:rsidR="0009716E" w:rsidRPr="004068EE" w:rsidRDefault="0009716E" w:rsidP="00570715">
      <w:pPr>
        <w:widowControl/>
        <w:tabs>
          <w:tab w:val="left" w:pos="720"/>
          <w:tab w:val="left" w:pos="1440"/>
          <w:tab w:val="left" w:pos="2160"/>
          <w:tab w:val="right" w:leader="dot" w:pos="9360"/>
        </w:tabs>
        <w:suppressAutoHyphens/>
        <w:rPr>
          <w:rFonts w:ascii="Times New Roman" w:hAnsi="Times New Roman"/>
          <w:sz w:val="22"/>
          <w:szCs w:val="22"/>
        </w:rPr>
      </w:pPr>
    </w:p>
    <w:p w14:paraId="0347A5DC" w14:textId="1C3F4060" w:rsidR="00BA098D" w:rsidRPr="004068EE" w:rsidRDefault="00BC18AC" w:rsidP="00B921B9">
      <w:pPr>
        <w:widowControl/>
        <w:tabs>
          <w:tab w:val="left" w:pos="720"/>
          <w:tab w:val="left" w:pos="1440"/>
          <w:tab w:val="right" w:leader="dot" w:pos="9360"/>
        </w:tabs>
        <w:suppressAutoHyphens/>
        <w:ind w:left="1440" w:hanging="1440"/>
        <w:rPr>
          <w:rFonts w:ascii="Times New Roman" w:hAnsi="Times New Roman"/>
          <w:sz w:val="22"/>
          <w:szCs w:val="22"/>
        </w:rPr>
      </w:pPr>
      <w:r w:rsidRPr="004068EE">
        <w:rPr>
          <w:rFonts w:ascii="Times New Roman" w:hAnsi="Times New Roman"/>
          <w:b/>
          <w:sz w:val="22"/>
          <w:szCs w:val="22"/>
        </w:rPr>
        <w:t>§</w:t>
      </w:r>
      <w:r w:rsidR="00570715" w:rsidRPr="004068EE">
        <w:rPr>
          <w:rFonts w:ascii="Times New Roman" w:hAnsi="Times New Roman"/>
          <w:b/>
          <w:sz w:val="22"/>
          <w:szCs w:val="22"/>
        </w:rPr>
        <w:t xml:space="preserve"> </w:t>
      </w:r>
      <w:r w:rsidR="008C2419">
        <w:rPr>
          <w:rFonts w:ascii="Times New Roman" w:hAnsi="Times New Roman"/>
          <w:b/>
          <w:sz w:val="22"/>
          <w:szCs w:val="22"/>
        </w:rPr>
        <w:t>5</w:t>
      </w:r>
      <w:r w:rsidRPr="004068EE">
        <w:rPr>
          <w:rFonts w:ascii="Times New Roman" w:hAnsi="Times New Roman"/>
          <w:b/>
          <w:sz w:val="22"/>
          <w:szCs w:val="22"/>
        </w:rPr>
        <w:tab/>
        <w:t>WAIVER</w:t>
      </w:r>
      <w:r w:rsidR="00B921B9">
        <w:rPr>
          <w:rFonts w:ascii="Times New Roman" w:hAnsi="Times New Roman"/>
          <w:b/>
          <w:sz w:val="22"/>
          <w:szCs w:val="22"/>
        </w:rPr>
        <w:t xml:space="preserve"> </w:t>
      </w:r>
      <w:r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5</w:t>
      </w:r>
    </w:p>
    <w:p w14:paraId="6EB29846" w14:textId="77777777" w:rsidR="00BA098D" w:rsidRPr="004068EE" w:rsidRDefault="00BA098D" w:rsidP="00570715">
      <w:pPr>
        <w:widowControl/>
        <w:tabs>
          <w:tab w:val="left" w:pos="720"/>
          <w:tab w:val="left" w:pos="1440"/>
          <w:tab w:val="left" w:pos="2160"/>
          <w:tab w:val="right" w:leader="dot" w:pos="9360"/>
        </w:tabs>
        <w:suppressAutoHyphens/>
        <w:rPr>
          <w:rFonts w:ascii="Times New Roman" w:hAnsi="Times New Roman"/>
          <w:sz w:val="22"/>
          <w:szCs w:val="22"/>
        </w:rPr>
      </w:pPr>
    </w:p>
    <w:p w14:paraId="5488ADD7" w14:textId="77777777" w:rsidR="008E38D7" w:rsidRPr="004068EE" w:rsidRDefault="008E38D7" w:rsidP="00756E31">
      <w:pPr>
        <w:widowControl/>
        <w:suppressAutoHyphens/>
        <w:rPr>
          <w:rFonts w:ascii="Times New Roman" w:hAnsi="Times New Roman"/>
          <w:sz w:val="22"/>
          <w:szCs w:val="22"/>
        </w:rPr>
      </w:pPr>
    </w:p>
    <w:p w14:paraId="1A81FDFB" w14:textId="11875D8E" w:rsidR="008E38D7" w:rsidRPr="004068EE" w:rsidRDefault="008E38D7" w:rsidP="00570715">
      <w:pPr>
        <w:widowControl/>
        <w:tabs>
          <w:tab w:val="right" w:leader="dot" w:pos="9360"/>
        </w:tabs>
        <w:suppressAutoHyphens/>
        <w:ind w:left="1440" w:hanging="1440"/>
        <w:rPr>
          <w:rFonts w:ascii="Times New Roman" w:hAnsi="Times New Roman"/>
          <w:sz w:val="22"/>
          <w:szCs w:val="22"/>
        </w:rPr>
      </w:pPr>
      <w:r w:rsidRPr="004068EE">
        <w:rPr>
          <w:rFonts w:ascii="Times New Roman" w:hAnsi="Times New Roman"/>
          <w:b/>
          <w:sz w:val="22"/>
          <w:szCs w:val="22"/>
        </w:rPr>
        <w:t>Appendix A:</w:t>
      </w:r>
      <w:r w:rsidRPr="004068EE">
        <w:rPr>
          <w:rFonts w:ascii="Times New Roman" w:hAnsi="Times New Roman"/>
          <w:b/>
          <w:sz w:val="22"/>
          <w:szCs w:val="22"/>
        </w:rPr>
        <w:tab/>
        <w:t>SUPPORTING DATA FOR PETITIONS FOR EXEMPTIONS FROM REGULATORY REQUIREMENTS FOR CONSUMER-OWNED WATER UTILITIES</w:t>
      </w:r>
      <w:r w:rsidR="00570715" w:rsidRPr="004068EE">
        <w:rPr>
          <w:rFonts w:ascii="Times New Roman" w:hAnsi="Times New Roman"/>
          <w:b/>
          <w:sz w:val="22"/>
          <w:szCs w:val="22"/>
        </w:rPr>
        <w:t xml:space="preserve"> </w:t>
      </w:r>
      <w:r w:rsidRPr="004068EE">
        <w:rPr>
          <w:rFonts w:ascii="Times New Roman" w:hAnsi="Times New Roman"/>
          <w:sz w:val="22"/>
          <w:szCs w:val="22"/>
        </w:rPr>
        <w:tab/>
      </w:r>
      <w:r w:rsidR="00B921B9">
        <w:rPr>
          <w:rFonts w:ascii="Times New Roman" w:hAnsi="Times New Roman"/>
          <w:sz w:val="22"/>
          <w:szCs w:val="22"/>
        </w:rPr>
        <w:t xml:space="preserve"> 7</w:t>
      </w:r>
    </w:p>
    <w:p w14:paraId="07F936BE" w14:textId="77777777" w:rsidR="008E38D7" w:rsidRPr="004068EE" w:rsidRDefault="008E38D7" w:rsidP="00756E31">
      <w:pPr>
        <w:widowControl/>
        <w:suppressAutoHyphens/>
        <w:rPr>
          <w:rFonts w:ascii="Times New Roman" w:hAnsi="Times New Roman"/>
          <w:sz w:val="22"/>
          <w:szCs w:val="22"/>
        </w:rPr>
      </w:pPr>
    </w:p>
    <w:p w14:paraId="7EB5BF1B" w14:textId="77777777" w:rsidR="008E38D7" w:rsidRPr="004068EE" w:rsidRDefault="008E38D7" w:rsidP="00756E31">
      <w:pPr>
        <w:widowControl/>
        <w:suppressAutoHyphens/>
        <w:rPr>
          <w:rFonts w:ascii="Times New Roman" w:hAnsi="Times New Roman"/>
          <w:sz w:val="22"/>
          <w:szCs w:val="22"/>
        </w:rPr>
      </w:pPr>
    </w:p>
    <w:p w14:paraId="1D7175D5" w14:textId="77777777" w:rsidR="00B12402" w:rsidRPr="004068EE" w:rsidRDefault="00B12402" w:rsidP="00756E31">
      <w:pPr>
        <w:widowControl/>
        <w:suppressAutoHyphens/>
        <w:ind w:left="720" w:hanging="720"/>
        <w:rPr>
          <w:rFonts w:ascii="Times New Roman" w:hAnsi="Times New Roman"/>
          <w:b/>
          <w:sz w:val="22"/>
          <w:szCs w:val="22"/>
        </w:rPr>
      </w:pPr>
    </w:p>
    <w:p w14:paraId="24C22C25" w14:textId="77777777" w:rsidR="00B12402" w:rsidRPr="004068EE" w:rsidRDefault="00B12402" w:rsidP="00756E31">
      <w:pPr>
        <w:widowControl/>
        <w:suppressAutoHyphens/>
        <w:ind w:left="720" w:hanging="720"/>
        <w:rPr>
          <w:rFonts w:ascii="Times New Roman" w:hAnsi="Times New Roman"/>
          <w:b/>
          <w:sz w:val="22"/>
          <w:szCs w:val="22"/>
        </w:rPr>
        <w:sectPr w:rsidR="00B12402" w:rsidRPr="004068EE" w:rsidSect="00570715">
          <w:headerReference w:type="default" r:id="rId7"/>
          <w:footerReference w:type="even" r:id="rId8"/>
          <w:footerReference w:type="default" r:id="rId9"/>
          <w:endnotePr>
            <w:numFmt w:val="decimal"/>
          </w:endnotePr>
          <w:type w:val="continuous"/>
          <w:pgSz w:w="12240" w:h="15840" w:code="1"/>
          <w:pgMar w:top="1440" w:right="1440" w:bottom="1440" w:left="1440" w:header="0" w:footer="0" w:gutter="0"/>
          <w:pgNumType w:fmt="lowerRoman" w:start="1"/>
          <w:cols w:space="720"/>
          <w:noEndnote/>
          <w:titlePg/>
        </w:sectPr>
      </w:pPr>
    </w:p>
    <w:p w14:paraId="344514E5" w14:textId="77777777" w:rsidR="00BA098D" w:rsidRPr="004068EE" w:rsidRDefault="00E61CE2" w:rsidP="00756E31">
      <w:pPr>
        <w:widowControl/>
        <w:suppressAutoHyphens/>
        <w:rPr>
          <w:rFonts w:ascii="Times New Roman" w:hAnsi="Times New Roman"/>
          <w:b/>
          <w:sz w:val="22"/>
          <w:szCs w:val="22"/>
        </w:rPr>
      </w:pPr>
      <w:r w:rsidRPr="004068EE">
        <w:rPr>
          <w:rFonts w:ascii="Times New Roman" w:hAnsi="Times New Roman"/>
          <w:b/>
          <w:sz w:val="22"/>
          <w:szCs w:val="22"/>
        </w:rPr>
        <w:lastRenderedPageBreak/>
        <w:t xml:space="preserve">§ </w:t>
      </w:r>
      <w:r w:rsidR="00591483" w:rsidRPr="004068EE">
        <w:rPr>
          <w:rFonts w:ascii="Times New Roman" w:hAnsi="Times New Roman"/>
          <w:b/>
          <w:sz w:val="22"/>
          <w:szCs w:val="22"/>
        </w:rPr>
        <w:t>1</w:t>
      </w:r>
      <w:r w:rsidR="00931E50" w:rsidRPr="004068EE">
        <w:rPr>
          <w:rFonts w:ascii="Times New Roman" w:hAnsi="Times New Roman"/>
          <w:b/>
          <w:sz w:val="22"/>
          <w:szCs w:val="22"/>
        </w:rPr>
        <w:tab/>
      </w:r>
      <w:r w:rsidR="00BA098D" w:rsidRPr="004068EE">
        <w:rPr>
          <w:rFonts w:ascii="Times New Roman" w:hAnsi="Times New Roman"/>
          <w:b/>
          <w:sz w:val="22"/>
          <w:szCs w:val="22"/>
        </w:rPr>
        <w:t>APPLICABILITY</w:t>
      </w:r>
    </w:p>
    <w:p w14:paraId="593F5421" w14:textId="77777777" w:rsidR="00BA098D" w:rsidRPr="004068EE" w:rsidRDefault="00BA098D" w:rsidP="00756E31">
      <w:pPr>
        <w:widowControl/>
        <w:suppressAutoHyphens/>
        <w:rPr>
          <w:rFonts w:ascii="Times New Roman" w:hAnsi="Times New Roman"/>
          <w:sz w:val="22"/>
          <w:szCs w:val="22"/>
        </w:rPr>
      </w:pPr>
    </w:p>
    <w:p w14:paraId="66BC2E1C" w14:textId="3E1E3A2E" w:rsidR="00BA098D" w:rsidRPr="004068EE" w:rsidRDefault="00BA5CC6" w:rsidP="00AF7FDD">
      <w:pPr>
        <w:widowControl/>
        <w:suppressAutoHyphens/>
        <w:ind w:left="720" w:hanging="720"/>
        <w:rPr>
          <w:rFonts w:ascii="Times New Roman" w:hAnsi="Times New Roman"/>
          <w:sz w:val="22"/>
          <w:szCs w:val="22"/>
        </w:rPr>
      </w:pPr>
      <w:r w:rsidRPr="004068EE">
        <w:rPr>
          <w:rFonts w:ascii="Times New Roman" w:hAnsi="Times New Roman"/>
          <w:sz w:val="22"/>
          <w:szCs w:val="22"/>
        </w:rPr>
        <w:tab/>
      </w:r>
      <w:r w:rsidR="00C4255B" w:rsidRPr="004068EE">
        <w:rPr>
          <w:rFonts w:ascii="Times New Roman" w:hAnsi="Times New Roman"/>
          <w:sz w:val="22"/>
          <w:szCs w:val="22"/>
        </w:rPr>
        <w:t xml:space="preserve">This </w:t>
      </w:r>
      <w:r w:rsidR="009E0B7A" w:rsidRPr="004068EE">
        <w:rPr>
          <w:rFonts w:ascii="Times New Roman" w:hAnsi="Times New Roman"/>
          <w:sz w:val="22"/>
          <w:szCs w:val="22"/>
        </w:rPr>
        <w:t xml:space="preserve">Chapter </w:t>
      </w:r>
      <w:r w:rsidR="00BA098D" w:rsidRPr="004068EE">
        <w:rPr>
          <w:rFonts w:ascii="Times New Roman" w:hAnsi="Times New Roman"/>
          <w:sz w:val="22"/>
          <w:szCs w:val="22"/>
        </w:rPr>
        <w:t>govern</w:t>
      </w:r>
      <w:r w:rsidR="009E0B7A" w:rsidRPr="004068EE">
        <w:rPr>
          <w:rFonts w:ascii="Times New Roman" w:hAnsi="Times New Roman"/>
          <w:sz w:val="22"/>
          <w:szCs w:val="22"/>
        </w:rPr>
        <w:t>s</w:t>
      </w:r>
      <w:r w:rsidR="00BA098D" w:rsidRPr="004068EE">
        <w:rPr>
          <w:rFonts w:ascii="Times New Roman" w:hAnsi="Times New Roman"/>
          <w:sz w:val="22"/>
          <w:szCs w:val="22"/>
        </w:rPr>
        <w:t xml:space="preserve"> </w:t>
      </w:r>
      <w:r w:rsidR="000E6BB7" w:rsidRPr="004068EE">
        <w:rPr>
          <w:rFonts w:ascii="Times New Roman" w:hAnsi="Times New Roman"/>
          <w:sz w:val="22"/>
          <w:szCs w:val="22"/>
        </w:rPr>
        <w:t xml:space="preserve">the form, content, and procedure for </w:t>
      </w:r>
      <w:r w:rsidR="007A4F28" w:rsidRPr="004068EE">
        <w:rPr>
          <w:rFonts w:ascii="Times New Roman" w:hAnsi="Times New Roman"/>
          <w:sz w:val="22"/>
          <w:szCs w:val="22"/>
        </w:rPr>
        <w:t xml:space="preserve">reviewing </w:t>
      </w:r>
      <w:r w:rsidR="000E6BB7" w:rsidRPr="004068EE">
        <w:rPr>
          <w:rFonts w:ascii="Times New Roman" w:hAnsi="Times New Roman"/>
          <w:sz w:val="22"/>
          <w:szCs w:val="22"/>
        </w:rPr>
        <w:t xml:space="preserve">petitions for exemption from regulatory requirements submitted to the Commission </w:t>
      </w:r>
      <w:r w:rsidR="001B0F9B" w:rsidRPr="004068EE">
        <w:rPr>
          <w:rFonts w:ascii="Times New Roman" w:hAnsi="Times New Roman"/>
          <w:sz w:val="22"/>
          <w:szCs w:val="22"/>
        </w:rPr>
        <w:t xml:space="preserve">by consumer-owned water utilities </w:t>
      </w:r>
      <w:r w:rsidR="000E6BB7" w:rsidRPr="004068EE">
        <w:rPr>
          <w:rFonts w:ascii="Times New Roman" w:hAnsi="Times New Roman"/>
          <w:sz w:val="22"/>
          <w:szCs w:val="22"/>
        </w:rPr>
        <w:t xml:space="preserve">pursuant to 35-A M.R.S. </w:t>
      </w:r>
      <w:r w:rsidR="008E38D7" w:rsidRPr="004068EE">
        <w:rPr>
          <w:rFonts w:ascii="Times New Roman" w:hAnsi="Times New Roman"/>
          <w:sz w:val="22"/>
          <w:szCs w:val="22"/>
        </w:rPr>
        <w:t>§</w:t>
      </w:r>
      <w:r w:rsidR="001B0F9B" w:rsidRPr="004068EE">
        <w:rPr>
          <w:rFonts w:ascii="Times New Roman" w:hAnsi="Times New Roman"/>
          <w:sz w:val="22"/>
          <w:szCs w:val="22"/>
        </w:rPr>
        <w:t>6114</w:t>
      </w:r>
      <w:r w:rsidR="00C4255B" w:rsidRPr="004068EE">
        <w:rPr>
          <w:rFonts w:ascii="Times New Roman" w:hAnsi="Times New Roman"/>
          <w:sz w:val="22"/>
          <w:szCs w:val="22"/>
        </w:rPr>
        <w:t>.</w:t>
      </w:r>
      <w:r w:rsidR="00114449" w:rsidRPr="004068EE">
        <w:rPr>
          <w:rFonts w:ascii="Times New Roman" w:hAnsi="Times New Roman"/>
          <w:sz w:val="22"/>
          <w:szCs w:val="22"/>
        </w:rPr>
        <w:t xml:space="preserve"> </w:t>
      </w:r>
      <w:r w:rsidR="00C4255B" w:rsidRPr="004068EE">
        <w:rPr>
          <w:rFonts w:ascii="Times New Roman" w:hAnsi="Times New Roman"/>
          <w:sz w:val="22"/>
          <w:szCs w:val="22"/>
        </w:rPr>
        <w:t xml:space="preserve">Additionally, this </w:t>
      </w:r>
      <w:r w:rsidR="0083594E" w:rsidRPr="004068EE">
        <w:rPr>
          <w:rFonts w:ascii="Times New Roman" w:hAnsi="Times New Roman"/>
          <w:sz w:val="22"/>
          <w:szCs w:val="22"/>
        </w:rPr>
        <w:t xml:space="preserve">Chapter </w:t>
      </w:r>
      <w:r w:rsidR="00C4255B" w:rsidRPr="004068EE">
        <w:rPr>
          <w:rFonts w:ascii="Times New Roman" w:hAnsi="Times New Roman"/>
          <w:sz w:val="22"/>
          <w:szCs w:val="22"/>
        </w:rPr>
        <w:t xml:space="preserve">governs the form and procedure for </w:t>
      </w:r>
      <w:r w:rsidR="007A4F28" w:rsidRPr="004068EE">
        <w:rPr>
          <w:rFonts w:ascii="Times New Roman" w:hAnsi="Times New Roman"/>
          <w:sz w:val="22"/>
          <w:szCs w:val="22"/>
        </w:rPr>
        <w:t xml:space="preserve">review of </w:t>
      </w:r>
      <w:r w:rsidR="00C4255B" w:rsidRPr="004068EE">
        <w:rPr>
          <w:rFonts w:ascii="Times New Roman" w:hAnsi="Times New Roman"/>
          <w:sz w:val="22"/>
          <w:szCs w:val="22"/>
        </w:rPr>
        <w:t xml:space="preserve">petitions </w:t>
      </w:r>
      <w:r w:rsidR="007A4F28" w:rsidRPr="004068EE">
        <w:rPr>
          <w:rFonts w:ascii="Times New Roman" w:hAnsi="Times New Roman"/>
          <w:sz w:val="22"/>
          <w:szCs w:val="22"/>
        </w:rPr>
        <w:t xml:space="preserve">seeking </w:t>
      </w:r>
      <w:r w:rsidR="00C4255B" w:rsidRPr="004068EE">
        <w:rPr>
          <w:rFonts w:ascii="Times New Roman" w:hAnsi="Times New Roman"/>
          <w:sz w:val="22"/>
          <w:szCs w:val="22"/>
        </w:rPr>
        <w:t>resci</w:t>
      </w:r>
      <w:r w:rsidR="007A4F28" w:rsidRPr="004068EE">
        <w:rPr>
          <w:rFonts w:ascii="Times New Roman" w:hAnsi="Times New Roman"/>
          <w:sz w:val="22"/>
          <w:szCs w:val="22"/>
        </w:rPr>
        <w:t>ssion</w:t>
      </w:r>
      <w:r w:rsidR="00C4255B" w:rsidRPr="004068EE">
        <w:rPr>
          <w:rFonts w:ascii="Times New Roman" w:hAnsi="Times New Roman"/>
          <w:sz w:val="22"/>
          <w:szCs w:val="22"/>
        </w:rPr>
        <w:t xml:space="preserve"> </w:t>
      </w:r>
      <w:r w:rsidR="007A4F28" w:rsidRPr="004068EE">
        <w:rPr>
          <w:rFonts w:ascii="Times New Roman" w:hAnsi="Times New Roman"/>
          <w:sz w:val="22"/>
          <w:szCs w:val="22"/>
        </w:rPr>
        <w:t xml:space="preserve">or modification of </w:t>
      </w:r>
      <w:r w:rsidR="00C4255B" w:rsidRPr="004068EE">
        <w:rPr>
          <w:rFonts w:ascii="Times New Roman" w:hAnsi="Times New Roman"/>
          <w:sz w:val="22"/>
          <w:szCs w:val="22"/>
        </w:rPr>
        <w:t>exemptions previously granted by the Commission.</w:t>
      </w:r>
    </w:p>
    <w:p w14:paraId="5C41E680" w14:textId="77777777" w:rsidR="00D01B3A" w:rsidRPr="004068EE" w:rsidRDefault="00D01B3A" w:rsidP="00BA5CC6">
      <w:pPr>
        <w:widowControl/>
        <w:suppressAutoHyphens/>
        <w:rPr>
          <w:rFonts w:ascii="Times New Roman" w:hAnsi="Times New Roman"/>
          <w:sz w:val="22"/>
          <w:szCs w:val="22"/>
        </w:rPr>
      </w:pPr>
    </w:p>
    <w:p w14:paraId="67349FC7" w14:textId="7862109F" w:rsidR="00D01B3A" w:rsidRPr="004068EE" w:rsidRDefault="00BA5CC6" w:rsidP="00AF7FDD">
      <w:pPr>
        <w:widowControl/>
        <w:suppressAutoHyphens/>
        <w:ind w:left="720" w:hanging="720"/>
        <w:rPr>
          <w:rFonts w:ascii="Times New Roman" w:hAnsi="Times New Roman"/>
          <w:sz w:val="22"/>
          <w:szCs w:val="22"/>
        </w:rPr>
      </w:pPr>
      <w:r w:rsidRPr="004068EE">
        <w:rPr>
          <w:rFonts w:ascii="Times New Roman" w:hAnsi="Times New Roman"/>
          <w:sz w:val="22"/>
          <w:szCs w:val="22"/>
        </w:rPr>
        <w:tab/>
      </w:r>
      <w:r w:rsidR="00D01B3A" w:rsidRPr="004068EE">
        <w:rPr>
          <w:rFonts w:ascii="Times New Roman" w:hAnsi="Times New Roman"/>
          <w:sz w:val="22"/>
          <w:szCs w:val="22"/>
        </w:rPr>
        <w:t xml:space="preserve">The Commission may not grant an exemption to the following </w:t>
      </w:r>
      <w:r w:rsidR="0083594E" w:rsidRPr="004068EE">
        <w:rPr>
          <w:rFonts w:ascii="Times New Roman" w:hAnsi="Times New Roman"/>
          <w:sz w:val="22"/>
          <w:szCs w:val="22"/>
        </w:rPr>
        <w:t>statutes</w:t>
      </w:r>
      <w:r w:rsidR="00D01B3A" w:rsidRPr="004068EE">
        <w:rPr>
          <w:rFonts w:ascii="Times New Roman" w:hAnsi="Times New Roman"/>
          <w:sz w:val="22"/>
          <w:szCs w:val="22"/>
        </w:rPr>
        <w:t>: 35-A M.R.</w:t>
      </w:r>
      <w:r w:rsidR="009E0B7A" w:rsidRPr="004068EE">
        <w:rPr>
          <w:rFonts w:ascii="Times New Roman" w:hAnsi="Times New Roman"/>
          <w:sz w:val="22"/>
          <w:szCs w:val="22"/>
        </w:rPr>
        <w:t>S</w:t>
      </w:r>
      <w:r w:rsidR="00D01B3A" w:rsidRPr="004068EE">
        <w:rPr>
          <w:rFonts w:ascii="Times New Roman" w:hAnsi="Times New Roman"/>
          <w:sz w:val="22"/>
          <w:szCs w:val="22"/>
        </w:rPr>
        <w:t xml:space="preserve">. </w:t>
      </w:r>
      <w:r w:rsidR="008E38D7" w:rsidRPr="004068EE">
        <w:rPr>
          <w:rFonts w:ascii="Times New Roman" w:hAnsi="Times New Roman"/>
          <w:sz w:val="22"/>
          <w:szCs w:val="22"/>
        </w:rPr>
        <w:t>§</w:t>
      </w:r>
      <w:r w:rsidR="009E0B7A" w:rsidRPr="004068EE">
        <w:rPr>
          <w:rFonts w:ascii="Times New Roman" w:hAnsi="Times New Roman"/>
          <w:sz w:val="22"/>
          <w:szCs w:val="22"/>
        </w:rPr>
        <w:t xml:space="preserve">§ </w:t>
      </w:r>
      <w:r w:rsidR="00D01B3A" w:rsidRPr="004068EE">
        <w:rPr>
          <w:rFonts w:ascii="Times New Roman" w:hAnsi="Times New Roman"/>
          <w:sz w:val="22"/>
          <w:szCs w:val="22"/>
        </w:rPr>
        <w:t xml:space="preserve">116, 301, 309, 501, 502, 702, 709, 712, 1101, 1302, 6105, 6109, 6109-B, 6111-C, </w:t>
      </w:r>
      <w:r w:rsidR="0083594E" w:rsidRPr="004068EE">
        <w:rPr>
          <w:rFonts w:ascii="Times New Roman" w:hAnsi="Times New Roman"/>
          <w:sz w:val="22"/>
          <w:szCs w:val="22"/>
        </w:rPr>
        <w:t xml:space="preserve">or </w:t>
      </w:r>
      <w:r w:rsidR="00D01B3A" w:rsidRPr="004068EE">
        <w:rPr>
          <w:rFonts w:ascii="Times New Roman" w:hAnsi="Times New Roman"/>
          <w:sz w:val="22"/>
          <w:szCs w:val="22"/>
        </w:rPr>
        <w:t>6112</w:t>
      </w:r>
      <w:r w:rsidR="0043006B" w:rsidRPr="004068EE">
        <w:rPr>
          <w:rFonts w:ascii="Times New Roman" w:hAnsi="Times New Roman"/>
          <w:sz w:val="22"/>
          <w:szCs w:val="22"/>
        </w:rPr>
        <w:t xml:space="preserve"> or any other </w:t>
      </w:r>
      <w:r w:rsidR="0083594E" w:rsidRPr="004068EE">
        <w:rPr>
          <w:rFonts w:ascii="Times New Roman" w:hAnsi="Times New Roman"/>
          <w:sz w:val="22"/>
          <w:szCs w:val="22"/>
        </w:rPr>
        <w:t xml:space="preserve">statute </w:t>
      </w:r>
      <w:r w:rsidR="0043006B" w:rsidRPr="004068EE">
        <w:rPr>
          <w:rFonts w:ascii="Times New Roman" w:hAnsi="Times New Roman"/>
          <w:sz w:val="22"/>
          <w:szCs w:val="22"/>
        </w:rPr>
        <w:t>where exemption is prohibited.</w:t>
      </w:r>
    </w:p>
    <w:p w14:paraId="68E288FB" w14:textId="77777777" w:rsidR="00687291" w:rsidRPr="004068EE" w:rsidRDefault="00687291" w:rsidP="00BA5CC6">
      <w:pPr>
        <w:widowControl/>
        <w:suppressAutoHyphens/>
        <w:rPr>
          <w:rFonts w:ascii="Times New Roman" w:hAnsi="Times New Roman"/>
          <w:sz w:val="22"/>
          <w:szCs w:val="22"/>
        </w:rPr>
      </w:pPr>
    </w:p>
    <w:p w14:paraId="55ADF068" w14:textId="28AAC1DE" w:rsidR="00E754CC" w:rsidRPr="004068EE" w:rsidRDefault="00BA5CC6" w:rsidP="00AF7FDD">
      <w:pPr>
        <w:widowControl/>
        <w:suppressAutoHyphens/>
        <w:ind w:left="720" w:hanging="720"/>
        <w:rPr>
          <w:rFonts w:ascii="Times New Roman" w:hAnsi="Times New Roman"/>
          <w:sz w:val="22"/>
          <w:szCs w:val="22"/>
        </w:rPr>
      </w:pPr>
      <w:r w:rsidRPr="004068EE">
        <w:rPr>
          <w:rFonts w:ascii="Times New Roman" w:hAnsi="Times New Roman"/>
          <w:sz w:val="22"/>
          <w:szCs w:val="22"/>
        </w:rPr>
        <w:tab/>
      </w:r>
      <w:r w:rsidR="00E754CC" w:rsidRPr="004068EE">
        <w:rPr>
          <w:rFonts w:ascii="Times New Roman" w:hAnsi="Times New Roman"/>
          <w:sz w:val="22"/>
          <w:szCs w:val="22"/>
        </w:rPr>
        <w:t xml:space="preserve">Furthermore, nothing in this </w:t>
      </w:r>
      <w:r w:rsidR="0083594E" w:rsidRPr="004068EE">
        <w:rPr>
          <w:rFonts w:ascii="Times New Roman" w:hAnsi="Times New Roman"/>
          <w:sz w:val="22"/>
          <w:szCs w:val="22"/>
        </w:rPr>
        <w:t xml:space="preserve">Chapter </w:t>
      </w:r>
      <w:r w:rsidR="00E754CC" w:rsidRPr="004068EE">
        <w:rPr>
          <w:rFonts w:ascii="Times New Roman" w:hAnsi="Times New Roman"/>
          <w:sz w:val="22"/>
          <w:szCs w:val="22"/>
        </w:rPr>
        <w:t xml:space="preserve">shall be deemed to authorize an exemption from the statutory right of any 10 persons to bring complaints regarding utility service to the Commission pursuant to 35-A M.R.S. </w:t>
      </w:r>
      <w:r w:rsidR="008E38D7" w:rsidRPr="004068EE">
        <w:rPr>
          <w:rFonts w:ascii="Times New Roman" w:hAnsi="Times New Roman"/>
          <w:sz w:val="22"/>
          <w:szCs w:val="22"/>
        </w:rPr>
        <w:t>§</w:t>
      </w:r>
      <w:r w:rsidR="00E754CC" w:rsidRPr="004068EE">
        <w:rPr>
          <w:rFonts w:ascii="Times New Roman" w:hAnsi="Times New Roman"/>
          <w:sz w:val="22"/>
          <w:szCs w:val="22"/>
        </w:rPr>
        <w:t>1302.</w:t>
      </w:r>
      <w:r w:rsidR="00114449" w:rsidRPr="004068EE">
        <w:rPr>
          <w:rFonts w:ascii="Times New Roman" w:hAnsi="Times New Roman"/>
          <w:sz w:val="22"/>
          <w:szCs w:val="22"/>
        </w:rPr>
        <w:t xml:space="preserve"> </w:t>
      </w:r>
    </w:p>
    <w:p w14:paraId="0CEC9CDA" w14:textId="77777777" w:rsidR="00E754CC" w:rsidRPr="004068EE" w:rsidRDefault="00E754CC" w:rsidP="00BA5CC6">
      <w:pPr>
        <w:widowControl/>
        <w:suppressAutoHyphens/>
        <w:rPr>
          <w:rFonts w:ascii="Times New Roman" w:hAnsi="Times New Roman"/>
          <w:sz w:val="22"/>
          <w:szCs w:val="22"/>
        </w:rPr>
      </w:pPr>
    </w:p>
    <w:p w14:paraId="6C4A0D37" w14:textId="77777777" w:rsidR="00E51F1D" w:rsidRPr="004068EE" w:rsidRDefault="00E51F1D" w:rsidP="00756E31">
      <w:pPr>
        <w:widowControl/>
        <w:suppressAutoHyphens/>
        <w:rPr>
          <w:rFonts w:ascii="Times New Roman" w:hAnsi="Times New Roman"/>
          <w:sz w:val="22"/>
          <w:szCs w:val="22"/>
        </w:rPr>
      </w:pPr>
    </w:p>
    <w:p w14:paraId="6FE9F5C2" w14:textId="77777777" w:rsidR="00BA098D" w:rsidRPr="004068EE" w:rsidRDefault="00E61CE2" w:rsidP="00756E31">
      <w:pPr>
        <w:keepNext/>
        <w:keepLines/>
        <w:widowControl/>
        <w:suppressAutoHyphens/>
        <w:ind w:left="720" w:hanging="720"/>
        <w:rPr>
          <w:rFonts w:ascii="Times New Roman" w:hAnsi="Times New Roman"/>
          <w:b/>
          <w:sz w:val="22"/>
          <w:szCs w:val="22"/>
        </w:rPr>
      </w:pPr>
      <w:r w:rsidRPr="004068EE">
        <w:rPr>
          <w:rFonts w:ascii="Times New Roman" w:hAnsi="Times New Roman"/>
          <w:b/>
          <w:sz w:val="22"/>
          <w:szCs w:val="22"/>
        </w:rPr>
        <w:t>§ 2</w:t>
      </w:r>
      <w:r w:rsidR="00BA098D" w:rsidRPr="004068EE">
        <w:rPr>
          <w:rFonts w:ascii="Times New Roman" w:hAnsi="Times New Roman"/>
          <w:b/>
          <w:sz w:val="22"/>
          <w:szCs w:val="22"/>
        </w:rPr>
        <w:tab/>
      </w:r>
      <w:r w:rsidR="00BA098D" w:rsidRPr="004068EE">
        <w:rPr>
          <w:rFonts w:ascii="Times New Roman" w:hAnsi="Times New Roman"/>
          <w:b/>
          <w:caps/>
          <w:sz w:val="22"/>
          <w:szCs w:val="22"/>
        </w:rPr>
        <w:t>Definitions</w:t>
      </w:r>
    </w:p>
    <w:p w14:paraId="7D85FA33" w14:textId="77777777" w:rsidR="00BA098D" w:rsidRPr="004068EE" w:rsidRDefault="00BA098D" w:rsidP="00756E31">
      <w:pPr>
        <w:keepNext/>
        <w:keepLines/>
        <w:widowControl/>
        <w:suppressAutoHyphens/>
        <w:ind w:left="720" w:hanging="720"/>
        <w:rPr>
          <w:rFonts w:ascii="Times New Roman" w:hAnsi="Times New Roman"/>
          <w:sz w:val="22"/>
          <w:szCs w:val="22"/>
        </w:rPr>
      </w:pPr>
    </w:p>
    <w:p w14:paraId="17DC77EE" w14:textId="39357EA9" w:rsidR="00417149" w:rsidRPr="004068EE" w:rsidRDefault="00E61CE2" w:rsidP="002E74A3">
      <w:pPr>
        <w:keepNext/>
        <w:keepLines/>
        <w:widowControl/>
        <w:suppressAutoHyphens/>
        <w:ind w:left="1440" w:hanging="720"/>
        <w:rPr>
          <w:rFonts w:ascii="Times New Roman" w:hAnsi="Times New Roman"/>
          <w:sz w:val="22"/>
          <w:szCs w:val="22"/>
        </w:rPr>
      </w:pPr>
      <w:r w:rsidRPr="004068EE">
        <w:rPr>
          <w:rFonts w:ascii="Times New Roman" w:hAnsi="Times New Roman"/>
          <w:sz w:val="22"/>
          <w:szCs w:val="22"/>
        </w:rPr>
        <w:t>A.</w:t>
      </w:r>
      <w:r w:rsidR="00BA098D" w:rsidRPr="004068EE">
        <w:rPr>
          <w:rFonts w:ascii="Times New Roman" w:hAnsi="Times New Roman"/>
          <w:sz w:val="22"/>
          <w:szCs w:val="22"/>
        </w:rPr>
        <w:tab/>
        <w:t xml:space="preserve">"Adjudicatory Proceeding" </w:t>
      </w:r>
      <w:r w:rsidR="00C4255B" w:rsidRPr="004068EE">
        <w:rPr>
          <w:rFonts w:ascii="Times New Roman" w:hAnsi="Times New Roman"/>
          <w:sz w:val="22"/>
          <w:szCs w:val="22"/>
        </w:rPr>
        <w:t xml:space="preserve">has the same meaning as </w:t>
      </w:r>
      <w:r w:rsidR="007B3299" w:rsidRPr="004068EE">
        <w:rPr>
          <w:rFonts w:ascii="Times New Roman" w:hAnsi="Times New Roman"/>
          <w:sz w:val="22"/>
          <w:szCs w:val="22"/>
        </w:rPr>
        <w:t xml:space="preserve">in </w:t>
      </w:r>
      <w:r w:rsidR="00C4255B" w:rsidRPr="004068EE">
        <w:rPr>
          <w:rFonts w:ascii="Times New Roman" w:hAnsi="Times New Roman"/>
          <w:sz w:val="22"/>
          <w:szCs w:val="22"/>
        </w:rPr>
        <w:t>Chapter 110</w:t>
      </w:r>
      <w:r w:rsidR="007B3299" w:rsidRPr="004068EE">
        <w:rPr>
          <w:rFonts w:ascii="Times New Roman" w:hAnsi="Times New Roman"/>
          <w:sz w:val="22"/>
          <w:szCs w:val="22"/>
        </w:rPr>
        <w:t xml:space="preserve"> </w:t>
      </w:r>
      <w:r w:rsidR="00BA5CC6" w:rsidRPr="004068EE">
        <w:rPr>
          <w:rFonts w:ascii="Times New Roman" w:hAnsi="Times New Roman"/>
          <w:sz w:val="22"/>
          <w:szCs w:val="22"/>
        </w:rPr>
        <w:t>of the Commission’s Rules</w:t>
      </w:r>
      <w:r w:rsidR="00C4255B" w:rsidRPr="004068EE">
        <w:rPr>
          <w:rFonts w:ascii="Times New Roman" w:hAnsi="Times New Roman"/>
          <w:sz w:val="22"/>
          <w:szCs w:val="22"/>
        </w:rPr>
        <w:t>.</w:t>
      </w:r>
    </w:p>
    <w:p w14:paraId="7FF1B39C" w14:textId="77777777" w:rsidR="00BA098D" w:rsidRPr="004068EE" w:rsidRDefault="00BA098D" w:rsidP="002E74A3">
      <w:pPr>
        <w:widowControl/>
        <w:suppressAutoHyphens/>
        <w:ind w:left="1440" w:hanging="720"/>
        <w:rPr>
          <w:rFonts w:ascii="Times New Roman" w:hAnsi="Times New Roman"/>
          <w:sz w:val="22"/>
          <w:szCs w:val="22"/>
        </w:rPr>
      </w:pPr>
    </w:p>
    <w:p w14:paraId="768452D1" w14:textId="0E3B0E9D" w:rsidR="00BA098D" w:rsidRPr="004068EE" w:rsidRDefault="00906DD7" w:rsidP="002E74A3">
      <w:pPr>
        <w:widowControl/>
        <w:suppressAutoHyphens/>
        <w:ind w:left="1440" w:hanging="720"/>
        <w:rPr>
          <w:rFonts w:ascii="Times New Roman" w:hAnsi="Times New Roman"/>
          <w:sz w:val="22"/>
          <w:szCs w:val="22"/>
        </w:rPr>
      </w:pPr>
      <w:r w:rsidRPr="004068EE">
        <w:rPr>
          <w:rFonts w:ascii="Times New Roman" w:hAnsi="Times New Roman"/>
          <w:sz w:val="22"/>
          <w:szCs w:val="22"/>
        </w:rPr>
        <w:t>B</w:t>
      </w:r>
      <w:r w:rsidR="00E61CE2" w:rsidRPr="004068EE">
        <w:rPr>
          <w:rFonts w:ascii="Times New Roman" w:hAnsi="Times New Roman"/>
          <w:sz w:val="22"/>
          <w:szCs w:val="22"/>
        </w:rPr>
        <w:t>.</w:t>
      </w:r>
      <w:r w:rsidR="00BA098D" w:rsidRPr="004068EE">
        <w:rPr>
          <w:rFonts w:ascii="Times New Roman" w:hAnsi="Times New Roman"/>
          <w:sz w:val="22"/>
          <w:szCs w:val="22"/>
        </w:rPr>
        <w:tab/>
        <w:t>"C</w:t>
      </w:r>
      <w:r w:rsidR="00BD56C1" w:rsidRPr="004068EE">
        <w:rPr>
          <w:rFonts w:ascii="Times New Roman" w:hAnsi="Times New Roman"/>
          <w:sz w:val="22"/>
          <w:szCs w:val="22"/>
        </w:rPr>
        <w:t xml:space="preserve">onsumer Owned Water Utility” </w:t>
      </w:r>
      <w:r w:rsidR="00C217BC" w:rsidRPr="004068EE">
        <w:rPr>
          <w:rFonts w:ascii="Times New Roman" w:hAnsi="Times New Roman"/>
          <w:sz w:val="22"/>
          <w:szCs w:val="22"/>
        </w:rPr>
        <w:t xml:space="preserve">or “utility” </w:t>
      </w:r>
      <w:r w:rsidR="00BD56C1" w:rsidRPr="004068EE">
        <w:rPr>
          <w:rFonts w:ascii="Times New Roman" w:hAnsi="Times New Roman"/>
          <w:sz w:val="22"/>
          <w:szCs w:val="22"/>
        </w:rPr>
        <w:t xml:space="preserve">has the same meaning as </w:t>
      </w:r>
      <w:r w:rsidR="00C217BC" w:rsidRPr="004068EE">
        <w:rPr>
          <w:rFonts w:ascii="Times New Roman" w:hAnsi="Times New Roman"/>
          <w:sz w:val="22"/>
          <w:szCs w:val="22"/>
        </w:rPr>
        <w:t>“consumer-owned water utility</w:t>
      </w:r>
      <w:r w:rsidR="00116458">
        <w:rPr>
          <w:rFonts w:ascii="Times New Roman" w:hAnsi="Times New Roman"/>
          <w:sz w:val="22"/>
          <w:szCs w:val="22"/>
        </w:rPr>
        <w:t>”</w:t>
      </w:r>
      <w:r w:rsidR="00C217BC" w:rsidRPr="004068EE">
        <w:rPr>
          <w:rFonts w:ascii="Times New Roman" w:hAnsi="Times New Roman"/>
          <w:sz w:val="22"/>
          <w:szCs w:val="22"/>
        </w:rPr>
        <w:t xml:space="preserve"> in </w:t>
      </w:r>
      <w:r w:rsidR="00BD56C1" w:rsidRPr="004068EE">
        <w:rPr>
          <w:rFonts w:ascii="Times New Roman" w:hAnsi="Times New Roman"/>
          <w:sz w:val="22"/>
          <w:szCs w:val="22"/>
        </w:rPr>
        <w:t xml:space="preserve">35-A M.R.S. </w:t>
      </w:r>
      <w:r w:rsidR="008E38D7" w:rsidRPr="004068EE">
        <w:rPr>
          <w:rFonts w:ascii="Times New Roman" w:hAnsi="Times New Roman"/>
          <w:sz w:val="22"/>
          <w:szCs w:val="22"/>
        </w:rPr>
        <w:t>§</w:t>
      </w:r>
      <w:r w:rsidR="00BD56C1" w:rsidRPr="004068EE">
        <w:rPr>
          <w:rFonts w:ascii="Times New Roman" w:hAnsi="Times New Roman"/>
          <w:sz w:val="22"/>
          <w:szCs w:val="22"/>
        </w:rPr>
        <w:t>6101(1-A).</w:t>
      </w:r>
    </w:p>
    <w:p w14:paraId="4D6A1289" w14:textId="77777777" w:rsidR="00906DD7" w:rsidRPr="004068EE" w:rsidRDefault="00906DD7" w:rsidP="002E74A3">
      <w:pPr>
        <w:widowControl/>
        <w:suppressAutoHyphens/>
        <w:ind w:left="1440" w:hanging="720"/>
        <w:rPr>
          <w:rFonts w:ascii="Times New Roman" w:hAnsi="Times New Roman"/>
          <w:sz w:val="22"/>
          <w:szCs w:val="22"/>
        </w:rPr>
      </w:pPr>
    </w:p>
    <w:p w14:paraId="79560049" w14:textId="5448E213" w:rsidR="00BA098D" w:rsidRPr="004068EE" w:rsidRDefault="00906DD7" w:rsidP="008F71A9">
      <w:pPr>
        <w:widowControl/>
        <w:suppressAutoHyphens/>
        <w:ind w:left="1440" w:hanging="720"/>
        <w:rPr>
          <w:rFonts w:ascii="Times New Roman" w:hAnsi="Times New Roman"/>
          <w:sz w:val="22"/>
          <w:szCs w:val="22"/>
        </w:rPr>
      </w:pPr>
      <w:r w:rsidRPr="004068EE">
        <w:rPr>
          <w:rFonts w:ascii="Times New Roman" w:hAnsi="Times New Roman"/>
          <w:sz w:val="22"/>
          <w:szCs w:val="22"/>
        </w:rPr>
        <w:t>C</w:t>
      </w:r>
      <w:r w:rsidR="00E61CE2" w:rsidRPr="004068EE">
        <w:rPr>
          <w:rFonts w:ascii="Times New Roman" w:hAnsi="Times New Roman"/>
          <w:sz w:val="22"/>
          <w:szCs w:val="22"/>
        </w:rPr>
        <w:t>.</w:t>
      </w:r>
      <w:r w:rsidR="00453247" w:rsidRPr="004068EE">
        <w:rPr>
          <w:rFonts w:ascii="Times New Roman" w:hAnsi="Times New Roman"/>
          <w:sz w:val="22"/>
          <w:szCs w:val="22"/>
        </w:rPr>
        <w:tab/>
      </w:r>
      <w:r w:rsidR="000A2EE2" w:rsidRPr="004068EE">
        <w:rPr>
          <w:rFonts w:ascii="Times New Roman" w:hAnsi="Times New Roman"/>
          <w:sz w:val="22"/>
          <w:szCs w:val="22"/>
        </w:rPr>
        <w:t xml:space="preserve">"Lead Petitioner" means, with respect to petitions for review of exemptions under </w:t>
      </w:r>
      <w:r w:rsidR="008F71A9" w:rsidRPr="004068EE">
        <w:rPr>
          <w:rFonts w:ascii="Times New Roman" w:hAnsi="Times New Roman"/>
          <w:sz w:val="22"/>
          <w:szCs w:val="22"/>
        </w:rPr>
        <w:t>S</w:t>
      </w:r>
      <w:r w:rsidR="000A2EE2" w:rsidRPr="004068EE">
        <w:rPr>
          <w:rFonts w:ascii="Times New Roman" w:hAnsi="Times New Roman"/>
          <w:sz w:val="22"/>
          <w:szCs w:val="22"/>
        </w:rPr>
        <w:t xml:space="preserve">ection 4(A)(1) </w:t>
      </w:r>
      <w:r w:rsidR="008F71A9" w:rsidRPr="004068EE">
        <w:rPr>
          <w:rFonts w:ascii="Times New Roman" w:hAnsi="Times New Roman"/>
          <w:sz w:val="22"/>
          <w:szCs w:val="22"/>
        </w:rPr>
        <w:t>of this Chapter</w:t>
      </w:r>
      <w:r w:rsidR="000A2EE2" w:rsidRPr="004068EE">
        <w:rPr>
          <w:rFonts w:ascii="Times New Roman" w:hAnsi="Times New Roman"/>
          <w:sz w:val="22"/>
          <w:szCs w:val="22"/>
        </w:rPr>
        <w:t xml:space="preserve">, the petitioner designated as the agent for all other petitioners. In absence of such a designation by the petitioners, the person who submitted the petition or the first petitioner’s name appearing on the petition will be considered the lead petitioner. The Administrative Director shall identify the lead petitioner upon receipt of the petition. </w:t>
      </w:r>
    </w:p>
    <w:p w14:paraId="7355EDA6" w14:textId="77777777" w:rsidR="0076228B" w:rsidRPr="004068EE" w:rsidRDefault="0076228B" w:rsidP="002E74A3">
      <w:pPr>
        <w:widowControl/>
        <w:suppressAutoHyphens/>
        <w:ind w:left="1440" w:hanging="720"/>
        <w:rPr>
          <w:rFonts w:ascii="Times New Roman" w:hAnsi="Times New Roman"/>
          <w:sz w:val="22"/>
          <w:szCs w:val="22"/>
        </w:rPr>
      </w:pPr>
    </w:p>
    <w:p w14:paraId="428AE055" w14:textId="0B15D417" w:rsidR="00417149" w:rsidRPr="004068EE" w:rsidRDefault="00906DD7" w:rsidP="002E74A3">
      <w:pPr>
        <w:widowControl/>
        <w:suppressAutoHyphens/>
        <w:ind w:left="1440" w:hanging="720"/>
        <w:rPr>
          <w:rFonts w:ascii="Times New Roman" w:hAnsi="Times New Roman"/>
          <w:sz w:val="22"/>
          <w:szCs w:val="22"/>
        </w:rPr>
      </w:pPr>
      <w:r w:rsidRPr="004068EE">
        <w:rPr>
          <w:rFonts w:ascii="Times New Roman" w:hAnsi="Times New Roman"/>
          <w:sz w:val="22"/>
          <w:szCs w:val="22"/>
        </w:rPr>
        <w:t>D</w:t>
      </w:r>
      <w:r w:rsidR="00E61CE2" w:rsidRPr="004068EE">
        <w:rPr>
          <w:rFonts w:ascii="Times New Roman" w:hAnsi="Times New Roman"/>
          <w:sz w:val="22"/>
          <w:szCs w:val="22"/>
        </w:rPr>
        <w:t>.</w:t>
      </w:r>
      <w:r w:rsidR="00BA098D" w:rsidRPr="004068EE">
        <w:rPr>
          <w:rFonts w:ascii="Times New Roman" w:hAnsi="Times New Roman"/>
          <w:sz w:val="22"/>
          <w:szCs w:val="22"/>
        </w:rPr>
        <w:tab/>
        <w:t xml:space="preserve">"Petitioner" </w:t>
      </w:r>
      <w:r w:rsidR="00E35635" w:rsidRPr="004068EE">
        <w:rPr>
          <w:rFonts w:ascii="Times New Roman" w:hAnsi="Times New Roman"/>
          <w:sz w:val="22"/>
          <w:szCs w:val="22"/>
        </w:rPr>
        <w:t xml:space="preserve">means any </w:t>
      </w:r>
      <w:r w:rsidR="00D01B3A" w:rsidRPr="004068EE">
        <w:rPr>
          <w:rFonts w:ascii="Times New Roman" w:hAnsi="Times New Roman"/>
          <w:sz w:val="22"/>
          <w:szCs w:val="22"/>
        </w:rPr>
        <w:t xml:space="preserve">customer </w:t>
      </w:r>
      <w:r w:rsidR="00E35635" w:rsidRPr="004068EE">
        <w:rPr>
          <w:rFonts w:ascii="Times New Roman" w:hAnsi="Times New Roman"/>
          <w:sz w:val="22"/>
          <w:szCs w:val="22"/>
        </w:rPr>
        <w:t xml:space="preserve">who receives water service from a consumer-owned water utility and who seeks review of an exemption granted to that consumer-owned water utility by the Commission pursuant to Section 4(A)(1) of this </w:t>
      </w:r>
      <w:r w:rsidR="008F71A9" w:rsidRPr="004068EE">
        <w:rPr>
          <w:rFonts w:ascii="Times New Roman" w:hAnsi="Times New Roman"/>
          <w:sz w:val="22"/>
          <w:szCs w:val="22"/>
        </w:rPr>
        <w:t>Chapter</w:t>
      </w:r>
      <w:r w:rsidR="00BD56C1" w:rsidRPr="004068EE">
        <w:rPr>
          <w:rFonts w:ascii="Times New Roman" w:hAnsi="Times New Roman"/>
          <w:sz w:val="22"/>
          <w:szCs w:val="22"/>
        </w:rPr>
        <w:t>.</w:t>
      </w:r>
    </w:p>
    <w:p w14:paraId="760AB75F" w14:textId="41FB1BD2" w:rsidR="00721014" w:rsidRDefault="00721014" w:rsidP="00756E31">
      <w:pPr>
        <w:widowControl/>
        <w:suppressAutoHyphens/>
        <w:ind w:left="1440" w:hanging="1440"/>
        <w:rPr>
          <w:rFonts w:ascii="Times New Roman" w:hAnsi="Times New Roman"/>
          <w:sz w:val="22"/>
          <w:szCs w:val="22"/>
        </w:rPr>
      </w:pPr>
    </w:p>
    <w:p w14:paraId="51EAF75B" w14:textId="77777777" w:rsidR="00B921B9" w:rsidRPr="004068EE" w:rsidRDefault="00B921B9" w:rsidP="00756E31">
      <w:pPr>
        <w:widowControl/>
        <w:suppressAutoHyphens/>
        <w:ind w:left="1440" w:hanging="1440"/>
        <w:rPr>
          <w:rFonts w:ascii="Times New Roman" w:hAnsi="Times New Roman"/>
          <w:sz w:val="22"/>
          <w:szCs w:val="22"/>
        </w:rPr>
      </w:pPr>
    </w:p>
    <w:p w14:paraId="0E14D0E7" w14:textId="77777777" w:rsidR="00BA098D" w:rsidRPr="004068EE" w:rsidRDefault="00E61CE2" w:rsidP="00756E31">
      <w:pPr>
        <w:widowControl/>
        <w:suppressAutoHyphens/>
        <w:ind w:left="720" w:hanging="720"/>
        <w:rPr>
          <w:rFonts w:ascii="Times New Roman" w:hAnsi="Times New Roman"/>
          <w:sz w:val="22"/>
          <w:szCs w:val="22"/>
        </w:rPr>
      </w:pPr>
      <w:r w:rsidRPr="004068EE">
        <w:rPr>
          <w:rFonts w:ascii="Times New Roman" w:hAnsi="Times New Roman"/>
          <w:b/>
          <w:sz w:val="22"/>
          <w:szCs w:val="22"/>
        </w:rPr>
        <w:t>§ 3</w:t>
      </w:r>
      <w:r w:rsidR="00931E50" w:rsidRPr="004068EE">
        <w:rPr>
          <w:rFonts w:ascii="Times New Roman" w:hAnsi="Times New Roman"/>
          <w:b/>
          <w:sz w:val="22"/>
          <w:szCs w:val="22"/>
        </w:rPr>
        <w:tab/>
      </w:r>
      <w:r w:rsidR="004409C0" w:rsidRPr="004068EE">
        <w:rPr>
          <w:rFonts w:ascii="Times New Roman" w:hAnsi="Times New Roman"/>
          <w:b/>
          <w:sz w:val="22"/>
          <w:szCs w:val="22"/>
        </w:rPr>
        <w:t xml:space="preserve">PETITION FOR EXEMPTION FROM </w:t>
      </w:r>
      <w:r w:rsidR="00942C37" w:rsidRPr="004068EE">
        <w:rPr>
          <w:rFonts w:ascii="Times New Roman" w:hAnsi="Times New Roman"/>
          <w:b/>
          <w:sz w:val="22"/>
          <w:szCs w:val="22"/>
        </w:rPr>
        <w:t xml:space="preserve">REGULATORY </w:t>
      </w:r>
      <w:r w:rsidR="004409C0" w:rsidRPr="004068EE">
        <w:rPr>
          <w:rFonts w:ascii="Times New Roman" w:hAnsi="Times New Roman"/>
          <w:b/>
          <w:sz w:val="22"/>
          <w:szCs w:val="22"/>
        </w:rPr>
        <w:t>REQUIREME</w:t>
      </w:r>
      <w:r w:rsidR="00517AC1" w:rsidRPr="004068EE">
        <w:rPr>
          <w:rFonts w:ascii="Times New Roman" w:hAnsi="Times New Roman"/>
          <w:b/>
          <w:sz w:val="22"/>
          <w:szCs w:val="22"/>
        </w:rPr>
        <w:t>N</w:t>
      </w:r>
      <w:r w:rsidR="004409C0" w:rsidRPr="004068EE">
        <w:rPr>
          <w:rFonts w:ascii="Times New Roman" w:hAnsi="Times New Roman"/>
          <w:b/>
          <w:sz w:val="22"/>
          <w:szCs w:val="22"/>
        </w:rPr>
        <w:t>TS</w:t>
      </w:r>
    </w:p>
    <w:p w14:paraId="4F9EF40D" w14:textId="77777777" w:rsidR="00BA098D" w:rsidRPr="004068EE" w:rsidRDefault="00BA098D" w:rsidP="00721014">
      <w:pPr>
        <w:rPr>
          <w:rFonts w:ascii="Times New Roman" w:hAnsi="Times New Roman"/>
          <w:sz w:val="22"/>
          <w:szCs w:val="22"/>
        </w:rPr>
      </w:pPr>
    </w:p>
    <w:p w14:paraId="2005712A" w14:textId="6E03209E" w:rsidR="00BA098D" w:rsidRPr="004068EE" w:rsidRDefault="00E61CE2" w:rsidP="00570501">
      <w:pPr>
        <w:widowControl/>
        <w:suppressAutoHyphens/>
        <w:ind w:left="720"/>
        <w:rPr>
          <w:rFonts w:ascii="Times New Roman" w:hAnsi="Times New Roman"/>
          <w:sz w:val="22"/>
          <w:szCs w:val="22"/>
        </w:rPr>
      </w:pPr>
      <w:r w:rsidRPr="004068EE">
        <w:rPr>
          <w:rFonts w:ascii="Times New Roman" w:hAnsi="Times New Roman"/>
          <w:sz w:val="22"/>
          <w:szCs w:val="22"/>
        </w:rPr>
        <w:t>A.</w:t>
      </w:r>
      <w:r w:rsidR="00BA098D" w:rsidRPr="004068EE">
        <w:rPr>
          <w:rFonts w:ascii="Times New Roman" w:hAnsi="Times New Roman"/>
          <w:sz w:val="22"/>
          <w:szCs w:val="22"/>
        </w:rPr>
        <w:tab/>
      </w:r>
      <w:r w:rsidR="004409C0" w:rsidRPr="004068EE">
        <w:rPr>
          <w:rFonts w:ascii="Times New Roman" w:hAnsi="Times New Roman"/>
          <w:b/>
          <w:sz w:val="22"/>
          <w:szCs w:val="22"/>
        </w:rPr>
        <w:t>Notice to Customers</w:t>
      </w:r>
      <w:r w:rsidR="001A72AD" w:rsidRPr="004068EE">
        <w:rPr>
          <w:rFonts w:ascii="Times New Roman" w:hAnsi="Times New Roman"/>
          <w:b/>
          <w:sz w:val="22"/>
          <w:szCs w:val="22"/>
        </w:rPr>
        <w:t xml:space="preserve"> and Public Meeting</w:t>
      </w:r>
    </w:p>
    <w:p w14:paraId="0BD314F4" w14:textId="77777777" w:rsidR="00BA098D" w:rsidRPr="004068EE" w:rsidRDefault="00BA098D" w:rsidP="00570501">
      <w:pPr>
        <w:widowControl/>
        <w:suppressAutoHyphens/>
        <w:rPr>
          <w:rFonts w:ascii="Times New Roman" w:hAnsi="Times New Roman"/>
          <w:sz w:val="22"/>
          <w:szCs w:val="22"/>
        </w:rPr>
      </w:pPr>
    </w:p>
    <w:p w14:paraId="3BD78D10" w14:textId="015F5F30" w:rsidR="00BA098D" w:rsidRPr="004068EE" w:rsidRDefault="00BA098D" w:rsidP="00570501">
      <w:pPr>
        <w:widowControl/>
        <w:suppressAutoHyphens/>
        <w:ind w:left="1440" w:hanging="720"/>
        <w:rPr>
          <w:rFonts w:ascii="Times New Roman" w:hAnsi="Times New Roman"/>
          <w:sz w:val="22"/>
          <w:szCs w:val="22"/>
        </w:rPr>
      </w:pPr>
      <w:r w:rsidRPr="004068EE">
        <w:rPr>
          <w:rFonts w:ascii="Times New Roman" w:hAnsi="Times New Roman"/>
          <w:sz w:val="22"/>
          <w:szCs w:val="22"/>
        </w:rPr>
        <w:tab/>
      </w:r>
      <w:r w:rsidR="00B5638C" w:rsidRPr="004068EE">
        <w:rPr>
          <w:rFonts w:ascii="Times New Roman" w:hAnsi="Times New Roman"/>
          <w:sz w:val="22"/>
          <w:szCs w:val="22"/>
        </w:rPr>
        <w:t>Prior to submitting to the Commission a petition for exemption</w:t>
      </w:r>
      <w:r w:rsidR="001A72AD" w:rsidRPr="004068EE">
        <w:rPr>
          <w:rFonts w:ascii="Times New Roman" w:hAnsi="Times New Roman"/>
          <w:sz w:val="22"/>
          <w:szCs w:val="22"/>
        </w:rPr>
        <w:t xml:space="preserve"> from regulatory requirements pursuant to this Chapter</w:t>
      </w:r>
      <w:r w:rsidR="00B5638C" w:rsidRPr="004068EE">
        <w:rPr>
          <w:rFonts w:ascii="Times New Roman" w:hAnsi="Times New Roman"/>
          <w:sz w:val="22"/>
          <w:szCs w:val="22"/>
        </w:rPr>
        <w:t>, a consumer owned water utility must provide notice to all of its customers</w:t>
      </w:r>
      <w:r w:rsidR="001A72AD" w:rsidRPr="004068EE">
        <w:rPr>
          <w:rFonts w:ascii="Times New Roman" w:hAnsi="Times New Roman"/>
          <w:sz w:val="22"/>
          <w:szCs w:val="22"/>
        </w:rPr>
        <w:t xml:space="preserve"> </w:t>
      </w:r>
      <w:r w:rsidR="00152AAF" w:rsidRPr="004068EE">
        <w:rPr>
          <w:rFonts w:ascii="Times New Roman" w:hAnsi="Times New Roman"/>
          <w:sz w:val="22"/>
          <w:szCs w:val="22"/>
        </w:rPr>
        <w:t xml:space="preserve">of the utility’s </w:t>
      </w:r>
      <w:r w:rsidR="001A72AD" w:rsidRPr="004068EE">
        <w:rPr>
          <w:rFonts w:ascii="Times New Roman" w:hAnsi="Times New Roman"/>
          <w:sz w:val="22"/>
          <w:szCs w:val="22"/>
        </w:rPr>
        <w:t xml:space="preserve">intent to file </w:t>
      </w:r>
      <w:r w:rsidR="0007563B">
        <w:rPr>
          <w:rFonts w:ascii="Times New Roman" w:hAnsi="Times New Roman"/>
          <w:sz w:val="22"/>
          <w:szCs w:val="22"/>
        </w:rPr>
        <w:t xml:space="preserve">such a </w:t>
      </w:r>
      <w:r w:rsidR="001A72AD" w:rsidRPr="004068EE">
        <w:rPr>
          <w:rFonts w:ascii="Times New Roman" w:hAnsi="Times New Roman"/>
          <w:sz w:val="22"/>
          <w:szCs w:val="22"/>
        </w:rPr>
        <w:t>petition</w:t>
      </w:r>
      <w:r w:rsidR="00B5638C" w:rsidRPr="004068EE">
        <w:rPr>
          <w:rFonts w:ascii="Times New Roman" w:hAnsi="Times New Roman"/>
          <w:sz w:val="22"/>
          <w:szCs w:val="22"/>
        </w:rPr>
        <w:t xml:space="preserve"> and </w:t>
      </w:r>
      <w:r w:rsidR="001A72AD" w:rsidRPr="004068EE">
        <w:rPr>
          <w:rFonts w:ascii="Times New Roman" w:hAnsi="Times New Roman"/>
          <w:sz w:val="22"/>
          <w:szCs w:val="22"/>
        </w:rPr>
        <w:t xml:space="preserve">must hold a </w:t>
      </w:r>
      <w:r w:rsidR="00152AAF" w:rsidRPr="004068EE">
        <w:rPr>
          <w:rFonts w:ascii="Times New Roman" w:hAnsi="Times New Roman"/>
          <w:sz w:val="22"/>
          <w:szCs w:val="22"/>
        </w:rPr>
        <w:t xml:space="preserve">public </w:t>
      </w:r>
      <w:r w:rsidR="001A72AD" w:rsidRPr="004068EE">
        <w:rPr>
          <w:rFonts w:ascii="Times New Roman" w:hAnsi="Times New Roman"/>
          <w:sz w:val="22"/>
          <w:szCs w:val="22"/>
        </w:rPr>
        <w:t>meeting, the purpose of which is to inform the</w:t>
      </w:r>
      <w:r w:rsidR="004068EE" w:rsidRPr="004068EE">
        <w:rPr>
          <w:rFonts w:ascii="Times New Roman" w:hAnsi="Times New Roman"/>
          <w:sz w:val="22"/>
          <w:szCs w:val="22"/>
        </w:rPr>
        <w:t xml:space="preserve"> utility’s</w:t>
      </w:r>
      <w:r w:rsidR="001A72AD" w:rsidRPr="004068EE">
        <w:rPr>
          <w:rFonts w:ascii="Times New Roman" w:hAnsi="Times New Roman"/>
          <w:sz w:val="22"/>
          <w:szCs w:val="22"/>
        </w:rPr>
        <w:t xml:space="preserve"> customers of the proposed exemption, the date upon which the utility will file its request with the Commission, and how customers of the utility may submit comments regarding the request to the Commission’s case management system after the petition is submitted. </w:t>
      </w:r>
      <w:r w:rsidR="004068EE" w:rsidRPr="004068EE">
        <w:rPr>
          <w:rFonts w:ascii="Times New Roman" w:hAnsi="Times New Roman"/>
          <w:sz w:val="22"/>
          <w:szCs w:val="22"/>
        </w:rPr>
        <w:t xml:space="preserve"> </w:t>
      </w:r>
      <w:r w:rsidR="001A72AD" w:rsidRPr="004068EE">
        <w:rPr>
          <w:rFonts w:ascii="Times New Roman" w:hAnsi="Times New Roman"/>
          <w:sz w:val="22"/>
          <w:szCs w:val="22"/>
        </w:rPr>
        <w:t xml:space="preserve">The meeting </w:t>
      </w:r>
      <w:r w:rsidR="00152AAF" w:rsidRPr="004068EE">
        <w:rPr>
          <w:rFonts w:ascii="Times New Roman" w:hAnsi="Times New Roman"/>
          <w:sz w:val="22"/>
          <w:szCs w:val="22"/>
        </w:rPr>
        <w:t>must</w:t>
      </w:r>
      <w:r w:rsidR="001A72AD" w:rsidRPr="004068EE">
        <w:rPr>
          <w:rFonts w:ascii="Times New Roman" w:hAnsi="Times New Roman"/>
          <w:sz w:val="22"/>
          <w:szCs w:val="22"/>
        </w:rPr>
        <w:t xml:space="preserve"> occur at least 30 days prior to the filing of the request with the Commission. </w:t>
      </w:r>
      <w:r w:rsidR="00152AAF" w:rsidRPr="004068EE">
        <w:rPr>
          <w:rFonts w:ascii="Times New Roman" w:hAnsi="Times New Roman"/>
          <w:sz w:val="22"/>
          <w:szCs w:val="22"/>
        </w:rPr>
        <w:t xml:space="preserve"> The notice of intent to file a petition and the notice of the public meeting may be contained in the same notice.</w:t>
      </w:r>
      <w:r w:rsidR="00A74A42">
        <w:rPr>
          <w:rFonts w:ascii="Times New Roman" w:hAnsi="Times New Roman"/>
          <w:sz w:val="22"/>
          <w:szCs w:val="22"/>
        </w:rPr>
        <w:t xml:space="preserve"> </w:t>
      </w:r>
      <w:r w:rsidR="00A74A42" w:rsidRPr="00A74A42">
        <w:rPr>
          <w:rFonts w:ascii="Times New Roman" w:hAnsi="Times New Roman"/>
          <w:sz w:val="22"/>
          <w:szCs w:val="22"/>
        </w:rPr>
        <w:t>The notice (or notices, if provided separately) must include a plain-</w:t>
      </w:r>
      <w:r w:rsidR="00A74A42" w:rsidRPr="00A74A42">
        <w:rPr>
          <w:rFonts w:ascii="Times New Roman" w:hAnsi="Times New Roman"/>
          <w:sz w:val="22"/>
          <w:szCs w:val="22"/>
        </w:rPr>
        <w:lastRenderedPageBreak/>
        <w:t xml:space="preserve">language description of the proposed exemption including the justification and the potential consequences </w:t>
      </w:r>
      <w:r w:rsidR="00A74A42">
        <w:rPr>
          <w:rFonts w:ascii="Times New Roman" w:hAnsi="Times New Roman"/>
          <w:sz w:val="22"/>
          <w:szCs w:val="22"/>
        </w:rPr>
        <w:t>of the exemption</w:t>
      </w:r>
      <w:r w:rsidR="00A74A42" w:rsidRPr="00A74A42">
        <w:rPr>
          <w:rFonts w:ascii="Times New Roman" w:hAnsi="Times New Roman"/>
          <w:sz w:val="22"/>
          <w:szCs w:val="22"/>
        </w:rPr>
        <w:t>.</w:t>
      </w:r>
    </w:p>
    <w:p w14:paraId="574B7009" w14:textId="77777777" w:rsidR="00BA098D" w:rsidRPr="004068EE" w:rsidRDefault="00BA098D" w:rsidP="00756E31">
      <w:pPr>
        <w:widowControl/>
        <w:suppressAutoHyphens/>
        <w:ind w:left="1440" w:hanging="720"/>
        <w:rPr>
          <w:rFonts w:ascii="Times New Roman" w:hAnsi="Times New Roman"/>
          <w:sz w:val="22"/>
          <w:szCs w:val="22"/>
        </w:rPr>
      </w:pPr>
    </w:p>
    <w:p w14:paraId="7D673D5E" w14:textId="14A377B2" w:rsidR="00E61CE2" w:rsidRPr="00FA27AE" w:rsidRDefault="005300C9" w:rsidP="00756E31">
      <w:pPr>
        <w:widowControl/>
        <w:suppressAutoHyphens/>
        <w:rPr>
          <w:rFonts w:ascii="Times New Roman" w:hAnsi="Times New Roman"/>
          <w:b/>
          <w:sz w:val="22"/>
          <w:szCs w:val="22"/>
        </w:rPr>
      </w:pPr>
      <w:r w:rsidRPr="004068EE">
        <w:rPr>
          <w:rFonts w:ascii="Times New Roman" w:hAnsi="Times New Roman"/>
          <w:sz w:val="22"/>
          <w:szCs w:val="22"/>
        </w:rPr>
        <w:tab/>
      </w:r>
      <w:r w:rsidRPr="004068EE">
        <w:rPr>
          <w:rFonts w:ascii="Times New Roman" w:hAnsi="Times New Roman"/>
          <w:sz w:val="22"/>
          <w:szCs w:val="22"/>
        </w:rPr>
        <w:tab/>
      </w:r>
      <w:r w:rsidR="00B6094C" w:rsidRPr="004068EE">
        <w:rPr>
          <w:rFonts w:ascii="Times New Roman" w:hAnsi="Times New Roman"/>
          <w:sz w:val="22"/>
          <w:szCs w:val="22"/>
        </w:rPr>
        <w:t>1</w:t>
      </w:r>
      <w:r w:rsidRPr="004068EE">
        <w:rPr>
          <w:rFonts w:ascii="Times New Roman" w:hAnsi="Times New Roman"/>
          <w:sz w:val="22"/>
          <w:szCs w:val="22"/>
        </w:rPr>
        <w:t>.</w:t>
      </w:r>
      <w:r w:rsidRPr="004068EE">
        <w:rPr>
          <w:rFonts w:ascii="Times New Roman" w:hAnsi="Times New Roman"/>
          <w:sz w:val="22"/>
          <w:szCs w:val="22"/>
        </w:rPr>
        <w:tab/>
      </w:r>
      <w:r w:rsidRPr="004068EE">
        <w:rPr>
          <w:rFonts w:ascii="Times New Roman" w:hAnsi="Times New Roman"/>
          <w:b/>
          <w:sz w:val="22"/>
          <w:szCs w:val="22"/>
        </w:rPr>
        <w:t xml:space="preserve">Notice </w:t>
      </w:r>
      <w:r w:rsidR="00FA27AE">
        <w:rPr>
          <w:rFonts w:ascii="Times New Roman" w:hAnsi="Times New Roman"/>
          <w:b/>
          <w:sz w:val="22"/>
          <w:szCs w:val="22"/>
        </w:rPr>
        <w:t>Requirements</w:t>
      </w:r>
    </w:p>
    <w:p w14:paraId="177184F1" w14:textId="7905DE93" w:rsidR="00821BB5" w:rsidRPr="004068EE" w:rsidRDefault="00821BB5" w:rsidP="00756E31">
      <w:pPr>
        <w:widowControl/>
        <w:suppressAutoHyphens/>
        <w:rPr>
          <w:rFonts w:ascii="Times New Roman" w:hAnsi="Times New Roman"/>
          <w:b/>
          <w:sz w:val="22"/>
          <w:szCs w:val="22"/>
        </w:rPr>
      </w:pPr>
    </w:p>
    <w:p w14:paraId="27D1EE1A" w14:textId="3F56CC97" w:rsidR="005300C9" w:rsidRPr="004068EE" w:rsidRDefault="00821BB5" w:rsidP="00A43429">
      <w:pPr>
        <w:widowControl/>
        <w:suppressAutoHyphens/>
        <w:ind w:left="2160"/>
        <w:rPr>
          <w:rFonts w:ascii="Times New Roman" w:hAnsi="Times New Roman"/>
          <w:sz w:val="22"/>
          <w:szCs w:val="22"/>
        </w:rPr>
      </w:pPr>
      <w:r w:rsidRPr="004068EE">
        <w:rPr>
          <w:rFonts w:ascii="Times New Roman" w:hAnsi="Times New Roman"/>
          <w:bCs/>
          <w:sz w:val="22"/>
          <w:szCs w:val="22"/>
        </w:rPr>
        <w:t xml:space="preserve">The </w:t>
      </w:r>
      <w:r w:rsidR="00CF3D30" w:rsidRPr="004068EE">
        <w:rPr>
          <w:rFonts w:ascii="Times New Roman" w:hAnsi="Times New Roman"/>
          <w:bCs/>
          <w:sz w:val="22"/>
          <w:szCs w:val="22"/>
        </w:rPr>
        <w:t xml:space="preserve">consumer-owned </w:t>
      </w:r>
      <w:r w:rsidRPr="004068EE">
        <w:rPr>
          <w:rFonts w:ascii="Times New Roman" w:hAnsi="Times New Roman"/>
          <w:bCs/>
          <w:sz w:val="22"/>
          <w:szCs w:val="22"/>
        </w:rPr>
        <w:t xml:space="preserve">utility must provide notice of </w:t>
      </w:r>
      <w:r w:rsidR="00152AAF" w:rsidRPr="004068EE">
        <w:rPr>
          <w:rFonts w:ascii="Times New Roman" w:hAnsi="Times New Roman"/>
          <w:bCs/>
          <w:sz w:val="22"/>
          <w:szCs w:val="22"/>
        </w:rPr>
        <w:t xml:space="preserve">its intent to file a petition for exemption and notice of </w:t>
      </w:r>
      <w:r w:rsidRPr="004068EE">
        <w:rPr>
          <w:rFonts w:ascii="Times New Roman" w:hAnsi="Times New Roman"/>
          <w:bCs/>
          <w:sz w:val="22"/>
          <w:szCs w:val="22"/>
        </w:rPr>
        <w:t>the public meeting</w:t>
      </w:r>
      <w:r w:rsidR="00152AAF" w:rsidRPr="004068EE">
        <w:rPr>
          <w:rFonts w:ascii="Times New Roman" w:hAnsi="Times New Roman"/>
          <w:bCs/>
          <w:sz w:val="22"/>
          <w:szCs w:val="22"/>
        </w:rPr>
        <w:t xml:space="preserve"> </w:t>
      </w:r>
      <w:r w:rsidRPr="004068EE">
        <w:rPr>
          <w:rFonts w:ascii="Times New Roman" w:hAnsi="Times New Roman"/>
          <w:bCs/>
          <w:sz w:val="22"/>
          <w:szCs w:val="22"/>
        </w:rPr>
        <w:t xml:space="preserve">by </w:t>
      </w:r>
      <w:r w:rsidR="00886997">
        <w:rPr>
          <w:rFonts w:ascii="Times New Roman" w:hAnsi="Times New Roman"/>
          <w:bCs/>
          <w:sz w:val="22"/>
          <w:szCs w:val="22"/>
        </w:rPr>
        <w:t xml:space="preserve">regular </w:t>
      </w:r>
      <w:r w:rsidR="00C85C0E" w:rsidRPr="004068EE">
        <w:rPr>
          <w:rFonts w:ascii="Times New Roman" w:hAnsi="Times New Roman"/>
          <w:bCs/>
          <w:sz w:val="22"/>
          <w:szCs w:val="22"/>
        </w:rPr>
        <w:t xml:space="preserve">mail </w:t>
      </w:r>
      <w:r w:rsidR="004068EE">
        <w:rPr>
          <w:rFonts w:ascii="Times New Roman" w:hAnsi="Times New Roman"/>
          <w:bCs/>
          <w:sz w:val="22"/>
          <w:szCs w:val="22"/>
        </w:rPr>
        <w:t xml:space="preserve">postmarked </w:t>
      </w:r>
      <w:r w:rsidR="004068EE" w:rsidRPr="004068EE">
        <w:rPr>
          <w:rFonts w:ascii="Times New Roman" w:hAnsi="Times New Roman"/>
          <w:bCs/>
          <w:sz w:val="22"/>
          <w:szCs w:val="22"/>
        </w:rPr>
        <w:t xml:space="preserve">at least 14 days prior to the meeting </w:t>
      </w:r>
      <w:r w:rsidR="00C85C0E" w:rsidRPr="004068EE">
        <w:rPr>
          <w:rFonts w:ascii="Times New Roman" w:hAnsi="Times New Roman"/>
          <w:bCs/>
          <w:sz w:val="22"/>
          <w:szCs w:val="22"/>
        </w:rPr>
        <w:t xml:space="preserve">in addition to </w:t>
      </w:r>
      <w:r w:rsidRPr="00FA27AE">
        <w:rPr>
          <w:rFonts w:ascii="Times New Roman" w:hAnsi="Times New Roman"/>
          <w:bCs/>
          <w:sz w:val="22"/>
          <w:szCs w:val="22"/>
        </w:rPr>
        <w:t>using any two of the following methods:</w:t>
      </w:r>
    </w:p>
    <w:p w14:paraId="44046C13" w14:textId="77777777" w:rsidR="00821BB5" w:rsidRPr="004068EE" w:rsidRDefault="00821BB5" w:rsidP="00821BB5">
      <w:pPr>
        <w:pStyle w:val="ListParagraph"/>
        <w:ind w:left="2880"/>
        <w:rPr>
          <w:rFonts w:ascii="Times New Roman" w:hAnsi="Times New Roman"/>
        </w:rPr>
      </w:pPr>
    </w:p>
    <w:p w14:paraId="48D8E94E" w14:textId="0E14F368" w:rsidR="00821BB5" w:rsidRPr="004068EE" w:rsidRDefault="00821BB5" w:rsidP="00756E31">
      <w:pPr>
        <w:pStyle w:val="ListParagraph"/>
        <w:numPr>
          <w:ilvl w:val="3"/>
          <w:numId w:val="4"/>
        </w:numPr>
        <w:ind w:hanging="720"/>
        <w:rPr>
          <w:rFonts w:ascii="Times New Roman" w:hAnsi="Times New Roman"/>
        </w:rPr>
      </w:pPr>
      <w:r w:rsidRPr="004068EE">
        <w:rPr>
          <w:rFonts w:ascii="Times New Roman" w:hAnsi="Times New Roman"/>
          <w:b/>
          <w:bCs/>
        </w:rPr>
        <w:t>By email</w:t>
      </w:r>
      <w:r w:rsidRPr="004068EE">
        <w:rPr>
          <w:rFonts w:ascii="Times New Roman" w:hAnsi="Times New Roman"/>
        </w:rPr>
        <w:t>. If the utility provides notice by email, the notice must be made individually to each customer</w:t>
      </w:r>
      <w:r w:rsidR="00CF3D30" w:rsidRPr="004068EE">
        <w:rPr>
          <w:rFonts w:ascii="Times New Roman" w:hAnsi="Times New Roman"/>
        </w:rPr>
        <w:t xml:space="preserve"> </w:t>
      </w:r>
      <w:r w:rsidRPr="004068EE">
        <w:rPr>
          <w:rFonts w:ascii="Times New Roman" w:hAnsi="Times New Roman"/>
        </w:rPr>
        <w:t xml:space="preserve">at least 14 days before the meeting. </w:t>
      </w:r>
      <w:r w:rsidR="00CF3D30" w:rsidRPr="004068EE">
        <w:rPr>
          <w:rFonts w:ascii="Times New Roman" w:hAnsi="Times New Roman"/>
        </w:rPr>
        <w:t>Em</w:t>
      </w:r>
      <w:r w:rsidRPr="004068EE">
        <w:rPr>
          <w:rFonts w:ascii="Times New Roman" w:hAnsi="Times New Roman"/>
        </w:rPr>
        <w:t xml:space="preserve">ail notice may be included in </w:t>
      </w:r>
      <w:r w:rsidR="00CF3D30" w:rsidRPr="004068EE">
        <w:rPr>
          <w:rFonts w:ascii="Times New Roman" w:hAnsi="Times New Roman"/>
        </w:rPr>
        <w:t>electronic</w:t>
      </w:r>
      <w:r w:rsidRPr="004068EE">
        <w:rPr>
          <w:rFonts w:ascii="Times New Roman" w:hAnsi="Times New Roman"/>
        </w:rPr>
        <w:t xml:space="preserve"> customer bills</w:t>
      </w:r>
      <w:r w:rsidR="00CF3D30" w:rsidRPr="004068EE">
        <w:rPr>
          <w:rFonts w:ascii="Times New Roman" w:hAnsi="Times New Roman"/>
        </w:rPr>
        <w:t>;</w:t>
      </w:r>
    </w:p>
    <w:p w14:paraId="3BA81285" w14:textId="77777777" w:rsidR="00BD56C1" w:rsidRPr="004068EE" w:rsidRDefault="00BD56C1" w:rsidP="00756E31">
      <w:pPr>
        <w:pStyle w:val="ListParagraph"/>
        <w:ind w:left="2880" w:hanging="720"/>
        <w:rPr>
          <w:rFonts w:ascii="Times New Roman" w:hAnsi="Times New Roman"/>
        </w:rPr>
      </w:pPr>
    </w:p>
    <w:p w14:paraId="70484D5B" w14:textId="58827BCD" w:rsidR="00CF3D30" w:rsidRPr="004068EE" w:rsidRDefault="005300C9" w:rsidP="00756E31">
      <w:pPr>
        <w:pStyle w:val="ListParagraph"/>
        <w:numPr>
          <w:ilvl w:val="3"/>
          <w:numId w:val="4"/>
        </w:numPr>
        <w:ind w:right="-90" w:hanging="720"/>
        <w:rPr>
          <w:rFonts w:ascii="Times New Roman" w:hAnsi="Times New Roman"/>
        </w:rPr>
      </w:pPr>
      <w:r w:rsidRPr="004068EE">
        <w:rPr>
          <w:rFonts w:ascii="Times New Roman" w:hAnsi="Times New Roman"/>
          <w:b/>
        </w:rPr>
        <w:t>By publication</w:t>
      </w:r>
      <w:r w:rsidRPr="004068EE">
        <w:rPr>
          <w:rFonts w:ascii="Times New Roman" w:hAnsi="Times New Roman"/>
        </w:rPr>
        <w:t xml:space="preserve">. The utility </w:t>
      </w:r>
      <w:r w:rsidR="00821BB5" w:rsidRPr="004068EE">
        <w:rPr>
          <w:rFonts w:ascii="Times New Roman" w:hAnsi="Times New Roman"/>
        </w:rPr>
        <w:t xml:space="preserve">may </w:t>
      </w:r>
      <w:r w:rsidRPr="004068EE">
        <w:rPr>
          <w:rFonts w:ascii="Times New Roman" w:hAnsi="Times New Roman"/>
        </w:rPr>
        <w:t>provide newspaper notice of the meeting in a newspaper of general circulation in the area served by the utility</w:t>
      </w:r>
      <w:r w:rsidR="00821BB5" w:rsidRPr="004068EE">
        <w:rPr>
          <w:rFonts w:ascii="Times New Roman" w:hAnsi="Times New Roman"/>
        </w:rPr>
        <w:t>;</w:t>
      </w:r>
    </w:p>
    <w:p w14:paraId="6902B4EE" w14:textId="5959864A" w:rsidR="00CF3D30" w:rsidRPr="004068EE" w:rsidRDefault="00CF3D30" w:rsidP="00CF3D30">
      <w:pPr>
        <w:pStyle w:val="ListParagraph"/>
        <w:ind w:left="2880" w:right="-90"/>
        <w:rPr>
          <w:rFonts w:ascii="Times New Roman" w:hAnsi="Times New Roman"/>
        </w:rPr>
      </w:pPr>
    </w:p>
    <w:p w14:paraId="39DB3F33" w14:textId="4AE78030" w:rsidR="00BA098D" w:rsidRPr="004068EE" w:rsidRDefault="00CF3D30" w:rsidP="00756E31">
      <w:pPr>
        <w:pStyle w:val="ListParagraph"/>
        <w:numPr>
          <w:ilvl w:val="3"/>
          <w:numId w:val="4"/>
        </w:numPr>
        <w:ind w:right="-90" w:hanging="720"/>
        <w:rPr>
          <w:rFonts w:ascii="Times New Roman" w:hAnsi="Times New Roman"/>
        </w:rPr>
      </w:pPr>
      <w:r w:rsidRPr="004068EE">
        <w:rPr>
          <w:rFonts w:ascii="Times New Roman" w:hAnsi="Times New Roman"/>
          <w:b/>
          <w:bCs/>
        </w:rPr>
        <w:t>Conspicuous posting</w:t>
      </w:r>
      <w:r w:rsidRPr="004068EE">
        <w:rPr>
          <w:rFonts w:ascii="Times New Roman" w:hAnsi="Times New Roman"/>
        </w:rPr>
        <w:t xml:space="preserve">. The utility may post notice in a town office or other conspicuous place within the utility’s service area; </w:t>
      </w:r>
    </w:p>
    <w:p w14:paraId="2B145AED" w14:textId="77777777" w:rsidR="00D01B3A" w:rsidRPr="004068EE" w:rsidRDefault="00D01B3A" w:rsidP="00756E31">
      <w:pPr>
        <w:pStyle w:val="ListParagraph"/>
        <w:rPr>
          <w:rFonts w:ascii="Times New Roman" w:hAnsi="Times New Roman"/>
        </w:rPr>
      </w:pPr>
    </w:p>
    <w:p w14:paraId="46F0EFF1" w14:textId="36FD4670" w:rsidR="00D01B3A" w:rsidRPr="004068EE" w:rsidRDefault="00821BB5" w:rsidP="00756E31">
      <w:pPr>
        <w:pStyle w:val="ListParagraph"/>
        <w:numPr>
          <w:ilvl w:val="3"/>
          <w:numId w:val="4"/>
        </w:numPr>
        <w:ind w:right="-180" w:hanging="720"/>
        <w:rPr>
          <w:rFonts w:ascii="Times New Roman" w:hAnsi="Times New Roman"/>
        </w:rPr>
      </w:pPr>
      <w:r w:rsidRPr="004068EE">
        <w:rPr>
          <w:rFonts w:ascii="Times New Roman" w:hAnsi="Times New Roman"/>
          <w:b/>
          <w:bCs/>
        </w:rPr>
        <w:t xml:space="preserve">Website.  </w:t>
      </w:r>
      <w:r w:rsidR="00D01B3A" w:rsidRPr="004068EE">
        <w:rPr>
          <w:rFonts w:ascii="Times New Roman" w:hAnsi="Times New Roman"/>
        </w:rPr>
        <w:t xml:space="preserve">If the utility has a website, </w:t>
      </w:r>
      <w:r w:rsidRPr="004068EE">
        <w:rPr>
          <w:rFonts w:ascii="Times New Roman" w:hAnsi="Times New Roman"/>
        </w:rPr>
        <w:t>the utility</w:t>
      </w:r>
      <w:r w:rsidR="00D01B3A" w:rsidRPr="004068EE">
        <w:rPr>
          <w:rFonts w:ascii="Times New Roman" w:hAnsi="Times New Roman"/>
        </w:rPr>
        <w:t xml:space="preserve"> </w:t>
      </w:r>
      <w:r w:rsidR="00CF3D30" w:rsidRPr="004068EE">
        <w:rPr>
          <w:rFonts w:ascii="Times New Roman" w:hAnsi="Times New Roman"/>
        </w:rPr>
        <w:t xml:space="preserve">may </w:t>
      </w:r>
      <w:r w:rsidR="00D01B3A" w:rsidRPr="004068EE">
        <w:rPr>
          <w:rFonts w:ascii="Times New Roman" w:hAnsi="Times New Roman"/>
        </w:rPr>
        <w:t>post notice on its website</w:t>
      </w:r>
      <w:r w:rsidR="00CF3D30" w:rsidRPr="004068EE">
        <w:rPr>
          <w:rFonts w:ascii="Times New Roman" w:hAnsi="Times New Roman"/>
        </w:rPr>
        <w:t>;</w:t>
      </w:r>
    </w:p>
    <w:p w14:paraId="68042053" w14:textId="4EE0BC67" w:rsidR="00CF3D30" w:rsidRPr="004068EE" w:rsidRDefault="00CF3D30" w:rsidP="00CF3D30">
      <w:pPr>
        <w:pStyle w:val="ListParagraph"/>
        <w:ind w:left="2880" w:right="-180"/>
        <w:rPr>
          <w:rFonts w:ascii="Times New Roman" w:hAnsi="Times New Roman"/>
        </w:rPr>
      </w:pPr>
    </w:p>
    <w:p w14:paraId="1CBF8BDA" w14:textId="6562774A" w:rsidR="00CF3D30" w:rsidRDefault="00CF3D30" w:rsidP="00756E31">
      <w:pPr>
        <w:pStyle w:val="ListParagraph"/>
        <w:numPr>
          <w:ilvl w:val="3"/>
          <w:numId w:val="4"/>
        </w:numPr>
        <w:ind w:right="-180" w:hanging="720"/>
        <w:rPr>
          <w:rFonts w:ascii="Times New Roman" w:hAnsi="Times New Roman"/>
        </w:rPr>
      </w:pPr>
      <w:r w:rsidRPr="004068EE">
        <w:rPr>
          <w:rFonts w:ascii="Times New Roman" w:hAnsi="Times New Roman"/>
          <w:b/>
          <w:bCs/>
        </w:rPr>
        <w:t>Social media</w:t>
      </w:r>
      <w:r w:rsidRPr="004068EE">
        <w:rPr>
          <w:rFonts w:ascii="Times New Roman" w:hAnsi="Times New Roman"/>
        </w:rPr>
        <w:t>. If the utility has social media accounts, it may post notice on those social media accounts</w:t>
      </w:r>
      <w:r w:rsidR="00F3608D">
        <w:rPr>
          <w:rFonts w:ascii="Times New Roman" w:hAnsi="Times New Roman"/>
        </w:rPr>
        <w:t>; or</w:t>
      </w:r>
    </w:p>
    <w:p w14:paraId="2AFABFD4" w14:textId="1ABE1F3A" w:rsidR="00F3608D" w:rsidRDefault="00F3608D" w:rsidP="00F3608D">
      <w:pPr>
        <w:pStyle w:val="ListParagraph"/>
        <w:ind w:left="2880" w:right="-180"/>
        <w:rPr>
          <w:rFonts w:ascii="Times New Roman" w:hAnsi="Times New Roman"/>
        </w:rPr>
      </w:pPr>
    </w:p>
    <w:p w14:paraId="5F80EFAA" w14:textId="38FD2DA1" w:rsidR="00F3608D" w:rsidRPr="004068EE" w:rsidRDefault="00F3608D" w:rsidP="00756E31">
      <w:pPr>
        <w:pStyle w:val="ListParagraph"/>
        <w:numPr>
          <w:ilvl w:val="3"/>
          <w:numId w:val="4"/>
        </w:numPr>
        <w:ind w:right="-180" w:hanging="720"/>
        <w:rPr>
          <w:rFonts w:ascii="Times New Roman" w:hAnsi="Times New Roman"/>
        </w:rPr>
      </w:pPr>
      <w:bookmarkStart w:id="0" w:name="_Hlk111453229"/>
      <w:r>
        <w:rPr>
          <w:rFonts w:ascii="Times New Roman" w:hAnsi="Times New Roman"/>
          <w:b/>
          <w:bCs/>
        </w:rPr>
        <w:t>Other</w:t>
      </w:r>
      <w:r>
        <w:rPr>
          <w:rFonts w:ascii="Times New Roman" w:hAnsi="Times New Roman"/>
        </w:rPr>
        <w:t>. Other methods of notification that are reasonably calculated to</w:t>
      </w:r>
      <w:r w:rsidRPr="00F3608D">
        <w:rPr>
          <w:rFonts w:ascii="Times New Roman" w:hAnsi="Times New Roman"/>
        </w:rPr>
        <w:t xml:space="preserve"> provide broad notice to the utility’s customers.</w:t>
      </w:r>
      <w:bookmarkEnd w:id="0"/>
    </w:p>
    <w:p w14:paraId="089027DD" w14:textId="69E9BEE8" w:rsidR="00C85C0E" w:rsidRPr="004068EE" w:rsidRDefault="00C85C0E" w:rsidP="00C85C0E">
      <w:pPr>
        <w:widowControl/>
        <w:suppressAutoHyphens/>
        <w:ind w:left="2160"/>
        <w:contextualSpacing/>
        <w:rPr>
          <w:rFonts w:ascii="Times New Roman" w:hAnsi="Times New Roman"/>
          <w:sz w:val="22"/>
          <w:szCs w:val="22"/>
        </w:rPr>
      </w:pPr>
      <w:r w:rsidRPr="004068EE">
        <w:rPr>
          <w:rFonts w:ascii="Times New Roman" w:hAnsi="Times New Roman"/>
          <w:sz w:val="22"/>
          <w:szCs w:val="22"/>
        </w:rPr>
        <w:t xml:space="preserve">Utilities may include notice in mailed customer </w:t>
      </w:r>
      <w:r w:rsidR="00FC1FA3" w:rsidRPr="004068EE">
        <w:rPr>
          <w:rFonts w:ascii="Times New Roman" w:hAnsi="Times New Roman"/>
          <w:sz w:val="22"/>
          <w:szCs w:val="22"/>
        </w:rPr>
        <w:t>bills</w:t>
      </w:r>
      <w:r w:rsidRPr="004068EE">
        <w:rPr>
          <w:rFonts w:ascii="Times New Roman" w:hAnsi="Times New Roman"/>
          <w:sz w:val="22"/>
          <w:szCs w:val="22"/>
        </w:rPr>
        <w:t xml:space="preserve">.  Utilities must </w:t>
      </w:r>
      <w:r w:rsidR="00FC1FA3" w:rsidRPr="004068EE">
        <w:rPr>
          <w:rFonts w:ascii="Times New Roman" w:hAnsi="Times New Roman"/>
          <w:sz w:val="22"/>
          <w:szCs w:val="22"/>
        </w:rPr>
        <w:t>file</w:t>
      </w:r>
      <w:r w:rsidRPr="004068EE">
        <w:rPr>
          <w:rFonts w:ascii="Times New Roman" w:hAnsi="Times New Roman"/>
          <w:sz w:val="22"/>
          <w:szCs w:val="22"/>
        </w:rPr>
        <w:t xml:space="preserve"> copies of the notice </w:t>
      </w:r>
      <w:r w:rsidR="00FC1FA3" w:rsidRPr="004068EE">
        <w:rPr>
          <w:rFonts w:ascii="Times New Roman" w:hAnsi="Times New Roman"/>
          <w:sz w:val="22"/>
          <w:szCs w:val="22"/>
        </w:rPr>
        <w:t>in</w:t>
      </w:r>
      <w:r w:rsidRPr="004068EE">
        <w:rPr>
          <w:rFonts w:ascii="Times New Roman" w:hAnsi="Times New Roman"/>
          <w:sz w:val="22"/>
          <w:szCs w:val="22"/>
        </w:rPr>
        <w:t xml:space="preserve"> the Commission</w:t>
      </w:r>
      <w:r w:rsidR="00FC1FA3" w:rsidRPr="004068EE">
        <w:rPr>
          <w:rFonts w:ascii="Times New Roman" w:hAnsi="Times New Roman"/>
          <w:sz w:val="22"/>
          <w:szCs w:val="22"/>
        </w:rPr>
        <w:t>’s Case Management System</w:t>
      </w:r>
      <w:r w:rsidRPr="004068EE">
        <w:rPr>
          <w:rFonts w:ascii="Times New Roman" w:hAnsi="Times New Roman"/>
          <w:sz w:val="22"/>
          <w:szCs w:val="22"/>
        </w:rPr>
        <w:t xml:space="preserve"> at least 14 days before the date of the public meeting.  </w:t>
      </w:r>
      <w:r w:rsidR="00886997">
        <w:rPr>
          <w:rFonts w:ascii="Times New Roman" w:hAnsi="Times New Roman"/>
          <w:sz w:val="22"/>
          <w:szCs w:val="22"/>
        </w:rPr>
        <w:t>All notices, whether by mail or other method, must contain the same information.</w:t>
      </w:r>
    </w:p>
    <w:p w14:paraId="1D55EE9A" w14:textId="77777777" w:rsidR="00C85C0E" w:rsidRPr="004068EE" w:rsidRDefault="00C85C0E" w:rsidP="00C85C0E">
      <w:pPr>
        <w:widowControl/>
        <w:suppressAutoHyphens/>
        <w:ind w:left="1350"/>
        <w:contextualSpacing/>
        <w:rPr>
          <w:rFonts w:ascii="Times New Roman" w:hAnsi="Times New Roman"/>
          <w:sz w:val="22"/>
          <w:szCs w:val="22"/>
        </w:rPr>
      </w:pPr>
    </w:p>
    <w:p w14:paraId="5D4DB11A" w14:textId="713A8C6F" w:rsidR="00C85C0E" w:rsidRPr="00920703" w:rsidRDefault="00C85C0E" w:rsidP="00C85C0E">
      <w:pPr>
        <w:widowControl/>
        <w:suppressAutoHyphens/>
        <w:ind w:left="2160"/>
        <w:rPr>
          <w:rFonts w:ascii="Times New Roman" w:hAnsi="Times New Roman"/>
          <w:sz w:val="22"/>
          <w:szCs w:val="22"/>
        </w:rPr>
      </w:pPr>
      <w:r w:rsidRPr="004068EE">
        <w:rPr>
          <w:rFonts w:ascii="Times New Roman" w:hAnsi="Times New Roman"/>
          <w:sz w:val="22"/>
          <w:szCs w:val="22"/>
        </w:rPr>
        <w:t xml:space="preserve">In addition, utilities must </w:t>
      </w:r>
      <w:r w:rsidR="00FC1FA3" w:rsidRPr="004068EE">
        <w:rPr>
          <w:rFonts w:ascii="Times New Roman" w:hAnsi="Times New Roman"/>
          <w:sz w:val="22"/>
          <w:szCs w:val="22"/>
        </w:rPr>
        <w:t>file</w:t>
      </w:r>
      <w:r w:rsidRPr="004068EE">
        <w:rPr>
          <w:rFonts w:ascii="Times New Roman" w:hAnsi="Times New Roman"/>
          <w:sz w:val="22"/>
          <w:szCs w:val="22"/>
        </w:rPr>
        <w:t xml:space="preserve"> verification of the email, publication, conspicuous posting, website, social media</w:t>
      </w:r>
      <w:r w:rsidR="00F3608D">
        <w:rPr>
          <w:rFonts w:ascii="Times New Roman" w:hAnsi="Times New Roman"/>
          <w:sz w:val="22"/>
          <w:szCs w:val="22"/>
        </w:rPr>
        <w:t>, or other</w:t>
      </w:r>
      <w:r w:rsidRPr="004068EE">
        <w:rPr>
          <w:rFonts w:ascii="Times New Roman" w:hAnsi="Times New Roman"/>
          <w:sz w:val="22"/>
          <w:szCs w:val="22"/>
        </w:rPr>
        <w:t xml:space="preserve"> notifications </w:t>
      </w:r>
      <w:r w:rsidR="00FC1FA3" w:rsidRPr="004068EE">
        <w:rPr>
          <w:rFonts w:ascii="Times New Roman" w:hAnsi="Times New Roman"/>
          <w:sz w:val="22"/>
          <w:szCs w:val="22"/>
        </w:rPr>
        <w:t>in</w:t>
      </w:r>
      <w:r w:rsidRPr="004068EE">
        <w:rPr>
          <w:rFonts w:ascii="Times New Roman" w:hAnsi="Times New Roman"/>
          <w:sz w:val="22"/>
          <w:szCs w:val="22"/>
        </w:rPr>
        <w:t xml:space="preserve"> the Commission</w:t>
      </w:r>
      <w:r w:rsidR="00FC1FA3" w:rsidRPr="004068EE">
        <w:rPr>
          <w:rFonts w:ascii="Times New Roman" w:hAnsi="Times New Roman"/>
          <w:sz w:val="22"/>
          <w:szCs w:val="22"/>
        </w:rPr>
        <w:t>’s Case Management System</w:t>
      </w:r>
      <w:r w:rsidRPr="004068EE">
        <w:rPr>
          <w:rFonts w:ascii="Times New Roman" w:hAnsi="Times New Roman"/>
          <w:sz w:val="22"/>
          <w:szCs w:val="22"/>
        </w:rPr>
        <w:t xml:space="preserve"> at least 14 days before the date of the public meeting.  Verification may be </w:t>
      </w:r>
      <w:r w:rsidR="00920703">
        <w:rPr>
          <w:rFonts w:ascii="Times New Roman" w:hAnsi="Times New Roman"/>
          <w:sz w:val="22"/>
          <w:szCs w:val="22"/>
        </w:rPr>
        <w:t xml:space="preserve">affidavits, </w:t>
      </w:r>
      <w:r w:rsidRPr="00920703">
        <w:rPr>
          <w:rFonts w:ascii="Times New Roman" w:hAnsi="Times New Roman"/>
          <w:sz w:val="22"/>
          <w:szCs w:val="22"/>
        </w:rPr>
        <w:t xml:space="preserve">screenshots, photographs, or other media sufficient to show compliance with this </w:t>
      </w:r>
      <w:r w:rsidR="00920703">
        <w:rPr>
          <w:rFonts w:ascii="Times New Roman" w:hAnsi="Times New Roman"/>
          <w:sz w:val="22"/>
          <w:szCs w:val="22"/>
        </w:rPr>
        <w:t>S</w:t>
      </w:r>
      <w:r w:rsidRPr="00920703">
        <w:rPr>
          <w:rFonts w:ascii="Times New Roman" w:hAnsi="Times New Roman"/>
          <w:sz w:val="22"/>
          <w:szCs w:val="22"/>
        </w:rPr>
        <w:t>ection.</w:t>
      </w:r>
    </w:p>
    <w:p w14:paraId="267BA100" w14:textId="77777777" w:rsidR="00E35635" w:rsidRPr="004068EE" w:rsidRDefault="00E35635" w:rsidP="00756E31">
      <w:pPr>
        <w:widowControl/>
        <w:suppressAutoHyphens/>
        <w:ind w:left="2880" w:hanging="2880"/>
        <w:rPr>
          <w:rFonts w:ascii="Times New Roman" w:hAnsi="Times New Roman"/>
          <w:sz w:val="22"/>
          <w:szCs w:val="22"/>
        </w:rPr>
      </w:pPr>
    </w:p>
    <w:p w14:paraId="6FDC44B4" w14:textId="64149401" w:rsidR="00BA098D" w:rsidRPr="004068EE" w:rsidRDefault="00BA098D" w:rsidP="00756E31">
      <w:pPr>
        <w:widowControl/>
        <w:suppressAutoHyphens/>
        <w:rPr>
          <w:rFonts w:ascii="Times New Roman" w:hAnsi="Times New Roman"/>
          <w:sz w:val="22"/>
          <w:szCs w:val="22"/>
        </w:rPr>
      </w:pPr>
      <w:r w:rsidRPr="004068EE">
        <w:rPr>
          <w:rFonts w:ascii="Times New Roman" w:hAnsi="Times New Roman"/>
          <w:sz w:val="22"/>
          <w:szCs w:val="22"/>
        </w:rPr>
        <w:tab/>
      </w:r>
      <w:r w:rsidR="0032184E" w:rsidRPr="004068EE">
        <w:rPr>
          <w:rFonts w:ascii="Times New Roman" w:hAnsi="Times New Roman"/>
          <w:sz w:val="22"/>
          <w:szCs w:val="22"/>
        </w:rPr>
        <w:t>B</w:t>
      </w:r>
      <w:r w:rsidR="00931E50" w:rsidRPr="004068EE">
        <w:rPr>
          <w:rFonts w:ascii="Times New Roman" w:hAnsi="Times New Roman"/>
          <w:sz w:val="22"/>
          <w:szCs w:val="22"/>
        </w:rPr>
        <w:t>.</w:t>
      </w:r>
      <w:r w:rsidR="00077438" w:rsidRPr="004068EE">
        <w:rPr>
          <w:rFonts w:ascii="Times New Roman" w:hAnsi="Times New Roman"/>
          <w:sz w:val="22"/>
          <w:szCs w:val="22"/>
        </w:rPr>
        <w:tab/>
      </w:r>
      <w:r w:rsidR="005300C9" w:rsidRPr="004068EE">
        <w:rPr>
          <w:rFonts w:ascii="Times New Roman" w:hAnsi="Times New Roman"/>
          <w:b/>
          <w:sz w:val="22"/>
          <w:szCs w:val="22"/>
        </w:rPr>
        <w:t>Contents of the Petition</w:t>
      </w:r>
    </w:p>
    <w:p w14:paraId="7044A712" w14:textId="77777777" w:rsidR="00BA098D" w:rsidRPr="004068EE" w:rsidRDefault="00BA098D" w:rsidP="00756E31">
      <w:pPr>
        <w:widowControl/>
        <w:suppressAutoHyphens/>
        <w:ind w:left="1350"/>
        <w:rPr>
          <w:rFonts w:ascii="Times New Roman" w:hAnsi="Times New Roman"/>
          <w:sz w:val="22"/>
          <w:szCs w:val="22"/>
        </w:rPr>
      </w:pPr>
    </w:p>
    <w:p w14:paraId="14CA5D25" w14:textId="36B31ED6" w:rsidR="00BA098D" w:rsidRPr="004068EE" w:rsidRDefault="00331C6D" w:rsidP="00C217BC">
      <w:pPr>
        <w:widowControl/>
        <w:suppressAutoHyphens/>
        <w:ind w:left="2160" w:hanging="720"/>
        <w:rPr>
          <w:rFonts w:ascii="Times New Roman" w:hAnsi="Times New Roman"/>
          <w:sz w:val="22"/>
          <w:szCs w:val="22"/>
        </w:rPr>
      </w:pPr>
      <w:r w:rsidRPr="004068EE">
        <w:rPr>
          <w:rFonts w:ascii="Times New Roman" w:hAnsi="Times New Roman"/>
          <w:sz w:val="22"/>
          <w:szCs w:val="22"/>
        </w:rPr>
        <w:t>1.</w:t>
      </w:r>
      <w:r w:rsidR="0032184E" w:rsidRPr="004068EE">
        <w:rPr>
          <w:rFonts w:ascii="Times New Roman" w:hAnsi="Times New Roman"/>
          <w:sz w:val="22"/>
          <w:szCs w:val="22"/>
        </w:rPr>
        <w:tab/>
      </w:r>
      <w:r w:rsidR="005300C9" w:rsidRPr="004068EE">
        <w:rPr>
          <w:rFonts w:ascii="Times New Roman" w:hAnsi="Times New Roman"/>
          <w:sz w:val="22"/>
          <w:szCs w:val="22"/>
        </w:rPr>
        <w:t xml:space="preserve">The Petition </w:t>
      </w:r>
      <w:r w:rsidR="00C217BC" w:rsidRPr="004068EE">
        <w:rPr>
          <w:rFonts w:ascii="Times New Roman" w:hAnsi="Times New Roman"/>
          <w:sz w:val="22"/>
          <w:szCs w:val="22"/>
        </w:rPr>
        <w:t xml:space="preserve">must </w:t>
      </w:r>
      <w:r w:rsidR="005300C9" w:rsidRPr="004068EE">
        <w:rPr>
          <w:rFonts w:ascii="Times New Roman" w:hAnsi="Times New Roman"/>
          <w:sz w:val="22"/>
          <w:szCs w:val="22"/>
        </w:rPr>
        <w:t>specifically identify the statutory requirement</w:t>
      </w:r>
      <w:r w:rsidR="001B0F9B" w:rsidRPr="004068EE">
        <w:rPr>
          <w:rFonts w:ascii="Times New Roman" w:hAnsi="Times New Roman"/>
          <w:sz w:val="22"/>
          <w:szCs w:val="22"/>
        </w:rPr>
        <w:t xml:space="preserve"> or requirements</w:t>
      </w:r>
      <w:r w:rsidR="005300C9" w:rsidRPr="004068EE">
        <w:rPr>
          <w:rFonts w:ascii="Times New Roman" w:hAnsi="Times New Roman"/>
          <w:sz w:val="22"/>
          <w:szCs w:val="22"/>
        </w:rPr>
        <w:t xml:space="preserve"> </w:t>
      </w:r>
      <w:r w:rsidR="00E35635" w:rsidRPr="004068EE">
        <w:rPr>
          <w:rFonts w:ascii="Times New Roman" w:hAnsi="Times New Roman"/>
          <w:sz w:val="22"/>
          <w:szCs w:val="22"/>
        </w:rPr>
        <w:t>for which an exemption is sought.</w:t>
      </w:r>
    </w:p>
    <w:p w14:paraId="326414CE" w14:textId="77777777" w:rsidR="00BA098D" w:rsidRPr="004068EE" w:rsidRDefault="00BA098D" w:rsidP="00756E31">
      <w:pPr>
        <w:widowControl/>
        <w:suppressAutoHyphens/>
        <w:rPr>
          <w:rFonts w:ascii="Times New Roman" w:hAnsi="Times New Roman"/>
          <w:sz w:val="22"/>
          <w:szCs w:val="22"/>
        </w:rPr>
      </w:pPr>
    </w:p>
    <w:p w14:paraId="447EFDCD" w14:textId="10B2DAE0" w:rsidR="0032184E" w:rsidRPr="004068EE" w:rsidRDefault="0032184E" w:rsidP="00570501">
      <w:pPr>
        <w:keepNext/>
        <w:keepLines/>
        <w:widowControl/>
        <w:suppressAutoHyphens/>
        <w:ind w:left="2160" w:hanging="720"/>
        <w:rPr>
          <w:rFonts w:ascii="Times New Roman" w:hAnsi="Times New Roman"/>
          <w:sz w:val="22"/>
          <w:szCs w:val="22"/>
        </w:rPr>
      </w:pPr>
      <w:r w:rsidRPr="004068EE">
        <w:rPr>
          <w:rFonts w:ascii="Times New Roman" w:hAnsi="Times New Roman"/>
          <w:sz w:val="22"/>
          <w:szCs w:val="22"/>
        </w:rPr>
        <w:lastRenderedPageBreak/>
        <w:t>2.</w:t>
      </w:r>
      <w:r w:rsidRPr="004068EE">
        <w:rPr>
          <w:rFonts w:ascii="Times New Roman" w:hAnsi="Times New Roman"/>
          <w:sz w:val="22"/>
          <w:szCs w:val="22"/>
        </w:rPr>
        <w:tab/>
        <w:t xml:space="preserve">The </w:t>
      </w:r>
      <w:r w:rsidR="00297E08" w:rsidRPr="004068EE">
        <w:rPr>
          <w:rFonts w:ascii="Times New Roman" w:hAnsi="Times New Roman"/>
          <w:sz w:val="22"/>
          <w:szCs w:val="22"/>
        </w:rPr>
        <w:t>P</w:t>
      </w:r>
      <w:r w:rsidRPr="004068EE">
        <w:rPr>
          <w:rFonts w:ascii="Times New Roman" w:hAnsi="Times New Roman"/>
          <w:sz w:val="22"/>
          <w:szCs w:val="22"/>
        </w:rPr>
        <w:t xml:space="preserve">etition </w:t>
      </w:r>
      <w:r w:rsidR="00C217BC" w:rsidRPr="004068EE">
        <w:rPr>
          <w:rFonts w:ascii="Times New Roman" w:hAnsi="Times New Roman"/>
          <w:sz w:val="22"/>
          <w:szCs w:val="22"/>
        </w:rPr>
        <w:t xml:space="preserve">must </w:t>
      </w:r>
      <w:r w:rsidRPr="004068EE">
        <w:rPr>
          <w:rFonts w:ascii="Times New Roman" w:hAnsi="Times New Roman"/>
          <w:sz w:val="22"/>
          <w:szCs w:val="22"/>
        </w:rPr>
        <w:t xml:space="preserve">contain information sufficient to support a finding by the Commission that </w:t>
      </w:r>
      <w:r w:rsidR="0076228B" w:rsidRPr="004068EE">
        <w:rPr>
          <w:rFonts w:ascii="Times New Roman" w:hAnsi="Times New Roman"/>
          <w:sz w:val="22"/>
          <w:szCs w:val="22"/>
        </w:rPr>
        <w:t>an exemption from</w:t>
      </w:r>
      <w:r w:rsidRPr="004068EE">
        <w:rPr>
          <w:rFonts w:ascii="Times New Roman" w:hAnsi="Times New Roman"/>
          <w:sz w:val="22"/>
          <w:szCs w:val="22"/>
        </w:rPr>
        <w:t xml:space="preserve"> the regulatory requirement is</w:t>
      </w:r>
    </w:p>
    <w:p w14:paraId="56DB6894" w14:textId="77777777" w:rsidR="0032184E" w:rsidRPr="004068EE" w:rsidRDefault="0032184E" w:rsidP="00570501">
      <w:pPr>
        <w:keepNext/>
        <w:keepLines/>
        <w:widowControl/>
        <w:suppressAutoHyphens/>
        <w:ind w:left="2160" w:hanging="2160"/>
        <w:rPr>
          <w:rFonts w:ascii="Times New Roman" w:hAnsi="Times New Roman"/>
          <w:sz w:val="22"/>
          <w:szCs w:val="22"/>
        </w:rPr>
      </w:pPr>
    </w:p>
    <w:p w14:paraId="3A47DE11" w14:textId="77777777" w:rsidR="0032184E" w:rsidRPr="004068EE" w:rsidRDefault="0032184E" w:rsidP="00570501">
      <w:pPr>
        <w:keepNext/>
        <w:keepLines/>
        <w:widowControl/>
        <w:numPr>
          <w:ilvl w:val="0"/>
          <w:numId w:val="8"/>
        </w:numPr>
        <w:suppressAutoHyphens/>
        <w:ind w:left="2880" w:hanging="720"/>
        <w:rPr>
          <w:rFonts w:ascii="Times New Roman" w:hAnsi="Times New Roman"/>
          <w:sz w:val="22"/>
          <w:szCs w:val="22"/>
        </w:rPr>
      </w:pPr>
      <w:r w:rsidRPr="004068EE">
        <w:rPr>
          <w:rFonts w:ascii="Times New Roman" w:hAnsi="Times New Roman"/>
          <w:sz w:val="22"/>
          <w:szCs w:val="22"/>
        </w:rPr>
        <w:t xml:space="preserve">in the public interest; </w:t>
      </w:r>
    </w:p>
    <w:p w14:paraId="721F0605" w14:textId="77777777" w:rsidR="0032184E" w:rsidRPr="004068EE" w:rsidRDefault="0032184E" w:rsidP="00756E31">
      <w:pPr>
        <w:widowControl/>
        <w:suppressAutoHyphens/>
        <w:ind w:left="2880" w:hanging="720"/>
        <w:rPr>
          <w:rFonts w:ascii="Times New Roman" w:hAnsi="Times New Roman"/>
          <w:sz w:val="22"/>
          <w:szCs w:val="22"/>
        </w:rPr>
      </w:pPr>
    </w:p>
    <w:p w14:paraId="2B36D179" w14:textId="77777777" w:rsidR="0032184E" w:rsidRPr="004068EE" w:rsidRDefault="0032184E" w:rsidP="00756E31">
      <w:pPr>
        <w:widowControl/>
        <w:numPr>
          <w:ilvl w:val="0"/>
          <w:numId w:val="8"/>
        </w:numPr>
        <w:suppressAutoHyphens/>
        <w:ind w:left="2880" w:hanging="720"/>
        <w:rPr>
          <w:rFonts w:ascii="Times New Roman" w:hAnsi="Times New Roman"/>
          <w:sz w:val="22"/>
          <w:szCs w:val="22"/>
        </w:rPr>
      </w:pPr>
      <w:r w:rsidRPr="004068EE">
        <w:rPr>
          <w:rFonts w:ascii="Times New Roman" w:hAnsi="Times New Roman"/>
          <w:sz w:val="22"/>
          <w:szCs w:val="22"/>
        </w:rPr>
        <w:t xml:space="preserve">will not result in unjust or unreasonable rates; </w:t>
      </w:r>
    </w:p>
    <w:p w14:paraId="710ED8E9" w14:textId="77777777" w:rsidR="0032184E" w:rsidRPr="004068EE" w:rsidRDefault="0032184E" w:rsidP="00756E31">
      <w:pPr>
        <w:widowControl/>
        <w:suppressAutoHyphens/>
        <w:ind w:left="2880" w:hanging="720"/>
        <w:rPr>
          <w:rFonts w:ascii="Times New Roman" w:hAnsi="Times New Roman"/>
          <w:sz w:val="22"/>
          <w:szCs w:val="22"/>
        </w:rPr>
      </w:pPr>
    </w:p>
    <w:p w14:paraId="61A44732" w14:textId="77777777" w:rsidR="0032184E" w:rsidRPr="004068EE" w:rsidRDefault="0032184E" w:rsidP="00756E31">
      <w:pPr>
        <w:widowControl/>
        <w:numPr>
          <w:ilvl w:val="0"/>
          <w:numId w:val="8"/>
        </w:numPr>
        <w:suppressAutoHyphens/>
        <w:ind w:left="2880" w:hanging="720"/>
        <w:rPr>
          <w:rFonts w:ascii="Times New Roman" w:hAnsi="Times New Roman"/>
          <w:sz w:val="22"/>
          <w:szCs w:val="22"/>
        </w:rPr>
      </w:pPr>
      <w:r w:rsidRPr="004068EE">
        <w:rPr>
          <w:rFonts w:ascii="Times New Roman" w:hAnsi="Times New Roman"/>
          <w:sz w:val="22"/>
          <w:szCs w:val="22"/>
        </w:rPr>
        <w:t>will not have a negative impact on the provision of safe, adequate and reliable service;</w:t>
      </w:r>
      <w:r w:rsidR="00BD56C1" w:rsidRPr="004068EE">
        <w:rPr>
          <w:rFonts w:ascii="Times New Roman" w:hAnsi="Times New Roman"/>
          <w:sz w:val="22"/>
          <w:szCs w:val="22"/>
        </w:rPr>
        <w:t xml:space="preserve"> and</w:t>
      </w:r>
    </w:p>
    <w:p w14:paraId="764C405F" w14:textId="77777777" w:rsidR="0032184E" w:rsidRPr="004068EE" w:rsidRDefault="0032184E" w:rsidP="00756E31">
      <w:pPr>
        <w:widowControl/>
        <w:suppressAutoHyphens/>
        <w:ind w:left="2880" w:hanging="720"/>
        <w:rPr>
          <w:rFonts w:ascii="Times New Roman" w:hAnsi="Times New Roman"/>
          <w:sz w:val="22"/>
          <w:szCs w:val="22"/>
        </w:rPr>
      </w:pPr>
    </w:p>
    <w:p w14:paraId="664E7C56" w14:textId="77777777" w:rsidR="002443C3" w:rsidRPr="004068EE" w:rsidRDefault="00BD56C1" w:rsidP="00756E31">
      <w:pPr>
        <w:widowControl/>
        <w:suppressAutoHyphens/>
        <w:ind w:left="2880" w:hanging="720"/>
        <w:rPr>
          <w:rFonts w:ascii="Times New Roman" w:hAnsi="Times New Roman"/>
          <w:sz w:val="22"/>
          <w:szCs w:val="22"/>
        </w:rPr>
      </w:pPr>
      <w:r w:rsidRPr="004068EE">
        <w:rPr>
          <w:rFonts w:ascii="Times New Roman" w:hAnsi="Times New Roman"/>
          <w:sz w:val="22"/>
          <w:szCs w:val="22"/>
        </w:rPr>
        <w:t>d.</w:t>
      </w:r>
      <w:r w:rsidRPr="004068EE">
        <w:rPr>
          <w:rFonts w:ascii="Times New Roman" w:hAnsi="Times New Roman"/>
          <w:sz w:val="22"/>
          <w:szCs w:val="22"/>
        </w:rPr>
        <w:tab/>
      </w:r>
      <w:r w:rsidR="00B5638C" w:rsidRPr="004068EE">
        <w:rPr>
          <w:rFonts w:ascii="Times New Roman" w:hAnsi="Times New Roman"/>
          <w:sz w:val="22"/>
          <w:szCs w:val="22"/>
        </w:rPr>
        <w:t xml:space="preserve">that </w:t>
      </w:r>
      <w:r w:rsidRPr="004068EE">
        <w:rPr>
          <w:rFonts w:ascii="Times New Roman" w:hAnsi="Times New Roman"/>
          <w:sz w:val="22"/>
          <w:szCs w:val="22"/>
        </w:rPr>
        <w:t>t</w:t>
      </w:r>
      <w:r w:rsidR="0032184E" w:rsidRPr="004068EE">
        <w:rPr>
          <w:rFonts w:ascii="Times New Roman" w:hAnsi="Times New Roman"/>
          <w:sz w:val="22"/>
          <w:szCs w:val="22"/>
        </w:rPr>
        <w:t>he water utility seeking the waiver has the adequate technical, financial and administrative capacity to perform the waived function or requirement.</w:t>
      </w:r>
    </w:p>
    <w:p w14:paraId="6C04EAF2" w14:textId="77777777" w:rsidR="0032184E" w:rsidRPr="004068EE" w:rsidRDefault="0032184E" w:rsidP="00756E31">
      <w:pPr>
        <w:widowControl/>
        <w:suppressAutoHyphens/>
        <w:ind w:left="2880" w:hanging="630"/>
        <w:rPr>
          <w:rFonts w:ascii="Times New Roman" w:hAnsi="Times New Roman"/>
          <w:sz w:val="22"/>
          <w:szCs w:val="22"/>
        </w:rPr>
      </w:pPr>
    </w:p>
    <w:p w14:paraId="13B641D9" w14:textId="77777777" w:rsidR="001B0F9B" w:rsidRPr="004068EE" w:rsidRDefault="0032184E" w:rsidP="00756E31">
      <w:pPr>
        <w:keepNext/>
        <w:keepLines/>
        <w:widowControl/>
        <w:suppressAutoHyphens/>
        <w:ind w:left="2070" w:hanging="630"/>
        <w:rPr>
          <w:rFonts w:ascii="Times New Roman" w:hAnsi="Times New Roman"/>
          <w:sz w:val="22"/>
          <w:szCs w:val="22"/>
        </w:rPr>
      </w:pPr>
      <w:r w:rsidRPr="004068EE">
        <w:rPr>
          <w:rFonts w:ascii="Times New Roman" w:hAnsi="Times New Roman"/>
          <w:sz w:val="22"/>
          <w:szCs w:val="22"/>
        </w:rPr>
        <w:t>3.</w:t>
      </w:r>
      <w:r w:rsidRPr="004068EE">
        <w:rPr>
          <w:rFonts w:ascii="Times New Roman" w:hAnsi="Times New Roman"/>
          <w:sz w:val="22"/>
          <w:szCs w:val="22"/>
        </w:rPr>
        <w:tab/>
      </w:r>
      <w:r w:rsidR="00942C37" w:rsidRPr="004068EE">
        <w:rPr>
          <w:rFonts w:ascii="Times New Roman" w:hAnsi="Times New Roman"/>
          <w:b/>
          <w:sz w:val="22"/>
          <w:szCs w:val="22"/>
        </w:rPr>
        <w:t>Contents of the filing</w:t>
      </w:r>
      <w:r w:rsidRPr="004068EE">
        <w:rPr>
          <w:rFonts w:ascii="Times New Roman" w:hAnsi="Times New Roman"/>
          <w:sz w:val="22"/>
          <w:szCs w:val="22"/>
        </w:rPr>
        <w:t xml:space="preserve"> </w:t>
      </w:r>
    </w:p>
    <w:p w14:paraId="5208E617" w14:textId="77777777" w:rsidR="001B0F9B" w:rsidRPr="004068EE" w:rsidRDefault="001B0F9B" w:rsidP="00756E31">
      <w:pPr>
        <w:keepNext/>
        <w:keepLines/>
        <w:widowControl/>
        <w:suppressAutoHyphens/>
        <w:ind w:left="2070" w:hanging="630"/>
        <w:rPr>
          <w:rFonts w:ascii="Times New Roman" w:hAnsi="Times New Roman"/>
          <w:sz w:val="22"/>
          <w:szCs w:val="22"/>
        </w:rPr>
      </w:pPr>
    </w:p>
    <w:p w14:paraId="3A6FEC67" w14:textId="39AD96FD" w:rsidR="001B0F9B" w:rsidRPr="004068EE" w:rsidRDefault="001B0F9B" w:rsidP="00756E31">
      <w:pPr>
        <w:keepNext/>
        <w:keepLines/>
        <w:widowControl/>
        <w:suppressAutoHyphens/>
        <w:ind w:left="2880" w:hanging="720"/>
        <w:rPr>
          <w:rFonts w:ascii="Times New Roman" w:hAnsi="Times New Roman"/>
          <w:sz w:val="22"/>
          <w:szCs w:val="22"/>
        </w:rPr>
      </w:pPr>
      <w:r w:rsidRPr="004068EE">
        <w:rPr>
          <w:rFonts w:ascii="Times New Roman" w:hAnsi="Times New Roman"/>
          <w:sz w:val="22"/>
          <w:szCs w:val="22"/>
        </w:rPr>
        <w:t>a.</w:t>
      </w:r>
      <w:r w:rsidRPr="004068EE">
        <w:rPr>
          <w:rFonts w:ascii="Times New Roman" w:hAnsi="Times New Roman"/>
          <w:sz w:val="22"/>
          <w:szCs w:val="22"/>
        </w:rPr>
        <w:tab/>
        <w:t>S</w:t>
      </w:r>
      <w:r w:rsidR="0032184E" w:rsidRPr="004068EE">
        <w:rPr>
          <w:rFonts w:ascii="Times New Roman" w:hAnsi="Times New Roman"/>
          <w:sz w:val="22"/>
          <w:szCs w:val="22"/>
        </w:rPr>
        <w:t>ystems</w:t>
      </w:r>
      <w:r w:rsidRPr="004068EE">
        <w:rPr>
          <w:rFonts w:ascii="Times New Roman" w:hAnsi="Times New Roman"/>
          <w:sz w:val="22"/>
          <w:szCs w:val="22"/>
        </w:rPr>
        <w:t xml:space="preserve">, </w:t>
      </w:r>
      <w:r w:rsidR="0032184E" w:rsidRPr="004068EE">
        <w:rPr>
          <w:rFonts w:ascii="Times New Roman" w:hAnsi="Times New Roman"/>
          <w:sz w:val="22"/>
          <w:szCs w:val="22"/>
        </w:rPr>
        <w:t xml:space="preserve">policies, and other mechanisms by which the water utility will ensure </w:t>
      </w:r>
      <w:r w:rsidR="00B5638C" w:rsidRPr="004068EE">
        <w:rPr>
          <w:rFonts w:ascii="Times New Roman" w:hAnsi="Times New Roman"/>
          <w:sz w:val="22"/>
          <w:szCs w:val="22"/>
        </w:rPr>
        <w:t>its compliance</w:t>
      </w:r>
      <w:r w:rsidR="0032184E" w:rsidRPr="004068EE">
        <w:rPr>
          <w:rFonts w:ascii="Times New Roman" w:hAnsi="Times New Roman"/>
          <w:sz w:val="22"/>
          <w:szCs w:val="22"/>
        </w:rPr>
        <w:t xml:space="preserve"> with statutory requirements of 35-A M.R.S. </w:t>
      </w:r>
      <w:r w:rsidR="008E38D7" w:rsidRPr="004068EE">
        <w:rPr>
          <w:rFonts w:ascii="Times New Roman" w:hAnsi="Times New Roman"/>
          <w:sz w:val="22"/>
          <w:szCs w:val="22"/>
        </w:rPr>
        <w:t>§</w:t>
      </w:r>
      <w:r w:rsidR="0032184E" w:rsidRPr="004068EE">
        <w:rPr>
          <w:rFonts w:ascii="Times New Roman" w:hAnsi="Times New Roman"/>
          <w:sz w:val="22"/>
          <w:szCs w:val="22"/>
        </w:rPr>
        <w:t>301 in the absence of Commission oversight</w:t>
      </w:r>
      <w:r w:rsidR="0076228B" w:rsidRPr="004068EE">
        <w:rPr>
          <w:rFonts w:ascii="Times New Roman" w:hAnsi="Times New Roman"/>
          <w:sz w:val="22"/>
          <w:szCs w:val="22"/>
        </w:rPr>
        <w:t>;</w:t>
      </w:r>
    </w:p>
    <w:p w14:paraId="72CD0268" w14:textId="77777777" w:rsidR="001B0F9B" w:rsidRPr="004068EE" w:rsidRDefault="001B0F9B" w:rsidP="00756E31">
      <w:pPr>
        <w:widowControl/>
        <w:suppressAutoHyphens/>
        <w:ind w:left="2610" w:hanging="450"/>
        <w:rPr>
          <w:rFonts w:ascii="Times New Roman" w:hAnsi="Times New Roman"/>
          <w:sz w:val="22"/>
          <w:szCs w:val="22"/>
        </w:rPr>
      </w:pPr>
    </w:p>
    <w:p w14:paraId="3DE24B90" w14:textId="77777777" w:rsidR="00E35635" w:rsidRPr="004068EE" w:rsidRDefault="001B0F9B" w:rsidP="00756E31">
      <w:pPr>
        <w:widowControl/>
        <w:suppressAutoHyphens/>
        <w:ind w:left="2880" w:hanging="720"/>
        <w:rPr>
          <w:rFonts w:ascii="Times New Roman" w:hAnsi="Times New Roman"/>
          <w:sz w:val="22"/>
          <w:szCs w:val="22"/>
        </w:rPr>
      </w:pPr>
      <w:r w:rsidRPr="004068EE">
        <w:rPr>
          <w:rFonts w:ascii="Times New Roman" w:hAnsi="Times New Roman"/>
          <w:sz w:val="22"/>
          <w:szCs w:val="22"/>
        </w:rPr>
        <w:t>b.</w:t>
      </w:r>
      <w:r w:rsidRPr="004068EE">
        <w:rPr>
          <w:rFonts w:ascii="Times New Roman" w:hAnsi="Times New Roman"/>
          <w:sz w:val="22"/>
          <w:szCs w:val="22"/>
        </w:rPr>
        <w:tab/>
        <w:t>The names and relevant credentials, licenses, and certifications of persons</w:t>
      </w:r>
      <w:r w:rsidR="00B5638C" w:rsidRPr="004068EE">
        <w:rPr>
          <w:rFonts w:ascii="Times New Roman" w:hAnsi="Times New Roman"/>
          <w:sz w:val="22"/>
          <w:szCs w:val="22"/>
        </w:rPr>
        <w:t xml:space="preserve"> employed or retained by the utility who will be</w:t>
      </w:r>
      <w:r w:rsidRPr="004068EE">
        <w:rPr>
          <w:rFonts w:ascii="Times New Roman" w:hAnsi="Times New Roman"/>
          <w:sz w:val="22"/>
          <w:szCs w:val="22"/>
        </w:rPr>
        <w:t xml:space="preserve"> responsible for maintaining safe, adequate, and reliable service in the absence of regulatory oversight</w:t>
      </w:r>
      <w:r w:rsidR="0076228B" w:rsidRPr="004068EE">
        <w:rPr>
          <w:rFonts w:ascii="Times New Roman" w:hAnsi="Times New Roman"/>
          <w:sz w:val="22"/>
          <w:szCs w:val="22"/>
        </w:rPr>
        <w:t>; and</w:t>
      </w:r>
    </w:p>
    <w:p w14:paraId="2D79AFDA" w14:textId="77777777" w:rsidR="006E33BC" w:rsidRPr="004068EE" w:rsidRDefault="006E33BC" w:rsidP="00756E31">
      <w:pPr>
        <w:widowControl/>
        <w:suppressAutoHyphens/>
        <w:ind w:left="2880" w:hanging="720"/>
        <w:rPr>
          <w:rFonts w:ascii="Times New Roman" w:hAnsi="Times New Roman"/>
          <w:sz w:val="22"/>
          <w:szCs w:val="22"/>
        </w:rPr>
      </w:pPr>
    </w:p>
    <w:p w14:paraId="305BFE2F" w14:textId="77777777" w:rsidR="006E33BC" w:rsidRPr="004068EE" w:rsidRDefault="006E33BC" w:rsidP="00756E31">
      <w:pPr>
        <w:widowControl/>
        <w:numPr>
          <w:ilvl w:val="0"/>
          <w:numId w:val="8"/>
        </w:numPr>
        <w:suppressAutoHyphens/>
        <w:ind w:left="2880" w:hanging="720"/>
        <w:rPr>
          <w:rFonts w:ascii="Times New Roman" w:hAnsi="Times New Roman"/>
          <w:sz w:val="22"/>
          <w:szCs w:val="22"/>
        </w:rPr>
      </w:pPr>
      <w:r w:rsidRPr="004068EE">
        <w:rPr>
          <w:rFonts w:ascii="Times New Roman" w:hAnsi="Times New Roman"/>
          <w:sz w:val="22"/>
          <w:szCs w:val="22"/>
        </w:rPr>
        <w:t xml:space="preserve">A description </w:t>
      </w:r>
      <w:r w:rsidR="00427BB1" w:rsidRPr="004068EE">
        <w:rPr>
          <w:rFonts w:ascii="Times New Roman" w:hAnsi="Times New Roman"/>
          <w:sz w:val="22"/>
          <w:szCs w:val="22"/>
        </w:rPr>
        <w:t>of system</w:t>
      </w:r>
      <w:r w:rsidRPr="004068EE">
        <w:rPr>
          <w:rFonts w:ascii="Times New Roman" w:hAnsi="Times New Roman"/>
          <w:sz w:val="22"/>
          <w:szCs w:val="22"/>
        </w:rPr>
        <w:t xml:space="preserve"> and process by which the utility is governed and the methods by which customers</w:t>
      </w:r>
      <w:r w:rsidRPr="004068EE">
        <w:rPr>
          <w:rFonts w:ascii="Times New Roman" w:eastAsia="Calibri" w:hAnsi="Times New Roman"/>
          <w:snapToGrid/>
          <w:sz w:val="22"/>
          <w:szCs w:val="22"/>
        </w:rPr>
        <w:t xml:space="preserve"> may participate in the governance of the utility.</w:t>
      </w:r>
      <w:r w:rsidRPr="004068EE">
        <w:rPr>
          <w:rFonts w:ascii="Times New Roman" w:hAnsi="Times New Roman"/>
          <w:sz w:val="22"/>
          <w:szCs w:val="22"/>
        </w:rPr>
        <w:t xml:space="preserve"> </w:t>
      </w:r>
    </w:p>
    <w:p w14:paraId="54332F8F" w14:textId="77777777" w:rsidR="0032184E" w:rsidRPr="004068EE" w:rsidRDefault="0032184E" w:rsidP="00756E31">
      <w:pPr>
        <w:widowControl/>
        <w:suppressAutoHyphens/>
        <w:ind w:left="2070" w:hanging="630"/>
        <w:rPr>
          <w:rFonts w:ascii="Times New Roman" w:hAnsi="Times New Roman"/>
          <w:sz w:val="22"/>
          <w:szCs w:val="22"/>
        </w:rPr>
      </w:pPr>
    </w:p>
    <w:p w14:paraId="4AB45CA9" w14:textId="77777777" w:rsidR="0032184E" w:rsidRPr="004068EE" w:rsidRDefault="0032184E" w:rsidP="00C217BC">
      <w:pPr>
        <w:widowControl/>
        <w:suppressAutoHyphens/>
        <w:ind w:left="2160" w:hanging="720"/>
        <w:rPr>
          <w:rFonts w:ascii="Times New Roman" w:hAnsi="Times New Roman"/>
          <w:sz w:val="22"/>
          <w:szCs w:val="22"/>
        </w:rPr>
      </w:pPr>
      <w:r w:rsidRPr="004068EE">
        <w:rPr>
          <w:rFonts w:ascii="Times New Roman" w:hAnsi="Times New Roman"/>
          <w:sz w:val="22"/>
          <w:szCs w:val="22"/>
        </w:rPr>
        <w:t>4.</w:t>
      </w:r>
      <w:r w:rsidRPr="004068EE">
        <w:rPr>
          <w:rFonts w:ascii="Times New Roman" w:hAnsi="Times New Roman"/>
          <w:sz w:val="22"/>
          <w:szCs w:val="22"/>
        </w:rPr>
        <w:tab/>
      </w:r>
      <w:r w:rsidRPr="004068EE">
        <w:rPr>
          <w:rFonts w:ascii="Times New Roman" w:hAnsi="Times New Roman"/>
          <w:b/>
          <w:sz w:val="22"/>
          <w:szCs w:val="22"/>
        </w:rPr>
        <w:t>Required Documents</w:t>
      </w:r>
    </w:p>
    <w:p w14:paraId="0453A5D3" w14:textId="77777777" w:rsidR="0032184E" w:rsidRPr="004068EE" w:rsidRDefault="0032184E" w:rsidP="00756E31">
      <w:pPr>
        <w:widowControl/>
        <w:suppressAutoHyphens/>
        <w:ind w:left="2880" w:hanging="1440"/>
        <w:rPr>
          <w:rFonts w:ascii="Times New Roman" w:hAnsi="Times New Roman"/>
          <w:sz w:val="22"/>
          <w:szCs w:val="22"/>
        </w:rPr>
      </w:pPr>
    </w:p>
    <w:p w14:paraId="180D4EBF" w14:textId="77777777" w:rsidR="0032184E" w:rsidRPr="004068EE" w:rsidRDefault="0032184E" w:rsidP="00756E31">
      <w:pPr>
        <w:widowControl/>
        <w:numPr>
          <w:ilvl w:val="0"/>
          <w:numId w:val="9"/>
        </w:numPr>
        <w:suppressAutoHyphens/>
        <w:ind w:left="2880" w:hanging="720"/>
        <w:rPr>
          <w:rFonts w:ascii="Times New Roman" w:hAnsi="Times New Roman"/>
          <w:sz w:val="22"/>
          <w:szCs w:val="22"/>
        </w:rPr>
      </w:pPr>
      <w:r w:rsidRPr="004068EE">
        <w:rPr>
          <w:rFonts w:ascii="Times New Roman" w:hAnsi="Times New Roman"/>
          <w:sz w:val="22"/>
          <w:szCs w:val="22"/>
        </w:rPr>
        <w:t>Records of any Significant Deficiency found to be present by the Maine Drinking Water Program within the water utility’s system during the past five years;</w:t>
      </w:r>
    </w:p>
    <w:p w14:paraId="5192A69D" w14:textId="77777777" w:rsidR="00B5638C" w:rsidRPr="004068EE" w:rsidRDefault="00B5638C" w:rsidP="00756E31">
      <w:pPr>
        <w:widowControl/>
        <w:suppressAutoHyphens/>
        <w:ind w:left="2880" w:hanging="720"/>
        <w:rPr>
          <w:rFonts w:ascii="Times New Roman" w:hAnsi="Times New Roman"/>
          <w:sz w:val="22"/>
          <w:szCs w:val="22"/>
        </w:rPr>
      </w:pPr>
    </w:p>
    <w:p w14:paraId="020EBBD7" w14:textId="283C664E" w:rsidR="00B5638C" w:rsidRPr="004068EE" w:rsidRDefault="00C217BC" w:rsidP="00756E31">
      <w:pPr>
        <w:widowControl/>
        <w:numPr>
          <w:ilvl w:val="0"/>
          <w:numId w:val="9"/>
        </w:numPr>
        <w:suppressAutoHyphens/>
        <w:ind w:left="2880" w:hanging="720"/>
        <w:rPr>
          <w:rFonts w:ascii="Times New Roman" w:hAnsi="Times New Roman"/>
          <w:sz w:val="22"/>
          <w:szCs w:val="22"/>
        </w:rPr>
      </w:pPr>
      <w:r w:rsidRPr="004068EE">
        <w:rPr>
          <w:rFonts w:ascii="Times New Roman" w:hAnsi="Times New Roman"/>
          <w:sz w:val="22"/>
          <w:szCs w:val="22"/>
        </w:rPr>
        <w:t>A s</w:t>
      </w:r>
      <w:r w:rsidR="006E33BC" w:rsidRPr="004068EE">
        <w:rPr>
          <w:rFonts w:ascii="Times New Roman" w:hAnsi="Times New Roman"/>
          <w:sz w:val="22"/>
          <w:szCs w:val="22"/>
        </w:rPr>
        <w:t>tatement that utility has filed its annual report</w:t>
      </w:r>
      <w:r w:rsidRPr="004068EE">
        <w:rPr>
          <w:rFonts w:ascii="Times New Roman" w:hAnsi="Times New Roman"/>
          <w:sz w:val="22"/>
          <w:szCs w:val="22"/>
        </w:rPr>
        <w:t xml:space="preserve"> with the Commission</w:t>
      </w:r>
      <w:r w:rsidR="006E33BC" w:rsidRPr="004068EE">
        <w:rPr>
          <w:rFonts w:ascii="Times New Roman" w:hAnsi="Times New Roman"/>
          <w:sz w:val="22"/>
          <w:szCs w:val="22"/>
        </w:rPr>
        <w:t xml:space="preserve"> for the most recent reporting period, if the utility is required to file an annual report;</w:t>
      </w:r>
    </w:p>
    <w:p w14:paraId="0A48E2AD" w14:textId="77777777" w:rsidR="006E33BC" w:rsidRPr="004068EE" w:rsidRDefault="006E33BC" w:rsidP="00756E31">
      <w:pPr>
        <w:pStyle w:val="ListParagraph"/>
        <w:spacing w:after="0"/>
        <w:ind w:left="2880" w:hanging="720"/>
        <w:rPr>
          <w:rFonts w:ascii="Times New Roman" w:hAnsi="Times New Roman"/>
        </w:rPr>
      </w:pPr>
    </w:p>
    <w:p w14:paraId="292CC9D6" w14:textId="77777777" w:rsidR="006E33BC" w:rsidRPr="004068EE" w:rsidRDefault="006E33BC" w:rsidP="00756E31">
      <w:pPr>
        <w:widowControl/>
        <w:numPr>
          <w:ilvl w:val="0"/>
          <w:numId w:val="9"/>
        </w:numPr>
        <w:suppressAutoHyphens/>
        <w:ind w:left="2880" w:hanging="720"/>
        <w:rPr>
          <w:rFonts w:ascii="Times New Roman" w:hAnsi="Times New Roman"/>
          <w:sz w:val="22"/>
          <w:szCs w:val="22"/>
        </w:rPr>
      </w:pPr>
      <w:r w:rsidRPr="004068EE">
        <w:rPr>
          <w:rFonts w:ascii="Times New Roman" w:hAnsi="Times New Roman"/>
          <w:sz w:val="22"/>
          <w:szCs w:val="22"/>
        </w:rPr>
        <w:t>Copies of audited financial statements for the most recent financial reporting period, if the utility is required</w:t>
      </w:r>
      <w:r w:rsidR="00114449" w:rsidRPr="004068EE">
        <w:rPr>
          <w:rFonts w:ascii="Times New Roman" w:hAnsi="Times New Roman"/>
          <w:sz w:val="22"/>
          <w:szCs w:val="22"/>
        </w:rPr>
        <w:t xml:space="preserve"> </w:t>
      </w:r>
      <w:r w:rsidRPr="004068EE">
        <w:rPr>
          <w:rFonts w:ascii="Times New Roman" w:hAnsi="Times New Roman"/>
          <w:sz w:val="22"/>
          <w:szCs w:val="22"/>
        </w:rPr>
        <w:t>to prepare audited financial statements;</w:t>
      </w:r>
    </w:p>
    <w:p w14:paraId="3647F00C" w14:textId="77777777" w:rsidR="006E33BC" w:rsidRPr="004068EE" w:rsidRDefault="006E33BC" w:rsidP="00756E31">
      <w:pPr>
        <w:pStyle w:val="ListParagraph"/>
        <w:spacing w:after="0"/>
        <w:ind w:left="2880" w:hanging="720"/>
        <w:rPr>
          <w:rFonts w:ascii="Times New Roman" w:hAnsi="Times New Roman"/>
        </w:rPr>
      </w:pPr>
    </w:p>
    <w:p w14:paraId="00D0DABC" w14:textId="77777777" w:rsidR="006E33BC" w:rsidRPr="004068EE" w:rsidRDefault="006E33BC" w:rsidP="00756E31">
      <w:pPr>
        <w:widowControl/>
        <w:numPr>
          <w:ilvl w:val="0"/>
          <w:numId w:val="9"/>
        </w:numPr>
        <w:suppressAutoHyphens/>
        <w:ind w:left="2880" w:hanging="720"/>
        <w:rPr>
          <w:rFonts w:ascii="Times New Roman" w:hAnsi="Times New Roman"/>
          <w:sz w:val="22"/>
          <w:szCs w:val="22"/>
        </w:rPr>
      </w:pPr>
      <w:r w:rsidRPr="004068EE">
        <w:rPr>
          <w:rFonts w:ascii="Times New Roman" w:hAnsi="Times New Roman"/>
          <w:sz w:val="22"/>
          <w:szCs w:val="22"/>
        </w:rPr>
        <w:t>Copies of unaudited financial statements for the most recent financial reporting period, if the utility is required to prepare financial statements but is not required to prepare audited financial statements</w:t>
      </w:r>
      <w:r w:rsidR="0076228B" w:rsidRPr="004068EE">
        <w:rPr>
          <w:rFonts w:ascii="Times New Roman" w:hAnsi="Times New Roman"/>
          <w:sz w:val="22"/>
          <w:szCs w:val="22"/>
        </w:rPr>
        <w:t>;</w:t>
      </w:r>
    </w:p>
    <w:p w14:paraId="67641C56" w14:textId="77777777" w:rsidR="006E33BC" w:rsidRPr="004068EE" w:rsidRDefault="006E33BC" w:rsidP="00756E31">
      <w:pPr>
        <w:pStyle w:val="ListParagraph"/>
        <w:spacing w:after="0"/>
        <w:ind w:left="2880" w:hanging="720"/>
        <w:rPr>
          <w:rFonts w:ascii="Times New Roman" w:hAnsi="Times New Roman"/>
        </w:rPr>
      </w:pPr>
    </w:p>
    <w:p w14:paraId="069FF85F" w14:textId="77777777" w:rsidR="00906DD7" w:rsidRPr="004068EE" w:rsidRDefault="006E33BC" w:rsidP="00756E31">
      <w:pPr>
        <w:widowControl/>
        <w:numPr>
          <w:ilvl w:val="0"/>
          <w:numId w:val="9"/>
        </w:numPr>
        <w:suppressAutoHyphens/>
        <w:ind w:left="2880" w:hanging="720"/>
        <w:rPr>
          <w:rFonts w:ascii="Times New Roman" w:hAnsi="Times New Roman"/>
          <w:sz w:val="22"/>
          <w:szCs w:val="22"/>
        </w:rPr>
      </w:pPr>
      <w:r w:rsidRPr="004068EE">
        <w:rPr>
          <w:rFonts w:ascii="Times New Roman" w:hAnsi="Times New Roman"/>
          <w:sz w:val="22"/>
          <w:szCs w:val="22"/>
        </w:rPr>
        <w:t xml:space="preserve">Copies of the utility’s current trial balances if the utility is not required to prepare financial </w:t>
      </w:r>
      <w:r w:rsidR="00427BB1" w:rsidRPr="004068EE">
        <w:rPr>
          <w:rFonts w:ascii="Times New Roman" w:hAnsi="Times New Roman"/>
          <w:sz w:val="22"/>
          <w:szCs w:val="22"/>
        </w:rPr>
        <w:t>statements</w:t>
      </w:r>
      <w:r w:rsidR="0076228B" w:rsidRPr="004068EE">
        <w:rPr>
          <w:rFonts w:ascii="Times New Roman" w:hAnsi="Times New Roman"/>
          <w:sz w:val="22"/>
          <w:szCs w:val="22"/>
        </w:rPr>
        <w:t>;</w:t>
      </w:r>
      <w:r w:rsidRPr="004068EE">
        <w:rPr>
          <w:rFonts w:ascii="Times New Roman" w:hAnsi="Times New Roman"/>
          <w:sz w:val="22"/>
          <w:szCs w:val="22"/>
        </w:rPr>
        <w:t xml:space="preserve"> </w:t>
      </w:r>
    </w:p>
    <w:p w14:paraId="42080D62" w14:textId="77777777" w:rsidR="00906DD7" w:rsidRPr="004068EE" w:rsidRDefault="00906DD7" w:rsidP="00756E31">
      <w:pPr>
        <w:widowControl/>
        <w:suppressAutoHyphens/>
        <w:ind w:left="2880" w:hanging="720"/>
        <w:rPr>
          <w:rFonts w:ascii="Times New Roman" w:hAnsi="Times New Roman"/>
          <w:sz w:val="22"/>
          <w:szCs w:val="22"/>
        </w:rPr>
      </w:pPr>
    </w:p>
    <w:p w14:paraId="49F63D45" w14:textId="77777777" w:rsidR="00906DD7" w:rsidRPr="004068EE" w:rsidRDefault="00906DD7" w:rsidP="00756E31">
      <w:pPr>
        <w:widowControl/>
        <w:numPr>
          <w:ilvl w:val="0"/>
          <w:numId w:val="9"/>
        </w:numPr>
        <w:suppressAutoHyphens/>
        <w:ind w:left="2880" w:hanging="720"/>
        <w:rPr>
          <w:rFonts w:ascii="Times New Roman" w:hAnsi="Times New Roman"/>
          <w:sz w:val="22"/>
          <w:szCs w:val="22"/>
        </w:rPr>
      </w:pPr>
      <w:r w:rsidRPr="004068EE">
        <w:rPr>
          <w:rFonts w:ascii="Times New Roman" w:hAnsi="Times New Roman"/>
          <w:sz w:val="22"/>
          <w:szCs w:val="22"/>
        </w:rPr>
        <w:lastRenderedPageBreak/>
        <w:t>Copies of the notices sent to customers and published prior to the public meeting</w:t>
      </w:r>
      <w:r w:rsidR="0076228B" w:rsidRPr="004068EE">
        <w:rPr>
          <w:rFonts w:ascii="Times New Roman" w:hAnsi="Times New Roman"/>
          <w:sz w:val="22"/>
          <w:szCs w:val="22"/>
        </w:rPr>
        <w:t>;</w:t>
      </w:r>
    </w:p>
    <w:p w14:paraId="069963A6" w14:textId="77777777" w:rsidR="00906DD7" w:rsidRPr="004068EE" w:rsidRDefault="00906DD7" w:rsidP="00756E31">
      <w:pPr>
        <w:widowControl/>
        <w:suppressAutoHyphens/>
        <w:ind w:left="2880" w:hanging="720"/>
        <w:rPr>
          <w:rFonts w:ascii="Times New Roman" w:hAnsi="Times New Roman"/>
          <w:sz w:val="22"/>
          <w:szCs w:val="22"/>
        </w:rPr>
      </w:pPr>
    </w:p>
    <w:p w14:paraId="45909A24" w14:textId="77777777" w:rsidR="00906DD7" w:rsidRPr="004068EE" w:rsidRDefault="00906DD7" w:rsidP="00756E31">
      <w:pPr>
        <w:widowControl/>
        <w:suppressAutoHyphens/>
        <w:ind w:left="2880" w:hanging="720"/>
        <w:rPr>
          <w:rFonts w:ascii="Times New Roman" w:hAnsi="Times New Roman"/>
          <w:sz w:val="22"/>
          <w:szCs w:val="22"/>
        </w:rPr>
      </w:pPr>
      <w:r w:rsidRPr="004068EE">
        <w:rPr>
          <w:rFonts w:ascii="Times New Roman" w:hAnsi="Times New Roman"/>
          <w:sz w:val="22"/>
          <w:szCs w:val="22"/>
        </w:rPr>
        <w:t>g.</w:t>
      </w:r>
      <w:r w:rsidRPr="004068EE">
        <w:rPr>
          <w:rFonts w:ascii="Times New Roman" w:hAnsi="Times New Roman"/>
          <w:sz w:val="22"/>
          <w:szCs w:val="22"/>
        </w:rPr>
        <w:tab/>
      </w:r>
      <w:r w:rsidR="00544BA8" w:rsidRPr="004068EE">
        <w:rPr>
          <w:rFonts w:ascii="Times New Roman" w:hAnsi="Times New Roman"/>
          <w:sz w:val="22"/>
          <w:szCs w:val="22"/>
        </w:rPr>
        <w:t xml:space="preserve">Copies of </w:t>
      </w:r>
      <w:r w:rsidR="00F94412" w:rsidRPr="004068EE">
        <w:rPr>
          <w:rFonts w:ascii="Times New Roman" w:hAnsi="Times New Roman"/>
          <w:sz w:val="22"/>
          <w:szCs w:val="22"/>
        </w:rPr>
        <w:t>any minutes or other documents recording the decision of the water utility’s decision to seek an exemption</w:t>
      </w:r>
      <w:r w:rsidR="0076228B" w:rsidRPr="004068EE">
        <w:rPr>
          <w:rFonts w:ascii="Times New Roman" w:hAnsi="Times New Roman"/>
          <w:sz w:val="22"/>
          <w:szCs w:val="22"/>
        </w:rPr>
        <w:t>; and</w:t>
      </w:r>
    </w:p>
    <w:p w14:paraId="577631D1" w14:textId="77777777" w:rsidR="00906DD7" w:rsidRPr="004068EE" w:rsidRDefault="00906DD7" w:rsidP="00756E31">
      <w:pPr>
        <w:widowControl/>
        <w:suppressAutoHyphens/>
        <w:ind w:left="2880" w:hanging="720"/>
        <w:rPr>
          <w:rFonts w:ascii="Times New Roman" w:hAnsi="Times New Roman"/>
          <w:sz w:val="22"/>
          <w:szCs w:val="22"/>
        </w:rPr>
      </w:pPr>
    </w:p>
    <w:p w14:paraId="6C61F77D" w14:textId="686FC084" w:rsidR="00544BA8" w:rsidRPr="004068EE" w:rsidRDefault="00906DD7" w:rsidP="00756E31">
      <w:pPr>
        <w:widowControl/>
        <w:suppressAutoHyphens/>
        <w:ind w:left="2880" w:hanging="720"/>
        <w:rPr>
          <w:rFonts w:ascii="Times New Roman" w:hAnsi="Times New Roman"/>
          <w:sz w:val="22"/>
          <w:szCs w:val="22"/>
        </w:rPr>
      </w:pPr>
      <w:r w:rsidRPr="004068EE">
        <w:rPr>
          <w:rFonts w:ascii="Times New Roman" w:hAnsi="Times New Roman"/>
          <w:sz w:val="22"/>
          <w:szCs w:val="22"/>
        </w:rPr>
        <w:t>h.</w:t>
      </w:r>
      <w:r w:rsidRPr="004068EE">
        <w:rPr>
          <w:rFonts w:ascii="Times New Roman" w:hAnsi="Times New Roman"/>
          <w:sz w:val="22"/>
          <w:szCs w:val="22"/>
        </w:rPr>
        <w:tab/>
      </w:r>
      <w:r w:rsidR="006D7DEF" w:rsidRPr="004068EE">
        <w:rPr>
          <w:rFonts w:ascii="Times New Roman" w:hAnsi="Times New Roman"/>
          <w:sz w:val="22"/>
          <w:szCs w:val="22"/>
        </w:rPr>
        <w:t xml:space="preserve">Benchmarks, </w:t>
      </w:r>
      <w:r w:rsidR="00544BA8" w:rsidRPr="004068EE">
        <w:rPr>
          <w:rFonts w:ascii="Times New Roman" w:hAnsi="Times New Roman"/>
          <w:sz w:val="22"/>
          <w:szCs w:val="22"/>
        </w:rPr>
        <w:t>ratios</w:t>
      </w:r>
      <w:r w:rsidR="00C217BC" w:rsidRPr="004068EE">
        <w:rPr>
          <w:rFonts w:ascii="Times New Roman" w:hAnsi="Times New Roman"/>
          <w:sz w:val="22"/>
          <w:szCs w:val="22"/>
        </w:rPr>
        <w:t>,</w:t>
      </w:r>
      <w:r w:rsidR="00544BA8" w:rsidRPr="004068EE">
        <w:rPr>
          <w:rFonts w:ascii="Times New Roman" w:hAnsi="Times New Roman"/>
          <w:sz w:val="22"/>
          <w:szCs w:val="22"/>
        </w:rPr>
        <w:t xml:space="preserve"> </w:t>
      </w:r>
      <w:r w:rsidR="006D7DEF" w:rsidRPr="004068EE">
        <w:rPr>
          <w:rFonts w:ascii="Times New Roman" w:hAnsi="Times New Roman"/>
          <w:sz w:val="22"/>
          <w:szCs w:val="22"/>
        </w:rPr>
        <w:t xml:space="preserve">and other documents </w:t>
      </w:r>
      <w:r w:rsidR="00544BA8" w:rsidRPr="004068EE">
        <w:rPr>
          <w:rFonts w:ascii="Times New Roman" w:hAnsi="Times New Roman"/>
          <w:sz w:val="22"/>
          <w:szCs w:val="22"/>
        </w:rPr>
        <w:t>listed in Appendix A for the previous three calendar years prior to the exemption request.</w:t>
      </w:r>
    </w:p>
    <w:p w14:paraId="05606B14" w14:textId="77777777" w:rsidR="0032184E" w:rsidRPr="004068EE" w:rsidRDefault="0032184E" w:rsidP="00756E31">
      <w:pPr>
        <w:widowControl/>
        <w:suppressAutoHyphens/>
        <w:ind w:left="2880" w:hanging="450"/>
        <w:rPr>
          <w:rFonts w:ascii="Times New Roman" w:hAnsi="Times New Roman"/>
          <w:sz w:val="22"/>
          <w:szCs w:val="22"/>
        </w:rPr>
      </w:pPr>
    </w:p>
    <w:p w14:paraId="5EF88AB2" w14:textId="2B3CB29C" w:rsidR="006B4E8E" w:rsidRPr="004068EE" w:rsidRDefault="006B4E8E" w:rsidP="00756E31">
      <w:pPr>
        <w:widowControl/>
        <w:suppressLineNumbers/>
        <w:suppressAutoHyphens/>
        <w:rPr>
          <w:rFonts w:ascii="Times New Roman" w:hAnsi="Times New Roman"/>
          <w:sz w:val="22"/>
          <w:szCs w:val="22"/>
        </w:rPr>
      </w:pPr>
      <w:r w:rsidRPr="004068EE">
        <w:rPr>
          <w:rFonts w:ascii="Times New Roman" w:hAnsi="Times New Roman"/>
          <w:sz w:val="22"/>
          <w:szCs w:val="22"/>
        </w:rPr>
        <w:tab/>
      </w:r>
      <w:r w:rsidR="0032184E" w:rsidRPr="004068EE">
        <w:rPr>
          <w:rFonts w:ascii="Times New Roman" w:hAnsi="Times New Roman"/>
          <w:sz w:val="22"/>
          <w:szCs w:val="22"/>
        </w:rPr>
        <w:t>C</w:t>
      </w:r>
      <w:r w:rsidRPr="004068EE">
        <w:rPr>
          <w:rFonts w:ascii="Times New Roman" w:hAnsi="Times New Roman"/>
          <w:sz w:val="22"/>
          <w:szCs w:val="22"/>
        </w:rPr>
        <w:t>.</w:t>
      </w:r>
      <w:r w:rsidRPr="004068EE">
        <w:rPr>
          <w:rFonts w:ascii="Times New Roman" w:hAnsi="Times New Roman"/>
          <w:sz w:val="22"/>
          <w:szCs w:val="22"/>
        </w:rPr>
        <w:tab/>
      </w:r>
      <w:r w:rsidR="00E26DBD" w:rsidRPr="004068EE">
        <w:rPr>
          <w:rFonts w:ascii="Times New Roman" w:hAnsi="Times New Roman"/>
          <w:b/>
          <w:sz w:val="22"/>
          <w:szCs w:val="22"/>
        </w:rPr>
        <w:t>Process u</w:t>
      </w:r>
      <w:r w:rsidR="0032184E" w:rsidRPr="004068EE">
        <w:rPr>
          <w:rFonts w:ascii="Times New Roman" w:hAnsi="Times New Roman"/>
          <w:b/>
          <w:sz w:val="22"/>
          <w:szCs w:val="22"/>
        </w:rPr>
        <w:t>pon Filing Petition for Exemption</w:t>
      </w:r>
    </w:p>
    <w:p w14:paraId="7FEDC3D9" w14:textId="77777777" w:rsidR="006B4E8E" w:rsidRPr="004068EE" w:rsidRDefault="006B4E8E" w:rsidP="00756E31">
      <w:pPr>
        <w:widowControl/>
        <w:suppressLineNumbers/>
        <w:suppressAutoHyphens/>
        <w:rPr>
          <w:rFonts w:ascii="Times New Roman" w:hAnsi="Times New Roman"/>
          <w:sz w:val="22"/>
          <w:szCs w:val="22"/>
        </w:rPr>
      </w:pPr>
    </w:p>
    <w:p w14:paraId="5F7F5F54" w14:textId="5FACAE19" w:rsidR="006B4E8E" w:rsidRPr="004068EE" w:rsidRDefault="0032184E" w:rsidP="00756E31">
      <w:pPr>
        <w:widowControl/>
        <w:numPr>
          <w:ilvl w:val="0"/>
          <w:numId w:val="10"/>
        </w:numPr>
        <w:suppressLineNumbers/>
        <w:suppressAutoHyphens/>
        <w:ind w:left="2160" w:right="-180" w:hanging="720"/>
        <w:rPr>
          <w:rFonts w:ascii="Times New Roman" w:hAnsi="Times New Roman"/>
          <w:sz w:val="22"/>
          <w:szCs w:val="22"/>
        </w:rPr>
      </w:pPr>
      <w:r w:rsidRPr="004068EE">
        <w:rPr>
          <w:rFonts w:ascii="Times New Roman" w:hAnsi="Times New Roman"/>
          <w:sz w:val="22"/>
          <w:szCs w:val="22"/>
        </w:rPr>
        <w:t xml:space="preserve">The Commission </w:t>
      </w:r>
      <w:r w:rsidR="00C217BC" w:rsidRPr="004068EE">
        <w:rPr>
          <w:rFonts w:ascii="Times New Roman" w:hAnsi="Times New Roman"/>
          <w:sz w:val="22"/>
          <w:szCs w:val="22"/>
        </w:rPr>
        <w:t xml:space="preserve">will </w:t>
      </w:r>
      <w:r w:rsidRPr="004068EE">
        <w:rPr>
          <w:rFonts w:ascii="Times New Roman" w:hAnsi="Times New Roman"/>
          <w:sz w:val="22"/>
          <w:szCs w:val="22"/>
        </w:rPr>
        <w:t>review the petition and seek comment from the Office of the Public Advocate and any interested parties.</w:t>
      </w:r>
      <w:r w:rsidR="00114449" w:rsidRPr="004068EE">
        <w:rPr>
          <w:rFonts w:ascii="Times New Roman" w:hAnsi="Times New Roman"/>
          <w:sz w:val="22"/>
          <w:szCs w:val="22"/>
        </w:rPr>
        <w:t xml:space="preserve"> </w:t>
      </w:r>
      <w:r w:rsidR="00942C37" w:rsidRPr="004068EE">
        <w:rPr>
          <w:rFonts w:ascii="Times New Roman" w:hAnsi="Times New Roman"/>
          <w:sz w:val="22"/>
          <w:szCs w:val="22"/>
        </w:rPr>
        <w:t xml:space="preserve">Interested persons </w:t>
      </w:r>
      <w:r w:rsidR="00D61DEB" w:rsidRPr="004068EE">
        <w:rPr>
          <w:rFonts w:ascii="Times New Roman" w:hAnsi="Times New Roman"/>
          <w:sz w:val="22"/>
          <w:szCs w:val="22"/>
        </w:rPr>
        <w:t xml:space="preserve">will have </w:t>
      </w:r>
      <w:r w:rsidR="00544BA8" w:rsidRPr="004068EE">
        <w:rPr>
          <w:rFonts w:ascii="Times New Roman" w:hAnsi="Times New Roman"/>
          <w:sz w:val="22"/>
          <w:szCs w:val="22"/>
        </w:rPr>
        <w:t xml:space="preserve">30 </w:t>
      </w:r>
      <w:r w:rsidR="00D61DEB" w:rsidRPr="004068EE">
        <w:rPr>
          <w:rFonts w:ascii="Times New Roman" w:hAnsi="Times New Roman"/>
          <w:sz w:val="22"/>
          <w:szCs w:val="22"/>
        </w:rPr>
        <w:t>days to file comments and w</w:t>
      </w:r>
      <w:r w:rsidRPr="004068EE">
        <w:rPr>
          <w:rFonts w:ascii="Times New Roman" w:hAnsi="Times New Roman"/>
          <w:sz w:val="22"/>
          <w:szCs w:val="22"/>
        </w:rPr>
        <w:t xml:space="preserve">ithin </w:t>
      </w:r>
      <w:r w:rsidR="000D0A62" w:rsidRPr="004068EE">
        <w:rPr>
          <w:rFonts w:ascii="Times New Roman" w:hAnsi="Times New Roman"/>
          <w:sz w:val="22"/>
          <w:szCs w:val="22"/>
        </w:rPr>
        <w:t>12</w:t>
      </w:r>
      <w:r w:rsidRPr="004068EE">
        <w:rPr>
          <w:rFonts w:ascii="Times New Roman" w:hAnsi="Times New Roman"/>
          <w:sz w:val="22"/>
          <w:szCs w:val="22"/>
        </w:rPr>
        <w:t>0 days the Commission shall either issue an order resolving the petition or initiate an investigation of the requested exemption.</w:t>
      </w:r>
    </w:p>
    <w:p w14:paraId="34791154" w14:textId="77777777" w:rsidR="00E974E3" w:rsidRPr="004068EE" w:rsidRDefault="00E974E3" w:rsidP="00756E31">
      <w:pPr>
        <w:widowControl/>
        <w:suppressLineNumbers/>
        <w:suppressAutoHyphens/>
        <w:ind w:left="2160"/>
        <w:rPr>
          <w:rFonts w:ascii="Times New Roman" w:hAnsi="Times New Roman"/>
          <w:sz w:val="22"/>
          <w:szCs w:val="22"/>
        </w:rPr>
      </w:pPr>
    </w:p>
    <w:p w14:paraId="239A8801" w14:textId="5408A2F3" w:rsidR="0032184E" w:rsidRPr="004068EE" w:rsidRDefault="0032184E" w:rsidP="00756E31">
      <w:pPr>
        <w:widowControl/>
        <w:numPr>
          <w:ilvl w:val="0"/>
          <w:numId w:val="10"/>
        </w:numPr>
        <w:suppressLineNumbers/>
        <w:suppressAutoHyphens/>
        <w:ind w:left="2160" w:hanging="720"/>
        <w:rPr>
          <w:rFonts w:ascii="Times New Roman" w:hAnsi="Times New Roman"/>
          <w:sz w:val="22"/>
          <w:szCs w:val="22"/>
        </w:rPr>
      </w:pPr>
      <w:r w:rsidRPr="004068EE">
        <w:rPr>
          <w:rFonts w:ascii="Times New Roman" w:hAnsi="Times New Roman"/>
          <w:sz w:val="22"/>
          <w:szCs w:val="22"/>
        </w:rPr>
        <w:t>An investigation initiated</w:t>
      </w:r>
      <w:r w:rsidR="00E974E3" w:rsidRPr="004068EE">
        <w:rPr>
          <w:rFonts w:ascii="Times New Roman" w:hAnsi="Times New Roman"/>
          <w:sz w:val="22"/>
          <w:szCs w:val="22"/>
        </w:rPr>
        <w:t xml:space="preserve"> under</w:t>
      </w:r>
      <w:r w:rsidRPr="004068EE">
        <w:rPr>
          <w:rFonts w:ascii="Times New Roman" w:hAnsi="Times New Roman"/>
          <w:sz w:val="22"/>
          <w:szCs w:val="22"/>
        </w:rPr>
        <w:t xml:space="preserve"> to this </w:t>
      </w:r>
      <w:r w:rsidR="00C217BC" w:rsidRPr="004068EE">
        <w:rPr>
          <w:rFonts w:ascii="Times New Roman" w:hAnsi="Times New Roman"/>
          <w:sz w:val="22"/>
          <w:szCs w:val="22"/>
        </w:rPr>
        <w:t>S</w:t>
      </w:r>
      <w:r w:rsidRPr="004068EE">
        <w:rPr>
          <w:rFonts w:ascii="Times New Roman" w:hAnsi="Times New Roman"/>
          <w:sz w:val="22"/>
          <w:szCs w:val="22"/>
        </w:rPr>
        <w:t xml:space="preserve">ection </w:t>
      </w:r>
      <w:r w:rsidR="00C217BC" w:rsidRPr="004068EE">
        <w:rPr>
          <w:rFonts w:ascii="Times New Roman" w:hAnsi="Times New Roman"/>
          <w:sz w:val="22"/>
          <w:szCs w:val="22"/>
        </w:rPr>
        <w:t>is</w:t>
      </w:r>
      <w:r w:rsidRPr="004068EE">
        <w:rPr>
          <w:rFonts w:ascii="Times New Roman" w:hAnsi="Times New Roman"/>
          <w:sz w:val="22"/>
          <w:szCs w:val="22"/>
        </w:rPr>
        <w:t xml:space="preserve"> an adjudicatory proceeding </w:t>
      </w:r>
      <w:r w:rsidR="00E974E3" w:rsidRPr="004068EE">
        <w:rPr>
          <w:rFonts w:ascii="Times New Roman" w:hAnsi="Times New Roman"/>
          <w:sz w:val="22"/>
          <w:szCs w:val="22"/>
        </w:rPr>
        <w:t xml:space="preserve">conducted </w:t>
      </w:r>
      <w:r w:rsidRPr="004068EE">
        <w:rPr>
          <w:rFonts w:ascii="Times New Roman" w:hAnsi="Times New Roman"/>
          <w:sz w:val="22"/>
          <w:szCs w:val="22"/>
        </w:rPr>
        <w:t xml:space="preserve">pursuant to </w:t>
      </w:r>
      <w:r w:rsidR="00E974E3" w:rsidRPr="004068EE">
        <w:rPr>
          <w:rFonts w:ascii="Times New Roman" w:hAnsi="Times New Roman"/>
          <w:sz w:val="22"/>
          <w:szCs w:val="22"/>
        </w:rPr>
        <w:t>Chapter 110 of the Commission’s rules.</w:t>
      </w:r>
    </w:p>
    <w:p w14:paraId="7A604296" w14:textId="77777777" w:rsidR="00C4255B" w:rsidRPr="004068EE" w:rsidRDefault="00C4255B" w:rsidP="00756E31">
      <w:pPr>
        <w:widowControl/>
        <w:suppressLineNumbers/>
        <w:suppressAutoHyphens/>
        <w:ind w:left="2160"/>
        <w:rPr>
          <w:rFonts w:ascii="Times New Roman" w:hAnsi="Times New Roman"/>
          <w:sz w:val="22"/>
          <w:szCs w:val="22"/>
        </w:rPr>
      </w:pPr>
    </w:p>
    <w:p w14:paraId="59E7657C" w14:textId="3A8CB6F9" w:rsidR="00E974E3" w:rsidRPr="004068EE" w:rsidRDefault="00E974E3" w:rsidP="00756E31">
      <w:pPr>
        <w:keepNext/>
        <w:keepLines/>
        <w:widowControl/>
        <w:suppressLineNumbers/>
        <w:suppressAutoHyphens/>
        <w:rPr>
          <w:rFonts w:ascii="Times New Roman" w:eastAsia="Calibri" w:hAnsi="Times New Roman"/>
          <w:b/>
          <w:snapToGrid/>
          <w:sz w:val="22"/>
          <w:szCs w:val="22"/>
        </w:rPr>
      </w:pPr>
      <w:r w:rsidRPr="004068EE">
        <w:rPr>
          <w:rFonts w:ascii="Times New Roman" w:eastAsia="Calibri" w:hAnsi="Times New Roman"/>
          <w:snapToGrid/>
          <w:sz w:val="22"/>
          <w:szCs w:val="22"/>
        </w:rPr>
        <w:tab/>
      </w:r>
      <w:r w:rsidR="00B921B9">
        <w:rPr>
          <w:rFonts w:ascii="Times New Roman" w:eastAsia="Calibri" w:hAnsi="Times New Roman"/>
          <w:snapToGrid/>
          <w:sz w:val="22"/>
          <w:szCs w:val="22"/>
        </w:rPr>
        <w:t>D</w:t>
      </w:r>
      <w:r w:rsidRPr="004068EE">
        <w:rPr>
          <w:rFonts w:ascii="Times New Roman" w:eastAsia="Calibri" w:hAnsi="Times New Roman"/>
          <w:snapToGrid/>
          <w:sz w:val="22"/>
          <w:szCs w:val="22"/>
        </w:rPr>
        <w:t>.</w:t>
      </w:r>
      <w:r w:rsidRPr="004068EE">
        <w:rPr>
          <w:rFonts w:ascii="Times New Roman" w:eastAsia="Calibri" w:hAnsi="Times New Roman"/>
          <w:snapToGrid/>
          <w:sz w:val="22"/>
          <w:szCs w:val="22"/>
        </w:rPr>
        <w:tab/>
      </w:r>
      <w:r w:rsidRPr="004068EE">
        <w:rPr>
          <w:rFonts w:ascii="Times New Roman" w:eastAsia="Calibri" w:hAnsi="Times New Roman"/>
          <w:b/>
          <w:snapToGrid/>
          <w:sz w:val="22"/>
          <w:szCs w:val="22"/>
        </w:rPr>
        <w:t xml:space="preserve">Exemption Proceedings </w:t>
      </w:r>
      <w:r w:rsidR="00942C37" w:rsidRPr="004068EE">
        <w:rPr>
          <w:rFonts w:ascii="Times New Roman" w:eastAsia="Calibri" w:hAnsi="Times New Roman"/>
          <w:b/>
          <w:snapToGrid/>
          <w:sz w:val="22"/>
          <w:szCs w:val="22"/>
        </w:rPr>
        <w:t>I</w:t>
      </w:r>
      <w:r w:rsidRPr="004068EE">
        <w:rPr>
          <w:rFonts w:ascii="Times New Roman" w:eastAsia="Calibri" w:hAnsi="Times New Roman"/>
          <w:b/>
          <w:snapToGrid/>
          <w:sz w:val="22"/>
          <w:szCs w:val="22"/>
        </w:rPr>
        <w:t>nitiated by the Commission</w:t>
      </w:r>
    </w:p>
    <w:p w14:paraId="1D2D1C97" w14:textId="77777777" w:rsidR="00E974E3" w:rsidRPr="004068EE" w:rsidRDefault="00E974E3" w:rsidP="00756E31">
      <w:pPr>
        <w:keepNext/>
        <w:keepLines/>
        <w:widowControl/>
        <w:suppressLineNumbers/>
        <w:suppressAutoHyphens/>
        <w:ind w:left="1440"/>
        <w:rPr>
          <w:rFonts w:ascii="Times New Roman" w:eastAsia="Calibri" w:hAnsi="Times New Roman"/>
          <w:b/>
          <w:snapToGrid/>
          <w:sz w:val="22"/>
          <w:szCs w:val="22"/>
        </w:rPr>
      </w:pPr>
    </w:p>
    <w:p w14:paraId="66AE9ED3" w14:textId="00C1F8F2" w:rsidR="00E974E3" w:rsidRPr="004068EE" w:rsidRDefault="00E974E3" w:rsidP="00756E31">
      <w:pPr>
        <w:keepNext/>
        <w:keepLines/>
        <w:widowControl/>
        <w:suppressLineNumbers/>
        <w:suppressAutoHyphens/>
        <w:ind w:left="1440"/>
        <w:rPr>
          <w:rFonts w:ascii="Times New Roman" w:eastAsia="Calibri" w:hAnsi="Times New Roman"/>
          <w:snapToGrid/>
          <w:sz w:val="22"/>
          <w:szCs w:val="22"/>
        </w:rPr>
      </w:pPr>
      <w:r w:rsidRPr="004068EE">
        <w:rPr>
          <w:rFonts w:ascii="Times New Roman" w:eastAsia="Calibri" w:hAnsi="Times New Roman"/>
          <w:snapToGrid/>
          <w:sz w:val="22"/>
          <w:szCs w:val="22"/>
        </w:rPr>
        <w:t>The Commission may initiate a proceeding to propose an exemption from a regulatory requirement for a class of consumer</w:t>
      </w:r>
      <w:r w:rsidR="00942C37" w:rsidRPr="004068EE">
        <w:rPr>
          <w:rFonts w:ascii="Times New Roman" w:eastAsia="Calibri" w:hAnsi="Times New Roman"/>
          <w:snapToGrid/>
          <w:sz w:val="22"/>
          <w:szCs w:val="22"/>
        </w:rPr>
        <w:t>-</w:t>
      </w:r>
      <w:r w:rsidRPr="004068EE">
        <w:rPr>
          <w:rFonts w:ascii="Times New Roman" w:eastAsia="Calibri" w:hAnsi="Times New Roman"/>
          <w:snapToGrid/>
          <w:sz w:val="22"/>
          <w:szCs w:val="22"/>
        </w:rPr>
        <w:t xml:space="preserve">owned water utilities pursuant to 35-A M.R.S. </w:t>
      </w:r>
      <w:r w:rsidR="008E38D7" w:rsidRPr="004068EE">
        <w:rPr>
          <w:rFonts w:ascii="Times New Roman" w:eastAsia="Calibri" w:hAnsi="Times New Roman"/>
          <w:snapToGrid/>
          <w:sz w:val="22"/>
          <w:szCs w:val="22"/>
        </w:rPr>
        <w:t>§</w:t>
      </w:r>
      <w:r w:rsidR="00C4255B" w:rsidRPr="004068EE">
        <w:rPr>
          <w:rFonts w:ascii="Times New Roman" w:eastAsia="Calibri" w:hAnsi="Times New Roman"/>
          <w:snapToGrid/>
          <w:sz w:val="22"/>
          <w:szCs w:val="22"/>
        </w:rPr>
        <w:t>6</w:t>
      </w:r>
      <w:r w:rsidR="00297E08" w:rsidRPr="004068EE">
        <w:rPr>
          <w:rFonts w:ascii="Times New Roman" w:eastAsia="Calibri" w:hAnsi="Times New Roman"/>
          <w:snapToGrid/>
          <w:sz w:val="22"/>
          <w:szCs w:val="22"/>
        </w:rPr>
        <w:t>114</w:t>
      </w:r>
      <w:r w:rsidR="00C4255B" w:rsidRPr="004068EE">
        <w:rPr>
          <w:rFonts w:ascii="Times New Roman" w:eastAsia="Calibri" w:hAnsi="Times New Roman"/>
          <w:snapToGrid/>
          <w:sz w:val="22"/>
          <w:szCs w:val="22"/>
        </w:rPr>
        <w:t>.</w:t>
      </w:r>
      <w:r w:rsidR="00114449" w:rsidRPr="004068EE">
        <w:rPr>
          <w:rFonts w:ascii="Times New Roman" w:eastAsia="Calibri" w:hAnsi="Times New Roman"/>
          <w:snapToGrid/>
          <w:sz w:val="22"/>
          <w:szCs w:val="22"/>
        </w:rPr>
        <w:t xml:space="preserve"> </w:t>
      </w:r>
      <w:r w:rsidR="00C4255B" w:rsidRPr="004068EE">
        <w:rPr>
          <w:rFonts w:ascii="Times New Roman" w:eastAsia="Calibri" w:hAnsi="Times New Roman"/>
          <w:snapToGrid/>
          <w:sz w:val="22"/>
          <w:szCs w:val="22"/>
        </w:rPr>
        <w:t>Such a proceeding</w:t>
      </w:r>
      <w:r w:rsidRPr="004068EE">
        <w:rPr>
          <w:rFonts w:ascii="Times New Roman" w:eastAsia="Calibri" w:hAnsi="Times New Roman"/>
          <w:snapToGrid/>
          <w:sz w:val="22"/>
          <w:szCs w:val="22"/>
        </w:rPr>
        <w:t xml:space="preserve"> will be initiated by Notice to all consumer</w:t>
      </w:r>
      <w:r w:rsidR="0076228B" w:rsidRPr="004068EE">
        <w:rPr>
          <w:rFonts w:ascii="Times New Roman" w:eastAsia="Calibri" w:hAnsi="Times New Roman"/>
          <w:snapToGrid/>
          <w:sz w:val="22"/>
          <w:szCs w:val="22"/>
        </w:rPr>
        <w:t>-</w:t>
      </w:r>
      <w:r w:rsidRPr="004068EE">
        <w:rPr>
          <w:rFonts w:ascii="Times New Roman" w:eastAsia="Calibri" w:hAnsi="Times New Roman"/>
          <w:snapToGrid/>
          <w:sz w:val="22"/>
          <w:szCs w:val="22"/>
        </w:rPr>
        <w:t>owned water utilities and in</w:t>
      </w:r>
      <w:r w:rsidR="00C4255B" w:rsidRPr="004068EE">
        <w:rPr>
          <w:rFonts w:ascii="Times New Roman" w:eastAsia="Calibri" w:hAnsi="Times New Roman"/>
          <w:snapToGrid/>
          <w:sz w:val="22"/>
          <w:szCs w:val="22"/>
        </w:rPr>
        <w:t xml:space="preserve">terested </w:t>
      </w:r>
      <w:r w:rsidR="00942C37" w:rsidRPr="004068EE">
        <w:rPr>
          <w:rFonts w:ascii="Times New Roman" w:eastAsia="Calibri" w:hAnsi="Times New Roman"/>
          <w:snapToGrid/>
          <w:sz w:val="22"/>
          <w:szCs w:val="22"/>
        </w:rPr>
        <w:t>persons</w:t>
      </w:r>
      <w:r w:rsidR="00C4255B" w:rsidRPr="004068EE">
        <w:rPr>
          <w:rFonts w:ascii="Times New Roman" w:eastAsia="Calibri" w:hAnsi="Times New Roman"/>
          <w:snapToGrid/>
          <w:sz w:val="22"/>
          <w:szCs w:val="22"/>
        </w:rPr>
        <w:t>.</w:t>
      </w:r>
      <w:r w:rsidR="00114449" w:rsidRPr="004068EE">
        <w:rPr>
          <w:rFonts w:ascii="Times New Roman" w:eastAsia="Calibri" w:hAnsi="Times New Roman"/>
          <w:snapToGrid/>
          <w:sz w:val="22"/>
          <w:szCs w:val="22"/>
        </w:rPr>
        <w:t xml:space="preserve"> </w:t>
      </w:r>
      <w:r w:rsidR="00C4255B" w:rsidRPr="004068EE">
        <w:rPr>
          <w:rFonts w:ascii="Times New Roman" w:eastAsia="Calibri" w:hAnsi="Times New Roman"/>
          <w:snapToGrid/>
          <w:sz w:val="22"/>
          <w:szCs w:val="22"/>
        </w:rPr>
        <w:t>A proceeding</w:t>
      </w:r>
      <w:r w:rsidRPr="004068EE">
        <w:rPr>
          <w:rFonts w:ascii="Times New Roman" w:eastAsia="Calibri" w:hAnsi="Times New Roman"/>
          <w:snapToGrid/>
          <w:sz w:val="22"/>
          <w:szCs w:val="22"/>
        </w:rPr>
        <w:t xml:space="preserve"> initiated under this section will provide an opportunity for comment and participation by interested </w:t>
      </w:r>
      <w:r w:rsidR="00942C37" w:rsidRPr="004068EE">
        <w:rPr>
          <w:rFonts w:ascii="Times New Roman" w:eastAsia="Calibri" w:hAnsi="Times New Roman"/>
          <w:snapToGrid/>
          <w:sz w:val="22"/>
          <w:szCs w:val="22"/>
        </w:rPr>
        <w:t xml:space="preserve">persons </w:t>
      </w:r>
      <w:r w:rsidRPr="004068EE">
        <w:rPr>
          <w:rFonts w:ascii="Times New Roman" w:eastAsia="Calibri" w:hAnsi="Times New Roman"/>
          <w:snapToGrid/>
          <w:sz w:val="22"/>
          <w:szCs w:val="22"/>
        </w:rPr>
        <w:t>and the public.</w:t>
      </w:r>
    </w:p>
    <w:p w14:paraId="540FF9EA" w14:textId="77777777" w:rsidR="00517AC1" w:rsidRPr="004068EE" w:rsidRDefault="00517AC1" w:rsidP="00756E31">
      <w:pPr>
        <w:widowControl/>
        <w:suppressLineNumbers/>
        <w:suppressAutoHyphens/>
        <w:rPr>
          <w:rFonts w:ascii="Times New Roman" w:eastAsia="Calibri" w:hAnsi="Times New Roman"/>
          <w:b/>
          <w:snapToGrid/>
          <w:sz w:val="22"/>
          <w:szCs w:val="22"/>
        </w:rPr>
      </w:pPr>
    </w:p>
    <w:p w14:paraId="03F36A1E" w14:textId="77777777" w:rsidR="001960EB" w:rsidRPr="004068EE" w:rsidRDefault="001960EB" w:rsidP="00756E31">
      <w:pPr>
        <w:widowControl/>
        <w:suppressAutoHyphens/>
        <w:rPr>
          <w:rFonts w:ascii="Times New Roman" w:hAnsi="Times New Roman"/>
          <w:sz w:val="22"/>
          <w:szCs w:val="22"/>
        </w:rPr>
      </w:pPr>
    </w:p>
    <w:p w14:paraId="2C3AA7CA" w14:textId="77777777" w:rsidR="00BA098D" w:rsidRPr="004068EE" w:rsidRDefault="00E61CE2" w:rsidP="00756E31">
      <w:pPr>
        <w:widowControl/>
        <w:suppressAutoHyphens/>
        <w:rPr>
          <w:rFonts w:ascii="Times New Roman" w:hAnsi="Times New Roman"/>
          <w:sz w:val="22"/>
          <w:szCs w:val="22"/>
        </w:rPr>
      </w:pPr>
      <w:r w:rsidRPr="004068EE">
        <w:rPr>
          <w:rFonts w:ascii="Times New Roman" w:hAnsi="Times New Roman"/>
          <w:b/>
          <w:sz w:val="22"/>
          <w:szCs w:val="22"/>
        </w:rPr>
        <w:t>§ 4</w:t>
      </w:r>
      <w:r w:rsidR="00BA098D" w:rsidRPr="004068EE">
        <w:rPr>
          <w:rFonts w:ascii="Times New Roman" w:hAnsi="Times New Roman"/>
          <w:b/>
          <w:sz w:val="22"/>
          <w:szCs w:val="22"/>
        </w:rPr>
        <w:tab/>
      </w:r>
      <w:r w:rsidR="00517AC1" w:rsidRPr="004068EE">
        <w:rPr>
          <w:rFonts w:ascii="Times New Roman" w:hAnsi="Times New Roman"/>
          <w:b/>
          <w:sz w:val="22"/>
          <w:szCs w:val="22"/>
        </w:rPr>
        <w:t>PROCEEDING</w:t>
      </w:r>
      <w:r w:rsidR="00C7155A" w:rsidRPr="004068EE">
        <w:rPr>
          <w:rFonts w:ascii="Times New Roman" w:hAnsi="Times New Roman"/>
          <w:b/>
          <w:sz w:val="22"/>
          <w:szCs w:val="22"/>
        </w:rPr>
        <w:t>S</w:t>
      </w:r>
      <w:r w:rsidR="00517AC1" w:rsidRPr="004068EE">
        <w:rPr>
          <w:rFonts w:ascii="Times New Roman" w:hAnsi="Times New Roman"/>
          <w:b/>
          <w:sz w:val="22"/>
          <w:szCs w:val="22"/>
        </w:rPr>
        <w:t xml:space="preserve"> SUBSEQUENT TO EXEMPTIONS</w:t>
      </w:r>
    </w:p>
    <w:p w14:paraId="6143AE46" w14:textId="77777777" w:rsidR="00BA098D" w:rsidRPr="004068EE" w:rsidRDefault="00BA098D" w:rsidP="00756E31">
      <w:pPr>
        <w:widowControl/>
        <w:suppressAutoHyphens/>
        <w:rPr>
          <w:rFonts w:ascii="Times New Roman" w:hAnsi="Times New Roman"/>
          <w:sz w:val="22"/>
          <w:szCs w:val="22"/>
        </w:rPr>
      </w:pPr>
    </w:p>
    <w:p w14:paraId="7C818E9D" w14:textId="77777777" w:rsidR="00BA098D" w:rsidRPr="004068EE" w:rsidRDefault="00E61CE2" w:rsidP="00756E31">
      <w:pPr>
        <w:widowControl/>
        <w:suppressAutoHyphens/>
        <w:rPr>
          <w:rFonts w:ascii="Times New Roman" w:hAnsi="Times New Roman"/>
          <w:sz w:val="22"/>
          <w:szCs w:val="22"/>
        </w:rPr>
      </w:pPr>
      <w:r w:rsidRPr="004068EE">
        <w:rPr>
          <w:rFonts w:ascii="Times New Roman" w:hAnsi="Times New Roman"/>
          <w:sz w:val="22"/>
          <w:szCs w:val="22"/>
        </w:rPr>
        <w:tab/>
        <w:t>A.</w:t>
      </w:r>
      <w:r w:rsidR="00BA098D" w:rsidRPr="004068EE">
        <w:rPr>
          <w:rFonts w:ascii="Times New Roman" w:hAnsi="Times New Roman"/>
          <w:sz w:val="22"/>
          <w:szCs w:val="22"/>
        </w:rPr>
        <w:tab/>
      </w:r>
      <w:r w:rsidR="00517AC1" w:rsidRPr="004068EE">
        <w:rPr>
          <w:rFonts w:ascii="Times New Roman" w:hAnsi="Times New Roman"/>
          <w:b/>
          <w:sz w:val="22"/>
          <w:szCs w:val="22"/>
        </w:rPr>
        <w:t>Review of Exemption</w:t>
      </w:r>
    </w:p>
    <w:p w14:paraId="11491F6A" w14:textId="77777777" w:rsidR="00BA098D" w:rsidRPr="004068EE" w:rsidRDefault="00BA098D" w:rsidP="00756E31">
      <w:pPr>
        <w:widowControl/>
        <w:suppressAutoHyphens/>
        <w:rPr>
          <w:rFonts w:ascii="Times New Roman" w:hAnsi="Times New Roman"/>
          <w:sz w:val="22"/>
          <w:szCs w:val="22"/>
        </w:rPr>
      </w:pPr>
    </w:p>
    <w:p w14:paraId="3D46DB15" w14:textId="01893525" w:rsidR="00BA098D" w:rsidRPr="004068EE" w:rsidRDefault="00BA098D" w:rsidP="00756E31">
      <w:pPr>
        <w:widowControl/>
        <w:suppressAutoHyphens/>
        <w:ind w:left="1440" w:hanging="1440"/>
        <w:rPr>
          <w:rFonts w:ascii="Times New Roman" w:hAnsi="Times New Roman"/>
          <w:sz w:val="22"/>
          <w:szCs w:val="22"/>
        </w:rPr>
      </w:pPr>
      <w:r w:rsidRPr="004068EE">
        <w:rPr>
          <w:rFonts w:ascii="Times New Roman" w:hAnsi="Times New Roman"/>
          <w:sz w:val="22"/>
          <w:szCs w:val="22"/>
        </w:rPr>
        <w:tab/>
      </w:r>
      <w:r w:rsidR="00517AC1" w:rsidRPr="004068EE">
        <w:rPr>
          <w:rFonts w:ascii="Times New Roman" w:hAnsi="Times New Roman"/>
          <w:sz w:val="22"/>
          <w:szCs w:val="22"/>
        </w:rPr>
        <w:t xml:space="preserve">The Commission may </w:t>
      </w:r>
      <w:r w:rsidR="00942C37" w:rsidRPr="004068EE">
        <w:rPr>
          <w:rFonts w:ascii="Times New Roman" w:hAnsi="Times New Roman"/>
          <w:sz w:val="22"/>
          <w:szCs w:val="22"/>
        </w:rPr>
        <w:t xml:space="preserve">modify or rescind </w:t>
      </w:r>
      <w:r w:rsidR="00517AC1" w:rsidRPr="004068EE">
        <w:rPr>
          <w:rFonts w:ascii="Times New Roman" w:hAnsi="Times New Roman"/>
          <w:sz w:val="22"/>
          <w:szCs w:val="22"/>
        </w:rPr>
        <w:t>any exemption granted</w:t>
      </w:r>
      <w:r w:rsidR="00427BB1" w:rsidRPr="004068EE">
        <w:rPr>
          <w:rFonts w:ascii="Times New Roman" w:hAnsi="Times New Roman"/>
          <w:sz w:val="22"/>
          <w:szCs w:val="22"/>
        </w:rPr>
        <w:t xml:space="preserve"> </w:t>
      </w:r>
      <w:r w:rsidR="00297E08" w:rsidRPr="004068EE">
        <w:rPr>
          <w:rFonts w:ascii="Times New Roman" w:hAnsi="Times New Roman"/>
          <w:sz w:val="22"/>
          <w:szCs w:val="22"/>
        </w:rPr>
        <w:t>under this rule</w:t>
      </w:r>
      <w:r w:rsidR="00517AC1" w:rsidRPr="004068EE">
        <w:rPr>
          <w:rFonts w:ascii="Times New Roman" w:hAnsi="Times New Roman"/>
          <w:sz w:val="22"/>
          <w:szCs w:val="22"/>
        </w:rPr>
        <w:t xml:space="preserve"> to any consumer owned water utility upon its own motion or upon presentation of a petition seeking review of the exemption sign</w:t>
      </w:r>
      <w:r w:rsidR="001B0F9B" w:rsidRPr="004068EE">
        <w:rPr>
          <w:rFonts w:ascii="Times New Roman" w:hAnsi="Times New Roman"/>
          <w:sz w:val="22"/>
          <w:szCs w:val="22"/>
        </w:rPr>
        <w:t xml:space="preserve">ed by </w:t>
      </w:r>
      <w:r w:rsidR="000D0A62" w:rsidRPr="004068EE">
        <w:rPr>
          <w:rFonts w:ascii="Times New Roman" w:hAnsi="Times New Roman"/>
          <w:sz w:val="22"/>
          <w:szCs w:val="22"/>
        </w:rPr>
        <w:t xml:space="preserve">15% of </w:t>
      </w:r>
      <w:r w:rsidR="00942C37" w:rsidRPr="004068EE">
        <w:rPr>
          <w:rFonts w:ascii="Times New Roman" w:hAnsi="Times New Roman"/>
          <w:sz w:val="22"/>
          <w:szCs w:val="22"/>
        </w:rPr>
        <w:t xml:space="preserve">the customers of a </w:t>
      </w:r>
      <w:r w:rsidR="000D0A62" w:rsidRPr="004068EE">
        <w:rPr>
          <w:rFonts w:ascii="Times New Roman" w:hAnsi="Times New Roman"/>
          <w:sz w:val="22"/>
          <w:szCs w:val="22"/>
        </w:rPr>
        <w:t xml:space="preserve">consumer-owned water </w:t>
      </w:r>
      <w:r w:rsidR="00427BB1" w:rsidRPr="004068EE">
        <w:rPr>
          <w:rFonts w:ascii="Times New Roman" w:hAnsi="Times New Roman"/>
          <w:sz w:val="22"/>
          <w:szCs w:val="22"/>
        </w:rPr>
        <w:t>utility</w:t>
      </w:r>
      <w:r w:rsidR="00942C37" w:rsidRPr="004068EE">
        <w:rPr>
          <w:rFonts w:ascii="Times New Roman" w:hAnsi="Times New Roman"/>
          <w:sz w:val="22"/>
          <w:szCs w:val="22"/>
        </w:rPr>
        <w:t xml:space="preserve"> or </w:t>
      </w:r>
      <w:r w:rsidR="004E2695" w:rsidRPr="004068EE">
        <w:rPr>
          <w:rFonts w:ascii="Times New Roman" w:hAnsi="Times New Roman"/>
          <w:sz w:val="22"/>
          <w:szCs w:val="22"/>
        </w:rPr>
        <w:t xml:space="preserve">1000 </w:t>
      </w:r>
      <w:r w:rsidR="00427BB1" w:rsidRPr="004068EE">
        <w:rPr>
          <w:rFonts w:ascii="Times New Roman" w:hAnsi="Times New Roman"/>
          <w:sz w:val="22"/>
          <w:szCs w:val="22"/>
        </w:rPr>
        <w:t>customers</w:t>
      </w:r>
      <w:r w:rsidR="00942C37" w:rsidRPr="004068EE">
        <w:rPr>
          <w:rFonts w:ascii="Times New Roman" w:hAnsi="Times New Roman"/>
          <w:sz w:val="22"/>
          <w:szCs w:val="22"/>
        </w:rPr>
        <w:t>, whichever is less</w:t>
      </w:r>
      <w:r w:rsidR="00517AC1" w:rsidRPr="004068EE">
        <w:rPr>
          <w:rFonts w:ascii="Times New Roman" w:hAnsi="Times New Roman"/>
          <w:sz w:val="22"/>
          <w:szCs w:val="22"/>
        </w:rPr>
        <w:t>.</w:t>
      </w:r>
      <w:r w:rsidR="00114449" w:rsidRPr="004068EE">
        <w:rPr>
          <w:rFonts w:ascii="Times New Roman" w:hAnsi="Times New Roman"/>
          <w:sz w:val="22"/>
          <w:szCs w:val="22"/>
        </w:rPr>
        <w:t xml:space="preserve"> </w:t>
      </w:r>
    </w:p>
    <w:p w14:paraId="624F8999" w14:textId="77777777" w:rsidR="00517AC1" w:rsidRPr="004068EE" w:rsidRDefault="00517AC1" w:rsidP="00756E31">
      <w:pPr>
        <w:widowControl/>
        <w:suppressAutoHyphens/>
        <w:ind w:left="1440" w:hanging="1440"/>
        <w:rPr>
          <w:rFonts w:ascii="Times New Roman" w:hAnsi="Times New Roman"/>
          <w:sz w:val="22"/>
          <w:szCs w:val="22"/>
        </w:rPr>
      </w:pPr>
    </w:p>
    <w:p w14:paraId="205E8BAD" w14:textId="77777777" w:rsidR="00517AC1" w:rsidRPr="004068EE" w:rsidRDefault="00517AC1" w:rsidP="00756E31">
      <w:pPr>
        <w:widowControl/>
        <w:suppressAutoHyphens/>
        <w:rPr>
          <w:rFonts w:ascii="Times New Roman" w:hAnsi="Times New Roman"/>
          <w:sz w:val="22"/>
          <w:szCs w:val="22"/>
        </w:rPr>
      </w:pPr>
      <w:r w:rsidRPr="004068EE">
        <w:rPr>
          <w:rFonts w:ascii="Times New Roman" w:hAnsi="Times New Roman"/>
          <w:sz w:val="22"/>
          <w:szCs w:val="22"/>
        </w:rPr>
        <w:tab/>
      </w:r>
      <w:r w:rsidRPr="004068EE">
        <w:rPr>
          <w:rFonts w:ascii="Times New Roman" w:hAnsi="Times New Roman"/>
          <w:sz w:val="22"/>
          <w:szCs w:val="22"/>
        </w:rPr>
        <w:tab/>
        <w:t>1.</w:t>
      </w:r>
      <w:r w:rsidRPr="004068EE">
        <w:rPr>
          <w:rFonts w:ascii="Times New Roman" w:hAnsi="Times New Roman"/>
          <w:sz w:val="22"/>
          <w:szCs w:val="22"/>
        </w:rPr>
        <w:tab/>
      </w:r>
      <w:r w:rsidRPr="004068EE">
        <w:rPr>
          <w:rFonts w:ascii="Times New Roman" w:hAnsi="Times New Roman"/>
          <w:b/>
          <w:sz w:val="22"/>
          <w:szCs w:val="22"/>
        </w:rPr>
        <w:t>Petitions for Review</w:t>
      </w:r>
      <w:r w:rsidR="00297E08" w:rsidRPr="004068EE">
        <w:rPr>
          <w:rFonts w:ascii="Times New Roman" w:hAnsi="Times New Roman"/>
          <w:b/>
          <w:sz w:val="22"/>
          <w:szCs w:val="22"/>
        </w:rPr>
        <w:t xml:space="preserve"> </w:t>
      </w:r>
      <w:r w:rsidRPr="004068EE">
        <w:rPr>
          <w:rFonts w:ascii="Times New Roman" w:hAnsi="Times New Roman"/>
          <w:b/>
          <w:sz w:val="22"/>
          <w:szCs w:val="22"/>
        </w:rPr>
        <w:t>of Exemptions</w:t>
      </w:r>
    </w:p>
    <w:p w14:paraId="66211E33" w14:textId="77777777" w:rsidR="00517AC1" w:rsidRPr="004068EE" w:rsidRDefault="00517AC1" w:rsidP="00756E31">
      <w:pPr>
        <w:widowControl/>
        <w:suppressAutoHyphens/>
        <w:rPr>
          <w:rFonts w:ascii="Times New Roman" w:hAnsi="Times New Roman"/>
          <w:sz w:val="22"/>
          <w:szCs w:val="22"/>
        </w:rPr>
      </w:pPr>
    </w:p>
    <w:p w14:paraId="1F9066C4" w14:textId="6A601C2A" w:rsidR="00297E08" w:rsidRPr="004068EE" w:rsidRDefault="00517AC1" w:rsidP="00756E31">
      <w:pPr>
        <w:widowControl/>
        <w:suppressAutoHyphens/>
        <w:ind w:left="2880" w:hanging="720"/>
        <w:rPr>
          <w:rFonts w:ascii="Times New Roman" w:hAnsi="Times New Roman"/>
          <w:sz w:val="22"/>
          <w:szCs w:val="22"/>
        </w:rPr>
      </w:pPr>
      <w:r w:rsidRPr="004068EE">
        <w:rPr>
          <w:rFonts w:ascii="Times New Roman" w:hAnsi="Times New Roman"/>
          <w:sz w:val="22"/>
          <w:szCs w:val="22"/>
        </w:rPr>
        <w:t>a.</w:t>
      </w:r>
      <w:r w:rsidRPr="004068EE">
        <w:rPr>
          <w:rFonts w:ascii="Times New Roman" w:hAnsi="Times New Roman"/>
          <w:sz w:val="22"/>
          <w:szCs w:val="22"/>
        </w:rPr>
        <w:tab/>
        <w:t xml:space="preserve">A petition presented to the Commission pursuant to this subsection </w:t>
      </w:r>
      <w:r w:rsidR="00C217BC" w:rsidRPr="004068EE">
        <w:rPr>
          <w:rFonts w:ascii="Times New Roman" w:hAnsi="Times New Roman"/>
          <w:sz w:val="22"/>
          <w:szCs w:val="22"/>
        </w:rPr>
        <w:t xml:space="preserve">must </w:t>
      </w:r>
      <w:r w:rsidRPr="004068EE">
        <w:rPr>
          <w:rFonts w:ascii="Times New Roman" w:hAnsi="Times New Roman"/>
          <w:sz w:val="22"/>
          <w:szCs w:val="22"/>
        </w:rPr>
        <w:t>indicate</w:t>
      </w:r>
    </w:p>
    <w:p w14:paraId="01C337B0" w14:textId="77777777" w:rsidR="00297E08" w:rsidRPr="004068EE" w:rsidRDefault="00297E08" w:rsidP="00756E31">
      <w:pPr>
        <w:widowControl/>
        <w:suppressAutoHyphens/>
        <w:ind w:left="2880" w:hanging="720"/>
        <w:rPr>
          <w:rFonts w:ascii="Times New Roman" w:hAnsi="Times New Roman"/>
          <w:sz w:val="22"/>
          <w:szCs w:val="22"/>
        </w:rPr>
      </w:pPr>
    </w:p>
    <w:p w14:paraId="393BFD2E" w14:textId="3324FD6E" w:rsidR="00297E08" w:rsidRPr="004068EE" w:rsidRDefault="00297E08" w:rsidP="00C217BC">
      <w:pPr>
        <w:widowControl/>
        <w:suppressAutoHyphens/>
        <w:ind w:left="3600" w:hanging="720"/>
        <w:rPr>
          <w:rFonts w:ascii="Times New Roman" w:hAnsi="Times New Roman"/>
          <w:sz w:val="22"/>
          <w:szCs w:val="22"/>
        </w:rPr>
      </w:pPr>
      <w:r w:rsidRPr="004068EE">
        <w:rPr>
          <w:rFonts w:ascii="Times New Roman" w:hAnsi="Times New Roman"/>
          <w:sz w:val="22"/>
          <w:szCs w:val="22"/>
        </w:rPr>
        <w:t>i.</w:t>
      </w:r>
      <w:r w:rsidRPr="004068EE">
        <w:rPr>
          <w:rFonts w:ascii="Times New Roman" w:hAnsi="Times New Roman"/>
          <w:sz w:val="22"/>
          <w:szCs w:val="22"/>
        </w:rPr>
        <w:tab/>
      </w:r>
      <w:r w:rsidR="00517AC1" w:rsidRPr="004068EE">
        <w:rPr>
          <w:rFonts w:ascii="Times New Roman" w:hAnsi="Times New Roman"/>
          <w:sz w:val="22"/>
          <w:szCs w:val="22"/>
        </w:rPr>
        <w:t>the name and address of each petitioner</w:t>
      </w:r>
      <w:r w:rsidR="0076228B" w:rsidRPr="004068EE">
        <w:rPr>
          <w:rFonts w:ascii="Times New Roman" w:hAnsi="Times New Roman"/>
          <w:sz w:val="22"/>
          <w:szCs w:val="22"/>
        </w:rPr>
        <w:t>;</w:t>
      </w:r>
      <w:r w:rsidR="00517AC1" w:rsidRPr="004068EE">
        <w:rPr>
          <w:rFonts w:ascii="Times New Roman" w:hAnsi="Times New Roman"/>
          <w:sz w:val="22"/>
          <w:szCs w:val="22"/>
        </w:rPr>
        <w:t xml:space="preserve"> </w:t>
      </w:r>
      <w:r w:rsidR="000D0A62" w:rsidRPr="004068EE">
        <w:rPr>
          <w:rFonts w:ascii="Times New Roman" w:hAnsi="Times New Roman"/>
          <w:sz w:val="22"/>
          <w:szCs w:val="22"/>
        </w:rPr>
        <w:t>and</w:t>
      </w:r>
    </w:p>
    <w:p w14:paraId="4D6CA7ED" w14:textId="77777777" w:rsidR="00297E08" w:rsidRPr="004068EE" w:rsidRDefault="00297E08" w:rsidP="00756E31">
      <w:pPr>
        <w:widowControl/>
        <w:suppressAutoHyphens/>
        <w:ind w:left="3600" w:hanging="1440"/>
        <w:rPr>
          <w:rFonts w:ascii="Times New Roman" w:hAnsi="Times New Roman"/>
          <w:sz w:val="22"/>
          <w:szCs w:val="22"/>
        </w:rPr>
      </w:pPr>
    </w:p>
    <w:p w14:paraId="5C731440" w14:textId="6502958E" w:rsidR="00517AC1" w:rsidRPr="004068EE" w:rsidRDefault="00297E08" w:rsidP="00C217BC">
      <w:pPr>
        <w:widowControl/>
        <w:suppressAutoHyphens/>
        <w:ind w:left="3600" w:hanging="720"/>
        <w:rPr>
          <w:rFonts w:ascii="Times New Roman" w:hAnsi="Times New Roman"/>
          <w:sz w:val="22"/>
          <w:szCs w:val="22"/>
        </w:rPr>
      </w:pPr>
      <w:r w:rsidRPr="004068EE">
        <w:rPr>
          <w:rFonts w:ascii="Times New Roman" w:hAnsi="Times New Roman"/>
          <w:sz w:val="22"/>
          <w:szCs w:val="22"/>
        </w:rPr>
        <w:t>ii.</w:t>
      </w:r>
      <w:r w:rsidRPr="004068EE">
        <w:rPr>
          <w:rFonts w:ascii="Times New Roman" w:hAnsi="Times New Roman"/>
          <w:sz w:val="22"/>
          <w:szCs w:val="22"/>
        </w:rPr>
        <w:tab/>
      </w:r>
      <w:r w:rsidR="00517AC1" w:rsidRPr="004068EE">
        <w:rPr>
          <w:rFonts w:ascii="Times New Roman" w:hAnsi="Times New Roman"/>
          <w:sz w:val="22"/>
          <w:szCs w:val="22"/>
        </w:rPr>
        <w:t xml:space="preserve">a summary of the basis upon which the petitioners seek to have the water utility’s exemption </w:t>
      </w:r>
      <w:r w:rsidRPr="004068EE">
        <w:rPr>
          <w:rFonts w:ascii="Times New Roman" w:hAnsi="Times New Roman"/>
          <w:sz w:val="22"/>
          <w:szCs w:val="22"/>
        </w:rPr>
        <w:t>reviewed.</w:t>
      </w:r>
    </w:p>
    <w:p w14:paraId="45DCBD55" w14:textId="77777777" w:rsidR="00517AC1" w:rsidRPr="004068EE" w:rsidRDefault="00517AC1" w:rsidP="00756E31">
      <w:pPr>
        <w:widowControl/>
        <w:suppressAutoHyphens/>
        <w:ind w:left="2880" w:hanging="720"/>
        <w:rPr>
          <w:rFonts w:ascii="Times New Roman" w:hAnsi="Times New Roman"/>
          <w:sz w:val="22"/>
          <w:szCs w:val="22"/>
        </w:rPr>
      </w:pPr>
    </w:p>
    <w:p w14:paraId="405836CD" w14:textId="668F1CEA" w:rsidR="00517AC1" w:rsidRPr="004068EE" w:rsidRDefault="00C4255B" w:rsidP="00756E31">
      <w:pPr>
        <w:widowControl/>
        <w:suppressAutoHyphens/>
        <w:ind w:left="2880" w:hanging="720"/>
        <w:rPr>
          <w:rFonts w:ascii="Times New Roman" w:hAnsi="Times New Roman"/>
          <w:sz w:val="22"/>
          <w:szCs w:val="22"/>
        </w:rPr>
      </w:pPr>
      <w:r w:rsidRPr="004068EE">
        <w:rPr>
          <w:rFonts w:ascii="Times New Roman" w:hAnsi="Times New Roman"/>
          <w:sz w:val="22"/>
          <w:szCs w:val="22"/>
        </w:rPr>
        <w:t>b</w:t>
      </w:r>
      <w:r w:rsidR="00517AC1" w:rsidRPr="004068EE">
        <w:rPr>
          <w:rFonts w:ascii="Times New Roman" w:hAnsi="Times New Roman"/>
          <w:sz w:val="22"/>
          <w:szCs w:val="22"/>
        </w:rPr>
        <w:t>.</w:t>
      </w:r>
      <w:r w:rsidR="00517AC1" w:rsidRPr="004068EE">
        <w:rPr>
          <w:rFonts w:ascii="Times New Roman" w:hAnsi="Times New Roman"/>
          <w:sz w:val="22"/>
          <w:szCs w:val="22"/>
        </w:rPr>
        <w:tab/>
        <w:t xml:space="preserve">Upon presentation of a petition for </w:t>
      </w:r>
      <w:r w:rsidR="000D0A62" w:rsidRPr="004068EE">
        <w:rPr>
          <w:rFonts w:ascii="Times New Roman" w:hAnsi="Times New Roman"/>
          <w:sz w:val="22"/>
          <w:szCs w:val="22"/>
        </w:rPr>
        <w:t>review</w:t>
      </w:r>
      <w:r w:rsidR="00517AC1" w:rsidRPr="004068EE">
        <w:rPr>
          <w:rFonts w:ascii="Times New Roman" w:hAnsi="Times New Roman"/>
          <w:sz w:val="22"/>
          <w:szCs w:val="22"/>
        </w:rPr>
        <w:t xml:space="preserve">, the Commission </w:t>
      </w:r>
      <w:r w:rsidR="00C217BC" w:rsidRPr="004068EE">
        <w:rPr>
          <w:rFonts w:ascii="Times New Roman" w:hAnsi="Times New Roman"/>
          <w:sz w:val="22"/>
          <w:szCs w:val="22"/>
        </w:rPr>
        <w:t xml:space="preserve">will </w:t>
      </w:r>
      <w:r w:rsidR="00517AC1" w:rsidRPr="004068EE">
        <w:rPr>
          <w:rFonts w:ascii="Times New Roman" w:hAnsi="Times New Roman"/>
          <w:sz w:val="22"/>
          <w:szCs w:val="22"/>
        </w:rPr>
        <w:t xml:space="preserve">inform the utility of the </w:t>
      </w:r>
      <w:r w:rsidR="00942C37" w:rsidRPr="004068EE">
        <w:rPr>
          <w:rFonts w:ascii="Times New Roman" w:hAnsi="Times New Roman"/>
          <w:sz w:val="22"/>
          <w:szCs w:val="22"/>
        </w:rPr>
        <w:t>petition. The</w:t>
      </w:r>
      <w:r w:rsidR="00517AC1" w:rsidRPr="004068EE">
        <w:rPr>
          <w:rFonts w:ascii="Times New Roman" w:hAnsi="Times New Roman"/>
          <w:sz w:val="22"/>
          <w:szCs w:val="22"/>
        </w:rPr>
        <w:t xml:space="preserve"> utility shall file a response to the petition within 10 business days.</w:t>
      </w:r>
    </w:p>
    <w:p w14:paraId="133B36E9" w14:textId="77777777" w:rsidR="00517AC1" w:rsidRPr="004068EE" w:rsidRDefault="00517AC1" w:rsidP="00756E31">
      <w:pPr>
        <w:widowControl/>
        <w:suppressAutoHyphens/>
        <w:ind w:left="2880" w:hanging="720"/>
        <w:rPr>
          <w:rFonts w:ascii="Times New Roman" w:hAnsi="Times New Roman"/>
          <w:sz w:val="22"/>
          <w:szCs w:val="22"/>
        </w:rPr>
      </w:pPr>
    </w:p>
    <w:p w14:paraId="61B6335A" w14:textId="77777777" w:rsidR="000D0A62" w:rsidRPr="004068EE" w:rsidRDefault="00297E08" w:rsidP="00756E31">
      <w:pPr>
        <w:widowControl/>
        <w:suppressAutoHyphens/>
        <w:ind w:left="1440" w:hanging="720"/>
        <w:rPr>
          <w:rFonts w:ascii="Times New Roman" w:hAnsi="Times New Roman"/>
          <w:sz w:val="22"/>
          <w:szCs w:val="22"/>
        </w:rPr>
      </w:pPr>
      <w:r w:rsidRPr="004068EE">
        <w:rPr>
          <w:rFonts w:ascii="Times New Roman" w:hAnsi="Times New Roman"/>
          <w:sz w:val="22"/>
          <w:szCs w:val="22"/>
        </w:rPr>
        <w:lastRenderedPageBreak/>
        <w:t>B.</w:t>
      </w:r>
      <w:r w:rsidRPr="004068EE">
        <w:rPr>
          <w:rFonts w:ascii="Times New Roman" w:hAnsi="Times New Roman"/>
          <w:sz w:val="22"/>
          <w:szCs w:val="22"/>
        </w:rPr>
        <w:tab/>
      </w:r>
      <w:r w:rsidR="000D0A62" w:rsidRPr="004068EE">
        <w:rPr>
          <w:rFonts w:ascii="Times New Roman" w:hAnsi="Times New Roman"/>
          <w:b/>
          <w:sz w:val="22"/>
          <w:szCs w:val="22"/>
        </w:rPr>
        <w:t>Review Procedure</w:t>
      </w:r>
    </w:p>
    <w:p w14:paraId="25DCF211" w14:textId="77777777" w:rsidR="00C7155A" w:rsidRPr="004068EE" w:rsidRDefault="00C7155A" w:rsidP="00756E31">
      <w:pPr>
        <w:widowControl/>
        <w:suppressAutoHyphens/>
        <w:ind w:left="1440" w:hanging="720"/>
        <w:rPr>
          <w:rFonts w:ascii="Times New Roman" w:hAnsi="Times New Roman"/>
          <w:sz w:val="22"/>
          <w:szCs w:val="22"/>
        </w:rPr>
      </w:pPr>
    </w:p>
    <w:p w14:paraId="283F3F02" w14:textId="77777777" w:rsidR="00517AC1" w:rsidRPr="004068EE" w:rsidRDefault="000D0A62" w:rsidP="00756E31">
      <w:pPr>
        <w:widowControl/>
        <w:suppressAutoHyphens/>
        <w:ind w:left="2160" w:hanging="720"/>
        <w:rPr>
          <w:rFonts w:ascii="Times New Roman" w:hAnsi="Times New Roman"/>
          <w:sz w:val="22"/>
          <w:szCs w:val="22"/>
        </w:rPr>
      </w:pPr>
      <w:r w:rsidRPr="004068EE">
        <w:rPr>
          <w:rFonts w:ascii="Times New Roman" w:hAnsi="Times New Roman"/>
          <w:sz w:val="22"/>
          <w:szCs w:val="22"/>
        </w:rPr>
        <w:t>1.</w:t>
      </w:r>
      <w:r w:rsidRPr="004068EE">
        <w:rPr>
          <w:rFonts w:ascii="Times New Roman" w:hAnsi="Times New Roman"/>
          <w:sz w:val="22"/>
          <w:szCs w:val="22"/>
        </w:rPr>
        <w:tab/>
      </w:r>
      <w:r w:rsidRPr="004068EE">
        <w:rPr>
          <w:rFonts w:ascii="Times New Roman" w:hAnsi="Times New Roman"/>
          <w:b/>
          <w:sz w:val="22"/>
          <w:szCs w:val="22"/>
        </w:rPr>
        <w:t xml:space="preserve">Summary </w:t>
      </w:r>
      <w:r w:rsidR="00C7155A" w:rsidRPr="004068EE">
        <w:rPr>
          <w:rFonts w:ascii="Times New Roman" w:hAnsi="Times New Roman"/>
          <w:b/>
          <w:sz w:val="22"/>
          <w:szCs w:val="22"/>
        </w:rPr>
        <w:t>Review</w:t>
      </w:r>
      <w:r w:rsidRPr="004068EE">
        <w:rPr>
          <w:rFonts w:ascii="Times New Roman" w:hAnsi="Times New Roman"/>
          <w:sz w:val="22"/>
          <w:szCs w:val="22"/>
        </w:rPr>
        <w:t>.</w:t>
      </w:r>
      <w:r w:rsidR="00114449" w:rsidRPr="004068EE">
        <w:rPr>
          <w:rFonts w:ascii="Times New Roman" w:hAnsi="Times New Roman"/>
          <w:sz w:val="22"/>
          <w:szCs w:val="22"/>
        </w:rPr>
        <w:t xml:space="preserve"> </w:t>
      </w:r>
      <w:r w:rsidRPr="004068EE">
        <w:rPr>
          <w:rFonts w:ascii="Times New Roman" w:hAnsi="Times New Roman"/>
          <w:sz w:val="22"/>
          <w:szCs w:val="22"/>
        </w:rPr>
        <w:t>Upon receipt of a valid petition seeking review, t</w:t>
      </w:r>
      <w:r w:rsidR="00517AC1" w:rsidRPr="004068EE">
        <w:rPr>
          <w:rFonts w:ascii="Times New Roman" w:hAnsi="Times New Roman"/>
          <w:sz w:val="22"/>
          <w:szCs w:val="22"/>
        </w:rPr>
        <w:t>he Commis</w:t>
      </w:r>
      <w:r w:rsidR="00C7155A" w:rsidRPr="004068EE">
        <w:rPr>
          <w:rFonts w:ascii="Times New Roman" w:hAnsi="Times New Roman"/>
          <w:sz w:val="22"/>
          <w:szCs w:val="22"/>
        </w:rPr>
        <w:t>sion shall conduct a summary review</w:t>
      </w:r>
      <w:r w:rsidR="00517AC1" w:rsidRPr="004068EE">
        <w:rPr>
          <w:rFonts w:ascii="Times New Roman" w:hAnsi="Times New Roman"/>
          <w:sz w:val="22"/>
          <w:szCs w:val="22"/>
        </w:rPr>
        <w:t xml:space="preserve"> of the petition and its alleged basis.</w:t>
      </w:r>
      <w:r w:rsidR="00114449" w:rsidRPr="004068EE">
        <w:rPr>
          <w:rFonts w:ascii="Times New Roman" w:hAnsi="Times New Roman"/>
          <w:sz w:val="22"/>
          <w:szCs w:val="22"/>
        </w:rPr>
        <w:t xml:space="preserve"> </w:t>
      </w:r>
      <w:r w:rsidR="00517AC1" w:rsidRPr="004068EE">
        <w:rPr>
          <w:rFonts w:ascii="Times New Roman" w:hAnsi="Times New Roman"/>
          <w:sz w:val="22"/>
          <w:szCs w:val="22"/>
        </w:rPr>
        <w:t xml:space="preserve">Upon completion of the summary </w:t>
      </w:r>
      <w:r w:rsidR="005F513E" w:rsidRPr="004068EE">
        <w:rPr>
          <w:rFonts w:ascii="Times New Roman" w:hAnsi="Times New Roman"/>
          <w:sz w:val="22"/>
          <w:szCs w:val="22"/>
        </w:rPr>
        <w:t>review</w:t>
      </w:r>
      <w:r w:rsidR="00517AC1" w:rsidRPr="004068EE">
        <w:rPr>
          <w:rFonts w:ascii="Times New Roman" w:hAnsi="Times New Roman"/>
          <w:sz w:val="22"/>
          <w:szCs w:val="22"/>
        </w:rPr>
        <w:t xml:space="preserve">, if the Commission determines the petition for review has merit, it shall open an investigation to determine </w:t>
      </w:r>
      <w:r w:rsidR="0045792E" w:rsidRPr="004068EE">
        <w:rPr>
          <w:rFonts w:ascii="Times New Roman" w:hAnsi="Times New Roman"/>
          <w:sz w:val="22"/>
          <w:szCs w:val="22"/>
        </w:rPr>
        <w:t>whether the exemption should be rescinded or modified.</w:t>
      </w:r>
      <w:r w:rsidR="00114449" w:rsidRPr="004068EE">
        <w:rPr>
          <w:rFonts w:ascii="Times New Roman" w:hAnsi="Times New Roman"/>
          <w:sz w:val="22"/>
          <w:szCs w:val="22"/>
        </w:rPr>
        <w:t xml:space="preserve"> </w:t>
      </w:r>
    </w:p>
    <w:p w14:paraId="1D60F87C" w14:textId="77777777" w:rsidR="00C7155A" w:rsidRPr="004068EE" w:rsidRDefault="00C7155A" w:rsidP="00756E31">
      <w:pPr>
        <w:widowControl/>
        <w:suppressAutoHyphens/>
        <w:ind w:left="2160" w:hanging="720"/>
        <w:rPr>
          <w:rFonts w:ascii="Times New Roman" w:hAnsi="Times New Roman"/>
          <w:sz w:val="22"/>
          <w:szCs w:val="22"/>
        </w:rPr>
      </w:pPr>
    </w:p>
    <w:p w14:paraId="2C296ED6" w14:textId="77777777" w:rsidR="00C7155A" w:rsidRPr="004068EE" w:rsidRDefault="00C7155A" w:rsidP="00756E31">
      <w:pPr>
        <w:widowControl/>
        <w:suppressAutoHyphens/>
        <w:ind w:left="2160" w:hanging="720"/>
        <w:rPr>
          <w:rFonts w:ascii="Times New Roman" w:hAnsi="Times New Roman"/>
          <w:sz w:val="22"/>
          <w:szCs w:val="22"/>
        </w:rPr>
      </w:pPr>
      <w:r w:rsidRPr="004068EE">
        <w:rPr>
          <w:rFonts w:ascii="Times New Roman" w:hAnsi="Times New Roman"/>
          <w:sz w:val="22"/>
          <w:szCs w:val="22"/>
        </w:rPr>
        <w:t>2.</w:t>
      </w:r>
      <w:r w:rsidRPr="004068EE">
        <w:rPr>
          <w:rFonts w:ascii="Times New Roman" w:hAnsi="Times New Roman"/>
          <w:sz w:val="22"/>
          <w:szCs w:val="22"/>
        </w:rPr>
        <w:tab/>
      </w:r>
      <w:r w:rsidRPr="004068EE">
        <w:rPr>
          <w:rFonts w:ascii="Times New Roman" w:hAnsi="Times New Roman"/>
          <w:b/>
          <w:sz w:val="22"/>
          <w:szCs w:val="22"/>
        </w:rPr>
        <w:t>Investigation</w:t>
      </w:r>
      <w:r w:rsidRPr="004068EE">
        <w:rPr>
          <w:rFonts w:ascii="Times New Roman" w:hAnsi="Times New Roman"/>
          <w:sz w:val="22"/>
          <w:szCs w:val="22"/>
        </w:rPr>
        <w:t>.</w:t>
      </w:r>
      <w:r w:rsidR="00114449" w:rsidRPr="004068EE">
        <w:rPr>
          <w:rFonts w:ascii="Times New Roman" w:hAnsi="Times New Roman"/>
          <w:sz w:val="22"/>
          <w:szCs w:val="22"/>
        </w:rPr>
        <w:t xml:space="preserve"> </w:t>
      </w:r>
      <w:r w:rsidRPr="004068EE">
        <w:rPr>
          <w:rFonts w:ascii="Times New Roman" w:hAnsi="Times New Roman"/>
          <w:sz w:val="22"/>
          <w:szCs w:val="22"/>
        </w:rPr>
        <w:t>Any investigation initiated under this section will be an adjudicatory proceeding pursuant to Chapter 110 of the Commission’s rules.</w:t>
      </w:r>
    </w:p>
    <w:p w14:paraId="4C8DCDA6" w14:textId="77777777" w:rsidR="00C7155A" w:rsidRPr="004068EE" w:rsidRDefault="00C7155A" w:rsidP="00756E31">
      <w:pPr>
        <w:widowControl/>
        <w:suppressAutoHyphens/>
        <w:ind w:left="2160" w:hanging="720"/>
        <w:rPr>
          <w:rFonts w:ascii="Times New Roman" w:hAnsi="Times New Roman"/>
          <w:sz w:val="22"/>
          <w:szCs w:val="22"/>
        </w:rPr>
      </w:pPr>
    </w:p>
    <w:p w14:paraId="77174533" w14:textId="77777777" w:rsidR="00C7155A" w:rsidRPr="004068EE" w:rsidRDefault="00C7155A" w:rsidP="00756E31">
      <w:pPr>
        <w:widowControl/>
        <w:suppressAutoHyphens/>
        <w:ind w:left="2160" w:right="180" w:hanging="720"/>
        <w:rPr>
          <w:rFonts w:ascii="Times New Roman" w:hAnsi="Times New Roman"/>
          <w:sz w:val="22"/>
          <w:szCs w:val="22"/>
        </w:rPr>
      </w:pPr>
      <w:r w:rsidRPr="004068EE">
        <w:rPr>
          <w:rFonts w:ascii="Times New Roman" w:hAnsi="Times New Roman"/>
          <w:sz w:val="22"/>
          <w:szCs w:val="22"/>
        </w:rPr>
        <w:t>3.</w:t>
      </w:r>
      <w:r w:rsidRPr="004068EE">
        <w:rPr>
          <w:rFonts w:ascii="Times New Roman" w:hAnsi="Times New Roman"/>
          <w:sz w:val="22"/>
          <w:szCs w:val="22"/>
        </w:rPr>
        <w:tab/>
      </w:r>
      <w:r w:rsidR="00230F53" w:rsidRPr="004068EE">
        <w:rPr>
          <w:rFonts w:ascii="Times New Roman" w:hAnsi="Times New Roman"/>
          <w:b/>
          <w:sz w:val="22"/>
          <w:szCs w:val="22"/>
        </w:rPr>
        <w:t>Lead Petitioner</w:t>
      </w:r>
      <w:r w:rsidR="00230F53" w:rsidRPr="004068EE">
        <w:rPr>
          <w:rFonts w:ascii="Times New Roman" w:hAnsi="Times New Roman"/>
          <w:sz w:val="22"/>
          <w:szCs w:val="22"/>
        </w:rPr>
        <w:t>.</w:t>
      </w:r>
      <w:r w:rsidR="00114449" w:rsidRPr="004068EE">
        <w:rPr>
          <w:rFonts w:ascii="Times New Roman" w:hAnsi="Times New Roman"/>
          <w:sz w:val="22"/>
          <w:szCs w:val="22"/>
        </w:rPr>
        <w:t xml:space="preserve"> </w:t>
      </w:r>
      <w:r w:rsidRPr="004068EE">
        <w:rPr>
          <w:rFonts w:ascii="Times New Roman" w:hAnsi="Times New Roman"/>
          <w:sz w:val="22"/>
          <w:szCs w:val="22"/>
        </w:rPr>
        <w:t>In any investigation initiated pursuant to Section 4(A)(1), the Commission will designate the Lead Petitioner as defined in Section 2(F) of this rule.</w:t>
      </w:r>
    </w:p>
    <w:p w14:paraId="52C6A4F2" w14:textId="77777777" w:rsidR="00BA098D" w:rsidRPr="004068EE" w:rsidRDefault="00BA098D" w:rsidP="00756E31">
      <w:pPr>
        <w:widowControl/>
        <w:suppressAutoHyphens/>
        <w:rPr>
          <w:rFonts w:ascii="Times New Roman" w:hAnsi="Times New Roman"/>
          <w:sz w:val="22"/>
          <w:szCs w:val="22"/>
        </w:rPr>
      </w:pPr>
    </w:p>
    <w:p w14:paraId="29B2B5A7" w14:textId="77777777" w:rsidR="00BA098D" w:rsidRPr="004068EE" w:rsidRDefault="001212D8" w:rsidP="00756E31">
      <w:pPr>
        <w:keepNext/>
        <w:keepLines/>
        <w:widowControl/>
        <w:suppressAutoHyphens/>
        <w:rPr>
          <w:rFonts w:ascii="Times New Roman" w:hAnsi="Times New Roman"/>
          <w:sz w:val="22"/>
          <w:szCs w:val="22"/>
        </w:rPr>
      </w:pPr>
      <w:r w:rsidRPr="004068EE">
        <w:rPr>
          <w:rFonts w:ascii="Times New Roman" w:hAnsi="Times New Roman"/>
          <w:sz w:val="22"/>
          <w:szCs w:val="22"/>
        </w:rPr>
        <w:tab/>
      </w:r>
      <w:r w:rsidR="00297E08" w:rsidRPr="004068EE">
        <w:rPr>
          <w:rFonts w:ascii="Times New Roman" w:hAnsi="Times New Roman"/>
          <w:sz w:val="22"/>
          <w:szCs w:val="22"/>
        </w:rPr>
        <w:t>C</w:t>
      </w:r>
      <w:r w:rsidRPr="004068EE">
        <w:rPr>
          <w:rFonts w:ascii="Times New Roman" w:hAnsi="Times New Roman"/>
          <w:sz w:val="22"/>
          <w:szCs w:val="22"/>
        </w:rPr>
        <w:t>.</w:t>
      </w:r>
      <w:r w:rsidR="00BA098D" w:rsidRPr="004068EE">
        <w:rPr>
          <w:rFonts w:ascii="Times New Roman" w:hAnsi="Times New Roman"/>
          <w:sz w:val="22"/>
          <w:szCs w:val="22"/>
        </w:rPr>
        <w:tab/>
      </w:r>
      <w:r w:rsidR="00C4255B" w:rsidRPr="004068EE">
        <w:rPr>
          <w:rFonts w:ascii="Times New Roman" w:hAnsi="Times New Roman"/>
          <w:b/>
          <w:sz w:val="22"/>
          <w:szCs w:val="22"/>
        </w:rPr>
        <w:t>Rescission</w:t>
      </w:r>
      <w:r w:rsidR="00C7155A" w:rsidRPr="004068EE">
        <w:rPr>
          <w:rFonts w:ascii="Times New Roman" w:hAnsi="Times New Roman"/>
          <w:b/>
          <w:sz w:val="22"/>
          <w:szCs w:val="22"/>
        </w:rPr>
        <w:t xml:space="preserve"> or </w:t>
      </w:r>
      <w:r w:rsidR="007653F3" w:rsidRPr="004068EE">
        <w:rPr>
          <w:rFonts w:ascii="Times New Roman" w:hAnsi="Times New Roman"/>
          <w:b/>
          <w:sz w:val="22"/>
          <w:szCs w:val="22"/>
        </w:rPr>
        <w:t>Modification</w:t>
      </w:r>
      <w:r w:rsidR="00C4255B" w:rsidRPr="004068EE">
        <w:rPr>
          <w:rFonts w:ascii="Times New Roman" w:hAnsi="Times New Roman"/>
          <w:b/>
          <w:sz w:val="22"/>
          <w:szCs w:val="22"/>
        </w:rPr>
        <w:t xml:space="preserve"> of Exemption</w:t>
      </w:r>
      <w:r w:rsidR="00C4255B" w:rsidRPr="004068EE">
        <w:rPr>
          <w:rFonts w:ascii="Times New Roman" w:hAnsi="Times New Roman"/>
          <w:sz w:val="22"/>
          <w:szCs w:val="22"/>
        </w:rPr>
        <w:t xml:space="preserve"> </w:t>
      </w:r>
    </w:p>
    <w:p w14:paraId="47EF840F" w14:textId="77777777" w:rsidR="00BA098D" w:rsidRPr="004068EE" w:rsidRDefault="00BA098D" w:rsidP="00756E31">
      <w:pPr>
        <w:keepNext/>
        <w:keepLines/>
        <w:widowControl/>
        <w:suppressAutoHyphens/>
        <w:rPr>
          <w:rFonts w:ascii="Times New Roman" w:hAnsi="Times New Roman"/>
          <w:sz w:val="22"/>
          <w:szCs w:val="22"/>
        </w:rPr>
      </w:pPr>
    </w:p>
    <w:p w14:paraId="4AAA1CB9" w14:textId="77777777" w:rsidR="00C4255B" w:rsidRPr="004068EE" w:rsidRDefault="001212D8" w:rsidP="00756E31">
      <w:pPr>
        <w:keepNext/>
        <w:keepLines/>
        <w:widowControl/>
        <w:suppressAutoHyphens/>
        <w:ind w:left="2160" w:hanging="720"/>
        <w:rPr>
          <w:rFonts w:ascii="Times New Roman" w:hAnsi="Times New Roman"/>
          <w:sz w:val="22"/>
          <w:szCs w:val="22"/>
        </w:rPr>
      </w:pPr>
      <w:r w:rsidRPr="004068EE">
        <w:rPr>
          <w:rFonts w:ascii="Times New Roman" w:hAnsi="Times New Roman"/>
          <w:sz w:val="22"/>
          <w:szCs w:val="22"/>
        </w:rPr>
        <w:t>1.</w:t>
      </w:r>
      <w:r w:rsidRPr="004068EE">
        <w:rPr>
          <w:rFonts w:ascii="Times New Roman" w:hAnsi="Times New Roman"/>
          <w:sz w:val="22"/>
          <w:szCs w:val="22"/>
        </w:rPr>
        <w:tab/>
      </w:r>
      <w:r w:rsidR="00C7155A" w:rsidRPr="004068EE">
        <w:rPr>
          <w:rFonts w:ascii="Times New Roman" w:hAnsi="Times New Roman"/>
          <w:sz w:val="22"/>
          <w:szCs w:val="22"/>
        </w:rPr>
        <w:t>Upon a Commission finding that a</w:t>
      </w:r>
      <w:r w:rsidR="0045792E" w:rsidRPr="004068EE">
        <w:rPr>
          <w:rFonts w:ascii="Times New Roman" w:hAnsi="Times New Roman"/>
          <w:sz w:val="22"/>
          <w:szCs w:val="22"/>
        </w:rPr>
        <w:t xml:space="preserve"> previously </w:t>
      </w:r>
      <w:r w:rsidR="00BB4E06" w:rsidRPr="004068EE">
        <w:rPr>
          <w:rFonts w:ascii="Times New Roman" w:hAnsi="Times New Roman"/>
          <w:sz w:val="22"/>
          <w:szCs w:val="22"/>
        </w:rPr>
        <w:t>granted exemption</w:t>
      </w:r>
      <w:r w:rsidR="00114449" w:rsidRPr="004068EE">
        <w:rPr>
          <w:rFonts w:ascii="Times New Roman" w:hAnsi="Times New Roman"/>
          <w:sz w:val="22"/>
          <w:szCs w:val="22"/>
        </w:rPr>
        <w:t xml:space="preserve"> </w:t>
      </w:r>
      <w:r w:rsidR="00C7155A" w:rsidRPr="004068EE">
        <w:rPr>
          <w:rFonts w:ascii="Times New Roman" w:hAnsi="Times New Roman"/>
          <w:sz w:val="22"/>
          <w:szCs w:val="22"/>
        </w:rPr>
        <w:t xml:space="preserve">no longer </w:t>
      </w:r>
      <w:r w:rsidR="0045792E" w:rsidRPr="004068EE">
        <w:rPr>
          <w:rFonts w:ascii="Times New Roman" w:hAnsi="Times New Roman"/>
          <w:sz w:val="22"/>
          <w:szCs w:val="22"/>
        </w:rPr>
        <w:t>satisfies the criteria of Section 3(B)(2)</w:t>
      </w:r>
      <w:r w:rsidR="00C7155A" w:rsidRPr="004068EE">
        <w:rPr>
          <w:rFonts w:ascii="Times New Roman" w:hAnsi="Times New Roman"/>
          <w:sz w:val="22"/>
          <w:szCs w:val="22"/>
        </w:rPr>
        <w:t xml:space="preserve">, the Commission may </w:t>
      </w:r>
      <w:r w:rsidR="0045792E" w:rsidRPr="004068EE">
        <w:rPr>
          <w:rFonts w:ascii="Times New Roman" w:hAnsi="Times New Roman"/>
          <w:sz w:val="22"/>
          <w:szCs w:val="22"/>
        </w:rPr>
        <w:t xml:space="preserve">rescind or modify the </w:t>
      </w:r>
      <w:r w:rsidR="00C7155A" w:rsidRPr="004068EE">
        <w:rPr>
          <w:rFonts w:ascii="Times New Roman" w:hAnsi="Times New Roman"/>
          <w:sz w:val="22"/>
          <w:szCs w:val="22"/>
        </w:rPr>
        <w:t>exemption</w:t>
      </w:r>
      <w:r w:rsidR="0045792E" w:rsidRPr="004068EE">
        <w:rPr>
          <w:rFonts w:ascii="Times New Roman" w:hAnsi="Times New Roman"/>
          <w:sz w:val="22"/>
          <w:szCs w:val="22"/>
        </w:rPr>
        <w:t xml:space="preserve">, in </w:t>
      </w:r>
      <w:r w:rsidR="00644E0E" w:rsidRPr="004068EE">
        <w:rPr>
          <w:rFonts w:ascii="Times New Roman" w:hAnsi="Times New Roman"/>
          <w:sz w:val="22"/>
          <w:szCs w:val="22"/>
        </w:rPr>
        <w:t>in part or in whole.</w:t>
      </w:r>
    </w:p>
    <w:p w14:paraId="7B1CC6E9" w14:textId="77777777" w:rsidR="00644E0E" w:rsidRPr="004068EE" w:rsidRDefault="00644E0E" w:rsidP="00756E31">
      <w:pPr>
        <w:widowControl/>
        <w:suppressAutoHyphens/>
        <w:ind w:left="2160" w:hanging="720"/>
        <w:rPr>
          <w:rFonts w:ascii="Times New Roman" w:hAnsi="Times New Roman"/>
          <w:sz w:val="22"/>
          <w:szCs w:val="22"/>
        </w:rPr>
      </w:pPr>
    </w:p>
    <w:p w14:paraId="1A07D374" w14:textId="77777777" w:rsidR="001960EB" w:rsidRPr="004068EE" w:rsidRDefault="00C4255B" w:rsidP="00756E31">
      <w:pPr>
        <w:widowControl/>
        <w:suppressAutoHyphens/>
        <w:ind w:left="2160" w:hanging="720"/>
        <w:rPr>
          <w:rFonts w:ascii="Times New Roman" w:hAnsi="Times New Roman"/>
          <w:sz w:val="22"/>
          <w:szCs w:val="22"/>
        </w:rPr>
      </w:pPr>
      <w:r w:rsidRPr="004068EE">
        <w:rPr>
          <w:rFonts w:ascii="Times New Roman" w:hAnsi="Times New Roman"/>
          <w:sz w:val="22"/>
          <w:szCs w:val="22"/>
        </w:rPr>
        <w:t>2.</w:t>
      </w:r>
      <w:r w:rsidRPr="004068EE">
        <w:rPr>
          <w:rFonts w:ascii="Times New Roman" w:hAnsi="Times New Roman"/>
          <w:sz w:val="22"/>
          <w:szCs w:val="22"/>
        </w:rPr>
        <w:tab/>
        <w:t>An exemption granted pursuant to this rule will be rescinded</w:t>
      </w:r>
      <w:r w:rsidR="0045792E" w:rsidRPr="004068EE">
        <w:rPr>
          <w:rFonts w:ascii="Times New Roman" w:hAnsi="Times New Roman"/>
          <w:sz w:val="22"/>
          <w:szCs w:val="22"/>
        </w:rPr>
        <w:t xml:space="preserve"> or modified</w:t>
      </w:r>
      <w:r w:rsidRPr="004068EE">
        <w:rPr>
          <w:rFonts w:ascii="Times New Roman" w:hAnsi="Times New Roman"/>
          <w:sz w:val="22"/>
          <w:szCs w:val="22"/>
        </w:rPr>
        <w:t xml:space="preserve"> only after the</w:t>
      </w:r>
      <w:r w:rsidR="00C7155A" w:rsidRPr="004068EE">
        <w:rPr>
          <w:rFonts w:ascii="Times New Roman" w:hAnsi="Times New Roman"/>
          <w:sz w:val="22"/>
          <w:szCs w:val="22"/>
        </w:rPr>
        <w:t xml:space="preserve"> consumer-</w:t>
      </w:r>
      <w:r w:rsidR="00644E0E" w:rsidRPr="004068EE">
        <w:rPr>
          <w:rFonts w:ascii="Times New Roman" w:hAnsi="Times New Roman"/>
          <w:sz w:val="22"/>
          <w:szCs w:val="22"/>
        </w:rPr>
        <w:t>owned</w:t>
      </w:r>
      <w:r w:rsidRPr="004068EE">
        <w:rPr>
          <w:rFonts w:ascii="Times New Roman" w:hAnsi="Times New Roman"/>
          <w:sz w:val="22"/>
          <w:szCs w:val="22"/>
        </w:rPr>
        <w:t xml:space="preserve"> water utility subject to the decision has been provided an opportunity for a hearing.</w:t>
      </w:r>
    </w:p>
    <w:p w14:paraId="3947D7E4" w14:textId="77777777" w:rsidR="00C4255B" w:rsidRPr="004068EE" w:rsidRDefault="00C4255B" w:rsidP="00756E31">
      <w:pPr>
        <w:widowControl/>
        <w:suppressAutoHyphens/>
        <w:ind w:left="2160" w:hanging="720"/>
        <w:rPr>
          <w:rFonts w:ascii="Times New Roman" w:hAnsi="Times New Roman"/>
          <w:sz w:val="22"/>
          <w:szCs w:val="22"/>
        </w:rPr>
      </w:pPr>
    </w:p>
    <w:p w14:paraId="14321C00" w14:textId="7BC00B75" w:rsidR="00034A24" w:rsidRPr="004068EE" w:rsidRDefault="00034A24" w:rsidP="00756E31">
      <w:pPr>
        <w:widowControl/>
        <w:suppressAutoHyphens/>
        <w:ind w:left="2160" w:hanging="720"/>
        <w:rPr>
          <w:rFonts w:ascii="Times New Roman" w:hAnsi="Times New Roman"/>
          <w:sz w:val="22"/>
          <w:szCs w:val="22"/>
        </w:rPr>
      </w:pPr>
    </w:p>
    <w:p w14:paraId="6168DB21" w14:textId="2A771336" w:rsidR="00FB6015" w:rsidRPr="004068EE" w:rsidRDefault="00BC18AC" w:rsidP="00756E31">
      <w:pPr>
        <w:keepNext/>
        <w:keepLines/>
        <w:widowControl/>
        <w:suppressAutoHyphens/>
        <w:rPr>
          <w:rFonts w:ascii="Times New Roman" w:hAnsi="Times New Roman"/>
          <w:sz w:val="22"/>
          <w:szCs w:val="22"/>
        </w:rPr>
      </w:pPr>
      <w:r w:rsidRPr="004068EE">
        <w:rPr>
          <w:rFonts w:ascii="Times New Roman" w:hAnsi="Times New Roman"/>
          <w:b/>
          <w:sz w:val="22"/>
          <w:szCs w:val="22"/>
        </w:rPr>
        <w:t>§</w:t>
      </w:r>
      <w:r w:rsidR="00756E31" w:rsidRPr="004068EE">
        <w:rPr>
          <w:rFonts w:ascii="Times New Roman" w:hAnsi="Times New Roman"/>
          <w:b/>
          <w:sz w:val="22"/>
          <w:szCs w:val="22"/>
        </w:rPr>
        <w:t xml:space="preserve"> </w:t>
      </w:r>
      <w:r w:rsidRPr="004068EE">
        <w:rPr>
          <w:rFonts w:ascii="Times New Roman" w:hAnsi="Times New Roman"/>
          <w:b/>
          <w:sz w:val="22"/>
          <w:szCs w:val="22"/>
        </w:rPr>
        <w:t>5</w:t>
      </w:r>
      <w:r w:rsidRPr="004068EE">
        <w:rPr>
          <w:rFonts w:ascii="Times New Roman" w:hAnsi="Times New Roman"/>
          <w:b/>
          <w:sz w:val="22"/>
          <w:szCs w:val="22"/>
        </w:rPr>
        <w:tab/>
        <w:t>WAIVER</w:t>
      </w:r>
    </w:p>
    <w:p w14:paraId="0EAB647F" w14:textId="77777777" w:rsidR="00BC18AC" w:rsidRPr="004068EE" w:rsidRDefault="00BC18AC" w:rsidP="00756E31">
      <w:pPr>
        <w:widowControl/>
        <w:suppressAutoHyphens/>
        <w:rPr>
          <w:rFonts w:ascii="Times New Roman" w:hAnsi="Times New Roman"/>
          <w:sz w:val="22"/>
          <w:szCs w:val="22"/>
        </w:rPr>
      </w:pPr>
    </w:p>
    <w:p w14:paraId="603B1801" w14:textId="53864964" w:rsidR="00BA098D" w:rsidRPr="004068EE" w:rsidRDefault="00BC18AC" w:rsidP="00756E31">
      <w:pPr>
        <w:widowControl/>
        <w:suppressAutoHyphens/>
        <w:ind w:left="720" w:hanging="720"/>
        <w:rPr>
          <w:rFonts w:ascii="Times New Roman" w:hAnsi="Times New Roman"/>
          <w:sz w:val="22"/>
          <w:szCs w:val="22"/>
        </w:rPr>
      </w:pPr>
      <w:r w:rsidRPr="004068EE">
        <w:rPr>
          <w:rFonts w:ascii="Times New Roman" w:hAnsi="Times New Roman"/>
          <w:sz w:val="22"/>
          <w:szCs w:val="22"/>
        </w:rPr>
        <w:tab/>
        <w:t xml:space="preserve">To the extent permitted by law, where good cause appears, the Commission </w:t>
      </w:r>
      <w:bookmarkStart w:id="1" w:name="_Hlk108104945"/>
      <w:r w:rsidR="00B103AE" w:rsidRPr="004068EE">
        <w:rPr>
          <w:rFonts w:ascii="Times New Roman" w:hAnsi="Times New Roman"/>
          <w:sz w:val="22"/>
          <w:szCs w:val="22"/>
        </w:rPr>
        <w:t xml:space="preserve">the Commission’s Administrative Director, the Director of Telephone and Water Utility Industries, or a Presiding Officer assigned to a proceeding related to this Chapter </w:t>
      </w:r>
      <w:bookmarkEnd w:id="1"/>
      <w:r w:rsidRPr="004068EE">
        <w:rPr>
          <w:rFonts w:ascii="Times New Roman" w:hAnsi="Times New Roman"/>
          <w:sz w:val="22"/>
          <w:szCs w:val="22"/>
        </w:rPr>
        <w:t>may permit deviation or waiver from this Chapter.</w:t>
      </w:r>
      <w:r w:rsidR="00114449" w:rsidRPr="004068EE">
        <w:rPr>
          <w:rFonts w:ascii="Times New Roman" w:hAnsi="Times New Roman"/>
          <w:sz w:val="22"/>
          <w:szCs w:val="22"/>
        </w:rPr>
        <w:t xml:space="preserve"> </w:t>
      </w:r>
      <w:r w:rsidRPr="004068EE">
        <w:rPr>
          <w:rFonts w:ascii="Times New Roman" w:hAnsi="Times New Roman"/>
          <w:sz w:val="22"/>
          <w:szCs w:val="22"/>
        </w:rPr>
        <w:t xml:space="preserve">Any request for a procedural deviation or waiver </w:t>
      </w:r>
      <w:r w:rsidR="00B103AE" w:rsidRPr="004068EE">
        <w:rPr>
          <w:rFonts w:ascii="Times New Roman" w:hAnsi="Times New Roman"/>
          <w:sz w:val="22"/>
          <w:szCs w:val="22"/>
        </w:rPr>
        <w:t xml:space="preserve">must </w:t>
      </w:r>
      <w:r w:rsidRPr="004068EE">
        <w:rPr>
          <w:rFonts w:ascii="Times New Roman" w:hAnsi="Times New Roman"/>
          <w:sz w:val="22"/>
          <w:szCs w:val="22"/>
        </w:rPr>
        <w:t>be made in writing. The Commission</w:t>
      </w:r>
      <w:r w:rsidR="00C049CC" w:rsidRPr="004068EE">
        <w:rPr>
          <w:rFonts w:ascii="Times New Roman" w:hAnsi="Times New Roman"/>
          <w:sz w:val="22"/>
          <w:szCs w:val="22"/>
        </w:rPr>
        <w:t xml:space="preserve">, </w:t>
      </w:r>
      <w:r w:rsidR="00B103AE" w:rsidRPr="004068EE">
        <w:rPr>
          <w:rFonts w:ascii="Times New Roman" w:hAnsi="Times New Roman"/>
          <w:sz w:val="22"/>
          <w:szCs w:val="22"/>
        </w:rPr>
        <w:t xml:space="preserve">the Commission’s Administrative Director, the Director of Telephone and Water Utility Industries, or a Presiding Officer assigned to a proceeding related to this Chapter </w:t>
      </w:r>
      <w:r w:rsidRPr="004068EE">
        <w:rPr>
          <w:rFonts w:ascii="Times New Roman" w:hAnsi="Times New Roman"/>
          <w:sz w:val="22"/>
          <w:szCs w:val="22"/>
        </w:rPr>
        <w:t xml:space="preserve">may grant a request for a substantive deviation or waiver upon a finding of good cause or that compliance would be unduly burdensome and that the deviation or waiver is not inconsistent with the purposes of this chapter or 35-A M.R.S </w:t>
      </w:r>
      <w:r w:rsidR="008E38D7" w:rsidRPr="004068EE">
        <w:rPr>
          <w:rFonts w:ascii="Times New Roman" w:hAnsi="Times New Roman"/>
          <w:sz w:val="22"/>
          <w:szCs w:val="22"/>
        </w:rPr>
        <w:t>§</w:t>
      </w:r>
      <w:r w:rsidRPr="004068EE">
        <w:rPr>
          <w:rFonts w:ascii="Times New Roman" w:hAnsi="Times New Roman"/>
          <w:sz w:val="22"/>
          <w:szCs w:val="22"/>
        </w:rPr>
        <w:t>6114</w:t>
      </w:r>
      <w:r w:rsidR="0022057A" w:rsidRPr="004068EE">
        <w:rPr>
          <w:rFonts w:ascii="Times New Roman" w:hAnsi="Times New Roman"/>
          <w:sz w:val="22"/>
          <w:szCs w:val="22"/>
        </w:rPr>
        <w:t>.</w:t>
      </w:r>
    </w:p>
    <w:p w14:paraId="5614BD39" w14:textId="77777777" w:rsidR="008973B2" w:rsidRPr="001673ED" w:rsidRDefault="008973B2" w:rsidP="00756E31">
      <w:pPr>
        <w:pStyle w:val="DefaultText"/>
        <w:pBdr>
          <w:bottom w:val="single" w:sz="4" w:space="1" w:color="auto"/>
        </w:pBdr>
        <w:rPr>
          <w:rStyle w:val="InitialStyle"/>
          <w:sz w:val="22"/>
          <w:szCs w:val="22"/>
        </w:rPr>
      </w:pPr>
    </w:p>
    <w:p w14:paraId="67B7E192" w14:textId="77777777" w:rsidR="00B103AE" w:rsidRPr="004068EE" w:rsidRDefault="00B103AE" w:rsidP="00B103AE">
      <w:pPr>
        <w:pStyle w:val="DefaultText"/>
        <w:rPr>
          <w:sz w:val="22"/>
          <w:szCs w:val="22"/>
        </w:rPr>
      </w:pPr>
    </w:p>
    <w:p w14:paraId="74AC0BE5" w14:textId="77777777" w:rsidR="008973B2" w:rsidRPr="004068EE" w:rsidRDefault="008973B2" w:rsidP="00756E31">
      <w:pPr>
        <w:pStyle w:val="DefaultText"/>
        <w:rPr>
          <w:rStyle w:val="InitialStyle"/>
          <w:sz w:val="22"/>
          <w:szCs w:val="22"/>
        </w:rPr>
      </w:pPr>
    </w:p>
    <w:p w14:paraId="07514861" w14:textId="77777777" w:rsidR="00382CCA" w:rsidRPr="004068EE" w:rsidRDefault="00382CCA" w:rsidP="00756E31">
      <w:pPr>
        <w:widowControl/>
        <w:suppressAutoHyphens/>
        <w:rPr>
          <w:rFonts w:ascii="Times New Roman" w:hAnsi="Times New Roman"/>
          <w:sz w:val="22"/>
          <w:szCs w:val="22"/>
        </w:rPr>
      </w:pPr>
    </w:p>
    <w:p w14:paraId="47171D79" w14:textId="77777777" w:rsidR="00570501" w:rsidRDefault="00570501">
      <w:pPr>
        <w:widowControl/>
        <w:rPr>
          <w:rFonts w:ascii="Times New Roman" w:hAnsi="Times New Roman"/>
          <w:sz w:val="22"/>
          <w:szCs w:val="22"/>
        </w:rPr>
      </w:pPr>
      <w:r>
        <w:rPr>
          <w:rFonts w:ascii="Times New Roman" w:hAnsi="Times New Roman"/>
          <w:sz w:val="22"/>
          <w:szCs w:val="22"/>
        </w:rPr>
        <w:br w:type="page"/>
      </w:r>
    </w:p>
    <w:p w14:paraId="09C845F7" w14:textId="61BA673B" w:rsidR="0022788F" w:rsidRDefault="00382CCA" w:rsidP="00B103AE">
      <w:pPr>
        <w:widowControl/>
        <w:suppressAutoHyphens/>
        <w:rPr>
          <w:rFonts w:ascii="Times New Roman" w:hAnsi="Times New Roman"/>
          <w:sz w:val="22"/>
          <w:szCs w:val="22"/>
        </w:rPr>
      </w:pPr>
      <w:r w:rsidRPr="004068EE">
        <w:rPr>
          <w:rFonts w:ascii="Times New Roman" w:hAnsi="Times New Roman"/>
          <w:sz w:val="22"/>
          <w:szCs w:val="22"/>
        </w:rPr>
        <w:lastRenderedPageBreak/>
        <w:t>STATUTORY AUTHORITY:</w:t>
      </w:r>
    </w:p>
    <w:p w14:paraId="79F3FADF" w14:textId="5716CB9E" w:rsidR="00382CCA" w:rsidRDefault="0022788F" w:rsidP="00B103AE">
      <w:pPr>
        <w:widowControl/>
        <w:suppressAutoHyphens/>
        <w:rPr>
          <w:rFonts w:ascii="Times New Roman" w:hAnsi="Times New Roman"/>
          <w:sz w:val="22"/>
          <w:szCs w:val="22"/>
        </w:rPr>
      </w:pPr>
      <w:r>
        <w:rPr>
          <w:rFonts w:ascii="Times New Roman" w:hAnsi="Times New Roman"/>
          <w:sz w:val="22"/>
          <w:szCs w:val="22"/>
        </w:rPr>
        <w:tab/>
      </w:r>
      <w:r w:rsidR="00114449" w:rsidRPr="004068EE">
        <w:rPr>
          <w:rFonts w:ascii="Times New Roman" w:hAnsi="Times New Roman"/>
          <w:sz w:val="22"/>
          <w:szCs w:val="22"/>
        </w:rPr>
        <w:t>35</w:t>
      </w:r>
      <w:r w:rsidR="00114449" w:rsidRPr="004068EE">
        <w:rPr>
          <w:rFonts w:ascii="Times New Roman" w:hAnsi="Times New Roman"/>
          <w:sz w:val="22"/>
          <w:szCs w:val="22"/>
        </w:rPr>
        <w:noBreakHyphen/>
        <w:t>A M.R.S. §</w:t>
      </w:r>
      <w:r w:rsidR="00382CCA" w:rsidRPr="004068EE">
        <w:rPr>
          <w:rFonts w:ascii="Times New Roman" w:hAnsi="Times New Roman"/>
          <w:sz w:val="22"/>
          <w:szCs w:val="22"/>
        </w:rPr>
        <w:t>6114</w:t>
      </w:r>
    </w:p>
    <w:p w14:paraId="5BBB34BD" w14:textId="77777777" w:rsidR="0022788F" w:rsidRPr="004068EE" w:rsidRDefault="0022788F" w:rsidP="00B103AE">
      <w:pPr>
        <w:widowControl/>
        <w:suppressAutoHyphens/>
        <w:rPr>
          <w:rFonts w:ascii="Times New Roman" w:hAnsi="Times New Roman"/>
          <w:sz w:val="22"/>
          <w:szCs w:val="22"/>
        </w:rPr>
      </w:pPr>
    </w:p>
    <w:p w14:paraId="34D5D4A9" w14:textId="77777777" w:rsidR="0022788F" w:rsidRPr="0022788F" w:rsidRDefault="0022788F" w:rsidP="0022788F">
      <w:pPr>
        <w:widowControl/>
        <w:suppressAutoHyphens/>
        <w:rPr>
          <w:rFonts w:ascii="Times New Roman" w:hAnsi="Times New Roman"/>
          <w:sz w:val="22"/>
          <w:szCs w:val="22"/>
        </w:rPr>
      </w:pPr>
      <w:r w:rsidRPr="0022788F">
        <w:rPr>
          <w:rFonts w:ascii="Times New Roman" w:hAnsi="Times New Roman"/>
          <w:sz w:val="22"/>
          <w:szCs w:val="22"/>
        </w:rPr>
        <w:t>EFFECTIVE DATE:</w:t>
      </w:r>
    </w:p>
    <w:p w14:paraId="0A4C306A" w14:textId="77777777" w:rsidR="0022788F" w:rsidRPr="0022788F" w:rsidRDefault="0022788F" w:rsidP="0022788F">
      <w:pPr>
        <w:widowControl/>
        <w:suppressAutoHyphens/>
        <w:rPr>
          <w:rFonts w:ascii="Times New Roman" w:hAnsi="Times New Roman"/>
          <w:sz w:val="22"/>
          <w:szCs w:val="22"/>
        </w:rPr>
      </w:pPr>
      <w:r w:rsidRPr="0022788F">
        <w:rPr>
          <w:rFonts w:ascii="Times New Roman" w:hAnsi="Times New Roman"/>
          <w:sz w:val="22"/>
          <w:szCs w:val="22"/>
        </w:rPr>
        <w:tab/>
        <w:t>This rule was approved as to form and legality by the Attorney General on February 12, 2015. It was filed with Secretary of State on February 17, 2015 and became effective on February 22, 2015 (filing 2015-018).</w:t>
      </w:r>
    </w:p>
    <w:p w14:paraId="1FEC2FE1" w14:textId="77777777" w:rsidR="00382CCA" w:rsidRPr="004068EE" w:rsidRDefault="00382CCA" w:rsidP="00756E31">
      <w:pPr>
        <w:widowControl/>
        <w:suppressAutoHyphens/>
        <w:rPr>
          <w:rFonts w:ascii="Times New Roman" w:hAnsi="Times New Roman"/>
          <w:sz w:val="22"/>
          <w:szCs w:val="22"/>
        </w:rPr>
      </w:pPr>
    </w:p>
    <w:p w14:paraId="05B58E4C" w14:textId="77777777" w:rsidR="0022788F" w:rsidRDefault="00382CCA" w:rsidP="00B103AE">
      <w:pPr>
        <w:widowControl/>
        <w:tabs>
          <w:tab w:val="left" w:pos="0"/>
          <w:tab w:val="left" w:pos="1440"/>
          <w:tab w:val="left" w:pos="2160"/>
          <w:tab w:val="left" w:pos="2880"/>
          <w:tab w:val="left" w:pos="3600"/>
        </w:tabs>
        <w:suppressAutoHyphens/>
        <w:outlineLvl w:val="0"/>
        <w:rPr>
          <w:rFonts w:ascii="Times New Roman" w:hAnsi="Times New Roman"/>
          <w:sz w:val="22"/>
          <w:szCs w:val="22"/>
        </w:rPr>
      </w:pPr>
      <w:r w:rsidRPr="004068EE">
        <w:rPr>
          <w:rFonts w:ascii="Times New Roman" w:hAnsi="Times New Roman"/>
          <w:sz w:val="22"/>
          <w:szCs w:val="22"/>
        </w:rPr>
        <w:t>EFFECTIVE DATE:</w:t>
      </w:r>
    </w:p>
    <w:p w14:paraId="4FADDE91" w14:textId="122E7C37" w:rsidR="00B103AE" w:rsidRDefault="0022788F" w:rsidP="0022788F">
      <w:pPr>
        <w:widowControl/>
        <w:tabs>
          <w:tab w:val="left" w:pos="0"/>
          <w:tab w:val="left" w:pos="720"/>
          <w:tab w:val="left" w:pos="1440"/>
          <w:tab w:val="left" w:pos="2160"/>
          <w:tab w:val="left" w:pos="2880"/>
          <w:tab w:val="left" w:pos="3600"/>
        </w:tabs>
        <w:suppressAutoHyphens/>
        <w:outlineLvl w:val="0"/>
        <w:rPr>
          <w:rFonts w:ascii="Times New Roman" w:hAnsi="Times New Roman"/>
          <w:sz w:val="22"/>
          <w:szCs w:val="22"/>
        </w:rPr>
      </w:pPr>
      <w:r>
        <w:rPr>
          <w:rFonts w:ascii="Times New Roman" w:hAnsi="Times New Roman"/>
          <w:sz w:val="22"/>
          <w:szCs w:val="22"/>
        </w:rPr>
        <w:tab/>
      </w:r>
      <w:r w:rsidR="00B103AE" w:rsidRPr="004068EE">
        <w:rPr>
          <w:rFonts w:ascii="Times New Roman" w:hAnsi="Times New Roman"/>
          <w:sz w:val="22"/>
          <w:szCs w:val="22"/>
        </w:rPr>
        <w:t xml:space="preserve">This </w:t>
      </w:r>
      <w:r>
        <w:rPr>
          <w:rFonts w:ascii="Times New Roman" w:hAnsi="Times New Roman"/>
          <w:sz w:val="22"/>
          <w:szCs w:val="22"/>
        </w:rPr>
        <w:t>c</w:t>
      </w:r>
      <w:r w:rsidR="00B103AE" w:rsidRPr="004068EE">
        <w:rPr>
          <w:rFonts w:ascii="Times New Roman" w:hAnsi="Times New Roman"/>
          <w:sz w:val="22"/>
          <w:szCs w:val="22"/>
        </w:rPr>
        <w:t xml:space="preserve">hapter was approved as to form and legality by the Attorney General on </w:t>
      </w:r>
      <w:r>
        <w:rPr>
          <w:rFonts w:ascii="Times New Roman" w:hAnsi="Times New Roman"/>
          <w:sz w:val="22"/>
          <w:szCs w:val="22"/>
        </w:rPr>
        <w:t xml:space="preserve">December </w:t>
      </w:r>
      <w:r w:rsidR="00570501">
        <w:rPr>
          <w:rFonts w:ascii="Times New Roman" w:hAnsi="Times New Roman"/>
          <w:sz w:val="22"/>
          <w:szCs w:val="22"/>
        </w:rPr>
        <w:t>20</w:t>
      </w:r>
      <w:r>
        <w:rPr>
          <w:rFonts w:ascii="Times New Roman" w:hAnsi="Times New Roman"/>
          <w:sz w:val="22"/>
          <w:szCs w:val="22"/>
        </w:rPr>
        <w:t>, 2022</w:t>
      </w:r>
      <w:r w:rsidR="00B103AE" w:rsidRPr="004068EE">
        <w:rPr>
          <w:rFonts w:ascii="Times New Roman" w:hAnsi="Times New Roman"/>
          <w:sz w:val="22"/>
          <w:szCs w:val="22"/>
        </w:rPr>
        <w:t xml:space="preserve">. It was filed with the Secretary of State on </w:t>
      </w:r>
      <w:r>
        <w:rPr>
          <w:rFonts w:ascii="Times New Roman" w:hAnsi="Times New Roman"/>
          <w:sz w:val="22"/>
          <w:szCs w:val="22"/>
        </w:rPr>
        <w:t>December 21, 2022</w:t>
      </w:r>
      <w:r w:rsidR="00B103AE" w:rsidRPr="004068EE">
        <w:rPr>
          <w:rFonts w:ascii="Times New Roman" w:hAnsi="Times New Roman"/>
          <w:sz w:val="22"/>
          <w:szCs w:val="22"/>
        </w:rPr>
        <w:t xml:space="preserve"> and became effective on </w:t>
      </w:r>
      <w:r>
        <w:rPr>
          <w:rFonts w:ascii="Times New Roman" w:hAnsi="Times New Roman"/>
          <w:sz w:val="22"/>
          <w:szCs w:val="22"/>
        </w:rPr>
        <w:t>December 26, 2022 (filing 2022-252)</w:t>
      </w:r>
      <w:r w:rsidR="00B103AE" w:rsidRPr="004068EE">
        <w:rPr>
          <w:rFonts w:ascii="Times New Roman" w:hAnsi="Times New Roman"/>
          <w:sz w:val="22"/>
          <w:szCs w:val="22"/>
        </w:rPr>
        <w:t>.</w:t>
      </w:r>
    </w:p>
    <w:p w14:paraId="1D4CBCFD" w14:textId="77777777" w:rsidR="008E7A7D" w:rsidRDefault="008E7A7D" w:rsidP="0022788F">
      <w:pPr>
        <w:widowControl/>
        <w:tabs>
          <w:tab w:val="left" w:pos="0"/>
          <w:tab w:val="left" w:pos="720"/>
          <w:tab w:val="left" w:pos="1440"/>
          <w:tab w:val="left" w:pos="2160"/>
          <w:tab w:val="left" w:pos="2880"/>
          <w:tab w:val="left" w:pos="3600"/>
        </w:tabs>
        <w:suppressAutoHyphens/>
        <w:outlineLvl w:val="0"/>
        <w:rPr>
          <w:rFonts w:ascii="Times New Roman" w:hAnsi="Times New Roman"/>
          <w:sz w:val="22"/>
          <w:szCs w:val="22"/>
        </w:rPr>
      </w:pPr>
    </w:p>
    <w:p w14:paraId="6FCFE1DF" w14:textId="2DE52BA1" w:rsidR="008E7A7D" w:rsidRPr="004068EE" w:rsidRDefault="008E7A7D" w:rsidP="0022788F">
      <w:pPr>
        <w:widowControl/>
        <w:tabs>
          <w:tab w:val="left" w:pos="0"/>
          <w:tab w:val="left" w:pos="720"/>
          <w:tab w:val="left" w:pos="1440"/>
          <w:tab w:val="left" w:pos="2160"/>
          <w:tab w:val="left" w:pos="2880"/>
          <w:tab w:val="left" w:pos="3600"/>
        </w:tabs>
        <w:suppressAutoHyphens/>
        <w:outlineLvl w:val="0"/>
        <w:rPr>
          <w:rFonts w:ascii="Times New Roman" w:hAnsi="Times New Roman"/>
          <w:sz w:val="22"/>
          <w:szCs w:val="22"/>
        </w:rPr>
      </w:pPr>
      <w:r>
        <w:rPr>
          <w:rFonts w:ascii="Times New Roman" w:hAnsi="Times New Roman"/>
          <w:sz w:val="22"/>
          <w:szCs w:val="22"/>
        </w:rPr>
        <w:t>Nonsubstantive edits made by agency to ensure accessibility; APAO Accessibility Check: August 20, 2025</w:t>
      </w:r>
    </w:p>
    <w:p w14:paraId="630878FF" w14:textId="77777777" w:rsidR="0022788F" w:rsidRDefault="0022788F" w:rsidP="00756E31">
      <w:pPr>
        <w:widowControl/>
        <w:suppressAutoHyphens/>
        <w:ind w:left="1440" w:hanging="1440"/>
        <w:rPr>
          <w:rFonts w:ascii="Times New Roman" w:hAnsi="Times New Roman"/>
          <w:sz w:val="22"/>
          <w:szCs w:val="22"/>
        </w:rPr>
      </w:pPr>
    </w:p>
    <w:p w14:paraId="0EA9FA20" w14:textId="5B0ED4D9" w:rsidR="00932C5D" w:rsidRPr="004068EE" w:rsidRDefault="00932C5D" w:rsidP="00756E31">
      <w:pPr>
        <w:widowControl/>
        <w:suppressAutoHyphens/>
        <w:ind w:left="1440" w:hanging="1440"/>
        <w:rPr>
          <w:rFonts w:ascii="Times New Roman" w:hAnsi="Times New Roman"/>
          <w:sz w:val="22"/>
          <w:szCs w:val="22"/>
        </w:rPr>
      </w:pPr>
      <w:r w:rsidRPr="004068EE">
        <w:rPr>
          <w:rFonts w:ascii="Times New Roman" w:hAnsi="Times New Roman"/>
          <w:sz w:val="22"/>
          <w:szCs w:val="22"/>
        </w:rPr>
        <w:br w:type="page"/>
      </w:r>
      <w:r w:rsidR="00AD5B7E" w:rsidRPr="004068EE">
        <w:rPr>
          <w:rFonts w:ascii="Times New Roman" w:hAnsi="Times New Roman"/>
          <w:b/>
          <w:sz w:val="22"/>
          <w:szCs w:val="22"/>
        </w:rPr>
        <w:lastRenderedPageBreak/>
        <w:t>Appendix A:</w:t>
      </w:r>
      <w:r w:rsidR="00AD5B7E" w:rsidRPr="004068EE">
        <w:rPr>
          <w:rFonts w:ascii="Times New Roman" w:hAnsi="Times New Roman"/>
          <w:b/>
          <w:sz w:val="22"/>
          <w:szCs w:val="22"/>
        </w:rPr>
        <w:tab/>
      </w:r>
      <w:r w:rsidRPr="004068EE">
        <w:rPr>
          <w:rFonts w:ascii="Times New Roman" w:hAnsi="Times New Roman"/>
          <w:b/>
          <w:sz w:val="22"/>
          <w:szCs w:val="22"/>
        </w:rPr>
        <w:t>SUPPORTING DATA FOR PETITIONS FO</w:t>
      </w:r>
      <w:r w:rsidR="00AD5B7E" w:rsidRPr="004068EE">
        <w:rPr>
          <w:rFonts w:ascii="Times New Roman" w:hAnsi="Times New Roman"/>
          <w:b/>
          <w:sz w:val="22"/>
          <w:szCs w:val="22"/>
        </w:rPr>
        <w:t>R</w:t>
      </w:r>
      <w:r w:rsidRPr="004068EE">
        <w:rPr>
          <w:rFonts w:ascii="Times New Roman" w:hAnsi="Times New Roman"/>
          <w:b/>
          <w:sz w:val="22"/>
          <w:szCs w:val="22"/>
        </w:rPr>
        <w:t xml:space="preserve"> EXEMPTIONS FROM REGULATORY REQUIREMENTS FOR CONSUMER-OWNED WATER UTILITIES</w:t>
      </w:r>
    </w:p>
    <w:p w14:paraId="29ED56F2" w14:textId="77777777" w:rsidR="00932C5D" w:rsidRPr="004068EE" w:rsidRDefault="00932C5D" w:rsidP="00756E31">
      <w:pPr>
        <w:widowControl/>
        <w:pBdr>
          <w:bottom w:val="single" w:sz="4" w:space="1" w:color="auto"/>
        </w:pBdr>
        <w:suppressAutoHyphens/>
        <w:rPr>
          <w:rFonts w:ascii="Times New Roman" w:hAnsi="Times New Roman"/>
          <w:sz w:val="22"/>
          <w:szCs w:val="22"/>
        </w:rPr>
      </w:pPr>
    </w:p>
    <w:p w14:paraId="112D5A08" w14:textId="77777777" w:rsidR="00AD5B7E" w:rsidRPr="004068EE" w:rsidRDefault="00AD5B7E" w:rsidP="00756E31">
      <w:pPr>
        <w:widowControl/>
        <w:suppressAutoHyphens/>
        <w:rPr>
          <w:rFonts w:ascii="Times New Roman" w:hAnsi="Times New Roman"/>
          <w:sz w:val="22"/>
          <w:szCs w:val="22"/>
        </w:rPr>
      </w:pPr>
    </w:p>
    <w:p w14:paraId="13E3AFC3" w14:textId="77777777" w:rsidR="00932C5D" w:rsidRPr="004068EE" w:rsidRDefault="00932C5D" w:rsidP="00756E31">
      <w:pPr>
        <w:widowControl/>
        <w:suppressAutoHyphens/>
        <w:rPr>
          <w:rFonts w:ascii="Times New Roman" w:hAnsi="Times New Roman"/>
          <w:sz w:val="22"/>
          <w:szCs w:val="22"/>
        </w:rPr>
      </w:pPr>
      <w:r w:rsidRPr="004068EE">
        <w:rPr>
          <w:rFonts w:ascii="Times New Roman" w:hAnsi="Times New Roman"/>
          <w:b/>
          <w:sz w:val="22"/>
          <w:szCs w:val="22"/>
        </w:rPr>
        <w:t>SUMMARY:</w:t>
      </w:r>
      <w:r w:rsidRPr="004068EE">
        <w:rPr>
          <w:rFonts w:ascii="Times New Roman" w:hAnsi="Times New Roman"/>
          <w:sz w:val="22"/>
          <w:szCs w:val="22"/>
        </w:rPr>
        <w:t xml:space="preserve"> This Appendix describes ratios, data, and documents that a consumer-owned water utility shall submit in conjunction with a petition for an exemptions from regulatory oversight or statutory requirements in accordance with Chapter 615, Section</w:t>
      </w:r>
      <w:r w:rsidR="00AD5B7E" w:rsidRPr="004068EE">
        <w:rPr>
          <w:rFonts w:ascii="Times New Roman" w:hAnsi="Times New Roman"/>
          <w:sz w:val="22"/>
          <w:szCs w:val="22"/>
        </w:rPr>
        <w:t> </w:t>
      </w:r>
      <w:r w:rsidRPr="004068EE">
        <w:rPr>
          <w:rFonts w:ascii="Times New Roman" w:hAnsi="Times New Roman"/>
          <w:sz w:val="22"/>
          <w:szCs w:val="22"/>
        </w:rPr>
        <w:t>3(B)(4).</w:t>
      </w:r>
    </w:p>
    <w:p w14:paraId="20DA90ED" w14:textId="77777777" w:rsidR="00932C5D" w:rsidRPr="004068EE" w:rsidRDefault="00932C5D" w:rsidP="00756E31">
      <w:pPr>
        <w:widowControl/>
        <w:pBdr>
          <w:bottom w:val="single" w:sz="4" w:space="1" w:color="auto"/>
        </w:pBdr>
        <w:suppressAutoHyphens/>
        <w:rPr>
          <w:rFonts w:ascii="Times New Roman" w:hAnsi="Times New Roman"/>
          <w:sz w:val="22"/>
          <w:szCs w:val="22"/>
        </w:rPr>
      </w:pPr>
    </w:p>
    <w:p w14:paraId="7BF699B4" w14:textId="77777777" w:rsidR="00932C5D" w:rsidRPr="004068EE" w:rsidRDefault="00932C5D" w:rsidP="00756E31">
      <w:pPr>
        <w:widowControl/>
        <w:suppressAutoHyphens/>
        <w:rPr>
          <w:rFonts w:ascii="Times New Roman" w:hAnsi="Times New Roman"/>
          <w:sz w:val="22"/>
          <w:szCs w:val="22"/>
        </w:rPr>
      </w:pPr>
    </w:p>
    <w:p w14:paraId="3E7384C7" w14:textId="77777777" w:rsidR="00AD5B7E" w:rsidRPr="004068EE" w:rsidRDefault="00AD5B7E" w:rsidP="00570501">
      <w:pPr>
        <w:widowControl/>
        <w:suppressAutoHyphens/>
        <w:rPr>
          <w:rFonts w:ascii="Times New Roman" w:hAnsi="Times New Roman"/>
          <w:sz w:val="22"/>
          <w:szCs w:val="22"/>
        </w:rPr>
      </w:pPr>
    </w:p>
    <w:p w14:paraId="70B99FD4" w14:textId="7CD97C41" w:rsidR="00932C5D" w:rsidRDefault="00932C5D" w:rsidP="00570501">
      <w:pPr>
        <w:pStyle w:val="ListParagraph"/>
        <w:numPr>
          <w:ilvl w:val="0"/>
          <w:numId w:val="12"/>
        </w:numPr>
        <w:spacing w:after="0" w:line="240" w:lineRule="auto"/>
        <w:ind w:hanging="540"/>
        <w:rPr>
          <w:rFonts w:ascii="Times New Roman" w:hAnsi="Times New Roman"/>
          <w:b/>
        </w:rPr>
      </w:pPr>
      <w:r w:rsidRPr="004068EE">
        <w:rPr>
          <w:rFonts w:ascii="Times New Roman" w:hAnsi="Times New Roman"/>
          <w:b/>
        </w:rPr>
        <w:t xml:space="preserve">INFORMATION TO BE FILED WITH PETITION </w:t>
      </w:r>
    </w:p>
    <w:p w14:paraId="3E80D222" w14:textId="77777777" w:rsidR="00676A23" w:rsidRPr="004068EE" w:rsidRDefault="00676A23" w:rsidP="00676A23">
      <w:pPr>
        <w:pStyle w:val="ListParagraph"/>
        <w:spacing w:after="0" w:line="240" w:lineRule="auto"/>
        <w:rPr>
          <w:rFonts w:ascii="Times New Roman" w:hAnsi="Times New Roman"/>
          <w:b/>
        </w:rPr>
      </w:pPr>
    </w:p>
    <w:p w14:paraId="1C358A8B" w14:textId="77777777" w:rsidR="00932C5D" w:rsidRPr="004068EE" w:rsidRDefault="00932C5D" w:rsidP="00570501">
      <w:pPr>
        <w:pStyle w:val="ListParagraph"/>
        <w:spacing w:after="0" w:line="240" w:lineRule="auto"/>
        <w:rPr>
          <w:rFonts w:ascii="Times New Roman" w:hAnsi="Times New Roman"/>
        </w:rPr>
      </w:pPr>
      <w:r w:rsidRPr="004068EE">
        <w:rPr>
          <w:rFonts w:ascii="Times New Roman" w:hAnsi="Times New Roman"/>
        </w:rPr>
        <w:t>The petitioning utility shall provide each ratio, data, or document described below.</w:t>
      </w:r>
      <w:r w:rsidR="00AD5B7E" w:rsidRPr="004068EE">
        <w:rPr>
          <w:rFonts w:ascii="Times New Roman" w:hAnsi="Times New Roman"/>
        </w:rPr>
        <w:t xml:space="preserve"> </w:t>
      </w:r>
      <w:r w:rsidRPr="004068EE">
        <w:rPr>
          <w:rFonts w:ascii="Times New Roman" w:hAnsi="Times New Roman"/>
        </w:rPr>
        <w:t>If the results deviate from the expected benchmark measure indicated for a particular item, the utility may provide a written statement describing the reason for any such deviation.</w:t>
      </w:r>
      <w:r w:rsidR="00AD5B7E" w:rsidRPr="004068EE">
        <w:rPr>
          <w:rFonts w:ascii="Times New Roman" w:hAnsi="Times New Roman"/>
        </w:rPr>
        <w:t xml:space="preserve"> </w:t>
      </w:r>
      <w:r w:rsidRPr="004068EE">
        <w:rPr>
          <w:rFonts w:ascii="Times New Roman" w:hAnsi="Times New Roman"/>
        </w:rPr>
        <w:t>The references indicated in parenthesis are to the forms filed as part of a utility’s annual report to the Commission.</w:t>
      </w:r>
    </w:p>
    <w:p w14:paraId="4D10BA28" w14:textId="77777777" w:rsidR="00932C5D" w:rsidRPr="004068EE" w:rsidRDefault="00932C5D" w:rsidP="00570501">
      <w:pPr>
        <w:pStyle w:val="ListParagraph"/>
        <w:spacing w:after="0" w:line="240" w:lineRule="auto"/>
        <w:ind w:left="1440"/>
        <w:rPr>
          <w:rFonts w:ascii="Times New Roman" w:hAnsi="Times New Roman"/>
          <w:b/>
        </w:rPr>
      </w:pPr>
    </w:p>
    <w:p w14:paraId="15C26B33" w14:textId="77777777" w:rsidR="00932C5D" w:rsidRPr="004068EE" w:rsidRDefault="00932C5D" w:rsidP="00570501">
      <w:pPr>
        <w:pStyle w:val="ListParagraph"/>
        <w:numPr>
          <w:ilvl w:val="1"/>
          <w:numId w:val="12"/>
        </w:numPr>
        <w:spacing w:after="0" w:line="240" w:lineRule="auto"/>
        <w:ind w:hanging="720"/>
        <w:rPr>
          <w:rFonts w:ascii="Times New Roman" w:hAnsi="Times New Roman"/>
          <w:b/>
        </w:rPr>
      </w:pPr>
      <w:r w:rsidRPr="004068EE">
        <w:rPr>
          <w:rFonts w:ascii="Times New Roman" w:hAnsi="Times New Roman"/>
          <w:b/>
        </w:rPr>
        <w:t>Financial Ratios and Data</w:t>
      </w:r>
    </w:p>
    <w:p w14:paraId="5E972EC2" w14:textId="77777777" w:rsidR="00932C5D" w:rsidRPr="004068EE" w:rsidRDefault="00932C5D" w:rsidP="00570501">
      <w:pPr>
        <w:pStyle w:val="ListParagraph"/>
        <w:spacing w:after="0" w:line="240" w:lineRule="auto"/>
        <w:ind w:left="1440"/>
        <w:rPr>
          <w:rFonts w:ascii="Times New Roman" w:hAnsi="Times New Roman"/>
          <w:u w:val="single"/>
        </w:rPr>
      </w:pPr>
    </w:p>
    <w:p w14:paraId="68E9C142" w14:textId="77777777" w:rsidR="00932C5D" w:rsidRPr="004068EE" w:rsidRDefault="00932C5D" w:rsidP="00570501">
      <w:pPr>
        <w:pStyle w:val="ListParagraph"/>
        <w:numPr>
          <w:ilvl w:val="3"/>
          <w:numId w:val="12"/>
        </w:numPr>
        <w:spacing w:after="0" w:line="240" w:lineRule="auto"/>
        <w:ind w:left="2160" w:hanging="720"/>
        <w:rPr>
          <w:rFonts w:ascii="Times New Roman" w:hAnsi="Times New Roman"/>
          <w:u w:val="single"/>
        </w:rPr>
      </w:pPr>
      <w:r w:rsidRPr="004068EE">
        <w:rPr>
          <w:rFonts w:ascii="Times New Roman" w:hAnsi="Times New Roman"/>
          <w:u w:val="single"/>
        </w:rPr>
        <w:t>Current Ratio</w:t>
      </w:r>
    </w:p>
    <w:p w14:paraId="6AA7F9AF" w14:textId="77777777" w:rsidR="00932C5D" w:rsidRPr="004068EE" w:rsidRDefault="00932C5D" w:rsidP="00570501">
      <w:pPr>
        <w:pStyle w:val="ListParagraph"/>
        <w:spacing w:after="0" w:line="240" w:lineRule="auto"/>
        <w:ind w:left="1440"/>
        <w:rPr>
          <w:rFonts w:ascii="Times New Roman" w:hAnsi="Times New Roman"/>
          <w:u w:val="single"/>
        </w:rPr>
      </w:pPr>
    </w:p>
    <w:p w14:paraId="4922A051" w14:textId="77777777" w:rsidR="00932C5D" w:rsidRPr="004068EE" w:rsidRDefault="00932C5D" w:rsidP="00570501">
      <w:pPr>
        <w:pStyle w:val="ListParagraph"/>
        <w:spacing w:after="0" w:line="240" w:lineRule="auto"/>
        <w:ind w:left="2160"/>
        <w:rPr>
          <w:rFonts w:ascii="Times New Roman" w:hAnsi="Times New Roman"/>
        </w:rPr>
      </w:pPr>
      <w:r w:rsidRPr="004068EE">
        <w:rPr>
          <w:rFonts w:ascii="Times New Roman" w:hAnsi="Times New Roman"/>
        </w:rPr>
        <w:t>The current ratio measures an entity’s liquidity or ability to pay its short-term obligations.</w:t>
      </w:r>
      <w:r w:rsidR="00AD5B7E" w:rsidRPr="004068EE">
        <w:rPr>
          <w:rFonts w:ascii="Times New Roman" w:hAnsi="Times New Roman"/>
        </w:rPr>
        <w:t xml:space="preserve"> </w:t>
      </w:r>
      <w:r w:rsidRPr="004068EE">
        <w:rPr>
          <w:rFonts w:ascii="Times New Roman" w:hAnsi="Times New Roman"/>
        </w:rPr>
        <w:t>A ratio of less than one indicates that the entity cannot cover those obligations and maybe financially at risk.</w:t>
      </w:r>
      <w:r w:rsidR="00AD5B7E" w:rsidRPr="004068EE">
        <w:rPr>
          <w:rFonts w:ascii="Times New Roman" w:hAnsi="Times New Roman"/>
        </w:rPr>
        <w:t xml:space="preserve"> </w:t>
      </w:r>
      <w:r w:rsidRPr="004068EE">
        <w:rPr>
          <w:rFonts w:ascii="Times New Roman" w:hAnsi="Times New Roman"/>
        </w:rPr>
        <w:t>It is calculated:</w:t>
      </w:r>
    </w:p>
    <w:p w14:paraId="506D12ED" w14:textId="77777777" w:rsidR="00932C5D" w:rsidRPr="004068EE" w:rsidRDefault="00932C5D" w:rsidP="00570501">
      <w:pPr>
        <w:widowControl/>
        <w:ind w:left="2160"/>
        <w:contextualSpacing/>
        <w:rPr>
          <w:rFonts w:ascii="Times New Roman" w:eastAsia="Calibri" w:hAnsi="Times New Roman"/>
          <w:snapToGrid/>
          <w:sz w:val="22"/>
          <w:szCs w:val="22"/>
        </w:rPr>
      </w:pPr>
    </w:p>
    <w:p w14:paraId="037BDD3A" w14:textId="77777777" w:rsidR="00932C5D" w:rsidRPr="004068EE" w:rsidRDefault="00932C5D" w:rsidP="00570501">
      <w:pPr>
        <w:widowControl/>
        <w:ind w:left="2160"/>
        <w:contextualSpacing/>
        <w:rPr>
          <w:rFonts w:ascii="Times New Roman" w:eastAsia="Calibri" w:hAnsi="Times New Roman"/>
          <w:snapToGrid/>
          <w:sz w:val="22"/>
          <w:szCs w:val="22"/>
          <w:u w:val="single"/>
        </w:rPr>
      </w:pPr>
      <w:r w:rsidRPr="004068EE">
        <w:rPr>
          <w:rFonts w:ascii="Times New Roman" w:eastAsia="Calibri" w:hAnsi="Times New Roman"/>
          <w:snapToGrid/>
          <w:sz w:val="22"/>
          <w:szCs w:val="22"/>
          <w:u w:val="single"/>
        </w:rPr>
        <w:t>Current and Accrued Assets     (</w:t>
      </w:r>
      <w:r w:rsidRPr="004068EE">
        <w:rPr>
          <w:rFonts w:ascii="Times New Roman" w:eastAsia="Calibri" w:hAnsi="Times New Roman"/>
          <w:i/>
          <w:snapToGrid/>
          <w:sz w:val="22"/>
          <w:szCs w:val="22"/>
          <w:u w:val="single"/>
        </w:rPr>
        <w:t>F-1, Ln. 42)</w:t>
      </w:r>
      <w:r w:rsidRPr="004068EE">
        <w:rPr>
          <w:rFonts w:ascii="Times New Roman" w:eastAsia="Calibri" w:hAnsi="Times New Roman"/>
          <w:snapToGrid/>
          <w:sz w:val="22"/>
          <w:szCs w:val="22"/>
          <w:u w:val="single"/>
        </w:rPr>
        <w:t xml:space="preserve"> </w:t>
      </w:r>
    </w:p>
    <w:p w14:paraId="41E2A65A" w14:textId="77777777" w:rsidR="00932C5D" w:rsidRPr="004068EE" w:rsidRDefault="00932C5D" w:rsidP="00570501">
      <w:pPr>
        <w:widowControl/>
        <w:ind w:left="2160"/>
        <w:contextualSpacing/>
        <w:rPr>
          <w:rFonts w:ascii="Times New Roman" w:eastAsia="Calibri" w:hAnsi="Times New Roman"/>
          <w:i/>
          <w:snapToGrid/>
          <w:sz w:val="22"/>
          <w:szCs w:val="22"/>
        </w:rPr>
      </w:pPr>
      <w:r w:rsidRPr="004068EE">
        <w:rPr>
          <w:rFonts w:ascii="Times New Roman" w:eastAsia="Calibri" w:hAnsi="Times New Roman"/>
          <w:snapToGrid/>
          <w:sz w:val="22"/>
          <w:szCs w:val="22"/>
        </w:rPr>
        <w:t xml:space="preserve">Current and Accrued Liabilities </w:t>
      </w:r>
      <w:r w:rsidRPr="004068EE">
        <w:rPr>
          <w:rFonts w:ascii="Times New Roman" w:eastAsia="Calibri" w:hAnsi="Times New Roman"/>
          <w:i/>
          <w:snapToGrid/>
          <w:sz w:val="22"/>
          <w:szCs w:val="22"/>
        </w:rPr>
        <w:t>(F-2, Ln. 29)</w:t>
      </w:r>
    </w:p>
    <w:p w14:paraId="2F14B1F3" w14:textId="77777777" w:rsidR="00932C5D" w:rsidRPr="004068EE" w:rsidRDefault="00932C5D" w:rsidP="00570501">
      <w:pPr>
        <w:pStyle w:val="ListParagraph"/>
        <w:spacing w:after="0" w:line="240" w:lineRule="auto"/>
        <w:ind w:left="1800"/>
        <w:rPr>
          <w:rFonts w:ascii="Times New Roman" w:hAnsi="Times New Roman"/>
          <w:u w:val="single"/>
        </w:rPr>
      </w:pPr>
    </w:p>
    <w:p w14:paraId="47FB764B" w14:textId="6305942A"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4068EE">
        <w:rPr>
          <w:rFonts w:ascii="Times New Roman" w:hAnsi="Times New Roman"/>
          <w:u w:val="single"/>
        </w:rPr>
        <w:t>Quick Ratio</w:t>
      </w:r>
    </w:p>
    <w:p w14:paraId="6811E9B2" w14:textId="77777777" w:rsidR="00570501" w:rsidRPr="004068EE" w:rsidRDefault="00570501" w:rsidP="00570501">
      <w:pPr>
        <w:pStyle w:val="ListParagraph"/>
        <w:spacing w:after="0" w:line="240" w:lineRule="auto"/>
        <w:ind w:left="1800"/>
        <w:rPr>
          <w:rFonts w:ascii="Times New Roman" w:hAnsi="Times New Roman"/>
          <w:u w:val="single"/>
        </w:rPr>
      </w:pPr>
    </w:p>
    <w:p w14:paraId="14F5EBDF" w14:textId="77777777" w:rsidR="00932C5D" w:rsidRPr="004068EE" w:rsidRDefault="00932C5D" w:rsidP="00570501">
      <w:pPr>
        <w:widowControl/>
        <w:ind w:left="2160"/>
        <w:rPr>
          <w:rFonts w:ascii="Times New Roman" w:eastAsia="Calibri" w:hAnsi="Times New Roman"/>
          <w:snapToGrid/>
          <w:sz w:val="22"/>
          <w:szCs w:val="22"/>
        </w:rPr>
      </w:pPr>
      <w:r w:rsidRPr="004068EE">
        <w:rPr>
          <w:rFonts w:ascii="Times New Roman" w:eastAsia="Calibri" w:hAnsi="Times New Roman"/>
          <w:snapToGrid/>
          <w:sz w:val="22"/>
          <w:szCs w:val="22"/>
        </w:rPr>
        <w:t>The quick ratio measures an entity’s ability to meets its short-term obligations with its most liquid assets.</w:t>
      </w:r>
      <w:r w:rsidR="00AD5B7E" w:rsidRPr="004068EE">
        <w:rPr>
          <w:rFonts w:ascii="Times New Roman" w:eastAsia="Calibri" w:hAnsi="Times New Roman"/>
          <w:snapToGrid/>
          <w:sz w:val="22"/>
          <w:szCs w:val="22"/>
        </w:rPr>
        <w:t xml:space="preserve"> </w:t>
      </w:r>
      <w:r w:rsidRPr="004068EE">
        <w:rPr>
          <w:rFonts w:ascii="Times New Roman" w:eastAsia="Calibri" w:hAnsi="Times New Roman"/>
          <w:snapToGrid/>
          <w:sz w:val="22"/>
          <w:szCs w:val="22"/>
        </w:rPr>
        <w:t>The higher the quick ratio, the better the entity’s liquidity position.</w:t>
      </w:r>
      <w:r w:rsidR="00AD5B7E" w:rsidRPr="004068EE">
        <w:rPr>
          <w:rFonts w:ascii="Times New Roman" w:eastAsia="Calibri" w:hAnsi="Times New Roman"/>
          <w:snapToGrid/>
          <w:sz w:val="22"/>
          <w:szCs w:val="22"/>
        </w:rPr>
        <w:t xml:space="preserve"> </w:t>
      </w:r>
      <w:r w:rsidRPr="004068EE">
        <w:rPr>
          <w:rFonts w:ascii="Times New Roman" w:eastAsia="Calibri" w:hAnsi="Times New Roman"/>
          <w:snapToGrid/>
          <w:sz w:val="22"/>
          <w:szCs w:val="22"/>
        </w:rPr>
        <w:t>The quick ratio should be no less than 1. It is calculated:</w:t>
      </w:r>
    </w:p>
    <w:p w14:paraId="39668E92" w14:textId="77777777" w:rsidR="00932C5D" w:rsidRPr="004068EE" w:rsidRDefault="00932C5D" w:rsidP="00570501">
      <w:pPr>
        <w:widowControl/>
        <w:ind w:left="2160"/>
        <w:rPr>
          <w:rFonts w:ascii="Times New Roman" w:eastAsia="Calibri" w:hAnsi="Times New Roman"/>
          <w:snapToGrid/>
          <w:sz w:val="22"/>
          <w:szCs w:val="22"/>
        </w:rPr>
      </w:pPr>
    </w:p>
    <w:p w14:paraId="2E785899" w14:textId="77777777" w:rsidR="00932C5D" w:rsidRPr="004068EE" w:rsidRDefault="00932C5D" w:rsidP="00570501">
      <w:pPr>
        <w:widowControl/>
        <w:ind w:left="2160"/>
        <w:contextualSpacing/>
        <w:rPr>
          <w:rFonts w:ascii="Times New Roman" w:eastAsia="Calibri" w:hAnsi="Times New Roman"/>
          <w:snapToGrid/>
          <w:sz w:val="22"/>
          <w:szCs w:val="22"/>
          <w:u w:val="single"/>
        </w:rPr>
      </w:pPr>
      <w:r w:rsidRPr="004068EE">
        <w:rPr>
          <w:rFonts w:ascii="Times New Roman" w:eastAsia="Calibri" w:hAnsi="Times New Roman"/>
          <w:snapToGrid/>
          <w:sz w:val="22"/>
          <w:szCs w:val="22"/>
          <w:u w:val="single"/>
        </w:rPr>
        <w:t>Current &amp; Accrued Assets less M&amp;S (</w:t>
      </w:r>
      <w:r w:rsidRPr="004068EE">
        <w:rPr>
          <w:rFonts w:ascii="Times New Roman" w:eastAsia="Calibri" w:hAnsi="Times New Roman"/>
          <w:i/>
          <w:snapToGrid/>
          <w:sz w:val="22"/>
          <w:szCs w:val="22"/>
          <w:u w:val="single"/>
        </w:rPr>
        <w:t>F-1, Ln. 42 – Ln 37)</w:t>
      </w:r>
      <w:r w:rsidRPr="004068EE">
        <w:rPr>
          <w:rFonts w:ascii="Times New Roman" w:eastAsia="Calibri" w:hAnsi="Times New Roman"/>
          <w:snapToGrid/>
          <w:sz w:val="22"/>
          <w:szCs w:val="22"/>
          <w:u w:val="single"/>
        </w:rPr>
        <w:t xml:space="preserve"> </w:t>
      </w:r>
    </w:p>
    <w:p w14:paraId="59EBAC17" w14:textId="77777777" w:rsidR="00932C5D" w:rsidRPr="004068EE" w:rsidRDefault="00932C5D" w:rsidP="00570501">
      <w:pPr>
        <w:widowControl/>
        <w:ind w:left="2160"/>
        <w:contextualSpacing/>
        <w:rPr>
          <w:rFonts w:ascii="Times New Roman" w:eastAsia="Calibri" w:hAnsi="Times New Roman"/>
          <w:i/>
          <w:snapToGrid/>
          <w:sz w:val="22"/>
          <w:szCs w:val="22"/>
        </w:rPr>
      </w:pPr>
      <w:r w:rsidRPr="004068EE">
        <w:rPr>
          <w:rFonts w:ascii="Times New Roman" w:eastAsia="Calibri" w:hAnsi="Times New Roman"/>
          <w:snapToGrid/>
          <w:sz w:val="22"/>
          <w:szCs w:val="22"/>
        </w:rPr>
        <w:tab/>
        <w:t xml:space="preserve">Current and Accrued Liabilities </w:t>
      </w:r>
      <w:r w:rsidRPr="004068EE">
        <w:rPr>
          <w:rFonts w:ascii="Times New Roman" w:eastAsia="Calibri" w:hAnsi="Times New Roman"/>
          <w:i/>
          <w:snapToGrid/>
          <w:sz w:val="22"/>
          <w:szCs w:val="22"/>
        </w:rPr>
        <w:t>(F-2, Ln. 29)</w:t>
      </w:r>
    </w:p>
    <w:p w14:paraId="4135C546" w14:textId="77777777" w:rsidR="00932C5D" w:rsidRPr="004068EE" w:rsidRDefault="00932C5D" w:rsidP="00570501">
      <w:pPr>
        <w:pStyle w:val="ListParagraph"/>
        <w:spacing w:after="0" w:line="240" w:lineRule="auto"/>
        <w:ind w:left="0"/>
        <w:rPr>
          <w:rFonts w:ascii="Times New Roman" w:hAnsi="Times New Roman"/>
          <w:u w:val="single"/>
        </w:rPr>
      </w:pPr>
    </w:p>
    <w:p w14:paraId="46DDDCE1" w14:textId="123F34B9"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4068EE">
        <w:rPr>
          <w:rFonts w:ascii="Times New Roman" w:hAnsi="Times New Roman"/>
          <w:u w:val="single"/>
        </w:rPr>
        <w:t>Operating Ratio</w:t>
      </w:r>
    </w:p>
    <w:p w14:paraId="1DD655A1" w14:textId="77777777" w:rsidR="00570501" w:rsidRPr="004068EE" w:rsidRDefault="00570501" w:rsidP="00570501">
      <w:pPr>
        <w:pStyle w:val="ListParagraph"/>
        <w:spacing w:after="0" w:line="240" w:lineRule="auto"/>
        <w:ind w:left="1800"/>
        <w:rPr>
          <w:rFonts w:ascii="Times New Roman" w:hAnsi="Times New Roman"/>
          <w:u w:val="single"/>
        </w:rPr>
      </w:pPr>
    </w:p>
    <w:p w14:paraId="486F8465" w14:textId="77777777" w:rsidR="00932C5D" w:rsidRPr="004068EE" w:rsidRDefault="00932C5D" w:rsidP="00570501">
      <w:pPr>
        <w:widowControl/>
        <w:ind w:left="2160"/>
        <w:rPr>
          <w:rFonts w:ascii="Times New Roman" w:eastAsia="Calibri" w:hAnsi="Times New Roman"/>
          <w:snapToGrid/>
          <w:sz w:val="22"/>
          <w:szCs w:val="22"/>
        </w:rPr>
      </w:pPr>
      <w:r w:rsidRPr="004068EE">
        <w:rPr>
          <w:rFonts w:ascii="Times New Roman" w:eastAsia="Calibri" w:hAnsi="Times New Roman"/>
          <w:snapToGrid/>
          <w:sz w:val="22"/>
          <w:szCs w:val="22"/>
        </w:rPr>
        <w:t>The operating ratio demonstrates the relationship between operating revenues and operating expenses.</w:t>
      </w:r>
      <w:r w:rsidR="00AD5B7E" w:rsidRPr="004068EE">
        <w:rPr>
          <w:rFonts w:ascii="Times New Roman" w:eastAsia="Calibri" w:hAnsi="Times New Roman"/>
          <w:snapToGrid/>
          <w:sz w:val="22"/>
          <w:szCs w:val="22"/>
        </w:rPr>
        <w:t xml:space="preserve"> </w:t>
      </w:r>
      <w:r w:rsidRPr="004068EE">
        <w:rPr>
          <w:rFonts w:ascii="Times New Roman" w:eastAsia="Calibri" w:hAnsi="Times New Roman"/>
          <w:snapToGrid/>
          <w:sz w:val="22"/>
          <w:szCs w:val="22"/>
        </w:rPr>
        <w:t>A high ratio may indicate that the organization has achieved operating efficiency by keeping expenses low relative to revenues.</w:t>
      </w:r>
      <w:r w:rsidR="00AD5B7E" w:rsidRPr="004068EE">
        <w:rPr>
          <w:rFonts w:ascii="Times New Roman" w:eastAsia="Calibri" w:hAnsi="Times New Roman"/>
          <w:snapToGrid/>
          <w:sz w:val="22"/>
          <w:szCs w:val="22"/>
        </w:rPr>
        <w:t xml:space="preserve"> </w:t>
      </w:r>
      <w:r w:rsidRPr="004068EE">
        <w:rPr>
          <w:rFonts w:ascii="Times New Roman" w:eastAsia="Calibri" w:hAnsi="Times New Roman"/>
          <w:snapToGrid/>
          <w:sz w:val="22"/>
          <w:szCs w:val="22"/>
        </w:rPr>
        <w:t>It is calculated:</w:t>
      </w:r>
    </w:p>
    <w:p w14:paraId="7936FCAA" w14:textId="77777777" w:rsidR="00932C5D" w:rsidRPr="004068EE" w:rsidRDefault="00932C5D" w:rsidP="00570501">
      <w:pPr>
        <w:widowControl/>
        <w:ind w:left="2160"/>
        <w:rPr>
          <w:rFonts w:ascii="Times New Roman" w:eastAsia="Calibri" w:hAnsi="Times New Roman"/>
          <w:snapToGrid/>
          <w:sz w:val="22"/>
          <w:szCs w:val="22"/>
        </w:rPr>
      </w:pPr>
    </w:p>
    <w:p w14:paraId="4D880E20" w14:textId="77777777" w:rsidR="00932C5D" w:rsidRPr="004068EE" w:rsidRDefault="00932C5D" w:rsidP="00570501">
      <w:pPr>
        <w:widowControl/>
        <w:ind w:left="2160"/>
        <w:rPr>
          <w:rFonts w:ascii="Times New Roman" w:eastAsia="Calibri" w:hAnsi="Times New Roman"/>
          <w:snapToGrid/>
          <w:sz w:val="22"/>
          <w:szCs w:val="22"/>
        </w:rPr>
      </w:pPr>
      <w:r w:rsidRPr="004068EE">
        <w:rPr>
          <w:rFonts w:ascii="Times New Roman" w:eastAsia="Calibri" w:hAnsi="Times New Roman"/>
          <w:snapToGrid/>
          <w:sz w:val="22"/>
          <w:szCs w:val="22"/>
          <w:u w:val="single"/>
        </w:rPr>
        <w:t xml:space="preserve">Operating Revenues </w:t>
      </w:r>
      <w:r w:rsidRPr="004068EE">
        <w:rPr>
          <w:rFonts w:ascii="Times New Roman" w:eastAsia="Calibri" w:hAnsi="Times New Roman"/>
          <w:i/>
          <w:snapToGrid/>
          <w:sz w:val="22"/>
          <w:szCs w:val="22"/>
          <w:u w:val="single"/>
        </w:rPr>
        <w:t>(F-4, Ln. 2)</w:t>
      </w:r>
    </w:p>
    <w:p w14:paraId="7792D1F0" w14:textId="77777777" w:rsidR="00932C5D" w:rsidRPr="004068EE" w:rsidRDefault="00932C5D" w:rsidP="00570501">
      <w:pPr>
        <w:widowControl/>
        <w:ind w:left="2160"/>
        <w:rPr>
          <w:rFonts w:ascii="Times New Roman" w:eastAsia="Calibri" w:hAnsi="Times New Roman"/>
          <w:i/>
          <w:snapToGrid/>
          <w:sz w:val="22"/>
          <w:szCs w:val="22"/>
        </w:rPr>
      </w:pPr>
      <w:r w:rsidRPr="004068EE">
        <w:rPr>
          <w:rFonts w:ascii="Times New Roman" w:eastAsia="Calibri" w:hAnsi="Times New Roman"/>
          <w:snapToGrid/>
          <w:sz w:val="22"/>
          <w:szCs w:val="22"/>
        </w:rPr>
        <w:t xml:space="preserve">Operating Expenses </w:t>
      </w:r>
      <w:r w:rsidRPr="004068EE">
        <w:rPr>
          <w:rFonts w:ascii="Times New Roman" w:eastAsia="Calibri" w:hAnsi="Times New Roman"/>
          <w:i/>
          <w:snapToGrid/>
          <w:sz w:val="22"/>
          <w:szCs w:val="22"/>
        </w:rPr>
        <w:t>(F-4, Ln. 3)</w:t>
      </w:r>
    </w:p>
    <w:p w14:paraId="568CEF1A" w14:textId="77777777" w:rsidR="00932C5D" w:rsidRPr="004068EE" w:rsidRDefault="00932C5D" w:rsidP="00570501">
      <w:pPr>
        <w:pStyle w:val="ListParagraph"/>
        <w:spacing w:after="0" w:line="240" w:lineRule="auto"/>
        <w:ind w:left="2160"/>
        <w:rPr>
          <w:rFonts w:ascii="Times New Roman" w:hAnsi="Times New Roman"/>
          <w:u w:val="single"/>
        </w:rPr>
      </w:pPr>
    </w:p>
    <w:p w14:paraId="77BDAFA7" w14:textId="429FD2B6" w:rsidR="00932C5D" w:rsidRDefault="00932C5D" w:rsidP="00676A23">
      <w:pPr>
        <w:pStyle w:val="ListParagraph"/>
        <w:keepNext/>
        <w:keepLines/>
        <w:numPr>
          <w:ilvl w:val="3"/>
          <w:numId w:val="12"/>
        </w:numPr>
        <w:spacing w:after="0" w:line="240" w:lineRule="auto"/>
        <w:ind w:left="2160" w:hanging="720"/>
        <w:rPr>
          <w:rFonts w:ascii="Times New Roman" w:hAnsi="Times New Roman"/>
          <w:u w:val="single"/>
        </w:rPr>
      </w:pPr>
      <w:r w:rsidRPr="004068EE">
        <w:rPr>
          <w:rFonts w:ascii="Times New Roman" w:hAnsi="Times New Roman"/>
          <w:u w:val="single"/>
        </w:rPr>
        <w:lastRenderedPageBreak/>
        <w:t>Unrestricted Days Cash</w:t>
      </w:r>
    </w:p>
    <w:p w14:paraId="08636610" w14:textId="77777777" w:rsidR="00570501" w:rsidRPr="004068EE" w:rsidRDefault="00570501" w:rsidP="00570501">
      <w:pPr>
        <w:pStyle w:val="ListParagraph"/>
        <w:keepNext/>
        <w:keepLines/>
        <w:spacing w:after="0" w:line="240" w:lineRule="auto"/>
        <w:ind w:left="1800"/>
        <w:rPr>
          <w:rFonts w:ascii="Times New Roman" w:hAnsi="Times New Roman"/>
          <w:u w:val="single"/>
        </w:rPr>
      </w:pPr>
    </w:p>
    <w:p w14:paraId="4308997F" w14:textId="77777777" w:rsidR="00932C5D" w:rsidRPr="004068EE" w:rsidRDefault="00932C5D" w:rsidP="00570501">
      <w:pPr>
        <w:keepNext/>
        <w:keepLines/>
        <w:widowControl/>
        <w:ind w:left="2160"/>
        <w:rPr>
          <w:rFonts w:ascii="Times New Roman" w:eastAsia="Calibri" w:hAnsi="Times New Roman"/>
          <w:snapToGrid/>
          <w:sz w:val="22"/>
          <w:szCs w:val="22"/>
        </w:rPr>
      </w:pPr>
      <w:r w:rsidRPr="004068EE">
        <w:rPr>
          <w:rFonts w:ascii="Times New Roman" w:eastAsia="Calibri" w:hAnsi="Times New Roman"/>
          <w:snapToGrid/>
          <w:sz w:val="22"/>
          <w:szCs w:val="22"/>
        </w:rPr>
        <w:t>Unrestricted days cash measures liquidity relative to daily operations and maintenance expense.</w:t>
      </w:r>
      <w:r w:rsidR="00AD5B7E" w:rsidRPr="004068EE">
        <w:rPr>
          <w:rFonts w:ascii="Times New Roman" w:eastAsia="Calibri" w:hAnsi="Times New Roman"/>
          <w:snapToGrid/>
          <w:sz w:val="22"/>
          <w:szCs w:val="22"/>
        </w:rPr>
        <w:t xml:space="preserve"> </w:t>
      </w:r>
      <w:r w:rsidRPr="004068EE">
        <w:rPr>
          <w:rFonts w:ascii="Times New Roman" w:eastAsia="Calibri" w:hAnsi="Times New Roman"/>
          <w:snapToGrid/>
          <w:sz w:val="22"/>
          <w:szCs w:val="22"/>
        </w:rPr>
        <w:t>It is calculated:</w:t>
      </w:r>
    </w:p>
    <w:p w14:paraId="3BF5727B" w14:textId="77777777" w:rsidR="00932C5D" w:rsidRPr="001673ED" w:rsidRDefault="002C42B4" w:rsidP="00570501">
      <w:pPr>
        <w:widowControl/>
        <w:ind w:left="2160"/>
        <w:rPr>
          <w:rFonts w:ascii="Times New Roman" w:eastAsia="Calibri" w:hAnsi="Times New Roman"/>
          <w:snapToGrid/>
          <w:sz w:val="22"/>
          <w:szCs w:val="22"/>
        </w:rPr>
      </w:pPr>
      <w:r w:rsidRPr="001673ED">
        <w:rPr>
          <w:rFonts w:ascii="Times New Roman" w:eastAsia="Calibri" w:hAnsi="Times New Roman"/>
          <w:noProof/>
          <w:snapToGrid/>
          <w:sz w:val="22"/>
          <w:szCs w:val="22"/>
          <w:u w:val="single"/>
        </w:rPr>
        <mc:AlternateContent>
          <mc:Choice Requires="wps">
            <w:drawing>
              <wp:anchor distT="0" distB="0" distL="114300" distR="114300" simplePos="0" relativeHeight="251661312" behindDoc="0" locked="0" layoutInCell="1" allowOverlap="1" wp14:anchorId="7E1C9F4B" wp14:editId="6DB3DF0C">
                <wp:simplePos x="0" y="0"/>
                <wp:positionH relativeFrom="column">
                  <wp:posOffset>1350645</wp:posOffset>
                </wp:positionH>
                <wp:positionV relativeFrom="paragraph">
                  <wp:posOffset>43180</wp:posOffset>
                </wp:positionV>
                <wp:extent cx="3678555" cy="594995"/>
                <wp:effectExtent l="0" t="0" r="17145" b="14605"/>
                <wp:wrapNone/>
                <wp:docPr id="9" name="AutoShape 17" descr="Calcul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8555" cy="594995"/>
                        </a:xfrm>
                        <a:prstGeom prst="bracketPair">
                          <a:avLst>
                            <a:gd name="adj" fmla="val 16667"/>
                          </a:avLst>
                        </a:prstGeom>
                        <a:noFill/>
                        <a:ln w="9525">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45C0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alt="Calculation" style="position:absolute;margin-left:106.35pt;margin-top:3.4pt;width:289.6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" strokecolor="#0d0d0d"/>
            </w:pict>
          </mc:Fallback>
        </mc:AlternateContent>
      </w:r>
    </w:p>
    <w:p w14:paraId="5235AE40"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u w:val="single"/>
        </w:rPr>
        <w:t xml:space="preserve">Cash/Temp Cash Investments </w:t>
      </w:r>
      <w:r w:rsidRPr="001673ED">
        <w:rPr>
          <w:rFonts w:ascii="Times New Roman" w:eastAsia="Calibri" w:hAnsi="Times New Roman"/>
          <w:i/>
          <w:snapToGrid/>
          <w:sz w:val="22"/>
          <w:szCs w:val="22"/>
          <w:u w:val="single"/>
        </w:rPr>
        <w:t xml:space="preserve">(F-1, Ln, 29 +Ln. 32)   </w:t>
      </w:r>
      <w:r w:rsidRPr="001673ED">
        <w:rPr>
          <w:rFonts w:ascii="Times New Roman" w:eastAsia="Calibri" w:hAnsi="Times New Roman"/>
          <w:snapToGrid/>
          <w:sz w:val="22"/>
          <w:szCs w:val="22"/>
        </w:rPr>
        <w:t xml:space="preserve">  ÷ 365</w:t>
      </w:r>
    </w:p>
    <w:p w14:paraId="706AB7B8" w14:textId="77777777" w:rsidR="00932C5D" w:rsidRPr="001673ED" w:rsidRDefault="00932C5D" w:rsidP="00570501">
      <w:pPr>
        <w:widowControl/>
        <w:ind w:left="720"/>
        <w:rPr>
          <w:rFonts w:ascii="Times New Roman" w:eastAsia="Calibri" w:hAnsi="Times New Roman"/>
          <w:i/>
          <w:snapToGrid/>
          <w:sz w:val="22"/>
          <w:szCs w:val="22"/>
        </w:rPr>
      </w:pPr>
      <w:r w:rsidRPr="001673ED">
        <w:rPr>
          <w:rFonts w:ascii="Times New Roman" w:eastAsia="Calibri" w:hAnsi="Times New Roman"/>
          <w:snapToGrid/>
          <w:sz w:val="22"/>
          <w:szCs w:val="22"/>
        </w:rPr>
        <w:tab/>
      </w:r>
      <w:r w:rsidRPr="001673ED">
        <w:rPr>
          <w:rFonts w:ascii="Times New Roman" w:eastAsia="Calibri" w:hAnsi="Times New Roman"/>
          <w:snapToGrid/>
          <w:sz w:val="22"/>
          <w:szCs w:val="22"/>
        </w:rPr>
        <w:tab/>
        <w:t xml:space="preserve">Operating Expense </w:t>
      </w:r>
      <w:r w:rsidRPr="001673ED">
        <w:rPr>
          <w:rFonts w:ascii="Times New Roman" w:eastAsia="Calibri" w:hAnsi="Times New Roman"/>
          <w:i/>
          <w:snapToGrid/>
          <w:sz w:val="22"/>
          <w:szCs w:val="22"/>
        </w:rPr>
        <w:t>(F-4, Ln. 3)</w:t>
      </w:r>
    </w:p>
    <w:p w14:paraId="49171251" w14:textId="27F561B0" w:rsidR="00932C5D" w:rsidRDefault="00932C5D" w:rsidP="00570501">
      <w:pPr>
        <w:widowControl/>
        <w:ind w:left="720"/>
        <w:rPr>
          <w:rFonts w:ascii="Times New Roman" w:eastAsia="Calibri" w:hAnsi="Times New Roman"/>
          <w:i/>
          <w:snapToGrid/>
          <w:sz w:val="22"/>
          <w:szCs w:val="22"/>
        </w:rPr>
      </w:pPr>
    </w:p>
    <w:p w14:paraId="0BB16925" w14:textId="77777777" w:rsidR="00570501" w:rsidRPr="001673ED" w:rsidRDefault="00570501" w:rsidP="00570501">
      <w:pPr>
        <w:widowControl/>
        <w:ind w:left="720"/>
        <w:rPr>
          <w:rFonts w:ascii="Times New Roman" w:eastAsia="Calibri" w:hAnsi="Times New Roman"/>
          <w:i/>
          <w:snapToGrid/>
          <w:sz w:val="22"/>
          <w:szCs w:val="22"/>
        </w:rPr>
      </w:pPr>
    </w:p>
    <w:p w14:paraId="15268CAA" w14:textId="52F1D53C"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Cash Flow after Debt Payment or Debt Service Coverage</w:t>
      </w:r>
    </w:p>
    <w:p w14:paraId="228E3857" w14:textId="77777777" w:rsidR="009B4A23" w:rsidRPr="001673ED" w:rsidRDefault="009B4A23" w:rsidP="009B4A23">
      <w:pPr>
        <w:pStyle w:val="ListParagraph"/>
        <w:spacing w:after="0" w:line="240" w:lineRule="auto"/>
        <w:ind w:left="1800"/>
        <w:rPr>
          <w:rFonts w:ascii="Times New Roman" w:hAnsi="Times New Roman"/>
          <w:u w:val="single"/>
        </w:rPr>
      </w:pPr>
    </w:p>
    <w:p w14:paraId="02EF0411"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Cash flow after debt payment reflects actual cash funds available to fund operations such as repairs, capital replacements, and debt service.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This figure should be positive.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w:t>
      </w:r>
    </w:p>
    <w:p w14:paraId="267BBD65" w14:textId="77777777" w:rsidR="00932C5D" w:rsidRPr="001673ED" w:rsidRDefault="00932C5D" w:rsidP="00570501">
      <w:pPr>
        <w:widowControl/>
        <w:ind w:left="2160"/>
        <w:rPr>
          <w:rFonts w:ascii="Times New Roman" w:eastAsia="Calibri" w:hAnsi="Times New Roman"/>
          <w:snapToGrid/>
          <w:sz w:val="22"/>
          <w:szCs w:val="22"/>
        </w:rPr>
      </w:pPr>
    </w:p>
    <w:p w14:paraId="741D8E87" w14:textId="77777777" w:rsidR="00932C5D" w:rsidRPr="001673ED" w:rsidRDefault="00932C5D" w:rsidP="00570501">
      <w:pPr>
        <w:widowControl/>
        <w:ind w:left="2160"/>
        <w:rPr>
          <w:rFonts w:ascii="Times New Roman" w:eastAsia="Calibri" w:hAnsi="Times New Roman"/>
          <w:i/>
          <w:snapToGrid/>
          <w:sz w:val="22"/>
          <w:szCs w:val="22"/>
          <w:u w:val="single"/>
        </w:rPr>
      </w:pPr>
      <w:r w:rsidRPr="001673ED">
        <w:rPr>
          <w:rFonts w:ascii="Times New Roman" w:eastAsia="Calibri" w:hAnsi="Times New Roman"/>
          <w:snapToGrid/>
          <w:sz w:val="22"/>
          <w:szCs w:val="22"/>
        </w:rPr>
        <w:t xml:space="preserve">Net Income </w:t>
      </w:r>
      <w:r w:rsidRPr="001673ED">
        <w:rPr>
          <w:rFonts w:ascii="Times New Roman" w:eastAsia="Calibri" w:hAnsi="Times New Roman"/>
          <w:i/>
          <w:snapToGrid/>
          <w:sz w:val="22"/>
          <w:szCs w:val="22"/>
        </w:rPr>
        <w:t xml:space="preserve">(F4, Ln. 46 + Depreciation &amp; Amortization Expense (Lns. 4 – 7) </w:t>
      </w:r>
      <w:r w:rsidRPr="001673ED">
        <w:rPr>
          <w:rFonts w:ascii="Times New Roman" w:eastAsia="Calibri" w:hAnsi="Times New Roman"/>
          <w:snapToGrid/>
          <w:sz w:val="22"/>
          <w:szCs w:val="22"/>
        </w:rPr>
        <w:t xml:space="preserve">– Debt Principal Payments </w:t>
      </w:r>
      <w:r w:rsidRPr="001673ED">
        <w:rPr>
          <w:rFonts w:ascii="Times New Roman" w:eastAsia="Calibri" w:hAnsi="Times New Roman"/>
          <w:i/>
          <w:snapToGrid/>
          <w:sz w:val="22"/>
          <w:szCs w:val="22"/>
        </w:rPr>
        <w:t xml:space="preserve">(F5, Ln. 17) + </w:t>
      </w:r>
      <w:r w:rsidRPr="001673ED">
        <w:rPr>
          <w:rFonts w:ascii="Times New Roman" w:eastAsia="Calibri" w:hAnsi="Times New Roman"/>
          <w:snapToGrid/>
          <w:sz w:val="22"/>
          <w:szCs w:val="22"/>
        </w:rPr>
        <w:t xml:space="preserve">Required Sinking Fund Payments </w:t>
      </w:r>
      <w:r w:rsidRPr="001673ED">
        <w:rPr>
          <w:rFonts w:ascii="Times New Roman" w:eastAsia="Calibri" w:hAnsi="Times New Roman"/>
          <w:i/>
          <w:snapToGrid/>
          <w:sz w:val="22"/>
          <w:szCs w:val="22"/>
        </w:rPr>
        <w:t>(F5, Ln.16)</w:t>
      </w:r>
    </w:p>
    <w:p w14:paraId="2CF1C2C9" w14:textId="77777777" w:rsidR="00932C5D" w:rsidRPr="001673ED" w:rsidRDefault="00932C5D" w:rsidP="00570501">
      <w:pPr>
        <w:pStyle w:val="ListParagraph"/>
        <w:spacing w:after="0" w:line="240" w:lineRule="auto"/>
        <w:ind w:left="1080"/>
        <w:rPr>
          <w:rFonts w:ascii="Times New Roman" w:hAnsi="Times New Roman"/>
          <w:u w:val="single"/>
        </w:rPr>
      </w:pPr>
    </w:p>
    <w:p w14:paraId="51CA68AB" w14:textId="45141767"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 xml:space="preserve">Total Debt/Net Plant </w:t>
      </w:r>
    </w:p>
    <w:p w14:paraId="2ED2B44B" w14:textId="77777777" w:rsidR="009B4A23" w:rsidRPr="001673ED" w:rsidRDefault="009B4A23" w:rsidP="009B4A23">
      <w:pPr>
        <w:pStyle w:val="ListParagraph"/>
        <w:spacing w:after="0" w:line="240" w:lineRule="auto"/>
        <w:ind w:left="1800"/>
        <w:rPr>
          <w:rFonts w:ascii="Times New Roman" w:hAnsi="Times New Roman"/>
          <w:u w:val="single"/>
        </w:rPr>
      </w:pPr>
    </w:p>
    <w:p w14:paraId="5D1E452E"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measures outstanding debt to net plant and indicates how the entity has financed its plant.</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w:t>
      </w:r>
    </w:p>
    <w:p w14:paraId="6D50E67A" w14:textId="77777777" w:rsidR="00932C5D" w:rsidRPr="001673ED" w:rsidRDefault="00932C5D" w:rsidP="00570501">
      <w:pPr>
        <w:widowControl/>
        <w:ind w:left="2160"/>
        <w:rPr>
          <w:rFonts w:ascii="Times New Roman" w:eastAsia="Calibri" w:hAnsi="Times New Roman"/>
          <w:snapToGrid/>
          <w:sz w:val="22"/>
          <w:szCs w:val="22"/>
        </w:rPr>
      </w:pPr>
    </w:p>
    <w:p w14:paraId="53A6BE52" w14:textId="77777777" w:rsidR="00932C5D" w:rsidRPr="001673ED" w:rsidRDefault="00932C5D" w:rsidP="00570501">
      <w:pPr>
        <w:widowControl/>
        <w:ind w:left="2160"/>
        <w:rPr>
          <w:rFonts w:ascii="Times New Roman" w:eastAsia="Calibri" w:hAnsi="Times New Roman"/>
          <w:snapToGrid/>
          <w:sz w:val="22"/>
          <w:szCs w:val="22"/>
          <w:u w:val="single"/>
        </w:rPr>
      </w:pPr>
      <w:r w:rsidRPr="001673ED">
        <w:rPr>
          <w:rFonts w:ascii="Times New Roman" w:eastAsia="Calibri" w:hAnsi="Times New Roman"/>
          <w:snapToGrid/>
          <w:sz w:val="22"/>
          <w:szCs w:val="22"/>
          <w:u w:val="single"/>
        </w:rPr>
        <w:t xml:space="preserve">Long Term Debt </w:t>
      </w:r>
      <w:r w:rsidRPr="001673ED">
        <w:rPr>
          <w:rFonts w:ascii="Times New Roman" w:eastAsia="Calibri" w:hAnsi="Times New Roman"/>
          <w:i/>
          <w:snapToGrid/>
          <w:sz w:val="22"/>
          <w:szCs w:val="22"/>
          <w:u w:val="single"/>
        </w:rPr>
        <w:t xml:space="preserve">(F-2, Ln. 16) </w:t>
      </w:r>
    </w:p>
    <w:p w14:paraId="3EE02E20"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 xml:space="preserve">Net Plant </w:t>
      </w:r>
      <w:r w:rsidRPr="001673ED">
        <w:rPr>
          <w:rFonts w:ascii="Times New Roman" w:eastAsia="Calibri" w:hAnsi="Times New Roman"/>
          <w:i/>
          <w:snapToGrid/>
          <w:sz w:val="22"/>
          <w:szCs w:val="22"/>
        </w:rPr>
        <w:t>(F-1, Ln. 6)</w:t>
      </w:r>
      <w:r w:rsidRPr="001673ED">
        <w:rPr>
          <w:rFonts w:ascii="Times New Roman" w:eastAsia="Calibri" w:hAnsi="Times New Roman"/>
          <w:snapToGrid/>
          <w:sz w:val="22"/>
          <w:szCs w:val="22"/>
        </w:rPr>
        <w:t xml:space="preserve"> </w:t>
      </w:r>
    </w:p>
    <w:p w14:paraId="39564F67" w14:textId="77777777" w:rsidR="00932C5D" w:rsidRPr="001673ED" w:rsidRDefault="00932C5D" w:rsidP="00570501">
      <w:pPr>
        <w:pStyle w:val="ListParagraph"/>
        <w:spacing w:after="0" w:line="240" w:lineRule="auto"/>
        <w:ind w:left="1080"/>
        <w:rPr>
          <w:rFonts w:ascii="Times New Roman" w:hAnsi="Times New Roman"/>
          <w:u w:val="single"/>
        </w:rPr>
      </w:pPr>
    </w:p>
    <w:p w14:paraId="3F30EAB9" w14:textId="645B6DF9"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 xml:space="preserve">Outstanding Debt to Maximum Debt </w:t>
      </w:r>
    </w:p>
    <w:p w14:paraId="2296C34C" w14:textId="77777777" w:rsidR="009B4A23" w:rsidRPr="001673ED" w:rsidRDefault="009B4A23" w:rsidP="009B4A23">
      <w:pPr>
        <w:pStyle w:val="ListParagraph"/>
        <w:spacing w:after="0" w:line="240" w:lineRule="auto"/>
        <w:ind w:left="1800"/>
        <w:rPr>
          <w:rFonts w:ascii="Times New Roman" w:hAnsi="Times New Roman"/>
          <w:u w:val="single"/>
        </w:rPr>
      </w:pPr>
    </w:p>
    <w:p w14:paraId="52A99FE9"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identifies whether limitations exist that could prevent an entity from borrowing to fund future infrastructure projects.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As some water utilities do not have borrowing limitations, this will not be applicable to all consumer-owned water utilities.</w:t>
      </w:r>
    </w:p>
    <w:p w14:paraId="50688C47" w14:textId="77777777" w:rsidR="00932C5D" w:rsidRPr="001673ED" w:rsidRDefault="00932C5D" w:rsidP="00570501">
      <w:pPr>
        <w:widowControl/>
        <w:ind w:left="2160"/>
        <w:rPr>
          <w:rFonts w:ascii="Times New Roman" w:eastAsia="Calibri" w:hAnsi="Times New Roman"/>
          <w:snapToGrid/>
          <w:sz w:val="22"/>
          <w:szCs w:val="22"/>
        </w:rPr>
      </w:pPr>
    </w:p>
    <w:p w14:paraId="55DA6971" w14:textId="77777777" w:rsidR="00932C5D" w:rsidRPr="001673ED" w:rsidRDefault="00932C5D" w:rsidP="00570501">
      <w:pPr>
        <w:widowControl/>
        <w:ind w:left="2160"/>
        <w:rPr>
          <w:rFonts w:ascii="Times New Roman" w:eastAsia="Calibri" w:hAnsi="Times New Roman"/>
          <w:snapToGrid/>
          <w:sz w:val="22"/>
          <w:szCs w:val="22"/>
          <w:u w:val="single"/>
        </w:rPr>
      </w:pPr>
      <w:r w:rsidRPr="001673ED">
        <w:rPr>
          <w:rFonts w:ascii="Times New Roman" w:eastAsia="Calibri" w:hAnsi="Times New Roman"/>
          <w:snapToGrid/>
          <w:sz w:val="22"/>
          <w:szCs w:val="22"/>
          <w:u w:val="single"/>
        </w:rPr>
        <w:t xml:space="preserve">Long Term Debt </w:t>
      </w:r>
      <w:r w:rsidRPr="001673ED">
        <w:rPr>
          <w:rFonts w:ascii="Times New Roman" w:eastAsia="Calibri" w:hAnsi="Times New Roman"/>
          <w:i/>
          <w:snapToGrid/>
          <w:sz w:val="22"/>
          <w:szCs w:val="22"/>
          <w:u w:val="single"/>
        </w:rPr>
        <w:t xml:space="preserve">(F-2, Ln. 16) </w:t>
      </w:r>
    </w:p>
    <w:p w14:paraId="370BF23D"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 xml:space="preserve">Charter Borrowing Limitation </w:t>
      </w:r>
    </w:p>
    <w:p w14:paraId="6058CDFF" w14:textId="77777777" w:rsidR="00932C5D" w:rsidRPr="001673ED" w:rsidRDefault="00932C5D" w:rsidP="00570501">
      <w:pPr>
        <w:widowControl/>
        <w:rPr>
          <w:rFonts w:ascii="Times New Roman" w:eastAsia="Calibri" w:hAnsi="Times New Roman"/>
          <w:snapToGrid/>
          <w:sz w:val="22"/>
          <w:szCs w:val="22"/>
        </w:rPr>
      </w:pPr>
    </w:p>
    <w:p w14:paraId="3D792CD0" w14:textId="0CCF0C49"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Level of Undepreciated Assets</w:t>
      </w:r>
    </w:p>
    <w:p w14:paraId="7E16FF8B" w14:textId="77777777" w:rsidR="009B4A23" w:rsidRPr="001673ED" w:rsidRDefault="009B4A23" w:rsidP="009B4A23">
      <w:pPr>
        <w:pStyle w:val="ListParagraph"/>
        <w:spacing w:after="0" w:line="240" w:lineRule="auto"/>
        <w:ind w:left="1800"/>
        <w:rPr>
          <w:rFonts w:ascii="Times New Roman" w:hAnsi="Times New Roman"/>
          <w:u w:val="single"/>
        </w:rPr>
      </w:pPr>
    </w:p>
    <w:p w14:paraId="6CB90D3D"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indicates the age of the assets and, in turn, provides a measure of whether the utility has been replacing its infrastructure on a regular basis. The depreciation base removes assets funded by contributions in aid of construction and assets, such as land, that are not depreciable.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w:t>
      </w:r>
    </w:p>
    <w:p w14:paraId="123DC9A9" w14:textId="77777777" w:rsidR="00932C5D" w:rsidRPr="001673ED" w:rsidRDefault="00932C5D" w:rsidP="00570501">
      <w:pPr>
        <w:widowControl/>
        <w:ind w:left="2160"/>
        <w:rPr>
          <w:rFonts w:ascii="Times New Roman" w:eastAsia="Calibri" w:hAnsi="Times New Roman"/>
          <w:snapToGrid/>
          <w:sz w:val="22"/>
          <w:szCs w:val="22"/>
        </w:rPr>
      </w:pPr>
    </w:p>
    <w:p w14:paraId="676E0C78"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u w:val="single"/>
        </w:rPr>
        <w:t xml:space="preserve">Accumulated Depreciation </w:t>
      </w:r>
      <w:r w:rsidRPr="001673ED">
        <w:rPr>
          <w:rFonts w:ascii="Times New Roman" w:eastAsia="Calibri" w:hAnsi="Times New Roman"/>
          <w:i/>
          <w:snapToGrid/>
          <w:sz w:val="22"/>
          <w:szCs w:val="22"/>
          <w:u w:val="single"/>
        </w:rPr>
        <w:t>(W-5a, Ln. 33)</w:t>
      </w:r>
    </w:p>
    <w:p w14:paraId="03E13AA7"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 xml:space="preserve">Depreciation Base </w:t>
      </w:r>
      <w:r w:rsidRPr="001673ED">
        <w:rPr>
          <w:rFonts w:ascii="Times New Roman" w:eastAsia="Calibri" w:hAnsi="Times New Roman"/>
          <w:i/>
          <w:snapToGrid/>
          <w:sz w:val="22"/>
          <w:szCs w:val="22"/>
        </w:rPr>
        <w:t>(W-5, Ln. 26, Col. d)</w:t>
      </w:r>
    </w:p>
    <w:p w14:paraId="7293D116" w14:textId="77777777" w:rsidR="00932C5D" w:rsidRPr="001673ED" w:rsidRDefault="00932C5D" w:rsidP="00570501">
      <w:pPr>
        <w:pStyle w:val="ListParagraph"/>
        <w:spacing w:after="0" w:line="240" w:lineRule="auto"/>
        <w:ind w:left="1080"/>
        <w:rPr>
          <w:rFonts w:ascii="Times New Roman" w:hAnsi="Times New Roman"/>
          <w:u w:val="single"/>
        </w:rPr>
      </w:pPr>
    </w:p>
    <w:p w14:paraId="2BC93094" w14:textId="53566C15" w:rsidR="00932C5D" w:rsidRDefault="00932C5D" w:rsidP="00676A23">
      <w:pPr>
        <w:pStyle w:val="ListParagraph"/>
        <w:keepNext/>
        <w:keepLines/>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lastRenderedPageBreak/>
        <w:t>Accounts Receivable Turnover</w:t>
      </w:r>
    </w:p>
    <w:p w14:paraId="357D53BF" w14:textId="77777777" w:rsidR="009B4A23" w:rsidRPr="001673ED" w:rsidRDefault="009B4A23" w:rsidP="00676A23">
      <w:pPr>
        <w:pStyle w:val="ListParagraph"/>
        <w:keepNext/>
        <w:keepLines/>
        <w:spacing w:after="0" w:line="240" w:lineRule="auto"/>
        <w:ind w:left="1800"/>
        <w:rPr>
          <w:rFonts w:ascii="Times New Roman" w:hAnsi="Times New Roman"/>
          <w:u w:val="single"/>
        </w:rPr>
      </w:pPr>
    </w:p>
    <w:p w14:paraId="605973B5" w14:textId="77777777" w:rsidR="00932C5D" w:rsidRPr="001673ED" w:rsidRDefault="00932C5D" w:rsidP="00676A23">
      <w:pPr>
        <w:keepNext/>
        <w:keepLines/>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indicates whether the utility may be experiencing cash flow problems due to slow payments or the failure to write off accounts receivables that are unlikely to be paid due to age.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w:t>
      </w:r>
    </w:p>
    <w:p w14:paraId="62B8CDB4" w14:textId="77777777" w:rsidR="00932C5D" w:rsidRPr="001673ED" w:rsidRDefault="00932C5D" w:rsidP="00570501">
      <w:pPr>
        <w:widowControl/>
        <w:ind w:left="2160"/>
        <w:rPr>
          <w:rFonts w:ascii="Times New Roman" w:eastAsia="Calibri" w:hAnsi="Times New Roman"/>
          <w:snapToGrid/>
          <w:sz w:val="22"/>
          <w:szCs w:val="22"/>
        </w:rPr>
      </w:pPr>
    </w:p>
    <w:p w14:paraId="66B86242"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u w:val="single"/>
        </w:rPr>
        <w:t xml:space="preserve">Operating Revenues </w:t>
      </w:r>
      <w:r w:rsidRPr="001673ED">
        <w:rPr>
          <w:rFonts w:ascii="Times New Roman" w:eastAsia="Calibri" w:hAnsi="Times New Roman"/>
          <w:i/>
          <w:snapToGrid/>
          <w:sz w:val="22"/>
          <w:szCs w:val="22"/>
          <w:u w:val="single"/>
        </w:rPr>
        <w:t>(F-4, Ln. 2)</w:t>
      </w:r>
    </w:p>
    <w:p w14:paraId="4A9E5F15"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 xml:space="preserve">Accounts Receivable </w:t>
      </w:r>
      <w:r w:rsidRPr="001673ED">
        <w:rPr>
          <w:rFonts w:ascii="Times New Roman" w:eastAsia="Calibri" w:hAnsi="Times New Roman"/>
          <w:i/>
          <w:snapToGrid/>
          <w:sz w:val="22"/>
          <w:szCs w:val="22"/>
        </w:rPr>
        <w:t>(F-1, Ln. 33)</w:t>
      </w:r>
    </w:p>
    <w:p w14:paraId="38B2920E" w14:textId="77777777" w:rsidR="00932C5D" w:rsidRPr="001673ED" w:rsidRDefault="00932C5D" w:rsidP="00570501">
      <w:pPr>
        <w:pStyle w:val="ListParagraph"/>
        <w:spacing w:after="0" w:line="240" w:lineRule="auto"/>
        <w:ind w:left="1080"/>
        <w:rPr>
          <w:rFonts w:ascii="Times New Roman" w:hAnsi="Times New Roman"/>
          <w:u w:val="single"/>
        </w:rPr>
      </w:pPr>
    </w:p>
    <w:p w14:paraId="3599EC5E" w14:textId="2402925E"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Average Customer Revenue</w:t>
      </w:r>
    </w:p>
    <w:p w14:paraId="11B5DAAC" w14:textId="77777777" w:rsidR="009B4A23" w:rsidRPr="001673ED" w:rsidRDefault="009B4A23" w:rsidP="009B4A23">
      <w:pPr>
        <w:pStyle w:val="ListParagraph"/>
        <w:spacing w:after="0" w:line="240" w:lineRule="auto"/>
        <w:ind w:left="1800"/>
        <w:rPr>
          <w:rFonts w:ascii="Times New Roman" w:hAnsi="Times New Roman"/>
          <w:u w:val="single"/>
        </w:rPr>
      </w:pPr>
    </w:p>
    <w:p w14:paraId="6D0D9E59" w14:textId="77777777" w:rsidR="00932C5D" w:rsidRPr="001673ED" w:rsidRDefault="00932C5D" w:rsidP="00570501">
      <w:pPr>
        <w:widowControl/>
        <w:ind w:left="2160" w:right="-90"/>
        <w:rPr>
          <w:rFonts w:ascii="Times New Roman" w:eastAsia="Calibri" w:hAnsi="Times New Roman"/>
          <w:snapToGrid/>
          <w:sz w:val="22"/>
          <w:szCs w:val="22"/>
        </w:rPr>
      </w:pPr>
      <w:r w:rsidRPr="001673ED">
        <w:rPr>
          <w:rFonts w:ascii="Times New Roman" w:eastAsia="Calibri" w:hAnsi="Times New Roman"/>
          <w:snapToGrid/>
          <w:sz w:val="22"/>
          <w:szCs w:val="22"/>
        </w:rPr>
        <w:t>This measure shows the average revenue from each customer.</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For an entity with customer classes that have varying usage levels, it is appropriate to calculate this for each customer class.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 xml:space="preserve">It is calculated: </w:t>
      </w:r>
    </w:p>
    <w:p w14:paraId="3E80B21F" w14:textId="77777777" w:rsidR="00932C5D" w:rsidRPr="001673ED" w:rsidRDefault="00932C5D" w:rsidP="00570501">
      <w:pPr>
        <w:widowControl/>
        <w:ind w:left="2160"/>
        <w:rPr>
          <w:rFonts w:ascii="Times New Roman" w:eastAsia="Calibri" w:hAnsi="Times New Roman"/>
          <w:snapToGrid/>
          <w:sz w:val="22"/>
          <w:szCs w:val="22"/>
        </w:rPr>
      </w:pPr>
    </w:p>
    <w:p w14:paraId="6A3E176A" w14:textId="77777777" w:rsidR="00932C5D" w:rsidRPr="001673ED" w:rsidRDefault="00932C5D" w:rsidP="00570501">
      <w:pPr>
        <w:widowControl/>
        <w:ind w:left="2160"/>
        <w:rPr>
          <w:rFonts w:ascii="Times New Roman" w:eastAsia="Calibri" w:hAnsi="Times New Roman"/>
          <w:i/>
          <w:snapToGrid/>
          <w:sz w:val="22"/>
          <w:szCs w:val="22"/>
          <w:u w:val="single"/>
        </w:rPr>
      </w:pPr>
      <w:r w:rsidRPr="001673ED">
        <w:rPr>
          <w:rFonts w:ascii="Times New Roman" w:eastAsia="Calibri" w:hAnsi="Times New Roman"/>
          <w:snapToGrid/>
          <w:sz w:val="22"/>
          <w:szCs w:val="22"/>
          <w:u w:val="single"/>
        </w:rPr>
        <w:t xml:space="preserve">Operating Revenues </w:t>
      </w:r>
      <w:r w:rsidRPr="001673ED">
        <w:rPr>
          <w:rFonts w:ascii="Times New Roman" w:eastAsia="Calibri" w:hAnsi="Times New Roman"/>
          <w:i/>
          <w:snapToGrid/>
          <w:sz w:val="22"/>
          <w:szCs w:val="22"/>
          <w:u w:val="single"/>
        </w:rPr>
        <w:t>(W-1, Lns. 10 – 13, col. c)</w:t>
      </w:r>
    </w:p>
    <w:p w14:paraId="6B153AA3"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 xml:space="preserve">Number of Customers </w:t>
      </w:r>
      <w:r w:rsidRPr="001673ED">
        <w:rPr>
          <w:rFonts w:ascii="Times New Roman" w:eastAsia="Calibri" w:hAnsi="Times New Roman"/>
          <w:i/>
          <w:snapToGrid/>
          <w:sz w:val="22"/>
          <w:szCs w:val="22"/>
        </w:rPr>
        <w:t>(W-7, Lns. 1 -6, col. d )</w:t>
      </w:r>
    </w:p>
    <w:p w14:paraId="28776618" w14:textId="77777777" w:rsidR="00932C5D" w:rsidRPr="001673ED" w:rsidRDefault="00932C5D" w:rsidP="00570501">
      <w:pPr>
        <w:pStyle w:val="ListParagraph"/>
        <w:spacing w:after="0" w:line="240" w:lineRule="auto"/>
        <w:ind w:left="1080"/>
        <w:rPr>
          <w:rFonts w:ascii="Times New Roman" w:hAnsi="Times New Roman"/>
          <w:u w:val="single"/>
        </w:rPr>
      </w:pPr>
    </w:p>
    <w:p w14:paraId="07946955" w14:textId="0892A6A5" w:rsidR="00932C5D" w:rsidRDefault="00932C5D" w:rsidP="00570501">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Revenue from Each of the Utility’s 10 Largest</w:t>
      </w:r>
      <w:r w:rsidR="00AD5B7E" w:rsidRPr="001673ED">
        <w:rPr>
          <w:rFonts w:ascii="Times New Roman" w:hAnsi="Times New Roman"/>
          <w:u w:val="single"/>
        </w:rPr>
        <w:t xml:space="preserve"> </w:t>
      </w:r>
      <w:r w:rsidRPr="001673ED">
        <w:rPr>
          <w:rFonts w:ascii="Times New Roman" w:hAnsi="Times New Roman"/>
          <w:u w:val="single"/>
        </w:rPr>
        <w:t>Customers</w:t>
      </w:r>
    </w:p>
    <w:p w14:paraId="7D0FB738" w14:textId="77777777" w:rsidR="009B4A23" w:rsidRPr="001673ED" w:rsidRDefault="009B4A23" w:rsidP="009B4A23">
      <w:pPr>
        <w:pStyle w:val="ListParagraph"/>
        <w:spacing w:after="0" w:line="240" w:lineRule="auto"/>
        <w:ind w:left="2160"/>
        <w:rPr>
          <w:rFonts w:ascii="Times New Roman" w:hAnsi="Times New Roman"/>
          <w:u w:val="single"/>
        </w:rPr>
      </w:pPr>
    </w:p>
    <w:p w14:paraId="6399A7B6"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identifies the extent to which a utility’s revenues depend to a significant degree on one, or several, large customers, and thus the risks to revenues that a utility faces should such customers cease to take service.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This measure is to be calculated from the utility’s billing records separately for each of its 10 largest customers. It is calculated by:</w:t>
      </w:r>
    </w:p>
    <w:p w14:paraId="18C3D60C" w14:textId="77777777" w:rsidR="00932C5D" w:rsidRPr="001673ED" w:rsidRDefault="00932C5D" w:rsidP="00570501">
      <w:pPr>
        <w:widowControl/>
        <w:ind w:left="2160"/>
        <w:rPr>
          <w:rFonts w:ascii="Times New Roman" w:eastAsia="Calibri" w:hAnsi="Times New Roman"/>
          <w:snapToGrid/>
          <w:sz w:val="22"/>
          <w:szCs w:val="22"/>
        </w:rPr>
      </w:pPr>
    </w:p>
    <w:p w14:paraId="2BF75789" w14:textId="77777777" w:rsidR="00932C5D" w:rsidRPr="001673ED" w:rsidRDefault="00932C5D" w:rsidP="00570501">
      <w:pPr>
        <w:widowControl/>
        <w:ind w:left="2160"/>
        <w:rPr>
          <w:rFonts w:ascii="Times New Roman" w:eastAsia="Calibri" w:hAnsi="Times New Roman"/>
          <w:snapToGrid/>
          <w:sz w:val="22"/>
          <w:szCs w:val="22"/>
          <w:u w:val="single"/>
        </w:rPr>
      </w:pPr>
      <w:r w:rsidRPr="001673ED">
        <w:rPr>
          <w:rFonts w:ascii="Times New Roman" w:eastAsia="Calibri" w:hAnsi="Times New Roman"/>
          <w:snapToGrid/>
          <w:sz w:val="22"/>
          <w:szCs w:val="22"/>
          <w:u w:val="single"/>
        </w:rPr>
        <w:t>Individual Revenue of Customer from Billing Records</w:t>
      </w:r>
    </w:p>
    <w:p w14:paraId="4AE6000E"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 xml:space="preserve">Operating Revenues </w:t>
      </w:r>
      <w:r w:rsidRPr="001673ED">
        <w:rPr>
          <w:rFonts w:ascii="Times New Roman" w:eastAsia="Calibri" w:hAnsi="Times New Roman"/>
          <w:i/>
          <w:snapToGrid/>
          <w:sz w:val="22"/>
          <w:szCs w:val="22"/>
        </w:rPr>
        <w:t>(W-1, Lns. 10 – 13, col. c)</w:t>
      </w:r>
    </w:p>
    <w:p w14:paraId="749CF864" w14:textId="77777777" w:rsidR="00932C5D" w:rsidRPr="001673ED" w:rsidRDefault="00932C5D" w:rsidP="00570501">
      <w:pPr>
        <w:widowControl/>
        <w:ind w:left="2160" w:firstLine="720"/>
        <w:rPr>
          <w:rFonts w:ascii="Times New Roman" w:eastAsia="Calibri" w:hAnsi="Times New Roman"/>
          <w:i/>
          <w:snapToGrid/>
          <w:sz w:val="22"/>
          <w:szCs w:val="22"/>
        </w:rPr>
      </w:pPr>
    </w:p>
    <w:p w14:paraId="44F21654" w14:textId="5EF4D0C9"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Average Customer Consumption</w:t>
      </w:r>
    </w:p>
    <w:p w14:paraId="70FA8928" w14:textId="77777777" w:rsidR="009B4A23" w:rsidRPr="001673ED" w:rsidRDefault="009B4A23" w:rsidP="009B4A23">
      <w:pPr>
        <w:pStyle w:val="ListParagraph"/>
        <w:spacing w:after="0" w:line="240" w:lineRule="auto"/>
        <w:ind w:left="1800"/>
        <w:rPr>
          <w:rFonts w:ascii="Times New Roman" w:hAnsi="Times New Roman"/>
          <w:u w:val="single"/>
        </w:rPr>
      </w:pPr>
    </w:p>
    <w:p w14:paraId="164F740D"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when compared with previous years, reflects the trend in customer consumption and is useful in predicting potential trends in total revenues.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For an entity with customer classes that have varying usage levels, it is appropriate to calculate this ratio for each customer class.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 xml:space="preserve">It is calculated: </w:t>
      </w:r>
    </w:p>
    <w:p w14:paraId="0123E0E8" w14:textId="77777777" w:rsidR="00932C5D" w:rsidRPr="001673ED" w:rsidRDefault="00932C5D" w:rsidP="00570501">
      <w:pPr>
        <w:widowControl/>
        <w:ind w:left="2160"/>
        <w:rPr>
          <w:rFonts w:ascii="Times New Roman" w:eastAsia="Calibri" w:hAnsi="Times New Roman"/>
          <w:snapToGrid/>
          <w:sz w:val="22"/>
          <w:szCs w:val="22"/>
        </w:rPr>
      </w:pPr>
    </w:p>
    <w:p w14:paraId="5877D103" w14:textId="77777777" w:rsidR="00932C5D" w:rsidRPr="001673ED" w:rsidRDefault="00932C5D" w:rsidP="00570501">
      <w:pPr>
        <w:widowControl/>
        <w:ind w:left="2160"/>
        <w:rPr>
          <w:rFonts w:ascii="Times New Roman" w:eastAsia="Calibri" w:hAnsi="Times New Roman"/>
          <w:i/>
          <w:snapToGrid/>
          <w:sz w:val="22"/>
          <w:szCs w:val="22"/>
          <w:u w:val="single"/>
        </w:rPr>
      </w:pPr>
      <w:r w:rsidRPr="001673ED">
        <w:rPr>
          <w:rFonts w:ascii="Times New Roman" w:eastAsia="Calibri" w:hAnsi="Times New Roman"/>
          <w:snapToGrid/>
          <w:sz w:val="22"/>
          <w:szCs w:val="22"/>
          <w:u w:val="single"/>
        </w:rPr>
        <w:t xml:space="preserve">Operating Revenues </w:t>
      </w:r>
      <w:r w:rsidRPr="001673ED">
        <w:rPr>
          <w:rFonts w:ascii="Times New Roman" w:eastAsia="Calibri" w:hAnsi="Times New Roman"/>
          <w:i/>
          <w:snapToGrid/>
          <w:sz w:val="22"/>
          <w:szCs w:val="22"/>
          <w:u w:val="single"/>
        </w:rPr>
        <w:t>(W-1, Lns. 10 – 13, col. e)</w:t>
      </w:r>
    </w:p>
    <w:p w14:paraId="079A4ACB"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 xml:space="preserve">Number of Customers </w:t>
      </w:r>
      <w:r w:rsidRPr="001673ED">
        <w:rPr>
          <w:rFonts w:ascii="Times New Roman" w:eastAsia="Calibri" w:hAnsi="Times New Roman"/>
          <w:i/>
          <w:snapToGrid/>
          <w:sz w:val="22"/>
          <w:szCs w:val="22"/>
        </w:rPr>
        <w:t>(W-7, Lns. 1 -6, col. d)</w:t>
      </w:r>
    </w:p>
    <w:p w14:paraId="4533FF80" w14:textId="77777777" w:rsidR="00932C5D" w:rsidRPr="001673ED" w:rsidRDefault="00932C5D" w:rsidP="00570501">
      <w:pPr>
        <w:pStyle w:val="ListParagraph"/>
        <w:spacing w:after="0" w:line="240" w:lineRule="auto"/>
        <w:ind w:left="1080"/>
        <w:rPr>
          <w:rFonts w:ascii="Times New Roman" w:hAnsi="Times New Roman"/>
          <w:u w:val="single"/>
        </w:rPr>
      </w:pPr>
    </w:p>
    <w:p w14:paraId="76DD9C5A" w14:textId="566CB113"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Pension Plan Funding Ratio</w:t>
      </w:r>
    </w:p>
    <w:p w14:paraId="22D21553" w14:textId="77777777" w:rsidR="009B4A23" w:rsidRPr="001673ED" w:rsidRDefault="009B4A23" w:rsidP="009B4A23">
      <w:pPr>
        <w:pStyle w:val="ListParagraph"/>
        <w:spacing w:after="0" w:line="240" w:lineRule="auto"/>
        <w:ind w:left="1800"/>
        <w:rPr>
          <w:rFonts w:ascii="Times New Roman" w:hAnsi="Times New Roman"/>
          <w:u w:val="single"/>
        </w:rPr>
      </w:pPr>
    </w:p>
    <w:p w14:paraId="2EC41425"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the percentage of unfunded pension liability and may indicate the need for future rate increases to fund the balance.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Until GASB 68 is adopted, the utility may need to obtain this information from its pension fund manager. If the water utility does not provide pension benefits, this measure will not be applicable. It is calculated:</w:t>
      </w:r>
    </w:p>
    <w:p w14:paraId="33459533" w14:textId="77777777" w:rsidR="00932C5D" w:rsidRPr="001673ED" w:rsidRDefault="00932C5D" w:rsidP="00570501">
      <w:pPr>
        <w:widowControl/>
        <w:ind w:left="2160"/>
        <w:rPr>
          <w:rFonts w:ascii="Times New Roman" w:eastAsia="Calibri" w:hAnsi="Times New Roman"/>
          <w:snapToGrid/>
          <w:sz w:val="22"/>
          <w:szCs w:val="22"/>
        </w:rPr>
      </w:pPr>
    </w:p>
    <w:p w14:paraId="0F79A37E"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u w:val="single"/>
        </w:rPr>
        <w:t xml:space="preserve">      Actuarial Fair Value of Pension Fund         .  </w:t>
      </w:r>
    </w:p>
    <w:p w14:paraId="4881C3B5"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Actuarial Accrued Liability for Pension Benefits</w:t>
      </w:r>
    </w:p>
    <w:p w14:paraId="353DD3AA" w14:textId="77777777" w:rsidR="00932C5D" w:rsidRPr="001673ED" w:rsidRDefault="00932C5D" w:rsidP="00570501">
      <w:pPr>
        <w:pStyle w:val="ListParagraph"/>
        <w:spacing w:after="0" w:line="240" w:lineRule="auto"/>
        <w:ind w:left="1080"/>
        <w:rPr>
          <w:rFonts w:ascii="Times New Roman" w:hAnsi="Times New Roman"/>
          <w:u w:val="single"/>
        </w:rPr>
      </w:pPr>
    </w:p>
    <w:p w14:paraId="1FEE0397" w14:textId="7088C872" w:rsidR="00932C5D" w:rsidRDefault="00932C5D" w:rsidP="00676A23">
      <w:pPr>
        <w:pStyle w:val="ListParagraph"/>
        <w:keepNext/>
        <w:keepLines/>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lastRenderedPageBreak/>
        <w:t>OPEB Plan Funding Ratio</w:t>
      </w:r>
    </w:p>
    <w:p w14:paraId="4A7EBF90" w14:textId="77777777" w:rsidR="009B4A23" w:rsidRPr="001673ED" w:rsidRDefault="009B4A23" w:rsidP="00676A23">
      <w:pPr>
        <w:pStyle w:val="ListParagraph"/>
        <w:keepNext/>
        <w:keepLines/>
        <w:spacing w:after="0" w:line="240" w:lineRule="auto"/>
        <w:ind w:left="1800"/>
        <w:rPr>
          <w:rFonts w:ascii="Times New Roman" w:hAnsi="Times New Roman"/>
          <w:u w:val="single"/>
        </w:rPr>
      </w:pPr>
    </w:p>
    <w:p w14:paraId="090C81BD" w14:textId="77777777" w:rsidR="00932C5D" w:rsidRPr="001673ED" w:rsidRDefault="00932C5D" w:rsidP="00676A23">
      <w:pPr>
        <w:keepNext/>
        <w:keepLines/>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the percentage of unfunded OPEB liability and may indicate the need for future rate increases to fund the balance.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The utility may have to gather this information from its fund manager.</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To the extent that the water utility pays OPEB on a “pay-as-you-go basis.” and has therefore not accumulated any funds, it should indicate the procedures used to budget for these costs.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If the water utility does not provide OPEB benefits, this measure will not be applicable.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If the utility maintains a fund, it is calculated:</w:t>
      </w:r>
    </w:p>
    <w:p w14:paraId="3FD9E6E2" w14:textId="77777777" w:rsidR="00932C5D" w:rsidRPr="001673ED" w:rsidRDefault="00932C5D" w:rsidP="00570501">
      <w:pPr>
        <w:widowControl/>
        <w:ind w:left="2160"/>
        <w:rPr>
          <w:rFonts w:ascii="Times New Roman" w:eastAsia="Calibri" w:hAnsi="Times New Roman"/>
          <w:snapToGrid/>
          <w:sz w:val="22"/>
          <w:szCs w:val="22"/>
        </w:rPr>
      </w:pPr>
    </w:p>
    <w:p w14:paraId="257B40EC"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u w:val="single"/>
        </w:rPr>
        <w:t xml:space="preserve">       Actuarial Fair Value of OPEB Fund         .  </w:t>
      </w:r>
    </w:p>
    <w:p w14:paraId="047668E4"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Actuarial Accrued Liability for OPEB Benefits</w:t>
      </w:r>
    </w:p>
    <w:p w14:paraId="4DA2AD6C" w14:textId="77777777" w:rsidR="00932C5D" w:rsidRPr="001673ED" w:rsidRDefault="00932C5D" w:rsidP="00570501">
      <w:pPr>
        <w:pStyle w:val="ListParagraph"/>
        <w:spacing w:after="0" w:line="240" w:lineRule="auto"/>
        <w:ind w:left="1080"/>
        <w:rPr>
          <w:rFonts w:ascii="Times New Roman" w:hAnsi="Times New Roman"/>
          <w:b/>
        </w:rPr>
      </w:pPr>
    </w:p>
    <w:p w14:paraId="74E3E3B8" w14:textId="77777777" w:rsidR="00932C5D" w:rsidRPr="001673ED" w:rsidRDefault="00932C5D" w:rsidP="007C056D">
      <w:pPr>
        <w:pStyle w:val="ListParagraph"/>
        <w:numPr>
          <w:ilvl w:val="1"/>
          <w:numId w:val="12"/>
        </w:numPr>
        <w:spacing w:after="0" w:line="240" w:lineRule="auto"/>
        <w:ind w:hanging="720"/>
        <w:rPr>
          <w:rFonts w:ascii="Times New Roman" w:hAnsi="Times New Roman"/>
          <w:b/>
        </w:rPr>
      </w:pPr>
      <w:r w:rsidRPr="001673ED">
        <w:rPr>
          <w:rFonts w:ascii="Times New Roman" w:hAnsi="Times New Roman"/>
          <w:b/>
        </w:rPr>
        <w:t>Operations and Maintenance Data</w:t>
      </w:r>
    </w:p>
    <w:p w14:paraId="65A401BA" w14:textId="77777777" w:rsidR="00932C5D" w:rsidRPr="001673ED" w:rsidRDefault="00932C5D" w:rsidP="00570501">
      <w:pPr>
        <w:pStyle w:val="ListParagraph"/>
        <w:spacing w:after="0" w:line="240" w:lineRule="auto"/>
        <w:rPr>
          <w:rFonts w:ascii="Times New Roman" w:hAnsi="Times New Roman"/>
          <w:u w:val="single"/>
        </w:rPr>
      </w:pPr>
    </w:p>
    <w:p w14:paraId="5FE32E62" w14:textId="7B87E4C8"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Mains Replaced per Year</w:t>
      </w:r>
    </w:p>
    <w:p w14:paraId="2760B4F5" w14:textId="77777777" w:rsidR="009B4A23" w:rsidRPr="001673ED" w:rsidRDefault="009B4A23" w:rsidP="009B4A23">
      <w:pPr>
        <w:pStyle w:val="ListParagraph"/>
        <w:spacing w:after="0" w:line="240" w:lineRule="auto"/>
        <w:ind w:left="1800"/>
        <w:rPr>
          <w:rFonts w:ascii="Times New Roman" w:hAnsi="Times New Roman"/>
          <w:u w:val="single"/>
        </w:rPr>
      </w:pPr>
    </w:p>
    <w:p w14:paraId="2977626F"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is a measure of the existing distribution/transmission infrastructure that has been replaced each year.</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The measure is calculated on a per foot basis due to the difference between the cost of the replacement infrastructure and the cost of the replaced infrastructure when it was first put into place.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This calculation will be need to be developed using the utility’s in house records for the number of feet replaced because the annual PUC report does not include information regarding replacements. It is calculated:</w:t>
      </w:r>
    </w:p>
    <w:p w14:paraId="64080753" w14:textId="77777777" w:rsidR="00932C5D" w:rsidRPr="001673ED" w:rsidRDefault="00932C5D" w:rsidP="00570501">
      <w:pPr>
        <w:widowControl/>
        <w:ind w:left="2160"/>
        <w:rPr>
          <w:rFonts w:ascii="Times New Roman" w:eastAsia="Calibri" w:hAnsi="Times New Roman"/>
          <w:snapToGrid/>
          <w:sz w:val="22"/>
          <w:szCs w:val="22"/>
        </w:rPr>
      </w:pPr>
    </w:p>
    <w:p w14:paraId="230DF48A" w14:textId="77777777" w:rsidR="00932C5D" w:rsidRPr="001673ED" w:rsidRDefault="00932C5D" w:rsidP="00570501">
      <w:pPr>
        <w:widowControl/>
        <w:ind w:left="2160"/>
        <w:rPr>
          <w:rFonts w:ascii="Times New Roman" w:eastAsia="Calibri" w:hAnsi="Times New Roman"/>
          <w:snapToGrid/>
          <w:sz w:val="22"/>
          <w:szCs w:val="22"/>
          <w:u w:val="single"/>
        </w:rPr>
      </w:pPr>
      <w:r w:rsidRPr="001673ED">
        <w:rPr>
          <w:rFonts w:ascii="Times New Roman" w:eastAsia="Calibri" w:hAnsi="Times New Roman"/>
          <w:snapToGrid/>
          <w:sz w:val="22"/>
          <w:szCs w:val="22"/>
          <w:u w:val="single"/>
        </w:rPr>
        <w:t>Number of Feet of Distribution/Transmission Main Replaced</w:t>
      </w:r>
    </w:p>
    <w:p w14:paraId="696B0F7F"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 xml:space="preserve">Total Feet of Distribution/Transmission Main </w:t>
      </w:r>
      <w:r w:rsidRPr="001673ED">
        <w:rPr>
          <w:rFonts w:ascii="Times New Roman" w:eastAsia="Calibri" w:hAnsi="Times New Roman"/>
          <w:i/>
          <w:snapToGrid/>
          <w:sz w:val="22"/>
          <w:szCs w:val="22"/>
        </w:rPr>
        <w:t>(W-9, Col. c)</w:t>
      </w:r>
    </w:p>
    <w:p w14:paraId="4B3E7246" w14:textId="77777777" w:rsidR="00932C5D" w:rsidRPr="001673ED" w:rsidRDefault="00932C5D" w:rsidP="00570501">
      <w:pPr>
        <w:pStyle w:val="ListParagraph"/>
        <w:spacing w:after="0" w:line="240" w:lineRule="auto"/>
        <w:ind w:left="1080"/>
        <w:rPr>
          <w:rFonts w:ascii="Times New Roman" w:hAnsi="Times New Roman"/>
          <w:u w:val="single"/>
        </w:rPr>
      </w:pPr>
    </w:p>
    <w:p w14:paraId="35B2B9ED" w14:textId="440AEED9"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Non-revenue Water</w:t>
      </w:r>
    </w:p>
    <w:p w14:paraId="7279DE7C" w14:textId="77777777" w:rsidR="009B4A23" w:rsidRPr="001673ED" w:rsidRDefault="009B4A23" w:rsidP="009B4A23">
      <w:pPr>
        <w:pStyle w:val="ListParagraph"/>
        <w:spacing w:after="0" w:line="240" w:lineRule="auto"/>
        <w:ind w:left="1800"/>
        <w:rPr>
          <w:rFonts w:ascii="Times New Roman" w:hAnsi="Times New Roman"/>
          <w:u w:val="single"/>
        </w:rPr>
      </w:pPr>
    </w:p>
    <w:p w14:paraId="2493926A"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the percent of water either purchased or produced that does not yield</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revenues to the utility.</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This measure is shown on page W-12 of the PUC report on Line 19.</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w:t>
      </w:r>
    </w:p>
    <w:p w14:paraId="4C64B3C4" w14:textId="77777777" w:rsidR="00932C5D" w:rsidRPr="001673ED" w:rsidRDefault="00932C5D" w:rsidP="00570501">
      <w:pPr>
        <w:widowControl/>
        <w:ind w:left="2160"/>
        <w:rPr>
          <w:rFonts w:ascii="Times New Roman" w:eastAsia="Calibri" w:hAnsi="Times New Roman"/>
          <w:snapToGrid/>
          <w:sz w:val="22"/>
          <w:szCs w:val="22"/>
        </w:rPr>
      </w:pPr>
    </w:p>
    <w:p w14:paraId="4E513613" w14:textId="77777777" w:rsidR="00932C5D" w:rsidRPr="001673ED" w:rsidRDefault="002C42B4" w:rsidP="00570501">
      <w:pPr>
        <w:widowControl/>
        <w:ind w:left="2160"/>
        <w:rPr>
          <w:rFonts w:ascii="Times New Roman" w:eastAsia="Calibri" w:hAnsi="Times New Roman"/>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54144" behindDoc="0" locked="0" layoutInCell="1" allowOverlap="1" wp14:anchorId="529110A1" wp14:editId="3990CBFA">
                <wp:simplePos x="0" y="0"/>
                <wp:positionH relativeFrom="column">
                  <wp:posOffset>1382395</wp:posOffset>
                </wp:positionH>
                <wp:positionV relativeFrom="paragraph">
                  <wp:posOffset>170815</wp:posOffset>
                </wp:positionV>
                <wp:extent cx="2849245" cy="0"/>
                <wp:effectExtent l="0" t="0" r="0" b="0"/>
                <wp:wrapNone/>
                <wp:docPr id="8" name="AutoShape 10" descr="Calcula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D5143" id="_x0000_t32" coordsize="21600,21600" o:spt="32" o:oned="t" path="m,l21600,21600e" filled="f">
                <v:path arrowok="t" fillok="f" o:connecttype="none"/>
                <o:lock v:ext="edit" shapetype="t"/>
              </v:shapetype>
              <v:shape id="AutoShape 10" o:spid="_x0000_s1026" type="#_x0000_t32" alt="Calculation" style="position:absolute;margin-left:108.85pt;margin-top:13.45pt;width:224.3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"/>
            </w:pict>
          </mc:Fallback>
        </mc:AlternateContent>
      </w:r>
      <w:r w:rsidR="00932C5D" w:rsidRPr="001673ED">
        <w:rPr>
          <w:rFonts w:ascii="Times New Roman" w:eastAsia="Calibri" w:hAnsi="Times New Roman"/>
          <w:snapToGrid/>
          <w:sz w:val="22"/>
          <w:szCs w:val="22"/>
        </w:rPr>
        <w:t xml:space="preserve">   Total Production Water (W-12, Ln. 15)      </w:t>
      </w:r>
    </w:p>
    <w:p w14:paraId="1C9468DF"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Total Revenue Water (W-3, Ln. 20, Col. e)</w:t>
      </w:r>
    </w:p>
    <w:p w14:paraId="0487F10E" w14:textId="77777777" w:rsidR="00932C5D" w:rsidRPr="001673ED" w:rsidRDefault="00932C5D" w:rsidP="00570501">
      <w:pPr>
        <w:pStyle w:val="ListParagraph"/>
        <w:spacing w:after="0" w:line="240" w:lineRule="auto"/>
        <w:ind w:left="1080"/>
        <w:rPr>
          <w:rFonts w:ascii="Times New Roman" w:hAnsi="Times New Roman"/>
          <w:u w:val="single"/>
        </w:rPr>
      </w:pPr>
    </w:p>
    <w:p w14:paraId="6E3768D8" w14:textId="48592B37"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Unaccounted for Water</w:t>
      </w:r>
    </w:p>
    <w:p w14:paraId="1FDBB3AD" w14:textId="77777777" w:rsidR="009B4A23" w:rsidRPr="001673ED" w:rsidRDefault="009B4A23" w:rsidP="009B4A23">
      <w:pPr>
        <w:pStyle w:val="ListParagraph"/>
        <w:spacing w:after="0" w:line="240" w:lineRule="auto"/>
        <w:ind w:left="1800"/>
        <w:rPr>
          <w:rFonts w:ascii="Times New Roman" w:hAnsi="Times New Roman"/>
          <w:u w:val="single"/>
        </w:rPr>
      </w:pPr>
    </w:p>
    <w:p w14:paraId="5EBE209A"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the percent of water either purchased or produced that does not result in revenues for the utility and has not otherwise been accounted for by the utility.</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This percentage is lower than the percentage of total non-revenue water because a utility is able to account for certain usages that do not produce revenue, such as flushing and breaks.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 by:</w:t>
      </w:r>
    </w:p>
    <w:p w14:paraId="3EF590C8" w14:textId="77777777" w:rsidR="00932C5D" w:rsidRPr="001673ED" w:rsidRDefault="00932C5D" w:rsidP="00570501">
      <w:pPr>
        <w:widowControl/>
        <w:ind w:left="2160"/>
        <w:rPr>
          <w:rFonts w:ascii="Times New Roman" w:eastAsia="Calibri" w:hAnsi="Times New Roman"/>
          <w:snapToGrid/>
          <w:sz w:val="22"/>
          <w:szCs w:val="22"/>
        </w:rPr>
      </w:pPr>
    </w:p>
    <w:p w14:paraId="6DC02484" w14:textId="77777777" w:rsidR="00932C5D" w:rsidRPr="001673ED" w:rsidRDefault="00932C5D" w:rsidP="00E95B6A">
      <w:pPr>
        <w:widowControl/>
        <w:ind w:left="2160" w:right="270"/>
        <w:rPr>
          <w:rFonts w:ascii="Times New Roman" w:eastAsia="Calibri" w:hAnsi="Times New Roman"/>
          <w:i/>
          <w:snapToGrid/>
          <w:sz w:val="22"/>
          <w:szCs w:val="22"/>
          <w:u w:val="single"/>
        </w:rPr>
      </w:pPr>
      <w:r w:rsidRPr="001673ED">
        <w:rPr>
          <w:rFonts w:ascii="Times New Roman" w:eastAsia="Calibri" w:hAnsi="Times New Roman"/>
          <w:snapToGrid/>
          <w:sz w:val="22"/>
          <w:szCs w:val="22"/>
          <w:u w:val="single"/>
        </w:rPr>
        <w:t xml:space="preserve">Total Non-Revenue (NR) Water (W-12, Ln. 19) - Accounted for NR Water </w:t>
      </w:r>
      <w:r w:rsidRPr="001673ED">
        <w:rPr>
          <w:rFonts w:ascii="Times New Roman" w:eastAsia="Calibri" w:hAnsi="Times New Roman"/>
          <w:i/>
          <w:snapToGrid/>
          <w:sz w:val="22"/>
          <w:szCs w:val="22"/>
          <w:u w:val="single"/>
        </w:rPr>
        <w:t>(W-12, Ln. 96)</w:t>
      </w:r>
    </w:p>
    <w:p w14:paraId="7F45D050"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ab/>
      </w:r>
      <w:r w:rsidRPr="001673ED">
        <w:rPr>
          <w:rFonts w:ascii="Times New Roman" w:eastAsia="Calibri" w:hAnsi="Times New Roman"/>
          <w:snapToGrid/>
          <w:sz w:val="22"/>
          <w:szCs w:val="22"/>
        </w:rPr>
        <w:tab/>
      </w:r>
      <w:r w:rsidRPr="001673ED">
        <w:rPr>
          <w:rFonts w:ascii="Times New Roman" w:eastAsia="Calibri" w:hAnsi="Times New Roman"/>
          <w:snapToGrid/>
          <w:sz w:val="22"/>
          <w:szCs w:val="22"/>
        </w:rPr>
        <w:tab/>
        <w:t xml:space="preserve">Total Production Water </w:t>
      </w:r>
      <w:r w:rsidRPr="001673ED">
        <w:rPr>
          <w:rFonts w:ascii="Times New Roman" w:eastAsia="Calibri" w:hAnsi="Times New Roman"/>
          <w:i/>
          <w:snapToGrid/>
          <w:sz w:val="22"/>
          <w:szCs w:val="22"/>
        </w:rPr>
        <w:t>(W-12, Ln. 35)</w:t>
      </w:r>
    </w:p>
    <w:p w14:paraId="345590B6" w14:textId="77777777" w:rsidR="00932C5D" w:rsidRPr="001673ED" w:rsidRDefault="00932C5D" w:rsidP="00570501">
      <w:pPr>
        <w:pStyle w:val="ListParagraph"/>
        <w:spacing w:after="0" w:line="240" w:lineRule="auto"/>
        <w:ind w:left="1080"/>
        <w:rPr>
          <w:rFonts w:ascii="Times New Roman" w:hAnsi="Times New Roman"/>
          <w:u w:val="single"/>
        </w:rPr>
      </w:pPr>
    </w:p>
    <w:p w14:paraId="519D7580" w14:textId="4A88AD64" w:rsidR="00932C5D" w:rsidRDefault="00932C5D" w:rsidP="00676A23">
      <w:pPr>
        <w:pStyle w:val="ListParagraph"/>
        <w:keepNext/>
        <w:keepLines/>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lastRenderedPageBreak/>
        <w:t>Percentage of Hydrants Flushed per Year</w:t>
      </w:r>
    </w:p>
    <w:p w14:paraId="7870C258" w14:textId="77777777" w:rsidR="009B4A23" w:rsidRPr="001673ED" w:rsidRDefault="009B4A23" w:rsidP="00676A23">
      <w:pPr>
        <w:pStyle w:val="ListParagraph"/>
        <w:keepNext/>
        <w:keepLines/>
        <w:spacing w:after="0" w:line="240" w:lineRule="auto"/>
        <w:ind w:left="1800"/>
        <w:rPr>
          <w:rFonts w:ascii="Times New Roman" w:hAnsi="Times New Roman"/>
          <w:u w:val="single"/>
        </w:rPr>
      </w:pPr>
    </w:p>
    <w:p w14:paraId="20B1921C" w14:textId="77777777" w:rsidR="00932C5D" w:rsidRPr="001673ED" w:rsidRDefault="00932C5D" w:rsidP="00676A23">
      <w:pPr>
        <w:keepNext/>
        <w:keepLines/>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how frequently the water utility flushes its hydrants, based upon the number of hydrants flushed</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as reflected in the utility’s operating records. It is calculated by:</w:t>
      </w:r>
    </w:p>
    <w:p w14:paraId="573EF125" w14:textId="77777777" w:rsidR="00932C5D" w:rsidRPr="001673ED" w:rsidRDefault="00932C5D" w:rsidP="00570501">
      <w:pPr>
        <w:widowControl/>
        <w:ind w:left="2160"/>
        <w:rPr>
          <w:rFonts w:ascii="Times New Roman" w:eastAsia="Calibri" w:hAnsi="Times New Roman"/>
          <w:snapToGrid/>
          <w:sz w:val="22"/>
          <w:szCs w:val="22"/>
        </w:rPr>
      </w:pPr>
    </w:p>
    <w:p w14:paraId="24B60264"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 xml:space="preserve">    Number of Hydrants Flushed       </w:t>
      </w:r>
    </w:p>
    <w:p w14:paraId="75868A05" w14:textId="77777777" w:rsidR="00932C5D" w:rsidRPr="001673ED" w:rsidRDefault="002C42B4" w:rsidP="00570501">
      <w:pPr>
        <w:widowControl/>
        <w:ind w:left="2160"/>
        <w:rPr>
          <w:rFonts w:ascii="Times New Roman" w:eastAsia="Calibri" w:hAnsi="Times New Roman"/>
          <w:i/>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60288" behindDoc="0" locked="0" layoutInCell="1" allowOverlap="1" wp14:anchorId="4FE6FADF" wp14:editId="2CB6281C">
                <wp:simplePos x="0" y="0"/>
                <wp:positionH relativeFrom="column">
                  <wp:posOffset>1382395</wp:posOffset>
                </wp:positionH>
                <wp:positionV relativeFrom="paragraph">
                  <wp:posOffset>-1270</wp:posOffset>
                </wp:positionV>
                <wp:extent cx="2466340" cy="0"/>
                <wp:effectExtent l="0" t="0" r="0" b="0"/>
                <wp:wrapNone/>
                <wp:docPr id="7" name="AutoShape 16" descr="Calcula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46B55" id="AutoShape 16" o:spid="_x0000_s1026" type="#_x0000_t32" alt="Calculation" style="position:absolute;margin-left:108.85pt;margin-top:-.1pt;width:194.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"/>
            </w:pict>
          </mc:Fallback>
        </mc:AlternateContent>
      </w:r>
      <w:r w:rsidR="00932C5D" w:rsidRPr="001673ED">
        <w:rPr>
          <w:rFonts w:ascii="Times New Roman" w:eastAsia="Calibri" w:hAnsi="Times New Roman"/>
          <w:snapToGrid/>
          <w:sz w:val="22"/>
          <w:szCs w:val="22"/>
        </w:rPr>
        <w:t xml:space="preserve">Total No. of Hydrants </w:t>
      </w:r>
      <w:r w:rsidR="00932C5D" w:rsidRPr="001673ED">
        <w:rPr>
          <w:rFonts w:ascii="Times New Roman" w:eastAsia="Calibri" w:hAnsi="Times New Roman"/>
          <w:i/>
          <w:snapToGrid/>
          <w:sz w:val="22"/>
          <w:szCs w:val="22"/>
        </w:rPr>
        <w:t>(W-10, totaled)</w:t>
      </w:r>
    </w:p>
    <w:p w14:paraId="4569DDE6" w14:textId="05673C46" w:rsidR="00932C5D" w:rsidRPr="001673ED" w:rsidRDefault="00932C5D" w:rsidP="009B4A23">
      <w:pPr>
        <w:pStyle w:val="ListParagraph"/>
        <w:spacing w:after="0" w:line="240" w:lineRule="auto"/>
        <w:ind w:left="1080"/>
        <w:rPr>
          <w:rFonts w:ascii="Times New Roman" w:hAnsi="Times New Roman"/>
          <w:u w:val="single"/>
        </w:rPr>
      </w:pPr>
    </w:p>
    <w:p w14:paraId="0972929B" w14:textId="1A43683D"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Hydrants Replaced per Year</w:t>
      </w:r>
    </w:p>
    <w:p w14:paraId="2702A748" w14:textId="77777777" w:rsidR="009B4A23" w:rsidRPr="001673ED" w:rsidRDefault="009B4A23" w:rsidP="009B4A23">
      <w:pPr>
        <w:pStyle w:val="ListParagraph"/>
        <w:spacing w:after="0" w:line="240" w:lineRule="auto"/>
        <w:ind w:left="1800"/>
        <w:rPr>
          <w:rFonts w:ascii="Times New Roman" w:hAnsi="Times New Roman"/>
          <w:u w:val="single"/>
        </w:rPr>
      </w:pPr>
    </w:p>
    <w:p w14:paraId="0B6EF3D1" w14:textId="77777777" w:rsidR="00932C5D" w:rsidRPr="001673ED" w:rsidRDefault="00932C5D" w:rsidP="009B4A23">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how frequently the water utility replaces its hydrants.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 by:</w:t>
      </w:r>
    </w:p>
    <w:p w14:paraId="3A8C528C" w14:textId="77777777" w:rsidR="00932C5D" w:rsidRPr="001673ED" w:rsidRDefault="00932C5D" w:rsidP="009B4A23">
      <w:pPr>
        <w:widowControl/>
        <w:rPr>
          <w:rFonts w:ascii="Times New Roman" w:eastAsia="Calibri" w:hAnsi="Times New Roman"/>
          <w:snapToGrid/>
          <w:sz w:val="22"/>
          <w:szCs w:val="22"/>
          <w:u w:val="single"/>
        </w:rPr>
      </w:pPr>
    </w:p>
    <w:p w14:paraId="3447927C" w14:textId="77777777" w:rsidR="00932C5D" w:rsidRPr="001673ED" w:rsidRDefault="002C42B4" w:rsidP="009B4A23">
      <w:pPr>
        <w:widowControl/>
        <w:ind w:left="2160"/>
        <w:rPr>
          <w:rFonts w:ascii="Times New Roman" w:eastAsia="Calibri" w:hAnsi="Times New Roman"/>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58240" behindDoc="0" locked="0" layoutInCell="1" allowOverlap="1" wp14:anchorId="211D6516" wp14:editId="1BCF3843">
                <wp:simplePos x="0" y="0"/>
                <wp:positionH relativeFrom="column">
                  <wp:posOffset>1371600</wp:posOffset>
                </wp:positionH>
                <wp:positionV relativeFrom="paragraph">
                  <wp:posOffset>160655</wp:posOffset>
                </wp:positionV>
                <wp:extent cx="2477135" cy="10160"/>
                <wp:effectExtent l="0" t="0" r="37465" b="27940"/>
                <wp:wrapNone/>
                <wp:docPr id="6" name="AutoShape 14" descr="Calcula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713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88F9D" id="AutoShape 14" o:spid="_x0000_s1026" type="#_x0000_t32" alt="Calculation" style="position:absolute;margin-left:108pt;margin-top:12.65pt;width:195.0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"/>
            </w:pict>
          </mc:Fallback>
        </mc:AlternateContent>
      </w:r>
      <w:r w:rsidR="00932C5D" w:rsidRPr="001673ED">
        <w:rPr>
          <w:rFonts w:ascii="Times New Roman" w:eastAsia="Calibri" w:hAnsi="Times New Roman"/>
          <w:snapToGrid/>
          <w:sz w:val="22"/>
          <w:szCs w:val="22"/>
        </w:rPr>
        <w:t xml:space="preserve">      Number of Hydrants Replaced        </w:t>
      </w:r>
    </w:p>
    <w:p w14:paraId="38CB7FC8" w14:textId="77777777" w:rsidR="00932C5D" w:rsidRPr="001673ED" w:rsidRDefault="00932C5D" w:rsidP="009B4A23">
      <w:pPr>
        <w:widowControl/>
        <w:ind w:left="720"/>
        <w:rPr>
          <w:rFonts w:ascii="Times New Roman" w:eastAsia="Calibri" w:hAnsi="Times New Roman"/>
          <w:i/>
          <w:snapToGrid/>
          <w:sz w:val="22"/>
          <w:szCs w:val="22"/>
        </w:rPr>
      </w:pPr>
      <w:r w:rsidRPr="001673ED">
        <w:rPr>
          <w:rFonts w:ascii="Times New Roman" w:eastAsia="Calibri" w:hAnsi="Times New Roman"/>
          <w:snapToGrid/>
          <w:sz w:val="22"/>
          <w:szCs w:val="22"/>
        </w:rPr>
        <w:tab/>
      </w:r>
      <w:r w:rsidRPr="001673ED">
        <w:rPr>
          <w:rFonts w:ascii="Times New Roman" w:eastAsia="Calibri" w:hAnsi="Times New Roman"/>
          <w:snapToGrid/>
          <w:sz w:val="22"/>
          <w:szCs w:val="22"/>
        </w:rPr>
        <w:tab/>
        <w:t xml:space="preserve">Total No. of Hydrants </w:t>
      </w:r>
      <w:r w:rsidRPr="001673ED">
        <w:rPr>
          <w:rFonts w:ascii="Times New Roman" w:eastAsia="Calibri" w:hAnsi="Times New Roman"/>
          <w:i/>
          <w:snapToGrid/>
          <w:sz w:val="22"/>
          <w:szCs w:val="22"/>
        </w:rPr>
        <w:t>(W-10, totaled)</w:t>
      </w:r>
    </w:p>
    <w:p w14:paraId="67811C0B" w14:textId="77777777" w:rsidR="00932C5D" w:rsidRPr="001673ED" w:rsidRDefault="00932C5D" w:rsidP="009B4A23">
      <w:pPr>
        <w:pStyle w:val="ListParagraph"/>
        <w:spacing w:after="0" w:line="240" w:lineRule="auto"/>
        <w:ind w:left="1080"/>
        <w:rPr>
          <w:rFonts w:ascii="Times New Roman" w:hAnsi="Times New Roman"/>
          <w:u w:val="single"/>
        </w:rPr>
      </w:pPr>
    </w:p>
    <w:p w14:paraId="5F1DC2C3" w14:textId="2BD834B2"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Hydrants Currently Functional</w:t>
      </w:r>
    </w:p>
    <w:p w14:paraId="206A6BB4" w14:textId="77777777" w:rsidR="009B4A23" w:rsidRPr="001673ED" w:rsidRDefault="009B4A23" w:rsidP="009B4A23">
      <w:pPr>
        <w:pStyle w:val="ListParagraph"/>
        <w:spacing w:after="0" w:line="240" w:lineRule="auto"/>
        <w:ind w:left="1800"/>
        <w:rPr>
          <w:rFonts w:ascii="Times New Roman" w:hAnsi="Times New Roman"/>
          <w:u w:val="single"/>
        </w:rPr>
      </w:pPr>
    </w:p>
    <w:p w14:paraId="13C59AD8" w14:textId="77777777" w:rsidR="00932C5D" w:rsidRPr="001673ED" w:rsidRDefault="00932C5D" w:rsidP="009B4A23">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measurement reflects how many hydrants are functional in the system.</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The number of working hydrants is from th</w:t>
      </w:r>
      <w:r w:rsidR="00AD5B7E" w:rsidRPr="001673ED">
        <w:rPr>
          <w:rFonts w:ascii="Times New Roman" w:eastAsia="Calibri" w:hAnsi="Times New Roman"/>
          <w:snapToGrid/>
          <w:sz w:val="22"/>
          <w:szCs w:val="22"/>
        </w:rPr>
        <w:t>e utilities operating records.</w:t>
      </w:r>
      <w:r w:rsidRPr="001673ED">
        <w:rPr>
          <w:rFonts w:ascii="Times New Roman" w:eastAsia="Calibri" w:hAnsi="Times New Roman"/>
          <w:snapToGrid/>
          <w:sz w:val="22"/>
          <w:szCs w:val="22"/>
        </w:rPr>
        <w:t xml:space="preserve"> It is calculated by:</w:t>
      </w:r>
    </w:p>
    <w:p w14:paraId="1ED20871" w14:textId="77777777" w:rsidR="00932C5D" w:rsidRPr="001673ED" w:rsidRDefault="00932C5D" w:rsidP="009B4A23">
      <w:pPr>
        <w:widowControl/>
        <w:ind w:left="2160"/>
        <w:contextualSpacing/>
        <w:rPr>
          <w:rFonts w:ascii="Times New Roman" w:eastAsia="Calibri" w:hAnsi="Times New Roman"/>
          <w:snapToGrid/>
          <w:sz w:val="22"/>
          <w:szCs w:val="22"/>
        </w:rPr>
      </w:pPr>
    </w:p>
    <w:p w14:paraId="7A9AA4D3" w14:textId="77777777" w:rsidR="00932C5D" w:rsidRPr="001673ED" w:rsidRDefault="002C42B4" w:rsidP="009B4A23">
      <w:pPr>
        <w:widowControl/>
        <w:ind w:left="2250"/>
        <w:rPr>
          <w:rFonts w:ascii="Times New Roman" w:eastAsia="Calibri" w:hAnsi="Times New Roman"/>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59264" behindDoc="0" locked="0" layoutInCell="1" allowOverlap="1" wp14:anchorId="612B1DB5" wp14:editId="4999C5D1">
                <wp:simplePos x="0" y="0"/>
                <wp:positionH relativeFrom="column">
                  <wp:posOffset>1424940</wp:posOffset>
                </wp:positionH>
                <wp:positionV relativeFrom="paragraph">
                  <wp:posOffset>165100</wp:posOffset>
                </wp:positionV>
                <wp:extent cx="2477135" cy="20955"/>
                <wp:effectExtent l="0" t="0" r="37465" b="36195"/>
                <wp:wrapNone/>
                <wp:docPr id="5" name="AutoShape 15" descr="Calcula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2E9DC" id="AutoShape 15" o:spid="_x0000_s1026" type="#_x0000_t32" alt="Calculation" style="position:absolute;margin-left:112.2pt;margin-top:13pt;width:195.0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"/>
            </w:pict>
          </mc:Fallback>
        </mc:AlternateContent>
      </w:r>
      <w:r w:rsidR="00932C5D" w:rsidRPr="001673ED">
        <w:rPr>
          <w:rFonts w:ascii="Times New Roman" w:eastAsia="Calibri" w:hAnsi="Times New Roman"/>
          <w:snapToGrid/>
          <w:sz w:val="22"/>
          <w:szCs w:val="22"/>
        </w:rPr>
        <w:t xml:space="preserve">      Number of Working Hydrants       </w:t>
      </w:r>
    </w:p>
    <w:p w14:paraId="19B22153" w14:textId="77777777" w:rsidR="00932C5D" w:rsidRPr="001673ED" w:rsidRDefault="00932C5D" w:rsidP="009B4A23">
      <w:pPr>
        <w:widowControl/>
        <w:ind w:left="2250"/>
        <w:rPr>
          <w:rFonts w:ascii="Times New Roman" w:eastAsia="Calibri" w:hAnsi="Times New Roman"/>
          <w:i/>
          <w:snapToGrid/>
          <w:sz w:val="22"/>
          <w:szCs w:val="22"/>
        </w:rPr>
      </w:pPr>
      <w:r w:rsidRPr="001673ED">
        <w:rPr>
          <w:rFonts w:ascii="Times New Roman" w:eastAsia="Calibri" w:hAnsi="Times New Roman"/>
          <w:snapToGrid/>
          <w:sz w:val="22"/>
          <w:szCs w:val="22"/>
        </w:rPr>
        <w:t xml:space="preserve">Total No. of Hydrants </w:t>
      </w:r>
      <w:r w:rsidRPr="001673ED">
        <w:rPr>
          <w:rFonts w:ascii="Times New Roman" w:eastAsia="Calibri" w:hAnsi="Times New Roman"/>
          <w:i/>
          <w:snapToGrid/>
          <w:sz w:val="22"/>
          <w:szCs w:val="22"/>
        </w:rPr>
        <w:t>(W-10, totaled)</w:t>
      </w:r>
    </w:p>
    <w:p w14:paraId="61B52B91" w14:textId="77777777" w:rsidR="00932C5D" w:rsidRPr="001673ED" w:rsidRDefault="00932C5D" w:rsidP="009B4A23">
      <w:pPr>
        <w:pStyle w:val="ListParagraph"/>
        <w:spacing w:after="0" w:line="240" w:lineRule="auto"/>
        <w:ind w:left="1080"/>
        <w:rPr>
          <w:rFonts w:ascii="Times New Roman" w:hAnsi="Times New Roman"/>
          <w:u w:val="single"/>
        </w:rPr>
      </w:pPr>
    </w:p>
    <w:p w14:paraId="7E553F46" w14:textId="2DB2A678"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Hydrant Replacement Percentage</w:t>
      </w:r>
    </w:p>
    <w:p w14:paraId="39A90769" w14:textId="77777777" w:rsidR="009B4A23" w:rsidRPr="001673ED" w:rsidRDefault="009B4A23" w:rsidP="009B4A23">
      <w:pPr>
        <w:pStyle w:val="ListParagraph"/>
        <w:spacing w:after="0" w:line="240" w:lineRule="auto"/>
        <w:ind w:left="1800"/>
        <w:rPr>
          <w:rFonts w:ascii="Times New Roman" w:hAnsi="Times New Roman"/>
          <w:u w:val="single"/>
        </w:rPr>
      </w:pPr>
    </w:p>
    <w:p w14:paraId="27696C53" w14:textId="77777777" w:rsidR="00932C5D" w:rsidRPr="001673ED" w:rsidRDefault="00932C5D" w:rsidP="009B4A23">
      <w:pPr>
        <w:widowControl/>
        <w:ind w:left="2160" w:right="270"/>
        <w:contextualSpacing/>
        <w:rPr>
          <w:rFonts w:ascii="Times New Roman" w:eastAsia="Calibri" w:hAnsi="Times New Roman"/>
          <w:snapToGrid/>
          <w:sz w:val="22"/>
          <w:szCs w:val="22"/>
        </w:rPr>
      </w:pPr>
      <w:r w:rsidRPr="001673ED">
        <w:rPr>
          <w:rFonts w:ascii="Times New Roman" w:eastAsia="Calibri" w:hAnsi="Times New Roman"/>
          <w:snapToGrid/>
          <w:sz w:val="22"/>
          <w:szCs w:val="22"/>
        </w:rPr>
        <w:t>This measurement reflects the rate at which the utility replaces its hydrants, based upon the utility’s operating records. It is calculated by:</w:t>
      </w:r>
    </w:p>
    <w:p w14:paraId="126D646D" w14:textId="77777777" w:rsidR="00932C5D" w:rsidRPr="001673ED" w:rsidRDefault="00932C5D" w:rsidP="009B4A23">
      <w:pPr>
        <w:widowControl/>
        <w:contextualSpacing/>
        <w:rPr>
          <w:rFonts w:ascii="Times New Roman" w:eastAsia="Calibri" w:hAnsi="Times New Roman"/>
          <w:snapToGrid/>
          <w:sz w:val="22"/>
          <w:szCs w:val="22"/>
        </w:rPr>
      </w:pPr>
    </w:p>
    <w:p w14:paraId="09B26CE3" w14:textId="77777777" w:rsidR="00932C5D" w:rsidRPr="001673ED" w:rsidRDefault="002C42B4" w:rsidP="009B4A23">
      <w:pPr>
        <w:widowControl/>
        <w:ind w:left="2160"/>
        <w:contextualSpacing/>
        <w:rPr>
          <w:rFonts w:ascii="Times New Roman" w:eastAsia="Calibri" w:hAnsi="Times New Roman"/>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55168" behindDoc="0" locked="0" layoutInCell="1" allowOverlap="1" wp14:anchorId="2E5F9F29" wp14:editId="4F19B906">
                <wp:simplePos x="0" y="0"/>
                <wp:positionH relativeFrom="column">
                  <wp:posOffset>1424940</wp:posOffset>
                </wp:positionH>
                <wp:positionV relativeFrom="paragraph">
                  <wp:posOffset>144780</wp:posOffset>
                </wp:positionV>
                <wp:extent cx="3200400" cy="31750"/>
                <wp:effectExtent l="0" t="0" r="19050" b="25400"/>
                <wp:wrapNone/>
                <wp:docPr id="4" name="AutoShape 11" descr="Calcula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8DCFC" id="AutoShape 11" o:spid="_x0000_s1026" type="#_x0000_t32" alt="Calculation" style="position:absolute;margin-left:112.2pt;margin-top:11.4pt;width:252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"/>
            </w:pict>
          </mc:Fallback>
        </mc:AlternateContent>
      </w:r>
      <w:r w:rsidR="00932C5D" w:rsidRPr="001673ED">
        <w:rPr>
          <w:rFonts w:ascii="Times New Roman" w:eastAsia="Calibri" w:hAnsi="Times New Roman"/>
          <w:snapToGrid/>
          <w:sz w:val="22"/>
          <w:szCs w:val="22"/>
        </w:rPr>
        <w:t xml:space="preserve">        Number Hydrants Replaced per Year</w:t>
      </w:r>
    </w:p>
    <w:p w14:paraId="1D07F84A" w14:textId="77777777" w:rsidR="00932C5D" w:rsidRPr="001673ED" w:rsidRDefault="00932C5D" w:rsidP="009B4A23">
      <w:pPr>
        <w:widowControl/>
        <w:ind w:left="2160"/>
        <w:contextualSpacing/>
        <w:rPr>
          <w:rFonts w:ascii="Times New Roman" w:eastAsia="Calibri" w:hAnsi="Times New Roman"/>
          <w:snapToGrid/>
          <w:sz w:val="22"/>
          <w:szCs w:val="22"/>
        </w:rPr>
      </w:pPr>
      <w:r w:rsidRPr="001673ED">
        <w:rPr>
          <w:rFonts w:ascii="Times New Roman" w:eastAsia="Calibri" w:hAnsi="Times New Roman"/>
          <w:snapToGrid/>
          <w:sz w:val="22"/>
          <w:szCs w:val="22"/>
        </w:rPr>
        <w:t>Total Number of Hydrants at Beginning of Year</w:t>
      </w:r>
    </w:p>
    <w:p w14:paraId="55CCEEB9" w14:textId="77777777" w:rsidR="00932C5D" w:rsidRPr="001673ED" w:rsidRDefault="00932C5D" w:rsidP="009B4A23">
      <w:pPr>
        <w:pStyle w:val="ListParagraph"/>
        <w:spacing w:after="0" w:line="240" w:lineRule="auto"/>
        <w:ind w:left="2160"/>
        <w:rPr>
          <w:rFonts w:ascii="Times New Roman" w:hAnsi="Times New Roman"/>
          <w:u w:val="single"/>
        </w:rPr>
      </w:pPr>
    </w:p>
    <w:p w14:paraId="31EEFFC2" w14:textId="248E1B5E"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Meter Replacement Percentage</w:t>
      </w:r>
    </w:p>
    <w:p w14:paraId="7ABC9EEA" w14:textId="77777777" w:rsidR="009B4A23" w:rsidRPr="001673ED" w:rsidRDefault="009B4A23" w:rsidP="009B4A23">
      <w:pPr>
        <w:pStyle w:val="ListParagraph"/>
        <w:spacing w:after="0" w:line="240" w:lineRule="auto"/>
        <w:ind w:left="1800"/>
        <w:rPr>
          <w:rFonts w:ascii="Times New Roman" w:hAnsi="Times New Roman"/>
          <w:u w:val="single"/>
        </w:rPr>
      </w:pPr>
    </w:p>
    <w:p w14:paraId="38D67312" w14:textId="77777777" w:rsidR="00932C5D" w:rsidRPr="001673ED" w:rsidRDefault="00932C5D" w:rsidP="009B4A23">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measurement reflects the rate at which the utility replaces its meters, based upon the utility’s operating records. It is calculated:</w:t>
      </w:r>
    </w:p>
    <w:p w14:paraId="160938DB" w14:textId="77777777" w:rsidR="00932C5D" w:rsidRPr="001673ED" w:rsidRDefault="00932C5D" w:rsidP="009B4A23">
      <w:pPr>
        <w:widowControl/>
        <w:ind w:left="2160"/>
        <w:rPr>
          <w:rFonts w:ascii="Times New Roman" w:eastAsia="Calibri" w:hAnsi="Times New Roman"/>
          <w:snapToGrid/>
          <w:sz w:val="22"/>
          <w:szCs w:val="22"/>
        </w:rPr>
      </w:pPr>
    </w:p>
    <w:p w14:paraId="7AD6EFB0" w14:textId="77777777" w:rsidR="00932C5D" w:rsidRPr="001673ED" w:rsidRDefault="002C42B4" w:rsidP="009B4A23">
      <w:pPr>
        <w:widowControl/>
        <w:ind w:left="2160"/>
        <w:rPr>
          <w:rFonts w:ascii="Times New Roman" w:eastAsia="Calibri" w:hAnsi="Times New Roman"/>
          <w:i/>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56192" behindDoc="0" locked="0" layoutInCell="1" allowOverlap="1" wp14:anchorId="6556D9AC" wp14:editId="74BA8426">
                <wp:simplePos x="0" y="0"/>
                <wp:positionH relativeFrom="column">
                  <wp:posOffset>1424940</wp:posOffset>
                </wp:positionH>
                <wp:positionV relativeFrom="paragraph">
                  <wp:posOffset>163830</wp:posOffset>
                </wp:positionV>
                <wp:extent cx="2955925" cy="21590"/>
                <wp:effectExtent l="0" t="0" r="34925" b="35560"/>
                <wp:wrapNone/>
                <wp:docPr id="3" name="AutoShape 12" descr="Calcula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5925"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C4EAE" id="AutoShape 12" o:spid="_x0000_s1026" type="#_x0000_t32" alt="Calculation" style="position:absolute;margin-left:112.2pt;margin-top:12.9pt;width:232.7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"/>
            </w:pict>
          </mc:Fallback>
        </mc:AlternateContent>
      </w:r>
      <w:r w:rsidR="00932C5D" w:rsidRPr="001673ED">
        <w:rPr>
          <w:rFonts w:ascii="Times New Roman" w:eastAsia="Calibri" w:hAnsi="Times New Roman"/>
          <w:snapToGrid/>
          <w:sz w:val="22"/>
          <w:szCs w:val="22"/>
        </w:rPr>
        <w:t xml:space="preserve">      Number of Meters Replaced per Year</w:t>
      </w:r>
    </w:p>
    <w:p w14:paraId="22B633BE" w14:textId="77777777" w:rsidR="00932C5D" w:rsidRPr="001673ED" w:rsidRDefault="00932C5D" w:rsidP="009B4A23">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Total Number of Meters at Beginning of Year</w:t>
      </w:r>
    </w:p>
    <w:p w14:paraId="42EBBCCA" w14:textId="77777777" w:rsidR="00932C5D" w:rsidRPr="001673ED" w:rsidRDefault="00932C5D" w:rsidP="009B4A23">
      <w:pPr>
        <w:pStyle w:val="ListParagraph"/>
        <w:spacing w:after="0" w:line="240" w:lineRule="auto"/>
        <w:ind w:left="1080"/>
        <w:rPr>
          <w:rFonts w:ascii="Times New Roman" w:hAnsi="Times New Roman"/>
          <w:u w:val="single"/>
        </w:rPr>
      </w:pPr>
    </w:p>
    <w:p w14:paraId="68B67722" w14:textId="312978EF"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Meters Tested per Year</w:t>
      </w:r>
    </w:p>
    <w:p w14:paraId="1F114177" w14:textId="77777777" w:rsidR="009B4A23" w:rsidRPr="001673ED" w:rsidRDefault="009B4A23" w:rsidP="009B4A23">
      <w:pPr>
        <w:pStyle w:val="ListParagraph"/>
        <w:spacing w:after="0" w:line="240" w:lineRule="auto"/>
        <w:ind w:left="1890"/>
        <w:rPr>
          <w:rFonts w:ascii="Times New Roman" w:hAnsi="Times New Roman"/>
          <w:u w:val="single"/>
        </w:rPr>
      </w:pPr>
    </w:p>
    <w:p w14:paraId="3B0546D1" w14:textId="77777777" w:rsidR="00932C5D" w:rsidRPr="001673ED" w:rsidRDefault="00932C5D" w:rsidP="009B4A23">
      <w:pPr>
        <w:widowControl/>
        <w:ind w:left="2160"/>
        <w:contextualSpacing/>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how frequently the utility tests its meters.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The number of meters tested comes from the utilities operating records.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 by:</w:t>
      </w:r>
    </w:p>
    <w:p w14:paraId="547A963E" w14:textId="77777777" w:rsidR="00932C5D" w:rsidRPr="001673ED" w:rsidRDefault="00932C5D" w:rsidP="009B4A23">
      <w:pPr>
        <w:widowControl/>
        <w:ind w:left="2160"/>
        <w:contextualSpacing/>
        <w:rPr>
          <w:rFonts w:ascii="Times New Roman" w:eastAsia="Calibri" w:hAnsi="Times New Roman"/>
          <w:b/>
          <w:snapToGrid/>
          <w:sz w:val="22"/>
          <w:szCs w:val="22"/>
        </w:rPr>
      </w:pPr>
    </w:p>
    <w:p w14:paraId="7DE2ABF3" w14:textId="77777777" w:rsidR="00932C5D" w:rsidRPr="001673ED" w:rsidRDefault="00932C5D" w:rsidP="009B4A23">
      <w:pPr>
        <w:widowControl/>
        <w:ind w:left="2880" w:firstLine="720"/>
        <w:rPr>
          <w:rFonts w:ascii="Times New Roman" w:eastAsia="Calibri" w:hAnsi="Times New Roman"/>
          <w:snapToGrid/>
          <w:sz w:val="22"/>
          <w:szCs w:val="22"/>
        </w:rPr>
      </w:pPr>
      <w:r w:rsidRPr="001673ED">
        <w:rPr>
          <w:rFonts w:ascii="Times New Roman" w:eastAsia="Calibri" w:hAnsi="Times New Roman"/>
          <w:snapToGrid/>
          <w:sz w:val="22"/>
          <w:szCs w:val="22"/>
        </w:rPr>
        <w:t xml:space="preserve">Number of meters tested      </w:t>
      </w:r>
    </w:p>
    <w:p w14:paraId="7BEB8AE6" w14:textId="77777777" w:rsidR="00932C5D" w:rsidRPr="001673ED" w:rsidRDefault="002C42B4" w:rsidP="009B4A23">
      <w:pPr>
        <w:widowControl/>
        <w:ind w:left="2250"/>
        <w:rPr>
          <w:rFonts w:ascii="Times New Roman" w:eastAsia="Calibri" w:hAnsi="Times New Roman"/>
          <w:i/>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57216" behindDoc="0" locked="0" layoutInCell="1" allowOverlap="1" wp14:anchorId="4F88064D" wp14:editId="7EF9B9E5">
                <wp:simplePos x="0" y="0"/>
                <wp:positionH relativeFrom="column">
                  <wp:posOffset>1424940</wp:posOffset>
                </wp:positionH>
                <wp:positionV relativeFrom="paragraph">
                  <wp:posOffset>0</wp:posOffset>
                </wp:positionV>
                <wp:extent cx="3508375" cy="10795"/>
                <wp:effectExtent l="0" t="0" r="34925" b="27305"/>
                <wp:wrapNone/>
                <wp:docPr id="2" name="AutoShape 13" descr="Calcula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83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471EE" id="AutoShape 13" o:spid="_x0000_s1026" type="#_x0000_t32" alt="Calculation" style="position:absolute;margin-left:112.2pt;margin-top:0;width:276.2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"/>
            </w:pict>
          </mc:Fallback>
        </mc:AlternateContent>
      </w:r>
      <w:r w:rsidR="00932C5D" w:rsidRPr="001673ED">
        <w:rPr>
          <w:rFonts w:ascii="Times New Roman" w:eastAsia="Calibri" w:hAnsi="Times New Roman"/>
          <w:snapToGrid/>
          <w:sz w:val="22"/>
          <w:szCs w:val="22"/>
        </w:rPr>
        <w:t xml:space="preserve">Total Number of Meters at Beginning of Year </w:t>
      </w:r>
      <w:r w:rsidR="00932C5D" w:rsidRPr="001673ED">
        <w:rPr>
          <w:rFonts w:ascii="Times New Roman" w:eastAsia="Calibri" w:hAnsi="Times New Roman"/>
          <w:i/>
          <w:snapToGrid/>
          <w:sz w:val="22"/>
          <w:szCs w:val="22"/>
        </w:rPr>
        <w:t>(col. b)</w:t>
      </w:r>
    </w:p>
    <w:p w14:paraId="163CA30D" w14:textId="041C7737" w:rsidR="00932C5D" w:rsidRPr="001673ED" w:rsidRDefault="00932C5D" w:rsidP="00756E31">
      <w:pPr>
        <w:pStyle w:val="ListParagraph"/>
        <w:ind w:left="990"/>
        <w:rPr>
          <w:rFonts w:ascii="Times New Roman" w:hAnsi="Times New Roman"/>
          <w:u w:val="single"/>
        </w:rPr>
      </w:pPr>
    </w:p>
    <w:p w14:paraId="2F47E930" w14:textId="77777777" w:rsidR="00932C5D" w:rsidRPr="001673ED" w:rsidRDefault="00932C5D" w:rsidP="00676A23">
      <w:pPr>
        <w:pStyle w:val="ListParagraph"/>
        <w:numPr>
          <w:ilvl w:val="3"/>
          <w:numId w:val="12"/>
        </w:numPr>
        <w:ind w:left="2160" w:hanging="720"/>
        <w:rPr>
          <w:rFonts w:ascii="Times New Roman" w:hAnsi="Times New Roman"/>
        </w:rPr>
      </w:pPr>
      <w:r w:rsidRPr="001673ED">
        <w:rPr>
          <w:rFonts w:ascii="Times New Roman" w:hAnsi="Times New Roman"/>
        </w:rPr>
        <w:t>Number of Water Main Breaks per Year</w:t>
      </w:r>
    </w:p>
    <w:p w14:paraId="74C9AA81" w14:textId="77777777" w:rsidR="00932C5D" w:rsidRPr="001673ED" w:rsidRDefault="00932C5D" w:rsidP="00756E31">
      <w:pPr>
        <w:pStyle w:val="ListParagraph"/>
        <w:ind w:left="1080"/>
        <w:rPr>
          <w:rFonts w:ascii="Times New Roman" w:hAnsi="Times New Roman"/>
          <w:u w:val="single"/>
        </w:rPr>
      </w:pPr>
    </w:p>
    <w:p w14:paraId="779F0F6B" w14:textId="77777777" w:rsidR="00932C5D" w:rsidRPr="001673ED" w:rsidRDefault="00932C5D" w:rsidP="007C056D">
      <w:pPr>
        <w:pStyle w:val="ListParagraph"/>
        <w:numPr>
          <w:ilvl w:val="1"/>
          <w:numId w:val="12"/>
        </w:numPr>
        <w:ind w:hanging="720"/>
        <w:rPr>
          <w:rFonts w:ascii="Times New Roman" w:hAnsi="Times New Roman"/>
          <w:b/>
        </w:rPr>
      </w:pPr>
      <w:r w:rsidRPr="001673ED">
        <w:rPr>
          <w:rFonts w:ascii="Times New Roman" w:hAnsi="Times New Roman"/>
          <w:b/>
        </w:rPr>
        <w:t>Personnel Information</w:t>
      </w:r>
    </w:p>
    <w:p w14:paraId="2C1F861E" w14:textId="77777777" w:rsidR="00932C5D" w:rsidRPr="001673ED" w:rsidRDefault="00932C5D" w:rsidP="00756E31">
      <w:pPr>
        <w:pStyle w:val="ListParagraph"/>
        <w:ind w:left="1440"/>
        <w:rPr>
          <w:rFonts w:ascii="Times New Roman" w:hAnsi="Times New Roman"/>
          <w:b/>
        </w:rPr>
      </w:pPr>
    </w:p>
    <w:p w14:paraId="5068E552" w14:textId="77777777" w:rsidR="00932C5D" w:rsidRPr="001673ED" w:rsidRDefault="00932C5D" w:rsidP="00756E31">
      <w:pPr>
        <w:pStyle w:val="ListParagraph"/>
        <w:numPr>
          <w:ilvl w:val="3"/>
          <w:numId w:val="12"/>
        </w:numPr>
        <w:rPr>
          <w:rFonts w:ascii="Times New Roman" w:hAnsi="Times New Roman"/>
        </w:rPr>
      </w:pPr>
      <w:r w:rsidRPr="001673ED">
        <w:rPr>
          <w:rFonts w:ascii="Times New Roman" w:hAnsi="Times New Roman"/>
        </w:rPr>
        <w:t>Number of Employees</w:t>
      </w:r>
    </w:p>
    <w:p w14:paraId="63324C02" w14:textId="77777777" w:rsidR="00932C5D" w:rsidRPr="001673ED" w:rsidRDefault="00932C5D" w:rsidP="00756E31">
      <w:pPr>
        <w:pStyle w:val="ListParagraph"/>
        <w:ind w:left="1080"/>
        <w:rPr>
          <w:rFonts w:ascii="Times New Roman" w:hAnsi="Times New Roman"/>
        </w:rPr>
      </w:pPr>
    </w:p>
    <w:p w14:paraId="1B9AE509" w14:textId="77777777" w:rsidR="00932C5D" w:rsidRPr="001673ED" w:rsidRDefault="00932C5D" w:rsidP="00756E31">
      <w:pPr>
        <w:pStyle w:val="ListParagraph"/>
        <w:numPr>
          <w:ilvl w:val="3"/>
          <w:numId w:val="12"/>
        </w:numPr>
        <w:ind w:left="2160" w:hanging="720"/>
        <w:rPr>
          <w:rFonts w:ascii="Times New Roman" w:hAnsi="Times New Roman"/>
        </w:rPr>
      </w:pPr>
      <w:r w:rsidRPr="001673ED">
        <w:rPr>
          <w:rFonts w:ascii="Times New Roman" w:hAnsi="Times New Roman"/>
        </w:rPr>
        <w:t>Average Years of Employment with Utility Among Current Employees</w:t>
      </w:r>
    </w:p>
    <w:p w14:paraId="20514ADC" w14:textId="77777777" w:rsidR="00932C5D" w:rsidRPr="001673ED" w:rsidRDefault="00932C5D" w:rsidP="00756E31">
      <w:pPr>
        <w:pStyle w:val="ListParagraph"/>
        <w:ind w:left="1080"/>
        <w:rPr>
          <w:rFonts w:ascii="Times New Roman" w:hAnsi="Times New Roman"/>
        </w:rPr>
      </w:pPr>
    </w:p>
    <w:p w14:paraId="69B1A36D" w14:textId="77777777" w:rsidR="00932C5D" w:rsidRPr="001673ED" w:rsidRDefault="00932C5D" w:rsidP="00756E31">
      <w:pPr>
        <w:pStyle w:val="ListParagraph"/>
        <w:numPr>
          <w:ilvl w:val="3"/>
          <w:numId w:val="12"/>
        </w:numPr>
        <w:rPr>
          <w:rFonts w:ascii="Times New Roman" w:hAnsi="Times New Roman"/>
        </w:rPr>
      </w:pPr>
      <w:r w:rsidRPr="001673ED">
        <w:rPr>
          <w:rFonts w:ascii="Times New Roman" w:hAnsi="Times New Roman"/>
        </w:rPr>
        <w:t>Number of Employees holding Water Operator’s License</w:t>
      </w:r>
    </w:p>
    <w:p w14:paraId="5ED76DB4" w14:textId="77777777" w:rsidR="00932C5D" w:rsidRPr="001673ED" w:rsidRDefault="00932C5D" w:rsidP="00756E31">
      <w:pPr>
        <w:pStyle w:val="ListParagraph"/>
        <w:ind w:left="1080"/>
        <w:rPr>
          <w:rFonts w:ascii="Times New Roman" w:hAnsi="Times New Roman"/>
        </w:rPr>
      </w:pPr>
    </w:p>
    <w:p w14:paraId="09987BD2" w14:textId="77777777" w:rsidR="00932C5D" w:rsidRPr="001673ED" w:rsidRDefault="00932C5D" w:rsidP="00756E31">
      <w:pPr>
        <w:pStyle w:val="ListParagraph"/>
        <w:numPr>
          <w:ilvl w:val="3"/>
          <w:numId w:val="12"/>
        </w:numPr>
        <w:ind w:left="2160" w:hanging="720"/>
        <w:rPr>
          <w:rFonts w:ascii="Times New Roman" w:hAnsi="Times New Roman"/>
        </w:rPr>
      </w:pPr>
      <w:r w:rsidRPr="001673ED">
        <w:rPr>
          <w:rFonts w:ascii="Times New Roman" w:hAnsi="Times New Roman"/>
        </w:rPr>
        <w:t>Average Years of Water Utility Experience Among Current Employees</w:t>
      </w:r>
    </w:p>
    <w:p w14:paraId="39D2CA35" w14:textId="77777777" w:rsidR="00932C5D" w:rsidRPr="001673ED" w:rsidRDefault="00932C5D" w:rsidP="00756E31">
      <w:pPr>
        <w:pStyle w:val="ListParagraph"/>
        <w:ind w:left="1080"/>
        <w:rPr>
          <w:rFonts w:ascii="Times New Roman" w:hAnsi="Times New Roman"/>
          <w:u w:val="single"/>
        </w:rPr>
      </w:pPr>
    </w:p>
    <w:p w14:paraId="66A41F74" w14:textId="77777777" w:rsidR="00932C5D" w:rsidRPr="001673ED" w:rsidRDefault="00932C5D" w:rsidP="007C056D">
      <w:pPr>
        <w:pStyle w:val="ListParagraph"/>
        <w:numPr>
          <w:ilvl w:val="1"/>
          <w:numId w:val="12"/>
        </w:numPr>
        <w:ind w:hanging="720"/>
        <w:rPr>
          <w:rFonts w:ascii="Times New Roman" w:hAnsi="Times New Roman"/>
          <w:b/>
        </w:rPr>
      </w:pPr>
      <w:r w:rsidRPr="001673ED">
        <w:rPr>
          <w:rFonts w:ascii="Times New Roman" w:hAnsi="Times New Roman"/>
          <w:b/>
        </w:rPr>
        <w:t>Plans and Other Documentation</w:t>
      </w:r>
    </w:p>
    <w:p w14:paraId="41579AEE" w14:textId="77777777" w:rsidR="00932C5D" w:rsidRPr="001673ED" w:rsidRDefault="00932C5D" w:rsidP="00756E31">
      <w:pPr>
        <w:pStyle w:val="ListParagraph"/>
        <w:ind w:left="1440"/>
        <w:rPr>
          <w:rFonts w:ascii="Times New Roman" w:hAnsi="Times New Roman"/>
          <w:b/>
        </w:rPr>
      </w:pPr>
    </w:p>
    <w:p w14:paraId="58DF649E" w14:textId="77777777" w:rsidR="00932C5D" w:rsidRPr="001673ED" w:rsidRDefault="00932C5D" w:rsidP="00756E31">
      <w:pPr>
        <w:pStyle w:val="ListParagraph"/>
        <w:ind w:left="1440"/>
        <w:rPr>
          <w:rFonts w:ascii="Times New Roman" w:hAnsi="Times New Roman"/>
        </w:rPr>
      </w:pPr>
      <w:r w:rsidRPr="001673ED">
        <w:rPr>
          <w:rFonts w:ascii="Times New Roman" w:hAnsi="Times New Roman"/>
        </w:rPr>
        <w:t>The petitioning water utility shall include a copy of the most recent version of all models, policies, and reports listed below.</w:t>
      </w:r>
    </w:p>
    <w:p w14:paraId="0D23D82B" w14:textId="77777777" w:rsidR="00932C5D" w:rsidRPr="001673ED" w:rsidRDefault="00932C5D" w:rsidP="00756E31">
      <w:pPr>
        <w:pStyle w:val="ListParagraph"/>
        <w:ind w:left="1440"/>
        <w:rPr>
          <w:rFonts w:ascii="Times New Roman" w:hAnsi="Times New Roman"/>
        </w:rPr>
      </w:pPr>
    </w:p>
    <w:p w14:paraId="3328AA23"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Hydraulic Model</w:t>
      </w:r>
    </w:p>
    <w:p w14:paraId="3A13C340" w14:textId="77777777" w:rsidR="00932C5D" w:rsidRPr="001673ED" w:rsidRDefault="00932C5D" w:rsidP="00756E31">
      <w:pPr>
        <w:pStyle w:val="ListParagraph"/>
        <w:ind w:left="1080"/>
        <w:rPr>
          <w:rFonts w:ascii="Times New Roman" w:hAnsi="Times New Roman"/>
        </w:rPr>
      </w:pPr>
    </w:p>
    <w:p w14:paraId="2336537B"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Valve Exercise Program</w:t>
      </w:r>
    </w:p>
    <w:p w14:paraId="762D585E" w14:textId="77777777" w:rsidR="00932C5D" w:rsidRPr="001673ED" w:rsidRDefault="00932C5D" w:rsidP="00756E31">
      <w:pPr>
        <w:pStyle w:val="ListParagraph"/>
        <w:ind w:left="1080"/>
        <w:rPr>
          <w:rFonts w:ascii="Times New Roman" w:hAnsi="Times New Roman"/>
        </w:rPr>
      </w:pPr>
    </w:p>
    <w:p w14:paraId="44A40150"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Sanitary Surveys, most recent 3 years</w:t>
      </w:r>
    </w:p>
    <w:p w14:paraId="62D33AF1" w14:textId="77777777" w:rsidR="00932C5D" w:rsidRPr="001673ED" w:rsidRDefault="00932C5D" w:rsidP="00756E31">
      <w:pPr>
        <w:pStyle w:val="ListParagraph"/>
        <w:ind w:left="1080"/>
        <w:rPr>
          <w:rFonts w:ascii="Times New Roman" w:hAnsi="Times New Roman"/>
        </w:rPr>
      </w:pPr>
    </w:p>
    <w:p w14:paraId="5C892A6F"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Source Protection Plan</w:t>
      </w:r>
    </w:p>
    <w:p w14:paraId="152DB9F8" w14:textId="77777777" w:rsidR="00932C5D" w:rsidRPr="001673ED" w:rsidRDefault="00932C5D" w:rsidP="00756E31">
      <w:pPr>
        <w:pStyle w:val="ListParagraph"/>
        <w:ind w:left="1080"/>
        <w:rPr>
          <w:rFonts w:ascii="Times New Roman" w:hAnsi="Times New Roman"/>
        </w:rPr>
      </w:pPr>
    </w:p>
    <w:p w14:paraId="16442A2D"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Leak Detection Program</w:t>
      </w:r>
    </w:p>
    <w:p w14:paraId="5012B3F9" w14:textId="77777777" w:rsidR="00932C5D" w:rsidRPr="001673ED" w:rsidRDefault="00932C5D" w:rsidP="00756E31">
      <w:pPr>
        <w:pStyle w:val="ListParagraph"/>
        <w:ind w:left="1080"/>
        <w:rPr>
          <w:rFonts w:ascii="Times New Roman" w:hAnsi="Times New Roman"/>
        </w:rPr>
      </w:pPr>
    </w:p>
    <w:p w14:paraId="788F3710"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Hydrant Flushing Program</w:t>
      </w:r>
    </w:p>
    <w:p w14:paraId="29405853" w14:textId="77777777" w:rsidR="00932C5D" w:rsidRPr="001673ED" w:rsidRDefault="00932C5D" w:rsidP="00756E31">
      <w:pPr>
        <w:pStyle w:val="ListParagraph"/>
        <w:ind w:left="1080"/>
        <w:rPr>
          <w:rFonts w:ascii="Times New Roman" w:hAnsi="Times New Roman"/>
        </w:rPr>
      </w:pPr>
    </w:p>
    <w:p w14:paraId="24893734"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Written Standard Operating Procedures</w:t>
      </w:r>
    </w:p>
    <w:p w14:paraId="3F179192" w14:textId="77777777" w:rsidR="00932C5D" w:rsidRPr="001673ED" w:rsidRDefault="00932C5D" w:rsidP="00756E31">
      <w:pPr>
        <w:pStyle w:val="ListParagraph"/>
        <w:ind w:left="1080"/>
        <w:rPr>
          <w:rFonts w:ascii="Times New Roman" w:hAnsi="Times New Roman"/>
        </w:rPr>
      </w:pPr>
    </w:p>
    <w:p w14:paraId="0638530D"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Emergency Response Plan</w:t>
      </w:r>
    </w:p>
    <w:p w14:paraId="39D6D85D" w14:textId="77777777" w:rsidR="00932C5D" w:rsidRPr="001673ED" w:rsidRDefault="00932C5D" w:rsidP="00756E31">
      <w:pPr>
        <w:pStyle w:val="ListParagraph"/>
        <w:ind w:left="1080"/>
        <w:rPr>
          <w:rFonts w:ascii="Times New Roman" w:hAnsi="Times New Roman"/>
        </w:rPr>
      </w:pPr>
    </w:p>
    <w:p w14:paraId="02373BEF"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Customer Complaint Procedure</w:t>
      </w:r>
    </w:p>
    <w:p w14:paraId="1C02F2A1" w14:textId="77777777" w:rsidR="00932C5D" w:rsidRPr="001673ED" w:rsidRDefault="00932C5D" w:rsidP="00756E31">
      <w:pPr>
        <w:pStyle w:val="ListParagraph"/>
        <w:ind w:left="1080"/>
        <w:rPr>
          <w:rFonts w:ascii="Times New Roman" w:hAnsi="Times New Roman"/>
        </w:rPr>
      </w:pPr>
    </w:p>
    <w:p w14:paraId="3822C3D0"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Description of each SDWA Violation during the prior 10 years</w:t>
      </w:r>
    </w:p>
    <w:p w14:paraId="28BECB52" w14:textId="77777777" w:rsidR="00932C5D" w:rsidRPr="001673ED" w:rsidRDefault="00932C5D" w:rsidP="00756E31">
      <w:pPr>
        <w:pStyle w:val="ListParagraph"/>
        <w:ind w:left="1080"/>
        <w:rPr>
          <w:rFonts w:ascii="Times New Roman" w:hAnsi="Times New Roman"/>
        </w:rPr>
      </w:pPr>
    </w:p>
    <w:p w14:paraId="3A8ACA94"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Consumer Confidence Reports, most recent 3 years</w:t>
      </w:r>
    </w:p>
    <w:p w14:paraId="798A55AC" w14:textId="77777777" w:rsidR="00932C5D" w:rsidRPr="001673ED" w:rsidRDefault="00932C5D" w:rsidP="00756E31">
      <w:pPr>
        <w:pStyle w:val="ListParagraph"/>
        <w:ind w:left="1080"/>
        <w:rPr>
          <w:rFonts w:ascii="Times New Roman" w:hAnsi="Times New Roman"/>
        </w:rPr>
      </w:pPr>
    </w:p>
    <w:p w14:paraId="4B059361"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Comprehensive Facilities Plan / Master Plan</w:t>
      </w:r>
    </w:p>
    <w:p w14:paraId="2FF3DFA8" w14:textId="77777777" w:rsidR="00932C5D" w:rsidRPr="001673ED" w:rsidRDefault="00932C5D" w:rsidP="00756E31">
      <w:pPr>
        <w:pStyle w:val="ListParagraph"/>
        <w:ind w:left="1080"/>
        <w:rPr>
          <w:rFonts w:ascii="Times New Roman" w:hAnsi="Times New Roman"/>
        </w:rPr>
      </w:pPr>
    </w:p>
    <w:p w14:paraId="39D80DB1"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Safety Program (work safety)</w:t>
      </w:r>
    </w:p>
    <w:p w14:paraId="30921B17" w14:textId="77777777" w:rsidR="00932C5D" w:rsidRPr="001673ED" w:rsidRDefault="00932C5D" w:rsidP="00756E31">
      <w:pPr>
        <w:pStyle w:val="ListParagraph"/>
        <w:ind w:left="1080"/>
        <w:rPr>
          <w:rFonts w:ascii="Times New Roman" w:hAnsi="Times New Roman"/>
        </w:rPr>
      </w:pPr>
    </w:p>
    <w:p w14:paraId="70260863"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Water System Maps</w:t>
      </w:r>
    </w:p>
    <w:sectPr w:rsidR="00932C5D" w:rsidRPr="001673ED" w:rsidSect="00E32327">
      <w:endnotePr>
        <w:numFmt w:val="decimal"/>
      </w:endnotePr>
      <w:pgSz w:w="12240" w:h="15840" w:code="1"/>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38A4E" w14:textId="77777777" w:rsidR="00B653A8" w:rsidRDefault="00B653A8">
      <w:pPr>
        <w:widowControl/>
        <w:spacing w:line="20" w:lineRule="exact"/>
      </w:pPr>
    </w:p>
  </w:endnote>
  <w:endnote w:type="continuationSeparator" w:id="0">
    <w:p w14:paraId="50AF1E96" w14:textId="77777777" w:rsidR="00B653A8" w:rsidRDefault="00B653A8">
      <w:r>
        <w:t xml:space="preserve"> </w:t>
      </w:r>
    </w:p>
  </w:endnote>
  <w:endnote w:type="continuationNotice" w:id="1">
    <w:p w14:paraId="39FD4133" w14:textId="77777777" w:rsidR="00B653A8" w:rsidRDefault="00B653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4F4D" w14:textId="77777777" w:rsidR="00B653A8" w:rsidRDefault="00B653A8" w:rsidP="00885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BF88B" w14:textId="77777777" w:rsidR="00B653A8" w:rsidRDefault="00B653A8" w:rsidP="003B4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EA5B" w14:textId="77777777" w:rsidR="00B653A8" w:rsidRDefault="002C42B4">
    <w:r>
      <w:rPr>
        <w:noProof/>
        <w:snapToGrid/>
      </w:rPr>
      <mc:AlternateContent>
        <mc:Choice Requires="wps">
          <w:drawing>
            <wp:anchor distT="0" distB="0" distL="114300" distR="114300" simplePos="0" relativeHeight="251657728" behindDoc="0" locked="0" layoutInCell="0" allowOverlap="1" wp14:anchorId="3275A441" wp14:editId="662B27EE">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A7B8E5" w14:textId="77777777" w:rsidR="00B653A8" w:rsidRDefault="00B653A8">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sidR="002C42B4">
                            <w:rPr>
                              <w:rFonts w:ascii="Arial" w:hAnsi="Arial"/>
                              <w:noProof/>
                            </w:rPr>
                            <w:t>13</w:t>
                          </w:r>
                          <w:r>
                            <w:rPr>
                              <w:rFonts w:ascii="Arial" w:hAns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5A441" id="Rectangle 4"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20A7B8E5" w14:textId="77777777" w:rsidR="00B653A8" w:rsidRDefault="00B653A8">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sidR="002C42B4">
                      <w:rPr>
                        <w:rFonts w:ascii="Arial" w:hAnsi="Arial"/>
                        <w:noProof/>
                      </w:rPr>
                      <w:t>13</w:t>
                    </w:r>
                    <w:r>
                      <w:rPr>
                        <w:rFonts w:ascii="Arial" w:hAnsi="Arial"/>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0FD1D" w14:textId="77777777" w:rsidR="00B653A8" w:rsidRDefault="00B653A8">
      <w:r>
        <w:separator/>
      </w:r>
    </w:p>
  </w:footnote>
  <w:footnote w:type="continuationSeparator" w:id="0">
    <w:p w14:paraId="7702D70E" w14:textId="77777777" w:rsidR="00B653A8" w:rsidRDefault="00B6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363E" w14:textId="77777777" w:rsidR="00B653A8" w:rsidRPr="005A4729" w:rsidRDefault="00B653A8" w:rsidP="005A4729">
    <w:pPr>
      <w:pStyle w:val="Header"/>
      <w:jc w:val="right"/>
      <w:rPr>
        <w:rFonts w:ascii="Times New Roman" w:hAnsi="Times New Roman"/>
        <w:sz w:val="18"/>
        <w:szCs w:val="18"/>
      </w:rPr>
    </w:pPr>
  </w:p>
  <w:p w14:paraId="3B3CEC3F" w14:textId="77777777" w:rsidR="00B653A8" w:rsidRPr="005A4729" w:rsidRDefault="00B653A8" w:rsidP="005A4729">
    <w:pPr>
      <w:pStyle w:val="Header"/>
      <w:jc w:val="right"/>
      <w:rPr>
        <w:rFonts w:ascii="Times New Roman" w:hAnsi="Times New Roman"/>
        <w:sz w:val="18"/>
        <w:szCs w:val="18"/>
      </w:rPr>
    </w:pPr>
  </w:p>
  <w:p w14:paraId="2B401351" w14:textId="77777777" w:rsidR="00B653A8" w:rsidRPr="005A4729" w:rsidRDefault="00B653A8" w:rsidP="005A4729">
    <w:pPr>
      <w:pStyle w:val="Header"/>
      <w:jc w:val="right"/>
      <w:rPr>
        <w:rFonts w:ascii="Times New Roman" w:hAnsi="Times New Roman"/>
        <w:sz w:val="18"/>
        <w:szCs w:val="18"/>
      </w:rPr>
    </w:pPr>
  </w:p>
  <w:p w14:paraId="5431C984" w14:textId="77777777" w:rsidR="00B653A8" w:rsidRPr="005A4729" w:rsidRDefault="00B653A8" w:rsidP="005A4729">
    <w:pPr>
      <w:pStyle w:val="Header"/>
      <w:pBdr>
        <w:bottom w:val="single" w:sz="4" w:space="1" w:color="auto"/>
      </w:pBdr>
      <w:jc w:val="right"/>
      <w:rPr>
        <w:rFonts w:ascii="Times New Roman" w:hAnsi="Times New Roman"/>
        <w:sz w:val="18"/>
        <w:szCs w:val="18"/>
      </w:rPr>
    </w:pPr>
    <w:r w:rsidRPr="005A4729">
      <w:rPr>
        <w:rFonts w:ascii="Times New Roman" w:hAnsi="Times New Roman"/>
        <w:sz w:val="18"/>
        <w:szCs w:val="18"/>
      </w:rPr>
      <w:t>65-</w:t>
    </w:r>
    <w:r>
      <w:rPr>
        <w:rFonts w:ascii="Times New Roman" w:hAnsi="Times New Roman"/>
        <w:sz w:val="18"/>
        <w:szCs w:val="18"/>
      </w:rPr>
      <w:t>407</w:t>
    </w:r>
    <w:r w:rsidRPr="005A4729">
      <w:rPr>
        <w:rFonts w:ascii="Times New Roman" w:hAnsi="Times New Roman"/>
        <w:sz w:val="18"/>
        <w:szCs w:val="18"/>
      </w:rPr>
      <w:t xml:space="preserve"> Chapter </w:t>
    </w:r>
    <w:r>
      <w:rPr>
        <w:rFonts w:ascii="Times New Roman" w:hAnsi="Times New Roman"/>
        <w:sz w:val="18"/>
        <w:szCs w:val="18"/>
      </w:rPr>
      <w:t>615</w:t>
    </w:r>
    <w:r w:rsidRPr="005A4729">
      <w:rPr>
        <w:rFonts w:ascii="Times New Roman" w:hAnsi="Times New Roman"/>
        <w:sz w:val="18"/>
        <w:szCs w:val="18"/>
      </w:rPr>
      <w:t xml:space="preserve">     page </w:t>
    </w:r>
    <w:r w:rsidRPr="005A4729">
      <w:rPr>
        <w:rStyle w:val="PageNumber"/>
        <w:rFonts w:ascii="Times New Roman" w:hAnsi="Times New Roman"/>
        <w:sz w:val="18"/>
        <w:szCs w:val="18"/>
      </w:rPr>
      <w:fldChar w:fldCharType="begin"/>
    </w:r>
    <w:r w:rsidRPr="005A4729">
      <w:rPr>
        <w:rStyle w:val="PageNumber"/>
        <w:rFonts w:ascii="Times New Roman" w:hAnsi="Times New Roman"/>
        <w:sz w:val="18"/>
        <w:szCs w:val="18"/>
      </w:rPr>
      <w:instrText xml:space="preserve"> PAGE </w:instrText>
    </w:r>
    <w:r w:rsidRPr="005A4729">
      <w:rPr>
        <w:rStyle w:val="PageNumber"/>
        <w:rFonts w:ascii="Times New Roman" w:hAnsi="Times New Roman"/>
        <w:sz w:val="18"/>
        <w:szCs w:val="18"/>
      </w:rPr>
      <w:fldChar w:fldCharType="separate"/>
    </w:r>
    <w:r w:rsidR="002C42B4">
      <w:rPr>
        <w:rStyle w:val="PageNumber"/>
        <w:rFonts w:ascii="Times New Roman" w:hAnsi="Times New Roman"/>
        <w:noProof/>
        <w:sz w:val="18"/>
        <w:szCs w:val="18"/>
      </w:rPr>
      <w:t>13</w:t>
    </w:r>
    <w:r w:rsidRPr="005A4729">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E7746"/>
    <w:multiLevelType w:val="hybridMultilevel"/>
    <w:tmpl w:val="F2C865B0"/>
    <w:lvl w:ilvl="0" w:tplc="DA9C3BFE">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C26C03"/>
    <w:multiLevelType w:val="hybridMultilevel"/>
    <w:tmpl w:val="11542706"/>
    <w:lvl w:ilvl="0" w:tplc="EB1AE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477E99"/>
    <w:multiLevelType w:val="hybridMultilevel"/>
    <w:tmpl w:val="2E0CF706"/>
    <w:lvl w:ilvl="0" w:tplc="B7247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1672E"/>
    <w:multiLevelType w:val="hybridMultilevel"/>
    <w:tmpl w:val="D0DAE034"/>
    <w:lvl w:ilvl="0" w:tplc="9FBEBC06">
      <w:start w:val="1"/>
      <w:numFmt w:val="decimal"/>
      <w:lvlText w:val="%1."/>
      <w:lvlJc w:val="left"/>
      <w:pPr>
        <w:ind w:left="1800" w:hanging="360"/>
      </w:pPr>
      <w:rPr>
        <w:rFonts w:hint="default"/>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C95FFD"/>
    <w:multiLevelType w:val="hybridMultilevel"/>
    <w:tmpl w:val="3C4EF2A2"/>
    <w:lvl w:ilvl="0" w:tplc="91EECAD8">
      <w:start w:val="3"/>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571B7606"/>
    <w:multiLevelType w:val="hybridMultilevel"/>
    <w:tmpl w:val="9DB26678"/>
    <w:lvl w:ilvl="0" w:tplc="68CA64F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07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066C6"/>
    <w:multiLevelType w:val="hybridMultilevel"/>
    <w:tmpl w:val="858CD674"/>
    <w:lvl w:ilvl="0" w:tplc="5344E908">
      <w:start w:val="1"/>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1A25B16"/>
    <w:multiLevelType w:val="hybridMultilevel"/>
    <w:tmpl w:val="982C6934"/>
    <w:lvl w:ilvl="0" w:tplc="2D9E604C">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650D6BB5"/>
    <w:multiLevelType w:val="hybridMultilevel"/>
    <w:tmpl w:val="4B7A08C2"/>
    <w:lvl w:ilvl="0" w:tplc="B6F69C44">
      <w:start w:val="1"/>
      <w:numFmt w:val="lowerLetter"/>
      <w:lvlText w:val="%1."/>
      <w:lvlJc w:val="left"/>
      <w:pPr>
        <w:ind w:left="2940" w:hanging="69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72D11967"/>
    <w:multiLevelType w:val="hybridMultilevel"/>
    <w:tmpl w:val="DD3860B0"/>
    <w:lvl w:ilvl="0" w:tplc="CC0C85A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7A5D07CC"/>
    <w:multiLevelType w:val="hybridMultilevel"/>
    <w:tmpl w:val="D73E0920"/>
    <w:lvl w:ilvl="0" w:tplc="E4AAED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173585"/>
    <w:multiLevelType w:val="hybridMultilevel"/>
    <w:tmpl w:val="4460A59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43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52874">
    <w:abstractNumId w:val="6"/>
  </w:num>
  <w:num w:numId="2" w16cid:durableId="1557618722">
    <w:abstractNumId w:val="4"/>
  </w:num>
  <w:num w:numId="3" w16cid:durableId="1329872016">
    <w:abstractNumId w:val="0"/>
  </w:num>
  <w:num w:numId="4" w16cid:durableId="368728694">
    <w:abstractNumId w:val="5"/>
  </w:num>
  <w:num w:numId="5" w16cid:durableId="1810592589">
    <w:abstractNumId w:val="9"/>
  </w:num>
  <w:num w:numId="6" w16cid:durableId="1896962922">
    <w:abstractNumId w:val="10"/>
  </w:num>
  <w:num w:numId="7" w16cid:durableId="1891066407">
    <w:abstractNumId w:val="2"/>
  </w:num>
  <w:num w:numId="8" w16cid:durableId="1143231017">
    <w:abstractNumId w:val="8"/>
  </w:num>
  <w:num w:numId="9" w16cid:durableId="191771708">
    <w:abstractNumId w:val="7"/>
  </w:num>
  <w:num w:numId="10" w16cid:durableId="1764186703">
    <w:abstractNumId w:val="3"/>
  </w:num>
  <w:num w:numId="11" w16cid:durableId="477694299">
    <w:abstractNumId w:val="1"/>
  </w:num>
  <w:num w:numId="12" w16cid:durableId="1296448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34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11"/>
    <w:rsid w:val="00001281"/>
    <w:rsid w:val="000069E8"/>
    <w:rsid w:val="000120D7"/>
    <w:rsid w:val="000146E5"/>
    <w:rsid w:val="00030F54"/>
    <w:rsid w:val="00034A24"/>
    <w:rsid w:val="00037B9A"/>
    <w:rsid w:val="00046690"/>
    <w:rsid w:val="000541C7"/>
    <w:rsid w:val="0007563B"/>
    <w:rsid w:val="00077438"/>
    <w:rsid w:val="00084E87"/>
    <w:rsid w:val="000877CE"/>
    <w:rsid w:val="000925BB"/>
    <w:rsid w:val="00096A43"/>
    <w:rsid w:val="00096CAE"/>
    <w:rsid w:val="0009716E"/>
    <w:rsid w:val="0009775A"/>
    <w:rsid w:val="00097A32"/>
    <w:rsid w:val="000A2EE2"/>
    <w:rsid w:val="000A696C"/>
    <w:rsid w:val="000B6C92"/>
    <w:rsid w:val="000B7468"/>
    <w:rsid w:val="000D0A62"/>
    <w:rsid w:val="000D3256"/>
    <w:rsid w:val="000D418C"/>
    <w:rsid w:val="000D5D41"/>
    <w:rsid w:val="000E130D"/>
    <w:rsid w:val="000E5194"/>
    <w:rsid w:val="000E6BB7"/>
    <w:rsid w:val="00113BA9"/>
    <w:rsid w:val="00114449"/>
    <w:rsid w:val="00116458"/>
    <w:rsid w:val="001212D8"/>
    <w:rsid w:val="001229FD"/>
    <w:rsid w:val="00134622"/>
    <w:rsid w:val="00135E8C"/>
    <w:rsid w:val="00144546"/>
    <w:rsid w:val="00151714"/>
    <w:rsid w:val="00152AAF"/>
    <w:rsid w:val="001673ED"/>
    <w:rsid w:val="00175A7C"/>
    <w:rsid w:val="00190F38"/>
    <w:rsid w:val="001960EB"/>
    <w:rsid w:val="001A72AD"/>
    <w:rsid w:val="001B0F9B"/>
    <w:rsid w:val="001D1A50"/>
    <w:rsid w:val="001F3632"/>
    <w:rsid w:val="00210A45"/>
    <w:rsid w:val="00212E83"/>
    <w:rsid w:val="0022057A"/>
    <w:rsid w:val="002264F0"/>
    <w:rsid w:val="0022788F"/>
    <w:rsid w:val="00230F53"/>
    <w:rsid w:val="00231354"/>
    <w:rsid w:val="00234CCD"/>
    <w:rsid w:val="002443C3"/>
    <w:rsid w:val="002533E1"/>
    <w:rsid w:val="00271C2F"/>
    <w:rsid w:val="0027601C"/>
    <w:rsid w:val="0029123E"/>
    <w:rsid w:val="00293F87"/>
    <w:rsid w:val="00295A67"/>
    <w:rsid w:val="00297E08"/>
    <w:rsid w:val="002A0AB2"/>
    <w:rsid w:val="002B001A"/>
    <w:rsid w:val="002C42B4"/>
    <w:rsid w:val="002D658A"/>
    <w:rsid w:val="002E0A6A"/>
    <w:rsid w:val="002E4996"/>
    <w:rsid w:val="002E74A3"/>
    <w:rsid w:val="002F077E"/>
    <w:rsid w:val="00302C8F"/>
    <w:rsid w:val="00307C6F"/>
    <w:rsid w:val="00311068"/>
    <w:rsid w:val="00312399"/>
    <w:rsid w:val="00317F72"/>
    <w:rsid w:val="0032184E"/>
    <w:rsid w:val="00331C6D"/>
    <w:rsid w:val="0035100D"/>
    <w:rsid w:val="00351134"/>
    <w:rsid w:val="00354433"/>
    <w:rsid w:val="003749C7"/>
    <w:rsid w:val="003829A0"/>
    <w:rsid w:val="00382CCA"/>
    <w:rsid w:val="00383FF7"/>
    <w:rsid w:val="00385DE8"/>
    <w:rsid w:val="00387B7F"/>
    <w:rsid w:val="003B49D4"/>
    <w:rsid w:val="003C4DCF"/>
    <w:rsid w:val="003C6D9F"/>
    <w:rsid w:val="003D3369"/>
    <w:rsid w:val="003E33E0"/>
    <w:rsid w:val="004041AF"/>
    <w:rsid w:val="004068EE"/>
    <w:rsid w:val="00410473"/>
    <w:rsid w:val="00417149"/>
    <w:rsid w:val="00427BB1"/>
    <w:rsid w:val="0043006B"/>
    <w:rsid w:val="004409C0"/>
    <w:rsid w:val="0045187B"/>
    <w:rsid w:val="00453247"/>
    <w:rsid w:val="0045792E"/>
    <w:rsid w:val="00460C69"/>
    <w:rsid w:val="004663D0"/>
    <w:rsid w:val="00481081"/>
    <w:rsid w:val="00483FA2"/>
    <w:rsid w:val="004847B8"/>
    <w:rsid w:val="00487D58"/>
    <w:rsid w:val="004A0CB3"/>
    <w:rsid w:val="004B1CA3"/>
    <w:rsid w:val="004B52AE"/>
    <w:rsid w:val="004C0B3E"/>
    <w:rsid w:val="004C1152"/>
    <w:rsid w:val="004C2D85"/>
    <w:rsid w:val="004D1DBD"/>
    <w:rsid w:val="004D44A3"/>
    <w:rsid w:val="004D55A9"/>
    <w:rsid w:val="004E2695"/>
    <w:rsid w:val="004E573B"/>
    <w:rsid w:val="004F2481"/>
    <w:rsid w:val="004F3ECD"/>
    <w:rsid w:val="0050115F"/>
    <w:rsid w:val="00517905"/>
    <w:rsid w:val="00517AC1"/>
    <w:rsid w:val="00520C06"/>
    <w:rsid w:val="005211AD"/>
    <w:rsid w:val="005300C9"/>
    <w:rsid w:val="00533629"/>
    <w:rsid w:val="00544BA8"/>
    <w:rsid w:val="00570404"/>
    <w:rsid w:val="00570501"/>
    <w:rsid w:val="00570715"/>
    <w:rsid w:val="00571005"/>
    <w:rsid w:val="00581ED1"/>
    <w:rsid w:val="0058470A"/>
    <w:rsid w:val="00586BB1"/>
    <w:rsid w:val="00591483"/>
    <w:rsid w:val="005A275B"/>
    <w:rsid w:val="005A4729"/>
    <w:rsid w:val="005A6193"/>
    <w:rsid w:val="005B5CEF"/>
    <w:rsid w:val="005B7649"/>
    <w:rsid w:val="005C4821"/>
    <w:rsid w:val="005C5746"/>
    <w:rsid w:val="005D602D"/>
    <w:rsid w:val="005E2BFE"/>
    <w:rsid w:val="005E2F61"/>
    <w:rsid w:val="005E50A5"/>
    <w:rsid w:val="005F513E"/>
    <w:rsid w:val="006075BB"/>
    <w:rsid w:val="00615987"/>
    <w:rsid w:val="00635EDF"/>
    <w:rsid w:val="00636BB3"/>
    <w:rsid w:val="006428B0"/>
    <w:rsid w:val="00644E0E"/>
    <w:rsid w:val="0064679D"/>
    <w:rsid w:val="0064749D"/>
    <w:rsid w:val="00653348"/>
    <w:rsid w:val="006614FB"/>
    <w:rsid w:val="00670A71"/>
    <w:rsid w:val="00674F42"/>
    <w:rsid w:val="00676A23"/>
    <w:rsid w:val="006832AA"/>
    <w:rsid w:val="00685573"/>
    <w:rsid w:val="00687291"/>
    <w:rsid w:val="006918AD"/>
    <w:rsid w:val="00691C05"/>
    <w:rsid w:val="006A144B"/>
    <w:rsid w:val="006B3AD6"/>
    <w:rsid w:val="006B4E8E"/>
    <w:rsid w:val="006B7B5C"/>
    <w:rsid w:val="006C1DC6"/>
    <w:rsid w:val="006D7DEF"/>
    <w:rsid w:val="006E33BC"/>
    <w:rsid w:val="006E742C"/>
    <w:rsid w:val="006E7C37"/>
    <w:rsid w:val="006F176B"/>
    <w:rsid w:val="0070798E"/>
    <w:rsid w:val="00717CE4"/>
    <w:rsid w:val="00721014"/>
    <w:rsid w:val="00724698"/>
    <w:rsid w:val="00727D35"/>
    <w:rsid w:val="00740942"/>
    <w:rsid w:val="007413A0"/>
    <w:rsid w:val="00744C79"/>
    <w:rsid w:val="00745210"/>
    <w:rsid w:val="007514F7"/>
    <w:rsid w:val="007530D0"/>
    <w:rsid w:val="00756E31"/>
    <w:rsid w:val="0076228B"/>
    <w:rsid w:val="007653F3"/>
    <w:rsid w:val="007714E2"/>
    <w:rsid w:val="0077356D"/>
    <w:rsid w:val="007760C1"/>
    <w:rsid w:val="0077741C"/>
    <w:rsid w:val="00777E69"/>
    <w:rsid w:val="007816ED"/>
    <w:rsid w:val="007822D3"/>
    <w:rsid w:val="00783A21"/>
    <w:rsid w:val="00786BA6"/>
    <w:rsid w:val="00794B89"/>
    <w:rsid w:val="00796BD5"/>
    <w:rsid w:val="007A2122"/>
    <w:rsid w:val="007A4A70"/>
    <w:rsid w:val="007A4F28"/>
    <w:rsid w:val="007A590C"/>
    <w:rsid w:val="007B3299"/>
    <w:rsid w:val="007B54A2"/>
    <w:rsid w:val="007B5A97"/>
    <w:rsid w:val="007C056D"/>
    <w:rsid w:val="007D6A5A"/>
    <w:rsid w:val="007E0CD3"/>
    <w:rsid w:val="007E10B4"/>
    <w:rsid w:val="007F33FF"/>
    <w:rsid w:val="007F689A"/>
    <w:rsid w:val="00810F23"/>
    <w:rsid w:val="00815900"/>
    <w:rsid w:val="00816030"/>
    <w:rsid w:val="00821BB5"/>
    <w:rsid w:val="0083509F"/>
    <w:rsid w:val="0083594E"/>
    <w:rsid w:val="00837B6D"/>
    <w:rsid w:val="00845805"/>
    <w:rsid w:val="008551A9"/>
    <w:rsid w:val="00860810"/>
    <w:rsid w:val="00861C3C"/>
    <w:rsid w:val="00871079"/>
    <w:rsid w:val="00871CD9"/>
    <w:rsid w:val="00875546"/>
    <w:rsid w:val="00880255"/>
    <w:rsid w:val="00880732"/>
    <w:rsid w:val="008855A2"/>
    <w:rsid w:val="00886997"/>
    <w:rsid w:val="008973B2"/>
    <w:rsid w:val="00897EC7"/>
    <w:rsid w:val="008A174A"/>
    <w:rsid w:val="008A1E36"/>
    <w:rsid w:val="008A55CA"/>
    <w:rsid w:val="008B09F3"/>
    <w:rsid w:val="008B3515"/>
    <w:rsid w:val="008B3741"/>
    <w:rsid w:val="008B52FB"/>
    <w:rsid w:val="008B7934"/>
    <w:rsid w:val="008C2419"/>
    <w:rsid w:val="008E38D7"/>
    <w:rsid w:val="008E4989"/>
    <w:rsid w:val="008E7A7D"/>
    <w:rsid w:val="008F44DC"/>
    <w:rsid w:val="008F6267"/>
    <w:rsid w:val="008F6B40"/>
    <w:rsid w:val="008F71A9"/>
    <w:rsid w:val="0090048B"/>
    <w:rsid w:val="00906DD7"/>
    <w:rsid w:val="00911772"/>
    <w:rsid w:val="00912C1A"/>
    <w:rsid w:val="00917BF7"/>
    <w:rsid w:val="00920703"/>
    <w:rsid w:val="00924CE8"/>
    <w:rsid w:val="00927277"/>
    <w:rsid w:val="0093009A"/>
    <w:rsid w:val="00931E50"/>
    <w:rsid w:val="00932C5D"/>
    <w:rsid w:val="009361AB"/>
    <w:rsid w:val="00942C37"/>
    <w:rsid w:val="00942C7B"/>
    <w:rsid w:val="009502BF"/>
    <w:rsid w:val="009717CA"/>
    <w:rsid w:val="00972F04"/>
    <w:rsid w:val="009748DE"/>
    <w:rsid w:val="009A1090"/>
    <w:rsid w:val="009A1EF8"/>
    <w:rsid w:val="009A51C2"/>
    <w:rsid w:val="009A7224"/>
    <w:rsid w:val="009A7D14"/>
    <w:rsid w:val="009B4A23"/>
    <w:rsid w:val="009C0E13"/>
    <w:rsid w:val="009D0B75"/>
    <w:rsid w:val="009D606E"/>
    <w:rsid w:val="009D68D1"/>
    <w:rsid w:val="009E0B7A"/>
    <w:rsid w:val="009E5306"/>
    <w:rsid w:val="009E6B10"/>
    <w:rsid w:val="009F4A5D"/>
    <w:rsid w:val="00A049BB"/>
    <w:rsid w:val="00A07B3B"/>
    <w:rsid w:val="00A10BEF"/>
    <w:rsid w:val="00A12650"/>
    <w:rsid w:val="00A22254"/>
    <w:rsid w:val="00A2325F"/>
    <w:rsid w:val="00A36C1A"/>
    <w:rsid w:val="00A43429"/>
    <w:rsid w:val="00A51FC4"/>
    <w:rsid w:val="00A66B8A"/>
    <w:rsid w:val="00A70EFE"/>
    <w:rsid w:val="00A721BE"/>
    <w:rsid w:val="00A72DBC"/>
    <w:rsid w:val="00A74A42"/>
    <w:rsid w:val="00A80889"/>
    <w:rsid w:val="00A82CB8"/>
    <w:rsid w:val="00A8464F"/>
    <w:rsid w:val="00A97FF5"/>
    <w:rsid w:val="00AA00A7"/>
    <w:rsid w:val="00AA1512"/>
    <w:rsid w:val="00AB28A5"/>
    <w:rsid w:val="00AB772E"/>
    <w:rsid w:val="00AD547A"/>
    <w:rsid w:val="00AD5B7E"/>
    <w:rsid w:val="00AE4B0B"/>
    <w:rsid w:val="00AF0C2F"/>
    <w:rsid w:val="00AF60CA"/>
    <w:rsid w:val="00AF7FDD"/>
    <w:rsid w:val="00B02B98"/>
    <w:rsid w:val="00B103AE"/>
    <w:rsid w:val="00B11C4B"/>
    <w:rsid w:val="00B12402"/>
    <w:rsid w:val="00B160C4"/>
    <w:rsid w:val="00B23E90"/>
    <w:rsid w:val="00B2537F"/>
    <w:rsid w:val="00B30AED"/>
    <w:rsid w:val="00B321D9"/>
    <w:rsid w:val="00B5638C"/>
    <w:rsid w:val="00B6094C"/>
    <w:rsid w:val="00B64704"/>
    <w:rsid w:val="00B653A8"/>
    <w:rsid w:val="00B921B9"/>
    <w:rsid w:val="00BA098D"/>
    <w:rsid w:val="00BA5CC6"/>
    <w:rsid w:val="00BB4E06"/>
    <w:rsid w:val="00BC1535"/>
    <w:rsid w:val="00BC18AC"/>
    <w:rsid w:val="00BC3568"/>
    <w:rsid w:val="00BC4C58"/>
    <w:rsid w:val="00BC4F78"/>
    <w:rsid w:val="00BD56C1"/>
    <w:rsid w:val="00BE4192"/>
    <w:rsid w:val="00BE4A96"/>
    <w:rsid w:val="00BF2D5C"/>
    <w:rsid w:val="00BF3F89"/>
    <w:rsid w:val="00C049CC"/>
    <w:rsid w:val="00C217BC"/>
    <w:rsid w:val="00C4255B"/>
    <w:rsid w:val="00C52C11"/>
    <w:rsid w:val="00C57C7B"/>
    <w:rsid w:val="00C7155A"/>
    <w:rsid w:val="00C85C0E"/>
    <w:rsid w:val="00C952F8"/>
    <w:rsid w:val="00CA1726"/>
    <w:rsid w:val="00CB10CD"/>
    <w:rsid w:val="00CB132A"/>
    <w:rsid w:val="00CC031C"/>
    <w:rsid w:val="00CC1870"/>
    <w:rsid w:val="00CC2A26"/>
    <w:rsid w:val="00CD122E"/>
    <w:rsid w:val="00CD55F5"/>
    <w:rsid w:val="00CD63CD"/>
    <w:rsid w:val="00CF3D30"/>
    <w:rsid w:val="00D01B3A"/>
    <w:rsid w:val="00D028F3"/>
    <w:rsid w:val="00D041D5"/>
    <w:rsid w:val="00D148E6"/>
    <w:rsid w:val="00D17296"/>
    <w:rsid w:val="00D30320"/>
    <w:rsid w:val="00D319A4"/>
    <w:rsid w:val="00D34D44"/>
    <w:rsid w:val="00D37F3B"/>
    <w:rsid w:val="00D431DE"/>
    <w:rsid w:val="00D54E12"/>
    <w:rsid w:val="00D55D41"/>
    <w:rsid w:val="00D60B10"/>
    <w:rsid w:val="00D61DEB"/>
    <w:rsid w:val="00D6273F"/>
    <w:rsid w:val="00D66F47"/>
    <w:rsid w:val="00DA6B23"/>
    <w:rsid w:val="00DA72D9"/>
    <w:rsid w:val="00DB7D3F"/>
    <w:rsid w:val="00DD1017"/>
    <w:rsid w:val="00DD40BF"/>
    <w:rsid w:val="00DD5684"/>
    <w:rsid w:val="00DE0498"/>
    <w:rsid w:val="00DE5B22"/>
    <w:rsid w:val="00E03CCC"/>
    <w:rsid w:val="00E04E18"/>
    <w:rsid w:val="00E12318"/>
    <w:rsid w:val="00E206B2"/>
    <w:rsid w:val="00E26DBD"/>
    <w:rsid w:val="00E32327"/>
    <w:rsid w:val="00E35635"/>
    <w:rsid w:val="00E3736C"/>
    <w:rsid w:val="00E51F1D"/>
    <w:rsid w:val="00E61CE2"/>
    <w:rsid w:val="00E630A5"/>
    <w:rsid w:val="00E641FD"/>
    <w:rsid w:val="00E71D1F"/>
    <w:rsid w:val="00E749A6"/>
    <w:rsid w:val="00E754CC"/>
    <w:rsid w:val="00E80A42"/>
    <w:rsid w:val="00E8530D"/>
    <w:rsid w:val="00E95B6A"/>
    <w:rsid w:val="00E96CC9"/>
    <w:rsid w:val="00E96D59"/>
    <w:rsid w:val="00E974E3"/>
    <w:rsid w:val="00EC56C7"/>
    <w:rsid w:val="00EC5A03"/>
    <w:rsid w:val="00EC7D6C"/>
    <w:rsid w:val="00ED004C"/>
    <w:rsid w:val="00ED51A1"/>
    <w:rsid w:val="00F00D58"/>
    <w:rsid w:val="00F06C5A"/>
    <w:rsid w:val="00F20C76"/>
    <w:rsid w:val="00F27548"/>
    <w:rsid w:val="00F3608D"/>
    <w:rsid w:val="00F37342"/>
    <w:rsid w:val="00F4114E"/>
    <w:rsid w:val="00F46C9C"/>
    <w:rsid w:val="00F61AA1"/>
    <w:rsid w:val="00F63056"/>
    <w:rsid w:val="00F66E96"/>
    <w:rsid w:val="00F70B06"/>
    <w:rsid w:val="00F73397"/>
    <w:rsid w:val="00F94022"/>
    <w:rsid w:val="00F94412"/>
    <w:rsid w:val="00F949B5"/>
    <w:rsid w:val="00FA27AE"/>
    <w:rsid w:val="00FB6015"/>
    <w:rsid w:val="00FC1FA3"/>
    <w:rsid w:val="00FC58DD"/>
    <w:rsid w:val="00FD1D75"/>
    <w:rsid w:val="00FD729D"/>
    <w:rsid w:val="00FE1376"/>
    <w:rsid w:val="00FF17E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94E16CB"/>
  <w15:docId w15:val="{1064E728-761E-4084-B594-6C98E0F1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533629"/>
    <w:pPr>
      <w:tabs>
        <w:tab w:val="center" w:pos="4320"/>
        <w:tab w:val="right" w:pos="8640"/>
      </w:tabs>
    </w:pPr>
  </w:style>
  <w:style w:type="paragraph" w:styleId="Footer">
    <w:name w:val="footer"/>
    <w:basedOn w:val="Normal"/>
    <w:rsid w:val="00533629"/>
    <w:pPr>
      <w:tabs>
        <w:tab w:val="center" w:pos="4320"/>
        <w:tab w:val="right" w:pos="8640"/>
      </w:tabs>
    </w:pPr>
  </w:style>
  <w:style w:type="character" w:styleId="PageNumber">
    <w:name w:val="page number"/>
    <w:basedOn w:val="DefaultParagraphFont"/>
    <w:rsid w:val="00533629"/>
  </w:style>
  <w:style w:type="paragraph" w:styleId="BalloonText">
    <w:name w:val="Balloon Text"/>
    <w:basedOn w:val="Normal"/>
    <w:semiHidden/>
    <w:rsid w:val="00880732"/>
    <w:rPr>
      <w:rFonts w:ascii="Tahoma" w:hAnsi="Tahoma" w:cs="Tahoma"/>
      <w:sz w:val="16"/>
      <w:szCs w:val="16"/>
    </w:rPr>
  </w:style>
  <w:style w:type="paragraph" w:customStyle="1" w:styleId="InsideAddress">
    <w:name w:val="Inside Address"/>
    <w:basedOn w:val="Normal"/>
    <w:rsid w:val="006B7B5C"/>
    <w:pPr>
      <w:widowControl/>
      <w:spacing w:line="220" w:lineRule="atLeast"/>
      <w:jc w:val="both"/>
    </w:pPr>
    <w:rPr>
      <w:rFonts w:ascii="Arial" w:hAnsi="Arial"/>
      <w:snapToGrid/>
      <w:spacing w:val="-5"/>
      <w:sz w:val="20"/>
    </w:rPr>
  </w:style>
  <w:style w:type="paragraph" w:styleId="ListParagraph">
    <w:name w:val="List Paragraph"/>
    <w:basedOn w:val="Normal"/>
    <w:uiPriority w:val="34"/>
    <w:qFormat/>
    <w:rsid w:val="005300C9"/>
    <w:pPr>
      <w:widowControl/>
      <w:spacing w:after="200" w:line="276" w:lineRule="auto"/>
      <w:ind w:left="720"/>
      <w:contextualSpacing/>
    </w:pPr>
    <w:rPr>
      <w:rFonts w:ascii="Calibri" w:eastAsia="Calibri" w:hAnsi="Calibri"/>
      <w:snapToGrid/>
      <w:sz w:val="22"/>
      <w:szCs w:val="22"/>
    </w:rPr>
  </w:style>
  <w:style w:type="character" w:styleId="CommentReference">
    <w:name w:val="annotation reference"/>
    <w:rsid w:val="004E2695"/>
    <w:rPr>
      <w:sz w:val="16"/>
      <w:szCs w:val="16"/>
    </w:rPr>
  </w:style>
  <w:style w:type="paragraph" w:styleId="CommentText">
    <w:name w:val="annotation text"/>
    <w:basedOn w:val="Normal"/>
    <w:link w:val="CommentTextChar"/>
    <w:rsid w:val="004E2695"/>
    <w:rPr>
      <w:sz w:val="20"/>
    </w:rPr>
  </w:style>
  <w:style w:type="character" w:customStyle="1" w:styleId="CommentTextChar">
    <w:name w:val="Comment Text Char"/>
    <w:link w:val="CommentText"/>
    <w:rsid w:val="004E2695"/>
    <w:rPr>
      <w:rFonts w:ascii="Courier" w:hAnsi="Courier"/>
      <w:snapToGrid w:val="0"/>
    </w:rPr>
  </w:style>
  <w:style w:type="paragraph" w:styleId="CommentSubject">
    <w:name w:val="annotation subject"/>
    <w:basedOn w:val="CommentText"/>
    <w:next w:val="CommentText"/>
    <w:link w:val="CommentSubjectChar"/>
    <w:rsid w:val="004E2695"/>
    <w:rPr>
      <w:b/>
      <w:bCs/>
    </w:rPr>
  </w:style>
  <w:style w:type="character" w:customStyle="1" w:styleId="CommentSubjectChar">
    <w:name w:val="Comment Subject Char"/>
    <w:link w:val="CommentSubject"/>
    <w:rsid w:val="004E2695"/>
    <w:rPr>
      <w:rFonts w:ascii="Courier" w:hAnsi="Courier"/>
      <w:b/>
      <w:bCs/>
      <w:snapToGrid w:val="0"/>
    </w:rPr>
  </w:style>
  <w:style w:type="paragraph" w:customStyle="1" w:styleId="DefaultText">
    <w:name w:val="Default Text"/>
    <w:basedOn w:val="Normal"/>
    <w:rsid w:val="008973B2"/>
    <w:pPr>
      <w:widowControl/>
      <w:overflowPunct w:val="0"/>
      <w:autoSpaceDE w:val="0"/>
      <w:autoSpaceDN w:val="0"/>
      <w:adjustRightInd w:val="0"/>
      <w:textAlignment w:val="baseline"/>
    </w:pPr>
    <w:rPr>
      <w:rFonts w:ascii="Times New Roman" w:hAnsi="Times New Roman"/>
      <w:snapToGrid/>
    </w:rPr>
  </w:style>
  <w:style w:type="character" w:customStyle="1" w:styleId="InitialStyle">
    <w:name w:val="InitialStyle"/>
    <w:rsid w:val="008973B2"/>
    <w:rPr>
      <w:rFonts w:ascii="Times New Roman" w:hAnsi="Times New Roman"/>
      <w:color w:val="auto"/>
      <w:spacing w:val="0"/>
      <w:sz w:val="24"/>
    </w:rPr>
  </w:style>
  <w:style w:type="paragraph" w:styleId="Revision">
    <w:name w:val="Revision"/>
    <w:hidden/>
    <w:uiPriority w:val="99"/>
    <w:semiHidden/>
    <w:rsid w:val="008E7A7D"/>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0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3550</Words>
  <Characters>19135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McColman</dc:creator>
  <cp:lastModifiedBy>Parr, J.Chris</cp:lastModifiedBy>
  <cp:revision>10</cp:revision>
  <cp:lastPrinted>2015-02-24T20:42:00Z</cp:lastPrinted>
  <dcterms:created xsi:type="dcterms:W3CDTF">2022-12-29T18:06:00Z</dcterms:created>
  <dcterms:modified xsi:type="dcterms:W3CDTF">2025-08-20T16:59:00Z</dcterms:modified>
</cp:coreProperties>
</file>