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044D" w14:textId="3588ACF0" w:rsidR="00482261" w:rsidRPr="006F6171" w:rsidRDefault="00B67960" w:rsidP="008E1F8F">
      <w:pPr>
        <w:jc w:val="center"/>
        <w:rPr>
          <w:rFonts w:cs="Arial"/>
          <w:b/>
          <w:color w:val="363B73"/>
          <w:sz w:val="52"/>
          <w:szCs w:val="32"/>
        </w:rPr>
      </w:pPr>
      <w:r w:rsidRPr="006F6171">
        <w:rPr>
          <w:rFonts w:cs="Arial"/>
          <w:b/>
          <w:noProof/>
          <w:color w:val="363B73"/>
          <w:sz w:val="52"/>
          <w:szCs w:val="32"/>
        </w:rPr>
        <mc:AlternateContent>
          <mc:Choice Requires="wps">
            <w:drawing>
              <wp:anchor distT="0" distB="0" distL="114300" distR="114300" simplePos="0" relativeHeight="251670528" behindDoc="0" locked="0" layoutInCell="1" allowOverlap="1" wp14:anchorId="2D34F242" wp14:editId="7D42E831">
                <wp:simplePos x="0" y="0"/>
                <wp:positionH relativeFrom="margin">
                  <wp:align>right</wp:align>
                </wp:positionH>
                <wp:positionV relativeFrom="paragraph">
                  <wp:posOffset>3104013</wp:posOffset>
                </wp:positionV>
                <wp:extent cx="6928797"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928797" cy="0"/>
                        </a:xfrm>
                        <a:prstGeom prst="line">
                          <a:avLst/>
                        </a:prstGeom>
                        <a:ln w="22225">
                          <a:solidFill>
                            <a:srgbClr val="F3C7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07B1C" id="Straight Connector 30" o:spid="_x0000_s1026" alt="&quot;&quot;"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94.35pt,244.4pt" to="1039.9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" strokecolor="#f3c766" strokeweight="1.75pt">
                <w10:wrap anchorx="margin"/>
              </v:line>
            </w:pict>
          </mc:Fallback>
        </mc:AlternateContent>
      </w:r>
      <w:r w:rsidR="00116DA8" w:rsidRPr="006F6171">
        <w:rPr>
          <w:b/>
          <w:noProof/>
          <w:color w:val="495869"/>
          <w:sz w:val="22"/>
        </w:rPr>
        <mc:AlternateContent>
          <mc:Choice Requires="wpg">
            <w:drawing>
              <wp:anchor distT="0" distB="0" distL="114300" distR="114300" simplePos="0" relativeHeight="251664384" behindDoc="0" locked="0" layoutInCell="1" allowOverlap="1" wp14:anchorId="6CD0F69F" wp14:editId="6329079C">
                <wp:simplePos x="0" y="0"/>
                <wp:positionH relativeFrom="page">
                  <wp:align>right</wp:align>
                </wp:positionH>
                <wp:positionV relativeFrom="page">
                  <wp:align>top</wp:align>
                </wp:positionV>
                <wp:extent cx="7771765" cy="7113905"/>
                <wp:effectExtent l="0" t="0" r="635"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1765" cy="7113905"/>
                          <a:chOff x="0" y="0"/>
                          <a:chExt cx="7772400" cy="7114033"/>
                        </a:xfrm>
                      </wpg:grpSpPr>
                      <wps:wsp>
                        <wps:cNvPr id="7" name="Shape 102"/>
                        <wps:cNvSpPr/>
                        <wps:spPr>
                          <a:xfrm>
                            <a:off x="0" y="2286000"/>
                            <a:ext cx="7772400" cy="4828033"/>
                          </a:xfrm>
                          <a:custGeom>
                            <a:avLst/>
                            <a:gdLst/>
                            <a:ahLst/>
                            <a:cxnLst/>
                            <a:rect l="0" t="0" r="0" b="0"/>
                            <a:pathLst>
                              <a:path w="7772400" h="4828033">
                                <a:moveTo>
                                  <a:pt x="0" y="0"/>
                                </a:moveTo>
                                <a:lnTo>
                                  <a:pt x="7772400" y="0"/>
                                </a:lnTo>
                                <a:lnTo>
                                  <a:pt x="7772400" y="4828033"/>
                                </a:lnTo>
                                <a:lnTo>
                                  <a:pt x="0" y="4828033"/>
                                </a:lnTo>
                                <a:lnTo>
                                  <a:pt x="0" y="0"/>
                                </a:lnTo>
                              </a:path>
                            </a:pathLst>
                          </a:custGeom>
                          <a:solidFill>
                            <a:srgbClr val="8CBDC8"/>
                          </a:solidFill>
                          <a:ln w="0" cap="flat">
                            <a:miter lim="127000"/>
                          </a:ln>
                        </wps:spPr>
                        <wps:style>
                          <a:lnRef idx="0">
                            <a:srgbClr val="000000">
                              <a:alpha val="0"/>
                            </a:srgbClr>
                          </a:lnRef>
                          <a:fillRef idx="1">
                            <a:srgbClr val="8FA782"/>
                          </a:fillRef>
                          <a:effectRef idx="0">
                            <a:scrgbClr r="0" g="0" b="0"/>
                          </a:effectRef>
                          <a:fontRef idx="none"/>
                        </wps:style>
                        <wps:bodyPr/>
                      </wps:wsp>
                      <wps:wsp>
                        <wps:cNvPr id="8" name="Shape 103"/>
                        <wps:cNvSpPr/>
                        <wps:spPr>
                          <a:xfrm>
                            <a:off x="4692650" y="0"/>
                            <a:ext cx="1848091" cy="2883154"/>
                          </a:xfrm>
                          <a:custGeom>
                            <a:avLst/>
                            <a:gdLst/>
                            <a:ahLst/>
                            <a:cxnLst/>
                            <a:rect l="0" t="0" r="0" b="0"/>
                            <a:pathLst>
                              <a:path w="1848091" h="2883154">
                                <a:moveTo>
                                  <a:pt x="0" y="0"/>
                                </a:moveTo>
                                <a:lnTo>
                                  <a:pt x="1848091" y="0"/>
                                </a:lnTo>
                                <a:lnTo>
                                  <a:pt x="1848091" y="2883154"/>
                                </a:lnTo>
                                <a:lnTo>
                                  <a:pt x="0" y="2883154"/>
                                </a:lnTo>
                                <a:lnTo>
                                  <a:pt x="0" y="0"/>
                                </a:lnTo>
                              </a:path>
                            </a:pathLst>
                          </a:custGeom>
                          <a:solidFill>
                            <a:srgbClr val="49586C"/>
                          </a:solidFill>
                          <a:ln w="0" cap="flat">
                            <a:miter lim="127000"/>
                          </a:ln>
                        </wps:spPr>
                        <wps:style>
                          <a:lnRef idx="0">
                            <a:srgbClr val="000000">
                              <a:alpha val="0"/>
                            </a:srgbClr>
                          </a:lnRef>
                          <a:fillRef idx="1">
                            <a:srgbClr val="54545C"/>
                          </a:fillRef>
                          <a:effectRef idx="0">
                            <a:scrgbClr r="0" g="0" b="0"/>
                          </a:effectRef>
                          <a:fontRef idx="none"/>
                        </wps:style>
                        <wps:bodyPr/>
                      </wps:wsp>
                      <wps:wsp>
                        <wps:cNvPr id="9" name="Shape 104"/>
                        <wps:cNvSpPr/>
                        <wps:spPr>
                          <a:xfrm>
                            <a:off x="4692650" y="2779776"/>
                            <a:ext cx="1848104" cy="384048"/>
                          </a:xfrm>
                          <a:custGeom>
                            <a:avLst/>
                            <a:gdLst/>
                            <a:ahLst/>
                            <a:cxnLst/>
                            <a:rect l="0" t="0" r="0" b="0"/>
                            <a:pathLst>
                              <a:path w="1848104" h="384048">
                                <a:moveTo>
                                  <a:pt x="0" y="0"/>
                                </a:moveTo>
                                <a:lnTo>
                                  <a:pt x="1848104" y="0"/>
                                </a:lnTo>
                                <a:lnTo>
                                  <a:pt x="1848104" y="384048"/>
                                </a:lnTo>
                                <a:lnTo>
                                  <a:pt x="0" y="384048"/>
                                </a:lnTo>
                                <a:lnTo>
                                  <a:pt x="0" y="0"/>
                                </a:lnTo>
                              </a:path>
                            </a:pathLst>
                          </a:custGeom>
                          <a:solidFill>
                            <a:srgbClr val="F3C766"/>
                          </a:solidFill>
                          <a:ln w="0" cap="flat">
                            <a:miter lim="127000"/>
                          </a:ln>
                        </wps:spPr>
                        <wps:style>
                          <a:lnRef idx="0">
                            <a:srgbClr val="000000">
                              <a:alpha val="0"/>
                            </a:srgbClr>
                          </a:lnRef>
                          <a:fillRef idx="1">
                            <a:srgbClr val="F4C265"/>
                          </a:fillRef>
                          <a:effectRef idx="0">
                            <a:scrgbClr r="0" g="0" b="0"/>
                          </a:effectRef>
                          <a:fontRef idx="none"/>
                        </wps:style>
                        <wps:bodyPr/>
                      </wps:wsp>
                      <wps:wsp>
                        <wps:cNvPr id="12" name="Rectangle 12"/>
                        <wps:cNvSpPr/>
                        <wps:spPr>
                          <a:xfrm>
                            <a:off x="495325" y="3102473"/>
                            <a:ext cx="2467105" cy="787458"/>
                          </a:xfrm>
                          <a:prstGeom prst="rect">
                            <a:avLst/>
                          </a:prstGeom>
                          <a:ln>
                            <a:noFill/>
                          </a:ln>
                        </wps:spPr>
                        <wps:txbx>
                          <w:txbxContent>
                            <w:p w14:paraId="41683424" w14:textId="6EC7C313" w:rsidR="0000641D" w:rsidRPr="00113A3C" w:rsidRDefault="0000641D" w:rsidP="00482261">
                              <w:pPr>
                                <w:spacing w:after="160"/>
                                <w:rPr>
                                  <w:rFonts w:ascii="MrEavesModOT" w:hAnsi="MrEavesModOT"/>
                                  <w:b/>
                                  <w:color w:val="49586C"/>
                                  <w:sz w:val="64"/>
                                  <w:szCs w:val="64"/>
                                </w:rPr>
                              </w:pPr>
                              <w:r w:rsidRPr="00113A3C">
                                <w:rPr>
                                  <w:rFonts w:ascii="MrEavesModOT" w:hAnsi="MrEavesModOT"/>
                                  <w:b/>
                                  <w:color w:val="49586C"/>
                                  <w:w w:val="93"/>
                                  <w:sz w:val="64"/>
                                  <w:szCs w:val="64"/>
                                </w:rPr>
                                <w:t>202</w:t>
                              </w:r>
                              <w:r>
                                <w:rPr>
                                  <w:rFonts w:ascii="MrEavesModOT" w:hAnsi="MrEavesModOT"/>
                                  <w:b/>
                                  <w:color w:val="49586C"/>
                                  <w:w w:val="93"/>
                                  <w:sz w:val="64"/>
                                  <w:szCs w:val="64"/>
                                </w:rPr>
                                <w:t>5</w:t>
                              </w:r>
                              <w:r w:rsidRPr="00113A3C">
                                <w:rPr>
                                  <w:rFonts w:ascii="MrEavesModOT" w:hAnsi="MrEavesModOT"/>
                                  <w:b/>
                                  <w:color w:val="49586C"/>
                                  <w:w w:val="93"/>
                                  <w:sz w:val="64"/>
                                  <w:szCs w:val="64"/>
                                </w:rPr>
                                <w:t>-202</w:t>
                              </w:r>
                              <w:r>
                                <w:rPr>
                                  <w:rFonts w:ascii="MrEavesModOT" w:hAnsi="MrEavesModOT"/>
                                  <w:b/>
                                  <w:color w:val="49586C"/>
                                  <w:w w:val="93"/>
                                  <w:sz w:val="64"/>
                                  <w:szCs w:val="64"/>
                                </w:rPr>
                                <w:t>6</w:t>
                              </w:r>
                            </w:p>
                          </w:txbxContent>
                        </wps:txbx>
                        <wps:bodyPr horzOverflow="overflow" vert="horz" lIns="0" tIns="0" rIns="0" bIns="0" rtlCol="0">
                          <a:noAutofit/>
                        </wps:bodyPr>
                      </wps:wsp>
                      <wps:wsp>
                        <wps:cNvPr id="15" name="Rectangle 15"/>
                        <wps:cNvSpPr/>
                        <wps:spPr>
                          <a:xfrm>
                            <a:off x="371417" y="3531106"/>
                            <a:ext cx="6248807" cy="787458"/>
                          </a:xfrm>
                          <a:prstGeom prst="rect">
                            <a:avLst/>
                          </a:prstGeom>
                          <a:ln>
                            <a:noFill/>
                          </a:ln>
                        </wps:spPr>
                        <wps:txbx>
                          <w:txbxContent>
                            <w:p w14:paraId="3D0DEDF7" w14:textId="77777777" w:rsidR="0000641D" w:rsidRPr="00113A3C" w:rsidRDefault="0000641D" w:rsidP="00482261">
                              <w:pPr>
                                <w:spacing w:after="160"/>
                                <w:rPr>
                                  <w:rFonts w:ascii="MrEavesModOT" w:hAnsi="MrEavesModOT"/>
                                  <w:b/>
                                  <w:sz w:val="64"/>
                                  <w:szCs w:val="64"/>
                                </w:rPr>
                              </w:pPr>
                              <w:r w:rsidRPr="00350E59">
                                <w:rPr>
                                  <w:rFonts w:ascii="MrEavesModOT" w:hAnsi="MrEavesModOT"/>
                                  <w:color w:val="FFFEFD"/>
                                  <w:spacing w:val="-45"/>
                                  <w:w w:val="97"/>
                                  <w:sz w:val="64"/>
                                  <w:szCs w:val="64"/>
                                </w:rPr>
                                <w:t xml:space="preserve"> </w:t>
                              </w:r>
                              <w:r w:rsidRPr="00113A3C">
                                <w:rPr>
                                  <w:rFonts w:ascii="MrEavesModOT" w:hAnsi="MrEavesModOT"/>
                                  <w:b/>
                                  <w:color w:val="49586C"/>
                                  <w:w w:val="97"/>
                                  <w:sz w:val="64"/>
                                  <w:szCs w:val="64"/>
                                </w:rPr>
                                <w:t>Low Income Housing Tax Credit</w:t>
                              </w:r>
                            </w:p>
                          </w:txbxContent>
                        </wps:txbx>
                        <wps:bodyPr horzOverflow="overflow" vert="horz" lIns="0" tIns="0" rIns="0" bIns="0" rtlCol="0">
                          <a:noAutofit/>
                        </wps:bodyPr>
                      </wps:wsp>
                      <wps:wsp>
                        <wps:cNvPr id="18" name="Rectangle 18"/>
                        <wps:cNvSpPr/>
                        <wps:spPr>
                          <a:xfrm>
                            <a:off x="7570135" y="3590541"/>
                            <a:ext cx="116885" cy="749960"/>
                          </a:xfrm>
                          <a:prstGeom prst="rect">
                            <a:avLst/>
                          </a:prstGeom>
                          <a:ln>
                            <a:noFill/>
                          </a:ln>
                        </wps:spPr>
                        <wps:txbx>
                          <w:txbxContent>
                            <w:p w14:paraId="6AF6933D" w14:textId="77777777" w:rsidR="0000641D" w:rsidRDefault="0000641D" w:rsidP="00482261">
                              <w:pPr>
                                <w:spacing w:after="160"/>
                              </w:pPr>
                              <w:r>
                                <w:rPr>
                                  <w:color w:val="FFFEFD"/>
                                  <w:sz w:val="80"/>
                                </w:rPr>
                                <w:t xml:space="preserve"> </w:t>
                              </w:r>
                            </w:p>
                          </w:txbxContent>
                        </wps:txbx>
                        <wps:bodyPr horzOverflow="overflow" vert="horz" lIns="0" tIns="0" rIns="0" bIns="0" rtlCol="0">
                          <a:noAutofit/>
                        </wps:bodyPr>
                      </wps:wsp>
                      <wps:wsp>
                        <wps:cNvPr id="23" name="Rectangle 23"/>
                        <wps:cNvSpPr/>
                        <wps:spPr>
                          <a:xfrm>
                            <a:off x="485782" y="4139181"/>
                            <a:ext cx="4686567" cy="656215"/>
                          </a:xfrm>
                          <a:prstGeom prst="rect">
                            <a:avLst/>
                          </a:prstGeom>
                          <a:ln>
                            <a:noFill/>
                          </a:ln>
                        </wps:spPr>
                        <wps:txbx>
                          <w:txbxContent>
                            <w:p w14:paraId="6CB87676" w14:textId="77777777" w:rsidR="0000641D" w:rsidRPr="00350E59" w:rsidRDefault="0000641D" w:rsidP="00482261">
                              <w:pPr>
                                <w:spacing w:after="160"/>
                                <w:rPr>
                                  <w:rFonts w:ascii="MrEavesModOT" w:hAnsi="MrEavesModOT"/>
                                  <w:color w:val="49586C"/>
                                  <w:sz w:val="56"/>
                                  <w:szCs w:val="56"/>
                                </w:rPr>
                              </w:pPr>
                              <w:r w:rsidRPr="00350E59">
                                <w:rPr>
                                  <w:rFonts w:ascii="MrEavesModOT" w:hAnsi="MrEavesModOT"/>
                                  <w:color w:val="49586C"/>
                                  <w:w w:val="89"/>
                                  <w:sz w:val="56"/>
                                  <w:szCs w:val="56"/>
                                </w:rPr>
                                <w:t>Qualified Allocation Plan</w:t>
                              </w:r>
                            </w:p>
                          </w:txbxContent>
                        </wps:txbx>
                        <wps:bodyPr horzOverflow="overflow" vert="horz" lIns="0" tIns="0" rIns="0" bIns="0" rtlCol="0">
                          <a:noAutofit/>
                        </wps:bodyPr>
                      </wps:wsp>
                      <wps:wsp>
                        <wps:cNvPr id="24" name="Shape 15"/>
                        <wps:cNvSpPr/>
                        <wps:spPr>
                          <a:xfrm>
                            <a:off x="5405383" y="1956012"/>
                            <a:ext cx="184112" cy="488217"/>
                          </a:xfrm>
                          <a:custGeom>
                            <a:avLst/>
                            <a:gdLst/>
                            <a:ahLst/>
                            <a:cxnLst/>
                            <a:rect l="0" t="0" r="0" b="0"/>
                            <a:pathLst>
                              <a:path w="184112" h="488217">
                                <a:moveTo>
                                  <a:pt x="173922" y="22"/>
                                </a:moveTo>
                                <a:cubicBezTo>
                                  <a:pt x="176273" y="0"/>
                                  <a:pt x="178632" y="873"/>
                                  <a:pt x="180442" y="2645"/>
                                </a:cubicBezTo>
                                <a:cubicBezTo>
                                  <a:pt x="184061" y="6201"/>
                                  <a:pt x="184112" y="12017"/>
                                  <a:pt x="180569" y="15637"/>
                                </a:cubicBezTo>
                                <a:lnTo>
                                  <a:pt x="31763" y="167415"/>
                                </a:lnTo>
                                <a:lnTo>
                                  <a:pt x="94742" y="167415"/>
                                </a:lnTo>
                                <a:cubicBezTo>
                                  <a:pt x="99809" y="167415"/>
                                  <a:pt x="103924" y="171529"/>
                                  <a:pt x="103924" y="176597"/>
                                </a:cubicBezTo>
                                <a:lnTo>
                                  <a:pt x="103975" y="479034"/>
                                </a:lnTo>
                                <a:cubicBezTo>
                                  <a:pt x="103975" y="484101"/>
                                  <a:pt x="99860" y="488217"/>
                                  <a:pt x="94780" y="488217"/>
                                </a:cubicBezTo>
                                <a:cubicBezTo>
                                  <a:pt x="89713" y="488217"/>
                                  <a:pt x="85598" y="484115"/>
                                  <a:pt x="85598" y="479034"/>
                                </a:cubicBezTo>
                                <a:lnTo>
                                  <a:pt x="85547" y="185779"/>
                                </a:lnTo>
                                <a:lnTo>
                                  <a:pt x="9894" y="185779"/>
                                </a:lnTo>
                                <a:cubicBezTo>
                                  <a:pt x="6198" y="185779"/>
                                  <a:pt x="2858" y="183569"/>
                                  <a:pt x="1435" y="180153"/>
                                </a:cubicBezTo>
                                <a:cubicBezTo>
                                  <a:pt x="0" y="176749"/>
                                  <a:pt x="750" y="172800"/>
                                  <a:pt x="3340" y="170170"/>
                                </a:cubicBezTo>
                                <a:lnTo>
                                  <a:pt x="167449" y="2772"/>
                                </a:lnTo>
                                <a:cubicBezTo>
                                  <a:pt x="169227" y="962"/>
                                  <a:pt x="171571" y="44"/>
                                  <a:pt x="173922" y="22"/>
                                </a:cubicBezTo>
                                <a:close/>
                              </a:path>
                            </a:pathLst>
                          </a:custGeom>
                          <a:ln w="0" cap="flat">
                            <a:miter lim="100000"/>
                          </a:ln>
                        </wps:spPr>
                        <wps:style>
                          <a:lnRef idx="0">
                            <a:srgbClr val="000000">
                              <a:alpha val="0"/>
                            </a:srgbClr>
                          </a:lnRef>
                          <a:fillRef idx="1">
                            <a:srgbClr val="F5F3F2"/>
                          </a:fillRef>
                          <a:effectRef idx="0">
                            <a:scrgbClr r="0" g="0" b="0"/>
                          </a:effectRef>
                          <a:fontRef idx="none"/>
                        </wps:style>
                        <wps:bodyPr/>
                      </wps:wsp>
                      <wps:wsp>
                        <wps:cNvPr id="25" name="Shape 16"/>
                        <wps:cNvSpPr/>
                        <wps:spPr>
                          <a:xfrm>
                            <a:off x="5089754" y="1645924"/>
                            <a:ext cx="1053897" cy="918718"/>
                          </a:xfrm>
                          <a:custGeom>
                            <a:avLst/>
                            <a:gdLst/>
                            <a:ahLst/>
                            <a:cxnLst/>
                            <a:rect l="0" t="0" r="0" b="0"/>
                            <a:pathLst>
                              <a:path w="1053897" h="918718">
                                <a:moveTo>
                                  <a:pt x="526948" y="0"/>
                                </a:moveTo>
                                <a:cubicBezTo>
                                  <a:pt x="817512" y="0"/>
                                  <a:pt x="1053897" y="236385"/>
                                  <a:pt x="1053897" y="526948"/>
                                </a:cubicBezTo>
                                <a:cubicBezTo>
                                  <a:pt x="1053897" y="647712"/>
                                  <a:pt x="1012012" y="765722"/>
                                  <a:pt x="935952" y="859231"/>
                                </a:cubicBezTo>
                                <a:cubicBezTo>
                                  <a:pt x="934657" y="860819"/>
                                  <a:pt x="932891" y="861657"/>
                                  <a:pt x="931037" y="862127"/>
                                </a:cubicBezTo>
                                <a:cubicBezTo>
                                  <a:pt x="930186" y="862762"/>
                                  <a:pt x="929234" y="863270"/>
                                  <a:pt x="928167" y="863588"/>
                                </a:cubicBezTo>
                                <a:cubicBezTo>
                                  <a:pt x="916394" y="867016"/>
                                  <a:pt x="904646" y="870534"/>
                                  <a:pt x="892912" y="874052"/>
                                </a:cubicBezTo>
                                <a:cubicBezTo>
                                  <a:pt x="837324" y="890702"/>
                                  <a:pt x="779844" y="907923"/>
                                  <a:pt x="722618" y="914857"/>
                                </a:cubicBezTo>
                                <a:cubicBezTo>
                                  <a:pt x="720014" y="915174"/>
                                  <a:pt x="717385" y="914362"/>
                                  <a:pt x="715416" y="912622"/>
                                </a:cubicBezTo>
                                <a:cubicBezTo>
                                  <a:pt x="713448" y="910869"/>
                                  <a:pt x="712318" y="908368"/>
                                  <a:pt x="712318" y="905739"/>
                                </a:cubicBezTo>
                                <a:lnTo>
                                  <a:pt x="712318" y="614185"/>
                                </a:lnTo>
                                <a:lnTo>
                                  <a:pt x="571398" y="531152"/>
                                </a:lnTo>
                                <a:cubicBezTo>
                                  <a:pt x="567830" y="529044"/>
                                  <a:pt x="566103" y="524815"/>
                                  <a:pt x="567195" y="520815"/>
                                </a:cubicBezTo>
                                <a:cubicBezTo>
                                  <a:pt x="568287" y="516827"/>
                                  <a:pt x="571919" y="514045"/>
                                  <a:pt x="576059" y="514045"/>
                                </a:cubicBezTo>
                                <a:lnTo>
                                  <a:pt x="760209" y="514045"/>
                                </a:lnTo>
                                <a:cubicBezTo>
                                  <a:pt x="762648" y="514045"/>
                                  <a:pt x="764985" y="515023"/>
                                  <a:pt x="766712" y="516737"/>
                                </a:cubicBezTo>
                                <a:cubicBezTo>
                                  <a:pt x="768426" y="518464"/>
                                  <a:pt x="769404" y="520802"/>
                                  <a:pt x="769404" y="523240"/>
                                </a:cubicBezTo>
                                <a:cubicBezTo>
                                  <a:pt x="769391" y="636435"/>
                                  <a:pt x="769417" y="840981"/>
                                  <a:pt x="769557" y="888314"/>
                                </a:cubicBezTo>
                                <a:cubicBezTo>
                                  <a:pt x="809168" y="879958"/>
                                  <a:pt x="848868" y="868058"/>
                                  <a:pt x="887641" y="856450"/>
                                </a:cubicBezTo>
                                <a:cubicBezTo>
                                  <a:pt x="897217" y="853580"/>
                                  <a:pt x="906818" y="850709"/>
                                  <a:pt x="916419" y="847890"/>
                                </a:cubicBezTo>
                                <a:lnTo>
                                  <a:pt x="916419" y="487058"/>
                                </a:lnTo>
                                <a:cubicBezTo>
                                  <a:pt x="916419" y="481991"/>
                                  <a:pt x="920521" y="477875"/>
                                  <a:pt x="925602" y="477875"/>
                                </a:cubicBezTo>
                                <a:lnTo>
                                  <a:pt x="988085" y="477875"/>
                                </a:lnTo>
                                <a:lnTo>
                                  <a:pt x="667766" y="150902"/>
                                </a:lnTo>
                                <a:lnTo>
                                  <a:pt x="526326" y="294919"/>
                                </a:lnTo>
                                <a:cubicBezTo>
                                  <a:pt x="524586" y="296685"/>
                                  <a:pt x="522186" y="297739"/>
                                  <a:pt x="519722" y="297662"/>
                                </a:cubicBezTo>
                                <a:cubicBezTo>
                                  <a:pt x="517233" y="297650"/>
                                  <a:pt x="514858" y="296634"/>
                                  <a:pt x="513144" y="294843"/>
                                </a:cubicBezTo>
                                <a:lnTo>
                                  <a:pt x="373075" y="148984"/>
                                </a:lnTo>
                                <a:lnTo>
                                  <a:pt x="52146" y="476618"/>
                                </a:lnTo>
                                <a:lnTo>
                                  <a:pt x="183667" y="476618"/>
                                </a:lnTo>
                                <a:cubicBezTo>
                                  <a:pt x="187185" y="476618"/>
                                  <a:pt x="190386" y="478625"/>
                                  <a:pt x="191935" y="481787"/>
                                </a:cubicBezTo>
                                <a:cubicBezTo>
                                  <a:pt x="193472" y="484949"/>
                                  <a:pt x="193066" y="488709"/>
                                  <a:pt x="190894" y="491477"/>
                                </a:cubicBezTo>
                                <a:lnTo>
                                  <a:pt x="55906" y="663461"/>
                                </a:lnTo>
                                <a:lnTo>
                                  <a:pt x="183667" y="663461"/>
                                </a:lnTo>
                                <a:cubicBezTo>
                                  <a:pt x="187185" y="663461"/>
                                  <a:pt x="190386" y="665455"/>
                                  <a:pt x="191922" y="668630"/>
                                </a:cubicBezTo>
                                <a:cubicBezTo>
                                  <a:pt x="193472" y="671779"/>
                                  <a:pt x="193066" y="675539"/>
                                  <a:pt x="190894" y="678307"/>
                                </a:cubicBezTo>
                                <a:lnTo>
                                  <a:pt x="49708" y="858507"/>
                                </a:lnTo>
                                <a:cubicBezTo>
                                  <a:pt x="53404" y="857250"/>
                                  <a:pt x="57112" y="855993"/>
                                  <a:pt x="60833" y="854735"/>
                                </a:cubicBezTo>
                                <a:cubicBezTo>
                                  <a:pt x="134315" y="829742"/>
                                  <a:pt x="210071" y="804088"/>
                                  <a:pt x="307099" y="805066"/>
                                </a:cubicBezTo>
                                <a:cubicBezTo>
                                  <a:pt x="379971" y="805929"/>
                                  <a:pt x="437731" y="831583"/>
                                  <a:pt x="493598" y="856399"/>
                                </a:cubicBezTo>
                                <a:cubicBezTo>
                                  <a:pt x="540576" y="877265"/>
                                  <a:pt x="584937" y="896976"/>
                                  <a:pt x="634061" y="899427"/>
                                </a:cubicBezTo>
                                <a:cubicBezTo>
                                  <a:pt x="656958" y="900519"/>
                                  <a:pt x="663448" y="900684"/>
                                  <a:pt x="669608" y="899668"/>
                                </a:cubicBezTo>
                                <a:cubicBezTo>
                                  <a:pt x="674599" y="898843"/>
                                  <a:pt x="679336" y="902221"/>
                                  <a:pt x="680174" y="907212"/>
                                </a:cubicBezTo>
                                <a:cubicBezTo>
                                  <a:pt x="681000" y="912228"/>
                                  <a:pt x="677621" y="916953"/>
                                  <a:pt x="672618" y="917778"/>
                                </a:cubicBezTo>
                                <a:cubicBezTo>
                                  <a:pt x="668719" y="918426"/>
                                  <a:pt x="664820" y="918718"/>
                                  <a:pt x="659435" y="918718"/>
                                </a:cubicBezTo>
                                <a:cubicBezTo>
                                  <a:pt x="653326" y="918718"/>
                                  <a:pt x="645300" y="918349"/>
                                  <a:pt x="633171" y="917778"/>
                                </a:cubicBezTo>
                                <a:cubicBezTo>
                                  <a:pt x="580606" y="915150"/>
                                  <a:pt x="534721" y="894766"/>
                                  <a:pt x="486143" y="873189"/>
                                </a:cubicBezTo>
                                <a:cubicBezTo>
                                  <a:pt x="431978" y="849135"/>
                                  <a:pt x="375971" y="824243"/>
                                  <a:pt x="306883" y="823443"/>
                                </a:cubicBezTo>
                                <a:cubicBezTo>
                                  <a:pt x="213208" y="822198"/>
                                  <a:pt x="138761" y="847636"/>
                                  <a:pt x="66751" y="872122"/>
                                </a:cubicBezTo>
                                <a:cubicBezTo>
                                  <a:pt x="53201" y="876719"/>
                                  <a:pt x="39827" y="881279"/>
                                  <a:pt x="26492" y="885584"/>
                                </a:cubicBezTo>
                                <a:cubicBezTo>
                                  <a:pt x="22657" y="886828"/>
                                  <a:pt x="18453" y="885419"/>
                                  <a:pt x="16142" y="882104"/>
                                </a:cubicBezTo>
                                <a:cubicBezTo>
                                  <a:pt x="13831" y="878789"/>
                                  <a:pt x="13945" y="874357"/>
                                  <a:pt x="16447" y="871182"/>
                                </a:cubicBezTo>
                                <a:lnTo>
                                  <a:pt x="75426" y="795896"/>
                                </a:lnTo>
                                <a:cubicBezTo>
                                  <a:pt x="73978" y="795122"/>
                                  <a:pt x="72644" y="794106"/>
                                  <a:pt x="71755" y="792582"/>
                                </a:cubicBezTo>
                                <a:cubicBezTo>
                                  <a:pt x="24816" y="712305"/>
                                  <a:pt x="0" y="620458"/>
                                  <a:pt x="0" y="526948"/>
                                </a:cubicBezTo>
                                <a:cubicBezTo>
                                  <a:pt x="0" y="236385"/>
                                  <a:pt x="236385" y="0"/>
                                  <a:pt x="526948" y="0"/>
                                </a:cubicBezTo>
                                <a:close/>
                              </a:path>
                            </a:pathLst>
                          </a:custGeom>
                          <a:ln w="0" cap="flat">
                            <a:miter lim="100000"/>
                          </a:ln>
                        </wps:spPr>
                        <wps:style>
                          <a:lnRef idx="0">
                            <a:srgbClr val="000000">
                              <a:alpha val="0"/>
                            </a:srgbClr>
                          </a:lnRef>
                          <a:fillRef idx="1">
                            <a:srgbClr val="F5F3F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D0F69F" id="Group 5" o:spid="_x0000_s1026" alt="&quot;&quot;" style="position:absolute;left:0;text-align:left;margin-left:560.75pt;margin-top:0;width:611.95pt;height:560.15pt;z-index:251664384;mso-position-horizontal:right;mso-position-horizontal-relative:page;mso-position-vertical:top;mso-position-vertical-relative:page;mso-width-relative:margin;mso-height-relative:margin" coordsize="77724,7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">
                <v:shape id="Shape 102" o:spid="_x0000_s1027" style="position:absolute;top:22860;width:77724;height:48280;visibility:visible;mso-wrap-style:square;v-text-anchor:top" coordsize="7772400,48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" path="m,l7772400,r,4828033l,4828033,,e" fillcolor="#8cbdc8" stroked="f" strokeweight="0">
                  <v:stroke miterlimit="83231f" joinstyle="miter"/>
                  <v:path arrowok="t" textboxrect="0,0,7772400,4828033"/>
                </v:shape>
                <v:shape id="Shape 103" o:spid="_x0000_s1028" style="position:absolute;left:46926;width:18481;height:28831;visibility:visible;mso-wrap-style:square;v-text-anchor:top" coordsize="1848091,288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" path="m,l1848091,r,2883154l,2883154,,e" fillcolor="#49586c" stroked="f" strokeweight="0">
                  <v:stroke miterlimit="83231f" joinstyle="miter"/>
                  <v:path arrowok="t" textboxrect="0,0,1848091,2883154"/>
                </v:shape>
                <v:shape id="Shape 104" o:spid="_x0000_s1029" style="position:absolute;left:46926;top:27797;width:18481;height:3841;visibility:visible;mso-wrap-style:square;v-text-anchor:top" coordsize="1848104,3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" path="m,l1848104,r,384048l,384048,,e" fillcolor="#f3c766" stroked="f" strokeweight="0">
                  <v:stroke miterlimit="83231f" joinstyle="miter"/>
                  <v:path arrowok="t" textboxrect="0,0,1848104,384048"/>
                </v:shape>
                <v:rect id="Rectangle 12" o:spid="_x0000_s1030" style="position:absolute;left:4953;top:31024;width:24671;height:7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1683424" w14:textId="6EC7C313" w:rsidR="0000641D" w:rsidRPr="00113A3C" w:rsidRDefault="0000641D" w:rsidP="00482261">
                        <w:pPr>
                          <w:spacing w:after="160"/>
                          <w:rPr>
                            <w:rFonts w:ascii="MrEavesModOT" w:hAnsi="MrEavesModOT"/>
                            <w:b/>
                            <w:color w:val="49586C"/>
                            <w:sz w:val="64"/>
                            <w:szCs w:val="64"/>
                          </w:rPr>
                        </w:pPr>
                        <w:r w:rsidRPr="00113A3C">
                          <w:rPr>
                            <w:rFonts w:ascii="MrEavesModOT" w:hAnsi="MrEavesModOT"/>
                            <w:b/>
                            <w:color w:val="49586C"/>
                            <w:w w:val="93"/>
                            <w:sz w:val="64"/>
                            <w:szCs w:val="64"/>
                          </w:rPr>
                          <w:t>202</w:t>
                        </w:r>
                        <w:r>
                          <w:rPr>
                            <w:rFonts w:ascii="MrEavesModOT" w:hAnsi="MrEavesModOT"/>
                            <w:b/>
                            <w:color w:val="49586C"/>
                            <w:w w:val="93"/>
                            <w:sz w:val="64"/>
                            <w:szCs w:val="64"/>
                          </w:rPr>
                          <w:t>5</w:t>
                        </w:r>
                        <w:r w:rsidRPr="00113A3C">
                          <w:rPr>
                            <w:rFonts w:ascii="MrEavesModOT" w:hAnsi="MrEavesModOT"/>
                            <w:b/>
                            <w:color w:val="49586C"/>
                            <w:w w:val="93"/>
                            <w:sz w:val="64"/>
                            <w:szCs w:val="64"/>
                          </w:rPr>
                          <w:t>-202</w:t>
                        </w:r>
                        <w:r>
                          <w:rPr>
                            <w:rFonts w:ascii="MrEavesModOT" w:hAnsi="MrEavesModOT"/>
                            <w:b/>
                            <w:color w:val="49586C"/>
                            <w:w w:val="93"/>
                            <w:sz w:val="64"/>
                            <w:szCs w:val="64"/>
                          </w:rPr>
                          <w:t>6</w:t>
                        </w:r>
                      </w:p>
                    </w:txbxContent>
                  </v:textbox>
                </v:rect>
                <v:rect id="Rectangle 15" o:spid="_x0000_s1031" style="position:absolute;left:3714;top:35311;width:62488;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D0DEDF7" w14:textId="77777777" w:rsidR="0000641D" w:rsidRPr="00113A3C" w:rsidRDefault="0000641D" w:rsidP="00482261">
                        <w:pPr>
                          <w:spacing w:after="160"/>
                          <w:rPr>
                            <w:rFonts w:ascii="MrEavesModOT" w:hAnsi="MrEavesModOT"/>
                            <w:b/>
                            <w:sz w:val="64"/>
                            <w:szCs w:val="64"/>
                          </w:rPr>
                        </w:pPr>
                        <w:r w:rsidRPr="00350E59">
                          <w:rPr>
                            <w:rFonts w:ascii="MrEavesModOT" w:hAnsi="MrEavesModOT"/>
                            <w:color w:val="FFFEFD"/>
                            <w:spacing w:val="-45"/>
                            <w:w w:val="97"/>
                            <w:sz w:val="64"/>
                            <w:szCs w:val="64"/>
                          </w:rPr>
                          <w:t xml:space="preserve"> </w:t>
                        </w:r>
                        <w:r w:rsidRPr="00113A3C">
                          <w:rPr>
                            <w:rFonts w:ascii="MrEavesModOT" w:hAnsi="MrEavesModOT"/>
                            <w:b/>
                            <w:color w:val="49586C"/>
                            <w:w w:val="97"/>
                            <w:sz w:val="64"/>
                            <w:szCs w:val="64"/>
                          </w:rPr>
                          <w:t>Low Income Housing Tax Credit</w:t>
                        </w:r>
                      </w:p>
                    </w:txbxContent>
                  </v:textbox>
                </v:rect>
                <v:rect id="Rectangle 18" o:spid="_x0000_s1032" style="position:absolute;left:75701;top:35905;width:1169;height:7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AF6933D" w14:textId="77777777" w:rsidR="0000641D" w:rsidRDefault="0000641D" w:rsidP="00482261">
                        <w:pPr>
                          <w:spacing w:after="160"/>
                        </w:pPr>
                        <w:r>
                          <w:rPr>
                            <w:color w:val="FFFEFD"/>
                            <w:sz w:val="80"/>
                          </w:rPr>
                          <w:t xml:space="preserve"> </w:t>
                        </w:r>
                      </w:p>
                    </w:txbxContent>
                  </v:textbox>
                </v:rect>
                <v:rect id="Rectangle 23" o:spid="_x0000_s1033" style="position:absolute;left:4857;top:41391;width:46866;height:6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CB87676" w14:textId="77777777" w:rsidR="0000641D" w:rsidRPr="00350E59" w:rsidRDefault="0000641D" w:rsidP="00482261">
                        <w:pPr>
                          <w:spacing w:after="160"/>
                          <w:rPr>
                            <w:rFonts w:ascii="MrEavesModOT" w:hAnsi="MrEavesModOT"/>
                            <w:color w:val="49586C"/>
                            <w:sz w:val="56"/>
                            <w:szCs w:val="56"/>
                          </w:rPr>
                        </w:pPr>
                        <w:r w:rsidRPr="00350E59">
                          <w:rPr>
                            <w:rFonts w:ascii="MrEavesModOT" w:hAnsi="MrEavesModOT"/>
                            <w:color w:val="49586C"/>
                            <w:w w:val="89"/>
                            <w:sz w:val="56"/>
                            <w:szCs w:val="56"/>
                          </w:rPr>
                          <w:t>Qualified Allocation Plan</w:t>
                        </w:r>
                      </w:p>
                    </w:txbxContent>
                  </v:textbox>
                </v:rect>
                <v:shape id="Shape 15" o:spid="_x0000_s1034" style="position:absolute;left:54053;top:19560;width:1841;height:4882;visibility:visible;mso-wrap-style:square;v-text-anchor:top" coordsize="184112,48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" path="m173922,22v2351,-22,4710,851,6520,2623c184061,6201,184112,12017,180569,15637l31763,167415r62979,c99809,167415,103924,171529,103924,176597r51,302437c103975,484101,99860,488217,94780,488217v-5067,,-9182,-4102,-9182,-9183l85547,185779r-75653,c6198,185779,2858,183569,1435,180153,,176749,750,172800,3340,170170l167449,2772c169227,962,171571,44,173922,22xe" fillcolor="#f5f3f2" stroked="f" strokeweight="0">
                  <v:stroke miterlimit="1" joinstyle="miter"/>
                  <v:path arrowok="t" textboxrect="0,0,184112,488217"/>
                </v:shape>
                <v:shape id="Shape 16" o:spid="_x0000_s1035" style="position:absolute;left:50897;top:16459;width:10539;height:9187;visibility:visible;mso-wrap-style:square;v-text-anchor:top" coordsize="1053897,91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" path="m526948,v290564,,526949,236385,526949,526948c1053897,647712,1012012,765722,935952,859231v-1295,1588,-3061,2426,-4915,2896c930186,862762,929234,863270,928167,863588v-11773,3428,-23521,6946,-35255,10464c837324,890702,779844,907923,722618,914857v-2604,317,-5233,-495,-7202,-2235c713448,910869,712318,908368,712318,905739r,-291554l571398,531152v-3568,-2108,-5295,-6337,-4203,-10337c568287,516827,571919,514045,576059,514045r184150,c762648,514045,764985,515023,766712,516737v1714,1727,2692,4065,2692,6503c769391,636435,769417,840981,769557,888314v39611,-8356,79311,-20256,118084,-31864c897217,853580,906818,850709,916419,847890r,-360832c916419,481991,920521,477875,925602,477875r62483,l667766,150902,526326,294919v-1740,1766,-4140,2820,-6604,2743c517233,297650,514858,296634,513144,294843l373075,148984,52146,476618r131521,c187185,476618,190386,478625,191935,481787v1537,3162,1131,6922,-1041,9690l55906,663461r127761,c187185,663461,190386,665455,191922,668630v1550,3149,1144,6909,-1028,9677l49708,858507v3696,-1257,7404,-2514,11125,-3772c134315,829742,210071,804088,307099,805066v72872,863,130632,26517,186499,51333c540576,877265,584937,896976,634061,899427v22897,1092,29387,1257,35547,241c674599,898843,679336,902221,680174,907212v826,5016,-2553,9741,-7556,10566c668719,918426,664820,918718,659435,918718v-6109,,-14135,-369,-26264,-940c580606,915150,534721,894766,486143,873189,431978,849135,375971,824243,306883,823443,213208,822198,138761,847636,66751,872122v-13550,4597,-26924,9157,-40259,13462c22657,886828,18453,885419,16142,882104v-2311,-3315,-2197,-7747,305,-10922l75426,795896v-1448,-774,-2782,-1790,-3671,-3314c24816,712305,,620458,,526948,,236385,236385,,526948,xe" fillcolor="#f5f3f2" stroked="f" strokeweight="0">
                  <v:stroke miterlimit="1" joinstyle="miter"/>
                  <v:path arrowok="t" textboxrect="0,0,1053897,918718"/>
                </v:shape>
                <w10:wrap type="topAndBottom" anchorx="page" anchory="page"/>
              </v:group>
            </w:pict>
          </mc:Fallback>
        </mc:AlternateContent>
      </w:r>
    </w:p>
    <w:p w14:paraId="03C5F231" w14:textId="77777777" w:rsidR="00482261" w:rsidRPr="006F6171" w:rsidRDefault="00113A3C" w:rsidP="00482261">
      <w:r w:rsidRPr="006F6171">
        <w:rPr>
          <w:noProof/>
        </w:rPr>
        <mc:AlternateContent>
          <mc:Choice Requires="wps">
            <w:drawing>
              <wp:anchor distT="0" distB="0" distL="114300" distR="114300" simplePos="0" relativeHeight="251669504" behindDoc="0" locked="0" layoutInCell="1" allowOverlap="1" wp14:anchorId="718E5E93" wp14:editId="38B205FC">
                <wp:simplePos x="0" y="0"/>
                <wp:positionH relativeFrom="margin">
                  <wp:posOffset>-923925</wp:posOffset>
                </wp:positionH>
                <wp:positionV relativeFrom="paragraph">
                  <wp:posOffset>-7485380</wp:posOffset>
                </wp:positionV>
                <wp:extent cx="7029450" cy="0"/>
                <wp:effectExtent l="0" t="19050" r="19050"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029450" cy="0"/>
                        </a:xfrm>
                        <a:prstGeom prst="line">
                          <a:avLst/>
                        </a:prstGeom>
                        <a:ln w="28575">
                          <a:solidFill>
                            <a:srgbClr val="F3C7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A3115" id="Straight Connector 28"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75pt,-589.4pt" to="480.75pt,-5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" strokecolor="#f3c766" strokeweight="2.25pt">
                <w10:wrap anchorx="margin"/>
              </v:line>
            </w:pict>
          </mc:Fallback>
        </mc:AlternateContent>
      </w:r>
      <w:r w:rsidR="00482261" w:rsidRPr="006F6171">
        <w:rPr>
          <w:noProof/>
        </w:rPr>
        <mc:AlternateContent>
          <mc:Choice Requires="wps">
            <w:drawing>
              <wp:anchor distT="0" distB="0" distL="114300" distR="114300" simplePos="0" relativeHeight="251665408" behindDoc="0" locked="0" layoutInCell="1" allowOverlap="1" wp14:anchorId="0F2C8F9C" wp14:editId="34B97D30">
                <wp:simplePos x="0" y="0"/>
                <wp:positionH relativeFrom="margin">
                  <wp:align>center</wp:align>
                </wp:positionH>
                <wp:positionV relativeFrom="paragraph">
                  <wp:posOffset>3295650</wp:posOffset>
                </wp:positionV>
                <wp:extent cx="7029450" cy="0"/>
                <wp:effectExtent l="0" t="1905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029450" cy="0"/>
                        </a:xfrm>
                        <a:prstGeom prst="line">
                          <a:avLst/>
                        </a:prstGeom>
                        <a:ln w="28575">
                          <a:solidFill>
                            <a:srgbClr val="F3C7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21536" id="Straight Connector 1" o:spid="_x0000_s1026" alt="&quot;&quot;"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9.5pt" to="55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" strokecolor="#f3c766" strokeweight="2.25pt">
                <w10:wrap anchorx="margin"/>
              </v:line>
            </w:pict>
          </mc:Fallback>
        </mc:AlternateContent>
      </w:r>
      <w:r w:rsidR="00482261" w:rsidRPr="006F6171">
        <w:rPr>
          <w:b/>
          <w:noProof/>
          <w:color w:val="495869"/>
          <w:sz w:val="22"/>
        </w:rPr>
        <w:drawing>
          <wp:anchor distT="0" distB="0" distL="114300" distR="114300" simplePos="0" relativeHeight="251666432" behindDoc="0" locked="0" layoutInCell="1" allowOverlap="1" wp14:anchorId="53058ADB" wp14:editId="5A4DE28A">
            <wp:simplePos x="0" y="0"/>
            <wp:positionH relativeFrom="column">
              <wp:posOffset>1212550</wp:posOffset>
            </wp:positionH>
            <wp:positionV relativeFrom="paragraph">
              <wp:posOffset>5391150</wp:posOffset>
            </wp:positionV>
            <wp:extent cx="3518500" cy="592455"/>
            <wp:effectExtent l="0" t="0" r="635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500" cy="592455"/>
                    </a:xfrm>
                    <a:prstGeom prst="rect">
                      <a:avLst/>
                    </a:prstGeom>
                  </pic:spPr>
                </pic:pic>
              </a:graphicData>
            </a:graphic>
            <wp14:sizeRelH relativeFrom="margin">
              <wp14:pctWidth>0</wp14:pctWidth>
            </wp14:sizeRelH>
            <wp14:sizeRelV relativeFrom="margin">
              <wp14:pctHeight>0</wp14:pctHeight>
            </wp14:sizeRelV>
          </wp:anchor>
        </w:drawing>
      </w:r>
    </w:p>
    <w:p w14:paraId="5BE8EAB6" w14:textId="77777777" w:rsidR="00482261" w:rsidRPr="006F6171" w:rsidRDefault="00482261" w:rsidP="00482261"/>
    <w:p w14:paraId="118128B4" w14:textId="77777777" w:rsidR="00482261" w:rsidRPr="006F6171" w:rsidRDefault="00482261" w:rsidP="00482261"/>
    <w:p w14:paraId="23033A0A" w14:textId="77777777" w:rsidR="008E1F8F" w:rsidRPr="006F6171" w:rsidRDefault="008E1F8F" w:rsidP="008E1F8F">
      <w:pPr>
        <w:rPr>
          <w:b/>
          <w:szCs w:val="24"/>
        </w:rPr>
      </w:pPr>
    </w:p>
    <w:p w14:paraId="4DD65165" w14:textId="77777777" w:rsidR="008E1F8F" w:rsidRPr="006F6171" w:rsidRDefault="008E1F8F" w:rsidP="00B34323">
      <w:pPr>
        <w:pStyle w:val="NoSpacing"/>
      </w:pPr>
    </w:p>
    <w:p w14:paraId="31FD7FA3" w14:textId="77777777" w:rsidR="008E1F8F" w:rsidRPr="006F6171" w:rsidRDefault="00CD615E" w:rsidP="00B34323">
      <w:pPr>
        <w:pStyle w:val="NoSpacing"/>
      </w:pPr>
      <w:r w:rsidRPr="006F6171">
        <w:rPr>
          <w:noProof/>
          <w:highlight w:val="yellow"/>
        </w:rPr>
        <mc:AlternateContent>
          <mc:Choice Requires="wps">
            <w:drawing>
              <wp:anchor distT="0" distB="0" distL="114300" distR="114300" simplePos="0" relativeHeight="251667456" behindDoc="0" locked="0" layoutInCell="1" allowOverlap="1" wp14:anchorId="7E33D504" wp14:editId="7525F9AF">
                <wp:simplePos x="0" y="0"/>
                <wp:positionH relativeFrom="page">
                  <wp:posOffset>19050</wp:posOffset>
                </wp:positionH>
                <wp:positionV relativeFrom="paragraph">
                  <wp:posOffset>734695</wp:posOffset>
                </wp:positionV>
                <wp:extent cx="7743825" cy="495300"/>
                <wp:effectExtent l="0" t="0" r="0" b="0"/>
                <wp:wrapNone/>
                <wp:docPr id="26" name="Rectangle 26"/>
                <wp:cNvGraphicFramePr/>
                <a:graphic xmlns:a="http://schemas.openxmlformats.org/drawingml/2006/main">
                  <a:graphicData uri="http://schemas.microsoft.com/office/word/2010/wordprocessingShape">
                    <wps:wsp>
                      <wps:cNvSpPr/>
                      <wps:spPr>
                        <a:xfrm>
                          <a:off x="0" y="0"/>
                          <a:ext cx="7743825" cy="495300"/>
                        </a:xfrm>
                        <a:prstGeom prst="rect">
                          <a:avLst/>
                        </a:prstGeom>
                        <a:ln>
                          <a:noFill/>
                        </a:ln>
                      </wps:spPr>
                      <wps:txbx>
                        <w:txbxContent>
                          <w:p w14:paraId="164A7E15" w14:textId="77777777" w:rsidR="0000641D" w:rsidRPr="001F69F0" w:rsidRDefault="0000641D" w:rsidP="00482261">
                            <w:pPr>
                              <w:spacing w:after="160"/>
                              <w:jc w:val="center"/>
                              <w:rPr>
                                <w:rFonts w:ascii="MrEavesModOT" w:hAnsi="MrEavesModOT"/>
                                <w:sz w:val="44"/>
                                <w:szCs w:val="44"/>
                              </w:rPr>
                            </w:pPr>
                            <w:r>
                              <w:rPr>
                                <w:rFonts w:ascii="MrEavesModOT" w:hAnsi="MrEavesModOT"/>
                                <w:color w:val="1F497D" w:themeColor="text2"/>
                                <w:w w:val="97"/>
                                <w:sz w:val="44"/>
                                <w:szCs w:val="44"/>
                              </w:rPr>
                              <w:t>mainehousing.org  |  207-626-4600</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E33D504" id="Rectangle 26" o:spid="_x0000_s1036" style="position:absolute;margin-left:1.5pt;margin-top:57.85pt;width:609.75pt;height:3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" filled="f" stroked="f">
                <v:textbox inset="0,0,0,0">
                  <w:txbxContent>
                    <w:p w14:paraId="164A7E15" w14:textId="77777777" w:rsidR="0000641D" w:rsidRPr="001F69F0" w:rsidRDefault="0000641D" w:rsidP="00482261">
                      <w:pPr>
                        <w:spacing w:after="160"/>
                        <w:jc w:val="center"/>
                        <w:rPr>
                          <w:rFonts w:ascii="MrEavesModOT" w:hAnsi="MrEavesModOT"/>
                          <w:sz w:val="44"/>
                          <w:szCs w:val="44"/>
                        </w:rPr>
                      </w:pPr>
                      <w:r>
                        <w:rPr>
                          <w:rFonts w:ascii="MrEavesModOT" w:hAnsi="MrEavesModOT"/>
                          <w:color w:val="1F497D" w:themeColor="text2"/>
                          <w:w w:val="97"/>
                          <w:sz w:val="44"/>
                          <w:szCs w:val="44"/>
                        </w:rPr>
                        <w:t>mainehousing.org  |  207-626-4600</w:t>
                      </w:r>
                    </w:p>
                  </w:txbxContent>
                </v:textbox>
                <w10:wrap anchorx="page"/>
              </v:rect>
            </w:pict>
          </mc:Fallback>
        </mc:AlternateContent>
      </w:r>
    </w:p>
    <w:p w14:paraId="651651ED" w14:textId="77777777" w:rsidR="008E1F8F" w:rsidRPr="006F6171" w:rsidRDefault="0064573B" w:rsidP="008E1F8F">
      <w:pPr>
        <w:jc w:val="center"/>
        <w:rPr>
          <w:b/>
          <w:szCs w:val="24"/>
        </w:rPr>
      </w:pPr>
      <w:r w:rsidRPr="006F6171">
        <w:rPr>
          <w:noProof/>
        </w:rPr>
        <w:lastRenderedPageBreak/>
        <w:drawing>
          <wp:inline distT="0" distB="0" distL="0" distR="0" wp14:anchorId="3A1BCCA4" wp14:editId="57867F27">
            <wp:extent cx="3687832" cy="619125"/>
            <wp:effectExtent l="0" t="0" r="8255" b="0"/>
            <wp:docPr id="31" name="Picture 31" descr="Logo Horizontal Green &amp; Blue Email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Green &amp; Blue EmailSignatur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97152" cy="620690"/>
                    </a:xfrm>
                    <a:prstGeom prst="rect">
                      <a:avLst/>
                    </a:prstGeom>
                    <a:noFill/>
                    <a:ln>
                      <a:noFill/>
                    </a:ln>
                  </pic:spPr>
                </pic:pic>
              </a:graphicData>
            </a:graphic>
          </wp:inline>
        </w:drawing>
      </w:r>
    </w:p>
    <w:p w14:paraId="2451D667" w14:textId="77777777" w:rsidR="008E1F8F" w:rsidRPr="006F6171" w:rsidRDefault="008E1F8F" w:rsidP="008E1F8F">
      <w:pPr>
        <w:jc w:val="center"/>
        <w:rPr>
          <w:b/>
          <w:szCs w:val="24"/>
        </w:rPr>
      </w:pPr>
    </w:p>
    <w:p w14:paraId="729AF712" w14:textId="77777777" w:rsidR="008E1F8F" w:rsidRPr="006F6171" w:rsidRDefault="008E1F8F" w:rsidP="008E1F8F">
      <w:pPr>
        <w:jc w:val="center"/>
        <w:rPr>
          <w:b/>
          <w:szCs w:val="24"/>
        </w:rPr>
      </w:pPr>
    </w:p>
    <w:p w14:paraId="3E055C95" w14:textId="77777777" w:rsidR="008E1F8F" w:rsidRPr="006F6171" w:rsidRDefault="008E1F8F" w:rsidP="008E1F8F">
      <w:pPr>
        <w:jc w:val="center"/>
        <w:rPr>
          <w:b/>
          <w:szCs w:val="24"/>
        </w:rPr>
      </w:pPr>
    </w:p>
    <w:p w14:paraId="6EBDA175" w14:textId="77777777" w:rsidR="008E1F8F" w:rsidRPr="006F6171" w:rsidRDefault="008E1F8F" w:rsidP="008E1F8F">
      <w:pPr>
        <w:jc w:val="center"/>
        <w:rPr>
          <w:b/>
          <w:szCs w:val="24"/>
        </w:rPr>
      </w:pPr>
    </w:p>
    <w:p w14:paraId="7BE803D4" w14:textId="77777777" w:rsidR="008E1F8F" w:rsidRPr="006F6171" w:rsidRDefault="008E1F8F" w:rsidP="008E1F8F">
      <w:pPr>
        <w:rPr>
          <w:b/>
          <w:szCs w:val="24"/>
        </w:rPr>
      </w:pPr>
      <w:r w:rsidRPr="006F6171">
        <w:rPr>
          <w:b/>
          <w:szCs w:val="24"/>
        </w:rPr>
        <w:t>CHAPTER 16 LOW-INCOME HOUSING TAX CREDIT RULE</w:t>
      </w:r>
    </w:p>
    <w:p w14:paraId="0EE7E5D0" w14:textId="77777777" w:rsidR="008E1F8F" w:rsidRPr="006F6171" w:rsidRDefault="008E1F8F" w:rsidP="008E1F8F">
      <w:pPr>
        <w:rPr>
          <w:szCs w:val="24"/>
        </w:rPr>
      </w:pPr>
    </w:p>
    <w:p w14:paraId="71681189" w14:textId="77777777" w:rsidR="008E1F8F" w:rsidRPr="006F6171" w:rsidRDefault="008E1F8F" w:rsidP="008E1F8F">
      <w:pPr>
        <w:rPr>
          <w:b/>
          <w:szCs w:val="24"/>
        </w:rPr>
      </w:pPr>
      <w:r w:rsidRPr="006F6171">
        <w:rPr>
          <w:b/>
          <w:szCs w:val="24"/>
        </w:rPr>
        <w:t xml:space="preserve">Table of Contents </w:t>
      </w:r>
    </w:p>
    <w:p w14:paraId="40759EB8" w14:textId="0BAA0162" w:rsidR="008E1F8F" w:rsidRPr="006F6171" w:rsidRDefault="008E1F8F" w:rsidP="008E1F8F">
      <w:pPr>
        <w:pStyle w:val="TOC1"/>
        <w:rPr>
          <w:rFonts w:eastAsiaTheme="minorEastAsia" w:cstheme="minorBidi"/>
          <w:noProof/>
          <w:sz w:val="22"/>
          <w:szCs w:val="22"/>
        </w:rPr>
      </w:pPr>
      <w:r w:rsidRPr="006F6171">
        <w:fldChar w:fldCharType="begin"/>
      </w:r>
      <w:r w:rsidRPr="006F6171">
        <w:instrText xml:space="preserve"> TOC \o "1-3" \h \z \u </w:instrText>
      </w:r>
      <w:r w:rsidRPr="006F6171">
        <w:fldChar w:fldCharType="separate"/>
      </w:r>
      <w:hyperlink w:anchor="_Toc531341068" w:history="1">
        <w:r w:rsidRPr="006F6171">
          <w:rPr>
            <w:rStyle w:val="Hyperlink"/>
            <w:noProof/>
          </w:rPr>
          <w:t>SECTION 1: INTRODUCTION</w:t>
        </w:r>
        <w:r w:rsidRPr="006F6171">
          <w:rPr>
            <w:noProof/>
            <w:webHidden/>
          </w:rPr>
          <w:tab/>
        </w:r>
        <w:r w:rsidRPr="006F6171">
          <w:rPr>
            <w:noProof/>
            <w:webHidden/>
          </w:rPr>
          <w:fldChar w:fldCharType="begin"/>
        </w:r>
        <w:r w:rsidRPr="006F6171">
          <w:rPr>
            <w:noProof/>
            <w:webHidden/>
          </w:rPr>
          <w:instrText xml:space="preserve"> PAGEREF _Toc531341068 \h </w:instrText>
        </w:r>
        <w:r w:rsidRPr="006F6171">
          <w:rPr>
            <w:noProof/>
            <w:webHidden/>
          </w:rPr>
        </w:r>
        <w:r w:rsidRPr="006F6171">
          <w:rPr>
            <w:noProof/>
            <w:webHidden/>
          </w:rPr>
          <w:fldChar w:fldCharType="separate"/>
        </w:r>
        <w:r w:rsidR="00085BA1">
          <w:rPr>
            <w:noProof/>
            <w:webHidden/>
          </w:rPr>
          <w:t>1</w:t>
        </w:r>
        <w:r w:rsidRPr="006F6171">
          <w:rPr>
            <w:noProof/>
            <w:webHidden/>
          </w:rPr>
          <w:fldChar w:fldCharType="end"/>
        </w:r>
      </w:hyperlink>
    </w:p>
    <w:p w14:paraId="7B56CCAF" w14:textId="78D98DFA" w:rsidR="008E1F8F" w:rsidRPr="006F6171" w:rsidRDefault="008E1F8F" w:rsidP="008E1F8F">
      <w:pPr>
        <w:pStyle w:val="TOC1"/>
        <w:rPr>
          <w:rFonts w:eastAsiaTheme="minorEastAsia" w:cstheme="minorBidi"/>
          <w:noProof/>
          <w:sz w:val="22"/>
          <w:szCs w:val="22"/>
        </w:rPr>
      </w:pPr>
      <w:hyperlink w:anchor="_Toc531341069" w:history="1">
        <w:r w:rsidRPr="006F6171">
          <w:rPr>
            <w:rStyle w:val="Hyperlink"/>
            <w:noProof/>
          </w:rPr>
          <w:t>SECTION 2: HOUSING NEEDS AND PRIORITIES</w:t>
        </w:r>
        <w:r w:rsidRPr="006F6171">
          <w:rPr>
            <w:noProof/>
            <w:webHidden/>
          </w:rPr>
          <w:tab/>
        </w:r>
        <w:r w:rsidRPr="006F6171">
          <w:rPr>
            <w:noProof/>
            <w:webHidden/>
          </w:rPr>
          <w:fldChar w:fldCharType="begin"/>
        </w:r>
        <w:r w:rsidRPr="006F6171">
          <w:rPr>
            <w:noProof/>
            <w:webHidden/>
          </w:rPr>
          <w:instrText xml:space="preserve"> PAGEREF _Toc531341069 \h </w:instrText>
        </w:r>
        <w:r w:rsidRPr="006F6171">
          <w:rPr>
            <w:noProof/>
            <w:webHidden/>
          </w:rPr>
        </w:r>
        <w:r w:rsidRPr="006F6171">
          <w:rPr>
            <w:noProof/>
            <w:webHidden/>
          </w:rPr>
          <w:fldChar w:fldCharType="separate"/>
        </w:r>
        <w:r w:rsidR="00085BA1">
          <w:rPr>
            <w:noProof/>
            <w:webHidden/>
          </w:rPr>
          <w:t>1</w:t>
        </w:r>
        <w:r w:rsidRPr="006F6171">
          <w:rPr>
            <w:noProof/>
            <w:webHidden/>
          </w:rPr>
          <w:fldChar w:fldCharType="end"/>
        </w:r>
      </w:hyperlink>
    </w:p>
    <w:p w14:paraId="4BF75F97" w14:textId="636A4753" w:rsidR="008E1F8F" w:rsidRPr="006F6171" w:rsidRDefault="008E1F8F" w:rsidP="008E1F8F">
      <w:pPr>
        <w:pStyle w:val="TOC1"/>
        <w:rPr>
          <w:rFonts w:eastAsiaTheme="minorEastAsia" w:cstheme="minorBidi"/>
          <w:noProof/>
          <w:sz w:val="22"/>
          <w:szCs w:val="22"/>
        </w:rPr>
      </w:pPr>
      <w:hyperlink w:anchor="_Toc531341070" w:history="1">
        <w:r w:rsidRPr="006F6171">
          <w:rPr>
            <w:rStyle w:val="Hyperlink"/>
            <w:noProof/>
          </w:rPr>
          <w:t>SECTION 3:  SET-ASIDES AND MAXIMUM CREDIT AMOUNT</w:t>
        </w:r>
        <w:r w:rsidRPr="006F6171">
          <w:rPr>
            <w:noProof/>
            <w:webHidden/>
          </w:rPr>
          <w:tab/>
        </w:r>
        <w:r w:rsidRPr="006F6171">
          <w:rPr>
            <w:noProof/>
            <w:webHidden/>
          </w:rPr>
          <w:fldChar w:fldCharType="begin"/>
        </w:r>
        <w:r w:rsidRPr="006F6171">
          <w:rPr>
            <w:noProof/>
            <w:webHidden/>
          </w:rPr>
          <w:instrText xml:space="preserve"> PAGEREF _Toc531341070 \h </w:instrText>
        </w:r>
        <w:r w:rsidRPr="006F6171">
          <w:rPr>
            <w:noProof/>
            <w:webHidden/>
          </w:rPr>
        </w:r>
        <w:r w:rsidRPr="006F6171">
          <w:rPr>
            <w:noProof/>
            <w:webHidden/>
          </w:rPr>
          <w:fldChar w:fldCharType="separate"/>
        </w:r>
        <w:r w:rsidR="00085BA1">
          <w:rPr>
            <w:noProof/>
            <w:webHidden/>
          </w:rPr>
          <w:t>1</w:t>
        </w:r>
        <w:r w:rsidRPr="006F6171">
          <w:rPr>
            <w:noProof/>
            <w:webHidden/>
          </w:rPr>
          <w:fldChar w:fldCharType="end"/>
        </w:r>
      </w:hyperlink>
    </w:p>
    <w:p w14:paraId="6C1B142C" w14:textId="013D58AB" w:rsidR="008E1F8F" w:rsidRPr="006F6171" w:rsidRDefault="008E1F8F" w:rsidP="008E1F8F">
      <w:pPr>
        <w:pStyle w:val="TOC1"/>
        <w:rPr>
          <w:rFonts w:eastAsiaTheme="minorEastAsia" w:cstheme="minorBidi"/>
          <w:noProof/>
          <w:sz w:val="22"/>
          <w:szCs w:val="22"/>
        </w:rPr>
      </w:pPr>
      <w:hyperlink w:anchor="_Toc531341071" w:history="1">
        <w:r w:rsidRPr="006F6171">
          <w:rPr>
            <w:rStyle w:val="Hyperlink"/>
            <w:noProof/>
          </w:rPr>
          <w:t>SECTION 4: ALLOCATION PROCESS</w:t>
        </w:r>
        <w:r w:rsidRPr="006F6171">
          <w:rPr>
            <w:noProof/>
            <w:webHidden/>
          </w:rPr>
          <w:tab/>
        </w:r>
        <w:r w:rsidRPr="006F6171">
          <w:rPr>
            <w:noProof/>
            <w:webHidden/>
          </w:rPr>
          <w:fldChar w:fldCharType="begin"/>
        </w:r>
        <w:r w:rsidRPr="006F6171">
          <w:rPr>
            <w:noProof/>
            <w:webHidden/>
          </w:rPr>
          <w:instrText xml:space="preserve"> PAGEREF _Toc531341071 \h </w:instrText>
        </w:r>
        <w:r w:rsidRPr="006F6171">
          <w:rPr>
            <w:noProof/>
            <w:webHidden/>
          </w:rPr>
        </w:r>
        <w:r w:rsidRPr="006F6171">
          <w:rPr>
            <w:noProof/>
            <w:webHidden/>
          </w:rPr>
          <w:fldChar w:fldCharType="separate"/>
        </w:r>
        <w:r w:rsidR="00085BA1">
          <w:rPr>
            <w:noProof/>
            <w:webHidden/>
          </w:rPr>
          <w:t>2</w:t>
        </w:r>
        <w:r w:rsidRPr="006F6171">
          <w:rPr>
            <w:noProof/>
            <w:webHidden/>
          </w:rPr>
          <w:fldChar w:fldCharType="end"/>
        </w:r>
      </w:hyperlink>
    </w:p>
    <w:p w14:paraId="65E1C089" w14:textId="262B9F2E" w:rsidR="008E1F8F" w:rsidRPr="006F6171" w:rsidRDefault="008E1F8F" w:rsidP="008E1F8F">
      <w:pPr>
        <w:pStyle w:val="TOC1"/>
        <w:rPr>
          <w:rFonts w:eastAsiaTheme="minorEastAsia" w:cstheme="minorBidi"/>
          <w:noProof/>
          <w:sz w:val="22"/>
          <w:szCs w:val="22"/>
        </w:rPr>
      </w:pPr>
      <w:hyperlink w:anchor="_Toc531341072" w:history="1">
        <w:r w:rsidRPr="006F6171">
          <w:rPr>
            <w:rStyle w:val="Hyperlink"/>
            <w:noProof/>
          </w:rPr>
          <w:t>SECTION 5: THRESHOLD REQUIREMENTS</w:t>
        </w:r>
        <w:r w:rsidRPr="006F6171">
          <w:rPr>
            <w:noProof/>
            <w:webHidden/>
          </w:rPr>
          <w:tab/>
        </w:r>
        <w:r w:rsidRPr="006F6171">
          <w:rPr>
            <w:noProof/>
            <w:webHidden/>
          </w:rPr>
          <w:fldChar w:fldCharType="begin"/>
        </w:r>
        <w:r w:rsidRPr="006F6171">
          <w:rPr>
            <w:noProof/>
            <w:webHidden/>
          </w:rPr>
          <w:instrText xml:space="preserve"> PAGEREF _Toc531341072 \h </w:instrText>
        </w:r>
        <w:r w:rsidRPr="006F6171">
          <w:rPr>
            <w:noProof/>
            <w:webHidden/>
          </w:rPr>
        </w:r>
        <w:r w:rsidRPr="006F6171">
          <w:rPr>
            <w:noProof/>
            <w:webHidden/>
          </w:rPr>
          <w:fldChar w:fldCharType="separate"/>
        </w:r>
        <w:r w:rsidR="00085BA1">
          <w:rPr>
            <w:noProof/>
            <w:webHidden/>
          </w:rPr>
          <w:t>6</w:t>
        </w:r>
        <w:r w:rsidRPr="006F6171">
          <w:rPr>
            <w:noProof/>
            <w:webHidden/>
          </w:rPr>
          <w:fldChar w:fldCharType="end"/>
        </w:r>
      </w:hyperlink>
    </w:p>
    <w:p w14:paraId="20A43EFC" w14:textId="2BBCE78B" w:rsidR="008E1F8F" w:rsidRPr="006F6171" w:rsidRDefault="008E1F8F" w:rsidP="008E1F8F">
      <w:pPr>
        <w:pStyle w:val="TOC1"/>
        <w:rPr>
          <w:rFonts w:eastAsiaTheme="minorEastAsia" w:cstheme="minorBidi"/>
          <w:noProof/>
          <w:sz w:val="22"/>
          <w:szCs w:val="22"/>
        </w:rPr>
      </w:pPr>
      <w:hyperlink w:anchor="_Toc531341077" w:history="1">
        <w:r w:rsidRPr="006F6171">
          <w:rPr>
            <w:rStyle w:val="Hyperlink"/>
            <w:noProof/>
          </w:rPr>
          <w:t>SECTION 6: SCORING CRITERIA</w:t>
        </w:r>
        <w:r w:rsidRPr="006F6171">
          <w:rPr>
            <w:noProof/>
            <w:webHidden/>
          </w:rPr>
          <w:tab/>
        </w:r>
        <w:r w:rsidRPr="006F6171">
          <w:rPr>
            <w:noProof/>
            <w:webHidden/>
          </w:rPr>
          <w:fldChar w:fldCharType="begin"/>
        </w:r>
        <w:r w:rsidRPr="006F6171">
          <w:rPr>
            <w:noProof/>
            <w:webHidden/>
          </w:rPr>
          <w:instrText xml:space="preserve"> PAGEREF _Toc531341077 \h </w:instrText>
        </w:r>
        <w:r w:rsidRPr="006F6171">
          <w:rPr>
            <w:noProof/>
            <w:webHidden/>
          </w:rPr>
        </w:r>
        <w:r w:rsidRPr="006F6171">
          <w:rPr>
            <w:noProof/>
            <w:webHidden/>
          </w:rPr>
          <w:fldChar w:fldCharType="separate"/>
        </w:r>
        <w:r w:rsidR="00085BA1">
          <w:rPr>
            <w:noProof/>
            <w:webHidden/>
          </w:rPr>
          <w:t>12</w:t>
        </w:r>
        <w:r w:rsidRPr="006F6171">
          <w:rPr>
            <w:noProof/>
            <w:webHidden/>
          </w:rPr>
          <w:fldChar w:fldCharType="end"/>
        </w:r>
      </w:hyperlink>
    </w:p>
    <w:p w14:paraId="5810FCA6" w14:textId="2CFAEBEA" w:rsidR="008E1F8F" w:rsidRPr="006F6171" w:rsidRDefault="008E1F8F" w:rsidP="008E1F8F">
      <w:pPr>
        <w:pStyle w:val="TOC1"/>
        <w:rPr>
          <w:rFonts w:eastAsiaTheme="minorEastAsia" w:cstheme="minorBidi"/>
          <w:noProof/>
          <w:sz w:val="22"/>
          <w:szCs w:val="22"/>
        </w:rPr>
      </w:pPr>
      <w:hyperlink w:anchor="_Toc531341078" w:history="1">
        <w:r w:rsidRPr="006F6171">
          <w:rPr>
            <w:rStyle w:val="Hyperlink"/>
            <w:noProof/>
          </w:rPr>
          <w:t>SECTION 7: PROJECT EVALUATION</w:t>
        </w:r>
        <w:r w:rsidRPr="006F6171">
          <w:rPr>
            <w:noProof/>
            <w:webHidden/>
          </w:rPr>
          <w:tab/>
        </w:r>
        <w:r w:rsidRPr="006F6171">
          <w:rPr>
            <w:noProof/>
            <w:webHidden/>
          </w:rPr>
          <w:fldChar w:fldCharType="begin"/>
        </w:r>
        <w:r w:rsidRPr="006F6171">
          <w:rPr>
            <w:noProof/>
            <w:webHidden/>
          </w:rPr>
          <w:instrText xml:space="preserve"> PAGEREF _Toc531341078 \h </w:instrText>
        </w:r>
        <w:r w:rsidRPr="006F6171">
          <w:rPr>
            <w:noProof/>
            <w:webHidden/>
          </w:rPr>
        </w:r>
        <w:r w:rsidRPr="006F6171">
          <w:rPr>
            <w:noProof/>
            <w:webHidden/>
          </w:rPr>
          <w:fldChar w:fldCharType="separate"/>
        </w:r>
        <w:r w:rsidR="00085BA1">
          <w:rPr>
            <w:noProof/>
            <w:webHidden/>
          </w:rPr>
          <w:t>19</w:t>
        </w:r>
        <w:r w:rsidRPr="006F6171">
          <w:rPr>
            <w:noProof/>
            <w:webHidden/>
          </w:rPr>
          <w:fldChar w:fldCharType="end"/>
        </w:r>
      </w:hyperlink>
    </w:p>
    <w:p w14:paraId="1EB94180" w14:textId="4EF80EC6" w:rsidR="008E1F8F" w:rsidRPr="006F6171" w:rsidRDefault="008E1F8F" w:rsidP="008E1F8F">
      <w:pPr>
        <w:pStyle w:val="TOC1"/>
        <w:rPr>
          <w:rFonts w:eastAsiaTheme="minorEastAsia" w:cstheme="minorBidi"/>
          <w:noProof/>
          <w:sz w:val="22"/>
          <w:szCs w:val="22"/>
        </w:rPr>
      </w:pPr>
      <w:hyperlink w:anchor="_Toc531341079" w:history="1">
        <w:r w:rsidRPr="006F6171">
          <w:rPr>
            <w:rStyle w:val="Hyperlink"/>
            <w:noProof/>
          </w:rPr>
          <w:t>SECTION 8: ALLOCATION OF CREDIT</w:t>
        </w:r>
        <w:r w:rsidRPr="006F6171">
          <w:rPr>
            <w:noProof/>
            <w:webHidden/>
          </w:rPr>
          <w:tab/>
        </w:r>
        <w:r w:rsidRPr="006F6171">
          <w:rPr>
            <w:noProof/>
            <w:webHidden/>
          </w:rPr>
          <w:fldChar w:fldCharType="begin"/>
        </w:r>
        <w:r w:rsidRPr="006F6171">
          <w:rPr>
            <w:noProof/>
            <w:webHidden/>
          </w:rPr>
          <w:instrText xml:space="preserve"> PAGEREF _Toc531341079 \h </w:instrText>
        </w:r>
        <w:r w:rsidRPr="006F6171">
          <w:rPr>
            <w:noProof/>
            <w:webHidden/>
          </w:rPr>
        </w:r>
        <w:r w:rsidRPr="006F6171">
          <w:rPr>
            <w:noProof/>
            <w:webHidden/>
          </w:rPr>
          <w:fldChar w:fldCharType="separate"/>
        </w:r>
        <w:r w:rsidR="00085BA1">
          <w:rPr>
            <w:noProof/>
            <w:webHidden/>
          </w:rPr>
          <w:t>21</w:t>
        </w:r>
        <w:r w:rsidRPr="006F6171">
          <w:rPr>
            <w:noProof/>
            <w:webHidden/>
          </w:rPr>
          <w:fldChar w:fldCharType="end"/>
        </w:r>
      </w:hyperlink>
    </w:p>
    <w:p w14:paraId="44129322" w14:textId="5E8A880D" w:rsidR="008E1F8F" w:rsidRPr="006F6171" w:rsidRDefault="008E1F8F" w:rsidP="008E1F8F">
      <w:pPr>
        <w:pStyle w:val="TOC1"/>
        <w:rPr>
          <w:rFonts w:eastAsiaTheme="minorEastAsia" w:cstheme="minorBidi"/>
          <w:noProof/>
          <w:sz w:val="22"/>
          <w:szCs w:val="22"/>
        </w:rPr>
      </w:pPr>
      <w:hyperlink w:anchor="_Toc531341080" w:history="1">
        <w:r w:rsidRPr="006F6171">
          <w:rPr>
            <w:rStyle w:val="Hyperlink"/>
            <w:noProof/>
          </w:rPr>
          <w:t>SECTION 9: TAX-EXEMPT BOND FINANCED PROJECTS</w:t>
        </w:r>
        <w:r w:rsidRPr="006F6171">
          <w:rPr>
            <w:noProof/>
            <w:webHidden/>
          </w:rPr>
          <w:tab/>
        </w:r>
        <w:r w:rsidRPr="006F6171">
          <w:rPr>
            <w:noProof/>
            <w:webHidden/>
          </w:rPr>
          <w:fldChar w:fldCharType="begin"/>
        </w:r>
        <w:r w:rsidRPr="006F6171">
          <w:rPr>
            <w:noProof/>
            <w:webHidden/>
          </w:rPr>
          <w:instrText xml:space="preserve"> PAGEREF _Toc531341080 \h </w:instrText>
        </w:r>
        <w:r w:rsidRPr="006F6171">
          <w:rPr>
            <w:noProof/>
            <w:webHidden/>
          </w:rPr>
        </w:r>
        <w:r w:rsidRPr="006F6171">
          <w:rPr>
            <w:noProof/>
            <w:webHidden/>
          </w:rPr>
          <w:fldChar w:fldCharType="separate"/>
        </w:r>
        <w:r w:rsidR="00085BA1">
          <w:rPr>
            <w:noProof/>
            <w:webHidden/>
          </w:rPr>
          <w:t>23</w:t>
        </w:r>
        <w:r w:rsidRPr="006F6171">
          <w:rPr>
            <w:noProof/>
            <w:webHidden/>
          </w:rPr>
          <w:fldChar w:fldCharType="end"/>
        </w:r>
      </w:hyperlink>
    </w:p>
    <w:p w14:paraId="17A34BB5" w14:textId="433E3364" w:rsidR="00D46A6B" w:rsidRPr="006F6171" w:rsidRDefault="008E1F8F" w:rsidP="00D46A6B">
      <w:pPr>
        <w:pStyle w:val="TOC1"/>
        <w:rPr>
          <w:noProof/>
        </w:rPr>
      </w:pPr>
      <w:hyperlink w:anchor="_Toc531341081" w:history="1">
        <w:r w:rsidRPr="006F6171">
          <w:rPr>
            <w:rStyle w:val="Hyperlink"/>
            <w:noProof/>
          </w:rPr>
          <w:t>SECTION 10: MONITORING</w:t>
        </w:r>
        <w:r w:rsidRPr="006F6171">
          <w:rPr>
            <w:noProof/>
            <w:webHidden/>
          </w:rPr>
          <w:tab/>
        </w:r>
        <w:r w:rsidRPr="006F6171">
          <w:rPr>
            <w:noProof/>
            <w:webHidden/>
          </w:rPr>
          <w:fldChar w:fldCharType="begin"/>
        </w:r>
        <w:r w:rsidRPr="006F6171">
          <w:rPr>
            <w:noProof/>
            <w:webHidden/>
          </w:rPr>
          <w:instrText xml:space="preserve"> PAGEREF _Toc531341081 \h </w:instrText>
        </w:r>
        <w:r w:rsidRPr="006F6171">
          <w:rPr>
            <w:noProof/>
            <w:webHidden/>
          </w:rPr>
        </w:r>
        <w:r w:rsidRPr="006F6171">
          <w:rPr>
            <w:noProof/>
            <w:webHidden/>
          </w:rPr>
          <w:fldChar w:fldCharType="separate"/>
        </w:r>
        <w:r w:rsidR="00085BA1">
          <w:rPr>
            <w:noProof/>
            <w:webHidden/>
          </w:rPr>
          <w:t>23</w:t>
        </w:r>
        <w:r w:rsidRPr="006F6171">
          <w:rPr>
            <w:noProof/>
            <w:webHidden/>
          </w:rPr>
          <w:fldChar w:fldCharType="end"/>
        </w:r>
      </w:hyperlink>
    </w:p>
    <w:p w14:paraId="6E9C15C0" w14:textId="3E2FACDA" w:rsidR="008E1F8F" w:rsidRPr="006F6171" w:rsidRDefault="008E1F8F" w:rsidP="008E1F8F">
      <w:pPr>
        <w:pStyle w:val="TOC1"/>
        <w:rPr>
          <w:rFonts w:eastAsiaTheme="minorEastAsia" w:cstheme="minorBidi"/>
          <w:noProof/>
          <w:sz w:val="22"/>
          <w:szCs w:val="22"/>
        </w:rPr>
      </w:pPr>
      <w:hyperlink w:anchor="_Toc531341082" w:history="1">
        <w:r w:rsidRPr="006F6171">
          <w:rPr>
            <w:rStyle w:val="Hyperlink"/>
            <w:noProof/>
          </w:rPr>
          <w:t>SECTION 11: GENERAL</w:t>
        </w:r>
        <w:r w:rsidRPr="006F6171">
          <w:rPr>
            <w:noProof/>
            <w:webHidden/>
          </w:rPr>
          <w:tab/>
        </w:r>
        <w:r w:rsidRPr="006F6171">
          <w:rPr>
            <w:noProof/>
            <w:webHidden/>
          </w:rPr>
          <w:fldChar w:fldCharType="begin"/>
        </w:r>
        <w:r w:rsidRPr="006F6171">
          <w:rPr>
            <w:noProof/>
            <w:webHidden/>
          </w:rPr>
          <w:instrText xml:space="preserve"> PAGEREF _Toc531341082 \h </w:instrText>
        </w:r>
        <w:r w:rsidRPr="006F6171">
          <w:rPr>
            <w:noProof/>
            <w:webHidden/>
          </w:rPr>
        </w:r>
        <w:r w:rsidRPr="006F6171">
          <w:rPr>
            <w:noProof/>
            <w:webHidden/>
          </w:rPr>
          <w:fldChar w:fldCharType="separate"/>
        </w:r>
        <w:r w:rsidR="00085BA1">
          <w:rPr>
            <w:noProof/>
            <w:webHidden/>
          </w:rPr>
          <w:t>26</w:t>
        </w:r>
        <w:r w:rsidRPr="006F6171">
          <w:rPr>
            <w:noProof/>
            <w:webHidden/>
          </w:rPr>
          <w:fldChar w:fldCharType="end"/>
        </w:r>
      </w:hyperlink>
    </w:p>
    <w:p w14:paraId="74FB4D06" w14:textId="3937CFFA" w:rsidR="008E1F8F" w:rsidRPr="006F6171" w:rsidRDefault="008E1F8F" w:rsidP="008E1F8F">
      <w:pPr>
        <w:pStyle w:val="TOC1"/>
        <w:rPr>
          <w:noProof/>
        </w:rPr>
      </w:pPr>
      <w:hyperlink w:anchor="_Toc531341083" w:history="1">
        <w:r w:rsidRPr="006F6171">
          <w:rPr>
            <w:rStyle w:val="Hyperlink"/>
            <w:noProof/>
          </w:rPr>
          <w:t>STATUTORY AUTHORITY</w:t>
        </w:r>
        <w:r w:rsidRPr="006F6171">
          <w:rPr>
            <w:noProof/>
            <w:webHidden/>
          </w:rPr>
          <w:tab/>
        </w:r>
        <w:r w:rsidRPr="006F6171">
          <w:rPr>
            <w:noProof/>
            <w:webHidden/>
          </w:rPr>
          <w:fldChar w:fldCharType="begin"/>
        </w:r>
        <w:r w:rsidRPr="006F6171">
          <w:rPr>
            <w:noProof/>
            <w:webHidden/>
          </w:rPr>
          <w:instrText xml:space="preserve"> PAGEREF _Toc531341083 \h </w:instrText>
        </w:r>
        <w:r w:rsidRPr="006F6171">
          <w:rPr>
            <w:noProof/>
            <w:webHidden/>
          </w:rPr>
        </w:r>
        <w:r w:rsidRPr="006F6171">
          <w:rPr>
            <w:noProof/>
            <w:webHidden/>
          </w:rPr>
          <w:fldChar w:fldCharType="separate"/>
        </w:r>
        <w:r w:rsidR="00085BA1">
          <w:rPr>
            <w:noProof/>
            <w:webHidden/>
          </w:rPr>
          <w:t>27</w:t>
        </w:r>
        <w:r w:rsidRPr="006F6171">
          <w:rPr>
            <w:noProof/>
            <w:webHidden/>
          </w:rPr>
          <w:fldChar w:fldCharType="end"/>
        </w:r>
      </w:hyperlink>
    </w:p>
    <w:p w14:paraId="67C6DD22" w14:textId="76ADF2BF" w:rsidR="00D46A6B" w:rsidRPr="006F6171" w:rsidRDefault="00D46A6B" w:rsidP="00D46A6B">
      <w:pPr>
        <w:pStyle w:val="TOC1"/>
        <w:rPr>
          <w:rFonts w:eastAsiaTheme="minorEastAsia" w:cstheme="minorBidi"/>
          <w:noProof/>
          <w:sz w:val="22"/>
          <w:szCs w:val="22"/>
        </w:rPr>
      </w:pPr>
      <w:hyperlink w:anchor="_Toc531341082" w:history="1">
        <w:r w:rsidRPr="006F6171">
          <w:rPr>
            <w:rStyle w:val="Hyperlink"/>
            <w:noProof/>
          </w:rPr>
          <w:t>BASIS STATEMENT</w:t>
        </w:r>
        <w:r w:rsidRPr="006F6171">
          <w:rPr>
            <w:noProof/>
            <w:webHidden/>
          </w:rPr>
          <w:tab/>
        </w:r>
        <w:r w:rsidRPr="006F6171">
          <w:rPr>
            <w:noProof/>
            <w:webHidden/>
          </w:rPr>
          <w:fldChar w:fldCharType="begin"/>
        </w:r>
        <w:r w:rsidRPr="006F6171">
          <w:rPr>
            <w:noProof/>
            <w:webHidden/>
          </w:rPr>
          <w:instrText xml:space="preserve"> PAGEREF _Toc531341082 \h </w:instrText>
        </w:r>
        <w:r w:rsidRPr="006F6171">
          <w:rPr>
            <w:noProof/>
            <w:webHidden/>
          </w:rPr>
        </w:r>
        <w:r w:rsidRPr="006F6171">
          <w:rPr>
            <w:noProof/>
            <w:webHidden/>
          </w:rPr>
          <w:fldChar w:fldCharType="separate"/>
        </w:r>
        <w:r w:rsidR="00085BA1">
          <w:rPr>
            <w:noProof/>
            <w:webHidden/>
          </w:rPr>
          <w:t>26</w:t>
        </w:r>
        <w:r w:rsidRPr="006F6171">
          <w:rPr>
            <w:noProof/>
            <w:webHidden/>
          </w:rPr>
          <w:fldChar w:fldCharType="end"/>
        </w:r>
      </w:hyperlink>
    </w:p>
    <w:p w14:paraId="531E483A" w14:textId="0A4684DF" w:rsidR="00D46A6B" w:rsidRPr="006F6171" w:rsidRDefault="00D46A6B" w:rsidP="0091052D">
      <w:pPr>
        <w:pStyle w:val="TOC1"/>
        <w:rPr>
          <w:noProof/>
        </w:rPr>
      </w:pPr>
      <w:r w:rsidRPr="006F6171">
        <w:rPr>
          <w:noProof/>
        </w:rPr>
        <w:t>FISCAL IMPACT OF THE RULE</w:t>
      </w:r>
      <w:hyperlink w:anchor="_Toc531341083" w:history="1">
        <w:r w:rsidRPr="006F6171">
          <w:rPr>
            <w:noProof/>
            <w:webHidden/>
          </w:rPr>
          <w:tab/>
        </w:r>
        <w:r w:rsidR="0091052D" w:rsidRPr="006F6171">
          <w:rPr>
            <w:noProof/>
            <w:webHidden/>
          </w:rPr>
          <w:t>30</w:t>
        </w:r>
      </w:hyperlink>
    </w:p>
    <w:p w14:paraId="4BC5C1F8" w14:textId="77777777" w:rsidR="0091052D" w:rsidRPr="006F6171" w:rsidRDefault="008E1F8F" w:rsidP="0091052D">
      <w:pPr>
        <w:pStyle w:val="TOC1"/>
        <w:contextualSpacing/>
      </w:pPr>
      <w:r w:rsidRPr="006F6171">
        <w:fldChar w:fldCharType="end"/>
      </w:r>
    </w:p>
    <w:p w14:paraId="7CAF2C52" w14:textId="77777777" w:rsidR="0091052D" w:rsidRPr="006F6171" w:rsidRDefault="0091052D" w:rsidP="0091052D">
      <w:pPr>
        <w:pStyle w:val="TOC1"/>
        <w:contextualSpacing/>
      </w:pPr>
      <w:r w:rsidRPr="006F6171">
        <w:t>APPENDICES:</w:t>
      </w:r>
    </w:p>
    <w:p w14:paraId="67442ED6" w14:textId="77777777" w:rsidR="0091052D" w:rsidRPr="006F6171" w:rsidRDefault="0091052D" w:rsidP="0091052D">
      <w:pPr>
        <w:pStyle w:val="TOC1"/>
        <w:tabs>
          <w:tab w:val="clear" w:pos="9000"/>
          <w:tab w:val="clear" w:pos="9360"/>
        </w:tabs>
        <w:ind w:left="0" w:right="0" w:firstLine="0"/>
        <w:contextualSpacing/>
      </w:pPr>
    </w:p>
    <w:p w14:paraId="3DC5BB0F" w14:textId="2BB6C9C3" w:rsidR="0091052D" w:rsidRPr="006F6171" w:rsidRDefault="0091052D" w:rsidP="00ED2A7C">
      <w:pPr>
        <w:pStyle w:val="TOC1"/>
        <w:tabs>
          <w:tab w:val="clear" w:pos="9000"/>
          <w:tab w:val="clear" w:pos="9360"/>
          <w:tab w:val="left" w:pos="720"/>
          <w:tab w:val="left" w:pos="1440"/>
          <w:tab w:val="left" w:pos="2160"/>
          <w:tab w:val="left" w:pos="9091"/>
        </w:tabs>
        <w:ind w:left="1620" w:right="0" w:hanging="1620"/>
        <w:contextualSpacing/>
      </w:pPr>
      <w:r w:rsidRPr="006F6171">
        <w:t>APPENDIX A:</w:t>
      </w:r>
      <w:r w:rsidRPr="006F6171">
        <w:tab/>
        <w:t>Definitions</w:t>
      </w:r>
      <w:r w:rsidR="00ED2A7C">
        <w:tab/>
      </w:r>
    </w:p>
    <w:p w14:paraId="65A5F6D4" w14:textId="77777777" w:rsidR="0091052D" w:rsidRPr="006F6171" w:rsidRDefault="0091052D" w:rsidP="0091052D">
      <w:pPr>
        <w:pStyle w:val="TOC1"/>
        <w:tabs>
          <w:tab w:val="clear" w:pos="9000"/>
          <w:tab w:val="clear" w:pos="9360"/>
        </w:tabs>
        <w:ind w:left="1620" w:right="0" w:hanging="1620"/>
        <w:contextualSpacing/>
      </w:pPr>
      <w:r w:rsidRPr="006F6171">
        <w:t>APPENDIX B:</w:t>
      </w:r>
      <w:r w:rsidRPr="006F6171">
        <w:tab/>
        <w:t>Pre-Application Submission Requirements</w:t>
      </w:r>
    </w:p>
    <w:p w14:paraId="2AFB0EB0" w14:textId="77777777" w:rsidR="0091052D" w:rsidRPr="006F6171" w:rsidRDefault="0091052D" w:rsidP="0091052D">
      <w:pPr>
        <w:pStyle w:val="TOC1"/>
        <w:tabs>
          <w:tab w:val="clear" w:pos="9000"/>
          <w:tab w:val="clear" w:pos="9360"/>
        </w:tabs>
        <w:ind w:left="1620" w:right="0" w:hanging="1620"/>
        <w:contextualSpacing/>
      </w:pPr>
      <w:r w:rsidRPr="006F6171">
        <w:t>APPENDIX C:</w:t>
      </w:r>
      <w:r w:rsidRPr="006F6171">
        <w:tab/>
        <w:t>Capital Needs Assessment Requirements</w:t>
      </w:r>
    </w:p>
    <w:p w14:paraId="7C6F5073" w14:textId="77777777" w:rsidR="0091052D" w:rsidRPr="006F6171" w:rsidRDefault="0091052D" w:rsidP="0091052D">
      <w:pPr>
        <w:pStyle w:val="TOC1"/>
        <w:tabs>
          <w:tab w:val="clear" w:pos="9000"/>
          <w:tab w:val="clear" w:pos="9360"/>
        </w:tabs>
        <w:ind w:left="1620" w:right="0" w:hanging="1620"/>
        <w:contextualSpacing/>
      </w:pPr>
      <w:r w:rsidRPr="006F6171">
        <w:t>APPENDIX D:</w:t>
      </w:r>
      <w:r w:rsidRPr="006F6171">
        <w:tab/>
        <w:t>Owner’s Certificate of Continuing Program Compliance</w:t>
      </w:r>
    </w:p>
    <w:p w14:paraId="556E35CD" w14:textId="77777777" w:rsidR="0091052D" w:rsidRPr="006F6171" w:rsidRDefault="0091052D" w:rsidP="0091052D">
      <w:pPr>
        <w:pStyle w:val="TOC1"/>
        <w:tabs>
          <w:tab w:val="clear" w:pos="9000"/>
          <w:tab w:val="clear" w:pos="9360"/>
        </w:tabs>
        <w:ind w:left="1620" w:right="0" w:hanging="1620"/>
        <w:contextualSpacing/>
        <w:sectPr w:rsidR="0091052D" w:rsidRPr="006F6171" w:rsidSect="000E08F1">
          <w:headerReference w:type="default" r:id="rId11"/>
          <w:footerReference w:type="default" r:id="rId12"/>
          <w:endnotePr>
            <w:numFmt w:val="decimal"/>
          </w:endnotePr>
          <w:pgSz w:w="12240" w:h="15840" w:code="1"/>
          <w:pgMar w:top="720" w:right="720" w:bottom="720" w:left="720" w:header="1440" w:footer="720" w:gutter="0"/>
          <w:paperSrc w:first="7" w:other="7"/>
          <w:pgNumType w:start="1"/>
          <w:cols w:space="720"/>
          <w:noEndnote/>
          <w:docGrid w:linePitch="326"/>
        </w:sectPr>
      </w:pPr>
      <w:r w:rsidRPr="006F6171">
        <w:t xml:space="preserve">APPENDIX E: </w:t>
      </w:r>
      <w:r w:rsidRPr="006F6171">
        <w:tab/>
        <w:t xml:space="preserve">Requirements for Purchase Options and Rights of First Refusal     </w:t>
      </w:r>
    </w:p>
    <w:p w14:paraId="0012D437" w14:textId="77777777" w:rsidR="00995E15" w:rsidRPr="006F6171" w:rsidRDefault="00995E15" w:rsidP="0014538F">
      <w:pPr>
        <w:pStyle w:val="TOC1"/>
        <w:tabs>
          <w:tab w:val="left" w:pos="1440"/>
        </w:tabs>
        <w:spacing w:before="0" w:after="0"/>
        <w:ind w:left="1440" w:hanging="1440"/>
        <w:rPr>
          <w:szCs w:val="24"/>
        </w:rPr>
      </w:pPr>
      <w:r w:rsidRPr="006F6171">
        <w:rPr>
          <w:b/>
          <w:szCs w:val="24"/>
        </w:rPr>
        <w:lastRenderedPageBreak/>
        <w:t>99-346</w:t>
      </w:r>
      <w:r w:rsidRPr="006F6171">
        <w:rPr>
          <w:b/>
          <w:szCs w:val="24"/>
        </w:rPr>
        <w:tab/>
        <w:t>MAINE STATE HOUSING AUTHORITY</w:t>
      </w:r>
    </w:p>
    <w:p w14:paraId="6D63F42E" w14:textId="77777777" w:rsidR="00995E15" w:rsidRPr="006F6171" w:rsidRDefault="00995E15" w:rsidP="00A910BA">
      <w:pPr>
        <w:tabs>
          <w:tab w:val="left" w:pos="720"/>
          <w:tab w:val="left" w:pos="1440"/>
          <w:tab w:val="left" w:pos="2160"/>
          <w:tab w:val="left" w:pos="2880"/>
          <w:tab w:val="left" w:pos="3600"/>
        </w:tabs>
        <w:rPr>
          <w:szCs w:val="24"/>
        </w:rPr>
      </w:pPr>
    </w:p>
    <w:p w14:paraId="2E9B7D61" w14:textId="77777777" w:rsidR="00995E15" w:rsidRPr="006F6171" w:rsidRDefault="00995E15" w:rsidP="00A910BA">
      <w:pPr>
        <w:tabs>
          <w:tab w:val="left" w:pos="720"/>
          <w:tab w:val="left" w:pos="1440"/>
          <w:tab w:val="left" w:pos="2160"/>
          <w:tab w:val="left" w:pos="2880"/>
          <w:tab w:val="left" w:pos="3600"/>
        </w:tabs>
        <w:rPr>
          <w:b/>
          <w:szCs w:val="24"/>
        </w:rPr>
      </w:pPr>
      <w:r w:rsidRPr="006F6171">
        <w:rPr>
          <w:b/>
          <w:szCs w:val="24"/>
        </w:rPr>
        <w:t>Chapter 16</w:t>
      </w:r>
      <w:r w:rsidRPr="006F6171">
        <w:rPr>
          <w:szCs w:val="24"/>
        </w:rPr>
        <w:t>:</w:t>
      </w:r>
      <w:r w:rsidRPr="006F6171">
        <w:rPr>
          <w:szCs w:val="24"/>
        </w:rPr>
        <w:tab/>
      </w:r>
      <w:r w:rsidRPr="006F6171">
        <w:rPr>
          <w:b/>
          <w:szCs w:val="24"/>
        </w:rPr>
        <w:t>LOW-INCOME HOUSING TAX CREDIT RULE</w:t>
      </w:r>
    </w:p>
    <w:p w14:paraId="1E25AC4F" w14:textId="77777777" w:rsidR="00995E15" w:rsidRPr="006F6171" w:rsidRDefault="00995E15" w:rsidP="00085E0B">
      <w:pPr>
        <w:pBdr>
          <w:bottom w:val="single" w:sz="4" w:space="1" w:color="auto"/>
        </w:pBdr>
        <w:tabs>
          <w:tab w:val="left" w:pos="720"/>
          <w:tab w:val="left" w:pos="1440"/>
          <w:tab w:val="left" w:pos="2160"/>
          <w:tab w:val="left" w:pos="2880"/>
          <w:tab w:val="left" w:pos="3600"/>
        </w:tabs>
        <w:rPr>
          <w:szCs w:val="24"/>
        </w:rPr>
      </w:pPr>
    </w:p>
    <w:p w14:paraId="265023C6" w14:textId="77777777" w:rsidR="0099535C" w:rsidRPr="006F6171" w:rsidRDefault="0099535C" w:rsidP="00085E0B">
      <w:pPr>
        <w:tabs>
          <w:tab w:val="left" w:pos="-720"/>
        </w:tabs>
        <w:suppressAutoHyphens/>
        <w:rPr>
          <w:szCs w:val="24"/>
        </w:rPr>
      </w:pPr>
    </w:p>
    <w:p w14:paraId="6B792AEF" w14:textId="77777777" w:rsidR="00995E15" w:rsidRPr="006F6171" w:rsidRDefault="00995E15" w:rsidP="003E018A">
      <w:pPr>
        <w:pStyle w:val="Heading1"/>
      </w:pPr>
      <w:bookmarkStart w:id="0" w:name="_Toc531341068"/>
      <w:r w:rsidRPr="006F6171">
        <w:t xml:space="preserve">SECTION </w:t>
      </w:r>
      <w:r w:rsidR="003E018A" w:rsidRPr="006F6171">
        <w:t>1:</w:t>
      </w:r>
      <w:r w:rsidR="0014538F" w:rsidRPr="006F6171">
        <w:tab/>
      </w:r>
      <w:r w:rsidR="00F070E5" w:rsidRPr="006F6171">
        <w:t>INTRODUCTION</w:t>
      </w:r>
      <w:bookmarkEnd w:id="0"/>
    </w:p>
    <w:p w14:paraId="22710205" w14:textId="77777777" w:rsidR="00995E15" w:rsidRPr="006F6171" w:rsidRDefault="00995E15" w:rsidP="00085E0B">
      <w:pPr>
        <w:tabs>
          <w:tab w:val="left" w:pos="-720"/>
        </w:tabs>
        <w:suppressAutoHyphens/>
        <w:rPr>
          <w:szCs w:val="24"/>
        </w:rPr>
      </w:pPr>
    </w:p>
    <w:p w14:paraId="64674292" w14:textId="395B39A6" w:rsidR="00857173" w:rsidRPr="006F6171" w:rsidRDefault="0099535C" w:rsidP="00857173">
      <w:pPr>
        <w:pStyle w:val="BodyTextIndent2"/>
        <w:spacing w:after="0" w:line="240" w:lineRule="auto"/>
        <w:ind w:left="0"/>
        <w:jc w:val="both"/>
        <w:rPr>
          <w:color w:val="333333"/>
        </w:rPr>
      </w:pPr>
      <w:r w:rsidRPr="006F6171">
        <w:rPr>
          <w:szCs w:val="24"/>
        </w:rPr>
        <w:t xml:space="preserve">The federal </w:t>
      </w:r>
      <w:r w:rsidR="008416BF" w:rsidRPr="006F6171">
        <w:rPr>
          <w:szCs w:val="24"/>
        </w:rPr>
        <w:t>Low-I</w:t>
      </w:r>
      <w:r w:rsidRPr="006F6171">
        <w:rPr>
          <w:szCs w:val="24"/>
        </w:rPr>
        <w:t xml:space="preserve">ncome </w:t>
      </w:r>
      <w:r w:rsidR="008416BF" w:rsidRPr="006F6171">
        <w:rPr>
          <w:szCs w:val="24"/>
        </w:rPr>
        <w:t>H</w:t>
      </w:r>
      <w:r w:rsidRPr="006F6171">
        <w:rPr>
          <w:szCs w:val="24"/>
        </w:rPr>
        <w:t xml:space="preserve">ousing </w:t>
      </w:r>
      <w:r w:rsidR="008416BF" w:rsidRPr="006F6171">
        <w:rPr>
          <w:szCs w:val="24"/>
        </w:rPr>
        <w:t>Tax C</w:t>
      </w:r>
      <w:r w:rsidRPr="006F6171">
        <w:rPr>
          <w:szCs w:val="24"/>
        </w:rPr>
        <w:t xml:space="preserve">redit </w:t>
      </w:r>
      <w:r w:rsidR="00831567" w:rsidRPr="006F6171">
        <w:rPr>
          <w:szCs w:val="24"/>
        </w:rPr>
        <w:t xml:space="preserve">(LIHTC) </w:t>
      </w:r>
      <w:r w:rsidRPr="006F6171">
        <w:rPr>
          <w:szCs w:val="24"/>
        </w:rPr>
        <w:t xml:space="preserve">was created by the Tax Reform Act of 1986 to encourage private capital investment </w:t>
      </w:r>
      <w:r w:rsidR="00BA0E05" w:rsidRPr="006F6171">
        <w:rPr>
          <w:szCs w:val="24"/>
        </w:rPr>
        <w:t xml:space="preserve">in the development of </w:t>
      </w:r>
      <w:r w:rsidRPr="006F6171">
        <w:rPr>
          <w:szCs w:val="24"/>
        </w:rPr>
        <w:t>afford</w:t>
      </w:r>
      <w:r w:rsidR="00BA0E05" w:rsidRPr="006F6171">
        <w:rPr>
          <w:szCs w:val="24"/>
        </w:rPr>
        <w:t xml:space="preserve">able </w:t>
      </w:r>
      <w:r w:rsidR="00F34421" w:rsidRPr="006F6171">
        <w:rPr>
          <w:szCs w:val="24"/>
        </w:rPr>
        <w:t>rental housing.</w:t>
      </w:r>
      <w:r w:rsidR="00BB3D09" w:rsidRPr="006F6171">
        <w:rPr>
          <w:szCs w:val="24"/>
        </w:rPr>
        <w:t xml:space="preserve"> </w:t>
      </w:r>
      <w:r w:rsidR="00F34421" w:rsidRPr="006F6171">
        <w:rPr>
          <w:szCs w:val="24"/>
        </w:rPr>
        <w:t>It</w:t>
      </w:r>
      <w:r w:rsidR="00E93913" w:rsidRPr="006F6171">
        <w:rPr>
          <w:szCs w:val="24"/>
        </w:rPr>
        <w:t xml:space="preserve"> </w:t>
      </w:r>
      <w:r w:rsidRPr="006F6171">
        <w:rPr>
          <w:szCs w:val="24"/>
        </w:rPr>
        <w:t xml:space="preserve">is governed by </w:t>
      </w:r>
      <w:hyperlink r:id="rId13" w:history="1">
        <w:r w:rsidRPr="006F6171">
          <w:rPr>
            <w:rStyle w:val="Hyperlink"/>
            <w:szCs w:val="24"/>
          </w:rPr>
          <w:t>Section 42</w:t>
        </w:r>
      </w:hyperlink>
      <w:r w:rsidRPr="006F6171">
        <w:rPr>
          <w:szCs w:val="24"/>
        </w:rPr>
        <w:t xml:space="preserve"> of the Internal Revenue Code of 1986, as amended, and associated regulations.</w:t>
      </w:r>
      <w:r w:rsidR="00BB3D09" w:rsidRPr="006F6171">
        <w:rPr>
          <w:szCs w:val="24"/>
        </w:rPr>
        <w:t xml:space="preserve"> </w:t>
      </w:r>
      <w:r w:rsidR="00E93913" w:rsidRPr="006F6171">
        <w:rPr>
          <w:szCs w:val="24"/>
        </w:rPr>
        <w:t xml:space="preserve">As the designated housing credit agency for the State of Maine, MaineHousing is required by </w:t>
      </w:r>
      <w:hyperlink r:id="rId14" w:history="1">
        <w:r w:rsidR="00794CDE" w:rsidRPr="006F6171">
          <w:rPr>
            <w:rStyle w:val="Hyperlink"/>
            <w:szCs w:val="24"/>
          </w:rPr>
          <w:t>Section 42</w:t>
        </w:r>
      </w:hyperlink>
      <w:r w:rsidR="00794CDE" w:rsidRPr="006F6171">
        <w:rPr>
          <w:szCs w:val="24"/>
        </w:rPr>
        <w:t xml:space="preserve"> of the Code and </w:t>
      </w:r>
      <w:hyperlink r:id="rId15" w:history="1">
        <w:r w:rsidR="00794CDE" w:rsidRPr="006F6171">
          <w:rPr>
            <w:rStyle w:val="Hyperlink"/>
            <w:szCs w:val="24"/>
          </w:rPr>
          <w:t>30-A MRS §§4741(1) and (14)</w:t>
        </w:r>
      </w:hyperlink>
      <w:r w:rsidR="00794CDE" w:rsidRPr="006F6171">
        <w:rPr>
          <w:szCs w:val="24"/>
        </w:rPr>
        <w:t xml:space="preserve"> </w:t>
      </w:r>
      <w:r w:rsidR="00F34421" w:rsidRPr="006F6171">
        <w:rPr>
          <w:szCs w:val="24"/>
        </w:rPr>
        <w:t xml:space="preserve">to adopt a </w:t>
      </w:r>
      <w:r w:rsidR="008E58C0" w:rsidRPr="006F6171">
        <w:rPr>
          <w:szCs w:val="24"/>
        </w:rPr>
        <w:t>Q</w:t>
      </w:r>
      <w:r w:rsidR="00F34421" w:rsidRPr="006F6171">
        <w:rPr>
          <w:szCs w:val="24"/>
        </w:rPr>
        <w:t xml:space="preserve">ualified </w:t>
      </w:r>
      <w:r w:rsidR="008E58C0" w:rsidRPr="006F6171">
        <w:rPr>
          <w:szCs w:val="24"/>
        </w:rPr>
        <w:t>A</w:t>
      </w:r>
      <w:r w:rsidR="00F34421" w:rsidRPr="006F6171">
        <w:rPr>
          <w:szCs w:val="24"/>
        </w:rPr>
        <w:t xml:space="preserve">llocation </w:t>
      </w:r>
      <w:r w:rsidR="008E58C0" w:rsidRPr="006F6171">
        <w:rPr>
          <w:szCs w:val="24"/>
        </w:rPr>
        <w:t>P</w:t>
      </w:r>
      <w:r w:rsidRPr="006F6171">
        <w:rPr>
          <w:szCs w:val="24"/>
        </w:rPr>
        <w:t xml:space="preserve">lan </w:t>
      </w:r>
      <w:r w:rsidR="006F2A5C" w:rsidRPr="006F6171">
        <w:rPr>
          <w:szCs w:val="24"/>
        </w:rPr>
        <w:t xml:space="preserve">(QAP) </w:t>
      </w:r>
      <w:r w:rsidRPr="006F6171">
        <w:rPr>
          <w:szCs w:val="24"/>
        </w:rPr>
        <w:t>for alloca</w:t>
      </w:r>
      <w:r w:rsidR="00831567" w:rsidRPr="006F6171">
        <w:rPr>
          <w:szCs w:val="24"/>
        </w:rPr>
        <w:t>ting and administering LIHTC</w:t>
      </w:r>
      <w:r w:rsidR="006F2A5C" w:rsidRPr="006F6171">
        <w:rPr>
          <w:szCs w:val="24"/>
        </w:rPr>
        <w:t>;</w:t>
      </w:r>
      <w:r w:rsidR="00BB3D09" w:rsidRPr="006F6171">
        <w:rPr>
          <w:szCs w:val="24"/>
        </w:rPr>
        <w:t xml:space="preserve"> </w:t>
      </w:r>
      <w:r w:rsidR="006F2A5C" w:rsidRPr="006F6171">
        <w:rPr>
          <w:szCs w:val="24"/>
        </w:rPr>
        <w:t>t</w:t>
      </w:r>
      <w:r w:rsidR="00831567" w:rsidRPr="006F6171">
        <w:rPr>
          <w:szCs w:val="24"/>
        </w:rPr>
        <w:t>his rule is the State’s</w:t>
      </w:r>
      <w:r w:rsidRPr="006F6171">
        <w:rPr>
          <w:szCs w:val="24"/>
        </w:rPr>
        <w:t xml:space="preserve"> </w:t>
      </w:r>
      <w:r w:rsidR="006F2A5C" w:rsidRPr="006F6171">
        <w:rPr>
          <w:szCs w:val="24"/>
        </w:rPr>
        <w:t>QAP</w:t>
      </w:r>
      <w:r w:rsidR="00857173" w:rsidRPr="006F6171">
        <w:rPr>
          <w:szCs w:val="24"/>
        </w:rPr>
        <w:t xml:space="preserve">.  </w:t>
      </w:r>
    </w:p>
    <w:p w14:paraId="6871C330" w14:textId="77777777" w:rsidR="0099535C" w:rsidRPr="006F6171" w:rsidRDefault="00F34421" w:rsidP="008416BF">
      <w:pPr>
        <w:jc w:val="both"/>
        <w:rPr>
          <w:szCs w:val="24"/>
        </w:rPr>
      </w:pPr>
      <w:r w:rsidRPr="006F6171">
        <w:rPr>
          <w:szCs w:val="24"/>
        </w:rPr>
        <w:br/>
      </w:r>
      <w:r w:rsidR="0099535C" w:rsidRPr="006F6171">
        <w:rPr>
          <w:szCs w:val="24"/>
        </w:rPr>
        <w:t xml:space="preserve">This rule repeals and replaces in its entirety the prior Chapter 16, </w:t>
      </w:r>
      <w:r w:rsidR="0099535C" w:rsidRPr="006F6171">
        <w:rPr>
          <w:i/>
          <w:szCs w:val="24"/>
        </w:rPr>
        <w:t>Low Income Housing Tax Credit Rule</w:t>
      </w:r>
      <w:r w:rsidR="0099535C" w:rsidRPr="006F6171">
        <w:rPr>
          <w:szCs w:val="24"/>
        </w:rPr>
        <w:t xml:space="preserve">, except that the allocation provisions continue to apply to projects that were awarded </w:t>
      </w:r>
      <w:r w:rsidR="00831567" w:rsidRPr="006F6171">
        <w:rPr>
          <w:szCs w:val="24"/>
        </w:rPr>
        <w:t>LIHTC</w:t>
      </w:r>
      <w:r w:rsidR="0099535C" w:rsidRPr="006F6171">
        <w:rPr>
          <w:szCs w:val="24"/>
        </w:rPr>
        <w:t xml:space="preserve"> under </w:t>
      </w:r>
      <w:r w:rsidR="00240D43" w:rsidRPr="006F6171">
        <w:rPr>
          <w:szCs w:val="24"/>
        </w:rPr>
        <w:t>a</w:t>
      </w:r>
      <w:r w:rsidR="0099535C" w:rsidRPr="006F6171">
        <w:rPr>
          <w:szCs w:val="24"/>
        </w:rPr>
        <w:t xml:space="preserve"> prior rule, or a program su</w:t>
      </w:r>
      <w:r w:rsidR="0085777A" w:rsidRPr="006F6171">
        <w:rPr>
          <w:szCs w:val="24"/>
        </w:rPr>
        <w:t xml:space="preserve">bject to </w:t>
      </w:r>
      <w:r w:rsidR="00240D43" w:rsidRPr="006F6171">
        <w:rPr>
          <w:szCs w:val="24"/>
        </w:rPr>
        <w:t>a</w:t>
      </w:r>
      <w:r w:rsidR="0085777A" w:rsidRPr="006F6171">
        <w:rPr>
          <w:szCs w:val="24"/>
        </w:rPr>
        <w:t xml:space="preserve"> prior rule</w:t>
      </w:r>
      <w:r w:rsidR="0099535C" w:rsidRPr="006F6171">
        <w:rPr>
          <w:szCs w:val="24"/>
        </w:rPr>
        <w:t>.</w:t>
      </w:r>
      <w:r w:rsidR="00BB3D09" w:rsidRPr="006F6171">
        <w:rPr>
          <w:szCs w:val="24"/>
        </w:rPr>
        <w:t xml:space="preserve"> </w:t>
      </w:r>
    </w:p>
    <w:p w14:paraId="6F59F4B5" w14:textId="77777777" w:rsidR="0099535C" w:rsidRPr="006F6171" w:rsidRDefault="0099535C" w:rsidP="008416BF">
      <w:pPr>
        <w:tabs>
          <w:tab w:val="left" w:pos="-720"/>
        </w:tabs>
        <w:suppressAutoHyphens/>
        <w:jc w:val="both"/>
        <w:rPr>
          <w:szCs w:val="24"/>
        </w:rPr>
      </w:pPr>
    </w:p>
    <w:p w14:paraId="690DAFA6" w14:textId="77777777" w:rsidR="003E1DDD" w:rsidRPr="006F6171" w:rsidRDefault="00A322DB" w:rsidP="008416BF">
      <w:pPr>
        <w:pStyle w:val="BodyTextIndent2"/>
        <w:tabs>
          <w:tab w:val="left" w:pos="-720"/>
        </w:tabs>
        <w:suppressAutoHyphens/>
        <w:spacing w:after="0" w:line="240" w:lineRule="auto"/>
        <w:ind w:left="0"/>
        <w:jc w:val="both"/>
        <w:rPr>
          <w:color w:val="333333"/>
        </w:rPr>
      </w:pPr>
      <w:r w:rsidRPr="006F6171">
        <w:rPr>
          <w:szCs w:val="24"/>
        </w:rPr>
        <w:t xml:space="preserve">Capitalized terms used in this rule </w:t>
      </w:r>
      <w:r w:rsidRPr="006F6171">
        <w:rPr>
          <w:color w:val="333333"/>
        </w:rPr>
        <w:t xml:space="preserve">are defined in </w:t>
      </w:r>
      <w:r w:rsidRPr="006F6171">
        <w:rPr>
          <w:b/>
          <w:color w:val="333333"/>
        </w:rPr>
        <w:t>Appendix A</w:t>
      </w:r>
      <w:r w:rsidR="00FC56D5" w:rsidRPr="006F6171">
        <w:rPr>
          <w:color w:val="333333"/>
        </w:rPr>
        <w:t>,</w:t>
      </w:r>
      <w:r w:rsidR="00C6729A" w:rsidRPr="006F6171">
        <w:rPr>
          <w:color w:val="333333"/>
        </w:rPr>
        <w:t xml:space="preserve"> </w:t>
      </w:r>
      <w:r w:rsidRPr="006F6171">
        <w:t>unless the context otherwise indicates</w:t>
      </w:r>
      <w:r w:rsidR="00FC56D5" w:rsidRPr="006F6171">
        <w:t xml:space="preserve">, or if not defined therein, have the same meaning as set </w:t>
      </w:r>
      <w:r w:rsidR="004B0F39" w:rsidRPr="006F6171">
        <w:t xml:space="preserve">forth in </w:t>
      </w:r>
      <w:hyperlink r:id="rId16" w:history="1">
        <w:r w:rsidR="004B0F39" w:rsidRPr="006F6171">
          <w:rPr>
            <w:rStyle w:val="Hyperlink"/>
          </w:rPr>
          <w:t>Section 42</w:t>
        </w:r>
      </w:hyperlink>
      <w:r w:rsidR="004B0F39" w:rsidRPr="006F6171">
        <w:t xml:space="preserve"> of the Code</w:t>
      </w:r>
      <w:r w:rsidR="004646CE" w:rsidRPr="006F6171">
        <w:t>.</w:t>
      </w:r>
      <w:r w:rsidR="00BB3D09" w:rsidRPr="006F6171">
        <w:t xml:space="preserve"> </w:t>
      </w:r>
    </w:p>
    <w:p w14:paraId="4D1862B9" w14:textId="77777777" w:rsidR="00995E15" w:rsidRPr="006F6171" w:rsidRDefault="00995E15" w:rsidP="008416BF">
      <w:pPr>
        <w:pStyle w:val="BodyTextIndent2"/>
        <w:tabs>
          <w:tab w:val="left" w:pos="-720"/>
        </w:tabs>
        <w:suppressAutoHyphens/>
        <w:spacing w:after="0" w:line="240" w:lineRule="auto"/>
        <w:ind w:left="0"/>
        <w:jc w:val="both"/>
        <w:rPr>
          <w:szCs w:val="24"/>
        </w:rPr>
      </w:pPr>
    </w:p>
    <w:p w14:paraId="3B9030DE" w14:textId="77777777" w:rsidR="00995E15" w:rsidRPr="006F6171" w:rsidRDefault="00995E15" w:rsidP="008416BF">
      <w:pPr>
        <w:pStyle w:val="Heading1"/>
        <w:jc w:val="both"/>
      </w:pPr>
      <w:bookmarkStart w:id="1" w:name="_Toc531341069"/>
      <w:r w:rsidRPr="006F6171">
        <w:t>SECTION</w:t>
      </w:r>
      <w:r w:rsidR="008961FB" w:rsidRPr="006F6171">
        <w:t xml:space="preserve"> 2:</w:t>
      </w:r>
      <w:r w:rsidR="00BB3D09" w:rsidRPr="006F6171">
        <w:t xml:space="preserve"> </w:t>
      </w:r>
      <w:r w:rsidRPr="006F6171">
        <w:t>HOUSING NEEDS AND PRIORITIES</w:t>
      </w:r>
      <w:bookmarkEnd w:id="1"/>
    </w:p>
    <w:p w14:paraId="25AF9070" w14:textId="77777777" w:rsidR="00995E15" w:rsidRPr="006F6171" w:rsidRDefault="00995E15" w:rsidP="008416BF">
      <w:pPr>
        <w:tabs>
          <w:tab w:val="left" w:pos="-720"/>
        </w:tabs>
        <w:suppressAutoHyphens/>
        <w:jc w:val="both"/>
        <w:rPr>
          <w:szCs w:val="24"/>
        </w:rPr>
      </w:pPr>
    </w:p>
    <w:p w14:paraId="5B44DFB8" w14:textId="77777777" w:rsidR="00995E15" w:rsidRPr="006F6171" w:rsidRDefault="00995E15" w:rsidP="008416BF">
      <w:pPr>
        <w:tabs>
          <w:tab w:val="left" w:pos="-720"/>
        </w:tabs>
        <w:suppressAutoHyphens/>
        <w:jc w:val="both"/>
        <w:rPr>
          <w:szCs w:val="24"/>
        </w:rPr>
      </w:pPr>
      <w:r w:rsidRPr="006F6171">
        <w:rPr>
          <w:szCs w:val="24"/>
        </w:rPr>
        <w:t xml:space="preserve">MaineHousing </w:t>
      </w:r>
      <w:r w:rsidR="006F2A5C" w:rsidRPr="006F6171">
        <w:rPr>
          <w:szCs w:val="24"/>
        </w:rPr>
        <w:t xml:space="preserve">and the Department of Economic and Community Development </w:t>
      </w:r>
      <w:r w:rsidRPr="006F6171">
        <w:rPr>
          <w:szCs w:val="24"/>
        </w:rPr>
        <w:t>annually complete a statewide n</w:t>
      </w:r>
      <w:r w:rsidR="00F57ED2" w:rsidRPr="006F6171">
        <w:rPr>
          <w:szCs w:val="24"/>
        </w:rPr>
        <w:t>eeds assessment as part of</w:t>
      </w:r>
      <w:r w:rsidR="0061457D" w:rsidRPr="006F6171">
        <w:rPr>
          <w:szCs w:val="24"/>
        </w:rPr>
        <w:t xml:space="preserve"> </w:t>
      </w:r>
      <w:r w:rsidR="00FF6B84" w:rsidRPr="006F6171">
        <w:rPr>
          <w:szCs w:val="24"/>
        </w:rPr>
        <w:t>the</w:t>
      </w:r>
      <w:r w:rsidR="00234545" w:rsidRPr="006F6171">
        <w:rPr>
          <w:szCs w:val="24"/>
        </w:rPr>
        <w:t xml:space="preserve"> </w:t>
      </w:r>
      <w:r w:rsidR="00234545" w:rsidRPr="006F6171">
        <w:rPr>
          <w:szCs w:val="24"/>
          <w:lang w:val="en"/>
        </w:rPr>
        <w:t>Consolidated Housing and Community Development Plan</w:t>
      </w:r>
      <w:r w:rsidR="0061457D" w:rsidRPr="006F6171">
        <w:rPr>
          <w:szCs w:val="24"/>
        </w:rPr>
        <w:t>.</w:t>
      </w:r>
      <w:r w:rsidR="00BB3D09" w:rsidRPr="006F6171">
        <w:rPr>
          <w:szCs w:val="24"/>
        </w:rPr>
        <w:t xml:space="preserve"> </w:t>
      </w:r>
      <w:r w:rsidR="0061457D" w:rsidRPr="006F6171">
        <w:rPr>
          <w:i/>
          <w:szCs w:val="24"/>
        </w:rPr>
        <w:t>Maine Consolidated Plan</w:t>
      </w:r>
      <w:r w:rsidR="00234545" w:rsidRPr="006F6171">
        <w:rPr>
          <w:i/>
          <w:szCs w:val="24"/>
        </w:rPr>
        <w:t xml:space="preserve"> (20</w:t>
      </w:r>
      <w:r w:rsidR="007A2823" w:rsidRPr="006F6171">
        <w:rPr>
          <w:i/>
          <w:szCs w:val="24"/>
        </w:rPr>
        <w:t>20</w:t>
      </w:r>
      <w:r w:rsidR="00234545" w:rsidRPr="006F6171">
        <w:rPr>
          <w:i/>
          <w:szCs w:val="24"/>
        </w:rPr>
        <w:t>-20</w:t>
      </w:r>
      <w:r w:rsidR="007A2823" w:rsidRPr="006F6171">
        <w:rPr>
          <w:i/>
          <w:szCs w:val="24"/>
        </w:rPr>
        <w:t>24</w:t>
      </w:r>
      <w:r w:rsidR="00234545" w:rsidRPr="006F6171">
        <w:rPr>
          <w:i/>
          <w:szCs w:val="24"/>
        </w:rPr>
        <w:t>)</w:t>
      </w:r>
      <w:r w:rsidR="005B3F6B" w:rsidRPr="006F6171">
        <w:rPr>
          <w:szCs w:val="24"/>
        </w:rPr>
        <w:t xml:space="preserve"> establishe</w:t>
      </w:r>
      <w:r w:rsidR="006F2A5C" w:rsidRPr="006F6171">
        <w:rPr>
          <w:szCs w:val="24"/>
        </w:rPr>
        <w:t>s</w:t>
      </w:r>
      <w:r w:rsidR="005B3F6B" w:rsidRPr="006F6171">
        <w:rPr>
          <w:szCs w:val="24"/>
        </w:rPr>
        <w:t xml:space="preserve"> the following housing </w:t>
      </w:r>
      <w:r w:rsidR="00C8409C" w:rsidRPr="006F6171">
        <w:rPr>
          <w:szCs w:val="24"/>
        </w:rPr>
        <w:t>priorities</w:t>
      </w:r>
      <w:r w:rsidR="0017182D" w:rsidRPr="006F6171">
        <w:rPr>
          <w:szCs w:val="24"/>
        </w:rPr>
        <w:t>:</w:t>
      </w:r>
    </w:p>
    <w:p w14:paraId="7C47772C" w14:textId="77777777" w:rsidR="00995E15" w:rsidRPr="006F6171" w:rsidRDefault="00995E15" w:rsidP="008416BF">
      <w:pPr>
        <w:tabs>
          <w:tab w:val="left" w:pos="-720"/>
        </w:tabs>
        <w:suppressAutoHyphens/>
        <w:jc w:val="both"/>
        <w:rPr>
          <w:szCs w:val="24"/>
        </w:rPr>
      </w:pPr>
    </w:p>
    <w:p w14:paraId="5CB3D150" w14:textId="77777777" w:rsidR="00AA717C" w:rsidRPr="006F6171" w:rsidRDefault="007A2823" w:rsidP="00BE5856">
      <w:pPr>
        <w:pStyle w:val="ListParagraph"/>
        <w:numPr>
          <w:ilvl w:val="0"/>
          <w:numId w:val="50"/>
        </w:numPr>
        <w:tabs>
          <w:tab w:val="left" w:pos="-720"/>
        </w:tabs>
        <w:suppressAutoHyphens/>
        <w:ind w:hanging="720"/>
        <w:jc w:val="both"/>
        <w:rPr>
          <w:szCs w:val="24"/>
        </w:rPr>
      </w:pPr>
      <w:r w:rsidRPr="006F6171">
        <w:rPr>
          <w:szCs w:val="24"/>
        </w:rPr>
        <w:t>expand affordable housing opportunities</w:t>
      </w:r>
      <w:r w:rsidR="00995E15" w:rsidRPr="006F6171">
        <w:rPr>
          <w:szCs w:val="24"/>
        </w:rPr>
        <w:t>;</w:t>
      </w:r>
    </w:p>
    <w:p w14:paraId="7971CD7D" w14:textId="77777777" w:rsidR="00995E15" w:rsidRPr="006F6171" w:rsidRDefault="00995E15" w:rsidP="006461CD">
      <w:pPr>
        <w:pStyle w:val="ListParagraph"/>
        <w:tabs>
          <w:tab w:val="left" w:pos="-720"/>
        </w:tabs>
        <w:suppressAutoHyphens/>
        <w:ind w:left="360" w:hanging="720"/>
        <w:jc w:val="both"/>
        <w:rPr>
          <w:szCs w:val="24"/>
        </w:rPr>
      </w:pPr>
    </w:p>
    <w:p w14:paraId="1DE5360A" w14:textId="77777777" w:rsidR="00B76F8B" w:rsidRPr="006F6171" w:rsidRDefault="007A2823" w:rsidP="00BE5856">
      <w:pPr>
        <w:pStyle w:val="ListParagraph"/>
        <w:numPr>
          <w:ilvl w:val="0"/>
          <w:numId w:val="50"/>
        </w:numPr>
        <w:tabs>
          <w:tab w:val="left" w:pos="-720"/>
        </w:tabs>
        <w:suppressAutoHyphens/>
        <w:ind w:hanging="720"/>
        <w:jc w:val="both"/>
        <w:rPr>
          <w:szCs w:val="24"/>
        </w:rPr>
      </w:pPr>
      <w:r w:rsidRPr="006F6171">
        <w:rPr>
          <w:szCs w:val="24"/>
        </w:rPr>
        <w:t>improve and preserve the quality of housing</w:t>
      </w:r>
      <w:r w:rsidR="00E93913" w:rsidRPr="006F6171">
        <w:rPr>
          <w:szCs w:val="24"/>
        </w:rPr>
        <w:t>;</w:t>
      </w:r>
      <w:r w:rsidRPr="006F6171">
        <w:rPr>
          <w:szCs w:val="24"/>
        </w:rPr>
        <w:t xml:space="preserve"> and</w:t>
      </w:r>
    </w:p>
    <w:p w14:paraId="7D56DA65" w14:textId="77777777" w:rsidR="008C6A13" w:rsidRPr="006F6171" w:rsidRDefault="008C6A13" w:rsidP="006461CD">
      <w:pPr>
        <w:tabs>
          <w:tab w:val="left" w:pos="-720"/>
        </w:tabs>
        <w:suppressAutoHyphens/>
        <w:ind w:left="360" w:hanging="720"/>
        <w:jc w:val="both"/>
        <w:rPr>
          <w:szCs w:val="24"/>
        </w:rPr>
      </w:pPr>
    </w:p>
    <w:p w14:paraId="080560D0" w14:textId="77777777" w:rsidR="009F4C62" w:rsidRPr="006F6171" w:rsidRDefault="007A2823" w:rsidP="00BE5856">
      <w:pPr>
        <w:pStyle w:val="ListParagraph"/>
        <w:numPr>
          <w:ilvl w:val="0"/>
          <w:numId w:val="50"/>
        </w:numPr>
        <w:tabs>
          <w:tab w:val="left" w:pos="-720"/>
        </w:tabs>
        <w:suppressAutoHyphens/>
        <w:ind w:hanging="720"/>
        <w:jc w:val="both"/>
        <w:rPr>
          <w:szCs w:val="24"/>
        </w:rPr>
      </w:pPr>
      <w:r w:rsidRPr="006F6171">
        <w:rPr>
          <w:szCs w:val="24"/>
        </w:rPr>
        <w:t>help Maine people attain housing stability.</w:t>
      </w:r>
      <w:r w:rsidRPr="006F6171" w:rsidDel="007A2823">
        <w:rPr>
          <w:szCs w:val="24"/>
        </w:rPr>
        <w:t xml:space="preserve"> </w:t>
      </w:r>
    </w:p>
    <w:p w14:paraId="515FB273" w14:textId="77777777" w:rsidR="001D33E1" w:rsidRPr="006F6171" w:rsidRDefault="001D33E1">
      <w:pPr>
        <w:rPr>
          <w:szCs w:val="24"/>
        </w:rPr>
      </w:pPr>
    </w:p>
    <w:p w14:paraId="5F4DCA08" w14:textId="77777777" w:rsidR="00995E15" w:rsidRPr="006F6171" w:rsidRDefault="00545C91" w:rsidP="00CB74A2">
      <w:pPr>
        <w:pStyle w:val="Heading1"/>
        <w:jc w:val="both"/>
      </w:pPr>
      <w:bookmarkStart w:id="2" w:name="_Toc531341070"/>
      <w:r w:rsidRPr="006F6171">
        <w:t xml:space="preserve">SECTION 3: </w:t>
      </w:r>
      <w:r w:rsidR="00995E15" w:rsidRPr="006F6171">
        <w:t>SET-ASIDES AND MAXIMUM CREDIT AMOUNT</w:t>
      </w:r>
      <w:bookmarkEnd w:id="2"/>
    </w:p>
    <w:p w14:paraId="464C7018" w14:textId="77777777" w:rsidR="001D33E1" w:rsidRPr="006F6171" w:rsidRDefault="001D33E1" w:rsidP="001D33E1"/>
    <w:p w14:paraId="7D7524BA" w14:textId="08D48440" w:rsidR="00C226BC" w:rsidRPr="006F6171" w:rsidRDefault="00995E15" w:rsidP="00A8328C">
      <w:pPr>
        <w:pStyle w:val="ListParagraph"/>
        <w:numPr>
          <w:ilvl w:val="0"/>
          <w:numId w:val="25"/>
        </w:numPr>
        <w:tabs>
          <w:tab w:val="left" w:pos="-720"/>
        </w:tabs>
        <w:suppressAutoHyphens/>
        <w:ind w:hanging="720"/>
        <w:jc w:val="both"/>
        <w:rPr>
          <w:szCs w:val="24"/>
        </w:rPr>
      </w:pPr>
      <w:r w:rsidRPr="006F6171">
        <w:t>Non</w:t>
      </w:r>
      <w:r w:rsidR="00840912" w:rsidRPr="006F6171">
        <w:t>p</w:t>
      </w:r>
      <w:r w:rsidRPr="006F6171">
        <w:t>rofit Set-</w:t>
      </w:r>
      <w:r w:rsidR="006D64A7" w:rsidRPr="006F6171">
        <w:t>A</w:t>
      </w:r>
      <w:r w:rsidRPr="006F6171">
        <w:t>side</w:t>
      </w:r>
      <w:r w:rsidRPr="006F6171">
        <w:rPr>
          <w:szCs w:val="24"/>
        </w:rPr>
        <w:t xml:space="preserve">. </w:t>
      </w:r>
      <w:r w:rsidR="006F2A5C" w:rsidRPr="006F6171">
        <w:rPr>
          <w:szCs w:val="24"/>
        </w:rPr>
        <w:t>MaineHousing will set aside</w:t>
      </w:r>
      <w:r w:rsidR="002A4A13" w:rsidRPr="006F6171">
        <w:rPr>
          <w:szCs w:val="24"/>
        </w:rPr>
        <w:t xml:space="preserve"> at least</w:t>
      </w:r>
      <w:r w:rsidR="006F2A5C" w:rsidRPr="006F6171">
        <w:rPr>
          <w:szCs w:val="24"/>
        </w:rPr>
        <w:t xml:space="preserve"> t</w:t>
      </w:r>
      <w:r w:rsidRPr="006F6171">
        <w:rPr>
          <w:szCs w:val="24"/>
        </w:rPr>
        <w:t>en percent (10%) of the annual State Ceiling for Pr</w:t>
      </w:r>
      <w:r w:rsidR="00A96EFE" w:rsidRPr="006F6171">
        <w:rPr>
          <w:szCs w:val="24"/>
        </w:rPr>
        <w:t xml:space="preserve">ojects </w:t>
      </w:r>
      <w:r w:rsidR="00D72EC6" w:rsidRPr="006F6171">
        <w:rPr>
          <w:szCs w:val="24"/>
        </w:rPr>
        <w:t xml:space="preserve">in which </w:t>
      </w:r>
      <w:r w:rsidR="00867957" w:rsidRPr="006F6171">
        <w:rPr>
          <w:szCs w:val="24"/>
        </w:rPr>
        <w:t>a</w:t>
      </w:r>
      <w:r w:rsidR="00A96EFE" w:rsidRPr="006F6171">
        <w:rPr>
          <w:szCs w:val="24"/>
        </w:rPr>
        <w:t xml:space="preserve"> Qualified Non</w:t>
      </w:r>
      <w:r w:rsidR="00506BF5" w:rsidRPr="006F6171">
        <w:rPr>
          <w:szCs w:val="24"/>
        </w:rPr>
        <w:t xml:space="preserve">profit Organization </w:t>
      </w:r>
      <w:r w:rsidR="00BD68CF" w:rsidRPr="006F6171">
        <w:rPr>
          <w:szCs w:val="24"/>
        </w:rPr>
        <w:t>own</w:t>
      </w:r>
      <w:r w:rsidR="00506BF5" w:rsidRPr="006F6171">
        <w:rPr>
          <w:szCs w:val="24"/>
        </w:rPr>
        <w:t>s</w:t>
      </w:r>
      <w:r w:rsidR="00BD68CF" w:rsidRPr="006F6171">
        <w:rPr>
          <w:szCs w:val="24"/>
        </w:rPr>
        <w:t xml:space="preserve"> an</w:t>
      </w:r>
      <w:r w:rsidRPr="006F6171">
        <w:rPr>
          <w:szCs w:val="24"/>
        </w:rPr>
        <w:t xml:space="preserve"> interest and materially participate</w:t>
      </w:r>
      <w:r w:rsidR="00506BF5" w:rsidRPr="006F6171">
        <w:rPr>
          <w:szCs w:val="24"/>
        </w:rPr>
        <w:t>s</w:t>
      </w:r>
      <w:r w:rsidRPr="006F6171">
        <w:rPr>
          <w:szCs w:val="24"/>
        </w:rPr>
        <w:t xml:space="preserve"> in the development and operation throughout the Compliance Period in accordance with </w:t>
      </w:r>
      <w:hyperlink r:id="rId17" w:history="1">
        <w:r w:rsidRPr="006F6171">
          <w:rPr>
            <w:rStyle w:val="Hyperlink"/>
            <w:szCs w:val="24"/>
          </w:rPr>
          <w:t>Sectio</w:t>
        </w:r>
        <w:r w:rsidR="00993055" w:rsidRPr="006F6171">
          <w:rPr>
            <w:rStyle w:val="Hyperlink"/>
            <w:szCs w:val="24"/>
          </w:rPr>
          <w:t>n 42(h)(5)(B)</w:t>
        </w:r>
      </w:hyperlink>
      <w:r w:rsidR="00993055" w:rsidRPr="006F6171">
        <w:rPr>
          <w:szCs w:val="24"/>
        </w:rPr>
        <w:t xml:space="preserve"> of the Code.</w:t>
      </w:r>
      <w:r w:rsidR="00BB3D09" w:rsidRPr="006F6171">
        <w:rPr>
          <w:szCs w:val="24"/>
        </w:rPr>
        <w:t xml:space="preserve"> </w:t>
      </w:r>
      <w:r w:rsidR="00FF0878" w:rsidRPr="006F6171">
        <w:rPr>
          <w:szCs w:val="24"/>
        </w:rPr>
        <w:t xml:space="preserve">  </w:t>
      </w:r>
      <w:r w:rsidR="00C36266" w:rsidRPr="006F6171">
        <w:rPr>
          <w:szCs w:val="24"/>
        </w:rPr>
        <w:t xml:space="preserve">An Applicant will qualify if </w:t>
      </w:r>
      <w:r w:rsidR="00186DD0" w:rsidRPr="006F6171">
        <w:rPr>
          <w:szCs w:val="24"/>
        </w:rPr>
        <w:t xml:space="preserve">it is owned by </w:t>
      </w:r>
      <w:r w:rsidR="006F2A5C" w:rsidRPr="006F6171">
        <w:rPr>
          <w:szCs w:val="24"/>
        </w:rPr>
        <w:t xml:space="preserve">either </w:t>
      </w:r>
      <w:r w:rsidR="00C36266" w:rsidRPr="006F6171">
        <w:rPr>
          <w:szCs w:val="24"/>
        </w:rPr>
        <w:t>a Qualified Nonprofit Organization</w:t>
      </w:r>
      <w:r w:rsidR="00186DD0" w:rsidRPr="006F6171">
        <w:rPr>
          <w:szCs w:val="24"/>
        </w:rPr>
        <w:t>,</w:t>
      </w:r>
      <w:r w:rsidR="00C36266" w:rsidRPr="006F6171">
        <w:rPr>
          <w:szCs w:val="24"/>
        </w:rPr>
        <w:t xml:space="preserve"> or a business corporation which </w:t>
      </w:r>
      <w:r w:rsidR="00186DD0" w:rsidRPr="006F6171">
        <w:rPr>
          <w:szCs w:val="24"/>
        </w:rPr>
        <w:t xml:space="preserve">is 100% owned by </w:t>
      </w:r>
      <w:r w:rsidR="00C36266" w:rsidRPr="006F6171">
        <w:rPr>
          <w:szCs w:val="24"/>
        </w:rPr>
        <w:t>one or more Qualified Nonprofit Organization(s)</w:t>
      </w:r>
      <w:r w:rsidR="00E31EE9" w:rsidRPr="006F6171">
        <w:rPr>
          <w:szCs w:val="24"/>
        </w:rPr>
        <w:t>, and</w:t>
      </w:r>
      <w:r w:rsidR="00C36266" w:rsidRPr="006F6171">
        <w:rPr>
          <w:szCs w:val="24"/>
        </w:rPr>
        <w:t xml:space="preserve"> </w:t>
      </w:r>
      <w:r w:rsidR="006F2A5C" w:rsidRPr="006F6171">
        <w:rPr>
          <w:szCs w:val="24"/>
        </w:rPr>
        <w:t>(</w:t>
      </w:r>
      <w:r w:rsidR="00C36266" w:rsidRPr="006F6171">
        <w:rPr>
          <w:szCs w:val="24"/>
        </w:rPr>
        <w:t xml:space="preserve">in accordance with </w:t>
      </w:r>
      <w:hyperlink r:id="rId18" w:history="1">
        <w:r w:rsidR="00C36266" w:rsidRPr="006F6171">
          <w:rPr>
            <w:rStyle w:val="Hyperlink"/>
            <w:szCs w:val="24"/>
          </w:rPr>
          <w:t>Section 42(h)(5)(C)</w:t>
        </w:r>
      </w:hyperlink>
      <w:r w:rsidR="00C36266" w:rsidRPr="006F6171">
        <w:rPr>
          <w:szCs w:val="24"/>
        </w:rPr>
        <w:t xml:space="preserve"> of the Code</w:t>
      </w:r>
      <w:r w:rsidR="006F2A5C" w:rsidRPr="006F6171">
        <w:rPr>
          <w:szCs w:val="24"/>
        </w:rPr>
        <w:t>)</w:t>
      </w:r>
      <w:r w:rsidR="00E31EE9" w:rsidRPr="006F6171">
        <w:rPr>
          <w:szCs w:val="24"/>
        </w:rPr>
        <w:t xml:space="preserve"> it</w:t>
      </w:r>
      <w:r w:rsidR="006F2A5C" w:rsidRPr="006F6171">
        <w:rPr>
          <w:szCs w:val="24"/>
        </w:rPr>
        <w:t xml:space="preserve"> is the general partner or manager/managing member and controls the </w:t>
      </w:r>
      <w:r w:rsidR="00981237" w:rsidRPr="006F6171">
        <w:rPr>
          <w:szCs w:val="24"/>
        </w:rPr>
        <w:t xml:space="preserve">Project’s </w:t>
      </w:r>
      <w:r w:rsidR="006F2A5C" w:rsidRPr="006F6171">
        <w:rPr>
          <w:szCs w:val="24"/>
        </w:rPr>
        <w:t>development and day-to-day</w:t>
      </w:r>
      <w:r w:rsidR="00C226BC" w:rsidRPr="006F6171">
        <w:rPr>
          <w:szCs w:val="24"/>
        </w:rPr>
        <w:t xml:space="preserve"> </w:t>
      </w:r>
      <w:r w:rsidR="006F2A5C" w:rsidRPr="006F6171">
        <w:rPr>
          <w:szCs w:val="24"/>
        </w:rPr>
        <w:t>operation</w:t>
      </w:r>
      <w:r w:rsidR="00C36266" w:rsidRPr="006F6171">
        <w:rPr>
          <w:szCs w:val="24"/>
        </w:rPr>
        <w:t>.</w:t>
      </w:r>
      <w:r w:rsidR="00BB3D09" w:rsidRPr="006F6171">
        <w:rPr>
          <w:szCs w:val="24"/>
        </w:rPr>
        <w:t xml:space="preserve"> </w:t>
      </w:r>
    </w:p>
    <w:p w14:paraId="120EF5E0" w14:textId="77777777" w:rsidR="006E2F69" w:rsidRPr="006F6171" w:rsidRDefault="006E2F69" w:rsidP="00AD38C9">
      <w:pPr>
        <w:pStyle w:val="ListParagraph"/>
        <w:tabs>
          <w:tab w:val="left" w:pos="-720"/>
        </w:tabs>
        <w:suppressAutoHyphens/>
        <w:ind w:left="1440" w:hanging="720"/>
        <w:jc w:val="both"/>
        <w:rPr>
          <w:szCs w:val="24"/>
        </w:rPr>
      </w:pPr>
    </w:p>
    <w:p w14:paraId="62FB410E" w14:textId="3C2B31DE" w:rsidR="006E2F69" w:rsidRPr="006F6171" w:rsidRDefault="006E2F69" w:rsidP="00A8328C">
      <w:pPr>
        <w:pStyle w:val="ListParagraph"/>
        <w:numPr>
          <w:ilvl w:val="0"/>
          <w:numId w:val="25"/>
        </w:numPr>
        <w:tabs>
          <w:tab w:val="left" w:pos="-720"/>
          <w:tab w:val="left" w:pos="1350"/>
        </w:tabs>
        <w:suppressAutoHyphens/>
        <w:ind w:hanging="720"/>
        <w:jc w:val="both"/>
        <w:rPr>
          <w:szCs w:val="24"/>
        </w:rPr>
      </w:pPr>
      <w:r w:rsidRPr="006F6171">
        <w:lastRenderedPageBreak/>
        <w:t>Preservation Set-Aside</w:t>
      </w:r>
      <w:r w:rsidRPr="006F6171">
        <w:rPr>
          <w:szCs w:val="24"/>
        </w:rPr>
        <w:t>.  MaineHousing will set aside up to $</w:t>
      </w:r>
      <w:r w:rsidR="00C364D7" w:rsidRPr="006F6171">
        <w:rPr>
          <w:szCs w:val="24"/>
        </w:rPr>
        <w:t>750</w:t>
      </w:r>
      <w:r w:rsidRPr="006F6171">
        <w:rPr>
          <w:szCs w:val="24"/>
        </w:rPr>
        <w:t>,000 of the annual State Ceiling for the preservation and rehabilitation of one existing multifamily rental housing project if the scope of rehabilitation meets the minimum requirements set forth in Section 5.</w:t>
      </w:r>
      <w:r w:rsidR="00725273" w:rsidRPr="006F6171">
        <w:rPr>
          <w:szCs w:val="24"/>
        </w:rPr>
        <w:t>C</w:t>
      </w:r>
      <w:r w:rsidRPr="006F6171">
        <w:rPr>
          <w:szCs w:val="24"/>
        </w:rPr>
        <w:t>.2. and one of the following</w:t>
      </w:r>
      <w:r w:rsidR="00B718F3" w:rsidRPr="006F6171">
        <w:rPr>
          <w:szCs w:val="24"/>
        </w:rPr>
        <w:t>:</w:t>
      </w:r>
    </w:p>
    <w:p w14:paraId="5BFB9625" w14:textId="77777777" w:rsidR="002656C2" w:rsidRPr="006F6171" w:rsidRDefault="002656C2" w:rsidP="00AD38C9">
      <w:pPr>
        <w:pStyle w:val="ListParagraph"/>
        <w:ind w:hanging="720"/>
        <w:rPr>
          <w:szCs w:val="24"/>
        </w:rPr>
      </w:pPr>
    </w:p>
    <w:p w14:paraId="5DBBDE09" w14:textId="77777777" w:rsidR="002656C2" w:rsidRPr="006F6171" w:rsidRDefault="002656C2" w:rsidP="00A8328C">
      <w:pPr>
        <w:pStyle w:val="ListParagraph"/>
        <w:numPr>
          <w:ilvl w:val="3"/>
          <w:numId w:val="25"/>
        </w:numPr>
        <w:tabs>
          <w:tab w:val="left" w:pos="-720"/>
        </w:tabs>
        <w:suppressAutoHyphens/>
        <w:ind w:left="1080"/>
        <w:jc w:val="both"/>
        <w:rPr>
          <w:szCs w:val="24"/>
        </w:rPr>
      </w:pPr>
      <w:r w:rsidRPr="006F6171">
        <w:rPr>
          <w:szCs w:val="24"/>
        </w:rPr>
        <w:t>at least 25% of its units</w:t>
      </w:r>
      <w:r w:rsidR="00282994" w:rsidRPr="006F6171">
        <w:rPr>
          <w:szCs w:val="24"/>
        </w:rPr>
        <w:t>,</w:t>
      </w:r>
      <w:r w:rsidRPr="006F6171">
        <w:rPr>
          <w:szCs w:val="24"/>
        </w:rPr>
        <w:t xml:space="preserve"> or those in a Related Development</w:t>
      </w:r>
      <w:r w:rsidR="00282994" w:rsidRPr="006F6171">
        <w:rPr>
          <w:szCs w:val="24"/>
        </w:rPr>
        <w:t>,</w:t>
      </w:r>
      <w:r w:rsidRPr="006F6171">
        <w:rPr>
          <w:szCs w:val="24"/>
        </w:rPr>
        <w:t xml:space="preserve"> are assisted under a Rural Development program; or</w:t>
      </w:r>
    </w:p>
    <w:p w14:paraId="0B41DBE2" w14:textId="77777777" w:rsidR="002656C2" w:rsidRPr="006F6171" w:rsidRDefault="002656C2" w:rsidP="00282994">
      <w:pPr>
        <w:pStyle w:val="ListParagraph"/>
        <w:tabs>
          <w:tab w:val="left" w:pos="-720"/>
        </w:tabs>
        <w:suppressAutoHyphens/>
        <w:ind w:left="1080" w:hanging="360"/>
        <w:jc w:val="both"/>
        <w:rPr>
          <w:szCs w:val="24"/>
        </w:rPr>
      </w:pPr>
    </w:p>
    <w:p w14:paraId="789D340E" w14:textId="77777777" w:rsidR="002656C2" w:rsidRPr="006F6171" w:rsidRDefault="002656C2" w:rsidP="00A8328C">
      <w:pPr>
        <w:pStyle w:val="ListParagraph"/>
        <w:numPr>
          <w:ilvl w:val="3"/>
          <w:numId w:val="25"/>
        </w:numPr>
        <w:tabs>
          <w:tab w:val="left" w:pos="-720"/>
        </w:tabs>
        <w:suppressAutoHyphens/>
        <w:ind w:left="1080"/>
        <w:jc w:val="both"/>
        <w:rPr>
          <w:szCs w:val="24"/>
        </w:rPr>
      </w:pPr>
      <w:r w:rsidRPr="006F6171">
        <w:rPr>
          <w:szCs w:val="24"/>
        </w:rPr>
        <w:t>at least 25% of its units will be converted to Section 8 under HUD’s Rental Assistance Demonstration (RAD) Program</w:t>
      </w:r>
      <w:r w:rsidR="009E2DF8" w:rsidRPr="006F6171">
        <w:rPr>
          <w:szCs w:val="24"/>
        </w:rPr>
        <w:t>,</w:t>
      </w:r>
      <w:r w:rsidR="0091052D" w:rsidRPr="006F6171">
        <w:rPr>
          <w:szCs w:val="24"/>
        </w:rPr>
        <w:t xml:space="preserve"> Section 18 Demolition/Disposition Program</w:t>
      </w:r>
      <w:r w:rsidR="009E2DF8" w:rsidRPr="006F6171">
        <w:rPr>
          <w:szCs w:val="24"/>
        </w:rPr>
        <w:t xml:space="preserve"> or other HUD conversion programs</w:t>
      </w:r>
      <w:r w:rsidRPr="006F6171">
        <w:rPr>
          <w:szCs w:val="24"/>
        </w:rPr>
        <w:t xml:space="preserve">. </w:t>
      </w:r>
    </w:p>
    <w:p w14:paraId="41E2FDD0" w14:textId="77777777" w:rsidR="002656C2" w:rsidRPr="006F6171" w:rsidRDefault="002656C2" w:rsidP="00AD38C9">
      <w:pPr>
        <w:pStyle w:val="ListParagraph"/>
        <w:tabs>
          <w:tab w:val="left" w:pos="-720"/>
        </w:tabs>
        <w:suppressAutoHyphens/>
        <w:ind w:hanging="720"/>
        <w:jc w:val="both"/>
        <w:rPr>
          <w:szCs w:val="24"/>
        </w:rPr>
      </w:pPr>
    </w:p>
    <w:p w14:paraId="3C2FF0CD" w14:textId="77777777" w:rsidR="002656C2" w:rsidRPr="006F6171" w:rsidRDefault="00EC509A" w:rsidP="00AD38C9">
      <w:pPr>
        <w:tabs>
          <w:tab w:val="left" w:pos="-720"/>
        </w:tabs>
        <w:suppressAutoHyphens/>
        <w:ind w:left="720" w:hanging="720"/>
        <w:jc w:val="both"/>
        <w:rPr>
          <w:szCs w:val="24"/>
        </w:rPr>
      </w:pPr>
      <w:r w:rsidRPr="006F6171">
        <w:rPr>
          <w:szCs w:val="24"/>
        </w:rPr>
        <w:tab/>
      </w:r>
      <w:r w:rsidR="002656C2" w:rsidRPr="006F6171">
        <w:rPr>
          <w:szCs w:val="24"/>
        </w:rPr>
        <w:t>Demolition and reconstruction o</w:t>
      </w:r>
      <w:r w:rsidR="00FF5BF0" w:rsidRPr="006F6171">
        <w:rPr>
          <w:szCs w:val="24"/>
        </w:rPr>
        <w:t xml:space="preserve">n an </w:t>
      </w:r>
      <w:r w:rsidR="001D1829" w:rsidRPr="006F6171">
        <w:rPr>
          <w:szCs w:val="24"/>
        </w:rPr>
        <w:t>existing housing</w:t>
      </w:r>
      <w:r w:rsidR="002656C2" w:rsidRPr="006F6171">
        <w:rPr>
          <w:szCs w:val="24"/>
        </w:rPr>
        <w:t xml:space="preserve"> site will be treated as new construction and is not eligible for this set-aside.</w:t>
      </w:r>
    </w:p>
    <w:p w14:paraId="1635B2F4" w14:textId="77777777" w:rsidR="002656C2" w:rsidRPr="006F6171" w:rsidRDefault="002656C2" w:rsidP="00AD38C9">
      <w:pPr>
        <w:pStyle w:val="ListParagraph"/>
        <w:ind w:hanging="720"/>
        <w:rPr>
          <w:szCs w:val="24"/>
        </w:rPr>
      </w:pPr>
    </w:p>
    <w:p w14:paraId="251F0340" w14:textId="1BD4DE82" w:rsidR="002656C2" w:rsidRPr="006F6171" w:rsidRDefault="002656C2" w:rsidP="00A8328C">
      <w:pPr>
        <w:pStyle w:val="ListParagraph"/>
        <w:numPr>
          <w:ilvl w:val="0"/>
          <w:numId w:val="25"/>
        </w:numPr>
        <w:tabs>
          <w:tab w:val="left" w:pos="-720"/>
          <w:tab w:val="left" w:pos="1350"/>
        </w:tabs>
        <w:suppressAutoHyphens/>
        <w:ind w:hanging="720"/>
        <w:jc w:val="both"/>
        <w:rPr>
          <w:szCs w:val="24"/>
        </w:rPr>
      </w:pPr>
      <w:r w:rsidRPr="006F6171">
        <w:rPr>
          <w:szCs w:val="24"/>
        </w:rPr>
        <w:t>Maximum Credit Amount.</w:t>
      </w:r>
      <w:r w:rsidRPr="006F6171">
        <w:rPr>
          <w:b/>
          <w:szCs w:val="24"/>
        </w:rPr>
        <w:t xml:space="preserve">  </w:t>
      </w:r>
      <w:r w:rsidRPr="006F6171">
        <w:rPr>
          <w:szCs w:val="24"/>
        </w:rPr>
        <w:t>The maximum amount of Credit that will be allocated for each Project is the le</w:t>
      </w:r>
      <w:r w:rsidR="00323351" w:rsidRPr="006F6171">
        <w:rPr>
          <w:szCs w:val="24"/>
        </w:rPr>
        <w:t>ast</w:t>
      </w:r>
      <w:r w:rsidRPr="006F6171">
        <w:rPr>
          <w:szCs w:val="24"/>
        </w:rPr>
        <w:t xml:space="preserve"> of (i) $</w:t>
      </w:r>
      <w:r w:rsidR="00580438" w:rsidRPr="006F6171">
        <w:rPr>
          <w:szCs w:val="24"/>
        </w:rPr>
        <w:t>3</w:t>
      </w:r>
      <w:r w:rsidRPr="006F6171">
        <w:rPr>
          <w:szCs w:val="24"/>
        </w:rPr>
        <w:t xml:space="preserve">0,000 per Credit Unit, (ii) </w:t>
      </w:r>
      <w:r w:rsidR="00BF71A0" w:rsidRPr="006F6171">
        <w:rPr>
          <w:szCs w:val="24"/>
        </w:rPr>
        <w:t>$1,200,000</w:t>
      </w:r>
      <w:r w:rsidRPr="006F6171">
        <w:rPr>
          <w:szCs w:val="24"/>
        </w:rPr>
        <w:t xml:space="preserve">, and (iii) the amount MaineHousing determines is necessary to ensure the Project’s financial feasibility and long-term viability. </w:t>
      </w:r>
    </w:p>
    <w:p w14:paraId="31CC621A" w14:textId="77777777" w:rsidR="008B5274" w:rsidRPr="006F6171" w:rsidRDefault="006E2F69" w:rsidP="002656C2">
      <w:pPr>
        <w:pStyle w:val="ListParagraph"/>
        <w:tabs>
          <w:tab w:val="left" w:pos="-720"/>
          <w:tab w:val="left" w:pos="1350"/>
        </w:tabs>
        <w:suppressAutoHyphens/>
        <w:jc w:val="both"/>
        <w:rPr>
          <w:szCs w:val="24"/>
        </w:rPr>
      </w:pPr>
      <w:r w:rsidRPr="006F6171">
        <w:rPr>
          <w:b/>
          <w:szCs w:val="24"/>
        </w:rPr>
        <w:t xml:space="preserve">  </w:t>
      </w:r>
    </w:p>
    <w:p w14:paraId="08DC4D99" w14:textId="77777777" w:rsidR="00995E15" w:rsidRPr="006F6171" w:rsidRDefault="00995E15" w:rsidP="008416BF">
      <w:pPr>
        <w:pStyle w:val="Heading1"/>
        <w:jc w:val="both"/>
      </w:pPr>
      <w:bookmarkStart w:id="3" w:name="_Toc531341071"/>
      <w:r w:rsidRPr="006F6171">
        <w:t>SECTION 4:</w:t>
      </w:r>
      <w:r w:rsidR="00BB3D09" w:rsidRPr="006F6171">
        <w:t xml:space="preserve"> </w:t>
      </w:r>
      <w:r w:rsidRPr="006F6171">
        <w:t>ALLOCATION PROCESS</w:t>
      </w:r>
      <w:bookmarkEnd w:id="3"/>
    </w:p>
    <w:p w14:paraId="0699AB5F" w14:textId="77777777" w:rsidR="00995E15" w:rsidRPr="006F6171" w:rsidRDefault="00995E15" w:rsidP="008416BF">
      <w:pPr>
        <w:tabs>
          <w:tab w:val="left" w:pos="-720"/>
        </w:tabs>
        <w:suppressAutoHyphens/>
        <w:jc w:val="both"/>
        <w:rPr>
          <w:szCs w:val="24"/>
        </w:rPr>
      </w:pPr>
    </w:p>
    <w:p w14:paraId="5050053F" w14:textId="6EEA111A" w:rsidR="00F32BBF" w:rsidRPr="006F6171" w:rsidRDefault="00F044E4" w:rsidP="00BE5856">
      <w:pPr>
        <w:pStyle w:val="ListParagraph"/>
        <w:numPr>
          <w:ilvl w:val="0"/>
          <w:numId w:val="40"/>
        </w:numPr>
        <w:tabs>
          <w:tab w:val="left" w:pos="-720"/>
          <w:tab w:val="left" w:pos="1350"/>
        </w:tabs>
        <w:suppressAutoHyphens/>
        <w:ind w:hanging="720"/>
        <w:jc w:val="both"/>
      </w:pPr>
      <w:r w:rsidRPr="006F6171">
        <w:t>Pre-A</w:t>
      </w:r>
      <w:r w:rsidR="007613D5" w:rsidRPr="006F6171">
        <w:t xml:space="preserve">pplication </w:t>
      </w:r>
      <w:r w:rsidR="00CC6759" w:rsidRPr="006F6171">
        <w:t>Submission</w:t>
      </w:r>
      <w:r w:rsidR="007B22D4" w:rsidRPr="006F6171">
        <w:t>.</w:t>
      </w:r>
      <w:r w:rsidR="00DB18E9" w:rsidRPr="006F6171">
        <w:t xml:space="preserve"> </w:t>
      </w:r>
      <w:r w:rsidR="007B22D4" w:rsidRPr="006F6171">
        <w:t>Each</w:t>
      </w:r>
      <w:r w:rsidR="00B1208A" w:rsidRPr="006F6171">
        <w:t xml:space="preserve"> </w:t>
      </w:r>
      <w:r w:rsidR="00A810B9" w:rsidRPr="006F6171">
        <w:t>Project</w:t>
      </w:r>
      <w:r w:rsidR="00753F32" w:rsidRPr="006F6171">
        <w:t xml:space="preserve"> </w:t>
      </w:r>
      <w:r w:rsidR="007613D5" w:rsidRPr="006F6171">
        <w:t xml:space="preserve">must </w:t>
      </w:r>
      <w:r w:rsidR="00340EBB" w:rsidRPr="006F6171">
        <w:t xml:space="preserve">undergo a </w:t>
      </w:r>
      <w:r w:rsidR="00834D3D" w:rsidRPr="006F6171">
        <w:t>mandatory P</w:t>
      </w:r>
      <w:r w:rsidR="00340EBB" w:rsidRPr="006F6171">
        <w:t>re-</w:t>
      </w:r>
      <w:r w:rsidRPr="006F6171">
        <w:t>A</w:t>
      </w:r>
      <w:r w:rsidR="00340EBB" w:rsidRPr="006F6171">
        <w:t>pplication review</w:t>
      </w:r>
      <w:r w:rsidR="006F17BC" w:rsidRPr="006F6171">
        <w:t xml:space="preserve"> </w:t>
      </w:r>
      <w:r w:rsidR="00995E15" w:rsidRPr="006F6171">
        <w:t>by MaineHousing</w:t>
      </w:r>
      <w:r w:rsidR="00CC6759" w:rsidRPr="006F6171">
        <w:t xml:space="preserve"> </w:t>
      </w:r>
      <w:r w:rsidR="00B1208A" w:rsidRPr="006F6171">
        <w:t xml:space="preserve">to </w:t>
      </w:r>
      <w:r w:rsidR="00340EBB" w:rsidRPr="006F6171">
        <w:t>ass</w:t>
      </w:r>
      <w:r w:rsidR="007B22D4" w:rsidRPr="006F6171">
        <w:t>ess its</w:t>
      </w:r>
      <w:r w:rsidR="00834D3D" w:rsidRPr="006F6171">
        <w:t xml:space="preserve"> feasibility,</w:t>
      </w:r>
      <w:r w:rsidR="00B1208A" w:rsidRPr="006F6171">
        <w:t xml:space="preserve"> suitability for housing,</w:t>
      </w:r>
      <w:r w:rsidR="008B100D" w:rsidRPr="006F6171">
        <w:t xml:space="preserve"> </w:t>
      </w:r>
      <w:r w:rsidR="00B1208A" w:rsidRPr="006F6171">
        <w:t>and</w:t>
      </w:r>
      <w:r w:rsidR="008B100D" w:rsidRPr="006F6171">
        <w:t xml:space="preserve"> eligibility for Credit</w:t>
      </w:r>
      <w:r w:rsidR="006F17BC" w:rsidRPr="006F6171">
        <w:t>.</w:t>
      </w:r>
      <w:r w:rsidR="00BB3D09" w:rsidRPr="006F6171">
        <w:t xml:space="preserve"> </w:t>
      </w:r>
      <w:r w:rsidR="00711B5A" w:rsidRPr="006F6171">
        <w:t>Applicants must submit the information and documents</w:t>
      </w:r>
      <w:r w:rsidR="00A21024" w:rsidRPr="006F6171">
        <w:t xml:space="preserve"> set for</w:t>
      </w:r>
      <w:r w:rsidR="00B1208A" w:rsidRPr="006F6171">
        <w:t xml:space="preserve">th in </w:t>
      </w:r>
      <w:r w:rsidR="00B1208A" w:rsidRPr="006F6171">
        <w:rPr>
          <w:b/>
        </w:rPr>
        <w:t>Appendix B</w:t>
      </w:r>
      <w:r w:rsidR="00A21024" w:rsidRPr="006F6171">
        <w:t xml:space="preserve"> with</w:t>
      </w:r>
      <w:r w:rsidR="002C3C2D" w:rsidRPr="006F6171">
        <w:t xml:space="preserve"> </w:t>
      </w:r>
      <w:r w:rsidR="00422BBB" w:rsidRPr="006F6171">
        <w:t>the pre-application fee specified in Section 4.C.</w:t>
      </w:r>
      <w:r w:rsidR="00A21024" w:rsidRPr="006F6171">
        <w:t xml:space="preserve"> to MaineHousing</w:t>
      </w:r>
      <w:r w:rsidR="00B1208A" w:rsidRPr="006F6171">
        <w:t xml:space="preserve"> </w:t>
      </w:r>
      <w:r w:rsidRPr="006F6171">
        <w:t xml:space="preserve">by </w:t>
      </w:r>
      <w:r w:rsidR="00D31C77" w:rsidRPr="006F6171">
        <w:t>Wednes</w:t>
      </w:r>
      <w:r w:rsidR="00007309" w:rsidRPr="006F6171">
        <w:t>day</w:t>
      </w:r>
      <w:r w:rsidRPr="006F6171">
        <w:t xml:space="preserve">, July </w:t>
      </w:r>
      <w:r w:rsidR="00D31C77" w:rsidRPr="006F6171">
        <w:t>3</w:t>
      </w:r>
      <w:r w:rsidRPr="006F6171">
        <w:t>, 20</w:t>
      </w:r>
      <w:r w:rsidR="00E55D8F" w:rsidRPr="006F6171">
        <w:t>2</w:t>
      </w:r>
      <w:r w:rsidR="00D31C77" w:rsidRPr="006F6171">
        <w:t>4</w:t>
      </w:r>
      <w:r w:rsidR="00E55D8F" w:rsidRPr="006F6171">
        <w:t xml:space="preserve"> for the 202</w:t>
      </w:r>
      <w:r w:rsidR="00AE6203" w:rsidRPr="006F6171">
        <w:t>5</w:t>
      </w:r>
      <w:r w:rsidR="00E55D8F" w:rsidRPr="006F6171">
        <w:t xml:space="preserve"> </w:t>
      </w:r>
      <w:r w:rsidR="0091052D" w:rsidRPr="006F6171">
        <w:t>round</w:t>
      </w:r>
      <w:r w:rsidR="00E55D8F" w:rsidRPr="006F6171">
        <w:t xml:space="preserve"> and by Thursday, </w:t>
      </w:r>
      <w:r w:rsidR="0091052D" w:rsidRPr="006F6171">
        <w:t xml:space="preserve">July </w:t>
      </w:r>
      <w:r w:rsidR="00E42A38" w:rsidRPr="006F6171">
        <w:t>3</w:t>
      </w:r>
      <w:r w:rsidR="00E55D8F" w:rsidRPr="006F6171">
        <w:t>, 202</w:t>
      </w:r>
      <w:r w:rsidR="00E42A38" w:rsidRPr="006F6171">
        <w:t>5</w:t>
      </w:r>
      <w:r w:rsidR="00E55D8F" w:rsidRPr="006F6171">
        <w:t xml:space="preserve"> for the 202</w:t>
      </w:r>
      <w:r w:rsidR="00E42A38" w:rsidRPr="006F6171">
        <w:t>6</w:t>
      </w:r>
      <w:r w:rsidR="00E55D8F" w:rsidRPr="006F6171">
        <w:t xml:space="preserve"> </w:t>
      </w:r>
      <w:r w:rsidR="0091052D" w:rsidRPr="006F6171">
        <w:t>round</w:t>
      </w:r>
      <w:r w:rsidRPr="006F6171">
        <w:t xml:space="preserve">.  </w:t>
      </w:r>
      <w:r w:rsidR="00282994" w:rsidRPr="006F6171">
        <w:t xml:space="preserve">  </w:t>
      </w:r>
      <w:r w:rsidR="005E45BF" w:rsidRPr="006F6171">
        <w:t>An Applicant will not be eligible for Cred</w:t>
      </w:r>
      <w:r w:rsidR="00716C33" w:rsidRPr="006F6171">
        <w:t>it if</w:t>
      </w:r>
    </w:p>
    <w:p w14:paraId="28E62265" w14:textId="77777777" w:rsidR="00C2787B" w:rsidRPr="006F6171" w:rsidRDefault="00C2787B" w:rsidP="008416BF">
      <w:pPr>
        <w:tabs>
          <w:tab w:val="left" w:pos="-720"/>
        </w:tabs>
        <w:suppressAutoHyphens/>
        <w:ind w:left="720"/>
        <w:jc w:val="both"/>
        <w:rPr>
          <w:szCs w:val="24"/>
        </w:rPr>
      </w:pPr>
    </w:p>
    <w:p w14:paraId="1FC254BC" w14:textId="77777777" w:rsidR="00C2787B" w:rsidRPr="006F6171" w:rsidRDefault="003D1EB8" w:rsidP="00BE5856">
      <w:pPr>
        <w:pStyle w:val="ListParagraph"/>
        <w:numPr>
          <w:ilvl w:val="0"/>
          <w:numId w:val="37"/>
        </w:numPr>
        <w:ind w:left="1080"/>
        <w:jc w:val="both"/>
      </w:pPr>
      <w:r w:rsidRPr="006F6171">
        <w:t xml:space="preserve">it </w:t>
      </w:r>
      <w:r w:rsidR="00715115" w:rsidRPr="006F6171">
        <w:t>fails to</w:t>
      </w:r>
      <w:r w:rsidR="00340EBB" w:rsidRPr="006F6171">
        <w:t xml:space="preserve"> provide</w:t>
      </w:r>
      <w:r w:rsidR="005E45BF" w:rsidRPr="006F6171">
        <w:t xml:space="preserve"> a complete </w:t>
      </w:r>
      <w:r w:rsidR="00834D3D" w:rsidRPr="006F6171">
        <w:t>P</w:t>
      </w:r>
      <w:r w:rsidR="00340EBB" w:rsidRPr="006F6171">
        <w:t>re-</w:t>
      </w:r>
      <w:r w:rsidR="009274C3" w:rsidRPr="006F6171">
        <w:t>A</w:t>
      </w:r>
      <w:r w:rsidR="00340EBB" w:rsidRPr="006F6171">
        <w:t xml:space="preserve">pplication submission </w:t>
      </w:r>
      <w:r w:rsidR="005E45BF" w:rsidRPr="006F6171">
        <w:t>in a</w:t>
      </w:r>
      <w:r w:rsidR="00716C33" w:rsidRPr="006F6171">
        <w:t>ccordance with this subsection</w:t>
      </w:r>
      <w:r w:rsidR="00282994" w:rsidRPr="006F6171">
        <w:t>,</w:t>
      </w:r>
      <w:r w:rsidR="00FB5032" w:rsidRPr="006F6171">
        <w:t xml:space="preserve"> or</w:t>
      </w:r>
    </w:p>
    <w:p w14:paraId="7D39742E" w14:textId="77777777" w:rsidR="00282994" w:rsidRPr="006F6171" w:rsidRDefault="00282994" w:rsidP="00527B06">
      <w:pPr>
        <w:ind w:left="1080" w:hanging="360"/>
      </w:pPr>
    </w:p>
    <w:p w14:paraId="202AF848" w14:textId="77777777" w:rsidR="00C2787B" w:rsidRPr="006F6171" w:rsidRDefault="007B22D4" w:rsidP="00BE5856">
      <w:pPr>
        <w:pStyle w:val="ListParagraph"/>
        <w:numPr>
          <w:ilvl w:val="0"/>
          <w:numId w:val="37"/>
        </w:numPr>
        <w:ind w:left="1080"/>
        <w:jc w:val="both"/>
      </w:pPr>
      <w:r w:rsidRPr="006F6171">
        <w:t>there is any material</w:t>
      </w:r>
      <w:r w:rsidR="00897F6C" w:rsidRPr="006F6171">
        <w:t xml:space="preserve"> change in the Project between the </w:t>
      </w:r>
      <w:r w:rsidR="00834D3D" w:rsidRPr="006F6171">
        <w:t>P</w:t>
      </w:r>
      <w:r w:rsidR="00897F6C" w:rsidRPr="006F6171">
        <w:t>re-</w:t>
      </w:r>
      <w:r w:rsidR="009274C3" w:rsidRPr="006F6171">
        <w:t>A</w:t>
      </w:r>
      <w:r w:rsidR="00897F6C" w:rsidRPr="006F6171">
        <w:t>pplication submission and the Application</w:t>
      </w:r>
      <w:r w:rsidR="006C30E3" w:rsidRPr="006F6171">
        <w:t xml:space="preserve"> unless</w:t>
      </w:r>
      <w:r w:rsidR="00305467" w:rsidRPr="006F6171">
        <w:t xml:space="preserve"> required by</w:t>
      </w:r>
      <w:r w:rsidR="006C30E3" w:rsidRPr="006F6171">
        <w:t xml:space="preserve"> </w:t>
      </w:r>
      <w:r w:rsidR="00305467" w:rsidRPr="006F6171">
        <w:t>MaineHousing</w:t>
      </w:r>
      <w:r w:rsidR="00897F6C" w:rsidRPr="006F6171">
        <w:t>.</w:t>
      </w:r>
    </w:p>
    <w:p w14:paraId="2B83A777" w14:textId="77777777" w:rsidR="00131AF2" w:rsidRPr="006F6171" w:rsidRDefault="00131AF2" w:rsidP="00527B06"/>
    <w:p w14:paraId="74BC5ABE" w14:textId="77777777" w:rsidR="00FD01F1" w:rsidRPr="006F6171" w:rsidRDefault="00995E15" w:rsidP="00BE5856">
      <w:pPr>
        <w:pStyle w:val="ListParagraph"/>
        <w:numPr>
          <w:ilvl w:val="0"/>
          <w:numId w:val="40"/>
        </w:numPr>
        <w:tabs>
          <w:tab w:val="left" w:pos="-720"/>
          <w:tab w:val="left" w:pos="1350"/>
        </w:tabs>
        <w:suppressAutoHyphens/>
        <w:ind w:hanging="720"/>
        <w:jc w:val="both"/>
      </w:pPr>
      <w:r w:rsidRPr="006F6171">
        <w:t>Application</w:t>
      </w:r>
      <w:r w:rsidRPr="006F6171">
        <w:rPr>
          <w:szCs w:val="24"/>
        </w:rPr>
        <w:t>.</w:t>
      </w:r>
      <w:r w:rsidR="00DB18E9" w:rsidRPr="006F6171">
        <w:rPr>
          <w:szCs w:val="24"/>
        </w:rPr>
        <w:t xml:space="preserve"> </w:t>
      </w:r>
      <w:r w:rsidR="00FD01F1" w:rsidRPr="006F6171">
        <w:t>Application</w:t>
      </w:r>
      <w:r w:rsidR="00715115" w:rsidRPr="006F6171">
        <w:t>s are subject to the following limitations, conditions and requirements</w:t>
      </w:r>
      <w:r w:rsidR="00545C91" w:rsidRPr="006F6171">
        <w:t>:</w:t>
      </w:r>
      <w:r w:rsidR="00BB3D09" w:rsidRPr="006F6171">
        <w:t xml:space="preserve"> </w:t>
      </w:r>
    </w:p>
    <w:p w14:paraId="78F2150B" w14:textId="77777777" w:rsidR="00995E15" w:rsidRPr="006F6171" w:rsidRDefault="00995E15" w:rsidP="008416BF">
      <w:pPr>
        <w:tabs>
          <w:tab w:val="left" w:pos="-720"/>
        </w:tabs>
        <w:suppressAutoHyphens/>
        <w:jc w:val="both"/>
        <w:rPr>
          <w:szCs w:val="24"/>
        </w:rPr>
      </w:pPr>
    </w:p>
    <w:p w14:paraId="7A1E4818" w14:textId="77777777" w:rsidR="00C2787B" w:rsidRPr="006F6171" w:rsidRDefault="000E4E2C" w:rsidP="00BE5856">
      <w:pPr>
        <w:pStyle w:val="ListParagraph"/>
        <w:numPr>
          <w:ilvl w:val="0"/>
          <w:numId w:val="38"/>
        </w:numPr>
      </w:pPr>
      <w:r w:rsidRPr="006F6171">
        <w:t>Existing Housing.</w:t>
      </w:r>
      <w:r w:rsidR="00DB18E9" w:rsidRPr="006F6171">
        <w:t xml:space="preserve"> </w:t>
      </w:r>
    </w:p>
    <w:p w14:paraId="76C0BFB8" w14:textId="77777777" w:rsidR="00C4305A" w:rsidRPr="006F6171" w:rsidRDefault="00C4305A" w:rsidP="00695649">
      <w:pPr>
        <w:pStyle w:val="ListParagraph"/>
        <w:tabs>
          <w:tab w:val="left" w:pos="-720"/>
        </w:tabs>
        <w:suppressAutoHyphens/>
        <w:ind w:left="1440" w:hanging="360"/>
        <w:jc w:val="both"/>
        <w:rPr>
          <w:szCs w:val="24"/>
        </w:rPr>
      </w:pPr>
    </w:p>
    <w:p w14:paraId="5B87F18D" w14:textId="77777777" w:rsidR="00F044E4" w:rsidRPr="006F6171" w:rsidRDefault="00C4305A" w:rsidP="00A8328C">
      <w:pPr>
        <w:pStyle w:val="ListParagraph"/>
        <w:numPr>
          <w:ilvl w:val="1"/>
          <w:numId w:val="28"/>
        </w:numPr>
        <w:tabs>
          <w:tab w:val="left" w:pos="-720"/>
        </w:tabs>
        <w:suppressAutoHyphens/>
        <w:jc w:val="both"/>
        <w:rPr>
          <w:szCs w:val="24"/>
        </w:rPr>
      </w:pPr>
      <w:r w:rsidRPr="006F6171">
        <w:rPr>
          <w:szCs w:val="24"/>
        </w:rPr>
        <w:t>Acquisition and Rehabilitation Projects.</w:t>
      </w:r>
      <w:r w:rsidR="00BB3D09" w:rsidRPr="006F6171">
        <w:rPr>
          <w:szCs w:val="24"/>
        </w:rPr>
        <w:t xml:space="preserve"> </w:t>
      </w:r>
      <w:r w:rsidR="00063CE4" w:rsidRPr="006F6171">
        <w:rPr>
          <w:szCs w:val="24"/>
        </w:rPr>
        <w:t>Projects</w:t>
      </w:r>
      <w:r w:rsidRPr="006F6171">
        <w:rPr>
          <w:szCs w:val="24"/>
        </w:rPr>
        <w:t xml:space="preserve"> that involve the </w:t>
      </w:r>
      <w:r w:rsidR="00C85240" w:rsidRPr="006F6171">
        <w:rPr>
          <w:szCs w:val="24"/>
        </w:rPr>
        <w:t>a</w:t>
      </w:r>
      <w:r w:rsidRPr="006F6171">
        <w:rPr>
          <w:szCs w:val="24"/>
        </w:rPr>
        <w:t>cquisition</w:t>
      </w:r>
      <w:r w:rsidR="00E43363" w:rsidRPr="006F6171">
        <w:rPr>
          <w:szCs w:val="24"/>
        </w:rPr>
        <w:t xml:space="preserve"> and rehabilitation of Affordable Housing</w:t>
      </w:r>
      <w:r w:rsidR="00263613" w:rsidRPr="006F6171">
        <w:rPr>
          <w:szCs w:val="24"/>
        </w:rPr>
        <w:t xml:space="preserve"> </w:t>
      </w:r>
      <w:r w:rsidR="009274C3" w:rsidRPr="006F6171">
        <w:rPr>
          <w:szCs w:val="24"/>
        </w:rPr>
        <w:t xml:space="preserve">must include </w:t>
      </w:r>
      <w:r w:rsidR="00C4077A" w:rsidRPr="006F6171">
        <w:rPr>
          <w:szCs w:val="24"/>
        </w:rPr>
        <w:t xml:space="preserve">the </w:t>
      </w:r>
      <w:r w:rsidRPr="006F6171">
        <w:rPr>
          <w:szCs w:val="24"/>
        </w:rPr>
        <w:t xml:space="preserve">addition of at least 20 new units, </w:t>
      </w:r>
      <w:r w:rsidR="00263613" w:rsidRPr="006F6171">
        <w:rPr>
          <w:szCs w:val="24"/>
        </w:rPr>
        <w:t xml:space="preserve">or meet </w:t>
      </w:r>
      <w:r w:rsidR="00B34D1F" w:rsidRPr="006F6171">
        <w:rPr>
          <w:szCs w:val="24"/>
        </w:rPr>
        <w:t>the</w:t>
      </w:r>
      <w:r w:rsidR="00263613" w:rsidRPr="006F6171">
        <w:rPr>
          <w:szCs w:val="24"/>
        </w:rPr>
        <w:t xml:space="preserve"> requirements of</w:t>
      </w:r>
      <w:r w:rsidRPr="006F6171">
        <w:rPr>
          <w:szCs w:val="24"/>
        </w:rPr>
        <w:t xml:space="preserve"> the Preservation Set-</w:t>
      </w:r>
      <w:r w:rsidR="009274C3" w:rsidRPr="006F6171">
        <w:rPr>
          <w:szCs w:val="24"/>
        </w:rPr>
        <w:t>A</w:t>
      </w:r>
      <w:r w:rsidRPr="006F6171">
        <w:rPr>
          <w:szCs w:val="24"/>
        </w:rPr>
        <w:t>side in Section 3.</w:t>
      </w:r>
      <w:r w:rsidR="00EF4F44" w:rsidRPr="006F6171">
        <w:rPr>
          <w:szCs w:val="24"/>
        </w:rPr>
        <w:t>B</w:t>
      </w:r>
      <w:r w:rsidRPr="006F6171">
        <w:rPr>
          <w:szCs w:val="24"/>
        </w:rPr>
        <w:t>.</w:t>
      </w:r>
    </w:p>
    <w:p w14:paraId="094A83DF" w14:textId="77777777" w:rsidR="00C4305A" w:rsidRPr="006F6171" w:rsidRDefault="00C4305A" w:rsidP="00695649">
      <w:pPr>
        <w:pStyle w:val="ListParagraph"/>
        <w:tabs>
          <w:tab w:val="left" w:pos="-720"/>
        </w:tabs>
        <w:suppressAutoHyphens/>
        <w:ind w:left="1440" w:hanging="360"/>
        <w:jc w:val="both"/>
        <w:rPr>
          <w:szCs w:val="24"/>
        </w:rPr>
      </w:pPr>
    </w:p>
    <w:p w14:paraId="0AB1A6BB" w14:textId="77777777" w:rsidR="0063517F" w:rsidRPr="006F6171" w:rsidRDefault="00740526" w:rsidP="00A8328C">
      <w:pPr>
        <w:pStyle w:val="ListParagraph"/>
        <w:numPr>
          <w:ilvl w:val="1"/>
          <w:numId w:val="28"/>
        </w:numPr>
        <w:tabs>
          <w:tab w:val="left" w:pos="-720"/>
        </w:tabs>
        <w:suppressAutoHyphens/>
        <w:jc w:val="both"/>
        <w:rPr>
          <w:szCs w:val="24"/>
        </w:rPr>
      </w:pPr>
      <w:r w:rsidRPr="006F6171">
        <w:rPr>
          <w:szCs w:val="24"/>
        </w:rPr>
        <w:lastRenderedPageBreak/>
        <w:t xml:space="preserve">Demolition </w:t>
      </w:r>
      <w:r w:rsidR="008F6D6C" w:rsidRPr="006F6171">
        <w:rPr>
          <w:szCs w:val="24"/>
        </w:rPr>
        <w:t>of Existing Housing.</w:t>
      </w:r>
      <w:r w:rsidR="00BB3D09" w:rsidRPr="006F6171">
        <w:rPr>
          <w:szCs w:val="24"/>
        </w:rPr>
        <w:t xml:space="preserve"> </w:t>
      </w:r>
      <w:r w:rsidR="00A27F93" w:rsidRPr="006F6171">
        <w:rPr>
          <w:szCs w:val="24"/>
        </w:rPr>
        <w:t>D</w:t>
      </w:r>
      <w:r w:rsidR="008F6D6C" w:rsidRPr="006F6171">
        <w:rPr>
          <w:szCs w:val="24"/>
        </w:rPr>
        <w:t xml:space="preserve">emolition of existing housing that has not been condemned or declared blight by </w:t>
      </w:r>
      <w:r w:rsidR="00A27F93" w:rsidRPr="006F6171">
        <w:rPr>
          <w:szCs w:val="24"/>
        </w:rPr>
        <w:t xml:space="preserve">a </w:t>
      </w:r>
      <w:r w:rsidR="008F6D6C" w:rsidRPr="006F6171">
        <w:rPr>
          <w:szCs w:val="24"/>
        </w:rPr>
        <w:t xml:space="preserve">municipality is </w:t>
      </w:r>
      <w:r w:rsidR="005B28B0" w:rsidRPr="006F6171">
        <w:rPr>
          <w:szCs w:val="24"/>
        </w:rPr>
        <w:t xml:space="preserve">not eligible </w:t>
      </w:r>
      <w:r w:rsidR="008F6D6C" w:rsidRPr="006F6171">
        <w:rPr>
          <w:szCs w:val="24"/>
        </w:rPr>
        <w:t xml:space="preserve">unless </w:t>
      </w:r>
      <w:r w:rsidR="000E5767" w:rsidRPr="006F6171">
        <w:rPr>
          <w:szCs w:val="24"/>
        </w:rPr>
        <w:t>approved</w:t>
      </w:r>
      <w:r w:rsidR="008F6D6C" w:rsidRPr="006F6171">
        <w:rPr>
          <w:szCs w:val="24"/>
        </w:rPr>
        <w:t xml:space="preserve"> by MaineHousing.</w:t>
      </w:r>
    </w:p>
    <w:p w14:paraId="5C56078F" w14:textId="77777777" w:rsidR="00B01DCB" w:rsidRPr="006F6171" w:rsidRDefault="00B01DCB" w:rsidP="00527B06">
      <w:pPr>
        <w:pStyle w:val="ListParagraph"/>
        <w:tabs>
          <w:tab w:val="left" w:pos="-720"/>
        </w:tabs>
        <w:suppressAutoHyphens/>
        <w:ind w:left="1440"/>
        <w:jc w:val="both"/>
        <w:rPr>
          <w:b/>
          <w:szCs w:val="24"/>
        </w:rPr>
      </w:pPr>
    </w:p>
    <w:p w14:paraId="6B6CD88E" w14:textId="703BF7CD" w:rsidR="00845269" w:rsidRPr="006F6171" w:rsidRDefault="00845269" w:rsidP="00BE5856">
      <w:pPr>
        <w:pStyle w:val="ListParagraph"/>
        <w:numPr>
          <w:ilvl w:val="0"/>
          <w:numId w:val="38"/>
        </w:numPr>
        <w:jc w:val="both"/>
        <w:rPr>
          <w:szCs w:val="24"/>
        </w:rPr>
      </w:pPr>
      <w:r w:rsidRPr="006F6171">
        <w:t>Deadline</w:t>
      </w:r>
      <w:r w:rsidRPr="006F6171">
        <w:rPr>
          <w:szCs w:val="24"/>
        </w:rPr>
        <w:t>.</w:t>
      </w:r>
      <w:r w:rsidR="00DB18E9" w:rsidRPr="006F6171">
        <w:rPr>
          <w:szCs w:val="24"/>
        </w:rPr>
        <w:t xml:space="preserve"> </w:t>
      </w:r>
      <w:r w:rsidRPr="006F6171">
        <w:rPr>
          <w:szCs w:val="24"/>
        </w:rPr>
        <w:t>The deadline</w:t>
      </w:r>
      <w:r w:rsidR="004735F0" w:rsidRPr="006F6171">
        <w:rPr>
          <w:szCs w:val="24"/>
        </w:rPr>
        <w:t>s</w:t>
      </w:r>
      <w:r w:rsidRPr="006F6171">
        <w:rPr>
          <w:szCs w:val="24"/>
        </w:rPr>
        <w:t xml:space="preserve"> for submitti</w:t>
      </w:r>
      <w:r w:rsidR="0004679D" w:rsidRPr="006F6171">
        <w:rPr>
          <w:szCs w:val="24"/>
        </w:rPr>
        <w:t xml:space="preserve">ng </w:t>
      </w:r>
      <w:r w:rsidR="000F3FC6" w:rsidRPr="006F6171">
        <w:rPr>
          <w:szCs w:val="24"/>
        </w:rPr>
        <w:t xml:space="preserve">Applications </w:t>
      </w:r>
      <w:r w:rsidR="004735F0" w:rsidRPr="006F6171">
        <w:rPr>
          <w:szCs w:val="24"/>
        </w:rPr>
        <w:t xml:space="preserve">are </w:t>
      </w:r>
      <w:r w:rsidR="00AB04B6" w:rsidRPr="006F6171">
        <w:rPr>
          <w:szCs w:val="24"/>
        </w:rPr>
        <w:t xml:space="preserve">Thursday, </w:t>
      </w:r>
      <w:r w:rsidR="0078409B" w:rsidRPr="006F6171">
        <w:rPr>
          <w:szCs w:val="24"/>
        </w:rPr>
        <w:t xml:space="preserve">September </w:t>
      </w:r>
      <w:r w:rsidR="00354735" w:rsidRPr="006F6171">
        <w:rPr>
          <w:szCs w:val="24"/>
        </w:rPr>
        <w:t>19</w:t>
      </w:r>
      <w:r w:rsidR="00A541D9" w:rsidRPr="006F6171">
        <w:rPr>
          <w:szCs w:val="24"/>
        </w:rPr>
        <w:t>, 20</w:t>
      </w:r>
      <w:r w:rsidR="004735F0" w:rsidRPr="006F6171">
        <w:rPr>
          <w:szCs w:val="24"/>
        </w:rPr>
        <w:t>2</w:t>
      </w:r>
      <w:r w:rsidR="00AC5819" w:rsidRPr="006F6171">
        <w:rPr>
          <w:szCs w:val="24"/>
        </w:rPr>
        <w:t>4</w:t>
      </w:r>
      <w:r w:rsidR="004735F0" w:rsidRPr="006F6171">
        <w:rPr>
          <w:szCs w:val="24"/>
        </w:rPr>
        <w:t xml:space="preserve"> for the 202</w:t>
      </w:r>
      <w:r w:rsidR="00AC5819" w:rsidRPr="006F6171">
        <w:rPr>
          <w:szCs w:val="24"/>
        </w:rPr>
        <w:t>5</w:t>
      </w:r>
      <w:r w:rsidR="004735F0" w:rsidRPr="006F6171">
        <w:rPr>
          <w:szCs w:val="24"/>
        </w:rPr>
        <w:t xml:space="preserve"> State Ceiling and Thursday, </w:t>
      </w:r>
      <w:r w:rsidR="0091052D" w:rsidRPr="006F6171">
        <w:rPr>
          <w:szCs w:val="24"/>
        </w:rPr>
        <w:t xml:space="preserve">September </w:t>
      </w:r>
      <w:r w:rsidR="00AC5819" w:rsidRPr="006F6171">
        <w:rPr>
          <w:szCs w:val="24"/>
        </w:rPr>
        <w:t>18</w:t>
      </w:r>
      <w:r w:rsidR="002C6068" w:rsidRPr="006F6171">
        <w:rPr>
          <w:szCs w:val="24"/>
        </w:rPr>
        <w:t>, 202</w:t>
      </w:r>
      <w:r w:rsidR="00AC5819" w:rsidRPr="006F6171">
        <w:rPr>
          <w:szCs w:val="24"/>
        </w:rPr>
        <w:t>5</w:t>
      </w:r>
      <w:r w:rsidR="004735F0" w:rsidRPr="006F6171">
        <w:rPr>
          <w:szCs w:val="24"/>
        </w:rPr>
        <w:t xml:space="preserve"> for the 202</w:t>
      </w:r>
      <w:r w:rsidR="00AC5819" w:rsidRPr="006F6171">
        <w:rPr>
          <w:szCs w:val="24"/>
        </w:rPr>
        <w:t>6</w:t>
      </w:r>
      <w:r w:rsidR="004735F0" w:rsidRPr="006F6171">
        <w:rPr>
          <w:szCs w:val="24"/>
        </w:rPr>
        <w:t xml:space="preserve"> State Ceiling</w:t>
      </w:r>
      <w:r w:rsidRPr="006F6171">
        <w:rPr>
          <w:szCs w:val="24"/>
        </w:rPr>
        <w:t>.</w:t>
      </w:r>
      <w:r w:rsidR="00BB3D09" w:rsidRPr="006F6171">
        <w:rPr>
          <w:szCs w:val="24"/>
        </w:rPr>
        <w:t xml:space="preserve"> </w:t>
      </w:r>
    </w:p>
    <w:p w14:paraId="49BCB719" w14:textId="77777777" w:rsidR="00845269" w:rsidRPr="006F6171" w:rsidRDefault="00845269" w:rsidP="00821E7D">
      <w:pPr>
        <w:pStyle w:val="ListParagraph"/>
        <w:tabs>
          <w:tab w:val="left" w:pos="-720"/>
          <w:tab w:val="left" w:pos="1170"/>
        </w:tabs>
        <w:suppressAutoHyphens/>
        <w:ind w:left="1080" w:hanging="360"/>
        <w:jc w:val="both"/>
        <w:rPr>
          <w:szCs w:val="24"/>
        </w:rPr>
      </w:pPr>
    </w:p>
    <w:p w14:paraId="67C90921" w14:textId="479E5DF2" w:rsidR="00F52692" w:rsidRPr="006F6171" w:rsidRDefault="00AA2687" w:rsidP="00BE5856">
      <w:pPr>
        <w:pStyle w:val="ListParagraph"/>
        <w:numPr>
          <w:ilvl w:val="0"/>
          <w:numId w:val="38"/>
        </w:numPr>
        <w:jc w:val="both"/>
        <w:rPr>
          <w:szCs w:val="24"/>
        </w:rPr>
      </w:pPr>
      <w:r w:rsidRPr="006F6171">
        <w:t>Format</w:t>
      </w:r>
      <w:r w:rsidR="002367FF" w:rsidRPr="006F6171">
        <w:rPr>
          <w:szCs w:val="24"/>
        </w:rPr>
        <w:t>.</w:t>
      </w:r>
      <w:r w:rsidR="00BB3D09" w:rsidRPr="006F6171">
        <w:rPr>
          <w:szCs w:val="24"/>
        </w:rPr>
        <w:t xml:space="preserve"> </w:t>
      </w:r>
      <w:r w:rsidR="00715115" w:rsidRPr="006F6171">
        <w:rPr>
          <w:szCs w:val="24"/>
        </w:rPr>
        <w:t xml:space="preserve">The Application </w:t>
      </w:r>
      <w:r w:rsidR="0004679D" w:rsidRPr="006F6171">
        <w:rPr>
          <w:szCs w:val="24"/>
        </w:rPr>
        <w:t>must be</w:t>
      </w:r>
      <w:r w:rsidR="001540C9" w:rsidRPr="006F6171">
        <w:rPr>
          <w:szCs w:val="24"/>
        </w:rPr>
        <w:t xml:space="preserve"> completed and</w:t>
      </w:r>
      <w:r w:rsidR="0004679D" w:rsidRPr="006F6171">
        <w:rPr>
          <w:szCs w:val="24"/>
        </w:rPr>
        <w:t xml:space="preserve"> submitted</w:t>
      </w:r>
      <w:r w:rsidR="00606FE8" w:rsidRPr="006F6171">
        <w:rPr>
          <w:szCs w:val="24"/>
        </w:rPr>
        <w:t xml:space="preserve"> </w:t>
      </w:r>
      <w:r w:rsidR="001110D5" w:rsidRPr="006F6171">
        <w:rPr>
          <w:szCs w:val="24"/>
        </w:rPr>
        <w:t>electronically</w:t>
      </w:r>
      <w:r w:rsidR="00606FE8" w:rsidRPr="006F6171">
        <w:rPr>
          <w:szCs w:val="24"/>
        </w:rPr>
        <w:t xml:space="preserve"> </w:t>
      </w:r>
      <w:r w:rsidR="003204D1" w:rsidRPr="006F6171">
        <w:rPr>
          <w:szCs w:val="24"/>
        </w:rPr>
        <w:t>in the</w:t>
      </w:r>
      <w:r w:rsidR="001540C9" w:rsidRPr="006F6171">
        <w:rPr>
          <w:szCs w:val="24"/>
        </w:rPr>
        <w:t xml:space="preserve"> form and</w:t>
      </w:r>
      <w:r w:rsidR="003204D1" w:rsidRPr="006F6171">
        <w:rPr>
          <w:szCs w:val="24"/>
        </w:rPr>
        <w:t xml:space="preserve"> manner prescribed by MaineHousing</w:t>
      </w:r>
      <w:r w:rsidR="001110D5" w:rsidRPr="006F6171">
        <w:rPr>
          <w:szCs w:val="24"/>
        </w:rPr>
        <w:t>.</w:t>
      </w:r>
      <w:r w:rsidR="00BB3D09" w:rsidRPr="006F6171">
        <w:rPr>
          <w:szCs w:val="24"/>
        </w:rPr>
        <w:t xml:space="preserve"> </w:t>
      </w:r>
      <w:r w:rsidR="00BF3295" w:rsidRPr="006F6171">
        <w:rPr>
          <w:szCs w:val="24"/>
        </w:rPr>
        <w:t xml:space="preserve">Submitted exhibits must include documentation </w:t>
      </w:r>
      <w:r w:rsidR="00F563FB" w:rsidRPr="006F6171">
        <w:rPr>
          <w:szCs w:val="24"/>
        </w:rPr>
        <w:t xml:space="preserve">such as grant award letters, signed documentation on letterhead or evidence of official municipal action </w:t>
      </w:r>
      <w:r w:rsidR="00BF3295" w:rsidRPr="006F6171">
        <w:rPr>
          <w:szCs w:val="24"/>
        </w:rPr>
        <w:t xml:space="preserve">to provide evidence of all funding sources and official approvals.  </w:t>
      </w:r>
      <w:r w:rsidR="00F52692" w:rsidRPr="006F6171">
        <w:rPr>
          <w:szCs w:val="24"/>
        </w:rPr>
        <w:t xml:space="preserve">MaineHousing </w:t>
      </w:r>
      <w:r w:rsidR="008F7ADE" w:rsidRPr="006F6171">
        <w:rPr>
          <w:szCs w:val="24"/>
        </w:rPr>
        <w:t>may</w:t>
      </w:r>
      <w:r w:rsidR="00F52692" w:rsidRPr="006F6171">
        <w:rPr>
          <w:szCs w:val="24"/>
        </w:rPr>
        <w:t xml:space="preserve"> require </w:t>
      </w:r>
      <w:r w:rsidR="008F7ADE" w:rsidRPr="006F6171">
        <w:rPr>
          <w:szCs w:val="24"/>
        </w:rPr>
        <w:t xml:space="preserve">the Applicant to submit </w:t>
      </w:r>
      <w:r w:rsidR="00F52692" w:rsidRPr="006F6171">
        <w:rPr>
          <w:szCs w:val="24"/>
        </w:rPr>
        <w:t>additional information.</w:t>
      </w:r>
      <w:r w:rsidR="00BF3295" w:rsidRPr="006F6171">
        <w:rPr>
          <w:szCs w:val="24"/>
        </w:rPr>
        <w:t xml:space="preserve"> </w:t>
      </w:r>
    </w:p>
    <w:p w14:paraId="26702908" w14:textId="77777777" w:rsidR="00995E15" w:rsidRPr="006F6171" w:rsidRDefault="00995E15" w:rsidP="008416BF">
      <w:pPr>
        <w:tabs>
          <w:tab w:val="left" w:pos="-720"/>
        </w:tabs>
        <w:suppressAutoHyphens/>
        <w:jc w:val="both"/>
        <w:rPr>
          <w:szCs w:val="24"/>
        </w:rPr>
      </w:pPr>
    </w:p>
    <w:p w14:paraId="37E2DCEB" w14:textId="77777777" w:rsidR="00B26C81" w:rsidRPr="006F6171" w:rsidRDefault="005310A8" w:rsidP="00BE5856">
      <w:pPr>
        <w:pStyle w:val="ListParagraph"/>
        <w:numPr>
          <w:ilvl w:val="0"/>
          <w:numId w:val="40"/>
        </w:numPr>
        <w:tabs>
          <w:tab w:val="left" w:pos="-720"/>
          <w:tab w:val="left" w:pos="1350"/>
        </w:tabs>
        <w:suppressAutoHyphens/>
        <w:ind w:hanging="720"/>
        <w:jc w:val="both"/>
        <w:rPr>
          <w:rStyle w:val="Heading2Char"/>
          <w:b w:val="0"/>
        </w:rPr>
      </w:pPr>
      <w:r w:rsidRPr="006F6171">
        <w:t>Fees.</w:t>
      </w:r>
      <w:r w:rsidRPr="006F6171">
        <w:rPr>
          <w:rStyle w:val="Heading2Char"/>
          <w:b w:val="0"/>
        </w:rPr>
        <w:tab/>
      </w:r>
      <w:r w:rsidR="002C3F5A" w:rsidRPr="006F6171">
        <w:rPr>
          <w:rStyle w:val="Heading2Char"/>
          <w:b w:val="0"/>
        </w:rPr>
        <w:t>Applicants must pay the following fees when due.</w:t>
      </w:r>
      <w:r w:rsidR="00BB3D09" w:rsidRPr="006F6171">
        <w:rPr>
          <w:rStyle w:val="Heading2Char"/>
          <w:b w:val="0"/>
        </w:rPr>
        <w:t xml:space="preserve"> </w:t>
      </w:r>
      <w:r w:rsidR="00422BBB" w:rsidRPr="006F6171">
        <w:rPr>
          <w:rStyle w:val="Heading2Char"/>
          <w:b w:val="0"/>
        </w:rPr>
        <w:t xml:space="preserve">All fees are non-refundable. </w:t>
      </w:r>
    </w:p>
    <w:p w14:paraId="1541E204" w14:textId="77777777" w:rsidR="002C3F5A" w:rsidRPr="006F6171" w:rsidRDefault="002C3F5A" w:rsidP="008416BF">
      <w:pPr>
        <w:pStyle w:val="ListParagraph"/>
        <w:tabs>
          <w:tab w:val="left" w:pos="-720"/>
        </w:tabs>
        <w:suppressAutoHyphens/>
        <w:jc w:val="both"/>
        <w:rPr>
          <w:rStyle w:val="Heading2Char"/>
          <w:b w:val="0"/>
        </w:rPr>
      </w:pPr>
    </w:p>
    <w:tbl>
      <w:tblPr>
        <w:tblStyle w:val="TableGrid"/>
        <w:tblW w:w="8640" w:type="dxa"/>
        <w:tblInd w:w="715" w:type="dxa"/>
        <w:tblLook w:val="04A0" w:firstRow="1" w:lastRow="0" w:firstColumn="1" w:lastColumn="0" w:noHBand="0" w:noVBand="1"/>
      </w:tblPr>
      <w:tblGrid>
        <w:gridCol w:w="2070"/>
        <w:gridCol w:w="2491"/>
        <w:gridCol w:w="4079"/>
      </w:tblGrid>
      <w:tr w:rsidR="00422BBB" w:rsidRPr="006F6171" w14:paraId="73C35ED6" w14:textId="77777777" w:rsidTr="00527B06">
        <w:tc>
          <w:tcPr>
            <w:tcW w:w="2070" w:type="dxa"/>
          </w:tcPr>
          <w:p w14:paraId="1B88613D" w14:textId="77777777" w:rsidR="002C3F5A" w:rsidRPr="006F6171" w:rsidRDefault="00422BBB" w:rsidP="008416BF">
            <w:pPr>
              <w:jc w:val="both"/>
              <w:rPr>
                <w:rFonts w:ascii="Garamond" w:hAnsi="Garamond"/>
                <w:b/>
              </w:rPr>
            </w:pPr>
            <w:r w:rsidRPr="006F6171">
              <w:rPr>
                <w:rFonts w:ascii="Garamond" w:hAnsi="Garamond"/>
                <w:b/>
              </w:rPr>
              <w:t>Type of Fee</w:t>
            </w:r>
          </w:p>
        </w:tc>
        <w:tc>
          <w:tcPr>
            <w:tcW w:w="2491" w:type="dxa"/>
          </w:tcPr>
          <w:p w14:paraId="5A0713F6" w14:textId="77777777" w:rsidR="002C3F5A" w:rsidRPr="006F6171" w:rsidRDefault="00422BBB" w:rsidP="008416BF">
            <w:pPr>
              <w:jc w:val="both"/>
              <w:rPr>
                <w:rFonts w:ascii="Garamond" w:hAnsi="Garamond"/>
                <w:b/>
              </w:rPr>
            </w:pPr>
            <w:r w:rsidRPr="006F6171">
              <w:rPr>
                <w:rFonts w:ascii="Garamond" w:hAnsi="Garamond"/>
                <w:b/>
              </w:rPr>
              <w:t>Amount</w:t>
            </w:r>
          </w:p>
        </w:tc>
        <w:tc>
          <w:tcPr>
            <w:tcW w:w="4079" w:type="dxa"/>
          </w:tcPr>
          <w:p w14:paraId="5C95A40D" w14:textId="77777777" w:rsidR="002C3F5A" w:rsidRPr="006F6171" w:rsidRDefault="00422BBB" w:rsidP="008416BF">
            <w:pPr>
              <w:jc w:val="both"/>
              <w:rPr>
                <w:rFonts w:ascii="Garamond" w:hAnsi="Garamond"/>
                <w:b/>
              </w:rPr>
            </w:pPr>
            <w:r w:rsidRPr="006F6171">
              <w:rPr>
                <w:rFonts w:ascii="Garamond" w:hAnsi="Garamond"/>
                <w:b/>
              </w:rPr>
              <w:t>Due Date</w:t>
            </w:r>
          </w:p>
        </w:tc>
      </w:tr>
      <w:tr w:rsidR="00422BBB" w:rsidRPr="006F6171" w14:paraId="6E8324D0" w14:textId="77777777" w:rsidTr="00527B06">
        <w:tc>
          <w:tcPr>
            <w:tcW w:w="2070" w:type="dxa"/>
          </w:tcPr>
          <w:p w14:paraId="291A28F6" w14:textId="77777777" w:rsidR="002C3F5A" w:rsidRPr="006F6171" w:rsidRDefault="00422BBB" w:rsidP="008416BF">
            <w:pPr>
              <w:jc w:val="both"/>
              <w:rPr>
                <w:rFonts w:ascii="Garamond" w:hAnsi="Garamond"/>
              </w:rPr>
            </w:pPr>
            <w:r w:rsidRPr="006F6171">
              <w:rPr>
                <w:rFonts w:ascii="Garamond" w:hAnsi="Garamond"/>
              </w:rPr>
              <w:t>Pre-application Fee</w:t>
            </w:r>
          </w:p>
        </w:tc>
        <w:tc>
          <w:tcPr>
            <w:tcW w:w="2491" w:type="dxa"/>
          </w:tcPr>
          <w:p w14:paraId="6BA22A86" w14:textId="77777777" w:rsidR="002C3F5A" w:rsidRPr="006F6171" w:rsidRDefault="007C358F" w:rsidP="008416BF">
            <w:pPr>
              <w:jc w:val="both"/>
              <w:rPr>
                <w:rFonts w:ascii="Garamond" w:hAnsi="Garamond"/>
              </w:rPr>
            </w:pPr>
            <w:r w:rsidRPr="006F6171">
              <w:rPr>
                <w:rFonts w:ascii="Garamond" w:hAnsi="Garamond"/>
              </w:rPr>
              <w:t>$2</w:t>
            </w:r>
            <w:r w:rsidR="00422BBB" w:rsidRPr="006F6171">
              <w:rPr>
                <w:rFonts w:ascii="Garamond" w:hAnsi="Garamond"/>
              </w:rPr>
              <w:t>,000</w:t>
            </w:r>
          </w:p>
        </w:tc>
        <w:tc>
          <w:tcPr>
            <w:tcW w:w="4079" w:type="dxa"/>
          </w:tcPr>
          <w:p w14:paraId="4746499F" w14:textId="77777777" w:rsidR="002C3F5A" w:rsidRPr="006F6171" w:rsidRDefault="007F2F95" w:rsidP="008416BF">
            <w:pPr>
              <w:jc w:val="both"/>
              <w:rPr>
                <w:rFonts w:ascii="Garamond" w:hAnsi="Garamond"/>
              </w:rPr>
            </w:pPr>
            <w:r w:rsidRPr="006F6171">
              <w:rPr>
                <w:rFonts w:ascii="Garamond" w:hAnsi="Garamond"/>
              </w:rPr>
              <w:t>By Pre-application d</w:t>
            </w:r>
            <w:r w:rsidR="00422BBB" w:rsidRPr="006F6171">
              <w:rPr>
                <w:rFonts w:ascii="Garamond" w:hAnsi="Garamond"/>
              </w:rPr>
              <w:t>eadline in Section 4.A.</w:t>
            </w:r>
          </w:p>
        </w:tc>
      </w:tr>
      <w:tr w:rsidR="00422BBB" w:rsidRPr="006F6171" w14:paraId="4BFE9C76" w14:textId="77777777" w:rsidTr="00527B06">
        <w:tc>
          <w:tcPr>
            <w:tcW w:w="2070" w:type="dxa"/>
          </w:tcPr>
          <w:p w14:paraId="3828276A" w14:textId="77777777" w:rsidR="002C3F5A" w:rsidRPr="006F6171" w:rsidRDefault="00422BBB" w:rsidP="008416BF">
            <w:pPr>
              <w:jc w:val="both"/>
              <w:rPr>
                <w:rFonts w:ascii="Garamond" w:hAnsi="Garamond"/>
              </w:rPr>
            </w:pPr>
            <w:r w:rsidRPr="006F6171">
              <w:rPr>
                <w:rFonts w:ascii="Garamond" w:hAnsi="Garamond"/>
              </w:rPr>
              <w:t>Application Fee</w:t>
            </w:r>
          </w:p>
        </w:tc>
        <w:tc>
          <w:tcPr>
            <w:tcW w:w="2491" w:type="dxa"/>
          </w:tcPr>
          <w:p w14:paraId="777CDE0D" w14:textId="77777777" w:rsidR="002C3F5A" w:rsidRPr="006F6171" w:rsidRDefault="007C358F" w:rsidP="008416BF">
            <w:pPr>
              <w:jc w:val="both"/>
              <w:rPr>
                <w:rFonts w:ascii="Garamond" w:hAnsi="Garamond"/>
              </w:rPr>
            </w:pPr>
            <w:r w:rsidRPr="006F6171">
              <w:rPr>
                <w:rFonts w:ascii="Garamond" w:hAnsi="Garamond"/>
              </w:rPr>
              <w:t>$2</w:t>
            </w:r>
            <w:r w:rsidR="00422BBB" w:rsidRPr="006F6171">
              <w:rPr>
                <w:rFonts w:ascii="Garamond" w:hAnsi="Garamond"/>
              </w:rPr>
              <w:t>,500</w:t>
            </w:r>
          </w:p>
        </w:tc>
        <w:tc>
          <w:tcPr>
            <w:tcW w:w="4079" w:type="dxa"/>
          </w:tcPr>
          <w:p w14:paraId="0C5FA30B" w14:textId="77777777" w:rsidR="002C3F5A" w:rsidRPr="006F6171" w:rsidRDefault="00422BBB" w:rsidP="008416BF">
            <w:pPr>
              <w:jc w:val="both"/>
              <w:rPr>
                <w:rFonts w:ascii="Garamond" w:hAnsi="Garamond"/>
              </w:rPr>
            </w:pPr>
            <w:r w:rsidRPr="006F6171">
              <w:rPr>
                <w:rFonts w:ascii="Garamond" w:hAnsi="Garamond"/>
              </w:rPr>
              <w:t>Postmark</w:t>
            </w:r>
            <w:r w:rsidR="007F2F95" w:rsidRPr="006F6171">
              <w:rPr>
                <w:rFonts w:ascii="Garamond" w:hAnsi="Garamond"/>
              </w:rPr>
              <w:t>ed for delivery by Application d</w:t>
            </w:r>
            <w:r w:rsidRPr="006F6171">
              <w:rPr>
                <w:rFonts w:ascii="Garamond" w:hAnsi="Garamond"/>
              </w:rPr>
              <w:t xml:space="preserve">eadline in Section 4.B.2 </w:t>
            </w:r>
          </w:p>
        </w:tc>
      </w:tr>
      <w:tr w:rsidR="00422BBB" w:rsidRPr="006F6171" w14:paraId="5F6FA284" w14:textId="77777777" w:rsidTr="00527B06">
        <w:tc>
          <w:tcPr>
            <w:tcW w:w="2070" w:type="dxa"/>
          </w:tcPr>
          <w:p w14:paraId="01C52EF1" w14:textId="77777777" w:rsidR="002C3F5A" w:rsidRPr="006F6171" w:rsidRDefault="00422BBB" w:rsidP="008416BF">
            <w:pPr>
              <w:jc w:val="both"/>
              <w:rPr>
                <w:rFonts w:ascii="Garamond" w:hAnsi="Garamond"/>
              </w:rPr>
            </w:pPr>
            <w:r w:rsidRPr="006F6171">
              <w:rPr>
                <w:rFonts w:ascii="Garamond" w:hAnsi="Garamond"/>
              </w:rPr>
              <w:t>Allocation Fee</w:t>
            </w:r>
          </w:p>
        </w:tc>
        <w:tc>
          <w:tcPr>
            <w:tcW w:w="2491" w:type="dxa"/>
          </w:tcPr>
          <w:p w14:paraId="04A67F63" w14:textId="77777777" w:rsidR="002C3F5A" w:rsidRPr="006F6171" w:rsidRDefault="007C358F" w:rsidP="008416BF">
            <w:pPr>
              <w:jc w:val="both"/>
              <w:rPr>
                <w:rFonts w:ascii="Garamond" w:hAnsi="Garamond"/>
              </w:rPr>
            </w:pPr>
            <w:r w:rsidRPr="006F6171">
              <w:rPr>
                <w:rFonts w:ascii="Garamond" w:hAnsi="Garamond"/>
              </w:rPr>
              <w:t>7.5</w:t>
            </w:r>
            <w:r w:rsidR="00422BBB" w:rsidRPr="006F6171">
              <w:rPr>
                <w:rFonts w:ascii="Garamond" w:hAnsi="Garamond"/>
              </w:rPr>
              <w:t>% of Credit</w:t>
            </w:r>
          </w:p>
        </w:tc>
        <w:tc>
          <w:tcPr>
            <w:tcW w:w="4079" w:type="dxa"/>
          </w:tcPr>
          <w:p w14:paraId="0271B66A" w14:textId="77777777" w:rsidR="002C3F5A" w:rsidRPr="006F6171" w:rsidRDefault="007F2F95" w:rsidP="008416BF">
            <w:pPr>
              <w:jc w:val="both"/>
              <w:rPr>
                <w:rFonts w:ascii="Garamond" w:hAnsi="Garamond"/>
              </w:rPr>
            </w:pPr>
            <w:r w:rsidRPr="006F6171">
              <w:rPr>
                <w:rFonts w:ascii="Garamond" w:hAnsi="Garamond"/>
              </w:rPr>
              <w:t xml:space="preserve">Earlier </w:t>
            </w:r>
            <w:r w:rsidR="00B6606D" w:rsidRPr="006F6171">
              <w:rPr>
                <w:rFonts w:ascii="Garamond" w:hAnsi="Garamond"/>
              </w:rPr>
              <w:t>of Carryover A</w:t>
            </w:r>
            <w:r w:rsidR="00422BBB" w:rsidRPr="006F6171">
              <w:rPr>
                <w:rFonts w:ascii="Garamond" w:hAnsi="Garamond"/>
              </w:rPr>
              <w:t>llocation</w:t>
            </w:r>
            <w:r w:rsidR="00B6606D" w:rsidRPr="006F6171">
              <w:rPr>
                <w:rFonts w:ascii="Garamond" w:hAnsi="Garamond"/>
              </w:rPr>
              <w:t xml:space="preserve"> (Section 8.B.)</w:t>
            </w:r>
            <w:r w:rsidR="00422BBB" w:rsidRPr="006F6171">
              <w:rPr>
                <w:rFonts w:ascii="Garamond" w:hAnsi="Garamond"/>
              </w:rPr>
              <w:t xml:space="preserve"> or </w:t>
            </w:r>
            <w:r w:rsidR="00B6606D" w:rsidRPr="006F6171">
              <w:rPr>
                <w:rFonts w:ascii="Garamond" w:hAnsi="Garamond"/>
              </w:rPr>
              <w:t>Final Allocation (Section 8.A.)</w:t>
            </w:r>
          </w:p>
        </w:tc>
      </w:tr>
      <w:tr w:rsidR="00422BBB" w:rsidRPr="006F6171" w14:paraId="7C724D34" w14:textId="77777777" w:rsidTr="00527B06">
        <w:tc>
          <w:tcPr>
            <w:tcW w:w="2070" w:type="dxa"/>
          </w:tcPr>
          <w:p w14:paraId="58BA7E5E" w14:textId="77777777" w:rsidR="002C3F5A" w:rsidRPr="006F6171" w:rsidRDefault="00422BBB" w:rsidP="008416BF">
            <w:pPr>
              <w:jc w:val="both"/>
              <w:rPr>
                <w:rFonts w:ascii="Garamond" w:hAnsi="Garamond"/>
              </w:rPr>
            </w:pPr>
            <w:r w:rsidRPr="006F6171">
              <w:rPr>
                <w:rFonts w:ascii="Garamond" w:hAnsi="Garamond"/>
              </w:rPr>
              <w:t>Monitoring Fee</w:t>
            </w:r>
            <w:r w:rsidR="00847932" w:rsidRPr="006F6171">
              <w:rPr>
                <w:rFonts w:ascii="Garamond" w:hAnsi="Garamond"/>
              </w:rPr>
              <w:t>*</w:t>
            </w:r>
          </w:p>
        </w:tc>
        <w:tc>
          <w:tcPr>
            <w:tcW w:w="2491" w:type="dxa"/>
          </w:tcPr>
          <w:p w14:paraId="058ED2FD" w14:textId="77777777" w:rsidR="002C3F5A" w:rsidRPr="006F6171" w:rsidRDefault="007C358F" w:rsidP="00527B06">
            <w:pPr>
              <w:rPr>
                <w:rFonts w:ascii="Garamond" w:hAnsi="Garamond"/>
              </w:rPr>
            </w:pPr>
            <w:r w:rsidRPr="006F6171">
              <w:rPr>
                <w:rFonts w:ascii="Garamond" w:hAnsi="Garamond"/>
              </w:rPr>
              <w:t>$</w:t>
            </w:r>
            <w:r w:rsidR="00F21581" w:rsidRPr="006F6171">
              <w:rPr>
                <w:rFonts w:ascii="Garamond" w:hAnsi="Garamond"/>
              </w:rPr>
              <w:t>1,0</w:t>
            </w:r>
            <w:r w:rsidR="00422BBB" w:rsidRPr="006F6171">
              <w:rPr>
                <w:rFonts w:ascii="Garamond" w:hAnsi="Garamond"/>
              </w:rPr>
              <w:t>00 per Credit Unit</w:t>
            </w:r>
          </w:p>
        </w:tc>
        <w:tc>
          <w:tcPr>
            <w:tcW w:w="4079" w:type="dxa"/>
          </w:tcPr>
          <w:p w14:paraId="5340EA88" w14:textId="77777777" w:rsidR="002C3F5A" w:rsidRPr="006F6171" w:rsidRDefault="00B6606D" w:rsidP="008416BF">
            <w:pPr>
              <w:jc w:val="both"/>
              <w:rPr>
                <w:rFonts w:ascii="Garamond" w:hAnsi="Garamond"/>
              </w:rPr>
            </w:pPr>
            <w:r w:rsidRPr="006F6171">
              <w:rPr>
                <w:rFonts w:ascii="Garamond" w:hAnsi="Garamond"/>
              </w:rPr>
              <w:t>Final Allocation (Section 8.A.)</w:t>
            </w:r>
          </w:p>
        </w:tc>
      </w:tr>
    </w:tbl>
    <w:p w14:paraId="4808B003" w14:textId="77777777" w:rsidR="009274C3" w:rsidRPr="006F6171" w:rsidRDefault="002C3F5A" w:rsidP="008416BF">
      <w:pPr>
        <w:ind w:left="720"/>
        <w:jc w:val="both"/>
      </w:pPr>
      <w:r w:rsidRPr="006F6171">
        <w:t xml:space="preserve"> </w:t>
      </w:r>
      <w:r w:rsidR="00847932" w:rsidRPr="006F6171">
        <w:br/>
        <w:t>*Ma</w:t>
      </w:r>
      <w:r w:rsidR="003F4E70" w:rsidRPr="006F6171">
        <w:t xml:space="preserve">ineHousing </w:t>
      </w:r>
      <w:r w:rsidR="00D34FC8" w:rsidRPr="006F6171">
        <w:t>may</w:t>
      </w:r>
      <w:r w:rsidR="00847932" w:rsidRPr="006F6171">
        <w:t xml:space="preserve"> charge an additional monitoring fee to cover any increased costs due to </w:t>
      </w:r>
      <w:r w:rsidR="00323351" w:rsidRPr="006F6171">
        <w:t xml:space="preserve">income averaging or other extraordinary </w:t>
      </w:r>
      <w:r w:rsidR="00847932" w:rsidRPr="006F6171">
        <w:t>monitoring requirements during the Compliance Period.</w:t>
      </w:r>
    </w:p>
    <w:p w14:paraId="10554121" w14:textId="77777777" w:rsidR="00733679" w:rsidRPr="006F6171" w:rsidRDefault="00733679" w:rsidP="008416BF">
      <w:pPr>
        <w:ind w:left="720"/>
        <w:jc w:val="both"/>
      </w:pPr>
    </w:p>
    <w:p w14:paraId="31B040E4" w14:textId="77777777" w:rsidR="009274C3" w:rsidRPr="006F6171" w:rsidRDefault="00995E15" w:rsidP="00BE5856">
      <w:pPr>
        <w:pStyle w:val="ListParagraph"/>
        <w:numPr>
          <w:ilvl w:val="0"/>
          <w:numId w:val="40"/>
        </w:numPr>
        <w:tabs>
          <w:tab w:val="left" w:pos="-720"/>
          <w:tab w:val="left" w:pos="1350"/>
        </w:tabs>
        <w:suppressAutoHyphens/>
        <w:ind w:hanging="720"/>
        <w:jc w:val="both"/>
        <w:rPr>
          <w:szCs w:val="24"/>
        </w:rPr>
      </w:pPr>
      <w:r w:rsidRPr="006F6171">
        <w:t>Ineligible Applicants</w:t>
      </w:r>
      <w:r w:rsidRPr="006F6171">
        <w:rPr>
          <w:szCs w:val="24"/>
        </w:rPr>
        <w:t>.</w:t>
      </w:r>
      <w:r w:rsidR="00DB18E9" w:rsidRPr="006F6171">
        <w:rPr>
          <w:szCs w:val="24"/>
        </w:rPr>
        <w:t xml:space="preserve"> </w:t>
      </w:r>
      <w:r w:rsidR="002A25E1" w:rsidRPr="006F6171">
        <w:rPr>
          <w:szCs w:val="24"/>
        </w:rPr>
        <w:t xml:space="preserve">An Application will be </w:t>
      </w:r>
      <w:r w:rsidR="00E44954" w:rsidRPr="006F6171">
        <w:rPr>
          <w:szCs w:val="24"/>
        </w:rPr>
        <w:t xml:space="preserve">deemed ineligible </w:t>
      </w:r>
      <w:r w:rsidR="002A25E1" w:rsidRPr="006F6171">
        <w:rPr>
          <w:szCs w:val="24"/>
        </w:rPr>
        <w:t>if</w:t>
      </w:r>
      <w:r w:rsidR="00CD7378" w:rsidRPr="006F6171">
        <w:rPr>
          <w:szCs w:val="24"/>
        </w:rPr>
        <w:t xml:space="preserve"> one or more of the following has occurred</w:t>
      </w:r>
      <w:r w:rsidR="00AA717C" w:rsidRPr="006F6171">
        <w:rPr>
          <w:szCs w:val="24"/>
        </w:rPr>
        <w:t>:</w:t>
      </w:r>
    </w:p>
    <w:p w14:paraId="51B6439E" w14:textId="77777777" w:rsidR="00CD7378" w:rsidRPr="006F6171" w:rsidRDefault="00CD7378" w:rsidP="009274C3">
      <w:pPr>
        <w:pStyle w:val="ListParagraph"/>
        <w:tabs>
          <w:tab w:val="left" w:pos="-720"/>
        </w:tabs>
        <w:suppressAutoHyphens/>
        <w:jc w:val="both"/>
        <w:rPr>
          <w:szCs w:val="24"/>
        </w:rPr>
      </w:pPr>
    </w:p>
    <w:p w14:paraId="584CE79A" w14:textId="77777777" w:rsidR="00624F65" w:rsidRPr="006F6171" w:rsidRDefault="00974C65" w:rsidP="00A8328C">
      <w:pPr>
        <w:pStyle w:val="ListParagraph"/>
        <w:numPr>
          <w:ilvl w:val="0"/>
          <w:numId w:val="13"/>
        </w:numPr>
        <w:tabs>
          <w:tab w:val="left" w:pos="-720"/>
        </w:tabs>
        <w:suppressAutoHyphens/>
        <w:ind w:left="1080" w:hanging="360"/>
        <w:jc w:val="both"/>
        <w:rPr>
          <w:szCs w:val="24"/>
        </w:rPr>
      </w:pPr>
      <w:r w:rsidRPr="006F6171">
        <w:rPr>
          <w:szCs w:val="24"/>
        </w:rPr>
        <w:t xml:space="preserve">The </w:t>
      </w:r>
      <w:r w:rsidR="007E3FF1" w:rsidRPr="006F6171">
        <w:rPr>
          <w:szCs w:val="24"/>
        </w:rPr>
        <w:t>Applicant</w:t>
      </w:r>
      <w:r w:rsidR="002460BC" w:rsidRPr="006F6171">
        <w:rPr>
          <w:szCs w:val="24"/>
        </w:rPr>
        <w:t xml:space="preserve">, </w:t>
      </w:r>
      <w:r w:rsidRPr="006F6171">
        <w:rPr>
          <w:szCs w:val="24"/>
        </w:rPr>
        <w:t xml:space="preserve">any </w:t>
      </w:r>
      <w:r w:rsidR="007E3FF1" w:rsidRPr="006F6171">
        <w:rPr>
          <w:szCs w:val="24"/>
        </w:rPr>
        <w:t>Principal</w:t>
      </w:r>
      <w:r w:rsidRPr="006F6171">
        <w:rPr>
          <w:szCs w:val="24"/>
        </w:rPr>
        <w:t xml:space="preserve"> thereof</w:t>
      </w:r>
      <w:r w:rsidR="00E44954" w:rsidRPr="006F6171">
        <w:rPr>
          <w:szCs w:val="24"/>
        </w:rPr>
        <w:t>,</w:t>
      </w:r>
      <w:r w:rsidRPr="006F6171">
        <w:rPr>
          <w:szCs w:val="24"/>
        </w:rPr>
        <w:t xml:space="preserve"> or Affiliates</w:t>
      </w:r>
      <w:r w:rsidR="00240D43" w:rsidRPr="006F6171">
        <w:rPr>
          <w:szCs w:val="24"/>
        </w:rPr>
        <w:t xml:space="preserve"> of either</w:t>
      </w:r>
    </w:p>
    <w:p w14:paraId="195DEBAB" w14:textId="77777777" w:rsidR="00FA1C4E" w:rsidRPr="006F6171" w:rsidRDefault="00FA1C4E" w:rsidP="00FA1C4E">
      <w:pPr>
        <w:pStyle w:val="ListParagraph"/>
        <w:tabs>
          <w:tab w:val="left" w:pos="-720"/>
        </w:tabs>
        <w:suppressAutoHyphens/>
        <w:ind w:left="1440"/>
        <w:jc w:val="both"/>
        <w:rPr>
          <w:szCs w:val="24"/>
        </w:rPr>
      </w:pPr>
    </w:p>
    <w:p w14:paraId="4326C81A" w14:textId="77777777" w:rsidR="00624F65" w:rsidRPr="006F6171" w:rsidRDefault="00974C65" w:rsidP="00A8328C">
      <w:pPr>
        <w:pStyle w:val="ListParagraph"/>
        <w:numPr>
          <w:ilvl w:val="0"/>
          <w:numId w:val="26"/>
        </w:numPr>
        <w:tabs>
          <w:tab w:val="left" w:pos="-720"/>
        </w:tabs>
        <w:suppressAutoHyphens/>
        <w:ind w:left="1440" w:hanging="360"/>
        <w:jc w:val="both"/>
        <w:rPr>
          <w:szCs w:val="24"/>
        </w:rPr>
      </w:pPr>
      <w:r w:rsidRPr="006F6171">
        <w:rPr>
          <w:szCs w:val="24"/>
        </w:rPr>
        <w:t xml:space="preserve">has </w:t>
      </w:r>
      <w:r w:rsidR="00D04C36" w:rsidRPr="006F6171">
        <w:rPr>
          <w:szCs w:val="24"/>
        </w:rPr>
        <w:t>an uncorrected IRS Form 8823</w:t>
      </w:r>
      <w:r w:rsidR="002D05FE" w:rsidRPr="006F6171">
        <w:rPr>
          <w:szCs w:val="24"/>
        </w:rPr>
        <w:t xml:space="preserve"> in connection with</w:t>
      </w:r>
      <w:r w:rsidR="007E51BE" w:rsidRPr="006F6171">
        <w:rPr>
          <w:szCs w:val="24"/>
        </w:rPr>
        <w:t xml:space="preserve"> any LIHTC</w:t>
      </w:r>
      <w:r w:rsidR="002D05FE" w:rsidRPr="006F6171">
        <w:rPr>
          <w:szCs w:val="24"/>
        </w:rPr>
        <w:t xml:space="preserve"> Project</w:t>
      </w:r>
      <w:r w:rsidR="00245F7A" w:rsidRPr="006F6171">
        <w:rPr>
          <w:szCs w:val="24"/>
        </w:rPr>
        <w:t xml:space="preserve"> to </w:t>
      </w:r>
      <w:r w:rsidR="00715115" w:rsidRPr="006F6171">
        <w:rPr>
          <w:szCs w:val="24"/>
        </w:rPr>
        <w:t xml:space="preserve">the extent it is correctable </w:t>
      </w:r>
      <w:r w:rsidR="00245F7A" w:rsidRPr="006F6171">
        <w:rPr>
          <w:szCs w:val="24"/>
        </w:rPr>
        <w:t>unless previously waived by MaineHousing</w:t>
      </w:r>
      <w:r w:rsidR="00B73AA6" w:rsidRPr="006F6171">
        <w:rPr>
          <w:szCs w:val="24"/>
        </w:rPr>
        <w:t xml:space="preserve">; </w:t>
      </w:r>
    </w:p>
    <w:p w14:paraId="41D76423" w14:textId="77777777" w:rsidR="00FA1C4E" w:rsidRPr="006F6171" w:rsidRDefault="00FA1C4E" w:rsidP="00B6629F">
      <w:pPr>
        <w:pStyle w:val="ListParagraph"/>
        <w:tabs>
          <w:tab w:val="left" w:pos="-720"/>
        </w:tabs>
        <w:suppressAutoHyphens/>
        <w:ind w:left="1440" w:hanging="360"/>
        <w:jc w:val="both"/>
        <w:rPr>
          <w:szCs w:val="24"/>
        </w:rPr>
      </w:pPr>
    </w:p>
    <w:p w14:paraId="7F29729F" w14:textId="77777777" w:rsidR="00624F65" w:rsidRPr="006F6171" w:rsidRDefault="002A25E1" w:rsidP="00A8328C">
      <w:pPr>
        <w:pStyle w:val="ListParagraph"/>
        <w:numPr>
          <w:ilvl w:val="0"/>
          <w:numId w:val="26"/>
        </w:numPr>
        <w:tabs>
          <w:tab w:val="left" w:pos="-720"/>
        </w:tabs>
        <w:suppressAutoHyphens/>
        <w:ind w:left="1440" w:hanging="360"/>
        <w:jc w:val="both"/>
        <w:rPr>
          <w:szCs w:val="24"/>
        </w:rPr>
      </w:pPr>
      <w:r w:rsidRPr="006F6171">
        <w:rPr>
          <w:szCs w:val="24"/>
        </w:rPr>
        <w:t xml:space="preserve">has been declared in default or </w:t>
      </w:r>
      <w:r w:rsidR="00CD7378" w:rsidRPr="006F6171">
        <w:rPr>
          <w:szCs w:val="24"/>
        </w:rPr>
        <w:t xml:space="preserve">has </w:t>
      </w:r>
      <w:r w:rsidRPr="006F6171">
        <w:rPr>
          <w:szCs w:val="24"/>
        </w:rPr>
        <w:t xml:space="preserve">been 60 </w:t>
      </w:r>
      <w:r w:rsidR="00F0002D" w:rsidRPr="006F6171">
        <w:rPr>
          <w:szCs w:val="24"/>
        </w:rPr>
        <w:t xml:space="preserve">calendar </w:t>
      </w:r>
      <w:r w:rsidRPr="006F6171">
        <w:rPr>
          <w:szCs w:val="24"/>
        </w:rPr>
        <w:t>days or more delinquent on any loan with MaineHousing</w:t>
      </w:r>
      <w:r w:rsidR="0034579E" w:rsidRPr="006F6171">
        <w:rPr>
          <w:szCs w:val="24"/>
        </w:rPr>
        <w:t>,</w:t>
      </w:r>
      <w:r w:rsidRPr="006F6171">
        <w:rPr>
          <w:szCs w:val="24"/>
        </w:rPr>
        <w:t xml:space="preserve"> unless</w:t>
      </w:r>
      <w:r w:rsidR="006F536B" w:rsidRPr="006F6171">
        <w:rPr>
          <w:szCs w:val="24"/>
        </w:rPr>
        <w:t xml:space="preserve"> the default or</w:t>
      </w:r>
      <w:r w:rsidR="00CD7378" w:rsidRPr="006F6171">
        <w:rPr>
          <w:szCs w:val="24"/>
        </w:rPr>
        <w:t xml:space="preserve"> delinquency has been cured or there is</w:t>
      </w:r>
      <w:r w:rsidRPr="006F6171">
        <w:rPr>
          <w:szCs w:val="24"/>
        </w:rPr>
        <w:t xml:space="preserve"> an appr</w:t>
      </w:r>
      <w:r w:rsidR="00CD7378" w:rsidRPr="006F6171">
        <w:rPr>
          <w:szCs w:val="24"/>
        </w:rPr>
        <w:t xml:space="preserve">oved payment or workout plan </w:t>
      </w:r>
      <w:r w:rsidRPr="006F6171">
        <w:rPr>
          <w:szCs w:val="24"/>
        </w:rPr>
        <w:t>in good standing</w:t>
      </w:r>
      <w:r w:rsidR="006C2074" w:rsidRPr="006F6171">
        <w:rPr>
          <w:szCs w:val="24"/>
        </w:rPr>
        <w:t xml:space="preserve"> prior to the  </w:t>
      </w:r>
      <w:r w:rsidR="00624F65" w:rsidRPr="006F6171">
        <w:rPr>
          <w:szCs w:val="24"/>
        </w:rPr>
        <w:t xml:space="preserve">Application </w:t>
      </w:r>
      <w:r w:rsidR="006C2074" w:rsidRPr="006F6171">
        <w:rPr>
          <w:szCs w:val="24"/>
        </w:rPr>
        <w:t>deadline</w:t>
      </w:r>
      <w:r w:rsidR="00B73AA6" w:rsidRPr="006F6171">
        <w:rPr>
          <w:szCs w:val="24"/>
        </w:rPr>
        <w:t xml:space="preserve">; </w:t>
      </w:r>
    </w:p>
    <w:p w14:paraId="741F2AC8" w14:textId="77777777" w:rsidR="00FA1C4E" w:rsidRPr="006F6171" w:rsidRDefault="00FA1C4E" w:rsidP="00B6629F">
      <w:pPr>
        <w:pStyle w:val="ListParagraph"/>
        <w:tabs>
          <w:tab w:val="left" w:pos="-720"/>
        </w:tabs>
        <w:suppressAutoHyphens/>
        <w:ind w:left="1440" w:hanging="360"/>
        <w:jc w:val="both"/>
        <w:rPr>
          <w:szCs w:val="24"/>
        </w:rPr>
      </w:pPr>
    </w:p>
    <w:p w14:paraId="6AB91F95" w14:textId="77777777" w:rsidR="00624F65" w:rsidRPr="006F6171" w:rsidRDefault="002A25E1" w:rsidP="00A8328C">
      <w:pPr>
        <w:pStyle w:val="ListParagraph"/>
        <w:numPr>
          <w:ilvl w:val="0"/>
          <w:numId w:val="26"/>
        </w:numPr>
        <w:tabs>
          <w:tab w:val="left" w:pos="-720"/>
        </w:tabs>
        <w:suppressAutoHyphens/>
        <w:ind w:left="1440" w:hanging="360"/>
        <w:jc w:val="both"/>
        <w:rPr>
          <w:szCs w:val="24"/>
        </w:rPr>
      </w:pPr>
      <w:r w:rsidRPr="006F6171">
        <w:rPr>
          <w:szCs w:val="24"/>
        </w:rPr>
        <w:t>has ever been the owner of any project in which MaineHousing has foreclosed a mortgage interest or received a deed-in-lieu of foreclosure of a mortgage interest</w:t>
      </w:r>
      <w:r w:rsidR="006C2074" w:rsidRPr="006F6171">
        <w:rPr>
          <w:szCs w:val="24"/>
        </w:rPr>
        <w:t xml:space="preserve"> unless previously waived by MaineHousing</w:t>
      </w:r>
      <w:r w:rsidR="00B73AA6" w:rsidRPr="006F6171">
        <w:rPr>
          <w:szCs w:val="24"/>
        </w:rPr>
        <w:t xml:space="preserve">; </w:t>
      </w:r>
    </w:p>
    <w:p w14:paraId="4BC07F47" w14:textId="77777777" w:rsidR="0091052D" w:rsidRPr="006F6171" w:rsidRDefault="002A25E1" w:rsidP="00A8328C">
      <w:pPr>
        <w:pStyle w:val="ListParagraph"/>
        <w:numPr>
          <w:ilvl w:val="0"/>
          <w:numId w:val="26"/>
        </w:numPr>
        <w:tabs>
          <w:tab w:val="left" w:pos="-720"/>
        </w:tabs>
        <w:suppressAutoHyphens/>
        <w:ind w:left="1440" w:hanging="360"/>
        <w:jc w:val="both"/>
        <w:rPr>
          <w:szCs w:val="24"/>
        </w:rPr>
      </w:pPr>
      <w:r w:rsidRPr="006F6171">
        <w:rPr>
          <w:szCs w:val="24"/>
        </w:rPr>
        <w:lastRenderedPageBreak/>
        <w:t xml:space="preserve">is presently debarred, suspended, proposed for debarment, or excluded from participation in any </w:t>
      </w:r>
      <w:r w:rsidR="00D04C36" w:rsidRPr="006F6171">
        <w:rPr>
          <w:szCs w:val="24"/>
        </w:rPr>
        <w:t>federal or state programs;</w:t>
      </w:r>
    </w:p>
    <w:p w14:paraId="32DFA1FB" w14:textId="77777777" w:rsidR="0091052D" w:rsidRPr="006F6171" w:rsidRDefault="0091052D" w:rsidP="0091052D">
      <w:pPr>
        <w:pStyle w:val="ListParagraph"/>
        <w:rPr>
          <w:szCs w:val="24"/>
        </w:rPr>
      </w:pPr>
    </w:p>
    <w:p w14:paraId="4855F632" w14:textId="77777777" w:rsidR="00624F65" w:rsidRPr="006F6171" w:rsidRDefault="0091052D" w:rsidP="00A8328C">
      <w:pPr>
        <w:pStyle w:val="ListParagraph"/>
        <w:numPr>
          <w:ilvl w:val="0"/>
          <w:numId w:val="26"/>
        </w:numPr>
        <w:tabs>
          <w:tab w:val="left" w:pos="-720"/>
        </w:tabs>
        <w:suppressAutoHyphens/>
        <w:ind w:left="1440" w:hanging="360"/>
        <w:jc w:val="both"/>
        <w:rPr>
          <w:szCs w:val="24"/>
        </w:rPr>
      </w:pPr>
      <w:r w:rsidRPr="006F6171">
        <w:rPr>
          <w:szCs w:val="24"/>
        </w:rPr>
        <w:t>has sought to achieve early termination of an Extended Use Agreement through the written request to a housing credit agency to present a Qualified Contract;</w:t>
      </w:r>
      <w:r w:rsidR="00D04C36" w:rsidRPr="006F6171">
        <w:rPr>
          <w:szCs w:val="24"/>
        </w:rPr>
        <w:t xml:space="preserve"> </w:t>
      </w:r>
    </w:p>
    <w:p w14:paraId="24D2B81A" w14:textId="77777777" w:rsidR="00FA1C4E" w:rsidRPr="006F6171" w:rsidRDefault="00FA1C4E" w:rsidP="00B6629F">
      <w:pPr>
        <w:pStyle w:val="ListParagraph"/>
        <w:tabs>
          <w:tab w:val="left" w:pos="-720"/>
        </w:tabs>
        <w:suppressAutoHyphens/>
        <w:ind w:left="1440" w:hanging="360"/>
        <w:jc w:val="both"/>
        <w:rPr>
          <w:szCs w:val="24"/>
        </w:rPr>
      </w:pPr>
    </w:p>
    <w:p w14:paraId="42ED926A" w14:textId="77777777" w:rsidR="00CD7378" w:rsidRPr="006F6171" w:rsidRDefault="002A25E1" w:rsidP="00A8328C">
      <w:pPr>
        <w:pStyle w:val="ListParagraph"/>
        <w:numPr>
          <w:ilvl w:val="0"/>
          <w:numId w:val="26"/>
        </w:numPr>
        <w:tabs>
          <w:tab w:val="left" w:pos="-720"/>
        </w:tabs>
        <w:suppressAutoHyphens/>
        <w:ind w:left="1440" w:hanging="360"/>
        <w:jc w:val="both"/>
        <w:rPr>
          <w:szCs w:val="24"/>
        </w:rPr>
      </w:pPr>
      <w:r w:rsidRPr="006F6171">
        <w:rPr>
          <w:szCs w:val="24"/>
        </w:rPr>
        <w:t>has</w:t>
      </w:r>
      <w:r w:rsidR="00606E2F" w:rsidRPr="006F6171">
        <w:rPr>
          <w:szCs w:val="24"/>
        </w:rPr>
        <w:t xml:space="preserve"> in the last 10 years </w:t>
      </w:r>
      <w:r w:rsidR="00624F65" w:rsidRPr="006F6171">
        <w:rPr>
          <w:szCs w:val="24"/>
        </w:rPr>
        <w:t xml:space="preserve">either commenced or </w:t>
      </w:r>
      <w:r w:rsidR="00606E2F" w:rsidRPr="006F6171">
        <w:rPr>
          <w:szCs w:val="24"/>
        </w:rPr>
        <w:t xml:space="preserve">had </w:t>
      </w:r>
      <w:r w:rsidR="00624F65" w:rsidRPr="006F6171">
        <w:rPr>
          <w:szCs w:val="24"/>
        </w:rPr>
        <w:t xml:space="preserve">commenced against it </w:t>
      </w:r>
      <w:r w:rsidR="00606E2F" w:rsidRPr="006F6171">
        <w:rPr>
          <w:szCs w:val="24"/>
        </w:rPr>
        <w:t>any proceeding in or for bankruptcy, receivership, reorganization or any other arrangement for relief from creditors c</w:t>
      </w:r>
      <w:r w:rsidR="0085777A" w:rsidRPr="006F6171">
        <w:rPr>
          <w:szCs w:val="24"/>
        </w:rPr>
        <w:t>ommenced against it that affected</w:t>
      </w:r>
      <w:r w:rsidR="00606E2F" w:rsidRPr="006F6171">
        <w:rPr>
          <w:szCs w:val="24"/>
        </w:rPr>
        <w:t xml:space="preserve"> a MaineHousing-funded project </w:t>
      </w:r>
      <w:r w:rsidR="00624F65" w:rsidRPr="006F6171">
        <w:rPr>
          <w:szCs w:val="24"/>
        </w:rPr>
        <w:t xml:space="preserve">that </w:t>
      </w:r>
      <w:r w:rsidR="00DE3662" w:rsidRPr="006F6171">
        <w:rPr>
          <w:szCs w:val="24"/>
        </w:rPr>
        <w:t>was</w:t>
      </w:r>
      <w:r w:rsidR="00606E2F" w:rsidRPr="006F6171">
        <w:rPr>
          <w:szCs w:val="24"/>
        </w:rPr>
        <w:t xml:space="preserve"> not dismissed</w:t>
      </w:r>
      <w:r w:rsidR="00DE3662" w:rsidRPr="006F6171">
        <w:rPr>
          <w:szCs w:val="24"/>
        </w:rPr>
        <w:t xml:space="preserve"> within 90</w:t>
      </w:r>
      <w:r w:rsidR="00F0002D" w:rsidRPr="006F6171">
        <w:rPr>
          <w:szCs w:val="24"/>
        </w:rPr>
        <w:t xml:space="preserve"> calendar</w:t>
      </w:r>
      <w:r w:rsidR="00DE3662" w:rsidRPr="006F6171">
        <w:rPr>
          <w:szCs w:val="24"/>
        </w:rPr>
        <w:t xml:space="preserve"> days</w:t>
      </w:r>
      <w:r w:rsidR="00A00F85" w:rsidRPr="006F6171">
        <w:rPr>
          <w:szCs w:val="24"/>
        </w:rPr>
        <w:t xml:space="preserve">; </w:t>
      </w:r>
      <w:r w:rsidR="00CE744D" w:rsidRPr="006F6171">
        <w:rPr>
          <w:szCs w:val="24"/>
        </w:rPr>
        <w:t>or</w:t>
      </w:r>
    </w:p>
    <w:p w14:paraId="2F16C599" w14:textId="77777777" w:rsidR="00CD7378" w:rsidRPr="006F6171" w:rsidRDefault="00CD7378" w:rsidP="0074278C">
      <w:pPr>
        <w:tabs>
          <w:tab w:val="left" w:pos="-720"/>
        </w:tabs>
        <w:suppressAutoHyphens/>
        <w:jc w:val="both"/>
        <w:rPr>
          <w:szCs w:val="24"/>
        </w:rPr>
      </w:pPr>
    </w:p>
    <w:p w14:paraId="17A7574D" w14:textId="77777777" w:rsidR="007421F1" w:rsidRPr="006F6171" w:rsidRDefault="00B630E3" w:rsidP="00A8328C">
      <w:pPr>
        <w:pStyle w:val="ListParagraph"/>
        <w:numPr>
          <w:ilvl w:val="0"/>
          <w:numId w:val="13"/>
        </w:numPr>
        <w:tabs>
          <w:tab w:val="left" w:pos="-720"/>
        </w:tabs>
        <w:suppressAutoHyphens/>
        <w:ind w:left="1080" w:hanging="360"/>
        <w:jc w:val="both"/>
        <w:rPr>
          <w:szCs w:val="24"/>
        </w:rPr>
      </w:pPr>
      <w:r w:rsidRPr="006F6171">
        <w:rPr>
          <w:szCs w:val="24"/>
        </w:rPr>
        <w:t>The</w:t>
      </w:r>
      <w:r w:rsidR="00885A8C" w:rsidRPr="006F6171">
        <w:rPr>
          <w:szCs w:val="24"/>
        </w:rPr>
        <w:t xml:space="preserve"> tax credit</w:t>
      </w:r>
      <w:r w:rsidR="00DF74CC" w:rsidRPr="006F6171">
        <w:rPr>
          <w:szCs w:val="24"/>
        </w:rPr>
        <w:t xml:space="preserve"> syndicator</w:t>
      </w:r>
      <w:r w:rsidR="00AC60D9" w:rsidRPr="006F6171">
        <w:rPr>
          <w:szCs w:val="24"/>
        </w:rPr>
        <w:t>,</w:t>
      </w:r>
      <w:r w:rsidR="00DF74CC" w:rsidRPr="006F6171">
        <w:rPr>
          <w:szCs w:val="24"/>
        </w:rPr>
        <w:t xml:space="preserve"> </w:t>
      </w:r>
      <w:r w:rsidR="00885A8C" w:rsidRPr="006F6171">
        <w:rPr>
          <w:szCs w:val="24"/>
        </w:rPr>
        <w:t>investor</w:t>
      </w:r>
      <w:r w:rsidR="00AC60D9" w:rsidRPr="006F6171">
        <w:rPr>
          <w:szCs w:val="24"/>
        </w:rPr>
        <w:t>,</w:t>
      </w:r>
      <w:r w:rsidR="00C0742C" w:rsidRPr="006F6171">
        <w:rPr>
          <w:szCs w:val="24"/>
        </w:rPr>
        <w:t xml:space="preserve"> or </w:t>
      </w:r>
      <w:r w:rsidR="00DF74CC" w:rsidRPr="006F6171">
        <w:rPr>
          <w:szCs w:val="24"/>
        </w:rPr>
        <w:t>Affiliate</w:t>
      </w:r>
      <w:r w:rsidR="00240D43" w:rsidRPr="006F6171">
        <w:rPr>
          <w:szCs w:val="24"/>
        </w:rPr>
        <w:t>s of either</w:t>
      </w:r>
    </w:p>
    <w:p w14:paraId="09CCDADA" w14:textId="77777777" w:rsidR="00FA1C4E" w:rsidRPr="006F6171" w:rsidRDefault="00FA1C4E" w:rsidP="00FA1C4E">
      <w:pPr>
        <w:pStyle w:val="ListParagraph"/>
        <w:tabs>
          <w:tab w:val="left" w:pos="-720"/>
        </w:tabs>
        <w:suppressAutoHyphens/>
        <w:ind w:left="1440"/>
        <w:jc w:val="both"/>
        <w:rPr>
          <w:szCs w:val="24"/>
        </w:rPr>
      </w:pPr>
    </w:p>
    <w:p w14:paraId="12F48150" w14:textId="77777777" w:rsidR="007421F1" w:rsidRPr="006F6171" w:rsidRDefault="00885A8C" w:rsidP="00A8328C">
      <w:pPr>
        <w:pStyle w:val="ListParagraph"/>
        <w:numPr>
          <w:ilvl w:val="0"/>
          <w:numId w:val="27"/>
        </w:numPr>
        <w:tabs>
          <w:tab w:val="left" w:pos="-720"/>
        </w:tabs>
        <w:suppressAutoHyphens/>
        <w:jc w:val="both"/>
        <w:rPr>
          <w:szCs w:val="24"/>
        </w:rPr>
      </w:pPr>
      <w:r w:rsidRPr="006F6171">
        <w:rPr>
          <w:szCs w:val="24"/>
        </w:rPr>
        <w:t>transferred its</w:t>
      </w:r>
      <w:r w:rsidR="00DB5CE5" w:rsidRPr="006F6171">
        <w:rPr>
          <w:szCs w:val="24"/>
        </w:rPr>
        <w:t xml:space="preserve"> </w:t>
      </w:r>
      <w:r w:rsidRPr="006F6171">
        <w:rPr>
          <w:szCs w:val="24"/>
        </w:rPr>
        <w:t xml:space="preserve">interest in any </w:t>
      </w:r>
      <w:r w:rsidR="007E51BE" w:rsidRPr="006F6171">
        <w:rPr>
          <w:szCs w:val="24"/>
        </w:rPr>
        <w:t>LIHTC</w:t>
      </w:r>
      <w:r w:rsidR="00B630E3" w:rsidRPr="006F6171">
        <w:rPr>
          <w:szCs w:val="24"/>
        </w:rPr>
        <w:t xml:space="preserve"> Project</w:t>
      </w:r>
      <w:r w:rsidR="00703F9C" w:rsidRPr="006F6171">
        <w:rPr>
          <w:szCs w:val="24"/>
        </w:rPr>
        <w:t xml:space="preserve"> after March 25, 2014</w:t>
      </w:r>
      <w:r w:rsidRPr="006F6171">
        <w:rPr>
          <w:szCs w:val="24"/>
        </w:rPr>
        <w:t xml:space="preserve"> </w:t>
      </w:r>
      <w:r w:rsidR="00C0742C" w:rsidRPr="006F6171">
        <w:rPr>
          <w:szCs w:val="24"/>
        </w:rPr>
        <w:t>in violation of the Ownership Transfer Rule</w:t>
      </w:r>
      <w:r w:rsidR="00EA1B56" w:rsidRPr="006F6171">
        <w:rPr>
          <w:szCs w:val="24"/>
        </w:rPr>
        <w:t>;</w:t>
      </w:r>
      <w:r w:rsidR="00B630E3" w:rsidRPr="006F6171">
        <w:rPr>
          <w:szCs w:val="24"/>
        </w:rPr>
        <w:t xml:space="preserve"> </w:t>
      </w:r>
      <w:r w:rsidR="00C7579D" w:rsidRPr="006F6171">
        <w:rPr>
          <w:szCs w:val="24"/>
        </w:rPr>
        <w:t xml:space="preserve"> </w:t>
      </w:r>
    </w:p>
    <w:p w14:paraId="4911A2AB" w14:textId="77777777" w:rsidR="00FA1C4E" w:rsidRPr="006F6171" w:rsidRDefault="00FA1C4E" w:rsidP="00B6629F">
      <w:pPr>
        <w:pStyle w:val="ListParagraph"/>
        <w:tabs>
          <w:tab w:val="left" w:pos="-720"/>
        </w:tabs>
        <w:suppressAutoHyphens/>
        <w:ind w:left="1440" w:hanging="360"/>
        <w:jc w:val="both"/>
        <w:rPr>
          <w:szCs w:val="24"/>
        </w:rPr>
      </w:pPr>
    </w:p>
    <w:p w14:paraId="449A5456" w14:textId="77777777" w:rsidR="00B718F3" w:rsidRPr="006F6171" w:rsidRDefault="00B630E3" w:rsidP="00A8328C">
      <w:pPr>
        <w:pStyle w:val="ListParagraph"/>
        <w:numPr>
          <w:ilvl w:val="0"/>
          <w:numId w:val="27"/>
        </w:numPr>
        <w:tabs>
          <w:tab w:val="left" w:pos="-720"/>
        </w:tabs>
        <w:suppressAutoHyphens/>
        <w:jc w:val="both"/>
        <w:rPr>
          <w:szCs w:val="24"/>
        </w:rPr>
      </w:pPr>
      <w:r w:rsidRPr="006F6171">
        <w:rPr>
          <w:szCs w:val="24"/>
        </w:rPr>
        <w:t>failed to make any required capital contributions with respect to any LIHTC Project</w:t>
      </w:r>
      <w:r w:rsidR="00C7579D" w:rsidRPr="006F6171">
        <w:rPr>
          <w:szCs w:val="24"/>
        </w:rPr>
        <w:t>, and</w:t>
      </w:r>
      <w:r w:rsidR="006342BF" w:rsidRPr="006F6171">
        <w:rPr>
          <w:szCs w:val="24"/>
        </w:rPr>
        <w:t xml:space="preserve"> has not corrected such actions</w:t>
      </w:r>
      <w:r w:rsidR="00C7579D" w:rsidRPr="006F6171">
        <w:rPr>
          <w:szCs w:val="24"/>
        </w:rPr>
        <w:t xml:space="preserve"> </w:t>
      </w:r>
      <w:r w:rsidR="00B14D0E" w:rsidRPr="006F6171">
        <w:rPr>
          <w:szCs w:val="24"/>
        </w:rPr>
        <w:t xml:space="preserve">prior to the </w:t>
      </w:r>
      <w:r w:rsidR="00082158" w:rsidRPr="006F6171">
        <w:rPr>
          <w:szCs w:val="24"/>
        </w:rPr>
        <w:t xml:space="preserve">Application </w:t>
      </w:r>
      <w:r w:rsidRPr="006F6171">
        <w:rPr>
          <w:szCs w:val="24"/>
        </w:rPr>
        <w:t>deadline</w:t>
      </w:r>
      <w:r w:rsidR="0091052D" w:rsidRPr="006F6171">
        <w:rPr>
          <w:szCs w:val="24"/>
        </w:rPr>
        <w:t>;</w:t>
      </w:r>
    </w:p>
    <w:p w14:paraId="6FA23564" w14:textId="77777777" w:rsidR="0091052D" w:rsidRPr="006F6171" w:rsidRDefault="0091052D" w:rsidP="0091052D">
      <w:pPr>
        <w:pStyle w:val="ListParagraph"/>
        <w:rPr>
          <w:szCs w:val="24"/>
        </w:rPr>
      </w:pPr>
    </w:p>
    <w:p w14:paraId="3CE7287A" w14:textId="77777777" w:rsidR="0091052D" w:rsidRPr="006F6171" w:rsidRDefault="0091052D" w:rsidP="00A8328C">
      <w:pPr>
        <w:pStyle w:val="ListParagraph"/>
        <w:numPr>
          <w:ilvl w:val="0"/>
          <w:numId w:val="27"/>
        </w:numPr>
        <w:tabs>
          <w:tab w:val="left" w:pos="-720"/>
        </w:tabs>
        <w:suppressAutoHyphens/>
        <w:jc w:val="both"/>
        <w:rPr>
          <w:szCs w:val="24"/>
        </w:rPr>
      </w:pPr>
      <w:r w:rsidRPr="006F6171">
        <w:t>has sought to achieve early termination of an Extended Use Agreement through the written request to a housing credit agency to present a Qualified Contract; or</w:t>
      </w:r>
    </w:p>
    <w:p w14:paraId="0B08A092" w14:textId="77777777" w:rsidR="0091052D" w:rsidRPr="006F6171" w:rsidRDefault="0091052D" w:rsidP="0091052D">
      <w:pPr>
        <w:pStyle w:val="ListParagraph"/>
        <w:rPr>
          <w:szCs w:val="24"/>
        </w:rPr>
      </w:pPr>
    </w:p>
    <w:p w14:paraId="6504C91E" w14:textId="77777777" w:rsidR="0091052D" w:rsidRPr="006F6171" w:rsidRDefault="0091052D" w:rsidP="00A8328C">
      <w:pPr>
        <w:pStyle w:val="ListParagraph"/>
        <w:numPr>
          <w:ilvl w:val="0"/>
          <w:numId w:val="27"/>
        </w:numPr>
        <w:tabs>
          <w:tab w:val="left" w:pos="-720"/>
        </w:tabs>
        <w:suppressAutoHyphens/>
        <w:jc w:val="both"/>
        <w:rPr>
          <w:szCs w:val="24"/>
        </w:rPr>
      </w:pPr>
      <w:r w:rsidRPr="006F6171">
        <w:t>has sought to undermine the exercise of a right of first refusal or purchase option with respect to any LIHTC Project by: (i) refusing to honor a right of first refusal or purchase option; or (ii) involvement in a lawsuit challenging the exercise of a right of first refusal or purchase option.</w:t>
      </w:r>
    </w:p>
    <w:p w14:paraId="03A47A10" w14:textId="77777777" w:rsidR="00995E15" w:rsidRPr="006F6171" w:rsidRDefault="00995E15" w:rsidP="00B718F3">
      <w:pPr>
        <w:pStyle w:val="ListParagraph"/>
        <w:tabs>
          <w:tab w:val="left" w:pos="-720"/>
        </w:tabs>
        <w:suppressAutoHyphens/>
        <w:ind w:left="1440"/>
        <w:jc w:val="both"/>
        <w:rPr>
          <w:szCs w:val="24"/>
        </w:rPr>
      </w:pPr>
    </w:p>
    <w:p w14:paraId="57EB7C72" w14:textId="77777777" w:rsidR="00B16947" w:rsidRPr="006F6171" w:rsidRDefault="009274C3" w:rsidP="009274C3">
      <w:pPr>
        <w:pStyle w:val="ListParagraph"/>
        <w:tabs>
          <w:tab w:val="left" w:pos="-720"/>
        </w:tabs>
        <w:suppressAutoHyphens/>
        <w:jc w:val="both"/>
        <w:rPr>
          <w:szCs w:val="24"/>
        </w:rPr>
      </w:pPr>
      <w:r w:rsidRPr="006F6171">
        <w:rPr>
          <w:szCs w:val="24"/>
        </w:rPr>
        <w:t>MaineHousing may reject the Application if it determines the deficiencies are not addressed. MaineHousing may also require financial statements from the Applicant, Principal thereof, or Affiliate</w:t>
      </w:r>
      <w:r w:rsidR="00240D43" w:rsidRPr="006F6171">
        <w:rPr>
          <w:szCs w:val="24"/>
        </w:rPr>
        <w:t>s of either</w:t>
      </w:r>
      <w:r w:rsidRPr="006F6171">
        <w:rPr>
          <w:szCs w:val="24"/>
        </w:rPr>
        <w:t>.</w:t>
      </w:r>
    </w:p>
    <w:p w14:paraId="001209F1" w14:textId="77777777" w:rsidR="009274C3" w:rsidRPr="006F6171" w:rsidRDefault="009274C3" w:rsidP="009274C3">
      <w:pPr>
        <w:pStyle w:val="ListParagraph"/>
        <w:tabs>
          <w:tab w:val="left" w:pos="-720"/>
        </w:tabs>
        <w:suppressAutoHyphens/>
        <w:jc w:val="both"/>
        <w:rPr>
          <w:rStyle w:val="Heading2Char"/>
          <w:b w:val="0"/>
        </w:rPr>
      </w:pPr>
    </w:p>
    <w:p w14:paraId="4F1424F0" w14:textId="77777777" w:rsidR="00995E15" w:rsidRPr="006F6171" w:rsidRDefault="00995E15" w:rsidP="00BE5856">
      <w:pPr>
        <w:pStyle w:val="ListParagraph"/>
        <w:numPr>
          <w:ilvl w:val="0"/>
          <w:numId w:val="40"/>
        </w:numPr>
        <w:tabs>
          <w:tab w:val="left" w:pos="-720"/>
          <w:tab w:val="left" w:pos="1350"/>
        </w:tabs>
        <w:suppressAutoHyphens/>
        <w:ind w:hanging="720"/>
        <w:jc w:val="both"/>
        <w:rPr>
          <w:szCs w:val="24"/>
        </w:rPr>
      </w:pPr>
      <w:r w:rsidRPr="006F6171">
        <w:t>Notice to Local Jurisdiction</w:t>
      </w:r>
      <w:r w:rsidRPr="006F6171">
        <w:rPr>
          <w:szCs w:val="24"/>
        </w:rPr>
        <w:t>.</w:t>
      </w:r>
      <w:r w:rsidR="00DB18E9" w:rsidRPr="006F6171">
        <w:rPr>
          <w:szCs w:val="24"/>
        </w:rPr>
        <w:t xml:space="preserve"> </w:t>
      </w:r>
      <w:r w:rsidRPr="006F6171">
        <w:rPr>
          <w:szCs w:val="24"/>
        </w:rPr>
        <w:t>Upon receipt of an A</w:t>
      </w:r>
      <w:r w:rsidR="00F95A32" w:rsidRPr="006F6171">
        <w:rPr>
          <w:szCs w:val="24"/>
        </w:rPr>
        <w:t>pplication, MaineHousing will notify</w:t>
      </w:r>
      <w:r w:rsidRPr="006F6171">
        <w:rPr>
          <w:szCs w:val="24"/>
        </w:rPr>
        <w:t xml:space="preserve"> the </w:t>
      </w:r>
      <w:r w:rsidR="00FA1C4E" w:rsidRPr="006F6171">
        <w:rPr>
          <w:szCs w:val="24"/>
        </w:rPr>
        <w:t>C</w:t>
      </w:r>
      <w:r w:rsidRPr="006F6171">
        <w:rPr>
          <w:szCs w:val="24"/>
        </w:rPr>
        <w:t xml:space="preserve">hief </w:t>
      </w:r>
      <w:r w:rsidR="00FA1C4E" w:rsidRPr="006F6171">
        <w:rPr>
          <w:szCs w:val="24"/>
        </w:rPr>
        <w:t>E</w:t>
      </w:r>
      <w:r w:rsidRPr="006F6171">
        <w:rPr>
          <w:szCs w:val="24"/>
        </w:rPr>
        <w:t xml:space="preserve">xecutive </w:t>
      </w:r>
      <w:r w:rsidR="00FA1C4E" w:rsidRPr="006F6171">
        <w:rPr>
          <w:szCs w:val="24"/>
        </w:rPr>
        <w:t>O</w:t>
      </w:r>
      <w:r w:rsidRPr="006F6171">
        <w:rPr>
          <w:szCs w:val="24"/>
        </w:rPr>
        <w:t>fficer of the municipality with</w:t>
      </w:r>
      <w:r w:rsidR="003B6761" w:rsidRPr="006F6171">
        <w:rPr>
          <w:szCs w:val="24"/>
        </w:rPr>
        <w:t xml:space="preserve"> jurisdiction over the </w:t>
      </w:r>
      <w:r w:rsidRPr="006F6171">
        <w:rPr>
          <w:szCs w:val="24"/>
        </w:rPr>
        <w:t>location of the</w:t>
      </w:r>
      <w:r w:rsidR="003B6761" w:rsidRPr="006F6171">
        <w:rPr>
          <w:szCs w:val="24"/>
        </w:rPr>
        <w:t xml:space="preserve"> proposed</w:t>
      </w:r>
      <w:r w:rsidR="00670E52" w:rsidRPr="006F6171">
        <w:rPr>
          <w:szCs w:val="24"/>
        </w:rPr>
        <w:t xml:space="preserve"> Project. The</w:t>
      </w:r>
      <w:r w:rsidRPr="006F6171">
        <w:rPr>
          <w:szCs w:val="24"/>
        </w:rPr>
        <w:t xml:space="preserve"> notice will provide for a 15-day </w:t>
      </w:r>
      <w:r w:rsidR="00393E63" w:rsidRPr="006F6171">
        <w:rPr>
          <w:szCs w:val="24"/>
        </w:rPr>
        <w:t xml:space="preserve">comment </w:t>
      </w:r>
      <w:r w:rsidRPr="006F6171">
        <w:rPr>
          <w:szCs w:val="24"/>
        </w:rPr>
        <w:t xml:space="preserve">period. </w:t>
      </w:r>
      <w:r w:rsidR="00393E63" w:rsidRPr="006F6171">
        <w:rPr>
          <w:szCs w:val="24"/>
        </w:rPr>
        <w:t>MaineHousing will consider a</w:t>
      </w:r>
      <w:r w:rsidRPr="006F6171">
        <w:rPr>
          <w:szCs w:val="24"/>
        </w:rPr>
        <w:t>ny comments received.</w:t>
      </w:r>
    </w:p>
    <w:p w14:paraId="52D9E27B" w14:textId="77777777" w:rsidR="00995E15" w:rsidRPr="006F6171" w:rsidRDefault="00995E15" w:rsidP="008416BF">
      <w:pPr>
        <w:tabs>
          <w:tab w:val="left" w:pos="-720"/>
        </w:tabs>
        <w:suppressAutoHyphens/>
        <w:jc w:val="both"/>
        <w:rPr>
          <w:szCs w:val="24"/>
        </w:rPr>
      </w:pPr>
    </w:p>
    <w:p w14:paraId="0BD26141" w14:textId="77777777" w:rsidR="00FA1C4E" w:rsidRPr="006F6171" w:rsidRDefault="00995E15" w:rsidP="00BE5856">
      <w:pPr>
        <w:pStyle w:val="ListParagraph"/>
        <w:numPr>
          <w:ilvl w:val="0"/>
          <w:numId w:val="40"/>
        </w:numPr>
        <w:tabs>
          <w:tab w:val="left" w:pos="-720"/>
          <w:tab w:val="left" w:pos="1350"/>
        </w:tabs>
        <w:suppressAutoHyphens/>
        <w:ind w:hanging="720"/>
        <w:jc w:val="both"/>
        <w:rPr>
          <w:szCs w:val="24"/>
        </w:rPr>
      </w:pPr>
      <w:r w:rsidRPr="006F6171">
        <w:t>Selection Process</w:t>
      </w:r>
      <w:r w:rsidRPr="006F6171">
        <w:rPr>
          <w:szCs w:val="24"/>
        </w:rPr>
        <w:t>.</w:t>
      </w:r>
      <w:r w:rsidR="00BB3D09" w:rsidRPr="006F6171">
        <w:rPr>
          <w:szCs w:val="24"/>
        </w:rPr>
        <w:t xml:space="preserve"> </w:t>
      </w:r>
      <w:r w:rsidR="00D176F1" w:rsidRPr="006F6171">
        <w:rPr>
          <w:szCs w:val="24"/>
        </w:rPr>
        <w:t>Applications</w:t>
      </w:r>
      <w:r w:rsidR="009102A1" w:rsidRPr="006F6171">
        <w:rPr>
          <w:szCs w:val="24"/>
        </w:rPr>
        <w:t xml:space="preserve"> </w:t>
      </w:r>
      <w:r w:rsidR="00D176F1" w:rsidRPr="006F6171">
        <w:rPr>
          <w:szCs w:val="24"/>
        </w:rPr>
        <w:t>for the State Ceiling</w:t>
      </w:r>
      <w:r w:rsidR="009102A1" w:rsidRPr="006F6171">
        <w:rPr>
          <w:szCs w:val="24"/>
        </w:rPr>
        <w:t xml:space="preserve"> with the highest scores</w:t>
      </w:r>
      <w:r w:rsidR="00D176F1" w:rsidRPr="006F6171">
        <w:rPr>
          <w:szCs w:val="24"/>
        </w:rPr>
        <w:t xml:space="preserve"> will be</w:t>
      </w:r>
      <w:r w:rsidR="009102A1" w:rsidRPr="006F6171">
        <w:rPr>
          <w:szCs w:val="24"/>
        </w:rPr>
        <w:t xml:space="preserve"> </w:t>
      </w:r>
      <w:r w:rsidR="00D176F1" w:rsidRPr="006F6171">
        <w:rPr>
          <w:szCs w:val="24"/>
        </w:rPr>
        <w:t>awarded Credit</w:t>
      </w:r>
      <w:r w:rsidR="009102A1" w:rsidRPr="006F6171">
        <w:rPr>
          <w:szCs w:val="24"/>
        </w:rPr>
        <w:t xml:space="preserve"> until the applicable State Ceiling is fully awarded</w:t>
      </w:r>
      <w:r w:rsidR="00D176F1" w:rsidRPr="006F6171">
        <w:rPr>
          <w:szCs w:val="24"/>
        </w:rPr>
        <w:t>.</w:t>
      </w:r>
      <w:r w:rsidR="00BB3D09" w:rsidRPr="006F6171">
        <w:rPr>
          <w:szCs w:val="24"/>
        </w:rPr>
        <w:t xml:space="preserve"> </w:t>
      </w:r>
    </w:p>
    <w:p w14:paraId="20E9A28D" w14:textId="77777777" w:rsidR="00FA1C4E" w:rsidRPr="006F6171" w:rsidRDefault="00FA1C4E" w:rsidP="00FA1C4E">
      <w:pPr>
        <w:pStyle w:val="ListParagraph"/>
        <w:rPr>
          <w:szCs w:val="24"/>
        </w:rPr>
      </w:pPr>
    </w:p>
    <w:p w14:paraId="3E0DCDF2" w14:textId="77777777" w:rsidR="00B718F3" w:rsidRPr="006F6171" w:rsidRDefault="000F0F1C" w:rsidP="00A8328C">
      <w:pPr>
        <w:pStyle w:val="ListParagraph"/>
        <w:numPr>
          <w:ilvl w:val="0"/>
          <w:numId w:val="24"/>
        </w:numPr>
        <w:tabs>
          <w:tab w:val="left" w:pos="-720"/>
        </w:tabs>
        <w:suppressAutoHyphens/>
        <w:ind w:left="1080"/>
        <w:jc w:val="both"/>
        <w:rPr>
          <w:szCs w:val="24"/>
        </w:rPr>
      </w:pPr>
      <w:r w:rsidRPr="006F6171">
        <w:rPr>
          <w:rFonts w:eastAsiaTheme="minorEastAsia"/>
        </w:rPr>
        <w:t>The preservation set-aside</w:t>
      </w:r>
      <w:r w:rsidRPr="006F6171">
        <w:t xml:space="preserve"> is limited</w:t>
      </w:r>
      <w:r w:rsidRPr="006F6171">
        <w:rPr>
          <w:szCs w:val="24"/>
        </w:rPr>
        <w:t xml:space="preserve"> to one Project. If the set-aside is not sufficient to complete the Project proposed in the highest</w:t>
      </w:r>
      <w:r w:rsidR="00BD2526" w:rsidRPr="006F6171">
        <w:rPr>
          <w:szCs w:val="24"/>
        </w:rPr>
        <w:t xml:space="preserve"> </w:t>
      </w:r>
      <w:r w:rsidRPr="006F6171">
        <w:rPr>
          <w:szCs w:val="24"/>
        </w:rPr>
        <w:t>scoring eligible Application, MaineHousing may allocate additional Credit, allocate the Credit under the set-aside to the next highest-scoring eligible Application that does not need more than the set aside, or not allocate any Credit under the preservation set-aside.  All Applications that participate in the preservation set-aside and do not win will be placed on a waiting list.</w:t>
      </w:r>
    </w:p>
    <w:p w14:paraId="1FCC5AD3" w14:textId="77777777" w:rsidR="000F0F1C" w:rsidRPr="006F6171" w:rsidRDefault="000F0F1C" w:rsidP="00A8328C">
      <w:pPr>
        <w:pStyle w:val="ListParagraph"/>
        <w:numPr>
          <w:ilvl w:val="0"/>
          <w:numId w:val="24"/>
        </w:numPr>
        <w:tabs>
          <w:tab w:val="left" w:pos="-720"/>
          <w:tab w:val="left" w:pos="1350"/>
        </w:tabs>
        <w:suppressAutoHyphens/>
        <w:ind w:left="1080"/>
        <w:jc w:val="both"/>
        <w:rPr>
          <w:szCs w:val="24"/>
        </w:rPr>
      </w:pPr>
      <w:r w:rsidRPr="006F6171">
        <w:rPr>
          <w:szCs w:val="24"/>
        </w:rPr>
        <w:lastRenderedPageBreak/>
        <w:t xml:space="preserve">The highest scoring Qualified Nonprofit Organization will be the winner of the </w:t>
      </w:r>
      <w:r w:rsidRPr="006F6171">
        <w:t>nonp</w:t>
      </w:r>
      <w:r w:rsidRPr="006F6171">
        <w:rPr>
          <w:rFonts w:eastAsiaTheme="minorEastAsia"/>
        </w:rPr>
        <w:t>rofit set-aside</w:t>
      </w:r>
      <w:r w:rsidRPr="006F6171">
        <w:rPr>
          <w:b/>
        </w:rPr>
        <w:t xml:space="preserve"> </w:t>
      </w:r>
      <w:r w:rsidRPr="006F6171">
        <w:rPr>
          <w:szCs w:val="24"/>
        </w:rPr>
        <w:t xml:space="preserve">regardless of its ranking among other Applicants.  If the set-aside is not fully awarded to the highest </w:t>
      </w:r>
      <w:r w:rsidR="00BD2526" w:rsidRPr="006F6171">
        <w:rPr>
          <w:szCs w:val="24"/>
        </w:rPr>
        <w:t xml:space="preserve">scoring </w:t>
      </w:r>
      <w:r w:rsidRPr="006F6171">
        <w:rPr>
          <w:szCs w:val="24"/>
        </w:rPr>
        <w:t>eligible Applicant, MaineHousing may allocate additional Credit to the next highest scoring eligible Applicant for the set-aside, not fully allocate Credit under the set-aside, or require an Applicant that has not indicated that it is participating in the set-aside to participate in the set-aside.  MaineHousing may, if necessary, require the Applicant to change its ownership structure.  All Applications that participate in the nonprofit set-aside and do not win will be scored with the other Applications.</w:t>
      </w:r>
    </w:p>
    <w:p w14:paraId="7DC521A5" w14:textId="77777777" w:rsidR="00EC509A" w:rsidRPr="006F6171" w:rsidRDefault="00EC509A" w:rsidP="00527B06">
      <w:pPr>
        <w:pStyle w:val="ListParagraph"/>
        <w:tabs>
          <w:tab w:val="left" w:pos="-720"/>
          <w:tab w:val="left" w:pos="1350"/>
        </w:tabs>
        <w:suppressAutoHyphens/>
        <w:ind w:left="1080"/>
        <w:jc w:val="both"/>
        <w:rPr>
          <w:szCs w:val="24"/>
        </w:rPr>
      </w:pPr>
    </w:p>
    <w:p w14:paraId="0EA8C4B6" w14:textId="77777777" w:rsidR="000F0F1C" w:rsidRPr="006F6171" w:rsidRDefault="00EC509A" w:rsidP="00A8328C">
      <w:pPr>
        <w:pStyle w:val="ListParagraph"/>
        <w:numPr>
          <w:ilvl w:val="0"/>
          <w:numId w:val="24"/>
        </w:numPr>
        <w:tabs>
          <w:tab w:val="left" w:pos="-720"/>
          <w:tab w:val="left" w:pos="1350"/>
          <w:tab w:val="left" w:pos="2145"/>
        </w:tabs>
        <w:suppressAutoHyphens/>
        <w:ind w:left="1080"/>
        <w:jc w:val="both"/>
        <w:rPr>
          <w:szCs w:val="24"/>
        </w:rPr>
      </w:pPr>
      <w:r w:rsidRPr="006F6171">
        <w:rPr>
          <w:szCs w:val="24"/>
        </w:rPr>
        <w:t xml:space="preserve">Except as </w:t>
      </w:r>
      <w:r w:rsidR="000F0F1C" w:rsidRPr="006F6171">
        <w:rPr>
          <w:szCs w:val="24"/>
        </w:rPr>
        <w:t>set forth above, MaineHousing will make awards in score order to select thres</w:t>
      </w:r>
      <w:r w:rsidRPr="006F6171">
        <w:rPr>
          <w:szCs w:val="24"/>
        </w:rPr>
        <w:t xml:space="preserve">hold-eligible Applications.  </w:t>
      </w:r>
      <w:r w:rsidR="000F0F1C" w:rsidRPr="006F6171">
        <w:rPr>
          <w:szCs w:val="24"/>
        </w:rPr>
        <w:t>If the last Application selected for an award of Credit needs more Credit than remains under the applicable State Ceiling, MaineHousing may elect to either (a) not award the remaining Credit to any Application, or (b) award additional Credit under the next annual State Ceiling to the Application. All threshold-eligible Applications that are not selected will be placed on a waiting list. Any Credit that is returned or is otherwise unused will be made available to waiting list Applications using this process</w:t>
      </w:r>
      <w:r w:rsidR="00BD2526" w:rsidRPr="006F6171">
        <w:rPr>
          <w:szCs w:val="24"/>
        </w:rPr>
        <w:t>.</w:t>
      </w:r>
      <w:r w:rsidR="000F0F1C" w:rsidRPr="006F6171">
        <w:rPr>
          <w:szCs w:val="24"/>
        </w:rPr>
        <w:t xml:space="preserve"> </w:t>
      </w:r>
    </w:p>
    <w:p w14:paraId="7B8F20B4" w14:textId="77777777" w:rsidR="002F7710" w:rsidRPr="006F6171" w:rsidRDefault="002F7710" w:rsidP="008416BF">
      <w:pPr>
        <w:tabs>
          <w:tab w:val="left" w:pos="-720"/>
          <w:tab w:val="left" w:pos="2145"/>
        </w:tabs>
        <w:suppressAutoHyphens/>
        <w:ind w:left="1440" w:hanging="720"/>
        <w:jc w:val="both"/>
        <w:rPr>
          <w:szCs w:val="24"/>
        </w:rPr>
      </w:pPr>
    </w:p>
    <w:p w14:paraId="3CE68823" w14:textId="77777777" w:rsidR="00995E15" w:rsidRPr="006F6171" w:rsidRDefault="00995E15" w:rsidP="00BE5856">
      <w:pPr>
        <w:pStyle w:val="ListParagraph"/>
        <w:numPr>
          <w:ilvl w:val="0"/>
          <w:numId w:val="40"/>
        </w:numPr>
        <w:tabs>
          <w:tab w:val="left" w:pos="-720"/>
          <w:tab w:val="left" w:pos="1350"/>
        </w:tabs>
        <w:suppressAutoHyphens/>
        <w:ind w:hanging="720"/>
        <w:jc w:val="both"/>
        <w:rPr>
          <w:szCs w:val="24"/>
        </w:rPr>
      </w:pPr>
      <w:r w:rsidRPr="006F6171">
        <w:t>Notice to Proceed</w:t>
      </w:r>
      <w:r w:rsidRPr="006F6171">
        <w:rPr>
          <w:szCs w:val="24"/>
        </w:rPr>
        <w:t>.</w:t>
      </w:r>
      <w:r w:rsidR="00DB18E9" w:rsidRPr="006F6171">
        <w:rPr>
          <w:szCs w:val="24"/>
        </w:rPr>
        <w:t xml:space="preserve"> </w:t>
      </w:r>
      <w:r w:rsidR="009E03CA" w:rsidRPr="006F6171">
        <w:rPr>
          <w:szCs w:val="24"/>
        </w:rPr>
        <w:t>MaineHousing will meet with each Applicant selected for a Credit award</w:t>
      </w:r>
      <w:r w:rsidR="00241F7F" w:rsidRPr="006F6171">
        <w:rPr>
          <w:szCs w:val="24"/>
        </w:rPr>
        <w:t>.</w:t>
      </w:r>
      <w:r w:rsidR="00BB3D09" w:rsidRPr="006F6171">
        <w:rPr>
          <w:szCs w:val="24"/>
        </w:rPr>
        <w:t xml:space="preserve"> </w:t>
      </w:r>
      <w:r w:rsidR="009E03CA" w:rsidRPr="006F6171">
        <w:rPr>
          <w:szCs w:val="24"/>
        </w:rPr>
        <w:t xml:space="preserve">If the </w:t>
      </w:r>
      <w:r w:rsidR="00CE22FB" w:rsidRPr="006F6171">
        <w:rPr>
          <w:szCs w:val="24"/>
        </w:rPr>
        <w:t xml:space="preserve">Applicant accepts </w:t>
      </w:r>
      <w:r w:rsidR="009E03CA" w:rsidRPr="006F6171">
        <w:rPr>
          <w:szCs w:val="24"/>
        </w:rPr>
        <w:t xml:space="preserve">the Credit award </w:t>
      </w:r>
      <w:r w:rsidR="00CE22FB" w:rsidRPr="006F6171">
        <w:rPr>
          <w:szCs w:val="24"/>
        </w:rPr>
        <w:t>conditions</w:t>
      </w:r>
      <w:r w:rsidR="009E03CA" w:rsidRPr="006F6171">
        <w:rPr>
          <w:szCs w:val="24"/>
        </w:rPr>
        <w:t xml:space="preserve">, </w:t>
      </w:r>
      <w:r w:rsidRPr="006F6171">
        <w:rPr>
          <w:szCs w:val="24"/>
        </w:rPr>
        <w:t>MaineHousing will issue a N</w:t>
      </w:r>
      <w:r w:rsidR="00241F7F" w:rsidRPr="006F6171">
        <w:rPr>
          <w:szCs w:val="24"/>
        </w:rPr>
        <w:t>otice to Proceed</w:t>
      </w:r>
      <w:r w:rsidR="005917A8" w:rsidRPr="006F6171">
        <w:rPr>
          <w:szCs w:val="24"/>
        </w:rPr>
        <w:t>.</w:t>
      </w:r>
      <w:r w:rsidR="00241F7F" w:rsidRPr="006F6171">
        <w:rPr>
          <w:szCs w:val="24"/>
        </w:rPr>
        <w:t xml:space="preserve"> </w:t>
      </w:r>
      <w:r w:rsidR="00CE22FB" w:rsidRPr="006F6171">
        <w:rPr>
          <w:szCs w:val="24"/>
        </w:rPr>
        <w:t xml:space="preserve">Applicants </w:t>
      </w:r>
      <w:r w:rsidR="0047490C" w:rsidRPr="006F6171">
        <w:rPr>
          <w:szCs w:val="24"/>
        </w:rPr>
        <w:t xml:space="preserve">must </w:t>
      </w:r>
      <w:r w:rsidR="009E03CA" w:rsidRPr="006F6171">
        <w:rPr>
          <w:szCs w:val="24"/>
        </w:rPr>
        <w:t xml:space="preserve">execute and return </w:t>
      </w:r>
      <w:r w:rsidR="0047490C" w:rsidRPr="006F6171">
        <w:rPr>
          <w:szCs w:val="24"/>
        </w:rPr>
        <w:t xml:space="preserve">the </w:t>
      </w:r>
      <w:r w:rsidR="00CE22FB" w:rsidRPr="006F6171">
        <w:rPr>
          <w:szCs w:val="24"/>
        </w:rPr>
        <w:t>Notice</w:t>
      </w:r>
      <w:r w:rsidR="0018082D" w:rsidRPr="006F6171">
        <w:rPr>
          <w:szCs w:val="24"/>
        </w:rPr>
        <w:t xml:space="preserve"> within</w:t>
      </w:r>
      <w:r w:rsidR="00070EFF" w:rsidRPr="006F6171">
        <w:rPr>
          <w:szCs w:val="24"/>
        </w:rPr>
        <w:t xml:space="preserve"> the </w:t>
      </w:r>
      <w:r w:rsidR="00E509A0" w:rsidRPr="006F6171">
        <w:rPr>
          <w:szCs w:val="24"/>
        </w:rPr>
        <w:t>time period</w:t>
      </w:r>
      <w:r w:rsidR="00070EFF" w:rsidRPr="006F6171">
        <w:rPr>
          <w:szCs w:val="24"/>
        </w:rPr>
        <w:t xml:space="preserve"> sp</w:t>
      </w:r>
      <w:r w:rsidR="002D43FA" w:rsidRPr="006F6171">
        <w:rPr>
          <w:szCs w:val="24"/>
        </w:rPr>
        <w:t>ecified</w:t>
      </w:r>
      <w:r w:rsidR="006342BF" w:rsidRPr="006F6171">
        <w:rPr>
          <w:szCs w:val="24"/>
        </w:rPr>
        <w:t>.</w:t>
      </w:r>
      <w:r w:rsidR="00BB3D09" w:rsidRPr="006F6171">
        <w:rPr>
          <w:szCs w:val="24"/>
        </w:rPr>
        <w:t xml:space="preserve"> </w:t>
      </w:r>
      <w:r w:rsidR="0047490C" w:rsidRPr="006F6171">
        <w:rPr>
          <w:szCs w:val="24"/>
        </w:rPr>
        <w:br/>
      </w:r>
    </w:p>
    <w:p w14:paraId="73016C2C" w14:textId="77777777" w:rsidR="00995E15" w:rsidRPr="006F6171" w:rsidRDefault="00995E15" w:rsidP="00BE5856">
      <w:pPr>
        <w:pStyle w:val="ListParagraph"/>
        <w:numPr>
          <w:ilvl w:val="0"/>
          <w:numId w:val="40"/>
        </w:numPr>
        <w:tabs>
          <w:tab w:val="left" w:pos="-720"/>
          <w:tab w:val="left" w:pos="1350"/>
        </w:tabs>
        <w:suppressAutoHyphens/>
        <w:ind w:hanging="720"/>
        <w:jc w:val="both"/>
        <w:rPr>
          <w:szCs w:val="24"/>
        </w:rPr>
      </w:pPr>
      <w:r w:rsidRPr="006F6171">
        <w:t>Credit Allocation</w:t>
      </w:r>
      <w:r w:rsidR="002D43FA" w:rsidRPr="006F6171">
        <w:rPr>
          <w:szCs w:val="24"/>
        </w:rPr>
        <w:t>.</w:t>
      </w:r>
      <w:r w:rsidR="00DB18E9" w:rsidRPr="006F6171">
        <w:rPr>
          <w:szCs w:val="24"/>
        </w:rPr>
        <w:t xml:space="preserve"> </w:t>
      </w:r>
      <w:r w:rsidR="00DD2166" w:rsidRPr="006F6171">
        <w:rPr>
          <w:szCs w:val="24"/>
        </w:rPr>
        <w:t xml:space="preserve">Upon receipt of the fully executed Notice to Proceed, </w:t>
      </w:r>
      <w:r w:rsidRPr="006F6171">
        <w:rPr>
          <w:szCs w:val="24"/>
        </w:rPr>
        <w:t>MaineHousing</w:t>
      </w:r>
      <w:r w:rsidR="0047490C" w:rsidRPr="006F6171">
        <w:rPr>
          <w:szCs w:val="24"/>
        </w:rPr>
        <w:t xml:space="preserve"> will</w:t>
      </w:r>
      <w:r w:rsidRPr="006F6171">
        <w:rPr>
          <w:szCs w:val="24"/>
        </w:rPr>
        <w:t xml:space="preserve"> </w:t>
      </w:r>
      <w:r w:rsidR="00DD2166" w:rsidRPr="006F6171">
        <w:rPr>
          <w:szCs w:val="24"/>
        </w:rPr>
        <w:t xml:space="preserve">evaluate the </w:t>
      </w:r>
      <w:r w:rsidR="00A41A15" w:rsidRPr="006F6171">
        <w:rPr>
          <w:szCs w:val="24"/>
        </w:rPr>
        <w:t xml:space="preserve">Application </w:t>
      </w:r>
      <w:r w:rsidR="00EF160E" w:rsidRPr="006F6171">
        <w:rPr>
          <w:szCs w:val="24"/>
        </w:rPr>
        <w:t>pursuant to Section 7 to</w:t>
      </w:r>
      <w:r w:rsidRPr="006F6171">
        <w:rPr>
          <w:szCs w:val="24"/>
        </w:rPr>
        <w:t xml:space="preserve"> determine the amount of Credit</w:t>
      </w:r>
      <w:r w:rsidR="00EF160E" w:rsidRPr="006F6171">
        <w:rPr>
          <w:szCs w:val="24"/>
        </w:rPr>
        <w:t>, if any,</w:t>
      </w:r>
      <w:r w:rsidR="00A41A15" w:rsidRPr="006F6171">
        <w:rPr>
          <w:szCs w:val="24"/>
        </w:rPr>
        <w:t xml:space="preserve"> to be allocated</w:t>
      </w:r>
      <w:r w:rsidR="0047490C" w:rsidRPr="006F6171">
        <w:rPr>
          <w:szCs w:val="24"/>
        </w:rPr>
        <w:t>.</w:t>
      </w:r>
      <w:r w:rsidR="00BB3D09" w:rsidRPr="006F6171">
        <w:rPr>
          <w:szCs w:val="24"/>
        </w:rPr>
        <w:t xml:space="preserve"> </w:t>
      </w:r>
    </w:p>
    <w:p w14:paraId="189FBC70" w14:textId="77777777" w:rsidR="00AA717C" w:rsidRPr="006F6171" w:rsidRDefault="00AA717C" w:rsidP="00527B06">
      <w:pPr>
        <w:tabs>
          <w:tab w:val="left" w:pos="-720"/>
        </w:tabs>
        <w:suppressAutoHyphens/>
        <w:ind w:left="720"/>
        <w:jc w:val="both"/>
        <w:rPr>
          <w:szCs w:val="24"/>
        </w:rPr>
      </w:pPr>
    </w:p>
    <w:p w14:paraId="430CD041" w14:textId="77777777" w:rsidR="00995E15" w:rsidRPr="006F6171" w:rsidRDefault="00995E15" w:rsidP="00BE5856">
      <w:pPr>
        <w:pStyle w:val="ListParagraph"/>
        <w:numPr>
          <w:ilvl w:val="0"/>
          <w:numId w:val="40"/>
        </w:numPr>
        <w:tabs>
          <w:tab w:val="left" w:pos="-720"/>
          <w:tab w:val="left" w:pos="1350"/>
        </w:tabs>
        <w:suppressAutoHyphens/>
        <w:ind w:hanging="720"/>
        <w:jc w:val="both"/>
        <w:rPr>
          <w:szCs w:val="24"/>
        </w:rPr>
      </w:pPr>
      <w:r w:rsidRPr="006F6171">
        <w:t>Termination of Application or Notice to Proceed</w:t>
      </w:r>
      <w:r w:rsidR="00E55C2D" w:rsidRPr="006F6171">
        <w:t>.</w:t>
      </w:r>
      <w:r w:rsidR="00BB3D09" w:rsidRPr="006F6171">
        <w:rPr>
          <w:szCs w:val="24"/>
        </w:rPr>
        <w:t xml:space="preserve"> </w:t>
      </w:r>
      <w:r w:rsidR="00E55C2D" w:rsidRPr="006F6171">
        <w:rPr>
          <w:szCs w:val="24"/>
        </w:rPr>
        <w:t>MaineHousing will</w:t>
      </w:r>
      <w:r w:rsidRPr="006F6171">
        <w:rPr>
          <w:szCs w:val="24"/>
        </w:rPr>
        <w:t xml:space="preserve"> dee</w:t>
      </w:r>
      <w:r w:rsidR="00E55C2D" w:rsidRPr="006F6171">
        <w:rPr>
          <w:szCs w:val="24"/>
        </w:rPr>
        <w:t>m an Application withdrawn and any</w:t>
      </w:r>
      <w:r w:rsidRPr="006F6171">
        <w:rPr>
          <w:szCs w:val="24"/>
        </w:rPr>
        <w:t xml:space="preserve"> Notice to Proceed cancelled if one or more of the following occur</w:t>
      </w:r>
      <w:r w:rsidR="006F2D5A" w:rsidRPr="006F6171">
        <w:rPr>
          <w:szCs w:val="24"/>
        </w:rPr>
        <w:t xml:space="preserve"> without MaineHousing’s written approval</w:t>
      </w:r>
      <w:r w:rsidR="0085777A" w:rsidRPr="006F6171">
        <w:rPr>
          <w:szCs w:val="24"/>
        </w:rPr>
        <w:t xml:space="preserve"> after the Application is submitted</w:t>
      </w:r>
      <w:r w:rsidR="00DA4217" w:rsidRPr="006F6171">
        <w:rPr>
          <w:szCs w:val="24"/>
        </w:rPr>
        <w:t>:</w:t>
      </w:r>
    </w:p>
    <w:p w14:paraId="5D9E36F6" w14:textId="77777777" w:rsidR="00995E15" w:rsidRPr="006F6171" w:rsidRDefault="00995E15" w:rsidP="008416BF">
      <w:pPr>
        <w:tabs>
          <w:tab w:val="left" w:pos="-720"/>
        </w:tabs>
        <w:suppressAutoHyphens/>
        <w:ind w:left="1440" w:hanging="720"/>
        <w:jc w:val="both"/>
        <w:rPr>
          <w:szCs w:val="24"/>
        </w:rPr>
      </w:pPr>
    </w:p>
    <w:p w14:paraId="19AF640B" w14:textId="77777777" w:rsidR="00995E15" w:rsidRPr="006F6171" w:rsidRDefault="00995E15" w:rsidP="00BE5856">
      <w:pPr>
        <w:pStyle w:val="ListParagraph"/>
        <w:numPr>
          <w:ilvl w:val="0"/>
          <w:numId w:val="41"/>
        </w:numPr>
        <w:tabs>
          <w:tab w:val="left" w:pos="-720"/>
          <w:tab w:val="left" w:pos="1350"/>
          <w:tab w:val="left" w:pos="2145"/>
        </w:tabs>
        <w:suppressAutoHyphens/>
        <w:ind w:left="1080"/>
        <w:jc w:val="both"/>
        <w:rPr>
          <w:szCs w:val="24"/>
        </w:rPr>
      </w:pPr>
      <w:r w:rsidRPr="006F6171">
        <w:rPr>
          <w:szCs w:val="24"/>
        </w:rPr>
        <w:t xml:space="preserve">The Application or </w:t>
      </w:r>
      <w:r w:rsidR="00E55C2D" w:rsidRPr="006F6171">
        <w:rPr>
          <w:szCs w:val="24"/>
        </w:rPr>
        <w:t xml:space="preserve">the </w:t>
      </w:r>
      <w:r w:rsidRPr="006F6171">
        <w:rPr>
          <w:szCs w:val="24"/>
        </w:rPr>
        <w:t xml:space="preserve">Notice to Proceed is </w:t>
      </w:r>
      <w:r w:rsidR="00D27340" w:rsidRPr="006F6171">
        <w:rPr>
          <w:szCs w:val="24"/>
        </w:rPr>
        <w:t>assigned or the Applicant or any Principal thereof changes</w:t>
      </w:r>
      <w:r w:rsidR="00980C1B" w:rsidRPr="006F6171">
        <w:rPr>
          <w:szCs w:val="24"/>
        </w:rPr>
        <w:t>;</w:t>
      </w:r>
    </w:p>
    <w:p w14:paraId="789DCA51" w14:textId="77777777" w:rsidR="00995E15" w:rsidRPr="006F6171" w:rsidRDefault="00995E15" w:rsidP="00FA1C4E">
      <w:pPr>
        <w:tabs>
          <w:tab w:val="left" w:pos="-720"/>
        </w:tabs>
        <w:suppressAutoHyphens/>
        <w:ind w:left="1080" w:hanging="360"/>
        <w:jc w:val="both"/>
        <w:rPr>
          <w:szCs w:val="24"/>
        </w:rPr>
      </w:pPr>
    </w:p>
    <w:p w14:paraId="58677AD6" w14:textId="77777777" w:rsidR="00995E15" w:rsidRPr="006F6171" w:rsidRDefault="00D27340" w:rsidP="00BE5856">
      <w:pPr>
        <w:pStyle w:val="ListParagraph"/>
        <w:numPr>
          <w:ilvl w:val="0"/>
          <w:numId w:val="41"/>
        </w:numPr>
        <w:tabs>
          <w:tab w:val="left" w:pos="-720"/>
          <w:tab w:val="left" w:pos="1350"/>
          <w:tab w:val="left" w:pos="2145"/>
        </w:tabs>
        <w:suppressAutoHyphens/>
        <w:ind w:left="1080"/>
        <w:jc w:val="both"/>
        <w:rPr>
          <w:szCs w:val="24"/>
        </w:rPr>
      </w:pPr>
      <w:r w:rsidRPr="006F6171">
        <w:rPr>
          <w:szCs w:val="24"/>
        </w:rPr>
        <w:t>T</w:t>
      </w:r>
      <w:r w:rsidR="00995E15" w:rsidRPr="006F6171">
        <w:rPr>
          <w:szCs w:val="24"/>
        </w:rPr>
        <w:t>he</w:t>
      </w:r>
      <w:r w:rsidRPr="006F6171">
        <w:rPr>
          <w:szCs w:val="24"/>
        </w:rPr>
        <w:t xml:space="preserve"> location of the Project changes </w:t>
      </w:r>
      <w:r w:rsidR="00995E15" w:rsidRPr="006F6171">
        <w:rPr>
          <w:szCs w:val="24"/>
        </w:rPr>
        <w:t>from the location identified in the Application</w:t>
      </w:r>
      <w:r w:rsidR="00B718F3" w:rsidRPr="006F6171">
        <w:rPr>
          <w:szCs w:val="24"/>
        </w:rPr>
        <w:t>;</w:t>
      </w:r>
    </w:p>
    <w:p w14:paraId="14E055DC" w14:textId="77777777" w:rsidR="00995E15" w:rsidRPr="006F6171" w:rsidRDefault="00995E15" w:rsidP="00FA1C4E">
      <w:pPr>
        <w:tabs>
          <w:tab w:val="left" w:pos="-720"/>
        </w:tabs>
        <w:suppressAutoHyphens/>
        <w:ind w:left="1080" w:hanging="360"/>
        <w:jc w:val="both"/>
        <w:rPr>
          <w:szCs w:val="24"/>
        </w:rPr>
      </w:pPr>
    </w:p>
    <w:p w14:paraId="7D4AA4E5" w14:textId="5E73B121" w:rsidR="00FA1C4E" w:rsidRPr="006F6171" w:rsidRDefault="00995E15" w:rsidP="00BE5856">
      <w:pPr>
        <w:pStyle w:val="ListParagraph"/>
        <w:numPr>
          <w:ilvl w:val="0"/>
          <w:numId w:val="41"/>
        </w:numPr>
        <w:tabs>
          <w:tab w:val="left" w:pos="-720"/>
          <w:tab w:val="left" w:pos="1350"/>
          <w:tab w:val="left" w:pos="2145"/>
        </w:tabs>
        <w:suppressAutoHyphens/>
        <w:ind w:left="1080"/>
        <w:jc w:val="both"/>
        <w:rPr>
          <w:szCs w:val="24"/>
        </w:rPr>
      </w:pPr>
      <w:r w:rsidRPr="006F6171">
        <w:rPr>
          <w:szCs w:val="24"/>
        </w:rPr>
        <w:t xml:space="preserve">There is any change which </w:t>
      </w:r>
      <w:r w:rsidR="00BB3D09" w:rsidRPr="006F6171">
        <w:rPr>
          <w:szCs w:val="24"/>
        </w:rPr>
        <w:t xml:space="preserve">would </w:t>
      </w:r>
      <w:r w:rsidRPr="006F6171">
        <w:rPr>
          <w:szCs w:val="24"/>
        </w:rPr>
        <w:t xml:space="preserve">result in a net reduction in the </w:t>
      </w:r>
      <w:r w:rsidR="00BB3D09" w:rsidRPr="006F6171">
        <w:rPr>
          <w:szCs w:val="24"/>
        </w:rPr>
        <w:t xml:space="preserve">Application’s </w:t>
      </w:r>
      <w:r w:rsidRPr="006F6171">
        <w:rPr>
          <w:szCs w:val="24"/>
        </w:rPr>
        <w:t>score</w:t>
      </w:r>
      <w:r w:rsidR="00752F5D" w:rsidRPr="006F6171">
        <w:rPr>
          <w:szCs w:val="24"/>
        </w:rPr>
        <w:t>;</w:t>
      </w:r>
    </w:p>
    <w:p w14:paraId="33A4EC70" w14:textId="77777777" w:rsidR="00995E15" w:rsidRPr="006F6171" w:rsidRDefault="00995E15" w:rsidP="00FA1C4E">
      <w:pPr>
        <w:pStyle w:val="ListParagraph"/>
        <w:tabs>
          <w:tab w:val="left" w:pos="-720"/>
        </w:tabs>
        <w:suppressAutoHyphens/>
        <w:ind w:left="1080" w:hanging="360"/>
        <w:jc w:val="both"/>
        <w:rPr>
          <w:szCs w:val="24"/>
        </w:rPr>
      </w:pPr>
    </w:p>
    <w:p w14:paraId="590F5948" w14:textId="0643D7C8" w:rsidR="00995E15" w:rsidRPr="006F6171" w:rsidRDefault="00995E15" w:rsidP="00BE5856">
      <w:pPr>
        <w:pStyle w:val="ListParagraph"/>
        <w:numPr>
          <w:ilvl w:val="0"/>
          <w:numId w:val="41"/>
        </w:numPr>
        <w:tabs>
          <w:tab w:val="left" w:pos="-720"/>
          <w:tab w:val="left" w:pos="1350"/>
          <w:tab w:val="left" w:pos="2145"/>
        </w:tabs>
        <w:suppressAutoHyphens/>
        <w:ind w:left="1080"/>
        <w:jc w:val="both"/>
        <w:rPr>
          <w:szCs w:val="24"/>
        </w:rPr>
      </w:pPr>
      <w:r w:rsidRPr="006F6171">
        <w:rPr>
          <w:szCs w:val="24"/>
        </w:rPr>
        <w:t xml:space="preserve">There is a change in the </w:t>
      </w:r>
      <w:r w:rsidR="00BB3D09" w:rsidRPr="006F6171">
        <w:rPr>
          <w:szCs w:val="24"/>
        </w:rPr>
        <w:t xml:space="preserve">Project’s </w:t>
      </w:r>
      <w:r w:rsidRPr="006F6171">
        <w:rPr>
          <w:szCs w:val="24"/>
        </w:rPr>
        <w:t xml:space="preserve">design or financing from </w:t>
      </w:r>
      <w:r w:rsidR="00BB3D09" w:rsidRPr="006F6171">
        <w:rPr>
          <w:szCs w:val="24"/>
        </w:rPr>
        <w:t xml:space="preserve">what was </w:t>
      </w:r>
      <w:r w:rsidRPr="006F6171">
        <w:rPr>
          <w:szCs w:val="24"/>
        </w:rPr>
        <w:t>in the Application which result</w:t>
      </w:r>
      <w:r w:rsidR="00537863" w:rsidRPr="006F6171">
        <w:rPr>
          <w:szCs w:val="24"/>
        </w:rPr>
        <w:t>s</w:t>
      </w:r>
      <w:r w:rsidRPr="006F6171">
        <w:rPr>
          <w:szCs w:val="24"/>
        </w:rPr>
        <w:t xml:space="preserve"> in a substantial increase in the amount of Credit o</w:t>
      </w:r>
      <w:r w:rsidR="006F2D5A" w:rsidRPr="006F6171">
        <w:rPr>
          <w:szCs w:val="24"/>
        </w:rPr>
        <w:t>r other MaineHousing funding</w:t>
      </w:r>
      <w:r w:rsidR="00537863" w:rsidRPr="006F6171">
        <w:rPr>
          <w:szCs w:val="24"/>
        </w:rPr>
        <w:t xml:space="preserve"> required</w:t>
      </w:r>
      <w:r w:rsidR="00752F5D" w:rsidRPr="006F6171">
        <w:rPr>
          <w:szCs w:val="24"/>
        </w:rPr>
        <w:t>;</w:t>
      </w:r>
    </w:p>
    <w:p w14:paraId="3CE0FBC5" w14:textId="77777777" w:rsidR="00995E15" w:rsidRPr="006F6171" w:rsidRDefault="00995E15" w:rsidP="00FA1C4E">
      <w:pPr>
        <w:tabs>
          <w:tab w:val="left" w:pos="-720"/>
        </w:tabs>
        <w:suppressAutoHyphens/>
        <w:ind w:left="1080" w:hanging="360"/>
        <w:jc w:val="both"/>
        <w:rPr>
          <w:szCs w:val="24"/>
        </w:rPr>
      </w:pPr>
    </w:p>
    <w:p w14:paraId="5CC2C74C" w14:textId="053B4D5B" w:rsidR="00537863" w:rsidRPr="006F6171" w:rsidRDefault="00733F1D" w:rsidP="00BE5856">
      <w:pPr>
        <w:pStyle w:val="ListParagraph"/>
        <w:numPr>
          <w:ilvl w:val="0"/>
          <w:numId w:val="41"/>
        </w:numPr>
        <w:tabs>
          <w:tab w:val="left" w:pos="-720"/>
          <w:tab w:val="left" w:pos="1350"/>
          <w:tab w:val="left" w:pos="2145"/>
        </w:tabs>
        <w:suppressAutoHyphens/>
        <w:ind w:left="1080"/>
        <w:jc w:val="both"/>
        <w:rPr>
          <w:szCs w:val="24"/>
        </w:rPr>
      </w:pPr>
      <w:r w:rsidRPr="006F6171">
        <w:rPr>
          <w:szCs w:val="24"/>
        </w:rPr>
        <w:t xml:space="preserve">The Project’s TDC </w:t>
      </w:r>
      <w:r w:rsidR="00240D43" w:rsidRPr="006F6171">
        <w:rPr>
          <w:szCs w:val="24"/>
        </w:rPr>
        <w:t xml:space="preserve">Index </w:t>
      </w:r>
      <w:r w:rsidR="00995E15" w:rsidRPr="006F6171">
        <w:rPr>
          <w:szCs w:val="24"/>
        </w:rPr>
        <w:t>exceeds the</w:t>
      </w:r>
      <w:r w:rsidR="00C511A0" w:rsidRPr="006F6171">
        <w:rPr>
          <w:szCs w:val="24"/>
        </w:rPr>
        <w:t xml:space="preserve"> </w:t>
      </w:r>
      <w:r w:rsidRPr="006F6171">
        <w:rPr>
          <w:szCs w:val="24"/>
        </w:rPr>
        <w:t>TDC</w:t>
      </w:r>
      <w:r w:rsidR="00240D43" w:rsidRPr="006F6171">
        <w:rPr>
          <w:szCs w:val="24"/>
        </w:rPr>
        <w:t xml:space="preserve"> Index</w:t>
      </w:r>
      <w:r w:rsidRPr="006F6171">
        <w:rPr>
          <w:szCs w:val="24"/>
        </w:rPr>
        <w:t xml:space="preserve"> Cap</w:t>
      </w:r>
      <w:r w:rsidR="00BF3295" w:rsidRPr="006F6171">
        <w:rPr>
          <w:szCs w:val="24"/>
        </w:rPr>
        <w:t>;</w:t>
      </w:r>
      <w:r w:rsidR="006F2D5A" w:rsidRPr="006F6171">
        <w:rPr>
          <w:szCs w:val="24"/>
        </w:rPr>
        <w:t xml:space="preserve"> </w:t>
      </w:r>
    </w:p>
    <w:p w14:paraId="6C50D352" w14:textId="77777777" w:rsidR="00537863" w:rsidRPr="006F6171" w:rsidRDefault="00537863" w:rsidP="00537863">
      <w:pPr>
        <w:pStyle w:val="ListParagraph"/>
        <w:rPr>
          <w:szCs w:val="24"/>
        </w:rPr>
      </w:pPr>
    </w:p>
    <w:p w14:paraId="1E277B87" w14:textId="142C4047" w:rsidR="00FA1C4E" w:rsidRPr="006F6171" w:rsidRDefault="00537863" w:rsidP="00BE5856">
      <w:pPr>
        <w:pStyle w:val="ListParagraph"/>
        <w:numPr>
          <w:ilvl w:val="0"/>
          <w:numId w:val="41"/>
        </w:numPr>
        <w:tabs>
          <w:tab w:val="left" w:pos="-720"/>
          <w:tab w:val="left" w:pos="1350"/>
          <w:tab w:val="left" w:pos="2145"/>
        </w:tabs>
        <w:suppressAutoHyphens/>
        <w:ind w:left="1080"/>
        <w:jc w:val="both"/>
        <w:rPr>
          <w:szCs w:val="24"/>
        </w:rPr>
      </w:pPr>
      <w:r w:rsidRPr="006F6171">
        <w:rPr>
          <w:szCs w:val="24"/>
        </w:rPr>
        <w:t>F</w:t>
      </w:r>
      <w:r w:rsidR="006F2D5A" w:rsidRPr="006F6171">
        <w:rPr>
          <w:szCs w:val="24"/>
        </w:rPr>
        <w:t xml:space="preserve">ailure to meet the threshold requirements in Section </w:t>
      </w:r>
      <w:r w:rsidR="00FA1C4E" w:rsidRPr="006F6171">
        <w:rPr>
          <w:szCs w:val="24"/>
        </w:rPr>
        <w:t>5</w:t>
      </w:r>
      <w:r w:rsidR="00752F5D" w:rsidRPr="006F6171">
        <w:rPr>
          <w:szCs w:val="24"/>
        </w:rPr>
        <w:t>;</w:t>
      </w:r>
    </w:p>
    <w:p w14:paraId="5AD8F5B1" w14:textId="34D615CF" w:rsidR="00537863" w:rsidRPr="006F6171" w:rsidRDefault="00537863" w:rsidP="00BE5856">
      <w:pPr>
        <w:pStyle w:val="ListParagraph"/>
        <w:numPr>
          <w:ilvl w:val="0"/>
          <w:numId w:val="41"/>
        </w:numPr>
        <w:tabs>
          <w:tab w:val="left" w:pos="-720"/>
          <w:tab w:val="left" w:pos="1350"/>
          <w:tab w:val="left" w:pos="2145"/>
        </w:tabs>
        <w:suppressAutoHyphens/>
        <w:ind w:left="1080"/>
        <w:jc w:val="both"/>
        <w:rPr>
          <w:szCs w:val="24"/>
        </w:rPr>
      </w:pPr>
      <w:r w:rsidRPr="006F6171">
        <w:rPr>
          <w:szCs w:val="24"/>
        </w:rPr>
        <w:lastRenderedPageBreak/>
        <w:t>Any event in Section 4.D. occurs and is not cured within any applicable cure period; or</w:t>
      </w:r>
    </w:p>
    <w:p w14:paraId="2E07E7DC" w14:textId="1DA80C48" w:rsidR="00BF3295" w:rsidRPr="006F6171" w:rsidRDefault="00BF3295" w:rsidP="00BF3295">
      <w:pPr>
        <w:tabs>
          <w:tab w:val="left" w:pos="-720"/>
          <w:tab w:val="left" w:pos="1350"/>
          <w:tab w:val="left" w:pos="2145"/>
        </w:tabs>
        <w:suppressAutoHyphens/>
        <w:jc w:val="both"/>
        <w:rPr>
          <w:szCs w:val="24"/>
        </w:rPr>
      </w:pPr>
    </w:p>
    <w:p w14:paraId="714DE815" w14:textId="32C6A4C3" w:rsidR="005C06CF" w:rsidRPr="006F6171" w:rsidRDefault="005C06CF" w:rsidP="00BE5856">
      <w:pPr>
        <w:pStyle w:val="ListParagraph"/>
        <w:numPr>
          <w:ilvl w:val="0"/>
          <w:numId w:val="41"/>
        </w:numPr>
        <w:tabs>
          <w:tab w:val="left" w:pos="-720"/>
          <w:tab w:val="left" w:pos="1350"/>
          <w:tab w:val="left" w:pos="2145"/>
        </w:tabs>
        <w:suppressAutoHyphens/>
        <w:ind w:left="1080"/>
        <w:jc w:val="both"/>
        <w:rPr>
          <w:szCs w:val="24"/>
        </w:rPr>
      </w:pPr>
      <w:r w:rsidRPr="006F6171">
        <w:rPr>
          <w:szCs w:val="24"/>
        </w:rPr>
        <w:t>There is any other material or substantive amendment or change to the Application</w:t>
      </w:r>
      <w:r w:rsidR="00537863" w:rsidRPr="006F6171">
        <w:rPr>
          <w:szCs w:val="24"/>
        </w:rPr>
        <w:t>.</w:t>
      </w:r>
    </w:p>
    <w:p w14:paraId="30DE98A0" w14:textId="77777777" w:rsidR="00FA1C4E" w:rsidRPr="006F6171" w:rsidRDefault="00FA1C4E" w:rsidP="00FA1C4E">
      <w:pPr>
        <w:pStyle w:val="ListParagraph"/>
        <w:ind w:left="1080" w:hanging="360"/>
        <w:rPr>
          <w:szCs w:val="24"/>
        </w:rPr>
      </w:pPr>
    </w:p>
    <w:p w14:paraId="66920392" w14:textId="77777777" w:rsidR="00995E15" w:rsidRPr="006F6171" w:rsidRDefault="00995E15" w:rsidP="008416BF">
      <w:pPr>
        <w:pStyle w:val="Heading1"/>
        <w:jc w:val="both"/>
      </w:pPr>
      <w:bookmarkStart w:id="4" w:name="_Toc531341072"/>
      <w:r w:rsidRPr="006F6171">
        <w:t>SECTION 5:</w:t>
      </w:r>
      <w:r w:rsidR="00BB3D09" w:rsidRPr="006F6171">
        <w:t xml:space="preserve"> </w:t>
      </w:r>
      <w:r w:rsidRPr="006F6171">
        <w:t>THRESHOLD REQUIREMENTS</w:t>
      </w:r>
      <w:bookmarkEnd w:id="4"/>
    </w:p>
    <w:p w14:paraId="0A9FE2E4" w14:textId="77777777" w:rsidR="00995E15" w:rsidRPr="006F6171" w:rsidRDefault="00995E15" w:rsidP="008416BF">
      <w:pPr>
        <w:tabs>
          <w:tab w:val="left" w:pos="-720"/>
        </w:tabs>
        <w:suppressAutoHyphens/>
        <w:jc w:val="both"/>
        <w:rPr>
          <w:szCs w:val="24"/>
        </w:rPr>
      </w:pPr>
    </w:p>
    <w:p w14:paraId="32CFF90E" w14:textId="77777777" w:rsidR="00995E15" w:rsidRPr="006F6171" w:rsidRDefault="00CE59AF" w:rsidP="008416BF">
      <w:pPr>
        <w:tabs>
          <w:tab w:val="left" w:pos="-720"/>
        </w:tabs>
        <w:suppressAutoHyphens/>
        <w:jc w:val="both"/>
        <w:rPr>
          <w:szCs w:val="24"/>
        </w:rPr>
      </w:pPr>
      <w:r w:rsidRPr="006F6171">
        <w:rPr>
          <w:szCs w:val="24"/>
        </w:rPr>
        <w:t xml:space="preserve">Applications must meet the </w:t>
      </w:r>
      <w:r w:rsidR="00607901" w:rsidRPr="006F6171">
        <w:rPr>
          <w:szCs w:val="24"/>
        </w:rPr>
        <w:t xml:space="preserve">following </w:t>
      </w:r>
      <w:r w:rsidR="00995E15" w:rsidRPr="006F6171">
        <w:rPr>
          <w:szCs w:val="24"/>
        </w:rPr>
        <w:t>threshold requireme</w:t>
      </w:r>
      <w:r w:rsidRPr="006F6171">
        <w:rPr>
          <w:szCs w:val="24"/>
        </w:rPr>
        <w:t xml:space="preserve">nts </w:t>
      </w:r>
      <w:r w:rsidR="00995E15" w:rsidRPr="006F6171">
        <w:rPr>
          <w:szCs w:val="24"/>
        </w:rPr>
        <w:t>to be eligible for Credit</w:t>
      </w:r>
      <w:r w:rsidR="00DA4217" w:rsidRPr="006F6171">
        <w:rPr>
          <w:szCs w:val="24"/>
        </w:rPr>
        <w:t>:</w:t>
      </w:r>
    </w:p>
    <w:p w14:paraId="6F9258B6" w14:textId="77777777" w:rsidR="00995E15" w:rsidRPr="006F6171" w:rsidRDefault="00995E15" w:rsidP="008416BF">
      <w:pPr>
        <w:tabs>
          <w:tab w:val="left" w:pos="-720"/>
        </w:tabs>
        <w:suppressAutoHyphens/>
        <w:jc w:val="both"/>
        <w:rPr>
          <w:szCs w:val="24"/>
        </w:rPr>
      </w:pPr>
    </w:p>
    <w:p w14:paraId="5C623B05" w14:textId="77777777" w:rsidR="002B0106" w:rsidRPr="006F6171" w:rsidRDefault="008B270A" w:rsidP="00A8328C">
      <w:pPr>
        <w:pStyle w:val="ListParagraph"/>
        <w:numPr>
          <w:ilvl w:val="0"/>
          <w:numId w:val="4"/>
        </w:numPr>
        <w:tabs>
          <w:tab w:val="clear" w:pos="1440"/>
          <w:tab w:val="left" w:pos="-720"/>
        </w:tabs>
        <w:suppressAutoHyphens/>
        <w:ind w:left="720" w:hanging="720"/>
        <w:jc w:val="both"/>
        <w:rPr>
          <w:szCs w:val="24"/>
        </w:rPr>
      </w:pPr>
      <w:r w:rsidRPr="006F6171">
        <w:t>Affordability</w:t>
      </w:r>
      <w:r w:rsidRPr="006F6171">
        <w:rPr>
          <w:szCs w:val="24"/>
        </w:rPr>
        <w:t xml:space="preserve">. </w:t>
      </w:r>
    </w:p>
    <w:p w14:paraId="3F7F273A" w14:textId="77777777" w:rsidR="002B0106" w:rsidRPr="006F6171" w:rsidRDefault="002B0106" w:rsidP="002B0106">
      <w:pPr>
        <w:tabs>
          <w:tab w:val="left" w:pos="-720"/>
        </w:tabs>
        <w:suppressAutoHyphens/>
        <w:jc w:val="both"/>
        <w:rPr>
          <w:szCs w:val="24"/>
        </w:rPr>
      </w:pPr>
    </w:p>
    <w:p w14:paraId="0C10B1F1" w14:textId="77777777" w:rsidR="002B0106" w:rsidRPr="006F6171" w:rsidRDefault="002B0106" w:rsidP="00BE5856">
      <w:pPr>
        <w:pStyle w:val="ListParagraph"/>
        <w:numPr>
          <w:ilvl w:val="0"/>
          <w:numId w:val="59"/>
        </w:numPr>
        <w:tabs>
          <w:tab w:val="left" w:pos="-720"/>
        </w:tabs>
        <w:suppressAutoHyphens/>
        <w:contextualSpacing/>
        <w:rPr>
          <w:szCs w:val="24"/>
        </w:rPr>
      </w:pPr>
      <w:r w:rsidRPr="006F6171">
        <w:rPr>
          <w:szCs w:val="24"/>
        </w:rPr>
        <w:t xml:space="preserve">The Project will comply with </w:t>
      </w:r>
      <w:hyperlink r:id="rId19" w:history="1">
        <w:r w:rsidRPr="006F6171">
          <w:rPr>
            <w:rStyle w:val="Hyperlink"/>
            <w:szCs w:val="24"/>
          </w:rPr>
          <w:t>Section 42</w:t>
        </w:r>
      </w:hyperlink>
      <w:r w:rsidRPr="006F6171">
        <w:rPr>
          <w:szCs w:val="24"/>
        </w:rPr>
        <w:t xml:space="preserve"> of the Code and this QAP for a minimum period of 45 years to maintain the Project as residential rental housing, keep at least 60% of the total Credit Units in a Project occupied by persons with 50% area median income and keep the Credit Units in the Project rent-restricted in accordance with </w:t>
      </w:r>
      <w:hyperlink r:id="rId20" w:history="1">
        <w:r w:rsidRPr="006F6171">
          <w:rPr>
            <w:rStyle w:val="Hyperlink"/>
            <w:szCs w:val="24"/>
          </w:rPr>
          <w:t>Section 42</w:t>
        </w:r>
      </w:hyperlink>
      <w:r w:rsidRPr="006F6171">
        <w:rPr>
          <w:szCs w:val="24"/>
        </w:rPr>
        <w:t xml:space="preserve"> of the Code.</w:t>
      </w:r>
    </w:p>
    <w:p w14:paraId="7787242B" w14:textId="77777777" w:rsidR="002B0106" w:rsidRPr="006F6171" w:rsidRDefault="002B0106" w:rsidP="002B0106">
      <w:pPr>
        <w:tabs>
          <w:tab w:val="left" w:pos="-720"/>
        </w:tabs>
        <w:suppressAutoHyphens/>
        <w:rPr>
          <w:szCs w:val="24"/>
        </w:rPr>
      </w:pPr>
    </w:p>
    <w:p w14:paraId="1683799D" w14:textId="77777777" w:rsidR="002B0106" w:rsidRPr="006F6171" w:rsidRDefault="002B0106" w:rsidP="00BE5856">
      <w:pPr>
        <w:pStyle w:val="ListParagraph"/>
        <w:numPr>
          <w:ilvl w:val="0"/>
          <w:numId w:val="59"/>
        </w:numPr>
        <w:tabs>
          <w:tab w:val="left" w:pos="-720"/>
        </w:tabs>
        <w:suppressAutoHyphens/>
        <w:contextualSpacing/>
        <w:rPr>
          <w:szCs w:val="24"/>
        </w:rPr>
      </w:pPr>
      <w:r w:rsidRPr="006F6171">
        <w:rPr>
          <w:szCs w:val="24"/>
        </w:rPr>
        <w:t xml:space="preserve">The Applicant waives the right to request MaineHousing to present a Qualified Contract under </w:t>
      </w:r>
      <w:hyperlink r:id="rId21" w:history="1">
        <w:r w:rsidRPr="006F6171">
          <w:rPr>
            <w:rStyle w:val="Hyperlink"/>
            <w:szCs w:val="24"/>
          </w:rPr>
          <w:t>Section 42(h)(6)</w:t>
        </w:r>
      </w:hyperlink>
      <w:r w:rsidRPr="006F6171">
        <w:rPr>
          <w:szCs w:val="24"/>
        </w:rPr>
        <w:t xml:space="preserve"> of the Code.</w:t>
      </w:r>
    </w:p>
    <w:p w14:paraId="4CDD3667" w14:textId="77777777" w:rsidR="002B0106" w:rsidRPr="006F6171" w:rsidRDefault="002B0106" w:rsidP="002B0106">
      <w:pPr>
        <w:pStyle w:val="ListParagraph"/>
        <w:rPr>
          <w:szCs w:val="24"/>
        </w:rPr>
      </w:pPr>
    </w:p>
    <w:p w14:paraId="79A061C6" w14:textId="05EC43AD" w:rsidR="006426C8" w:rsidRPr="006F6171" w:rsidRDefault="006426C8" w:rsidP="00BE5856">
      <w:pPr>
        <w:pStyle w:val="ListParagraph"/>
        <w:numPr>
          <w:ilvl w:val="0"/>
          <w:numId w:val="59"/>
        </w:numPr>
        <w:tabs>
          <w:tab w:val="left" w:pos="-720"/>
        </w:tabs>
        <w:suppressAutoHyphens/>
        <w:contextualSpacing/>
        <w:rPr>
          <w:szCs w:val="24"/>
        </w:rPr>
      </w:pPr>
      <w:r w:rsidRPr="006F6171">
        <w:rPr>
          <w:szCs w:val="24"/>
        </w:rPr>
        <w:t xml:space="preserve">The Applicant must submit a letter of intent from an investor (and, in the event of any change in investor, the replacement investor) in which the investor agrees to the granting of an option to purchase: (i) the Project; and (ii) the partnership interest of the limited partner(s) or membership interest of the non-managing member(s) of the Project owner (“Purchase Options”), to one or more of the general partner, managing member, developer or sponsor on terms that </w:t>
      </w:r>
      <w:r w:rsidR="0082262E" w:rsidRPr="006F6171">
        <w:rPr>
          <w:szCs w:val="24"/>
        </w:rPr>
        <w:t xml:space="preserve">at a minimum satisfy the threshold requirements </w:t>
      </w:r>
      <w:r w:rsidRPr="006F6171">
        <w:rPr>
          <w:szCs w:val="24"/>
        </w:rPr>
        <w:t xml:space="preserve">set forth in </w:t>
      </w:r>
      <w:r w:rsidRPr="006F6171">
        <w:rPr>
          <w:b/>
          <w:szCs w:val="24"/>
        </w:rPr>
        <w:t>Appendix E</w:t>
      </w:r>
      <w:r w:rsidRPr="006F6171">
        <w:rPr>
          <w:szCs w:val="24"/>
        </w:rPr>
        <w:t>.  The investor must also agree in the letter of intent that the Purchase Options complying</w:t>
      </w:r>
      <w:r w:rsidR="0082262E" w:rsidRPr="006F6171">
        <w:rPr>
          <w:szCs w:val="24"/>
        </w:rPr>
        <w:t xml:space="preserve"> at a minimum</w:t>
      </w:r>
      <w:r w:rsidRPr="006F6171">
        <w:rPr>
          <w:szCs w:val="24"/>
        </w:rPr>
        <w:t xml:space="preserve"> with the</w:t>
      </w:r>
      <w:r w:rsidR="0082262E" w:rsidRPr="006F6171">
        <w:rPr>
          <w:szCs w:val="24"/>
        </w:rPr>
        <w:t xml:space="preserve"> threshold requirements</w:t>
      </w:r>
      <w:r w:rsidRPr="006F6171">
        <w:rPr>
          <w:szCs w:val="24"/>
        </w:rPr>
        <w:t xml:space="preserve"> in </w:t>
      </w:r>
      <w:r w:rsidRPr="006F6171">
        <w:rPr>
          <w:b/>
          <w:szCs w:val="24"/>
        </w:rPr>
        <w:t>Appendix E</w:t>
      </w:r>
      <w:r w:rsidRPr="006F6171">
        <w:rPr>
          <w:szCs w:val="24"/>
        </w:rPr>
        <w:t xml:space="preserve"> will be included in the Project owner’s limited partnership agreement or limited liability company operating agreement. </w:t>
      </w:r>
    </w:p>
    <w:p w14:paraId="1E9D9FAC" w14:textId="77777777" w:rsidR="002B0106" w:rsidRPr="006F6171" w:rsidRDefault="002B0106" w:rsidP="002B0106">
      <w:pPr>
        <w:pStyle w:val="ListParagraph"/>
        <w:rPr>
          <w:szCs w:val="24"/>
        </w:rPr>
      </w:pPr>
    </w:p>
    <w:p w14:paraId="200353D1" w14:textId="453DFBD9" w:rsidR="002B0106" w:rsidRPr="006F6171" w:rsidRDefault="002B0106" w:rsidP="00BE5856">
      <w:pPr>
        <w:pStyle w:val="ListParagraph"/>
        <w:numPr>
          <w:ilvl w:val="0"/>
          <w:numId w:val="59"/>
        </w:numPr>
        <w:tabs>
          <w:tab w:val="left" w:pos="-720"/>
        </w:tabs>
        <w:suppressAutoHyphens/>
        <w:contextualSpacing/>
        <w:rPr>
          <w:szCs w:val="24"/>
        </w:rPr>
      </w:pPr>
      <w:r w:rsidRPr="006F6171">
        <w:rPr>
          <w:szCs w:val="24"/>
        </w:rPr>
        <w:t>If the Applicant, general partner, managing member, developer, or sponsor of the Project is a Qualified Nonprofit Organization, the Applicant must submit a letter of intent from an investor (and, in the event of any change in investor, the replacement investor) in which the investor agrees to the granting of a right of first refusal (“ROFR”) to the Qualified Nonprofit Organization on terms that</w:t>
      </w:r>
      <w:r w:rsidR="0082262E" w:rsidRPr="006F6171">
        <w:rPr>
          <w:szCs w:val="24"/>
        </w:rPr>
        <w:t xml:space="preserve"> at a minimum satisfy the threshold requirements</w:t>
      </w:r>
      <w:r w:rsidRPr="006F6171">
        <w:rPr>
          <w:szCs w:val="24"/>
        </w:rPr>
        <w:t xml:space="preserve"> set forth in </w:t>
      </w:r>
      <w:r w:rsidRPr="006F6171">
        <w:rPr>
          <w:b/>
          <w:szCs w:val="24"/>
        </w:rPr>
        <w:t>Appendix E</w:t>
      </w:r>
      <w:r w:rsidRPr="006F6171">
        <w:rPr>
          <w:szCs w:val="24"/>
        </w:rPr>
        <w:t>.  The investor must also agree in the letter of intent that the ROFR complying</w:t>
      </w:r>
      <w:r w:rsidR="0082262E" w:rsidRPr="006F6171">
        <w:rPr>
          <w:szCs w:val="24"/>
        </w:rPr>
        <w:t xml:space="preserve"> at a minimum</w:t>
      </w:r>
      <w:r w:rsidRPr="006F6171">
        <w:rPr>
          <w:szCs w:val="24"/>
        </w:rPr>
        <w:t xml:space="preserve"> </w:t>
      </w:r>
      <w:r w:rsidR="00C54879" w:rsidRPr="006F6171">
        <w:rPr>
          <w:szCs w:val="24"/>
        </w:rPr>
        <w:t xml:space="preserve">with the </w:t>
      </w:r>
      <w:r w:rsidR="0082262E" w:rsidRPr="006F6171">
        <w:rPr>
          <w:szCs w:val="24"/>
        </w:rPr>
        <w:t xml:space="preserve">threshold requirements </w:t>
      </w:r>
      <w:r w:rsidRPr="006F6171">
        <w:rPr>
          <w:szCs w:val="24"/>
        </w:rPr>
        <w:t xml:space="preserve">in </w:t>
      </w:r>
      <w:r w:rsidRPr="006F6171">
        <w:rPr>
          <w:b/>
          <w:szCs w:val="24"/>
        </w:rPr>
        <w:t>Appendix E</w:t>
      </w:r>
      <w:r w:rsidRPr="006F6171">
        <w:rPr>
          <w:szCs w:val="24"/>
        </w:rPr>
        <w:t xml:space="preserve"> will be included in the Project owner’s limited partnership agreement or limited liability company operating agreement.</w:t>
      </w:r>
    </w:p>
    <w:p w14:paraId="07CF30AE" w14:textId="720A3372" w:rsidR="008B270A" w:rsidRPr="006F6171" w:rsidRDefault="008B270A" w:rsidP="00BF615D">
      <w:pPr>
        <w:tabs>
          <w:tab w:val="left" w:pos="-720"/>
        </w:tabs>
        <w:suppressAutoHyphens/>
        <w:jc w:val="both"/>
        <w:rPr>
          <w:szCs w:val="24"/>
        </w:rPr>
      </w:pPr>
      <w:r w:rsidRPr="006F6171">
        <w:rPr>
          <w:szCs w:val="24"/>
        </w:rPr>
        <w:t xml:space="preserve"> </w:t>
      </w:r>
    </w:p>
    <w:p w14:paraId="1FE0A514" w14:textId="77777777" w:rsidR="004B55EE" w:rsidRPr="006F6171" w:rsidRDefault="00995E15" w:rsidP="00A8328C">
      <w:pPr>
        <w:numPr>
          <w:ilvl w:val="0"/>
          <w:numId w:val="4"/>
        </w:numPr>
        <w:tabs>
          <w:tab w:val="clear" w:pos="1440"/>
          <w:tab w:val="left" w:pos="-720"/>
        </w:tabs>
        <w:suppressAutoHyphens/>
        <w:ind w:left="720" w:hanging="720"/>
        <w:jc w:val="both"/>
        <w:rPr>
          <w:szCs w:val="24"/>
        </w:rPr>
      </w:pPr>
      <w:r w:rsidRPr="006F6171">
        <w:t>Total Development Cost</w:t>
      </w:r>
      <w:r w:rsidR="009D437D" w:rsidRPr="006F6171">
        <w:t xml:space="preserve"> (TDC)</w:t>
      </w:r>
      <w:r w:rsidRPr="006F6171">
        <w:rPr>
          <w:szCs w:val="24"/>
        </w:rPr>
        <w:t>.</w:t>
      </w:r>
      <w:r w:rsidR="00DB18E9" w:rsidRPr="006F6171">
        <w:rPr>
          <w:szCs w:val="24"/>
        </w:rPr>
        <w:t xml:space="preserve"> </w:t>
      </w:r>
      <w:r w:rsidR="004B55EE" w:rsidRPr="006F6171">
        <w:rPr>
          <w:szCs w:val="24"/>
        </w:rPr>
        <w:t>Cost reasonableness will be evaluated using an index, which is the weighted average of the TDC per unit and the TDC per bedroom. For mixed-use projects, the TDC for only the residential portion of the project, including common areas, will be used for this calculation. The weighted average will be calculated as follows:</w:t>
      </w:r>
    </w:p>
    <w:p w14:paraId="0829C337" w14:textId="77777777" w:rsidR="004B55EE" w:rsidRPr="006F6171" w:rsidRDefault="004B55EE" w:rsidP="00E555C1">
      <w:pPr>
        <w:tabs>
          <w:tab w:val="left" w:pos="-720"/>
        </w:tabs>
        <w:suppressAutoHyphens/>
        <w:ind w:left="720"/>
        <w:jc w:val="both"/>
        <w:rPr>
          <w:szCs w:val="24"/>
        </w:rPr>
      </w:pPr>
    </w:p>
    <w:p w14:paraId="4532CB61" w14:textId="77777777" w:rsidR="004B55EE" w:rsidRPr="006F6171" w:rsidRDefault="004B55EE" w:rsidP="00E555C1">
      <w:pPr>
        <w:tabs>
          <w:tab w:val="left" w:pos="-720"/>
        </w:tabs>
        <w:suppressAutoHyphens/>
        <w:ind w:left="720"/>
        <w:jc w:val="both"/>
        <w:rPr>
          <w:szCs w:val="24"/>
        </w:rPr>
      </w:pPr>
      <w:r w:rsidRPr="006F6171">
        <w:rPr>
          <w:szCs w:val="24"/>
        </w:rPr>
        <w:lastRenderedPageBreak/>
        <w:t>([2 X TDC/unit] + [TDC/bedroom]) divided by 3.</w:t>
      </w:r>
    </w:p>
    <w:p w14:paraId="48B11D22" w14:textId="77777777" w:rsidR="004B55EE" w:rsidRPr="006F6171" w:rsidRDefault="004B55EE" w:rsidP="00E555C1">
      <w:pPr>
        <w:tabs>
          <w:tab w:val="left" w:pos="-720"/>
        </w:tabs>
        <w:suppressAutoHyphens/>
        <w:ind w:left="720"/>
        <w:jc w:val="both"/>
        <w:rPr>
          <w:szCs w:val="24"/>
        </w:rPr>
      </w:pPr>
    </w:p>
    <w:p w14:paraId="4DB77379" w14:textId="77777777" w:rsidR="00995E15" w:rsidRPr="006F6171" w:rsidRDefault="004B55EE" w:rsidP="00E555C1">
      <w:pPr>
        <w:tabs>
          <w:tab w:val="left" w:pos="-720"/>
        </w:tabs>
        <w:suppressAutoHyphens/>
        <w:ind w:left="720"/>
        <w:jc w:val="both"/>
        <w:rPr>
          <w:szCs w:val="24"/>
        </w:rPr>
      </w:pPr>
      <w:r w:rsidRPr="006F6171">
        <w:rPr>
          <w:szCs w:val="24"/>
        </w:rPr>
        <w:t xml:space="preserve">The product of this calculation will be referred to throughout this document as the “TDC Index”. </w:t>
      </w:r>
      <w:r w:rsidR="00B57AC2" w:rsidRPr="006F6171">
        <w:rPr>
          <w:szCs w:val="24"/>
        </w:rPr>
        <w:t xml:space="preserve"> </w:t>
      </w:r>
      <w:r w:rsidRPr="006F6171">
        <w:rPr>
          <w:szCs w:val="24"/>
        </w:rPr>
        <w:t xml:space="preserve">An Application will be rejected if the TDC Index exceeds </w:t>
      </w:r>
      <w:r w:rsidR="00D834BE" w:rsidRPr="006F6171">
        <w:rPr>
          <w:szCs w:val="24"/>
        </w:rPr>
        <w:t xml:space="preserve">the </w:t>
      </w:r>
      <w:r w:rsidR="00D578A9" w:rsidRPr="006F6171">
        <w:rPr>
          <w:szCs w:val="24"/>
        </w:rPr>
        <w:t xml:space="preserve">TDC </w:t>
      </w:r>
      <w:r w:rsidRPr="006F6171">
        <w:rPr>
          <w:szCs w:val="24"/>
        </w:rPr>
        <w:t xml:space="preserve">Index </w:t>
      </w:r>
      <w:r w:rsidR="00D578A9" w:rsidRPr="006F6171">
        <w:rPr>
          <w:szCs w:val="24"/>
        </w:rPr>
        <w:t xml:space="preserve">Cap </w:t>
      </w:r>
      <w:r w:rsidR="00D834BE" w:rsidRPr="006F6171">
        <w:rPr>
          <w:szCs w:val="24"/>
        </w:rPr>
        <w:t>belo</w:t>
      </w:r>
      <w:r w:rsidR="009D437D" w:rsidRPr="006F6171">
        <w:rPr>
          <w:szCs w:val="24"/>
        </w:rPr>
        <w:t xml:space="preserve">w </w:t>
      </w:r>
      <w:r w:rsidR="00D834BE" w:rsidRPr="006F6171">
        <w:rPr>
          <w:szCs w:val="24"/>
        </w:rPr>
        <w:t xml:space="preserve">for a project of its type at any time prior to the later of the construction loan closing or </w:t>
      </w:r>
      <w:r w:rsidR="00240D43" w:rsidRPr="006F6171">
        <w:rPr>
          <w:szCs w:val="24"/>
        </w:rPr>
        <w:t>carryover</w:t>
      </w:r>
      <w:r w:rsidR="00F56DA7" w:rsidRPr="006F6171">
        <w:rPr>
          <w:szCs w:val="24"/>
        </w:rPr>
        <w:t xml:space="preserve"> </w:t>
      </w:r>
      <w:r w:rsidR="00D834BE" w:rsidRPr="006F6171">
        <w:rPr>
          <w:szCs w:val="24"/>
        </w:rPr>
        <w:t>allocation.</w:t>
      </w:r>
      <w:r w:rsidR="00995E15" w:rsidRPr="006F6171">
        <w:rPr>
          <w:szCs w:val="24"/>
        </w:rPr>
        <w:t xml:space="preserve"> </w:t>
      </w:r>
    </w:p>
    <w:p w14:paraId="11D5C5CC" w14:textId="77777777" w:rsidR="00CE744D" w:rsidRPr="006F6171" w:rsidRDefault="00CE744D" w:rsidP="00E555C1">
      <w:pPr>
        <w:tabs>
          <w:tab w:val="left" w:pos="-720"/>
        </w:tabs>
        <w:suppressAutoHyphens/>
        <w:ind w:left="720"/>
        <w:jc w:val="both"/>
        <w:rPr>
          <w:szCs w:val="24"/>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10"/>
      </w:tblGrid>
      <w:tr w:rsidR="00995E15" w:rsidRPr="006F6171" w14:paraId="5199F1B2" w14:textId="77777777" w:rsidTr="00BE6A18">
        <w:tc>
          <w:tcPr>
            <w:tcW w:w="6120" w:type="dxa"/>
          </w:tcPr>
          <w:p w14:paraId="5111D89C" w14:textId="77777777" w:rsidR="00995E15" w:rsidRPr="006F6171" w:rsidRDefault="00995E15" w:rsidP="00E555C1">
            <w:pPr>
              <w:tabs>
                <w:tab w:val="left" w:pos="360"/>
                <w:tab w:val="left" w:pos="3510"/>
                <w:tab w:val="left" w:pos="3780"/>
              </w:tabs>
              <w:jc w:val="both"/>
              <w:rPr>
                <w:szCs w:val="24"/>
              </w:rPr>
            </w:pPr>
            <w:r w:rsidRPr="006F6171">
              <w:rPr>
                <w:b/>
                <w:szCs w:val="24"/>
              </w:rPr>
              <w:t>Type of Project</w:t>
            </w:r>
          </w:p>
        </w:tc>
        <w:tc>
          <w:tcPr>
            <w:tcW w:w="2610" w:type="dxa"/>
          </w:tcPr>
          <w:p w14:paraId="34AFA6AC" w14:textId="77777777" w:rsidR="00995E15" w:rsidRPr="006F6171" w:rsidRDefault="009D437D" w:rsidP="00E555C1">
            <w:pPr>
              <w:tabs>
                <w:tab w:val="left" w:pos="360"/>
                <w:tab w:val="left" w:pos="3510"/>
                <w:tab w:val="left" w:pos="3780"/>
              </w:tabs>
              <w:jc w:val="both"/>
              <w:rPr>
                <w:b/>
                <w:szCs w:val="24"/>
              </w:rPr>
            </w:pPr>
            <w:r w:rsidRPr="006F6171">
              <w:rPr>
                <w:b/>
                <w:szCs w:val="24"/>
              </w:rPr>
              <w:t>TDC</w:t>
            </w:r>
            <w:r w:rsidR="00733F1D" w:rsidRPr="006F6171">
              <w:rPr>
                <w:b/>
                <w:szCs w:val="24"/>
              </w:rPr>
              <w:t xml:space="preserve"> </w:t>
            </w:r>
            <w:r w:rsidR="00494B7B" w:rsidRPr="006F6171">
              <w:rPr>
                <w:b/>
                <w:szCs w:val="24"/>
              </w:rPr>
              <w:t xml:space="preserve">Index </w:t>
            </w:r>
            <w:r w:rsidR="00733F1D" w:rsidRPr="006F6171">
              <w:rPr>
                <w:b/>
                <w:szCs w:val="24"/>
              </w:rPr>
              <w:t>Cap</w:t>
            </w:r>
          </w:p>
        </w:tc>
      </w:tr>
      <w:tr w:rsidR="00A507B5" w:rsidRPr="006F6171" w14:paraId="1732D459" w14:textId="77777777" w:rsidTr="00BE6A18">
        <w:tc>
          <w:tcPr>
            <w:tcW w:w="6120" w:type="dxa"/>
          </w:tcPr>
          <w:p w14:paraId="19DA1202" w14:textId="77777777" w:rsidR="00A507B5" w:rsidRPr="006F6171" w:rsidRDefault="00A507B5" w:rsidP="00E555C1">
            <w:pPr>
              <w:tabs>
                <w:tab w:val="left" w:pos="360"/>
                <w:tab w:val="left" w:pos="3510"/>
                <w:tab w:val="left" w:pos="3780"/>
              </w:tabs>
              <w:jc w:val="both"/>
              <w:rPr>
                <w:szCs w:val="24"/>
              </w:rPr>
            </w:pPr>
            <w:r w:rsidRPr="006F6171">
              <w:rPr>
                <w:szCs w:val="24"/>
              </w:rPr>
              <w:t>Adaptive Reuse</w:t>
            </w:r>
          </w:p>
        </w:tc>
        <w:tc>
          <w:tcPr>
            <w:tcW w:w="2610" w:type="dxa"/>
            <w:vAlign w:val="center"/>
          </w:tcPr>
          <w:p w14:paraId="5DF1901F" w14:textId="22E2BD48" w:rsidR="00A507B5" w:rsidRPr="006F6171" w:rsidRDefault="00A507B5" w:rsidP="0048705B">
            <w:pPr>
              <w:tabs>
                <w:tab w:val="left" w:pos="360"/>
                <w:tab w:val="left" w:pos="3510"/>
                <w:tab w:val="left" w:pos="3780"/>
              </w:tabs>
              <w:jc w:val="both"/>
              <w:rPr>
                <w:szCs w:val="24"/>
              </w:rPr>
            </w:pPr>
            <w:r w:rsidRPr="006F6171">
              <w:rPr>
                <w:szCs w:val="24"/>
              </w:rPr>
              <w:t>$</w:t>
            </w:r>
            <w:r w:rsidR="00BF615D" w:rsidRPr="006F6171">
              <w:rPr>
                <w:szCs w:val="24"/>
              </w:rPr>
              <w:t>395</w:t>
            </w:r>
            <w:r w:rsidR="0048705B" w:rsidRPr="006F6171">
              <w:rPr>
                <w:szCs w:val="24"/>
              </w:rPr>
              <w:t>,000</w:t>
            </w:r>
            <w:r w:rsidRPr="006F6171">
              <w:rPr>
                <w:szCs w:val="24"/>
              </w:rPr>
              <w:t>per unit</w:t>
            </w:r>
          </w:p>
        </w:tc>
      </w:tr>
      <w:tr w:rsidR="00995E15" w:rsidRPr="006F6171" w14:paraId="4D43854D" w14:textId="77777777" w:rsidTr="00BE6A18">
        <w:tc>
          <w:tcPr>
            <w:tcW w:w="6120" w:type="dxa"/>
          </w:tcPr>
          <w:p w14:paraId="14092111" w14:textId="77777777" w:rsidR="00995E15" w:rsidRPr="006F6171" w:rsidRDefault="00A507B5" w:rsidP="00E555C1">
            <w:pPr>
              <w:tabs>
                <w:tab w:val="left" w:pos="360"/>
                <w:tab w:val="left" w:pos="3510"/>
                <w:tab w:val="left" w:pos="3780"/>
              </w:tabs>
              <w:jc w:val="both"/>
              <w:rPr>
                <w:szCs w:val="24"/>
              </w:rPr>
            </w:pPr>
            <w:r w:rsidRPr="006F6171">
              <w:rPr>
                <w:szCs w:val="24"/>
              </w:rPr>
              <w:t xml:space="preserve">New </w:t>
            </w:r>
            <w:r w:rsidR="00EC117C" w:rsidRPr="006F6171">
              <w:rPr>
                <w:szCs w:val="24"/>
              </w:rPr>
              <w:t>c</w:t>
            </w:r>
            <w:r w:rsidRPr="006F6171">
              <w:rPr>
                <w:szCs w:val="24"/>
              </w:rPr>
              <w:t xml:space="preserve">onstruction </w:t>
            </w:r>
          </w:p>
        </w:tc>
        <w:tc>
          <w:tcPr>
            <w:tcW w:w="2610" w:type="dxa"/>
          </w:tcPr>
          <w:p w14:paraId="3D464EA3" w14:textId="404E7289" w:rsidR="00995E15" w:rsidRPr="006F6171" w:rsidRDefault="00A507B5" w:rsidP="0048705B">
            <w:pPr>
              <w:tabs>
                <w:tab w:val="left" w:pos="360"/>
                <w:tab w:val="left" w:pos="3510"/>
                <w:tab w:val="left" w:pos="3780"/>
              </w:tabs>
              <w:jc w:val="both"/>
              <w:rPr>
                <w:szCs w:val="24"/>
              </w:rPr>
            </w:pPr>
            <w:r w:rsidRPr="006F6171">
              <w:rPr>
                <w:szCs w:val="24"/>
              </w:rPr>
              <w:t>$</w:t>
            </w:r>
            <w:r w:rsidR="0048705B" w:rsidRPr="006F6171">
              <w:rPr>
                <w:szCs w:val="24"/>
              </w:rPr>
              <w:t>370,000</w:t>
            </w:r>
            <w:r w:rsidR="00995E15" w:rsidRPr="006F6171">
              <w:rPr>
                <w:szCs w:val="24"/>
              </w:rPr>
              <w:t>per unit</w:t>
            </w:r>
          </w:p>
        </w:tc>
      </w:tr>
      <w:tr w:rsidR="00995E15" w:rsidRPr="006F6171" w14:paraId="303CEC99" w14:textId="77777777" w:rsidTr="00BE6A18">
        <w:tc>
          <w:tcPr>
            <w:tcW w:w="6120" w:type="dxa"/>
          </w:tcPr>
          <w:p w14:paraId="325DBCC1" w14:textId="77777777" w:rsidR="00995E15" w:rsidRPr="006F6171" w:rsidRDefault="00995E15" w:rsidP="00E555C1">
            <w:pPr>
              <w:tabs>
                <w:tab w:val="left" w:pos="360"/>
                <w:tab w:val="left" w:pos="3510"/>
                <w:tab w:val="left" w:pos="3780"/>
              </w:tabs>
              <w:jc w:val="both"/>
              <w:rPr>
                <w:szCs w:val="24"/>
              </w:rPr>
            </w:pPr>
            <w:r w:rsidRPr="006F6171">
              <w:rPr>
                <w:szCs w:val="24"/>
              </w:rPr>
              <w:t xml:space="preserve">Acquisition and </w:t>
            </w:r>
            <w:r w:rsidR="00EC117C" w:rsidRPr="006F6171">
              <w:rPr>
                <w:szCs w:val="24"/>
              </w:rPr>
              <w:t>r</w:t>
            </w:r>
            <w:r w:rsidRPr="006F6171">
              <w:rPr>
                <w:szCs w:val="24"/>
              </w:rPr>
              <w:t xml:space="preserve">ehabilitation of </w:t>
            </w:r>
            <w:r w:rsidR="00EC117C" w:rsidRPr="006F6171">
              <w:rPr>
                <w:szCs w:val="24"/>
              </w:rPr>
              <w:t>e</w:t>
            </w:r>
            <w:r w:rsidRPr="006F6171">
              <w:rPr>
                <w:szCs w:val="24"/>
              </w:rPr>
              <w:t xml:space="preserve">xisting </w:t>
            </w:r>
            <w:r w:rsidR="00EC117C" w:rsidRPr="006F6171">
              <w:rPr>
                <w:szCs w:val="24"/>
              </w:rPr>
              <w:t>h</w:t>
            </w:r>
            <w:r w:rsidRPr="006F6171">
              <w:rPr>
                <w:szCs w:val="24"/>
              </w:rPr>
              <w:t>ousing</w:t>
            </w:r>
          </w:p>
        </w:tc>
        <w:tc>
          <w:tcPr>
            <w:tcW w:w="2610" w:type="dxa"/>
          </w:tcPr>
          <w:p w14:paraId="511F1386" w14:textId="1C8CC41E" w:rsidR="00995E15" w:rsidRPr="006F6171" w:rsidRDefault="00995E15" w:rsidP="0048705B">
            <w:pPr>
              <w:tabs>
                <w:tab w:val="left" w:pos="360"/>
                <w:tab w:val="left" w:pos="3510"/>
                <w:tab w:val="left" w:pos="3780"/>
              </w:tabs>
              <w:jc w:val="both"/>
              <w:rPr>
                <w:szCs w:val="24"/>
              </w:rPr>
            </w:pPr>
            <w:r w:rsidRPr="006F6171">
              <w:rPr>
                <w:szCs w:val="24"/>
              </w:rPr>
              <w:t>$</w:t>
            </w:r>
            <w:r w:rsidR="0048705B" w:rsidRPr="006F6171">
              <w:rPr>
                <w:szCs w:val="24"/>
              </w:rPr>
              <w:t>340,000</w:t>
            </w:r>
            <w:r w:rsidRPr="006F6171">
              <w:rPr>
                <w:szCs w:val="24"/>
              </w:rPr>
              <w:t xml:space="preserve"> per unit</w:t>
            </w:r>
          </w:p>
        </w:tc>
      </w:tr>
    </w:tbl>
    <w:p w14:paraId="2C4D7928" w14:textId="5754ADC0" w:rsidR="000F5676" w:rsidRPr="006F6171" w:rsidRDefault="00995E15" w:rsidP="00E555C1">
      <w:pPr>
        <w:tabs>
          <w:tab w:val="left" w:pos="360"/>
          <w:tab w:val="left" w:pos="3510"/>
          <w:tab w:val="left" w:pos="3780"/>
        </w:tabs>
        <w:ind w:left="720"/>
        <w:jc w:val="both"/>
        <w:rPr>
          <w:szCs w:val="24"/>
        </w:rPr>
      </w:pPr>
      <w:r w:rsidRPr="006F6171">
        <w:rPr>
          <w:szCs w:val="24"/>
        </w:rPr>
        <w:t xml:space="preserve"> </w:t>
      </w:r>
      <w:r w:rsidRPr="006F6171">
        <w:rPr>
          <w:szCs w:val="24"/>
        </w:rPr>
        <w:tab/>
      </w:r>
      <w:r w:rsidRPr="006F6171">
        <w:rPr>
          <w:szCs w:val="24"/>
        </w:rPr>
        <w:tab/>
      </w:r>
      <w:r w:rsidR="00DB18E9" w:rsidRPr="006F6171">
        <w:rPr>
          <w:szCs w:val="24"/>
        </w:rPr>
        <w:t xml:space="preserve"> </w:t>
      </w:r>
      <w:r w:rsidRPr="006F6171">
        <w:rPr>
          <w:szCs w:val="24"/>
        </w:rPr>
        <w:t xml:space="preserve"> </w:t>
      </w:r>
      <w:r w:rsidRPr="006F6171">
        <w:rPr>
          <w:szCs w:val="24"/>
        </w:rPr>
        <w:br/>
      </w:r>
      <w:r w:rsidR="00D812EE" w:rsidRPr="006F6171">
        <w:rPr>
          <w:szCs w:val="24"/>
        </w:rPr>
        <w:t>Demolition and reconstruction of all housing on the same site or another site will be tr</w:t>
      </w:r>
      <w:r w:rsidR="00F46FC9" w:rsidRPr="006F6171">
        <w:rPr>
          <w:szCs w:val="24"/>
        </w:rPr>
        <w:t>eated as new construction</w:t>
      </w:r>
      <w:r w:rsidR="00D812EE" w:rsidRPr="006F6171">
        <w:rPr>
          <w:szCs w:val="24"/>
        </w:rPr>
        <w:t>.</w:t>
      </w:r>
      <w:r w:rsidR="00BB3D09" w:rsidRPr="006F6171">
        <w:rPr>
          <w:szCs w:val="24"/>
        </w:rPr>
        <w:t xml:space="preserve"> </w:t>
      </w:r>
      <w:r w:rsidRPr="006F6171">
        <w:rPr>
          <w:szCs w:val="24"/>
        </w:rPr>
        <w:t xml:space="preserve">If a Project </w:t>
      </w:r>
      <w:r w:rsidR="00461C49" w:rsidRPr="006F6171">
        <w:rPr>
          <w:szCs w:val="24"/>
        </w:rPr>
        <w:t>involves more than one project type</w:t>
      </w:r>
      <w:r w:rsidRPr="006F6171">
        <w:rPr>
          <w:szCs w:val="24"/>
        </w:rPr>
        <w:t>, th</w:t>
      </w:r>
      <w:r w:rsidR="00733F1D" w:rsidRPr="006F6171">
        <w:rPr>
          <w:szCs w:val="24"/>
        </w:rPr>
        <w:t xml:space="preserve">e </w:t>
      </w:r>
      <w:r w:rsidR="009D437D" w:rsidRPr="006F6171">
        <w:rPr>
          <w:szCs w:val="24"/>
        </w:rPr>
        <w:t>TDC</w:t>
      </w:r>
      <w:r w:rsidR="00733F1D" w:rsidRPr="006F6171">
        <w:rPr>
          <w:szCs w:val="24"/>
        </w:rPr>
        <w:t xml:space="preserve"> </w:t>
      </w:r>
      <w:r w:rsidR="004B55EE" w:rsidRPr="006F6171">
        <w:rPr>
          <w:szCs w:val="24"/>
        </w:rPr>
        <w:t xml:space="preserve">Index </w:t>
      </w:r>
      <w:r w:rsidR="00733F1D" w:rsidRPr="006F6171">
        <w:rPr>
          <w:szCs w:val="24"/>
        </w:rPr>
        <w:t xml:space="preserve">Cap for </w:t>
      </w:r>
      <w:r w:rsidRPr="006F6171">
        <w:rPr>
          <w:szCs w:val="24"/>
        </w:rPr>
        <w:t>th</w:t>
      </w:r>
      <w:r w:rsidR="004F556D" w:rsidRPr="006F6171">
        <w:rPr>
          <w:szCs w:val="24"/>
        </w:rPr>
        <w:t xml:space="preserve">e Project is the </w:t>
      </w:r>
      <w:r w:rsidR="000F5676" w:rsidRPr="006F6171">
        <w:rPr>
          <w:szCs w:val="24"/>
        </w:rPr>
        <w:t xml:space="preserve">average </w:t>
      </w:r>
      <w:r w:rsidR="009D437D" w:rsidRPr="006F6171">
        <w:rPr>
          <w:szCs w:val="24"/>
        </w:rPr>
        <w:t>of</w:t>
      </w:r>
      <w:r w:rsidR="00834A68" w:rsidRPr="006F6171">
        <w:rPr>
          <w:szCs w:val="24"/>
        </w:rPr>
        <w:t xml:space="preserve"> the</w:t>
      </w:r>
      <w:r w:rsidR="009D437D" w:rsidRPr="006F6171">
        <w:rPr>
          <w:szCs w:val="24"/>
        </w:rPr>
        <w:t xml:space="preserve"> TDC</w:t>
      </w:r>
      <w:r w:rsidRPr="006F6171">
        <w:rPr>
          <w:szCs w:val="24"/>
        </w:rPr>
        <w:t xml:space="preserve"> </w:t>
      </w:r>
      <w:r w:rsidR="000F5676" w:rsidRPr="006F6171">
        <w:rPr>
          <w:szCs w:val="24"/>
        </w:rPr>
        <w:t xml:space="preserve">Index </w:t>
      </w:r>
      <w:r w:rsidR="00834A68" w:rsidRPr="006F6171">
        <w:rPr>
          <w:szCs w:val="24"/>
        </w:rPr>
        <w:t>Cap</w:t>
      </w:r>
      <w:r w:rsidR="000F5676" w:rsidRPr="006F6171">
        <w:rPr>
          <w:szCs w:val="24"/>
        </w:rPr>
        <w:t>s</w:t>
      </w:r>
      <w:r w:rsidR="00834A68" w:rsidRPr="006F6171">
        <w:rPr>
          <w:szCs w:val="24"/>
        </w:rPr>
        <w:t xml:space="preserve"> allocable to each type</w:t>
      </w:r>
      <w:r w:rsidR="000F5676" w:rsidRPr="006F6171">
        <w:rPr>
          <w:szCs w:val="24"/>
        </w:rPr>
        <w:t>, weighted by</w:t>
      </w:r>
      <w:r w:rsidRPr="006F6171">
        <w:rPr>
          <w:szCs w:val="24"/>
        </w:rPr>
        <w:t xml:space="preserve"> th</w:t>
      </w:r>
      <w:r w:rsidR="000467F4" w:rsidRPr="006F6171">
        <w:rPr>
          <w:szCs w:val="24"/>
        </w:rPr>
        <w:t xml:space="preserve">e number of </w:t>
      </w:r>
      <w:r w:rsidR="00834A68" w:rsidRPr="006F6171">
        <w:rPr>
          <w:szCs w:val="24"/>
        </w:rPr>
        <w:t xml:space="preserve">units </w:t>
      </w:r>
      <w:r w:rsidR="000F5676" w:rsidRPr="006F6171">
        <w:rPr>
          <w:szCs w:val="24"/>
        </w:rPr>
        <w:t>of</w:t>
      </w:r>
      <w:r w:rsidR="00834A68" w:rsidRPr="006F6171">
        <w:rPr>
          <w:szCs w:val="24"/>
        </w:rPr>
        <w:t xml:space="preserve"> each type</w:t>
      </w:r>
      <w:r w:rsidRPr="006F6171">
        <w:rPr>
          <w:szCs w:val="24"/>
        </w:rPr>
        <w:t>.</w:t>
      </w:r>
      <w:r w:rsidR="00BB3D09" w:rsidRPr="006F6171">
        <w:rPr>
          <w:szCs w:val="24"/>
        </w:rPr>
        <w:t xml:space="preserve"> </w:t>
      </w:r>
      <w:r w:rsidR="000F5676" w:rsidRPr="006F6171">
        <w:rPr>
          <w:szCs w:val="24"/>
        </w:rPr>
        <w:t xml:space="preserve"> </w:t>
      </w:r>
    </w:p>
    <w:p w14:paraId="332DC9A0" w14:textId="77777777" w:rsidR="00995E15" w:rsidRPr="006F6171" w:rsidRDefault="00995E15" w:rsidP="00E555C1">
      <w:pPr>
        <w:tabs>
          <w:tab w:val="left" w:pos="-720"/>
        </w:tabs>
        <w:suppressAutoHyphens/>
        <w:jc w:val="both"/>
        <w:rPr>
          <w:szCs w:val="24"/>
        </w:rPr>
      </w:pPr>
    </w:p>
    <w:p w14:paraId="7E9CCDA5" w14:textId="77777777" w:rsidR="001110D5" w:rsidRPr="006F6171" w:rsidRDefault="001110D5" w:rsidP="00A8328C">
      <w:pPr>
        <w:numPr>
          <w:ilvl w:val="0"/>
          <w:numId w:val="4"/>
        </w:numPr>
        <w:tabs>
          <w:tab w:val="clear" w:pos="1440"/>
          <w:tab w:val="left" w:pos="-720"/>
        </w:tabs>
        <w:suppressAutoHyphens/>
        <w:ind w:left="720" w:hanging="720"/>
        <w:jc w:val="both"/>
        <w:rPr>
          <w:szCs w:val="24"/>
        </w:rPr>
      </w:pPr>
      <w:r w:rsidRPr="006F6171">
        <w:t>Acquisition and Rehabilitation</w:t>
      </w:r>
      <w:r w:rsidR="000C3080" w:rsidRPr="006F6171">
        <w:t xml:space="preserve"> of Existing Housing</w:t>
      </w:r>
      <w:r w:rsidR="000C3080" w:rsidRPr="006F6171">
        <w:rPr>
          <w:szCs w:val="24"/>
        </w:rPr>
        <w:t>.</w:t>
      </w:r>
      <w:r w:rsidR="00DB18E9" w:rsidRPr="006F6171">
        <w:rPr>
          <w:szCs w:val="24"/>
        </w:rPr>
        <w:t xml:space="preserve"> </w:t>
      </w:r>
      <w:r w:rsidRPr="006F6171">
        <w:rPr>
          <w:szCs w:val="24"/>
        </w:rPr>
        <w:t>Project</w:t>
      </w:r>
      <w:r w:rsidR="000C3080" w:rsidRPr="006F6171">
        <w:rPr>
          <w:szCs w:val="24"/>
        </w:rPr>
        <w:t>s that involve</w:t>
      </w:r>
      <w:r w:rsidRPr="006F6171">
        <w:rPr>
          <w:szCs w:val="24"/>
        </w:rPr>
        <w:t xml:space="preserve"> the acquisition and rehabilitation of existing </w:t>
      </w:r>
      <w:r w:rsidR="00020471" w:rsidRPr="006F6171">
        <w:rPr>
          <w:szCs w:val="24"/>
        </w:rPr>
        <w:t>multifamily</w:t>
      </w:r>
      <w:r w:rsidRPr="006F6171">
        <w:rPr>
          <w:szCs w:val="24"/>
        </w:rPr>
        <w:t xml:space="preserve"> housing</w:t>
      </w:r>
      <w:r w:rsidR="00155C81" w:rsidRPr="006F6171">
        <w:rPr>
          <w:szCs w:val="24"/>
        </w:rPr>
        <w:t xml:space="preserve"> are subject to the following</w:t>
      </w:r>
      <w:r w:rsidR="00240D43" w:rsidRPr="006F6171">
        <w:rPr>
          <w:szCs w:val="24"/>
        </w:rPr>
        <w:t>:</w:t>
      </w:r>
    </w:p>
    <w:p w14:paraId="608A40EE" w14:textId="77777777" w:rsidR="000A269F" w:rsidRPr="006F6171" w:rsidRDefault="000A269F" w:rsidP="00E555C1">
      <w:pPr>
        <w:tabs>
          <w:tab w:val="left" w:pos="-720"/>
        </w:tabs>
        <w:suppressAutoHyphens/>
        <w:ind w:left="720"/>
        <w:jc w:val="both"/>
        <w:rPr>
          <w:szCs w:val="24"/>
        </w:rPr>
      </w:pPr>
    </w:p>
    <w:p w14:paraId="32E9CC65" w14:textId="77777777" w:rsidR="002B4F52" w:rsidRPr="006F6171" w:rsidRDefault="001110D5" w:rsidP="00BE5856">
      <w:pPr>
        <w:pStyle w:val="ListParagraph"/>
        <w:numPr>
          <w:ilvl w:val="0"/>
          <w:numId w:val="44"/>
        </w:numPr>
        <w:tabs>
          <w:tab w:val="left" w:pos="-720"/>
          <w:tab w:val="left" w:pos="1350"/>
        </w:tabs>
        <w:suppressAutoHyphens/>
        <w:ind w:left="1080"/>
        <w:jc w:val="both"/>
        <w:rPr>
          <w:szCs w:val="24"/>
        </w:rPr>
      </w:pPr>
      <w:r w:rsidRPr="006F6171">
        <w:t>Capital Needs Assessment</w:t>
      </w:r>
      <w:r w:rsidRPr="006F6171">
        <w:rPr>
          <w:szCs w:val="24"/>
        </w:rPr>
        <w:t>.</w:t>
      </w:r>
      <w:r w:rsidR="00BB3D09" w:rsidRPr="006F6171">
        <w:rPr>
          <w:szCs w:val="24"/>
        </w:rPr>
        <w:t xml:space="preserve"> </w:t>
      </w:r>
      <w:r w:rsidRPr="006F6171">
        <w:rPr>
          <w:szCs w:val="24"/>
        </w:rPr>
        <w:t xml:space="preserve">The </w:t>
      </w:r>
      <w:r w:rsidR="00A5300B" w:rsidRPr="006F6171">
        <w:rPr>
          <w:szCs w:val="24"/>
        </w:rPr>
        <w:t xml:space="preserve">Application must include </w:t>
      </w:r>
      <w:r w:rsidRPr="006F6171">
        <w:rPr>
          <w:szCs w:val="24"/>
        </w:rPr>
        <w:t>a capital needs assessment</w:t>
      </w:r>
      <w:r w:rsidR="00A5300B" w:rsidRPr="006F6171">
        <w:rPr>
          <w:szCs w:val="24"/>
        </w:rPr>
        <w:t xml:space="preserve"> </w:t>
      </w:r>
      <w:r w:rsidR="007819AB" w:rsidRPr="006F6171">
        <w:rPr>
          <w:szCs w:val="24"/>
        </w:rPr>
        <w:t>satisfy</w:t>
      </w:r>
      <w:r w:rsidR="00F56DA7" w:rsidRPr="006F6171">
        <w:rPr>
          <w:szCs w:val="24"/>
        </w:rPr>
        <w:t>ing</w:t>
      </w:r>
      <w:r w:rsidR="007819AB" w:rsidRPr="006F6171">
        <w:rPr>
          <w:szCs w:val="24"/>
        </w:rPr>
        <w:t xml:space="preserve"> the requirements</w:t>
      </w:r>
      <w:r w:rsidR="004C0EC3" w:rsidRPr="006F6171">
        <w:rPr>
          <w:szCs w:val="24"/>
        </w:rPr>
        <w:t xml:space="preserve"> set forth in </w:t>
      </w:r>
      <w:r w:rsidR="004C0EC3" w:rsidRPr="006F6171">
        <w:rPr>
          <w:b/>
          <w:szCs w:val="24"/>
        </w:rPr>
        <w:t>Appendix C</w:t>
      </w:r>
      <w:r w:rsidRPr="006F6171">
        <w:rPr>
          <w:szCs w:val="24"/>
        </w:rPr>
        <w:t xml:space="preserve">. </w:t>
      </w:r>
    </w:p>
    <w:p w14:paraId="4E5301AD" w14:textId="77777777" w:rsidR="00CE477A" w:rsidRPr="006F6171" w:rsidRDefault="00CE477A" w:rsidP="00E555C1">
      <w:pPr>
        <w:pStyle w:val="BodyTextIndent2"/>
        <w:tabs>
          <w:tab w:val="left" w:pos="-720"/>
        </w:tabs>
        <w:suppressAutoHyphens/>
        <w:spacing w:after="0" w:line="240" w:lineRule="auto"/>
        <w:ind w:left="1080" w:hanging="360"/>
        <w:jc w:val="both"/>
        <w:rPr>
          <w:szCs w:val="24"/>
        </w:rPr>
      </w:pPr>
    </w:p>
    <w:p w14:paraId="61743285" w14:textId="50391D35" w:rsidR="002B4F52" w:rsidRPr="006F6171" w:rsidRDefault="00B324A8" w:rsidP="00BE5856">
      <w:pPr>
        <w:pStyle w:val="ListParagraph"/>
        <w:numPr>
          <w:ilvl w:val="0"/>
          <w:numId w:val="44"/>
        </w:numPr>
        <w:tabs>
          <w:tab w:val="left" w:pos="-720"/>
          <w:tab w:val="left" w:pos="1350"/>
        </w:tabs>
        <w:suppressAutoHyphens/>
        <w:ind w:left="1080"/>
        <w:jc w:val="both"/>
        <w:rPr>
          <w:szCs w:val="24"/>
        </w:rPr>
      </w:pPr>
      <w:r w:rsidRPr="006F6171">
        <w:t xml:space="preserve">Minimum </w:t>
      </w:r>
      <w:r w:rsidR="00155C81" w:rsidRPr="006F6171">
        <w:t>Rehabilitation</w:t>
      </w:r>
      <w:r w:rsidRPr="006F6171">
        <w:t xml:space="preserve"> Requirement</w:t>
      </w:r>
      <w:r w:rsidR="009E72AB" w:rsidRPr="006F6171">
        <w:t>s</w:t>
      </w:r>
      <w:r w:rsidR="00155C81" w:rsidRPr="006F6171">
        <w:rPr>
          <w:szCs w:val="24"/>
        </w:rPr>
        <w:t>.</w:t>
      </w:r>
      <w:r w:rsidR="00BB3D09" w:rsidRPr="006F6171">
        <w:rPr>
          <w:szCs w:val="24"/>
        </w:rPr>
        <w:t xml:space="preserve"> </w:t>
      </w:r>
      <w:r w:rsidR="00887CBE" w:rsidRPr="006F6171">
        <w:rPr>
          <w:szCs w:val="24"/>
        </w:rPr>
        <w:t xml:space="preserve">The </w:t>
      </w:r>
      <w:r w:rsidR="00631E76" w:rsidRPr="006F6171">
        <w:rPr>
          <w:szCs w:val="24"/>
        </w:rPr>
        <w:t xml:space="preserve">Rehabilitation Costs per unit of existing housing </w:t>
      </w:r>
      <w:r w:rsidR="00155C81" w:rsidRPr="006F6171">
        <w:rPr>
          <w:szCs w:val="24"/>
        </w:rPr>
        <w:t>mu</w:t>
      </w:r>
      <w:r w:rsidR="00631E76" w:rsidRPr="006F6171">
        <w:rPr>
          <w:szCs w:val="24"/>
        </w:rPr>
        <w:t>st be</w:t>
      </w:r>
      <w:r w:rsidR="00CE068B" w:rsidRPr="006F6171">
        <w:rPr>
          <w:szCs w:val="24"/>
        </w:rPr>
        <w:t xml:space="preserve"> at least </w:t>
      </w:r>
      <w:r w:rsidR="006342BF" w:rsidRPr="006F6171">
        <w:rPr>
          <w:szCs w:val="24"/>
        </w:rPr>
        <w:t>$</w:t>
      </w:r>
      <w:r w:rsidR="00BF615D" w:rsidRPr="006F6171">
        <w:rPr>
          <w:szCs w:val="24"/>
        </w:rPr>
        <w:t>75</w:t>
      </w:r>
      <w:r w:rsidR="00CE068B" w:rsidRPr="006F6171">
        <w:rPr>
          <w:szCs w:val="24"/>
        </w:rPr>
        <w:t>,000</w:t>
      </w:r>
      <w:r w:rsidR="002957E3" w:rsidRPr="006F6171">
        <w:rPr>
          <w:szCs w:val="24"/>
        </w:rPr>
        <w:t>.</w:t>
      </w:r>
      <w:r w:rsidR="00BB3D09" w:rsidRPr="006F6171">
        <w:rPr>
          <w:szCs w:val="24"/>
        </w:rPr>
        <w:t xml:space="preserve"> </w:t>
      </w:r>
    </w:p>
    <w:p w14:paraId="41C30F01" w14:textId="77777777" w:rsidR="001110D5" w:rsidRPr="006F6171" w:rsidRDefault="001110D5" w:rsidP="00B34323">
      <w:pPr>
        <w:pStyle w:val="NoSpacing"/>
      </w:pPr>
    </w:p>
    <w:p w14:paraId="73236869" w14:textId="77777777" w:rsidR="002B4F52" w:rsidRPr="006F6171" w:rsidRDefault="001110D5" w:rsidP="00BE5856">
      <w:pPr>
        <w:pStyle w:val="ListParagraph"/>
        <w:numPr>
          <w:ilvl w:val="0"/>
          <w:numId w:val="44"/>
        </w:numPr>
        <w:tabs>
          <w:tab w:val="left" w:pos="-720"/>
          <w:tab w:val="left" w:pos="1350"/>
        </w:tabs>
        <w:suppressAutoHyphens/>
        <w:ind w:left="1080"/>
        <w:jc w:val="both"/>
        <w:rPr>
          <w:szCs w:val="24"/>
          <w:u w:val="single"/>
        </w:rPr>
      </w:pPr>
      <w:r w:rsidRPr="006F6171">
        <w:t>Relocation/Displacement</w:t>
      </w:r>
      <w:r w:rsidRPr="006F6171">
        <w:rPr>
          <w:szCs w:val="24"/>
        </w:rPr>
        <w:t>.</w:t>
      </w:r>
      <w:r w:rsidR="00BB3D09" w:rsidRPr="006F6171">
        <w:rPr>
          <w:szCs w:val="24"/>
        </w:rPr>
        <w:t xml:space="preserve"> </w:t>
      </w:r>
      <w:r w:rsidRPr="006F6171">
        <w:rPr>
          <w:szCs w:val="24"/>
        </w:rPr>
        <w:t xml:space="preserve">The Project must comply with MaineHousing’s </w:t>
      </w:r>
      <w:r w:rsidRPr="006F6171">
        <w:rPr>
          <w:i/>
          <w:szCs w:val="24"/>
        </w:rPr>
        <w:t>Temporary Relocation and Permanent Displacement Polic</w:t>
      </w:r>
      <w:r w:rsidR="00A50A2A" w:rsidRPr="006F6171">
        <w:rPr>
          <w:i/>
          <w:szCs w:val="24"/>
        </w:rPr>
        <w:t>ies</w:t>
      </w:r>
      <w:r w:rsidR="00B35951" w:rsidRPr="006F6171">
        <w:rPr>
          <w:szCs w:val="24"/>
        </w:rPr>
        <w:t xml:space="preserve"> </w:t>
      </w:r>
      <w:r w:rsidRPr="006F6171">
        <w:rPr>
          <w:szCs w:val="24"/>
        </w:rPr>
        <w:t>and, if the Project is federally-assisted, all</w:t>
      </w:r>
      <w:r w:rsidR="004702A8" w:rsidRPr="006F6171">
        <w:rPr>
          <w:szCs w:val="24"/>
        </w:rPr>
        <w:t xml:space="preserve"> applicable</w:t>
      </w:r>
      <w:r w:rsidRPr="006F6171">
        <w:rPr>
          <w:szCs w:val="24"/>
        </w:rPr>
        <w:t xml:space="preserve"> f</w:t>
      </w:r>
      <w:r w:rsidR="00D72004" w:rsidRPr="006F6171">
        <w:rPr>
          <w:szCs w:val="24"/>
        </w:rPr>
        <w:t>ederal requirements</w:t>
      </w:r>
      <w:r w:rsidR="00B35951" w:rsidRPr="006F6171">
        <w:rPr>
          <w:szCs w:val="24"/>
        </w:rPr>
        <w:t xml:space="preserve">, </w:t>
      </w:r>
      <w:r w:rsidR="0085090A" w:rsidRPr="006F6171">
        <w:rPr>
          <w:szCs w:val="24"/>
        </w:rPr>
        <w:t xml:space="preserve">including </w:t>
      </w:r>
      <w:r w:rsidRPr="006F6171">
        <w:rPr>
          <w:szCs w:val="24"/>
        </w:rPr>
        <w:t>the Uniform Relocation Assistance and Real Property Acquisition Policies Act of 1970, as amended</w:t>
      </w:r>
      <w:r w:rsidR="005C64EC" w:rsidRPr="006F6171">
        <w:rPr>
          <w:szCs w:val="24"/>
        </w:rPr>
        <w:t>.</w:t>
      </w:r>
      <w:r w:rsidR="00BB3D09" w:rsidRPr="006F6171">
        <w:rPr>
          <w:szCs w:val="24"/>
        </w:rPr>
        <w:t xml:space="preserve"> </w:t>
      </w:r>
      <w:r w:rsidR="005C64EC" w:rsidRPr="006F6171">
        <w:rPr>
          <w:szCs w:val="24"/>
        </w:rPr>
        <w:t xml:space="preserve">The Applicant must take </w:t>
      </w:r>
      <w:r w:rsidRPr="006F6171">
        <w:rPr>
          <w:szCs w:val="24"/>
        </w:rPr>
        <w:t>reasonable steps to minimize the displa</w:t>
      </w:r>
      <w:r w:rsidR="00BC0DDE" w:rsidRPr="006F6171">
        <w:rPr>
          <w:szCs w:val="24"/>
        </w:rPr>
        <w:t>cement of existing tenants of the Project</w:t>
      </w:r>
      <w:r w:rsidRPr="006F6171">
        <w:rPr>
          <w:szCs w:val="24"/>
        </w:rPr>
        <w:t>.</w:t>
      </w:r>
      <w:r w:rsidR="00BB3D09" w:rsidRPr="006F6171">
        <w:rPr>
          <w:szCs w:val="24"/>
        </w:rPr>
        <w:t xml:space="preserve"> </w:t>
      </w:r>
      <w:r w:rsidRPr="006F6171">
        <w:rPr>
          <w:szCs w:val="24"/>
        </w:rPr>
        <w:t>The Application must identify any tenants who will be permanentl</w:t>
      </w:r>
      <w:r w:rsidR="005C64EC" w:rsidRPr="006F6171">
        <w:rPr>
          <w:szCs w:val="24"/>
        </w:rPr>
        <w:t>y displaced</w:t>
      </w:r>
      <w:r w:rsidRPr="006F6171">
        <w:rPr>
          <w:szCs w:val="24"/>
        </w:rPr>
        <w:t xml:space="preserve"> and the reason for the</w:t>
      </w:r>
      <w:r w:rsidR="00A620BF" w:rsidRPr="006F6171">
        <w:rPr>
          <w:szCs w:val="24"/>
        </w:rPr>
        <w:t xml:space="preserve"> displacement</w:t>
      </w:r>
      <w:r w:rsidR="0085090A" w:rsidRPr="006F6171">
        <w:rPr>
          <w:szCs w:val="24"/>
        </w:rPr>
        <w:t>.</w:t>
      </w:r>
      <w:r w:rsidR="00A620BF" w:rsidRPr="006F6171">
        <w:rPr>
          <w:szCs w:val="24"/>
        </w:rPr>
        <w:t xml:space="preserve"> </w:t>
      </w:r>
      <w:r w:rsidR="0085090A" w:rsidRPr="006F6171">
        <w:rPr>
          <w:szCs w:val="24"/>
        </w:rPr>
        <w:t xml:space="preserve">The Project’s TDC must include </w:t>
      </w:r>
      <w:r w:rsidR="00A620BF" w:rsidRPr="006F6171">
        <w:rPr>
          <w:szCs w:val="24"/>
        </w:rPr>
        <w:t xml:space="preserve">all </w:t>
      </w:r>
      <w:r w:rsidRPr="006F6171">
        <w:rPr>
          <w:szCs w:val="24"/>
        </w:rPr>
        <w:t>costs associated with permanent and temporary displacement or relocation.</w:t>
      </w:r>
      <w:r w:rsidR="00BB3D09" w:rsidRPr="006F6171">
        <w:rPr>
          <w:szCs w:val="24"/>
        </w:rPr>
        <w:t xml:space="preserve"> </w:t>
      </w:r>
      <w:r w:rsidR="0085090A" w:rsidRPr="006F6171">
        <w:rPr>
          <w:szCs w:val="24"/>
        </w:rPr>
        <w:t xml:space="preserve">MaineHousing will not allocate Credit until </w:t>
      </w:r>
      <w:r w:rsidR="004F76FA" w:rsidRPr="006F6171">
        <w:rPr>
          <w:szCs w:val="24"/>
        </w:rPr>
        <w:t>it has</w:t>
      </w:r>
      <w:r w:rsidR="0085090A" w:rsidRPr="006F6171">
        <w:rPr>
          <w:szCs w:val="24"/>
        </w:rPr>
        <w:t xml:space="preserve"> approv</w:t>
      </w:r>
      <w:r w:rsidR="004F76FA" w:rsidRPr="006F6171">
        <w:rPr>
          <w:szCs w:val="24"/>
        </w:rPr>
        <w:t>ed</w:t>
      </w:r>
      <w:r w:rsidR="0085090A" w:rsidRPr="006F6171">
        <w:rPr>
          <w:szCs w:val="24"/>
        </w:rPr>
        <w:t xml:space="preserve"> a</w:t>
      </w:r>
      <w:r w:rsidR="00BF10C5" w:rsidRPr="006F6171">
        <w:rPr>
          <w:szCs w:val="24"/>
        </w:rPr>
        <w:t xml:space="preserve"> </w:t>
      </w:r>
      <w:r w:rsidR="0085090A" w:rsidRPr="006F6171">
        <w:rPr>
          <w:szCs w:val="24"/>
        </w:rPr>
        <w:t xml:space="preserve">project’s </w:t>
      </w:r>
      <w:r w:rsidR="00BF10C5" w:rsidRPr="006F6171">
        <w:rPr>
          <w:szCs w:val="24"/>
        </w:rPr>
        <w:t>relocation plan</w:t>
      </w:r>
      <w:r w:rsidR="001847F1" w:rsidRPr="006F6171">
        <w:rPr>
          <w:szCs w:val="24"/>
        </w:rPr>
        <w:t>.</w:t>
      </w:r>
    </w:p>
    <w:p w14:paraId="30697630" w14:textId="77777777" w:rsidR="000A269F" w:rsidRPr="006F6171" w:rsidRDefault="000A269F" w:rsidP="00E555C1">
      <w:pPr>
        <w:pStyle w:val="ListParagraph"/>
        <w:rPr>
          <w:szCs w:val="24"/>
          <w:u w:val="single"/>
        </w:rPr>
      </w:pPr>
    </w:p>
    <w:p w14:paraId="58E7D498" w14:textId="77777777" w:rsidR="002B4F52" w:rsidRPr="006F6171" w:rsidRDefault="00995E15" w:rsidP="00A8328C">
      <w:pPr>
        <w:numPr>
          <w:ilvl w:val="0"/>
          <w:numId w:val="4"/>
        </w:numPr>
        <w:tabs>
          <w:tab w:val="clear" w:pos="1440"/>
          <w:tab w:val="left" w:pos="-720"/>
        </w:tabs>
        <w:suppressAutoHyphens/>
        <w:ind w:left="720" w:hanging="720"/>
        <w:jc w:val="both"/>
        <w:rPr>
          <w:szCs w:val="24"/>
        </w:rPr>
      </w:pPr>
      <w:r w:rsidRPr="006F6171">
        <w:t xml:space="preserve">Development </w:t>
      </w:r>
      <w:r w:rsidR="00D47558" w:rsidRPr="006F6171">
        <w:t xml:space="preserve">and Management </w:t>
      </w:r>
      <w:r w:rsidR="004A30BB" w:rsidRPr="006F6171">
        <w:t xml:space="preserve">Experience and </w:t>
      </w:r>
      <w:r w:rsidRPr="006F6171">
        <w:t>Capacity</w:t>
      </w:r>
      <w:r w:rsidRPr="006F6171">
        <w:rPr>
          <w:szCs w:val="24"/>
        </w:rPr>
        <w:t>.</w:t>
      </w:r>
      <w:r w:rsidR="00DB18E9" w:rsidRPr="006F6171">
        <w:rPr>
          <w:szCs w:val="24"/>
        </w:rPr>
        <w:t xml:space="preserve"> </w:t>
      </w:r>
      <w:r w:rsidR="00240D43" w:rsidRPr="006F6171">
        <w:rPr>
          <w:szCs w:val="24"/>
        </w:rPr>
        <w:t>A</w:t>
      </w:r>
      <w:r w:rsidRPr="006F6171">
        <w:rPr>
          <w:szCs w:val="24"/>
        </w:rPr>
        <w:t xml:space="preserve">pplicant </w:t>
      </w:r>
      <w:r w:rsidR="00D01AA4" w:rsidRPr="006F6171">
        <w:rPr>
          <w:szCs w:val="24"/>
        </w:rPr>
        <w:t xml:space="preserve">teams </w:t>
      </w:r>
      <w:r w:rsidRPr="006F6171">
        <w:rPr>
          <w:szCs w:val="24"/>
        </w:rPr>
        <w:t xml:space="preserve">must </w:t>
      </w:r>
      <w:r w:rsidR="00721E12" w:rsidRPr="006F6171">
        <w:rPr>
          <w:szCs w:val="24"/>
        </w:rPr>
        <w:t xml:space="preserve">have sufficient </w:t>
      </w:r>
      <w:r w:rsidR="00E77064" w:rsidRPr="006F6171">
        <w:rPr>
          <w:szCs w:val="24"/>
        </w:rPr>
        <w:t xml:space="preserve">knowledge, </w:t>
      </w:r>
      <w:r w:rsidR="00721E12" w:rsidRPr="006F6171">
        <w:rPr>
          <w:szCs w:val="24"/>
        </w:rPr>
        <w:t xml:space="preserve">experience and capacity </w:t>
      </w:r>
      <w:r w:rsidRPr="006F6171">
        <w:rPr>
          <w:szCs w:val="24"/>
        </w:rPr>
        <w:t xml:space="preserve">to </w:t>
      </w:r>
      <w:r w:rsidR="00D01AA4" w:rsidRPr="006F6171">
        <w:rPr>
          <w:szCs w:val="24"/>
        </w:rPr>
        <w:t xml:space="preserve">adequately design, </w:t>
      </w:r>
      <w:r w:rsidRPr="006F6171">
        <w:rPr>
          <w:szCs w:val="24"/>
        </w:rPr>
        <w:t>develop, complete, maintain</w:t>
      </w:r>
      <w:r w:rsidR="00D01AA4" w:rsidRPr="006F6171">
        <w:rPr>
          <w:szCs w:val="24"/>
        </w:rPr>
        <w:t>, manage,</w:t>
      </w:r>
      <w:r w:rsidRPr="006F6171">
        <w:rPr>
          <w:szCs w:val="24"/>
        </w:rPr>
        <w:t xml:space="preserve"> and operate</w:t>
      </w:r>
      <w:r w:rsidR="00D01AA4" w:rsidRPr="006F6171">
        <w:rPr>
          <w:szCs w:val="24"/>
        </w:rPr>
        <w:t xml:space="preserve"> </w:t>
      </w:r>
      <w:r w:rsidR="009A2C3D" w:rsidRPr="006F6171">
        <w:rPr>
          <w:szCs w:val="24"/>
        </w:rPr>
        <w:t>LIHTC Projects</w:t>
      </w:r>
      <w:r w:rsidR="0098556B" w:rsidRPr="006F6171">
        <w:rPr>
          <w:szCs w:val="24"/>
        </w:rPr>
        <w:t xml:space="preserve"> and</w:t>
      </w:r>
      <w:r w:rsidR="009A2C3D" w:rsidRPr="006F6171">
        <w:rPr>
          <w:szCs w:val="24"/>
        </w:rPr>
        <w:t xml:space="preserve"> </w:t>
      </w:r>
      <w:r w:rsidR="00BD2526" w:rsidRPr="006F6171">
        <w:rPr>
          <w:szCs w:val="24"/>
        </w:rPr>
        <w:t xml:space="preserve">to </w:t>
      </w:r>
      <w:r w:rsidR="009A2C3D" w:rsidRPr="006F6171">
        <w:rPr>
          <w:szCs w:val="24"/>
        </w:rPr>
        <w:t>provid</w:t>
      </w:r>
      <w:r w:rsidR="00D01AA4" w:rsidRPr="006F6171">
        <w:rPr>
          <w:szCs w:val="24"/>
        </w:rPr>
        <w:t>e</w:t>
      </w:r>
      <w:r w:rsidR="0098556B" w:rsidRPr="006F6171">
        <w:rPr>
          <w:szCs w:val="24"/>
        </w:rPr>
        <w:t xml:space="preserve"> related services, such as accounting</w:t>
      </w:r>
      <w:r w:rsidR="00C90451" w:rsidRPr="006F6171">
        <w:rPr>
          <w:szCs w:val="24"/>
        </w:rPr>
        <w:t xml:space="preserve">, </w:t>
      </w:r>
      <w:r w:rsidR="0098556B" w:rsidRPr="006F6171">
        <w:rPr>
          <w:szCs w:val="24"/>
        </w:rPr>
        <w:t>tax</w:t>
      </w:r>
      <w:r w:rsidR="00C90451" w:rsidRPr="006F6171">
        <w:rPr>
          <w:szCs w:val="24"/>
        </w:rPr>
        <w:t xml:space="preserve"> and legal advice, and resident service </w:t>
      </w:r>
      <w:r w:rsidR="00BC0DDE" w:rsidRPr="006F6171">
        <w:rPr>
          <w:szCs w:val="24"/>
        </w:rPr>
        <w:t>coordination</w:t>
      </w:r>
      <w:r w:rsidR="00D01AA4" w:rsidRPr="006F6171">
        <w:rPr>
          <w:szCs w:val="24"/>
        </w:rPr>
        <w:t>.</w:t>
      </w:r>
      <w:r w:rsidR="00BB4BBC" w:rsidRPr="006F6171">
        <w:rPr>
          <w:szCs w:val="24"/>
        </w:rPr>
        <w:t xml:space="preserve"> </w:t>
      </w:r>
      <w:r w:rsidR="002B0106" w:rsidRPr="006F6171">
        <w:rPr>
          <w:szCs w:val="24"/>
        </w:rPr>
        <w:t xml:space="preserve">If the Project will involve multiple subsidy sources in addition to LIHTC which results in overlapping targeting and rental restrictions, the Applicant team must have sufficient knowledge, experience and capacity to handle the increased complexity. </w:t>
      </w:r>
      <w:r w:rsidR="00530A62" w:rsidRPr="006F6171">
        <w:rPr>
          <w:szCs w:val="24"/>
        </w:rPr>
        <w:t>If</w:t>
      </w:r>
      <w:r w:rsidR="004A30BB" w:rsidRPr="006F6171">
        <w:rPr>
          <w:szCs w:val="24"/>
        </w:rPr>
        <w:t xml:space="preserve"> MaineHousing determines </w:t>
      </w:r>
      <w:r w:rsidR="00530A62" w:rsidRPr="006F6171">
        <w:rPr>
          <w:szCs w:val="24"/>
        </w:rPr>
        <w:t>the Applicant</w:t>
      </w:r>
      <w:r w:rsidR="00E77064" w:rsidRPr="006F6171">
        <w:rPr>
          <w:szCs w:val="24"/>
        </w:rPr>
        <w:t>’s</w:t>
      </w:r>
      <w:r w:rsidR="00530A62" w:rsidRPr="006F6171">
        <w:rPr>
          <w:szCs w:val="24"/>
        </w:rPr>
        <w:t xml:space="preserve"> </w:t>
      </w:r>
      <w:r w:rsidR="00BB4BBC" w:rsidRPr="006F6171">
        <w:rPr>
          <w:szCs w:val="24"/>
        </w:rPr>
        <w:t>team</w:t>
      </w:r>
      <w:r w:rsidR="004A30BB" w:rsidRPr="006F6171">
        <w:rPr>
          <w:szCs w:val="24"/>
        </w:rPr>
        <w:t xml:space="preserve"> lacks</w:t>
      </w:r>
      <w:r w:rsidRPr="006F6171">
        <w:rPr>
          <w:szCs w:val="24"/>
        </w:rPr>
        <w:t xml:space="preserve"> sufficient </w:t>
      </w:r>
      <w:r w:rsidR="00D01AA4" w:rsidRPr="006F6171">
        <w:rPr>
          <w:szCs w:val="24"/>
        </w:rPr>
        <w:t>qualifications</w:t>
      </w:r>
      <w:r w:rsidRPr="006F6171">
        <w:rPr>
          <w:szCs w:val="24"/>
        </w:rPr>
        <w:t xml:space="preserve">, </w:t>
      </w:r>
      <w:r w:rsidR="009A2C3D" w:rsidRPr="006F6171">
        <w:rPr>
          <w:szCs w:val="24"/>
        </w:rPr>
        <w:t xml:space="preserve">the </w:t>
      </w:r>
      <w:r w:rsidR="006D29C0" w:rsidRPr="006F6171">
        <w:rPr>
          <w:szCs w:val="24"/>
        </w:rPr>
        <w:t>team</w:t>
      </w:r>
      <w:r w:rsidR="009A2C3D" w:rsidRPr="006F6171">
        <w:rPr>
          <w:szCs w:val="24"/>
        </w:rPr>
        <w:t xml:space="preserve"> </w:t>
      </w:r>
      <w:r w:rsidR="00D01AA4" w:rsidRPr="006F6171">
        <w:rPr>
          <w:szCs w:val="24"/>
        </w:rPr>
        <w:t xml:space="preserve">may be required </w:t>
      </w:r>
      <w:r w:rsidR="009A2C3D" w:rsidRPr="006F6171">
        <w:rPr>
          <w:szCs w:val="24"/>
        </w:rPr>
        <w:t>to</w:t>
      </w:r>
    </w:p>
    <w:p w14:paraId="6632F6CB" w14:textId="77777777" w:rsidR="002B4F52" w:rsidRPr="006F6171" w:rsidRDefault="002B4F52" w:rsidP="00A8328C">
      <w:pPr>
        <w:pStyle w:val="ListParagraph"/>
        <w:numPr>
          <w:ilvl w:val="0"/>
          <w:numId w:val="14"/>
        </w:numPr>
        <w:tabs>
          <w:tab w:val="left" w:pos="-720"/>
        </w:tabs>
        <w:suppressAutoHyphens/>
        <w:ind w:left="1080"/>
        <w:jc w:val="both"/>
        <w:rPr>
          <w:szCs w:val="24"/>
        </w:rPr>
      </w:pPr>
      <w:r w:rsidRPr="006F6171">
        <w:rPr>
          <w:szCs w:val="24"/>
        </w:rPr>
        <w:lastRenderedPageBreak/>
        <w:t>hire a qualified consultant</w:t>
      </w:r>
      <w:r w:rsidR="006D0723" w:rsidRPr="006F6171">
        <w:rPr>
          <w:szCs w:val="24"/>
        </w:rPr>
        <w:t>,</w:t>
      </w:r>
    </w:p>
    <w:p w14:paraId="4C32CA06" w14:textId="77777777" w:rsidR="002B4F52" w:rsidRPr="006F6171" w:rsidRDefault="002B4F52" w:rsidP="00E555C1">
      <w:pPr>
        <w:pStyle w:val="ListParagraph"/>
        <w:tabs>
          <w:tab w:val="left" w:pos="-720"/>
        </w:tabs>
        <w:suppressAutoHyphens/>
        <w:ind w:left="1080" w:hanging="360"/>
        <w:jc w:val="both"/>
        <w:rPr>
          <w:szCs w:val="24"/>
        </w:rPr>
      </w:pPr>
    </w:p>
    <w:p w14:paraId="537D20D2" w14:textId="77777777" w:rsidR="002B4F52" w:rsidRPr="006F6171" w:rsidRDefault="002B4F52" w:rsidP="00A8328C">
      <w:pPr>
        <w:pStyle w:val="ListParagraph"/>
        <w:numPr>
          <w:ilvl w:val="0"/>
          <w:numId w:val="14"/>
        </w:numPr>
        <w:tabs>
          <w:tab w:val="left" w:pos="-720"/>
        </w:tabs>
        <w:suppressAutoHyphens/>
        <w:ind w:left="1080"/>
        <w:jc w:val="both"/>
        <w:rPr>
          <w:szCs w:val="24"/>
        </w:rPr>
      </w:pPr>
      <w:r w:rsidRPr="006F6171">
        <w:rPr>
          <w:szCs w:val="24"/>
        </w:rPr>
        <w:t>hire additional qualified staff</w:t>
      </w:r>
      <w:r w:rsidR="00B718F3" w:rsidRPr="006F6171">
        <w:rPr>
          <w:szCs w:val="24"/>
        </w:rPr>
        <w:t>,</w:t>
      </w:r>
      <w:r w:rsidRPr="006F6171">
        <w:rPr>
          <w:szCs w:val="24"/>
        </w:rPr>
        <w:t xml:space="preserve"> or</w:t>
      </w:r>
    </w:p>
    <w:p w14:paraId="0260ED90" w14:textId="77777777" w:rsidR="002B4F52" w:rsidRPr="006F6171" w:rsidRDefault="002B4F52" w:rsidP="00E555C1">
      <w:pPr>
        <w:pStyle w:val="ListParagraph"/>
        <w:ind w:left="1080" w:hanging="360"/>
        <w:rPr>
          <w:szCs w:val="24"/>
        </w:rPr>
      </w:pPr>
    </w:p>
    <w:p w14:paraId="5B86558C" w14:textId="77777777" w:rsidR="00C4077A" w:rsidRPr="006F6171" w:rsidRDefault="002B4F52" w:rsidP="00A8328C">
      <w:pPr>
        <w:pStyle w:val="ListParagraph"/>
        <w:numPr>
          <w:ilvl w:val="0"/>
          <w:numId w:val="14"/>
        </w:numPr>
        <w:tabs>
          <w:tab w:val="left" w:pos="-720"/>
        </w:tabs>
        <w:suppressAutoHyphens/>
        <w:ind w:left="1080"/>
        <w:jc w:val="both"/>
        <w:rPr>
          <w:szCs w:val="24"/>
        </w:rPr>
      </w:pPr>
      <w:r w:rsidRPr="006F6171">
        <w:rPr>
          <w:szCs w:val="24"/>
        </w:rPr>
        <w:t>replace a team member.</w:t>
      </w:r>
      <w:r w:rsidR="00C4077A" w:rsidRPr="006F6171">
        <w:rPr>
          <w:szCs w:val="24"/>
        </w:rPr>
        <w:t xml:space="preserve"> </w:t>
      </w:r>
    </w:p>
    <w:p w14:paraId="4B8CCA75" w14:textId="77777777" w:rsidR="00BB5EE8" w:rsidRPr="006F6171" w:rsidRDefault="00BB5EE8" w:rsidP="00E555C1">
      <w:pPr>
        <w:pStyle w:val="ListParagraph"/>
        <w:tabs>
          <w:tab w:val="left" w:pos="-720"/>
        </w:tabs>
        <w:suppressAutoHyphens/>
        <w:ind w:left="1440"/>
        <w:jc w:val="both"/>
        <w:rPr>
          <w:szCs w:val="24"/>
        </w:rPr>
      </w:pPr>
    </w:p>
    <w:p w14:paraId="733FB8E0" w14:textId="77777777" w:rsidR="000A269F" w:rsidRPr="006F6171" w:rsidRDefault="000A269F" w:rsidP="00A8328C">
      <w:pPr>
        <w:numPr>
          <w:ilvl w:val="0"/>
          <w:numId w:val="4"/>
        </w:numPr>
        <w:tabs>
          <w:tab w:val="clear" w:pos="1440"/>
          <w:tab w:val="left" w:pos="-720"/>
        </w:tabs>
        <w:suppressAutoHyphens/>
        <w:ind w:left="720" w:hanging="720"/>
        <w:jc w:val="both"/>
        <w:rPr>
          <w:szCs w:val="24"/>
        </w:rPr>
      </w:pPr>
      <w:r w:rsidRPr="006F6171">
        <w:t>Site Control</w:t>
      </w:r>
      <w:r w:rsidRPr="006F6171">
        <w:rPr>
          <w:szCs w:val="24"/>
        </w:rPr>
        <w:t>. The Applicant must have site control of the Project throughout the Application process in the form of an option, a purchase and sale contract, ownership, or long-term lease. The Applicant, its agents, and MaineHousing must have access to the Project site, and if the Project is an existing occupied property, access to records and other information about the existing tenants, including current rent and income information.</w:t>
      </w:r>
    </w:p>
    <w:p w14:paraId="6EA4696D" w14:textId="77777777" w:rsidR="000A269F" w:rsidRPr="006F6171" w:rsidRDefault="000A269F" w:rsidP="00E555C1">
      <w:pPr>
        <w:tabs>
          <w:tab w:val="left" w:pos="-720"/>
        </w:tabs>
        <w:suppressAutoHyphens/>
        <w:ind w:left="720" w:hanging="720"/>
        <w:jc w:val="both"/>
        <w:rPr>
          <w:szCs w:val="24"/>
        </w:rPr>
      </w:pPr>
    </w:p>
    <w:p w14:paraId="346D64C6" w14:textId="3A22512C" w:rsidR="00A67B99" w:rsidRPr="006F6171" w:rsidRDefault="00D54F64" w:rsidP="00A8328C">
      <w:pPr>
        <w:numPr>
          <w:ilvl w:val="0"/>
          <w:numId w:val="4"/>
        </w:numPr>
        <w:tabs>
          <w:tab w:val="clear" w:pos="1440"/>
          <w:tab w:val="left" w:pos="-720"/>
        </w:tabs>
        <w:suppressAutoHyphens/>
        <w:ind w:left="720" w:hanging="720"/>
        <w:jc w:val="both"/>
        <w:rPr>
          <w:szCs w:val="24"/>
        </w:rPr>
      </w:pPr>
      <w:r w:rsidRPr="006F6171">
        <w:t>Growth Management Limitations</w:t>
      </w:r>
      <w:r w:rsidR="00995E15" w:rsidRPr="006F6171">
        <w:rPr>
          <w:szCs w:val="24"/>
        </w:rPr>
        <w:t>.</w:t>
      </w:r>
      <w:r w:rsidR="00BB3D09" w:rsidRPr="006F6171">
        <w:rPr>
          <w:szCs w:val="24"/>
        </w:rPr>
        <w:t xml:space="preserve"> </w:t>
      </w:r>
      <w:r w:rsidR="00995E15" w:rsidRPr="006F6171">
        <w:rPr>
          <w:szCs w:val="24"/>
        </w:rPr>
        <w:t>A Project that involve</w:t>
      </w:r>
      <w:r w:rsidR="005C276F" w:rsidRPr="006F6171">
        <w:rPr>
          <w:szCs w:val="24"/>
        </w:rPr>
        <w:t>s the new construction or</w:t>
      </w:r>
      <w:r w:rsidR="00995E15" w:rsidRPr="006F6171">
        <w:rPr>
          <w:szCs w:val="24"/>
        </w:rPr>
        <w:t xml:space="preserve"> acquisition of newly-constructed residential rental property or the conversion of existing buildings to residential rental property must comply with the State’s Growth</w:t>
      </w:r>
      <w:r w:rsidR="00340F4C" w:rsidRPr="006F6171">
        <w:rPr>
          <w:szCs w:val="24"/>
        </w:rPr>
        <w:t xml:space="preserve"> Management Law</w:t>
      </w:r>
      <w:r w:rsidR="00DC650C" w:rsidRPr="006F6171">
        <w:rPr>
          <w:szCs w:val="24"/>
        </w:rPr>
        <w:t xml:space="preserve">, </w:t>
      </w:r>
      <w:hyperlink r:id="rId22" w:history="1">
        <w:r w:rsidR="00DC650C" w:rsidRPr="006F6171">
          <w:rPr>
            <w:rStyle w:val="Hyperlink"/>
            <w:szCs w:val="24"/>
          </w:rPr>
          <w:t xml:space="preserve">30-A M.R.S. </w:t>
        </w:r>
        <w:r w:rsidR="00BB5B00" w:rsidRPr="006F6171">
          <w:rPr>
            <w:rStyle w:val="Hyperlink"/>
            <w:szCs w:val="24"/>
          </w:rPr>
          <w:t>§</w:t>
        </w:r>
        <w:r w:rsidR="00DC650C" w:rsidRPr="006F6171">
          <w:rPr>
            <w:rStyle w:val="Hyperlink"/>
            <w:szCs w:val="24"/>
          </w:rPr>
          <w:t>4349-A,</w:t>
        </w:r>
      </w:hyperlink>
      <w:r w:rsidR="00DC650C" w:rsidRPr="006F6171">
        <w:rPr>
          <w:szCs w:val="24"/>
        </w:rPr>
        <w:t xml:space="preserve"> as amended</w:t>
      </w:r>
      <w:r w:rsidR="00995E15" w:rsidRPr="006F6171">
        <w:rPr>
          <w:szCs w:val="24"/>
        </w:rPr>
        <w:t>.</w:t>
      </w:r>
      <w:r w:rsidR="00BB3D09" w:rsidRPr="006F6171">
        <w:rPr>
          <w:szCs w:val="24"/>
        </w:rPr>
        <w:t xml:space="preserve"> </w:t>
      </w:r>
      <w:r w:rsidR="0003538B" w:rsidRPr="006F6171">
        <w:rPr>
          <w:szCs w:val="24"/>
        </w:rPr>
        <w:t>Projects must meet one of the following two sets of criteria to be eligible for a Credit allocation</w:t>
      </w:r>
      <w:r w:rsidR="006D0723" w:rsidRPr="006F6171">
        <w:rPr>
          <w:szCs w:val="24"/>
        </w:rPr>
        <w:t>:</w:t>
      </w:r>
    </w:p>
    <w:p w14:paraId="63BFC23D" w14:textId="77777777" w:rsidR="002B4F52" w:rsidRPr="006F6171" w:rsidRDefault="002B4F52" w:rsidP="00E555C1">
      <w:pPr>
        <w:tabs>
          <w:tab w:val="left" w:pos="-720"/>
        </w:tabs>
        <w:suppressAutoHyphens/>
        <w:ind w:left="720" w:hanging="720"/>
        <w:jc w:val="both"/>
        <w:rPr>
          <w:szCs w:val="24"/>
        </w:rPr>
      </w:pPr>
    </w:p>
    <w:p w14:paraId="4E8B94D9" w14:textId="77777777" w:rsidR="00A67B99" w:rsidRPr="006F6171" w:rsidRDefault="00995E15" w:rsidP="00A8328C">
      <w:pPr>
        <w:numPr>
          <w:ilvl w:val="3"/>
          <w:numId w:val="29"/>
        </w:numPr>
        <w:tabs>
          <w:tab w:val="left" w:pos="-720"/>
        </w:tabs>
        <w:suppressAutoHyphens/>
        <w:ind w:left="1080"/>
        <w:jc w:val="both"/>
        <w:rPr>
          <w:szCs w:val="24"/>
        </w:rPr>
      </w:pPr>
      <w:r w:rsidRPr="006F6171">
        <w:rPr>
          <w:szCs w:val="24"/>
        </w:rPr>
        <w:t xml:space="preserve">If the municipality in which the Project is located has adopted a comprehensive plan or growth management plan that is consistent with applicable State law, then the Project must be in a designated growth area as identified in </w:t>
      </w:r>
      <w:r w:rsidR="0003538B" w:rsidRPr="006F6171">
        <w:rPr>
          <w:szCs w:val="24"/>
        </w:rPr>
        <w:t>such plan</w:t>
      </w:r>
      <w:r w:rsidR="006D0723" w:rsidRPr="006F6171">
        <w:rPr>
          <w:szCs w:val="24"/>
        </w:rPr>
        <w:t>; or</w:t>
      </w:r>
    </w:p>
    <w:p w14:paraId="5BDA17E1" w14:textId="77777777" w:rsidR="002B4F52" w:rsidRPr="006F6171" w:rsidRDefault="002B4F52" w:rsidP="00E555C1">
      <w:pPr>
        <w:tabs>
          <w:tab w:val="left" w:pos="-720"/>
        </w:tabs>
        <w:suppressAutoHyphens/>
        <w:ind w:left="1080"/>
        <w:jc w:val="both"/>
        <w:rPr>
          <w:szCs w:val="24"/>
        </w:rPr>
      </w:pPr>
    </w:p>
    <w:p w14:paraId="58D304C7" w14:textId="77777777" w:rsidR="00A67B99" w:rsidRPr="006F6171" w:rsidRDefault="00A67B99" w:rsidP="00A8328C">
      <w:pPr>
        <w:numPr>
          <w:ilvl w:val="3"/>
          <w:numId w:val="29"/>
        </w:numPr>
        <w:tabs>
          <w:tab w:val="left" w:pos="-720"/>
        </w:tabs>
        <w:suppressAutoHyphens/>
        <w:ind w:left="1080"/>
        <w:jc w:val="both"/>
        <w:rPr>
          <w:szCs w:val="24"/>
        </w:rPr>
      </w:pPr>
      <w:r w:rsidRPr="006F6171">
        <w:rPr>
          <w:szCs w:val="24"/>
        </w:rPr>
        <w:t xml:space="preserve">Otherwise </w:t>
      </w:r>
      <w:r w:rsidR="00995E15" w:rsidRPr="006F6171">
        <w:rPr>
          <w:szCs w:val="24"/>
        </w:rPr>
        <w:t>the Project must be located in an area</w:t>
      </w:r>
    </w:p>
    <w:p w14:paraId="326B31AB" w14:textId="77777777" w:rsidR="002B4F52" w:rsidRPr="006F6171" w:rsidRDefault="002B4F52" w:rsidP="00E555C1">
      <w:pPr>
        <w:pStyle w:val="ListParagraph"/>
        <w:rPr>
          <w:szCs w:val="24"/>
        </w:rPr>
      </w:pPr>
    </w:p>
    <w:p w14:paraId="555D2BC3" w14:textId="77777777" w:rsidR="0003538B" w:rsidRPr="006F6171" w:rsidRDefault="00995E15" w:rsidP="00A8328C">
      <w:pPr>
        <w:pStyle w:val="ListParagraph"/>
        <w:numPr>
          <w:ilvl w:val="0"/>
          <w:numId w:val="15"/>
        </w:numPr>
        <w:tabs>
          <w:tab w:val="left" w:pos="-720"/>
        </w:tabs>
        <w:suppressAutoHyphens/>
        <w:ind w:left="1080" w:firstLine="0"/>
        <w:jc w:val="both"/>
        <w:rPr>
          <w:szCs w:val="24"/>
        </w:rPr>
      </w:pPr>
      <w:r w:rsidRPr="006F6171">
        <w:rPr>
          <w:szCs w:val="24"/>
        </w:rPr>
        <w:t>served b</w:t>
      </w:r>
      <w:r w:rsidR="00F86D3A" w:rsidRPr="006F6171">
        <w:rPr>
          <w:szCs w:val="24"/>
        </w:rPr>
        <w:t>y a public sewer system with</w:t>
      </w:r>
      <w:r w:rsidRPr="006F6171">
        <w:rPr>
          <w:szCs w:val="24"/>
        </w:rPr>
        <w:t xml:space="preserve"> existing capacity for the Project</w:t>
      </w:r>
      <w:r w:rsidR="006D0723" w:rsidRPr="006F6171">
        <w:rPr>
          <w:szCs w:val="24"/>
        </w:rPr>
        <w:t>,</w:t>
      </w:r>
    </w:p>
    <w:p w14:paraId="7264ABFB" w14:textId="77777777" w:rsidR="0007687C" w:rsidRPr="006F6171" w:rsidRDefault="0007687C" w:rsidP="00E555C1">
      <w:pPr>
        <w:pStyle w:val="ListParagraph"/>
        <w:tabs>
          <w:tab w:val="left" w:pos="-720"/>
        </w:tabs>
        <w:suppressAutoHyphens/>
        <w:ind w:left="1080"/>
        <w:jc w:val="both"/>
        <w:rPr>
          <w:szCs w:val="24"/>
        </w:rPr>
      </w:pPr>
    </w:p>
    <w:p w14:paraId="1B26BBB7" w14:textId="77777777" w:rsidR="0003538B" w:rsidRPr="006F6171" w:rsidRDefault="00995E15" w:rsidP="00A8328C">
      <w:pPr>
        <w:pStyle w:val="ListParagraph"/>
        <w:numPr>
          <w:ilvl w:val="0"/>
          <w:numId w:val="15"/>
        </w:numPr>
        <w:tabs>
          <w:tab w:val="left" w:pos="-720"/>
        </w:tabs>
        <w:suppressAutoHyphens/>
        <w:ind w:left="1080" w:firstLine="0"/>
        <w:jc w:val="both"/>
        <w:rPr>
          <w:szCs w:val="24"/>
        </w:rPr>
      </w:pPr>
      <w:r w:rsidRPr="006F6171">
        <w:rPr>
          <w:szCs w:val="24"/>
        </w:rPr>
        <w:t>identified as a census-designated place in the latest Federal Decennial Census</w:t>
      </w:r>
      <w:r w:rsidR="006D0723" w:rsidRPr="006F6171">
        <w:rPr>
          <w:szCs w:val="24"/>
        </w:rPr>
        <w:t>,</w:t>
      </w:r>
      <w:r w:rsidRPr="006F6171">
        <w:rPr>
          <w:szCs w:val="24"/>
        </w:rPr>
        <w:t xml:space="preserve"> or</w:t>
      </w:r>
    </w:p>
    <w:p w14:paraId="37FC14F4" w14:textId="77777777" w:rsidR="0007687C" w:rsidRPr="006F6171" w:rsidRDefault="0007687C" w:rsidP="00E555C1">
      <w:pPr>
        <w:pStyle w:val="ListParagraph"/>
        <w:rPr>
          <w:szCs w:val="24"/>
        </w:rPr>
      </w:pPr>
    </w:p>
    <w:p w14:paraId="5CBC9454" w14:textId="5190D36F" w:rsidR="00A67B99" w:rsidRPr="006F6171" w:rsidRDefault="0003538B" w:rsidP="00A8328C">
      <w:pPr>
        <w:pStyle w:val="ListParagraph"/>
        <w:numPr>
          <w:ilvl w:val="0"/>
          <w:numId w:val="15"/>
        </w:numPr>
        <w:tabs>
          <w:tab w:val="left" w:pos="-720"/>
        </w:tabs>
        <w:suppressAutoHyphens/>
        <w:ind w:left="1080" w:firstLine="0"/>
        <w:rPr>
          <w:szCs w:val="24"/>
        </w:rPr>
      </w:pPr>
      <w:r w:rsidRPr="006F6171">
        <w:rPr>
          <w:szCs w:val="24"/>
        </w:rPr>
        <w:t xml:space="preserve">in </w:t>
      </w:r>
      <w:r w:rsidR="00995E15" w:rsidRPr="006F6171">
        <w:rPr>
          <w:szCs w:val="24"/>
        </w:rPr>
        <w:t xml:space="preserve">an urban municipality </w:t>
      </w:r>
      <w:r w:rsidRPr="006F6171">
        <w:rPr>
          <w:szCs w:val="24"/>
        </w:rPr>
        <w:t xml:space="preserve">and </w:t>
      </w:r>
      <w:r w:rsidR="00995E15" w:rsidRPr="006F6171">
        <w:rPr>
          <w:szCs w:val="24"/>
        </w:rPr>
        <w:t xml:space="preserve">defined under </w:t>
      </w:r>
      <w:hyperlink r:id="rId23" w:history="1">
        <w:r w:rsidR="00995E15" w:rsidRPr="006F6171">
          <w:rPr>
            <w:rStyle w:val="Hyperlink"/>
            <w:szCs w:val="24"/>
          </w:rPr>
          <w:t xml:space="preserve">23 M.R.S. </w:t>
        </w:r>
        <w:r w:rsidR="00BB5B00" w:rsidRPr="006F6171">
          <w:rPr>
            <w:rStyle w:val="Hyperlink"/>
            <w:szCs w:val="24"/>
          </w:rPr>
          <w:t>§</w:t>
        </w:r>
        <w:r w:rsidR="00995E15" w:rsidRPr="006F6171">
          <w:rPr>
            <w:rStyle w:val="Hyperlink"/>
            <w:szCs w:val="24"/>
          </w:rPr>
          <w:t>754</w:t>
        </w:r>
      </w:hyperlink>
      <w:r w:rsidRPr="006F6171">
        <w:rPr>
          <w:szCs w:val="24"/>
        </w:rPr>
        <w:t xml:space="preserve"> as compact</w:t>
      </w:r>
      <w:r w:rsidR="00995E15" w:rsidRPr="006F6171">
        <w:rPr>
          <w:szCs w:val="24"/>
        </w:rPr>
        <w:t xml:space="preserve">. </w:t>
      </w:r>
    </w:p>
    <w:p w14:paraId="4993437D" w14:textId="77777777" w:rsidR="002B4F52" w:rsidRPr="006F6171" w:rsidRDefault="002B4F52" w:rsidP="00E555C1">
      <w:pPr>
        <w:pStyle w:val="ListParagraph"/>
        <w:tabs>
          <w:tab w:val="left" w:pos="-720"/>
        </w:tabs>
        <w:suppressAutoHyphens/>
        <w:jc w:val="both"/>
        <w:rPr>
          <w:szCs w:val="24"/>
        </w:rPr>
      </w:pPr>
    </w:p>
    <w:p w14:paraId="3190FE9C" w14:textId="77777777" w:rsidR="002B4F52" w:rsidRPr="006F6171" w:rsidRDefault="00D32E80" w:rsidP="00E555C1">
      <w:pPr>
        <w:tabs>
          <w:tab w:val="left" w:pos="-720"/>
        </w:tabs>
        <w:suppressAutoHyphens/>
        <w:ind w:left="720"/>
        <w:jc w:val="both"/>
        <w:rPr>
          <w:szCs w:val="24"/>
        </w:rPr>
      </w:pPr>
      <w:r w:rsidRPr="006F6171">
        <w:rPr>
          <w:szCs w:val="24"/>
        </w:rPr>
        <w:t>The law exempts p</w:t>
      </w:r>
      <w:r w:rsidR="00995E15" w:rsidRPr="006F6171">
        <w:rPr>
          <w:szCs w:val="24"/>
        </w:rPr>
        <w:t>rojects that exclusively serv</w:t>
      </w:r>
      <w:r w:rsidR="00A01C1B" w:rsidRPr="006F6171">
        <w:rPr>
          <w:szCs w:val="24"/>
        </w:rPr>
        <w:t>e certain populations, such as</w:t>
      </w:r>
      <w:r w:rsidR="002B4F52" w:rsidRPr="006F6171">
        <w:rPr>
          <w:szCs w:val="24"/>
        </w:rPr>
        <w:t xml:space="preserve"> persons with disabilities, who </w:t>
      </w:r>
      <w:r w:rsidR="00995E15" w:rsidRPr="006F6171">
        <w:rPr>
          <w:szCs w:val="24"/>
        </w:rPr>
        <w:t>are homeless</w:t>
      </w:r>
      <w:r w:rsidR="00B34D1F" w:rsidRPr="006F6171">
        <w:rPr>
          <w:szCs w:val="24"/>
        </w:rPr>
        <w:t>, or</w:t>
      </w:r>
      <w:r w:rsidRPr="006F6171">
        <w:rPr>
          <w:szCs w:val="24"/>
        </w:rPr>
        <w:t xml:space="preserve"> </w:t>
      </w:r>
      <w:r w:rsidR="00995E15" w:rsidRPr="006F6171">
        <w:rPr>
          <w:szCs w:val="24"/>
        </w:rPr>
        <w:t>are wards of the State.</w:t>
      </w:r>
    </w:p>
    <w:p w14:paraId="2284653D" w14:textId="77777777" w:rsidR="00BB5EE8" w:rsidRPr="006F6171" w:rsidRDefault="00BB5EE8" w:rsidP="00E555C1">
      <w:pPr>
        <w:tabs>
          <w:tab w:val="left" w:pos="-720"/>
        </w:tabs>
        <w:suppressAutoHyphens/>
        <w:ind w:left="720" w:hanging="720"/>
        <w:jc w:val="both"/>
        <w:rPr>
          <w:szCs w:val="24"/>
        </w:rPr>
      </w:pPr>
    </w:p>
    <w:p w14:paraId="4C2CA256" w14:textId="77777777" w:rsidR="00214F68" w:rsidRPr="006F6171" w:rsidRDefault="00995E15" w:rsidP="00A8328C">
      <w:pPr>
        <w:numPr>
          <w:ilvl w:val="0"/>
          <w:numId w:val="4"/>
        </w:numPr>
        <w:tabs>
          <w:tab w:val="clear" w:pos="1440"/>
          <w:tab w:val="left" w:pos="-720"/>
        </w:tabs>
        <w:suppressAutoHyphens/>
        <w:ind w:left="720" w:hanging="720"/>
        <w:jc w:val="both"/>
        <w:rPr>
          <w:szCs w:val="24"/>
        </w:rPr>
      </w:pPr>
      <w:r w:rsidRPr="006F6171">
        <w:t>Project Feasibility</w:t>
      </w:r>
      <w:r w:rsidR="00167B06" w:rsidRPr="006F6171">
        <w:rPr>
          <w:szCs w:val="24"/>
        </w:rPr>
        <w:t>.</w:t>
      </w:r>
      <w:r w:rsidR="00BB3D09" w:rsidRPr="006F6171">
        <w:rPr>
          <w:szCs w:val="24"/>
        </w:rPr>
        <w:t xml:space="preserve"> </w:t>
      </w:r>
      <w:r w:rsidR="00167B06" w:rsidRPr="006F6171">
        <w:rPr>
          <w:szCs w:val="24"/>
        </w:rPr>
        <w:t>The Applicant must have</w:t>
      </w:r>
      <w:r w:rsidRPr="006F6171">
        <w:rPr>
          <w:szCs w:val="24"/>
        </w:rPr>
        <w:t xml:space="preserve"> the financial ability to develop and complete the Projec</w:t>
      </w:r>
      <w:r w:rsidR="00167B06" w:rsidRPr="006F6171">
        <w:rPr>
          <w:szCs w:val="24"/>
        </w:rPr>
        <w:t>t and to operate</w:t>
      </w:r>
      <w:r w:rsidRPr="006F6171">
        <w:rPr>
          <w:szCs w:val="24"/>
        </w:rPr>
        <w:t xml:space="preserve"> </w:t>
      </w:r>
      <w:r w:rsidR="006251C3" w:rsidRPr="006F6171">
        <w:rPr>
          <w:szCs w:val="24"/>
        </w:rPr>
        <w:t xml:space="preserve">it </w:t>
      </w:r>
      <w:r w:rsidRPr="006F6171">
        <w:rPr>
          <w:szCs w:val="24"/>
        </w:rPr>
        <w:t>throughout</w:t>
      </w:r>
      <w:r w:rsidR="00A01C1B" w:rsidRPr="006F6171">
        <w:rPr>
          <w:szCs w:val="24"/>
        </w:rPr>
        <w:t xml:space="preserve"> the Compliance Period</w:t>
      </w:r>
      <w:r w:rsidRPr="006F6171">
        <w:rPr>
          <w:szCs w:val="24"/>
        </w:rPr>
        <w:t>.</w:t>
      </w:r>
      <w:r w:rsidR="00BB3D09" w:rsidRPr="006F6171">
        <w:rPr>
          <w:szCs w:val="24"/>
        </w:rPr>
        <w:t xml:space="preserve"> </w:t>
      </w:r>
    </w:p>
    <w:p w14:paraId="675C9A87" w14:textId="77777777" w:rsidR="0007687C" w:rsidRPr="006F6171" w:rsidRDefault="0007687C" w:rsidP="00E555C1">
      <w:pPr>
        <w:tabs>
          <w:tab w:val="left" w:pos="-720"/>
        </w:tabs>
        <w:suppressAutoHyphens/>
        <w:ind w:left="720" w:hanging="720"/>
        <w:jc w:val="both"/>
        <w:rPr>
          <w:szCs w:val="24"/>
        </w:rPr>
      </w:pPr>
    </w:p>
    <w:p w14:paraId="66A10C5A" w14:textId="77777777" w:rsidR="00512FA9" w:rsidRPr="006F6171" w:rsidRDefault="00995E15" w:rsidP="00BE5856">
      <w:pPr>
        <w:numPr>
          <w:ilvl w:val="0"/>
          <w:numId w:val="46"/>
        </w:numPr>
        <w:tabs>
          <w:tab w:val="clear" w:pos="3600"/>
          <w:tab w:val="left" w:pos="-720"/>
        </w:tabs>
        <w:suppressAutoHyphens/>
        <w:ind w:left="1080"/>
        <w:jc w:val="both"/>
      </w:pPr>
      <w:r w:rsidRPr="006F6171">
        <w:t>Development Budget.</w:t>
      </w:r>
      <w:r w:rsidR="00BB3D09" w:rsidRPr="006F6171">
        <w:t xml:space="preserve"> </w:t>
      </w:r>
      <w:r w:rsidRPr="006F6171">
        <w:t xml:space="preserve">The Applicant must </w:t>
      </w:r>
      <w:r w:rsidR="00B34D1F" w:rsidRPr="006F6171">
        <w:t>identify</w:t>
      </w:r>
    </w:p>
    <w:p w14:paraId="4B63B455" w14:textId="77777777" w:rsidR="00512FA9" w:rsidRPr="006F6171" w:rsidRDefault="00512FA9" w:rsidP="00512FA9">
      <w:pPr>
        <w:tabs>
          <w:tab w:val="left" w:pos="-720"/>
        </w:tabs>
        <w:suppressAutoHyphens/>
        <w:ind w:left="1080"/>
        <w:jc w:val="both"/>
      </w:pPr>
    </w:p>
    <w:p w14:paraId="4B0A0056" w14:textId="77777777" w:rsidR="0007687C" w:rsidRPr="006F6171" w:rsidRDefault="00BD2526" w:rsidP="00BE5856">
      <w:pPr>
        <w:pStyle w:val="BodyTextIndent2"/>
        <w:numPr>
          <w:ilvl w:val="4"/>
          <w:numId w:val="39"/>
        </w:numPr>
        <w:tabs>
          <w:tab w:val="left" w:pos="-720"/>
          <w:tab w:val="left" w:pos="1440"/>
        </w:tabs>
        <w:suppressAutoHyphens/>
        <w:spacing w:after="0" w:line="240" w:lineRule="auto"/>
        <w:jc w:val="both"/>
      </w:pPr>
      <w:r w:rsidRPr="006F6171">
        <w:t xml:space="preserve">all </w:t>
      </w:r>
      <w:r w:rsidR="00995E15" w:rsidRPr="006F6171">
        <w:t>sources</w:t>
      </w:r>
      <w:r w:rsidR="00036888" w:rsidRPr="006F6171">
        <w:t xml:space="preserve"> of funding for development </w:t>
      </w:r>
      <w:r w:rsidR="00995E15" w:rsidRPr="006F6171">
        <w:t xml:space="preserve">and completion, </w:t>
      </w:r>
      <w:r w:rsidR="00A315DB" w:rsidRPr="006F6171">
        <w:t xml:space="preserve">whether direct or indirect, </w:t>
      </w:r>
      <w:r w:rsidR="00995E15" w:rsidRPr="006F6171">
        <w:t>including the amount, timing, terms</w:t>
      </w:r>
      <w:r w:rsidR="006251C3" w:rsidRPr="006F6171">
        <w:t>,</w:t>
      </w:r>
      <w:r w:rsidR="00995E15" w:rsidRPr="006F6171">
        <w:t xml:space="preserve"> conditions</w:t>
      </w:r>
      <w:r w:rsidR="006251C3" w:rsidRPr="006F6171">
        <w:t>,</w:t>
      </w:r>
      <w:r w:rsidR="00995E15" w:rsidRPr="006F6171">
        <w:t xml:space="preserve"> and status (e.g. </w:t>
      </w:r>
      <w:r w:rsidR="00524576" w:rsidRPr="006F6171">
        <w:t>“</w:t>
      </w:r>
      <w:r w:rsidR="00995E15" w:rsidRPr="006F6171">
        <w:t>applied for</w:t>
      </w:r>
      <w:r w:rsidR="00524576" w:rsidRPr="006F6171">
        <w:t>”</w:t>
      </w:r>
      <w:r w:rsidR="00995E15" w:rsidRPr="006F6171">
        <w:t xml:space="preserve"> or </w:t>
      </w:r>
      <w:r w:rsidR="00524576" w:rsidRPr="006F6171">
        <w:t>“</w:t>
      </w:r>
      <w:r w:rsidR="00995E15" w:rsidRPr="006F6171">
        <w:t>committed</w:t>
      </w:r>
      <w:r w:rsidR="00524576" w:rsidRPr="006F6171">
        <w:t>”</w:t>
      </w:r>
      <w:r w:rsidR="00995E15" w:rsidRPr="006F6171">
        <w:t>) as</w:t>
      </w:r>
      <w:r w:rsidR="00F86D3A" w:rsidRPr="006F6171">
        <w:t xml:space="preserve"> of the date of the Application</w:t>
      </w:r>
      <w:r w:rsidR="00995E15" w:rsidRPr="006F6171">
        <w:t xml:space="preserve"> and</w:t>
      </w:r>
      <w:r w:rsidR="0007687C" w:rsidRPr="006F6171">
        <w:t xml:space="preserve"> </w:t>
      </w:r>
      <w:r w:rsidR="004D0107" w:rsidRPr="006F6171">
        <w:t xml:space="preserve">uses </w:t>
      </w:r>
      <w:r w:rsidR="00995E15" w:rsidRPr="006F6171">
        <w:t xml:space="preserve">of the funding based on the projected costs of </w:t>
      </w:r>
      <w:r w:rsidR="005C276F" w:rsidRPr="006F6171">
        <w:t xml:space="preserve">and schedule for </w:t>
      </w:r>
      <w:r w:rsidR="00995E15" w:rsidRPr="006F6171">
        <w:t>developing and completing the Project</w:t>
      </w:r>
      <w:r w:rsidR="0007687C" w:rsidRPr="006F6171">
        <w:t>; and</w:t>
      </w:r>
    </w:p>
    <w:p w14:paraId="59BBCCD1" w14:textId="77777777" w:rsidR="0007687C" w:rsidRPr="006F6171" w:rsidRDefault="0007687C" w:rsidP="00B34323">
      <w:pPr>
        <w:pStyle w:val="NoSpacing"/>
      </w:pPr>
    </w:p>
    <w:p w14:paraId="14AD4525" w14:textId="77777777" w:rsidR="0007687C" w:rsidRPr="006F6171" w:rsidRDefault="0007687C" w:rsidP="00BE5856">
      <w:pPr>
        <w:pStyle w:val="BodyTextIndent2"/>
        <w:numPr>
          <w:ilvl w:val="4"/>
          <w:numId w:val="39"/>
        </w:numPr>
        <w:tabs>
          <w:tab w:val="left" w:pos="-720"/>
          <w:tab w:val="left" w:pos="1440"/>
        </w:tabs>
        <w:suppressAutoHyphens/>
        <w:spacing w:after="0" w:line="240" w:lineRule="auto"/>
        <w:jc w:val="both"/>
      </w:pPr>
      <w:r w:rsidRPr="006F6171">
        <w:t>all sources and uses of funding for the Project, whether direct or indirect and whether they are included in the development budget for the Project</w:t>
      </w:r>
      <w:r w:rsidR="00BD2526" w:rsidRPr="006F6171">
        <w:t>.</w:t>
      </w:r>
    </w:p>
    <w:p w14:paraId="4B791F97" w14:textId="77777777" w:rsidR="0050758A" w:rsidRPr="006F6171" w:rsidRDefault="00995E15" w:rsidP="00BE5856">
      <w:pPr>
        <w:numPr>
          <w:ilvl w:val="0"/>
          <w:numId w:val="46"/>
        </w:numPr>
        <w:tabs>
          <w:tab w:val="clear" w:pos="3600"/>
          <w:tab w:val="left" w:pos="-720"/>
        </w:tabs>
        <w:suppressAutoHyphens/>
        <w:ind w:left="1080"/>
        <w:jc w:val="both"/>
      </w:pPr>
      <w:bookmarkStart w:id="5" w:name="_Toc516497017"/>
      <w:r w:rsidRPr="006F6171">
        <w:rPr>
          <w:rStyle w:val="Heading3Char"/>
          <w:b w:val="0"/>
        </w:rPr>
        <w:lastRenderedPageBreak/>
        <w:t>O</w:t>
      </w:r>
      <w:bookmarkEnd w:id="5"/>
      <w:r w:rsidRPr="006F6171">
        <w:t>perating Budget.</w:t>
      </w:r>
      <w:r w:rsidR="00BB3D09" w:rsidRPr="006F6171">
        <w:t xml:space="preserve"> </w:t>
      </w:r>
      <w:r w:rsidRPr="006F6171">
        <w:t>The Applicant must identify</w:t>
      </w:r>
      <w:r w:rsidR="00980EA5" w:rsidRPr="006F6171">
        <w:t xml:space="preserve"> all</w:t>
      </w:r>
    </w:p>
    <w:p w14:paraId="00BDCB56" w14:textId="77777777" w:rsidR="0007687C" w:rsidRPr="006F6171" w:rsidRDefault="0007687C" w:rsidP="00E555C1">
      <w:pPr>
        <w:pStyle w:val="BodyTextIndent2"/>
        <w:tabs>
          <w:tab w:val="left" w:pos="-720"/>
        </w:tabs>
        <w:suppressAutoHyphens/>
        <w:spacing w:after="0" w:line="240" w:lineRule="auto"/>
        <w:ind w:left="1620" w:hanging="900"/>
        <w:jc w:val="both"/>
        <w:rPr>
          <w:szCs w:val="24"/>
        </w:rPr>
      </w:pPr>
    </w:p>
    <w:p w14:paraId="0C2E4FCD" w14:textId="77777777" w:rsidR="0050758A" w:rsidRPr="006F6171" w:rsidRDefault="00995E15" w:rsidP="00BE5856">
      <w:pPr>
        <w:pStyle w:val="BodyTextIndent2"/>
        <w:numPr>
          <w:ilvl w:val="0"/>
          <w:numId w:val="47"/>
        </w:numPr>
        <w:tabs>
          <w:tab w:val="left" w:pos="-720"/>
          <w:tab w:val="left" w:pos="1440"/>
        </w:tabs>
        <w:suppressAutoHyphens/>
        <w:spacing w:after="0" w:line="240" w:lineRule="auto"/>
        <w:jc w:val="both"/>
        <w:rPr>
          <w:szCs w:val="24"/>
        </w:rPr>
      </w:pPr>
      <w:r w:rsidRPr="006F6171">
        <w:rPr>
          <w:szCs w:val="24"/>
        </w:rPr>
        <w:t>sources of income</w:t>
      </w:r>
      <w:r w:rsidR="00C86509" w:rsidRPr="006F6171">
        <w:rPr>
          <w:szCs w:val="24"/>
        </w:rPr>
        <w:t xml:space="preserve">, </w:t>
      </w:r>
      <w:r w:rsidR="0050758A" w:rsidRPr="006F6171">
        <w:rPr>
          <w:szCs w:val="24"/>
        </w:rPr>
        <w:t xml:space="preserve">including rent </w:t>
      </w:r>
      <w:r w:rsidRPr="006F6171">
        <w:rPr>
          <w:szCs w:val="24"/>
        </w:rPr>
        <w:t>from the residential units</w:t>
      </w:r>
      <w:r w:rsidR="0050758A" w:rsidRPr="006F6171">
        <w:rPr>
          <w:szCs w:val="24"/>
        </w:rPr>
        <w:t>,</w:t>
      </w:r>
      <w:r w:rsidRPr="006F6171">
        <w:rPr>
          <w:szCs w:val="24"/>
        </w:rPr>
        <w:t xml:space="preserve"> any </w:t>
      </w:r>
      <w:r w:rsidR="0050758A" w:rsidRPr="006F6171">
        <w:rPr>
          <w:szCs w:val="24"/>
        </w:rPr>
        <w:t xml:space="preserve">income from </w:t>
      </w:r>
      <w:r w:rsidRPr="006F6171">
        <w:rPr>
          <w:szCs w:val="24"/>
        </w:rPr>
        <w:t>commercial or non-residential space</w:t>
      </w:r>
      <w:r w:rsidR="0050758A" w:rsidRPr="006F6171">
        <w:rPr>
          <w:szCs w:val="24"/>
        </w:rPr>
        <w:t>,</w:t>
      </w:r>
      <w:r w:rsidR="005C276F" w:rsidRPr="006F6171">
        <w:rPr>
          <w:szCs w:val="24"/>
        </w:rPr>
        <w:t xml:space="preserve"> </w:t>
      </w:r>
      <w:r w:rsidRPr="006F6171">
        <w:rPr>
          <w:szCs w:val="24"/>
        </w:rPr>
        <w:t xml:space="preserve">and the amount, terms and conditions of </w:t>
      </w:r>
      <w:r w:rsidR="0050758A" w:rsidRPr="006F6171">
        <w:rPr>
          <w:szCs w:val="24"/>
        </w:rPr>
        <w:t>rental or operating assistance</w:t>
      </w:r>
      <w:r w:rsidR="0007687C" w:rsidRPr="006F6171">
        <w:rPr>
          <w:szCs w:val="24"/>
        </w:rPr>
        <w:t>;</w:t>
      </w:r>
      <w:r w:rsidRPr="006F6171">
        <w:rPr>
          <w:szCs w:val="24"/>
        </w:rPr>
        <w:t xml:space="preserve"> and</w:t>
      </w:r>
    </w:p>
    <w:p w14:paraId="67B82FBB" w14:textId="77777777" w:rsidR="0007687C" w:rsidRPr="006F6171" w:rsidRDefault="0007687C" w:rsidP="00A63CC1">
      <w:pPr>
        <w:pStyle w:val="BodyTextIndent2"/>
        <w:tabs>
          <w:tab w:val="left" w:pos="-720"/>
          <w:tab w:val="left" w:pos="1440"/>
        </w:tabs>
        <w:suppressAutoHyphens/>
        <w:spacing w:after="0" w:line="240" w:lineRule="auto"/>
        <w:ind w:left="1440" w:hanging="360"/>
        <w:jc w:val="both"/>
        <w:rPr>
          <w:szCs w:val="24"/>
        </w:rPr>
      </w:pPr>
    </w:p>
    <w:p w14:paraId="200C107C" w14:textId="77777777" w:rsidR="00995E15" w:rsidRPr="006F6171" w:rsidRDefault="000A742A" w:rsidP="00BE5856">
      <w:pPr>
        <w:pStyle w:val="BodyTextIndent2"/>
        <w:numPr>
          <w:ilvl w:val="0"/>
          <w:numId w:val="47"/>
        </w:numPr>
        <w:tabs>
          <w:tab w:val="left" w:pos="-720"/>
          <w:tab w:val="left" w:pos="1440"/>
        </w:tabs>
        <w:suppressAutoHyphens/>
        <w:spacing w:after="0" w:line="240" w:lineRule="auto"/>
        <w:jc w:val="both"/>
        <w:rPr>
          <w:szCs w:val="24"/>
        </w:rPr>
      </w:pPr>
      <w:r w:rsidRPr="006F6171">
        <w:rPr>
          <w:szCs w:val="24"/>
        </w:rPr>
        <w:t xml:space="preserve">costs of operating </w:t>
      </w:r>
      <w:r w:rsidR="00995E15" w:rsidRPr="006F6171">
        <w:rPr>
          <w:szCs w:val="24"/>
        </w:rPr>
        <w:t xml:space="preserve">the Project </w:t>
      </w:r>
      <w:r w:rsidR="00980EA5" w:rsidRPr="006F6171">
        <w:rPr>
          <w:szCs w:val="24"/>
        </w:rPr>
        <w:t xml:space="preserve">as </w:t>
      </w:r>
      <w:r w:rsidR="00995E15" w:rsidRPr="006F6171">
        <w:rPr>
          <w:szCs w:val="24"/>
        </w:rPr>
        <w:t>projected over the Compliance Period.</w:t>
      </w:r>
      <w:r w:rsidR="00980EA5" w:rsidRPr="006F6171">
        <w:rPr>
          <w:szCs w:val="24"/>
        </w:rPr>
        <w:t xml:space="preserve"> </w:t>
      </w:r>
      <w:r w:rsidR="00995E15" w:rsidRPr="006F6171">
        <w:rPr>
          <w:szCs w:val="24"/>
        </w:rPr>
        <w:t xml:space="preserve">The Applicant </w:t>
      </w:r>
      <w:r w:rsidR="001914BE" w:rsidRPr="006F6171">
        <w:rPr>
          <w:szCs w:val="24"/>
        </w:rPr>
        <w:t xml:space="preserve">also </w:t>
      </w:r>
      <w:r w:rsidR="00995E15" w:rsidRPr="006F6171">
        <w:rPr>
          <w:szCs w:val="24"/>
        </w:rPr>
        <w:t>must identify all forms of property tax relief (such as a PILOT</w:t>
      </w:r>
      <w:r w:rsidR="006B0FF2" w:rsidRPr="006F6171">
        <w:rPr>
          <w:szCs w:val="24"/>
        </w:rPr>
        <w:t xml:space="preserve">, </w:t>
      </w:r>
      <w:r w:rsidR="00995E15" w:rsidRPr="006F6171">
        <w:rPr>
          <w:szCs w:val="24"/>
        </w:rPr>
        <w:t>tax abatement or exemption</w:t>
      </w:r>
      <w:r w:rsidR="00624756" w:rsidRPr="006F6171">
        <w:rPr>
          <w:szCs w:val="24"/>
        </w:rPr>
        <w:t>,</w:t>
      </w:r>
      <w:r w:rsidR="006B0FF2" w:rsidRPr="006F6171">
        <w:rPr>
          <w:szCs w:val="24"/>
        </w:rPr>
        <w:t xml:space="preserve"> or Tax Increment Financing</w:t>
      </w:r>
      <w:r w:rsidR="00995E15" w:rsidRPr="006F6171">
        <w:rPr>
          <w:szCs w:val="24"/>
        </w:rPr>
        <w:t>)</w:t>
      </w:r>
      <w:r w:rsidR="00C86509" w:rsidRPr="006F6171">
        <w:rPr>
          <w:szCs w:val="24"/>
        </w:rPr>
        <w:t xml:space="preserve"> and other assistance</w:t>
      </w:r>
      <w:r w:rsidR="00995E15" w:rsidRPr="006F6171">
        <w:rPr>
          <w:szCs w:val="24"/>
        </w:rPr>
        <w:t xml:space="preserve"> that reduce</w:t>
      </w:r>
      <w:r w:rsidR="00C86509" w:rsidRPr="006F6171">
        <w:rPr>
          <w:szCs w:val="24"/>
        </w:rPr>
        <w:t>s</w:t>
      </w:r>
      <w:r w:rsidR="00995E15" w:rsidRPr="006F6171">
        <w:rPr>
          <w:szCs w:val="24"/>
        </w:rPr>
        <w:t xml:space="preserve"> operat</w:t>
      </w:r>
      <w:r w:rsidR="00C86509" w:rsidRPr="006F6171">
        <w:rPr>
          <w:szCs w:val="24"/>
        </w:rPr>
        <w:t>ing costs</w:t>
      </w:r>
      <w:r w:rsidR="00F86D3A" w:rsidRPr="006F6171">
        <w:rPr>
          <w:szCs w:val="24"/>
        </w:rPr>
        <w:t>.</w:t>
      </w:r>
      <w:r w:rsidR="00DB18E9" w:rsidRPr="006F6171">
        <w:rPr>
          <w:szCs w:val="24"/>
        </w:rPr>
        <w:t xml:space="preserve"> </w:t>
      </w:r>
    </w:p>
    <w:p w14:paraId="09E1244A" w14:textId="77777777" w:rsidR="00995E15" w:rsidRPr="006F6171" w:rsidRDefault="00995E15" w:rsidP="00E555C1">
      <w:pPr>
        <w:pStyle w:val="BodyTextIndent2"/>
        <w:tabs>
          <w:tab w:val="left" w:pos="-720"/>
        </w:tabs>
        <w:suppressAutoHyphens/>
        <w:spacing w:after="0" w:line="240" w:lineRule="auto"/>
        <w:ind w:left="720" w:hanging="720"/>
        <w:jc w:val="both"/>
        <w:rPr>
          <w:szCs w:val="24"/>
        </w:rPr>
      </w:pPr>
    </w:p>
    <w:p w14:paraId="1D39EA0D" w14:textId="73C1EA0C" w:rsidR="0007687C" w:rsidRPr="006F6171" w:rsidRDefault="00995E15" w:rsidP="00BE5856">
      <w:pPr>
        <w:numPr>
          <w:ilvl w:val="0"/>
          <w:numId w:val="46"/>
        </w:numPr>
        <w:tabs>
          <w:tab w:val="clear" w:pos="3600"/>
          <w:tab w:val="left" w:pos="-720"/>
        </w:tabs>
        <w:suppressAutoHyphens/>
        <w:ind w:left="1080"/>
        <w:jc w:val="both"/>
      </w:pPr>
      <w:r w:rsidRPr="006F6171">
        <w:t>Related Development.</w:t>
      </w:r>
      <w:r w:rsidR="00BB3D09" w:rsidRPr="006F6171">
        <w:t xml:space="preserve"> </w:t>
      </w:r>
      <w:r w:rsidR="00167B06" w:rsidRPr="006F6171">
        <w:t>Any</w:t>
      </w:r>
      <w:r w:rsidRPr="006F6171">
        <w:t xml:space="preserve"> </w:t>
      </w:r>
      <w:r w:rsidR="0039121D" w:rsidRPr="006F6171">
        <w:t>Related Development</w:t>
      </w:r>
      <w:r w:rsidR="00167B06" w:rsidRPr="006F6171">
        <w:t xml:space="preserve"> must be</w:t>
      </w:r>
      <w:r w:rsidRPr="006F6171">
        <w:t xml:space="preserve"> completed prior to or concurrently with the completion of the Project</w:t>
      </w:r>
      <w:r w:rsidR="00167B06" w:rsidRPr="006F6171">
        <w:t>, and there must be</w:t>
      </w:r>
      <w:r w:rsidRPr="006F6171">
        <w:t xml:space="preserve"> sufficient funding to </w:t>
      </w:r>
      <w:r w:rsidR="00886E51" w:rsidRPr="006F6171">
        <w:t>operate</w:t>
      </w:r>
      <w:r w:rsidRPr="006F6171">
        <w:t xml:space="preserve"> the </w:t>
      </w:r>
      <w:r w:rsidR="0039121D" w:rsidRPr="006F6171">
        <w:t>Related Development</w:t>
      </w:r>
      <w:r w:rsidRPr="006F6171">
        <w:t>.</w:t>
      </w:r>
      <w:r w:rsidR="00BB3D09" w:rsidRPr="006F6171">
        <w:t xml:space="preserve"> </w:t>
      </w:r>
    </w:p>
    <w:p w14:paraId="713CBEE6" w14:textId="30DE9988" w:rsidR="00CA062F" w:rsidRPr="006F6171" w:rsidRDefault="00CA062F" w:rsidP="00CA062F">
      <w:pPr>
        <w:tabs>
          <w:tab w:val="left" w:pos="-720"/>
        </w:tabs>
        <w:suppressAutoHyphens/>
        <w:jc w:val="both"/>
      </w:pPr>
    </w:p>
    <w:p w14:paraId="66B4B232" w14:textId="2F2B8A95" w:rsidR="00CA062F" w:rsidRPr="006F6171" w:rsidRDefault="00CA062F" w:rsidP="00CA062F">
      <w:pPr>
        <w:tabs>
          <w:tab w:val="left" w:pos="-720"/>
        </w:tabs>
        <w:suppressAutoHyphens/>
        <w:ind w:left="720"/>
        <w:jc w:val="both"/>
      </w:pPr>
      <w:r w:rsidRPr="006F6171">
        <w:rPr>
          <w:rFonts w:cs="Garamond"/>
          <w:szCs w:val="24"/>
        </w:rPr>
        <w:t>If MaineHousing determines that the Application includes information that is inconsistent with applicable requirements or is unreasonable based on comparable LIHTC projects, industry standards, or market conditions, MaineHousing may where it deems appropriate re-characterize such information to assess Project Feasibility notwithstanding the identified issue with the information provided</w:t>
      </w:r>
      <w:r w:rsidR="00EA25FF" w:rsidRPr="006F6171">
        <w:rPr>
          <w:rFonts w:cs="Garamond"/>
          <w:szCs w:val="24"/>
        </w:rPr>
        <w:t>.</w:t>
      </w:r>
    </w:p>
    <w:p w14:paraId="51D4ACEB" w14:textId="77777777" w:rsidR="004327E9" w:rsidRPr="006F6171" w:rsidRDefault="004327E9" w:rsidP="00E555C1">
      <w:pPr>
        <w:pStyle w:val="BodyTextIndent2"/>
        <w:tabs>
          <w:tab w:val="left" w:pos="-720"/>
        </w:tabs>
        <w:suppressAutoHyphens/>
        <w:spacing w:after="0" w:line="240" w:lineRule="auto"/>
        <w:ind w:left="1170" w:hanging="360"/>
        <w:jc w:val="both"/>
        <w:rPr>
          <w:szCs w:val="24"/>
        </w:rPr>
      </w:pPr>
    </w:p>
    <w:p w14:paraId="57E32A02" w14:textId="77777777" w:rsidR="00C70AA5" w:rsidRPr="006F6171" w:rsidRDefault="00995E15" w:rsidP="00A8328C">
      <w:pPr>
        <w:numPr>
          <w:ilvl w:val="0"/>
          <w:numId w:val="4"/>
        </w:numPr>
        <w:tabs>
          <w:tab w:val="clear" w:pos="1440"/>
          <w:tab w:val="left" w:pos="-720"/>
        </w:tabs>
        <w:suppressAutoHyphens/>
        <w:ind w:left="720" w:hanging="720"/>
        <w:jc w:val="both"/>
        <w:rPr>
          <w:szCs w:val="24"/>
        </w:rPr>
      </w:pPr>
      <w:r w:rsidRPr="006F6171">
        <w:t>Project Design</w:t>
      </w:r>
      <w:r w:rsidR="00176598" w:rsidRPr="006F6171">
        <w:t xml:space="preserve"> and Construction Requirements</w:t>
      </w:r>
      <w:r w:rsidRPr="006F6171">
        <w:rPr>
          <w:szCs w:val="24"/>
        </w:rPr>
        <w:t>.</w:t>
      </w:r>
      <w:r w:rsidR="00DB18E9" w:rsidRPr="006F6171">
        <w:rPr>
          <w:szCs w:val="24"/>
        </w:rPr>
        <w:t xml:space="preserve"> </w:t>
      </w:r>
      <w:r w:rsidRPr="006F6171">
        <w:rPr>
          <w:szCs w:val="24"/>
        </w:rPr>
        <w:t>The</w:t>
      </w:r>
      <w:r w:rsidR="00C97088" w:rsidRPr="006F6171">
        <w:rPr>
          <w:szCs w:val="24"/>
        </w:rPr>
        <w:t xml:space="preserve"> design and construction or rehabilitation of the Project must comply with MaineHousing’s Construction Standards</w:t>
      </w:r>
      <w:r w:rsidR="00987D03" w:rsidRPr="006F6171">
        <w:rPr>
          <w:szCs w:val="24"/>
        </w:rPr>
        <w:t xml:space="preserve"> </w:t>
      </w:r>
      <w:r w:rsidRPr="006F6171">
        <w:rPr>
          <w:szCs w:val="24"/>
        </w:rPr>
        <w:t>and all applicable local, state and federal codes, regulations, statutes and ordinances.</w:t>
      </w:r>
      <w:r w:rsidR="002B0106" w:rsidRPr="006F6171">
        <w:rPr>
          <w:szCs w:val="24"/>
        </w:rPr>
        <w:t xml:space="preserve">  </w:t>
      </w:r>
      <w:r w:rsidR="00176598" w:rsidRPr="006F6171">
        <w:rPr>
          <w:szCs w:val="24"/>
        </w:rPr>
        <w:t xml:space="preserve">The latest version of Construction Services’ </w:t>
      </w:r>
      <w:r w:rsidR="00176598" w:rsidRPr="006F6171">
        <w:rPr>
          <w:i/>
          <w:szCs w:val="24"/>
        </w:rPr>
        <w:t>Quality Standards and Procedures Manual</w:t>
      </w:r>
      <w:r w:rsidR="00176598" w:rsidRPr="006F6171">
        <w:rPr>
          <w:szCs w:val="24"/>
        </w:rPr>
        <w:t xml:space="preserve"> </w:t>
      </w:r>
      <w:r w:rsidR="00C70AA5" w:rsidRPr="006F6171">
        <w:rPr>
          <w:szCs w:val="24"/>
        </w:rPr>
        <w:t>can be found here:</w:t>
      </w:r>
    </w:p>
    <w:p w14:paraId="04BCE565" w14:textId="29886413" w:rsidR="00A47199" w:rsidRPr="006F6171" w:rsidRDefault="00A47199" w:rsidP="00A47199">
      <w:pPr>
        <w:tabs>
          <w:tab w:val="left" w:pos="-720"/>
        </w:tabs>
        <w:suppressAutoHyphens/>
        <w:ind w:left="720"/>
        <w:jc w:val="both"/>
        <w:rPr>
          <w:szCs w:val="24"/>
        </w:rPr>
      </w:pPr>
      <w:hyperlink r:id="rId24" w:history="1">
        <w:r w:rsidRPr="006F6171">
          <w:rPr>
            <w:rStyle w:val="Hyperlink"/>
            <w:szCs w:val="24"/>
          </w:rPr>
          <w:t>https://www.mainehousing.org/programs-services/housing-development/construction-services</w:t>
        </w:r>
      </w:hyperlink>
      <w:r w:rsidRPr="006F6171">
        <w:rPr>
          <w:szCs w:val="24"/>
        </w:rPr>
        <w:t xml:space="preserve"> </w:t>
      </w:r>
    </w:p>
    <w:p w14:paraId="707406AA" w14:textId="77777777" w:rsidR="00A47199" w:rsidRPr="006F6171" w:rsidRDefault="00A47199" w:rsidP="00A47199">
      <w:pPr>
        <w:tabs>
          <w:tab w:val="left" w:pos="-720"/>
        </w:tabs>
        <w:suppressAutoHyphens/>
        <w:ind w:left="720"/>
        <w:jc w:val="both"/>
        <w:rPr>
          <w:szCs w:val="24"/>
        </w:rPr>
      </w:pPr>
    </w:p>
    <w:p w14:paraId="29950E53" w14:textId="37392820" w:rsidR="00176598" w:rsidRPr="006F6171" w:rsidRDefault="00C20556" w:rsidP="00C20556">
      <w:pPr>
        <w:tabs>
          <w:tab w:val="left" w:pos="-720"/>
        </w:tabs>
        <w:suppressAutoHyphens/>
        <w:jc w:val="both"/>
        <w:rPr>
          <w:szCs w:val="24"/>
        </w:rPr>
      </w:pPr>
      <w:r w:rsidRPr="006F6171">
        <w:rPr>
          <w:szCs w:val="24"/>
        </w:rPr>
        <w:tab/>
      </w:r>
      <w:r w:rsidR="00176598" w:rsidRPr="006F6171">
        <w:rPr>
          <w:szCs w:val="24"/>
        </w:rPr>
        <w:t xml:space="preserve">Of particular note are updates to MaineHousing’s energy efficiency standards. </w:t>
      </w:r>
    </w:p>
    <w:p w14:paraId="435AA6B6" w14:textId="77777777" w:rsidR="00176598" w:rsidRPr="006F6171" w:rsidRDefault="00176598" w:rsidP="00176598">
      <w:pPr>
        <w:tabs>
          <w:tab w:val="left" w:pos="-720"/>
        </w:tabs>
        <w:suppressAutoHyphens/>
        <w:ind w:left="720"/>
        <w:jc w:val="both"/>
        <w:rPr>
          <w:szCs w:val="24"/>
        </w:rPr>
      </w:pPr>
    </w:p>
    <w:p w14:paraId="688D195E" w14:textId="309F9FEA" w:rsidR="00BB5EE8" w:rsidRPr="006F6171" w:rsidRDefault="00767E76" w:rsidP="00176598">
      <w:pPr>
        <w:tabs>
          <w:tab w:val="left" w:pos="-720"/>
        </w:tabs>
        <w:suppressAutoHyphens/>
        <w:ind w:left="720"/>
        <w:jc w:val="both"/>
        <w:rPr>
          <w:szCs w:val="24"/>
        </w:rPr>
      </w:pPr>
      <w:r w:rsidRPr="006F6171">
        <w:rPr>
          <w:szCs w:val="24"/>
        </w:rPr>
        <w:t>When applicable</w:t>
      </w:r>
      <w:r w:rsidR="002B0106" w:rsidRPr="006F6171">
        <w:rPr>
          <w:szCs w:val="24"/>
        </w:rPr>
        <w:t>, Projects must</w:t>
      </w:r>
      <w:r w:rsidRPr="006F6171">
        <w:rPr>
          <w:szCs w:val="24"/>
        </w:rPr>
        <w:t xml:space="preserve"> </w:t>
      </w:r>
      <w:r w:rsidR="00C20556" w:rsidRPr="006F6171">
        <w:rPr>
          <w:szCs w:val="24"/>
        </w:rPr>
        <w:t xml:space="preserve">also </w:t>
      </w:r>
      <w:r w:rsidR="00176598" w:rsidRPr="006F6171">
        <w:rPr>
          <w:szCs w:val="24"/>
        </w:rPr>
        <w:t>comply with:</w:t>
      </w:r>
    </w:p>
    <w:p w14:paraId="1E43F236" w14:textId="14EFA63D" w:rsidR="00176598" w:rsidRPr="006F6171" w:rsidRDefault="00176598" w:rsidP="00176598">
      <w:pPr>
        <w:tabs>
          <w:tab w:val="left" w:pos="-720"/>
        </w:tabs>
        <w:suppressAutoHyphens/>
        <w:ind w:left="720"/>
        <w:jc w:val="both"/>
        <w:rPr>
          <w:szCs w:val="24"/>
        </w:rPr>
      </w:pPr>
    </w:p>
    <w:p w14:paraId="0E298414" w14:textId="0D7B594E" w:rsidR="00176598" w:rsidRPr="006F6171" w:rsidRDefault="009D22E0" w:rsidP="00BE5856">
      <w:pPr>
        <w:pStyle w:val="ListParagraph"/>
        <w:numPr>
          <w:ilvl w:val="0"/>
          <w:numId w:val="43"/>
        </w:numPr>
        <w:tabs>
          <w:tab w:val="left" w:pos="-720"/>
        </w:tabs>
        <w:suppressAutoHyphens/>
        <w:jc w:val="both"/>
        <w:rPr>
          <w:szCs w:val="24"/>
        </w:rPr>
      </w:pPr>
      <w:r w:rsidRPr="006F6171">
        <w:rPr>
          <w:szCs w:val="24"/>
        </w:rPr>
        <w:t xml:space="preserve">The </w:t>
      </w:r>
      <w:r w:rsidR="00176598" w:rsidRPr="006F6171">
        <w:rPr>
          <w:szCs w:val="24"/>
        </w:rPr>
        <w:t>Build America, Buy America Act</w:t>
      </w:r>
      <w:r w:rsidRPr="006F6171">
        <w:rPr>
          <w:szCs w:val="24"/>
        </w:rPr>
        <w:t xml:space="preserve"> (BABA)</w:t>
      </w:r>
      <w:r w:rsidR="00176598" w:rsidRPr="006F6171">
        <w:rPr>
          <w:szCs w:val="24"/>
        </w:rPr>
        <w:t xml:space="preserve">, </w:t>
      </w:r>
      <w:r w:rsidR="00176598" w:rsidRPr="006F6171">
        <w:t xml:space="preserve">enacted as part of the Infrastructure Investment and Jobs Act, </w:t>
      </w:r>
      <w:hyperlink r:id="rId25" w:history="1">
        <w:r w:rsidR="00176598" w:rsidRPr="006F6171">
          <w:rPr>
            <w:rStyle w:val="Hyperlink"/>
          </w:rPr>
          <w:t>Infrastructure Investment and Jobs Act, Pub. L. 117-58</w:t>
        </w:r>
      </w:hyperlink>
      <w:r w:rsidR="00176598" w:rsidRPr="006F6171">
        <w:t xml:space="preserve"> and </w:t>
      </w:r>
      <w:hyperlink r:id="rId26" w:history="1">
        <w:r w:rsidR="00176598" w:rsidRPr="006F6171">
          <w:rPr>
            <w:rStyle w:val="Hyperlink"/>
          </w:rPr>
          <w:t>2 CFR 184</w:t>
        </w:r>
      </w:hyperlink>
      <w:r w:rsidR="00176598" w:rsidRPr="006F6171">
        <w:t>.</w:t>
      </w:r>
      <w:r w:rsidR="00C20556" w:rsidRPr="006F6171">
        <w:t xml:space="preserve"> BABA</w:t>
      </w:r>
      <w:r w:rsidR="00176598" w:rsidRPr="006F6171">
        <w:t xml:space="preserve"> </w:t>
      </w:r>
      <w:r w:rsidRPr="006F6171">
        <w:t>established a domestic content procurement preference for all Federal financial assistance obligated for infrastructure projects after May 14, 2022.  The domestic content procurement preference requires that all iron, steel, manufactured products, and construction materials used in covered infrastructure projects are produced in the United States.</w:t>
      </w:r>
      <w:r w:rsidR="00176598" w:rsidRPr="006F6171">
        <w:t xml:space="preserve"> This requirement is known as the "Buy America Preference" (BAP). </w:t>
      </w:r>
    </w:p>
    <w:p w14:paraId="501DB537" w14:textId="7ADB0185" w:rsidR="00916236" w:rsidRPr="006F6171" w:rsidRDefault="00916236" w:rsidP="00916236">
      <w:pPr>
        <w:tabs>
          <w:tab w:val="left" w:pos="-720"/>
        </w:tabs>
        <w:suppressAutoHyphens/>
        <w:jc w:val="both"/>
        <w:rPr>
          <w:szCs w:val="24"/>
        </w:rPr>
      </w:pPr>
    </w:p>
    <w:p w14:paraId="28324522" w14:textId="77777777" w:rsidR="00916236" w:rsidRPr="006F6171" w:rsidRDefault="00916236" w:rsidP="00916236">
      <w:pPr>
        <w:tabs>
          <w:tab w:val="left" w:pos="-720"/>
        </w:tabs>
        <w:suppressAutoHyphens/>
        <w:ind w:left="1080"/>
        <w:jc w:val="both"/>
        <w:rPr>
          <w:szCs w:val="24"/>
        </w:rPr>
      </w:pPr>
      <w:r w:rsidRPr="006F6171">
        <w:rPr>
          <w:szCs w:val="24"/>
        </w:rPr>
        <w:t>BABA FAQs</w:t>
      </w:r>
    </w:p>
    <w:p w14:paraId="3ED636B0" w14:textId="005C537A" w:rsidR="00916236" w:rsidRPr="006F6171" w:rsidRDefault="00AE1071" w:rsidP="00916236">
      <w:pPr>
        <w:tabs>
          <w:tab w:val="left" w:pos="-720"/>
        </w:tabs>
        <w:suppressAutoHyphens/>
        <w:ind w:left="1080"/>
        <w:jc w:val="both"/>
        <w:rPr>
          <w:szCs w:val="24"/>
        </w:rPr>
      </w:pPr>
      <w:hyperlink r:id="rId27" w:history="1">
        <w:r w:rsidRPr="006F6171">
          <w:rPr>
            <w:rStyle w:val="Hyperlink"/>
            <w:szCs w:val="24"/>
          </w:rPr>
          <w:t>https://www.hudexchange.info/baba/faqs/?utm_source=HUD+Exchange+Mailing+List&amp;utm_campaign=87c88d5f1e-BABA-FAQs-Now-Available-3.4.24&amp;utm_medium=email&amp;utm_term=0_-87c88d5f1e-%5BLIST_EMAIL_ID%5D</w:t>
        </w:r>
      </w:hyperlink>
      <w:r w:rsidRPr="006F6171">
        <w:rPr>
          <w:szCs w:val="24"/>
        </w:rPr>
        <w:t xml:space="preserve"> </w:t>
      </w:r>
    </w:p>
    <w:p w14:paraId="69BCA23E" w14:textId="77777777" w:rsidR="00176598" w:rsidRPr="006F6171" w:rsidRDefault="00176598" w:rsidP="00176598">
      <w:pPr>
        <w:pStyle w:val="ListParagraph"/>
        <w:tabs>
          <w:tab w:val="left" w:pos="-720"/>
        </w:tabs>
        <w:suppressAutoHyphens/>
        <w:ind w:left="1080"/>
        <w:jc w:val="both"/>
        <w:rPr>
          <w:szCs w:val="24"/>
        </w:rPr>
      </w:pPr>
    </w:p>
    <w:p w14:paraId="674EEC9D" w14:textId="14BE6A99" w:rsidR="00176598" w:rsidRPr="006F6171" w:rsidRDefault="00176598" w:rsidP="00BE5856">
      <w:pPr>
        <w:pStyle w:val="ListParagraph"/>
        <w:numPr>
          <w:ilvl w:val="0"/>
          <w:numId w:val="43"/>
        </w:numPr>
        <w:tabs>
          <w:tab w:val="left" w:pos="-720"/>
        </w:tabs>
        <w:suppressAutoHyphens/>
        <w:jc w:val="both"/>
        <w:rPr>
          <w:szCs w:val="24"/>
        </w:rPr>
      </w:pPr>
      <w:r w:rsidRPr="006F6171">
        <w:rPr>
          <w:szCs w:val="24"/>
        </w:rPr>
        <w:lastRenderedPageBreak/>
        <w:t>Section 3 of the Housing and Development Act of 1968 (12 U.S.C § 1701u) and its associated regulations (24 C.F.R. Part 75).</w:t>
      </w:r>
      <w:r w:rsidR="00C70AA5" w:rsidRPr="006F6171">
        <w:rPr>
          <w:szCs w:val="24"/>
        </w:rPr>
        <w:t xml:space="preserve">  </w:t>
      </w:r>
      <w:r w:rsidRPr="006F6171">
        <w:t>The Section 3 program requires that recipients of certain HUD financial assistance, to the greatest extent possible, provide training, employment, contracting and other economic opportunities to low- and very low-income persons, especially recipients of government assistance for housing, and to businesses that provide economic opportunities to low- and very low-income persons.</w:t>
      </w:r>
    </w:p>
    <w:p w14:paraId="6594F1AE" w14:textId="5D3B597F" w:rsidR="00C70AA5" w:rsidRPr="006F6171" w:rsidRDefault="00C70AA5" w:rsidP="00176598">
      <w:pPr>
        <w:pStyle w:val="ListParagraph"/>
        <w:tabs>
          <w:tab w:val="left" w:pos="-720"/>
        </w:tabs>
        <w:suppressAutoHyphens/>
        <w:ind w:left="1080"/>
        <w:jc w:val="both"/>
      </w:pPr>
    </w:p>
    <w:p w14:paraId="673085B8" w14:textId="1D82B01E" w:rsidR="00C70AA5" w:rsidRPr="006F6171" w:rsidRDefault="00C70AA5" w:rsidP="00176598">
      <w:pPr>
        <w:pStyle w:val="ListParagraph"/>
        <w:tabs>
          <w:tab w:val="left" w:pos="-720"/>
        </w:tabs>
        <w:suppressAutoHyphens/>
        <w:ind w:left="1080"/>
        <w:jc w:val="both"/>
      </w:pPr>
      <w:r w:rsidRPr="006F6171">
        <w:t xml:space="preserve">Please refer to the </w:t>
      </w:r>
      <w:r w:rsidRPr="006F6171">
        <w:rPr>
          <w:i/>
        </w:rPr>
        <w:t>Section 3 Contractor, Subcontractor and Subrecipient Package</w:t>
      </w:r>
      <w:r w:rsidRPr="006F6171">
        <w:t xml:space="preserve"> on our website:</w:t>
      </w:r>
    </w:p>
    <w:p w14:paraId="48E54F8D" w14:textId="69E4E7D0" w:rsidR="00C70AA5" w:rsidRPr="006F6171" w:rsidRDefault="00C70AA5" w:rsidP="00176598">
      <w:pPr>
        <w:pStyle w:val="ListParagraph"/>
        <w:tabs>
          <w:tab w:val="left" w:pos="-720"/>
        </w:tabs>
        <w:suppressAutoHyphens/>
        <w:ind w:left="1080"/>
        <w:jc w:val="both"/>
      </w:pPr>
      <w:r w:rsidRPr="006F6171">
        <w:t xml:space="preserve"> </w:t>
      </w:r>
      <w:hyperlink r:id="rId28" w:history="1">
        <w:r w:rsidR="002F3061" w:rsidRPr="006F6171">
          <w:rPr>
            <w:rStyle w:val="Hyperlink"/>
          </w:rPr>
          <w:t>https://mainehousing.org/docs/default-source/development/construction-services/other-documents/section-3-contractor-subcontractor-subrecipient-package.pdf?sfvrsn=26f28615_5</w:t>
        </w:r>
      </w:hyperlink>
      <w:r w:rsidR="002F3061" w:rsidRPr="006F6171">
        <w:t xml:space="preserve"> </w:t>
      </w:r>
    </w:p>
    <w:p w14:paraId="58C5D551" w14:textId="3965CCAA" w:rsidR="000F103B" w:rsidRPr="006F6171" w:rsidRDefault="000F103B" w:rsidP="009E1C14">
      <w:pPr>
        <w:tabs>
          <w:tab w:val="left" w:pos="-720"/>
        </w:tabs>
        <w:suppressAutoHyphens/>
        <w:jc w:val="both"/>
        <w:rPr>
          <w:szCs w:val="24"/>
        </w:rPr>
      </w:pPr>
    </w:p>
    <w:p w14:paraId="755B0FAD" w14:textId="6F899C99" w:rsidR="007860EE" w:rsidRPr="006F6171" w:rsidRDefault="007860EE" w:rsidP="009E1C14">
      <w:pPr>
        <w:numPr>
          <w:ilvl w:val="0"/>
          <w:numId w:val="4"/>
        </w:numPr>
        <w:tabs>
          <w:tab w:val="clear" w:pos="1440"/>
          <w:tab w:val="left" w:pos="-720"/>
        </w:tabs>
        <w:suppressAutoHyphens/>
        <w:ind w:left="720" w:hanging="720"/>
        <w:jc w:val="both"/>
        <w:rPr>
          <w:szCs w:val="24"/>
        </w:rPr>
      </w:pPr>
      <w:r w:rsidRPr="006F6171">
        <w:t>Project Amenities</w:t>
      </w:r>
      <w:r w:rsidR="00A620BF" w:rsidRPr="006F6171">
        <w:rPr>
          <w:szCs w:val="24"/>
        </w:rPr>
        <w:t>.</w:t>
      </w:r>
      <w:r w:rsidR="00BB3D09" w:rsidRPr="006F6171">
        <w:rPr>
          <w:szCs w:val="24"/>
        </w:rPr>
        <w:t xml:space="preserve"> </w:t>
      </w:r>
      <w:r w:rsidR="00A620BF" w:rsidRPr="006F6171">
        <w:rPr>
          <w:szCs w:val="24"/>
        </w:rPr>
        <w:t>The Project must have</w:t>
      </w:r>
      <w:r w:rsidRPr="006F6171">
        <w:rPr>
          <w:szCs w:val="24"/>
        </w:rPr>
        <w:t xml:space="preserve"> the following amenities and s</w:t>
      </w:r>
      <w:r w:rsidR="0085777A" w:rsidRPr="006F6171">
        <w:rPr>
          <w:szCs w:val="24"/>
        </w:rPr>
        <w:t>ervices</w:t>
      </w:r>
      <w:r w:rsidR="006D0723" w:rsidRPr="006F6171">
        <w:rPr>
          <w:szCs w:val="24"/>
        </w:rPr>
        <w:t>:</w:t>
      </w:r>
    </w:p>
    <w:p w14:paraId="417557F5" w14:textId="77777777" w:rsidR="007860EE" w:rsidRPr="006F6171" w:rsidRDefault="007860EE" w:rsidP="00E555C1">
      <w:pPr>
        <w:tabs>
          <w:tab w:val="left" w:pos="-720"/>
        </w:tabs>
        <w:suppressAutoHyphens/>
        <w:ind w:left="720" w:hanging="720"/>
        <w:jc w:val="both"/>
        <w:rPr>
          <w:szCs w:val="24"/>
        </w:rPr>
      </w:pPr>
    </w:p>
    <w:p w14:paraId="4DBC3270" w14:textId="77777777" w:rsidR="002603D4" w:rsidRPr="006F6171" w:rsidRDefault="007860EE" w:rsidP="00A8328C">
      <w:pPr>
        <w:pStyle w:val="ListParagraph"/>
        <w:numPr>
          <w:ilvl w:val="1"/>
          <w:numId w:val="1"/>
        </w:numPr>
        <w:tabs>
          <w:tab w:val="clear" w:pos="1440"/>
          <w:tab w:val="left" w:pos="-720"/>
        </w:tabs>
        <w:suppressAutoHyphens/>
        <w:ind w:left="1080"/>
        <w:jc w:val="both"/>
        <w:rPr>
          <w:szCs w:val="24"/>
        </w:rPr>
      </w:pPr>
      <w:r w:rsidRPr="006F6171">
        <w:t>Community Room</w:t>
      </w:r>
      <w:r w:rsidR="00156726" w:rsidRPr="006F6171">
        <w:rPr>
          <w:szCs w:val="24"/>
        </w:rPr>
        <w:t>.</w:t>
      </w:r>
      <w:r w:rsidR="00DB18E9" w:rsidRPr="006F6171">
        <w:rPr>
          <w:szCs w:val="24"/>
        </w:rPr>
        <w:t xml:space="preserve"> </w:t>
      </w:r>
      <w:r w:rsidR="00156726" w:rsidRPr="006F6171">
        <w:rPr>
          <w:szCs w:val="24"/>
        </w:rPr>
        <w:t xml:space="preserve">The Project must </w:t>
      </w:r>
      <w:r w:rsidRPr="006F6171">
        <w:rPr>
          <w:szCs w:val="24"/>
        </w:rPr>
        <w:t>include an on-site community room</w:t>
      </w:r>
      <w:r w:rsidR="00156726" w:rsidRPr="006F6171">
        <w:rPr>
          <w:szCs w:val="24"/>
        </w:rPr>
        <w:t xml:space="preserve"> with sufficient capacity to serve</w:t>
      </w:r>
      <w:r w:rsidR="00C14D63" w:rsidRPr="006F6171">
        <w:rPr>
          <w:szCs w:val="24"/>
        </w:rPr>
        <w:t xml:space="preserve"> </w:t>
      </w:r>
      <w:r w:rsidR="007B7B90" w:rsidRPr="006F6171">
        <w:rPr>
          <w:szCs w:val="24"/>
        </w:rPr>
        <w:t xml:space="preserve">tenants’ </w:t>
      </w:r>
      <w:r w:rsidR="00C14D63" w:rsidRPr="006F6171">
        <w:rPr>
          <w:szCs w:val="24"/>
        </w:rPr>
        <w:t>needs.</w:t>
      </w:r>
      <w:r w:rsidR="00BB3D09" w:rsidRPr="006F6171">
        <w:rPr>
          <w:szCs w:val="24"/>
        </w:rPr>
        <w:t xml:space="preserve"> </w:t>
      </w:r>
      <w:r w:rsidRPr="006F6171">
        <w:rPr>
          <w:szCs w:val="24"/>
        </w:rPr>
        <w:t xml:space="preserve">For a scattered-site Project, only one community room is required and should be centrally located to the greatest extent possible to best serve all </w:t>
      </w:r>
      <w:r w:rsidR="00C1502E" w:rsidRPr="006F6171">
        <w:rPr>
          <w:szCs w:val="24"/>
        </w:rPr>
        <w:t>tenants</w:t>
      </w:r>
      <w:r w:rsidR="002B0106" w:rsidRPr="006F6171">
        <w:rPr>
          <w:szCs w:val="24"/>
        </w:rPr>
        <w:t>.</w:t>
      </w:r>
    </w:p>
    <w:p w14:paraId="47E7C3C2" w14:textId="77777777" w:rsidR="002603D4" w:rsidRPr="006F6171" w:rsidRDefault="002603D4" w:rsidP="002603D4">
      <w:pPr>
        <w:pStyle w:val="ListParagraph"/>
        <w:tabs>
          <w:tab w:val="left" w:pos="-720"/>
        </w:tabs>
        <w:suppressAutoHyphens/>
        <w:ind w:left="1080"/>
        <w:jc w:val="both"/>
        <w:rPr>
          <w:szCs w:val="24"/>
        </w:rPr>
      </w:pPr>
    </w:p>
    <w:p w14:paraId="214DD7D9" w14:textId="77777777" w:rsidR="002603D4" w:rsidRPr="006F6171" w:rsidRDefault="007860EE" w:rsidP="00A8328C">
      <w:pPr>
        <w:pStyle w:val="ListParagraph"/>
        <w:numPr>
          <w:ilvl w:val="1"/>
          <w:numId w:val="1"/>
        </w:numPr>
        <w:tabs>
          <w:tab w:val="clear" w:pos="1440"/>
          <w:tab w:val="left" w:pos="-720"/>
        </w:tabs>
        <w:suppressAutoHyphens/>
        <w:ind w:left="1080"/>
        <w:jc w:val="both"/>
        <w:rPr>
          <w:szCs w:val="24"/>
        </w:rPr>
      </w:pPr>
      <w:r w:rsidRPr="006F6171">
        <w:t>Laundry Facilities</w:t>
      </w:r>
      <w:r w:rsidR="00DB4A08" w:rsidRPr="006F6171">
        <w:rPr>
          <w:szCs w:val="24"/>
        </w:rPr>
        <w:t>.</w:t>
      </w:r>
      <w:r w:rsidR="00BB3D09" w:rsidRPr="006F6171">
        <w:rPr>
          <w:szCs w:val="24"/>
        </w:rPr>
        <w:t xml:space="preserve"> </w:t>
      </w:r>
      <w:r w:rsidR="00DB4A08" w:rsidRPr="006F6171">
        <w:rPr>
          <w:szCs w:val="24"/>
        </w:rPr>
        <w:t>The Project must</w:t>
      </w:r>
      <w:r w:rsidR="00A61BC1" w:rsidRPr="006F6171">
        <w:rPr>
          <w:szCs w:val="24"/>
        </w:rPr>
        <w:t xml:space="preserve"> include </w:t>
      </w:r>
      <w:r w:rsidR="007B7B90" w:rsidRPr="006F6171">
        <w:rPr>
          <w:szCs w:val="24"/>
        </w:rPr>
        <w:t xml:space="preserve">either </w:t>
      </w:r>
      <w:r w:rsidRPr="006F6171">
        <w:rPr>
          <w:szCs w:val="24"/>
        </w:rPr>
        <w:t>a washer/dr</w:t>
      </w:r>
      <w:r w:rsidR="00481687" w:rsidRPr="006F6171">
        <w:rPr>
          <w:szCs w:val="24"/>
        </w:rPr>
        <w:t>yer hook-up in each unit</w:t>
      </w:r>
      <w:r w:rsidR="00A61BC1" w:rsidRPr="006F6171">
        <w:rPr>
          <w:szCs w:val="24"/>
        </w:rPr>
        <w:t xml:space="preserve"> or</w:t>
      </w:r>
      <w:r w:rsidRPr="006F6171">
        <w:rPr>
          <w:szCs w:val="24"/>
        </w:rPr>
        <w:t xml:space="preserve"> a f</w:t>
      </w:r>
      <w:r w:rsidR="00481687" w:rsidRPr="006F6171">
        <w:rPr>
          <w:szCs w:val="24"/>
        </w:rPr>
        <w:t>ully accessible</w:t>
      </w:r>
      <w:r w:rsidR="007B7B90" w:rsidRPr="006F6171">
        <w:rPr>
          <w:szCs w:val="24"/>
        </w:rPr>
        <w:t>,</w:t>
      </w:r>
      <w:r w:rsidR="00481687" w:rsidRPr="006F6171">
        <w:rPr>
          <w:szCs w:val="24"/>
        </w:rPr>
        <w:t xml:space="preserve"> </w:t>
      </w:r>
      <w:r w:rsidRPr="006F6171">
        <w:rPr>
          <w:szCs w:val="24"/>
        </w:rPr>
        <w:t xml:space="preserve">centrally located </w:t>
      </w:r>
      <w:r w:rsidR="007B7B90" w:rsidRPr="006F6171">
        <w:rPr>
          <w:szCs w:val="24"/>
        </w:rPr>
        <w:t>laundry facility</w:t>
      </w:r>
      <w:r w:rsidR="00C14D63" w:rsidRPr="006F6171">
        <w:rPr>
          <w:szCs w:val="24"/>
        </w:rPr>
        <w:t xml:space="preserve"> with sufficient capacity to serve </w:t>
      </w:r>
      <w:r w:rsidR="00624756" w:rsidRPr="006F6171">
        <w:rPr>
          <w:szCs w:val="24"/>
        </w:rPr>
        <w:t>all</w:t>
      </w:r>
      <w:r w:rsidR="00C14D63" w:rsidRPr="006F6171">
        <w:rPr>
          <w:szCs w:val="24"/>
        </w:rPr>
        <w:t xml:space="preserve"> tenants</w:t>
      </w:r>
      <w:r w:rsidR="002B0106" w:rsidRPr="006F6171">
        <w:rPr>
          <w:szCs w:val="24"/>
        </w:rPr>
        <w:t>.</w:t>
      </w:r>
    </w:p>
    <w:p w14:paraId="425E68AA" w14:textId="77777777" w:rsidR="002603D4" w:rsidRPr="006F6171" w:rsidRDefault="002603D4" w:rsidP="002603D4">
      <w:pPr>
        <w:pStyle w:val="ListParagraph"/>
      </w:pPr>
    </w:p>
    <w:p w14:paraId="0932D42A" w14:textId="27B31948" w:rsidR="00FE1BEC" w:rsidRPr="006F6171" w:rsidRDefault="00621682" w:rsidP="00621682">
      <w:pPr>
        <w:pStyle w:val="ListParagraph"/>
        <w:numPr>
          <w:ilvl w:val="1"/>
          <w:numId w:val="1"/>
        </w:numPr>
        <w:tabs>
          <w:tab w:val="clear" w:pos="1440"/>
          <w:tab w:val="left" w:pos="-720"/>
        </w:tabs>
        <w:suppressAutoHyphens/>
        <w:ind w:left="1080"/>
        <w:jc w:val="both"/>
        <w:rPr>
          <w:szCs w:val="24"/>
        </w:rPr>
      </w:pPr>
      <w:r w:rsidRPr="006F6171">
        <w:t>Broadband Access.</w:t>
      </w:r>
      <w:r w:rsidRPr="006F6171">
        <w:rPr>
          <w:rStyle w:val="Heading3Char"/>
        </w:rPr>
        <w:t xml:space="preserve"> </w:t>
      </w:r>
      <w:r w:rsidRPr="006F6171">
        <w:t>The Project must include broadband infrastructure with capacity sufficient to support the provision of T</w:t>
      </w:r>
      <w:r w:rsidR="00FE1BEC" w:rsidRPr="006F6171">
        <w:t>elehealth services.</w:t>
      </w:r>
    </w:p>
    <w:p w14:paraId="23F1E4BD" w14:textId="77777777" w:rsidR="00FE1BEC" w:rsidRPr="006F6171" w:rsidRDefault="00FE1BEC" w:rsidP="00FE1BEC">
      <w:pPr>
        <w:pStyle w:val="ListParagraph"/>
      </w:pPr>
    </w:p>
    <w:p w14:paraId="47B65B25" w14:textId="2D68BB38" w:rsidR="00621682" w:rsidRPr="006F6171" w:rsidRDefault="00FE1BEC" w:rsidP="00621682">
      <w:pPr>
        <w:pStyle w:val="ListParagraph"/>
        <w:tabs>
          <w:tab w:val="left" w:pos="-720"/>
        </w:tabs>
        <w:suppressAutoHyphens/>
        <w:ind w:left="1080"/>
        <w:jc w:val="both"/>
        <w:rPr>
          <w:szCs w:val="24"/>
        </w:rPr>
      </w:pPr>
      <w:r w:rsidRPr="006F6171">
        <w:t xml:space="preserve">Broadband infrastructure </w:t>
      </w:r>
      <w:r w:rsidR="00621682" w:rsidRPr="006F6171">
        <w:t xml:space="preserve">includes cables, fiber optics, CAT5e (or greater) interior wiring, or other permanent (integral to the structure) infrastructure, including wireless infrastructure, as long as the installation results in broadband infrastructure in each dwelling unit  sufficient for the build-to standard of The Maine Connectivity Authority.  </w:t>
      </w:r>
    </w:p>
    <w:p w14:paraId="39D37302" w14:textId="77777777" w:rsidR="00621682" w:rsidRPr="006F6171" w:rsidRDefault="00621682" w:rsidP="00621682">
      <w:pPr>
        <w:pStyle w:val="ListParagraph"/>
      </w:pPr>
    </w:p>
    <w:p w14:paraId="7FEFE206" w14:textId="12512036" w:rsidR="00621682" w:rsidRPr="006F6171" w:rsidRDefault="00FE1BEC" w:rsidP="00621682">
      <w:pPr>
        <w:pStyle w:val="ListParagraph"/>
        <w:tabs>
          <w:tab w:val="left" w:pos="-720"/>
        </w:tabs>
        <w:suppressAutoHyphens/>
        <w:ind w:left="1080"/>
        <w:jc w:val="both"/>
        <w:rPr>
          <w:szCs w:val="24"/>
        </w:rPr>
      </w:pPr>
      <w:r w:rsidRPr="006F6171">
        <w:t>H</w:t>
      </w:r>
      <w:r w:rsidR="00621682" w:rsidRPr="006F6171">
        <w:t xml:space="preserve">ealthcare service providers and the tenants </w:t>
      </w:r>
      <w:r w:rsidRPr="006F6171">
        <w:t xml:space="preserve">receiving care </w:t>
      </w:r>
      <w:r w:rsidR="00621682" w:rsidRPr="006F6171">
        <w:t>may not be charged for the use of the internet or wireless and telephone services provided for telemedicine services.</w:t>
      </w:r>
    </w:p>
    <w:p w14:paraId="6F4CF9C0" w14:textId="77777777" w:rsidR="00621682" w:rsidRPr="006F6171" w:rsidRDefault="00621682" w:rsidP="00621682">
      <w:pPr>
        <w:pStyle w:val="ListParagraph"/>
        <w:tabs>
          <w:tab w:val="left" w:pos="-720"/>
        </w:tabs>
        <w:suppressAutoHyphens/>
        <w:ind w:left="1080"/>
        <w:jc w:val="both"/>
        <w:rPr>
          <w:szCs w:val="24"/>
        </w:rPr>
      </w:pPr>
    </w:p>
    <w:p w14:paraId="4655E6F8" w14:textId="77777777" w:rsidR="009C5D06" w:rsidRPr="006F6171" w:rsidRDefault="00050D6C" w:rsidP="00A8328C">
      <w:pPr>
        <w:pStyle w:val="ListParagraph"/>
        <w:numPr>
          <w:ilvl w:val="1"/>
          <w:numId w:val="1"/>
        </w:numPr>
        <w:tabs>
          <w:tab w:val="clear" w:pos="1440"/>
          <w:tab w:val="left" w:pos="-720"/>
        </w:tabs>
        <w:suppressAutoHyphens/>
        <w:ind w:left="1080"/>
        <w:jc w:val="both"/>
        <w:rPr>
          <w:rStyle w:val="Heading3Char"/>
        </w:rPr>
      </w:pPr>
      <w:r w:rsidRPr="006F6171">
        <w:t>S</w:t>
      </w:r>
      <w:r w:rsidR="00714C09" w:rsidRPr="006F6171">
        <w:t>hared Facilities.</w:t>
      </w:r>
      <w:r w:rsidR="00DB18E9" w:rsidRPr="006F6171">
        <w:t xml:space="preserve"> </w:t>
      </w:r>
      <w:r w:rsidR="009C5D06" w:rsidRPr="006F6171">
        <w:rPr>
          <w:rStyle w:val="Heading3Char"/>
          <w:b w:val="0"/>
        </w:rPr>
        <w:t xml:space="preserve">An </w:t>
      </w:r>
      <w:r w:rsidR="0032432D" w:rsidRPr="006F6171">
        <w:rPr>
          <w:rStyle w:val="Heading3Char"/>
          <w:b w:val="0"/>
        </w:rPr>
        <w:t xml:space="preserve">amenity </w:t>
      </w:r>
      <w:r w:rsidR="007E773B" w:rsidRPr="006F6171">
        <w:rPr>
          <w:rStyle w:val="Heading3Char"/>
          <w:b w:val="0"/>
        </w:rPr>
        <w:t>will meet the requirements</w:t>
      </w:r>
      <w:r w:rsidR="00AD6F94" w:rsidRPr="006F6171">
        <w:rPr>
          <w:rStyle w:val="Heading3Char"/>
          <w:b w:val="0"/>
        </w:rPr>
        <w:t xml:space="preserve"> </w:t>
      </w:r>
      <w:r w:rsidR="007E773B" w:rsidRPr="006F6171">
        <w:rPr>
          <w:rStyle w:val="Heading3Char"/>
          <w:b w:val="0"/>
        </w:rPr>
        <w:t>if</w:t>
      </w:r>
      <w:r w:rsidR="00AD6F94" w:rsidRPr="006F6171">
        <w:rPr>
          <w:rStyle w:val="Heading3Char"/>
          <w:b w:val="0"/>
        </w:rPr>
        <w:t xml:space="preserve"> </w:t>
      </w:r>
      <w:r w:rsidR="00DF60B1" w:rsidRPr="006F6171">
        <w:rPr>
          <w:rStyle w:val="Heading3Char"/>
          <w:b w:val="0"/>
        </w:rPr>
        <w:t xml:space="preserve">the </w:t>
      </w:r>
      <w:r w:rsidR="002B0106" w:rsidRPr="006F6171">
        <w:rPr>
          <w:rStyle w:val="Heading3Char"/>
          <w:b w:val="0"/>
        </w:rPr>
        <w:t>amenity:</w:t>
      </w:r>
    </w:p>
    <w:p w14:paraId="688AA57D" w14:textId="77777777" w:rsidR="0032432D" w:rsidRPr="006F6171" w:rsidRDefault="00AB6B7F" w:rsidP="00527B06">
      <w:pPr>
        <w:rPr>
          <w:rStyle w:val="Heading3Char"/>
        </w:rPr>
      </w:pPr>
      <w:r w:rsidRPr="006F6171">
        <w:rPr>
          <w:rStyle w:val="Heading3Char"/>
          <w:b w:val="0"/>
        </w:rPr>
        <w:t xml:space="preserve"> </w:t>
      </w:r>
    </w:p>
    <w:p w14:paraId="29FB8DBE" w14:textId="77777777" w:rsidR="0032432D" w:rsidRPr="006F6171" w:rsidRDefault="00E534DF" w:rsidP="00A8328C">
      <w:pPr>
        <w:pStyle w:val="ListParagraph"/>
        <w:numPr>
          <w:ilvl w:val="4"/>
          <w:numId w:val="16"/>
        </w:numPr>
        <w:tabs>
          <w:tab w:val="left" w:pos="-720"/>
        </w:tabs>
        <w:suppressAutoHyphens/>
        <w:ind w:left="1440"/>
        <w:jc w:val="both"/>
        <w:rPr>
          <w:b/>
          <w:szCs w:val="24"/>
        </w:rPr>
      </w:pPr>
      <w:r w:rsidRPr="006F6171">
        <w:t>is</w:t>
      </w:r>
      <w:r w:rsidR="00BF36A6" w:rsidRPr="006F6171">
        <w:t xml:space="preserve"> </w:t>
      </w:r>
      <w:r w:rsidR="00317898" w:rsidRPr="006F6171">
        <w:rPr>
          <w:szCs w:val="24"/>
        </w:rPr>
        <w:t>fully accessible and located on an accessi</w:t>
      </w:r>
      <w:r w:rsidR="005464F4" w:rsidRPr="006F6171">
        <w:rPr>
          <w:szCs w:val="24"/>
        </w:rPr>
        <w:t>ble pa</w:t>
      </w:r>
      <w:r w:rsidR="0093413B" w:rsidRPr="006F6171">
        <w:rPr>
          <w:szCs w:val="24"/>
        </w:rPr>
        <w:t>th to the Project</w:t>
      </w:r>
      <w:r w:rsidR="006D0723" w:rsidRPr="006F6171">
        <w:rPr>
          <w:szCs w:val="24"/>
        </w:rPr>
        <w:t>,</w:t>
      </w:r>
    </w:p>
    <w:p w14:paraId="7BAF9230" w14:textId="77777777" w:rsidR="003A0569" w:rsidRPr="006F6171" w:rsidRDefault="00AB6B7F" w:rsidP="00A8328C">
      <w:pPr>
        <w:pStyle w:val="ListParagraph"/>
        <w:numPr>
          <w:ilvl w:val="4"/>
          <w:numId w:val="16"/>
        </w:numPr>
        <w:tabs>
          <w:tab w:val="left" w:pos="-720"/>
        </w:tabs>
        <w:suppressAutoHyphens/>
        <w:ind w:left="1440"/>
        <w:jc w:val="both"/>
        <w:rPr>
          <w:b/>
          <w:szCs w:val="24"/>
        </w:rPr>
      </w:pPr>
      <w:r w:rsidRPr="006F6171">
        <w:rPr>
          <w:szCs w:val="24"/>
        </w:rPr>
        <w:t xml:space="preserve">is within an existing </w:t>
      </w:r>
      <w:r w:rsidR="00020471" w:rsidRPr="006F6171">
        <w:rPr>
          <w:szCs w:val="24"/>
        </w:rPr>
        <w:t>multifamily</w:t>
      </w:r>
      <w:r w:rsidRPr="006F6171">
        <w:rPr>
          <w:szCs w:val="24"/>
        </w:rPr>
        <w:t xml:space="preserve"> housing proje</w:t>
      </w:r>
      <w:r w:rsidR="0093413B" w:rsidRPr="006F6171">
        <w:rPr>
          <w:szCs w:val="24"/>
        </w:rPr>
        <w:t>ct adjacent to the subject site</w:t>
      </w:r>
      <w:r w:rsidR="006D0723" w:rsidRPr="006F6171">
        <w:rPr>
          <w:szCs w:val="24"/>
        </w:rPr>
        <w:t>,</w:t>
      </w:r>
    </w:p>
    <w:p w14:paraId="19882F21" w14:textId="77777777" w:rsidR="0093413B" w:rsidRPr="006F6171" w:rsidRDefault="0093413B" w:rsidP="00E555C1">
      <w:pPr>
        <w:pStyle w:val="ListParagraph"/>
        <w:rPr>
          <w:b/>
          <w:szCs w:val="24"/>
        </w:rPr>
      </w:pPr>
    </w:p>
    <w:p w14:paraId="1884C9DA" w14:textId="77777777" w:rsidR="0032432D" w:rsidRPr="006F6171" w:rsidRDefault="00E534DF" w:rsidP="00A8328C">
      <w:pPr>
        <w:pStyle w:val="ListParagraph"/>
        <w:numPr>
          <w:ilvl w:val="4"/>
          <w:numId w:val="16"/>
        </w:numPr>
        <w:tabs>
          <w:tab w:val="left" w:pos="-720"/>
        </w:tabs>
        <w:suppressAutoHyphens/>
        <w:ind w:left="1440"/>
        <w:jc w:val="both"/>
        <w:rPr>
          <w:b/>
          <w:szCs w:val="24"/>
        </w:rPr>
      </w:pPr>
      <w:r w:rsidRPr="006F6171">
        <w:rPr>
          <w:szCs w:val="24"/>
        </w:rPr>
        <w:t>has</w:t>
      </w:r>
      <w:r w:rsidR="00BF36A6" w:rsidRPr="006F6171">
        <w:rPr>
          <w:szCs w:val="24"/>
        </w:rPr>
        <w:t xml:space="preserve"> </w:t>
      </w:r>
      <w:r w:rsidR="00317898" w:rsidRPr="006F6171">
        <w:rPr>
          <w:szCs w:val="24"/>
        </w:rPr>
        <w:t xml:space="preserve">sufficient capacity to serve </w:t>
      </w:r>
      <w:r w:rsidR="003A0569" w:rsidRPr="006F6171">
        <w:rPr>
          <w:szCs w:val="24"/>
        </w:rPr>
        <w:t xml:space="preserve">both </w:t>
      </w:r>
      <w:r w:rsidR="00317898" w:rsidRPr="006F6171">
        <w:rPr>
          <w:szCs w:val="24"/>
        </w:rPr>
        <w:t xml:space="preserve">the </w:t>
      </w:r>
      <w:r w:rsidR="003A0569" w:rsidRPr="006F6171">
        <w:rPr>
          <w:szCs w:val="24"/>
        </w:rPr>
        <w:t xml:space="preserve">Project’s </w:t>
      </w:r>
      <w:r w:rsidR="00317898" w:rsidRPr="006F6171">
        <w:rPr>
          <w:szCs w:val="24"/>
        </w:rPr>
        <w:t>tenants and the existi</w:t>
      </w:r>
      <w:r w:rsidR="0093413B" w:rsidRPr="006F6171">
        <w:rPr>
          <w:szCs w:val="24"/>
        </w:rPr>
        <w:t>ng project</w:t>
      </w:r>
      <w:r w:rsidR="006D0723" w:rsidRPr="006F6171">
        <w:rPr>
          <w:szCs w:val="24"/>
        </w:rPr>
        <w:t>,</w:t>
      </w:r>
    </w:p>
    <w:p w14:paraId="394060E6" w14:textId="77777777" w:rsidR="0093413B" w:rsidRPr="006F6171" w:rsidRDefault="0093413B" w:rsidP="00E555C1">
      <w:pPr>
        <w:pStyle w:val="ListParagraph"/>
        <w:rPr>
          <w:b/>
          <w:szCs w:val="24"/>
        </w:rPr>
      </w:pPr>
    </w:p>
    <w:p w14:paraId="75D233F0" w14:textId="77777777" w:rsidR="0032432D" w:rsidRPr="006F6171" w:rsidRDefault="0078182C" w:rsidP="00A8328C">
      <w:pPr>
        <w:pStyle w:val="ListParagraph"/>
        <w:numPr>
          <w:ilvl w:val="4"/>
          <w:numId w:val="16"/>
        </w:numPr>
        <w:tabs>
          <w:tab w:val="left" w:pos="-720"/>
        </w:tabs>
        <w:suppressAutoHyphens/>
        <w:ind w:left="1440"/>
        <w:jc w:val="both"/>
        <w:rPr>
          <w:b/>
          <w:szCs w:val="24"/>
        </w:rPr>
      </w:pPr>
      <w:r w:rsidRPr="006F6171">
        <w:rPr>
          <w:szCs w:val="24"/>
        </w:rPr>
        <w:t xml:space="preserve">will be available to the </w:t>
      </w:r>
      <w:r w:rsidR="00AB6B7F" w:rsidRPr="006F6171">
        <w:rPr>
          <w:szCs w:val="24"/>
        </w:rPr>
        <w:t xml:space="preserve">Project’s </w:t>
      </w:r>
      <w:r w:rsidRPr="006F6171">
        <w:rPr>
          <w:szCs w:val="24"/>
        </w:rPr>
        <w:t>tenants during the Compliance Period</w:t>
      </w:r>
      <w:r w:rsidR="00B31A1E" w:rsidRPr="006F6171">
        <w:rPr>
          <w:szCs w:val="24"/>
        </w:rPr>
        <w:t xml:space="preserve"> on the same terms </w:t>
      </w:r>
      <w:r w:rsidR="00BF36A6" w:rsidRPr="006F6171">
        <w:rPr>
          <w:szCs w:val="24"/>
        </w:rPr>
        <w:t>as the residents</w:t>
      </w:r>
      <w:r w:rsidRPr="006F6171">
        <w:rPr>
          <w:szCs w:val="24"/>
        </w:rPr>
        <w:t xml:space="preserve"> of the existing </w:t>
      </w:r>
      <w:r w:rsidR="00020471" w:rsidRPr="006F6171">
        <w:rPr>
          <w:szCs w:val="24"/>
        </w:rPr>
        <w:t>multifamily</w:t>
      </w:r>
      <w:r w:rsidRPr="006F6171">
        <w:rPr>
          <w:szCs w:val="24"/>
        </w:rPr>
        <w:t xml:space="preserve"> project</w:t>
      </w:r>
      <w:r w:rsidR="00AB6B7F" w:rsidRPr="006F6171">
        <w:rPr>
          <w:szCs w:val="24"/>
        </w:rPr>
        <w:t>, and</w:t>
      </w:r>
    </w:p>
    <w:p w14:paraId="1C1F7CF8" w14:textId="77777777" w:rsidR="0093413B" w:rsidRPr="006F6171" w:rsidRDefault="0093413B" w:rsidP="00E555C1">
      <w:pPr>
        <w:pStyle w:val="ListParagraph"/>
        <w:rPr>
          <w:b/>
          <w:szCs w:val="24"/>
        </w:rPr>
      </w:pPr>
    </w:p>
    <w:p w14:paraId="7F09F674" w14:textId="77777777" w:rsidR="0032432D" w:rsidRPr="006F6171" w:rsidRDefault="00DF60B1" w:rsidP="00A8328C">
      <w:pPr>
        <w:pStyle w:val="ListParagraph"/>
        <w:numPr>
          <w:ilvl w:val="4"/>
          <w:numId w:val="16"/>
        </w:numPr>
        <w:tabs>
          <w:tab w:val="left" w:pos="-720"/>
        </w:tabs>
        <w:suppressAutoHyphens/>
        <w:ind w:left="1440"/>
        <w:jc w:val="both"/>
        <w:rPr>
          <w:rStyle w:val="Heading3Char"/>
        </w:rPr>
      </w:pPr>
      <w:r w:rsidRPr="006F6171">
        <w:rPr>
          <w:szCs w:val="24"/>
        </w:rPr>
        <w:lastRenderedPageBreak/>
        <w:t>will not charge the</w:t>
      </w:r>
      <w:r w:rsidR="00AB6B7F" w:rsidRPr="006F6171">
        <w:rPr>
          <w:szCs w:val="24"/>
        </w:rPr>
        <w:t xml:space="preserve"> tenants </w:t>
      </w:r>
      <w:r w:rsidR="00E534DF" w:rsidRPr="006F6171">
        <w:rPr>
          <w:szCs w:val="24"/>
        </w:rPr>
        <w:t xml:space="preserve">to use </w:t>
      </w:r>
      <w:r w:rsidR="00AB6B7F" w:rsidRPr="006F6171">
        <w:rPr>
          <w:szCs w:val="24"/>
        </w:rPr>
        <w:t xml:space="preserve">the </w:t>
      </w:r>
      <w:r w:rsidR="00C321FE" w:rsidRPr="006F6171">
        <w:rPr>
          <w:szCs w:val="24"/>
        </w:rPr>
        <w:t xml:space="preserve">shared </w:t>
      </w:r>
      <w:r w:rsidR="00E534DF" w:rsidRPr="006F6171">
        <w:rPr>
          <w:szCs w:val="24"/>
        </w:rPr>
        <w:t>amenit</w:t>
      </w:r>
      <w:r w:rsidR="00AB6B7F" w:rsidRPr="006F6171">
        <w:rPr>
          <w:szCs w:val="24"/>
        </w:rPr>
        <w:t>y</w:t>
      </w:r>
      <w:r w:rsidR="00E534DF" w:rsidRPr="006F6171">
        <w:rPr>
          <w:szCs w:val="24"/>
        </w:rPr>
        <w:t xml:space="preserve"> </w:t>
      </w:r>
      <w:r w:rsidR="00AB6B7F" w:rsidRPr="006F6171">
        <w:rPr>
          <w:szCs w:val="24"/>
        </w:rPr>
        <w:t xml:space="preserve">other than </w:t>
      </w:r>
      <w:r w:rsidR="00C321FE" w:rsidRPr="006F6171">
        <w:rPr>
          <w:szCs w:val="24"/>
        </w:rPr>
        <w:t>a</w:t>
      </w:r>
      <w:r w:rsidR="00BF36A6" w:rsidRPr="006F6171">
        <w:rPr>
          <w:szCs w:val="24"/>
        </w:rPr>
        <w:t xml:space="preserve"> reasonable </w:t>
      </w:r>
      <w:r w:rsidR="00B31A1E" w:rsidRPr="006F6171">
        <w:rPr>
          <w:szCs w:val="24"/>
        </w:rPr>
        <w:t>fee that does not</w:t>
      </w:r>
      <w:r w:rsidR="00BF36A6" w:rsidRPr="006F6171">
        <w:rPr>
          <w:szCs w:val="24"/>
        </w:rPr>
        <w:t xml:space="preserve"> exceed the amo</w:t>
      </w:r>
      <w:r w:rsidR="00B31A1E" w:rsidRPr="006F6171">
        <w:rPr>
          <w:szCs w:val="24"/>
        </w:rPr>
        <w:t>unt charged to any other</w:t>
      </w:r>
      <w:r w:rsidR="00FF0878" w:rsidRPr="006F6171">
        <w:rPr>
          <w:szCs w:val="24"/>
        </w:rPr>
        <w:t>s for the same use</w:t>
      </w:r>
      <w:r w:rsidR="00C321FE" w:rsidRPr="006F6171">
        <w:rPr>
          <w:szCs w:val="24"/>
        </w:rPr>
        <w:t>.</w:t>
      </w:r>
      <w:r w:rsidR="0032432D" w:rsidRPr="006F6171">
        <w:rPr>
          <w:rStyle w:val="Heading3Char"/>
        </w:rPr>
        <w:t xml:space="preserve"> </w:t>
      </w:r>
    </w:p>
    <w:p w14:paraId="3C40C178" w14:textId="77777777" w:rsidR="00050D6C" w:rsidRPr="006F6171" w:rsidRDefault="00050D6C" w:rsidP="00E555C1">
      <w:pPr>
        <w:suppressAutoHyphens/>
        <w:ind w:left="1080" w:hanging="360"/>
        <w:jc w:val="both"/>
        <w:rPr>
          <w:rStyle w:val="Heading3Char"/>
        </w:rPr>
      </w:pPr>
    </w:p>
    <w:p w14:paraId="1B4ADFDA" w14:textId="77777777" w:rsidR="007860EE" w:rsidRPr="006F6171" w:rsidRDefault="00A2164F" w:rsidP="00A8328C">
      <w:pPr>
        <w:pStyle w:val="ListParagraph"/>
        <w:numPr>
          <w:ilvl w:val="1"/>
          <w:numId w:val="1"/>
        </w:numPr>
        <w:tabs>
          <w:tab w:val="clear" w:pos="1440"/>
          <w:tab w:val="left" w:pos="-720"/>
        </w:tabs>
        <w:suppressAutoHyphens/>
        <w:ind w:left="1080"/>
        <w:jc w:val="both"/>
        <w:rPr>
          <w:szCs w:val="24"/>
        </w:rPr>
      </w:pPr>
      <w:r w:rsidRPr="006F6171">
        <w:t>Recreational</w:t>
      </w:r>
      <w:r w:rsidR="007860EE" w:rsidRPr="006F6171">
        <w:t xml:space="preserve"> Activities</w:t>
      </w:r>
      <w:r w:rsidR="007860EE" w:rsidRPr="006F6171">
        <w:rPr>
          <w:szCs w:val="24"/>
        </w:rPr>
        <w:t>.</w:t>
      </w:r>
      <w:r w:rsidR="00DB18E9" w:rsidRPr="006F6171">
        <w:rPr>
          <w:szCs w:val="24"/>
        </w:rPr>
        <w:t xml:space="preserve"> </w:t>
      </w:r>
      <w:r w:rsidR="007860EE" w:rsidRPr="006F6171">
        <w:rPr>
          <w:szCs w:val="24"/>
        </w:rPr>
        <w:t xml:space="preserve">An area(s) of </w:t>
      </w:r>
      <w:r w:rsidRPr="006F6171">
        <w:rPr>
          <w:szCs w:val="24"/>
        </w:rPr>
        <w:t xml:space="preserve">recreational </w:t>
      </w:r>
      <w:r w:rsidR="007860EE" w:rsidRPr="006F6171">
        <w:rPr>
          <w:szCs w:val="24"/>
        </w:rPr>
        <w:t>activity must be located on the Project site or within</w:t>
      </w:r>
      <w:r w:rsidR="002D449B" w:rsidRPr="006F6171">
        <w:rPr>
          <w:szCs w:val="24"/>
        </w:rPr>
        <w:t xml:space="preserve"> a </w:t>
      </w:r>
      <w:r w:rsidRPr="006F6171">
        <w:rPr>
          <w:szCs w:val="24"/>
        </w:rPr>
        <w:t>½ mile.</w:t>
      </w:r>
      <w:r w:rsidR="00BB3D09" w:rsidRPr="006F6171">
        <w:rPr>
          <w:szCs w:val="24"/>
        </w:rPr>
        <w:t xml:space="preserve"> </w:t>
      </w:r>
      <w:r w:rsidRPr="006F6171">
        <w:rPr>
          <w:szCs w:val="24"/>
        </w:rPr>
        <w:t>The</w:t>
      </w:r>
      <w:r w:rsidR="00B31A1E" w:rsidRPr="006F6171">
        <w:rPr>
          <w:szCs w:val="24"/>
        </w:rPr>
        <w:t xml:space="preserve"> area(s) and activities</w:t>
      </w:r>
      <w:r w:rsidR="007860EE" w:rsidRPr="006F6171">
        <w:rPr>
          <w:szCs w:val="24"/>
        </w:rPr>
        <w:t xml:space="preserve"> must be free of charge to</w:t>
      </w:r>
      <w:r w:rsidRPr="006F6171">
        <w:rPr>
          <w:szCs w:val="24"/>
        </w:rPr>
        <w:t xml:space="preserve"> the tenants and </w:t>
      </w:r>
      <w:r w:rsidR="007860EE" w:rsidRPr="006F6171">
        <w:rPr>
          <w:szCs w:val="24"/>
        </w:rPr>
        <w:t>not require membership</w:t>
      </w:r>
      <w:r w:rsidR="00C55566" w:rsidRPr="006F6171">
        <w:rPr>
          <w:szCs w:val="24"/>
        </w:rPr>
        <w:t>.</w:t>
      </w:r>
      <w:r w:rsidR="00BB3D09" w:rsidRPr="006F6171">
        <w:rPr>
          <w:szCs w:val="24"/>
        </w:rPr>
        <w:t xml:space="preserve"> </w:t>
      </w:r>
      <w:r w:rsidR="007860EE" w:rsidRPr="006F6171">
        <w:rPr>
          <w:szCs w:val="24"/>
        </w:rPr>
        <w:t>Projects with single-family detached style units satisfy this requirement if each unit has a private lawn with sufficient room for play</w:t>
      </w:r>
      <w:r w:rsidR="00B31A1E" w:rsidRPr="006F6171">
        <w:rPr>
          <w:szCs w:val="24"/>
        </w:rPr>
        <w:t>ground</w:t>
      </w:r>
      <w:r w:rsidR="007860EE" w:rsidRPr="006F6171">
        <w:rPr>
          <w:szCs w:val="24"/>
        </w:rPr>
        <w:t xml:space="preserve"> equipment, gardening or ot</w:t>
      </w:r>
      <w:r w:rsidR="00B31A1E" w:rsidRPr="006F6171">
        <w:rPr>
          <w:szCs w:val="24"/>
        </w:rPr>
        <w:t>her activities acceptable to</w:t>
      </w:r>
      <w:r w:rsidR="007860EE" w:rsidRPr="006F6171">
        <w:rPr>
          <w:szCs w:val="24"/>
        </w:rPr>
        <w:t xml:space="preserve"> MaineHousing.</w:t>
      </w:r>
    </w:p>
    <w:p w14:paraId="227A7E12" w14:textId="77777777" w:rsidR="00DA274F" w:rsidRPr="006F6171" w:rsidRDefault="00DA274F" w:rsidP="00E555C1">
      <w:pPr>
        <w:pStyle w:val="ListParagraph"/>
        <w:tabs>
          <w:tab w:val="left" w:pos="-720"/>
        </w:tabs>
        <w:suppressAutoHyphens/>
        <w:ind w:left="1080"/>
        <w:jc w:val="both"/>
        <w:rPr>
          <w:szCs w:val="24"/>
        </w:rPr>
      </w:pPr>
    </w:p>
    <w:p w14:paraId="50434424" w14:textId="77777777" w:rsidR="007860EE" w:rsidRPr="006F6171" w:rsidRDefault="007860EE" w:rsidP="00A8328C">
      <w:pPr>
        <w:pStyle w:val="ListParagraph"/>
        <w:numPr>
          <w:ilvl w:val="1"/>
          <w:numId w:val="1"/>
        </w:numPr>
        <w:tabs>
          <w:tab w:val="clear" w:pos="1440"/>
          <w:tab w:val="left" w:pos="-720"/>
        </w:tabs>
        <w:suppressAutoHyphens/>
        <w:ind w:left="1080"/>
        <w:jc w:val="both"/>
        <w:rPr>
          <w:szCs w:val="24"/>
        </w:rPr>
      </w:pPr>
      <w:r w:rsidRPr="006F6171">
        <w:t>Exceptions</w:t>
      </w:r>
      <w:r w:rsidRPr="006F6171">
        <w:rPr>
          <w:szCs w:val="24"/>
        </w:rPr>
        <w:t>.</w:t>
      </w:r>
      <w:r w:rsidR="00DB18E9" w:rsidRPr="006F6171">
        <w:rPr>
          <w:szCs w:val="24"/>
        </w:rPr>
        <w:t xml:space="preserve"> </w:t>
      </w:r>
      <w:r w:rsidRPr="006F6171">
        <w:rPr>
          <w:szCs w:val="24"/>
        </w:rPr>
        <w:t>The requiremen</w:t>
      </w:r>
      <w:r w:rsidR="00EE7C94" w:rsidRPr="006F6171">
        <w:rPr>
          <w:szCs w:val="24"/>
        </w:rPr>
        <w:t xml:space="preserve">ts </w:t>
      </w:r>
      <w:r w:rsidR="005A60CF" w:rsidRPr="006F6171">
        <w:rPr>
          <w:szCs w:val="24"/>
        </w:rPr>
        <w:t>of this subsection</w:t>
      </w:r>
      <w:r w:rsidRPr="006F6171">
        <w:rPr>
          <w:szCs w:val="24"/>
        </w:rPr>
        <w:t xml:space="preserve"> do not apply to existing multifamily housing projects if the Applicant can</w:t>
      </w:r>
      <w:r w:rsidR="00B31A1E" w:rsidRPr="006F6171">
        <w:rPr>
          <w:szCs w:val="24"/>
        </w:rPr>
        <w:t xml:space="preserve">not </w:t>
      </w:r>
      <w:r w:rsidRPr="006F6171">
        <w:rPr>
          <w:szCs w:val="24"/>
        </w:rPr>
        <w:t>comply with the requirements because of the nature of the s</w:t>
      </w:r>
      <w:r w:rsidR="00C1502E" w:rsidRPr="006F6171">
        <w:rPr>
          <w:szCs w:val="24"/>
        </w:rPr>
        <w:t xml:space="preserve">ite, structural limitations, </w:t>
      </w:r>
      <w:r w:rsidRPr="006F6171">
        <w:rPr>
          <w:szCs w:val="24"/>
        </w:rPr>
        <w:t>zoning restrictions or other land use limitations.</w:t>
      </w:r>
      <w:r w:rsidR="00BB3D09" w:rsidRPr="006F6171">
        <w:rPr>
          <w:szCs w:val="24"/>
        </w:rPr>
        <w:t xml:space="preserve"> </w:t>
      </w:r>
    </w:p>
    <w:p w14:paraId="3F99FD7B" w14:textId="77777777" w:rsidR="007860EE" w:rsidRPr="006F6171" w:rsidRDefault="007860EE" w:rsidP="00E555C1">
      <w:pPr>
        <w:tabs>
          <w:tab w:val="left" w:pos="-720"/>
        </w:tabs>
        <w:suppressAutoHyphens/>
        <w:ind w:left="720" w:hanging="720"/>
        <w:jc w:val="both"/>
        <w:rPr>
          <w:szCs w:val="24"/>
        </w:rPr>
      </w:pPr>
    </w:p>
    <w:p w14:paraId="0FCB82F1" w14:textId="13CE56DC" w:rsidR="002F3061" w:rsidRPr="006F6171" w:rsidRDefault="00995E15" w:rsidP="00A8328C">
      <w:pPr>
        <w:numPr>
          <w:ilvl w:val="0"/>
          <w:numId w:val="4"/>
        </w:numPr>
        <w:tabs>
          <w:tab w:val="clear" w:pos="1440"/>
          <w:tab w:val="left" w:pos="-720"/>
        </w:tabs>
        <w:suppressAutoHyphens/>
        <w:ind w:left="720" w:hanging="720"/>
        <w:jc w:val="both"/>
      </w:pPr>
      <w:r w:rsidRPr="006F6171">
        <w:t>Resident Service Coordination.</w:t>
      </w:r>
      <w:r w:rsidR="00BB3D09" w:rsidRPr="006F6171">
        <w:t xml:space="preserve"> </w:t>
      </w:r>
      <w:r w:rsidRPr="006F6171">
        <w:t xml:space="preserve">The Applicant must make a resident service coordinator available </w:t>
      </w:r>
      <w:r w:rsidR="006F1B11" w:rsidRPr="006F6171">
        <w:t xml:space="preserve">twice weekly </w:t>
      </w:r>
      <w:r w:rsidRPr="006F6171">
        <w:t xml:space="preserve">to the </w:t>
      </w:r>
      <w:r w:rsidR="00C1502E" w:rsidRPr="006F6171">
        <w:t>tenants</w:t>
      </w:r>
      <w:r w:rsidRPr="006F6171">
        <w:t xml:space="preserve"> on-site a minimum of one</w:t>
      </w:r>
      <w:r w:rsidR="00C1502E" w:rsidRPr="006F6171">
        <w:t xml:space="preserve"> (1)</w:t>
      </w:r>
      <w:r w:rsidRPr="006F6171">
        <w:t xml:space="preserve"> hour per week for </w:t>
      </w:r>
      <w:r w:rsidR="00C321FE" w:rsidRPr="006F6171">
        <w:t>every five (5) Credit U</w:t>
      </w:r>
      <w:r w:rsidR="0093484B" w:rsidRPr="006F6171">
        <w:t>nits</w:t>
      </w:r>
      <w:r w:rsidRPr="006F6171">
        <w:t>.</w:t>
      </w:r>
      <w:r w:rsidR="00BB3D09" w:rsidRPr="006F6171">
        <w:t xml:space="preserve"> </w:t>
      </w:r>
      <w:r w:rsidRPr="006F6171">
        <w:t xml:space="preserve">The coordinator shall meet with </w:t>
      </w:r>
      <w:r w:rsidR="00C1502E" w:rsidRPr="006F6171">
        <w:t>tenants</w:t>
      </w:r>
      <w:r w:rsidR="002E3D70" w:rsidRPr="006F6171">
        <w:t xml:space="preserve"> in a private and confidential manner</w:t>
      </w:r>
      <w:r w:rsidRPr="006F6171">
        <w:t xml:space="preserve"> to evaluate individual needs and </w:t>
      </w:r>
      <w:r w:rsidR="00F323D5" w:rsidRPr="006F6171">
        <w:t xml:space="preserve">make appropriate </w:t>
      </w:r>
      <w:r w:rsidRPr="006F6171">
        <w:t>refer</w:t>
      </w:r>
      <w:r w:rsidR="00F323D5" w:rsidRPr="006F6171">
        <w:t>rals</w:t>
      </w:r>
      <w:r w:rsidRPr="006F6171">
        <w:t>.</w:t>
      </w:r>
      <w:r w:rsidR="00BB3D09" w:rsidRPr="006F6171">
        <w:t xml:space="preserve"> </w:t>
      </w:r>
      <w:r w:rsidRPr="006F6171">
        <w:t xml:space="preserve">The services provided </w:t>
      </w:r>
      <w:r w:rsidR="002E3D70" w:rsidRPr="006F6171">
        <w:t>must</w:t>
      </w:r>
      <w:r w:rsidRPr="006F6171">
        <w:t xml:space="preserve"> be free of charge to the </w:t>
      </w:r>
      <w:r w:rsidR="00C1502E" w:rsidRPr="006F6171">
        <w:t>tenants</w:t>
      </w:r>
      <w:r w:rsidRPr="006F6171">
        <w:t>.</w:t>
      </w:r>
      <w:r w:rsidR="00BB3D09" w:rsidRPr="006F6171">
        <w:t xml:space="preserve"> </w:t>
      </w:r>
      <w:r w:rsidR="00C85240" w:rsidRPr="006F6171">
        <w:t>T</w:t>
      </w:r>
      <w:r w:rsidR="00F323D5" w:rsidRPr="006F6171">
        <w:t>he Applicant must maintain adequate funding</w:t>
      </w:r>
      <w:r w:rsidR="002F3061" w:rsidRPr="006F6171">
        <w:t xml:space="preserve"> throughout the Compliance Period.</w:t>
      </w:r>
    </w:p>
    <w:p w14:paraId="119E40D0" w14:textId="1E276100" w:rsidR="00A74271" w:rsidRPr="006F6171" w:rsidRDefault="00A74271" w:rsidP="002F3061">
      <w:pPr>
        <w:tabs>
          <w:tab w:val="left" w:pos="-720"/>
        </w:tabs>
        <w:suppressAutoHyphens/>
        <w:jc w:val="both"/>
      </w:pPr>
    </w:p>
    <w:p w14:paraId="7F2918F7" w14:textId="77777777" w:rsidR="003D490E" w:rsidRPr="006F6171" w:rsidRDefault="00995E15" w:rsidP="00A8328C">
      <w:pPr>
        <w:numPr>
          <w:ilvl w:val="0"/>
          <w:numId w:val="4"/>
        </w:numPr>
        <w:tabs>
          <w:tab w:val="clear" w:pos="1440"/>
          <w:tab w:val="left" w:pos="-720"/>
        </w:tabs>
        <w:suppressAutoHyphens/>
        <w:ind w:left="720" w:hanging="720"/>
        <w:jc w:val="both"/>
        <w:rPr>
          <w:szCs w:val="24"/>
        </w:rPr>
      </w:pPr>
      <w:r w:rsidRPr="006F6171">
        <w:t>Smoke-free Housing</w:t>
      </w:r>
      <w:r w:rsidRPr="006F6171">
        <w:rPr>
          <w:szCs w:val="24"/>
        </w:rPr>
        <w:t>.</w:t>
      </w:r>
      <w:r w:rsidR="00DB18E9" w:rsidRPr="006F6171">
        <w:rPr>
          <w:szCs w:val="24"/>
        </w:rPr>
        <w:t xml:space="preserve"> </w:t>
      </w:r>
      <w:r w:rsidRPr="006F6171">
        <w:rPr>
          <w:szCs w:val="24"/>
        </w:rPr>
        <w:t>T</w:t>
      </w:r>
      <w:r w:rsidR="002E3D70" w:rsidRPr="006F6171">
        <w:rPr>
          <w:szCs w:val="24"/>
        </w:rPr>
        <w:t>he Applicant must</w:t>
      </w:r>
    </w:p>
    <w:p w14:paraId="66AFBEC7" w14:textId="77777777" w:rsidR="00956E0A" w:rsidRPr="006F6171" w:rsidRDefault="00956E0A" w:rsidP="00E555C1">
      <w:pPr>
        <w:tabs>
          <w:tab w:val="left" w:pos="-720"/>
        </w:tabs>
        <w:suppressAutoHyphens/>
        <w:ind w:left="720" w:hanging="720"/>
        <w:jc w:val="both"/>
        <w:rPr>
          <w:szCs w:val="24"/>
        </w:rPr>
      </w:pPr>
    </w:p>
    <w:p w14:paraId="7F36CCA7" w14:textId="77777777" w:rsidR="003D490E" w:rsidRPr="006F6171" w:rsidRDefault="00995E15" w:rsidP="00A8328C">
      <w:pPr>
        <w:pStyle w:val="ListParagraph"/>
        <w:numPr>
          <w:ilvl w:val="0"/>
          <w:numId w:val="30"/>
        </w:numPr>
        <w:tabs>
          <w:tab w:val="left" w:pos="-720"/>
          <w:tab w:val="left" w:pos="1350"/>
        </w:tabs>
        <w:suppressAutoHyphens/>
        <w:ind w:left="1080"/>
        <w:jc w:val="both"/>
        <w:rPr>
          <w:szCs w:val="24"/>
        </w:rPr>
      </w:pPr>
      <w:r w:rsidRPr="006F6171">
        <w:rPr>
          <w:szCs w:val="24"/>
        </w:rPr>
        <w:t>implement a written occupancy policy prohibit</w:t>
      </w:r>
      <w:r w:rsidR="003D490E" w:rsidRPr="006F6171">
        <w:rPr>
          <w:szCs w:val="24"/>
        </w:rPr>
        <w:t>ing</w:t>
      </w:r>
      <w:r w:rsidRPr="006F6171">
        <w:rPr>
          <w:szCs w:val="24"/>
        </w:rPr>
        <w:t xml:space="preserve"> smokin</w:t>
      </w:r>
      <w:r w:rsidR="00956E0A" w:rsidRPr="006F6171">
        <w:rPr>
          <w:szCs w:val="24"/>
        </w:rPr>
        <w:t>g in the units and common areas</w:t>
      </w:r>
      <w:r w:rsidR="006D0723" w:rsidRPr="006F6171">
        <w:rPr>
          <w:szCs w:val="24"/>
        </w:rPr>
        <w:t>,</w:t>
      </w:r>
    </w:p>
    <w:p w14:paraId="7456263D" w14:textId="77777777" w:rsidR="00956E0A" w:rsidRPr="006F6171" w:rsidRDefault="00956E0A" w:rsidP="00E555C1">
      <w:pPr>
        <w:pStyle w:val="ListParagraph"/>
        <w:tabs>
          <w:tab w:val="left" w:pos="-720"/>
          <w:tab w:val="left" w:pos="1350"/>
        </w:tabs>
        <w:suppressAutoHyphens/>
        <w:ind w:left="1080" w:hanging="360"/>
        <w:jc w:val="both"/>
        <w:rPr>
          <w:szCs w:val="24"/>
        </w:rPr>
      </w:pPr>
    </w:p>
    <w:p w14:paraId="2805F0DE" w14:textId="77777777" w:rsidR="003D490E" w:rsidRPr="006F6171" w:rsidRDefault="00995E15" w:rsidP="00A8328C">
      <w:pPr>
        <w:pStyle w:val="ListParagraph"/>
        <w:numPr>
          <w:ilvl w:val="0"/>
          <w:numId w:val="30"/>
        </w:numPr>
        <w:tabs>
          <w:tab w:val="left" w:pos="-720"/>
          <w:tab w:val="left" w:pos="1350"/>
        </w:tabs>
        <w:suppressAutoHyphens/>
        <w:ind w:left="1080"/>
        <w:jc w:val="both"/>
        <w:rPr>
          <w:szCs w:val="24"/>
        </w:rPr>
      </w:pPr>
      <w:r w:rsidRPr="006F6171">
        <w:rPr>
          <w:szCs w:val="24"/>
        </w:rPr>
        <w:t>include a non-smoking clause in the lease for every household</w:t>
      </w:r>
      <w:r w:rsidR="006D0723" w:rsidRPr="006F6171">
        <w:rPr>
          <w:szCs w:val="24"/>
        </w:rPr>
        <w:t>,</w:t>
      </w:r>
      <w:r w:rsidRPr="006F6171">
        <w:rPr>
          <w:szCs w:val="24"/>
        </w:rPr>
        <w:t xml:space="preserve"> and</w:t>
      </w:r>
    </w:p>
    <w:p w14:paraId="06F62E1F" w14:textId="77777777" w:rsidR="00956E0A" w:rsidRPr="006F6171" w:rsidRDefault="00956E0A" w:rsidP="00E555C1">
      <w:pPr>
        <w:pStyle w:val="ListParagraph"/>
        <w:tabs>
          <w:tab w:val="left" w:pos="1350"/>
        </w:tabs>
        <w:ind w:left="1080" w:hanging="360"/>
        <w:rPr>
          <w:szCs w:val="24"/>
        </w:rPr>
      </w:pPr>
    </w:p>
    <w:p w14:paraId="2D541AF4" w14:textId="77777777" w:rsidR="00956E0A" w:rsidRPr="006F6171" w:rsidRDefault="00995E15" w:rsidP="00A8328C">
      <w:pPr>
        <w:pStyle w:val="ListParagraph"/>
        <w:numPr>
          <w:ilvl w:val="0"/>
          <w:numId w:val="30"/>
        </w:numPr>
        <w:tabs>
          <w:tab w:val="left" w:pos="-720"/>
          <w:tab w:val="left" w:pos="1350"/>
        </w:tabs>
        <w:suppressAutoHyphens/>
        <w:ind w:left="1080"/>
        <w:jc w:val="both"/>
        <w:rPr>
          <w:szCs w:val="24"/>
        </w:rPr>
      </w:pPr>
      <w:r w:rsidRPr="006F6171">
        <w:rPr>
          <w:szCs w:val="24"/>
        </w:rPr>
        <w:t xml:space="preserve">make educational materials on tobacco treatment programs </w:t>
      </w:r>
      <w:r w:rsidR="003D490E" w:rsidRPr="006F6171">
        <w:rPr>
          <w:szCs w:val="24"/>
        </w:rPr>
        <w:t>(</w:t>
      </w:r>
      <w:r w:rsidRPr="006F6171">
        <w:rPr>
          <w:szCs w:val="24"/>
        </w:rPr>
        <w:t>including the phone number for the statewide Maine Tobacco HelpLine</w:t>
      </w:r>
      <w:r w:rsidR="003D490E" w:rsidRPr="006F6171">
        <w:rPr>
          <w:szCs w:val="24"/>
        </w:rPr>
        <w:t>)</w:t>
      </w:r>
      <w:r w:rsidRPr="006F6171">
        <w:rPr>
          <w:szCs w:val="24"/>
        </w:rPr>
        <w:t xml:space="preserve"> available to all </w:t>
      </w:r>
      <w:r w:rsidR="00C1502E" w:rsidRPr="006F6171">
        <w:rPr>
          <w:szCs w:val="24"/>
        </w:rPr>
        <w:t>tenants</w:t>
      </w:r>
      <w:r w:rsidRPr="006F6171">
        <w:rPr>
          <w:szCs w:val="24"/>
        </w:rPr>
        <w:t xml:space="preserve"> through the resident service</w:t>
      </w:r>
      <w:r w:rsidR="00956E0A" w:rsidRPr="006F6171">
        <w:rPr>
          <w:szCs w:val="24"/>
        </w:rPr>
        <w:t xml:space="preserve"> </w:t>
      </w:r>
      <w:r w:rsidRPr="006F6171">
        <w:rPr>
          <w:szCs w:val="24"/>
        </w:rPr>
        <w:t>coordinator.</w:t>
      </w:r>
      <w:r w:rsidR="00BB3D09" w:rsidRPr="006F6171">
        <w:rPr>
          <w:szCs w:val="24"/>
        </w:rPr>
        <w:t xml:space="preserve"> </w:t>
      </w:r>
    </w:p>
    <w:p w14:paraId="0E9AC541" w14:textId="77777777" w:rsidR="00995E15" w:rsidRPr="006F6171" w:rsidRDefault="00995E15" w:rsidP="00E555C1">
      <w:pPr>
        <w:pStyle w:val="ListParagraph"/>
        <w:tabs>
          <w:tab w:val="left" w:pos="-720"/>
          <w:tab w:val="left" w:pos="1350"/>
        </w:tabs>
        <w:suppressAutoHyphens/>
        <w:ind w:left="1080"/>
        <w:jc w:val="both"/>
        <w:rPr>
          <w:szCs w:val="24"/>
        </w:rPr>
      </w:pPr>
    </w:p>
    <w:p w14:paraId="628E1472" w14:textId="77777777" w:rsidR="00B718F3" w:rsidRPr="006F6171" w:rsidRDefault="00995E15" w:rsidP="00A8328C">
      <w:pPr>
        <w:numPr>
          <w:ilvl w:val="0"/>
          <w:numId w:val="4"/>
        </w:numPr>
        <w:tabs>
          <w:tab w:val="clear" w:pos="1440"/>
          <w:tab w:val="left" w:pos="-720"/>
        </w:tabs>
        <w:suppressAutoHyphens/>
        <w:ind w:left="720" w:hanging="720"/>
        <w:jc w:val="both"/>
      </w:pPr>
      <w:r w:rsidRPr="006F6171">
        <w:t>Waiting List Preference</w:t>
      </w:r>
      <w:r w:rsidR="002E3D70" w:rsidRPr="006F6171">
        <w:t>.</w:t>
      </w:r>
      <w:r w:rsidR="00DB18E9" w:rsidRPr="006F6171">
        <w:t xml:space="preserve"> </w:t>
      </w:r>
      <w:r w:rsidR="002E3D70" w:rsidRPr="006F6171">
        <w:t>The Applicant must</w:t>
      </w:r>
      <w:r w:rsidRPr="006F6171">
        <w:t xml:space="preserve"> give a</w:t>
      </w:r>
      <w:r w:rsidR="00C621A1" w:rsidRPr="006F6171">
        <w:t>n occupancy</w:t>
      </w:r>
      <w:r w:rsidRPr="006F6171">
        <w:t xml:space="preserve"> preference to eligible persons whose names are on a public housing or Section 8 waiting list</w:t>
      </w:r>
      <w:r w:rsidR="00C1502E" w:rsidRPr="006F6171">
        <w:t>,</w:t>
      </w:r>
      <w:r w:rsidRPr="006F6171">
        <w:t xml:space="preserve"> except </w:t>
      </w:r>
      <w:r w:rsidR="00667369" w:rsidRPr="006F6171">
        <w:t>for Project</w:t>
      </w:r>
      <w:r w:rsidR="00C621A1" w:rsidRPr="006F6171">
        <w:t>s</w:t>
      </w:r>
      <w:r w:rsidR="002B0106" w:rsidRPr="006F6171">
        <w:t>: (i)</w:t>
      </w:r>
      <w:r w:rsidRPr="006F6171">
        <w:t xml:space="preserve"> financed by Rural Development</w:t>
      </w:r>
      <w:r w:rsidR="002B0106" w:rsidRPr="006F6171">
        <w:t>,</w:t>
      </w:r>
      <w:r w:rsidR="00334B22" w:rsidRPr="006F6171">
        <w:t xml:space="preserve"> or</w:t>
      </w:r>
      <w:r w:rsidR="0056307A" w:rsidRPr="006F6171">
        <w:t xml:space="preserve"> </w:t>
      </w:r>
      <w:r w:rsidR="002B0106" w:rsidRPr="006F6171">
        <w:t xml:space="preserve">(ii) </w:t>
      </w:r>
      <w:r w:rsidR="00C621A1" w:rsidRPr="006F6171">
        <w:t xml:space="preserve">with </w:t>
      </w:r>
      <w:r w:rsidR="00B57BAF" w:rsidRPr="006F6171">
        <w:t>Section 8 Project-Based Rental Assistance</w:t>
      </w:r>
      <w:r w:rsidR="002B0106" w:rsidRPr="006F6171">
        <w:t xml:space="preserve"> (preference will apply to any Credit Unit without project-based rental assistance)</w:t>
      </w:r>
      <w:r w:rsidRPr="006F6171">
        <w:t>.</w:t>
      </w:r>
    </w:p>
    <w:p w14:paraId="1E0BBC9D" w14:textId="77777777" w:rsidR="005837CD" w:rsidRPr="006F6171" w:rsidRDefault="005837CD" w:rsidP="002F3061">
      <w:bookmarkStart w:id="6" w:name="_Toc531341077"/>
    </w:p>
    <w:p w14:paraId="1A6B8326" w14:textId="77777777" w:rsidR="00995E15" w:rsidRPr="006F6171" w:rsidRDefault="00995E15" w:rsidP="008416BF">
      <w:pPr>
        <w:pStyle w:val="Heading1"/>
        <w:jc w:val="both"/>
      </w:pPr>
      <w:r w:rsidRPr="006F6171">
        <w:t>SECTION 6:</w:t>
      </w:r>
      <w:r w:rsidR="00BB3D09" w:rsidRPr="006F6171">
        <w:t xml:space="preserve"> </w:t>
      </w:r>
      <w:r w:rsidRPr="006F6171">
        <w:t>SCORING CRITER</w:t>
      </w:r>
      <w:r w:rsidR="00956E0A" w:rsidRPr="006F6171">
        <w:t>I</w:t>
      </w:r>
      <w:r w:rsidRPr="006F6171">
        <w:t>A</w:t>
      </w:r>
      <w:bookmarkEnd w:id="6"/>
    </w:p>
    <w:p w14:paraId="2992FFE1" w14:textId="77777777" w:rsidR="006D05E1" w:rsidRPr="006F6171" w:rsidRDefault="006D05E1" w:rsidP="008416BF">
      <w:pPr>
        <w:tabs>
          <w:tab w:val="left" w:pos="-720"/>
        </w:tabs>
        <w:suppressAutoHyphens/>
        <w:jc w:val="both"/>
        <w:rPr>
          <w:szCs w:val="24"/>
        </w:rPr>
      </w:pPr>
    </w:p>
    <w:p w14:paraId="076F21A0" w14:textId="77777777" w:rsidR="00BA613F" w:rsidRPr="006F6171" w:rsidRDefault="00995E15" w:rsidP="008416BF">
      <w:pPr>
        <w:tabs>
          <w:tab w:val="left" w:pos="-720"/>
        </w:tabs>
        <w:suppressAutoHyphens/>
        <w:jc w:val="both"/>
        <w:rPr>
          <w:szCs w:val="24"/>
        </w:rPr>
      </w:pPr>
      <w:r w:rsidRPr="006F6171">
        <w:rPr>
          <w:szCs w:val="24"/>
        </w:rPr>
        <w:t>The Appl</w:t>
      </w:r>
      <w:r w:rsidR="00C1502E" w:rsidRPr="006F6171">
        <w:rPr>
          <w:szCs w:val="24"/>
        </w:rPr>
        <w:t xml:space="preserve">icant must complete all </w:t>
      </w:r>
      <w:r w:rsidRPr="006F6171">
        <w:rPr>
          <w:szCs w:val="24"/>
        </w:rPr>
        <w:t>inf</w:t>
      </w:r>
      <w:r w:rsidR="00C1502E" w:rsidRPr="006F6171">
        <w:rPr>
          <w:szCs w:val="24"/>
        </w:rPr>
        <w:t>ormation and submit all</w:t>
      </w:r>
      <w:r w:rsidRPr="006F6171">
        <w:rPr>
          <w:szCs w:val="24"/>
        </w:rPr>
        <w:t xml:space="preserve"> documentation</w:t>
      </w:r>
      <w:r w:rsidR="00C1502E" w:rsidRPr="006F6171">
        <w:rPr>
          <w:szCs w:val="24"/>
        </w:rPr>
        <w:t xml:space="preserve"> required </w:t>
      </w:r>
      <w:r w:rsidRPr="006F6171">
        <w:rPr>
          <w:szCs w:val="24"/>
        </w:rPr>
        <w:t>to be eligible for points.</w:t>
      </w:r>
    </w:p>
    <w:p w14:paraId="4D69A428" w14:textId="77777777" w:rsidR="00995E15" w:rsidRPr="006F6171" w:rsidRDefault="00995E15" w:rsidP="008416BF">
      <w:pPr>
        <w:tabs>
          <w:tab w:val="left" w:pos="-720"/>
        </w:tabs>
        <w:suppressAutoHyphens/>
        <w:jc w:val="both"/>
        <w:rPr>
          <w:szCs w:val="24"/>
        </w:rPr>
      </w:pPr>
    </w:p>
    <w:p w14:paraId="68CB72BD" w14:textId="77777777" w:rsidR="00995E15" w:rsidRPr="006F6171" w:rsidRDefault="00995E15" w:rsidP="008416BF">
      <w:pPr>
        <w:tabs>
          <w:tab w:val="left" w:pos="-720"/>
        </w:tabs>
        <w:suppressAutoHyphens/>
        <w:jc w:val="both"/>
        <w:rPr>
          <w:szCs w:val="24"/>
        </w:rPr>
      </w:pPr>
      <w:r w:rsidRPr="006F6171">
        <w:rPr>
          <w:b/>
        </w:rPr>
        <w:t xml:space="preserve">Project Characteristics </w:t>
      </w:r>
      <w:r w:rsidR="00BB3D09" w:rsidRPr="006F6171">
        <w:rPr>
          <w:szCs w:val="24"/>
        </w:rPr>
        <w:t xml:space="preserve"> </w:t>
      </w:r>
    </w:p>
    <w:p w14:paraId="5FFD9F30" w14:textId="77777777" w:rsidR="00995E15" w:rsidRPr="006F6171" w:rsidRDefault="00995E15" w:rsidP="008416BF">
      <w:pPr>
        <w:tabs>
          <w:tab w:val="left" w:pos="-720"/>
        </w:tabs>
        <w:suppressAutoHyphens/>
        <w:jc w:val="both"/>
        <w:rPr>
          <w:szCs w:val="24"/>
        </w:rPr>
      </w:pPr>
    </w:p>
    <w:p w14:paraId="1FD0EF2C" w14:textId="467A59AB" w:rsidR="009000FA" w:rsidRPr="006F6171" w:rsidRDefault="006853F3" w:rsidP="00A8328C">
      <w:pPr>
        <w:pStyle w:val="ListParagraph"/>
        <w:numPr>
          <w:ilvl w:val="0"/>
          <w:numId w:val="8"/>
        </w:numPr>
        <w:tabs>
          <w:tab w:val="left" w:pos="-720"/>
          <w:tab w:val="right" w:pos="9360"/>
        </w:tabs>
        <w:suppressAutoHyphens/>
        <w:ind w:hanging="720"/>
        <w:jc w:val="both"/>
        <w:rPr>
          <w:szCs w:val="24"/>
        </w:rPr>
      </w:pPr>
      <w:r w:rsidRPr="006F6171">
        <w:t>Rehabilitation or Reuse of Existing Housing, Structure or Site</w:t>
      </w:r>
      <w:r w:rsidRPr="006F6171">
        <w:rPr>
          <w:b/>
        </w:rPr>
        <w:t>.</w:t>
      </w:r>
      <w:r w:rsidRPr="006F6171">
        <w:rPr>
          <w:szCs w:val="24"/>
        </w:rPr>
        <w:t xml:space="preserve"> </w:t>
      </w:r>
      <w:r w:rsidR="00F248E4" w:rsidRPr="006F6171">
        <w:rPr>
          <w:szCs w:val="24"/>
        </w:rPr>
        <w:tab/>
      </w:r>
      <w:r w:rsidR="00535D93" w:rsidRPr="006F6171">
        <w:rPr>
          <w:b/>
          <w:szCs w:val="24"/>
        </w:rPr>
        <w:t>5</w:t>
      </w:r>
      <w:r w:rsidR="00F248E4" w:rsidRPr="006F6171">
        <w:rPr>
          <w:b/>
          <w:szCs w:val="24"/>
        </w:rPr>
        <w:t xml:space="preserve"> Points</w:t>
      </w:r>
      <w:r w:rsidR="00DB2B36" w:rsidRPr="006F6171">
        <w:rPr>
          <w:szCs w:val="24"/>
        </w:rPr>
        <w:br/>
      </w:r>
    </w:p>
    <w:p w14:paraId="2D7432B1" w14:textId="668EBF69" w:rsidR="00FA1AB7" w:rsidRPr="006F6171" w:rsidRDefault="00F30274" w:rsidP="00E557C4">
      <w:pPr>
        <w:tabs>
          <w:tab w:val="left" w:pos="-720"/>
        </w:tabs>
        <w:suppressAutoHyphens/>
        <w:ind w:left="720" w:right="4"/>
        <w:jc w:val="both"/>
        <w:rPr>
          <w:szCs w:val="24"/>
        </w:rPr>
      </w:pPr>
      <w:r w:rsidRPr="006F6171">
        <w:rPr>
          <w:szCs w:val="24"/>
        </w:rPr>
        <w:lastRenderedPageBreak/>
        <w:t>T</w:t>
      </w:r>
      <w:r w:rsidR="004B30EF" w:rsidRPr="006F6171">
        <w:rPr>
          <w:szCs w:val="24"/>
        </w:rPr>
        <w:t>he</w:t>
      </w:r>
      <w:r w:rsidR="00FA1AB7" w:rsidRPr="006F6171">
        <w:rPr>
          <w:szCs w:val="24"/>
        </w:rPr>
        <w:t xml:space="preserve"> </w:t>
      </w:r>
      <w:r w:rsidR="004B30EF" w:rsidRPr="006F6171">
        <w:rPr>
          <w:szCs w:val="24"/>
        </w:rPr>
        <w:t xml:space="preserve">Project site </w:t>
      </w:r>
      <w:r w:rsidR="00352A34" w:rsidRPr="006F6171">
        <w:rPr>
          <w:szCs w:val="24"/>
        </w:rPr>
        <w:t>exhibits</w:t>
      </w:r>
      <w:r w:rsidR="00CB7A2B" w:rsidRPr="006F6171">
        <w:rPr>
          <w:szCs w:val="24"/>
        </w:rPr>
        <w:t xml:space="preserve"> one or</w:t>
      </w:r>
      <w:r w:rsidR="00DB2B36" w:rsidRPr="006F6171">
        <w:rPr>
          <w:szCs w:val="24"/>
        </w:rPr>
        <w:t xml:space="preserve"> </w:t>
      </w:r>
      <w:r w:rsidR="00FA1AB7" w:rsidRPr="006F6171">
        <w:rPr>
          <w:szCs w:val="24"/>
        </w:rPr>
        <w:t>more of the following characteristics</w:t>
      </w:r>
      <w:r w:rsidR="00214FCD" w:rsidRPr="006F6171">
        <w:rPr>
          <w:szCs w:val="24"/>
        </w:rPr>
        <w:t xml:space="preserve"> (1 point for each</w:t>
      </w:r>
      <w:r w:rsidR="00C20556" w:rsidRPr="006F6171">
        <w:rPr>
          <w:szCs w:val="24"/>
        </w:rPr>
        <w:t xml:space="preserve"> that applies</w:t>
      </w:r>
      <w:r w:rsidR="00214FCD" w:rsidRPr="006F6171">
        <w:rPr>
          <w:szCs w:val="24"/>
        </w:rPr>
        <w:t>)</w:t>
      </w:r>
      <w:r w:rsidR="00FA1AB7" w:rsidRPr="006F6171">
        <w:rPr>
          <w:szCs w:val="24"/>
        </w:rPr>
        <w:t>:</w:t>
      </w:r>
    </w:p>
    <w:p w14:paraId="5DC9839F" w14:textId="77777777" w:rsidR="004B30EF" w:rsidRPr="006F6171" w:rsidRDefault="004B30EF" w:rsidP="00E557C4">
      <w:pPr>
        <w:tabs>
          <w:tab w:val="left" w:pos="-720"/>
        </w:tabs>
        <w:suppressAutoHyphens/>
        <w:ind w:left="720" w:right="4" w:hanging="720"/>
        <w:jc w:val="both"/>
        <w:rPr>
          <w:szCs w:val="24"/>
        </w:rPr>
      </w:pPr>
    </w:p>
    <w:p w14:paraId="16CB4401" w14:textId="77777777" w:rsidR="004B30EF" w:rsidRPr="006F6171" w:rsidRDefault="004B30EF" w:rsidP="00A8328C">
      <w:pPr>
        <w:pStyle w:val="ListParagraph"/>
        <w:numPr>
          <w:ilvl w:val="2"/>
          <w:numId w:val="1"/>
        </w:numPr>
        <w:tabs>
          <w:tab w:val="clear" w:pos="2160"/>
          <w:tab w:val="left" w:pos="-720"/>
          <w:tab w:val="left" w:pos="1080"/>
        </w:tabs>
        <w:suppressAutoHyphens/>
        <w:ind w:left="1080" w:right="4"/>
        <w:jc w:val="both"/>
        <w:rPr>
          <w:szCs w:val="24"/>
        </w:rPr>
      </w:pPr>
      <w:r w:rsidRPr="006F6171">
        <w:rPr>
          <w:szCs w:val="24"/>
        </w:rPr>
        <w:t>Re</w:t>
      </w:r>
      <w:r w:rsidR="00402C26" w:rsidRPr="006F6171">
        <w:rPr>
          <w:szCs w:val="24"/>
        </w:rPr>
        <w:t xml:space="preserve">placement or </w:t>
      </w:r>
      <w:r w:rsidR="000E4357" w:rsidRPr="006F6171">
        <w:rPr>
          <w:szCs w:val="24"/>
        </w:rPr>
        <w:t>re</w:t>
      </w:r>
      <w:r w:rsidRPr="006F6171">
        <w:rPr>
          <w:szCs w:val="24"/>
        </w:rPr>
        <w:t>habilitation of existing rental housing containing 5</w:t>
      </w:r>
      <w:r w:rsidR="00DB18E9" w:rsidRPr="006F6171">
        <w:rPr>
          <w:szCs w:val="24"/>
        </w:rPr>
        <w:t xml:space="preserve"> </w:t>
      </w:r>
      <w:r w:rsidRPr="006F6171">
        <w:rPr>
          <w:szCs w:val="24"/>
        </w:rPr>
        <w:t xml:space="preserve">or more units without </w:t>
      </w:r>
      <w:r w:rsidR="004F20FC" w:rsidRPr="006F6171">
        <w:rPr>
          <w:szCs w:val="24"/>
        </w:rPr>
        <w:t xml:space="preserve">permanently </w:t>
      </w:r>
      <w:r w:rsidRPr="006F6171">
        <w:rPr>
          <w:szCs w:val="24"/>
        </w:rPr>
        <w:t xml:space="preserve">displacing any existing tenants </w:t>
      </w:r>
      <w:r w:rsidR="004A0142" w:rsidRPr="006F6171">
        <w:rPr>
          <w:szCs w:val="24"/>
        </w:rPr>
        <w:t xml:space="preserve">or increasing their </w:t>
      </w:r>
      <w:r w:rsidRPr="006F6171">
        <w:rPr>
          <w:szCs w:val="24"/>
        </w:rPr>
        <w:t xml:space="preserve">housing costs (including rent and all other charges </w:t>
      </w:r>
      <w:r w:rsidR="00272041" w:rsidRPr="006F6171">
        <w:rPr>
          <w:szCs w:val="24"/>
        </w:rPr>
        <w:t xml:space="preserve">paid by the tenant) by more </w:t>
      </w:r>
      <w:r w:rsidRPr="006F6171">
        <w:rPr>
          <w:szCs w:val="24"/>
        </w:rPr>
        <w:t>than 10%</w:t>
      </w:r>
      <w:r w:rsidR="00E557C4" w:rsidRPr="006F6171">
        <w:rPr>
          <w:szCs w:val="24"/>
        </w:rPr>
        <w:t>;</w:t>
      </w:r>
    </w:p>
    <w:p w14:paraId="0EFC9AA8" w14:textId="77777777" w:rsidR="004B30EF" w:rsidRPr="006F6171" w:rsidRDefault="004B30EF" w:rsidP="00E557C4">
      <w:pPr>
        <w:tabs>
          <w:tab w:val="left" w:pos="-720"/>
          <w:tab w:val="left" w:pos="1080"/>
        </w:tabs>
        <w:suppressAutoHyphens/>
        <w:ind w:left="1080" w:right="4" w:hanging="360"/>
        <w:jc w:val="both"/>
        <w:rPr>
          <w:szCs w:val="24"/>
        </w:rPr>
      </w:pPr>
    </w:p>
    <w:p w14:paraId="0BC5CCAB" w14:textId="77777777" w:rsidR="004B30EF" w:rsidRPr="006F6171" w:rsidRDefault="004B30EF" w:rsidP="00A8328C">
      <w:pPr>
        <w:pStyle w:val="ListParagraph"/>
        <w:numPr>
          <w:ilvl w:val="2"/>
          <w:numId w:val="1"/>
        </w:numPr>
        <w:tabs>
          <w:tab w:val="clear" w:pos="2160"/>
          <w:tab w:val="left" w:pos="-720"/>
          <w:tab w:val="left" w:pos="1080"/>
        </w:tabs>
        <w:suppressAutoHyphens/>
        <w:ind w:left="1080" w:right="4"/>
        <w:jc w:val="both"/>
        <w:rPr>
          <w:szCs w:val="24"/>
        </w:rPr>
      </w:pPr>
      <w:r w:rsidRPr="006F6171">
        <w:rPr>
          <w:szCs w:val="24"/>
        </w:rPr>
        <w:t>Rehabilitation, remediation</w:t>
      </w:r>
      <w:r w:rsidR="004A0142" w:rsidRPr="006F6171">
        <w:rPr>
          <w:szCs w:val="24"/>
        </w:rPr>
        <w:t>,</w:t>
      </w:r>
      <w:r w:rsidRPr="006F6171">
        <w:rPr>
          <w:szCs w:val="24"/>
        </w:rPr>
        <w:t xml:space="preserve"> or reuse of an existing building or structure</w:t>
      </w:r>
      <w:r w:rsidR="007F2585" w:rsidRPr="006F6171">
        <w:rPr>
          <w:szCs w:val="24"/>
        </w:rPr>
        <w:t xml:space="preserve"> </w:t>
      </w:r>
      <w:r w:rsidR="004A0142" w:rsidRPr="006F6171">
        <w:rPr>
          <w:szCs w:val="24"/>
        </w:rPr>
        <w:t xml:space="preserve">that has a current use </w:t>
      </w:r>
      <w:r w:rsidR="007F2585" w:rsidRPr="006F6171">
        <w:rPr>
          <w:szCs w:val="24"/>
        </w:rPr>
        <w:t xml:space="preserve">other than </w:t>
      </w:r>
      <w:r w:rsidR="00020471" w:rsidRPr="006F6171">
        <w:rPr>
          <w:szCs w:val="24"/>
        </w:rPr>
        <w:t>multifamily</w:t>
      </w:r>
      <w:r w:rsidR="007F2585" w:rsidRPr="006F6171">
        <w:rPr>
          <w:szCs w:val="24"/>
        </w:rPr>
        <w:t xml:space="preserve"> rental housing</w:t>
      </w:r>
      <w:r w:rsidR="00E557C4" w:rsidRPr="006F6171">
        <w:rPr>
          <w:szCs w:val="24"/>
        </w:rPr>
        <w:t>;</w:t>
      </w:r>
    </w:p>
    <w:p w14:paraId="3E4960FC" w14:textId="77777777" w:rsidR="004B30EF" w:rsidRPr="006F6171" w:rsidRDefault="004B30EF" w:rsidP="00E557C4">
      <w:pPr>
        <w:tabs>
          <w:tab w:val="left" w:pos="-720"/>
          <w:tab w:val="left" w:pos="1080"/>
        </w:tabs>
        <w:suppressAutoHyphens/>
        <w:ind w:left="1080" w:right="4" w:hanging="360"/>
        <w:jc w:val="both"/>
        <w:rPr>
          <w:szCs w:val="24"/>
        </w:rPr>
      </w:pPr>
    </w:p>
    <w:p w14:paraId="201A8B7A" w14:textId="77777777" w:rsidR="007F2585" w:rsidRPr="006F6171" w:rsidRDefault="00352A34" w:rsidP="00A8328C">
      <w:pPr>
        <w:pStyle w:val="ListParagraph"/>
        <w:numPr>
          <w:ilvl w:val="2"/>
          <w:numId w:val="1"/>
        </w:numPr>
        <w:tabs>
          <w:tab w:val="clear" w:pos="2160"/>
          <w:tab w:val="left" w:pos="-720"/>
          <w:tab w:val="left" w:pos="1080"/>
        </w:tabs>
        <w:suppressAutoHyphens/>
        <w:ind w:left="1080" w:right="4"/>
        <w:jc w:val="both"/>
        <w:rPr>
          <w:szCs w:val="24"/>
        </w:rPr>
      </w:pPr>
      <w:r w:rsidRPr="006F6171">
        <w:rPr>
          <w:szCs w:val="24"/>
        </w:rPr>
        <w:t>O</w:t>
      </w:r>
      <w:r w:rsidR="007F2585" w:rsidRPr="006F6171">
        <w:rPr>
          <w:szCs w:val="24"/>
        </w:rPr>
        <w:t xml:space="preserve">ne or more buildings or </w:t>
      </w:r>
      <w:r w:rsidR="00F44267" w:rsidRPr="006F6171">
        <w:rPr>
          <w:szCs w:val="24"/>
        </w:rPr>
        <w:t>structures used</w:t>
      </w:r>
      <w:r w:rsidR="007F2585" w:rsidRPr="006F6171">
        <w:rPr>
          <w:szCs w:val="24"/>
        </w:rPr>
        <w:t xml:space="preserve"> for </w:t>
      </w:r>
      <w:r w:rsidR="004A0142" w:rsidRPr="006F6171">
        <w:rPr>
          <w:szCs w:val="24"/>
        </w:rPr>
        <w:t xml:space="preserve">purposes </w:t>
      </w:r>
      <w:r w:rsidR="007F2585" w:rsidRPr="006F6171">
        <w:rPr>
          <w:szCs w:val="24"/>
        </w:rPr>
        <w:t xml:space="preserve">other than </w:t>
      </w:r>
      <w:r w:rsidRPr="006F6171">
        <w:rPr>
          <w:szCs w:val="24"/>
        </w:rPr>
        <w:t xml:space="preserve">single family </w:t>
      </w:r>
      <w:r w:rsidR="007F2585" w:rsidRPr="006F6171">
        <w:rPr>
          <w:szCs w:val="24"/>
        </w:rPr>
        <w:t>residential housing or agriculture purposes, have been or will be demolished or removed for purposes of redeveloping the site</w:t>
      </w:r>
      <w:r w:rsidR="00E557C4" w:rsidRPr="006F6171">
        <w:rPr>
          <w:szCs w:val="24"/>
        </w:rPr>
        <w:t>;</w:t>
      </w:r>
      <w:r w:rsidR="00DB18E9" w:rsidRPr="006F6171">
        <w:rPr>
          <w:szCs w:val="24"/>
        </w:rPr>
        <w:t xml:space="preserve"> </w:t>
      </w:r>
    </w:p>
    <w:p w14:paraId="35657853" w14:textId="77777777" w:rsidR="007F2585" w:rsidRPr="006F6171" w:rsidRDefault="007F2585" w:rsidP="00E557C4">
      <w:pPr>
        <w:tabs>
          <w:tab w:val="left" w:pos="-720"/>
          <w:tab w:val="left" w:pos="1080"/>
        </w:tabs>
        <w:suppressAutoHyphens/>
        <w:ind w:left="1080" w:right="4" w:hanging="360"/>
        <w:jc w:val="both"/>
        <w:rPr>
          <w:szCs w:val="24"/>
        </w:rPr>
      </w:pPr>
    </w:p>
    <w:p w14:paraId="058C74AE" w14:textId="53EAF8E8" w:rsidR="009975CB" w:rsidRPr="006F6171" w:rsidRDefault="00352A34" w:rsidP="00BB7045">
      <w:pPr>
        <w:pStyle w:val="ListParagraph"/>
        <w:numPr>
          <w:ilvl w:val="2"/>
          <w:numId w:val="1"/>
        </w:numPr>
        <w:tabs>
          <w:tab w:val="left" w:pos="-720"/>
        </w:tabs>
        <w:suppressAutoHyphens/>
        <w:ind w:right="4"/>
        <w:jc w:val="both"/>
        <w:rPr>
          <w:szCs w:val="24"/>
        </w:rPr>
      </w:pPr>
      <w:r w:rsidRPr="006F6171">
        <w:rPr>
          <w:szCs w:val="24"/>
        </w:rPr>
        <w:t>L</w:t>
      </w:r>
      <w:r w:rsidR="009975CB" w:rsidRPr="006F6171">
        <w:rPr>
          <w:szCs w:val="24"/>
        </w:rPr>
        <w:t>ots l</w:t>
      </w:r>
      <w:r w:rsidR="00603FCC" w:rsidRPr="006F6171">
        <w:rPr>
          <w:szCs w:val="24"/>
        </w:rPr>
        <w:t>eft vacant or nearly vacant</w:t>
      </w:r>
      <w:r w:rsidR="003D315A" w:rsidRPr="006F6171">
        <w:rPr>
          <w:szCs w:val="24"/>
        </w:rPr>
        <w:t xml:space="preserve"> in the development of </w:t>
      </w:r>
      <w:r w:rsidR="00720A71" w:rsidRPr="006F6171">
        <w:rPr>
          <w:szCs w:val="24"/>
        </w:rPr>
        <w:t xml:space="preserve">a </w:t>
      </w:r>
      <w:r w:rsidR="003D315A" w:rsidRPr="006F6171">
        <w:rPr>
          <w:szCs w:val="24"/>
        </w:rPr>
        <w:t>d</w:t>
      </w:r>
      <w:r w:rsidR="00A35060" w:rsidRPr="006F6171">
        <w:rPr>
          <w:szCs w:val="24"/>
        </w:rPr>
        <w:t>owntown or other city</w:t>
      </w:r>
      <w:r w:rsidR="00AA45CB" w:rsidRPr="006F6171">
        <w:rPr>
          <w:szCs w:val="24"/>
        </w:rPr>
        <w:t xml:space="preserve"> or town</w:t>
      </w:r>
      <w:r w:rsidR="00A35060" w:rsidRPr="006F6171">
        <w:rPr>
          <w:szCs w:val="24"/>
        </w:rPr>
        <w:t xml:space="preserve"> </w:t>
      </w:r>
      <w:r w:rsidR="00AA45CB" w:rsidRPr="006F6171">
        <w:rPr>
          <w:szCs w:val="24"/>
        </w:rPr>
        <w:t>center</w:t>
      </w:r>
      <w:r w:rsidR="004B30EF" w:rsidRPr="006F6171">
        <w:rPr>
          <w:szCs w:val="24"/>
        </w:rPr>
        <w:t>, such as vaca</w:t>
      </w:r>
      <w:r w:rsidR="002F020C" w:rsidRPr="006F6171">
        <w:rPr>
          <w:szCs w:val="24"/>
        </w:rPr>
        <w:t>nt lot</w:t>
      </w:r>
      <w:r w:rsidRPr="006F6171">
        <w:rPr>
          <w:szCs w:val="24"/>
        </w:rPr>
        <w:t>s</w:t>
      </w:r>
      <w:r w:rsidR="002F020C" w:rsidRPr="006F6171">
        <w:rPr>
          <w:szCs w:val="24"/>
        </w:rPr>
        <w:t xml:space="preserve"> or parking lot</w:t>
      </w:r>
      <w:r w:rsidRPr="006F6171">
        <w:rPr>
          <w:szCs w:val="24"/>
        </w:rPr>
        <w:t>s</w:t>
      </w:r>
      <w:r w:rsidR="002F020C" w:rsidRPr="006F6171">
        <w:rPr>
          <w:szCs w:val="24"/>
        </w:rPr>
        <w:t xml:space="preserve"> </w:t>
      </w:r>
      <w:r w:rsidR="00531F20" w:rsidRPr="006F6171">
        <w:rPr>
          <w:szCs w:val="24"/>
        </w:rPr>
        <w:t xml:space="preserve">abutting </w:t>
      </w:r>
      <w:r w:rsidR="00A647E3" w:rsidRPr="006F6171">
        <w:rPr>
          <w:szCs w:val="24"/>
        </w:rPr>
        <w:t>commercial buildings</w:t>
      </w:r>
      <w:r w:rsidRPr="006F6171">
        <w:rPr>
          <w:szCs w:val="24"/>
        </w:rPr>
        <w:t xml:space="preserve"> and/or</w:t>
      </w:r>
      <w:r w:rsidR="00A647E3" w:rsidRPr="006F6171">
        <w:rPr>
          <w:szCs w:val="24"/>
        </w:rPr>
        <w:t xml:space="preserve"> </w:t>
      </w:r>
      <w:r w:rsidR="00020471" w:rsidRPr="006F6171">
        <w:rPr>
          <w:szCs w:val="24"/>
        </w:rPr>
        <w:t>multifamily</w:t>
      </w:r>
      <w:r w:rsidR="00A647E3" w:rsidRPr="006F6171">
        <w:rPr>
          <w:szCs w:val="24"/>
        </w:rPr>
        <w:t xml:space="preserve"> rental housing</w:t>
      </w:r>
      <w:r w:rsidR="009975CB" w:rsidRPr="006F6171">
        <w:rPr>
          <w:szCs w:val="24"/>
        </w:rPr>
        <w:t xml:space="preserve">. Vacant lots in single-family residential areas are not eligible for points under this subsection. Undeveloped portions of existing sites are not eligible for points unless the existing project on the site previously satisfied one of the above criteria. </w:t>
      </w:r>
    </w:p>
    <w:p w14:paraId="10C5DA0D" w14:textId="5ECEDDF2" w:rsidR="004B30EF" w:rsidRPr="006F6171" w:rsidRDefault="00E557C4" w:rsidP="009975CB">
      <w:pPr>
        <w:tabs>
          <w:tab w:val="left" w:pos="-720"/>
          <w:tab w:val="left" w:pos="1080"/>
        </w:tabs>
        <w:suppressAutoHyphens/>
        <w:ind w:right="4"/>
        <w:jc w:val="both"/>
        <w:rPr>
          <w:szCs w:val="24"/>
        </w:rPr>
      </w:pPr>
      <w:r w:rsidRPr="006F6171">
        <w:rPr>
          <w:szCs w:val="24"/>
        </w:rPr>
        <w:t xml:space="preserve"> or</w:t>
      </w:r>
      <w:r w:rsidR="00A647E3" w:rsidRPr="006F6171">
        <w:rPr>
          <w:szCs w:val="24"/>
        </w:rPr>
        <w:t xml:space="preserve"> </w:t>
      </w:r>
      <w:r w:rsidR="00BB3D09" w:rsidRPr="006F6171">
        <w:rPr>
          <w:szCs w:val="24"/>
        </w:rPr>
        <w:t xml:space="preserve"> </w:t>
      </w:r>
    </w:p>
    <w:p w14:paraId="114AECA8" w14:textId="77777777" w:rsidR="004B30EF" w:rsidRPr="006F6171" w:rsidRDefault="004B30EF" w:rsidP="00E557C4">
      <w:pPr>
        <w:tabs>
          <w:tab w:val="left" w:pos="-720"/>
          <w:tab w:val="left" w:pos="1080"/>
        </w:tabs>
        <w:suppressAutoHyphens/>
        <w:ind w:left="1080" w:right="4" w:hanging="360"/>
        <w:jc w:val="both"/>
        <w:rPr>
          <w:szCs w:val="24"/>
        </w:rPr>
      </w:pPr>
    </w:p>
    <w:p w14:paraId="0265AAE6" w14:textId="77777777" w:rsidR="000A55B6" w:rsidRPr="006F6171" w:rsidRDefault="004B30EF" w:rsidP="00A8328C">
      <w:pPr>
        <w:pStyle w:val="ListParagraph"/>
        <w:numPr>
          <w:ilvl w:val="2"/>
          <w:numId w:val="1"/>
        </w:numPr>
        <w:tabs>
          <w:tab w:val="clear" w:pos="2160"/>
          <w:tab w:val="left" w:pos="-720"/>
          <w:tab w:val="left" w:pos="1080"/>
        </w:tabs>
        <w:suppressAutoHyphens/>
        <w:ind w:left="1080" w:right="4"/>
        <w:jc w:val="both"/>
        <w:rPr>
          <w:szCs w:val="24"/>
        </w:rPr>
      </w:pPr>
      <w:r w:rsidRPr="006F6171">
        <w:rPr>
          <w:szCs w:val="24"/>
        </w:rPr>
        <w:t>S</w:t>
      </w:r>
      <w:r w:rsidR="00263346" w:rsidRPr="006F6171">
        <w:rPr>
          <w:szCs w:val="24"/>
        </w:rPr>
        <w:t>pecifically</w:t>
      </w:r>
      <w:r w:rsidRPr="006F6171">
        <w:rPr>
          <w:szCs w:val="24"/>
        </w:rPr>
        <w:t xml:space="preserve"> designated by a municipality for redeve</w:t>
      </w:r>
      <w:r w:rsidR="0050632B" w:rsidRPr="006F6171">
        <w:rPr>
          <w:szCs w:val="24"/>
        </w:rPr>
        <w:t>lopment to renew a blighted area</w:t>
      </w:r>
      <w:r w:rsidR="001B01B3" w:rsidRPr="006F6171">
        <w:rPr>
          <w:szCs w:val="24"/>
        </w:rPr>
        <w:t xml:space="preserve"> or remediate environmental risks to the occupants</w:t>
      </w:r>
      <w:r w:rsidR="0050632B" w:rsidRPr="006F6171">
        <w:rPr>
          <w:szCs w:val="24"/>
        </w:rPr>
        <w:t>.</w:t>
      </w:r>
    </w:p>
    <w:p w14:paraId="1159E012" w14:textId="77777777" w:rsidR="00AA45CB" w:rsidRPr="006F6171" w:rsidRDefault="00AA45CB" w:rsidP="008416BF">
      <w:pPr>
        <w:tabs>
          <w:tab w:val="left" w:pos="-720"/>
        </w:tabs>
        <w:suppressAutoHyphens/>
        <w:ind w:left="1440" w:right="720" w:hanging="720"/>
        <w:jc w:val="both"/>
        <w:rPr>
          <w:szCs w:val="24"/>
        </w:rPr>
      </w:pPr>
    </w:p>
    <w:p w14:paraId="54D11813" w14:textId="77777777" w:rsidR="00995E15" w:rsidRPr="006F6171" w:rsidRDefault="00995E15" w:rsidP="008416BF">
      <w:pPr>
        <w:tabs>
          <w:tab w:val="left" w:pos="-720"/>
        </w:tabs>
        <w:suppressAutoHyphens/>
        <w:ind w:left="2160" w:hanging="720"/>
        <w:jc w:val="both"/>
        <w:rPr>
          <w:szCs w:val="24"/>
        </w:rPr>
      </w:pPr>
    </w:p>
    <w:p w14:paraId="749561F9" w14:textId="41256B2D" w:rsidR="00E557C4" w:rsidRPr="006F6171" w:rsidRDefault="001A0BD5" w:rsidP="00A8328C">
      <w:pPr>
        <w:pStyle w:val="ListParagraph"/>
        <w:numPr>
          <w:ilvl w:val="0"/>
          <w:numId w:val="8"/>
        </w:numPr>
        <w:tabs>
          <w:tab w:val="right" w:pos="9360"/>
        </w:tabs>
        <w:ind w:hanging="720"/>
        <w:jc w:val="both"/>
        <w:rPr>
          <w:szCs w:val="24"/>
        </w:rPr>
      </w:pPr>
      <w:r w:rsidRPr="006F6171">
        <w:t>Historic Rehabilitation</w:t>
      </w:r>
      <w:r w:rsidRPr="006F6171">
        <w:rPr>
          <w:szCs w:val="24"/>
        </w:rPr>
        <w:t>.</w:t>
      </w:r>
      <w:r w:rsidRPr="006F6171">
        <w:rPr>
          <w:szCs w:val="24"/>
        </w:rPr>
        <w:tab/>
      </w:r>
      <w:r w:rsidR="00DB18E9" w:rsidRPr="006F6171">
        <w:rPr>
          <w:szCs w:val="24"/>
        </w:rPr>
        <w:t xml:space="preserve">  </w:t>
      </w:r>
      <w:r w:rsidR="00214FCD" w:rsidRPr="006F6171">
        <w:rPr>
          <w:b/>
          <w:szCs w:val="24"/>
        </w:rPr>
        <w:t>5</w:t>
      </w:r>
      <w:r w:rsidRPr="006F6171">
        <w:rPr>
          <w:b/>
          <w:szCs w:val="24"/>
        </w:rPr>
        <w:t xml:space="preserve"> points</w:t>
      </w:r>
      <w:r w:rsidR="00BB3D09" w:rsidRPr="006F6171">
        <w:rPr>
          <w:szCs w:val="24"/>
        </w:rPr>
        <w:t xml:space="preserve"> </w:t>
      </w:r>
    </w:p>
    <w:p w14:paraId="21DC7BD4" w14:textId="77777777" w:rsidR="00E557C4" w:rsidRPr="006F6171" w:rsidRDefault="00E557C4" w:rsidP="00527B06">
      <w:pPr>
        <w:pStyle w:val="ListParagraph"/>
        <w:tabs>
          <w:tab w:val="right" w:pos="9360"/>
        </w:tabs>
        <w:jc w:val="both"/>
        <w:rPr>
          <w:szCs w:val="24"/>
        </w:rPr>
      </w:pPr>
    </w:p>
    <w:p w14:paraId="22873CEC" w14:textId="77777777" w:rsidR="00E557C4" w:rsidRPr="006F6171" w:rsidRDefault="00E557C4" w:rsidP="00E557C4">
      <w:pPr>
        <w:pStyle w:val="ListParagraph"/>
        <w:jc w:val="both"/>
        <w:rPr>
          <w:szCs w:val="24"/>
        </w:rPr>
      </w:pPr>
      <w:r w:rsidRPr="006F6171">
        <w:rPr>
          <w:szCs w:val="24"/>
        </w:rPr>
        <w:t>The Project includes the rehabilitation of a certified historic structure using capital contributions generated from federal and state historic rehabilitation tax credits.</w:t>
      </w:r>
    </w:p>
    <w:p w14:paraId="3938F975" w14:textId="77777777" w:rsidR="0040655D" w:rsidRPr="006F6171" w:rsidRDefault="0040655D" w:rsidP="00527B06">
      <w:pPr>
        <w:pStyle w:val="ListParagraph"/>
        <w:tabs>
          <w:tab w:val="right" w:pos="9360"/>
        </w:tabs>
        <w:jc w:val="both"/>
        <w:rPr>
          <w:szCs w:val="24"/>
        </w:rPr>
      </w:pPr>
    </w:p>
    <w:p w14:paraId="59C6E188" w14:textId="77777777" w:rsidR="002E0188" w:rsidRPr="006F6171" w:rsidRDefault="00995E15" w:rsidP="00A8328C">
      <w:pPr>
        <w:pStyle w:val="ListParagraph"/>
        <w:numPr>
          <w:ilvl w:val="0"/>
          <w:numId w:val="8"/>
        </w:numPr>
        <w:tabs>
          <w:tab w:val="right" w:pos="9360"/>
        </w:tabs>
        <w:ind w:hanging="720"/>
        <w:jc w:val="both"/>
        <w:rPr>
          <w:szCs w:val="24"/>
        </w:rPr>
      </w:pPr>
      <w:r w:rsidRPr="006F6171">
        <w:t>Populations with Special Needs</w:t>
      </w:r>
      <w:r w:rsidRPr="006F6171">
        <w:rPr>
          <w:szCs w:val="24"/>
        </w:rPr>
        <w:t>.</w:t>
      </w:r>
      <w:r w:rsidR="00DB18E9" w:rsidRPr="006F6171">
        <w:rPr>
          <w:szCs w:val="24"/>
        </w:rPr>
        <w:t xml:space="preserve"> </w:t>
      </w:r>
      <w:r w:rsidR="00614B3E" w:rsidRPr="006F6171">
        <w:rPr>
          <w:szCs w:val="24"/>
        </w:rPr>
        <w:tab/>
      </w:r>
      <w:r w:rsidR="002B0106" w:rsidRPr="006F6171">
        <w:rPr>
          <w:b/>
          <w:szCs w:val="24"/>
        </w:rPr>
        <w:t>6</w:t>
      </w:r>
      <w:r w:rsidR="00AB1E45" w:rsidRPr="006F6171">
        <w:rPr>
          <w:b/>
          <w:szCs w:val="24"/>
        </w:rPr>
        <w:t xml:space="preserve"> points</w:t>
      </w:r>
      <w:r w:rsidR="00D40DA7" w:rsidRPr="006F6171">
        <w:rPr>
          <w:szCs w:val="24"/>
        </w:rPr>
        <w:br/>
      </w:r>
    </w:p>
    <w:p w14:paraId="3DC70B0D" w14:textId="77777777" w:rsidR="0040655D" w:rsidRPr="006F6171" w:rsidRDefault="0040655D" w:rsidP="00E557C4">
      <w:pPr>
        <w:pStyle w:val="ListParagraph"/>
        <w:tabs>
          <w:tab w:val="right" w:pos="8640"/>
        </w:tabs>
        <w:ind w:right="4"/>
        <w:jc w:val="both"/>
        <w:rPr>
          <w:szCs w:val="24"/>
        </w:rPr>
      </w:pPr>
      <w:r w:rsidRPr="006F6171">
        <w:rPr>
          <w:szCs w:val="24"/>
        </w:rPr>
        <w:t xml:space="preserve">The Project </w:t>
      </w:r>
      <w:r w:rsidR="002B0106" w:rsidRPr="006F6171">
        <w:rPr>
          <w:szCs w:val="24"/>
        </w:rPr>
        <w:t>provides a set-aside</w:t>
      </w:r>
      <w:r w:rsidRPr="006F6171">
        <w:rPr>
          <w:szCs w:val="24"/>
        </w:rPr>
        <w:t xml:space="preserve"> for at least 2</w:t>
      </w:r>
      <w:r w:rsidR="00D53332" w:rsidRPr="006F6171">
        <w:rPr>
          <w:szCs w:val="24"/>
        </w:rPr>
        <w:t xml:space="preserve">0%, but not less than 4 of the </w:t>
      </w:r>
      <w:r w:rsidRPr="006F6171">
        <w:rPr>
          <w:szCs w:val="24"/>
        </w:rPr>
        <w:t xml:space="preserve">units, </w:t>
      </w:r>
      <w:r w:rsidR="002B0106" w:rsidRPr="006F6171">
        <w:rPr>
          <w:szCs w:val="24"/>
        </w:rPr>
        <w:t>for</w:t>
      </w:r>
      <w:r w:rsidRPr="006F6171">
        <w:rPr>
          <w:szCs w:val="24"/>
        </w:rPr>
        <w:t xml:space="preserve"> </w:t>
      </w:r>
      <w:r w:rsidR="009E2DF8" w:rsidRPr="006F6171">
        <w:rPr>
          <w:szCs w:val="24"/>
        </w:rPr>
        <w:t xml:space="preserve">Persons Experiencing Homelessness or </w:t>
      </w:r>
      <w:r w:rsidRPr="006F6171">
        <w:rPr>
          <w:szCs w:val="24"/>
        </w:rPr>
        <w:t>persons who have disabilities, are victims of domestic violence, or have other special housing needs</w:t>
      </w:r>
      <w:r w:rsidR="000147F6" w:rsidRPr="006F6171">
        <w:rPr>
          <w:szCs w:val="24"/>
        </w:rPr>
        <w:t>, to create permanent supportive housing for persons who require that level of intervention within the special needs populations</w:t>
      </w:r>
      <w:r w:rsidRPr="006F6171">
        <w:rPr>
          <w:szCs w:val="24"/>
        </w:rPr>
        <w:t>.</w:t>
      </w:r>
    </w:p>
    <w:p w14:paraId="17FFDA1A" w14:textId="77777777" w:rsidR="0040655D" w:rsidRPr="006F6171" w:rsidRDefault="0040655D" w:rsidP="00E557C4">
      <w:pPr>
        <w:pStyle w:val="ListParagraph"/>
        <w:tabs>
          <w:tab w:val="right" w:pos="8640"/>
        </w:tabs>
        <w:ind w:right="4"/>
        <w:jc w:val="both"/>
        <w:rPr>
          <w:szCs w:val="24"/>
        </w:rPr>
      </w:pPr>
    </w:p>
    <w:p w14:paraId="4D5ECBE5" w14:textId="0DDD671B" w:rsidR="0040655D" w:rsidRPr="006F6171" w:rsidRDefault="0040655D" w:rsidP="00E557C4">
      <w:pPr>
        <w:pStyle w:val="ListParagraph"/>
        <w:tabs>
          <w:tab w:val="right" w:pos="8640"/>
        </w:tabs>
        <w:ind w:right="4"/>
        <w:jc w:val="both"/>
        <w:rPr>
          <w:szCs w:val="24"/>
        </w:rPr>
      </w:pPr>
      <w:r w:rsidRPr="006F6171">
        <w:rPr>
          <w:szCs w:val="24"/>
        </w:rPr>
        <w:t xml:space="preserve">The Applicant must </w:t>
      </w:r>
      <w:r w:rsidR="002B0106" w:rsidRPr="006F6171">
        <w:rPr>
          <w:szCs w:val="24"/>
        </w:rPr>
        <w:t>set aside units</w:t>
      </w:r>
      <w:r w:rsidRPr="006F6171">
        <w:rPr>
          <w:szCs w:val="24"/>
        </w:rPr>
        <w:t xml:space="preserve"> for the specific population(s) that qualify for the set-aside, </w:t>
      </w:r>
      <w:r w:rsidR="002B0106" w:rsidRPr="006F6171">
        <w:rPr>
          <w:szCs w:val="24"/>
        </w:rPr>
        <w:t xml:space="preserve">maintain a separate waiting list for these units </w:t>
      </w:r>
      <w:r w:rsidRPr="006F6171">
        <w:rPr>
          <w:szCs w:val="24"/>
        </w:rPr>
        <w:t>and make appropriate, voluntary services available through a qualified third-party provider other than the resident service coordinator required under Section 5.</w:t>
      </w:r>
      <w:r w:rsidR="00F03BC6" w:rsidRPr="006F6171">
        <w:rPr>
          <w:szCs w:val="24"/>
        </w:rPr>
        <w:t>J</w:t>
      </w:r>
      <w:r w:rsidRPr="006F6171">
        <w:rPr>
          <w:szCs w:val="24"/>
        </w:rPr>
        <w:t>.</w:t>
      </w:r>
      <w:r w:rsidR="002B0106" w:rsidRPr="006F6171">
        <w:rPr>
          <w:szCs w:val="24"/>
        </w:rPr>
        <w:t xml:space="preserve"> Additional funding from the Housing Trust Fund and/or Project-based Vouchers will be made available as necessary.</w:t>
      </w:r>
    </w:p>
    <w:p w14:paraId="20BC8746" w14:textId="77777777" w:rsidR="00D53332" w:rsidRPr="006F6171" w:rsidRDefault="00D53332" w:rsidP="00D53332">
      <w:pPr>
        <w:tabs>
          <w:tab w:val="right" w:pos="9360"/>
        </w:tabs>
        <w:jc w:val="both"/>
        <w:rPr>
          <w:rStyle w:val="Heading3Char"/>
          <w:b w:val="0"/>
        </w:rPr>
      </w:pPr>
    </w:p>
    <w:p w14:paraId="7B9E5B4C" w14:textId="77777777" w:rsidR="009504FB" w:rsidRPr="006F6171" w:rsidRDefault="00995E15" w:rsidP="00A8328C">
      <w:pPr>
        <w:pStyle w:val="ListParagraph"/>
        <w:numPr>
          <w:ilvl w:val="0"/>
          <w:numId w:val="8"/>
        </w:numPr>
        <w:tabs>
          <w:tab w:val="right" w:pos="9360"/>
        </w:tabs>
        <w:ind w:hanging="720"/>
        <w:jc w:val="both"/>
        <w:rPr>
          <w:szCs w:val="24"/>
        </w:rPr>
      </w:pPr>
      <w:r w:rsidRPr="006F6171">
        <w:lastRenderedPageBreak/>
        <w:t>Family Housing</w:t>
      </w:r>
      <w:r w:rsidRPr="006F6171">
        <w:rPr>
          <w:szCs w:val="24"/>
        </w:rPr>
        <w:t>.</w:t>
      </w:r>
      <w:r w:rsidR="00DB18E9" w:rsidRPr="006F6171">
        <w:rPr>
          <w:szCs w:val="24"/>
        </w:rPr>
        <w:t xml:space="preserve"> </w:t>
      </w:r>
      <w:r w:rsidR="0050372A" w:rsidRPr="006F6171">
        <w:rPr>
          <w:szCs w:val="24"/>
        </w:rPr>
        <w:tab/>
      </w:r>
      <w:r w:rsidR="00DB18E9" w:rsidRPr="006F6171">
        <w:rPr>
          <w:szCs w:val="24"/>
        </w:rPr>
        <w:t xml:space="preserve">   </w:t>
      </w:r>
      <w:r w:rsidR="0050372A" w:rsidRPr="006F6171">
        <w:rPr>
          <w:b/>
          <w:szCs w:val="24"/>
        </w:rPr>
        <w:t>Up to</w:t>
      </w:r>
      <w:r w:rsidR="0050372A" w:rsidRPr="006F6171">
        <w:rPr>
          <w:szCs w:val="24"/>
        </w:rPr>
        <w:t xml:space="preserve"> </w:t>
      </w:r>
      <w:r w:rsidR="0050372A" w:rsidRPr="006F6171">
        <w:rPr>
          <w:b/>
          <w:szCs w:val="24"/>
        </w:rPr>
        <w:t>6 points</w:t>
      </w:r>
      <w:r w:rsidR="0050372A" w:rsidRPr="006F6171">
        <w:rPr>
          <w:szCs w:val="24"/>
        </w:rPr>
        <w:br/>
      </w:r>
    </w:p>
    <w:p w14:paraId="05216EC5" w14:textId="77777777" w:rsidR="006B1827" w:rsidRPr="006F6171" w:rsidRDefault="00457633" w:rsidP="00C642AF">
      <w:pPr>
        <w:ind w:left="720" w:right="4"/>
        <w:jc w:val="both"/>
        <w:rPr>
          <w:szCs w:val="24"/>
        </w:rPr>
      </w:pPr>
      <w:r w:rsidRPr="006F6171">
        <w:rPr>
          <w:szCs w:val="24"/>
        </w:rPr>
        <w:t>The</w:t>
      </w:r>
      <w:r w:rsidR="00F56D74" w:rsidRPr="006F6171">
        <w:rPr>
          <w:szCs w:val="24"/>
        </w:rPr>
        <w:t xml:space="preserve"> </w:t>
      </w:r>
      <w:r w:rsidR="00E77E6C" w:rsidRPr="006F6171">
        <w:rPr>
          <w:szCs w:val="24"/>
        </w:rPr>
        <w:t>Project</w:t>
      </w:r>
      <w:r w:rsidRPr="006F6171">
        <w:rPr>
          <w:szCs w:val="24"/>
        </w:rPr>
        <w:t xml:space="preserve"> is</w:t>
      </w:r>
      <w:r w:rsidR="00E77E6C" w:rsidRPr="006F6171">
        <w:rPr>
          <w:szCs w:val="24"/>
        </w:rPr>
        <w:t xml:space="preserve"> for fa</w:t>
      </w:r>
      <w:r w:rsidR="00725128" w:rsidRPr="006F6171">
        <w:rPr>
          <w:szCs w:val="24"/>
        </w:rPr>
        <w:t xml:space="preserve">milies </w:t>
      </w:r>
      <w:r w:rsidRPr="006F6171">
        <w:rPr>
          <w:szCs w:val="24"/>
        </w:rPr>
        <w:t>and</w:t>
      </w:r>
      <w:r w:rsidR="00E77E6C" w:rsidRPr="006F6171">
        <w:rPr>
          <w:szCs w:val="24"/>
        </w:rPr>
        <w:t xml:space="preserve"> a minimum percentage of </w:t>
      </w:r>
      <w:r w:rsidRPr="006F6171">
        <w:rPr>
          <w:szCs w:val="24"/>
        </w:rPr>
        <w:t xml:space="preserve">the </w:t>
      </w:r>
      <w:r w:rsidR="00E77E6C" w:rsidRPr="006F6171">
        <w:rPr>
          <w:szCs w:val="24"/>
        </w:rPr>
        <w:t xml:space="preserve">Credit </w:t>
      </w:r>
      <w:r w:rsidR="009A0A75" w:rsidRPr="006F6171">
        <w:rPr>
          <w:szCs w:val="24"/>
        </w:rPr>
        <w:t xml:space="preserve">Units are two </w:t>
      </w:r>
      <w:r w:rsidR="00E77E6C" w:rsidRPr="006F6171">
        <w:rPr>
          <w:szCs w:val="24"/>
        </w:rPr>
        <w:t>and/or three or more bedroom units as follo</w:t>
      </w:r>
      <w:r w:rsidR="009A0A75" w:rsidRPr="006F6171">
        <w:rPr>
          <w:szCs w:val="24"/>
        </w:rPr>
        <w:t>ws:</w:t>
      </w:r>
    </w:p>
    <w:p w14:paraId="6EA32E4A" w14:textId="77777777" w:rsidR="00E77E6C" w:rsidRPr="006F6171" w:rsidRDefault="00E77E6C" w:rsidP="008416BF">
      <w:pPr>
        <w:jc w:val="both"/>
        <w:rPr>
          <w:szCs w:val="24"/>
        </w:rPr>
      </w:pPr>
    </w:p>
    <w:tbl>
      <w:tblPr>
        <w:tblStyle w:val="TableGrid"/>
        <w:tblW w:w="8550" w:type="dxa"/>
        <w:tblInd w:w="715" w:type="dxa"/>
        <w:tblLook w:val="04A0" w:firstRow="1" w:lastRow="0" w:firstColumn="1" w:lastColumn="0" w:noHBand="0" w:noVBand="1"/>
      </w:tblPr>
      <w:tblGrid>
        <w:gridCol w:w="7200"/>
        <w:gridCol w:w="1350"/>
      </w:tblGrid>
      <w:tr w:rsidR="007F6450" w:rsidRPr="006F6171" w14:paraId="25339CCA" w14:textId="77777777" w:rsidTr="00527B06">
        <w:tc>
          <w:tcPr>
            <w:tcW w:w="7200" w:type="dxa"/>
          </w:tcPr>
          <w:p w14:paraId="0533CBF7" w14:textId="77777777" w:rsidR="007F6450" w:rsidRPr="006F6171" w:rsidRDefault="007F6450" w:rsidP="008416BF">
            <w:pPr>
              <w:jc w:val="both"/>
              <w:rPr>
                <w:rFonts w:ascii="Garamond" w:hAnsi="Garamond"/>
                <w:b/>
                <w:szCs w:val="24"/>
              </w:rPr>
            </w:pPr>
            <w:r w:rsidRPr="006F6171">
              <w:rPr>
                <w:rFonts w:ascii="Garamond" w:hAnsi="Garamond"/>
                <w:b/>
                <w:szCs w:val="24"/>
              </w:rPr>
              <w:t>Project for Families with Minimum Percentage of Credit Units by Bedroom Size</w:t>
            </w:r>
          </w:p>
        </w:tc>
        <w:tc>
          <w:tcPr>
            <w:tcW w:w="1350" w:type="dxa"/>
          </w:tcPr>
          <w:p w14:paraId="2F24789B" w14:textId="77777777" w:rsidR="007F6450" w:rsidRPr="006F6171" w:rsidRDefault="007F6450" w:rsidP="008416BF">
            <w:pPr>
              <w:jc w:val="both"/>
              <w:rPr>
                <w:rFonts w:ascii="Garamond" w:hAnsi="Garamond"/>
                <w:b/>
                <w:szCs w:val="24"/>
              </w:rPr>
            </w:pPr>
            <w:r w:rsidRPr="006F6171">
              <w:rPr>
                <w:rFonts w:ascii="Garamond" w:hAnsi="Garamond"/>
                <w:b/>
                <w:szCs w:val="24"/>
              </w:rPr>
              <w:t>Points</w:t>
            </w:r>
          </w:p>
        </w:tc>
      </w:tr>
      <w:tr w:rsidR="007F6450" w:rsidRPr="006F6171" w14:paraId="75E30EC6" w14:textId="77777777" w:rsidTr="00527B06">
        <w:tc>
          <w:tcPr>
            <w:tcW w:w="7200" w:type="dxa"/>
          </w:tcPr>
          <w:p w14:paraId="4812B9FD" w14:textId="77777777" w:rsidR="009A0A75" w:rsidRPr="006F6171" w:rsidRDefault="007F6450" w:rsidP="00C642AF">
            <w:pPr>
              <w:rPr>
                <w:rFonts w:ascii="Garamond" w:hAnsi="Garamond"/>
                <w:szCs w:val="24"/>
              </w:rPr>
            </w:pPr>
            <w:r w:rsidRPr="006F6171">
              <w:rPr>
                <w:rFonts w:ascii="Garamond" w:hAnsi="Garamond"/>
                <w:szCs w:val="24"/>
              </w:rPr>
              <w:t>At least 50%</w:t>
            </w:r>
            <w:r w:rsidR="00203957" w:rsidRPr="006F6171">
              <w:rPr>
                <w:rFonts w:ascii="Garamond" w:hAnsi="Garamond"/>
                <w:szCs w:val="24"/>
              </w:rPr>
              <w:t xml:space="preserve"> of the Credit Units</w:t>
            </w:r>
            <w:r w:rsidRPr="006F6171">
              <w:rPr>
                <w:rFonts w:ascii="Garamond" w:hAnsi="Garamond"/>
                <w:szCs w:val="24"/>
              </w:rPr>
              <w:t xml:space="preserve"> are two or more bedroom units and at least 20%</w:t>
            </w:r>
            <w:r w:rsidR="00203957" w:rsidRPr="006F6171">
              <w:rPr>
                <w:rFonts w:ascii="Garamond" w:hAnsi="Garamond"/>
                <w:szCs w:val="24"/>
              </w:rPr>
              <w:t xml:space="preserve"> of the Credit Units</w:t>
            </w:r>
            <w:r w:rsidRPr="006F6171">
              <w:rPr>
                <w:rFonts w:ascii="Garamond" w:hAnsi="Garamond"/>
                <w:szCs w:val="24"/>
              </w:rPr>
              <w:t xml:space="preserve"> are three or more bedroom units</w:t>
            </w:r>
          </w:p>
        </w:tc>
        <w:tc>
          <w:tcPr>
            <w:tcW w:w="1350" w:type="dxa"/>
          </w:tcPr>
          <w:p w14:paraId="1175F921" w14:textId="77777777" w:rsidR="007F6450" w:rsidRPr="006F6171" w:rsidRDefault="007F6450" w:rsidP="009A0A75">
            <w:pPr>
              <w:rPr>
                <w:rFonts w:ascii="Garamond" w:hAnsi="Garamond"/>
                <w:b/>
                <w:szCs w:val="24"/>
              </w:rPr>
            </w:pPr>
            <w:r w:rsidRPr="006F6171">
              <w:rPr>
                <w:rFonts w:ascii="Garamond" w:hAnsi="Garamond"/>
                <w:b/>
                <w:szCs w:val="24"/>
              </w:rPr>
              <w:t>6 points</w:t>
            </w:r>
          </w:p>
        </w:tc>
      </w:tr>
      <w:tr w:rsidR="007F6450" w:rsidRPr="006F6171" w14:paraId="71E39808" w14:textId="77777777" w:rsidTr="00527B06">
        <w:tc>
          <w:tcPr>
            <w:tcW w:w="7200" w:type="dxa"/>
          </w:tcPr>
          <w:p w14:paraId="22BAAD14" w14:textId="77777777" w:rsidR="00C642AF" w:rsidRPr="006F6171" w:rsidRDefault="007F6450" w:rsidP="009A0A75">
            <w:pPr>
              <w:rPr>
                <w:rFonts w:ascii="Garamond" w:hAnsi="Garamond"/>
                <w:szCs w:val="24"/>
              </w:rPr>
            </w:pPr>
            <w:r w:rsidRPr="006F6171">
              <w:rPr>
                <w:rFonts w:ascii="Garamond" w:hAnsi="Garamond"/>
                <w:szCs w:val="24"/>
              </w:rPr>
              <w:t xml:space="preserve">At least 70% </w:t>
            </w:r>
            <w:r w:rsidR="00203957" w:rsidRPr="006F6171">
              <w:rPr>
                <w:rFonts w:ascii="Garamond" w:hAnsi="Garamond"/>
                <w:szCs w:val="24"/>
              </w:rPr>
              <w:t xml:space="preserve">of the Credit Units </w:t>
            </w:r>
            <w:r w:rsidRPr="006F6171">
              <w:rPr>
                <w:rFonts w:ascii="Garamond" w:hAnsi="Garamond"/>
                <w:szCs w:val="24"/>
              </w:rPr>
              <w:t>are two or more bedroom units</w:t>
            </w:r>
          </w:p>
        </w:tc>
        <w:tc>
          <w:tcPr>
            <w:tcW w:w="1350" w:type="dxa"/>
          </w:tcPr>
          <w:p w14:paraId="6E8EA883" w14:textId="77777777" w:rsidR="007F6450" w:rsidRPr="006F6171" w:rsidRDefault="00F152E2" w:rsidP="009A0A75">
            <w:pPr>
              <w:rPr>
                <w:rFonts w:ascii="Garamond" w:hAnsi="Garamond"/>
                <w:b/>
                <w:szCs w:val="24"/>
              </w:rPr>
            </w:pPr>
            <w:r w:rsidRPr="006F6171">
              <w:rPr>
                <w:rFonts w:ascii="Garamond" w:hAnsi="Garamond"/>
                <w:b/>
                <w:szCs w:val="24"/>
              </w:rPr>
              <w:t>3</w:t>
            </w:r>
            <w:r w:rsidR="007F6450" w:rsidRPr="006F6171">
              <w:rPr>
                <w:rFonts w:ascii="Garamond" w:hAnsi="Garamond"/>
                <w:b/>
                <w:szCs w:val="24"/>
              </w:rPr>
              <w:t xml:space="preserve"> points</w:t>
            </w:r>
          </w:p>
        </w:tc>
      </w:tr>
    </w:tbl>
    <w:p w14:paraId="11498C5C" w14:textId="77777777" w:rsidR="00144ABC" w:rsidRPr="006F6171" w:rsidRDefault="00144ABC" w:rsidP="00527B06"/>
    <w:p w14:paraId="4D9A506E" w14:textId="77777777" w:rsidR="00144ABC" w:rsidRPr="006F6171" w:rsidRDefault="00144ABC" w:rsidP="00A8328C">
      <w:pPr>
        <w:pStyle w:val="ListParagraph"/>
        <w:numPr>
          <w:ilvl w:val="0"/>
          <w:numId w:val="8"/>
        </w:numPr>
        <w:tabs>
          <w:tab w:val="right" w:pos="9360"/>
        </w:tabs>
        <w:ind w:hanging="720"/>
        <w:jc w:val="both"/>
      </w:pPr>
      <w:r w:rsidRPr="006F6171">
        <w:t>Accessibility.</w:t>
      </w:r>
      <w:r w:rsidRPr="006F6171">
        <w:tab/>
        <w:t xml:space="preserve">        </w:t>
      </w:r>
      <w:r w:rsidRPr="006F6171">
        <w:rPr>
          <w:b/>
        </w:rPr>
        <w:t>Up to 12 points</w:t>
      </w:r>
    </w:p>
    <w:p w14:paraId="340C6FD7" w14:textId="77777777" w:rsidR="004F55C6" w:rsidRPr="006F6171" w:rsidRDefault="00D90CCE" w:rsidP="00527B06">
      <w:r w:rsidRPr="006F6171">
        <w:br/>
      </w:r>
      <w:r w:rsidR="00D9717C" w:rsidRPr="006F6171">
        <w:t xml:space="preserve">         </w:t>
      </w:r>
      <w:r w:rsidR="00D9717C" w:rsidRPr="006F6171">
        <w:tab/>
      </w:r>
      <w:r w:rsidRPr="006F6171">
        <w:t>One</w:t>
      </w:r>
      <w:r w:rsidR="00F56D74" w:rsidRPr="006F6171">
        <w:t xml:space="preserve"> (1)</w:t>
      </w:r>
      <w:r w:rsidRPr="006F6171">
        <w:t xml:space="preserve"> point </w:t>
      </w:r>
      <w:r w:rsidR="00AE6BE6" w:rsidRPr="006F6171">
        <w:t xml:space="preserve">for each </w:t>
      </w:r>
      <w:r w:rsidR="0056141C" w:rsidRPr="006F6171">
        <w:t xml:space="preserve">unit </w:t>
      </w:r>
      <w:r w:rsidR="00AE6BE6" w:rsidRPr="006F6171">
        <w:t>that</w:t>
      </w:r>
    </w:p>
    <w:p w14:paraId="5C2B69D0" w14:textId="77777777" w:rsidR="00D27C4E" w:rsidRPr="006F6171" w:rsidRDefault="00D27C4E" w:rsidP="00D27C4E">
      <w:pPr>
        <w:pStyle w:val="ListParagraph"/>
        <w:tabs>
          <w:tab w:val="right" w:pos="9360"/>
        </w:tabs>
        <w:ind w:left="1080"/>
        <w:jc w:val="both"/>
        <w:rPr>
          <w:szCs w:val="24"/>
        </w:rPr>
      </w:pPr>
    </w:p>
    <w:p w14:paraId="0887412F" w14:textId="77777777" w:rsidR="004F55C6" w:rsidRPr="006F6171" w:rsidRDefault="00AE6BE6" w:rsidP="00A8328C">
      <w:pPr>
        <w:pStyle w:val="ListParagraph"/>
        <w:numPr>
          <w:ilvl w:val="0"/>
          <w:numId w:val="18"/>
        </w:numPr>
        <w:tabs>
          <w:tab w:val="right" w:pos="9360"/>
        </w:tabs>
        <w:ind w:left="1080"/>
        <w:jc w:val="both"/>
        <w:rPr>
          <w:szCs w:val="24"/>
        </w:rPr>
      </w:pPr>
      <w:r w:rsidRPr="006F6171">
        <w:rPr>
          <w:szCs w:val="24"/>
        </w:rPr>
        <w:t>exceeds the minimum number of such units</w:t>
      </w:r>
      <w:r w:rsidR="0056141C" w:rsidRPr="006F6171">
        <w:rPr>
          <w:szCs w:val="24"/>
        </w:rPr>
        <w:t xml:space="preserve"> re</w:t>
      </w:r>
      <w:r w:rsidR="00457633" w:rsidRPr="006F6171">
        <w:rPr>
          <w:szCs w:val="24"/>
        </w:rPr>
        <w:t>quired by applicable</w:t>
      </w:r>
      <w:r w:rsidR="0056141C" w:rsidRPr="006F6171">
        <w:rPr>
          <w:szCs w:val="24"/>
        </w:rPr>
        <w:t xml:space="preserve"> </w:t>
      </w:r>
      <w:r w:rsidR="00457633" w:rsidRPr="006F6171">
        <w:rPr>
          <w:szCs w:val="24"/>
        </w:rPr>
        <w:t xml:space="preserve">federal and </w:t>
      </w:r>
      <w:r w:rsidR="0056141C" w:rsidRPr="006F6171">
        <w:rPr>
          <w:szCs w:val="24"/>
        </w:rPr>
        <w:t>state accessibility laws</w:t>
      </w:r>
      <w:r w:rsidR="004F55C6" w:rsidRPr="006F6171">
        <w:rPr>
          <w:szCs w:val="24"/>
        </w:rPr>
        <w:t>,</w:t>
      </w:r>
      <w:r w:rsidR="00BB5E95" w:rsidRPr="006F6171">
        <w:rPr>
          <w:szCs w:val="24"/>
        </w:rPr>
        <w:t xml:space="preserve"> and</w:t>
      </w:r>
    </w:p>
    <w:p w14:paraId="47DC5BC6" w14:textId="77777777" w:rsidR="00D27C4E" w:rsidRPr="006F6171" w:rsidRDefault="00D27C4E" w:rsidP="00D27C4E">
      <w:pPr>
        <w:pStyle w:val="ListParagraph"/>
        <w:tabs>
          <w:tab w:val="right" w:pos="9360"/>
        </w:tabs>
        <w:ind w:left="1080"/>
        <w:jc w:val="both"/>
        <w:rPr>
          <w:szCs w:val="24"/>
        </w:rPr>
      </w:pPr>
    </w:p>
    <w:p w14:paraId="6BB9A181" w14:textId="77777777" w:rsidR="00D27C4E" w:rsidRPr="006F6171" w:rsidRDefault="00D27C4E" w:rsidP="00A8328C">
      <w:pPr>
        <w:pStyle w:val="ListParagraph"/>
        <w:numPr>
          <w:ilvl w:val="0"/>
          <w:numId w:val="18"/>
        </w:numPr>
        <w:tabs>
          <w:tab w:val="right" w:pos="9360"/>
        </w:tabs>
        <w:ind w:left="1080"/>
        <w:jc w:val="both"/>
        <w:rPr>
          <w:szCs w:val="24"/>
        </w:rPr>
      </w:pPr>
      <w:r w:rsidRPr="006F6171">
        <w:rPr>
          <w:szCs w:val="24"/>
        </w:rPr>
        <w:t>meets the requirements for a Type A unit under ANSI Standard A117.1-2009, up to the maximum points by project type below.</w:t>
      </w:r>
    </w:p>
    <w:p w14:paraId="4B75C541" w14:textId="77777777" w:rsidR="00BB5E95" w:rsidRPr="006F6171" w:rsidRDefault="00BB5E95" w:rsidP="00D27C4E">
      <w:pPr>
        <w:pStyle w:val="ListParagraph"/>
        <w:tabs>
          <w:tab w:val="right" w:pos="9360"/>
        </w:tabs>
        <w:ind w:left="1080"/>
        <w:jc w:val="both"/>
        <w:rPr>
          <w:szCs w:val="24"/>
        </w:rPr>
      </w:pPr>
    </w:p>
    <w:tbl>
      <w:tblPr>
        <w:tblStyle w:val="TableGrid"/>
        <w:tblW w:w="8550" w:type="dxa"/>
        <w:tblInd w:w="715" w:type="dxa"/>
        <w:tblLook w:val="04A0" w:firstRow="1" w:lastRow="0" w:firstColumn="1" w:lastColumn="0" w:noHBand="0" w:noVBand="1"/>
      </w:tblPr>
      <w:tblGrid>
        <w:gridCol w:w="7020"/>
        <w:gridCol w:w="1530"/>
      </w:tblGrid>
      <w:tr w:rsidR="00BB5E95" w:rsidRPr="006F6171" w14:paraId="17A10B43" w14:textId="77777777" w:rsidTr="003719DC">
        <w:tc>
          <w:tcPr>
            <w:tcW w:w="7020" w:type="dxa"/>
          </w:tcPr>
          <w:p w14:paraId="001D1DF7" w14:textId="77777777" w:rsidR="00BB5E95" w:rsidRPr="006F6171" w:rsidRDefault="00BB5E95" w:rsidP="008416BF">
            <w:pPr>
              <w:pStyle w:val="ListParagraph"/>
              <w:ind w:left="0"/>
              <w:jc w:val="both"/>
              <w:rPr>
                <w:rFonts w:ascii="Garamond" w:hAnsi="Garamond"/>
                <w:szCs w:val="24"/>
              </w:rPr>
            </w:pPr>
            <w:r w:rsidRPr="006F6171">
              <w:rPr>
                <w:rFonts w:ascii="Garamond" w:hAnsi="Garamond"/>
                <w:b/>
                <w:szCs w:val="24"/>
              </w:rPr>
              <w:t>Type of Project</w:t>
            </w:r>
          </w:p>
        </w:tc>
        <w:tc>
          <w:tcPr>
            <w:tcW w:w="1530" w:type="dxa"/>
          </w:tcPr>
          <w:p w14:paraId="78134DEA" w14:textId="77777777" w:rsidR="00BB5E95" w:rsidRPr="006F6171" w:rsidRDefault="00BB5E95" w:rsidP="008416BF">
            <w:pPr>
              <w:pStyle w:val="ListParagraph"/>
              <w:ind w:left="0"/>
              <w:jc w:val="both"/>
              <w:rPr>
                <w:rFonts w:ascii="Garamond" w:hAnsi="Garamond"/>
                <w:b/>
                <w:szCs w:val="24"/>
              </w:rPr>
            </w:pPr>
            <w:r w:rsidRPr="006F6171">
              <w:rPr>
                <w:rFonts w:ascii="Garamond" w:hAnsi="Garamond"/>
                <w:b/>
                <w:szCs w:val="24"/>
              </w:rPr>
              <w:t>Maximum Points</w:t>
            </w:r>
          </w:p>
        </w:tc>
      </w:tr>
      <w:tr w:rsidR="00BB5E95" w:rsidRPr="006F6171" w14:paraId="6010D664" w14:textId="77777777" w:rsidTr="003719DC">
        <w:tc>
          <w:tcPr>
            <w:tcW w:w="7020" w:type="dxa"/>
          </w:tcPr>
          <w:p w14:paraId="1839D7F1" w14:textId="77777777" w:rsidR="00BB5E95" w:rsidRPr="006F6171" w:rsidRDefault="00BB5E95" w:rsidP="008416BF">
            <w:pPr>
              <w:pStyle w:val="ListParagraph"/>
              <w:ind w:left="0"/>
              <w:jc w:val="both"/>
              <w:rPr>
                <w:rFonts w:ascii="Garamond" w:hAnsi="Garamond"/>
                <w:szCs w:val="24"/>
              </w:rPr>
            </w:pPr>
            <w:r w:rsidRPr="006F6171">
              <w:rPr>
                <w:rFonts w:ascii="Garamond" w:hAnsi="Garamond"/>
                <w:szCs w:val="24"/>
              </w:rPr>
              <w:t>Projects</w:t>
            </w:r>
            <w:r w:rsidR="00F152E2" w:rsidRPr="006F6171">
              <w:rPr>
                <w:rFonts w:ascii="Garamond" w:hAnsi="Garamond"/>
                <w:szCs w:val="24"/>
              </w:rPr>
              <w:t xml:space="preserve"> </w:t>
            </w:r>
            <w:r w:rsidR="00C825C1" w:rsidRPr="006F6171">
              <w:rPr>
                <w:rFonts w:ascii="Garamond" w:hAnsi="Garamond"/>
                <w:szCs w:val="24"/>
              </w:rPr>
              <w:t xml:space="preserve">providing Housing </w:t>
            </w:r>
            <w:r w:rsidR="00F152E2" w:rsidRPr="006F6171">
              <w:rPr>
                <w:rFonts w:ascii="Garamond" w:hAnsi="Garamond"/>
                <w:szCs w:val="24"/>
              </w:rPr>
              <w:t>for Older Adults</w:t>
            </w:r>
          </w:p>
        </w:tc>
        <w:tc>
          <w:tcPr>
            <w:tcW w:w="1530" w:type="dxa"/>
          </w:tcPr>
          <w:p w14:paraId="7E1E00C7" w14:textId="77777777" w:rsidR="00BB5E95" w:rsidRPr="006F6171" w:rsidRDefault="00FF52FE" w:rsidP="00C01818">
            <w:pPr>
              <w:pStyle w:val="ListParagraph"/>
              <w:ind w:left="0"/>
              <w:jc w:val="both"/>
              <w:rPr>
                <w:rFonts w:ascii="Garamond" w:hAnsi="Garamond"/>
                <w:b/>
                <w:szCs w:val="24"/>
              </w:rPr>
            </w:pPr>
            <w:r w:rsidRPr="006F6171">
              <w:rPr>
                <w:rFonts w:ascii="Garamond" w:hAnsi="Garamond"/>
                <w:b/>
                <w:szCs w:val="24"/>
              </w:rPr>
              <w:t>1</w:t>
            </w:r>
            <w:r w:rsidR="00C01818" w:rsidRPr="006F6171">
              <w:rPr>
                <w:rFonts w:ascii="Garamond" w:hAnsi="Garamond"/>
                <w:b/>
                <w:szCs w:val="24"/>
              </w:rPr>
              <w:t>2</w:t>
            </w:r>
            <w:r w:rsidR="00BB5E95" w:rsidRPr="006F6171">
              <w:rPr>
                <w:rFonts w:ascii="Garamond" w:hAnsi="Garamond"/>
                <w:b/>
                <w:szCs w:val="24"/>
              </w:rPr>
              <w:t xml:space="preserve"> points</w:t>
            </w:r>
          </w:p>
        </w:tc>
      </w:tr>
      <w:tr w:rsidR="00BB5E95" w:rsidRPr="006F6171" w14:paraId="67684484" w14:textId="77777777" w:rsidTr="003719DC">
        <w:tc>
          <w:tcPr>
            <w:tcW w:w="7020" w:type="dxa"/>
          </w:tcPr>
          <w:p w14:paraId="00FD9D2A" w14:textId="339FBDE8" w:rsidR="00BB5E95" w:rsidRPr="006F6171" w:rsidRDefault="003D7A70" w:rsidP="00C20556">
            <w:pPr>
              <w:pStyle w:val="ListParagraph"/>
              <w:ind w:left="0"/>
              <w:jc w:val="both"/>
              <w:rPr>
                <w:rFonts w:ascii="Garamond" w:hAnsi="Garamond"/>
                <w:szCs w:val="24"/>
              </w:rPr>
            </w:pPr>
            <w:r w:rsidRPr="006F6171">
              <w:rPr>
                <w:rFonts w:ascii="Garamond" w:hAnsi="Garamond"/>
                <w:szCs w:val="24"/>
              </w:rPr>
              <w:t xml:space="preserve">Projects </w:t>
            </w:r>
            <w:r w:rsidR="00D21612" w:rsidRPr="006F6171">
              <w:rPr>
                <w:rFonts w:ascii="Garamond" w:hAnsi="Garamond"/>
                <w:szCs w:val="24"/>
              </w:rPr>
              <w:t xml:space="preserve">that are </w:t>
            </w:r>
            <w:r w:rsidRPr="006F6171">
              <w:rPr>
                <w:rFonts w:ascii="Garamond" w:hAnsi="Garamond"/>
                <w:szCs w:val="24"/>
              </w:rPr>
              <w:t>not specifically for Older Adults</w:t>
            </w:r>
            <w:r w:rsidR="00C20556" w:rsidRPr="006F6171">
              <w:rPr>
                <w:rFonts w:ascii="Garamond" w:hAnsi="Garamond"/>
                <w:szCs w:val="24"/>
              </w:rPr>
              <w:t xml:space="preserve"> or</w:t>
            </w:r>
            <w:r w:rsidR="00D21612" w:rsidRPr="006F6171">
              <w:rPr>
                <w:rFonts w:ascii="Garamond" w:hAnsi="Garamond"/>
                <w:szCs w:val="24"/>
              </w:rPr>
              <w:t xml:space="preserve"> Families</w:t>
            </w:r>
            <w:r w:rsidR="00C20556" w:rsidRPr="006F6171">
              <w:rPr>
                <w:rFonts w:ascii="Garamond" w:hAnsi="Garamond"/>
                <w:szCs w:val="24"/>
              </w:rPr>
              <w:t>, having only 1 BR and/or efficiency units</w:t>
            </w:r>
          </w:p>
        </w:tc>
        <w:tc>
          <w:tcPr>
            <w:tcW w:w="1530" w:type="dxa"/>
          </w:tcPr>
          <w:p w14:paraId="1C82F7C7" w14:textId="05F74B40" w:rsidR="00BB5E95" w:rsidRPr="006F6171" w:rsidRDefault="003D7A70" w:rsidP="008416BF">
            <w:pPr>
              <w:pStyle w:val="ListParagraph"/>
              <w:ind w:left="0"/>
              <w:jc w:val="both"/>
              <w:rPr>
                <w:rFonts w:ascii="Garamond" w:hAnsi="Garamond"/>
                <w:b/>
                <w:szCs w:val="24"/>
              </w:rPr>
            </w:pPr>
            <w:r w:rsidRPr="006F6171">
              <w:rPr>
                <w:rFonts w:ascii="Garamond" w:hAnsi="Garamond"/>
                <w:b/>
                <w:szCs w:val="24"/>
              </w:rPr>
              <w:t>9 points</w:t>
            </w:r>
          </w:p>
        </w:tc>
      </w:tr>
      <w:tr w:rsidR="003D7A70" w:rsidRPr="006F6171" w14:paraId="7FD0EF06" w14:textId="77777777" w:rsidTr="003719DC">
        <w:tc>
          <w:tcPr>
            <w:tcW w:w="7020" w:type="dxa"/>
          </w:tcPr>
          <w:p w14:paraId="6D03A8C9" w14:textId="405DC999" w:rsidR="003D7A70" w:rsidRPr="006F6171" w:rsidRDefault="003D7A70" w:rsidP="003D7A70">
            <w:pPr>
              <w:pStyle w:val="ListParagraph"/>
              <w:ind w:left="0"/>
              <w:jc w:val="both"/>
              <w:rPr>
                <w:rFonts w:ascii="Garamond" w:hAnsi="Garamond"/>
                <w:szCs w:val="24"/>
              </w:rPr>
            </w:pPr>
            <w:r w:rsidRPr="006F6171">
              <w:rPr>
                <w:rFonts w:ascii="Garamond" w:hAnsi="Garamond"/>
                <w:szCs w:val="24"/>
              </w:rPr>
              <w:t>Family Projects</w:t>
            </w:r>
          </w:p>
        </w:tc>
        <w:tc>
          <w:tcPr>
            <w:tcW w:w="1530" w:type="dxa"/>
          </w:tcPr>
          <w:p w14:paraId="406F104B" w14:textId="0DD6D6C8" w:rsidR="003D7A70" w:rsidRPr="006F6171" w:rsidRDefault="003D7A70" w:rsidP="003D7A70">
            <w:pPr>
              <w:pStyle w:val="ListParagraph"/>
              <w:ind w:left="0"/>
              <w:jc w:val="both"/>
              <w:rPr>
                <w:rFonts w:ascii="Garamond" w:hAnsi="Garamond"/>
                <w:b/>
                <w:szCs w:val="24"/>
              </w:rPr>
            </w:pPr>
            <w:r w:rsidRPr="006F6171">
              <w:rPr>
                <w:rFonts w:ascii="Garamond" w:hAnsi="Garamond"/>
                <w:b/>
                <w:szCs w:val="24"/>
              </w:rPr>
              <w:t>6 points</w:t>
            </w:r>
          </w:p>
        </w:tc>
      </w:tr>
    </w:tbl>
    <w:p w14:paraId="26195C46" w14:textId="77777777" w:rsidR="00995E15" w:rsidRPr="006F6171" w:rsidRDefault="00995E15" w:rsidP="008416BF">
      <w:pPr>
        <w:pStyle w:val="ListParagraph"/>
        <w:jc w:val="both"/>
        <w:rPr>
          <w:b/>
          <w:szCs w:val="24"/>
        </w:rPr>
      </w:pPr>
    </w:p>
    <w:p w14:paraId="304E1FDE" w14:textId="37613386" w:rsidR="00995E15" w:rsidRPr="00F729BC" w:rsidRDefault="00995E15" w:rsidP="00F729BC">
      <w:r w:rsidRPr="006F6171">
        <w:rPr>
          <w:b/>
        </w:rPr>
        <w:t>Financia</w:t>
      </w:r>
      <w:r w:rsidR="0043081A" w:rsidRPr="006F6171">
        <w:rPr>
          <w:b/>
        </w:rPr>
        <w:t xml:space="preserve">l Characteristics </w:t>
      </w:r>
      <w:r w:rsidRPr="006F6171">
        <w:tab/>
      </w:r>
    </w:p>
    <w:p w14:paraId="3D7A735E" w14:textId="77777777" w:rsidR="00F729BC" w:rsidRPr="00F729BC" w:rsidRDefault="00F729BC" w:rsidP="00F729BC">
      <w:pPr>
        <w:pStyle w:val="ListParagraph"/>
        <w:tabs>
          <w:tab w:val="right" w:pos="9360"/>
        </w:tabs>
        <w:jc w:val="both"/>
        <w:rPr>
          <w:szCs w:val="24"/>
        </w:rPr>
      </w:pPr>
    </w:p>
    <w:p w14:paraId="4BAAD478" w14:textId="496B892E" w:rsidR="00F36E63" w:rsidRPr="006F6171" w:rsidRDefault="00F36E63" w:rsidP="00F36E63">
      <w:pPr>
        <w:pStyle w:val="ListParagraph"/>
        <w:numPr>
          <w:ilvl w:val="0"/>
          <w:numId w:val="8"/>
        </w:numPr>
        <w:tabs>
          <w:tab w:val="right" w:pos="9360"/>
        </w:tabs>
        <w:ind w:hanging="720"/>
        <w:jc w:val="both"/>
        <w:rPr>
          <w:szCs w:val="24"/>
        </w:rPr>
      </w:pPr>
      <w:r w:rsidRPr="006F6171">
        <w:t>National Housing Trust Fund.</w:t>
      </w:r>
      <w:r w:rsidRPr="006F6171">
        <w:rPr>
          <w:b/>
          <w:szCs w:val="24"/>
        </w:rPr>
        <w:t xml:space="preserve"> </w:t>
      </w:r>
      <w:r w:rsidRPr="006F6171">
        <w:rPr>
          <w:b/>
          <w:szCs w:val="24"/>
        </w:rPr>
        <w:tab/>
      </w:r>
      <w:r w:rsidR="00214FCD" w:rsidRPr="006F6171">
        <w:rPr>
          <w:b/>
          <w:szCs w:val="24"/>
        </w:rPr>
        <w:t>2</w:t>
      </w:r>
      <w:r w:rsidRPr="006F6171">
        <w:rPr>
          <w:b/>
          <w:szCs w:val="24"/>
        </w:rPr>
        <w:t xml:space="preserve"> point</w:t>
      </w:r>
      <w:r w:rsidR="00214FCD" w:rsidRPr="006F6171">
        <w:rPr>
          <w:b/>
          <w:szCs w:val="24"/>
        </w:rPr>
        <w:t>s</w:t>
      </w:r>
    </w:p>
    <w:p w14:paraId="73A5CA4B" w14:textId="77777777" w:rsidR="00F36E63" w:rsidRPr="006F6171" w:rsidRDefault="00F36E63" w:rsidP="00F36E63">
      <w:pPr>
        <w:tabs>
          <w:tab w:val="right" w:pos="9360"/>
        </w:tabs>
        <w:jc w:val="both"/>
        <w:rPr>
          <w:rStyle w:val="Heading3Char"/>
          <w:b w:val="0"/>
        </w:rPr>
      </w:pPr>
    </w:p>
    <w:p w14:paraId="3A4EA31F" w14:textId="77777777" w:rsidR="00F36E63" w:rsidRPr="006F6171" w:rsidRDefault="00F36E63" w:rsidP="00F36E63">
      <w:pPr>
        <w:ind w:left="720" w:right="4"/>
        <w:jc w:val="both"/>
      </w:pPr>
      <w:r w:rsidRPr="006F6171">
        <w:t xml:space="preserve">The Applicant agrees to accept and use any funding from MaineHousing’s National Housing Trust Fund program for the Project. Any funding award will require a certain number of units in the Project to be affordable to and occupied by Extremely Low Income households. Awarding points is not a commitment of funding from the National Housing Trust Fund. </w:t>
      </w:r>
    </w:p>
    <w:p w14:paraId="5AF1EAAB" w14:textId="652802EE" w:rsidR="00F36E63" w:rsidRPr="006F6171" w:rsidRDefault="00F36E63" w:rsidP="00F36E63">
      <w:pPr>
        <w:pStyle w:val="ListParagraph"/>
        <w:tabs>
          <w:tab w:val="right" w:pos="9360"/>
        </w:tabs>
        <w:jc w:val="both"/>
        <w:rPr>
          <w:szCs w:val="24"/>
        </w:rPr>
      </w:pPr>
    </w:p>
    <w:p w14:paraId="40296529" w14:textId="762E489A" w:rsidR="00995E15" w:rsidRPr="006F6171" w:rsidRDefault="00876E70" w:rsidP="00A8328C">
      <w:pPr>
        <w:pStyle w:val="ListParagraph"/>
        <w:numPr>
          <w:ilvl w:val="0"/>
          <w:numId w:val="8"/>
        </w:numPr>
        <w:tabs>
          <w:tab w:val="right" w:pos="9360"/>
        </w:tabs>
        <w:ind w:hanging="720"/>
        <w:jc w:val="both"/>
        <w:rPr>
          <w:szCs w:val="24"/>
        </w:rPr>
      </w:pPr>
      <w:r w:rsidRPr="006F6171">
        <w:t>Acquisition Cost</w:t>
      </w:r>
      <w:r w:rsidR="00995E15" w:rsidRPr="006F6171">
        <w:rPr>
          <w:szCs w:val="24"/>
        </w:rPr>
        <w:t>.</w:t>
      </w:r>
      <w:r w:rsidR="00CF504C" w:rsidRPr="006F6171">
        <w:rPr>
          <w:szCs w:val="24"/>
        </w:rPr>
        <w:tab/>
      </w:r>
      <w:r w:rsidR="00DB18E9" w:rsidRPr="006F6171">
        <w:rPr>
          <w:szCs w:val="24"/>
        </w:rPr>
        <w:t xml:space="preserve">   </w:t>
      </w:r>
      <w:r w:rsidR="00D446E7" w:rsidRPr="006F6171">
        <w:rPr>
          <w:b/>
          <w:szCs w:val="24"/>
        </w:rPr>
        <w:t xml:space="preserve">Up to </w:t>
      </w:r>
      <w:r w:rsidR="00F36E63" w:rsidRPr="006F6171">
        <w:rPr>
          <w:b/>
          <w:szCs w:val="24"/>
        </w:rPr>
        <w:t>5</w:t>
      </w:r>
      <w:r w:rsidR="00D446E7" w:rsidRPr="006F6171">
        <w:rPr>
          <w:b/>
          <w:szCs w:val="24"/>
        </w:rPr>
        <w:t xml:space="preserve"> points</w:t>
      </w:r>
      <w:r w:rsidR="00995E15" w:rsidRPr="006F6171">
        <w:rPr>
          <w:szCs w:val="24"/>
        </w:rPr>
        <w:t xml:space="preserve"> </w:t>
      </w:r>
      <w:r w:rsidR="00D446E7" w:rsidRPr="006F6171">
        <w:rPr>
          <w:szCs w:val="24"/>
        </w:rPr>
        <w:br/>
      </w:r>
      <w:r w:rsidR="00D446E7" w:rsidRPr="006F6171">
        <w:rPr>
          <w:szCs w:val="24"/>
        </w:rPr>
        <w:br/>
      </w:r>
      <w:r w:rsidR="00675B1D" w:rsidRPr="006F6171">
        <w:rPr>
          <w:szCs w:val="24"/>
        </w:rPr>
        <w:t xml:space="preserve">Points are </w:t>
      </w:r>
      <w:r w:rsidR="00995E15" w:rsidRPr="006F6171">
        <w:rPr>
          <w:szCs w:val="24"/>
        </w:rPr>
        <w:t>based on the</w:t>
      </w:r>
      <w:r w:rsidR="0074370B" w:rsidRPr="006F6171">
        <w:rPr>
          <w:szCs w:val="24"/>
        </w:rPr>
        <w:t xml:space="preserve"> percentage by which the</w:t>
      </w:r>
      <w:r w:rsidR="00995E15" w:rsidRPr="006F6171">
        <w:rPr>
          <w:szCs w:val="24"/>
        </w:rPr>
        <w:t xml:space="preserve"> </w:t>
      </w:r>
      <w:r w:rsidRPr="006F6171">
        <w:rPr>
          <w:szCs w:val="24"/>
        </w:rPr>
        <w:t>acquisition cost</w:t>
      </w:r>
      <w:r w:rsidR="00361A27" w:rsidRPr="006F6171">
        <w:rPr>
          <w:szCs w:val="24"/>
        </w:rPr>
        <w:t>s</w:t>
      </w:r>
      <w:r w:rsidR="00B718F3" w:rsidRPr="006F6171">
        <w:rPr>
          <w:szCs w:val="24"/>
        </w:rPr>
        <w:t xml:space="preserve"> are less than the average acquisition </w:t>
      </w:r>
      <w:r w:rsidRPr="006F6171">
        <w:rPr>
          <w:szCs w:val="24"/>
        </w:rPr>
        <w:t>cost</w:t>
      </w:r>
      <w:r w:rsidR="00C34C81" w:rsidRPr="006F6171">
        <w:rPr>
          <w:szCs w:val="24"/>
        </w:rPr>
        <w:t>s</w:t>
      </w:r>
      <w:r w:rsidR="00D46C80" w:rsidRPr="006F6171">
        <w:rPr>
          <w:szCs w:val="24"/>
        </w:rPr>
        <w:t xml:space="preserve"> for a p</w:t>
      </w:r>
      <w:r w:rsidR="00995E15" w:rsidRPr="006F6171">
        <w:rPr>
          <w:szCs w:val="24"/>
        </w:rPr>
        <w:t xml:space="preserve">roject of its type </w:t>
      </w:r>
      <w:r w:rsidRPr="006F6171">
        <w:rPr>
          <w:szCs w:val="24"/>
        </w:rPr>
        <w:t>as follows</w:t>
      </w:r>
      <w:r w:rsidR="00B718F3" w:rsidRPr="006F6171">
        <w:rPr>
          <w:szCs w:val="24"/>
        </w:rPr>
        <w:t>:</w:t>
      </w:r>
    </w:p>
    <w:p w14:paraId="0F1AA3C0" w14:textId="77777777" w:rsidR="00C01818" w:rsidRPr="006F6171" w:rsidRDefault="00C01818" w:rsidP="00C01818">
      <w:pPr>
        <w:pStyle w:val="ListParagraph"/>
        <w:tabs>
          <w:tab w:val="right" w:pos="9360"/>
        </w:tabs>
        <w:jc w:val="both"/>
        <w:rPr>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790"/>
      </w:tblGrid>
      <w:tr w:rsidR="00995E15" w:rsidRPr="006F6171" w14:paraId="133F69D5" w14:textId="77777777" w:rsidTr="005A70C0">
        <w:tc>
          <w:tcPr>
            <w:tcW w:w="5670" w:type="dxa"/>
          </w:tcPr>
          <w:p w14:paraId="0C08A5AA" w14:textId="77777777" w:rsidR="00995E15" w:rsidRPr="006F6171" w:rsidRDefault="00995E15" w:rsidP="005A70C0">
            <w:pPr>
              <w:pStyle w:val="BodyTextIndent"/>
              <w:spacing w:after="0"/>
              <w:ind w:left="0"/>
              <w:jc w:val="both"/>
              <w:rPr>
                <w:b/>
                <w:szCs w:val="24"/>
              </w:rPr>
            </w:pPr>
            <w:r w:rsidRPr="006F6171">
              <w:rPr>
                <w:b/>
                <w:szCs w:val="24"/>
              </w:rPr>
              <w:t>Type of Project</w:t>
            </w:r>
          </w:p>
        </w:tc>
        <w:tc>
          <w:tcPr>
            <w:tcW w:w="2790" w:type="dxa"/>
          </w:tcPr>
          <w:p w14:paraId="42C824FA" w14:textId="77777777" w:rsidR="00995E15" w:rsidRPr="006F6171" w:rsidRDefault="00995E15" w:rsidP="005A70C0">
            <w:pPr>
              <w:pStyle w:val="BodyTextIndent"/>
              <w:spacing w:after="0"/>
              <w:ind w:left="0"/>
              <w:jc w:val="both"/>
              <w:rPr>
                <w:b/>
                <w:szCs w:val="24"/>
              </w:rPr>
            </w:pPr>
            <w:r w:rsidRPr="006F6171">
              <w:rPr>
                <w:b/>
                <w:szCs w:val="24"/>
              </w:rPr>
              <w:t>Average Acquisition Cost</w:t>
            </w:r>
          </w:p>
        </w:tc>
      </w:tr>
      <w:tr w:rsidR="00983A2E" w:rsidRPr="006F6171" w14:paraId="03EAD8E6" w14:textId="77777777" w:rsidTr="005A70C0">
        <w:tc>
          <w:tcPr>
            <w:tcW w:w="5670" w:type="dxa"/>
          </w:tcPr>
          <w:p w14:paraId="02CBD026" w14:textId="77777777" w:rsidR="00983A2E" w:rsidRPr="006F6171" w:rsidRDefault="00983A2E" w:rsidP="005A70C0">
            <w:pPr>
              <w:pStyle w:val="BodyTextIndent"/>
              <w:spacing w:after="0"/>
              <w:ind w:left="0"/>
              <w:jc w:val="both"/>
              <w:rPr>
                <w:szCs w:val="24"/>
              </w:rPr>
            </w:pPr>
            <w:r w:rsidRPr="006F6171">
              <w:rPr>
                <w:szCs w:val="24"/>
              </w:rPr>
              <w:t xml:space="preserve">Acquisition and </w:t>
            </w:r>
            <w:r w:rsidR="00850022" w:rsidRPr="006F6171">
              <w:rPr>
                <w:szCs w:val="24"/>
              </w:rPr>
              <w:t>r</w:t>
            </w:r>
            <w:r w:rsidRPr="006F6171">
              <w:rPr>
                <w:szCs w:val="24"/>
              </w:rPr>
              <w:t xml:space="preserve">ehabilitation of </w:t>
            </w:r>
            <w:r w:rsidR="00850022" w:rsidRPr="006F6171">
              <w:rPr>
                <w:szCs w:val="24"/>
              </w:rPr>
              <w:t>e</w:t>
            </w:r>
            <w:r w:rsidRPr="006F6171">
              <w:rPr>
                <w:szCs w:val="24"/>
              </w:rPr>
              <w:t xml:space="preserve">xisting </w:t>
            </w:r>
            <w:r w:rsidR="00850022" w:rsidRPr="006F6171">
              <w:rPr>
                <w:szCs w:val="24"/>
              </w:rPr>
              <w:t>h</w:t>
            </w:r>
            <w:r w:rsidRPr="006F6171">
              <w:rPr>
                <w:szCs w:val="24"/>
              </w:rPr>
              <w:t>ousing</w:t>
            </w:r>
          </w:p>
        </w:tc>
        <w:tc>
          <w:tcPr>
            <w:tcW w:w="2790" w:type="dxa"/>
          </w:tcPr>
          <w:p w14:paraId="5FFCE505" w14:textId="68A44570" w:rsidR="00983A2E" w:rsidRPr="006F6171" w:rsidRDefault="00DB18E9" w:rsidP="008B3798">
            <w:pPr>
              <w:pStyle w:val="BodyTextIndent"/>
              <w:spacing w:after="0"/>
              <w:ind w:left="0"/>
              <w:jc w:val="both"/>
              <w:rPr>
                <w:szCs w:val="24"/>
              </w:rPr>
            </w:pPr>
            <w:r w:rsidRPr="006F6171">
              <w:rPr>
                <w:szCs w:val="24"/>
              </w:rPr>
              <w:t xml:space="preserve"> </w:t>
            </w:r>
            <w:r w:rsidR="00983A2E" w:rsidRPr="006F6171">
              <w:rPr>
                <w:szCs w:val="24"/>
              </w:rPr>
              <w:t>$</w:t>
            </w:r>
            <w:r w:rsidR="008B3798" w:rsidRPr="006F6171">
              <w:rPr>
                <w:szCs w:val="24"/>
              </w:rPr>
              <w:t>60,500</w:t>
            </w:r>
            <w:r w:rsidR="00983A2E" w:rsidRPr="006F6171">
              <w:rPr>
                <w:szCs w:val="24"/>
              </w:rPr>
              <w:t xml:space="preserve"> per unit</w:t>
            </w:r>
          </w:p>
        </w:tc>
      </w:tr>
      <w:tr w:rsidR="00995E15" w:rsidRPr="006F6171" w14:paraId="71A2F3D6" w14:textId="77777777" w:rsidTr="005A70C0">
        <w:tc>
          <w:tcPr>
            <w:tcW w:w="5670" w:type="dxa"/>
          </w:tcPr>
          <w:p w14:paraId="638F9F22" w14:textId="77777777" w:rsidR="00995E15" w:rsidRPr="006F6171" w:rsidRDefault="00995E15" w:rsidP="005A70C0">
            <w:pPr>
              <w:pStyle w:val="BodyTextIndent"/>
              <w:spacing w:after="0"/>
              <w:ind w:left="0"/>
              <w:jc w:val="both"/>
              <w:rPr>
                <w:szCs w:val="24"/>
              </w:rPr>
            </w:pPr>
            <w:r w:rsidRPr="006F6171">
              <w:rPr>
                <w:szCs w:val="24"/>
              </w:rPr>
              <w:lastRenderedPageBreak/>
              <w:t xml:space="preserve">New </w:t>
            </w:r>
            <w:r w:rsidR="00850022" w:rsidRPr="006F6171">
              <w:rPr>
                <w:szCs w:val="24"/>
              </w:rPr>
              <w:t>c</w:t>
            </w:r>
            <w:r w:rsidRPr="006F6171">
              <w:rPr>
                <w:szCs w:val="24"/>
              </w:rPr>
              <w:t xml:space="preserve">onstruction </w:t>
            </w:r>
          </w:p>
        </w:tc>
        <w:tc>
          <w:tcPr>
            <w:tcW w:w="2790" w:type="dxa"/>
          </w:tcPr>
          <w:p w14:paraId="17D8C24E" w14:textId="0108BF85" w:rsidR="00995E15" w:rsidRPr="006F6171" w:rsidRDefault="00DB18E9" w:rsidP="008B3798">
            <w:pPr>
              <w:pStyle w:val="BodyTextIndent"/>
              <w:spacing w:after="0"/>
              <w:ind w:left="0"/>
              <w:jc w:val="both"/>
              <w:rPr>
                <w:szCs w:val="24"/>
              </w:rPr>
            </w:pPr>
            <w:r w:rsidRPr="006F6171">
              <w:rPr>
                <w:szCs w:val="24"/>
              </w:rPr>
              <w:t xml:space="preserve"> </w:t>
            </w:r>
            <w:r w:rsidR="00995E15" w:rsidRPr="006F6171">
              <w:rPr>
                <w:szCs w:val="24"/>
              </w:rPr>
              <w:t>$</w:t>
            </w:r>
            <w:r w:rsidR="008B3798" w:rsidRPr="006F6171">
              <w:rPr>
                <w:szCs w:val="24"/>
              </w:rPr>
              <w:t>7,500</w:t>
            </w:r>
            <w:r w:rsidR="00995E15" w:rsidRPr="006F6171">
              <w:rPr>
                <w:szCs w:val="24"/>
              </w:rPr>
              <w:t xml:space="preserve"> per unit </w:t>
            </w:r>
          </w:p>
        </w:tc>
      </w:tr>
      <w:tr w:rsidR="00995E15" w:rsidRPr="006F6171" w14:paraId="27BA2C47" w14:textId="77777777" w:rsidTr="005A70C0">
        <w:tc>
          <w:tcPr>
            <w:tcW w:w="5670" w:type="dxa"/>
          </w:tcPr>
          <w:p w14:paraId="13716037" w14:textId="77777777" w:rsidR="00995E15" w:rsidRPr="006F6171" w:rsidRDefault="00995E15" w:rsidP="005A70C0">
            <w:pPr>
              <w:pStyle w:val="BodyTextIndent"/>
              <w:spacing w:after="0"/>
              <w:ind w:left="0"/>
              <w:jc w:val="both"/>
              <w:rPr>
                <w:szCs w:val="24"/>
              </w:rPr>
            </w:pPr>
            <w:r w:rsidRPr="006F6171">
              <w:rPr>
                <w:szCs w:val="24"/>
              </w:rPr>
              <w:t>Adaptive Reuse</w:t>
            </w:r>
          </w:p>
        </w:tc>
        <w:tc>
          <w:tcPr>
            <w:tcW w:w="2790" w:type="dxa"/>
          </w:tcPr>
          <w:p w14:paraId="7F84E10A" w14:textId="47A7FF06" w:rsidR="00995E15" w:rsidRPr="006F6171" w:rsidRDefault="00DB18E9" w:rsidP="008B3798">
            <w:pPr>
              <w:pStyle w:val="BodyTextIndent"/>
              <w:spacing w:after="0"/>
              <w:ind w:left="0"/>
              <w:jc w:val="both"/>
              <w:rPr>
                <w:szCs w:val="24"/>
              </w:rPr>
            </w:pPr>
            <w:r w:rsidRPr="006F6171">
              <w:rPr>
                <w:szCs w:val="24"/>
              </w:rPr>
              <w:t xml:space="preserve"> </w:t>
            </w:r>
            <w:r w:rsidR="00995E15" w:rsidRPr="006F6171">
              <w:rPr>
                <w:szCs w:val="24"/>
              </w:rPr>
              <w:t>$</w:t>
            </w:r>
            <w:r w:rsidR="008B3798" w:rsidRPr="006F6171">
              <w:rPr>
                <w:szCs w:val="24"/>
              </w:rPr>
              <w:t>10,500</w:t>
            </w:r>
            <w:r w:rsidR="00995E15" w:rsidRPr="006F6171">
              <w:rPr>
                <w:szCs w:val="24"/>
              </w:rPr>
              <w:t xml:space="preserve"> per unit</w:t>
            </w:r>
          </w:p>
        </w:tc>
      </w:tr>
    </w:tbl>
    <w:p w14:paraId="2C416C25" w14:textId="77777777" w:rsidR="005C72F1" w:rsidRPr="006F6171" w:rsidRDefault="001732E8" w:rsidP="008416BF">
      <w:pPr>
        <w:ind w:left="720" w:right="720"/>
        <w:jc w:val="both"/>
        <w:rPr>
          <w:szCs w:val="24"/>
        </w:rPr>
      </w:pPr>
      <w:r w:rsidRPr="006F6171">
        <w:rPr>
          <w:szCs w:val="24"/>
        </w:rPr>
        <w:br/>
      </w:r>
      <w:r w:rsidR="00C34C81" w:rsidRPr="006F6171">
        <w:rPr>
          <w:szCs w:val="24"/>
        </w:rPr>
        <w:t xml:space="preserve">For purposes of this </w:t>
      </w:r>
      <w:r w:rsidR="00DB0800" w:rsidRPr="006F6171">
        <w:rPr>
          <w:szCs w:val="24"/>
        </w:rPr>
        <w:t>subsection</w:t>
      </w:r>
      <w:r w:rsidR="00C34C81" w:rsidRPr="006F6171">
        <w:rPr>
          <w:szCs w:val="24"/>
        </w:rPr>
        <w:t>,</w:t>
      </w:r>
      <w:r w:rsidR="00995E15" w:rsidRPr="006F6171">
        <w:rPr>
          <w:szCs w:val="24"/>
        </w:rPr>
        <w:t xml:space="preserve"> </w:t>
      </w:r>
      <w:r w:rsidR="001110D5" w:rsidRPr="006F6171">
        <w:rPr>
          <w:szCs w:val="24"/>
        </w:rPr>
        <w:t>acquisition cost</w:t>
      </w:r>
      <w:r w:rsidR="00C34C81" w:rsidRPr="006F6171">
        <w:rPr>
          <w:szCs w:val="24"/>
        </w:rPr>
        <w:t>s</w:t>
      </w:r>
      <w:r w:rsidR="001110D5" w:rsidRPr="006F6171">
        <w:rPr>
          <w:szCs w:val="24"/>
        </w:rPr>
        <w:t xml:space="preserve"> </w:t>
      </w:r>
      <w:r w:rsidR="00C34C81" w:rsidRPr="006F6171">
        <w:rPr>
          <w:szCs w:val="24"/>
        </w:rPr>
        <w:t>include</w:t>
      </w:r>
    </w:p>
    <w:p w14:paraId="64DEA4CD" w14:textId="77777777" w:rsidR="009B0A57" w:rsidRPr="006F6171" w:rsidRDefault="009B0A57" w:rsidP="008416BF">
      <w:pPr>
        <w:ind w:left="720" w:right="720"/>
        <w:jc w:val="both"/>
        <w:rPr>
          <w:szCs w:val="24"/>
        </w:rPr>
      </w:pPr>
    </w:p>
    <w:p w14:paraId="4C6532C0" w14:textId="77777777" w:rsidR="005C72F1" w:rsidRPr="006F6171" w:rsidRDefault="00C34C81" w:rsidP="00A8328C">
      <w:pPr>
        <w:pStyle w:val="ListParagraph"/>
        <w:numPr>
          <w:ilvl w:val="4"/>
          <w:numId w:val="19"/>
        </w:numPr>
        <w:tabs>
          <w:tab w:val="left" w:pos="1080"/>
        </w:tabs>
        <w:ind w:left="1080" w:right="4"/>
        <w:jc w:val="both"/>
        <w:rPr>
          <w:szCs w:val="24"/>
        </w:rPr>
      </w:pPr>
      <w:r w:rsidRPr="006F6171">
        <w:rPr>
          <w:szCs w:val="24"/>
        </w:rPr>
        <w:t>the purchase price for all of the land and any existin</w:t>
      </w:r>
      <w:r w:rsidR="009A4CD2" w:rsidRPr="006F6171">
        <w:rPr>
          <w:szCs w:val="24"/>
        </w:rPr>
        <w:t xml:space="preserve">g building(s) </w:t>
      </w:r>
      <w:r w:rsidR="00336980" w:rsidRPr="006F6171">
        <w:rPr>
          <w:szCs w:val="24"/>
        </w:rPr>
        <w:t>even if donated or leased to the Applicant at below m</w:t>
      </w:r>
      <w:r w:rsidR="009B0A57" w:rsidRPr="006F6171">
        <w:rPr>
          <w:szCs w:val="24"/>
        </w:rPr>
        <w:t>arket value</w:t>
      </w:r>
      <w:r w:rsidR="00D9717C" w:rsidRPr="006F6171">
        <w:rPr>
          <w:szCs w:val="24"/>
        </w:rPr>
        <w:t>,</w:t>
      </w:r>
    </w:p>
    <w:p w14:paraId="6158C744" w14:textId="77777777" w:rsidR="009B0A57" w:rsidRPr="006F6171" w:rsidRDefault="009B0A57" w:rsidP="00D9717C">
      <w:pPr>
        <w:pStyle w:val="ListParagraph"/>
        <w:tabs>
          <w:tab w:val="left" w:pos="1080"/>
        </w:tabs>
        <w:ind w:left="1080" w:right="4"/>
        <w:jc w:val="both"/>
        <w:rPr>
          <w:szCs w:val="24"/>
        </w:rPr>
      </w:pPr>
    </w:p>
    <w:p w14:paraId="25E15B8A" w14:textId="77777777" w:rsidR="005C72F1" w:rsidRPr="006F6171" w:rsidRDefault="0090707C" w:rsidP="00A8328C">
      <w:pPr>
        <w:pStyle w:val="ListParagraph"/>
        <w:numPr>
          <w:ilvl w:val="4"/>
          <w:numId w:val="19"/>
        </w:numPr>
        <w:tabs>
          <w:tab w:val="left" w:pos="1080"/>
        </w:tabs>
        <w:ind w:left="1080" w:right="4"/>
        <w:jc w:val="both"/>
        <w:rPr>
          <w:szCs w:val="24"/>
        </w:rPr>
      </w:pPr>
      <w:r w:rsidRPr="006F6171">
        <w:rPr>
          <w:szCs w:val="24"/>
        </w:rPr>
        <w:t>the cost</w:t>
      </w:r>
      <w:r w:rsidR="00C34C81" w:rsidRPr="006F6171">
        <w:rPr>
          <w:szCs w:val="24"/>
        </w:rPr>
        <w:t xml:space="preserve"> of razing</w:t>
      </w:r>
      <w:r w:rsidR="001732E8" w:rsidRPr="006F6171">
        <w:rPr>
          <w:szCs w:val="24"/>
        </w:rPr>
        <w:t xml:space="preserve"> or demolishing</w:t>
      </w:r>
      <w:r w:rsidR="00C34C81" w:rsidRPr="006F6171">
        <w:rPr>
          <w:szCs w:val="24"/>
        </w:rPr>
        <w:t xml:space="preserve"> any building(s) and structure(s)</w:t>
      </w:r>
      <w:r w:rsidR="001732E8" w:rsidRPr="006F6171">
        <w:rPr>
          <w:szCs w:val="24"/>
        </w:rPr>
        <w:t>, or any part thereof,</w:t>
      </w:r>
      <w:r w:rsidR="00C34C81" w:rsidRPr="006F6171">
        <w:rPr>
          <w:szCs w:val="24"/>
        </w:rPr>
        <w:t xml:space="preserve"> </w:t>
      </w:r>
      <w:r w:rsidR="00CF6A77" w:rsidRPr="006F6171">
        <w:rPr>
          <w:szCs w:val="24"/>
        </w:rPr>
        <w:t>on</w:t>
      </w:r>
      <w:r w:rsidR="00C34C81" w:rsidRPr="006F6171">
        <w:rPr>
          <w:szCs w:val="24"/>
        </w:rPr>
        <w:t xml:space="preserve"> the Project</w:t>
      </w:r>
      <w:r w:rsidR="00CF6A77" w:rsidRPr="006F6171">
        <w:rPr>
          <w:szCs w:val="24"/>
        </w:rPr>
        <w:t xml:space="preserve"> site</w:t>
      </w:r>
      <w:r w:rsidR="00D9717C" w:rsidRPr="006F6171">
        <w:rPr>
          <w:szCs w:val="24"/>
        </w:rPr>
        <w:t>,</w:t>
      </w:r>
      <w:r w:rsidR="00336980" w:rsidRPr="006F6171">
        <w:rPr>
          <w:szCs w:val="24"/>
        </w:rPr>
        <w:t xml:space="preserve"> and</w:t>
      </w:r>
    </w:p>
    <w:p w14:paraId="51817CD2" w14:textId="77777777" w:rsidR="009B0A57" w:rsidRPr="006F6171" w:rsidRDefault="009B0A57" w:rsidP="00D9717C">
      <w:pPr>
        <w:pStyle w:val="ListParagraph"/>
        <w:ind w:right="4"/>
        <w:rPr>
          <w:szCs w:val="24"/>
        </w:rPr>
      </w:pPr>
    </w:p>
    <w:p w14:paraId="6F9E6D43" w14:textId="77777777" w:rsidR="005C72F1" w:rsidRPr="006F6171" w:rsidRDefault="001110D5" w:rsidP="00A8328C">
      <w:pPr>
        <w:pStyle w:val="ListParagraph"/>
        <w:numPr>
          <w:ilvl w:val="4"/>
          <w:numId w:val="19"/>
        </w:numPr>
        <w:tabs>
          <w:tab w:val="left" w:pos="1080"/>
        </w:tabs>
        <w:ind w:left="1080" w:right="4"/>
        <w:jc w:val="both"/>
        <w:rPr>
          <w:szCs w:val="24"/>
        </w:rPr>
      </w:pPr>
      <w:r w:rsidRPr="006F6171">
        <w:rPr>
          <w:szCs w:val="24"/>
        </w:rPr>
        <w:t xml:space="preserve">the Capitalized Lease Value of </w:t>
      </w:r>
      <w:r w:rsidR="00DF7337" w:rsidRPr="006F6171">
        <w:rPr>
          <w:szCs w:val="24"/>
        </w:rPr>
        <w:t>all leases</w:t>
      </w:r>
      <w:r w:rsidR="00895C41" w:rsidRPr="006F6171">
        <w:rPr>
          <w:szCs w:val="24"/>
        </w:rPr>
        <w:t xml:space="preserve"> of land or land and building(s) that are part of the Project</w:t>
      </w:r>
      <w:r w:rsidR="00DA274F" w:rsidRPr="006F6171">
        <w:rPr>
          <w:szCs w:val="24"/>
        </w:rPr>
        <w:t>, with t</w:t>
      </w:r>
      <w:r w:rsidR="00C01818" w:rsidRPr="006F6171">
        <w:rPr>
          <w:szCs w:val="24"/>
        </w:rPr>
        <w:t>he exception of parking spaces.</w:t>
      </w:r>
    </w:p>
    <w:p w14:paraId="2BD28F8A" w14:textId="77777777" w:rsidR="009B0A57" w:rsidRPr="006F6171" w:rsidRDefault="009B0A57" w:rsidP="009B0A57">
      <w:pPr>
        <w:pStyle w:val="ListParagraph"/>
        <w:ind w:left="1080" w:right="720"/>
        <w:jc w:val="both"/>
        <w:rPr>
          <w:szCs w:val="24"/>
        </w:rPr>
      </w:pPr>
    </w:p>
    <w:p w14:paraId="47D95FB3" w14:textId="77777777" w:rsidR="000D041F" w:rsidRPr="006F6171" w:rsidRDefault="00F844EC" w:rsidP="00C6732B">
      <w:pPr>
        <w:ind w:left="720" w:right="4"/>
        <w:jc w:val="both"/>
        <w:rPr>
          <w:szCs w:val="24"/>
        </w:rPr>
      </w:pPr>
      <w:r w:rsidRPr="006F6171">
        <w:rPr>
          <w:szCs w:val="24"/>
        </w:rPr>
        <w:t xml:space="preserve">The value of any project reserves transferred to the Project as part of the acquisition and included in the purchase price will not be included for purposes of this subsection. </w:t>
      </w:r>
      <w:r w:rsidR="000D041F" w:rsidRPr="006F6171">
        <w:rPr>
          <w:szCs w:val="24"/>
        </w:rPr>
        <w:br/>
      </w:r>
    </w:p>
    <w:tbl>
      <w:tblPr>
        <w:tblStyle w:val="TableGrid"/>
        <w:tblW w:w="0" w:type="auto"/>
        <w:tblInd w:w="715" w:type="dxa"/>
        <w:tblLook w:val="04A0" w:firstRow="1" w:lastRow="0" w:firstColumn="1" w:lastColumn="0" w:noHBand="0" w:noVBand="1"/>
      </w:tblPr>
      <w:tblGrid>
        <w:gridCol w:w="7020"/>
        <w:gridCol w:w="1440"/>
      </w:tblGrid>
      <w:tr w:rsidR="00970AAC" w:rsidRPr="006F6171" w14:paraId="104C888B" w14:textId="77777777" w:rsidTr="009B0A57">
        <w:tc>
          <w:tcPr>
            <w:tcW w:w="7020" w:type="dxa"/>
          </w:tcPr>
          <w:p w14:paraId="20085F2E" w14:textId="4CC626F4" w:rsidR="00B46944" w:rsidRPr="006F6171" w:rsidRDefault="00026AFF" w:rsidP="00C6732B">
            <w:pPr>
              <w:jc w:val="both"/>
              <w:rPr>
                <w:rFonts w:ascii="Garamond" w:hAnsi="Garamond"/>
                <w:b/>
                <w:szCs w:val="24"/>
              </w:rPr>
            </w:pPr>
            <w:r w:rsidRPr="006F6171">
              <w:rPr>
                <w:rFonts w:ascii="Garamond" w:hAnsi="Garamond"/>
                <w:b/>
                <w:szCs w:val="24"/>
              </w:rPr>
              <w:t xml:space="preserve">Percentage of Project’s Acquisition Cost </w:t>
            </w:r>
            <w:r w:rsidR="00F36E63" w:rsidRPr="006F6171">
              <w:rPr>
                <w:rFonts w:ascii="Garamond" w:hAnsi="Garamond"/>
                <w:b/>
                <w:szCs w:val="24"/>
              </w:rPr>
              <w:t xml:space="preserve">as compared </w:t>
            </w:r>
            <w:r w:rsidRPr="006F6171">
              <w:rPr>
                <w:rFonts w:ascii="Garamond" w:hAnsi="Garamond"/>
                <w:b/>
                <w:szCs w:val="24"/>
              </w:rPr>
              <w:t>to Average Acquisition Cost</w:t>
            </w:r>
          </w:p>
        </w:tc>
        <w:tc>
          <w:tcPr>
            <w:tcW w:w="1440" w:type="dxa"/>
          </w:tcPr>
          <w:p w14:paraId="7C3820BA" w14:textId="77777777" w:rsidR="000D041F" w:rsidRPr="006F6171" w:rsidRDefault="00970AAC" w:rsidP="008416BF">
            <w:pPr>
              <w:jc w:val="both"/>
              <w:rPr>
                <w:rFonts w:ascii="Garamond" w:hAnsi="Garamond"/>
                <w:b/>
                <w:szCs w:val="24"/>
              </w:rPr>
            </w:pPr>
            <w:r w:rsidRPr="006F6171">
              <w:rPr>
                <w:rFonts w:ascii="Garamond" w:hAnsi="Garamond"/>
                <w:b/>
                <w:szCs w:val="24"/>
              </w:rPr>
              <w:t>Points</w:t>
            </w:r>
          </w:p>
        </w:tc>
      </w:tr>
      <w:tr w:rsidR="00970AAC" w:rsidRPr="006F6171" w14:paraId="05911232" w14:textId="77777777" w:rsidTr="009B0A57">
        <w:tc>
          <w:tcPr>
            <w:tcW w:w="7020" w:type="dxa"/>
          </w:tcPr>
          <w:p w14:paraId="631EF178" w14:textId="77777777" w:rsidR="000D041F" w:rsidRPr="006F6171" w:rsidRDefault="00970AAC" w:rsidP="008416BF">
            <w:pPr>
              <w:jc w:val="both"/>
              <w:rPr>
                <w:rFonts w:ascii="Garamond" w:hAnsi="Garamond"/>
                <w:szCs w:val="24"/>
              </w:rPr>
            </w:pPr>
            <w:r w:rsidRPr="006F6171">
              <w:rPr>
                <w:rFonts w:ascii="Garamond" w:hAnsi="Garamond"/>
                <w:szCs w:val="24"/>
              </w:rPr>
              <w:t>0% to 1% (nominal)</w:t>
            </w:r>
          </w:p>
        </w:tc>
        <w:tc>
          <w:tcPr>
            <w:tcW w:w="1440" w:type="dxa"/>
          </w:tcPr>
          <w:p w14:paraId="3522728B" w14:textId="12EF5B61" w:rsidR="000D041F" w:rsidRPr="006F6171" w:rsidRDefault="00F36E63" w:rsidP="008416BF">
            <w:pPr>
              <w:jc w:val="both"/>
              <w:rPr>
                <w:rFonts w:ascii="Garamond" w:hAnsi="Garamond"/>
                <w:b/>
                <w:szCs w:val="24"/>
              </w:rPr>
            </w:pPr>
            <w:r w:rsidRPr="006F6171">
              <w:rPr>
                <w:rFonts w:ascii="Garamond" w:hAnsi="Garamond"/>
                <w:b/>
                <w:szCs w:val="24"/>
              </w:rPr>
              <w:t>5</w:t>
            </w:r>
            <w:r w:rsidR="00970AAC" w:rsidRPr="006F6171">
              <w:rPr>
                <w:rFonts w:ascii="Garamond" w:hAnsi="Garamond"/>
                <w:b/>
                <w:szCs w:val="24"/>
              </w:rPr>
              <w:t xml:space="preserve"> points</w:t>
            </w:r>
          </w:p>
        </w:tc>
      </w:tr>
      <w:tr w:rsidR="00970AAC" w:rsidRPr="006F6171" w14:paraId="557634A7" w14:textId="77777777" w:rsidTr="009B0A57">
        <w:tc>
          <w:tcPr>
            <w:tcW w:w="7020" w:type="dxa"/>
          </w:tcPr>
          <w:p w14:paraId="2973B785" w14:textId="7B489829" w:rsidR="000D041F" w:rsidRPr="006F6171" w:rsidRDefault="00970AAC" w:rsidP="008416BF">
            <w:pPr>
              <w:jc w:val="both"/>
              <w:rPr>
                <w:rFonts w:ascii="Garamond" w:hAnsi="Garamond"/>
                <w:szCs w:val="24"/>
              </w:rPr>
            </w:pPr>
            <w:r w:rsidRPr="006F6171">
              <w:rPr>
                <w:rFonts w:ascii="Garamond" w:hAnsi="Garamond"/>
                <w:szCs w:val="24"/>
              </w:rPr>
              <w:t>&gt;1% to 2</w:t>
            </w:r>
            <w:r w:rsidR="00F36E63" w:rsidRPr="006F6171">
              <w:rPr>
                <w:rFonts w:ascii="Garamond" w:hAnsi="Garamond"/>
                <w:szCs w:val="24"/>
              </w:rPr>
              <w:t>0</w:t>
            </w:r>
            <w:r w:rsidRPr="006F6171">
              <w:rPr>
                <w:rFonts w:ascii="Garamond" w:hAnsi="Garamond"/>
                <w:szCs w:val="24"/>
              </w:rPr>
              <w:t>%</w:t>
            </w:r>
          </w:p>
        </w:tc>
        <w:tc>
          <w:tcPr>
            <w:tcW w:w="1440" w:type="dxa"/>
          </w:tcPr>
          <w:p w14:paraId="57543B5D" w14:textId="2B02674A" w:rsidR="000D041F" w:rsidRPr="006F6171" w:rsidRDefault="00F36E63" w:rsidP="008416BF">
            <w:pPr>
              <w:jc w:val="both"/>
              <w:rPr>
                <w:rFonts w:ascii="Garamond" w:hAnsi="Garamond"/>
                <w:b/>
                <w:szCs w:val="24"/>
              </w:rPr>
            </w:pPr>
            <w:r w:rsidRPr="006F6171">
              <w:rPr>
                <w:rFonts w:ascii="Garamond" w:hAnsi="Garamond"/>
                <w:b/>
                <w:szCs w:val="24"/>
              </w:rPr>
              <w:t>4</w:t>
            </w:r>
            <w:r w:rsidR="00970AAC" w:rsidRPr="006F6171">
              <w:rPr>
                <w:rFonts w:ascii="Garamond" w:hAnsi="Garamond"/>
                <w:b/>
                <w:szCs w:val="24"/>
              </w:rPr>
              <w:t xml:space="preserve"> points</w:t>
            </w:r>
          </w:p>
        </w:tc>
      </w:tr>
      <w:tr w:rsidR="00970AAC" w:rsidRPr="006F6171" w14:paraId="5ACCBBFA" w14:textId="77777777" w:rsidTr="009B0A57">
        <w:tc>
          <w:tcPr>
            <w:tcW w:w="7020" w:type="dxa"/>
          </w:tcPr>
          <w:p w14:paraId="32CECAA7" w14:textId="617D3B80" w:rsidR="000D041F" w:rsidRPr="006F6171" w:rsidRDefault="00F36E63" w:rsidP="008416BF">
            <w:pPr>
              <w:jc w:val="both"/>
              <w:rPr>
                <w:rFonts w:ascii="Garamond" w:hAnsi="Garamond"/>
                <w:szCs w:val="24"/>
              </w:rPr>
            </w:pPr>
            <w:r w:rsidRPr="006F6171">
              <w:rPr>
                <w:rFonts w:ascii="Garamond" w:hAnsi="Garamond"/>
                <w:szCs w:val="24"/>
              </w:rPr>
              <w:t>&gt;</w:t>
            </w:r>
            <w:r w:rsidR="00970AAC" w:rsidRPr="006F6171">
              <w:rPr>
                <w:rFonts w:ascii="Garamond" w:hAnsi="Garamond"/>
                <w:szCs w:val="24"/>
              </w:rPr>
              <w:t>2</w:t>
            </w:r>
            <w:r w:rsidRPr="006F6171">
              <w:rPr>
                <w:rFonts w:ascii="Garamond" w:hAnsi="Garamond"/>
                <w:szCs w:val="24"/>
              </w:rPr>
              <w:t>0</w:t>
            </w:r>
            <w:r w:rsidR="00970AAC" w:rsidRPr="006F6171">
              <w:rPr>
                <w:rFonts w:ascii="Garamond" w:hAnsi="Garamond"/>
                <w:szCs w:val="24"/>
              </w:rPr>
              <w:t xml:space="preserve">% to </w:t>
            </w:r>
            <w:r w:rsidRPr="006F6171">
              <w:rPr>
                <w:rFonts w:ascii="Garamond" w:hAnsi="Garamond"/>
                <w:szCs w:val="24"/>
              </w:rPr>
              <w:t>4</w:t>
            </w:r>
            <w:r w:rsidR="00970AAC" w:rsidRPr="006F6171">
              <w:rPr>
                <w:rFonts w:ascii="Garamond" w:hAnsi="Garamond"/>
                <w:szCs w:val="24"/>
              </w:rPr>
              <w:t>0%</w:t>
            </w:r>
            <w:r w:rsidR="00970AAC" w:rsidRPr="006F6171">
              <w:rPr>
                <w:rFonts w:ascii="Garamond" w:hAnsi="Garamond"/>
                <w:szCs w:val="24"/>
              </w:rPr>
              <w:tab/>
            </w:r>
          </w:p>
        </w:tc>
        <w:tc>
          <w:tcPr>
            <w:tcW w:w="1440" w:type="dxa"/>
          </w:tcPr>
          <w:p w14:paraId="4241364B" w14:textId="1C609A8F" w:rsidR="000D041F" w:rsidRPr="006F6171" w:rsidRDefault="00F36E63" w:rsidP="008416BF">
            <w:pPr>
              <w:jc w:val="both"/>
              <w:rPr>
                <w:rFonts w:ascii="Garamond" w:hAnsi="Garamond"/>
                <w:b/>
                <w:szCs w:val="24"/>
              </w:rPr>
            </w:pPr>
            <w:r w:rsidRPr="006F6171">
              <w:rPr>
                <w:rFonts w:ascii="Garamond" w:hAnsi="Garamond"/>
                <w:b/>
                <w:szCs w:val="24"/>
              </w:rPr>
              <w:t>3</w:t>
            </w:r>
            <w:r w:rsidR="00970AAC" w:rsidRPr="006F6171">
              <w:rPr>
                <w:rFonts w:ascii="Garamond" w:hAnsi="Garamond"/>
                <w:b/>
                <w:szCs w:val="24"/>
              </w:rPr>
              <w:t xml:space="preserve"> points</w:t>
            </w:r>
          </w:p>
        </w:tc>
      </w:tr>
      <w:tr w:rsidR="00970AAC" w:rsidRPr="006F6171" w14:paraId="0234C7C3" w14:textId="77777777" w:rsidTr="009B0A57">
        <w:tc>
          <w:tcPr>
            <w:tcW w:w="7020" w:type="dxa"/>
          </w:tcPr>
          <w:p w14:paraId="7B5452C3" w14:textId="07DCE3CC" w:rsidR="000D041F" w:rsidRPr="006F6171" w:rsidRDefault="00970AAC" w:rsidP="008416BF">
            <w:pPr>
              <w:jc w:val="both"/>
              <w:rPr>
                <w:rFonts w:ascii="Garamond" w:hAnsi="Garamond"/>
                <w:szCs w:val="24"/>
              </w:rPr>
            </w:pPr>
            <w:r w:rsidRPr="006F6171">
              <w:rPr>
                <w:rFonts w:ascii="Garamond" w:hAnsi="Garamond"/>
                <w:szCs w:val="24"/>
              </w:rPr>
              <w:t>&gt;</w:t>
            </w:r>
            <w:r w:rsidR="00F36E63" w:rsidRPr="006F6171">
              <w:rPr>
                <w:rFonts w:ascii="Garamond" w:hAnsi="Garamond"/>
                <w:szCs w:val="24"/>
              </w:rPr>
              <w:t>4</w:t>
            </w:r>
            <w:r w:rsidRPr="006F6171">
              <w:rPr>
                <w:rFonts w:ascii="Garamond" w:hAnsi="Garamond"/>
                <w:szCs w:val="24"/>
              </w:rPr>
              <w:t xml:space="preserve">0% to </w:t>
            </w:r>
            <w:r w:rsidR="00F36E63" w:rsidRPr="006F6171">
              <w:rPr>
                <w:rFonts w:ascii="Garamond" w:hAnsi="Garamond"/>
                <w:szCs w:val="24"/>
              </w:rPr>
              <w:t>60</w:t>
            </w:r>
            <w:r w:rsidRPr="006F6171">
              <w:rPr>
                <w:rFonts w:ascii="Garamond" w:hAnsi="Garamond"/>
                <w:szCs w:val="24"/>
              </w:rPr>
              <w:t>%</w:t>
            </w:r>
          </w:p>
        </w:tc>
        <w:tc>
          <w:tcPr>
            <w:tcW w:w="1440" w:type="dxa"/>
          </w:tcPr>
          <w:p w14:paraId="6CF80716" w14:textId="401BC79A" w:rsidR="000D041F" w:rsidRPr="006F6171" w:rsidRDefault="00F36E63" w:rsidP="008416BF">
            <w:pPr>
              <w:jc w:val="both"/>
              <w:rPr>
                <w:rFonts w:ascii="Garamond" w:hAnsi="Garamond"/>
                <w:b/>
                <w:szCs w:val="24"/>
              </w:rPr>
            </w:pPr>
            <w:r w:rsidRPr="006F6171">
              <w:rPr>
                <w:rFonts w:ascii="Garamond" w:hAnsi="Garamond"/>
                <w:b/>
                <w:szCs w:val="24"/>
              </w:rPr>
              <w:t>2</w:t>
            </w:r>
            <w:r w:rsidR="00970AAC" w:rsidRPr="006F6171">
              <w:rPr>
                <w:rFonts w:ascii="Garamond" w:hAnsi="Garamond"/>
                <w:b/>
                <w:szCs w:val="24"/>
              </w:rPr>
              <w:t xml:space="preserve"> point</w:t>
            </w:r>
          </w:p>
        </w:tc>
      </w:tr>
      <w:tr w:rsidR="00F36E63" w:rsidRPr="006F6171" w14:paraId="79217027" w14:textId="77777777" w:rsidTr="009B0A57">
        <w:tc>
          <w:tcPr>
            <w:tcW w:w="7020" w:type="dxa"/>
          </w:tcPr>
          <w:p w14:paraId="3DC9D214" w14:textId="27E8A6C2" w:rsidR="00F36E63" w:rsidRPr="006F6171" w:rsidRDefault="00F36E63" w:rsidP="008416BF">
            <w:pPr>
              <w:jc w:val="both"/>
              <w:rPr>
                <w:rFonts w:ascii="Garamond" w:hAnsi="Garamond"/>
                <w:szCs w:val="24"/>
              </w:rPr>
            </w:pPr>
            <w:r w:rsidRPr="006F6171">
              <w:rPr>
                <w:rFonts w:ascii="Garamond" w:hAnsi="Garamond"/>
                <w:szCs w:val="24"/>
              </w:rPr>
              <w:t>&gt;60% to 80%</w:t>
            </w:r>
          </w:p>
        </w:tc>
        <w:tc>
          <w:tcPr>
            <w:tcW w:w="1440" w:type="dxa"/>
          </w:tcPr>
          <w:p w14:paraId="028D1313" w14:textId="68C77F2B" w:rsidR="00F36E63" w:rsidRPr="006F6171" w:rsidRDefault="00F36E63" w:rsidP="008416BF">
            <w:pPr>
              <w:jc w:val="both"/>
              <w:rPr>
                <w:rFonts w:ascii="Garamond" w:hAnsi="Garamond"/>
                <w:b/>
                <w:szCs w:val="24"/>
              </w:rPr>
            </w:pPr>
            <w:r w:rsidRPr="006F6171">
              <w:rPr>
                <w:rFonts w:ascii="Garamond" w:hAnsi="Garamond"/>
                <w:b/>
                <w:szCs w:val="24"/>
              </w:rPr>
              <w:t>1 point</w:t>
            </w:r>
          </w:p>
        </w:tc>
      </w:tr>
    </w:tbl>
    <w:p w14:paraId="3DE0458D" w14:textId="77777777" w:rsidR="00995E15" w:rsidRPr="006F6171" w:rsidRDefault="00995E15" w:rsidP="008416BF">
      <w:pPr>
        <w:ind w:left="720"/>
        <w:jc w:val="both"/>
        <w:rPr>
          <w:szCs w:val="24"/>
        </w:rPr>
      </w:pPr>
    </w:p>
    <w:p w14:paraId="266876B4" w14:textId="77777777" w:rsidR="00804C24" w:rsidRPr="006F6171" w:rsidRDefault="00424D3D" w:rsidP="00A8328C">
      <w:pPr>
        <w:pStyle w:val="ListParagraph"/>
        <w:numPr>
          <w:ilvl w:val="0"/>
          <w:numId w:val="8"/>
        </w:numPr>
        <w:tabs>
          <w:tab w:val="right" w:pos="9360"/>
        </w:tabs>
        <w:ind w:hanging="720"/>
        <w:jc w:val="both"/>
        <w:rPr>
          <w:szCs w:val="24"/>
        </w:rPr>
      </w:pPr>
      <w:r w:rsidRPr="006F6171">
        <w:t>Property Tax Relief</w:t>
      </w:r>
      <w:r w:rsidR="00995E15" w:rsidRPr="006F6171">
        <w:rPr>
          <w:szCs w:val="24"/>
        </w:rPr>
        <w:t>.</w:t>
      </w:r>
      <w:r w:rsidR="002A17DA" w:rsidRPr="006F6171">
        <w:rPr>
          <w:szCs w:val="24"/>
        </w:rPr>
        <w:tab/>
      </w:r>
      <w:r w:rsidR="00DB18E9" w:rsidRPr="006F6171">
        <w:rPr>
          <w:szCs w:val="24"/>
        </w:rPr>
        <w:t xml:space="preserve">   </w:t>
      </w:r>
      <w:r w:rsidR="001E5F77" w:rsidRPr="006F6171">
        <w:rPr>
          <w:b/>
          <w:szCs w:val="24"/>
        </w:rPr>
        <w:t xml:space="preserve">Up to </w:t>
      </w:r>
      <w:r w:rsidR="00C825C1" w:rsidRPr="006F6171">
        <w:rPr>
          <w:b/>
          <w:szCs w:val="24"/>
        </w:rPr>
        <w:t>3</w:t>
      </w:r>
      <w:r w:rsidR="00E07B7D" w:rsidRPr="006F6171">
        <w:rPr>
          <w:b/>
          <w:szCs w:val="24"/>
        </w:rPr>
        <w:t xml:space="preserve"> points</w:t>
      </w:r>
      <w:r w:rsidR="003718CA" w:rsidRPr="006F6171">
        <w:rPr>
          <w:szCs w:val="24"/>
        </w:rPr>
        <w:br/>
      </w:r>
      <w:r w:rsidR="003718CA" w:rsidRPr="006F6171">
        <w:rPr>
          <w:szCs w:val="24"/>
        </w:rPr>
        <w:br/>
      </w:r>
      <w:r w:rsidR="00906157" w:rsidRPr="006F6171">
        <w:rPr>
          <w:szCs w:val="24"/>
        </w:rPr>
        <w:t xml:space="preserve">Points are based on the percentage of the Project’s annual incremental property tax revenue </w:t>
      </w:r>
      <w:r w:rsidR="00804C24" w:rsidRPr="006F6171">
        <w:rPr>
          <w:szCs w:val="24"/>
        </w:rPr>
        <w:t>r</w:t>
      </w:r>
      <w:r w:rsidR="00906157" w:rsidRPr="006F6171">
        <w:rPr>
          <w:szCs w:val="24"/>
        </w:rPr>
        <w:t xml:space="preserve">eturned to the Applicant or foregone by the </w:t>
      </w:r>
      <w:r w:rsidR="00CB08C5" w:rsidRPr="006F6171">
        <w:rPr>
          <w:szCs w:val="24"/>
        </w:rPr>
        <w:t>taxing authority</w:t>
      </w:r>
      <w:r w:rsidR="00906157" w:rsidRPr="006F6171">
        <w:rPr>
          <w:szCs w:val="24"/>
        </w:rPr>
        <w:t xml:space="preserve"> as follows</w:t>
      </w:r>
      <w:r w:rsidR="00B718F3" w:rsidRPr="006F6171">
        <w:rPr>
          <w:szCs w:val="24"/>
        </w:rPr>
        <w:t>:</w:t>
      </w:r>
      <w:r w:rsidR="00906157" w:rsidRPr="006F6171">
        <w:rPr>
          <w:szCs w:val="24"/>
        </w:rPr>
        <w:t xml:space="preserve"> </w:t>
      </w:r>
    </w:p>
    <w:p w14:paraId="109E9702" w14:textId="77777777" w:rsidR="0021219F" w:rsidRPr="006F6171" w:rsidRDefault="0021219F" w:rsidP="00804C24">
      <w:pPr>
        <w:pStyle w:val="ListParagraph"/>
        <w:tabs>
          <w:tab w:val="right" w:pos="9360"/>
        </w:tabs>
        <w:jc w:val="both"/>
        <w:rPr>
          <w:szCs w:val="24"/>
        </w:rPr>
      </w:pPr>
    </w:p>
    <w:tbl>
      <w:tblPr>
        <w:tblStyle w:val="TableGrid"/>
        <w:tblW w:w="0" w:type="auto"/>
        <w:tblInd w:w="715" w:type="dxa"/>
        <w:tblLook w:val="04A0" w:firstRow="1" w:lastRow="0" w:firstColumn="1" w:lastColumn="0" w:noHBand="0" w:noVBand="1"/>
      </w:tblPr>
      <w:tblGrid>
        <w:gridCol w:w="7020"/>
        <w:gridCol w:w="1440"/>
      </w:tblGrid>
      <w:tr w:rsidR="004766E6" w:rsidRPr="006F6171" w14:paraId="790822C8" w14:textId="77777777" w:rsidTr="009B0A57">
        <w:tc>
          <w:tcPr>
            <w:tcW w:w="7020" w:type="dxa"/>
          </w:tcPr>
          <w:p w14:paraId="2F13E35F" w14:textId="77777777" w:rsidR="00AC1CCF" w:rsidRPr="006F6171" w:rsidRDefault="001A5F10" w:rsidP="000B0C04">
            <w:pPr>
              <w:pStyle w:val="ListParagraph"/>
              <w:ind w:left="0"/>
              <w:jc w:val="both"/>
              <w:rPr>
                <w:rFonts w:ascii="Garamond" w:hAnsi="Garamond"/>
                <w:b/>
                <w:szCs w:val="24"/>
              </w:rPr>
            </w:pPr>
            <w:r w:rsidRPr="006F6171">
              <w:rPr>
                <w:rFonts w:ascii="Garamond" w:hAnsi="Garamond"/>
                <w:b/>
                <w:szCs w:val="24"/>
              </w:rPr>
              <w:t>Percentage</w:t>
            </w:r>
            <w:r w:rsidR="00926D6F" w:rsidRPr="006F6171">
              <w:rPr>
                <w:rFonts w:ascii="Garamond" w:hAnsi="Garamond"/>
                <w:b/>
                <w:szCs w:val="24"/>
              </w:rPr>
              <w:t xml:space="preserve"> and Duration</w:t>
            </w:r>
            <w:r w:rsidR="00AC1CCF" w:rsidRPr="006F6171">
              <w:rPr>
                <w:rFonts w:ascii="Garamond" w:hAnsi="Garamond"/>
                <w:b/>
                <w:szCs w:val="24"/>
              </w:rPr>
              <w:t xml:space="preserve"> of Tax Benefit or </w:t>
            </w:r>
            <w:r w:rsidRPr="006F6171">
              <w:rPr>
                <w:rFonts w:ascii="Garamond" w:hAnsi="Garamond"/>
                <w:b/>
                <w:szCs w:val="24"/>
              </w:rPr>
              <w:t>Relief</w:t>
            </w:r>
            <w:r w:rsidR="002A17DA" w:rsidRPr="006F6171">
              <w:rPr>
                <w:rFonts w:ascii="Garamond" w:hAnsi="Garamond"/>
                <w:b/>
                <w:szCs w:val="24"/>
              </w:rPr>
              <w:t xml:space="preserve"> </w:t>
            </w:r>
          </w:p>
        </w:tc>
        <w:tc>
          <w:tcPr>
            <w:tcW w:w="1440" w:type="dxa"/>
          </w:tcPr>
          <w:p w14:paraId="29067D78" w14:textId="77777777" w:rsidR="004766E6" w:rsidRPr="006F6171" w:rsidRDefault="001A5F10" w:rsidP="008416BF">
            <w:pPr>
              <w:pStyle w:val="ListParagraph"/>
              <w:ind w:left="0"/>
              <w:jc w:val="both"/>
              <w:rPr>
                <w:rFonts w:ascii="Garamond" w:hAnsi="Garamond"/>
                <w:b/>
                <w:szCs w:val="24"/>
              </w:rPr>
            </w:pPr>
            <w:r w:rsidRPr="006F6171">
              <w:rPr>
                <w:rFonts w:ascii="Garamond" w:hAnsi="Garamond"/>
                <w:b/>
                <w:szCs w:val="24"/>
              </w:rPr>
              <w:t>Points</w:t>
            </w:r>
          </w:p>
        </w:tc>
      </w:tr>
      <w:tr w:rsidR="004766E6" w:rsidRPr="006F6171" w14:paraId="0C9D70D2" w14:textId="77777777" w:rsidTr="009B0A57">
        <w:tc>
          <w:tcPr>
            <w:tcW w:w="7020" w:type="dxa"/>
          </w:tcPr>
          <w:p w14:paraId="482B49B8" w14:textId="77777777" w:rsidR="004766E6" w:rsidRPr="006F6171" w:rsidRDefault="001A5F10" w:rsidP="00850022">
            <w:pPr>
              <w:pStyle w:val="ListParagraph"/>
              <w:ind w:left="0"/>
              <w:jc w:val="both"/>
              <w:rPr>
                <w:rFonts w:ascii="Garamond" w:hAnsi="Garamond"/>
                <w:szCs w:val="24"/>
              </w:rPr>
            </w:pPr>
            <w:r w:rsidRPr="006F6171">
              <w:rPr>
                <w:rFonts w:ascii="Garamond" w:hAnsi="Garamond"/>
                <w:szCs w:val="24"/>
              </w:rPr>
              <w:t xml:space="preserve">50% to </w:t>
            </w:r>
            <w:r w:rsidR="00AC3340" w:rsidRPr="006F6171">
              <w:rPr>
                <w:rFonts w:ascii="Garamond" w:hAnsi="Garamond"/>
                <w:szCs w:val="24"/>
              </w:rPr>
              <w:t>&lt;</w:t>
            </w:r>
            <w:r w:rsidRPr="006F6171">
              <w:rPr>
                <w:rFonts w:ascii="Garamond" w:hAnsi="Garamond"/>
                <w:szCs w:val="24"/>
              </w:rPr>
              <w:t xml:space="preserve">75% </w:t>
            </w:r>
            <w:r w:rsidR="00850022" w:rsidRPr="006F6171">
              <w:rPr>
                <w:rFonts w:ascii="Garamond" w:hAnsi="Garamond"/>
                <w:szCs w:val="24"/>
              </w:rPr>
              <w:t>for at least 15 years</w:t>
            </w:r>
          </w:p>
        </w:tc>
        <w:tc>
          <w:tcPr>
            <w:tcW w:w="1440" w:type="dxa"/>
          </w:tcPr>
          <w:p w14:paraId="3FB7E372" w14:textId="77777777" w:rsidR="004766E6" w:rsidRPr="006F6171" w:rsidRDefault="001E5F77" w:rsidP="008416BF">
            <w:pPr>
              <w:pStyle w:val="ListParagraph"/>
              <w:ind w:left="0"/>
              <w:jc w:val="both"/>
              <w:rPr>
                <w:rFonts w:ascii="Garamond" w:hAnsi="Garamond"/>
                <w:b/>
                <w:szCs w:val="24"/>
              </w:rPr>
            </w:pPr>
            <w:r w:rsidRPr="006F6171">
              <w:rPr>
                <w:rFonts w:ascii="Garamond" w:hAnsi="Garamond"/>
                <w:b/>
                <w:szCs w:val="24"/>
              </w:rPr>
              <w:t>1 point</w:t>
            </w:r>
          </w:p>
        </w:tc>
      </w:tr>
      <w:tr w:rsidR="004766E6" w:rsidRPr="006F6171" w14:paraId="31BE2F76" w14:textId="77777777" w:rsidTr="009B0A57">
        <w:tc>
          <w:tcPr>
            <w:tcW w:w="7020" w:type="dxa"/>
          </w:tcPr>
          <w:p w14:paraId="0EFDEB0E" w14:textId="77777777" w:rsidR="004766E6" w:rsidRPr="006F6171" w:rsidRDefault="001A5F10" w:rsidP="00804C24">
            <w:pPr>
              <w:pStyle w:val="ListParagraph"/>
              <w:ind w:left="0"/>
              <w:jc w:val="both"/>
              <w:rPr>
                <w:rFonts w:ascii="Garamond" w:hAnsi="Garamond"/>
                <w:szCs w:val="24"/>
              </w:rPr>
            </w:pPr>
            <w:r w:rsidRPr="006F6171">
              <w:rPr>
                <w:rFonts w:ascii="Garamond" w:hAnsi="Garamond"/>
                <w:szCs w:val="24"/>
              </w:rPr>
              <w:t xml:space="preserve">50% to </w:t>
            </w:r>
            <w:r w:rsidR="00AC3340" w:rsidRPr="006F6171">
              <w:rPr>
                <w:rFonts w:ascii="Garamond" w:hAnsi="Garamond"/>
                <w:szCs w:val="24"/>
              </w:rPr>
              <w:t>&lt;</w:t>
            </w:r>
            <w:r w:rsidRPr="006F6171">
              <w:rPr>
                <w:rFonts w:ascii="Garamond" w:hAnsi="Garamond"/>
                <w:szCs w:val="24"/>
              </w:rPr>
              <w:t>75% for at least 30 years</w:t>
            </w:r>
          </w:p>
        </w:tc>
        <w:tc>
          <w:tcPr>
            <w:tcW w:w="1440" w:type="dxa"/>
          </w:tcPr>
          <w:p w14:paraId="3E2F257E" w14:textId="77777777" w:rsidR="004766E6" w:rsidRPr="006F6171" w:rsidRDefault="00C825C1" w:rsidP="00C825C1">
            <w:pPr>
              <w:jc w:val="both"/>
              <w:rPr>
                <w:rFonts w:ascii="Garamond" w:hAnsi="Garamond"/>
                <w:b/>
                <w:szCs w:val="24"/>
              </w:rPr>
            </w:pPr>
            <w:r w:rsidRPr="006F6171">
              <w:rPr>
                <w:rFonts w:ascii="Garamond" w:hAnsi="Garamond"/>
                <w:b/>
                <w:szCs w:val="24"/>
              </w:rPr>
              <w:t>2</w:t>
            </w:r>
            <w:r w:rsidR="001A5F10" w:rsidRPr="006F6171">
              <w:rPr>
                <w:rFonts w:ascii="Garamond" w:hAnsi="Garamond"/>
                <w:b/>
                <w:szCs w:val="24"/>
              </w:rPr>
              <w:t xml:space="preserve"> points</w:t>
            </w:r>
          </w:p>
        </w:tc>
      </w:tr>
      <w:tr w:rsidR="004766E6" w:rsidRPr="006F6171" w14:paraId="0079AA60" w14:textId="77777777" w:rsidTr="009B0A57">
        <w:tc>
          <w:tcPr>
            <w:tcW w:w="7020" w:type="dxa"/>
          </w:tcPr>
          <w:p w14:paraId="682F8FCA" w14:textId="77777777" w:rsidR="004766E6" w:rsidRPr="006F6171" w:rsidRDefault="00804C24" w:rsidP="00850022">
            <w:pPr>
              <w:pStyle w:val="ListParagraph"/>
              <w:ind w:left="0"/>
              <w:jc w:val="both"/>
              <w:rPr>
                <w:rFonts w:ascii="Garamond" w:hAnsi="Garamond"/>
                <w:szCs w:val="24"/>
              </w:rPr>
            </w:pPr>
            <w:r w:rsidRPr="006F6171">
              <w:rPr>
                <w:rFonts w:ascii="Garamond" w:hAnsi="Garamond"/>
                <w:szCs w:val="24"/>
              </w:rPr>
              <w:t>≥</w:t>
            </w:r>
            <w:r w:rsidR="001A5F10" w:rsidRPr="006F6171">
              <w:rPr>
                <w:rFonts w:ascii="Garamond" w:hAnsi="Garamond"/>
                <w:szCs w:val="24"/>
              </w:rPr>
              <w:t xml:space="preserve"> 75% </w:t>
            </w:r>
            <w:r w:rsidR="00850022" w:rsidRPr="006F6171">
              <w:rPr>
                <w:rFonts w:ascii="Garamond" w:hAnsi="Garamond"/>
                <w:szCs w:val="24"/>
              </w:rPr>
              <w:t>for at least 15 years</w:t>
            </w:r>
          </w:p>
        </w:tc>
        <w:tc>
          <w:tcPr>
            <w:tcW w:w="1440" w:type="dxa"/>
          </w:tcPr>
          <w:p w14:paraId="03AC34FE" w14:textId="77777777" w:rsidR="004766E6" w:rsidRPr="006F6171" w:rsidRDefault="001E5F77" w:rsidP="008416BF">
            <w:pPr>
              <w:jc w:val="both"/>
              <w:rPr>
                <w:rFonts w:ascii="Garamond" w:hAnsi="Garamond"/>
                <w:b/>
                <w:szCs w:val="24"/>
              </w:rPr>
            </w:pPr>
            <w:r w:rsidRPr="006F6171">
              <w:rPr>
                <w:rFonts w:ascii="Garamond" w:hAnsi="Garamond"/>
                <w:b/>
                <w:szCs w:val="24"/>
              </w:rPr>
              <w:t>2</w:t>
            </w:r>
            <w:r w:rsidR="001A5F10" w:rsidRPr="006F6171">
              <w:rPr>
                <w:rFonts w:ascii="Garamond" w:hAnsi="Garamond"/>
                <w:b/>
                <w:szCs w:val="24"/>
              </w:rPr>
              <w:t xml:space="preserve"> points</w:t>
            </w:r>
          </w:p>
        </w:tc>
      </w:tr>
      <w:tr w:rsidR="004766E6" w:rsidRPr="006F6171" w14:paraId="1A4A84EA" w14:textId="77777777" w:rsidTr="009B0A57">
        <w:tc>
          <w:tcPr>
            <w:tcW w:w="7020" w:type="dxa"/>
          </w:tcPr>
          <w:p w14:paraId="5689DDE5" w14:textId="77777777" w:rsidR="004766E6" w:rsidRPr="006F6171" w:rsidRDefault="00804C24" w:rsidP="00073E52">
            <w:pPr>
              <w:pStyle w:val="ListParagraph"/>
              <w:ind w:left="0"/>
              <w:jc w:val="both"/>
              <w:rPr>
                <w:rFonts w:ascii="Garamond" w:hAnsi="Garamond"/>
                <w:szCs w:val="24"/>
              </w:rPr>
            </w:pPr>
            <w:r w:rsidRPr="006F6171">
              <w:rPr>
                <w:rFonts w:ascii="Garamond" w:hAnsi="Garamond"/>
                <w:szCs w:val="24"/>
              </w:rPr>
              <w:t>≥</w:t>
            </w:r>
            <w:r w:rsidR="001A5F10" w:rsidRPr="006F6171">
              <w:rPr>
                <w:rFonts w:ascii="Garamond" w:hAnsi="Garamond"/>
                <w:szCs w:val="24"/>
              </w:rPr>
              <w:t xml:space="preserve"> 75% for </w:t>
            </w:r>
            <w:r w:rsidR="00073E52" w:rsidRPr="006F6171">
              <w:rPr>
                <w:rFonts w:ascii="Garamond" w:hAnsi="Garamond"/>
                <w:szCs w:val="24"/>
              </w:rPr>
              <w:t xml:space="preserve">at least </w:t>
            </w:r>
            <w:r w:rsidR="001A5F10" w:rsidRPr="006F6171">
              <w:rPr>
                <w:rFonts w:ascii="Garamond" w:hAnsi="Garamond"/>
                <w:szCs w:val="24"/>
              </w:rPr>
              <w:t>30 years</w:t>
            </w:r>
          </w:p>
        </w:tc>
        <w:tc>
          <w:tcPr>
            <w:tcW w:w="1440" w:type="dxa"/>
          </w:tcPr>
          <w:p w14:paraId="02127CCD" w14:textId="77777777" w:rsidR="004766E6" w:rsidRPr="006F6171" w:rsidRDefault="00C825C1" w:rsidP="00C825C1">
            <w:pPr>
              <w:pStyle w:val="ListParagraph"/>
              <w:ind w:left="0"/>
              <w:jc w:val="both"/>
              <w:rPr>
                <w:rFonts w:ascii="Garamond" w:hAnsi="Garamond"/>
                <w:b/>
                <w:szCs w:val="24"/>
              </w:rPr>
            </w:pPr>
            <w:r w:rsidRPr="006F6171">
              <w:rPr>
                <w:rFonts w:ascii="Garamond" w:hAnsi="Garamond"/>
                <w:b/>
                <w:szCs w:val="24"/>
              </w:rPr>
              <w:t>3</w:t>
            </w:r>
            <w:r w:rsidR="001A5F10" w:rsidRPr="006F6171">
              <w:rPr>
                <w:rFonts w:ascii="Garamond" w:hAnsi="Garamond"/>
                <w:b/>
                <w:szCs w:val="24"/>
              </w:rPr>
              <w:t xml:space="preserve"> points</w:t>
            </w:r>
          </w:p>
        </w:tc>
      </w:tr>
    </w:tbl>
    <w:p w14:paraId="37D9C094" w14:textId="77777777" w:rsidR="001E5F77" w:rsidRPr="006F6171" w:rsidRDefault="0007047D" w:rsidP="00C6732B">
      <w:pPr>
        <w:ind w:left="720"/>
        <w:jc w:val="both"/>
        <w:rPr>
          <w:szCs w:val="24"/>
        </w:rPr>
      </w:pPr>
      <w:r w:rsidRPr="006F6171">
        <w:rPr>
          <w:szCs w:val="24"/>
        </w:rPr>
        <w:br/>
      </w:r>
      <w:r w:rsidR="00523F23" w:rsidRPr="006F6171">
        <w:rPr>
          <w:szCs w:val="24"/>
        </w:rPr>
        <w:t xml:space="preserve">Only </w:t>
      </w:r>
      <w:r w:rsidR="00B67B74" w:rsidRPr="006F6171">
        <w:rPr>
          <w:szCs w:val="24"/>
        </w:rPr>
        <w:t>Tax Increment F</w:t>
      </w:r>
      <w:r w:rsidR="00995E15" w:rsidRPr="006F6171">
        <w:rPr>
          <w:szCs w:val="24"/>
        </w:rPr>
        <w:t>inancing, payment in lieu of taxes, abatement</w:t>
      </w:r>
      <w:r w:rsidR="00596456" w:rsidRPr="006F6171">
        <w:rPr>
          <w:szCs w:val="24"/>
        </w:rPr>
        <w:t>,</w:t>
      </w:r>
      <w:r w:rsidR="00995E15" w:rsidRPr="006F6171">
        <w:rPr>
          <w:szCs w:val="24"/>
        </w:rPr>
        <w:t xml:space="preserve"> or other property tax relief arrangement approved by the </w:t>
      </w:r>
      <w:r w:rsidR="00CB08C5" w:rsidRPr="006F6171">
        <w:rPr>
          <w:szCs w:val="24"/>
        </w:rPr>
        <w:t>taxing authority</w:t>
      </w:r>
      <w:r w:rsidR="00995E15" w:rsidRPr="006F6171">
        <w:rPr>
          <w:szCs w:val="24"/>
        </w:rPr>
        <w:t xml:space="preserve"> and all other applicable governing entities</w:t>
      </w:r>
      <w:r w:rsidR="00DC39FD" w:rsidRPr="006F6171">
        <w:rPr>
          <w:szCs w:val="24"/>
        </w:rPr>
        <w:t xml:space="preserve"> </w:t>
      </w:r>
      <w:r w:rsidR="00523F23" w:rsidRPr="006F6171">
        <w:rPr>
          <w:szCs w:val="24"/>
        </w:rPr>
        <w:t>is eligible</w:t>
      </w:r>
      <w:r w:rsidR="00995E15" w:rsidRPr="006F6171">
        <w:rPr>
          <w:szCs w:val="24"/>
        </w:rPr>
        <w:t>.</w:t>
      </w:r>
      <w:r w:rsidR="00BB3D09" w:rsidRPr="006F6171">
        <w:rPr>
          <w:szCs w:val="24"/>
        </w:rPr>
        <w:t xml:space="preserve"> </w:t>
      </w:r>
      <w:r w:rsidR="001E5F77" w:rsidRPr="006F6171">
        <w:rPr>
          <w:szCs w:val="24"/>
        </w:rPr>
        <w:t xml:space="preserve">A Project that is </w:t>
      </w:r>
      <w:r w:rsidR="00CB08C5" w:rsidRPr="006F6171">
        <w:rPr>
          <w:szCs w:val="24"/>
        </w:rPr>
        <w:t>either</w:t>
      </w:r>
      <w:r w:rsidR="00F44267" w:rsidRPr="006F6171">
        <w:rPr>
          <w:szCs w:val="24"/>
        </w:rPr>
        <w:t xml:space="preserve"> a) l</w:t>
      </w:r>
      <w:r w:rsidR="001E5F77" w:rsidRPr="006F6171">
        <w:rPr>
          <w:szCs w:val="24"/>
        </w:rPr>
        <w:t xml:space="preserve">ocated in a </w:t>
      </w:r>
      <w:r w:rsidR="00CB08C5" w:rsidRPr="006F6171">
        <w:rPr>
          <w:szCs w:val="24"/>
        </w:rPr>
        <w:t xml:space="preserve">jurisdiction </w:t>
      </w:r>
      <w:r w:rsidR="001E5F77" w:rsidRPr="006F6171">
        <w:rPr>
          <w:szCs w:val="24"/>
        </w:rPr>
        <w:t>that does not assess property taxes or</w:t>
      </w:r>
      <w:r w:rsidR="00F44267" w:rsidRPr="006F6171">
        <w:rPr>
          <w:szCs w:val="24"/>
        </w:rPr>
        <w:t xml:space="preserve"> b) </w:t>
      </w:r>
      <w:r w:rsidR="001E5F77" w:rsidRPr="006F6171">
        <w:rPr>
          <w:szCs w:val="24"/>
        </w:rPr>
        <w:t>exempt from property taxes</w:t>
      </w:r>
      <w:r w:rsidR="00804C24" w:rsidRPr="006F6171">
        <w:rPr>
          <w:szCs w:val="24"/>
        </w:rPr>
        <w:t xml:space="preserve"> </w:t>
      </w:r>
      <w:r w:rsidR="001E5F77" w:rsidRPr="006F6171">
        <w:rPr>
          <w:szCs w:val="24"/>
        </w:rPr>
        <w:t xml:space="preserve">will be awarded one (1) point. </w:t>
      </w:r>
    </w:p>
    <w:p w14:paraId="37BDC7C1" w14:textId="77777777" w:rsidR="00C6732B" w:rsidRPr="006F6171" w:rsidRDefault="00C6732B" w:rsidP="00C6732B">
      <w:pPr>
        <w:ind w:left="720"/>
        <w:jc w:val="both"/>
        <w:rPr>
          <w:szCs w:val="24"/>
        </w:rPr>
      </w:pPr>
    </w:p>
    <w:p w14:paraId="06A516BA" w14:textId="361826FB" w:rsidR="00995E15" w:rsidRPr="006F6171" w:rsidRDefault="00995E15" w:rsidP="00C6732B">
      <w:pPr>
        <w:ind w:left="720"/>
        <w:jc w:val="both"/>
        <w:rPr>
          <w:szCs w:val="24"/>
        </w:rPr>
      </w:pPr>
      <w:r w:rsidRPr="006F6171">
        <w:rPr>
          <w:szCs w:val="24"/>
        </w:rPr>
        <w:t xml:space="preserve">Funding made possible by an Affordable Housing </w:t>
      </w:r>
      <w:smartTag w:uri="urn:schemas-microsoft-com:office:smarttags" w:element="stockticker">
        <w:r w:rsidRPr="006F6171">
          <w:rPr>
            <w:szCs w:val="24"/>
          </w:rPr>
          <w:t>TIF</w:t>
        </w:r>
      </w:smartTag>
      <w:r w:rsidR="00523F23" w:rsidRPr="006F6171">
        <w:rPr>
          <w:szCs w:val="24"/>
        </w:rPr>
        <w:t xml:space="preserve"> will not be eligible </w:t>
      </w:r>
      <w:r w:rsidR="008A7881" w:rsidRPr="006F6171">
        <w:rPr>
          <w:szCs w:val="24"/>
        </w:rPr>
        <w:t xml:space="preserve">unless </w:t>
      </w:r>
      <w:r w:rsidR="000B485E" w:rsidRPr="006F6171">
        <w:rPr>
          <w:szCs w:val="24"/>
        </w:rPr>
        <w:t xml:space="preserve">the Applicant submits </w:t>
      </w:r>
      <w:r w:rsidR="008A7881" w:rsidRPr="006F6171">
        <w:rPr>
          <w:szCs w:val="24"/>
        </w:rPr>
        <w:t xml:space="preserve">a complete application for the TIF </w:t>
      </w:r>
      <w:r w:rsidR="0044571F" w:rsidRPr="006F6171">
        <w:rPr>
          <w:szCs w:val="24"/>
        </w:rPr>
        <w:t xml:space="preserve">at least </w:t>
      </w:r>
      <w:r w:rsidR="00455F9E" w:rsidRPr="006F6171">
        <w:rPr>
          <w:szCs w:val="24"/>
        </w:rPr>
        <w:t>30</w:t>
      </w:r>
      <w:r w:rsidR="0044571F" w:rsidRPr="006F6171">
        <w:rPr>
          <w:szCs w:val="24"/>
        </w:rPr>
        <w:t xml:space="preserve"> </w:t>
      </w:r>
      <w:r w:rsidR="00761D6E" w:rsidRPr="006F6171">
        <w:rPr>
          <w:szCs w:val="24"/>
        </w:rPr>
        <w:t xml:space="preserve">calendar </w:t>
      </w:r>
      <w:r w:rsidR="0044571F" w:rsidRPr="006F6171">
        <w:rPr>
          <w:szCs w:val="24"/>
        </w:rPr>
        <w:t xml:space="preserve">days before the </w:t>
      </w:r>
      <w:r w:rsidR="0044571F" w:rsidRPr="006F6171">
        <w:rPr>
          <w:szCs w:val="24"/>
        </w:rPr>
        <w:lastRenderedPageBreak/>
        <w:t>applicable Application deadline</w:t>
      </w:r>
      <w:r w:rsidR="003B7998">
        <w:rPr>
          <w:szCs w:val="24"/>
        </w:rPr>
        <w:t xml:space="preserve"> (Tuesday, August 20, 2024</w:t>
      </w:r>
      <w:r w:rsidR="00C825C1" w:rsidRPr="006F6171">
        <w:rPr>
          <w:szCs w:val="24"/>
        </w:rPr>
        <w:t xml:space="preserve"> for the 202</w:t>
      </w:r>
      <w:r w:rsidR="003B7998">
        <w:rPr>
          <w:szCs w:val="24"/>
        </w:rPr>
        <w:t>5</w:t>
      </w:r>
      <w:r w:rsidR="00C825C1" w:rsidRPr="006F6171">
        <w:rPr>
          <w:szCs w:val="24"/>
        </w:rPr>
        <w:t xml:space="preserve"> Stat</w:t>
      </w:r>
      <w:r w:rsidR="003B7998">
        <w:rPr>
          <w:szCs w:val="24"/>
        </w:rPr>
        <w:t>e Ceiling and Tuesday, August 19, 2025 for the 2026</w:t>
      </w:r>
      <w:r w:rsidR="00C825C1" w:rsidRPr="006F6171">
        <w:rPr>
          <w:szCs w:val="24"/>
        </w:rPr>
        <w:t xml:space="preserve"> State Ceiling</w:t>
      </w:r>
      <w:r w:rsidRPr="006F6171">
        <w:rPr>
          <w:szCs w:val="24"/>
        </w:rPr>
        <w:t>.</w:t>
      </w:r>
    </w:p>
    <w:p w14:paraId="0665885C" w14:textId="77777777" w:rsidR="00F823BE" w:rsidRPr="006F6171" w:rsidRDefault="00F823BE" w:rsidP="008416BF">
      <w:pPr>
        <w:jc w:val="both"/>
        <w:rPr>
          <w:szCs w:val="24"/>
        </w:rPr>
      </w:pPr>
    </w:p>
    <w:p w14:paraId="002CDA0A" w14:textId="77777777" w:rsidR="00C77B42" w:rsidRPr="006F6171" w:rsidRDefault="001E248F" w:rsidP="008416BF">
      <w:pPr>
        <w:jc w:val="both"/>
        <w:rPr>
          <w:b/>
          <w:szCs w:val="24"/>
        </w:rPr>
      </w:pPr>
      <w:r w:rsidRPr="006F6171">
        <w:rPr>
          <w:b/>
        </w:rPr>
        <w:t xml:space="preserve">Project Location </w:t>
      </w:r>
    </w:p>
    <w:p w14:paraId="53B54FFA" w14:textId="77777777" w:rsidR="00995E15" w:rsidRPr="006F6171" w:rsidRDefault="00995E15" w:rsidP="008416BF">
      <w:pPr>
        <w:jc w:val="both"/>
        <w:rPr>
          <w:szCs w:val="24"/>
        </w:rPr>
      </w:pPr>
    </w:p>
    <w:p w14:paraId="6DCA1950" w14:textId="1A2F2A94" w:rsidR="00C77B42" w:rsidRPr="006F6171" w:rsidRDefault="00723307" w:rsidP="00A8328C">
      <w:pPr>
        <w:pStyle w:val="ListParagraph"/>
        <w:numPr>
          <w:ilvl w:val="0"/>
          <w:numId w:val="8"/>
        </w:numPr>
        <w:tabs>
          <w:tab w:val="right" w:pos="9360"/>
        </w:tabs>
        <w:ind w:hanging="720"/>
        <w:jc w:val="both"/>
        <w:rPr>
          <w:szCs w:val="24"/>
        </w:rPr>
      </w:pPr>
      <w:r w:rsidRPr="006F6171">
        <w:t xml:space="preserve">Housing </w:t>
      </w:r>
      <w:r w:rsidR="00995E15" w:rsidRPr="006F6171">
        <w:t>Need</w:t>
      </w:r>
      <w:r w:rsidR="00995E15" w:rsidRPr="006F6171">
        <w:rPr>
          <w:szCs w:val="24"/>
        </w:rPr>
        <w:t>.</w:t>
      </w:r>
      <w:r w:rsidR="00AF1A5B" w:rsidRPr="006F6171">
        <w:rPr>
          <w:szCs w:val="24"/>
        </w:rPr>
        <w:t xml:space="preserve">  </w:t>
      </w:r>
      <w:r w:rsidRPr="006F6171">
        <w:rPr>
          <w:szCs w:val="24"/>
        </w:rPr>
        <w:tab/>
      </w:r>
      <w:r w:rsidR="00DB18E9" w:rsidRPr="006F6171">
        <w:rPr>
          <w:szCs w:val="24"/>
        </w:rPr>
        <w:t xml:space="preserve">   </w:t>
      </w:r>
      <w:r w:rsidR="00840282" w:rsidRPr="006F6171">
        <w:rPr>
          <w:b/>
          <w:szCs w:val="24"/>
        </w:rPr>
        <w:t xml:space="preserve">Up to </w:t>
      </w:r>
      <w:r w:rsidR="001C123A" w:rsidRPr="006F6171">
        <w:rPr>
          <w:b/>
          <w:szCs w:val="24"/>
        </w:rPr>
        <w:t>10</w:t>
      </w:r>
      <w:r w:rsidR="002133E7" w:rsidRPr="006F6171">
        <w:rPr>
          <w:b/>
          <w:szCs w:val="24"/>
        </w:rPr>
        <w:t xml:space="preserve"> </w:t>
      </w:r>
      <w:r w:rsidR="00840282" w:rsidRPr="006F6171">
        <w:rPr>
          <w:b/>
          <w:szCs w:val="24"/>
        </w:rPr>
        <w:t>points</w:t>
      </w:r>
      <w:r w:rsidR="00926D6F" w:rsidRPr="006F6171">
        <w:rPr>
          <w:b/>
          <w:szCs w:val="24"/>
        </w:rPr>
        <w:br/>
      </w:r>
      <w:r w:rsidR="00EF6233" w:rsidRPr="006F6171">
        <w:rPr>
          <w:b/>
          <w:szCs w:val="24"/>
        </w:rPr>
        <w:br/>
      </w:r>
      <w:r w:rsidR="00926D6F" w:rsidRPr="006F6171">
        <w:rPr>
          <w:szCs w:val="24"/>
        </w:rPr>
        <w:t xml:space="preserve">Points are based on the need for the type of housing in </w:t>
      </w:r>
      <w:r w:rsidR="00CB700F" w:rsidRPr="006F6171">
        <w:rPr>
          <w:szCs w:val="24"/>
        </w:rPr>
        <w:t xml:space="preserve">an </w:t>
      </w:r>
      <w:r w:rsidR="00C77B42" w:rsidRPr="006F6171">
        <w:rPr>
          <w:szCs w:val="24"/>
        </w:rPr>
        <w:t>area as follows:</w:t>
      </w:r>
      <w:r w:rsidR="00926D6F" w:rsidRPr="006F6171">
        <w:rPr>
          <w:szCs w:val="24"/>
        </w:rPr>
        <w:t xml:space="preserve"> </w:t>
      </w:r>
    </w:p>
    <w:p w14:paraId="7D3A0513" w14:textId="77777777" w:rsidR="00202E46" w:rsidRPr="006F6171" w:rsidRDefault="00202E46">
      <w:pPr>
        <w:rPr>
          <w:szCs w:val="24"/>
        </w:rPr>
      </w:pPr>
    </w:p>
    <w:p w14:paraId="35E1A336" w14:textId="77777777" w:rsidR="00840282" w:rsidRPr="006F6171" w:rsidRDefault="008E7CB0" w:rsidP="00A8328C">
      <w:pPr>
        <w:pStyle w:val="BodyTextIndent"/>
        <w:numPr>
          <w:ilvl w:val="3"/>
          <w:numId w:val="1"/>
        </w:numPr>
        <w:tabs>
          <w:tab w:val="clear" w:pos="2880"/>
          <w:tab w:val="left" w:pos="-720"/>
          <w:tab w:val="num" w:pos="1080"/>
        </w:tabs>
        <w:suppressAutoHyphens/>
        <w:spacing w:after="0"/>
        <w:ind w:left="720" w:firstLine="0"/>
        <w:jc w:val="both"/>
        <w:rPr>
          <w:szCs w:val="24"/>
        </w:rPr>
      </w:pPr>
      <w:r w:rsidRPr="006F6171">
        <w:rPr>
          <w:szCs w:val="24"/>
        </w:rPr>
        <w:t>Project</w:t>
      </w:r>
      <w:r w:rsidR="00C219D0" w:rsidRPr="006F6171">
        <w:rPr>
          <w:szCs w:val="24"/>
        </w:rPr>
        <w:t>s</w:t>
      </w:r>
      <w:r w:rsidRPr="006F6171">
        <w:rPr>
          <w:szCs w:val="24"/>
        </w:rPr>
        <w:t xml:space="preserve"> </w:t>
      </w:r>
      <w:r w:rsidR="00C825C1" w:rsidRPr="006F6171">
        <w:rPr>
          <w:szCs w:val="24"/>
        </w:rPr>
        <w:t xml:space="preserve">providing Housing </w:t>
      </w:r>
      <w:r w:rsidR="00E35704" w:rsidRPr="006F6171">
        <w:rPr>
          <w:szCs w:val="24"/>
        </w:rPr>
        <w:t xml:space="preserve">for Older Adults </w:t>
      </w:r>
      <w:r w:rsidRPr="006F6171">
        <w:rPr>
          <w:szCs w:val="24"/>
        </w:rPr>
        <w:t>located in the following Service Center Communities</w:t>
      </w:r>
      <w:r w:rsidR="002603D4" w:rsidRPr="006F6171">
        <w:rPr>
          <w:szCs w:val="24"/>
        </w:rPr>
        <w:t>:</w:t>
      </w:r>
    </w:p>
    <w:p w14:paraId="2C3F2B74" w14:textId="77777777" w:rsidR="00EB2230" w:rsidRPr="006F6171" w:rsidRDefault="00EB2230" w:rsidP="008416BF">
      <w:pPr>
        <w:tabs>
          <w:tab w:val="left" w:pos="-720"/>
        </w:tabs>
        <w:suppressAutoHyphens/>
        <w:jc w:val="both"/>
        <w:rPr>
          <w:szCs w:val="24"/>
        </w:rPr>
      </w:pP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250"/>
        <w:gridCol w:w="2160"/>
        <w:gridCol w:w="1530"/>
      </w:tblGrid>
      <w:tr w:rsidR="00E34219" w:rsidRPr="006F6171" w14:paraId="42BD97B7" w14:textId="77777777" w:rsidTr="008D7091">
        <w:tc>
          <w:tcPr>
            <w:tcW w:w="8370" w:type="dxa"/>
            <w:gridSpan w:val="4"/>
          </w:tcPr>
          <w:p w14:paraId="7FC4FA27" w14:textId="528B4A91" w:rsidR="00E34219" w:rsidRPr="006F6171" w:rsidRDefault="00E34219" w:rsidP="008D7091">
            <w:pPr>
              <w:tabs>
                <w:tab w:val="left" w:pos="-720"/>
              </w:tabs>
              <w:suppressAutoHyphens/>
              <w:jc w:val="both"/>
              <w:rPr>
                <w:b/>
                <w:szCs w:val="24"/>
              </w:rPr>
            </w:pPr>
            <w:r>
              <w:rPr>
                <w:b/>
                <w:szCs w:val="24"/>
              </w:rPr>
              <w:t>Projects providing Housing for Older Adults</w:t>
            </w:r>
          </w:p>
        </w:tc>
      </w:tr>
      <w:tr w:rsidR="00E34219" w:rsidRPr="006F6171" w14:paraId="589B98E6" w14:textId="77777777" w:rsidTr="008D7091">
        <w:tc>
          <w:tcPr>
            <w:tcW w:w="6840" w:type="dxa"/>
            <w:gridSpan w:val="3"/>
          </w:tcPr>
          <w:p w14:paraId="7E721088" w14:textId="77777777" w:rsidR="00E34219" w:rsidRPr="006F6171" w:rsidRDefault="00E34219" w:rsidP="008D7091">
            <w:pPr>
              <w:tabs>
                <w:tab w:val="left" w:pos="-720"/>
              </w:tabs>
              <w:suppressAutoHyphens/>
              <w:jc w:val="both"/>
              <w:rPr>
                <w:b/>
                <w:szCs w:val="24"/>
              </w:rPr>
            </w:pPr>
            <w:r w:rsidRPr="006F6171">
              <w:rPr>
                <w:b/>
                <w:szCs w:val="24"/>
              </w:rPr>
              <w:t>Service Center Community</w:t>
            </w:r>
          </w:p>
        </w:tc>
        <w:tc>
          <w:tcPr>
            <w:tcW w:w="1530" w:type="dxa"/>
          </w:tcPr>
          <w:p w14:paraId="78F1356D" w14:textId="77777777" w:rsidR="00E34219" w:rsidRPr="006F6171" w:rsidRDefault="00E34219" w:rsidP="008D7091">
            <w:pPr>
              <w:tabs>
                <w:tab w:val="left" w:pos="-720"/>
              </w:tabs>
              <w:suppressAutoHyphens/>
              <w:jc w:val="both"/>
              <w:rPr>
                <w:b/>
                <w:szCs w:val="24"/>
              </w:rPr>
            </w:pPr>
            <w:r w:rsidRPr="006F6171">
              <w:rPr>
                <w:b/>
                <w:szCs w:val="24"/>
              </w:rPr>
              <w:t>Points</w:t>
            </w:r>
          </w:p>
        </w:tc>
      </w:tr>
      <w:tr w:rsidR="00E34219" w:rsidRPr="006F6171" w14:paraId="06D651E7" w14:textId="77777777" w:rsidTr="008D7091">
        <w:tc>
          <w:tcPr>
            <w:tcW w:w="2430" w:type="dxa"/>
          </w:tcPr>
          <w:p w14:paraId="64458499" w14:textId="77777777" w:rsidR="00E34219" w:rsidRPr="006F6171" w:rsidRDefault="00E34219" w:rsidP="008D7091">
            <w:pPr>
              <w:tabs>
                <w:tab w:val="left" w:pos="-720"/>
                <w:tab w:val="left" w:pos="2142"/>
                <w:tab w:val="left" w:pos="3582"/>
              </w:tabs>
              <w:suppressAutoHyphens/>
              <w:jc w:val="both"/>
              <w:rPr>
                <w:szCs w:val="24"/>
              </w:rPr>
            </w:pPr>
            <w:r w:rsidRPr="006F6171">
              <w:rPr>
                <w:szCs w:val="24"/>
              </w:rPr>
              <w:t>Auburn</w:t>
            </w:r>
          </w:p>
          <w:p w14:paraId="59FCC1A4" w14:textId="77777777" w:rsidR="00E34219" w:rsidRPr="006F6171" w:rsidRDefault="00E34219" w:rsidP="008D7091">
            <w:pPr>
              <w:tabs>
                <w:tab w:val="left" w:pos="-720"/>
                <w:tab w:val="left" w:pos="2142"/>
                <w:tab w:val="left" w:pos="3582"/>
              </w:tabs>
              <w:suppressAutoHyphens/>
              <w:jc w:val="both"/>
              <w:rPr>
                <w:szCs w:val="24"/>
              </w:rPr>
            </w:pPr>
            <w:r w:rsidRPr="006F6171">
              <w:rPr>
                <w:szCs w:val="24"/>
              </w:rPr>
              <w:t>Augusta</w:t>
            </w:r>
          </w:p>
          <w:p w14:paraId="509D852C" w14:textId="77777777" w:rsidR="00E34219" w:rsidRPr="006F6171" w:rsidRDefault="00E34219" w:rsidP="008D7091">
            <w:pPr>
              <w:tabs>
                <w:tab w:val="left" w:pos="-720"/>
                <w:tab w:val="left" w:pos="2142"/>
                <w:tab w:val="left" w:pos="3582"/>
              </w:tabs>
              <w:suppressAutoHyphens/>
              <w:jc w:val="both"/>
              <w:rPr>
                <w:szCs w:val="24"/>
              </w:rPr>
            </w:pPr>
            <w:r w:rsidRPr="006F6171">
              <w:rPr>
                <w:szCs w:val="24"/>
              </w:rPr>
              <w:t>Bangor</w:t>
            </w:r>
          </w:p>
          <w:p w14:paraId="460AC598" w14:textId="77777777" w:rsidR="00E34219" w:rsidRPr="006F6171" w:rsidRDefault="00E34219" w:rsidP="008D7091">
            <w:pPr>
              <w:tabs>
                <w:tab w:val="left" w:pos="-720"/>
                <w:tab w:val="left" w:pos="2142"/>
                <w:tab w:val="left" w:pos="3582"/>
              </w:tabs>
              <w:suppressAutoHyphens/>
              <w:jc w:val="both"/>
              <w:rPr>
                <w:szCs w:val="24"/>
              </w:rPr>
            </w:pPr>
            <w:r w:rsidRPr="006F6171">
              <w:rPr>
                <w:szCs w:val="24"/>
              </w:rPr>
              <w:t>Bath</w:t>
            </w:r>
          </w:p>
          <w:p w14:paraId="264B458B" w14:textId="77777777" w:rsidR="00E34219" w:rsidRPr="006F6171" w:rsidRDefault="00E34219" w:rsidP="008D7091">
            <w:pPr>
              <w:tabs>
                <w:tab w:val="left" w:pos="-720"/>
                <w:tab w:val="left" w:pos="2142"/>
                <w:tab w:val="left" w:pos="3582"/>
              </w:tabs>
              <w:suppressAutoHyphens/>
              <w:jc w:val="both"/>
              <w:rPr>
                <w:szCs w:val="24"/>
              </w:rPr>
            </w:pPr>
            <w:r w:rsidRPr="006F6171">
              <w:rPr>
                <w:szCs w:val="24"/>
              </w:rPr>
              <w:t>Biddeford</w:t>
            </w:r>
          </w:p>
          <w:p w14:paraId="0E88793A" w14:textId="77777777" w:rsidR="00E34219" w:rsidRDefault="00E34219" w:rsidP="008D7091">
            <w:pPr>
              <w:tabs>
                <w:tab w:val="left" w:pos="-720"/>
                <w:tab w:val="left" w:pos="2142"/>
                <w:tab w:val="left" w:pos="3582"/>
              </w:tabs>
              <w:suppressAutoHyphens/>
              <w:jc w:val="both"/>
              <w:rPr>
                <w:szCs w:val="24"/>
              </w:rPr>
            </w:pPr>
            <w:r w:rsidRPr="006F6171">
              <w:rPr>
                <w:szCs w:val="24"/>
              </w:rPr>
              <w:t>Brunswick</w:t>
            </w:r>
          </w:p>
          <w:p w14:paraId="25B4004B" w14:textId="50C37211" w:rsidR="00E34219" w:rsidRPr="006F6171" w:rsidRDefault="00E34219" w:rsidP="008D7091">
            <w:pPr>
              <w:tabs>
                <w:tab w:val="left" w:pos="-720"/>
                <w:tab w:val="left" w:pos="2142"/>
                <w:tab w:val="left" w:pos="3582"/>
              </w:tabs>
              <w:suppressAutoHyphens/>
              <w:jc w:val="both"/>
              <w:rPr>
                <w:szCs w:val="24"/>
              </w:rPr>
            </w:pPr>
            <w:r>
              <w:rPr>
                <w:szCs w:val="24"/>
              </w:rPr>
              <w:t xml:space="preserve">Falmouth </w:t>
            </w:r>
          </w:p>
          <w:p w14:paraId="249F629D" w14:textId="192F742C" w:rsidR="00E34219" w:rsidRPr="006F6171" w:rsidRDefault="00E34219" w:rsidP="008D7091">
            <w:pPr>
              <w:tabs>
                <w:tab w:val="left" w:pos="-720"/>
                <w:tab w:val="left" w:pos="2142"/>
                <w:tab w:val="left" w:pos="3582"/>
              </w:tabs>
              <w:suppressAutoHyphens/>
              <w:jc w:val="both"/>
              <w:rPr>
                <w:szCs w:val="24"/>
              </w:rPr>
            </w:pPr>
            <w:r>
              <w:rPr>
                <w:szCs w:val="24"/>
              </w:rPr>
              <w:t>Freeport</w:t>
            </w:r>
          </w:p>
        </w:tc>
        <w:tc>
          <w:tcPr>
            <w:tcW w:w="2250" w:type="dxa"/>
          </w:tcPr>
          <w:p w14:paraId="1D9FD4D9" w14:textId="77777777" w:rsidR="00E34219" w:rsidRDefault="00E34219" w:rsidP="008D7091">
            <w:pPr>
              <w:tabs>
                <w:tab w:val="left" w:pos="-720"/>
              </w:tabs>
              <w:suppressAutoHyphens/>
              <w:jc w:val="both"/>
              <w:rPr>
                <w:szCs w:val="24"/>
              </w:rPr>
            </w:pPr>
            <w:r>
              <w:rPr>
                <w:szCs w:val="24"/>
              </w:rPr>
              <w:t>Kennebunk</w:t>
            </w:r>
          </w:p>
          <w:p w14:paraId="16A8FA64" w14:textId="77777777" w:rsidR="00E34219" w:rsidRDefault="00E34219" w:rsidP="008D7091">
            <w:pPr>
              <w:tabs>
                <w:tab w:val="left" w:pos="-720"/>
              </w:tabs>
              <w:suppressAutoHyphens/>
              <w:jc w:val="both"/>
              <w:rPr>
                <w:szCs w:val="24"/>
              </w:rPr>
            </w:pPr>
            <w:r>
              <w:rPr>
                <w:szCs w:val="24"/>
              </w:rPr>
              <w:t>Kittery</w:t>
            </w:r>
          </w:p>
          <w:p w14:paraId="1D2337DA" w14:textId="77777777" w:rsidR="00E34219" w:rsidRDefault="00E34219" w:rsidP="008D7091">
            <w:pPr>
              <w:tabs>
                <w:tab w:val="left" w:pos="-720"/>
              </w:tabs>
              <w:suppressAutoHyphens/>
              <w:jc w:val="both"/>
              <w:rPr>
                <w:szCs w:val="24"/>
              </w:rPr>
            </w:pPr>
            <w:r>
              <w:rPr>
                <w:szCs w:val="24"/>
              </w:rPr>
              <w:t xml:space="preserve">Lewiston </w:t>
            </w:r>
          </w:p>
          <w:p w14:paraId="307FEAE1" w14:textId="77777777" w:rsidR="00E34219" w:rsidRDefault="00E34219" w:rsidP="008D7091">
            <w:pPr>
              <w:tabs>
                <w:tab w:val="left" w:pos="-720"/>
              </w:tabs>
              <w:suppressAutoHyphens/>
              <w:jc w:val="both"/>
              <w:rPr>
                <w:szCs w:val="24"/>
              </w:rPr>
            </w:pPr>
            <w:r>
              <w:rPr>
                <w:szCs w:val="24"/>
              </w:rPr>
              <w:t>Old Orchard Beach</w:t>
            </w:r>
          </w:p>
          <w:p w14:paraId="1D147099" w14:textId="77777777" w:rsidR="00E34219" w:rsidRDefault="00E34219" w:rsidP="008D7091">
            <w:pPr>
              <w:tabs>
                <w:tab w:val="left" w:pos="-720"/>
              </w:tabs>
              <w:suppressAutoHyphens/>
              <w:jc w:val="both"/>
              <w:rPr>
                <w:szCs w:val="24"/>
              </w:rPr>
            </w:pPr>
            <w:r>
              <w:rPr>
                <w:szCs w:val="24"/>
              </w:rPr>
              <w:t>Portland</w:t>
            </w:r>
          </w:p>
          <w:p w14:paraId="5C40B335" w14:textId="77777777" w:rsidR="00E34219" w:rsidRDefault="00E34219" w:rsidP="008D7091">
            <w:pPr>
              <w:tabs>
                <w:tab w:val="left" w:pos="-720"/>
              </w:tabs>
              <w:suppressAutoHyphens/>
              <w:jc w:val="both"/>
              <w:rPr>
                <w:szCs w:val="24"/>
              </w:rPr>
            </w:pPr>
            <w:r>
              <w:rPr>
                <w:szCs w:val="24"/>
              </w:rPr>
              <w:t>Presque Isle</w:t>
            </w:r>
          </w:p>
          <w:p w14:paraId="78B74A9A" w14:textId="77777777" w:rsidR="00E34219" w:rsidRDefault="00E34219" w:rsidP="008D7091">
            <w:pPr>
              <w:tabs>
                <w:tab w:val="left" w:pos="-720"/>
              </w:tabs>
              <w:suppressAutoHyphens/>
              <w:jc w:val="both"/>
              <w:rPr>
                <w:szCs w:val="24"/>
              </w:rPr>
            </w:pPr>
            <w:r>
              <w:rPr>
                <w:szCs w:val="24"/>
              </w:rPr>
              <w:t xml:space="preserve">Saco </w:t>
            </w:r>
          </w:p>
          <w:p w14:paraId="036A92D4" w14:textId="44C5F427" w:rsidR="00E34219" w:rsidRPr="006F6171" w:rsidRDefault="00E34219" w:rsidP="008D7091">
            <w:pPr>
              <w:tabs>
                <w:tab w:val="left" w:pos="-720"/>
              </w:tabs>
              <w:suppressAutoHyphens/>
              <w:jc w:val="both"/>
              <w:rPr>
                <w:szCs w:val="24"/>
              </w:rPr>
            </w:pPr>
            <w:r>
              <w:rPr>
                <w:szCs w:val="24"/>
              </w:rPr>
              <w:t>Sanford</w:t>
            </w:r>
          </w:p>
        </w:tc>
        <w:tc>
          <w:tcPr>
            <w:tcW w:w="2160" w:type="dxa"/>
          </w:tcPr>
          <w:p w14:paraId="3EB5DA03" w14:textId="77777777" w:rsidR="00E34219" w:rsidRPr="006F6171" w:rsidRDefault="00E34219" w:rsidP="00E34219">
            <w:pPr>
              <w:tabs>
                <w:tab w:val="left" w:pos="-720"/>
              </w:tabs>
              <w:suppressAutoHyphens/>
              <w:jc w:val="both"/>
              <w:rPr>
                <w:szCs w:val="24"/>
              </w:rPr>
            </w:pPr>
            <w:r w:rsidRPr="006F6171">
              <w:rPr>
                <w:szCs w:val="24"/>
              </w:rPr>
              <w:t>Scarborough</w:t>
            </w:r>
          </w:p>
          <w:p w14:paraId="61796C32" w14:textId="77777777" w:rsidR="00E34219" w:rsidRPr="006F6171" w:rsidRDefault="00E34219" w:rsidP="00E34219">
            <w:pPr>
              <w:tabs>
                <w:tab w:val="left" w:pos="-720"/>
              </w:tabs>
              <w:suppressAutoHyphens/>
              <w:jc w:val="both"/>
              <w:rPr>
                <w:szCs w:val="24"/>
              </w:rPr>
            </w:pPr>
            <w:r w:rsidRPr="006F6171">
              <w:rPr>
                <w:szCs w:val="24"/>
              </w:rPr>
              <w:t>Skowhegan</w:t>
            </w:r>
          </w:p>
          <w:p w14:paraId="0A38A278" w14:textId="77777777" w:rsidR="00E34219" w:rsidRPr="006F6171" w:rsidRDefault="00E34219" w:rsidP="00E34219">
            <w:pPr>
              <w:tabs>
                <w:tab w:val="left" w:pos="-720"/>
              </w:tabs>
              <w:suppressAutoHyphens/>
              <w:jc w:val="both"/>
              <w:rPr>
                <w:szCs w:val="24"/>
              </w:rPr>
            </w:pPr>
            <w:r w:rsidRPr="006F6171">
              <w:rPr>
                <w:szCs w:val="24"/>
              </w:rPr>
              <w:t>South Portland</w:t>
            </w:r>
          </w:p>
          <w:p w14:paraId="39BD8313" w14:textId="77777777" w:rsidR="00E34219" w:rsidRPr="006F6171" w:rsidRDefault="00E34219" w:rsidP="00E34219">
            <w:pPr>
              <w:tabs>
                <w:tab w:val="left" w:pos="-720"/>
              </w:tabs>
              <w:suppressAutoHyphens/>
              <w:jc w:val="both"/>
              <w:rPr>
                <w:szCs w:val="24"/>
              </w:rPr>
            </w:pPr>
            <w:r w:rsidRPr="006F6171">
              <w:rPr>
                <w:szCs w:val="24"/>
              </w:rPr>
              <w:t>Topsham</w:t>
            </w:r>
          </w:p>
          <w:p w14:paraId="365A538F" w14:textId="77777777" w:rsidR="00E34219" w:rsidRPr="006F6171" w:rsidRDefault="00E34219" w:rsidP="00E34219">
            <w:pPr>
              <w:tabs>
                <w:tab w:val="left" w:pos="-720"/>
              </w:tabs>
              <w:suppressAutoHyphens/>
              <w:jc w:val="both"/>
              <w:rPr>
                <w:szCs w:val="24"/>
              </w:rPr>
            </w:pPr>
            <w:r w:rsidRPr="006F6171">
              <w:rPr>
                <w:szCs w:val="24"/>
              </w:rPr>
              <w:t>Waterville</w:t>
            </w:r>
          </w:p>
          <w:p w14:paraId="42445EC1" w14:textId="77777777" w:rsidR="00E34219" w:rsidRPr="006F6171" w:rsidRDefault="00E34219" w:rsidP="00E34219">
            <w:pPr>
              <w:tabs>
                <w:tab w:val="left" w:pos="-720"/>
              </w:tabs>
              <w:suppressAutoHyphens/>
              <w:jc w:val="both"/>
              <w:rPr>
                <w:szCs w:val="24"/>
              </w:rPr>
            </w:pPr>
            <w:r w:rsidRPr="006F6171">
              <w:rPr>
                <w:szCs w:val="24"/>
              </w:rPr>
              <w:t>Westbrook</w:t>
            </w:r>
          </w:p>
          <w:p w14:paraId="53F3E8BB" w14:textId="77777777" w:rsidR="00E34219" w:rsidRPr="006F6171" w:rsidRDefault="00E34219" w:rsidP="00E34219">
            <w:pPr>
              <w:tabs>
                <w:tab w:val="left" w:pos="-720"/>
              </w:tabs>
              <w:suppressAutoHyphens/>
              <w:jc w:val="both"/>
              <w:rPr>
                <w:szCs w:val="24"/>
              </w:rPr>
            </w:pPr>
            <w:r w:rsidRPr="006F6171">
              <w:rPr>
                <w:szCs w:val="24"/>
              </w:rPr>
              <w:t>Windham</w:t>
            </w:r>
          </w:p>
          <w:p w14:paraId="28DAC2C3" w14:textId="4F3426DF" w:rsidR="00E34219" w:rsidRPr="006F6171" w:rsidRDefault="00E34219" w:rsidP="00E34219">
            <w:pPr>
              <w:tabs>
                <w:tab w:val="left" w:pos="-720"/>
              </w:tabs>
              <w:suppressAutoHyphens/>
              <w:jc w:val="both"/>
              <w:rPr>
                <w:b/>
                <w:szCs w:val="24"/>
              </w:rPr>
            </w:pPr>
            <w:r w:rsidRPr="006F6171">
              <w:rPr>
                <w:szCs w:val="24"/>
              </w:rPr>
              <w:t>Yarmouth</w:t>
            </w:r>
          </w:p>
        </w:tc>
        <w:tc>
          <w:tcPr>
            <w:tcW w:w="1530" w:type="dxa"/>
          </w:tcPr>
          <w:p w14:paraId="6B6E7047" w14:textId="77777777" w:rsidR="00E34219" w:rsidRPr="006F6171" w:rsidRDefault="00E34219" w:rsidP="008D7091">
            <w:pPr>
              <w:tabs>
                <w:tab w:val="left" w:pos="-720"/>
              </w:tabs>
              <w:suppressAutoHyphens/>
              <w:jc w:val="both"/>
              <w:rPr>
                <w:b/>
                <w:szCs w:val="24"/>
              </w:rPr>
            </w:pPr>
            <w:r w:rsidRPr="006F6171">
              <w:rPr>
                <w:b/>
                <w:szCs w:val="24"/>
              </w:rPr>
              <w:t>10 points</w:t>
            </w:r>
          </w:p>
        </w:tc>
      </w:tr>
      <w:tr w:rsidR="00E34219" w:rsidRPr="006F6171" w14:paraId="5373ED57" w14:textId="77777777" w:rsidTr="008D7091">
        <w:tc>
          <w:tcPr>
            <w:tcW w:w="2430" w:type="dxa"/>
          </w:tcPr>
          <w:p w14:paraId="7696E9C5"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Bar Harbor</w:t>
            </w:r>
          </w:p>
          <w:p w14:paraId="1693278D"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Belfast</w:t>
            </w:r>
          </w:p>
          <w:p w14:paraId="2660FECD"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Blue Hill</w:t>
            </w:r>
          </w:p>
          <w:p w14:paraId="721BC940"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Brewer</w:t>
            </w:r>
          </w:p>
          <w:p w14:paraId="2F0480BB"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Bridgton</w:t>
            </w:r>
          </w:p>
          <w:p w14:paraId="5ACB4FBD"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Camden</w:t>
            </w:r>
          </w:p>
          <w:p w14:paraId="44BEDC47"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Caribou</w:t>
            </w:r>
          </w:p>
          <w:p w14:paraId="47424A61" w14:textId="691568BB" w:rsidR="00E34219" w:rsidRPr="006F6171" w:rsidRDefault="00E34219" w:rsidP="00E34219">
            <w:pPr>
              <w:tabs>
                <w:tab w:val="left" w:pos="-720"/>
                <w:tab w:val="left" w:pos="2142"/>
                <w:tab w:val="left" w:pos="3582"/>
              </w:tabs>
              <w:suppressAutoHyphens/>
              <w:jc w:val="both"/>
              <w:rPr>
                <w:szCs w:val="24"/>
              </w:rPr>
            </w:pPr>
            <w:r w:rsidRPr="006F6171">
              <w:rPr>
                <w:szCs w:val="24"/>
              </w:rPr>
              <w:t>Damariscotta</w:t>
            </w:r>
          </w:p>
        </w:tc>
        <w:tc>
          <w:tcPr>
            <w:tcW w:w="2250" w:type="dxa"/>
          </w:tcPr>
          <w:p w14:paraId="08D5B941"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Dexter</w:t>
            </w:r>
          </w:p>
          <w:p w14:paraId="0A30AAAA"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Dover-Foxcroft</w:t>
            </w:r>
          </w:p>
          <w:p w14:paraId="080FEA24"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Ellsworth</w:t>
            </w:r>
          </w:p>
          <w:p w14:paraId="65962B43" w14:textId="77777777" w:rsidR="00E34219" w:rsidRPr="006F6171" w:rsidRDefault="00E34219" w:rsidP="00E34219">
            <w:pPr>
              <w:tabs>
                <w:tab w:val="left" w:pos="-720"/>
              </w:tabs>
              <w:suppressAutoHyphens/>
              <w:jc w:val="both"/>
              <w:rPr>
                <w:szCs w:val="24"/>
              </w:rPr>
            </w:pPr>
            <w:r w:rsidRPr="006F6171">
              <w:rPr>
                <w:szCs w:val="24"/>
              </w:rPr>
              <w:t>Fort Kent</w:t>
            </w:r>
          </w:p>
          <w:p w14:paraId="4D068E6B" w14:textId="77777777" w:rsidR="00E34219" w:rsidRPr="006F6171" w:rsidRDefault="00E34219" w:rsidP="00E34219">
            <w:pPr>
              <w:tabs>
                <w:tab w:val="left" w:pos="-720"/>
              </w:tabs>
              <w:suppressAutoHyphens/>
              <w:jc w:val="both"/>
              <w:rPr>
                <w:szCs w:val="24"/>
              </w:rPr>
            </w:pPr>
            <w:r w:rsidRPr="006F6171">
              <w:rPr>
                <w:szCs w:val="24"/>
              </w:rPr>
              <w:t>Gardiner</w:t>
            </w:r>
          </w:p>
          <w:p w14:paraId="0F9279FD" w14:textId="77777777" w:rsidR="00E34219" w:rsidRPr="006F6171" w:rsidRDefault="00E34219" w:rsidP="00E34219">
            <w:pPr>
              <w:tabs>
                <w:tab w:val="left" w:pos="-720"/>
              </w:tabs>
              <w:suppressAutoHyphens/>
              <w:jc w:val="both"/>
              <w:rPr>
                <w:szCs w:val="24"/>
              </w:rPr>
            </w:pPr>
            <w:r w:rsidRPr="006F6171">
              <w:rPr>
                <w:szCs w:val="24"/>
              </w:rPr>
              <w:t>Hallowell</w:t>
            </w:r>
          </w:p>
          <w:p w14:paraId="015E8D98" w14:textId="77777777" w:rsidR="00E34219" w:rsidRPr="006F6171" w:rsidRDefault="00E34219" w:rsidP="00E34219">
            <w:pPr>
              <w:tabs>
                <w:tab w:val="left" w:pos="-720"/>
              </w:tabs>
              <w:suppressAutoHyphens/>
              <w:jc w:val="both"/>
              <w:rPr>
                <w:szCs w:val="24"/>
              </w:rPr>
            </w:pPr>
            <w:r w:rsidRPr="006F6171">
              <w:rPr>
                <w:szCs w:val="24"/>
              </w:rPr>
              <w:t>Madawaska</w:t>
            </w:r>
          </w:p>
          <w:p w14:paraId="50D3705B" w14:textId="236AB9EA" w:rsidR="00E34219" w:rsidRPr="006F6171" w:rsidRDefault="00E34219" w:rsidP="00E34219">
            <w:pPr>
              <w:tabs>
                <w:tab w:val="left" w:pos="-720"/>
              </w:tabs>
              <w:suppressAutoHyphens/>
              <w:jc w:val="both"/>
              <w:rPr>
                <w:b/>
                <w:szCs w:val="24"/>
              </w:rPr>
            </w:pPr>
            <w:r w:rsidRPr="006F6171">
              <w:rPr>
                <w:szCs w:val="24"/>
              </w:rPr>
              <w:t>Mexico</w:t>
            </w:r>
          </w:p>
        </w:tc>
        <w:tc>
          <w:tcPr>
            <w:tcW w:w="2160" w:type="dxa"/>
          </w:tcPr>
          <w:p w14:paraId="4C7ED1F7" w14:textId="77777777" w:rsidR="00E34219" w:rsidRPr="006F6171" w:rsidRDefault="00E34219" w:rsidP="00E34219">
            <w:pPr>
              <w:tabs>
                <w:tab w:val="left" w:pos="-720"/>
              </w:tabs>
              <w:suppressAutoHyphens/>
              <w:jc w:val="both"/>
              <w:rPr>
                <w:szCs w:val="24"/>
              </w:rPr>
            </w:pPr>
            <w:r w:rsidRPr="006F6171">
              <w:rPr>
                <w:szCs w:val="24"/>
              </w:rPr>
              <w:t>Norway</w:t>
            </w:r>
          </w:p>
          <w:p w14:paraId="3849C566" w14:textId="77777777" w:rsidR="00E34219" w:rsidRPr="006F6171" w:rsidRDefault="00E34219" w:rsidP="00E34219">
            <w:pPr>
              <w:tabs>
                <w:tab w:val="left" w:pos="-720"/>
              </w:tabs>
              <w:suppressAutoHyphens/>
              <w:jc w:val="both"/>
              <w:rPr>
                <w:szCs w:val="24"/>
              </w:rPr>
            </w:pPr>
            <w:r w:rsidRPr="006F6171">
              <w:rPr>
                <w:szCs w:val="24"/>
              </w:rPr>
              <w:t>Oxford</w:t>
            </w:r>
          </w:p>
          <w:p w14:paraId="0126BDA3" w14:textId="77777777" w:rsidR="00E34219" w:rsidRPr="006F6171" w:rsidRDefault="00E34219" w:rsidP="00E34219">
            <w:pPr>
              <w:tabs>
                <w:tab w:val="left" w:pos="-720"/>
              </w:tabs>
              <w:suppressAutoHyphens/>
              <w:jc w:val="both"/>
              <w:rPr>
                <w:szCs w:val="24"/>
              </w:rPr>
            </w:pPr>
            <w:r w:rsidRPr="006F6171">
              <w:rPr>
                <w:szCs w:val="24"/>
              </w:rPr>
              <w:t>Rockland</w:t>
            </w:r>
          </w:p>
          <w:p w14:paraId="4645D90D" w14:textId="77777777" w:rsidR="00E34219" w:rsidRPr="006F6171" w:rsidRDefault="00E34219" w:rsidP="00E34219">
            <w:pPr>
              <w:tabs>
                <w:tab w:val="left" w:pos="-720"/>
              </w:tabs>
              <w:suppressAutoHyphens/>
              <w:jc w:val="both"/>
              <w:rPr>
                <w:szCs w:val="24"/>
              </w:rPr>
            </w:pPr>
            <w:r w:rsidRPr="006F6171">
              <w:rPr>
                <w:szCs w:val="24"/>
              </w:rPr>
              <w:t>Rockport</w:t>
            </w:r>
          </w:p>
          <w:p w14:paraId="00A4A277" w14:textId="77777777" w:rsidR="00E34219" w:rsidRPr="006F6171" w:rsidRDefault="00E34219" w:rsidP="00E34219">
            <w:pPr>
              <w:tabs>
                <w:tab w:val="left" w:pos="-720"/>
              </w:tabs>
              <w:suppressAutoHyphens/>
              <w:jc w:val="both"/>
              <w:rPr>
                <w:szCs w:val="24"/>
              </w:rPr>
            </w:pPr>
            <w:r w:rsidRPr="006F6171">
              <w:rPr>
                <w:szCs w:val="24"/>
              </w:rPr>
              <w:t>Rumford</w:t>
            </w:r>
          </w:p>
          <w:p w14:paraId="46F96CE5" w14:textId="77777777" w:rsidR="00E34219" w:rsidRPr="006F6171" w:rsidRDefault="00E34219" w:rsidP="00E34219">
            <w:pPr>
              <w:tabs>
                <w:tab w:val="left" w:pos="-720"/>
              </w:tabs>
              <w:suppressAutoHyphens/>
              <w:jc w:val="both"/>
              <w:rPr>
                <w:szCs w:val="24"/>
              </w:rPr>
            </w:pPr>
            <w:r w:rsidRPr="006F6171">
              <w:rPr>
                <w:szCs w:val="24"/>
              </w:rPr>
              <w:t>Southwest Harbor</w:t>
            </w:r>
          </w:p>
          <w:p w14:paraId="69D379D6" w14:textId="77777777" w:rsidR="00E34219" w:rsidRPr="006F6171" w:rsidRDefault="00E34219" w:rsidP="00E34219">
            <w:pPr>
              <w:tabs>
                <w:tab w:val="left" w:pos="-720"/>
              </w:tabs>
              <w:suppressAutoHyphens/>
              <w:jc w:val="both"/>
              <w:rPr>
                <w:szCs w:val="24"/>
              </w:rPr>
            </w:pPr>
            <w:r w:rsidRPr="006F6171">
              <w:rPr>
                <w:szCs w:val="24"/>
              </w:rPr>
              <w:t>Van Buren</w:t>
            </w:r>
          </w:p>
          <w:p w14:paraId="52D7AED9" w14:textId="70F5FA94" w:rsidR="00E34219" w:rsidRPr="006F6171" w:rsidRDefault="00E34219" w:rsidP="00E34219">
            <w:pPr>
              <w:tabs>
                <w:tab w:val="left" w:pos="-720"/>
              </w:tabs>
              <w:suppressAutoHyphens/>
              <w:jc w:val="both"/>
              <w:rPr>
                <w:szCs w:val="24"/>
              </w:rPr>
            </w:pPr>
            <w:r w:rsidRPr="006F6171">
              <w:rPr>
                <w:szCs w:val="24"/>
              </w:rPr>
              <w:t>Wiscasset</w:t>
            </w:r>
          </w:p>
        </w:tc>
        <w:tc>
          <w:tcPr>
            <w:tcW w:w="1530" w:type="dxa"/>
          </w:tcPr>
          <w:p w14:paraId="375BAFCC" w14:textId="77777777" w:rsidR="00E34219" w:rsidRPr="006F6171" w:rsidRDefault="00E34219" w:rsidP="008D7091">
            <w:pPr>
              <w:tabs>
                <w:tab w:val="left" w:pos="-720"/>
              </w:tabs>
              <w:suppressAutoHyphens/>
              <w:jc w:val="both"/>
              <w:rPr>
                <w:b/>
                <w:szCs w:val="24"/>
              </w:rPr>
            </w:pPr>
            <w:r w:rsidRPr="006F6171">
              <w:rPr>
                <w:b/>
                <w:szCs w:val="24"/>
              </w:rPr>
              <w:t>8 points</w:t>
            </w:r>
          </w:p>
        </w:tc>
      </w:tr>
      <w:tr w:rsidR="00E34219" w:rsidRPr="006F6171" w14:paraId="594633F9" w14:textId="77777777" w:rsidTr="008D7091">
        <w:tc>
          <w:tcPr>
            <w:tcW w:w="2430" w:type="dxa"/>
          </w:tcPr>
          <w:p w14:paraId="2C0C30B3"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Bethel</w:t>
            </w:r>
          </w:p>
          <w:p w14:paraId="6AB501E4"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Bingham</w:t>
            </w:r>
          </w:p>
          <w:p w14:paraId="3D1670E1"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Guilford</w:t>
            </w:r>
          </w:p>
          <w:p w14:paraId="20F5348B"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Boothbay Harbor</w:t>
            </w:r>
          </w:p>
          <w:p w14:paraId="79ED72F0" w14:textId="77777777" w:rsidR="00E34219" w:rsidRPr="006F6171" w:rsidRDefault="00E34219" w:rsidP="00E34219">
            <w:pPr>
              <w:tabs>
                <w:tab w:val="left" w:pos="-720"/>
                <w:tab w:val="left" w:pos="2142"/>
                <w:tab w:val="left" w:pos="3597"/>
              </w:tabs>
              <w:suppressAutoHyphens/>
              <w:jc w:val="both"/>
              <w:rPr>
                <w:szCs w:val="24"/>
              </w:rPr>
            </w:pPr>
            <w:r w:rsidRPr="006F6171">
              <w:rPr>
                <w:szCs w:val="24"/>
              </w:rPr>
              <w:t xml:space="preserve">Calais                  </w:t>
            </w:r>
          </w:p>
          <w:p w14:paraId="255F551B" w14:textId="77777777" w:rsidR="00E34219" w:rsidRPr="006F6171" w:rsidRDefault="00E34219" w:rsidP="00E34219">
            <w:pPr>
              <w:tabs>
                <w:tab w:val="left" w:pos="-720"/>
              </w:tabs>
              <w:suppressAutoHyphens/>
              <w:jc w:val="both"/>
              <w:rPr>
                <w:szCs w:val="24"/>
              </w:rPr>
            </w:pPr>
            <w:r w:rsidRPr="006F6171">
              <w:rPr>
                <w:szCs w:val="24"/>
              </w:rPr>
              <w:t>Cornish</w:t>
            </w:r>
          </w:p>
          <w:p w14:paraId="5550A049" w14:textId="77777777" w:rsidR="00E34219" w:rsidRPr="006F6171" w:rsidRDefault="00E34219" w:rsidP="00E34219">
            <w:pPr>
              <w:tabs>
                <w:tab w:val="left" w:pos="-720"/>
              </w:tabs>
              <w:suppressAutoHyphens/>
              <w:jc w:val="both"/>
              <w:rPr>
                <w:szCs w:val="24"/>
              </w:rPr>
            </w:pPr>
            <w:r w:rsidRPr="006F6171">
              <w:rPr>
                <w:szCs w:val="24"/>
              </w:rPr>
              <w:t>Danforth</w:t>
            </w:r>
          </w:p>
          <w:p w14:paraId="69959AA6" w14:textId="3F4166E5" w:rsidR="00E34219" w:rsidRPr="006F6171" w:rsidRDefault="00E34219" w:rsidP="00E34219">
            <w:pPr>
              <w:tabs>
                <w:tab w:val="left" w:pos="-720"/>
              </w:tabs>
              <w:suppressAutoHyphens/>
              <w:jc w:val="both"/>
              <w:rPr>
                <w:szCs w:val="24"/>
              </w:rPr>
            </w:pPr>
            <w:r w:rsidRPr="006F6171">
              <w:rPr>
                <w:szCs w:val="24"/>
              </w:rPr>
              <w:t xml:space="preserve">Eastport                    </w:t>
            </w:r>
          </w:p>
        </w:tc>
        <w:tc>
          <w:tcPr>
            <w:tcW w:w="2250" w:type="dxa"/>
          </w:tcPr>
          <w:p w14:paraId="77BB143F" w14:textId="77777777" w:rsidR="00E34219" w:rsidRPr="006F6171" w:rsidRDefault="00E34219" w:rsidP="00E34219">
            <w:pPr>
              <w:tabs>
                <w:tab w:val="left" w:pos="-720"/>
              </w:tabs>
              <w:suppressAutoHyphens/>
              <w:jc w:val="both"/>
              <w:rPr>
                <w:szCs w:val="24"/>
              </w:rPr>
            </w:pPr>
            <w:r w:rsidRPr="006F6171">
              <w:rPr>
                <w:szCs w:val="24"/>
              </w:rPr>
              <w:t>Farmington</w:t>
            </w:r>
          </w:p>
          <w:p w14:paraId="5F04A115" w14:textId="77777777" w:rsidR="00E34219" w:rsidRPr="006F6171" w:rsidRDefault="00E34219" w:rsidP="00E34219">
            <w:pPr>
              <w:tabs>
                <w:tab w:val="left" w:pos="-720"/>
              </w:tabs>
              <w:suppressAutoHyphens/>
              <w:jc w:val="both"/>
              <w:rPr>
                <w:b/>
                <w:szCs w:val="24"/>
              </w:rPr>
            </w:pPr>
            <w:r w:rsidRPr="006F6171">
              <w:rPr>
                <w:szCs w:val="24"/>
              </w:rPr>
              <w:t>Greenville</w:t>
            </w:r>
            <w:r w:rsidRPr="006F6171">
              <w:rPr>
                <w:b/>
                <w:szCs w:val="24"/>
              </w:rPr>
              <w:t xml:space="preserve"> </w:t>
            </w:r>
          </w:p>
          <w:p w14:paraId="4FA4878F" w14:textId="77777777" w:rsidR="00E34219" w:rsidRPr="006F6171" w:rsidRDefault="00E34219" w:rsidP="00E34219">
            <w:pPr>
              <w:tabs>
                <w:tab w:val="left" w:pos="-720"/>
              </w:tabs>
              <w:suppressAutoHyphens/>
              <w:jc w:val="both"/>
              <w:rPr>
                <w:szCs w:val="24"/>
              </w:rPr>
            </w:pPr>
            <w:r w:rsidRPr="006F6171">
              <w:rPr>
                <w:szCs w:val="24"/>
              </w:rPr>
              <w:t>Houlton</w:t>
            </w:r>
          </w:p>
          <w:p w14:paraId="75F1461F" w14:textId="77777777" w:rsidR="00E34219" w:rsidRPr="006F6171" w:rsidRDefault="00E34219" w:rsidP="00E34219">
            <w:pPr>
              <w:tabs>
                <w:tab w:val="left" w:pos="-720"/>
              </w:tabs>
              <w:suppressAutoHyphens/>
              <w:jc w:val="both"/>
              <w:rPr>
                <w:szCs w:val="24"/>
              </w:rPr>
            </w:pPr>
            <w:r w:rsidRPr="006F6171">
              <w:rPr>
                <w:szCs w:val="24"/>
              </w:rPr>
              <w:t>Jackman</w:t>
            </w:r>
          </w:p>
          <w:p w14:paraId="441C16E9" w14:textId="77777777" w:rsidR="00E34219" w:rsidRPr="006F6171" w:rsidRDefault="00E34219" w:rsidP="00E34219">
            <w:pPr>
              <w:tabs>
                <w:tab w:val="left" w:pos="-720"/>
              </w:tabs>
              <w:suppressAutoHyphens/>
              <w:jc w:val="both"/>
              <w:rPr>
                <w:szCs w:val="24"/>
              </w:rPr>
            </w:pPr>
            <w:r w:rsidRPr="006F6171">
              <w:rPr>
                <w:szCs w:val="24"/>
              </w:rPr>
              <w:t>Limestone</w:t>
            </w:r>
          </w:p>
          <w:p w14:paraId="04A7C808" w14:textId="77777777" w:rsidR="00E34219" w:rsidRPr="006F6171" w:rsidRDefault="00E34219" w:rsidP="00E34219">
            <w:pPr>
              <w:tabs>
                <w:tab w:val="left" w:pos="-720"/>
              </w:tabs>
              <w:suppressAutoHyphens/>
              <w:jc w:val="both"/>
              <w:rPr>
                <w:szCs w:val="24"/>
              </w:rPr>
            </w:pPr>
            <w:r w:rsidRPr="006F6171">
              <w:rPr>
                <w:szCs w:val="24"/>
              </w:rPr>
              <w:t>Lincoln</w:t>
            </w:r>
          </w:p>
          <w:p w14:paraId="33B19726" w14:textId="77777777" w:rsidR="00E34219" w:rsidRPr="006F6171" w:rsidRDefault="00E34219" w:rsidP="00E34219">
            <w:pPr>
              <w:tabs>
                <w:tab w:val="left" w:pos="-720"/>
              </w:tabs>
              <w:suppressAutoHyphens/>
              <w:jc w:val="both"/>
              <w:rPr>
                <w:szCs w:val="24"/>
              </w:rPr>
            </w:pPr>
            <w:r w:rsidRPr="006F6171">
              <w:rPr>
                <w:szCs w:val="24"/>
              </w:rPr>
              <w:t>Mars Hill</w:t>
            </w:r>
          </w:p>
          <w:p w14:paraId="0793E798" w14:textId="3F006825" w:rsidR="00E34219" w:rsidRPr="006F6171" w:rsidRDefault="00E34219" w:rsidP="00E34219">
            <w:pPr>
              <w:tabs>
                <w:tab w:val="left" w:pos="-720"/>
              </w:tabs>
              <w:suppressAutoHyphens/>
              <w:jc w:val="both"/>
              <w:rPr>
                <w:b/>
                <w:szCs w:val="24"/>
              </w:rPr>
            </w:pPr>
            <w:r w:rsidRPr="006F6171">
              <w:rPr>
                <w:szCs w:val="24"/>
              </w:rPr>
              <w:t>Millbridge</w:t>
            </w:r>
          </w:p>
        </w:tc>
        <w:tc>
          <w:tcPr>
            <w:tcW w:w="2160" w:type="dxa"/>
          </w:tcPr>
          <w:p w14:paraId="1E1264CF" w14:textId="77777777" w:rsidR="00E34219" w:rsidRPr="006F6171" w:rsidRDefault="00E34219" w:rsidP="00E34219">
            <w:pPr>
              <w:tabs>
                <w:tab w:val="left" w:pos="-720"/>
              </w:tabs>
              <w:suppressAutoHyphens/>
              <w:jc w:val="both"/>
              <w:rPr>
                <w:szCs w:val="24"/>
              </w:rPr>
            </w:pPr>
            <w:r w:rsidRPr="006F6171">
              <w:rPr>
                <w:szCs w:val="24"/>
              </w:rPr>
              <w:t>Millinocket</w:t>
            </w:r>
          </w:p>
          <w:p w14:paraId="42B21F8F" w14:textId="77777777" w:rsidR="00E34219" w:rsidRPr="006F6171" w:rsidRDefault="00E34219" w:rsidP="00E34219">
            <w:pPr>
              <w:tabs>
                <w:tab w:val="left" w:pos="-720"/>
              </w:tabs>
              <w:suppressAutoHyphens/>
              <w:jc w:val="both"/>
              <w:rPr>
                <w:szCs w:val="24"/>
              </w:rPr>
            </w:pPr>
            <w:r w:rsidRPr="006F6171">
              <w:rPr>
                <w:szCs w:val="24"/>
              </w:rPr>
              <w:t>Newport</w:t>
            </w:r>
          </w:p>
          <w:p w14:paraId="467179EE" w14:textId="77777777" w:rsidR="00E34219" w:rsidRPr="006F6171" w:rsidRDefault="00E34219" w:rsidP="00E34219">
            <w:pPr>
              <w:tabs>
                <w:tab w:val="left" w:pos="-720"/>
              </w:tabs>
              <w:suppressAutoHyphens/>
              <w:jc w:val="both"/>
              <w:rPr>
                <w:szCs w:val="24"/>
              </w:rPr>
            </w:pPr>
            <w:r w:rsidRPr="006F6171">
              <w:rPr>
                <w:szCs w:val="24"/>
              </w:rPr>
              <w:t>Paris</w:t>
            </w:r>
          </w:p>
          <w:p w14:paraId="0A5F7628" w14:textId="77777777" w:rsidR="00E34219" w:rsidRPr="006F6171" w:rsidRDefault="00E34219" w:rsidP="00E34219">
            <w:pPr>
              <w:tabs>
                <w:tab w:val="left" w:pos="-720"/>
              </w:tabs>
              <w:suppressAutoHyphens/>
              <w:jc w:val="both"/>
              <w:rPr>
                <w:szCs w:val="24"/>
              </w:rPr>
            </w:pPr>
            <w:r w:rsidRPr="006F6171">
              <w:rPr>
                <w:szCs w:val="24"/>
              </w:rPr>
              <w:t>Pittsfield</w:t>
            </w:r>
          </w:p>
          <w:p w14:paraId="0B449614" w14:textId="77777777" w:rsidR="00E34219" w:rsidRPr="006F6171" w:rsidRDefault="00E34219" w:rsidP="00E34219">
            <w:pPr>
              <w:tabs>
                <w:tab w:val="left" w:pos="-720"/>
              </w:tabs>
              <w:suppressAutoHyphens/>
              <w:jc w:val="both"/>
              <w:rPr>
                <w:szCs w:val="24"/>
              </w:rPr>
            </w:pPr>
            <w:r w:rsidRPr="006F6171">
              <w:rPr>
                <w:szCs w:val="24"/>
              </w:rPr>
              <w:t>Rangeley</w:t>
            </w:r>
          </w:p>
          <w:p w14:paraId="613E43EC" w14:textId="77777777" w:rsidR="00E34219" w:rsidRPr="006F6171" w:rsidRDefault="00E34219" w:rsidP="00E34219">
            <w:pPr>
              <w:tabs>
                <w:tab w:val="left" w:pos="-720"/>
              </w:tabs>
              <w:suppressAutoHyphens/>
              <w:jc w:val="both"/>
              <w:rPr>
                <w:szCs w:val="24"/>
              </w:rPr>
            </w:pPr>
            <w:r w:rsidRPr="006F6171">
              <w:rPr>
                <w:szCs w:val="24"/>
              </w:rPr>
              <w:t>Stonington</w:t>
            </w:r>
          </w:p>
          <w:p w14:paraId="2CC09997" w14:textId="77777777" w:rsidR="00E34219" w:rsidRPr="006F6171" w:rsidRDefault="00E34219" w:rsidP="00E34219">
            <w:pPr>
              <w:tabs>
                <w:tab w:val="left" w:pos="-720"/>
              </w:tabs>
              <w:suppressAutoHyphens/>
              <w:jc w:val="both"/>
              <w:rPr>
                <w:szCs w:val="24"/>
              </w:rPr>
            </w:pPr>
            <w:r w:rsidRPr="006F6171">
              <w:rPr>
                <w:szCs w:val="24"/>
              </w:rPr>
              <w:t>Thomaston</w:t>
            </w:r>
          </w:p>
          <w:p w14:paraId="7CD9CB20" w14:textId="73D0FC0F" w:rsidR="00E34219" w:rsidRPr="006F6171" w:rsidRDefault="00E34219" w:rsidP="00E34219">
            <w:pPr>
              <w:tabs>
                <w:tab w:val="left" w:pos="-720"/>
              </w:tabs>
              <w:suppressAutoHyphens/>
              <w:jc w:val="both"/>
              <w:rPr>
                <w:b/>
                <w:szCs w:val="24"/>
              </w:rPr>
            </w:pPr>
            <w:r w:rsidRPr="006F6171">
              <w:rPr>
                <w:szCs w:val="24"/>
              </w:rPr>
              <w:t>Winter Harbor</w:t>
            </w:r>
          </w:p>
        </w:tc>
        <w:tc>
          <w:tcPr>
            <w:tcW w:w="1530" w:type="dxa"/>
          </w:tcPr>
          <w:p w14:paraId="4A527B04" w14:textId="28013E3B" w:rsidR="00E34219" w:rsidRPr="006F6171" w:rsidRDefault="00EF752F" w:rsidP="008D7091">
            <w:pPr>
              <w:tabs>
                <w:tab w:val="left" w:pos="-720"/>
              </w:tabs>
              <w:suppressAutoHyphens/>
              <w:jc w:val="both"/>
              <w:rPr>
                <w:b/>
                <w:szCs w:val="24"/>
              </w:rPr>
            </w:pPr>
            <w:r>
              <w:rPr>
                <w:b/>
                <w:szCs w:val="24"/>
              </w:rPr>
              <w:t>6</w:t>
            </w:r>
            <w:r w:rsidR="00E34219" w:rsidRPr="006F6171">
              <w:rPr>
                <w:b/>
                <w:szCs w:val="24"/>
              </w:rPr>
              <w:t xml:space="preserve"> points</w:t>
            </w:r>
          </w:p>
        </w:tc>
      </w:tr>
    </w:tbl>
    <w:p w14:paraId="23F59A4A" w14:textId="09A3F9E5" w:rsidR="00671D27" w:rsidRDefault="00671D27" w:rsidP="008416BF">
      <w:pPr>
        <w:tabs>
          <w:tab w:val="left" w:pos="-720"/>
        </w:tabs>
        <w:suppressAutoHyphens/>
        <w:jc w:val="both"/>
        <w:rPr>
          <w:szCs w:val="24"/>
        </w:rPr>
      </w:pPr>
    </w:p>
    <w:p w14:paraId="57BD4EDD" w14:textId="77777777" w:rsidR="007518FC" w:rsidRDefault="007518FC" w:rsidP="007518FC">
      <w:pPr>
        <w:pStyle w:val="ListParagraph"/>
        <w:tabs>
          <w:tab w:val="left" w:pos="-720"/>
        </w:tabs>
        <w:suppressAutoHyphens/>
        <w:ind w:right="720"/>
        <w:rPr>
          <w:szCs w:val="24"/>
        </w:rPr>
      </w:pPr>
    </w:p>
    <w:p w14:paraId="403EA53E" w14:textId="77777777" w:rsidR="007518FC" w:rsidRDefault="007518FC" w:rsidP="007518FC">
      <w:pPr>
        <w:pStyle w:val="ListParagraph"/>
        <w:tabs>
          <w:tab w:val="left" w:pos="-720"/>
        </w:tabs>
        <w:suppressAutoHyphens/>
        <w:ind w:right="720"/>
        <w:rPr>
          <w:szCs w:val="24"/>
        </w:rPr>
      </w:pPr>
    </w:p>
    <w:p w14:paraId="2065B258" w14:textId="77777777" w:rsidR="007518FC" w:rsidRDefault="007518FC" w:rsidP="007518FC">
      <w:pPr>
        <w:pStyle w:val="ListParagraph"/>
        <w:tabs>
          <w:tab w:val="left" w:pos="-720"/>
        </w:tabs>
        <w:suppressAutoHyphens/>
        <w:ind w:right="720"/>
        <w:rPr>
          <w:szCs w:val="24"/>
        </w:rPr>
      </w:pPr>
    </w:p>
    <w:p w14:paraId="4B7C5B24" w14:textId="77777777" w:rsidR="007518FC" w:rsidRDefault="007518FC" w:rsidP="007518FC">
      <w:pPr>
        <w:pStyle w:val="ListParagraph"/>
        <w:tabs>
          <w:tab w:val="left" w:pos="-720"/>
        </w:tabs>
        <w:suppressAutoHyphens/>
        <w:ind w:right="720"/>
        <w:rPr>
          <w:szCs w:val="24"/>
        </w:rPr>
      </w:pPr>
    </w:p>
    <w:p w14:paraId="6BC247E9" w14:textId="77777777" w:rsidR="007518FC" w:rsidRDefault="007518FC" w:rsidP="007518FC">
      <w:pPr>
        <w:pStyle w:val="ListParagraph"/>
        <w:tabs>
          <w:tab w:val="left" w:pos="-720"/>
        </w:tabs>
        <w:suppressAutoHyphens/>
        <w:ind w:right="720"/>
        <w:rPr>
          <w:szCs w:val="24"/>
        </w:rPr>
      </w:pPr>
    </w:p>
    <w:p w14:paraId="202CBB89" w14:textId="3E943B8C" w:rsidR="00995E15" w:rsidRPr="006F6171" w:rsidRDefault="00E35704" w:rsidP="00A8328C">
      <w:pPr>
        <w:pStyle w:val="ListParagraph"/>
        <w:numPr>
          <w:ilvl w:val="3"/>
          <w:numId w:val="1"/>
        </w:numPr>
        <w:tabs>
          <w:tab w:val="clear" w:pos="2880"/>
          <w:tab w:val="left" w:pos="-720"/>
          <w:tab w:val="num" w:pos="1080"/>
        </w:tabs>
        <w:suppressAutoHyphens/>
        <w:ind w:left="720" w:right="720" w:firstLine="0"/>
        <w:rPr>
          <w:szCs w:val="24"/>
        </w:rPr>
      </w:pPr>
      <w:r w:rsidRPr="006F6171">
        <w:rPr>
          <w:szCs w:val="24"/>
        </w:rPr>
        <w:lastRenderedPageBreak/>
        <w:t xml:space="preserve">Other </w:t>
      </w:r>
      <w:r w:rsidR="00CA58F3" w:rsidRPr="006F6171">
        <w:rPr>
          <w:szCs w:val="24"/>
        </w:rPr>
        <w:t xml:space="preserve">Housing </w:t>
      </w:r>
      <w:r w:rsidR="0024365C" w:rsidRPr="006F6171">
        <w:rPr>
          <w:szCs w:val="24"/>
        </w:rPr>
        <w:t>Proje</w:t>
      </w:r>
      <w:r w:rsidR="00CA58F3" w:rsidRPr="006F6171">
        <w:rPr>
          <w:szCs w:val="24"/>
        </w:rPr>
        <w:t xml:space="preserve">cts </w:t>
      </w:r>
      <w:r w:rsidR="0024365C" w:rsidRPr="006F6171">
        <w:rPr>
          <w:szCs w:val="24"/>
        </w:rPr>
        <w:t>in the following Service Center Communities</w:t>
      </w:r>
      <w:r w:rsidR="002603D4" w:rsidRPr="006F6171">
        <w:rPr>
          <w:szCs w:val="24"/>
        </w:rPr>
        <w:t>:</w:t>
      </w:r>
    </w:p>
    <w:p w14:paraId="6F234884" w14:textId="77777777" w:rsidR="00C825C1" w:rsidRPr="006F6171" w:rsidRDefault="00C825C1" w:rsidP="00C825C1">
      <w:pPr>
        <w:tabs>
          <w:tab w:val="left" w:pos="-720"/>
        </w:tabs>
        <w:suppressAutoHyphens/>
        <w:ind w:left="720" w:right="720"/>
        <w:rPr>
          <w:szCs w:val="24"/>
        </w:rPr>
      </w:pP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250"/>
        <w:gridCol w:w="2160"/>
        <w:gridCol w:w="1530"/>
      </w:tblGrid>
      <w:tr w:rsidR="00F157CA" w:rsidRPr="006F6171" w14:paraId="55C15751" w14:textId="77777777" w:rsidTr="00F157CA">
        <w:tc>
          <w:tcPr>
            <w:tcW w:w="8370" w:type="dxa"/>
            <w:gridSpan w:val="4"/>
          </w:tcPr>
          <w:p w14:paraId="37A1D050" w14:textId="6348DAC5" w:rsidR="00F157CA" w:rsidRPr="006F6171" w:rsidRDefault="00F157CA" w:rsidP="008416BF">
            <w:pPr>
              <w:tabs>
                <w:tab w:val="left" w:pos="-720"/>
              </w:tabs>
              <w:suppressAutoHyphens/>
              <w:jc w:val="both"/>
              <w:rPr>
                <w:b/>
                <w:szCs w:val="24"/>
              </w:rPr>
            </w:pPr>
            <w:r w:rsidRPr="006F6171">
              <w:rPr>
                <w:b/>
                <w:szCs w:val="24"/>
              </w:rPr>
              <w:t>Other Housing Projects (not specifically for Older Adults)</w:t>
            </w:r>
          </w:p>
        </w:tc>
      </w:tr>
      <w:tr w:rsidR="00F157CA" w:rsidRPr="006F6171" w14:paraId="11BC8C04" w14:textId="77777777" w:rsidTr="00F157CA">
        <w:tc>
          <w:tcPr>
            <w:tcW w:w="6840" w:type="dxa"/>
            <w:gridSpan w:val="3"/>
          </w:tcPr>
          <w:p w14:paraId="455EDCBF" w14:textId="0FFB46B9" w:rsidR="00F157CA" w:rsidRPr="006F6171" w:rsidRDefault="00F157CA" w:rsidP="00821E7D">
            <w:pPr>
              <w:tabs>
                <w:tab w:val="left" w:pos="-720"/>
              </w:tabs>
              <w:suppressAutoHyphens/>
              <w:jc w:val="both"/>
              <w:rPr>
                <w:b/>
                <w:szCs w:val="24"/>
              </w:rPr>
            </w:pPr>
            <w:r w:rsidRPr="006F6171">
              <w:rPr>
                <w:b/>
                <w:szCs w:val="24"/>
              </w:rPr>
              <w:t>Service Center Community</w:t>
            </w:r>
          </w:p>
        </w:tc>
        <w:tc>
          <w:tcPr>
            <w:tcW w:w="1530" w:type="dxa"/>
          </w:tcPr>
          <w:p w14:paraId="23C9D9FD" w14:textId="27DF8786" w:rsidR="00F157CA" w:rsidRPr="006F6171" w:rsidRDefault="00F157CA" w:rsidP="00821E7D">
            <w:pPr>
              <w:tabs>
                <w:tab w:val="left" w:pos="-720"/>
              </w:tabs>
              <w:suppressAutoHyphens/>
              <w:jc w:val="both"/>
              <w:rPr>
                <w:b/>
                <w:szCs w:val="24"/>
              </w:rPr>
            </w:pPr>
            <w:r w:rsidRPr="006F6171">
              <w:rPr>
                <w:b/>
                <w:szCs w:val="24"/>
              </w:rPr>
              <w:t>Points</w:t>
            </w:r>
          </w:p>
        </w:tc>
      </w:tr>
      <w:tr w:rsidR="00F157CA" w:rsidRPr="006F6171" w14:paraId="72FDA76B" w14:textId="77777777" w:rsidTr="00F157CA">
        <w:tc>
          <w:tcPr>
            <w:tcW w:w="2430" w:type="dxa"/>
          </w:tcPr>
          <w:p w14:paraId="5B77B3B0" w14:textId="77777777" w:rsidR="00F157CA" w:rsidRPr="006F6171" w:rsidRDefault="00F157CA" w:rsidP="008F1A9E">
            <w:pPr>
              <w:tabs>
                <w:tab w:val="left" w:pos="-720"/>
                <w:tab w:val="left" w:pos="2142"/>
                <w:tab w:val="left" w:pos="3582"/>
              </w:tabs>
              <w:suppressAutoHyphens/>
              <w:jc w:val="both"/>
              <w:rPr>
                <w:szCs w:val="24"/>
              </w:rPr>
            </w:pPr>
            <w:r w:rsidRPr="006F6171">
              <w:rPr>
                <w:szCs w:val="24"/>
              </w:rPr>
              <w:t>Auburn</w:t>
            </w:r>
          </w:p>
          <w:p w14:paraId="285569DB" w14:textId="77777777" w:rsidR="00F157CA" w:rsidRPr="006F6171" w:rsidRDefault="00F157CA" w:rsidP="008F1A9E">
            <w:pPr>
              <w:tabs>
                <w:tab w:val="left" w:pos="-720"/>
                <w:tab w:val="left" w:pos="2142"/>
                <w:tab w:val="left" w:pos="3582"/>
              </w:tabs>
              <w:suppressAutoHyphens/>
              <w:jc w:val="both"/>
              <w:rPr>
                <w:szCs w:val="24"/>
              </w:rPr>
            </w:pPr>
            <w:r w:rsidRPr="006F6171">
              <w:rPr>
                <w:szCs w:val="24"/>
              </w:rPr>
              <w:t>Augusta</w:t>
            </w:r>
          </w:p>
          <w:p w14:paraId="2895FC08" w14:textId="77777777" w:rsidR="00F157CA" w:rsidRPr="006F6171" w:rsidRDefault="00F157CA" w:rsidP="008F1A9E">
            <w:pPr>
              <w:tabs>
                <w:tab w:val="left" w:pos="-720"/>
                <w:tab w:val="left" w:pos="2142"/>
                <w:tab w:val="left" w:pos="3582"/>
              </w:tabs>
              <w:suppressAutoHyphens/>
              <w:jc w:val="both"/>
              <w:rPr>
                <w:szCs w:val="24"/>
              </w:rPr>
            </w:pPr>
            <w:r w:rsidRPr="006F6171">
              <w:rPr>
                <w:szCs w:val="24"/>
              </w:rPr>
              <w:t>Bangor</w:t>
            </w:r>
          </w:p>
          <w:p w14:paraId="7A9EC618" w14:textId="77777777" w:rsidR="00F157CA" w:rsidRPr="006F6171" w:rsidRDefault="00F157CA" w:rsidP="008F1A9E">
            <w:pPr>
              <w:tabs>
                <w:tab w:val="left" w:pos="-720"/>
                <w:tab w:val="left" w:pos="2142"/>
                <w:tab w:val="left" w:pos="3582"/>
              </w:tabs>
              <w:suppressAutoHyphens/>
              <w:jc w:val="both"/>
              <w:rPr>
                <w:szCs w:val="24"/>
              </w:rPr>
            </w:pPr>
            <w:r w:rsidRPr="006F6171">
              <w:rPr>
                <w:szCs w:val="24"/>
              </w:rPr>
              <w:t>Bath</w:t>
            </w:r>
          </w:p>
          <w:p w14:paraId="11B78158" w14:textId="77777777" w:rsidR="00F157CA" w:rsidRPr="006F6171" w:rsidRDefault="00F157CA" w:rsidP="008F1A9E">
            <w:pPr>
              <w:tabs>
                <w:tab w:val="left" w:pos="-720"/>
                <w:tab w:val="left" w:pos="2142"/>
                <w:tab w:val="left" w:pos="3582"/>
              </w:tabs>
              <w:suppressAutoHyphens/>
              <w:jc w:val="both"/>
              <w:rPr>
                <w:szCs w:val="24"/>
              </w:rPr>
            </w:pPr>
            <w:r w:rsidRPr="006F6171">
              <w:rPr>
                <w:szCs w:val="24"/>
              </w:rPr>
              <w:t>Biddeford</w:t>
            </w:r>
          </w:p>
          <w:p w14:paraId="64FB44B3" w14:textId="77777777" w:rsidR="00F157CA" w:rsidRPr="006F6171" w:rsidRDefault="00F157CA" w:rsidP="008F1A9E">
            <w:pPr>
              <w:tabs>
                <w:tab w:val="left" w:pos="-720"/>
                <w:tab w:val="left" w:pos="2142"/>
                <w:tab w:val="left" w:pos="3582"/>
              </w:tabs>
              <w:suppressAutoHyphens/>
              <w:jc w:val="both"/>
              <w:rPr>
                <w:szCs w:val="24"/>
              </w:rPr>
            </w:pPr>
            <w:r w:rsidRPr="006F6171">
              <w:rPr>
                <w:szCs w:val="24"/>
              </w:rPr>
              <w:t>Brewer</w:t>
            </w:r>
          </w:p>
          <w:p w14:paraId="537F4DC9" w14:textId="77777777" w:rsidR="00F157CA" w:rsidRPr="006F6171" w:rsidRDefault="00F157CA" w:rsidP="008F1A9E">
            <w:pPr>
              <w:tabs>
                <w:tab w:val="left" w:pos="-720"/>
                <w:tab w:val="left" w:pos="2142"/>
                <w:tab w:val="left" w:pos="3582"/>
              </w:tabs>
              <w:suppressAutoHyphens/>
              <w:jc w:val="both"/>
              <w:rPr>
                <w:szCs w:val="24"/>
              </w:rPr>
            </w:pPr>
            <w:r w:rsidRPr="006F6171">
              <w:rPr>
                <w:szCs w:val="24"/>
              </w:rPr>
              <w:t>Brunswick</w:t>
            </w:r>
          </w:p>
          <w:p w14:paraId="4FBBC0A2" w14:textId="0AA754AA" w:rsidR="00F157CA" w:rsidRPr="006F6171" w:rsidRDefault="00F157CA" w:rsidP="008F1A9E">
            <w:pPr>
              <w:tabs>
                <w:tab w:val="left" w:pos="-720"/>
                <w:tab w:val="left" w:pos="2142"/>
                <w:tab w:val="left" w:pos="3582"/>
              </w:tabs>
              <w:suppressAutoHyphens/>
              <w:jc w:val="both"/>
              <w:rPr>
                <w:szCs w:val="24"/>
              </w:rPr>
            </w:pPr>
            <w:r w:rsidRPr="006F6171">
              <w:rPr>
                <w:szCs w:val="24"/>
              </w:rPr>
              <w:t>Caribou</w:t>
            </w:r>
          </w:p>
        </w:tc>
        <w:tc>
          <w:tcPr>
            <w:tcW w:w="2250" w:type="dxa"/>
          </w:tcPr>
          <w:p w14:paraId="02E91346" w14:textId="77777777" w:rsidR="00F157CA" w:rsidRPr="006F6171" w:rsidRDefault="00F157CA" w:rsidP="008F1A9E">
            <w:pPr>
              <w:tabs>
                <w:tab w:val="left" w:pos="-720"/>
              </w:tabs>
              <w:suppressAutoHyphens/>
              <w:jc w:val="both"/>
              <w:rPr>
                <w:szCs w:val="24"/>
              </w:rPr>
            </w:pPr>
            <w:r w:rsidRPr="006F6171">
              <w:rPr>
                <w:szCs w:val="24"/>
              </w:rPr>
              <w:t>Farmington</w:t>
            </w:r>
          </w:p>
          <w:p w14:paraId="345FB355" w14:textId="77777777" w:rsidR="00F157CA" w:rsidRPr="006F6171" w:rsidRDefault="00F157CA" w:rsidP="008F1A9E">
            <w:pPr>
              <w:tabs>
                <w:tab w:val="left" w:pos="-720"/>
              </w:tabs>
              <w:suppressAutoHyphens/>
              <w:jc w:val="both"/>
              <w:rPr>
                <w:szCs w:val="24"/>
              </w:rPr>
            </w:pPr>
            <w:r w:rsidRPr="006F6171">
              <w:rPr>
                <w:szCs w:val="24"/>
              </w:rPr>
              <w:t>Lewiston</w:t>
            </w:r>
          </w:p>
          <w:p w14:paraId="535FEB8D" w14:textId="77777777" w:rsidR="00F157CA" w:rsidRPr="006F6171" w:rsidRDefault="00F157CA" w:rsidP="008F1A9E">
            <w:pPr>
              <w:tabs>
                <w:tab w:val="left" w:pos="-720"/>
              </w:tabs>
              <w:suppressAutoHyphens/>
              <w:jc w:val="both"/>
              <w:rPr>
                <w:szCs w:val="24"/>
              </w:rPr>
            </w:pPr>
            <w:r w:rsidRPr="006F6171">
              <w:rPr>
                <w:szCs w:val="24"/>
              </w:rPr>
              <w:t>Old Orchard Beach</w:t>
            </w:r>
          </w:p>
          <w:p w14:paraId="227AED9A" w14:textId="77777777" w:rsidR="00F157CA" w:rsidRPr="006F6171" w:rsidRDefault="00F157CA" w:rsidP="008F1A9E">
            <w:pPr>
              <w:tabs>
                <w:tab w:val="left" w:pos="-720"/>
              </w:tabs>
              <w:suppressAutoHyphens/>
              <w:jc w:val="both"/>
              <w:rPr>
                <w:szCs w:val="24"/>
              </w:rPr>
            </w:pPr>
            <w:r w:rsidRPr="006F6171">
              <w:rPr>
                <w:szCs w:val="24"/>
              </w:rPr>
              <w:t>Orono</w:t>
            </w:r>
          </w:p>
          <w:p w14:paraId="6EB30188" w14:textId="77777777" w:rsidR="00F157CA" w:rsidRPr="006F6171" w:rsidRDefault="00F157CA" w:rsidP="008F1A9E">
            <w:pPr>
              <w:tabs>
                <w:tab w:val="left" w:pos="-720"/>
              </w:tabs>
              <w:suppressAutoHyphens/>
              <w:jc w:val="both"/>
              <w:rPr>
                <w:szCs w:val="24"/>
              </w:rPr>
            </w:pPr>
            <w:r w:rsidRPr="006F6171">
              <w:rPr>
                <w:szCs w:val="24"/>
              </w:rPr>
              <w:t>Portland</w:t>
            </w:r>
          </w:p>
          <w:p w14:paraId="6AA210B0" w14:textId="77777777" w:rsidR="00F157CA" w:rsidRPr="006F6171" w:rsidRDefault="00F157CA" w:rsidP="008F1A9E">
            <w:pPr>
              <w:tabs>
                <w:tab w:val="left" w:pos="-720"/>
              </w:tabs>
              <w:suppressAutoHyphens/>
              <w:jc w:val="both"/>
              <w:rPr>
                <w:szCs w:val="24"/>
              </w:rPr>
            </w:pPr>
            <w:r w:rsidRPr="006F6171">
              <w:rPr>
                <w:szCs w:val="24"/>
              </w:rPr>
              <w:t>Rumford</w:t>
            </w:r>
          </w:p>
          <w:p w14:paraId="5F2FF8A7" w14:textId="77777777" w:rsidR="00F157CA" w:rsidRPr="006F6171" w:rsidRDefault="00F157CA" w:rsidP="008F1A9E">
            <w:pPr>
              <w:tabs>
                <w:tab w:val="left" w:pos="-720"/>
              </w:tabs>
              <w:suppressAutoHyphens/>
              <w:jc w:val="both"/>
              <w:rPr>
                <w:szCs w:val="24"/>
              </w:rPr>
            </w:pPr>
            <w:r w:rsidRPr="006F6171">
              <w:rPr>
                <w:szCs w:val="24"/>
              </w:rPr>
              <w:t>Saco</w:t>
            </w:r>
          </w:p>
          <w:p w14:paraId="55DA0352" w14:textId="0BAAD1BF" w:rsidR="00F157CA" w:rsidRPr="006F6171" w:rsidRDefault="00F157CA" w:rsidP="008F1A9E">
            <w:pPr>
              <w:tabs>
                <w:tab w:val="left" w:pos="-720"/>
              </w:tabs>
              <w:suppressAutoHyphens/>
              <w:jc w:val="both"/>
              <w:rPr>
                <w:szCs w:val="24"/>
              </w:rPr>
            </w:pPr>
            <w:r w:rsidRPr="006F6171">
              <w:rPr>
                <w:szCs w:val="24"/>
              </w:rPr>
              <w:t>Sanford</w:t>
            </w:r>
          </w:p>
        </w:tc>
        <w:tc>
          <w:tcPr>
            <w:tcW w:w="2160" w:type="dxa"/>
          </w:tcPr>
          <w:p w14:paraId="1FA65872" w14:textId="77777777" w:rsidR="00F157CA" w:rsidRPr="006F6171" w:rsidRDefault="00F157CA" w:rsidP="008F1A9E">
            <w:pPr>
              <w:tabs>
                <w:tab w:val="left" w:pos="-720"/>
              </w:tabs>
              <w:suppressAutoHyphens/>
              <w:jc w:val="both"/>
              <w:rPr>
                <w:szCs w:val="24"/>
              </w:rPr>
            </w:pPr>
            <w:r w:rsidRPr="006F6171">
              <w:rPr>
                <w:szCs w:val="24"/>
              </w:rPr>
              <w:t>Scarborough</w:t>
            </w:r>
          </w:p>
          <w:p w14:paraId="352ED150" w14:textId="77777777" w:rsidR="00F157CA" w:rsidRPr="006F6171" w:rsidRDefault="00F157CA" w:rsidP="008F1A9E">
            <w:pPr>
              <w:tabs>
                <w:tab w:val="left" w:pos="-720"/>
              </w:tabs>
              <w:suppressAutoHyphens/>
              <w:jc w:val="both"/>
              <w:rPr>
                <w:szCs w:val="24"/>
              </w:rPr>
            </w:pPr>
            <w:r w:rsidRPr="006F6171">
              <w:rPr>
                <w:szCs w:val="24"/>
              </w:rPr>
              <w:t>Skowhegan</w:t>
            </w:r>
          </w:p>
          <w:p w14:paraId="0D0A909D" w14:textId="77777777" w:rsidR="00F157CA" w:rsidRPr="006F6171" w:rsidRDefault="00F157CA" w:rsidP="008F1A9E">
            <w:pPr>
              <w:tabs>
                <w:tab w:val="left" w:pos="-720"/>
              </w:tabs>
              <w:suppressAutoHyphens/>
              <w:jc w:val="both"/>
              <w:rPr>
                <w:szCs w:val="24"/>
              </w:rPr>
            </w:pPr>
            <w:r w:rsidRPr="006F6171">
              <w:rPr>
                <w:szCs w:val="24"/>
              </w:rPr>
              <w:t>South Portland</w:t>
            </w:r>
          </w:p>
          <w:p w14:paraId="5DB43FDC" w14:textId="77777777" w:rsidR="00F157CA" w:rsidRPr="006F6171" w:rsidRDefault="00F157CA" w:rsidP="008F1A9E">
            <w:pPr>
              <w:tabs>
                <w:tab w:val="left" w:pos="-720"/>
              </w:tabs>
              <w:suppressAutoHyphens/>
              <w:jc w:val="both"/>
              <w:rPr>
                <w:szCs w:val="24"/>
              </w:rPr>
            </w:pPr>
            <w:r w:rsidRPr="006F6171">
              <w:rPr>
                <w:szCs w:val="24"/>
              </w:rPr>
              <w:t>Waterville</w:t>
            </w:r>
          </w:p>
          <w:p w14:paraId="75D99A1D" w14:textId="77777777" w:rsidR="00F157CA" w:rsidRPr="006F6171" w:rsidRDefault="00F157CA" w:rsidP="008F1A9E">
            <w:pPr>
              <w:tabs>
                <w:tab w:val="left" w:pos="-720"/>
              </w:tabs>
              <w:suppressAutoHyphens/>
              <w:jc w:val="both"/>
              <w:rPr>
                <w:szCs w:val="24"/>
              </w:rPr>
            </w:pPr>
            <w:r w:rsidRPr="006F6171">
              <w:rPr>
                <w:szCs w:val="24"/>
              </w:rPr>
              <w:t>Westbrook</w:t>
            </w:r>
          </w:p>
          <w:p w14:paraId="4539D149" w14:textId="0047564F" w:rsidR="00F157CA" w:rsidRPr="006F6171" w:rsidRDefault="00F157CA" w:rsidP="008F1A9E">
            <w:pPr>
              <w:tabs>
                <w:tab w:val="left" w:pos="-720"/>
              </w:tabs>
              <w:suppressAutoHyphens/>
              <w:jc w:val="both"/>
              <w:rPr>
                <w:b/>
                <w:szCs w:val="24"/>
              </w:rPr>
            </w:pPr>
            <w:r w:rsidRPr="006F6171">
              <w:rPr>
                <w:szCs w:val="24"/>
              </w:rPr>
              <w:t>Windham</w:t>
            </w:r>
          </w:p>
        </w:tc>
        <w:tc>
          <w:tcPr>
            <w:tcW w:w="1530" w:type="dxa"/>
          </w:tcPr>
          <w:p w14:paraId="70D9EA47" w14:textId="634766A6" w:rsidR="00F157CA" w:rsidRPr="006F6171" w:rsidRDefault="00F157CA" w:rsidP="008F1A9E">
            <w:pPr>
              <w:tabs>
                <w:tab w:val="left" w:pos="-720"/>
              </w:tabs>
              <w:suppressAutoHyphens/>
              <w:jc w:val="both"/>
              <w:rPr>
                <w:b/>
                <w:szCs w:val="24"/>
              </w:rPr>
            </w:pPr>
            <w:r w:rsidRPr="006F6171">
              <w:rPr>
                <w:b/>
                <w:szCs w:val="24"/>
              </w:rPr>
              <w:t>10 points</w:t>
            </w:r>
          </w:p>
        </w:tc>
      </w:tr>
      <w:tr w:rsidR="00F157CA" w:rsidRPr="006F6171" w14:paraId="731815CB" w14:textId="77777777" w:rsidTr="00F157CA">
        <w:tc>
          <w:tcPr>
            <w:tcW w:w="2430" w:type="dxa"/>
          </w:tcPr>
          <w:p w14:paraId="3145A928" w14:textId="3722B5FE" w:rsidR="00F157CA" w:rsidRPr="006F6171" w:rsidRDefault="00F157CA" w:rsidP="007C03DA">
            <w:pPr>
              <w:tabs>
                <w:tab w:val="left" w:pos="-720"/>
                <w:tab w:val="left" w:pos="2142"/>
                <w:tab w:val="left" w:pos="3582"/>
              </w:tabs>
              <w:suppressAutoHyphens/>
              <w:jc w:val="both"/>
              <w:rPr>
                <w:szCs w:val="24"/>
              </w:rPr>
            </w:pPr>
            <w:r w:rsidRPr="006F6171">
              <w:rPr>
                <w:szCs w:val="24"/>
              </w:rPr>
              <w:t>Bar Harbor</w:t>
            </w:r>
          </w:p>
          <w:p w14:paraId="70E42E7B" w14:textId="77777777" w:rsidR="00F157CA" w:rsidRPr="006F6171" w:rsidRDefault="00F157CA" w:rsidP="007C03DA">
            <w:pPr>
              <w:tabs>
                <w:tab w:val="left" w:pos="-720"/>
                <w:tab w:val="left" w:pos="2142"/>
                <w:tab w:val="left" w:pos="3582"/>
              </w:tabs>
              <w:suppressAutoHyphens/>
              <w:jc w:val="both"/>
              <w:rPr>
                <w:szCs w:val="24"/>
              </w:rPr>
            </w:pPr>
            <w:r w:rsidRPr="006F6171">
              <w:rPr>
                <w:szCs w:val="24"/>
              </w:rPr>
              <w:t>Blue Hill</w:t>
            </w:r>
          </w:p>
          <w:p w14:paraId="0DAF899F" w14:textId="77777777" w:rsidR="00F157CA" w:rsidRPr="006F6171" w:rsidRDefault="00F157CA" w:rsidP="007C03DA">
            <w:pPr>
              <w:tabs>
                <w:tab w:val="left" w:pos="-720"/>
                <w:tab w:val="left" w:pos="2142"/>
                <w:tab w:val="left" w:pos="3582"/>
              </w:tabs>
              <w:suppressAutoHyphens/>
              <w:jc w:val="both"/>
              <w:rPr>
                <w:szCs w:val="24"/>
              </w:rPr>
            </w:pPr>
            <w:r w:rsidRPr="006F6171">
              <w:rPr>
                <w:szCs w:val="24"/>
              </w:rPr>
              <w:t>Dexter</w:t>
            </w:r>
          </w:p>
          <w:p w14:paraId="265E896A" w14:textId="77777777" w:rsidR="00F157CA" w:rsidRPr="006F6171" w:rsidRDefault="00F157CA" w:rsidP="007C03DA">
            <w:pPr>
              <w:tabs>
                <w:tab w:val="left" w:pos="-720"/>
                <w:tab w:val="left" w:pos="2142"/>
                <w:tab w:val="left" w:pos="3582"/>
              </w:tabs>
              <w:suppressAutoHyphens/>
              <w:jc w:val="both"/>
              <w:rPr>
                <w:szCs w:val="24"/>
              </w:rPr>
            </w:pPr>
            <w:r w:rsidRPr="006F6171">
              <w:rPr>
                <w:szCs w:val="24"/>
              </w:rPr>
              <w:t>Ellsworth</w:t>
            </w:r>
          </w:p>
          <w:p w14:paraId="18A7C7A9" w14:textId="77777777" w:rsidR="00F157CA" w:rsidRPr="006F6171" w:rsidRDefault="00F157CA" w:rsidP="007C03DA">
            <w:pPr>
              <w:tabs>
                <w:tab w:val="left" w:pos="-720"/>
                <w:tab w:val="left" w:pos="2142"/>
                <w:tab w:val="left" w:pos="3582"/>
              </w:tabs>
              <w:suppressAutoHyphens/>
              <w:jc w:val="both"/>
              <w:rPr>
                <w:szCs w:val="24"/>
              </w:rPr>
            </w:pPr>
            <w:r w:rsidRPr="006F6171">
              <w:rPr>
                <w:szCs w:val="24"/>
              </w:rPr>
              <w:t>Falmouth</w:t>
            </w:r>
          </w:p>
          <w:p w14:paraId="574BD5D7" w14:textId="77777777" w:rsidR="00F157CA" w:rsidRPr="006F6171" w:rsidRDefault="00F157CA" w:rsidP="007C03DA">
            <w:pPr>
              <w:tabs>
                <w:tab w:val="left" w:pos="-720"/>
                <w:tab w:val="left" w:pos="2142"/>
                <w:tab w:val="left" w:pos="3582"/>
              </w:tabs>
              <w:suppressAutoHyphens/>
              <w:jc w:val="both"/>
              <w:rPr>
                <w:szCs w:val="24"/>
              </w:rPr>
            </w:pPr>
            <w:r w:rsidRPr="006F6171">
              <w:rPr>
                <w:szCs w:val="24"/>
              </w:rPr>
              <w:t>Fort Kent</w:t>
            </w:r>
          </w:p>
          <w:p w14:paraId="23CE9DBA" w14:textId="6FD856B8" w:rsidR="00F157CA" w:rsidRPr="006F6171" w:rsidRDefault="00F157CA" w:rsidP="007C03DA">
            <w:pPr>
              <w:tabs>
                <w:tab w:val="left" w:pos="-720"/>
                <w:tab w:val="left" w:pos="2142"/>
                <w:tab w:val="left" w:pos="3582"/>
              </w:tabs>
              <w:suppressAutoHyphens/>
              <w:jc w:val="both"/>
              <w:rPr>
                <w:szCs w:val="24"/>
              </w:rPr>
            </w:pPr>
            <w:r w:rsidRPr="006F6171">
              <w:rPr>
                <w:szCs w:val="24"/>
              </w:rPr>
              <w:t>Millinocket</w:t>
            </w:r>
          </w:p>
          <w:p w14:paraId="7BD66FBC" w14:textId="26F33A7F" w:rsidR="00F157CA" w:rsidRPr="006F6171" w:rsidRDefault="00F157CA" w:rsidP="00751AC5">
            <w:pPr>
              <w:tabs>
                <w:tab w:val="left" w:pos="-720"/>
                <w:tab w:val="left" w:pos="2142"/>
                <w:tab w:val="left" w:pos="3582"/>
              </w:tabs>
              <w:suppressAutoHyphens/>
              <w:jc w:val="both"/>
              <w:rPr>
                <w:szCs w:val="24"/>
              </w:rPr>
            </w:pPr>
            <w:r w:rsidRPr="006F6171">
              <w:rPr>
                <w:szCs w:val="24"/>
              </w:rPr>
              <w:t>Gardiner</w:t>
            </w:r>
          </w:p>
        </w:tc>
        <w:tc>
          <w:tcPr>
            <w:tcW w:w="2250" w:type="dxa"/>
          </w:tcPr>
          <w:p w14:paraId="19270CEC" w14:textId="77777777" w:rsidR="00F157CA" w:rsidRPr="006F6171" w:rsidRDefault="00F157CA" w:rsidP="008F1A9E">
            <w:pPr>
              <w:tabs>
                <w:tab w:val="left" w:pos="-720"/>
              </w:tabs>
              <w:suppressAutoHyphens/>
              <w:jc w:val="both"/>
              <w:rPr>
                <w:szCs w:val="24"/>
              </w:rPr>
            </w:pPr>
            <w:r w:rsidRPr="006F6171">
              <w:rPr>
                <w:szCs w:val="24"/>
              </w:rPr>
              <w:t>Hallowell</w:t>
            </w:r>
          </w:p>
          <w:p w14:paraId="1030551D" w14:textId="77777777" w:rsidR="00F157CA" w:rsidRPr="006F6171" w:rsidRDefault="00F157CA" w:rsidP="008F1A9E">
            <w:pPr>
              <w:tabs>
                <w:tab w:val="left" w:pos="-720"/>
              </w:tabs>
              <w:suppressAutoHyphens/>
              <w:jc w:val="both"/>
              <w:rPr>
                <w:szCs w:val="24"/>
              </w:rPr>
            </w:pPr>
            <w:r w:rsidRPr="006F6171">
              <w:rPr>
                <w:szCs w:val="24"/>
              </w:rPr>
              <w:t>Houlton</w:t>
            </w:r>
          </w:p>
          <w:p w14:paraId="12C5F952" w14:textId="77777777" w:rsidR="00F157CA" w:rsidRPr="006F6171" w:rsidRDefault="00F157CA" w:rsidP="008F1A9E">
            <w:pPr>
              <w:tabs>
                <w:tab w:val="left" w:pos="-720"/>
              </w:tabs>
              <w:suppressAutoHyphens/>
              <w:jc w:val="both"/>
              <w:rPr>
                <w:szCs w:val="24"/>
              </w:rPr>
            </w:pPr>
            <w:r w:rsidRPr="006F6171">
              <w:rPr>
                <w:szCs w:val="24"/>
              </w:rPr>
              <w:t>Kittery</w:t>
            </w:r>
          </w:p>
          <w:p w14:paraId="00687363" w14:textId="77777777" w:rsidR="00F157CA" w:rsidRPr="006F6171" w:rsidRDefault="00F157CA" w:rsidP="008F1A9E">
            <w:pPr>
              <w:tabs>
                <w:tab w:val="left" w:pos="-720"/>
              </w:tabs>
              <w:suppressAutoHyphens/>
              <w:jc w:val="both"/>
              <w:rPr>
                <w:szCs w:val="24"/>
              </w:rPr>
            </w:pPr>
            <w:r w:rsidRPr="006F6171">
              <w:rPr>
                <w:szCs w:val="24"/>
              </w:rPr>
              <w:t>Limestone</w:t>
            </w:r>
          </w:p>
          <w:p w14:paraId="00F29B1E" w14:textId="790BEE4C" w:rsidR="00F157CA" w:rsidRPr="006F6171" w:rsidRDefault="00F157CA" w:rsidP="008F1A9E">
            <w:pPr>
              <w:tabs>
                <w:tab w:val="left" w:pos="-720"/>
              </w:tabs>
              <w:suppressAutoHyphens/>
              <w:jc w:val="both"/>
              <w:rPr>
                <w:szCs w:val="24"/>
              </w:rPr>
            </w:pPr>
            <w:r w:rsidRPr="006F6171">
              <w:rPr>
                <w:szCs w:val="24"/>
              </w:rPr>
              <w:t>Madawaska</w:t>
            </w:r>
          </w:p>
          <w:p w14:paraId="6A3BA95C" w14:textId="77777777" w:rsidR="00F157CA" w:rsidRPr="006F6171" w:rsidRDefault="00F157CA" w:rsidP="008F1A9E">
            <w:pPr>
              <w:tabs>
                <w:tab w:val="left" w:pos="-720"/>
              </w:tabs>
              <w:suppressAutoHyphens/>
              <w:jc w:val="both"/>
              <w:rPr>
                <w:szCs w:val="24"/>
              </w:rPr>
            </w:pPr>
            <w:r w:rsidRPr="006F6171">
              <w:rPr>
                <w:szCs w:val="24"/>
              </w:rPr>
              <w:t>Mexico</w:t>
            </w:r>
          </w:p>
          <w:p w14:paraId="1B1BD924" w14:textId="77777777" w:rsidR="00F157CA" w:rsidRPr="006F6171" w:rsidRDefault="00F157CA" w:rsidP="008F1A9E">
            <w:pPr>
              <w:tabs>
                <w:tab w:val="left" w:pos="-720"/>
              </w:tabs>
              <w:suppressAutoHyphens/>
              <w:jc w:val="both"/>
              <w:rPr>
                <w:szCs w:val="24"/>
              </w:rPr>
            </w:pPr>
            <w:r w:rsidRPr="006F6171">
              <w:rPr>
                <w:szCs w:val="24"/>
              </w:rPr>
              <w:t>Yarmouth</w:t>
            </w:r>
          </w:p>
          <w:p w14:paraId="48D0592B" w14:textId="31381906" w:rsidR="00F157CA" w:rsidRPr="006F6171" w:rsidRDefault="00F157CA" w:rsidP="008F1A9E">
            <w:pPr>
              <w:tabs>
                <w:tab w:val="left" w:pos="-720"/>
              </w:tabs>
              <w:suppressAutoHyphens/>
              <w:jc w:val="both"/>
              <w:rPr>
                <w:b/>
                <w:szCs w:val="24"/>
              </w:rPr>
            </w:pPr>
            <w:r w:rsidRPr="006F6171">
              <w:rPr>
                <w:szCs w:val="24"/>
              </w:rPr>
              <w:t>Newport</w:t>
            </w:r>
          </w:p>
        </w:tc>
        <w:tc>
          <w:tcPr>
            <w:tcW w:w="2160" w:type="dxa"/>
          </w:tcPr>
          <w:p w14:paraId="13C30CEB" w14:textId="77777777" w:rsidR="00F157CA" w:rsidRPr="006F6171" w:rsidRDefault="00F157CA" w:rsidP="008F1A9E">
            <w:pPr>
              <w:tabs>
                <w:tab w:val="left" w:pos="-720"/>
              </w:tabs>
              <w:suppressAutoHyphens/>
              <w:jc w:val="both"/>
              <w:rPr>
                <w:szCs w:val="24"/>
              </w:rPr>
            </w:pPr>
            <w:r w:rsidRPr="006F6171">
              <w:rPr>
                <w:szCs w:val="24"/>
              </w:rPr>
              <w:t>Norway</w:t>
            </w:r>
          </w:p>
          <w:p w14:paraId="0CC123DD" w14:textId="77777777" w:rsidR="00F157CA" w:rsidRPr="006F6171" w:rsidRDefault="00F157CA" w:rsidP="008F1A9E">
            <w:pPr>
              <w:tabs>
                <w:tab w:val="left" w:pos="-720"/>
              </w:tabs>
              <w:suppressAutoHyphens/>
              <w:jc w:val="both"/>
              <w:rPr>
                <w:szCs w:val="24"/>
              </w:rPr>
            </w:pPr>
            <w:r w:rsidRPr="006F6171">
              <w:rPr>
                <w:szCs w:val="24"/>
              </w:rPr>
              <w:t>Paris</w:t>
            </w:r>
          </w:p>
          <w:p w14:paraId="0D76D9C0" w14:textId="77777777" w:rsidR="00F157CA" w:rsidRPr="006F6171" w:rsidRDefault="00F157CA" w:rsidP="008F1A9E">
            <w:pPr>
              <w:tabs>
                <w:tab w:val="left" w:pos="-720"/>
              </w:tabs>
              <w:suppressAutoHyphens/>
              <w:jc w:val="both"/>
              <w:rPr>
                <w:szCs w:val="24"/>
              </w:rPr>
            </w:pPr>
            <w:r w:rsidRPr="006F6171">
              <w:rPr>
                <w:szCs w:val="24"/>
              </w:rPr>
              <w:t>Presque Isle</w:t>
            </w:r>
          </w:p>
          <w:p w14:paraId="1B74D4C2" w14:textId="77777777" w:rsidR="00F157CA" w:rsidRPr="006F6171" w:rsidRDefault="00F157CA" w:rsidP="008F1A9E">
            <w:pPr>
              <w:tabs>
                <w:tab w:val="left" w:pos="-720"/>
              </w:tabs>
              <w:suppressAutoHyphens/>
              <w:jc w:val="both"/>
              <w:rPr>
                <w:szCs w:val="24"/>
              </w:rPr>
            </w:pPr>
            <w:r w:rsidRPr="006F6171">
              <w:rPr>
                <w:szCs w:val="24"/>
              </w:rPr>
              <w:t>Rockland</w:t>
            </w:r>
          </w:p>
          <w:p w14:paraId="6838FA79" w14:textId="77777777" w:rsidR="00F157CA" w:rsidRPr="006F6171" w:rsidRDefault="00F157CA" w:rsidP="008F1A9E">
            <w:pPr>
              <w:tabs>
                <w:tab w:val="left" w:pos="-720"/>
              </w:tabs>
              <w:suppressAutoHyphens/>
              <w:jc w:val="both"/>
              <w:rPr>
                <w:szCs w:val="24"/>
              </w:rPr>
            </w:pPr>
            <w:r w:rsidRPr="006F6171">
              <w:rPr>
                <w:szCs w:val="24"/>
              </w:rPr>
              <w:t>Rockport</w:t>
            </w:r>
          </w:p>
          <w:p w14:paraId="731F7995" w14:textId="19578C4E" w:rsidR="00F157CA" w:rsidRPr="006F6171" w:rsidRDefault="00F157CA" w:rsidP="008F1A9E">
            <w:pPr>
              <w:tabs>
                <w:tab w:val="left" w:pos="-720"/>
              </w:tabs>
              <w:suppressAutoHyphens/>
              <w:jc w:val="both"/>
              <w:rPr>
                <w:szCs w:val="24"/>
              </w:rPr>
            </w:pPr>
            <w:r w:rsidRPr="006F6171">
              <w:rPr>
                <w:szCs w:val="24"/>
              </w:rPr>
              <w:t>Topsham</w:t>
            </w:r>
          </w:p>
        </w:tc>
        <w:tc>
          <w:tcPr>
            <w:tcW w:w="1530" w:type="dxa"/>
          </w:tcPr>
          <w:p w14:paraId="6C89874A" w14:textId="561EB556" w:rsidR="00F157CA" w:rsidRPr="006F6171" w:rsidRDefault="00F157CA" w:rsidP="008F1A9E">
            <w:pPr>
              <w:tabs>
                <w:tab w:val="left" w:pos="-720"/>
              </w:tabs>
              <w:suppressAutoHyphens/>
              <w:jc w:val="both"/>
              <w:rPr>
                <w:b/>
                <w:szCs w:val="24"/>
              </w:rPr>
            </w:pPr>
            <w:r w:rsidRPr="006F6171">
              <w:rPr>
                <w:b/>
                <w:szCs w:val="24"/>
              </w:rPr>
              <w:t>8 points</w:t>
            </w:r>
          </w:p>
        </w:tc>
      </w:tr>
      <w:tr w:rsidR="00F157CA" w:rsidRPr="006F6171" w14:paraId="2E66AD63" w14:textId="77777777" w:rsidTr="00F157CA">
        <w:tc>
          <w:tcPr>
            <w:tcW w:w="2430" w:type="dxa"/>
          </w:tcPr>
          <w:p w14:paraId="794C78DA" w14:textId="77777777" w:rsidR="00F157CA" w:rsidRPr="006F6171" w:rsidRDefault="00F157CA" w:rsidP="008F1A9E">
            <w:pPr>
              <w:tabs>
                <w:tab w:val="left" w:pos="-720"/>
                <w:tab w:val="left" w:pos="2142"/>
                <w:tab w:val="left" w:pos="3597"/>
              </w:tabs>
              <w:suppressAutoHyphens/>
              <w:jc w:val="both"/>
              <w:rPr>
                <w:szCs w:val="24"/>
              </w:rPr>
            </w:pPr>
            <w:r w:rsidRPr="006F6171">
              <w:rPr>
                <w:szCs w:val="24"/>
              </w:rPr>
              <w:t>Ashland</w:t>
            </w:r>
          </w:p>
          <w:p w14:paraId="731D2E42" w14:textId="77777777" w:rsidR="00F157CA" w:rsidRPr="006F6171" w:rsidRDefault="00F157CA" w:rsidP="008F1A9E">
            <w:pPr>
              <w:tabs>
                <w:tab w:val="left" w:pos="-720"/>
                <w:tab w:val="left" w:pos="2142"/>
                <w:tab w:val="left" w:pos="3597"/>
              </w:tabs>
              <w:suppressAutoHyphens/>
              <w:jc w:val="both"/>
              <w:rPr>
                <w:szCs w:val="24"/>
              </w:rPr>
            </w:pPr>
            <w:r w:rsidRPr="006F6171">
              <w:rPr>
                <w:szCs w:val="24"/>
              </w:rPr>
              <w:t>Bethel</w:t>
            </w:r>
          </w:p>
          <w:p w14:paraId="639604AC" w14:textId="77777777" w:rsidR="00F157CA" w:rsidRPr="006F6171" w:rsidRDefault="00F157CA" w:rsidP="008F1A9E">
            <w:pPr>
              <w:tabs>
                <w:tab w:val="left" w:pos="-720"/>
                <w:tab w:val="left" w:pos="2142"/>
                <w:tab w:val="left" w:pos="3597"/>
              </w:tabs>
              <w:suppressAutoHyphens/>
              <w:jc w:val="both"/>
              <w:rPr>
                <w:szCs w:val="24"/>
              </w:rPr>
            </w:pPr>
            <w:r w:rsidRPr="006F6171">
              <w:rPr>
                <w:szCs w:val="24"/>
              </w:rPr>
              <w:t>Lincoln</w:t>
            </w:r>
          </w:p>
          <w:p w14:paraId="65D200F6" w14:textId="77777777" w:rsidR="00F157CA" w:rsidRPr="006F6171" w:rsidRDefault="00F157CA" w:rsidP="008F1A9E">
            <w:pPr>
              <w:tabs>
                <w:tab w:val="left" w:pos="-720"/>
                <w:tab w:val="left" w:pos="2142"/>
                <w:tab w:val="left" w:pos="3597"/>
              </w:tabs>
              <w:suppressAutoHyphens/>
              <w:jc w:val="both"/>
              <w:rPr>
                <w:szCs w:val="24"/>
              </w:rPr>
            </w:pPr>
            <w:r w:rsidRPr="006F6171">
              <w:rPr>
                <w:szCs w:val="24"/>
              </w:rPr>
              <w:t>Bridgton</w:t>
            </w:r>
          </w:p>
          <w:p w14:paraId="4853E6A7" w14:textId="77777777" w:rsidR="00F157CA" w:rsidRPr="006F6171" w:rsidRDefault="00F157CA" w:rsidP="008F1A9E">
            <w:pPr>
              <w:tabs>
                <w:tab w:val="left" w:pos="-720"/>
                <w:tab w:val="left" w:pos="2142"/>
                <w:tab w:val="left" w:pos="3597"/>
              </w:tabs>
              <w:suppressAutoHyphens/>
              <w:jc w:val="both"/>
              <w:rPr>
                <w:szCs w:val="24"/>
              </w:rPr>
            </w:pPr>
            <w:r w:rsidRPr="006F6171">
              <w:rPr>
                <w:szCs w:val="24"/>
              </w:rPr>
              <w:t>Calais</w:t>
            </w:r>
          </w:p>
          <w:p w14:paraId="65E161C4" w14:textId="77777777" w:rsidR="00F157CA" w:rsidRPr="006F6171" w:rsidRDefault="00F157CA" w:rsidP="008F1A9E">
            <w:pPr>
              <w:tabs>
                <w:tab w:val="left" w:pos="-720"/>
                <w:tab w:val="left" w:pos="2142"/>
                <w:tab w:val="left" w:pos="3597"/>
              </w:tabs>
              <w:suppressAutoHyphens/>
              <w:jc w:val="both"/>
              <w:rPr>
                <w:szCs w:val="24"/>
              </w:rPr>
            </w:pPr>
            <w:r w:rsidRPr="006F6171">
              <w:rPr>
                <w:szCs w:val="24"/>
              </w:rPr>
              <w:t>Columbia Falls</w:t>
            </w:r>
          </w:p>
          <w:p w14:paraId="6CBFA836" w14:textId="77777777" w:rsidR="00F157CA" w:rsidRPr="006F6171" w:rsidRDefault="00F157CA" w:rsidP="008F1A9E">
            <w:pPr>
              <w:tabs>
                <w:tab w:val="left" w:pos="-720"/>
                <w:tab w:val="left" w:pos="2142"/>
                <w:tab w:val="left" w:pos="3597"/>
              </w:tabs>
              <w:suppressAutoHyphens/>
              <w:jc w:val="both"/>
              <w:rPr>
                <w:szCs w:val="24"/>
              </w:rPr>
            </w:pPr>
            <w:r w:rsidRPr="006F6171">
              <w:rPr>
                <w:szCs w:val="24"/>
              </w:rPr>
              <w:t>Cornish</w:t>
            </w:r>
          </w:p>
          <w:p w14:paraId="5B57990D" w14:textId="131F0BEC" w:rsidR="00F157CA" w:rsidRPr="006F6171" w:rsidRDefault="00F157CA" w:rsidP="00F157CA">
            <w:pPr>
              <w:tabs>
                <w:tab w:val="left" w:pos="-720"/>
                <w:tab w:val="left" w:pos="2142"/>
                <w:tab w:val="left" w:pos="3597"/>
              </w:tabs>
              <w:suppressAutoHyphens/>
              <w:jc w:val="both"/>
              <w:rPr>
                <w:szCs w:val="24"/>
              </w:rPr>
            </w:pPr>
            <w:r w:rsidRPr="006F6171">
              <w:rPr>
                <w:szCs w:val="24"/>
              </w:rPr>
              <w:t>Damariscotta</w:t>
            </w:r>
          </w:p>
        </w:tc>
        <w:tc>
          <w:tcPr>
            <w:tcW w:w="2250" w:type="dxa"/>
          </w:tcPr>
          <w:p w14:paraId="1F536C21" w14:textId="0192CCDC" w:rsidR="00F157CA" w:rsidRPr="006F6171" w:rsidRDefault="00F157CA" w:rsidP="008F1A9E">
            <w:pPr>
              <w:tabs>
                <w:tab w:val="left" w:pos="-720"/>
              </w:tabs>
              <w:suppressAutoHyphens/>
              <w:jc w:val="both"/>
              <w:rPr>
                <w:b/>
                <w:szCs w:val="24"/>
              </w:rPr>
            </w:pPr>
            <w:r w:rsidRPr="006F6171">
              <w:rPr>
                <w:szCs w:val="24"/>
              </w:rPr>
              <w:t>Danforth</w:t>
            </w:r>
          </w:p>
          <w:p w14:paraId="3DDBC4AC" w14:textId="10B588F2" w:rsidR="00F157CA" w:rsidRPr="006F6171" w:rsidRDefault="00F157CA" w:rsidP="008F1A9E">
            <w:pPr>
              <w:tabs>
                <w:tab w:val="left" w:pos="-720"/>
              </w:tabs>
              <w:suppressAutoHyphens/>
              <w:jc w:val="both"/>
              <w:rPr>
                <w:szCs w:val="24"/>
              </w:rPr>
            </w:pPr>
            <w:r w:rsidRPr="006F6171">
              <w:rPr>
                <w:szCs w:val="24"/>
              </w:rPr>
              <w:t>Dover-Foxcroft</w:t>
            </w:r>
          </w:p>
          <w:p w14:paraId="7FDB39A4" w14:textId="77777777" w:rsidR="00F157CA" w:rsidRPr="006F6171" w:rsidRDefault="00F157CA" w:rsidP="008F1A9E">
            <w:pPr>
              <w:tabs>
                <w:tab w:val="left" w:pos="-720"/>
              </w:tabs>
              <w:suppressAutoHyphens/>
              <w:jc w:val="both"/>
              <w:rPr>
                <w:szCs w:val="24"/>
              </w:rPr>
            </w:pPr>
            <w:r w:rsidRPr="006F6171">
              <w:rPr>
                <w:szCs w:val="24"/>
              </w:rPr>
              <w:t>Greenville</w:t>
            </w:r>
          </w:p>
          <w:p w14:paraId="51A86613" w14:textId="77777777" w:rsidR="00F157CA" w:rsidRPr="006F6171" w:rsidRDefault="00F157CA" w:rsidP="008F1A9E">
            <w:pPr>
              <w:tabs>
                <w:tab w:val="left" w:pos="-720"/>
              </w:tabs>
              <w:suppressAutoHyphens/>
              <w:jc w:val="both"/>
              <w:rPr>
                <w:szCs w:val="24"/>
              </w:rPr>
            </w:pPr>
            <w:r w:rsidRPr="006F6171">
              <w:rPr>
                <w:szCs w:val="24"/>
              </w:rPr>
              <w:t>Machias</w:t>
            </w:r>
          </w:p>
          <w:p w14:paraId="35321EBD" w14:textId="358691E0" w:rsidR="00F157CA" w:rsidRPr="006F6171" w:rsidRDefault="00F157CA" w:rsidP="008F1A9E">
            <w:pPr>
              <w:tabs>
                <w:tab w:val="left" w:pos="-720"/>
              </w:tabs>
              <w:suppressAutoHyphens/>
              <w:jc w:val="both"/>
              <w:rPr>
                <w:szCs w:val="24"/>
              </w:rPr>
            </w:pPr>
            <w:r w:rsidRPr="006F6171">
              <w:rPr>
                <w:szCs w:val="24"/>
              </w:rPr>
              <w:t>Oxford</w:t>
            </w:r>
          </w:p>
          <w:p w14:paraId="582532E9" w14:textId="77777777" w:rsidR="00F157CA" w:rsidRPr="006F6171" w:rsidRDefault="00F157CA" w:rsidP="008F1A9E">
            <w:pPr>
              <w:tabs>
                <w:tab w:val="left" w:pos="-720"/>
              </w:tabs>
              <w:suppressAutoHyphens/>
              <w:jc w:val="both"/>
              <w:rPr>
                <w:szCs w:val="24"/>
              </w:rPr>
            </w:pPr>
            <w:r w:rsidRPr="006F6171">
              <w:rPr>
                <w:szCs w:val="24"/>
              </w:rPr>
              <w:t>Patten</w:t>
            </w:r>
          </w:p>
          <w:p w14:paraId="7F5DB06C" w14:textId="77777777" w:rsidR="00F157CA" w:rsidRPr="006F6171" w:rsidRDefault="00F157CA" w:rsidP="008F1A9E">
            <w:pPr>
              <w:tabs>
                <w:tab w:val="left" w:pos="-720"/>
              </w:tabs>
              <w:suppressAutoHyphens/>
              <w:jc w:val="both"/>
              <w:rPr>
                <w:szCs w:val="24"/>
              </w:rPr>
            </w:pPr>
            <w:r w:rsidRPr="006F6171">
              <w:rPr>
                <w:szCs w:val="24"/>
              </w:rPr>
              <w:t>Rangeley</w:t>
            </w:r>
          </w:p>
          <w:p w14:paraId="31BBC9FB" w14:textId="0C4CF2C4" w:rsidR="00F157CA" w:rsidRPr="006F6171" w:rsidRDefault="00F157CA" w:rsidP="008F1A9E">
            <w:pPr>
              <w:tabs>
                <w:tab w:val="left" w:pos="-720"/>
              </w:tabs>
              <w:suppressAutoHyphens/>
              <w:jc w:val="both"/>
              <w:rPr>
                <w:b/>
                <w:szCs w:val="24"/>
              </w:rPr>
            </w:pPr>
            <w:r w:rsidRPr="006F6171">
              <w:rPr>
                <w:szCs w:val="24"/>
              </w:rPr>
              <w:t>Southwest Harbor</w:t>
            </w:r>
          </w:p>
        </w:tc>
        <w:tc>
          <w:tcPr>
            <w:tcW w:w="2160" w:type="dxa"/>
          </w:tcPr>
          <w:p w14:paraId="10101DBC" w14:textId="77777777" w:rsidR="00F157CA" w:rsidRPr="006F6171" w:rsidRDefault="00F157CA" w:rsidP="008F1A9E">
            <w:pPr>
              <w:tabs>
                <w:tab w:val="left" w:pos="-720"/>
              </w:tabs>
              <w:suppressAutoHyphens/>
              <w:jc w:val="both"/>
              <w:rPr>
                <w:szCs w:val="24"/>
              </w:rPr>
            </w:pPr>
            <w:r w:rsidRPr="006F6171">
              <w:rPr>
                <w:szCs w:val="24"/>
              </w:rPr>
              <w:t>Stonington</w:t>
            </w:r>
          </w:p>
          <w:p w14:paraId="2E94C099" w14:textId="77777777" w:rsidR="00F157CA" w:rsidRPr="006F6171" w:rsidRDefault="00F157CA" w:rsidP="008F1A9E">
            <w:pPr>
              <w:tabs>
                <w:tab w:val="left" w:pos="-720"/>
              </w:tabs>
              <w:suppressAutoHyphens/>
              <w:jc w:val="both"/>
              <w:rPr>
                <w:szCs w:val="24"/>
              </w:rPr>
            </w:pPr>
            <w:r w:rsidRPr="006F6171">
              <w:rPr>
                <w:szCs w:val="24"/>
              </w:rPr>
              <w:t>Thomaston</w:t>
            </w:r>
          </w:p>
          <w:p w14:paraId="5C9F1115" w14:textId="77777777" w:rsidR="00F157CA" w:rsidRPr="006F6171" w:rsidRDefault="00F157CA" w:rsidP="008F1A9E">
            <w:pPr>
              <w:tabs>
                <w:tab w:val="left" w:pos="-720"/>
              </w:tabs>
              <w:suppressAutoHyphens/>
              <w:jc w:val="both"/>
              <w:rPr>
                <w:szCs w:val="24"/>
              </w:rPr>
            </w:pPr>
            <w:r w:rsidRPr="006F6171">
              <w:rPr>
                <w:szCs w:val="24"/>
              </w:rPr>
              <w:t>Van Buren</w:t>
            </w:r>
          </w:p>
          <w:p w14:paraId="2E38AC84" w14:textId="77777777" w:rsidR="00F157CA" w:rsidRPr="006F6171" w:rsidRDefault="00F157CA" w:rsidP="008F1A9E">
            <w:pPr>
              <w:tabs>
                <w:tab w:val="left" w:pos="-720"/>
              </w:tabs>
              <w:suppressAutoHyphens/>
              <w:jc w:val="both"/>
              <w:rPr>
                <w:szCs w:val="24"/>
              </w:rPr>
            </w:pPr>
            <w:r w:rsidRPr="006F6171">
              <w:rPr>
                <w:szCs w:val="24"/>
              </w:rPr>
              <w:t>Winter Harbor</w:t>
            </w:r>
          </w:p>
          <w:p w14:paraId="1BCE3B13" w14:textId="6BC43D6B" w:rsidR="00F157CA" w:rsidRPr="006F6171" w:rsidRDefault="00F157CA" w:rsidP="008F1A9E">
            <w:pPr>
              <w:tabs>
                <w:tab w:val="left" w:pos="-720"/>
              </w:tabs>
              <w:suppressAutoHyphens/>
              <w:jc w:val="both"/>
              <w:rPr>
                <w:b/>
                <w:szCs w:val="24"/>
              </w:rPr>
            </w:pPr>
            <w:r w:rsidRPr="006F6171">
              <w:rPr>
                <w:szCs w:val="24"/>
              </w:rPr>
              <w:t>Wiscasset</w:t>
            </w:r>
          </w:p>
        </w:tc>
        <w:tc>
          <w:tcPr>
            <w:tcW w:w="1530" w:type="dxa"/>
          </w:tcPr>
          <w:p w14:paraId="4A976E13" w14:textId="19884510" w:rsidR="00F157CA" w:rsidRPr="006F6171" w:rsidRDefault="00F157CA" w:rsidP="008F1A9E">
            <w:pPr>
              <w:tabs>
                <w:tab w:val="left" w:pos="-720"/>
              </w:tabs>
              <w:suppressAutoHyphens/>
              <w:jc w:val="both"/>
              <w:rPr>
                <w:b/>
                <w:szCs w:val="24"/>
              </w:rPr>
            </w:pPr>
            <w:r w:rsidRPr="006F6171">
              <w:rPr>
                <w:b/>
                <w:szCs w:val="24"/>
              </w:rPr>
              <w:t>4 points</w:t>
            </w:r>
          </w:p>
        </w:tc>
      </w:tr>
    </w:tbl>
    <w:p w14:paraId="34168AAE" w14:textId="77777777" w:rsidR="00850022" w:rsidRPr="006F6171" w:rsidRDefault="00850022" w:rsidP="00C6732B">
      <w:pPr>
        <w:tabs>
          <w:tab w:val="left" w:pos="-720"/>
        </w:tabs>
        <w:suppressAutoHyphens/>
        <w:ind w:left="1080" w:hanging="360"/>
        <w:jc w:val="both"/>
        <w:rPr>
          <w:szCs w:val="24"/>
        </w:rPr>
      </w:pPr>
    </w:p>
    <w:p w14:paraId="5FD2F546" w14:textId="35AB9592" w:rsidR="00995E15" w:rsidRPr="006F6171" w:rsidRDefault="004B3A50" w:rsidP="00A8328C">
      <w:pPr>
        <w:pStyle w:val="ListParagraph"/>
        <w:numPr>
          <w:ilvl w:val="3"/>
          <w:numId w:val="1"/>
        </w:numPr>
        <w:tabs>
          <w:tab w:val="clear" w:pos="2880"/>
          <w:tab w:val="left" w:pos="-720"/>
          <w:tab w:val="num" w:pos="1080"/>
        </w:tabs>
        <w:suppressAutoHyphens/>
        <w:ind w:left="720" w:right="720" w:firstLine="0"/>
        <w:jc w:val="both"/>
        <w:rPr>
          <w:szCs w:val="24"/>
        </w:rPr>
      </w:pPr>
      <w:r w:rsidRPr="006F6171">
        <w:rPr>
          <w:szCs w:val="24"/>
        </w:rPr>
        <w:t xml:space="preserve">Projects located on Native American tribal lands will be awarded </w:t>
      </w:r>
      <w:r w:rsidR="002133E7" w:rsidRPr="006F6171">
        <w:rPr>
          <w:b/>
          <w:szCs w:val="24"/>
        </w:rPr>
        <w:t>8</w:t>
      </w:r>
      <w:r w:rsidRPr="006F6171">
        <w:rPr>
          <w:b/>
          <w:szCs w:val="24"/>
        </w:rPr>
        <w:t xml:space="preserve"> points</w:t>
      </w:r>
      <w:r w:rsidRPr="006F6171">
        <w:rPr>
          <w:szCs w:val="24"/>
        </w:rPr>
        <w:t>.</w:t>
      </w:r>
    </w:p>
    <w:p w14:paraId="3B1863E2" w14:textId="77777777" w:rsidR="00A573D5" w:rsidRPr="006F6171" w:rsidRDefault="00A573D5" w:rsidP="00A573D5">
      <w:pPr>
        <w:tabs>
          <w:tab w:val="left" w:pos="-720"/>
        </w:tabs>
        <w:suppressAutoHyphens/>
        <w:ind w:right="720"/>
        <w:jc w:val="both"/>
        <w:rPr>
          <w:szCs w:val="24"/>
        </w:rPr>
      </w:pPr>
    </w:p>
    <w:p w14:paraId="31BCACB2" w14:textId="77777777" w:rsidR="00A573D5" w:rsidRPr="006F6171" w:rsidRDefault="00DD1B28" w:rsidP="00A573D5">
      <w:pPr>
        <w:tabs>
          <w:tab w:val="left" w:pos="-720"/>
        </w:tabs>
        <w:suppressAutoHyphens/>
        <w:ind w:left="720" w:right="720"/>
        <w:jc w:val="both"/>
        <w:rPr>
          <w:szCs w:val="24"/>
        </w:rPr>
      </w:pPr>
      <w:r w:rsidRPr="006F6171">
        <w:rPr>
          <w:szCs w:val="24"/>
        </w:rPr>
        <w:t xml:space="preserve">For </w:t>
      </w:r>
      <w:r w:rsidR="00C825C1" w:rsidRPr="006F6171">
        <w:rPr>
          <w:szCs w:val="24"/>
        </w:rPr>
        <w:t>each</w:t>
      </w:r>
      <w:r w:rsidRPr="006F6171">
        <w:rPr>
          <w:szCs w:val="24"/>
        </w:rPr>
        <w:t xml:space="preserve"> QAP</w:t>
      </w:r>
      <w:r w:rsidR="00C825C1" w:rsidRPr="006F6171">
        <w:rPr>
          <w:szCs w:val="24"/>
        </w:rPr>
        <w:t xml:space="preserve"> round</w:t>
      </w:r>
      <w:r w:rsidRPr="006F6171">
        <w:rPr>
          <w:szCs w:val="24"/>
        </w:rPr>
        <w:t>, m</w:t>
      </w:r>
      <w:r w:rsidR="00A573D5" w:rsidRPr="006F6171">
        <w:rPr>
          <w:szCs w:val="24"/>
        </w:rPr>
        <w:t xml:space="preserve">unicipalities </w:t>
      </w:r>
      <w:r w:rsidRPr="006F6171">
        <w:rPr>
          <w:szCs w:val="24"/>
        </w:rPr>
        <w:t xml:space="preserve">receive their Housing Need score from the </w:t>
      </w:r>
      <w:r w:rsidR="00C825C1" w:rsidRPr="006F6171">
        <w:rPr>
          <w:szCs w:val="24"/>
        </w:rPr>
        <w:t>immediately preceding</w:t>
      </w:r>
      <w:r w:rsidRPr="006F6171">
        <w:rPr>
          <w:szCs w:val="24"/>
        </w:rPr>
        <w:t xml:space="preserve"> QAP if that score was </w:t>
      </w:r>
      <w:r w:rsidR="00C825C1" w:rsidRPr="006F6171">
        <w:rPr>
          <w:szCs w:val="24"/>
        </w:rPr>
        <w:t>higher</w:t>
      </w:r>
      <w:r w:rsidRPr="006F6171">
        <w:rPr>
          <w:szCs w:val="24"/>
        </w:rPr>
        <w:t xml:space="preserve">.  </w:t>
      </w:r>
    </w:p>
    <w:p w14:paraId="2E39E91B" w14:textId="77777777" w:rsidR="00995E15" w:rsidRPr="006F6171" w:rsidRDefault="00BB3D09" w:rsidP="00237C22">
      <w:pPr>
        <w:jc w:val="both"/>
        <w:rPr>
          <w:b/>
          <w:szCs w:val="24"/>
        </w:rPr>
      </w:pPr>
      <w:r w:rsidRPr="006F6171">
        <w:rPr>
          <w:szCs w:val="24"/>
        </w:rPr>
        <w:t xml:space="preserve"> </w:t>
      </w:r>
    </w:p>
    <w:p w14:paraId="7EB06C60" w14:textId="1295CC99" w:rsidR="006360A9" w:rsidRPr="006F6171" w:rsidRDefault="00995E15" w:rsidP="00A8328C">
      <w:pPr>
        <w:pStyle w:val="ListParagraph"/>
        <w:numPr>
          <w:ilvl w:val="0"/>
          <w:numId w:val="8"/>
        </w:numPr>
        <w:tabs>
          <w:tab w:val="right" w:pos="9360"/>
        </w:tabs>
        <w:ind w:hanging="720"/>
        <w:jc w:val="both"/>
        <w:rPr>
          <w:szCs w:val="24"/>
        </w:rPr>
      </w:pPr>
      <w:r w:rsidRPr="006F6171">
        <w:t>Community Revitalization</w:t>
      </w:r>
      <w:r w:rsidRPr="006F6171">
        <w:rPr>
          <w:szCs w:val="24"/>
        </w:rPr>
        <w:t xml:space="preserve">. </w:t>
      </w:r>
      <w:r w:rsidR="00450928" w:rsidRPr="006F6171">
        <w:rPr>
          <w:szCs w:val="24"/>
        </w:rPr>
        <w:tab/>
      </w:r>
      <w:r w:rsidR="00DB18E9" w:rsidRPr="006F6171">
        <w:rPr>
          <w:szCs w:val="24"/>
        </w:rPr>
        <w:t xml:space="preserve">   </w:t>
      </w:r>
      <w:r w:rsidR="00AA1E4E" w:rsidRPr="006F6171">
        <w:rPr>
          <w:b/>
          <w:szCs w:val="24"/>
        </w:rPr>
        <w:t xml:space="preserve">Up to </w:t>
      </w:r>
      <w:r w:rsidR="002133E7" w:rsidRPr="006F6171">
        <w:rPr>
          <w:b/>
          <w:szCs w:val="24"/>
        </w:rPr>
        <w:t>5</w:t>
      </w:r>
      <w:r w:rsidR="00AA1E4E" w:rsidRPr="006F6171">
        <w:rPr>
          <w:b/>
          <w:szCs w:val="24"/>
        </w:rPr>
        <w:t xml:space="preserve"> points</w:t>
      </w:r>
      <w:r w:rsidRPr="006F6171">
        <w:rPr>
          <w:szCs w:val="24"/>
        </w:rPr>
        <w:t xml:space="preserve"> </w:t>
      </w:r>
      <w:r w:rsidR="00AA1E4E" w:rsidRPr="006F6171">
        <w:rPr>
          <w:szCs w:val="24"/>
        </w:rPr>
        <w:br/>
      </w:r>
    </w:p>
    <w:p w14:paraId="513A8839" w14:textId="77777777" w:rsidR="00AE7278" w:rsidRPr="006F6171" w:rsidRDefault="00CE203E" w:rsidP="008416BF">
      <w:pPr>
        <w:tabs>
          <w:tab w:val="left" w:pos="-720"/>
        </w:tabs>
        <w:suppressAutoHyphens/>
        <w:ind w:left="720"/>
        <w:jc w:val="both"/>
        <w:rPr>
          <w:szCs w:val="24"/>
        </w:rPr>
      </w:pPr>
      <w:r w:rsidRPr="006F6171">
        <w:rPr>
          <w:b/>
          <w:szCs w:val="24"/>
        </w:rPr>
        <w:t>Two (2) points</w:t>
      </w:r>
      <w:r w:rsidRPr="006F6171">
        <w:rPr>
          <w:szCs w:val="24"/>
        </w:rPr>
        <w:t xml:space="preserve"> if t</w:t>
      </w:r>
      <w:r w:rsidR="00F04512" w:rsidRPr="006F6171">
        <w:rPr>
          <w:szCs w:val="24"/>
        </w:rPr>
        <w:t>he</w:t>
      </w:r>
      <w:r w:rsidR="004B4167" w:rsidRPr="006F6171">
        <w:rPr>
          <w:szCs w:val="24"/>
        </w:rPr>
        <w:t xml:space="preserve"> Project</w:t>
      </w:r>
      <w:r w:rsidR="00AE7278" w:rsidRPr="006F6171">
        <w:rPr>
          <w:szCs w:val="24"/>
        </w:rPr>
        <w:t xml:space="preserve"> </w:t>
      </w:r>
      <w:r w:rsidR="004B4167" w:rsidRPr="006F6171">
        <w:rPr>
          <w:szCs w:val="24"/>
        </w:rPr>
        <w:t xml:space="preserve">is located within the boundaries of </w:t>
      </w:r>
      <w:r w:rsidR="00E00DC5" w:rsidRPr="006F6171">
        <w:rPr>
          <w:szCs w:val="24"/>
        </w:rPr>
        <w:t>and</w:t>
      </w:r>
      <w:r w:rsidR="00AE7278" w:rsidRPr="006F6171">
        <w:rPr>
          <w:szCs w:val="24"/>
        </w:rPr>
        <w:t xml:space="preserve"> </w:t>
      </w:r>
      <w:r w:rsidR="00F04512" w:rsidRPr="006F6171">
        <w:rPr>
          <w:szCs w:val="24"/>
        </w:rPr>
        <w:t xml:space="preserve">contributes </w:t>
      </w:r>
      <w:r w:rsidR="00E00DC5" w:rsidRPr="006F6171">
        <w:rPr>
          <w:szCs w:val="24"/>
        </w:rPr>
        <w:t>to the revitalization goals and efforts identified</w:t>
      </w:r>
      <w:r w:rsidR="004B4167" w:rsidRPr="006F6171">
        <w:rPr>
          <w:szCs w:val="24"/>
        </w:rPr>
        <w:t xml:space="preserve"> in</w:t>
      </w:r>
      <w:r w:rsidR="00AE7278" w:rsidRPr="006F6171">
        <w:rPr>
          <w:szCs w:val="24"/>
        </w:rPr>
        <w:t xml:space="preserve"> </w:t>
      </w:r>
      <w:r w:rsidR="00DA5914" w:rsidRPr="006F6171">
        <w:rPr>
          <w:szCs w:val="24"/>
        </w:rPr>
        <w:t xml:space="preserve">a </w:t>
      </w:r>
      <w:r w:rsidR="00771DAD" w:rsidRPr="006F6171">
        <w:rPr>
          <w:szCs w:val="24"/>
        </w:rPr>
        <w:t>Community Revitalization Plan</w:t>
      </w:r>
      <w:r w:rsidR="00E00DC5" w:rsidRPr="006F6171">
        <w:rPr>
          <w:szCs w:val="24"/>
        </w:rPr>
        <w:t>.</w:t>
      </w:r>
      <w:r w:rsidR="00DB18E9" w:rsidRPr="006F6171">
        <w:rPr>
          <w:szCs w:val="24"/>
        </w:rPr>
        <w:t xml:space="preserve">  </w:t>
      </w:r>
    </w:p>
    <w:p w14:paraId="4D88DB88" w14:textId="770F7AF5" w:rsidR="00995E15" w:rsidRPr="006F6171" w:rsidRDefault="00995E15" w:rsidP="008416BF">
      <w:pPr>
        <w:tabs>
          <w:tab w:val="left" w:pos="-720"/>
        </w:tabs>
        <w:suppressAutoHyphens/>
        <w:ind w:left="720"/>
        <w:jc w:val="both"/>
        <w:rPr>
          <w:szCs w:val="24"/>
        </w:rPr>
      </w:pPr>
    </w:p>
    <w:p w14:paraId="27ECFB1F" w14:textId="4336C69C" w:rsidR="002133E7" w:rsidRPr="006F6171" w:rsidRDefault="002133E7" w:rsidP="008416BF">
      <w:pPr>
        <w:tabs>
          <w:tab w:val="left" w:pos="-720"/>
        </w:tabs>
        <w:suppressAutoHyphens/>
        <w:ind w:left="720"/>
        <w:jc w:val="both"/>
        <w:rPr>
          <w:szCs w:val="24"/>
        </w:rPr>
      </w:pPr>
      <w:r w:rsidRPr="006F6171">
        <w:rPr>
          <w:b/>
          <w:szCs w:val="24"/>
        </w:rPr>
        <w:t>Two (2) points</w:t>
      </w:r>
      <w:r w:rsidRPr="006F6171">
        <w:rPr>
          <w:szCs w:val="24"/>
        </w:rPr>
        <w:t xml:space="preserve"> if the Project is located in a QCT and at least 20% of the units are market rate.</w:t>
      </w:r>
    </w:p>
    <w:p w14:paraId="276E3939" w14:textId="77777777" w:rsidR="002133E7" w:rsidRPr="006F6171" w:rsidRDefault="002133E7" w:rsidP="008416BF">
      <w:pPr>
        <w:tabs>
          <w:tab w:val="left" w:pos="-720"/>
        </w:tabs>
        <w:suppressAutoHyphens/>
        <w:ind w:left="720"/>
        <w:jc w:val="both"/>
        <w:rPr>
          <w:szCs w:val="24"/>
        </w:rPr>
      </w:pPr>
    </w:p>
    <w:p w14:paraId="165ACEAB" w14:textId="2295EBD7" w:rsidR="00B718F3" w:rsidRPr="006F6171" w:rsidRDefault="004B4167" w:rsidP="002603D4">
      <w:pPr>
        <w:tabs>
          <w:tab w:val="left" w:pos="-720"/>
        </w:tabs>
        <w:suppressAutoHyphens/>
        <w:ind w:left="720"/>
        <w:jc w:val="both"/>
        <w:rPr>
          <w:szCs w:val="24"/>
        </w:rPr>
      </w:pPr>
      <w:r w:rsidRPr="006F6171">
        <w:rPr>
          <w:b/>
          <w:szCs w:val="24"/>
        </w:rPr>
        <w:t>One (1) extra point</w:t>
      </w:r>
      <w:r w:rsidRPr="006F6171">
        <w:rPr>
          <w:szCs w:val="24"/>
        </w:rPr>
        <w:t xml:space="preserve"> if the Project also involves the preservation of existing</w:t>
      </w:r>
      <w:r w:rsidR="0085777A" w:rsidRPr="006F6171">
        <w:rPr>
          <w:szCs w:val="24"/>
        </w:rPr>
        <w:t xml:space="preserve"> Affordable Housing</w:t>
      </w:r>
      <w:r w:rsidR="002133E7" w:rsidRPr="006F6171">
        <w:rPr>
          <w:szCs w:val="24"/>
        </w:rPr>
        <w:t>.</w:t>
      </w:r>
      <w:r w:rsidR="0085777A" w:rsidRPr="006F6171">
        <w:rPr>
          <w:szCs w:val="24"/>
        </w:rPr>
        <w:t xml:space="preserve"> </w:t>
      </w:r>
    </w:p>
    <w:p w14:paraId="74A942E3" w14:textId="77777777" w:rsidR="00F82A1D" w:rsidRPr="006F6171" w:rsidRDefault="00F82A1D" w:rsidP="00A8328C">
      <w:pPr>
        <w:pStyle w:val="ListParagraph"/>
        <w:numPr>
          <w:ilvl w:val="0"/>
          <w:numId w:val="8"/>
        </w:numPr>
        <w:tabs>
          <w:tab w:val="left" w:pos="-720"/>
        </w:tabs>
        <w:suppressAutoHyphens/>
        <w:ind w:hanging="720"/>
        <w:jc w:val="both"/>
        <w:rPr>
          <w:szCs w:val="24"/>
        </w:rPr>
      </w:pPr>
      <w:r w:rsidRPr="006F6171">
        <w:rPr>
          <w:szCs w:val="24"/>
        </w:rPr>
        <w:lastRenderedPageBreak/>
        <w:t>Smart Growth.</w:t>
      </w:r>
      <w:r w:rsidRPr="006F6171">
        <w:rPr>
          <w:szCs w:val="24"/>
        </w:rPr>
        <w:tab/>
      </w:r>
      <w:r w:rsidRPr="006F6171">
        <w:rPr>
          <w:szCs w:val="24"/>
        </w:rPr>
        <w:tab/>
      </w:r>
      <w:r w:rsidRPr="006F6171">
        <w:rPr>
          <w:szCs w:val="24"/>
        </w:rPr>
        <w:tab/>
      </w:r>
      <w:r w:rsidRPr="006F6171">
        <w:rPr>
          <w:szCs w:val="24"/>
        </w:rPr>
        <w:tab/>
      </w:r>
      <w:r w:rsidRPr="006F6171">
        <w:rPr>
          <w:szCs w:val="24"/>
        </w:rPr>
        <w:tab/>
      </w:r>
      <w:r w:rsidRPr="006F6171">
        <w:rPr>
          <w:szCs w:val="24"/>
        </w:rPr>
        <w:tab/>
      </w:r>
      <w:r w:rsidRPr="006F6171">
        <w:rPr>
          <w:szCs w:val="24"/>
        </w:rPr>
        <w:tab/>
      </w:r>
      <w:r w:rsidRPr="006F6171">
        <w:rPr>
          <w:szCs w:val="24"/>
        </w:rPr>
        <w:tab/>
        <w:t xml:space="preserve">        </w:t>
      </w:r>
      <w:r w:rsidRPr="006F6171">
        <w:rPr>
          <w:b/>
          <w:szCs w:val="24"/>
        </w:rPr>
        <w:t>Up to 15 points</w:t>
      </w:r>
    </w:p>
    <w:p w14:paraId="1C77E2CC" w14:textId="77777777" w:rsidR="00C825C1" w:rsidRPr="006F6171" w:rsidRDefault="00C825C1" w:rsidP="00C825C1">
      <w:pPr>
        <w:pStyle w:val="ListParagraph"/>
        <w:tabs>
          <w:tab w:val="left" w:pos="-720"/>
        </w:tabs>
        <w:suppressAutoHyphens/>
        <w:jc w:val="both"/>
        <w:rPr>
          <w:szCs w:val="24"/>
        </w:rPr>
      </w:pPr>
    </w:p>
    <w:tbl>
      <w:tblPr>
        <w:tblStyle w:val="TableGrid"/>
        <w:tblW w:w="8550" w:type="dxa"/>
        <w:tblInd w:w="715" w:type="dxa"/>
        <w:tblLook w:val="04A0" w:firstRow="1" w:lastRow="0" w:firstColumn="1" w:lastColumn="0" w:noHBand="0" w:noVBand="1"/>
      </w:tblPr>
      <w:tblGrid>
        <w:gridCol w:w="7020"/>
        <w:gridCol w:w="1530"/>
      </w:tblGrid>
      <w:tr w:rsidR="00C02026" w:rsidRPr="006F6171" w14:paraId="31CDAB67" w14:textId="77777777" w:rsidTr="00821E7D">
        <w:trPr>
          <w:trHeight w:val="282"/>
        </w:trPr>
        <w:tc>
          <w:tcPr>
            <w:tcW w:w="7020" w:type="dxa"/>
          </w:tcPr>
          <w:p w14:paraId="3E4467FA" w14:textId="77777777" w:rsidR="00C02026" w:rsidRPr="006F6171" w:rsidRDefault="00C02026" w:rsidP="00821E7D">
            <w:pPr>
              <w:tabs>
                <w:tab w:val="left" w:pos="-720"/>
              </w:tabs>
              <w:suppressAutoHyphens/>
              <w:rPr>
                <w:rFonts w:ascii="Garamond" w:hAnsi="Garamond"/>
                <w:b/>
                <w:szCs w:val="24"/>
              </w:rPr>
            </w:pPr>
            <w:r w:rsidRPr="006F6171">
              <w:rPr>
                <w:rFonts w:ascii="Garamond" w:hAnsi="Garamond"/>
                <w:b/>
                <w:szCs w:val="24"/>
              </w:rPr>
              <w:t>Smart Growth Feature</w:t>
            </w:r>
          </w:p>
        </w:tc>
        <w:tc>
          <w:tcPr>
            <w:tcW w:w="1530" w:type="dxa"/>
          </w:tcPr>
          <w:p w14:paraId="6155C0AE" w14:textId="77777777" w:rsidR="00C02026" w:rsidRPr="006F6171" w:rsidRDefault="00C02026" w:rsidP="00710AD3">
            <w:pPr>
              <w:tabs>
                <w:tab w:val="left" w:pos="-720"/>
              </w:tabs>
              <w:suppressAutoHyphens/>
              <w:jc w:val="center"/>
              <w:rPr>
                <w:rFonts w:ascii="Garamond" w:hAnsi="Garamond"/>
                <w:b/>
                <w:szCs w:val="24"/>
              </w:rPr>
            </w:pPr>
            <w:r w:rsidRPr="006F6171">
              <w:rPr>
                <w:rFonts w:ascii="Garamond" w:hAnsi="Garamond"/>
                <w:b/>
                <w:szCs w:val="24"/>
              </w:rPr>
              <w:t>Points</w:t>
            </w:r>
          </w:p>
        </w:tc>
      </w:tr>
      <w:tr w:rsidR="00C02026" w:rsidRPr="006F6171" w14:paraId="582C4F31" w14:textId="77777777" w:rsidTr="00821E7D">
        <w:trPr>
          <w:trHeight w:val="885"/>
        </w:trPr>
        <w:tc>
          <w:tcPr>
            <w:tcW w:w="7020" w:type="dxa"/>
          </w:tcPr>
          <w:p w14:paraId="3A35603E" w14:textId="77777777" w:rsidR="00C02026" w:rsidRPr="006F6171" w:rsidRDefault="00C02026" w:rsidP="00B34323">
            <w:pPr>
              <w:pStyle w:val="NoSpacing"/>
              <w:rPr>
                <w:rFonts w:ascii="Garamond" w:hAnsi="Garamond"/>
              </w:rPr>
            </w:pPr>
            <w:r w:rsidRPr="006F6171">
              <w:rPr>
                <w:rFonts w:ascii="Garamond" w:hAnsi="Garamond"/>
              </w:rPr>
              <w:t xml:space="preserve">Access to Public Transportation. The Project is located within </w:t>
            </w:r>
            <w:r w:rsidR="000E4357" w:rsidRPr="006F6171">
              <w:rPr>
                <w:rFonts w:ascii="Garamond" w:hAnsi="Garamond"/>
              </w:rPr>
              <w:t xml:space="preserve">a </w:t>
            </w:r>
            <w:r w:rsidRPr="006F6171">
              <w:rPr>
                <w:rFonts w:ascii="Garamond" w:hAnsi="Garamond"/>
              </w:rPr>
              <w:t>Safe Walking Distance (½ mile or less) of a designated pick-up location for existing Fixed-route Public Transportation.</w:t>
            </w:r>
          </w:p>
        </w:tc>
        <w:tc>
          <w:tcPr>
            <w:tcW w:w="1530" w:type="dxa"/>
          </w:tcPr>
          <w:p w14:paraId="2CB9EB7D" w14:textId="77777777" w:rsidR="00C02026" w:rsidRPr="006F6171" w:rsidRDefault="00C02026" w:rsidP="00710AD3">
            <w:pPr>
              <w:tabs>
                <w:tab w:val="left" w:pos="-720"/>
              </w:tabs>
              <w:suppressAutoHyphens/>
              <w:rPr>
                <w:rFonts w:ascii="Garamond" w:hAnsi="Garamond"/>
                <w:b/>
                <w:szCs w:val="24"/>
              </w:rPr>
            </w:pPr>
          </w:p>
          <w:p w14:paraId="738BE064" w14:textId="77777777" w:rsidR="00C02026" w:rsidRPr="006F6171" w:rsidRDefault="00C02026" w:rsidP="00710AD3">
            <w:pPr>
              <w:tabs>
                <w:tab w:val="left" w:pos="-720"/>
              </w:tabs>
              <w:suppressAutoHyphens/>
              <w:jc w:val="center"/>
              <w:rPr>
                <w:rFonts w:ascii="Garamond" w:hAnsi="Garamond"/>
                <w:b/>
                <w:szCs w:val="24"/>
              </w:rPr>
            </w:pPr>
            <w:r w:rsidRPr="006F6171">
              <w:rPr>
                <w:rFonts w:ascii="Garamond" w:hAnsi="Garamond"/>
                <w:b/>
                <w:szCs w:val="24"/>
              </w:rPr>
              <w:t>5 points</w:t>
            </w:r>
          </w:p>
        </w:tc>
      </w:tr>
      <w:tr w:rsidR="00C02026" w:rsidRPr="006F6171" w14:paraId="723D223F" w14:textId="77777777" w:rsidTr="00821E7D">
        <w:trPr>
          <w:trHeight w:val="867"/>
        </w:trPr>
        <w:tc>
          <w:tcPr>
            <w:tcW w:w="7020" w:type="dxa"/>
          </w:tcPr>
          <w:p w14:paraId="36E6F62D" w14:textId="77777777" w:rsidR="00C02026" w:rsidRPr="006F6171" w:rsidRDefault="00C02026" w:rsidP="00B34323">
            <w:pPr>
              <w:pStyle w:val="NoSpacing"/>
              <w:rPr>
                <w:rFonts w:ascii="Garamond" w:hAnsi="Garamond"/>
              </w:rPr>
            </w:pPr>
            <w:r w:rsidRPr="006F6171">
              <w:rPr>
                <w:rFonts w:ascii="Garamond" w:hAnsi="Garamond"/>
              </w:rPr>
              <w:t>Demand Response Transportation</w:t>
            </w:r>
            <w:r w:rsidR="003719DC" w:rsidRPr="006F6171">
              <w:rPr>
                <w:rFonts w:ascii="Garamond" w:hAnsi="Garamond"/>
              </w:rPr>
              <w:t xml:space="preserve">.  </w:t>
            </w:r>
            <w:r w:rsidRPr="006F6171">
              <w:rPr>
                <w:rFonts w:ascii="Garamond" w:hAnsi="Garamond"/>
              </w:rPr>
              <w:t>Demand Response Transportation is available to all tenants with no eligibility criteria that would limit or deny service.</w:t>
            </w:r>
          </w:p>
        </w:tc>
        <w:tc>
          <w:tcPr>
            <w:tcW w:w="1530" w:type="dxa"/>
          </w:tcPr>
          <w:p w14:paraId="557EDAFD" w14:textId="77777777" w:rsidR="00C02026" w:rsidRPr="006F6171" w:rsidRDefault="00C02026" w:rsidP="00710AD3">
            <w:pPr>
              <w:jc w:val="center"/>
              <w:rPr>
                <w:rFonts w:ascii="Garamond" w:hAnsi="Garamond"/>
                <w:b/>
                <w:szCs w:val="24"/>
              </w:rPr>
            </w:pPr>
          </w:p>
          <w:p w14:paraId="7EA3F00D" w14:textId="77777777" w:rsidR="00C02026" w:rsidRPr="006F6171" w:rsidRDefault="00C02026" w:rsidP="00710AD3">
            <w:pPr>
              <w:jc w:val="center"/>
              <w:rPr>
                <w:rFonts w:ascii="Garamond" w:hAnsi="Garamond"/>
                <w:szCs w:val="24"/>
              </w:rPr>
            </w:pPr>
            <w:r w:rsidRPr="006F6171">
              <w:rPr>
                <w:rFonts w:ascii="Garamond" w:hAnsi="Garamond"/>
                <w:b/>
                <w:szCs w:val="24"/>
              </w:rPr>
              <w:t>5 points</w:t>
            </w:r>
          </w:p>
        </w:tc>
      </w:tr>
      <w:tr w:rsidR="00C02026" w:rsidRPr="006F6171" w14:paraId="42A2A550" w14:textId="77777777" w:rsidTr="00821E7D">
        <w:trPr>
          <w:trHeight w:val="70"/>
        </w:trPr>
        <w:tc>
          <w:tcPr>
            <w:tcW w:w="7020" w:type="dxa"/>
          </w:tcPr>
          <w:p w14:paraId="2E57D116" w14:textId="765385E3" w:rsidR="00C02026" w:rsidRPr="006F6171" w:rsidRDefault="00C02026" w:rsidP="00C32720">
            <w:pPr>
              <w:pStyle w:val="NoSpacing"/>
              <w:rPr>
                <w:rFonts w:ascii="Garamond" w:hAnsi="Garamond"/>
              </w:rPr>
            </w:pPr>
            <w:r w:rsidRPr="006F6171">
              <w:rPr>
                <w:rFonts w:ascii="Garamond" w:hAnsi="Garamond"/>
              </w:rPr>
              <w:t>Proximity to Activities Important to Daily Living</w:t>
            </w:r>
            <w:r w:rsidR="003719DC" w:rsidRPr="006F6171">
              <w:rPr>
                <w:rFonts w:ascii="Garamond" w:hAnsi="Garamond"/>
              </w:rPr>
              <w:t xml:space="preserve">. </w:t>
            </w:r>
            <w:r w:rsidR="00C32720" w:rsidRPr="006F6171">
              <w:rPr>
                <w:rFonts w:ascii="Garamond" w:hAnsi="Garamond"/>
              </w:rPr>
              <w:t>Activities Important to Daily Living are</w:t>
            </w:r>
            <w:r w:rsidRPr="006F6171">
              <w:rPr>
                <w:rFonts w:ascii="Garamond" w:hAnsi="Garamond"/>
              </w:rPr>
              <w:t xml:space="preserve"> located within not more than</w:t>
            </w:r>
            <w:r w:rsidR="000E4357" w:rsidRPr="006F6171">
              <w:rPr>
                <w:rFonts w:ascii="Garamond" w:hAnsi="Garamond"/>
              </w:rPr>
              <w:t xml:space="preserve"> a</w:t>
            </w:r>
            <w:r w:rsidRPr="006F6171">
              <w:rPr>
                <w:rFonts w:ascii="Garamond" w:hAnsi="Garamond"/>
              </w:rPr>
              <w:t xml:space="preserve"> ½ mile of </w:t>
            </w:r>
            <w:r w:rsidR="00C32720" w:rsidRPr="006F6171">
              <w:rPr>
                <w:rFonts w:ascii="Garamond" w:hAnsi="Garamond"/>
              </w:rPr>
              <w:t>the Project.</w:t>
            </w:r>
            <w:r w:rsidR="00C32720" w:rsidRPr="006F6171" w:rsidDel="00167E5B">
              <w:rPr>
                <w:rFonts w:ascii="Garamond" w:hAnsi="Garamond"/>
              </w:rPr>
              <w:t xml:space="preserve"> </w:t>
            </w:r>
            <w:r w:rsidRPr="006F6171">
              <w:rPr>
                <w:rFonts w:ascii="Garamond" w:hAnsi="Garamond"/>
              </w:rPr>
              <w:t xml:space="preserve"> </w:t>
            </w:r>
            <w:r w:rsidR="00C32720" w:rsidRPr="006F6171">
              <w:rPr>
                <w:rFonts w:ascii="Garamond" w:hAnsi="Garamond"/>
              </w:rPr>
              <w:t>(</w:t>
            </w:r>
            <w:r w:rsidR="00167E5B" w:rsidRPr="006F6171">
              <w:rPr>
                <w:rFonts w:ascii="Garamond" w:hAnsi="Garamond"/>
              </w:rPr>
              <w:t>1 point per Activity</w:t>
            </w:r>
            <w:r w:rsidR="00C32720" w:rsidRPr="006F6171">
              <w:rPr>
                <w:rFonts w:ascii="Garamond" w:hAnsi="Garamond"/>
              </w:rPr>
              <w:t>)</w:t>
            </w:r>
          </w:p>
        </w:tc>
        <w:tc>
          <w:tcPr>
            <w:tcW w:w="1530" w:type="dxa"/>
          </w:tcPr>
          <w:p w14:paraId="79FCF8C1" w14:textId="77777777" w:rsidR="00C02026" w:rsidRPr="006F6171" w:rsidRDefault="00C02026" w:rsidP="00710AD3">
            <w:pPr>
              <w:jc w:val="center"/>
              <w:rPr>
                <w:rFonts w:ascii="Garamond" w:hAnsi="Garamond"/>
                <w:szCs w:val="24"/>
              </w:rPr>
            </w:pPr>
          </w:p>
          <w:p w14:paraId="78DFF40E" w14:textId="72F283E3" w:rsidR="00C02026" w:rsidRPr="006F6171" w:rsidRDefault="00167E5B" w:rsidP="000E4357">
            <w:pPr>
              <w:jc w:val="center"/>
              <w:rPr>
                <w:rFonts w:ascii="Garamond" w:hAnsi="Garamond"/>
                <w:b/>
                <w:szCs w:val="24"/>
              </w:rPr>
            </w:pPr>
            <w:r w:rsidRPr="006F6171">
              <w:rPr>
                <w:rFonts w:ascii="Garamond" w:hAnsi="Garamond"/>
                <w:b/>
                <w:szCs w:val="24"/>
              </w:rPr>
              <w:t xml:space="preserve">Up to </w:t>
            </w:r>
            <w:r w:rsidR="00C02026" w:rsidRPr="006F6171">
              <w:rPr>
                <w:rFonts w:ascii="Garamond" w:hAnsi="Garamond"/>
                <w:b/>
                <w:szCs w:val="24"/>
              </w:rPr>
              <w:t>5 points</w:t>
            </w:r>
          </w:p>
        </w:tc>
      </w:tr>
    </w:tbl>
    <w:p w14:paraId="218F50D6" w14:textId="77777777" w:rsidR="002F0833" w:rsidRPr="006F6171" w:rsidRDefault="002F0833" w:rsidP="00583A9C">
      <w:pPr>
        <w:pStyle w:val="ListParagraph"/>
        <w:tabs>
          <w:tab w:val="right" w:pos="9360"/>
        </w:tabs>
        <w:jc w:val="both"/>
        <w:rPr>
          <w:szCs w:val="24"/>
        </w:rPr>
      </w:pPr>
    </w:p>
    <w:p w14:paraId="121CE734" w14:textId="6F281481" w:rsidR="0048642B" w:rsidRPr="006F6171" w:rsidRDefault="00E542BD" w:rsidP="00DB04D8">
      <w:pPr>
        <w:pStyle w:val="ListParagraph"/>
        <w:tabs>
          <w:tab w:val="left" w:pos="-720"/>
          <w:tab w:val="right" w:pos="9360"/>
        </w:tabs>
        <w:suppressAutoHyphens/>
        <w:ind w:left="0"/>
        <w:jc w:val="both"/>
        <w:rPr>
          <w:b/>
        </w:rPr>
      </w:pPr>
      <w:r w:rsidRPr="006F6171">
        <w:rPr>
          <w:b/>
        </w:rPr>
        <w:t xml:space="preserve">Sponsor Characteristics </w:t>
      </w:r>
    </w:p>
    <w:p w14:paraId="6FA79C49" w14:textId="77777777" w:rsidR="00AB6920" w:rsidRPr="006F6171" w:rsidRDefault="00AB6920" w:rsidP="00DB04D8">
      <w:pPr>
        <w:pStyle w:val="ListParagraph"/>
        <w:tabs>
          <w:tab w:val="left" w:pos="-720"/>
          <w:tab w:val="right" w:pos="9360"/>
        </w:tabs>
        <w:suppressAutoHyphens/>
        <w:ind w:left="0"/>
        <w:jc w:val="both"/>
        <w:rPr>
          <w:b/>
        </w:rPr>
      </w:pPr>
    </w:p>
    <w:p w14:paraId="4749C301" w14:textId="42601C2A" w:rsidR="00AB6920" w:rsidRPr="006F6171" w:rsidRDefault="00AB6920" w:rsidP="00AB6920">
      <w:pPr>
        <w:pStyle w:val="ListParagraph"/>
        <w:numPr>
          <w:ilvl w:val="0"/>
          <w:numId w:val="8"/>
        </w:numPr>
        <w:tabs>
          <w:tab w:val="right" w:pos="9360"/>
        </w:tabs>
        <w:ind w:hanging="720"/>
        <w:jc w:val="both"/>
        <w:rPr>
          <w:szCs w:val="24"/>
        </w:rPr>
      </w:pPr>
      <w:r w:rsidRPr="006F6171">
        <w:t>Readiness</w:t>
      </w:r>
      <w:r w:rsidRPr="006F6171">
        <w:rPr>
          <w:szCs w:val="24"/>
        </w:rPr>
        <w:t>.</w:t>
      </w:r>
      <w:r w:rsidRPr="006F6171">
        <w:rPr>
          <w:szCs w:val="24"/>
        </w:rPr>
        <w:tab/>
        <w:t xml:space="preserve">  </w:t>
      </w:r>
      <w:r w:rsidR="00214FCD" w:rsidRPr="006F6171">
        <w:rPr>
          <w:szCs w:val="24"/>
        </w:rPr>
        <w:t xml:space="preserve">Up to </w:t>
      </w:r>
      <w:r w:rsidRPr="006F6171">
        <w:rPr>
          <w:b/>
          <w:szCs w:val="24"/>
        </w:rPr>
        <w:t>10 points</w:t>
      </w:r>
      <w:r w:rsidRPr="006F6171">
        <w:rPr>
          <w:szCs w:val="24"/>
        </w:rPr>
        <w:t xml:space="preserve"> </w:t>
      </w:r>
    </w:p>
    <w:p w14:paraId="73CAE9DB" w14:textId="77777777" w:rsidR="00AB6920" w:rsidRPr="006F6171" w:rsidRDefault="00AB6920" w:rsidP="00AB6920">
      <w:pPr>
        <w:pStyle w:val="ListParagraph"/>
        <w:ind w:right="720"/>
        <w:jc w:val="both"/>
        <w:rPr>
          <w:szCs w:val="24"/>
        </w:rPr>
      </w:pPr>
    </w:p>
    <w:p w14:paraId="4A7A775C" w14:textId="77777777" w:rsidR="00AB6920" w:rsidRPr="006F6171" w:rsidRDefault="00AB6920" w:rsidP="00AB6920">
      <w:pPr>
        <w:pStyle w:val="ListParagraph"/>
        <w:ind w:right="4"/>
        <w:jc w:val="both"/>
        <w:rPr>
          <w:szCs w:val="24"/>
        </w:rPr>
      </w:pPr>
      <w:r w:rsidRPr="006F6171">
        <w:rPr>
          <w:rFonts w:cs="Tahoma"/>
          <w:szCs w:val="24"/>
        </w:rPr>
        <w:t xml:space="preserve">MaineHousing must approve both the design to be submitted to the municipality and the State and the final design, including all plans, details and specifications.  </w:t>
      </w:r>
      <w:r w:rsidRPr="006F6171">
        <w:rPr>
          <w:szCs w:val="24"/>
        </w:rPr>
        <w:t>The Project and any Related Developments must have all</w:t>
      </w:r>
    </w:p>
    <w:p w14:paraId="5741E78D" w14:textId="77777777" w:rsidR="00AB6920" w:rsidRPr="006F6171" w:rsidRDefault="00AB6920" w:rsidP="00AB6920">
      <w:pPr>
        <w:pStyle w:val="ListParagraph"/>
        <w:ind w:right="720"/>
        <w:jc w:val="both"/>
        <w:rPr>
          <w:szCs w:val="24"/>
        </w:rPr>
      </w:pPr>
    </w:p>
    <w:p w14:paraId="165CF1FA" w14:textId="77777777" w:rsidR="00AB6920" w:rsidRPr="006F6171" w:rsidRDefault="00AB6920" w:rsidP="00AB6920">
      <w:pPr>
        <w:pStyle w:val="ListParagraph"/>
        <w:numPr>
          <w:ilvl w:val="0"/>
          <w:numId w:val="17"/>
        </w:numPr>
        <w:ind w:right="4"/>
        <w:jc w:val="both"/>
        <w:rPr>
          <w:szCs w:val="24"/>
        </w:rPr>
      </w:pPr>
      <w:r w:rsidRPr="006F6171">
        <w:rPr>
          <w:szCs w:val="24"/>
        </w:rPr>
        <w:t>municipal land use approvals (except building and other permits                        5 points</w:t>
      </w:r>
    </w:p>
    <w:p w14:paraId="06BBD0ED" w14:textId="77777777" w:rsidR="00AB6920" w:rsidRPr="006F6171" w:rsidRDefault="00AB6920" w:rsidP="00AB6920">
      <w:pPr>
        <w:pStyle w:val="ListParagraph"/>
        <w:ind w:left="1080" w:right="4"/>
        <w:jc w:val="both"/>
        <w:rPr>
          <w:szCs w:val="24"/>
        </w:rPr>
      </w:pPr>
      <w:r w:rsidRPr="006F6171">
        <w:rPr>
          <w:szCs w:val="24"/>
        </w:rPr>
        <w:t>customarily issued during construction), and</w:t>
      </w:r>
    </w:p>
    <w:p w14:paraId="6E4AC40D" w14:textId="77777777" w:rsidR="00AB6920" w:rsidRPr="006F6171" w:rsidRDefault="00AB6920" w:rsidP="00AB6920">
      <w:pPr>
        <w:pStyle w:val="ListParagraph"/>
        <w:ind w:left="1080" w:right="4"/>
        <w:jc w:val="both"/>
        <w:rPr>
          <w:szCs w:val="24"/>
        </w:rPr>
      </w:pPr>
    </w:p>
    <w:p w14:paraId="45500A27" w14:textId="77777777" w:rsidR="00AB6920" w:rsidRPr="006F6171" w:rsidRDefault="00AB6920" w:rsidP="00AB6920">
      <w:pPr>
        <w:pStyle w:val="ListParagraph"/>
        <w:numPr>
          <w:ilvl w:val="0"/>
          <w:numId w:val="17"/>
        </w:numPr>
        <w:ind w:right="4"/>
        <w:jc w:val="both"/>
      </w:pPr>
      <w:r w:rsidRPr="006F6171">
        <w:rPr>
          <w:szCs w:val="24"/>
        </w:rPr>
        <w:t>S</w:t>
      </w:r>
      <w:r w:rsidRPr="006F6171">
        <w:t>tate land use approvals (such as site plan, subdivision, storm                            5 points</w:t>
      </w:r>
    </w:p>
    <w:p w14:paraId="2AA25582" w14:textId="77777777" w:rsidR="00AB6920" w:rsidRPr="006F6171" w:rsidRDefault="00AB6920" w:rsidP="00AB6920">
      <w:pPr>
        <w:pStyle w:val="ListParagraph"/>
        <w:ind w:left="1080" w:right="4"/>
        <w:jc w:val="both"/>
      </w:pPr>
      <w:r w:rsidRPr="006F6171">
        <w:t>water, or wetlands approvals) required to proceed with and complete construction.</w:t>
      </w:r>
    </w:p>
    <w:p w14:paraId="30B71FD0" w14:textId="77777777" w:rsidR="00AB6920" w:rsidRPr="006F6171" w:rsidRDefault="00AB6920" w:rsidP="00AB6920">
      <w:pPr>
        <w:ind w:right="4"/>
        <w:jc w:val="both"/>
      </w:pPr>
    </w:p>
    <w:p w14:paraId="7C4C4241" w14:textId="77777777" w:rsidR="00AB6920" w:rsidRPr="006F6171" w:rsidRDefault="00AB6920" w:rsidP="00AB6920">
      <w:pPr>
        <w:ind w:left="720" w:right="4"/>
        <w:jc w:val="both"/>
      </w:pPr>
      <w:r w:rsidRPr="006F6171">
        <w:t xml:space="preserve">As of the Application date, the timeframe to appeal all such approvals must have expired     with no appellate action being taken, or all appeals have been resolved. </w:t>
      </w:r>
    </w:p>
    <w:p w14:paraId="79DE77F9" w14:textId="77777777" w:rsidR="00691D76" w:rsidRPr="006F6171" w:rsidRDefault="00691D76" w:rsidP="00691D76">
      <w:pPr>
        <w:pStyle w:val="ListParagraph"/>
        <w:tabs>
          <w:tab w:val="left" w:pos="-720"/>
          <w:tab w:val="right" w:pos="9360"/>
        </w:tabs>
        <w:suppressAutoHyphens/>
        <w:jc w:val="both"/>
        <w:rPr>
          <w:szCs w:val="24"/>
        </w:rPr>
      </w:pPr>
    </w:p>
    <w:p w14:paraId="66AD939A" w14:textId="77777777" w:rsidR="00304FF1" w:rsidRPr="006F6171" w:rsidRDefault="00FD5504" w:rsidP="00A8328C">
      <w:pPr>
        <w:pStyle w:val="ListParagraph"/>
        <w:numPr>
          <w:ilvl w:val="0"/>
          <w:numId w:val="8"/>
        </w:numPr>
        <w:ind w:hanging="720"/>
        <w:jc w:val="both"/>
        <w:rPr>
          <w:b/>
        </w:rPr>
      </w:pPr>
      <w:r w:rsidRPr="006F6171">
        <w:t xml:space="preserve">Developer </w:t>
      </w:r>
      <w:r w:rsidR="0048642B" w:rsidRPr="006F6171">
        <w:t>Capacity.</w:t>
      </w:r>
      <w:r w:rsidR="0048642B" w:rsidRPr="006F6171">
        <w:tab/>
      </w:r>
      <w:r w:rsidR="0048642B" w:rsidRPr="006F6171">
        <w:tab/>
      </w:r>
      <w:r w:rsidR="0048642B" w:rsidRPr="006F6171">
        <w:tab/>
      </w:r>
      <w:r w:rsidR="0048642B" w:rsidRPr="006F6171">
        <w:tab/>
      </w:r>
      <w:r w:rsidR="0048642B" w:rsidRPr="006F6171">
        <w:tab/>
      </w:r>
      <w:r w:rsidR="0048642B" w:rsidRPr="006F6171">
        <w:tab/>
      </w:r>
      <w:r w:rsidR="0048642B" w:rsidRPr="006F6171">
        <w:tab/>
      </w:r>
      <w:r w:rsidR="00FE2373" w:rsidRPr="006F6171">
        <w:t xml:space="preserve">         </w:t>
      </w:r>
      <w:r w:rsidR="0048642B" w:rsidRPr="006F6171">
        <w:rPr>
          <w:b/>
        </w:rPr>
        <w:t xml:space="preserve">Up to </w:t>
      </w:r>
      <w:r w:rsidR="00C825C1" w:rsidRPr="006F6171">
        <w:rPr>
          <w:b/>
        </w:rPr>
        <w:t>5</w:t>
      </w:r>
      <w:r w:rsidR="0048642B" w:rsidRPr="006F6171">
        <w:rPr>
          <w:b/>
        </w:rPr>
        <w:t xml:space="preserve"> points</w:t>
      </w:r>
    </w:p>
    <w:p w14:paraId="2C04566F" w14:textId="77777777" w:rsidR="00AE7278" w:rsidRPr="006F6171" w:rsidRDefault="00792939" w:rsidP="00527B06">
      <w:pPr>
        <w:ind w:left="720"/>
      </w:pPr>
      <w:r w:rsidRPr="006F6171">
        <w:br/>
      </w:r>
      <w:r w:rsidR="005E091E" w:rsidRPr="006F6171">
        <w:t xml:space="preserve">Points are based on the </w:t>
      </w:r>
      <w:r w:rsidR="00025740" w:rsidRPr="006F6171">
        <w:t>development experience of</w:t>
      </w:r>
      <w:r w:rsidR="005E091E" w:rsidRPr="006F6171">
        <w:t xml:space="preserve"> the Applicant, any Principal thereof</w:t>
      </w:r>
      <w:r w:rsidR="002E60BC" w:rsidRPr="006F6171">
        <w:t>,</w:t>
      </w:r>
      <w:r w:rsidR="005E091E" w:rsidRPr="006F6171">
        <w:t xml:space="preserve"> or </w:t>
      </w:r>
      <w:r w:rsidR="005E4E58" w:rsidRPr="006F6171">
        <w:t>Affiliates</w:t>
      </w:r>
      <w:r w:rsidR="002F020C" w:rsidRPr="006F6171">
        <w:t xml:space="preserve"> </w:t>
      </w:r>
      <w:r w:rsidR="00DA0CC4" w:rsidRPr="006F6171">
        <w:t xml:space="preserve">of either </w:t>
      </w:r>
      <w:r w:rsidR="00AE7278" w:rsidRPr="006F6171">
        <w:t>as follows:</w:t>
      </w:r>
    </w:p>
    <w:p w14:paraId="3D74B1D9" w14:textId="77777777" w:rsidR="00AE274E" w:rsidRPr="006F6171" w:rsidRDefault="00AE274E" w:rsidP="00AE274E">
      <w:pPr>
        <w:pStyle w:val="ListParagraph"/>
        <w:tabs>
          <w:tab w:val="right" w:pos="9360"/>
        </w:tabs>
        <w:jc w:val="both"/>
        <w:rPr>
          <w:szCs w:val="24"/>
        </w:rPr>
      </w:pPr>
    </w:p>
    <w:tbl>
      <w:tblPr>
        <w:tblStyle w:val="TableGrid"/>
        <w:tblW w:w="8640" w:type="dxa"/>
        <w:tblInd w:w="715" w:type="dxa"/>
        <w:tblLook w:val="04A0" w:firstRow="1" w:lastRow="0" w:firstColumn="1" w:lastColumn="0" w:noHBand="0" w:noVBand="1"/>
      </w:tblPr>
      <w:tblGrid>
        <w:gridCol w:w="7290"/>
        <w:gridCol w:w="1350"/>
      </w:tblGrid>
      <w:tr w:rsidR="007A26F6" w:rsidRPr="006F6171" w14:paraId="356CE7EA" w14:textId="77777777" w:rsidTr="003719DC">
        <w:tc>
          <w:tcPr>
            <w:tcW w:w="7290" w:type="dxa"/>
          </w:tcPr>
          <w:p w14:paraId="40D79D49" w14:textId="77777777" w:rsidR="00AE7278" w:rsidRPr="006F6171" w:rsidRDefault="0051540B" w:rsidP="0051540B">
            <w:pPr>
              <w:pStyle w:val="ListParagraph"/>
              <w:tabs>
                <w:tab w:val="left" w:pos="702"/>
              </w:tabs>
              <w:ind w:left="-18"/>
              <w:rPr>
                <w:rFonts w:ascii="Garamond" w:hAnsi="Garamond"/>
                <w:szCs w:val="24"/>
              </w:rPr>
            </w:pPr>
            <w:r w:rsidRPr="006F6171">
              <w:rPr>
                <w:rFonts w:ascii="Garamond" w:hAnsi="Garamond"/>
                <w:szCs w:val="24"/>
              </w:rPr>
              <w:t>Successfully c</w:t>
            </w:r>
            <w:r w:rsidR="00F06F85" w:rsidRPr="006F6171">
              <w:rPr>
                <w:rFonts w:ascii="Garamond" w:hAnsi="Garamond"/>
                <w:szCs w:val="24"/>
              </w:rPr>
              <w:t xml:space="preserve">ompleted </w:t>
            </w:r>
            <w:r w:rsidR="00A07B8F" w:rsidRPr="006F6171">
              <w:rPr>
                <w:rFonts w:ascii="Garamond" w:hAnsi="Garamond"/>
                <w:szCs w:val="24"/>
              </w:rPr>
              <w:t xml:space="preserve">at least </w:t>
            </w:r>
            <w:r w:rsidR="007A26F6" w:rsidRPr="006F6171">
              <w:rPr>
                <w:rFonts w:ascii="Garamond" w:hAnsi="Garamond"/>
                <w:szCs w:val="24"/>
              </w:rPr>
              <w:t xml:space="preserve">one </w:t>
            </w:r>
            <w:r w:rsidR="00020471" w:rsidRPr="006F6171">
              <w:rPr>
                <w:rFonts w:ascii="Garamond" w:hAnsi="Garamond"/>
                <w:szCs w:val="24"/>
              </w:rPr>
              <w:t>multifamily</w:t>
            </w:r>
            <w:r w:rsidR="007A26F6" w:rsidRPr="006F6171">
              <w:rPr>
                <w:rFonts w:ascii="Garamond" w:hAnsi="Garamond"/>
                <w:szCs w:val="24"/>
              </w:rPr>
              <w:t xml:space="preserve"> rental housing project with MaineHousin</w:t>
            </w:r>
            <w:r w:rsidR="00F06F85" w:rsidRPr="006F6171">
              <w:rPr>
                <w:rFonts w:ascii="Garamond" w:hAnsi="Garamond"/>
                <w:szCs w:val="24"/>
              </w:rPr>
              <w:t>g funding or completed</w:t>
            </w:r>
            <w:r w:rsidR="007A26F6" w:rsidRPr="006F6171">
              <w:rPr>
                <w:rFonts w:ascii="Garamond" w:hAnsi="Garamond"/>
                <w:szCs w:val="24"/>
              </w:rPr>
              <w:t xml:space="preserve"> </w:t>
            </w:r>
            <w:r w:rsidR="00A07B8F" w:rsidRPr="006F6171">
              <w:rPr>
                <w:rFonts w:ascii="Garamond" w:hAnsi="Garamond"/>
                <w:szCs w:val="24"/>
              </w:rPr>
              <w:t xml:space="preserve">at least </w:t>
            </w:r>
            <w:r w:rsidR="007A26F6" w:rsidRPr="006F6171">
              <w:rPr>
                <w:rFonts w:ascii="Garamond" w:hAnsi="Garamond"/>
                <w:szCs w:val="24"/>
              </w:rPr>
              <w:t>one LIHTC Project in another state(s).</w:t>
            </w:r>
          </w:p>
        </w:tc>
        <w:tc>
          <w:tcPr>
            <w:tcW w:w="1350" w:type="dxa"/>
          </w:tcPr>
          <w:p w14:paraId="2AB9CFFD" w14:textId="1ACCEFD6" w:rsidR="007A26F6" w:rsidRPr="006F6171" w:rsidRDefault="0051540B" w:rsidP="00167E5B">
            <w:pPr>
              <w:jc w:val="center"/>
              <w:rPr>
                <w:rFonts w:ascii="Garamond" w:hAnsi="Garamond"/>
                <w:b/>
                <w:szCs w:val="24"/>
              </w:rPr>
            </w:pPr>
            <w:r w:rsidRPr="006F6171">
              <w:rPr>
                <w:rFonts w:ascii="Garamond" w:hAnsi="Garamond"/>
                <w:b/>
                <w:szCs w:val="24"/>
              </w:rPr>
              <w:t>5</w:t>
            </w:r>
            <w:r w:rsidR="007A26F6" w:rsidRPr="006F6171">
              <w:rPr>
                <w:rFonts w:ascii="Garamond" w:hAnsi="Garamond"/>
                <w:b/>
                <w:szCs w:val="24"/>
              </w:rPr>
              <w:t xml:space="preserve"> points</w:t>
            </w:r>
          </w:p>
        </w:tc>
      </w:tr>
      <w:tr w:rsidR="007A26F6" w:rsidRPr="006F6171" w14:paraId="554E0534" w14:textId="77777777" w:rsidTr="003719DC">
        <w:tc>
          <w:tcPr>
            <w:tcW w:w="7290" w:type="dxa"/>
          </w:tcPr>
          <w:p w14:paraId="2E09CF08" w14:textId="261C9236" w:rsidR="00B001D5" w:rsidRPr="006F6171" w:rsidRDefault="004461B1" w:rsidP="002654D1">
            <w:pPr>
              <w:rPr>
                <w:rFonts w:ascii="Garamond" w:hAnsi="Garamond"/>
                <w:szCs w:val="24"/>
              </w:rPr>
            </w:pPr>
            <w:r w:rsidRPr="006F6171">
              <w:rPr>
                <w:rFonts w:ascii="Garamond" w:hAnsi="Garamond"/>
                <w:szCs w:val="24"/>
              </w:rPr>
              <w:t>E</w:t>
            </w:r>
            <w:r w:rsidR="00B001D5" w:rsidRPr="006F6171">
              <w:rPr>
                <w:rFonts w:ascii="Garamond" w:hAnsi="Garamond"/>
                <w:szCs w:val="24"/>
              </w:rPr>
              <w:t>xperien</w:t>
            </w:r>
            <w:r w:rsidR="00F06F85" w:rsidRPr="006F6171">
              <w:rPr>
                <w:rFonts w:ascii="Garamond" w:hAnsi="Garamond"/>
                <w:szCs w:val="24"/>
              </w:rPr>
              <w:t xml:space="preserve">ce </w:t>
            </w:r>
            <w:r w:rsidR="00B70380" w:rsidRPr="006F6171">
              <w:rPr>
                <w:rFonts w:ascii="Garamond" w:hAnsi="Garamond"/>
                <w:szCs w:val="24"/>
              </w:rPr>
              <w:t xml:space="preserve">successfully </w:t>
            </w:r>
            <w:r w:rsidR="00F06F85" w:rsidRPr="006F6171">
              <w:rPr>
                <w:rFonts w:ascii="Garamond" w:hAnsi="Garamond"/>
                <w:szCs w:val="24"/>
              </w:rPr>
              <w:t xml:space="preserve">developing and operating </w:t>
            </w:r>
            <w:r w:rsidR="00020471" w:rsidRPr="006F6171">
              <w:rPr>
                <w:rFonts w:ascii="Garamond" w:hAnsi="Garamond"/>
                <w:szCs w:val="24"/>
              </w:rPr>
              <w:t>multifamily</w:t>
            </w:r>
            <w:r w:rsidR="00B001D5" w:rsidRPr="006F6171">
              <w:rPr>
                <w:rFonts w:ascii="Garamond" w:hAnsi="Garamond"/>
                <w:szCs w:val="24"/>
              </w:rPr>
              <w:t xml:space="preserve"> rental hou</w:t>
            </w:r>
            <w:r w:rsidR="00F06F85" w:rsidRPr="006F6171">
              <w:rPr>
                <w:rFonts w:ascii="Garamond" w:hAnsi="Garamond"/>
                <w:szCs w:val="24"/>
              </w:rPr>
              <w:t xml:space="preserve">sing or experience managing </w:t>
            </w:r>
            <w:r w:rsidR="00B001D5" w:rsidRPr="006F6171">
              <w:rPr>
                <w:rFonts w:ascii="Garamond" w:hAnsi="Garamond"/>
                <w:szCs w:val="24"/>
              </w:rPr>
              <w:t>Affordable Housing</w:t>
            </w:r>
            <w:r w:rsidR="00B10766" w:rsidRPr="006F6171">
              <w:rPr>
                <w:rFonts w:ascii="Garamond" w:hAnsi="Garamond"/>
                <w:szCs w:val="24"/>
              </w:rPr>
              <w:t xml:space="preserve">, </w:t>
            </w:r>
            <w:r w:rsidR="00B10766" w:rsidRPr="006F6171">
              <w:rPr>
                <w:rFonts w:ascii="Garamond" w:hAnsi="Garamond"/>
                <w:i/>
                <w:szCs w:val="24"/>
              </w:rPr>
              <w:t>and</w:t>
            </w:r>
            <w:r w:rsidR="00B10766" w:rsidRPr="006F6171">
              <w:rPr>
                <w:rFonts w:ascii="Garamond" w:hAnsi="Garamond"/>
                <w:szCs w:val="24"/>
              </w:rPr>
              <w:t xml:space="preserve"> the Applicant has a contract with a qualified </w:t>
            </w:r>
            <w:r w:rsidR="00685411" w:rsidRPr="006F6171">
              <w:rPr>
                <w:rFonts w:ascii="Garamond" w:hAnsi="Garamond"/>
                <w:szCs w:val="24"/>
              </w:rPr>
              <w:t xml:space="preserve">LIHTC </w:t>
            </w:r>
            <w:r w:rsidR="00B10766" w:rsidRPr="006F6171">
              <w:rPr>
                <w:rFonts w:ascii="Garamond" w:hAnsi="Garamond"/>
                <w:szCs w:val="24"/>
              </w:rPr>
              <w:t>consultant to develop the Project</w:t>
            </w:r>
            <w:r w:rsidR="00B001D5" w:rsidRPr="006F6171">
              <w:rPr>
                <w:rFonts w:ascii="Garamond" w:hAnsi="Garamond"/>
                <w:szCs w:val="24"/>
              </w:rPr>
              <w:t>.</w:t>
            </w:r>
          </w:p>
        </w:tc>
        <w:tc>
          <w:tcPr>
            <w:tcW w:w="1350" w:type="dxa"/>
          </w:tcPr>
          <w:p w14:paraId="49582346" w14:textId="0520172B" w:rsidR="007A26F6" w:rsidRPr="006F6171" w:rsidRDefault="0051540B" w:rsidP="00167E5B">
            <w:pPr>
              <w:jc w:val="center"/>
              <w:rPr>
                <w:rFonts w:ascii="Garamond" w:hAnsi="Garamond"/>
                <w:b/>
                <w:szCs w:val="24"/>
              </w:rPr>
            </w:pPr>
            <w:r w:rsidRPr="006F6171">
              <w:rPr>
                <w:rFonts w:ascii="Garamond" w:hAnsi="Garamond"/>
                <w:b/>
                <w:szCs w:val="24"/>
              </w:rPr>
              <w:t>4</w:t>
            </w:r>
            <w:r w:rsidR="00B001D5" w:rsidRPr="006F6171">
              <w:rPr>
                <w:rFonts w:ascii="Garamond" w:hAnsi="Garamond"/>
                <w:b/>
                <w:szCs w:val="24"/>
              </w:rPr>
              <w:t xml:space="preserve"> points</w:t>
            </w:r>
          </w:p>
        </w:tc>
      </w:tr>
      <w:tr w:rsidR="00B001D5" w:rsidRPr="006F6171" w14:paraId="6BA68269" w14:textId="77777777" w:rsidTr="003719DC">
        <w:tc>
          <w:tcPr>
            <w:tcW w:w="7290" w:type="dxa"/>
          </w:tcPr>
          <w:p w14:paraId="2D2A6E63" w14:textId="14336F95" w:rsidR="00B10766" w:rsidRPr="006F6171" w:rsidRDefault="004461B1" w:rsidP="002654D1">
            <w:pPr>
              <w:ind w:hanging="18"/>
              <w:rPr>
                <w:rFonts w:ascii="Garamond" w:hAnsi="Garamond"/>
                <w:szCs w:val="24"/>
              </w:rPr>
            </w:pPr>
            <w:r w:rsidRPr="006F6171">
              <w:rPr>
                <w:rFonts w:ascii="Garamond" w:hAnsi="Garamond"/>
                <w:szCs w:val="24"/>
              </w:rPr>
              <w:t>E</w:t>
            </w:r>
            <w:r w:rsidR="00B10766" w:rsidRPr="006F6171">
              <w:rPr>
                <w:rFonts w:ascii="Garamond" w:hAnsi="Garamond"/>
                <w:szCs w:val="24"/>
              </w:rPr>
              <w:t>xperien</w:t>
            </w:r>
            <w:r w:rsidR="00F06F85" w:rsidRPr="006F6171">
              <w:rPr>
                <w:rFonts w:ascii="Garamond" w:hAnsi="Garamond"/>
                <w:szCs w:val="24"/>
              </w:rPr>
              <w:t xml:space="preserve">ce </w:t>
            </w:r>
            <w:r w:rsidR="00B70380" w:rsidRPr="006F6171">
              <w:rPr>
                <w:rFonts w:ascii="Garamond" w:hAnsi="Garamond"/>
                <w:szCs w:val="24"/>
              </w:rPr>
              <w:t xml:space="preserve">successfully </w:t>
            </w:r>
            <w:r w:rsidR="00F06F85" w:rsidRPr="006F6171">
              <w:rPr>
                <w:rFonts w:ascii="Garamond" w:hAnsi="Garamond"/>
                <w:szCs w:val="24"/>
              </w:rPr>
              <w:t xml:space="preserve">developing and operating </w:t>
            </w:r>
            <w:r w:rsidR="00020471" w:rsidRPr="006F6171">
              <w:rPr>
                <w:rFonts w:ascii="Garamond" w:hAnsi="Garamond"/>
                <w:szCs w:val="24"/>
              </w:rPr>
              <w:t>multifamily</w:t>
            </w:r>
            <w:r w:rsidR="00B10766" w:rsidRPr="006F6171">
              <w:rPr>
                <w:rFonts w:ascii="Garamond" w:hAnsi="Garamond"/>
                <w:szCs w:val="24"/>
              </w:rPr>
              <w:t xml:space="preserve"> rental housing.</w:t>
            </w:r>
          </w:p>
        </w:tc>
        <w:tc>
          <w:tcPr>
            <w:tcW w:w="1350" w:type="dxa"/>
          </w:tcPr>
          <w:p w14:paraId="4FD9A547" w14:textId="17C21E44" w:rsidR="00B001D5" w:rsidRPr="006F6171" w:rsidRDefault="0051540B" w:rsidP="00AB6920">
            <w:pPr>
              <w:jc w:val="center"/>
              <w:rPr>
                <w:rFonts w:ascii="Garamond" w:hAnsi="Garamond"/>
                <w:b/>
                <w:szCs w:val="24"/>
              </w:rPr>
            </w:pPr>
            <w:r w:rsidRPr="006F6171">
              <w:rPr>
                <w:rFonts w:ascii="Garamond" w:hAnsi="Garamond"/>
                <w:b/>
                <w:szCs w:val="24"/>
              </w:rPr>
              <w:t>3</w:t>
            </w:r>
            <w:r w:rsidR="00B001D5" w:rsidRPr="006F6171">
              <w:rPr>
                <w:rFonts w:ascii="Garamond" w:hAnsi="Garamond"/>
                <w:b/>
                <w:szCs w:val="24"/>
              </w:rPr>
              <w:t xml:space="preserve"> point</w:t>
            </w:r>
            <w:r w:rsidR="00BA5612" w:rsidRPr="006F6171">
              <w:rPr>
                <w:rFonts w:ascii="Garamond" w:hAnsi="Garamond"/>
                <w:b/>
                <w:szCs w:val="24"/>
              </w:rPr>
              <w:t>s</w:t>
            </w:r>
          </w:p>
        </w:tc>
      </w:tr>
    </w:tbl>
    <w:p w14:paraId="6DE5EC61" w14:textId="77777777" w:rsidR="00FE2373" w:rsidRPr="006F6171" w:rsidRDefault="00FE2373" w:rsidP="0029394F">
      <w:pPr>
        <w:tabs>
          <w:tab w:val="right" w:pos="9360"/>
        </w:tabs>
        <w:ind w:left="360"/>
        <w:jc w:val="both"/>
      </w:pPr>
    </w:p>
    <w:p w14:paraId="251A6A1D" w14:textId="327B1195" w:rsidR="00CD2439" w:rsidRPr="006F6171" w:rsidRDefault="00845B0D" w:rsidP="00A8328C">
      <w:pPr>
        <w:pStyle w:val="ListParagraph"/>
        <w:numPr>
          <w:ilvl w:val="0"/>
          <w:numId w:val="8"/>
        </w:numPr>
        <w:tabs>
          <w:tab w:val="right" w:pos="9360"/>
        </w:tabs>
        <w:ind w:hanging="720"/>
        <w:jc w:val="both"/>
        <w:rPr>
          <w:szCs w:val="24"/>
        </w:rPr>
      </w:pPr>
      <w:r w:rsidRPr="006F6171">
        <w:lastRenderedPageBreak/>
        <w:t>Owner Performance.</w:t>
      </w:r>
      <w:r w:rsidR="00DB18E9" w:rsidRPr="006F6171">
        <w:rPr>
          <w:szCs w:val="24"/>
        </w:rPr>
        <w:t xml:space="preserve">          </w:t>
      </w:r>
      <w:r w:rsidR="00315A99" w:rsidRPr="006F6171">
        <w:rPr>
          <w:szCs w:val="24"/>
        </w:rPr>
        <w:tab/>
      </w:r>
      <w:r w:rsidR="00DB18E9" w:rsidRPr="006F6171">
        <w:rPr>
          <w:szCs w:val="24"/>
        </w:rPr>
        <w:t xml:space="preserve">  </w:t>
      </w:r>
      <w:r w:rsidR="009F5EA5" w:rsidRPr="006F6171">
        <w:rPr>
          <w:b/>
          <w:szCs w:val="24"/>
        </w:rPr>
        <w:t>Up to</w:t>
      </w:r>
      <w:r w:rsidR="00C64458" w:rsidRPr="006F6171">
        <w:rPr>
          <w:b/>
          <w:szCs w:val="24"/>
        </w:rPr>
        <w:t xml:space="preserve"> a</w:t>
      </w:r>
      <w:r w:rsidR="009F5EA5" w:rsidRPr="006F6171">
        <w:rPr>
          <w:b/>
          <w:szCs w:val="24"/>
        </w:rPr>
        <w:t xml:space="preserve"> </w:t>
      </w:r>
      <w:r w:rsidR="0051540B" w:rsidRPr="006F6171">
        <w:rPr>
          <w:b/>
          <w:szCs w:val="24"/>
        </w:rPr>
        <w:t>5</w:t>
      </w:r>
      <w:r w:rsidR="00315A99" w:rsidRPr="006F6171">
        <w:rPr>
          <w:b/>
          <w:szCs w:val="24"/>
        </w:rPr>
        <w:t xml:space="preserve"> Point</w:t>
      </w:r>
      <w:r w:rsidR="00C64458" w:rsidRPr="006F6171">
        <w:rPr>
          <w:b/>
          <w:szCs w:val="24"/>
        </w:rPr>
        <w:t xml:space="preserve"> los</w:t>
      </w:r>
      <w:r w:rsidR="00DD585B" w:rsidRPr="006F6171">
        <w:rPr>
          <w:b/>
          <w:szCs w:val="24"/>
        </w:rPr>
        <w:t>s</w:t>
      </w:r>
      <w:r w:rsidR="00BB3D09" w:rsidRPr="006F6171">
        <w:rPr>
          <w:szCs w:val="24"/>
        </w:rPr>
        <w:t xml:space="preserve"> </w:t>
      </w:r>
      <w:r w:rsidR="00792939" w:rsidRPr="006F6171">
        <w:rPr>
          <w:szCs w:val="24"/>
        </w:rPr>
        <w:br/>
      </w:r>
      <w:r w:rsidR="00792939" w:rsidRPr="006F6171">
        <w:rPr>
          <w:szCs w:val="24"/>
        </w:rPr>
        <w:br/>
      </w:r>
      <w:r w:rsidR="005E4E58" w:rsidRPr="006F6171">
        <w:rPr>
          <w:szCs w:val="24"/>
        </w:rPr>
        <w:t xml:space="preserve">Points </w:t>
      </w:r>
      <w:r w:rsidR="00C64458" w:rsidRPr="006F6171">
        <w:rPr>
          <w:szCs w:val="24"/>
        </w:rPr>
        <w:t xml:space="preserve">reductions </w:t>
      </w:r>
      <w:r w:rsidR="005E4E58" w:rsidRPr="006F6171">
        <w:rPr>
          <w:szCs w:val="24"/>
        </w:rPr>
        <w:t xml:space="preserve">are based on the </w:t>
      </w:r>
      <w:r w:rsidR="009F5EA5" w:rsidRPr="006F6171">
        <w:rPr>
          <w:szCs w:val="24"/>
        </w:rPr>
        <w:t xml:space="preserve">recent </w:t>
      </w:r>
      <w:r w:rsidR="005E4E58" w:rsidRPr="006F6171">
        <w:rPr>
          <w:szCs w:val="24"/>
        </w:rPr>
        <w:t xml:space="preserve">performance of the </w:t>
      </w:r>
      <w:r w:rsidR="001D1829" w:rsidRPr="006F6171">
        <w:rPr>
          <w:szCs w:val="24"/>
        </w:rPr>
        <w:t>Applicant. MaineHousing</w:t>
      </w:r>
      <w:r w:rsidR="00CD2439" w:rsidRPr="006F6171">
        <w:rPr>
          <w:szCs w:val="24"/>
        </w:rPr>
        <w:t xml:space="preserve"> may reject the Application if it determines </w:t>
      </w:r>
      <w:r w:rsidR="00DF10A8" w:rsidRPr="006F6171">
        <w:rPr>
          <w:szCs w:val="24"/>
        </w:rPr>
        <w:t xml:space="preserve">outstanding </w:t>
      </w:r>
      <w:r w:rsidR="00CD2439" w:rsidRPr="006F6171">
        <w:rPr>
          <w:szCs w:val="24"/>
        </w:rPr>
        <w:t>deficiencies are not addressed</w:t>
      </w:r>
      <w:r w:rsidR="009F5EA5" w:rsidRPr="006F6171">
        <w:rPr>
          <w:szCs w:val="24"/>
        </w:rPr>
        <w:t>, or</w:t>
      </w:r>
      <w:r w:rsidR="00CD2439" w:rsidRPr="006F6171">
        <w:rPr>
          <w:szCs w:val="24"/>
        </w:rPr>
        <w:t xml:space="preserve"> require financial statements from the Applicant, Principal</w:t>
      </w:r>
      <w:r w:rsidR="009F5EA5" w:rsidRPr="006F6171">
        <w:rPr>
          <w:szCs w:val="24"/>
        </w:rPr>
        <w:t>s</w:t>
      </w:r>
      <w:r w:rsidR="00CD2439" w:rsidRPr="006F6171">
        <w:rPr>
          <w:szCs w:val="24"/>
        </w:rPr>
        <w:t xml:space="preserve"> thereof, or Affiliate</w:t>
      </w:r>
      <w:r w:rsidR="009F5EA5" w:rsidRPr="006F6171">
        <w:rPr>
          <w:szCs w:val="24"/>
        </w:rPr>
        <w:t>s</w:t>
      </w:r>
      <w:r w:rsidR="00CD2439" w:rsidRPr="006F6171">
        <w:rPr>
          <w:szCs w:val="24"/>
        </w:rPr>
        <w:t>.</w:t>
      </w:r>
      <w:r w:rsidR="00596298" w:rsidRPr="006F6171">
        <w:rPr>
          <w:szCs w:val="24"/>
        </w:rPr>
        <w:t xml:space="preserve"> </w:t>
      </w:r>
    </w:p>
    <w:p w14:paraId="01659C07" w14:textId="77777777" w:rsidR="00845B0D" w:rsidRPr="006F6171" w:rsidRDefault="00845B0D" w:rsidP="00AE7278">
      <w:pPr>
        <w:tabs>
          <w:tab w:val="right" w:pos="9360"/>
        </w:tabs>
        <w:jc w:val="both"/>
        <w:rPr>
          <w:szCs w:val="24"/>
        </w:rPr>
      </w:pPr>
    </w:p>
    <w:tbl>
      <w:tblPr>
        <w:tblStyle w:val="TableGrid"/>
        <w:tblW w:w="8640" w:type="dxa"/>
        <w:tblInd w:w="715" w:type="dxa"/>
        <w:tblLayout w:type="fixed"/>
        <w:tblLook w:val="04A0" w:firstRow="1" w:lastRow="0" w:firstColumn="1" w:lastColumn="0" w:noHBand="0" w:noVBand="1"/>
      </w:tblPr>
      <w:tblGrid>
        <w:gridCol w:w="7290"/>
        <w:gridCol w:w="1350"/>
      </w:tblGrid>
      <w:tr w:rsidR="00BA24EB" w:rsidRPr="006F6171" w14:paraId="4D52FB14" w14:textId="77777777" w:rsidTr="00527B06">
        <w:tc>
          <w:tcPr>
            <w:tcW w:w="7290" w:type="dxa"/>
          </w:tcPr>
          <w:p w14:paraId="321F6294" w14:textId="3343CE4D" w:rsidR="00BA24EB" w:rsidRPr="006F6171" w:rsidRDefault="009F5EA5" w:rsidP="00C64458">
            <w:pPr>
              <w:pStyle w:val="ListParagraph"/>
              <w:ind w:left="-18"/>
              <w:jc w:val="both"/>
              <w:rPr>
                <w:rFonts w:ascii="Garamond" w:hAnsi="Garamond"/>
                <w:szCs w:val="24"/>
              </w:rPr>
            </w:pPr>
            <w:r w:rsidRPr="006F6171">
              <w:rPr>
                <w:rFonts w:ascii="Garamond" w:hAnsi="Garamond"/>
                <w:szCs w:val="24"/>
              </w:rPr>
              <w:t>H</w:t>
            </w:r>
            <w:r w:rsidR="00712CCB" w:rsidRPr="006F6171">
              <w:rPr>
                <w:rFonts w:ascii="Garamond" w:hAnsi="Garamond"/>
                <w:szCs w:val="24"/>
              </w:rPr>
              <w:t>as</w:t>
            </w:r>
            <w:r w:rsidRPr="006F6171">
              <w:rPr>
                <w:rFonts w:ascii="Garamond" w:hAnsi="Garamond"/>
                <w:szCs w:val="24"/>
              </w:rPr>
              <w:t xml:space="preserve"> been</w:t>
            </w:r>
            <w:r w:rsidR="00712CCB" w:rsidRPr="006F6171">
              <w:rPr>
                <w:rFonts w:ascii="Garamond" w:hAnsi="Garamond"/>
                <w:szCs w:val="24"/>
              </w:rPr>
              <w:t xml:space="preserve"> </w:t>
            </w:r>
            <w:r w:rsidR="00BA24EB" w:rsidRPr="006F6171">
              <w:rPr>
                <w:rFonts w:ascii="Garamond" w:hAnsi="Garamond"/>
                <w:szCs w:val="24"/>
              </w:rPr>
              <w:t xml:space="preserve">60 </w:t>
            </w:r>
            <w:r w:rsidR="005E1CCB" w:rsidRPr="006F6171">
              <w:rPr>
                <w:rFonts w:ascii="Garamond" w:hAnsi="Garamond"/>
                <w:szCs w:val="24"/>
              </w:rPr>
              <w:t xml:space="preserve">calendar </w:t>
            </w:r>
            <w:r w:rsidR="00BA24EB" w:rsidRPr="006F6171">
              <w:rPr>
                <w:rFonts w:ascii="Garamond" w:hAnsi="Garamond"/>
                <w:szCs w:val="24"/>
              </w:rPr>
              <w:t xml:space="preserve">days or more delinquent in the payment of any MaineHousing loan </w:t>
            </w:r>
            <w:r w:rsidR="001E4670" w:rsidRPr="006F6171">
              <w:rPr>
                <w:rFonts w:ascii="Garamond" w:hAnsi="Garamond"/>
                <w:szCs w:val="24"/>
              </w:rPr>
              <w:t xml:space="preserve">since </w:t>
            </w:r>
            <w:r w:rsidR="00F22807" w:rsidRPr="006F6171">
              <w:rPr>
                <w:rFonts w:ascii="Garamond" w:hAnsi="Garamond"/>
                <w:szCs w:val="24"/>
              </w:rPr>
              <w:t>September 2</w:t>
            </w:r>
            <w:r w:rsidRPr="006F6171">
              <w:rPr>
                <w:rFonts w:ascii="Garamond" w:hAnsi="Garamond"/>
                <w:szCs w:val="24"/>
              </w:rPr>
              <w:t>2</w:t>
            </w:r>
            <w:r w:rsidR="00F22807" w:rsidRPr="006F6171">
              <w:rPr>
                <w:rFonts w:ascii="Garamond" w:hAnsi="Garamond"/>
                <w:szCs w:val="24"/>
              </w:rPr>
              <w:t>,</w:t>
            </w:r>
            <w:r w:rsidR="001E4670" w:rsidRPr="006F6171">
              <w:rPr>
                <w:rFonts w:ascii="Garamond" w:hAnsi="Garamond"/>
                <w:szCs w:val="24"/>
              </w:rPr>
              <w:t xml:space="preserve"> 201</w:t>
            </w:r>
            <w:r w:rsidRPr="006F6171">
              <w:rPr>
                <w:rFonts w:ascii="Garamond" w:hAnsi="Garamond"/>
                <w:szCs w:val="24"/>
              </w:rPr>
              <w:t>4</w:t>
            </w:r>
            <w:r w:rsidR="001E4670" w:rsidRPr="006F6171">
              <w:rPr>
                <w:rFonts w:ascii="Garamond" w:hAnsi="Garamond"/>
                <w:szCs w:val="24"/>
              </w:rPr>
              <w:t xml:space="preserve"> </w:t>
            </w:r>
            <w:r w:rsidR="00BA24EB" w:rsidRPr="006F6171">
              <w:rPr>
                <w:rFonts w:ascii="Garamond" w:hAnsi="Garamond"/>
                <w:szCs w:val="24"/>
              </w:rPr>
              <w:t xml:space="preserve">(except delinquencies resulting from the delay or loss of Section 8 housing assistance payments), </w:t>
            </w:r>
            <w:r w:rsidR="00C64458" w:rsidRPr="006F6171">
              <w:rPr>
                <w:rFonts w:ascii="Garamond" w:hAnsi="Garamond"/>
                <w:szCs w:val="24"/>
              </w:rPr>
              <w:t>was</w:t>
            </w:r>
            <w:r w:rsidR="00BA24EB" w:rsidRPr="006F6171">
              <w:rPr>
                <w:rFonts w:ascii="Garamond" w:hAnsi="Garamond"/>
                <w:szCs w:val="24"/>
              </w:rPr>
              <w:t xml:space="preserve"> declared in default by MaineHousing</w:t>
            </w:r>
            <w:r w:rsidR="00712CCB" w:rsidRPr="006F6171">
              <w:rPr>
                <w:rFonts w:ascii="Garamond" w:hAnsi="Garamond"/>
                <w:szCs w:val="24"/>
              </w:rPr>
              <w:t xml:space="preserve">, </w:t>
            </w:r>
            <w:r w:rsidR="00C64458" w:rsidRPr="006F6171">
              <w:rPr>
                <w:rFonts w:ascii="Garamond" w:hAnsi="Garamond"/>
                <w:szCs w:val="24"/>
              </w:rPr>
              <w:t xml:space="preserve">or needed a financial workout for any project within the last 5 years. </w:t>
            </w:r>
          </w:p>
        </w:tc>
        <w:tc>
          <w:tcPr>
            <w:tcW w:w="1350" w:type="dxa"/>
          </w:tcPr>
          <w:p w14:paraId="79159DC8" w14:textId="1EEAFEBC" w:rsidR="00BA24EB" w:rsidRPr="006F6171" w:rsidRDefault="00C64458" w:rsidP="008416BF">
            <w:pPr>
              <w:pStyle w:val="ListParagraph"/>
              <w:ind w:left="0"/>
              <w:jc w:val="both"/>
              <w:rPr>
                <w:rFonts w:ascii="Garamond" w:hAnsi="Garamond"/>
                <w:b/>
                <w:szCs w:val="24"/>
              </w:rPr>
            </w:pPr>
            <w:r w:rsidRPr="006F6171">
              <w:rPr>
                <w:rFonts w:ascii="Garamond" w:hAnsi="Garamond"/>
                <w:b/>
                <w:szCs w:val="24"/>
              </w:rPr>
              <w:t>-</w:t>
            </w:r>
            <w:r w:rsidR="005E33E2" w:rsidRPr="006F6171">
              <w:rPr>
                <w:rFonts w:ascii="Garamond" w:hAnsi="Garamond"/>
                <w:b/>
                <w:szCs w:val="24"/>
              </w:rPr>
              <w:t>2 points</w:t>
            </w:r>
          </w:p>
        </w:tc>
      </w:tr>
      <w:tr w:rsidR="00BA24EB" w:rsidRPr="006F6171" w14:paraId="45836962" w14:textId="77777777" w:rsidTr="00527B06">
        <w:tc>
          <w:tcPr>
            <w:tcW w:w="7290" w:type="dxa"/>
          </w:tcPr>
          <w:p w14:paraId="0377026A" w14:textId="11C7E0DA" w:rsidR="00A049A5" w:rsidRPr="006F6171" w:rsidRDefault="00C64458" w:rsidP="0051540B">
            <w:pPr>
              <w:pStyle w:val="ListParagraph"/>
              <w:ind w:left="-18"/>
              <w:jc w:val="both"/>
              <w:rPr>
                <w:rFonts w:ascii="Garamond" w:hAnsi="Garamond"/>
                <w:szCs w:val="24"/>
              </w:rPr>
            </w:pPr>
            <w:r w:rsidRPr="006F6171">
              <w:rPr>
                <w:rFonts w:ascii="Garamond" w:hAnsi="Garamond"/>
                <w:szCs w:val="24"/>
              </w:rPr>
              <w:t xml:space="preserve">Had </w:t>
            </w:r>
            <w:r w:rsidR="004D2FEA" w:rsidRPr="006F6171">
              <w:rPr>
                <w:rFonts w:ascii="Garamond" w:hAnsi="Garamond"/>
                <w:szCs w:val="24"/>
              </w:rPr>
              <w:t>LIHTC Projects</w:t>
            </w:r>
            <w:r w:rsidR="00314FBB" w:rsidRPr="006F6171">
              <w:rPr>
                <w:rFonts w:ascii="Garamond" w:hAnsi="Garamond"/>
                <w:szCs w:val="24"/>
              </w:rPr>
              <w:t xml:space="preserve"> still </w:t>
            </w:r>
            <w:r w:rsidR="00ED7EE2" w:rsidRPr="006F6171">
              <w:rPr>
                <w:rFonts w:ascii="Garamond" w:hAnsi="Garamond"/>
                <w:szCs w:val="24"/>
              </w:rPr>
              <w:t xml:space="preserve">in their Compliance Period </w:t>
            </w:r>
            <w:r w:rsidR="00437189" w:rsidRPr="006F6171">
              <w:rPr>
                <w:rFonts w:ascii="Garamond" w:hAnsi="Garamond"/>
                <w:szCs w:val="24"/>
              </w:rPr>
              <w:t>had a year-end operating deficit, in the last full Fiscal Year, unless the operating deficit was fully funded by the Application deadline.</w:t>
            </w:r>
          </w:p>
        </w:tc>
        <w:tc>
          <w:tcPr>
            <w:tcW w:w="1350" w:type="dxa"/>
          </w:tcPr>
          <w:p w14:paraId="07A44F50" w14:textId="6FE11B88" w:rsidR="00BA24EB" w:rsidRPr="006F6171" w:rsidRDefault="00C64458" w:rsidP="0051540B">
            <w:pPr>
              <w:pStyle w:val="ListParagraph"/>
              <w:ind w:left="0"/>
              <w:jc w:val="both"/>
              <w:rPr>
                <w:rFonts w:ascii="Garamond" w:hAnsi="Garamond"/>
                <w:b/>
                <w:szCs w:val="24"/>
              </w:rPr>
            </w:pPr>
            <w:r w:rsidRPr="006F6171">
              <w:rPr>
                <w:rFonts w:ascii="Garamond" w:hAnsi="Garamond"/>
                <w:b/>
                <w:szCs w:val="24"/>
              </w:rPr>
              <w:t>-</w:t>
            </w:r>
            <w:r w:rsidR="0051540B" w:rsidRPr="006F6171">
              <w:rPr>
                <w:rFonts w:ascii="Garamond" w:hAnsi="Garamond"/>
                <w:b/>
                <w:szCs w:val="24"/>
              </w:rPr>
              <w:t>2</w:t>
            </w:r>
            <w:r w:rsidR="00275003" w:rsidRPr="006F6171">
              <w:rPr>
                <w:rFonts w:ascii="Garamond" w:hAnsi="Garamond"/>
                <w:b/>
                <w:szCs w:val="24"/>
              </w:rPr>
              <w:t xml:space="preserve"> point</w:t>
            </w:r>
            <w:r w:rsidR="00AE7278" w:rsidRPr="006F6171">
              <w:rPr>
                <w:rFonts w:ascii="Garamond" w:hAnsi="Garamond"/>
                <w:b/>
                <w:szCs w:val="24"/>
              </w:rPr>
              <w:t xml:space="preserve"> </w:t>
            </w:r>
          </w:p>
        </w:tc>
      </w:tr>
      <w:tr w:rsidR="00BA24EB" w:rsidRPr="006F6171" w14:paraId="5B806D1C" w14:textId="77777777" w:rsidTr="00527B06">
        <w:tc>
          <w:tcPr>
            <w:tcW w:w="7290" w:type="dxa"/>
          </w:tcPr>
          <w:p w14:paraId="5D6EACB7" w14:textId="53533115" w:rsidR="00BA24EB" w:rsidRPr="006F6171" w:rsidRDefault="009F5EA5" w:rsidP="004C0053">
            <w:pPr>
              <w:pStyle w:val="ListParagraph"/>
              <w:ind w:left="-18"/>
              <w:jc w:val="both"/>
              <w:rPr>
                <w:rFonts w:ascii="Garamond" w:hAnsi="Garamond"/>
                <w:szCs w:val="24"/>
              </w:rPr>
            </w:pPr>
            <w:r w:rsidRPr="006F6171">
              <w:rPr>
                <w:rFonts w:ascii="Garamond" w:hAnsi="Garamond"/>
                <w:szCs w:val="24"/>
              </w:rPr>
              <w:t>Was</w:t>
            </w:r>
            <w:r w:rsidR="00740795" w:rsidRPr="006F6171">
              <w:rPr>
                <w:rFonts w:ascii="Garamond" w:hAnsi="Garamond"/>
                <w:szCs w:val="24"/>
              </w:rPr>
              <w:t xml:space="preserve"> </w:t>
            </w:r>
            <w:r w:rsidR="00F450DF" w:rsidRPr="006F6171">
              <w:rPr>
                <w:rFonts w:ascii="Garamond" w:hAnsi="Garamond"/>
                <w:szCs w:val="24"/>
              </w:rPr>
              <w:t>(</w:t>
            </w:r>
            <w:r w:rsidR="00740795" w:rsidRPr="006F6171">
              <w:rPr>
                <w:rFonts w:ascii="Garamond" w:hAnsi="Garamond"/>
                <w:szCs w:val="24"/>
              </w:rPr>
              <w:t>a</w:t>
            </w:r>
            <w:r w:rsidR="00F450DF" w:rsidRPr="006F6171">
              <w:rPr>
                <w:rFonts w:ascii="Garamond" w:hAnsi="Garamond"/>
                <w:szCs w:val="24"/>
              </w:rPr>
              <w:t xml:space="preserve">) </w:t>
            </w:r>
            <w:r w:rsidR="006E45A1" w:rsidRPr="006F6171">
              <w:rPr>
                <w:rFonts w:ascii="Garamond" w:hAnsi="Garamond"/>
                <w:szCs w:val="24"/>
              </w:rPr>
              <w:t xml:space="preserve">issued an </w:t>
            </w:r>
            <w:smartTag w:uri="urn:schemas-microsoft-com:office:smarttags" w:element="stockticker">
              <w:r w:rsidR="006E45A1" w:rsidRPr="006F6171">
                <w:rPr>
                  <w:rFonts w:ascii="Garamond" w:hAnsi="Garamond"/>
                  <w:szCs w:val="24"/>
                </w:rPr>
                <w:t>IRS</w:t>
              </w:r>
            </w:smartTag>
            <w:r w:rsidR="006E45A1" w:rsidRPr="006F6171">
              <w:rPr>
                <w:rFonts w:ascii="Garamond" w:hAnsi="Garamond"/>
                <w:szCs w:val="24"/>
              </w:rPr>
              <w:t xml:space="preserve"> Form 8823 </w:t>
            </w:r>
            <w:r w:rsidR="00C64458" w:rsidRPr="006F6171">
              <w:rPr>
                <w:rFonts w:ascii="Garamond" w:hAnsi="Garamond"/>
                <w:szCs w:val="24"/>
              </w:rPr>
              <w:t xml:space="preserve">from owner non-performance; </w:t>
            </w:r>
            <w:r w:rsidR="007F0C9C" w:rsidRPr="006F6171">
              <w:rPr>
                <w:rFonts w:ascii="Garamond" w:hAnsi="Garamond"/>
                <w:szCs w:val="24"/>
              </w:rPr>
              <w:t xml:space="preserve">or </w:t>
            </w:r>
            <w:r w:rsidR="00F450DF" w:rsidRPr="006F6171">
              <w:rPr>
                <w:rFonts w:ascii="Garamond" w:hAnsi="Garamond"/>
                <w:szCs w:val="24"/>
              </w:rPr>
              <w:t>(</w:t>
            </w:r>
            <w:r w:rsidR="00740795" w:rsidRPr="006F6171">
              <w:rPr>
                <w:rFonts w:ascii="Garamond" w:hAnsi="Garamond"/>
                <w:szCs w:val="24"/>
              </w:rPr>
              <w:t>b</w:t>
            </w:r>
            <w:r w:rsidR="00F450DF" w:rsidRPr="006F6171">
              <w:rPr>
                <w:rFonts w:ascii="Garamond" w:hAnsi="Garamond"/>
                <w:szCs w:val="24"/>
              </w:rPr>
              <w:t xml:space="preserve">) </w:t>
            </w:r>
            <w:r w:rsidR="006E45A1" w:rsidRPr="006F6171">
              <w:rPr>
                <w:rFonts w:ascii="Garamond" w:hAnsi="Garamond"/>
                <w:szCs w:val="24"/>
              </w:rPr>
              <w:t xml:space="preserve">had an </w:t>
            </w:r>
            <w:smartTag w:uri="urn:schemas-microsoft-com:office:smarttags" w:element="stockticker">
              <w:r w:rsidR="006E45A1" w:rsidRPr="006F6171">
                <w:rPr>
                  <w:rFonts w:ascii="Garamond" w:hAnsi="Garamond"/>
                  <w:szCs w:val="24"/>
                </w:rPr>
                <w:t>IRS</w:t>
              </w:r>
            </w:smartTag>
            <w:r w:rsidR="006E45A1" w:rsidRPr="006F6171">
              <w:rPr>
                <w:rFonts w:ascii="Garamond" w:hAnsi="Garamond"/>
                <w:szCs w:val="24"/>
              </w:rPr>
              <w:t xml:space="preserve"> audit finding resulting in a recapture event</w:t>
            </w:r>
            <w:r w:rsidR="00F22807" w:rsidRPr="006F6171">
              <w:rPr>
                <w:rFonts w:ascii="Garamond" w:hAnsi="Garamond"/>
                <w:szCs w:val="24"/>
              </w:rPr>
              <w:t>, since September 2</w:t>
            </w:r>
            <w:r w:rsidRPr="006F6171">
              <w:rPr>
                <w:rFonts w:ascii="Garamond" w:hAnsi="Garamond"/>
                <w:szCs w:val="24"/>
              </w:rPr>
              <w:t>2</w:t>
            </w:r>
            <w:r w:rsidR="00F22807" w:rsidRPr="006F6171">
              <w:rPr>
                <w:rFonts w:ascii="Garamond" w:hAnsi="Garamond"/>
                <w:szCs w:val="24"/>
              </w:rPr>
              <w:t>, 201</w:t>
            </w:r>
            <w:r w:rsidRPr="006F6171">
              <w:rPr>
                <w:rFonts w:ascii="Garamond" w:hAnsi="Garamond"/>
                <w:szCs w:val="24"/>
              </w:rPr>
              <w:t>6</w:t>
            </w:r>
            <w:r w:rsidR="006E45A1" w:rsidRPr="006F6171">
              <w:rPr>
                <w:rFonts w:ascii="Garamond" w:hAnsi="Garamond"/>
                <w:szCs w:val="24"/>
              </w:rPr>
              <w:t>.</w:t>
            </w:r>
            <w:r w:rsidR="00F30695" w:rsidRPr="006F6171">
              <w:rPr>
                <w:rFonts w:ascii="Garamond" w:hAnsi="Garamond"/>
                <w:szCs w:val="24"/>
              </w:rPr>
              <w:t xml:space="preserve"> MaineHousing may consider, in its sole discretion, whether (a) or (b) resulted directly from</w:t>
            </w:r>
            <w:r w:rsidR="004C0053" w:rsidRPr="006F6171">
              <w:rPr>
                <w:rFonts w:ascii="Garamond" w:hAnsi="Garamond"/>
                <w:szCs w:val="24"/>
              </w:rPr>
              <w:t>:</w:t>
            </w:r>
            <w:r w:rsidR="00F30695" w:rsidRPr="006F6171">
              <w:rPr>
                <w:rFonts w:ascii="Garamond" w:hAnsi="Garamond"/>
                <w:szCs w:val="24"/>
              </w:rPr>
              <w:t xml:space="preserve"> the Applicant’s non-performance</w:t>
            </w:r>
            <w:r w:rsidR="004C0053" w:rsidRPr="006F6171">
              <w:rPr>
                <w:rFonts w:ascii="Garamond" w:hAnsi="Garamond"/>
                <w:szCs w:val="24"/>
              </w:rPr>
              <w:t>,</w:t>
            </w:r>
            <w:r w:rsidR="00F30695" w:rsidRPr="006F6171">
              <w:rPr>
                <w:rFonts w:ascii="Garamond" w:hAnsi="Garamond"/>
                <w:szCs w:val="24"/>
              </w:rPr>
              <w:t xml:space="preserve"> the performance of a</w:t>
            </w:r>
            <w:r w:rsidR="00B22268" w:rsidRPr="006F6171">
              <w:rPr>
                <w:rFonts w:ascii="Garamond" w:hAnsi="Garamond"/>
                <w:szCs w:val="24"/>
              </w:rPr>
              <w:t>n</w:t>
            </w:r>
            <w:r w:rsidR="00F30695" w:rsidRPr="006F6171">
              <w:rPr>
                <w:rFonts w:ascii="Garamond" w:hAnsi="Garamond"/>
                <w:szCs w:val="24"/>
              </w:rPr>
              <w:t xml:space="preserve"> unaffiliated third-party</w:t>
            </w:r>
            <w:r w:rsidR="004C0053" w:rsidRPr="006F6171">
              <w:rPr>
                <w:rFonts w:ascii="Garamond" w:hAnsi="Garamond"/>
                <w:szCs w:val="24"/>
              </w:rPr>
              <w:t>, or something outside the control of any affiliated party provided it was corrected appropriately within a reasonable timeframe</w:t>
            </w:r>
            <w:r w:rsidR="00F30695" w:rsidRPr="006F6171">
              <w:rPr>
                <w:rFonts w:ascii="Garamond" w:hAnsi="Garamond"/>
                <w:szCs w:val="24"/>
              </w:rPr>
              <w:t>.</w:t>
            </w:r>
          </w:p>
        </w:tc>
        <w:tc>
          <w:tcPr>
            <w:tcW w:w="1350" w:type="dxa"/>
          </w:tcPr>
          <w:p w14:paraId="79E4D9B2" w14:textId="66349DA1" w:rsidR="00BA24EB" w:rsidRPr="006F6171" w:rsidRDefault="00C64458" w:rsidP="008416BF">
            <w:pPr>
              <w:pStyle w:val="ListParagraph"/>
              <w:ind w:left="0"/>
              <w:jc w:val="both"/>
              <w:rPr>
                <w:rFonts w:ascii="Garamond" w:hAnsi="Garamond"/>
                <w:szCs w:val="24"/>
              </w:rPr>
            </w:pPr>
            <w:r w:rsidRPr="006F6171">
              <w:rPr>
                <w:rFonts w:ascii="Garamond" w:hAnsi="Garamond"/>
                <w:b/>
                <w:szCs w:val="24"/>
              </w:rPr>
              <w:t>-</w:t>
            </w:r>
            <w:r w:rsidR="00F16E7C" w:rsidRPr="006F6171">
              <w:rPr>
                <w:rFonts w:ascii="Garamond" w:hAnsi="Garamond"/>
                <w:b/>
                <w:szCs w:val="24"/>
              </w:rPr>
              <w:t>1</w:t>
            </w:r>
            <w:r w:rsidR="006E45A1" w:rsidRPr="006F6171">
              <w:rPr>
                <w:rFonts w:ascii="Garamond" w:hAnsi="Garamond"/>
                <w:b/>
                <w:szCs w:val="24"/>
              </w:rPr>
              <w:t xml:space="preserve"> point</w:t>
            </w:r>
          </w:p>
        </w:tc>
      </w:tr>
    </w:tbl>
    <w:p w14:paraId="68E6B74B" w14:textId="77777777" w:rsidR="00FE2373" w:rsidRPr="006F6171" w:rsidRDefault="00FE2373" w:rsidP="0029394F">
      <w:pPr>
        <w:tabs>
          <w:tab w:val="right" w:pos="9360"/>
        </w:tabs>
        <w:ind w:left="360"/>
        <w:jc w:val="both"/>
      </w:pPr>
    </w:p>
    <w:p w14:paraId="76129634" w14:textId="398ECD85" w:rsidR="00D565BD" w:rsidRPr="006F6171" w:rsidRDefault="00845B0D" w:rsidP="00A8328C">
      <w:pPr>
        <w:pStyle w:val="ListParagraph"/>
        <w:numPr>
          <w:ilvl w:val="0"/>
          <w:numId w:val="8"/>
        </w:numPr>
        <w:tabs>
          <w:tab w:val="right" w:pos="9360"/>
        </w:tabs>
        <w:ind w:hanging="720"/>
        <w:jc w:val="both"/>
        <w:rPr>
          <w:szCs w:val="24"/>
        </w:rPr>
      </w:pPr>
      <w:r w:rsidRPr="006F6171">
        <w:t xml:space="preserve">Management </w:t>
      </w:r>
      <w:r w:rsidR="00860A15" w:rsidRPr="006F6171">
        <w:t>Experience</w:t>
      </w:r>
      <w:r w:rsidRPr="006F6171">
        <w:rPr>
          <w:szCs w:val="24"/>
        </w:rPr>
        <w:t>.</w:t>
      </w:r>
      <w:r w:rsidR="006649C7" w:rsidRPr="006F6171">
        <w:rPr>
          <w:szCs w:val="24"/>
        </w:rPr>
        <w:t xml:space="preserve"> </w:t>
      </w:r>
      <w:r w:rsidR="006649C7" w:rsidRPr="006F6171">
        <w:rPr>
          <w:szCs w:val="24"/>
        </w:rPr>
        <w:tab/>
      </w:r>
      <w:r w:rsidR="006649C7" w:rsidRPr="006F6171">
        <w:rPr>
          <w:b/>
          <w:szCs w:val="24"/>
        </w:rPr>
        <w:t xml:space="preserve">Up to </w:t>
      </w:r>
      <w:r w:rsidR="00DD585B" w:rsidRPr="006F6171">
        <w:rPr>
          <w:b/>
          <w:szCs w:val="24"/>
        </w:rPr>
        <w:t>2</w:t>
      </w:r>
      <w:r w:rsidR="00BA5612" w:rsidRPr="006F6171">
        <w:rPr>
          <w:b/>
          <w:szCs w:val="24"/>
        </w:rPr>
        <w:t xml:space="preserve"> </w:t>
      </w:r>
      <w:r w:rsidR="00612573" w:rsidRPr="006F6171">
        <w:rPr>
          <w:b/>
          <w:szCs w:val="24"/>
        </w:rPr>
        <w:t>points</w:t>
      </w:r>
      <w:r w:rsidR="00BB3D09" w:rsidRPr="006F6171">
        <w:rPr>
          <w:szCs w:val="24"/>
        </w:rPr>
        <w:t xml:space="preserve"> </w:t>
      </w:r>
      <w:r w:rsidR="00612573" w:rsidRPr="006F6171">
        <w:rPr>
          <w:szCs w:val="24"/>
        </w:rPr>
        <w:br/>
      </w:r>
    </w:p>
    <w:p w14:paraId="4219408D" w14:textId="77777777" w:rsidR="00ED382F" w:rsidRPr="006F6171" w:rsidRDefault="00ED382F" w:rsidP="00ED382F">
      <w:pPr>
        <w:pStyle w:val="ListParagraph"/>
        <w:jc w:val="both"/>
        <w:rPr>
          <w:szCs w:val="24"/>
        </w:rPr>
      </w:pPr>
      <w:r w:rsidRPr="006F6171">
        <w:rPr>
          <w:szCs w:val="24"/>
        </w:rPr>
        <w:t>The company that will manage the Project has at least</w:t>
      </w:r>
    </w:p>
    <w:p w14:paraId="5DCE3E35" w14:textId="77777777" w:rsidR="00ED382F" w:rsidRPr="006F6171" w:rsidRDefault="00ED382F" w:rsidP="00ED382F">
      <w:pPr>
        <w:pStyle w:val="ListParagraph"/>
        <w:jc w:val="both"/>
        <w:rPr>
          <w:szCs w:val="24"/>
        </w:rPr>
      </w:pPr>
    </w:p>
    <w:tbl>
      <w:tblPr>
        <w:tblStyle w:val="TableGrid"/>
        <w:tblW w:w="0" w:type="auto"/>
        <w:tblInd w:w="720" w:type="dxa"/>
        <w:tblLook w:val="04A0" w:firstRow="1" w:lastRow="0" w:firstColumn="1" w:lastColumn="0" w:noHBand="0" w:noVBand="1"/>
      </w:tblPr>
      <w:tblGrid>
        <w:gridCol w:w="7285"/>
        <w:gridCol w:w="1259"/>
      </w:tblGrid>
      <w:tr w:rsidR="00ED382F" w:rsidRPr="006F6171" w14:paraId="420E0B6E" w14:textId="77777777" w:rsidTr="002654D1">
        <w:trPr>
          <w:trHeight w:val="584"/>
        </w:trPr>
        <w:tc>
          <w:tcPr>
            <w:tcW w:w="7285" w:type="dxa"/>
          </w:tcPr>
          <w:p w14:paraId="4C35610D" w14:textId="2A09604D" w:rsidR="00ED382F" w:rsidRPr="006F6171" w:rsidRDefault="00ED382F" w:rsidP="00F82A1D">
            <w:pPr>
              <w:rPr>
                <w:rFonts w:ascii="Garamond" w:hAnsi="Garamond"/>
                <w:szCs w:val="24"/>
              </w:rPr>
            </w:pPr>
            <w:r w:rsidRPr="006F6171">
              <w:rPr>
                <w:rFonts w:ascii="Garamond" w:hAnsi="Garamond"/>
                <w:szCs w:val="24"/>
              </w:rPr>
              <w:t>one (1) staff person with a minimum of three (3) years of experience successfully managing</w:t>
            </w:r>
            <w:r w:rsidR="00C3754C" w:rsidRPr="006F6171">
              <w:rPr>
                <w:rFonts w:ascii="Garamond" w:hAnsi="Garamond"/>
                <w:szCs w:val="24"/>
              </w:rPr>
              <w:t>: (a)</w:t>
            </w:r>
            <w:r w:rsidRPr="006F6171">
              <w:rPr>
                <w:rFonts w:ascii="Garamond" w:hAnsi="Garamond"/>
                <w:szCs w:val="24"/>
              </w:rPr>
              <w:t xml:space="preserve"> at least one (1) LIHTC Project</w:t>
            </w:r>
            <w:r w:rsidR="00C3754C" w:rsidRPr="006F6171">
              <w:rPr>
                <w:rFonts w:ascii="Garamond" w:hAnsi="Garamond"/>
                <w:szCs w:val="24"/>
              </w:rPr>
              <w:t>; or (b) at least one (1) low income housing property developed under a Federal program that is substantially similar to LIHTC, to be determined at MaineHousing’s sole discretion</w:t>
            </w:r>
            <w:r w:rsidR="002654D1" w:rsidRPr="006F6171">
              <w:rPr>
                <w:rFonts w:ascii="Garamond" w:hAnsi="Garamond"/>
                <w:szCs w:val="24"/>
              </w:rPr>
              <w:t>.</w:t>
            </w:r>
          </w:p>
        </w:tc>
        <w:tc>
          <w:tcPr>
            <w:tcW w:w="1259" w:type="dxa"/>
          </w:tcPr>
          <w:p w14:paraId="36D91BD8" w14:textId="6149798F" w:rsidR="00ED382F" w:rsidRPr="006F6171" w:rsidRDefault="00DD585B" w:rsidP="0051540B">
            <w:pPr>
              <w:pStyle w:val="ListParagraph"/>
              <w:ind w:left="0"/>
              <w:jc w:val="both"/>
              <w:rPr>
                <w:rFonts w:ascii="Garamond" w:hAnsi="Garamond"/>
                <w:b/>
                <w:szCs w:val="24"/>
              </w:rPr>
            </w:pPr>
            <w:r w:rsidRPr="006F6171">
              <w:rPr>
                <w:rFonts w:ascii="Garamond" w:hAnsi="Garamond"/>
                <w:b/>
                <w:szCs w:val="24"/>
              </w:rPr>
              <w:t>1</w:t>
            </w:r>
            <w:r w:rsidR="00ED382F" w:rsidRPr="006F6171">
              <w:rPr>
                <w:rFonts w:ascii="Garamond" w:hAnsi="Garamond"/>
                <w:b/>
                <w:szCs w:val="24"/>
              </w:rPr>
              <w:t xml:space="preserve"> point</w:t>
            </w:r>
          </w:p>
        </w:tc>
      </w:tr>
      <w:tr w:rsidR="00ED382F" w:rsidRPr="006F6171" w14:paraId="05AB534D" w14:textId="77777777" w:rsidTr="00FD5504">
        <w:trPr>
          <w:trHeight w:val="557"/>
        </w:trPr>
        <w:tc>
          <w:tcPr>
            <w:tcW w:w="7285" w:type="dxa"/>
          </w:tcPr>
          <w:p w14:paraId="2FD94C42" w14:textId="77777777" w:rsidR="00ED382F" w:rsidRPr="006F6171" w:rsidRDefault="00ED382F" w:rsidP="002654D1">
            <w:pPr>
              <w:rPr>
                <w:rFonts w:ascii="Garamond" w:hAnsi="Garamond"/>
                <w:szCs w:val="24"/>
              </w:rPr>
            </w:pPr>
            <w:r w:rsidRPr="006F6171">
              <w:rPr>
                <w:rFonts w:ascii="Garamond" w:hAnsi="Garamond"/>
                <w:szCs w:val="24"/>
              </w:rPr>
              <w:t xml:space="preserve">one (1) staff person with LIHTC training for every 150 units in LIHTC Project(s) the company plans to manage. </w:t>
            </w:r>
          </w:p>
        </w:tc>
        <w:tc>
          <w:tcPr>
            <w:tcW w:w="1259" w:type="dxa"/>
          </w:tcPr>
          <w:p w14:paraId="3E4F5CE3" w14:textId="79F94BD4" w:rsidR="00ED382F" w:rsidRPr="006F6171" w:rsidRDefault="00DD585B" w:rsidP="0051540B">
            <w:pPr>
              <w:pStyle w:val="ListParagraph"/>
              <w:ind w:left="0"/>
              <w:jc w:val="both"/>
              <w:rPr>
                <w:rFonts w:ascii="Garamond" w:hAnsi="Garamond"/>
                <w:b/>
                <w:szCs w:val="24"/>
              </w:rPr>
            </w:pPr>
            <w:r w:rsidRPr="006F6171">
              <w:rPr>
                <w:rFonts w:ascii="Garamond" w:hAnsi="Garamond"/>
                <w:b/>
                <w:szCs w:val="24"/>
              </w:rPr>
              <w:t>1</w:t>
            </w:r>
            <w:r w:rsidR="00ED382F" w:rsidRPr="006F6171">
              <w:rPr>
                <w:rFonts w:ascii="Garamond" w:hAnsi="Garamond"/>
                <w:b/>
                <w:szCs w:val="24"/>
              </w:rPr>
              <w:t xml:space="preserve"> point</w:t>
            </w:r>
          </w:p>
        </w:tc>
      </w:tr>
    </w:tbl>
    <w:p w14:paraId="18A7547E" w14:textId="77777777" w:rsidR="00FE2373" w:rsidRPr="006F6171" w:rsidRDefault="00FE2373" w:rsidP="0029394F">
      <w:pPr>
        <w:tabs>
          <w:tab w:val="right" w:pos="9360"/>
        </w:tabs>
        <w:ind w:left="360"/>
        <w:jc w:val="both"/>
      </w:pPr>
    </w:p>
    <w:p w14:paraId="66611CFE" w14:textId="6BDF08C9" w:rsidR="00612573" w:rsidRPr="006F6171" w:rsidRDefault="00845B0D" w:rsidP="00A8328C">
      <w:pPr>
        <w:pStyle w:val="ListParagraph"/>
        <w:numPr>
          <w:ilvl w:val="0"/>
          <w:numId w:val="8"/>
        </w:numPr>
        <w:tabs>
          <w:tab w:val="right" w:pos="9360"/>
        </w:tabs>
        <w:ind w:hanging="720"/>
        <w:jc w:val="both"/>
        <w:rPr>
          <w:szCs w:val="24"/>
        </w:rPr>
      </w:pPr>
      <w:r w:rsidRPr="006F6171">
        <w:t>Management Performance</w:t>
      </w:r>
      <w:r w:rsidRPr="006F6171">
        <w:rPr>
          <w:szCs w:val="24"/>
        </w:rPr>
        <w:t>.</w:t>
      </w:r>
      <w:r w:rsidR="00225847" w:rsidRPr="006F6171">
        <w:rPr>
          <w:szCs w:val="24"/>
        </w:rPr>
        <w:tab/>
      </w:r>
      <w:r w:rsidR="00DB18E9" w:rsidRPr="006F6171">
        <w:rPr>
          <w:szCs w:val="24"/>
        </w:rPr>
        <w:t xml:space="preserve">   </w:t>
      </w:r>
      <w:r w:rsidR="00ED382F" w:rsidRPr="006F6171">
        <w:rPr>
          <w:b/>
          <w:szCs w:val="24"/>
        </w:rPr>
        <w:t>Up</w:t>
      </w:r>
      <w:r w:rsidR="00DA6B84" w:rsidRPr="006F6171">
        <w:rPr>
          <w:b/>
          <w:szCs w:val="24"/>
        </w:rPr>
        <w:t xml:space="preserve"> to </w:t>
      </w:r>
      <w:r w:rsidR="00DD585B" w:rsidRPr="006F6171">
        <w:rPr>
          <w:b/>
          <w:szCs w:val="24"/>
        </w:rPr>
        <w:t xml:space="preserve">a </w:t>
      </w:r>
      <w:r w:rsidR="00ED382F" w:rsidRPr="006F6171">
        <w:rPr>
          <w:b/>
          <w:szCs w:val="24"/>
        </w:rPr>
        <w:t>3</w:t>
      </w:r>
      <w:r w:rsidR="001D6696" w:rsidRPr="006F6171">
        <w:rPr>
          <w:b/>
          <w:szCs w:val="24"/>
        </w:rPr>
        <w:t xml:space="preserve"> point</w:t>
      </w:r>
      <w:r w:rsidR="00DD585B" w:rsidRPr="006F6171">
        <w:rPr>
          <w:b/>
          <w:szCs w:val="24"/>
        </w:rPr>
        <w:t xml:space="preserve"> loss</w:t>
      </w:r>
      <w:r w:rsidR="00BB3D09" w:rsidRPr="006F6171">
        <w:rPr>
          <w:szCs w:val="24"/>
        </w:rPr>
        <w:t xml:space="preserve"> </w:t>
      </w:r>
    </w:p>
    <w:p w14:paraId="36A23775" w14:textId="77777777" w:rsidR="00ED382F" w:rsidRPr="006F6171" w:rsidRDefault="00ED382F" w:rsidP="00ED382F">
      <w:pPr>
        <w:rPr>
          <w:szCs w:val="24"/>
        </w:rPr>
      </w:pPr>
    </w:p>
    <w:p w14:paraId="08364EA9" w14:textId="102E0CF0" w:rsidR="00ED382F" w:rsidRPr="006F6171" w:rsidRDefault="00ED382F" w:rsidP="00286394">
      <w:pPr>
        <w:ind w:left="720"/>
        <w:rPr>
          <w:szCs w:val="24"/>
        </w:rPr>
      </w:pPr>
      <w:r w:rsidRPr="006F6171">
        <w:rPr>
          <w:szCs w:val="24"/>
        </w:rPr>
        <w:t xml:space="preserve">Management Companies </w:t>
      </w:r>
      <w:r w:rsidR="0051540B" w:rsidRPr="006F6171">
        <w:rPr>
          <w:szCs w:val="24"/>
        </w:rPr>
        <w:t>which</w:t>
      </w:r>
      <w:r w:rsidRPr="006F6171">
        <w:rPr>
          <w:szCs w:val="24"/>
        </w:rPr>
        <w:t xml:space="preserve"> have </w:t>
      </w:r>
      <w:r w:rsidR="0051540B" w:rsidRPr="006F6171">
        <w:rPr>
          <w:szCs w:val="24"/>
        </w:rPr>
        <w:t>shown</w:t>
      </w:r>
      <w:r w:rsidRPr="006F6171">
        <w:rPr>
          <w:szCs w:val="24"/>
        </w:rPr>
        <w:t xml:space="preserve"> </w:t>
      </w:r>
      <w:r w:rsidR="00DD585B" w:rsidRPr="006F6171">
        <w:rPr>
          <w:szCs w:val="24"/>
        </w:rPr>
        <w:t xml:space="preserve">instances of poor </w:t>
      </w:r>
      <w:r w:rsidRPr="006F6171">
        <w:rPr>
          <w:szCs w:val="24"/>
        </w:rPr>
        <w:t xml:space="preserve">performance in their management of LIHTC Projects still in their Compliance Period </w:t>
      </w:r>
      <w:r w:rsidR="00DD585B" w:rsidRPr="006F6171">
        <w:rPr>
          <w:szCs w:val="24"/>
        </w:rPr>
        <w:t xml:space="preserve">may lose </w:t>
      </w:r>
      <w:r w:rsidRPr="006F6171">
        <w:rPr>
          <w:szCs w:val="24"/>
        </w:rPr>
        <w:t xml:space="preserve">points as follows.  </w:t>
      </w:r>
    </w:p>
    <w:p w14:paraId="267463FE" w14:textId="77777777" w:rsidR="00ED382F" w:rsidRPr="006F6171" w:rsidRDefault="00ED382F" w:rsidP="00ED382F">
      <w:pPr>
        <w:rPr>
          <w:szCs w:val="24"/>
        </w:rPr>
      </w:pPr>
    </w:p>
    <w:tbl>
      <w:tblPr>
        <w:tblStyle w:val="TableGrid"/>
        <w:tblW w:w="0" w:type="auto"/>
        <w:tblInd w:w="715" w:type="dxa"/>
        <w:tblLook w:val="04A0" w:firstRow="1" w:lastRow="0" w:firstColumn="1" w:lastColumn="0" w:noHBand="0" w:noVBand="1"/>
      </w:tblPr>
      <w:tblGrid>
        <w:gridCol w:w="7290"/>
        <w:gridCol w:w="1259"/>
      </w:tblGrid>
      <w:tr w:rsidR="00ED382F" w:rsidRPr="006F6171" w14:paraId="38200738" w14:textId="77777777" w:rsidTr="002654D1">
        <w:trPr>
          <w:trHeight w:val="575"/>
        </w:trPr>
        <w:tc>
          <w:tcPr>
            <w:tcW w:w="7290" w:type="dxa"/>
          </w:tcPr>
          <w:p w14:paraId="5A2CBC65" w14:textId="798B2D76" w:rsidR="00ED382F" w:rsidRPr="006F6171" w:rsidRDefault="00ED382F" w:rsidP="00DD585B">
            <w:pPr>
              <w:rPr>
                <w:rFonts w:ascii="Garamond" w:hAnsi="Garamond"/>
                <w:szCs w:val="24"/>
              </w:rPr>
            </w:pPr>
            <w:r w:rsidRPr="006F6171">
              <w:rPr>
                <w:rFonts w:ascii="Garamond" w:hAnsi="Garamond"/>
                <w:szCs w:val="24"/>
              </w:rPr>
              <w:t xml:space="preserve">The </w:t>
            </w:r>
            <w:r w:rsidR="008B619C" w:rsidRPr="006F6171">
              <w:rPr>
                <w:rFonts w:ascii="Garamond" w:hAnsi="Garamond"/>
                <w:szCs w:val="24"/>
              </w:rPr>
              <w:t xml:space="preserve">average of </w:t>
            </w:r>
            <w:r w:rsidR="000E4357" w:rsidRPr="006F6171">
              <w:rPr>
                <w:rFonts w:ascii="Garamond" w:hAnsi="Garamond"/>
                <w:szCs w:val="24"/>
              </w:rPr>
              <w:t xml:space="preserve">the most recent </w:t>
            </w:r>
            <w:r w:rsidRPr="006F6171">
              <w:rPr>
                <w:rFonts w:ascii="Garamond" w:hAnsi="Garamond"/>
                <w:szCs w:val="24"/>
              </w:rPr>
              <w:t>physical plant inspection</w:t>
            </w:r>
            <w:r w:rsidR="008B619C" w:rsidRPr="006F6171">
              <w:rPr>
                <w:rFonts w:ascii="Garamond" w:hAnsi="Garamond"/>
                <w:szCs w:val="24"/>
              </w:rPr>
              <w:t xml:space="preserve"> </w:t>
            </w:r>
            <w:r w:rsidRPr="006F6171">
              <w:rPr>
                <w:rFonts w:ascii="Garamond" w:hAnsi="Garamond"/>
                <w:szCs w:val="24"/>
              </w:rPr>
              <w:t>s</w:t>
            </w:r>
            <w:r w:rsidR="008B619C" w:rsidRPr="006F6171">
              <w:rPr>
                <w:rFonts w:ascii="Garamond" w:hAnsi="Garamond"/>
                <w:szCs w:val="24"/>
              </w:rPr>
              <w:t>cores</w:t>
            </w:r>
            <w:r w:rsidRPr="006F6171">
              <w:rPr>
                <w:rFonts w:ascii="Garamond" w:hAnsi="Garamond"/>
                <w:szCs w:val="24"/>
              </w:rPr>
              <w:t xml:space="preserve"> </w:t>
            </w:r>
            <w:r w:rsidR="00677931" w:rsidRPr="006F6171">
              <w:rPr>
                <w:rFonts w:ascii="Garamond" w:hAnsi="Garamond"/>
                <w:szCs w:val="24"/>
              </w:rPr>
              <w:t>as of</w:t>
            </w:r>
            <w:r w:rsidR="00310A25" w:rsidRPr="006F6171">
              <w:rPr>
                <w:rFonts w:ascii="Garamond" w:hAnsi="Garamond"/>
                <w:szCs w:val="24"/>
              </w:rPr>
              <w:t xml:space="preserve"> Ju</w:t>
            </w:r>
            <w:r w:rsidR="006C25F5" w:rsidRPr="006F6171">
              <w:rPr>
                <w:rFonts w:ascii="Garamond" w:hAnsi="Garamond"/>
                <w:szCs w:val="24"/>
              </w:rPr>
              <w:t>ne 30</w:t>
            </w:r>
            <w:r w:rsidR="00310A25" w:rsidRPr="006F6171">
              <w:rPr>
                <w:rFonts w:ascii="Garamond" w:hAnsi="Garamond"/>
                <w:szCs w:val="24"/>
              </w:rPr>
              <w:t xml:space="preserve"> before </w:t>
            </w:r>
            <w:r w:rsidRPr="006F6171">
              <w:rPr>
                <w:rFonts w:ascii="Garamond" w:hAnsi="Garamond"/>
                <w:szCs w:val="24"/>
              </w:rPr>
              <w:t xml:space="preserve">the Application deadline </w:t>
            </w:r>
            <w:r w:rsidR="00310A25" w:rsidRPr="006F6171">
              <w:rPr>
                <w:rFonts w:ascii="Garamond" w:hAnsi="Garamond"/>
                <w:szCs w:val="24"/>
              </w:rPr>
              <w:t xml:space="preserve">is </w:t>
            </w:r>
            <w:r w:rsidR="00DD585B" w:rsidRPr="006F6171">
              <w:rPr>
                <w:rFonts w:ascii="Garamond" w:hAnsi="Garamond"/>
                <w:szCs w:val="24"/>
              </w:rPr>
              <w:t>below</w:t>
            </w:r>
            <w:r w:rsidR="00310A25" w:rsidRPr="006F6171">
              <w:rPr>
                <w:rFonts w:ascii="Garamond" w:hAnsi="Garamond"/>
                <w:szCs w:val="24"/>
              </w:rPr>
              <w:t xml:space="preserve"> </w:t>
            </w:r>
            <w:r w:rsidR="006C25F5" w:rsidRPr="006F6171">
              <w:rPr>
                <w:rFonts w:ascii="Garamond" w:hAnsi="Garamond"/>
                <w:szCs w:val="24"/>
              </w:rPr>
              <w:t>A</w:t>
            </w:r>
            <w:r w:rsidR="00310A25" w:rsidRPr="006F6171">
              <w:rPr>
                <w:rFonts w:ascii="Garamond" w:hAnsi="Garamond"/>
                <w:szCs w:val="24"/>
              </w:rPr>
              <w:t>bove</w:t>
            </w:r>
            <w:r w:rsidR="00A82F8B" w:rsidRPr="006F6171">
              <w:rPr>
                <w:rFonts w:ascii="Garamond" w:hAnsi="Garamond"/>
                <w:szCs w:val="24"/>
              </w:rPr>
              <w:t xml:space="preserve"> </w:t>
            </w:r>
            <w:r w:rsidR="006C25F5" w:rsidRPr="006F6171">
              <w:rPr>
                <w:rFonts w:ascii="Garamond" w:hAnsi="Garamond"/>
                <w:szCs w:val="24"/>
              </w:rPr>
              <w:t>A</w:t>
            </w:r>
            <w:r w:rsidRPr="006F6171">
              <w:rPr>
                <w:rFonts w:ascii="Garamond" w:hAnsi="Garamond"/>
                <w:szCs w:val="24"/>
              </w:rPr>
              <w:t>verage</w:t>
            </w:r>
            <w:r w:rsidR="00DD585B" w:rsidRPr="006F6171">
              <w:rPr>
                <w:rFonts w:ascii="Garamond" w:hAnsi="Garamond"/>
                <w:szCs w:val="24"/>
              </w:rPr>
              <w:t>.</w:t>
            </w:r>
          </w:p>
        </w:tc>
        <w:tc>
          <w:tcPr>
            <w:tcW w:w="1259" w:type="dxa"/>
          </w:tcPr>
          <w:p w14:paraId="01446695" w14:textId="621C192D" w:rsidR="00ED382F" w:rsidRPr="006F6171" w:rsidRDefault="00DD585B" w:rsidP="002654D1">
            <w:pPr>
              <w:rPr>
                <w:rFonts w:ascii="Garamond" w:hAnsi="Garamond"/>
                <w:b/>
                <w:szCs w:val="24"/>
              </w:rPr>
            </w:pPr>
            <w:r w:rsidRPr="006F6171">
              <w:rPr>
                <w:rFonts w:ascii="Garamond" w:hAnsi="Garamond"/>
                <w:b/>
                <w:szCs w:val="24"/>
              </w:rPr>
              <w:t>-</w:t>
            </w:r>
            <w:r w:rsidR="00ED382F" w:rsidRPr="006F6171">
              <w:rPr>
                <w:rFonts w:ascii="Garamond" w:hAnsi="Garamond"/>
                <w:b/>
                <w:szCs w:val="24"/>
              </w:rPr>
              <w:t>1 point</w:t>
            </w:r>
          </w:p>
        </w:tc>
      </w:tr>
      <w:tr w:rsidR="00ED382F" w:rsidRPr="006F6171" w14:paraId="538B11AA" w14:textId="77777777" w:rsidTr="00FD5504">
        <w:tc>
          <w:tcPr>
            <w:tcW w:w="7290" w:type="dxa"/>
          </w:tcPr>
          <w:p w14:paraId="3FC1C5D0" w14:textId="44F648FA" w:rsidR="00ED382F" w:rsidRPr="006F6171" w:rsidRDefault="00ED382F" w:rsidP="00DD585B">
            <w:pPr>
              <w:rPr>
                <w:rFonts w:ascii="Garamond" w:hAnsi="Garamond"/>
                <w:szCs w:val="24"/>
              </w:rPr>
            </w:pPr>
            <w:r w:rsidRPr="006F6171">
              <w:rPr>
                <w:rFonts w:ascii="Garamond" w:hAnsi="Garamond"/>
                <w:szCs w:val="24"/>
              </w:rPr>
              <w:t>The</w:t>
            </w:r>
            <w:r w:rsidR="00310A25" w:rsidRPr="006F6171">
              <w:rPr>
                <w:rFonts w:ascii="Garamond" w:hAnsi="Garamond"/>
                <w:szCs w:val="24"/>
              </w:rPr>
              <w:t xml:space="preserve"> average of </w:t>
            </w:r>
            <w:r w:rsidRPr="006F6171">
              <w:rPr>
                <w:rFonts w:ascii="Garamond" w:hAnsi="Garamond"/>
                <w:szCs w:val="24"/>
              </w:rPr>
              <w:t>Project Reports submi</w:t>
            </w:r>
            <w:r w:rsidR="00310A25" w:rsidRPr="006F6171">
              <w:rPr>
                <w:rFonts w:ascii="Garamond" w:hAnsi="Garamond"/>
                <w:szCs w:val="24"/>
              </w:rPr>
              <w:t xml:space="preserve">ssion scores for the last reporting period </w:t>
            </w:r>
            <w:r w:rsidR="006C25F5" w:rsidRPr="006F6171">
              <w:rPr>
                <w:rFonts w:ascii="Garamond" w:hAnsi="Garamond"/>
                <w:szCs w:val="24"/>
              </w:rPr>
              <w:t>as of June 30</w:t>
            </w:r>
            <w:r w:rsidR="00310A25" w:rsidRPr="006F6171">
              <w:rPr>
                <w:rFonts w:ascii="Garamond" w:hAnsi="Garamond"/>
                <w:szCs w:val="24"/>
              </w:rPr>
              <w:t xml:space="preserve"> before </w:t>
            </w:r>
            <w:r w:rsidRPr="006F6171">
              <w:rPr>
                <w:rFonts w:ascii="Garamond" w:hAnsi="Garamond"/>
                <w:szCs w:val="24"/>
              </w:rPr>
              <w:t xml:space="preserve">the </w:t>
            </w:r>
            <w:r w:rsidR="00310A25" w:rsidRPr="006F6171">
              <w:rPr>
                <w:rFonts w:ascii="Garamond" w:hAnsi="Garamond"/>
                <w:szCs w:val="24"/>
              </w:rPr>
              <w:t>Application</w:t>
            </w:r>
            <w:r w:rsidRPr="006F6171">
              <w:rPr>
                <w:rFonts w:ascii="Garamond" w:hAnsi="Garamond"/>
                <w:szCs w:val="24"/>
              </w:rPr>
              <w:t xml:space="preserve"> deadline </w:t>
            </w:r>
            <w:r w:rsidR="00310A25" w:rsidRPr="006F6171">
              <w:rPr>
                <w:rFonts w:ascii="Garamond" w:hAnsi="Garamond"/>
                <w:szCs w:val="24"/>
              </w:rPr>
              <w:t xml:space="preserve">is </w:t>
            </w:r>
            <w:r w:rsidR="00DD585B" w:rsidRPr="006F6171">
              <w:rPr>
                <w:rFonts w:ascii="Garamond" w:hAnsi="Garamond"/>
                <w:szCs w:val="24"/>
              </w:rPr>
              <w:t>below</w:t>
            </w:r>
            <w:r w:rsidR="00310A25" w:rsidRPr="006F6171">
              <w:rPr>
                <w:rFonts w:ascii="Garamond" w:hAnsi="Garamond"/>
                <w:szCs w:val="24"/>
              </w:rPr>
              <w:t xml:space="preserve"> </w:t>
            </w:r>
            <w:r w:rsidR="006C25F5" w:rsidRPr="006F6171">
              <w:rPr>
                <w:rFonts w:ascii="Garamond" w:hAnsi="Garamond"/>
                <w:szCs w:val="24"/>
              </w:rPr>
              <w:t>A</w:t>
            </w:r>
            <w:r w:rsidR="00310A25" w:rsidRPr="006F6171">
              <w:rPr>
                <w:rFonts w:ascii="Garamond" w:hAnsi="Garamond"/>
                <w:szCs w:val="24"/>
              </w:rPr>
              <w:t xml:space="preserve">bove </w:t>
            </w:r>
            <w:r w:rsidR="006C25F5" w:rsidRPr="006F6171">
              <w:rPr>
                <w:rFonts w:ascii="Garamond" w:hAnsi="Garamond"/>
                <w:szCs w:val="24"/>
              </w:rPr>
              <w:t>A</w:t>
            </w:r>
            <w:r w:rsidR="00310A25" w:rsidRPr="006F6171">
              <w:rPr>
                <w:rFonts w:ascii="Garamond" w:hAnsi="Garamond"/>
                <w:szCs w:val="24"/>
              </w:rPr>
              <w:t>verage.</w:t>
            </w:r>
            <w:r w:rsidRPr="006F6171">
              <w:rPr>
                <w:rFonts w:ascii="Garamond" w:hAnsi="Garamond"/>
                <w:szCs w:val="24"/>
              </w:rPr>
              <w:t xml:space="preserve"> </w:t>
            </w:r>
          </w:p>
        </w:tc>
        <w:tc>
          <w:tcPr>
            <w:tcW w:w="1259" w:type="dxa"/>
          </w:tcPr>
          <w:p w14:paraId="07CE9309" w14:textId="0E28E36A" w:rsidR="00ED382F" w:rsidRPr="006F6171" w:rsidRDefault="00DD585B" w:rsidP="00ED382F">
            <w:pPr>
              <w:rPr>
                <w:rFonts w:ascii="Garamond" w:hAnsi="Garamond"/>
                <w:b/>
                <w:szCs w:val="24"/>
              </w:rPr>
            </w:pPr>
            <w:r w:rsidRPr="006F6171">
              <w:rPr>
                <w:rFonts w:ascii="Garamond" w:hAnsi="Garamond"/>
                <w:b/>
                <w:szCs w:val="24"/>
              </w:rPr>
              <w:t>-</w:t>
            </w:r>
            <w:r w:rsidR="00ED382F" w:rsidRPr="006F6171">
              <w:rPr>
                <w:rFonts w:ascii="Garamond" w:hAnsi="Garamond"/>
                <w:b/>
                <w:szCs w:val="24"/>
              </w:rPr>
              <w:t>1 point</w:t>
            </w:r>
          </w:p>
          <w:p w14:paraId="1AEB64E9" w14:textId="77777777" w:rsidR="00ED382F" w:rsidRPr="006F6171" w:rsidRDefault="00ED382F" w:rsidP="00ED382F">
            <w:pPr>
              <w:rPr>
                <w:rFonts w:ascii="Garamond" w:hAnsi="Garamond"/>
                <w:b/>
                <w:szCs w:val="24"/>
              </w:rPr>
            </w:pPr>
          </w:p>
        </w:tc>
      </w:tr>
      <w:tr w:rsidR="00ED382F" w:rsidRPr="006F6171" w14:paraId="5E10A15A" w14:textId="77777777" w:rsidTr="00FD5504">
        <w:tc>
          <w:tcPr>
            <w:tcW w:w="7290" w:type="dxa"/>
          </w:tcPr>
          <w:p w14:paraId="19318A7D" w14:textId="269428E5" w:rsidR="00ED382F" w:rsidRPr="006F6171" w:rsidRDefault="00ED382F" w:rsidP="00DD585B">
            <w:pPr>
              <w:rPr>
                <w:rFonts w:ascii="Garamond" w:hAnsi="Garamond"/>
                <w:szCs w:val="24"/>
              </w:rPr>
            </w:pPr>
            <w:r w:rsidRPr="006F6171">
              <w:rPr>
                <w:rFonts w:ascii="Garamond" w:hAnsi="Garamond"/>
                <w:szCs w:val="24"/>
              </w:rPr>
              <w:lastRenderedPageBreak/>
              <w:t xml:space="preserve">The </w:t>
            </w:r>
            <w:r w:rsidR="00310A25" w:rsidRPr="006F6171">
              <w:rPr>
                <w:rFonts w:ascii="Garamond" w:hAnsi="Garamond"/>
                <w:szCs w:val="24"/>
              </w:rPr>
              <w:t xml:space="preserve">average of </w:t>
            </w:r>
            <w:r w:rsidR="006C25F5" w:rsidRPr="006F6171">
              <w:rPr>
                <w:rFonts w:ascii="Garamond" w:hAnsi="Garamond"/>
                <w:szCs w:val="24"/>
              </w:rPr>
              <w:t xml:space="preserve">the most recent </w:t>
            </w:r>
            <w:r w:rsidRPr="006F6171">
              <w:rPr>
                <w:rFonts w:ascii="Garamond" w:hAnsi="Garamond"/>
                <w:szCs w:val="24"/>
              </w:rPr>
              <w:t xml:space="preserve">Management and Occupancy Review </w:t>
            </w:r>
            <w:r w:rsidR="00310A25" w:rsidRPr="006F6171">
              <w:rPr>
                <w:rFonts w:ascii="Garamond" w:hAnsi="Garamond"/>
                <w:szCs w:val="24"/>
              </w:rPr>
              <w:t xml:space="preserve">scores </w:t>
            </w:r>
            <w:r w:rsidR="00677931" w:rsidRPr="006F6171">
              <w:rPr>
                <w:rFonts w:ascii="Garamond" w:hAnsi="Garamond"/>
                <w:szCs w:val="24"/>
              </w:rPr>
              <w:t xml:space="preserve">as of </w:t>
            </w:r>
            <w:r w:rsidR="006C25F5" w:rsidRPr="006F6171">
              <w:rPr>
                <w:rFonts w:ascii="Garamond" w:hAnsi="Garamond"/>
                <w:szCs w:val="24"/>
              </w:rPr>
              <w:t>June 30</w:t>
            </w:r>
            <w:r w:rsidR="00310A25" w:rsidRPr="006F6171">
              <w:rPr>
                <w:rFonts w:ascii="Garamond" w:hAnsi="Garamond"/>
                <w:szCs w:val="24"/>
              </w:rPr>
              <w:t xml:space="preserve"> before </w:t>
            </w:r>
            <w:r w:rsidRPr="006F6171">
              <w:rPr>
                <w:rFonts w:ascii="Garamond" w:hAnsi="Garamond"/>
                <w:szCs w:val="24"/>
              </w:rPr>
              <w:t>the Application dead</w:t>
            </w:r>
            <w:r w:rsidR="00A82F8B" w:rsidRPr="006F6171">
              <w:rPr>
                <w:rFonts w:ascii="Garamond" w:hAnsi="Garamond"/>
                <w:szCs w:val="24"/>
              </w:rPr>
              <w:t xml:space="preserve">line </w:t>
            </w:r>
            <w:r w:rsidR="00310A25" w:rsidRPr="006F6171">
              <w:rPr>
                <w:rFonts w:ascii="Garamond" w:hAnsi="Garamond"/>
                <w:szCs w:val="24"/>
              </w:rPr>
              <w:t xml:space="preserve">is </w:t>
            </w:r>
            <w:r w:rsidR="00DD585B" w:rsidRPr="006F6171">
              <w:rPr>
                <w:rFonts w:ascii="Garamond" w:hAnsi="Garamond"/>
                <w:szCs w:val="24"/>
              </w:rPr>
              <w:t>below</w:t>
            </w:r>
            <w:r w:rsidR="00310A25" w:rsidRPr="006F6171">
              <w:rPr>
                <w:rFonts w:ascii="Garamond" w:hAnsi="Garamond"/>
                <w:szCs w:val="24"/>
              </w:rPr>
              <w:t xml:space="preserve"> </w:t>
            </w:r>
            <w:r w:rsidR="006C25F5" w:rsidRPr="006F6171">
              <w:rPr>
                <w:rFonts w:ascii="Garamond" w:hAnsi="Garamond"/>
                <w:szCs w:val="24"/>
              </w:rPr>
              <w:t>A</w:t>
            </w:r>
            <w:r w:rsidR="00A82F8B" w:rsidRPr="006F6171">
              <w:rPr>
                <w:rFonts w:ascii="Garamond" w:hAnsi="Garamond"/>
                <w:szCs w:val="24"/>
              </w:rPr>
              <w:t xml:space="preserve">bove </w:t>
            </w:r>
            <w:r w:rsidR="006C25F5" w:rsidRPr="006F6171">
              <w:rPr>
                <w:rFonts w:ascii="Garamond" w:hAnsi="Garamond"/>
                <w:szCs w:val="24"/>
              </w:rPr>
              <w:t>A</w:t>
            </w:r>
            <w:r w:rsidRPr="006F6171">
              <w:rPr>
                <w:rFonts w:ascii="Garamond" w:hAnsi="Garamond"/>
                <w:szCs w:val="24"/>
              </w:rPr>
              <w:t>verage.</w:t>
            </w:r>
          </w:p>
        </w:tc>
        <w:tc>
          <w:tcPr>
            <w:tcW w:w="1259" w:type="dxa"/>
          </w:tcPr>
          <w:p w14:paraId="1C9AAE2F" w14:textId="07C86572" w:rsidR="00ED382F" w:rsidRPr="006F6171" w:rsidRDefault="00DD585B" w:rsidP="00ED382F">
            <w:pPr>
              <w:rPr>
                <w:rFonts w:ascii="Garamond" w:hAnsi="Garamond"/>
                <w:b/>
                <w:szCs w:val="24"/>
              </w:rPr>
            </w:pPr>
            <w:r w:rsidRPr="006F6171">
              <w:rPr>
                <w:rFonts w:ascii="Garamond" w:hAnsi="Garamond"/>
                <w:b/>
                <w:szCs w:val="24"/>
              </w:rPr>
              <w:t>-</w:t>
            </w:r>
            <w:r w:rsidR="00ED382F" w:rsidRPr="006F6171">
              <w:rPr>
                <w:rFonts w:ascii="Garamond" w:hAnsi="Garamond"/>
                <w:b/>
                <w:szCs w:val="24"/>
              </w:rPr>
              <w:t>1 point</w:t>
            </w:r>
          </w:p>
          <w:p w14:paraId="75191391" w14:textId="77777777" w:rsidR="00ED382F" w:rsidRPr="006F6171" w:rsidRDefault="00ED382F" w:rsidP="00ED382F">
            <w:pPr>
              <w:rPr>
                <w:rFonts w:ascii="Garamond" w:hAnsi="Garamond"/>
                <w:b/>
                <w:szCs w:val="24"/>
              </w:rPr>
            </w:pPr>
          </w:p>
        </w:tc>
      </w:tr>
    </w:tbl>
    <w:p w14:paraId="3F0AE751" w14:textId="77777777" w:rsidR="00ED382F" w:rsidRPr="006F6171" w:rsidRDefault="00ED382F" w:rsidP="00ED382F">
      <w:pPr>
        <w:rPr>
          <w:szCs w:val="24"/>
        </w:rPr>
      </w:pPr>
    </w:p>
    <w:p w14:paraId="0C54FB94" w14:textId="77777777" w:rsidR="00FE2373" w:rsidRPr="006F6171" w:rsidRDefault="00995E15" w:rsidP="00A8328C">
      <w:pPr>
        <w:pStyle w:val="ListParagraph"/>
        <w:numPr>
          <w:ilvl w:val="0"/>
          <w:numId w:val="8"/>
        </w:numPr>
        <w:tabs>
          <w:tab w:val="right" w:pos="9360"/>
        </w:tabs>
        <w:ind w:hanging="720"/>
        <w:jc w:val="both"/>
        <w:rPr>
          <w:szCs w:val="24"/>
        </w:rPr>
      </w:pPr>
      <w:r w:rsidRPr="006F6171">
        <w:t>Tie Breaker</w:t>
      </w:r>
      <w:r w:rsidRPr="006F6171">
        <w:rPr>
          <w:szCs w:val="24"/>
        </w:rPr>
        <w:t>.</w:t>
      </w:r>
      <w:r w:rsidR="00DB18E9" w:rsidRPr="006F6171">
        <w:rPr>
          <w:szCs w:val="24"/>
        </w:rPr>
        <w:t xml:space="preserve"> </w:t>
      </w:r>
      <w:r w:rsidRPr="006F6171">
        <w:rPr>
          <w:szCs w:val="24"/>
        </w:rPr>
        <w:t xml:space="preserve"> </w:t>
      </w:r>
    </w:p>
    <w:p w14:paraId="33441ACF" w14:textId="77777777" w:rsidR="00512FA9" w:rsidRPr="006F6171" w:rsidRDefault="00512FA9" w:rsidP="00FD5504">
      <w:pPr>
        <w:pStyle w:val="ListParagraph"/>
        <w:jc w:val="both"/>
        <w:rPr>
          <w:szCs w:val="24"/>
        </w:rPr>
      </w:pPr>
    </w:p>
    <w:p w14:paraId="56C539F6" w14:textId="77777777" w:rsidR="00202E46" w:rsidRPr="006F6171" w:rsidRDefault="00227CA6" w:rsidP="00FD5504">
      <w:pPr>
        <w:pStyle w:val="ListParagraph"/>
        <w:jc w:val="both"/>
        <w:rPr>
          <w:szCs w:val="24"/>
        </w:rPr>
      </w:pPr>
      <w:r w:rsidRPr="006F6171">
        <w:rPr>
          <w:szCs w:val="24"/>
        </w:rPr>
        <w:t>If</w:t>
      </w:r>
      <w:r w:rsidR="00B77E83" w:rsidRPr="006F6171">
        <w:rPr>
          <w:szCs w:val="24"/>
        </w:rPr>
        <w:t xml:space="preserve"> </w:t>
      </w:r>
      <w:r w:rsidRPr="006F6171">
        <w:rPr>
          <w:szCs w:val="24"/>
        </w:rPr>
        <w:t>more than one Application has the same score</w:t>
      </w:r>
      <w:r w:rsidR="00995E15" w:rsidRPr="006F6171">
        <w:rPr>
          <w:szCs w:val="24"/>
        </w:rPr>
        <w:t xml:space="preserve">, the Application </w:t>
      </w:r>
      <w:r w:rsidRPr="006F6171">
        <w:rPr>
          <w:szCs w:val="24"/>
        </w:rPr>
        <w:t>for</w:t>
      </w:r>
      <w:r w:rsidR="003F5BE0" w:rsidRPr="006F6171">
        <w:rPr>
          <w:szCs w:val="24"/>
        </w:rPr>
        <w:t xml:space="preserve"> the least amount of Credit and 0% deferred debt from MaineHousing per unit</w:t>
      </w:r>
      <w:r w:rsidR="00995E15" w:rsidRPr="006F6171">
        <w:rPr>
          <w:szCs w:val="24"/>
        </w:rPr>
        <w:t xml:space="preserve"> </w:t>
      </w:r>
      <w:r w:rsidR="00B77E83" w:rsidRPr="006F6171">
        <w:rPr>
          <w:szCs w:val="24"/>
        </w:rPr>
        <w:t>will have priority</w:t>
      </w:r>
      <w:r w:rsidR="003A7FD4" w:rsidRPr="006F6171">
        <w:rPr>
          <w:szCs w:val="24"/>
        </w:rPr>
        <w:t>.</w:t>
      </w:r>
      <w:r w:rsidR="00BB3D09" w:rsidRPr="006F6171">
        <w:rPr>
          <w:szCs w:val="24"/>
        </w:rPr>
        <w:t xml:space="preserve"> </w:t>
      </w:r>
      <w:r w:rsidR="003A7FD4" w:rsidRPr="006F6171">
        <w:rPr>
          <w:szCs w:val="24"/>
        </w:rPr>
        <w:t>If the</w:t>
      </w:r>
      <w:r w:rsidR="00A9195A" w:rsidRPr="006F6171">
        <w:rPr>
          <w:szCs w:val="24"/>
        </w:rPr>
        <w:t xml:space="preserve"> </w:t>
      </w:r>
      <w:r w:rsidRPr="006F6171">
        <w:rPr>
          <w:szCs w:val="24"/>
        </w:rPr>
        <w:t xml:space="preserve">Applications </w:t>
      </w:r>
      <w:r w:rsidR="00AE1676" w:rsidRPr="006F6171">
        <w:rPr>
          <w:szCs w:val="24"/>
        </w:rPr>
        <w:t xml:space="preserve">request </w:t>
      </w:r>
      <w:r w:rsidRPr="006F6171">
        <w:rPr>
          <w:szCs w:val="24"/>
        </w:rPr>
        <w:t>the same amount of these resources, the</w:t>
      </w:r>
      <w:r w:rsidR="006F0C3C" w:rsidRPr="006F6171">
        <w:rPr>
          <w:szCs w:val="24"/>
        </w:rPr>
        <w:t xml:space="preserve"> Application </w:t>
      </w:r>
      <w:r w:rsidR="00AE1676" w:rsidRPr="006F6171">
        <w:rPr>
          <w:szCs w:val="24"/>
        </w:rPr>
        <w:t xml:space="preserve">with </w:t>
      </w:r>
      <w:r w:rsidR="0091000D" w:rsidRPr="006F6171">
        <w:rPr>
          <w:szCs w:val="24"/>
        </w:rPr>
        <w:t xml:space="preserve">the most </w:t>
      </w:r>
      <w:r w:rsidR="001E1572" w:rsidRPr="006F6171">
        <w:rPr>
          <w:szCs w:val="24"/>
        </w:rPr>
        <w:t>acceptable</w:t>
      </w:r>
      <w:r w:rsidR="006F0C3C" w:rsidRPr="006F6171">
        <w:rPr>
          <w:szCs w:val="24"/>
        </w:rPr>
        <w:t xml:space="preserve"> plan to convert the Projec</w:t>
      </w:r>
      <w:r w:rsidR="001E1572" w:rsidRPr="006F6171">
        <w:rPr>
          <w:szCs w:val="24"/>
        </w:rPr>
        <w:t>t to affordable homeownership for</w:t>
      </w:r>
      <w:r w:rsidR="003A7FD4" w:rsidRPr="006F6171">
        <w:rPr>
          <w:szCs w:val="24"/>
        </w:rPr>
        <w:t xml:space="preserve"> the residents</w:t>
      </w:r>
      <w:r w:rsidR="00CB6200" w:rsidRPr="006F6171">
        <w:rPr>
          <w:szCs w:val="24"/>
        </w:rPr>
        <w:t xml:space="preserve"> </w:t>
      </w:r>
      <w:r w:rsidR="00EB265A" w:rsidRPr="006F6171">
        <w:rPr>
          <w:szCs w:val="24"/>
        </w:rPr>
        <w:t>after the Extended U</w:t>
      </w:r>
      <w:r w:rsidR="00CB6200" w:rsidRPr="006F6171">
        <w:rPr>
          <w:szCs w:val="24"/>
        </w:rPr>
        <w:t xml:space="preserve">se Period will </w:t>
      </w:r>
      <w:r w:rsidR="00B77E83" w:rsidRPr="006F6171">
        <w:rPr>
          <w:szCs w:val="24"/>
        </w:rPr>
        <w:t>have priority</w:t>
      </w:r>
      <w:r w:rsidR="00EB265A" w:rsidRPr="006F6171">
        <w:rPr>
          <w:szCs w:val="24"/>
        </w:rPr>
        <w:t>.</w:t>
      </w:r>
      <w:r w:rsidR="00BB3D09" w:rsidRPr="006F6171">
        <w:rPr>
          <w:szCs w:val="24"/>
        </w:rPr>
        <w:t xml:space="preserve"> </w:t>
      </w:r>
      <w:r w:rsidR="00EB265A" w:rsidRPr="006F6171">
        <w:rPr>
          <w:szCs w:val="24"/>
        </w:rPr>
        <w:t xml:space="preserve">The plan must </w:t>
      </w:r>
      <w:r w:rsidRPr="006F6171">
        <w:rPr>
          <w:szCs w:val="24"/>
        </w:rPr>
        <w:t>describe t</w:t>
      </w:r>
      <w:r w:rsidR="00EB265A" w:rsidRPr="006F6171">
        <w:rPr>
          <w:szCs w:val="24"/>
        </w:rPr>
        <w:t>he</w:t>
      </w:r>
      <w:r w:rsidRPr="006F6171">
        <w:rPr>
          <w:szCs w:val="24"/>
        </w:rPr>
        <w:t xml:space="preserve"> process for transferring </w:t>
      </w:r>
      <w:r w:rsidR="00EB265A" w:rsidRPr="006F6171">
        <w:rPr>
          <w:szCs w:val="24"/>
        </w:rPr>
        <w:t>owner</w:t>
      </w:r>
      <w:r w:rsidRPr="006F6171">
        <w:rPr>
          <w:szCs w:val="24"/>
        </w:rPr>
        <w:t>ship to the residents</w:t>
      </w:r>
      <w:r w:rsidR="00EB265A" w:rsidRPr="006F6171">
        <w:rPr>
          <w:szCs w:val="24"/>
        </w:rPr>
        <w:t>, the</w:t>
      </w:r>
      <w:r w:rsidRPr="006F6171">
        <w:rPr>
          <w:szCs w:val="24"/>
        </w:rPr>
        <w:t xml:space="preserve"> purchase</w:t>
      </w:r>
      <w:r w:rsidR="00EB265A" w:rsidRPr="006F6171">
        <w:rPr>
          <w:szCs w:val="24"/>
        </w:rPr>
        <w:t xml:space="preserve"> price or process fo</w:t>
      </w:r>
      <w:r w:rsidRPr="006F6171">
        <w:rPr>
          <w:szCs w:val="24"/>
        </w:rPr>
        <w:t xml:space="preserve">r determining it, any financial assistance </w:t>
      </w:r>
      <w:r w:rsidR="00EB265A" w:rsidRPr="006F6171">
        <w:rPr>
          <w:szCs w:val="24"/>
        </w:rPr>
        <w:t>available for residents (in</w:t>
      </w:r>
      <w:r w:rsidR="001E1572" w:rsidRPr="006F6171">
        <w:rPr>
          <w:szCs w:val="24"/>
        </w:rPr>
        <w:t>cluding any reserves)</w:t>
      </w:r>
      <w:r w:rsidRPr="006F6171">
        <w:rPr>
          <w:szCs w:val="24"/>
        </w:rPr>
        <w:t>,</w:t>
      </w:r>
      <w:r w:rsidR="00EB265A" w:rsidRPr="006F6171">
        <w:rPr>
          <w:szCs w:val="24"/>
        </w:rPr>
        <w:t xml:space="preserve"> </w:t>
      </w:r>
      <w:r w:rsidR="00CD2439" w:rsidRPr="006F6171">
        <w:rPr>
          <w:szCs w:val="24"/>
        </w:rPr>
        <w:t>h</w:t>
      </w:r>
      <w:r w:rsidR="00EB265A" w:rsidRPr="006F6171">
        <w:rPr>
          <w:szCs w:val="24"/>
        </w:rPr>
        <w:t xml:space="preserve">ow the affordability </w:t>
      </w:r>
      <w:r w:rsidR="00CB6200" w:rsidRPr="006F6171">
        <w:rPr>
          <w:szCs w:val="24"/>
        </w:rPr>
        <w:t>will be maintained</w:t>
      </w:r>
      <w:r w:rsidRPr="006F6171">
        <w:rPr>
          <w:szCs w:val="24"/>
        </w:rPr>
        <w:t xml:space="preserve">, and must </w:t>
      </w:r>
      <w:r w:rsidR="00EB265A" w:rsidRPr="006F6171">
        <w:rPr>
          <w:szCs w:val="24"/>
        </w:rPr>
        <w:t>provide for homebuyer counseling and professional representation of the residents at the time of the conversion</w:t>
      </w:r>
      <w:r w:rsidR="001E1572" w:rsidRPr="006F6171">
        <w:rPr>
          <w:szCs w:val="24"/>
        </w:rPr>
        <w:t xml:space="preserve">. </w:t>
      </w:r>
    </w:p>
    <w:p w14:paraId="674D6623" w14:textId="77777777" w:rsidR="00736FC6" w:rsidRPr="006F6171" w:rsidRDefault="00736FC6" w:rsidP="00FD5504">
      <w:pPr>
        <w:pStyle w:val="ListParagraph"/>
        <w:jc w:val="both"/>
        <w:rPr>
          <w:szCs w:val="24"/>
        </w:rPr>
      </w:pPr>
    </w:p>
    <w:p w14:paraId="1F542967" w14:textId="77777777" w:rsidR="00736FC6" w:rsidRPr="006F6171" w:rsidRDefault="00801BA5" w:rsidP="00614DD9">
      <w:pPr>
        <w:pStyle w:val="ListParagraph"/>
        <w:ind w:left="0"/>
        <w:jc w:val="both"/>
        <w:rPr>
          <w:szCs w:val="24"/>
        </w:rPr>
      </w:pPr>
      <w:r w:rsidRPr="006F6171">
        <w:rPr>
          <w:szCs w:val="24"/>
        </w:rPr>
        <w:t>R</w:t>
      </w:r>
      <w:r w:rsidR="00736FC6" w:rsidRPr="006F6171">
        <w:rPr>
          <w:szCs w:val="24"/>
        </w:rPr>
        <w:t>.        Review Process.</w:t>
      </w:r>
    </w:p>
    <w:p w14:paraId="7AC52257" w14:textId="77777777" w:rsidR="00736FC6" w:rsidRPr="006F6171" w:rsidRDefault="00736FC6" w:rsidP="00614DD9">
      <w:pPr>
        <w:pStyle w:val="ListParagraph"/>
        <w:ind w:left="0"/>
        <w:jc w:val="both"/>
        <w:rPr>
          <w:szCs w:val="24"/>
        </w:rPr>
      </w:pPr>
    </w:p>
    <w:p w14:paraId="77C36035" w14:textId="77777777" w:rsidR="00736FC6" w:rsidRPr="006F6171" w:rsidRDefault="001240F4" w:rsidP="001240F4">
      <w:pPr>
        <w:pStyle w:val="ListParagraph"/>
        <w:jc w:val="both"/>
        <w:rPr>
          <w:szCs w:val="24"/>
        </w:rPr>
      </w:pPr>
      <w:r w:rsidRPr="006F6171">
        <w:rPr>
          <w:szCs w:val="24"/>
        </w:rPr>
        <w:t>MaineHousing will notify each Applicant of its initial score</w:t>
      </w:r>
      <w:r w:rsidR="008F681A" w:rsidRPr="006F6171">
        <w:rPr>
          <w:szCs w:val="24"/>
        </w:rPr>
        <w:t xml:space="preserve"> in writing</w:t>
      </w:r>
      <w:r w:rsidRPr="006F6171">
        <w:rPr>
          <w:szCs w:val="24"/>
        </w:rPr>
        <w:t xml:space="preserve">.  If MaineHousing assigns a score in a scoring category which is lower than the score </w:t>
      </w:r>
      <w:r w:rsidR="00310A25" w:rsidRPr="006F6171">
        <w:rPr>
          <w:szCs w:val="24"/>
        </w:rPr>
        <w:t xml:space="preserve">the </w:t>
      </w:r>
      <w:r w:rsidRPr="006F6171">
        <w:rPr>
          <w:szCs w:val="24"/>
        </w:rPr>
        <w:t xml:space="preserve">Applicant assigned itself in the scoring category, the Applicant will have </w:t>
      </w:r>
      <w:r w:rsidR="006C25F5" w:rsidRPr="006F6171">
        <w:rPr>
          <w:szCs w:val="24"/>
        </w:rPr>
        <w:t>five</w:t>
      </w:r>
      <w:r w:rsidRPr="006F6171">
        <w:rPr>
          <w:szCs w:val="24"/>
        </w:rPr>
        <w:t xml:space="preserve"> business days </w:t>
      </w:r>
      <w:r w:rsidR="00EF2139" w:rsidRPr="006F6171">
        <w:rPr>
          <w:szCs w:val="24"/>
        </w:rPr>
        <w:t>from such</w:t>
      </w:r>
      <w:r w:rsidR="008F681A" w:rsidRPr="006F6171">
        <w:rPr>
          <w:szCs w:val="24"/>
        </w:rPr>
        <w:t xml:space="preserve"> written notice </w:t>
      </w:r>
      <w:r w:rsidRPr="006F6171">
        <w:rPr>
          <w:szCs w:val="24"/>
        </w:rPr>
        <w:t xml:space="preserve">to </w:t>
      </w:r>
      <w:r w:rsidR="006C25F5" w:rsidRPr="006F6171">
        <w:rPr>
          <w:szCs w:val="24"/>
        </w:rPr>
        <w:t>demonstrate to MaineHousing that the Application as submitted should receive the higher score</w:t>
      </w:r>
      <w:r w:rsidR="00933004" w:rsidRPr="006F6171">
        <w:rPr>
          <w:szCs w:val="24"/>
        </w:rPr>
        <w:t xml:space="preserve">.  MaineHousing will </w:t>
      </w:r>
      <w:r w:rsidR="004B13C9" w:rsidRPr="006F6171">
        <w:rPr>
          <w:szCs w:val="24"/>
        </w:rPr>
        <w:t>then</w:t>
      </w:r>
      <w:r w:rsidR="00310A25" w:rsidRPr="006F6171">
        <w:rPr>
          <w:szCs w:val="24"/>
        </w:rPr>
        <w:t xml:space="preserve"> </w:t>
      </w:r>
      <w:r w:rsidR="00933004" w:rsidRPr="006F6171">
        <w:rPr>
          <w:szCs w:val="24"/>
        </w:rPr>
        <w:t>mak</w:t>
      </w:r>
      <w:r w:rsidR="004B13C9" w:rsidRPr="006F6171">
        <w:rPr>
          <w:szCs w:val="24"/>
        </w:rPr>
        <w:t>e</w:t>
      </w:r>
      <w:r w:rsidR="00933004" w:rsidRPr="006F6171">
        <w:rPr>
          <w:szCs w:val="24"/>
        </w:rPr>
        <w:t xml:space="preserve"> a final determination of scores and the ranking of Applications. </w:t>
      </w:r>
      <w:r w:rsidRPr="006F6171">
        <w:rPr>
          <w:szCs w:val="24"/>
        </w:rPr>
        <w:t xml:space="preserve">  </w:t>
      </w:r>
    </w:p>
    <w:p w14:paraId="1D4ED428" w14:textId="77777777" w:rsidR="00570CB7" w:rsidRPr="006F6171" w:rsidRDefault="00570CB7">
      <w:pPr>
        <w:rPr>
          <w:b/>
          <w:szCs w:val="24"/>
        </w:rPr>
      </w:pPr>
      <w:bookmarkStart w:id="7" w:name="_Toc531341078"/>
    </w:p>
    <w:p w14:paraId="742DC298" w14:textId="77777777" w:rsidR="00995E15" w:rsidRPr="006F6171" w:rsidRDefault="00995E15" w:rsidP="00CB74A2">
      <w:pPr>
        <w:pStyle w:val="Heading1"/>
        <w:jc w:val="both"/>
      </w:pPr>
      <w:r w:rsidRPr="006F6171">
        <w:t>SECTION 7:</w:t>
      </w:r>
      <w:r w:rsidR="00BB3D09" w:rsidRPr="006F6171">
        <w:t xml:space="preserve"> </w:t>
      </w:r>
      <w:r w:rsidRPr="006F6171">
        <w:t>PROJECT EVALUATION</w:t>
      </w:r>
      <w:bookmarkEnd w:id="7"/>
    </w:p>
    <w:p w14:paraId="1A8F26AD" w14:textId="77777777" w:rsidR="00C01818" w:rsidRPr="006F6171" w:rsidRDefault="00C01818" w:rsidP="00C01818"/>
    <w:p w14:paraId="00CB6C3B" w14:textId="77777777" w:rsidR="00995E15" w:rsidRPr="006F6171" w:rsidRDefault="00995E15" w:rsidP="00A8328C">
      <w:pPr>
        <w:numPr>
          <w:ilvl w:val="0"/>
          <w:numId w:val="5"/>
        </w:numPr>
        <w:tabs>
          <w:tab w:val="clear" w:pos="1440"/>
          <w:tab w:val="left" w:pos="-720"/>
          <w:tab w:val="num" w:pos="720"/>
        </w:tabs>
        <w:suppressAutoHyphens/>
        <w:ind w:left="720" w:hanging="720"/>
        <w:jc w:val="both"/>
        <w:rPr>
          <w:szCs w:val="24"/>
        </w:rPr>
      </w:pPr>
      <w:r w:rsidRPr="006F6171">
        <w:t>Amount of Credit</w:t>
      </w:r>
      <w:r w:rsidRPr="006F6171">
        <w:rPr>
          <w:szCs w:val="24"/>
        </w:rPr>
        <w:t>.</w:t>
      </w:r>
      <w:r w:rsidR="00BB3D09" w:rsidRPr="006F6171">
        <w:rPr>
          <w:szCs w:val="24"/>
        </w:rPr>
        <w:t xml:space="preserve"> </w:t>
      </w:r>
      <w:r w:rsidRPr="006F6171">
        <w:rPr>
          <w:szCs w:val="24"/>
        </w:rPr>
        <w:t xml:space="preserve">The amount of Credit allocated will be determined </w:t>
      </w:r>
      <w:r w:rsidR="0006199C" w:rsidRPr="006F6171">
        <w:rPr>
          <w:szCs w:val="24"/>
        </w:rPr>
        <w:t>as follows</w:t>
      </w:r>
      <w:r w:rsidR="003A72FB" w:rsidRPr="006F6171">
        <w:rPr>
          <w:szCs w:val="24"/>
        </w:rPr>
        <w:t>:</w:t>
      </w:r>
      <w:r w:rsidRPr="006F6171">
        <w:rPr>
          <w:szCs w:val="24"/>
        </w:rPr>
        <w:br/>
      </w:r>
    </w:p>
    <w:p w14:paraId="1703BB73" w14:textId="77777777" w:rsidR="00995E15" w:rsidRPr="006F6171" w:rsidRDefault="00995E15" w:rsidP="00A8328C">
      <w:pPr>
        <w:pStyle w:val="ListParagraph"/>
        <w:numPr>
          <w:ilvl w:val="0"/>
          <w:numId w:val="20"/>
        </w:numPr>
        <w:tabs>
          <w:tab w:val="left" w:pos="-720"/>
        </w:tabs>
        <w:suppressAutoHyphens/>
        <w:ind w:left="1080"/>
        <w:jc w:val="both"/>
        <w:rPr>
          <w:szCs w:val="24"/>
        </w:rPr>
      </w:pPr>
      <w:r w:rsidRPr="006F6171">
        <w:rPr>
          <w:szCs w:val="24"/>
        </w:rPr>
        <w:t>The calculation of the amount of Credit will be based on 130% of Eligible Basis</w:t>
      </w:r>
      <w:r w:rsidR="0006199C" w:rsidRPr="006F6171">
        <w:rPr>
          <w:szCs w:val="24"/>
        </w:rPr>
        <w:t>.</w:t>
      </w:r>
      <w:r w:rsidR="00BB3D09" w:rsidRPr="006F6171">
        <w:rPr>
          <w:szCs w:val="24"/>
        </w:rPr>
        <w:t xml:space="preserve"> </w:t>
      </w:r>
      <w:r w:rsidRPr="006F6171">
        <w:rPr>
          <w:szCs w:val="24"/>
        </w:rPr>
        <w:t xml:space="preserve">MaineHousing has designated the entire State as a </w:t>
      </w:r>
      <w:r w:rsidR="00CC7FCB" w:rsidRPr="006F6171">
        <w:rPr>
          <w:szCs w:val="24"/>
        </w:rPr>
        <w:t>DDA</w:t>
      </w:r>
      <w:r w:rsidRPr="006F6171">
        <w:rPr>
          <w:szCs w:val="24"/>
        </w:rPr>
        <w:t xml:space="preserve"> </w:t>
      </w:r>
      <w:r w:rsidR="00C3233A" w:rsidRPr="006F6171">
        <w:rPr>
          <w:szCs w:val="24"/>
        </w:rPr>
        <w:t xml:space="preserve">under </w:t>
      </w:r>
      <w:hyperlink r:id="rId29" w:history="1">
        <w:r w:rsidRPr="006F6171">
          <w:rPr>
            <w:rStyle w:val="Hyperlink"/>
            <w:szCs w:val="24"/>
          </w:rPr>
          <w:t>Section 42(d)(5)(B)(v)</w:t>
        </w:r>
      </w:hyperlink>
      <w:r w:rsidRPr="006F6171">
        <w:rPr>
          <w:szCs w:val="24"/>
        </w:rPr>
        <w:t xml:space="preserve"> of the Code because of the high cost of developing housing, the low median income</w:t>
      </w:r>
      <w:r w:rsidR="003B109E" w:rsidRPr="006F6171">
        <w:rPr>
          <w:szCs w:val="24"/>
        </w:rPr>
        <w:t>,</w:t>
      </w:r>
      <w:r w:rsidRPr="006F6171">
        <w:rPr>
          <w:szCs w:val="24"/>
        </w:rPr>
        <w:t xml:space="preserve"> and </w:t>
      </w:r>
      <w:r w:rsidR="0006199C" w:rsidRPr="006F6171">
        <w:rPr>
          <w:szCs w:val="24"/>
        </w:rPr>
        <w:t xml:space="preserve">the high </w:t>
      </w:r>
      <w:r w:rsidRPr="006F6171">
        <w:rPr>
          <w:szCs w:val="24"/>
        </w:rPr>
        <w:t>annual operating costs for housing relative to o</w:t>
      </w:r>
      <w:r w:rsidR="0006199C" w:rsidRPr="006F6171">
        <w:rPr>
          <w:szCs w:val="24"/>
        </w:rPr>
        <w:t>ther states</w:t>
      </w:r>
      <w:r w:rsidR="003A72FB" w:rsidRPr="006F6171">
        <w:rPr>
          <w:szCs w:val="24"/>
        </w:rPr>
        <w:t>;</w:t>
      </w:r>
    </w:p>
    <w:p w14:paraId="053ADE1C" w14:textId="77777777" w:rsidR="00995E15" w:rsidRPr="006F6171" w:rsidRDefault="00995E15" w:rsidP="00C01818">
      <w:pPr>
        <w:tabs>
          <w:tab w:val="left" w:pos="-720"/>
        </w:tabs>
        <w:suppressAutoHyphens/>
        <w:ind w:left="1080" w:hanging="360"/>
        <w:jc w:val="both"/>
        <w:rPr>
          <w:szCs w:val="24"/>
        </w:rPr>
      </w:pPr>
    </w:p>
    <w:p w14:paraId="3E67810C" w14:textId="77777777" w:rsidR="00A76760" w:rsidRPr="006F6171" w:rsidRDefault="009C6ECF" w:rsidP="00A8328C">
      <w:pPr>
        <w:numPr>
          <w:ilvl w:val="0"/>
          <w:numId w:val="20"/>
        </w:numPr>
        <w:tabs>
          <w:tab w:val="left" w:pos="-720"/>
        </w:tabs>
        <w:suppressAutoHyphens/>
        <w:ind w:left="1080"/>
        <w:jc w:val="both"/>
        <w:rPr>
          <w:szCs w:val="24"/>
        </w:rPr>
      </w:pPr>
      <w:r w:rsidRPr="006F6171">
        <w:rPr>
          <w:szCs w:val="24"/>
        </w:rPr>
        <w:t>To determine the amount of Credit</w:t>
      </w:r>
      <w:r w:rsidR="004764EE" w:rsidRPr="006F6171">
        <w:rPr>
          <w:szCs w:val="24"/>
        </w:rPr>
        <w:t>,</w:t>
      </w:r>
      <w:r w:rsidRPr="006F6171">
        <w:rPr>
          <w:szCs w:val="24"/>
        </w:rPr>
        <w:t xml:space="preserve"> </w:t>
      </w:r>
      <w:r w:rsidR="00995E15" w:rsidRPr="006F6171">
        <w:rPr>
          <w:szCs w:val="24"/>
        </w:rPr>
        <w:t>MaineHousing will use the</w:t>
      </w:r>
      <w:r w:rsidR="00814690" w:rsidRPr="006F6171">
        <w:rPr>
          <w:szCs w:val="24"/>
        </w:rPr>
        <w:t xml:space="preserve"> lesser of (</w:t>
      </w:r>
      <w:r w:rsidR="001419C9" w:rsidRPr="006F6171">
        <w:rPr>
          <w:szCs w:val="24"/>
        </w:rPr>
        <w:t>a</w:t>
      </w:r>
      <w:r w:rsidR="00814690" w:rsidRPr="006F6171">
        <w:rPr>
          <w:szCs w:val="24"/>
        </w:rPr>
        <w:t xml:space="preserve">) the market rent, based on the </w:t>
      </w:r>
      <w:r w:rsidRPr="006F6171">
        <w:rPr>
          <w:szCs w:val="24"/>
        </w:rPr>
        <w:t xml:space="preserve">Application </w:t>
      </w:r>
      <w:r w:rsidR="00814690" w:rsidRPr="006F6171">
        <w:rPr>
          <w:szCs w:val="24"/>
        </w:rPr>
        <w:t>market study as approved by MaineHousing, and (</w:t>
      </w:r>
      <w:r w:rsidRPr="006F6171">
        <w:rPr>
          <w:szCs w:val="24"/>
        </w:rPr>
        <w:t>b</w:t>
      </w:r>
      <w:r w:rsidR="00814690" w:rsidRPr="006F6171">
        <w:rPr>
          <w:szCs w:val="24"/>
        </w:rPr>
        <w:t>) the</w:t>
      </w:r>
      <w:r w:rsidR="00995E15" w:rsidRPr="006F6171">
        <w:rPr>
          <w:szCs w:val="24"/>
        </w:rPr>
        <w:t xml:space="preserve"> maximum Credit rent</w:t>
      </w:r>
      <w:r w:rsidRPr="006F6171">
        <w:rPr>
          <w:szCs w:val="24"/>
        </w:rPr>
        <w:t>.</w:t>
      </w:r>
      <w:r w:rsidR="00995E15" w:rsidRPr="006F6171">
        <w:rPr>
          <w:szCs w:val="24"/>
        </w:rPr>
        <w:t xml:space="preserve"> </w:t>
      </w:r>
      <w:r w:rsidRPr="006F6171">
        <w:rPr>
          <w:szCs w:val="24"/>
        </w:rPr>
        <w:t>F</w:t>
      </w:r>
      <w:r w:rsidR="00995E15" w:rsidRPr="006F6171">
        <w:rPr>
          <w:szCs w:val="24"/>
        </w:rPr>
        <w:t>or three or more bedroom units MaineHousing will use the maximum Credit rent for two-bedroom units plus $50.00</w:t>
      </w:r>
      <w:r w:rsidR="003A72FB" w:rsidRPr="006F6171">
        <w:rPr>
          <w:szCs w:val="24"/>
        </w:rPr>
        <w:t>;</w:t>
      </w:r>
    </w:p>
    <w:p w14:paraId="23CE7347" w14:textId="77777777" w:rsidR="00A76760" w:rsidRPr="006F6171" w:rsidRDefault="00A76760" w:rsidP="00C01818">
      <w:pPr>
        <w:pStyle w:val="ListParagraph"/>
        <w:ind w:left="1080" w:hanging="360"/>
        <w:rPr>
          <w:szCs w:val="24"/>
        </w:rPr>
      </w:pPr>
    </w:p>
    <w:p w14:paraId="422938B8" w14:textId="77777777" w:rsidR="00A82F8B" w:rsidRPr="006F6171" w:rsidRDefault="00995E15" w:rsidP="00A8328C">
      <w:pPr>
        <w:numPr>
          <w:ilvl w:val="0"/>
          <w:numId w:val="20"/>
        </w:numPr>
        <w:tabs>
          <w:tab w:val="left" w:pos="-720"/>
        </w:tabs>
        <w:suppressAutoHyphens/>
        <w:ind w:left="1080"/>
        <w:jc w:val="both"/>
        <w:rPr>
          <w:szCs w:val="24"/>
        </w:rPr>
      </w:pPr>
      <w:r w:rsidRPr="006F6171">
        <w:rPr>
          <w:szCs w:val="24"/>
        </w:rPr>
        <w:t xml:space="preserve">The amount of Credit allocated for a Project will not exceed the </w:t>
      </w:r>
      <w:r w:rsidR="00A82F8B" w:rsidRPr="006F6171">
        <w:rPr>
          <w:szCs w:val="24"/>
        </w:rPr>
        <w:t>least of</w:t>
      </w:r>
    </w:p>
    <w:p w14:paraId="21094575" w14:textId="77777777" w:rsidR="00A82F8B" w:rsidRPr="006F6171" w:rsidRDefault="00995E15" w:rsidP="003719DC">
      <w:pPr>
        <w:numPr>
          <w:ilvl w:val="0"/>
          <w:numId w:val="23"/>
        </w:numPr>
        <w:tabs>
          <w:tab w:val="left" w:pos="-720"/>
        </w:tabs>
        <w:suppressAutoHyphens/>
        <w:ind w:left="1080" w:firstLine="0"/>
        <w:jc w:val="both"/>
        <w:rPr>
          <w:szCs w:val="24"/>
        </w:rPr>
      </w:pPr>
      <w:r w:rsidRPr="006F6171">
        <w:rPr>
          <w:szCs w:val="24"/>
        </w:rPr>
        <w:t xml:space="preserve">the amount the Project is eligible to receive under </w:t>
      </w:r>
      <w:hyperlink r:id="rId30" w:history="1">
        <w:r w:rsidRPr="006F6171">
          <w:rPr>
            <w:rStyle w:val="Hyperlink"/>
            <w:szCs w:val="24"/>
          </w:rPr>
          <w:t>Section 42</w:t>
        </w:r>
      </w:hyperlink>
      <w:r w:rsidRPr="006F6171">
        <w:rPr>
          <w:szCs w:val="24"/>
        </w:rPr>
        <w:t xml:space="preserve"> of the Cod</w:t>
      </w:r>
      <w:r w:rsidR="00DE5405" w:rsidRPr="006F6171">
        <w:rPr>
          <w:szCs w:val="24"/>
        </w:rPr>
        <w:t xml:space="preserve">e, </w:t>
      </w:r>
    </w:p>
    <w:p w14:paraId="7BBA5285" w14:textId="77777777" w:rsidR="00A82F8B" w:rsidRPr="006F6171" w:rsidRDefault="00C55D55" w:rsidP="003719DC">
      <w:pPr>
        <w:numPr>
          <w:ilvl w:val="0"/>
          <w:numId w:val="23"/>
        </w:numPr>
        <w:tabs>
          <w:tab w:val="left" w:pos="-720"/>
        </w:tabs>
        <w:suppressAutoHyphens/>
        <w:ind w:left="1080" w:firstLine="0"/>
        <w:jc w:val="both"/>
        <w:rPr>
          <w:szCs w:val="24"/>
        </w:rPr>
      </w:pPr>
      <w:r w:rsidRPr="006F6171">
        <w:rPr>
          <w:szCs w:val="24"/>
        </w:rPr>
        <w:t>t</w:t>
      </w:r>
      <w:r w:rsidR="00995E15" w:rsidRPr="006F6171">
        <w:rPr>
          <w:szCs w:val="24"/>
        </w:rPr>
        <w:t xml:space="preserve">he amount MaineHousing determines is necessary for financial feasibility and </w:t>
      </w:r>
      <w:r w:rsidR="00A82F8B" w:rsidRPr="006F6171">
        <w:rPr>
          <w:szCs w:val="24"/>
        </w:rPr>
        <w:tab/>
      </w:r>
      <w:r w:rsidR="00995E15" w:rsidRPr="006F6171">
        <w:rPr>
          <w:szCs w:val="24"/>
        </w:rPr>
        <w:t>viability throughout the Credit Period</w:t>
      </w:r>
      <w:r w:rsidR="00DE5405" w:rsidRPr="006F6171">
        <w:rPr>
          <w:szCs w:val="24"/>
        </w:rPr>
        <w:t xml:space="preserve">, and </w:t>
      </w:r>
    </w:p>
    <w:p w14:paraId="35FCC149" w14:textId="77777777" w:rsidR="00995E15" w:rsidRPr="006F6171" w:rsidRDefault="00995E15" w:rsidP="003719DC">
      <w:pPr>
        <w:numPr>
          <w:ilvl w:val="0"/>
          <w:numId w:val="23"/>
        </w:numPr>
        <w:tabs>
          <w:tab w:val="left" w:pos="-720"/>
          <w:tab w:val="left" w:pos="1440"/>
        </w:tabs>
        <w:suppressAutoHyphens/>
        <w:ind w:left="1440"/>
        <w:jc w:val="both"/>
        <w:rPr>
          <w:szCs w:val="24"/>
        </w:rPr>
      </w:pPr>
      <w:r w:rsidRPr="006F6171">
        <w:rPr>
          <w:szCs w:val="24"/>
        </w:rPr>
        <w:t>the Maximum Credit Amount</w:t>
      </w:r>
      <w:r w:rsidR="003A72FB" w:rsidRPr="006F6171">
        <w:rPr>
          <w:szCs w:val="24"/>
        </w:rPr>
        <w:t>;</w:t>
      </w:r>
    </w:p>
    <w:p w14:paraId="3C8FE8DC" w14:textId="77777777" w:rsidR="00995E15" w:rsidRPr="006F6171" w:rsidRDefault="00995E15" w:rsidP="00C01818">
      <w:pPr>
        <w:tabs>
          <w:tab w:val="left" w:pos="-720"/>
        </w:tabs>
        <w:suppressAutoHyphens/>
        <w:ind w:left="1080" w:hanging="360"/>
        <w:jc w:val="both"/>
        <w:rPr>
          <w:szCs w:val="24"/>
        </w:rPr>
      </w:pPr>
    </w:p>
    <w:p w14:paraId="77E50381" w14:textId="77777777" w:rsidR="00DA274F" w:rsidRPr="006F6171" w:rsidRDefault="00995E15" w:rsidP="00A8328C">
      <w:pPr>
        <w:numPr>
          <w:ilvl w:val="0"/>
          <w:numId w:val="20"/>
        </w:numPr>
        <w:tabs>
          <w:tab w:val="left" w:pos="-720"/>
        </w:tabs>
        <w:suppressAutoHyphens/>
        <w:ind w:left="1080"/>
        <w:jc w:val="both"/>
        <w:rPr>
          <w:szCs w:val="24"/>
        </w:rPr>
      </w:pPr>
      <w:r w:rsidRPr="006F6171">
        <w:rPr>
          <w:szCs w:val="24"/>
        </w:rPr>
        <w:lastRenderedPageBreak/>
        <w:t xml:space="preserve">The Applicant must submit financial and all other </w:t>
      </w:r>
      <w:r w:rsidR="009F5054" w:rsidRPr="006F6171">
        <w:rPr>
          <w:szCs w:val="24"/>
        </w:rPr>
        <w:t xml:space="preserve">required </w:t>
      </w:r>
      <w:r w:rsidRPr="006F6171">
        <w:rPr>
          <w:szCs w:val="24"/>
        </w:rPr>
        <w:t>information.</w:t>
      </w:r>
      <w:r w:rsidR="00BB3D09" w:rsidRPr="006F6171">
        <w:rPr>
          <w:szCs w:val="24"/>
        </w:rPr>
        <w:t xml:space="preserve"> </w:t>
      </w:r>
      <w:r w:rsidRPr="006F6171">
        <w:rPr>
          <w:szCs w:val="24"/>
        </w:rPr>
        <w:t>MaineHousing will evaluate the need for Credit based on</w:t>
      </w:r>
    </w:p>
    <w:p w14:paraId="27C465EC" w14:textId="77777777" w:rsidR="00DA274F" w:rsidRPr="006F6171" w:rsidRDefault="00DA274F" w:rsidP="00C01818">
      <w:pPr>
        <w:pStyle w:val="ListParagraph"/>
        <w:ind w:left="1080" w:hanging="360"/>
        <w:rPr>
          <w:szCs w:val="24"/>
        </w:rPr>
      </w:pPr>
    </w:p>
    <w:p w14:paraId="3486E487" w14:textId="77777777" w:rsidR="00DA274F" w:rsidRPr="006F6171" w:rsidRDefault="00EB146F" w:rsidP="00BE5856">
      <w:pPr>
        <w:numPr>
          <w:ilvl w:val="0"/>
          <w:numId w:val="51"/>
        </w:numPr>
        <w:tabs>
          <w:tab w:val="left" w:pos="-720"/>
          <w:tab w:val="left" w:pos="1440"/>
        </w:tabs>
        <w:suppressAutoHyphens/>
        <w:ind w:firstLine="360"/>
        <w:jc w:val="both"/>
        <w:rPr>
          <w:szCs w:val="24"/>
        </w:rPr>
      </w:pPr>
      <w:r w:rsidRPr="006F6171">
        <w:rPr>
          <w:szCs w:val="24"/>
        </w:rPr>
        <w:t>a</w:t>
      </w:r>
      <w:r w:rsidR="00995E15" w:rsidRPr="006F6171">
        <w:rPr>
          <w:szCs w:val="24"/>
        </w:rPr>
        <w:t xml:space="preserve">ll sources of </w:t>
      </w:r>
      <w:r w:rsidR="009F5054" w:rsidRPr="006F6171">
        <w:rPr>
          <w:szCs w:val="24"/>
        </w:rPr>
        <w:t>financing</w:t>
      </w:r>
      <w:r w:rsidR="00995E15" w:rsidRPr="006F6171">
        <w:rPr>
          <w:szCs w:val="24"/>
        </w:rPr>
        <w:t>, including the term</w:t>
      </w:r>
      <w:r w:rsidRPr="006F6171">
        <w:rPr>
          <w:szCs w:val="24"/>
        </w:rPr>
        <w:t>s and conditions</w:t>
      </w:r>
      <w:r w:rsidR="003A72FB" w:rsidRPr="006F6171">
        <w:rPr>
          <w:szCs w:val="24"/>
        </w:rPr>
        <w:t>,</w:t>
      </w:r>
    </w:p>
    <w:p w14:paraId="35F9E80F" w14:textId="77777777" w:rsidR="00DA274F" w:rsidRPr="006F6171" w:rsidRDefault="009F5054" w:rsidP="00BE5856">
      <w:pPr>
        <w:numPr>
          <w:ilvl w:val="0"/>
          <w:numId w:val="51"/>
        </w:numPr>
        <w:tabs>
          <w:tab w:val="left" w:pos="-720"/>
          <w:tab w:val="left" w:pos="1440"/>
        </w:tabs>
        <w:suppressAutoHyphens/>
        <w:ind w:left="1440"/>
        <w:jc w:val="both"/>
        <w:rPr>
          <w:szCs w:val="24"/>
        </w:rPr>
      </w:pPr>
      <w:r w:rsidRPr="006F6171">
        <w:rPr>
          <w:szCs w:val="24"/>
        </w:rPr>
        <w:t>equity expected to be gene</w:t>
      </w:r>
      <w:r w:rsidR="00C01818" w:rsidRPr="006F6171">
        <w:rPr>
          <w:szCs w:val="24"/>
        </w:rPr>
        <w:t>rated by reason of tax benefits</w:t>
      </w:r>
      <w:r w:rsidR="003A72FB" w:rsidRPr="006F6171">
        <w:rPr>
          <w:szCs w:val="24"/>
        </w:rPr>
        <w:t>,</w:t>
      </w:r>
      <w:r w:rsidRPr="006F6171">
        <w:rPr>
          <w:szCs w:val="24"/>
        </w:rPr>
        <w:t xml:space="preserve"> and </w:t>
      </w:r>
    </w:p>
    <w:p w14:paraId="4F485932" w14:textId="77777777" w:rsidR="00995E15" w:rsidRPr="006F6171" w:rsidRDefault="00EB146F" w:rsidP="00BE5856">
      <w:pPr>
        <w:numPr>
          <w:ilvl w:val="0"/>
          <w:numId w:val="51"/>
        </w:numPr>
        <w:tabs>
          <w:tab w:val="left" w:pos="-720"/>
          <w:tab w:val="left" w:pos="1440"/>
        </w:tabs>
        <w:suppressAutoHyphens/>
        <w:ind w:left="1440"/>
        <w:jc w:val="both"/>
        <w:rPr>
          <w:szCs w:val="24"/>
        </w:rPr>
      </w:pPr>
      <w:r w:rsidRPr="006F6171">
        <w:rPr>
          <w:szCs w:val="24"/>
        </w:rPr>
        <w:t>t</w:t>
      </w:r>
      <w:r w:rsidR="00995E15" w:rsidRPr="006F6171">
        <w:rPr>
          <w:szCs w:val="24"/>
        </w:rPr>
        <w:t>he uses of funds, including the reasonableness of development costs and operat</w:t>
      </w:r>
      <w:r w:rsidRPr="006F6171">
        <w:rPr>
          <w:szCs w:val="24"/>
        </w:rPr>
        <w:t>ing expenditures</w:t>
      </w:r>
      <w:r w:rsidR="00EE3E29" w:rsidRPr="006F6171">
        <w:rPr>
          <w:szCs w:val="24"/>
        </w:rPr>
        <w:t>; and</w:t>
      </w:r>
    </w:p>
    <w:p w14:paraId="2592B386" w14:textId="77777777" w:rsidR="00995E15" w:rsidRPr="006F6171" w:rsidRDefault="00995E15" w:rsidP="00C01818">
      <w:pPr>
        <w:pStyle w:val="ListParagraph"/>
        <w:ind w:left="1080" w:hanging="360"/>
        <w:jc w:val="both"/>
        <w:rPr>
          <w:szCs w:val="24"/>
        </w:rPr>
      </w:pPr>
    </w:p>
    <w:p w14:paraId="07FDE5CA" w14:textId="77777777" w:rsidR="00A76760" w:rsidRPr="006F6171" w:rsidRDefault="00995E15" w:rsidP="00A8328C">
      <w:pPr>
        <w:numPr>
          <w:ilvl w:val="0"/>
          <w:numId w:val="20"/>
        </w:numPr>
        <w:tabs>
          <w:tab w:val="left" w:pos="-720"/>
        </w:tabs>
        <w:suppressAutoHyphens/>
        <w:ind w:left="1080"/>
        <w:jc w:val="both"/>
        <w:rPr>
          <w:szCs w:val="24"/>
        </w:rPr>
      </w:pPr>
      <w:r w:rsidRPr="006F6171">
        <w:rPr>
          <w:szCs w:val="24"/>
        </w:rPr>
        <w:t xml:space="preserve">In order to determine the amount of Credit, MaineHousing must identify </w:t>
      </w:r>
      <w:r w:rsidR="009F5054" w:rsidRPr="006F6171">
        <w:rPr>
          <w:szCs w:val="24"/>
        </w:rPr>
        <w:t xml:space="preserve">a </w:t>
      </w:r>
      <w:r w:rsidRPr="006F6171">
        <w:rPr>
          <w:szCs w:val="24"/>
        </w:rPr>
        <w:t xml:space="preserve">gap between development sources and uses </w:t>
      </w:r>
      <w:r w:rsidR="007E1516" w:rsidRPr="006F6171">
        <w:rPr>
          <w:szCs w:val="24"/>
        </w:rPr>
        <w:t xml:space="preserve">absent a </w:t>
      </w:r>
      <w:r w:rsidRPr="006F6171">
        <w:rPr>
          <w:szCs w:val="24"/>
        </w:rPr>
        <w:t>Credit</w:t>
      </w:r>
      <w:r w:rsidR="007E1516" w:rsidRPr="006F6171">
        <w:rPr>
          <w:szCs w:val="24"/>
        </w:rPr>
        <w:t xml:space="preserve"> allocation</w:t>
      </w:r>
      <w:r w:rsidRPr="006F6171">
        <w:rPr>
          <w:szCs w:val="24"/>
        </w:rPr>
        <w:t>.</w:t>
      </w:r>
      <w:r w:rsidR="00BB3D09" w:rsidRPr="006F6171">
        <w:rPr>
          <w:szCs w:val="24"/>
        </w:rPr>
        <w:t xml:space="preserve"> </w:t>
      </w:r>
      <w:r w:rsidRPr="006F6171">
        <w:rPr>
          <w:szCs w:val="24"/>
        </w:rPr>
        <w:t>Ma</w:t>
      </w:r>
      <w:r w:rsidR="00FA5EC1" w:rsidRPr="006F6171">
        <w:rPr>
          <w:szCs w:val="24"/>
        </w:rPr>
        <w:t>ineHousing may</w:t>
      </w:r>
      <w:r w:rsidRPr="006F6171">
        <w:rPr>
          <w:szCs w:val="24"/>
        </w:rPr>
        <w:t xml:space="preserve"> limit recognition of Intermediary Costs, re-characterize Project sources and uses and make reasonable assumptions with respect to projected revenues and expenses.</w:t>
      </w:r>
      <w:r w:rsidR="00BB3D09" w:rsidRPr="006F6171">
        <w:rPr>
          <w:szCs w:val="24"/>
        </w:rPr>
        <w:t xml:space="preserve"> </w:t>
      </w:r>
      <w:r w:rsidRPr="006F6171">
        <w:rPr>
          <w:szCs w:val="24"/>
        </w:rPr>
        <w:t xml:space="preserve">MaineHousing will also take into consideration any </w:t>
      </w:r>
      <w:r w:rsidR="007E1516" w:rsidRPr="006F6171">
        <w:rPr>
          <w:szCs w:val="24"/>
        </w:rPr>
        <w:t xml:space="preserve">federal </w:t>
      </w:r>
      <w:r w:rsidRPr="006F6171">
        <w:rPr>
          <w:szCs w:val="24"/>
        </w:rPr>
        <w:t xml:space="preserve">limitations </w:t>
      </w:r>
      <w:r w:rsidR="0006597A" w:rsidRPr="006F6171">
        <w:rPr>
          <w:szCs w:val="24"/>
        </w:rPr>
        <w:t xml:space="preserve">when combining </w:t>
      </w:r>
      <w:r w:rsidRPr="006F6171">
        <w:rPr>
          <w:szCs w:val="24"/>
        </w:rPr>
        <w:t xml:space="preserve">the Credit with other federal </w:t>
      </w:r>
      <w:r w:rsidR="000175FE" w:rsidRPr="006F6171">
        <w:rPr>
          <w:szCs w:val="24"/>
        </w:rPr>
        <w:t>assistance</w:t>
      </w:r>
      <w:r w:rsidR="00FA5EC1" w:rsidRPr="006F6171">
        <w:rPr>
          <w:szCs w:val="24"/>
        </w:rPr>
        <w:t xml:space="preserve"> </w:t>
      </w:r>
      <w:r w:rsidR="007E1516" w:rsidRPr="006F6171">
        <w:rPr>
          <w:szCs w:val="24"/>
        </w:rPr>
        <w:t>(</w:t>
      </w:r>
      <w:r w:rsidR="00FA5EC1" w:rsidRPr="006F6171">
        <w:rPr>
          <w:szCs w:val="24"/>
        </w:rPr>
        <w:t xml:space="preserve">i.e. </w:t>
      </w:r>
      <w:r w:rsidRPr="006F6171">
        <w:rPr>
          <w:szCs w:val="24"/>
        </w:rPr>
        <w:t>“subsidy layering” guidelines</w:t>
      </w:r>
      <w:r w:rsidR="007E1516" w:rsidRPr="006F6171">
        <w:rPr>
          <w:szCs w:val="24"/>
        </w:rPr>
        <w:t>)</w:t>
      </w:r>
      <w:r w:rsidRPr="006F6171">
        <w:rPr>
          <w:szCs w:val="24"/>
        </w:rPr>
        <w:t>.</w:t>
      </w:r>
    </w:p>
    <w:p w14:paraId="32651C26" w14:textId="77777777" w:rsidR="00A76760" w:rsidRPr="006F6171" w:rsidRDefault="00A76760" w:rsidP="00A76760">
      <w:pPr>
        <w:pStyle w:val="ListParagraph"/>
        <w:rPr>
          <w:szCs w:val="24"/>
        </w:rPr>
      </w:pPr>
    </w:p>
    <w:p w14:paraId="6BF5A642" w14:textId="77777777" w:rsidR="00A76760" w:rsidRPr="006F6171" w:rsidRDefault="00277B66" w:rsidP="00A8328C">
      <w:pPr>
        <w:numPr>
          <w:ilvl w:val="0"/>
          <w:numId w:val="5"/>
        </w:numPr>
        <w:tabs>
          <w:tab w:val="clear" w:pos="1440"/>
          <w:tab w:val="left" w:pos="-720"/>
          <w:tab w:val="num" w:pos="720"/>
        </w:tabs>
        <w:suppressAutoHyphens/>
        <w:ind w:left="720" w:hanging="720"/>
        <w:jc w:val="both"/>
        <w:rPr>
          <w:szCs w:val="24"/>
        </w:rPr>
      </w:pPr>
      <w:r w:rsidRPr="006F6171">
        <w:t>Developer Fee</w:t>
      </w:r>
      <w:r w:rsidR="004C273F" w:rsidRPr="006F6171">
        <w:t>.</w:t>
      </w:r>
      <w:r w:rsidR="00BB3D09" w:rsidRPr="006F6171">
        <w:t xml:space="preserve"> </w:t>
      </w:r>
      <w:r w:rsidR="004C273F" w:rsidRPr="006F6171">
        <w:rPr>
          <w:szCs w:val="24"/>
        </w:rPr>
        <w:t>Developer Fee will be</w:t>
      </w:r>
      <w:r w:rsidR="00417266" w:rsidRPr="006F6171">
        <w:rPr>
          <w:szCs w:val="24"/>
        </w:rPr>
        <w:t xml:space="preserve"> determined </w:t>
      </w:r>
      <w:r w:rsidR="00A76760" w:rsidRPr="006F6171">
        <w:rPr>
          <w:szCs w:val="24"/>
        </w:rPr>
        <w:t>as follows:</w:t>
      </w:r>
    </w:p>
    <w:p w14:paraId="49F8249E" w14:textId="77777777" w:rsidR="004C273F" w:rsidRPr="006F6171" w:rsidRDefault="004C273F" w:rsidP="00A76760">
      <w:pPr>
        <w:tabs>
          <w:tab w:val="left" w:pos="-720"/>
        </w:tabs>
        <w:suppressAutoHyphens/>
        <w:ind w:left="720"/>
        <w:jc w:val="both"/>
        <w:rPr>
          <w:szCs w:val="24"/>
        </w:rPr>
      </w:pPr>
    </w:p>
    <w:p w14:paraId="4FA197F1" w14:textId="77777777" w:rsidR="004C273F" w:rsidRPr="006F6171" w:rsidRDefault="004C273F" w:rsidP="00A8328C">
      <w:pPr>
        <w:numPr>
          <w:ilvl w:val="0"/>
          <w:numId w:val="12"/>
        </w:numPr>
        <w:tabs>
          <w:tab w:val="left" w:pos="-720"/>
        </w:tabs>
        <w:suppressAutoHyphens/>
        <w:ind w:left="1080"/>
        <w:jc w:val="both"/>
        <w:rPr>
          <w:szCs w:val="24"/>
        </w:rPr>
      </w:pPr>
      <w:r w:rsidRPr="006F6171">
        <w:t xml:space="preserve">Maximum </w:t>
      </w:r>
      <w:r w:rsidR="005F04D7" w:rsidRPr="006F6171">
        <w:t>Developer Fee.</w:t>
      </w:r>
      <w:r w:rsidR="00BB3D09" w:rsidRPr="006F6171">
        <w:t xml:space="preserve"> </w:t>
      </w:r>
      <w:r w:rsidR="00ED4291" w:rsidRPr="006F6171">
        <w:rPr>
          <w:szCs w:val="24"/>
        </w:rPr>
        <w:t xml:space="preserve">The total Developer Fee </w:t>
      </w:r>
      <w:r w:rsidR="00161281" w:rsidRPr="006F6171">
        <w:rPr>
          <w:szCs w:val="24"/>
        </w:rPr>
        <w:t>may</w:t>
      </w:r>
      <w:r w:rsidRPr="006F6171">
        <w:rPr>
          <w:szCs w:val="24"/>
        </w:rPr>
        <w:t xml:space="preserve"> not exceed the sum of 15% of the Housing Development Costs</w:t>
      </w:r>
      <w:r w:rsidR="00A76760" w:rsidRPr="006F6171">
        <w:rPr>
          <w:szCs w:val="24"/>
        </w:rPr>
        <w:t>,</w:t>
      </w:r>
      <w:r w:rsidRPr="006F6171">
        <w:rPr>
          <w:szCs w:val="24"/>
        </w:rPr>
        <w:t xml:space="preserve"> plus 10% of the costs of acquisition of land, existing buildings an</w:t>
      </w:r>
      <w:r w:rsidR="00EE1443" w:rsidRPr="006F6171">
        <w:rPr>
          <w:szCs w:val="24"/>
        </w:rPr>
        <w:t xml:space="preserve">d equipment, </w:t>
      </w:r>
      <w:r w:rsidRPr="006F6171">
        <w:rPr>
          <w:szCs w:val="24"/>
        </w:rPr>
        <w:t xml:space="preserve">determined without regard to </w:t>
      </w:r>
      <w:r w:rsidR="00EE1443" w:rsidRPr="006F6171">
        <w:rPr>
          <w:szCs w:val="24"/>
        </w:rPr>
        <w:t>the Developer Fee</w:t>
      </w:r>
      <w:r w:rsidRPr="006F6171">
        <w:rPr>
          <w:szCs w:val="24"/>
        </w:rPr>
        <w:t>.</w:t>
      </w:r>
    </w:p>
    <w:p w14:paraId="054ECA87" w14:textId="77777777" w:rsidR="008C2873" w:rsidRPr="006F6171" w:rsidRDefault="008C2873" w:rsidP="00527B06">
      <w:pPr>
        <w:tabs>
          <w:tab w:val="left" w:pos="-720"/>
        </w:tabs>
        <w:suppressAutoHyphens/>
        <w:ind w:left="1080"/>
        <w:jc w:val="both"/>
        <w:rPr>
          <w:szCs w:val="24"/>
        </w:rPr>
      </w:pPr>
    </w:p>
    <w:p w14:paraId="3ABC4594" w14:textId="1CF19583" w:rsidR="00995E15" w:rsidRPr="006F6171" w:rsidRDefault="008C2873" w:rsidP="003C4DCA">
      <w:pPr>
        <w:ind w:left="1080" w:hanging="360"/>
        <w:jc w:val="both"/>
        <w:rPr>
          <w:szCs w:val="24"/>
        </w:rPr>
      </w:pPr>
      <w:r w:rsidRPr="006F6171">
        <w:rPr>
          <w:szCs w:val="24"/>
        </w:rPr>
        <w:t xml:space="preserve">2.   Net Developer Fee.  </w:t>
      </w:r>
      <w:r w:rsidR="00EE1443" w:rsidRPr="006F6171">
        <w:t xml:space="preserve">The </w:t>
      </w:r>
      <w:r w:rsidR="00AD4CC4" w:rsidRPr="006F6171">
        <w:t xml:space="preserve">amount of </w:t>
      </w:r>
      <w:r w:rsidR="00EE1443" w:rsidRPr="006F6171">
        <w:t xml:space="preserve">Developer Fee </w:t>
      </w:r>
      <w:r w:rsidR="00636A04" w:rsidRPr="006F6171">
        <w:t>not deferred</w:t>
      </w:r>
      <w:r w:rsidR="00ED4291" w:rsidRPr="006F6171">
        <w:t xml:space="preserve"> </w:t>
      </w:r>
      <w:r w:rsidR="00161281" w:rsidRPr="006F6171">
        <w:t>may</w:t>
      </w:r>
      <w:r w:rsidR="003354C0" w:rsidRPr="006F6171">
        <w:t xml:space="preserve"> not exceed </w:t>
      </w:r>
      <w:r w:rsidR="00F16E7C" w:rsidRPr="006F6171">
        <w:rPr>
          <w:szCs w:val="24"/>
        </w:rPr>
        <w:t>$</w:t>
      </w:r>
      <w:r w:rsidR="00D674CE" w:rsidRPr="006F6171">
        <w:rPr>
          <w:szCs w:val="24"/>
        </w:rPr>
        <w:t>75</w:t>
      </w:r>
      <w:r w:rsidR="00F16E7C" w:rsidRPr="006F6171">
        <w:rPr>
          <w:szCs w:val="24"/>
        </w:rPr>
        <w:t>0,000 plus any unused construction contingency returned to the Applicant after completion.</w:t>
      </w:r>
      <w:r w:rsidR="00F16E7C" w:rsidRPr="006F6171">
        <w:rPr>
          <w:szCs w:val="24"/>
        </w:rPr>
        <w:br/>
      </w:r>
    </w:p>
    <w:p w14:paraId="63C622DE" w14:textId="77777777" w:rsidR="00CA654B" w:rsidRPr="006F6171" w:rsidRDefault="00432EE9" w:rsidP="00527B06">
      <w:pPr>
        <w:tabs>
          <w:tab w:val="left" w:pos="-720"/>
        </w:tabs>
        <w:suppressAutoHyphens/>
        <w:ind w:left="1080" w:hanging="360"/>
        <w:jc w:val="both"/>
        <w:rPr>
          <w:szCs w:val="24"/>
        </w:rPr>
      </w:pPr>
      <w:r w:rsidRPr="006F6171">
        <w:t xml:space="preserve">3.   </w:t>
      </w:r>
      <w:r w:rsidR="00995E15" w:rsidRPr="006F6171">
        <w:t>Additional Developer Fee</w:t>
      </w:r>
      <w:r w:rsidR="00995E15" w:rsidRPr="006F6171">
        <w:rPr>
          <w:szCs w:val="24"/>
        </w:rPr>
        <w:t>.</w:t>
      </w:r>
      <w:r w:rsidR="00BB3D09" w:rsidRPr="006F6171">
        <w:rPr>
          <w:szCs w:val="24"/>
        </w:rPr>
        <w:t xml:space="preserve"> </w:t>
      </w:r>
      <w:r w:rsidR="00694E2C" w:rsidRPr="006F6171">
        <w:rPr>
          <w:szCs w:val="24"/>
        </w:rPr>
        <w:t xml:space="preserve">An Applicant is eligible for </w:t>
      </w:r>
      <w:r w:rsidR="00995E15" w:rsidRPr="006F6171">
        <w:rPr>
          <w:szCs w:val="24"/>
        </w:rPr>
        <w:t>Developer Fee</w:t>
      </w:r>
      <w:r w:rsidR="00694E2C" w:rsidRPr="006F6171">
        <w:rPr>
          <w:szCs w:val="24"/>
        </w:rPr>
        <w:t xml:space="preserve"> in excess of</w:t>
      </w:r>
      <w:r w:rsidR="00DB18E9" w:rsidRPr="006F6171">
        <w:rPr>
          <w:szCs w:val="24"/>
        </w:rPr>
        <w:t xml:space="preserve"> </w:t>
      </w:r>
      <w:r w:rsidR="00694E2C" w:rsidRPr="006F6171">
        <w:rPr>
          <w:szCs w:val="24"/>
        </w:rPr>
        <w:t>the Net Developer Fee calculated above only if</w:t>
      </w:r>
      <w:r w:rsidR="00F16E7C" w:rsidRPr="006F6171">
        <w:rPr>
          <w:szCs w:val="24"/>
        </w:rPr>
        <w:t xml:space="preserve"> it is deferred and used to increase the tax credit basis. </w:t>
      </w:r>
    </w:p>
    <w:p w14:paraId="43349243" w14:textId="77777777" w:rsidR="00995E15" w:rsidRPr="006F6171" w:rsidRDefault="00995E15" w:rsidP="00A76760">
      <w:pPr>
        <w:tabs>
          <w:tab w:val="left" w:pos="-720"/>
        </w:tabs>
        <w:suppressAutoHyphens/>
        <w:ind w:left="1080"/>
        <w:jc w:val="both"/>
        <w:rPr>
          <w:szCs w:val="24"/>
        </w:rPr>
      </w:pPr>
    </w:p>
    <w:p w14:paraId="52DBF898" w14:textId="77777777" w:rsidR="001D0792" w:rsidRPr="006F6171" w:rsidRDefault="00995E15" w:rsidP="00A8328C">
      <w:pPr>
        <w:numPr>
          <w:ilvl w:val="0"/>
          <w:numId w:val="10"/>
        </w:numPr>
        <w:tabs>
          <w:tab w:val="clear" w:pos="1440"/>
          <w:tab w:val="left" w:pos="-720"/>
          <w:tab w:val="num" w:pos="720"/>
        </w:tabs>
        <w:suppressAutoHyphens/>
        <w:ind w:left="720" w:hanging="720"/>
        <w:jc w:val="both"/>
        <w:rPr>
          <w:szCs w:val="24"/>
        </w:rPr>
      </w:pPr>
      <w:r w:rsidRPr="006F6171">
        <w:t>General Contractor Intermediary Costs</w:t>
      </w:r>
      <w:r w:rsidR="001C354C" w:rsidRPr="006F6171">
        <w:rPr>
          <w:szCs w:val="24"/>
        </w:rPr>
        <w:t>.</w:t>
      </w:r>
      <w:r w:rsidR="00DB18E9" w:rsidRPr="006F6171">
        <w:rPr>
          <w:szCs w:val="24"/>
        </w:rPr>
        <w:t xml:space="preserve"> </w:t>
      </w:r>
      <w:r w:rsidR="00D62F1B" w:rsidRPr="006F6171">
        <w:rPr>
          <w:szCs w:val="24"/>
        </w:rPr>
        <w:t>The</w:t>
      </w:r>
      <w:r w:rsidR="00D35233" w:rsidRPr="006F6171">
        <w:rPr>
          <w:szCs w:val="24"/>
        </w:rPr>
        <w:t xml:space="preserve"> </w:t>
      </w:r>
      <w:r w:rsidR="00A82F8B" w:rsidRPr="006F6171">
        <w:rPr>
          <w:szCs w:val="24"/>
        </w:rPr>
        <w:t>g</w:t>
      </w:r>
      <w:r w:rsidR="00D62F1B" w:rsidRPr="006F6171">
        <w:rPr>
          <w:szCs w:val="24"/>
        </w:rPr>
        <w:t xml:space="preserve">eneral </w:t>
      </w:r>
      <w:r w:rsidR="00A82F8B" w:rsidRPr="006F6171">
        <w:rPr>
          <w:szCs w:val="24"/>
        </w:rPr>
        <w:t>c</w:t>
      </w:r>
      <w:r w:rsidR="00D62F1B" w:rsidRPr="006F6171">
        <w:rPr>
          <w:szCs w:val="24"/>
        </w:rPr>
        <w:t xml:space="preserve">ontractor’s Intermediary Costs </w:t>
      </w:r>
      <w:r w:rsidR="001D0792" w:rsidRPr="006F6171">
        <w:rPr>
          <w:szCs w:val="24"/>
        </w:rPr>
        <w:t>must be</w:t>
      </w:r>
      <w:r w:rsidR="0051540B" w:rsidRPr="006F6171">
        <w:rPr>
          <w:szCs w:val="24"/>
        </w:rPr>
        <w:t>:</w:t>
      </w:r>
    </w:p>
    <w:p w14:paraId="5BDCBA68" w14:textId="77777777" w:rsidR="00A76760" w:rsidRPr="006F6171" w:rsidRDefault="00A76760" w:rsidP="00A76760">
      <w:pPr>
        <w:tabs>
          <w:tab w:val="left" w:pos="-720"/>
        </w:tabs>
        <w:suppressAutoHyphens/>
        <w:ind w:left="720"/>
        <w:jc w:val="both"/>
        <w:rPr>
          <w:szCs w:val="24"/>
        </w:rPr>
      </w:pPr>
    </w:p>
    <w:p w14:paraId="3DE803CB" w14:textId="77777777" w:rsidR="001D0792" w:rsidRPr="006F6171" w:rsidRDefault="00D62F1B" w:rsidP="00BE5856">
      <w:pPr>
        <w:numPr>
          <w:ilvl w:val="0"/>
          <w:numId w:val="49"/>
        </w:numPr>
        <w:tabs>
          <w:tab w:val="left" w:pos="-720"/>
        </w:tabs>
        <w:suppressAutoHyphens/>
        <w:ind w:left="1080"/>
        <w:jc w:val="both"/>
        <w:rPr>
          <w:szCs w:val="24"/>
        </w:rPr>
      </w:pPr>
      <w:r w:rsidRPr="006F6171">
        <w:rPr>
          <w:szCs w:val="24"/>
        </w:rPr>
        <w:t>separate</w:t>
      </w:r>
      <w:r w:rsidR="001D0792" w:rsidRPr="006F6171">
        <w:rPr>
          <w:szCs w:val="24"/>
        </w:rPr>
        <w:t>d</w:t>
      </w:r>
      <w:r w:rsidRPr="006F6171">
        <w:rPr>
          <w:szCs w:val="24"/>
        </w:rPr>
        <w:t xml:space="preserve"> from </w:t>
      </w:r>
      <w:r w:rsidR="001D0792" w:rsidRPr="006F6171">
        <w:rPr>
          <w:szCs w:val="24"/>
        </w:rPr>
        <w:t xml:space="preserve">other </w:t>
      </w:r>
      <w:r w:rsidRPr="006F6171">
        <w:rPr>
          <w:szCs w:val="24"/>
        </w:rPr>
        <w:t>construction and rehabilitation costs</w:t>
      </w:r>
      <w:r w:rsidR="00EE3E29" w:rsidRPr="006F6171">
        <w:rPr>
          <w:szCs w:val="24"/>
        </w:rPr>
        <w:t>,</w:t>
      </w:r>
    </w:p>
    <w:p w14:paraId="08E65EB0" w14:textId="77777777" w:rsidR="00A76760" w:rsidRPr="006F6171" w:rsidRDefault="00A76760" w:rsidP="005C64C8">
      <w:pPr>
        <w:pStyle w:val="ListParagraph"/>
        <w:tabs>
          <w:tab w:val="left" w:pos="-720"/>
        </w:tabs>
        <w:suppressAutoHyphens/>
        <w:ind w:left="990" w:hanging="270"/>
        <w:jc w:val="both"/>
        <w:rPr>
          <w:szCs w:val="24"/>
        </w:rPr>
      </w:pPr>
    </w:p>
    <w:p w14:paraId="08CB348C" w14:textId="77777777" w:rsidR="001D0792" w:rsidRPr="006F6171" w:rsidRDefault="00555C36" w:rsidP="00BE5856">
      <w:pPr>
        <w:numPr>
          <w:ilvl w:val="0"/>
          <w:numId w:val="49"/>
        </w:numPr>
        <w:tabs>
          <w:tab w:val="left" w:pos="-720"/>
        </w:tabs>
        <w:suppressAutoHyphens/>
        <w:ind w:left="1080"/>
        <w:jc w:val="both"/>
        <w:rPr>
          <w:szCs w:val="24"/>
        </w:rPr>
      </w:pPr>
      <w:r w:rsidRPr="006F6171">
        <w:rPr>
          <w:szCs w:val="24"/>
        </w:rPr>
        <w:t>with</w:t>
      </w:r>
      <w:r w:rsidR="00D62F1B" w:rsidRPr="006F6171">
        <w:rPr>
          <w:szCs w:val="24"/>
        </w:rPr>
        <w:t xml:space="preserve"> general conditions and overhead and profit</w:t>
      </w:r>
      <w:r w:rsidRPr="006F6171">
        <w:rPr>
          <w:szCs w:val="24"/>
        </w:rPr>
        <w:t xml:space="preserve"> parsed out</w:t>
      </w:r>
      <w:r w:rsidR="00EE3E29" w:rsidRPr="006F6171">
        <w:rPr>
          <w:szCs w:val="24"/>
        </w:rPr>
        <w:t>,</w:t>
      </w:r>
      <w:r w:rsidR="001D0792" w:rsidRPr="006F6171">
        <w:rPr>
          <w:szCs w:val="24"/>
        </w:rPr>
        <w:t xml:space="preserve"> and</w:t>
      </w:r>
    </w:p>
    <w:p w14:paraId="76AB9195" w14:textId="77777777" w:rsidR="00A76760" w:rsidRPr="006F6171" w:rsidRDefault="00A76760" w:rsidP="005C64C8">
      <w:pPr>
        <w:pStyle w:val="ListParagraph"/>
        <w:ind w:left="990" w:hanging="270"/>
        <w:rPr>
          <w:szCs w:val="24"/>
        </w:rPr>
      </w:pPr>
    </w:p>
    <w:p w14:paraId="2EFD0035" w14:textId="77777777" w:rsidR="00995E15" w:rsidRPr="006F6171" w:rsidRDefault="001D0792" w:rsidP="00BE5856">
      <w:pPr>
        <w:numPr>
          <w:ilvl w:val="0"/>
          <w:numId w:val="49"/>
        </w:numPr>
        <w:tabs>
          <w:tab w:val="left" w:pos="-720"/>
        </w:tabs>
        <w:suppressAutoHyphens/>
        <w:ind w:left="1080"/>
        <w:jc w:val="both"/>
        <w:rPr>
          <w:szCs w:val="24"/>
        </w:rPr>
      </w:pPr>
      <w:r w:rsidRPr="006F6171">
        <w:rPr>
          <w:szCs w:val="24"/>
        </w:rPr>
        <w:t xml:space="preserve">no more than </w:t>
      </w:r>
      <w:r w:rsidR="00076906" w:rsidRPr="006F6171">
        <w:rPr>
          <w:szCs w:val="24"/>
        </w:rPr>
        <w:t>14</w:t>
      </w:r>
      <w:r w:rsidR="00995E15" w:rsidRPr="006F6171">
        <w:rPr>
          <w:szCs w:val="24"/>
        </w:rPr>
        <w:t>% of the Total Construction Cost, within the following ranges</w:t>
      </w:r>
      <w:r w:rsidR="00545C91" w:rsidRPr="006F6171">
        <w:rPr>
          <w:szCs w:val="24"/>
        </w:rPr>
        <w:t>:</w:t>
      </w:r>
    </w:p>
    <w:p w14:paraId="3AFDCD7E" w14:textId="77777777" w:rsidR="00995E15" w:rsidRPr="006F6171" w:rsidRDefault="00995E15" w:rsidP="00A76760">
      <w:pPr>
        <w:tabs>
          <w:tab w:val="left" w:pos="-720"/>
        </w:tabs>
        <w:suppressAutoHyphens/>
        <w:ind w:left="1080" w:hanging="360"/>
        <w:jc w:val="both"/>
        <w:rPr>
          <w:szCs w:val="24"/>
        </w:rPr>
      </w:pPr>
    </w:p>
    <w:p w14:paraId="35C12541" w14:textId="77777777" w:rsidR="00DD2164" w:rsidRPr="006F6171" w:rsidRDefault="00DD2164" w:rsidP="00527B06">
      <w:pPr>
        <w:tabs>
          <w:tab w:val="left" w:pos="-720"/>
          <w:tab w:val="left" w:pos="990"/>
        </w:tabs>
        <w:suppressAutoHyphens/>
        <w:ind w:left="990"/>
        <w:jc w:val="both"/>
        <w:rPr>
          <w:szCs w:val="24"/>
        </w:rPr>
      </w:pPr>
      <w:r w:rsidRPr="006F6171">
        <w:rPr>
          <w:szCs w:val="24"/>
        </w:rPr>
        <w:t xml:space="preserve">a)  General </w:t>
      </w:r>
      <w:r w:rsidR="00A82F8B" w:rsidRPr="006F6171">
        <w:rPr>
          <w:szCs w:val="24"/>
        </w:rPr>
        <w:t>c</w:t>
      </w:r>
      <w:r w:rsidRPr="006F6171">
        <w:rPr>
          <w:szCs w:val="24"/>
        </w:rPr>
        <w:t xml:space="preserve">onditions up to 6% of Total Construction Cost, and </w:t>
      </w:r>
    </w:p>
    <w:p w14:paraId="4DBEF738" w14:textId="77777777" w:rsidR="00995E15" w:rsidRPr="006F6171" w:rsidRDefault="00DD2164" w:rsidP="00527B06">
      <w:pPr>
        <w:tabs>
          <w:tab w:val="left" w:pos="-720"/>
          <w:tab w:val="left" w:pos="990"/>
        </w:tabs>
        <w:suppressAutoHyphens/>
        <w:ind w:left="990"/>
        <w:jc w:val="both"/>
        <w:rPr>
          <w:szCs w:val="24"/>
        </w:rPr>
      </w:pPr>
      <w:r w:rsidRPr="006F6171">
        <w:rPr>
          <w:szCs w:val="24"/>
        </w:rPr>
        <w:t>b</w:t>
      </w:r>
      <w:r w:rsidR="00EE3E29" w:rsidRPr="006F6171">
        <w:rPr>
          <w:szCs w:val="24"/>
        </w:rPr>
        <w:t xml:space="preserve">)  </w:t>
      </w:r>
      <w:r w:rsidR="00076906" w:rsidRPr="006F6171">
        <w:rPr>
          <w:szCs w:val="24"/>
        </w:rPr>
        <w:t>Over</w:t>
      </w:r>
      <w:r w:rsidR="007B1DCF" w:rsidRPr="006F6171">
        <w:rPr>
          <w:szCs w:val="24"/>
        </w:rPr>
        <w:t xml:space="preserve">head and </w:t>
      </w:r>
      <w:r w:rsidR="00A82F8B" w:rsidRPr="006F6171">
        <w:rPr>
          <w:szCs w:val="24"/>
        </w:rPr>
        <w:t>p</w:t>
      </w:r>
      <w:r w:rsidR="007B1DCF" w:rsidRPr="006F6171">
        <w:rPr>
          <w:szCs w:val="24"/>
        </w:rPr>
        <w:t>rofit</w:t>
      </w:r>
      <w:r w:rsidR="00EE3E29" w:rsidRPr="006F6171">
        <w:rPr>
          <w:szCs w:val="24"/>
        </w:rPr>
        <w:t xml:space="preserve"> </w:t>
      </w:r>
      <w:r w:rsidR="007B1DCF" w:rsidRPr="006F6171">
        <w:rPr>
          <w:szCs w:val="24"/>
        </w:rPr>
        <w:t>up to 8</w:t>
      </w:r>
      <w:r w:rsidR="00995E15" w:rsidRPr="006F6171">
        <w:rPr>
          <w:szCs w:val="24"/>
        </w:rPr>
        <w:t>% of Total Construction Cost</w:t>
      </w:r>
    </w:p>
    <w:p w14:paraId="321EF98F" w14:textId="77777777" w:rsidR="00995E15" w:rsidRPr="006F6171" w:rsidRDefault="002C4C93" w:rsidP="00F82A1D">
      <w:pPr>
        <w:tabs>
          <w:tab w:val="left" w:pos="-720"/>
          <w:tab w:val="left" w:pos="990"/>
        </w:tabs>
        <w:suppressAutoHyphens/>
        <w:jc w:val="both"/>
        <w:rPr>
          <w:szCs w:val="24"/>
        </w:rPr>
      </w:pPr>
      <w:r w:rsidRPr="006F6171">
        <w:rPr>
          <w:szCs w:val="24"/>
        </w:rPr>
        <w:tab/>
      </w:r>
    </w:p>
    <w:p w14:paraId="6958B119" w14:textId="77777777" w:rsidR="00E2640B" w:rsidRPr="006F6171" w:rsidRDefault="00995E15" w:rsidP="00A8328C">
      <w:pPr>
        <w:numPr>
          <w:ilvl w:val="0"/>
          <w:numId w:val="10"/>
        </w:numPr>
        <w:tabs>
          <w:tab w:val="left" w:pos="-720"/>
        </w:tabs>
        <w:suppressAutoHyphens/>
        <w:ind w:left="720" w:hanging="720"/>
        <w:jc w:val="both"/>
        <w:rPr>
          <w:szCs w:val="24"/>
        </w:rPr>
      </w:pPr>
      <w:r w:rsidRPr="006F6171">
        <w:t>Time of Credit Determination</w:t>
      </w:r>
      <w:r w:rsidRPr="006F6171">
        <w:rPr>
          <w:szCs w:val="24"/>
        </w:rPr>
        <w:t>.</w:t>
      </w:r>
      <w:r w:rsidR="00DB18E9" w:rsidRPr="006F6171">
        <w:rPr>
          <w:szCs w:val="24"/>
        </w:rPr>
        <w:t xml:space="preserve"> </w:t>
      </w:r>
      <w:r w:rsidR="00417266" w:rsidRPr="006F6171">
        <w:rPr>
          <w:szCs w:val="24"/>
        </w:rPr>
        <w:t>MaineHousing will determine the amount of Credit</w:t>
      </w:r>
      <w:r w:rsidR="00A6279B" w:rsidRPr="006F6171">
        <w:rPr>
          <w:szCs w:val="24"/>
        </w:rPr>
        <w:t xml:space="preserve"> at the time of</w:t>
      </w:r>
    </w:p>
    <w:p w14:paraId="0A8EF73C" w14:textId="77777777" w:rsidR="00FB5D9D" w:rsidRPr="006F6171" w:rsidRDefault="00FB5D9D" w:rsidP="008416BF">
      <w:pPr>
        <w:tabs>
          <w:tab w:val="left" w:pos="-720"/>
        </w:tabs>
        <w:suppressAutoHyphens/>
        <w:jc w:val="both"/>
        <w:rPr>
          <w:szCs w:val="24"/>
        </w:rPr>
      </w:pPr>
    </w:p>
    <w:p w14:paraId="29AF6289" w14:textId="77777777" w:rsidR="00E2640B" w:rsidRPr="006F6171" w:rsidRDefault="00A82F8B" w:rsidP="00BE5856">
      <w:pPr>
        <w:numPr>
          <w:ilvl w:val="0"/>
          <w:numId w:val="42"/>
        </w:numPr>
        <w:tabs>
          <w:tab w:val="left" w:pos="-720"/>
        </w:tabs>
        <w:suppressAutoHyphens/>
        <w:ind w:left="1080"/>
        <w:jc w:val="both"/>
        <w:rPr>
          <w:szCs w:val="24"/>
        </w:rPr>
      </w:pPr>
      <w:r w:rsidRPr="006F6171">
        <w:rPr>
          <w:szCs w:val="24"/>
        </w:rPr>
        <w:t>A</w:t>
      </w:r>
      <w:r w:rsidR="00A6279B" w:rsidRPr="006F6171">
        <w:rPr>
          <w:szCs w:val="24"/>
        </w:rPr>
        <w:t>pplication, which will be eviden</w:t>
      </w:r>
      <w:r w:rsidR="00A76760" w:rsidRPr="006F6171">
        <w:rPr>
          <w:szCs w:val="24"/>
        </w:rPr>
        <w:t>ced by the Notice to Proceed</w:t>
      </w:r>
      <w:r w:rsidR="00EE3E29" w:rsidRPr="006F6171">
        <w:rPr>
          <w:szCs w:val="24"/>
        </w:rPr>
        <w:t>;</w:t>
      </w:r>
    </w:p>
    <w:p w14:paraId="4863DBEA" w14:textId="77777777" w:rsidR="00FB5D9D" w:rsidRPr="006F6171" w:rsidRDefault="00FB5D9D" w:rsidP="0096448A">
      <w:pPr>
        <w:tabs>
          <w:tab w:val="left" w:pos="-720"/>
        </w:tabs>
        <w:suppressAutoHyphens/>
        <w:ind w:left="1080" w:hanging="360"/>
        <w:jc w:val="both"/>
        <w:rPr>
          <w:szCs w:val="24"/>
        </w:rPr>
      </w:pPr>
    </w:p>
    <w:p w14:paraId="39F8780D" w14:textId="77777777" w:rsidR="00E2640B" w:rsidRPr="006F6171" w:rsidRDefault="00A6279B" w:rsidP="00BE5856">
      <w:pPr>
        <w:numPr>
          <w:ilvl w:val="0"/>
          <w:numId w:val="42"/>
        </w:numPr>
        <w:tabs>
          <w:tab w:val="left" w:pos="-720"/>
        </w:tabs>
        <w:suppressAutoHyphens/>
        <w:ind w:left="1080"/>
        <w:jc w:val="both"/>
        <w:rPr>
          <w:szCs w:val="24"/>
        </w:rPr>
      </w:pPr>
      <w:r w:rsidRPr="006F6171">
        <w:rPr>
          <w:szCs w:val="24"/>
        </w:rPr>
        <w:lastRenderedPageBreak/>
        <w:t xml:space="preserve">the allocation of Credit, </w:t>
      </w:r>
      <w:r w:rsidR="002715E4" w:rsidRPr="006F6171">
        <w:rPr>
          <w:szCs w:val="24"/>
        </w:rPr>
        <w:t>includ</w:t>
      </w:r>
      <w:r w:rsidR="00A76760" w:rsidRPr="006F6171">
        <w:rPr>
          <w:szCs w:val="24"/>
        </w:rPr>
        <w:t>ing any carryover allocation;</w:t>
      </w:r>
    </w:p>
    <w:p w14:paraId="0C224E9C" w14:textId="77777777" w:rsidR="00FB5D9D" w:rsidRPr="006F6171" w:rsidRDefault="00FB5D9D" w:rsidP="0096448A">
      <w:pPr>
        <w:tabs>
          <w:tab w:val="left" w:pos="-720"/>
        </w:tabs>
        <w:suppressAutoHyphens/>
        <w:ind w:left="1080" w:hanging="360"/>
        <w:jc w:val="both"/>
        <w:rPr>
          <w:szCs w:val="24"/>
        </w:rPr>
      </w:pPr>
    </w:p>
    <w:p w14:paraId="1B2E7FE1" w14:textId="77777777" w:rsidR="00E2640B" w:rsidRPr="006F6171" w:rsidRDefault="002715E4" w:rsidP="00BE5856">
      <w:pPr>
        <w:numPr>
          <w:ilvl w:val="0"/>
          <w:numId w:val="42"/>
        </w:numPr>
        <w:tabs>
          <w:tab w:val="left" w:pos="-720"/>
        </w:tabs>
        <w:suppressAutoHyphens/>
        <w:ind w:left="1080"/>
        <w:jc w:val="both"/>
        <w:rPr>
          <w:szCs w:val="24"/>
        </w:rPr>
      </w:pPr>
      <w:r w:rsidRPr="006F6171">
        <w:rPr>
          <w:szCs w:val="24"/>
        </w:rPr>
        <w:t>the date each Qualified Build</w:t>
      </w:r>
      <w:r w:rsidR="00FB5032" w:rsidRPr="006F6171">
        <w:rPr>
          <w:szCs w:val="24"/>
        </w:rPr>
        <w:t>ing is Placed in Service</w:t>
      </w:r>
      <w:r w:rsidR="00A76760" w:rsidRPr="006F6171">
        <w:rPr>
          <w:szCs w:val="24"/>
        </w:rPr>
        <w:t>;</w:t>
      </w:r>
      <w:r w:rsidR="00FB5032" w:rsidRPr="006F6171">
        <w:rPr>
          <w:szCs w:val="24"/>
        </w:rPr>
        <w:t xml:space="preserve"> and</w:t>
      </w:r>
    </w:p>
    <w:p w14:paraId="61EC9FF8" w14:textId="77777777" w:rsidR="00FB5D9D" w:rsidRPr="006F6171" w:rsidRDefault="00FB5D9D" w:rsidP="0096448A">
      <w:pPr>
        <w:tabs>
          <w:tab w:val="left" w:pos="-720"/>
        </w:tabs>
        <w:suppressAutoHyphens/>
        <w:ind w:left="1080" w:hanging="360"/>
        <w:jc w:val="both"/>
        <w:rPr>
          <w:szCs w:val="24"/>
        </w:rPr>
      </w:pPr>
    </w:p>
    <w:p w14:paraId="4DC1E700" w14:textId="77777777" w:rsidR="00E2640B" w:rsidRPr="006F6171" w:rsidRDefault="002715E4" w:rsidP="00BE5856">
      <w:pPr>
        <w:numPr>
          <w:ilvl w:val="0"/>
          <w:numId w:val="42"/>
        </w:numPr>
        <w:tabs>
          <w:tab w:val="left" w:pos="-720"/>
        </w:tabs>
        <w:suppressAutoHyphens/>
        <w:ind w:left="1080"/>
        <w:jc w:val="both"/>
        <w:rPr>
          <w:szCs w:val="24"/>
        </w:rPr>
      </w:pPr>
      <w:r w:rsidRPr="006F6171">
        <w:rPr>
          <w:szCs w:val="24"/>
        </w:rPr>
        <w:t>if a Qualified Building is allocated Credit pursuant to Section 9, the date of issuance of the tax-exempt bonds</w:t>
      </w:r>
      <w:r w:rsidR="001D09B6" w:rsidRPr="006F6171">
        <w:rPr>
          <w:szCs w:val="24"/>
        </w:rPr>
        <w:t>.</w:t>
      </w:r>
    </w:p>
    <w:p w14:paraId="22C7D926" w14:textId="77777777" w:rsidR="00FB5D9D" w:rsidRPr="006F6171" w:rsidRDefault="00FB5D9D" w:rsidP="008416BF">
      <w:pPr>
        <w:tabs>
          <w:tab w:val="left" w:pos="-720"/>
        </w:tabs>
        <w:suppressAutoHyphens/>
        <w:ind w:left="720"/>
        <w:jc w:val="both"/>
        <w:rPr>
          <w:szCs w:val="24"/>
        </w:rPr>
      </w:pPr>
    </w:p>
    <w:p w14:paraId="67E23ABA" w14:textId="77777777" w:rsidR="00A76760" w:rsidRPr="006F6171" w:rsidRDefault="00995E15" w:rsidP="008416BF">
      <w:pPr>
        <w:tabs>
          <w:tab w:val="left" w:pos="-720"/>
        </w:tabs>
        <w:suppressAutoHyphens/>
        <w:ind w:left="720"/>
        <w:jc w:val="both"/>
        <w:rPr>
          <w:szCs w:val="24"/>
        </w:rPr>
      </w:pPr>
      <w:r w:rsidRPr="006F6171">
        <w:rPr>
          <w:szCs w:val="24"/>
        </w:rPr>
        <w:t>Prior to each de</w:t>
      </w:r>
      <w:r w:rsidR="0089187A" w:rsidRPr="006F6171">
        <w:rPr>
          <w:szCs w:val="24"/>
        </w:rPr>
        <w:t>termination, the Applicant must</w:t>
      </w:r>
      <w:r w:rsidRPr="006F6171">
        <w:rPr>
          <w:szCs w:val="24"/>
        </w:rPr>
        <w:t xml:space="preserve"> certify the full </w:t>
      </w:r>
      <w:r w:rsidR="00F6387D" w:rsidRPr="006F6171">
        <w:rPr>
          <w:szCs w:val="24"/>
        </w:rPr>
        <w:t xml:space="preserve">amounts </w:t>
      </w:r>
      <w:r w:rsidRPr="006F6171">
        <w:rPr>
          <w:szCs w:val="24"/>
        </w:rPr>
        <w:t xml:space="preserve">of all </w:t>
      </w:r>
      <w:r w:rsidR="00FB5D9D" w:rsidRPr="006F6171">
        <w:rPr>
          <w:szCs w:val="24"/>
        </w:rPr>
        <w:t xml:space="preserve">funding </w:t>
      </w:r>
      <w:r w:rsidR="00417266" w:rsidRPr="006F6171">
        <w:rPr>
          <w:szCs w:val="24"/>
        </w:rPr>
        <w:t xml:space="preserve">sources </w:t>
      </w:r>
      <w:r w:rsidRPr="006F6171">
        <w:rPr>
          <w:szCs w:val="24"/>
        </w:rPr>
        <w:t xml:space="preserve">and provide </w:t>
      </w:r>
      <w:r w:rsidR="0089187A" w:rsidRPr="006F6171">
        <w:rPr>
          <w:szCs w:val="24"/>
        </w:rPr>
        <w:t>any other</w:t>
      </w:r>
      <w:r w:rsidRPr="006F6171">
        <w:rPr>
          <w:szCs w:val="24"/>
        </w:rPr>
        <w:t xml:space="preserve"> information </w:t>
      </w:r>
      <w:r w:rsidR="0089187A" w:rsidRPr="006F6171">
        <w:rPr>
          <w:szCs w:val="24"/>
        </w:rPr>
        <w:t xml:space="preserve">required by </w:t>
      </w:r>
      <w:r w:rsidRPr="006F6171">
        <w:rPr>
          <w:szCs w:val="24"/>
        </w:rPr>
        <w:t>MaineHousing.</w:t>
      </w:r>
    </w:p>
    <w:p w14:paraId="6CF3ED0D" w14:textId="77777777" w:rsidR="00995E15" w:rsidRPr="006F6171" w:rsidRDefault="00995E15" w:rsidP="008416BF">
      <w:pPr>
        <w:tabs>
          <w:tab w:val="left" w:pos="-720"/>
        </w:tabs>
        <w:suppressAutoHyphens/>
        <w:ind w:left="720"/>
        <w:jc w:val="both"/>
        <w:rPr>
          <w:szCs w:val="24"/>
        </w:rPr>
      </w:pPr>
    </w:p>
    <w:p w14:paraId="64D9F2BF" w14:textId="77777777" w:rsidR="00A50236" w:rsidRPr="006F6171" w:rsidRDefault="00A50236" w:rsidP="00A8328C">
      <w:pPr>
        <w:numPr>
          <w:ilvl w:val="0"/>
          <w:numId w:val="10"/>
        </w:numPr>
        <w:tabs>
          <w:tab w:val="left" w:pos="-720"/>
        </w:tabs>
        <w:suppressAutoHyphens/>
        <w:ind w:left="720" w:hanging="720"/>
        <w:jc w:val="both"/>
        <w:rPr>
          <w:szCs w:val="24"/>
        </w:rPr>
      </w:pPr>
      <w:r w:rsidRPr="006F6171">
        <w:rPr>
          <w:szCs w:val="24"/>
        </w:rPr>
        <w:t xml:space="preserve">Market Study.  The applicant must submit a comprehensive market study prepared by a qualified professional in accordance with the </w:t>
      </w:r>
      <w:r w:rsidRPr="006F6171">
        <w:rPr>
          <w:i/>
          <w:szCs w:val="24"/>
        </w:rPr>
        <w:t xml:space="preserve">National Council of Housing Market Analysis Model Standards for Market Studies for Rental Housing.  </w:t>
      </w:r>
      <w:r w:rsidRPr="006F6171">
        <w:rPr>
          <w:szCs w:val="24"/>
        </w:rPr>
        <w:t>MaineHousing may require the Applicant to either correct any inadequacies it identifies or submit a new market study.  MaineHousing also may elect to commission its own market study.</w:t>
      </w:r>
    </w:p>
    <w:p w14:paraId="1842804D" w14:textId="77777777" w:rsidR="000E4357" w:rsidRPr="006F6171" w:rsidRDefault="000E4357" w:rsidP="00614DD9">
      <w:pPr>
        <w:tabs>
          <w:tab w:val="left" w:pos="-720"/>
        </w:tabs>
        <w:suppressAutoHyphens/>
        <w:ind w:left="720"/>
        <w:jc w:val="both"/>
        <w:rPr>
          <w:szCs w:val="24"/>
        </w:rPr>
      </w:pPr>
    </w:p>
    <w:p w14:paraId="4A40C790" w14:textId="77777777" w:rsidR="00995E15" w:rsidRPr="006F6171" w:rsidRDefault="000E4357" w:rsidP="00A8328C">
      <w:pPr>
        <w:numPr>
          <w:ilvl w:val="0"/>
          <w:numId w:val="10"/>
        </w:numPr>
        <w:tabs>
          <w:tab w:val="left" w:pos="-720"/>
        </w:tabs>
        <w:suppressAutoHyphens/>
        <w:ind w:left="720" w:hanging="720"/>
        <w:jc w:val="both"/>
        <w:rPr>
          <w:szCs w:val="24"/>
        </w:rPr>
      </w:pPr>
      <w:r w:rsidRPr="006F6171">
        <w:t>C</w:t>
      </w:r>
      <w:r w:rsidR="008E786A" w:rsidRPr="006F6171">
        <w:t xml:space="preserve">onstruction </w:t>
      </w:r>
      <w:r w:rsidR="00995E15" w:rsidRPr="006F6171">
        <w:t>Cost Increases</w:t>
      </w:r>
      <w:r w:rsidR="00995E15" w:rsidRPr="006F6171">
        <w:rPr>
          <w:szCs w:val="24"/>
        </w:rPr>
        <w:t>.</w:t>
      </w:r>
      <w:r w:rsidR="00DB18E9" w:rsidRPr="006F6171">
        <w:rPr>
          <w:szCs w:val="24"/>
        </w:rPr>
        <w:t xml:space="preserve"> </w:t>
      </w:r>
      <w:r w:rsidR="00995E15" w:rsidRPr="006F6171">
        <w:rPr>
          <w:szCs w:val="24"/>
        </w:rPr>
        <w:t xml:space="preserve">MaineHousing may allocate additional Credit </w:t>
      </w:r>
      <w:r w:rsidR="007C3A18" w:rsidRPr="006F6171">
        <w:rPr>
          <w:szCs w:val="24"/>
        </w:rPr>
        <w:t xml:space="preserve">to a Project if its </w:t>
      </w:r>
      <w:r w:rsidR="00995E15" w:rsidRPr="006F6171">
        <w:rPr>
          <w:szCs w:val="24"/>
        </w:rPr>
        <w:t xml:space="preserve">construction costs increase after the Application </w:t>
      </w:r>
      <w:r w:rsidR="007C3A18" w:rsidRPr="006F6171">
        <w:rPr>
          <w:szCs w:val="24"/>
        </w:rPr>
        <w:t xml:space="preserve">date </w:t>
      </w:r>
      <w:r w:rsidR="00995E15" w:rsidRPr="006F6171">
        <w:rPr>
          <w:szCs w:val="24"/>
        </w:rPr>
        <w:t>and the increase is the result of ma</w:t>
      </w:r>
      <w:r w:rsidR="00E42F5A" w:rsidRPr="006F6171">
        <w:rPr>
          <w:szCs w:val="24"/>
        </w:rPr>
        <w:t>rket conditions or other circumstances</w:t>
      </w:r>
      <w:r w:rsidR="00995E15" w:rsidRPr="006F6171">
        <w:rPr>
          <w:szCs w:val="24"/>
        </w:rPr>
        <w:t xml:space="preserve"> beyond the Applicant</w:t>
      </w:r>
      <w:r w:rsidR="007C3A18" w:rsidRPr="006F6171">
        <w:rPr>
          <w:szCs w:val="24"/>
        </w:rPr>
        <w:t>’s control</w:t>
      </w:r>
      <w:r w:rsidR="00E42F5A" w:rsidRPr="006F6171">
        <w:rPr>
          <w:szCs w:val="24"/>
        </w:rPr>
        <w:t xml:space="preserve">. Any additional Credit </w:t>
      </w:r>
      <w:r w:rsidR="00995E15" w:rsidRPr="006F6171">
        <w:rPr>
          <w:szCs w:val="24"/>
        </w:rPr>
        <w:t xml:space="preserve">will not exceed an amount </w:t>
      </w:r>
      <w:r w:rsidR="007C3A18" w:rsidRPr="006F6171">
        <w:rPr>
          <w:szCs w:val="24"/>
        </w:rPr>
        <w:t xml:space="preserve">necessary to </w:t>
      </w:r>
      <w:r w:rsidR="00995E15" w:rsidRPr="006F6171">
        <w:rPr>
          <w:szCs w:val="24"/>
        </w:rPr>
        <w:t xml:space="preserve">generate </w:t>
      </w:r>
      <w:r w:rsidR="007C3A18" w:rsidRPr="006F6171">
        <w:rPr>
          <w:szCs w:val="24"/>
        </w:rPr>
        <w:t>equity</w:t>
      </w:r>
      <w:r w:rsidR="00995E15" w:rsidRPr="006F6171">
        <w:rPr>
          <w:szCs w:val="24"/>
        </w:rPr>
        <w:t xml:space="preserve"> equal to 5% of the Total Construction Cost </w:t>
      </w:r>
      <w:r w:rsidR="007C3A18" w:rsidRPr="006F6171">
        <w:rPr>
          <w:szCs w:val="24"/>
        </w:rPr>
        <w:t xml:space="preserve">based on </w:t>
      </w:r>
      <w:r w:rsidR="00995E15" w:rsidRPr="006F6171">
        <w:rPr>
          <w:szCs w:val="24"/>
        </w:rPr>
        <w:t>construction bids.</w:t>
      </w:r>
    </w:p>
    <w:p w14:paraId="3234C4FE" w14:textId="77777777" w:rsidR="006D05E1" w:rsidRPr="006F6171" w:rsidRDefault="006D05E1" w:rsidP="008416BF">
      <w:pPr>
        <w:tabs>
          <w:tab w:val="left" w:pos="-720"/>
        </w:tabs>
        <w:suppressAutoHyphens/>
        <w:jc w:val="both"/>
        <w:rPr>
          <w:b/>
          <w:szCs w:val="24"/>
        </w:rPr>
      </w:pPr>
    </w:p>
    <w:p w14:paraId="2D760A68" w14:textId="77777777" w:rsidR="00995E15" w:rsidRPr="006F6171" w:rsidRDefault="00995E15" w:rsidP="008416BF">
      <w:pPr>
        <w:pStyle w:val="Heading1"/>
        <w:jc w:val="both"/>
      </w:pPr>
      <w:bookmarkStart w:id="8" w:name="_Toc531341079"/>
      <w:r w:rsidRPr="006F6171">
        <w:t>SECTION 8:</w:t>
      </w:r>
      <w:r w:rsidR="00BB3D09" w:rsidRPr="006F6171">
        <w:t xml:space="preserve"> </w:t>
      </w:r>
      <w:r w:rsidRPr="006F6171">
        <w:t>ALLOCATION OF CREDIT</w:t>
      </w:r>
      <w:bookmarkEnd w:id="8"/>
    </w:p>
    <w:p w14:paraId="247A1239" w14:textId="77777777" w:rsidR="00995E15" w:rsidRPr="006F6171" w:rsidRDefault="00995E15" w:rsidP="008416BF">
      <w:pPr>
        <w:tabs>
          <w:tab w:val="left" w:pos="-720"/>
        </w:tabs>
        <w:suppressAutoHyphens/>
        <w:jc w:val="both"/>
        <w:rPr>
          <w:szCs w:val="24"/>
        </w:rPr>
      </w:pPr>
    </w:p>
    <w:p w14:paraId="7A19D165" w14:textId="77777777" w:rsidR="00995E15" w:rsidRPr="006F6171" w:rsidRDefault="00995E15" w:rsidP="00A8328C">
      <w:pPr>
        <w:numPr>
          <w:ilvl w:val="0"/>
          <w:numId w:val="6"/>
        </w:numPr>
        <w:tabs>
          <w:tab w:val="clear" w:pos="1440"/>
          <w:tab w:val="left" w:pos="-720"/>
          <w:tab w:val="num" w:pos="720"/>
        </w:tabs>
        <w:suppressAutoHyphens/>
        <w:ind w:left="720" w:hanging="720"/>
        <w:jc w:val="both"/>
        <w:rPr>
          <w:szCs w:val="24"/>
        </w:rPr>
      </w:pPr>
      <w:r w:rsidRPr="006F6171">
        <w:t>Allocation</w:t>
      </w:r>
      <w:r w:rsidRPr="006F6171">
        <w:rPr>
          <w:szCs w:val="24"/>
        </w:rPr>
        <w:t>.</w:t>
      </w:r>
      <w:r w:rsidR="00BB3D09" w:rsidRPr="006F6171">
        <w:rPr>
          <w:szCs w:val="24"/>
        </w:rPr>
        <w:t xml:space="preserve"> </w:t>
      </w:r>
      <w:r w:rsidRPr="006F6171">
        <w:rPr>
          <w:szCs w:val="24"/>
        </w:rPr>
        <w:t xml:space="preserve">MaineHousing will </w:t>
      </w:r>
      <w:r w:rsidR="00342F10" w:rsidRPr="006F6171">
        <w:rPr>
          <w:szCs w:val="24"/>
        </w:rPr>
        <w:t>issu</w:t>
      </w:r>
      <w:r w:rsidR="007C3A18" w:rsidRPr="006F6171">
        <w:rPr>
          <w:szCs w:val="24"/>
        </w:rPr>
        <w:t>e</w:t>
      </w:r>
      <w:r w:rsidR="00342F10" w:rsidRPr="006F6171">
        <w:rPr>
          <w:szCs w:val="24"/>
        </w:rPr>
        <w:t xml:space="preserve"> </w:t>
      </w:r>
      <w:r w:rsidR="007C3A18" w:rsidRPr="006F6171">
        <w:rPr>
          <w:szCs w:val="24"/>
        </w:rPr>
        <w:t xml:space="preserve">one or more </w:t>
      </w:r>
      <w:r w:rsidRPr="006F6171">
        <w:rPr>
          <w:szCs w:val="24"/>
        </w:rPr>
        <w:t>IRS Form</w:t>
      </w:r>
      <w:r w:rsidR="007C3A18" w:rsidRPr="006F6171">
        <w:rPr>
          <w:szCs w:val="24"/>
        </w:rPr>
        <w:t>(s)</w:t>
      </w:r>
      <w:r w:rsidRPr="006F6171">
        <w:rPr>
          <w:szCs w:val="24"/>
        </w:rPr>
        <w:t xml:space="preserve"> 8609 after receipt of the following:</w:t>
      </w:r>
    </w:p>
    <w:p w14:paraId="4B8314D7" w14:textId="77777777" w:rsidR="00995E15" w:rsidRPr="006F6171" w:rsidRDefault="00995E15" w:rsidP="008416BF">
      <w:pPr>
        <w:tabs>
          <w:tab w:val="left" w:pos="-720"/>
        </w:tabs>
        <w:suppressAutoHyphens/>
        <w:jc w:val="both"/>
        <w:rPr>
          <w:szCs w:val="24"/>
        </w:rPr>
      </w:pPr>
    </w:p>
    <w:p w14:paraId="7EC34D66" w14:textId="77777777" w:rsidR="0099349A" w:rsidRPr="006F6171" w:rsidRDefault="00995E15" w:rsidP="00A8328C">
      <w:pPr>
        <w:pStyle w:val="BodyTextIndent3"/>
        <w:numPr>
          <w:ilvl w:val="3"/>
          <w:numId w:val="31"/>
        </w:numPr>
        <w:spacing w:after="0"/>
        <w:ind w:left="1080"/>
        <w:jc w:val="both"/>
        <w:rPr>
          <w:sz w:val="24"/>
          <w:szCs w:val="24"/>
        </w:rPr>
      </w:pPr>
      <w:r w:rsidRPr="006F6171">
        <w:rPr>
          <w:sz w:val="24"/>
          <w:szCs w:val="24"/>
        </w:rPr>
        <w:t>A complete request for allocation of Credit in a form prescribed by MaineHousing</w:t>
      </w:r>
      <w:r w:rsidR="0099349A" w:rsidRPr="006F6171">
        <w:rPr>
          <w:sz w:val="24"/>
          <w:szCs w:val="24"/>
        </w:rPr>
        <w:t>.</w:t>
      </w:r>
    </w:p>
    <w:p w14:paraId="257D4555" w14:textId="77777777" w:rsidR="0099349A" w:rsidRPr="006F6171" w:rsidRDefault="0099349A" w:rsidP="005C64C8">
      <w:pPr>
        <w:pStyle w:val="BodyTextIndent3"/>
        <w:spacing w:after="0"/>
        <w:ind w:left="1080" w:hanging="360"/>
        <w:jc w:val="both"/>
        <w:rPr>
          <w:sz w:val="24"/>
          <w:szCs w:val="24"/>
        </w:rPr>
      </w:pPr>
    </w:p>
    <w:p w14:paraId="51D98A58" w14:textId="77777777" w:rsidR="00995E15" w:rsidRPr="006F6171" w:rsidRDefault="0099349A" w:rsidP="00A8328C">
      <w:pPr>
        <w:pStyle w:val="BodyTextIndent3"/>
        <w:numPr>
          <w:ilvl w:val="3"/>
          <w:numId w:val="31"/>
        </w:numPr>
        <w:spacing w:after="0"/>
        <w:ind w:left="1080"/>
        <w:jc w:val="both"/>
        <w:rPr>
          <w:sz w:val="24"/>
          <w:szCs w:val="24"/>
        </w:rPr>
      </w:pPr>
      <w:r w:rsidRPr="006F6171">
        <w:rPr>
          <w:sz w:val="24"/>
          <w:szCs w:val="24"/>
        </w:rPr>
        <w:t>A</w:t>
      </w:r>
      <w:r w:rsidR="00995E15" w:rsidRPr="006F6171">
        <w:rPr>
          <w:sz w:val="24"/>
          <w:szCs w:val="24"/>
        </w:rPr>
        <w:t xml:space="preserve">n audit report on the schedule of project costs prepared by an independent, third party certified public accountant </w:t>
      </w:r>
      <w:r w:rsidRPr="006F6171">
        <w:rPr>
          <w:sz w:val="24"/>
          <w:szCs w:val="24"/>
        </w:rPr>
        <w:t xml:space="preserve">including all </w:t>
      </w:r>
      <w:r w:rsidR="009C0CB6" w:rsidRPr="006F6171">
        <w:rPr>
          <w:sz w:val="24"/>
          <w:szCs w:val="24"/>
        </w:rPr>
        <w:t xml:space="preserve">associated </w:t>
      </w:r>
      <w:r w:rsidRPr="006F6171">
        <w:rPr>
          <w:sz w:val="24"/>
          <w:szCs w:val="24"/>
        </w:rPr>
        <w:t xml:space="preserve">costs (such as commissions, due diligence, legal, accounting, reserves, </w:t>
      </w:r>
      <w:r w:rsidR="00A76760" w:rsidRPr="006F6171">
        <w:rPr>
          <w:sz w:val="24"/>
          <w:szCs w:val="24"/>
        </w:rPr>
        <w:t>and other similar items</w:t>
      </w:r>
      <w:r w:rsidRPr="006F6171">
        <w:rPr>
          <w:sz w:val="24"/>
          <w:szCs w:val="24"/>
        </w:rPr>
        <w:t>)</w:t>
      </w:r>
      <w:r w:rsidR="003D018D" w:rsidRPr="006F6171">
        <w:rPr>
          <w:sz w:val="24"/>
          <w:szCs w:val="24"/>
        </w:rPr>
        <w:t>.</w:t>
      </w:r>
    </w:p>
    <w:p w14:paraId="219D4237" w14:textId="77777777" w:rsidR="00995E15" w:rsidRPr="006F6171" w:rsidRDefault="00995E15" w:rsidP="005C64C8">
      <w:pPr>
        <w:tabs>
          <w:tab w:val="left" w:pos="-720"/>
        </w:tabs>
        <w:suppressAutoHyphens/>
        <w:ind w:left="1080" w:hanging="360"/>
        <w:jc w:val="both"/>
        <w:rPr>
          <w:szCs w:val="24"/>
        </w:rPr>
      </w:pPr>
    </w:p>
    <w:p w14:paraId="2901EF34" w14:textId="77777777" w:rsidR="00995E15" w:rsidRPr="006F6171" w:rsidRDefault="00995E15" w:rsidP="00A8328C">
      <w:pPr>
        <w:pStyle w:val="BodyTextIndent3"/>
        <w:numPr>
          <w:ilvl w:val="3"/>
          <w:numId w:val="31"/>
        </w:numPr>
        <w:spacing w:after="0"/>
        <w:ind w:left="1080"/>
        <w:jc w:val="both"/>
        <w:rPr>
          <w:sz w:val="24"/>
          <w:szCs w:val="24"/>
        </w:rPr>
      </w:pPr>
      <w:r w:rsidRPr="006F6171">
        <w:rPr>
          <w:sz w:val="24"/>
          <w:szCs w:val="24"/>
        </w:rPr>
        <w:t>Certification of the Project</w:t>
      </w:r>
      <w:r w:rsidR="0099349A" w:rsidRPr="006F6171">
        <w:rPr>
          <w:sz w:val="24"/>
          <w:szCs w:val="24"/>
        </w:rPr>
        <w:t>’s sources</w:t>
      </w:r>
      <w:r w:rsidRPr="006F6171">
        <w:rPr>
          <w:sz w:val="24"/>
          <w:szCs w:val="24"/>
        </w:rPr>
        <w:t xml:space="preserve">, </w:t>
      </w:r>
      <w:r w:rsidR="0099349A" w:rsidRPr="006F6171">
        <w:rPr>
          <w:sz w:val="24"/>
          <w:szCs w:val="24"/>
        </w:rPr>
        <w:t xml:space="preserve">including </w:t>
      </w:r>
      <w:r w:rsidR="009E5CBE" w:rsidRPr="006F6171">
        <w:rPr>
          <w:sz w:val="24"/>
          <w:szCs w:val="24"/>
        </w:rPr>
        <w:t>all f</w:t>
      </w:r>
      <w:r w:rsidRPr="006F6171">
        <w:rPr>
          <w:sz w:val="24"/>
          <w:szCs w:val="24"/>
        </w:rPr>
        <w:t>ederal, state and local subsidies</w:t>
      </w:r>
      <w:r w:rsidR="0099349A" w:rsidRPr="006F6171">
        <w:rPr>
          <w:sz w:val="24"/>
          <w:szCs w:val="24"/>
        </w:rPr>
        <w:t xml:space="preserve"> in any stage of commitment</w:t>
      </w:r>
      <w:r w:rsidR="00A76760" w:rsidRPr="006F6171">
        <w:rPr>
          <w:sz w:val="24"/>
          <w:szCs w:val="24"/>
        </w:rPr>
        <w:t xml:space="preserve">.  </w:t>
      </w:r>
      <w:r w:rsidR="003D018D" w:rsidRPr="006F6171" w:rsidDel="0099349A">
        <w:rPr>
          <w:sz w:val="24"/>
          <w:szCs w:val="24"/>
        </w:rPr>
        <w:t>This certification must include income, operating and development cost projections and methods for satisfying any deficits.</w:t>
      </w:r>
    </w:p>
    <w:p w14:paraId="4A4272B6" w14:textId="77777777" w:rsidR="00995E15" w:rsidRPr="006F6171" w:rsidRDefault="00995E15" w:rsidP="005C64C8">
      <w:pPr>
        <w:tabs>
          <w:tab w:val="left" w:pos="-720"/>
        </w:tabs>
        <w:suppressAutoHyphens/>
        <w:ind w:left="1080" w:hanging="360"/>
        <w:jc w:val="both"/>
        <w:rPr>
          <w:szCs w:val="24"/>
        </w:rPr>
      </w:pPr>
    </w:p>
    <w:p w14:paraId="72377B44" w14:textId="77777777" w:rsidR="00995E15" w:rsidRPr="006F6171" w:rsidRDefault="00073FC3" w:rsidP="00A8328C">
      <w:pPr>
        <w:pStyle w:val="ListParagraph"/>
        <w:numPr>
          <w:ilvl w:val="3"/>
          <w:numId w:val="31"/>
        </w:numPr>
        <w:tabs>
          <w:tab w:val="left" w:pos="-720"/>
        </w:tabs>
        <w:suppressAutoHyphens/>
        <w:ind w:left="1080"/>
        <w:jc w:val="both"/>
        <w:rPr>
          <w:szCs w:val="24"/>
        </w:rPr>
      </w:pPr>
      <w:r w:rsidRPr="006F6171">
        <w:rPr>
          <w:szCs w:val="24"/>
        </w:rPr>
        <w:t xml:space="preserve">The </w:t>
      </w:r>
      <w:r w:rsidR="00BB3D29" w:rsidRPr="006F6171">
        <w:rPr>
          <w:szCs w:val="24"/>
        </w:rPr>
        <w:t>allocation fee and monitoring fee</w:t>
      </w:r>
      <w:r w:rsidR="00330838" w:rsidRPr="006F6171">
        <w:rPr>
          <w:szCs w:val="24"/>
        </w:rPr>
        <w:t xml:space="preserve"> </w:t>
      </w:r>
      <w:r w:rsidR="00995E15" w:rsidRPr="006F6171">
        <w:rPr>
          <w:szCs w:val="24"/>
        </w:rPr>
        <w:t>less the amount of any allocation</w:t>
      </w:r>
      <w:r w:rsidR="00970D76" w:rsidRPr="006F6171">
        <w:rPr>
          <w:szCs w:val="24"/>
        </w:rPr>
        <w:t xml:space="preserve"> fee paid </w:t>
      </w:r>
      <w:r w:rsidR="00995E15" w:rsidRPr="006F6171">
        <w:rPr>
          <w:szCs w:val="24"/>
        </w:rPr>
        <w:t>in connection with the issuance of a carryover allocation.</w:t>
      </w:r>
      <w:r w:rsidR="00BB3D09" w:rsidRPr="006F6171">
        <w:rPr>
          <w:szCs w:val="24"/>
        </w:rPr>
        <w:t xml:space="preserve"> </w:t>
      </w:r>
    </w:p>
    <w:p w14:paraId="5580E706" w14:textId="77777777" w:rsidR="00995E15" w:rsidRPr="006F6171" w:rsidRDefault="00995E15" w:rsidP="008416BF">
      <w:pPr>
        <w:tabs>
          <w:tab w:val="left" w:pos="-720"/>
        </w:tabs>
        <w:suppressAutoHyphens/>
        <w:ind w:left="1440" w:hanging="720"/>
        <w:jc w:val="both"/>
        <w:rPr>
          <w:szCs w:val="24"/>
        </w:rPr>
      </w:pPr>
    </w:p>
    <w:p w14:paraId="4D2BACD1" w14:textId="77777777" w:rsidR="00A76760" w:rsidRPr="006F6171" w:rsidRDefault="00995E15" w:rsidP="00A8328C">
      <w:pPr>
        <w:numPr>
          <w:ilvl w:val="0"/>
          <w:numId w:val="6"/>
        </w:numPr>
        <w:tabs>
          <w:tab w:val="clear" w:pos="1440"/>
          <w:tab w:val="left" w:pos="-720"/>
          <w:tab w:val="num" w:pos="720"/>
        </w:tabs>
        <w:suppressAutoHyphens/>
        <w:ind w:left="720" w:hanging="720"/>
        <w:jc w:val="both"/>
        <w:rPr>
          <w:szCs w:val="24"/>
        </w:rPr>
      </w:pPr>
      <w:r w:rsidRPr="006F6171">
        <w:t>Carryover Allocation</w:t>
      </w:r>
      <w:r w:rsidRPr="006F6171">
        <w:rPr>
          <w:szCs w:val="24"/>
        </w:rPr>
        <w:t>.</w:t>
      </w:r>
      <w:r w:rsidR="00DB18E9" w:rsidRPr="006F6171">
        <w:rPr>
          <w:szCs w:val="24"/>
        </w:rPr>
        <w:t xml:space="preserve"> </w:t>
      </w:r>
    </w:p>
    <w:p w14:paraId="1F91AD63" w14:textId="77777777" w:rsidR="00995E15" w:rsidRPr="006F6171" w:rsidRDefault="00DB18E9" w:rsidP="00A76760">
      <w:pPr>
        <w:tabs>
          <w:tab w:val="left" w:pos="-720"/>
        </w:tabs>
        <w:suppressAutoHyphens/>
        <w:ind w:left="720"/>
        <w:jc w:val="both"/>
        <w:rPr>
          <w:szCs w:val="24"/>
        </w:rPr>
      </w:pPr>
      <w:r w:rsidRPr="006F6171">
        <w:rPr>
          <w:szCs w:val="24"/>
        </w:rPr>
        <w:t xml:space="preserve"> </w:t>
      </w:r>
    </w:p>
    <w:p w14:paraId="32B5722D" w14:textId="77777777" w:rsidR="00995E15" w:rsidRPr="006F6171" w:rsidRDefault="007E3F08" w:rsidP="00BE5856">
      <w:pPr>
        <w:pStyle w:val="ListParagraph"/>
        <w:numPr>
          <w:ilvl w:val="0"/>
          <w:numId w:val="65"/>
        </w:numPr>
        <w:tabs>
          <w:tab w:val="left" w:pos="-720"/>
        </w:tabs>
        <w:suppressAutoHyphens/>
        <w:ind w:left="1080"/>
        <w:jc w:val="both"/>
        <w:rPr>
          <w:szCs w:val="24"/>
        </w:rPr>
      </w:pPr>
      <w:r w:rsidRPr="006F6171">
        <w:rPr>
          <w:szCs w:val="24"/>
        </w:rPr>
        <w:t xml:space="preserve">The </w:t>
      </w:r>
      <w:r w:rsidR="00995E15" w:rsidRPr="006F6171">
        <w:rPr>
          <w:szCs w:val="24"/>
        </w:rPr>
        <w:t>Applicant must submit the following</w:t>
      </w:r>
      <w:r w:rsidRPr="006F6171">
        <w:rPr>
          <w:szCs w:val="24"/>
        </w:rPr>
        <w:t xml:space="preserve"> to receive a carryover allocation</w:t>
      </w:r>
      <w:r w:rsidR="009F3E1E" w:rsidRPr="006F6171">
        <w:rPr>
          <w:szCs w:val="24"/>
        </w:rPr>
        <w:t>:</w:t>
      </w:r>
    </w:p>
    <w:p w14:paraId="75E9FF90" w14:textId="77777777" w:rsidR="00995E15" w:rsidRPr="006F6171" w:rsidRDefault="00995E15" w:rsidP="008416BF">
      <w:pPr>
        <w:tabs>
          <w:tab w:val="left" w:pos="-720"/>
        </w:tabs>
        <w:suppressAutoHyphens/>
        <w:ind w:left="1440" w:hanging="1440"/>
        <w:jc w:val="both"/>
        <w:rPr>
          <w:szCs w:val="24"/>
        </w:rPr>
      </w:pPr>
    </w:p>
    <w:p w14:paraId="2CFE21A3" w14:textId="77777777" w:rsidR="00995E15" w:rsidRPr="006F6171" w:rsidRDefault="00995E15" w:rsidP="00A8328C">
      <w:pPr>
        <w:pStyle w:val="ListParagraph"/>
        <w:numPr>
          <w:ilvl w:val="1"/>
          <w:numId w:val="32"/>
        </w:numPr>
        <w:tabs>
          <w:tab w:val="left" w:pos="-720"/>
        </w:tabs>
        <w:suppressAutoHyphens/>
        <w:ind w:left="1620"/>
        <w:jc w:val="both"/>
        <w:rPr>
          <w:szCs w:val="24"/>
        </w:rPr>
      </w:pPr>
      <w:r w:rsidRPr="006F6171">
        <w:rPr>
          <w:szCs w:val="24"/>
        </w:rPr>
        <w:lastRenderedPageBreak/>
        <w:t>A complete request for car</w:t>
      </w:r>
      <w:r w:rsidR="0047762E" w:rsidRPr="006F6171">
        <w:rPr>
          <w:szCs w:val="24"/>
        </w:rPr>
        <w:t>ryover allocation in the</w:t>
      </w:r>
      <w:r w:rsidRPr="006F6171">
        <w:rPr>
          <w:szCs w:val="24"/>
        </w:rPr>
        <w:t xml:space="preserve"> form </w:t>
      </w:r>
      <w:r w:rsidR="007E3F08" w:rsidRPr="006F6171">
        <w:rPr>
          <w:szCs w:val="24"/>
        </w:rPr>
        <w:t xml:space="preserve">prescribed by MaineHousing </w:t>
      </w:r>
      <w:r w:rsidRPr="006F6171">
        <w:rPr>
          <w:szCs w:val="24"/>
        </w:rPr>
        <w:t>no later than the first day of December of the year in which the carryover allocation is made.</w:t>
      </w:r>
    </w:p>
    <w:p w14:paraId="2C5D3A77" w14:textId="77777777" w:rsidR="00995E15" w:rsidRPr="006F6171" w:rsidRDefault="00995E15" w:rsidP="005C64C8">
      <w:pPr>
        <w:tabs>
          <w:tab w:val="left" w:pos="-720"/>
        </w:tabs>
        <w:suppressAutoHyphens/>
        <w:ind w:left="1620" w:hanging="360"/>
        <w:jc w:val="both"/>
        <w:rPr>
          <w:szCs w:val="24"/>
        </w:rPr>
      </w:pPr>
    </w:p>
    <w:p w14:paraId="0F98AF51" w14:textId="77777777" w:rsidR="00995E15" w:rsidRPr="006F6171" w:rsidRDefault="00995E15" w:rsidP="00A8328C">
      <w:pPr>
        <w:pStyle w:val="ListParagraph"/>
        <w:numPr>
          <w:ilvl w:val="1"/>
          <w:numId w:val="32"/>
        </w:numPr>
        <w:tabs>
          <w:tab w:val="left" w:pos="-720"/>
        </w:tabs>
        <w:suppressAutoHyphens/>
        <w:ind w:left="1620"/>
        <w:jc w:val="both"/>
        <w:rPr>
          <w:szCs w:val="24"/>
        </w:rPr>
      </w:pPr>
      <w:r w:rsidRPr="006F6171">
        <w:rPr>
          <w:szCs w:val="24"/>
        </w:rPr>
        <w:t>Certification of the Project</w:t>
      </w:r>
      <w:r w:rsidR="003D018D" w:rsidRPr="006F6171">
        <w:rPr>
          <w:szCs w:val="24"/>
        </w:rPr>
        <w:t>’s sources</w:t>
      </w:r>
      <w:r w:rsidRPr="006F6171">
        <w:rPr>
          <w:szCs w:val="24"/>
        </w:rPr>
        <w:t xml:space="preserve">, </w:t>
      </w:r>
      <w:r w:rsidR="003D018D" w:rsidRPr="006F6171">
        <w:rPr>
          <w:szCs w:val="24"/>
        </w:rPr>
        <w:t>including</w:t>
      </w:r>
      <w:r w:rsidR="009E5CBE" w:rsidRPr="006F6171">
        <w:rPr>
          <w:szCs w:val="24"/>
        </w:rPr>
        <w:t xml:space="preserve"> all f</w:t>
      </w:r>
      <w:r w:rsidRPr="006F6171">
        <w:rPr>
          <w:szCs w:val="24"/>
        </w:rPr>
        <w:t>e</w:t>
      </w:r>
      <w:r w:rsidR="009E5CBE" w:rsidRPr="006F6171">
        <w:rPr>
          <w:szCs w:val="24"/>
        </w:rPr>
        <w:t>deral, s</w:t>
      </w:r>
      <w:r w:rsidR="0047762E" w:rsidRPr="006F6171">
        <w:rPr>
          <w:szCs w:val="24"/>
        </w:rPr>
        <w:t>tate and local funding</w:t>
      </w:r>
      <w:r w:rsidRPr="006F6171">
        <w:rPr>
          <w:szCs w:val="24"/>
        </w:rPr>
        <w:t>. This certification must include income, operating and development cost projections and methods for satisfying any deficits.</w:t>
      </w:r>
    </w:p>
    <w:p w14:paraId="6F8A5FDC" w14:textId="77777777" w:rsidR="00995E15" w:rsidRPr="006F6171" w:rsidRDefault="00995E15" w:rsidP="005C64C8">
      <w:pPr>
        <w:tabs>
          <w:tab w:val="left" w:pos="-720"/>
        </w:tabs>
        <w:suppressAutoHyphens/>
        <w:ind w:left="1620" w:hanging="360"/>
        <w:jc w:val="both"/>
        <w:rPr>
          <w:szCs w:val="24"/>
        </w:rPr>
      </w:pPr>
    </w:p>
    <w:p w14:paraId="2A8C65EC" w14:textId="77777777" w:rsidR="00983390" w:rsidRPr="006F6171" w:rsidRDefault="00FA7335" w:rsidP="00A8328C">
      <w:pPr>
        <w:pStyle w:val="ListParagraph"/>
        <w:numPr>
          <w:ilvl w:val="1"/>
          <w:numId w:val="32"/>
        </w:numPr>
        <w:tabs>
          <w:tab w:val="left" w:pos="-720"/>
        </w:tabs>
        <w:suppressAutoHyphens/>
        <w:ind w:left="1620"/>
        <w:jc w:val="both"/>
        <w:rPr>
          <w:szCs w:val="24"/>
        </w:rPr>
      </w:pPr>
      <w:r w:rsidRPr="006F6171">
        <w:rPr>
          <w:szCs w:val="24"/>
        </w:rPr>
        <w:t>Development progress</w:t>
      </w:r>
      <w:r w:rsidRPr="006F6171" w:rsidDel="00FA7335">
        <w:rPr>
          <w:szCs w:val="24"/>
        </w:rPr>
        <w:t xml:space="preserve"> </w:t>
      </w:r>
      <w:r w:rsidR="00995E15" w:rsidRPr="006F6171">
        <w:rPr>
          <w:szCs w:val="24"/>
        </w:rPr>
        <w:t>report</w:t>
      </w:r>
      <w:r w:rsidRPr="006F6171">
        <w:rPr>
          <w:szCs w:val="24"/>
        </w:rPr>
        <w:t>,</w:t>
      </w:r>
      <w:r w:rsidR="00995E15" w:rsidRPr="006F6171">
        <w:rPr>
          <w:szCs w:val="24"/>
        </w:rPr>
        <w:t xml:space="preserve"> </w:t>
      </w:r>
      <w:r w:rsidRPr="006F6171">
        <w:rPr>
          <w:szCs w:val="24"/>
        </w:rPr>
        <w:t xml:space="preserve">including completion </w:t>
      </w:r>
      <w:r w:rsidR="00995E15" w:rsidRPr="006F6171">
        <w:rPr>
          <w:szCs w:val="24"/>
        </w:rPr>
        <w:t>likelihood.</w:t>
      </w:r>
    </w:p>
    <w:p w14:paraId="672ED0E5" w14:textId="77777777" w:rsidR="00995E15" w:rsidRPr="006F6171" w:rsidRDefault="00995E15" w:rsidP="00AE274E">
      <w:pPr>
        <w:pStyle w:val="ListParagraph"/>
        <w:tabs>
          <w:tab w:val="left" w:pos="-720"/>
        </w:tabs>
        <w:suppressAutoHyphens/>
        <w:ind w:left="1800"/>
        <w:jc w:val="both"/>
        <w:rPr>
          <w:szCs w:val="24"/>
        </w:rPr>
      </w:pPr>
    </w:p>
    <w:p w14:paraId="0A10C9F2" w14:textId="77777777" w:rsidR="00995E15" w:rsidRPr="006F6171" w:rsidRDefault="007836C0" w:rsidP="00BE5856">
      <w:pPr>
        <w:pStyle w:val="ListParagraph"/>
        <w:numPr>
          <w:ilvl w:val="0"/>
          <w:numId w:val="65"/>
        </w:numPr>
        <w:tabs>
          <w:tab w:val="left" w:pos="-720"/>
        </w:tabs>
        <w:suppressAutoHyphens/>
        <w:ind w:left="1080"/>
        <w:jc w:val="both"/>
        <w:rPr>
          <w:szCs w:val="24"/>
        </w:rPr>
      </w:pPr>
      <w:r w:rsidRPr="006F6171">
        <w:rPr>
          <w:szCs w:val="24"/>
        </w:rPr>
        <w:t>The applicant must execute a</w:t>
      </w:r>
      <w:r w:rsidR="00995E15" w:rsidRPr="006F6171">
        <w:rPr>
          <w:szCs w:val="24"/>
        </w:rPr>
        <w:t xml:space="preserve"> carryover allocation and return </w:t>
      </w:r>
      <w:r w:rsidRPr="006F6171">
        <w:rPr>
          <w:szCs w:val="24"/>
        </w:rPr>
        <w:t xml:space="preserve">it </w:t>
      </w:r>
      <w:r w:rsidR="00995E15" w:rsidRPr="006F6171">
        <w:rPr>
          <w:szCs w:val="24"/>
        </w:rPr>
        <w:t>to MaineHousing, together w</w:t>
      </w:r>
      <w:r w:rsidR="00A46776" w:rsidRPr="006F6171">
        <w:rPr>
          <w:szCs w:val="24"/>
        </w:rPr>
        <w:t xml:space="preserve">ith </w:t>
      </w:r>
      <w:r w:rsidR="00330838" w:rsidRPr="006F6171">
        <w:rPr>
          <w:szCs w:val="24"/>
        </w:rPr>
        <w:t>the allocation fee</w:t>
      </w:r>
      <w:r w:rsidR="00995E15" w:rsidRPr="006F6171">
        <w:rPr>
          <w:szCs w:val="24"/>
        </w:rPr>
        <w:t>, no later than December 31 of the year in which the carryover allocation is made.</w:t>
      </w:r>
    </w:p>
    <w:p w14:paraId="411FF9D8" w14:textId="77777777" w:rsidR="00995E15" w:rsidRPr="006F6171" w:rsidRDefault="00995E15" w:rsidP="00512FA9">
      <w:pPr>
        <w:tabs>
          <w:tab w:val="left" w:pos="-720"/>
        </w:tabs>
        <w:suppressAutoHyphens/>
        <w:ind w:left="1080" w:hanging="360"/>
        <w:jc w:val="both"/>
        <w:rPr>
          <w:szCs w:val="24"/>
        </w:rPr>
      </w:pPr>
    </w:p>
    <w:p w14:paraId="02C09E67" w14:textId="77777777" w:rsidR="00995E15" w:rsidRPr="006F6171" w:rsidRDefault="00995E15" w:rsidP="00BE5856">
      <w:pPr>
        <w:pStyle w:val="ListParagraph"/>
        <w:numPr>
          <w:ilvl w:val="0"/>
          <w:numId w:val="65"/>
        </w:numPr>
        <w:tabs>
          <w:tab w:val="left" w:pos="-720"/>
        </w:tabs>
        <w:suppressAutoHyphens/>
        <w:ind w:left="1080"/>
        <w:jc w:val="both"/>
        <w:rPr>
          <w:szCs w:val="24"/>
        </w:rPr>
      </w:pPr>
      <w:r w:rsidRPr="006F6171">
        <w:rPr>
          <w:szCs w:val="24"/>
        </w:rPr>
        <w:t xml:space="preserve">A carryover allocation will be subject to the following conditions: </w:t>
      </w:r>
    </w:p>
    <w:p w14:paraId="32897B1C" w14:textId="77777777" w:rsidR="00995E15" w:rsidRPr="006F6171" w:rsidRDefault="00995E15" w:rsidP="008416BF">
      <w:pPr>
        <w:tabs>
          <w:tab w:val="left" w:pos="-720"/>
        </w:tabs>
        <w:suppressAutoHyphens/>
        <w:ind w:left="1440" w:hanging="1440"/>
        <w:jc w:val="both"/>
        <w:rPr>
          <w:szCs w:val="24"/>
        </w:rPr>
      </w:pPr>
    </w:p>
    <w:p w14:paraId="5F44A2A9" w14:textId="77777777" w:rsidR="009F3E1E" w:rsidRPr="006F6171" w:rsidRDefault="00995E15" w:rsidP="00A8328C">
      <w:pPr>
        <w:pStyle w:val="ListParagraph"/>
        <w:numPr>
          <w:ilvl w:val="0"/>
          <w:numId w:val="21"/>
        </w:numPr>
        <w:tabs>
          <w:tab w:val="left" w:pos="-720"/>
        </w:tabs>
        <w:suppressAutoHyphens/>
        <w:ind w:left="1800"/>
        <w:contextualSpacing/>
        <w:jc w:val="both"/>
        <w:rPr>
          <w:szCs w:val="24"/>
        </w:rPr>
      </w:pPr>
      <w:r w:rsidRPr="006F6171">
        <w:rPr>
          <w:szCs w:val="24"/>
        </w:rPr>
        <w:t xml:space="preserve">satisfactory evidence that more than 10% of the </w:t>
      </w:r>
      <w:r w:rsidR="007836C0" w:rsidRPr="006F6171">
        <w:rPr>
          <w:szCs w:val="24"/>
        </w:rPr>
        <w:t xml:space="preserve">Project’s </w:t>
      </w:r>
      <w:r w:rsidRPr="006F6171">
        <w:rPr>
          <w:szCs w:val="24"/>
        </w:rPr>
        <w:t xml:space="preserve">reasonably expected basis is incurred within 12 months of the carryover allocation, including an audit report prepared by an independent, certified public accountant; </w:t>
      </w:r>
      <w:r w:rsidR="009F3E1E" w:rsidRPr="006F6171">
        <w:rPr>
          <w:szCs w:val="24"/>
        </w:rPr>
        <w:t>and</w:t>
      </w:r>
    </w:p>
    <w:p w14:paraId="672114CB" w14:textId="77777777" w:rsidR="00995E15" w:rsidRPr="006F6171" w:rsidRDefault="00995E15" w:rsidP="00527B06">
      <w:pPr>
        <w:tabs>
          <w:tab w:val="left" w:pos="-720"/>
        </w:tabs>
        <w:suppressAutoHyphens/>
        <w:contextualSpacing/>
        <w:jc w:val="both"/>
        <w:rPr>
          <w:szCs w:val="24"/>
        </w:rPr>
      </w:pPr>
    </w:p>
    <w:p w14:paraId="7B27A30F" w14:textId="77777777" w:rsidR="00995E15" w:rsidRPr="006F6171" w:rsidRDefault="009F3E1E" w:rsidP="00A8328C">
      <w:pPr>
        <w:pStyle w:val="ListParagraph"/>
        <w:numPr>
          <w:ilvl w:val="0"/>
          <w:numId w:val="21"/>
        </w:numPr>
        <w:tabs>
          <w:tab w:val="left" w:pos="-720"/>
        </w:tabs>
        <w:suppressAutoHyphens/>
        <w:ind w:left="1800"/>
        <w:contextualSpacing/>
        <w:jc w:val="both"/>
        <w:rPr>
          <w:szCs w:val="24"/>
        </w:rPr>
      </w:pPr>
      <w:r w:rsidRPr="006F6171">
        <w:rPr>
          <w:szCs w:val="24"/>
        </w:rPr>
        <w:t>a</w:t>
      </w:r>
      <w:r w:rsidR="00995E15" w:rsidRPr="006F6171">
        <w:rPr>
          <w:szCs w:val="24"/>
        </w:rPr>
        <w:t>ny performance conditions MaineHousing may require.</w:t>
      </w:r>
    </w:p>
    <w:p w14:paraId="3AA76532" w14:textId="77777777" w:rsidR="00995E15" w:rsidRPr="006F6171" w:rsidRDefault="00995E15" w:rsidP="008416BF">
      <w:pPr>
        <w:pStyle w:val="ListParagraph"/>
        <w:tabs>
          <w:tab w:val="left" w:pos="-720"/>
        </w:tabs>
        <w:suppressAutoHyphens/>
        <w:ind w:left="2880"/>
        <w:jc w:val="both"/>
        <w:rPr>
          <w:szCs w:val="24"/>
        </w:rPr>
      </w:pPr>
    </w:p>
    <w:p w14:paraId="42E1F49F" w14:textId="77777777" w:rsidR="00995E15" w:rsidRPr="006F6171" w:rsidRDefault="00995E15" w:rsidP="008416BF">
      <w:pPr>
        <w:pStyle w:val="ListParagraph"/>
        <w:tabs>
          <w:tab w:val="left" w:pos="-720"/>
        </w:tabs>
        <w:suppressAutoHyphens/>
        <w:ind w:left="1440"/>
        <w:jc w:val="both"/>
        <w:rPr>
          <w:szCs w:val="24"/>
        </w:rPr>
      </w:pPr>
      <w:r w:rsidRPr="006F6171">
        <w:rPr>
          <w:szCs w:val="24"/>
        </w:rPr>
        <w:t>Failure to comply with these conditions may result in termination of the carryover allocation.</w:t>
      </w:r>
    </w:p>
    <w:p w14:paraId="71726036" w14:textId="77777777" w:rsidR="00995E15" w:rsidRPr="006F6171" w:rsidRDefault="00995E15" w:rsidP="008416BF">
      <w:pPr>
        <w:pStyle w:val="ListParagraph"/>
        <w:tabs>
          <w:tab w:val="left" w:pos="-720"/>
        </w:tabs>
        <w:suppressAutoHyphens/>
        <w:ind w:left="2160"/>
        <w:jc w:val="both"/>
        <w:rPr>
          <w:szCs w:val="24"/>
        </w:rPr>
      </w:pPr>
    </w:p>
    <w:p w14:paraId="4BE1D966" w14:textId="77777777" w:rsidR="00995E15" w:rsidRPr="006F6171" w:rsidRDefault="00995E15" w:rsidP="00A8328C">
      <w:pPr>
        <w:numPr>
          <w:ilvl w:val="0"/>
          <w:numId w:val="11"/>
        </w:numPr>
        <w:tabs>
          <w:tab w:val="clear" w:pos="1440"/>
          <w:tab w:val="left" w:pos="-720"/>
          <w:tab w:val="num" w:pos="720"/>
        </w:tabs>
        <w:suppressAutoHyphens/>
        <w:ind w:left="720" w:hanging="720"/>
        <w:jc w:val="both"/>
        <w:rPr>
          <w:szCs w:val="24"/>
        </w:rPr>
      </w:pPr>
      <w:r w:rsidRPr="006F6171">
        <w:t>Tax Credit Compliance</w:t>
      </w:r>
      <w:r w:rsidR="00FF7EAF" w:rsidRPr="006F6171">
        <w:rPr>
          <w:b/>
        </w:rPr>
        <w:t xml:space="preserve"> </w:t>
      </w:r>
      <w:r w:rsidRPr="006F6171">
        <w:t>Experience</w:t>
      </w:r>
      <w:r w:rsidRPr="006F6171">
        <w:rPr>
          <w:szCs w:val="24"/>
        </w:rPr>
        <w:t>.</w:t>
      </w:r>
      <w:r w:rsidR="00DB18E9" w:rsidRPr="006F6171">
        <w:rPr>
          <w:szCs w:val="24"/>
        </w:rPr>
        <w:t xml:space="preserve"> </w:t>
      </w:r>
      <w:r w:rsidRPr="006F6171">
        <w:rPr>
          <w:szCs w:val="24"/>
        </w:rPr>
        <w:t xml:space="preserve">Prior to an allocation the Applicant must demonstrate </w:t>
      </w:r>
      <w:r w:rsidR="0047762E" w:rsidRPr="006F6171">
        <w:rPr>
          <w:szCs w:val="24"/>
        </w:rPr>
        <w:t>that th</w:t>
      </w:r>
      <w:r w:rsidR="00BF6FE1" w:rsidRPr="006F6171">
        <w:rPr>
          <w:szCs w:val="24"/>
        </w:rPr>
        <w:t>e entity managing the Project has</w:t>
      </w:r>
      <w:r w:rsidR="0047762E" w:rsidRPr="006F6171">
        <w:rPr>
          <w:szCs w:val="24"/>
        </w:rPr>
        <w:t xml:space="preserve"> sufficient Credit compliance experience and training</w:t>
      </w:r>
      <w:r w:rsidRPr="006F6171">
        <w:rPr>
          <w:szCs w:val="24"/>
        </w:rPr>
        <w:t>.</w:t>
      </w:r>
      <w:r w:rsidR="00BB3D09" w:rsidRPr="006F6171">
        <w:rPr>
          <w:szCs w:val="24"/>
        </w:rPr>
        <w:t xml:space="preserve"> </w:t>
      </w:r>
      <w:r w:rsidRPr="006F6171">
        <w:rPr>
          <w:szCs w:val="24"/>
        </w:rPr>
        <w:t>The entity must complete</w:t>
      </w:r>
      <w:r w:rsidR="00BF6FE1" w:rsidRPr="006F6171">
        <w:rPr>
          <w:szCs w:val="24"/>
        </w:rPr>
        <w:t xml:space="preserve"> a Credit compliance </w:t>
      </w:r>
      <w:r w:rsidRPr="006F6171">
        <w:rPr>
          <w:szCs w:val="24"/>
        </w:rPr>
        <w:t xml:space="preserve">training or receive a certification from a </w:t>
      </w:r>
      <w:r w:rsidR="00327E9A" w:rsidRPr="006F6171">
        <w:rPr>
          <w:szCs w:val="24"/>
        </w:rPr>
        <w:t>MaineHousing-approved</w:t>
      </w:r>
      <w:r w:rsidRPr="006F6171">
        <w:rPr>
          <w:szCs w:val="24"/>
        </w:rPr>
        <w:t xml:space="preserve"> trainer.</w:t>
      </w:r>
    </w:p>
    <w:p w14:paraId="325DF98B" w14:textId="77777777" w:rsidR="00EA2ABD" w:rsidRPr="006F6171" w:rsidRDefault="00EA2ABD" w:rsidP="00EA2ABD">
      <w:pPr>
        <w:tabs>
          <w:tab w:val="left" w:pos="-720"/>
        </w:tabs>
        <w:suppressAutoHyphens/>
        <w:ind w:left="720"/>
        <w:jc w:val="both"/>
        <w:rPr>
          <w:szCs w:val="24"/>
        </w:rPr>
      </w:pPr>
    </w:p>
    <w:p w14:paraId="5A3B1B04" w14:textId="77777777" w:rsidR="00995E15" w:rsidRPr="006F6171" w:rsidRDefault="00EA2ABD" w:rsidP="00A8328C">
      <w:pPr>
        <w:numPr>
          <w:ilvl w:val="0"/>
          <w:numId w:val="11"/>
        </w:numPr>
        <w:tabs>
          <w:tab w:val="clear" w:pos="1440"/>
          <w:tab w:val="left" w:pos="-720"/>
          <w:tab w:val="num" w:pos="720"/>
        </w:tabs>
        <w:suppressAutoHyphens/>
        <w:ind w:left="720" w:hanging="720"/>
        <w:jc w:val="both"/>
        <w:rPr>
          <w:szCs w:val="24"/>
        </w:rPr>
      </w:pPr>
      <w:r w:rsidRPr="006F6171">
        <w:t xml:space="preserve">Extended Use Agreement.  </w:t>
      </w:r>
      <w:r w:rsidR="00995E15" w:rsidRPr="006F6171">
        <w:rPr>
          <w:szCs w:val="24"/>
        </w:rPr>
        <w:t xml:space="preserve">Prior to an allocation of Credit, the Owner must enter into an Extended </w:t>
      </w:r>
      <w:r w:rsidR="00B65532" w:rsidRPr="006F6171">
        <w:rPr>
          <w:szCs w:val="24"/>
        </w:rPr>
        <w:t>Use Agreement</w:t>
      </w:r>
      <w:r w:rsidR="00995E15" w:rsidRPr="006F6171">
        <w:rPr>
          <w:szCs w:val="24"/>
        </w:rPr>
        <w:t xml:space="preserve"> </w:t>
      </w:r>
      <w:r w:rsidR="00802048" w:rsidRPr="006F6171">
        <w:rPr>
          <w:szCs w:val="24"/>
        </w:rPr>
        <w:t xml:space="preserve">with MaineHousing </w:t>
      </w:r>
      <w:r w:rsidR="00995E15" w:rsidRPr="006F6171">
        <w:rPr>
          <w:szCs w:val="24"/>
        </w:rPr>
        <w:t>obliga</w:t>
      </w:r>
      <w:r w:rsidR="00802048" w:rsidRPr="006F6171">
        <w:rPr>
          <w:szCs w:val="24"/>
        </w:rPr>
        <w:t>t</w:t>
      </w:r>
      <w:r w:rsidR="000F0E0E" w:rsidRPr="006F6171">
        <w:rPr>
          <w:szCs w:val="24"/>
        </w:rPr>
        <w:t>ing</w:t>
      </w:r>
      <w:r w:rsidR="00802048" w:rsidRPr="006F6171">
        <w:rPr>
          <w:szCs w:val="24"/>
        </w:rPr>
        <w:t xml:space="preserve"> the Owner to comply with </w:t>
      </w:r>
      <w:hyperlink r:id="rId31" w:history="1">
        <w:r w:rsidR="00802048" w:rsidRPr="006F6171">
          <w:rPr>
            <w:rStyle w:val="Hyperlink"/>
            <w:szCs w:val="24"/>
          </w:rPr>
          <w:t>Section 42</w:t>
        </w:r>
      </w:hyperlink>
      <w:r w:rsidR="00802048" w:rsidRPr="006F6171">
        <w:rPr>
          <w:szCs w:val="24"/>
        </w:rPr>
        <w:t xml:space="preserve"> of the </w:t>
      </w:r>
      <w:r w:rsidR="00995E15" w:rsidRPr="006F6171">
        <w:rPr>
          <w:szCs w:val="24"/>
        </w:rPr>
        <w:t xml:space="preserve">Code, the </w:t>
      </w:r>
      <w:r w:rsidR="00802048" w:rsidRPr="006F6171">
        <w:rPr>
          <w:szCs w:val="24"/>
        </w:rPr>
        <w:t>threshold requirements in Section 5, and</w:t>
      </w:r>
      <w:r w:rsidR="00995E15" w:rsidRPr="006F6171">
        <w:rPr>
          <w:szCs w:val="24"/>
        </w:rPr>
        <w:t xml:space="preserve"> commitments for which the Application was aw</w:t>
      </w:r>
      <w:r w:rsidR="00DB0800" w:rsidRPr="006F6171">
        <w:rPr>
          <w:szCs w:val="24"/>
        </w:rPr>
        <w:t>arded points</w:t>
      </w:r>
      <w:r w:rsidR="00995E15" w:rsidRPr="006F6171">
        <w:rPr>
          <w:szCs w:val="24"/>
        </w:rPr>
        <w:t>.</w:t>
      </w:r>
      <w:r w:rsidR="00BB3D09" w:rsidRPr="006F6171">
        <w:rPr>
          <w:szCs w:val="24"/>
        </w:rPr>
        <w:t xml:space="preserve"> </w:t>
      </w:r>
      <w:r w:rsidR="00995E15" w:rsidRPr="006F6171">
        <w:rPr>
          <w:szCs w:val="24"/>
        </w:rPr>
        <w:t xml:space="preserve">The Extended </w:t>
      </w:r>
      <w:r w:rsidR="00B65532" w:rsidRPr="006F6171">
        <w:rPr>
          <w:szCs w:val="24"/>
        </w:rPr>
        <w:t>Use Agreement</w:t>
      </w:r>
      <w:r w:rsidR="00484C3D" w:rsidRPr="006F6171">
        <w:rPr>
          <w:szCs w:val="24"/>
        </w:rPr>
        <w:t xml:space="preserve"> must</w:t>
      </w:r>
      <w:r w:rsidR="00995E15" w:rsidRPr="006F6171">
        <w:rPr>
          <w:szCs w:val="24"/>
        </w:rPr>
        <w:t xml:space="preserve"> be recorded in the appropriate registry of deeds prior to all mortgage liens and encumbrances on the Project and before MaineHousing issues any </w:t>
      </w:r>
      <w:smartTag w:uri="urn:schemas-microsoft-com:office:smarttags" w:element="stockticker">
        <w:r w:rsidR="00995E15" w:rsidRPr="006F6171">
          <w:rPr>
            <w:szCs w:val="24"/>
          </w:rPr>
          <w:t>IRS</w:t>
        </w:r>
      </w:smartTag>
      <w:r w:rsidR="00CD638B" w:rsidRPr="006F6171">
        <w:rPr>
          <w:szCs w:val="24"/>
        </w:rPr>
        <w:t xml:space="preserve"> Form 8609 for the Project.</w:t>
      </w:r>
      <w:r w:rsidR="00BB3D09" w:rsidRPr="006F6171">
        <w:rPr>
          <w:szCs w:val="24"/>
        </w:rPr>
        <w:t xml:space="preserve"> </w:t>
      </w:r>
    </w:p>
    <w:p w14:paraId="28885A45" w14:textId="77777777" w:rsidR="00EA2ABD" w:rsidRPr="006F6171" w:rsidRDefault="00EA2ABD" w:rsidP="00EA2ABD">
      <w:pPr>
        <w:pStyle w:val="ListParagraph"/>
        <w:rPr>
          <w:szCs w:val="24"/>
        </w:rPr>
      </w:pPr>
    </w:p>
    <w:p w14:paraId="11FBDF89" w14:textId="77777777" w:rsidR="00202E46" w:rsidRPr="006F6171" w:rsidRDefault="00995E15" w:rsidP="00A8328C">
      <w:pPr>
        <w:numPr>
          <w:ilvl w:val="0"/>
          <w:numId w:val="11"/>
        </w:numPr>
        <w:tabs>
          <w:tab w:val="left" w:pos="-720"/>
        </w:tabs>
        <w:suppressAutoHyphens/>
        <w:ind w:left="720" w:hanging="720"/>
        <w:jc w:val="both"/>
        <w:rPr>
          <w:szCs w:val="24"/>
        </w:rPr>
      </w:pPr>
      <w:r w:rsidRPr="006F6171">
        <w:t>Converting a Carryover Allocation</w:t>
      </w:r>
      <w:r w:rsidRPr="006F6171">
        <w:rPr>
          <w:szCs w:val="24"/>
        </w:rPr>
        <w:t xml:space="preserve">. MaineHousing may convert a carryover allocation to </w:t>
      </w:r>
      <w:r w:rsidR="008B0C77" w:rsidRPr="006F6171">
        <w:rPr>
          <w:szCs w:val="24"/>
        </w:rPr>
        <w:t xml:space="preserve">the year </w:t>
      </w:r>
      <w:r w:rsidRPr="006F6171">
        <w:rPr>
          <w:szCs w:val="24"/>
        </w:rPr>
        <w:t xml:space="preserve">in which </w:t>
      </w:r>
      <w:r w:rsidR="005E240C" w:rsidRPr="006F6171">
        <w:rPr>
          <w:szCs w:val="24"/>
        </w:rPr>
        <w:t xml:space="preserve">it </w:t>
      </w:r>
      <w:r w:rsidRPr="006F6171">
        <w:rPr>
          <w:szCs w:val="24"/>
        </w:rPr>
        <w:t>is terminated or the follow</w:t>
      </w:r>
      <w:r w:rsidR="009A6006" w:rsidRPr="006F6171">
        <w:rPr>
          <w:szCs w:val="24"/>
        </w:rPr>
        <w:t>ing year</w:t>
      </w:r>
      <w:r w:rsidR="005E240C" w:rsidRPr="006F6171">
        <w:rPr>
          <w:szCs w:val="24"/>
        </w:rPr>
        <w:t xml:space="preserve"> if there are extenuating circumstances beyond the Applicant’s control</w:t>
      </w:r>
      <w:r w:rsidRPr="006F6171">
        <w:rPr>
          <w:szCs w:val="24"/>
        </w:rPr>
        <w:t>.</w:t>
      </w:r>
      <w:r w:rsidR="00BB3D09" w:rsidRPr="006F6171">
        <w:rPr>
          <w:szCs w:val="24"/>
        </w:rPr>
        <w:t xml:space="preserve"> </w:t>
      </w:r>
      <w:r w:rsidRPr="006F6171">
        <w:rPr>
          <w:szCs w:val="24"/>
        </w:rPr>
        <w:t xml:space="preserve">The carryover allocation must be rescinded by the mutual consent of MaineHousing and </w:t>
      </w:r>
      <w:r w:rsidR="008B0C77" w:rsidRPr="006F6171">
        <w:rPr>
          <w:szCs w:val="24"/>
        </w:rPr>
        <w:t>the Applicant.</w:t>
      </w:r>
      <w:r w:rsidR="00BB3D09" w:rsidRPr="006F6171">
        <w:rPr>
          <w:szCs w:val="24"/>
        </w:rPr>
        <w:t xml:space="preserve"> </w:t>
      </w:r>
      <w:r w:rsidR="008B0C77" w:rsidRPr="006F6171">
        <w:rPr>
          <w:szCs w:val="24"/>
        </w:rPr>
        <w:t>T</w:t>
      </w:r>
      <w:r w:rsidR="009A6006" w:rsidRPr="006F6171">
        <w:rPr>
          <w:szCs w:val="24"/>
        </w:rPr>
        <w:t>here can be no</w:t>
      </w:r>
      <w:r w:rsidR="00E06206" w:rsidRPr="006F6171">
        <w:rPr>
          <w:szCs w:val="24"/>
        </w:rPr>
        <w:t xml:space="preserve"> change</w:t>
      </w:r>
      <w:r w:rsidRPr="006F6171">
        <w:rPr>
          <w:szCs w:val="24"/>
        </w:rPr>
        <w:t xml:space="preserve"> in the design or fin</w:t>
      </w:r>
      <w:r w:rsidR="009A6006" w:rsidRPr="006F6171">
        <w:rPr>
          <w:szCs w:val="24"/>
        </w:rPr>
        <w:t>ancing that</w:t>
      </w:r>
      <w:r w:rsidR="00E06206" w:rsidRPr="006F6171">
        <w:rPr>
          <w:szCs w:val="24"/>
        </w:rPr>
        <w:t xml:space="preserve"> </w:t>
      </w:r>
      <w:r w:rsidRPr="006F6171">
        <w:rPr>
          <w:szCs w:val="24"/>
        </w:rPr>
        <w:t xml:space="preserve">would </w:t>
      </w:r>
      <w:r w:rsidR="00ED7FCB" w:rsidRPr="006F6171">
        <w:rPr>
          <w:szCs w:val="24"/>
        </w:rPr>
        <w:t>render the Application</w:t>
      </w:r>
      <w:r w:rsidRPr="006F6171">
        <w:rPr>
          <w:szCs w:val="24"/>
        </w:rPr>
        <w:t xml:space="preserve"> withdrawn </w:t>
      </w:r>
      <w:r w:rsidR="000738D7" w:rsidRPr="006F6171">
        <w:rPr>
          <w:szCs w:val="24"/>
        </w:rPr>
        <w:t>under</w:t>
      </w:r>
      <w:r w:rsidRPr="006F6171">
        <w:rPr>
          <w:szCs w:val="24"/>
        </w:rPr>
        <w:t xml:space="preserve"> Section 4.I.</w:t>
      </w:r>
      <w:r w:rsidR="00BB3D09" w:rsidRPr="006F6171">
        <w:rPr>
          <w:szCs w:val="24"/>
        </w:rPr>
        <w:t xml:space="preserve"> </w:t>
      </w:r>
      <w:r w:rsidRPr="006F6171">
        <w:rPr>
          <w:szCs w:val="24"/>
        </w:rPr>
        <w:t>The Project</w:t>
      </w:r>
      <w:r w:rsidR="009A6006" w:rsidRPr="006F6171">
        <w:rPr>
          <w:szCs w:val="24"/>
        </w:rPr>
        <w:t xml:space="preserve"> will be subject to </w:t>
      </w:r>
      <w:r w:rsidRPr="006F6171">
        <w:rPr>
          <w:szCs w:val="24"/>
        </w:rPr>
        <w:t xml:space="preserve">the </w:t>
      </w:r>
      <w:r w:rsidR="005E240C" w:rsidRPr="006F6171">
        <w:rPr>
          <w:szCs w:val="24"/>
        </w:rPr>
        <w:t xml:space="preserve">QAP </w:t>
      </w:r>
      <w:r w:rsidRPr="006F6171">
        <w:rPr>
          <w:szCs w:val="24"/>
        </w:rPr>
        <w:t xml:space="preserve">in effect at the time </w:t>
      </w:r>
      <w:r w:rsidR="005E240C" w:rsidRPr="006F6171">
        <w:rPr>
          <w:szCs w:val="24"/>
        </w:rPr>
        <w:t xml:space="preserve">of </w:t>
      </w:r>
      <w:r w:rsidRPr="006F6171">
        <w:rPr>
          <w:szCs w:val="24"/>
        </w:rPr>
        <w:t>the original allocation</w:t>
      </w:r>
      <w:r w:rsidR="009A6006" w:rsidRPr="006F6171">
        <w:rPr>
          <w:szCs w:val="24"/>
        </w:rPr>
        <w:t>.</w:t>
      </w:r>
      <w:r w:rsidR="00BB3D09" w:rsidRPr="006F6171">
        <w:rPr>
          <w:szCs w:val="24"/>
        </w:rPr>
        <w:t xml:space="preserve"> </w:t>
      </w:r>
    </w:p>
    <w:p w14:paraId="06BB55C7" w14:textId="77777777" w:rsidR="00995E15" w:rsidRPr="006F6171" w:rsidRDefault="00995E15" w:rsidP="00202E46">
      <w:pPr>
        <w:tabs>
          <w:tab w:val="left" w:pos="-720"/>
        </w:tabs>
        <w:suppressAutoHyphens/>
        <w:ind w:left="720"/>
        <w:jc w:val="both"/>
        <w:rPr>
          <w:szCs w:val="24"/>
        </w:rPr>
      </w:pPr>
    </w:p>
    <w:p w14:paraId="5BD65FF3" w14:textId="77777777" w:rsidR="00995E15" w:rsidRPr="006F6171" w:rsidRDefault="00995E15" w:rsidP="00A8328C">
      <w:pPr>
        <w:numPr>
          <w:ilvl w:val="0"/>
          <w:numId w:val="11"/>
        </w:numPr>
        <w:tabs>
          <w:tab w:val="left" w:pos="-720"/>
        </w:tabs>
        <w:suppressAutoHyphens/>
        <w:ind w:left="720" w:hanging="720"/>
        <w:jc w:val="both"/>
        <w:rPr>
          <w:szCs w:val="24"/>
        </w:rPr>
      </w:pPr>
      <w:r w:rsidRPr="006F6171">
        <w:lastRenderedPageBreak/>
        <w:t>Forward Allocation of Credit</w:t>
      </w:r>
      <w:r w:rsidRPr="006F6171">
        <w:rPr>
          <w:b/>
          <w:szCs w:val="24"/>
        </w:rPr>
        <w:t>.</w:t>
      </w:r>
      <w:r w:rsidR="00DB18E9" w:rsidRPr="006F6171">
        <w:rPr>
          <w:szCs w:val="24"/>
        </w:rPr>
        <w:t xml:space="preserve"> </w:t>
      </w:r>
      <w:r w:rsidRPr="006F6171">
        <w:rPr>
          <w:szCs w:val="24"/>
        </w:rPr>
        <w:t xml:space="preserve">MaineHousing may issue a binding commitment to allocate State Ceiling available in the subsequent year </w:t>
      </w:r>
      <w:r w:rsidR="00364B25" w:rsidRPr="006F6171">
        <w:rPr>
          <w:szCs w:val="24"/>
        </w:rPr>
        <w:t xml:space="preserve">upon </w:t>
      </w:r>
      <w:r w:rsidRPr="006F6171">
        <w:rPr>
          <w:szCs w:val="24"/>
        </w:rPr>
        <w:t>determin</w:t>
      </w:r>
      <w:r w:rsidR="00364B25" w:rsidRPr="006F6171">
        <w:rPr>
          <w:szCs w:val="24"/>
        </w:rPr>
        <w:t>ing</w:t>
      </w:r>
      <w:r w:rsidRPr="006F6171">
        <w:rPr>
          <w:szCs w:val="24"/>
        </w:rPr>
        <w:t xml:space="preserve"> that the amount of Credit in the current year’s State Ceiling is insufficient.</w:t>
      </w:r>
    </w:p>
    <w:p w14:paraId="4A2BD102" w14:textId="77777777" w:rsidR="00202E46" w:rsidRPr="006F6171" w:rsidRDefault="00202E46" w:rsidP="00202E46">
      <w:pPr>
        <w:tabs>
          <w:tab w:val="left" w:pos="-720"/>
        </w:tabs>
        <w:suppressAutoHyphens/>
        <w:ind w:left="720"/>
        <w:jc w:val="both"/>
        <w:rPr>
          <w:szCs w:val="24"/>
        </w:rPr>
      </w:pPr>
    </w:p>
    <w:p w14:paraId="0DFE0A81" w14:textId="77777777" w:rsidR="00995E15" w:rsidRPr="006F6171" w:rsidRDefault="00995E15" w:rsidP="008416BF">
      <w:pPr>
        <w:pStyle w:val="Heading1"/>
        <w:jc w:val="both"/>
      </w:pPr>
      <w:bookmarkStart w:id="9" w:name="_Toc531341080"/>
      <w:r w:rsidRPr="006F6171">
        <w:t>SECTION 9:</w:t>
      </w:r>
      <w:r w:rsidR="00BB3D09" w:rsidRPr="006F6171">
        <w:t xml:space="preserve"> </w:t>
      </w:r>
      <w:r w:rsidRPr="006F6171">
        <w:t>TAX-EXEMPT BOND FINANCED PROJECTS</w:t>
      </w:r>
      <w:bookmarkEnd w:id="9"/>
    </w:p>
    <w:p w14:paraId="65E5A2FE" w14:textId="77777777" w:rsidR="005C64C8" w:rsidRPr="006F6171" w:rsidRDefault="005C64C8" w:rsidP="005C64C8"/>
    <w:p w14:paraId="35AAE9F4" w14:textId="77777777" w:rsidR="00364B25" w:rsidRPr="006F6171" w:rsidRDefault="00995E15" w:rsidP="008416BF">
      <w:pPr>
        <w:tabs>
          <w:tab w:val="left" w:pos="-720"/>
        </w:tabs>
        <w:suppressAutoHyphens/>
        <w:jc w:val="both"/>
        <w:rPr>
          <w:szCs w:val="24"/>
        </w:rPr>
      </w:pPr>
      <w:r w:rsidRPr="006F6171">
        <w:rPr>
          <w:szCs w:val="24"/>
        </w:rPr>
        <w:t xml:space="preserve">Projects financed with tax-exempt bond proceeds </w:t>
      </w:r>
      <w:r w:rsidR="00364B25" w:rsidRPr="006F6171">
        <w:rPr>
          <w:szCs w:val="24"/>
        </w:rPr>
        <w:t>must satisfy all QAP requirements except</w:t>
      </w:r>
    </w:p>
    <w:p w14:paraId="78DDFCE5" w14:textId="77777777" w:rsidR="00EA2ABD" w:rsidRPr="006F6171" w:rsidRDefault="00EA2ABD" w:rsidP="008416BF">
      <w:pPr>
        <w:tabs>
          <w:tab w:val="left" w:pos="-720"/>
        </w:tabs>
        <w:suppressAutoHyphens/>
        <w:jc w:val="both"/>
        <w:rPr>
          <w:szCs w:val="24"/>
        </w:rPr>
      </w:pPr>
    </w:p>
    <w:p w14:paraId="773BD36D" w14:textId="77777777" w:rsidR="00974BF4" w:rsidRPr="006F6171" w:rsidRDefault="00974BF4" w:rsidP="00BE5856">
      <w:pPr>
        <w:numPr>
          <w:ilvl w:val="0"/>
          <w:numId w:val="45"/>
        </w:numPr>
        <w:tabs>
          <w:tab w:val="left" w:pos="-720"/>
        </w:tabs>
        <w:suppressAutoHyphens/>
        <w:ind w:left="720" w:hanging="720"/>
        <w:jc w:val="both"/>
        <w:rPr>
          <w:szCs w:val="24"/>
        </w:rPr>
      </w:pPr>
      <w:r w:rsidRPr="006F6171">
        <w:rPr>
          <w:szCs w:val="24"/>
        </w:rPr>
        <w:t>the Maximum Credit Am</w:t>
      </w:r>
      <w:r w:rsidR="00EA2ABD" w:rsidRPr="006F6171">
        <w:rPr>
          <w:szCs w:val="24"/>
        </w:rPr>
        <w:t>ount limitation in Section 3.</w:t>
      </w:r>
      <w:r w:rsidR="00AD6F94" w:rsidRPr="006F6171">
        <w:rPr>
          <w:szCs w:val="24"/>
        </w:rPr>
        <w:t>C</w:t>
      </w:r>
      <w:r w:rsidR="00EA2ABD" w:rsidRPr="006F6171">
        <w:rPr>
          <w:szCs w:val="24"/>
        </w:rPr>
        <w:t>.</w:t>
      </w:r>
      <w:r w:rsidR="00B24751" w:rsidRPr="006F6171">
        <w:rPr>
          <w:szCs w:val="24"/>
        </w:rPr>
        <w:t>,</w:t>
      </w:r>
    </w:p>
    <w:p w14:paraId="4D2AEEB7" w14:textId="77777777" w:rsidR="00EA2ABD" w:rsidRPr="006F6171" w:rsidRDefault="00EA2ABD" w:rsidP="00834EB0">
      <w:pPr>
        <w:pStyle w:val="ListParagraph"/>
        <w:tabs>
          <w:tab w:val="left" w:pos="-720"/>
        </w:tabs>
        <w:suppressAutoHyphens/>
        <w:jc w:val="both"/>
        <w:rPr>
          <w:szCs w:val="24"/>
        </w:rPr>
      </w:pPr>
    </w:p>
    <w:p w14:paraId="0314AE89" w14:textId="77777777" w:rsidR="00974BF4" w:rsidRPr="006F6171" w:rsidRDefault="00974BF4" w:rsidP="00BE5856">
      <w:pPr>
        <w:numPr>
          <w:ilvl w:val="0"/>
          <w:numId w:val="45"/>
        </w:numPr>
        <w:tabs>
          <w:tab w:val="left" w:pos="-720"/>
        </w:tabs>
        <w:suppressAutoHyphens/>
        <w:ind w:left="720" w:hanging="720"/>
        <w:jc w:val="both"/>
        <w:rPr>
          <w:szCs w:val="24"/>
        </w:rPr>
      </w:pPr>
      <w:r w:rsidRPr="006F6171">
        <w:rPr>
          <w:szCs w:val="24"/>
        </w:rPr>
        <w:t>the appli</w:t>
      </w:r>
      <w:r w:rsidR="00EA2ABD" w:rsidRPr="006F6171">
        <w:rPr>
          <w:szCs w:val="24"/>
        </w:rPr>
        <w:t>cation limits in Section 4.B.1.</w:t>
      </w:r>
      <w:r w:rsidR="00B24751" w:rsidRPr="006F6171">
        <w:rPr>
          <w:szCs w:val="24"/>
        </w:rPr>
        <w:t>,</w:t>
      </w:r>
    </w:p>
    <w:p w14:paraId="4B787F42" w14:textId="77777777" w:rsidR="00EA2ABD" w:rsidRPr="006F6171" w:rsidRDefault="00EA2ABD" w:rsidP="00834EB0">
      <w:pPr>
        <w:pStyle w:val="ListParagraph"/>
        <w:rPr>
          <w:szCs w:val="24"/>
        </w:rPr>
      </w:pPr>
    </w:p>
    <w:p w14:paraId="68B6D760" w14:textId="77777777" w:rsidR="00974BF4" w:rsidRPr="006F6171" w:rsidRDefault="00974BF4" w:rsidP="00BE5856">
      <w:pPr>
        <w:numPr>
          <w:ilvl w:val="0"/>
          <w:numId w:val="45"/>
        </w:numPr>
        <w:tabs>
          <w:tab w:val="left" w:pos="-720"/>
        </w:tabs>
        <w:suppressAutoHyphens/>
        <w:ind w:left="720" w:hanging="720"/>
        <w:jc w:val="both"/>
        <w:rPr>
          <w:szCs w:val="24"/>
        </w:rPr>
      </w:pPr>
      <w:r w:rsidRPr="006F6171">
        <w:rPr>
          <w:szCs w:val="24"/>
        </w:rPr>
        <w:t>the applica</w:t>
      </w:r>
      <w:r w:rsidR="00EA2ABD" w:rsidRPr="006F6171">
        <w:rPr>
          <w:szCs w:val="24"/>
        </w:rPr>
        <w:t>tion deadline</w:t>
      </w:r>
      <w:r w:rsidR="00736FC6" w:rsidRPr="006F6171">
        <w:rPr>
          <w:szCs w:val="24"/>
        </w:rPr>
        <w:t>s</w:t>
      </w:r>
      <w:r w:rsidR="00EA2ABD" w:rsidRPr="006F6171">
        <w:rPr>
          <w:szCs w:val="24"/>
        </w:rPr>
        <w:t xml:space="preserve"> in Section 4.B.2.</w:t>
      </w:r>
      <w:r w:rsidR="00B24751" w:rsidRPr="006F6171">
        <w:rPr>
          <w:szCs w:val="24"/>
        </w:rPr>
        <w:t>,</w:t>
      </w:r>
    </w:p>
    <w:p w14:paraId="49716AE5" w14:textId="77777777" w:rsidR="00EA2ABD" w:rsidRPr="006F6171" w:rsidRDefault="00EA2ABD" w:rsidP="00834EB0">
      <w:pPr>
        <w:pStyle w:val="ListParagraph"/>
        <w:rPr>
          <w:szCs w:val="24"/>
        </w:rPr>
      </w:pPr>
    </w:p>
    <w:p w14:paraId="1F1EB80C" w14:textId="77777777" w:rsidR="00974BF4" w:rsidRPr="006F6171" w:rsidRDefault="00974BF4" w:rsidP="00BE5856">
      <w:pPr>
        <w:numPr>
          <w:ilvl w:val="0"/>
          <w:numId w:val="45"/>
        </w:numPr>
        <w:tabs>
          <w:tab w:val="left" w:pos="-720"/>
        </w:tabs>
        <w:suppressAutoHyphens/>
        <w:ind w:left="720" w:hanging="720"/>
        <w:jc w:val="both"/>
        <w:rPr>
          <w:szCs w:val="24"/>
        </w:rPr>
      </w:pPr>
      <w:r w:rsidRPr="006F6171">
        <w:rPr>
          <w:szCs w:val="24"/>
        </w:rPr>
        <w:t>the selection pro</w:t>
      </w:r>
      <w:r w:rsidR="00EA2ABD" w:rsidRPr="006F6171">
        <w:rPr>
          <w:szCs w:val="24"/>
        </w:rPr>
        <w:t>cess described in Sections 4.F.</w:t>
      </w:r>
      <w:r w:rsidR="00B24751" w:rsidRPr="006F6171">
        <w:rPr>
          <w:szCs w:val="24"/>
        </w:rPr>
        <w:t>,</w:t>
      </w:r>
    </w:p>
    <w:p w14:paraId="78876A90" w14:textId="77777777" w:rsidR="00EA2ABD" w:rsidRPr="006F6171" w:rsidRDefault="00EA2ABD" w:rsidP="00834EB0">
      <w:pPr>
        <w:pStyle w:val="ListParagraph"/>
        <w:rPr>
          <w:szCs w:val="24"/>
        </w:rPr>
      </w:pPr>
    </w:p>
    <w:p w14:paraId="7E101E14" w14:textId="77777777" w:rsidR="00974BF4" w:rsidRPr="006F6171" w:rsidRDefault="00974BF4" w:rsidP="00BE5856">
      <w:pPr>
        <w:numPr>
          <w:ilvl w:val="0"/>
          <w:numId w:val="45"/>
        </w:numPr>
        <w:tabs>
          <w:tab w:val="left" w:pos="-720"/>
        </w:tabs>
        <w:suppressAutoHyphens/>
        <w:ind w:left="720" w:hanging="720"/>
        <w:jc w:val="both"/>
        <w:rPr>
          <w:szCs w:val="24"/>
        </w:rPr>
      </w:pPr>
      <w:r w:rsidRPr="006F6171">
        <w:rPr>
          <w:szCs w:val="24"/>
        </w:rPr>
        <w:t>the affordability threshold requirement set</w:t>
      </w:r>
      <w:r w:rsidR="00EA2ABD" w:rsidRPr="006F6171">
        <w:rPr>
          <w:szCs w:val="24"/>
        </w:rPr>
        <w:t xml:space="preserve"> forth in Section 5.A.</w:t>
      </w:r>
      <w:r w:rsidR="00B24751" w:rsidRPr="006F6171">
        <w:rPr>
          <w:szCs w:val="24"/>
        </w:rPr>
        <w:t>,</w:t>
      </w:r>
    </w:p>
    <w:p w14:paraId="4B5EEA90" w14:textId="77777777" w:rsidR="00EA2ABD" w:rsidRPr="006F6171" w:rsidRDefault="00EA2ABD" w:rsidP="00834EB0">
      <w:pPr>
        <w:pStyle w:val="ListParagraph"/>
        <w:rPr>
          <w:szCs w:val="24"/>
        </w:rPr>
      </w:pPr>
    </w:p>
    <w:p w14:paraId="1359758D" w14:textId="6C92A3C2" w:rsidR="00974BF4" w:rsidRPr="006F6171" w:rsidRDefault="008A01E3" w:rsidP="00BE5856">
      <w:pPr>
        <w:numPr>
          <w:ilvl w:val="0"/>
          <w:numId w:val="45"/>
        </w:numPr>
        <w:tabs>
          <w:tab w:val="left" w:pos="-720"/>
        </w:tabs>
        <w:suppressAutoHyphens/>
        <w:ind w:left="720" w:hanging="720"/>
        <w:jc w:val="both"/>
        <w:rPr>
          <w:szCs w:val="24"/>
        </w:rPr>
      </w:pPr>
      <w:r>
        <w:rPr>
          <w:szCs w:val="24"/>
        </w:rPr>
        <w:t>the requirement of a minimum $75</w:t>
      </w:r>
      <w:r w:rsidR="00974BF4" w:rsidRPr="006F6171">
        <w:rPr>
          <w:szCs w:val="24"/>
        </w:rPr>
        <w:t>,000 per unit of Rehabilitation Costs for Projects involving the acquisition and rehabilitation of exi</w:t>
      </w:r>
      <w:r w:rsidR="00EA2ABD" w:rsidRPr="006F6171">
        <w:rPr>
          <w:szCs w:val="24"/>
        </w:rPr>
        <w:t>sting housing in Section 5.</w:t>
      </w:r>
      <w:r w:rsidR="00717051" w:rsidRPr="006F6171">
        <w:rPr>
          <w:szCs w:val="24"/>
        </w:rPr>
        <w:t>C</w:t>
      </w:r>
      <w:r w:rsidR="00EA2ABD" w:rsidRPr="006F6171">
        <w:rPr>
          <w:szCs w:val="24"/>
        </w:rPr>
        <w:t>.2.</w:t>
      </w:r>
      <w:r w:rsidR="00B24751" w:rsidRPr="006F6171">
        <w:rPr>
          <w:szCs w:val="24"/>
        </w:rPr>
        <w:t>,</w:t>
      </w:r>
    </w:p>
    <w:p w14:paraId="69FF5087" w14:textId="77777777" w:rsidR="00EA2ABD" w:rsidRPr="006F6171" w:rsidRDefault="00EA2ABD" w:rsidP="00834EB0">
      <w:pPr>
        <w:pStyle w:val="ListParagraph"/>
        <w:rPr>
          <w:szCs w:val="24"/>
        </w:rPr>
      </w:pPr>
    </w:p>
    <w:p w14:paraId="02C12EA0" w14:textId="77777777" w:rsidR="00974BF4" w:rsidRPr="006F6171" w:rsidRDefault="00974BF4" w:rsidP="00BE5856">
      <w:pPr>
        <w:numPr>
          <w:ilvl w:val="0"/>
          <w:numId w:val="45"/>
        </w:numPr>
        <w:tabs>
          <w:tab w:val="left" w:pos="-720"/>
        </w:tabs>
        <w:suppressAutoHyphens/>
        <w:ind w:left="720" w:hanging="720"/>
        <w:jc w:val="both"/>
        <w:rPr>
          <w:szCs w:val="24"/>
        </w:rPr>
      </w:pPr>
      <w:r w:rsidRPr="006F6171">
        <w:rPr>
          <w:szCs w:val="24"/>
        </w:rPr>
        <w:t>the scoring criteria in Section 6</w:t>
      </w:r>
      <w:r w:rsidR="00B24751" w:rsidRPr="006F6171">
        <w:rPr>
          <w:szCs w:val="24"/>
        </w:rPr>
        <w:t>,</w:t>
      </w:r>
      <w:r w:rsidRPr="006F6171">
        <w:rPr>
          <w:szCs w:val="24"/>
        </w:rPr>
        <w:t xml:space="preserve"> and</w:t>
      </w:r>
    </w:p>
    <w:p w14:paraId="482672F6" w14:textId="77777777" w:rsidR="00EA2ABD" w:rsidRPr="006F6171" w:rsidRDefault="00EA2ABD" w:rsidP="00834EB0">
      <w:pPr>
        <w:pStyle w:val="ListParagraph"/>
        <w:rPr>
          <w:szCs w:val="24"/>
        </w:rPr>
      </w:pPr>
    </w:p>
    <w:p w14:paraId="0615221D" w14:textId="77777777" w:rsidR="00974BF4" w:rsidRPr="006F6171" w:rsidRDefault="00974BF4" w:rsidP="00BE5856">
      <w:pPr>
        <w:numPr>
          <w:ilvl w:val="0"/>
          <w:numId w:val="45"/>
        </w:numPr>
        <w:tabs>
          <w:tab w:val="left" w:pos="-720"/>
        </w:tabs>
        <w:suppressAutoHyphens/>
        <w:ind w:left="720" w:hanging="720"/>
        <w:jc w:val="both"/>
        <w:rPr>
          <w:szCs w:val="24"/>
        </w:rPr>
      </w:pPr>
      <w:r w:rsidRPr="006F6171">
        <w:rPr>
          <w:szCs w:val="24"/>
        </w:rPr>
        <w:t xml:space="preserve">the Developer Fee limits </w:t>
      </w:r>
      <w:r w:rsidR="00C04FA5" w:rsidRPr="006F6171">
        <w:rPr>
          <w:szCs w:val="24"/>
        </w:rPr>
        <w:t xml:space="preserve">in Section 7.B.  </w:t>
      </w:r>
    </w:p>
    <w:p w14:paraId="73CA5560" w14:textId="77777777" w:rsidR="004F716E" w:rsidRPr="006F6171" w:rsidRDefault="004F716E" w:rsidP="008416BF">
      <w:pPr>
        <w:tabs>
          <w:tab w:val="left" w:pos="-720"/>
        </w:tabs>
        <w:suppressAutoHyphens/>
        <w:jc w:val="both"/>
        <w:rPr>
          <w:szCs w:val="24"/>
        </w:rPr>
      </w:pPr>
    </w:p>
    <w:p w14:paraId="343A2F79" w14:textId="77777777" w:rsidR="00995E15" w:rsidRPr="006F6171" w:rsidRDefault="00995E15" w:rsidP="008416BF">
      <w:pPr>
        <w:pStyle w:val="Heading1"/>
        <w:jc w:val="both"/>
      </w:pPr>
      <w:bookmarkStart w:id="10" w:name="_Toc531341081"/>
      <w:r w:rsidRPr="006F6171">
        <w:t>SECTION 10:</w:t>
      </w:r>
      <w:r w:rsidR="00BB3D09" w:rsidRPr="006F6171">
        <w:t xml:space="preserve"> </w:t>
      </w:r>
      <w:r w:rsidRPr="006F6171">
        <w:t>MONITORING</w:t>
      </w:r>
      <w:bookmarkEnd w:id="10"/>
    </w:p>
    <w:p w14:paraId="373C0881" w14:textId="77777777" w:rsidR="00995E15" w:rsidRPr="006F6171" w:rsidRDefault="00995E15" w:rsidP="008416BF">
      <w:pPr>
        <w:tabs>
          <w:tab w:val="left" w:pos="-720"/>
        </w:tabs>
        <w:suppressAutoHyphens/>
        <w:jc w:val="both"/>
        <w:rPr>
          <w:szCs w:val="24"/>
        </w:rPr>
      </w:pPr>
    </w:p>
    <w:p w14:paraId="151F04A6" w14:textId="77777777" w:rsidR="00485D34" w:rsidRPr="006F6171" w:rsidRDefault="00100EE4" w:rsidP="00BE5856">
      <w:pPr>
        <w:numPr>
          <w:ilvl w:val="0"/>
          <w:numId w:val="48"/>
        </w:numPr>
        <w:tabs>
          <w:tab w:val="left" w:pos="-720"/>
        </w:tabs>
        <w:suppressAutoHyphens/>
        <w:ind w:hanging="720"/>
        <w:jc w:val="both"/>
      </w:pPr>
      <w:r w:rsidRPr="006F6171">
        <w:t>Compliance with</w:t>
      </w:r>
      <w:r w:rsidR="009E24C9" w:rsidRPr="006F6171">
        <w:t xml:space="preserve"> Applicable Laws.</w:t>
      </w:r>
      <w:r w:rsidR="00BB3D09" w:rsidRPr="006F6171">
        <w:t xml:space="preserve"> </w:t>
      </w:r>
      <w:r w:rsidR="00C149BC" w:rsidRPr="006F6171">
        <w:t>Owners must comply with</w:t>
      </w:r>
      <w:r w:rsidR="00A74F63" w:rsidRPr="006F6171">
        <w:t xml:space="preserve"> </w:t>
      </w:r>
      <w:r w:rsidR="00C149BC" w:rsidRPr="006F6171">
        <w:t>all local, state and federal laws and regulations, including wi</w:t>
      </w:r>
      <w:r w:rsidR="00A74F63" w:rsidRPr="006F6171">
        <w:t>thou</w:t>
      </w:r>
      <w:r w:rsidR="00B627D7" w:rsidRPr="006F6171">
        <w:t>t limitation</w:t>
      </w:r>
      <w:r w:rsidR="0051540B" w:rsidRPr="006F6171">
        <w:t>:</w:t>
      </w:r>
    </w:p>
    <w:p w14:paraId="6202083A" w14:textId="77777777" w:rsidR="00485D34" w:rsidRPr="006F6171" w:rsidRDefault="00485D34" w:rsidP="00527B06">
      <w:pPr>
        <w:ind w:left="720" w:hanging="720"/>
      </w:pPr>
    </w:p>
    <w:p w14:paraId="0302948E" w14:textId="77777777" w:rsidR="00485D34" w:rsidRPr="006F6171" w:rsidRDefault="00485D34" w:rsidP="009D6D07">
      <w:pPr>
        <w:ind w:left="1080" w:hanging="360"/>
      </w:pPr>
      <w:r w:rsidRPr="006F6171">
        <w:t xml:space="preserve">1.  </w:t>
      </w:r>
      <w:hyperlink r:id="rId32" w:history="1">
        <w:r w:rsidRPr="006F6171">
          <w:rPr>
            <w:rStyle w:val="Hyperlink"/>
          </w:rPr>
          <w:t>Section 42</w:t>
        </w:r>
      </w:hyperlink>
      <w:r w:rsidRPr="006F6171">
        <w:t xml:space="preserve"> of the Code and associated regulations and guidance</w:t>
      </w:r>
      <w:r w:rsidR="0051540B" w:rsidRPr="006F6171">
        <w:t>;</w:t>
      </w:r>
    </w:p>
    <w:p w14:paraId="1509CC41" w14:textId="77777777" w:rsidR="00485D34" w:rsidRPr="006F6171" w:rsidRDefault="00485D34" w:rsidP="009D6D07">
      <w:pPr>
        <w:ind w:left="1080" w:hanging="360"/>
      </w:pPr>
    </w:p>
    <w:p w14:paraId="33ED83BA" w14:textId="77777777" w:rsidR="00326675" w:rsidRPr="006F6171" w:rsidRDefault="00485D34" w:rsidP="009D6D07">
      <w:pPr>
        <w:ind w:left="1080" w:hanging="360"/>
      </w:pPr>
      <w:r w:rsidRPr="006F6171">
        <w:t xml:space="preserve">2.  </w:t>
      </w:r>
      <w:r w:rsidR="00441F81" w:rsidRPr="006F6171">
        <w:t>UPCS</w:t>
      </w:r>
      <w:r w:rsidR="00B627D7" w:rsidRPr="006F6171">
        <w:t xml:space="preserve"> and </w:t>
      </w:r>
      <w:r w:rsidR="00FA3D28" w:rsidRPr="006F6171">
        <w:t xml:space="preserve">all other </w:t>
      </w:r>
      <w:r w:rsidR="004811AC" w:rsidRPr="006F6171">
        <w:t>local, state and federal</w:t>
      </w:r>
      <w:r w:rsidR="007B17E7" w:rsidRPr="006F6171">
        <w:t xml:space="preserve"> health, safety and</w:t>
      </w:r>
      <w:r w:rsidR="004811AC" w:rsidRPr="006F6171">
        <w:t xml:space="preserve"> building codes</w:t>
      </w:r>
      <w:r w:rsidR="00FA3D28" w:rsidRPr="006F6171">
        <w:t xml:space="preserve"> applicable to</w:t>
      </w:r>
      <w:r w:rsidR="00834EB0" w:rsidRPr="006F6171">
        <w:t xml:space="preserve"> </w:t>
      </w:r>
      <w:r w:rsidR="00FA3D28" w:rsidRPr="006F6171">
        <w:t>the Project</w:t>
      </w:r>
      <w:r w:rsidR="00326675" w:rsidRPr="006F6171">
        <w:t>;</w:t>
      </w:r>
    </w:p>
    <w:p w14:paraId="39E34432" w14:textId="77777777" w:rsidR="00834EB0" w:rsidRPr="006F6171" w:rsidRDefault="00834EB0" w:rsidP="009D6D07">
      <w:pPr>
        <w:ind w:left="1080" w:hanging="360"/>
      </w:pPr>
    </w:p>
    <w:p w14:paraId="4759A6AB" w14:textId="77777777" w:rsidR="00BA1CD7" w:rsidRPr="006F6171" w:rsidRDefault="00834EB0" w:rsidP="00BA1CD7">
      <w:pPr>
        <w:tabs>
          <w:tab w:val="left" w:pos="-720"/>
        </w:tabs>
        <w:suppressAutoHyphens/>
        <w:ind w:left="1080" w:hanging="360"/>
        <w:jc w:val="both"/>
        <w:rPr>
          <w:szCs w:val="24"/>
        </w:rPr>
      </w:pPr>
      <w:r w:rsidRPr="006F6171">
        <w:rPr>
          <w:szCs w:val="24"/>
        </w:rPr>
        <w:t xml:space="preserve">3.  </w:t>
      </w:r>
      <w:r w:rsidR="009D6D07" w:rsidRPr="006F6171">
        <w:rPr>
          <w:szCs w:val="24"/>
        </w:rPr>
        <w:t xml:space="preserve"> </w:t>
      </w:r>
      <w:r w:rsidR="00B627D7" w:rsidRPr="006F6171">
        <w:rPr>
          <w:szCs w:val="24"/>
        </w:rPr>
        <w:t>t</w:t>
      </w:r>
      <w:r w:rsidR="004811AC" w:rsidRPr="006F6171">
        <w:rPr>
          <w:szCs w:val="24"/>
        </w:rPr>
        <w:t xml:space="preserve">he </w:t>
      </w:r>
      <w:hyperlink r:id="rId33" w:history="1">
        <w:r w:rsidR="004811AC" w:rsidRPr="006F6171">
          <w:rPr>
            <w:rStyle w:val="Hyperlink"/>
            <w:szCs w:val="24"/>
          </w:rPr>
          <w:t>Federal Fair Housing Act, Title VIII of the Civil Rights Act of 1968</w:t>
        </w:r>
      </w:hyperlink>
      <w:r w:rsidR="004811AC" w:rsidRPr="006F6171">
        <w:rPr>
          <w:szCs w:val="24"/>
        </w:rPr>
        <w:t>, as amended by the Fair Housing Amendments Act of 1988 (</w:t>
      </w:r>
      <w:hyperlink r:id="rId34" w:history="1">
        <w:r w:rsidR="004811AC" w:rsidRPr="006F6171">
          <w:rPr>
            <w:rStyle w:val="Hyperlink"/>
            <w:szCs w:val="24"/>
          </w:rPr>
          <w:t xml:space="preserve">42 U.S.C. </w:t>
        </w:r>
        <w:r w:rsidR="00BB5B00" w:rsidRPr="006F6171">
          <w:rPr>
            <w:rStyle w:val="Hyperlink"/>
            <w:szCs w:val="24"/>
          </w:rPr>
          <w:t>§</w:t>
        </w:r>
        <w:r w:rsidR="004811AC" w:rsidRPr="006F6171">
          <w:rPr>
            <w:rStyle w:val="Hyperlink"/>
            <w:szCs w:val="24"/>
          </w:rPr>
          <w:t xml:space="preserve">3601 </w:t>
        </w:r>
        <w:r w:rsidR="004811AC" w:rsidRPr="006F6171">
          <w:rPr>
            <w:rStyle w:val="Hyperlink"/>
            <w:i/>
            <w:szCs w:val="24"/>
          </w:rPr>
          <w:t>et seq.</w:t>
        </w:r>
        <w:r w:rsidR="004811AC" w:rsidRPr="006F6171">
          <w:rPr>
            <w:rStyle w:val="Hyperlink"/>
            <w:szCs w:val="24"/>
          </w:rPr>
          <w:t>)</w:t>
        </w:r>
      </w:hyperlink>
      <w:r w:rsidR="004811AC" w:rsidRPr="006F6171">
        <w:rPr>
          <w:szCs w:val="24"/>
        </w:rPr>
        <w:t>, Title II of the Americans with Disabilities Act of 1990 (</w:t>
      </w:r>
      <w:hyperlink r:id="rId35" w:history="1">
        <w:r w:rsidR="004811AC" w:rsidRPr="006F6171">
          <w:rPr>
            <w:rStyle w:val="Hyperlink"/>
            <w:szCs w:val="24"/>
          </w:rPr>
          <w:t xml:space="preserve">42 U.S.C. </w:t>
        </w:r>
        <w:r w:rsidR="00BB5B00" w:rsidRPr="006F6171">
          <w:rPr>
            <w:rStyle w:val="Hyperlink"/>
            <w:szCs w:val="24"/>
          </w:rPr>
          <w:t>§</w:t>
        </w:r>
        <w:r w:rsidR="004811AC" w:rsidRPr="006F6171">
          <w:rPr>
            <w:rStyle w:val="Hyperlink"/>
            <w:szCs w:val="24"/>
          </w:rPr>
          <w:t xml:space="preserve">12101 </w:t>
        </w:r>
        <w:r w:rsidR="004811AC" w:rsidRPr="006F6171">
          <w:rPr>
            <w:rStyle w:val="Hyperlink"/>
            <w:i/>
            <w:szCs w:val="24"/>
          </w:rPr>
          <w:t>et seq.</w:t>
        </w:r>
        <w:r w:rsidR="004811AC" w:rsidRPr="006F6171">
          <w:rPr>
            <w:rStyle w:val="Hyperlink"/>
            <w:szCs w:val="24"/>
          </w:rPr>
          <w:t>)</w:t>
        </w:r>
        <w:r w:rsidR="00B627D7" w:rsidRPr="006F6171">
          <w:rPr>
            <w:rStyle w:val="Hyperlink"/>
            <w:szCs w:val="24"/>
          </w:rPr>
          <w:t>,</w:t>
        </w:r>
      </w:hyperlink>
      <w:r w:rsidR="004811AC" w:rsidRPr="006F6171">
        <w:rPr>
          <w:szCs w:val="24"/>
        </w:rPr>
        <w:t xml:space="preserve"> and the Maine Human Rights Act (</w:t>
      </w:r>
      <w:hyperlink r:id="rId36" w:history="1">
        <w:r w:rsidR="004811AC" w:rsidRPr="006F6171">
          <w:rPr>
            <w:rStyle w:val="Hyperlink"/>
            <w:szCs w:val="24"/>
          </w:rPr>
          <w:t>5 M.R.S., Chapter 337, Subchapter IV</w:t>
        </w:r>
      </w:hyperlink>
      <w:r w:rsidR="004811AC" w:rsidRPr="006F6171">
        <w:rPr>
          <w:szCs w:val="24"/>
        </w:rPr>
        <w:t xml:space="preserve">) and </w:t>
      </w:r>
      <w:r w:rsidR="000759D4" w:rsidRPr="006F6171">
        <w:rPr>
          <w:szCs w:val="24"/>
        </w:rPr>
        <w:t xml:space="preserve">all other </w:t>
      </w:r>
      <w:r w:rsidR="009E5CBE" w:rsidRPr="006F6171">
        <w:rPr>
          <w:szCs w:val="24"/>
        </w:rPr>
        <w:t>applicable federal, s</w:t>
      </w:r>
      <w:r w:rsidR="00B627D7" w:rsidRPr="006F6171">
        <w:rPr>
          <w:szCs w:val="24"/>
        </w:rPr>
        <w:t>tate and local fair housing and accessibility requirements</w:t>
      </w:r>
      <w:r w:rsidR="000759D4" w:rsidRPr="006F6171">
        <w:rPr>
          <w:szCs w:val="24"/>
        </w:rPr>
        <w:t>, and the regulations, guidance and standards associated with all of the foregoing</w:t>
      </w:r>
      <w:r w:rsidR="00FB5032" w:rsidRPr="006F6171">
        <w:rPr>
          <w:szCs w:val="24"/>
        </w:rPr>
        <w:t>; and</w:t>
      </w:r>
    </w:p>
    <w:p w14:paraId="71D3EC95" w14:textId="49E3255B" w:rsidR="00257C71" w:rsidRPr="006F6171" w:rsidRDefault="00BA1CD7" w:rsidP="00BA1CD7">
      <w:pPr>
        <w:tabs>
          <w:tab w:val="left" w:pos="-720"/>
        </w:tabs>
        <w:suppressAutoHyphens/>
        <w:ind w:left="1080" w:hanging="360"/>
        <w:jc w:val="both"/>
        <w:rPr>
          <w:szCs w:val="24"/>
        </w:rPr>
      </w:pPr>
      <w:r w:rsidRPr="006F6171">
        <w:rPr>
          <w:szCs w:val="24"/>
        </w:rPr>
        <w:t xml:space="preserve">4. </w:t>
      </w:r>
      <w:r w:rsidRPr="006F6171">
        <w:rPr>
          <w:szCs w:val="24"/>
        </w:rPr>
        <w:tab/>
      </w:r>
      <w:r w:rsidR="00FA3D28" w:rsidRPr="006F6171">
        <w:rPr>
          <w:szCs w:val="24"/>
        </w:rPr>
        <w:t xml:space="preserve">Title VI of the Violence Against Women Reauthorization Act of 2013, </w:t>
      </w:r>
      <w:hyperlink r:id="rId37" w:history="1">
        <w:r w:rsidR="00FA3D28" w:rsidRPr="006F6171">
          <w:rPr>
            <w:rStyle w:val="Hyperlink"/>
            <w:szCs w:val="24"/>
          </w:rPr>
          <w:t>42 USC Chapter 136, Subchapter III, Part M</w:t>
        </w:r>
      </w:hyperlink>
      <w:r w:rsidR="00FA3D28" w:rsidRPr="006F6171">
        <w:rPr>
          <w:szCs w:val="24"/>
        </w:rPr>
        <w:t xml:space="preserve">, and all associated regulations </w:t>
      </w:r>
      <w:r w:rsidR="002C3529" w:rsidRPr="006F6171">
        <w:rPr>
          <w:szCs w:val="24"/>
        </w:rPr>
        <w:t>and guidance, as may be amended</w:t>
      </w:r>
      <w:r w:rsidR="00FA3D28" w:rsidRPr="006F6171">
        <w:rPr>
          <w:szCs w:val="24"/>
        </w:rPr>
        <w:t xml:space="preserve"> (VAWA).</w:t>
      </w:r>
      <w:r w:rsidR="00BB3D09" w:rsidRPr="006F6171">
        <w:rPr>
          <w:szCs w:val="24"/>
        </w:rPr>
        <w:t xml:space="preserve"> </w:t>
      </w:r>
    </w:p>
    <w:p w14:paraId="397A125A" w14:textId="77777777" w:rsidR="00100EE4" w:rsidRPr="006F6171" w:rsidRDefault="00100EE4" w:rsidP="008416BF">
      <w:pPr>
        <w:tabs>
          <w:tab w:val="left" w:pos="-720"/>
        </w:tabs>
        <w:suppressAutoHyphens/>
        <w:ind w:left="720"/>
        <w:jc w:val="both"/>
        <w:rPr>
          <w:rStyle w:val="Heading2Char"/>
        </w:rPr>
      </w:pPr>
      <w:r w:rsidRPr="006F6171">
        <w:rPr>
          <w:rStyle w:val="Heading2Char"/>
        </w:rPr>
        <w:t xml:space="preserve"> </w:t>
      </w:r>
    </w:p>
    <w:p w14:paraId="1B1EC856" w14:textId="77777777" w:rsidR="00995E15" w:rsidRPr="006F6171" w:rsidRDefault="00995E15" w:rsidP="00BE5856">
      <w:pPr>
        <w:numPr>
          <w:ilvl w:val="0"/>
          <w:numId w:val="48"/>
        </w:numPr>
        <w:tabs>
          <w:tab w:val="left" w:pos="-720"/>
        </w:tabs>
        <w:suppressAutoHyphens/>
        <w:ind w:hanging="720"/>
        <w:jc w:val="both"/>
        <w:rPr>
          <w:szCs w:val="24"/>
        </w:rPr>
      </w:pPr>
      <w:r w:rsidRPr="006F6171">
        <w:lastRenderedPageBreak/>
        <w:t>Recordkeeping and Record Retention</w:t>
      </w:r>
      <w:r w:rsidRPr="006F6171">
        <w:rPr>
          <w:szCs w:val="24"/>
        </w:rPr>
        <w:t xml:space="preserve">. </w:t>
      </w:r>
      <w:r w:rsidR="004E188A" w:rsidRPr="006F6171">
        <w:rPr>
          <w:szCs w:val="24"/>
        </w:rPr>
        <w:t>Each Owner</w:t>
      </w:r>
      <w:r w:rsidRPr="006F6171">
        <w:rPr>
          <w:szCs w:val="24"/>
        </w:rPr>
        <w:t xml:space="preserve"> must keep on file and availabl</w:t>
      </w:r>
      <w:r w:rsidR="005B378E" w:rsidRPr="006F6171">
        <w:rPr>
          <w:szCs w:val="24"/>
        </w:rPr>
        <w:t xml:space="preserve">e to MaineHousing upon request the following </w:t>
      </w:r>
      <w:r w:rsidRPr="006F6171">
        <w:rPr>
          <w:szCs w:val="24"/>
        </w:rPr>
        <w:t>record</w:t>
      </w:r>
      <w:r w:rsidR="00A51C82" w:rsidRPr="006F6171">
        <w:rPr>
          <w:szCs w:val="24"/>
        </w:rPr>
        <w:t xml:space="preserve">s for each Qualified </w:t>
      </w:r>
      <w:r w:rsidR="004E188A" w:rsidRPr="006F6171">
        <w:rPr>
          <w:szCs w:val="24"/>
        </w:rPr>
        <w:t>Building in its</w:t>
      </w:r>
      <w:r w:rsidRPr="006F6171">
        <w:rPr>
          <w:szCs w:val="24"/>
        </w:rPr>
        <w:t xml:space="preserve"> </w:t>
      </w:r>
      <w:r w:rsidR="007E51BE" w:rsidRPr="006F6171">
        <w:rPr>
          <w:szCs w:val="24"/>
        </w:rPr>
        <w:t>LIHTC</w:t>
      </w:r>
      <w:r w:rsidRPr="006F6171">
        <w:rPr>
          <w:szCs w:val="24"/>
        </w:rPr>
        <w:t xml:space="preserve"> </w:t>
      </w:r>
      <w:r w:rsidR="00FA3D28" w:rsidRPr="006F6171">
        <w:rPr>
          <w:szCs w:val="24"/>
        </w:rPr>
        <w:t>Project</w:t>
      </w:r>
      <w:r w:rsidR="004E188A" w:rsidRPr="006F6171">
        <w:rPr>
          <w:szCs w:val="24"/>
        </w:rPr>
        <w:t>(s)</w:t>
      </w:r>
      <w:r w:rsidR="005B378E" w:rsidRPr="006F6171">
        <w:rPr>
          <w:szCs w:val="24"/>
        </w:rPr>
        <w:t xml:space="preserve"> for each year in the Extended Use Period</w:t>
      </w:r>
      <w:r w:rsidR="004A1001" w:rsidRPr="006F6171">
        <w:rPr>
          <w:szCs w:val="24"/>
        </w:rPr>
        <w:t>:</w:t>
      </w:r>
    </w:p>
    <w:p w14:paraId="06F84338" w14:textId="77777777" w:rsidR="00995E15" w:rsidRPr="006F6171" w:rsidRDefault="00995E15" w:rsidP="008416BF">
      <w:pPr>
        <w:tabs>
          <w:tab w:val="left" w:pos="-720"/>
        </w:tabs>
        <w:suppressAutoHyphens/>
        <w:jc w:val="both"/>
        <w:rPr>
          <w:szCs w:val="24"/>
        </w:rPr>
      </w:pPr>
    </w:p>
    <w:p w14:paraId="7D3762C1" w14:textId="77777777" w:rsidR="00995E15" w:rsidRPr="006F6171" w:rsidRDefault="00995E15" w:rsidP="00A8328C">
      <w:pPr>
        <w:pStyle w:val="ListParagraph"/>
        <w:numPr>
          <w:ilvl w:val="1"/>
          <w:numId w:val="21"/>
        </w:numPr>
        <w:tabs>
          <w:tab w:val="left" w:pos="-720"/>
        </w:tabs>
        <w:suppressAutoHyphens/>
        <w:jc w:val="both"/>
        <w:rPr>
          <w:szCs w:val="24"/>
        </w:rPr>
      </w:pPr>
      <w:r w:rsidRPr="006F6171">
        <w:rPr>
          <w:szCs w:val="24"/>
        </w:rPr>
        <w:t>The total number of residential rental un</w:t>
      </w:r>
      <w:r w:rsidR="00A51C82" w:rsidRPr="006F6171">
        <w:rPr>
          <w:szCs w:val="24"/>
        </w:rPr>
        <w:t xml:space="preserve">its </w:t>
      </w:r>
      <w:r w:rsidRPr="006F6171">
        <w:rPr>
          <w:szCs w:val="24"/>
        </w:rPr>
        <w:t>including the number of bedr</w:t>
      </w:r>
      <w:r w:rsidR="006C5D72" w:rsidRPr="006F6171">
        <w:rPr>
          <w:szCs w:val="24"/>
        </w:rPr>
        <w:t>ooms and the square footage</w:t>
      </w:r>
      <w:r w:rsidRPr="006F6171">
        <w:rPr>
          <w:szCs w:val="24"/>
        </w:rPr>
        <w:t xml:space="preserve"> of each</w:t>
      </w:r>
      <w:r w:rsidR="005564F0" w:rsidRPr="006F6171">
        <w:rPr>
          <w:szCs w:val="24"/>
        </w:rPr>
        <w:t xml:space="preserve"> unit</w:t>
      </w:r>
      <w:r w:rsidR="005C3FED" w:rsidRPr="006F6171">
        <w:rPr>
          <w:szCs w:val="24"/>
        </w:rPr>
        <w:t>;</w:t>
      </w:r>
    </w:p>
    <w:p w14:paraId="50D474C8" w14:textId="77777777" w:rsidR="00995E15" w:rsidRPr="006F6171" w:rsidRDefault="00995E15" w:rsidP="005C64C8">
      <w:pPr>
        <w:tabs>
          <w:tab w:val="left" w:pos="-720"/>
        </w:tabs>
        <w:suppressAutoHyphens/>
        <w:ind w:left="1080" w:hanging="360"/>
        <w:jc w:val="both"/>
        <w:rPr>
          <w:szCs w:val="24"/>
        </w:rPr>
      </w:pPr>
    </w:p>
    <w:p w14:paraId="01910170" w14:textId="77777777" w:rsidR="00995E15" w:rsidRPr="006F6171" w:rsidRDefault="00995E15" w:rsidP="00A8328C">
      <w:pPr>
        <w:pStyle w:val="ListParagraph"/>
        <w:numPr>
          <w:ilvl w:val="1"/>
          <w:numId w:val="21"/>
        </w:numPr>
        <w:tabs>
          <w:tab w:val="left" w:pos="-720"/>
        </w:tabs>
        <w:suppressAutoHyphens/>
        <w:jc w:val="both"/>
        <w:rPr>
          <w:szCs w:val="24"/>
        </w:rPr>
      </w:pPr>
      <w:r w:rsidRPr="006F6171">
        <w:rPr>
          <w:szCs w:val="24"/>
        </w:rPr>
        <w:t xml:space="preserve">The number of </w:t>
      </w:r>
      <w:r w:rsidR="00351660" w:rsidRPr="006F6171">
        <w:rPr>
          <w:szCs w:val="24"/>
        </w:rPr>
        <w:t xml:space="preserve">low-income </w:t>
      </w:r>
      <w:r w:rsidRPr="006F6171">
        <w:rPr>
          <w:szCs w:val="24"/>
        </w:rPr>
        <w:t>un</w:t>
      </w:r>
      <w:r w:rsidR="00A51C82" w:rsidRPr="006F6171">
        <w:rPr>
          <w:szCs w:val="24"/>
        </w:rPr>
        <w:t>its</w:t>
      </w:r>
      <w:r w:rsidR="005C3FED" w:rsidRPr="006F6171">
        <w:rPr>
          <w:szCs w:val="24"/>
        </w:rPr>
        <w:t>;</w:t>
      </w:r>
    </w:p>
    <w:p w14:paraId="32F0E4EE" w14:textId="77777777" w:rsidR="00995E15" w:rsidRPr="006F6171" w:rsidRDefault="00995E15" w:rsidP="005C64C8">
      <w:pPr>
        <w:tabs>
          <w:tab w:val="left" w:pos="-720"/>
        </w:tabs>
        <w:suppressAutoHyphens/>
        <w:ind w:left="1080" w:hanging="360"/>
        <w:jc w:val="both"/>
        <w:rPr>
          <w:szCs w:val="24"/>
        </w:rPr>
      </w:pPr>
    </w:p>
    <w:p w14:paraId="5E8B3DA0" w14:textId="77777777" w:rsidR="00995E15" w:rsidRPr="006F6171" w:rsidRDefault="00995E15" w:rsidP="00A8328C">
      <w:pPr>
        <w:pStyle w:val="ListParagraph"/>
        <w:numPr>
          <w:ilvl w:val="1"/>
          <w:numId w:val="21"/>
        </w:numPr>
        <w:tabs>
          <w:tab w:val="left" w:pos="-720"/>
        </w:tabs>
        <w:suppressAutoHyphens/>
        <w:jc w:val="both"/>
        <w:rPr>
          <w:szCs w:val="24"/>
        </w:rPr>
      </w:pPr>
      <w:r w:rsidRPr="006F6171">
        <w:rPr>
          <w:szCs w:val="24"/>
        </w:rPr>
        <w:t xml:space="preserve">The rent charged </w:t>
      </w:r>
      <w:r w:rsidR="00351660" w:rsidRPr="006F6171">
        <w:rPr>
          <w:szCs w:val="24"/>
        </w:rPr>
        <w:t>for</w:t>
      </w:r>
      <w:r w:rsidRPr="006F6171">
        <w:rPr>
          <w:szCs w:val="24"/>
        </w:rPr>
        <w:t xml:space="preserve"> each un</w:t>
      </w:r>
      <w:r w:rsidR="00A51C82" w:rsidRPr="006F6171">
        <w:rPr>
          <w:szCs w:val="24"/>
        </w:rPr>
        <w:t xml:space="preserve">it </w:t>
      </w:r>
      <w:r w:rsidRPr="006F6171">
        <w:rPr>
          <w:szCs w:val="24"/>
        </w:rPr>
        <w:t>including any utility allowances</w:t>
      </w:r>
      <w:r w:rsidR="005C3FED" w:rsidRPr="006F6171">
        <w:rPr>
          <w:szCs w:val="24"/>
        </w:rPr>
        <w:t>;</w:t>
      </w:r>
    </w:p>
    <w:p w14:paraId="1EC80D30" w14:textId="77777777" w:rsidR="00995E15" w:rsidRPr="006F6171" w:rsidRDefault="00995E15" w:rsidP="005C64C8">
      <w:pPr>
        <w:tabs>
          <w:tab w:val="left" w:pos="-720"/>
        </w:tabs>
        <w:suppressAutoHyphens/>
        <w:ind w:left="1080" w:hanging="360"/>
        <w:jc w:val="both"/>
        <w:rPr>
          <w:szCs w:val="24"/>
        </w:rPr>
      </w:pPr>
    </w:p>
    <w:p w14:paraId="7BAEB55D" w14:textId="77777777" w:rsidR="00995E15" w:rsidRPr="006F6171" w:rsidRDefault="00995E15" w:rsidP="00A8328C">
      <w:pPr>
        <w:pStyle w:val="ListParagraph"/>
        <w:numPr>
          <w:ilvl w:val="1"/>
          <w:numId w:val="21"/>
        </w:numPr>
        <w:tabs>
          <w:tab w:val="left" w:pos="-720"/>
        </w:tabs>
        <w:suppressAutoHyphens/>
        <w:jc w:val="both"/>
        <w:rPr>
          <w:szCs w:val="24"/>
        </w:rPr>
      </w:pPr>
      <w:r w:rsidRPr="006F6171">
        <w:rPr>
          <w:szCs w:val="24"/>
        </w:rPr>
        <w:t>The number of occupants in each low-income unit</w:t>
      </w:r>
      <w:r w:rsidR="005C3FED" w:rsidRPr="006F6171">
        <w:rPr>
          <w:szCs w:val="24"/>
        </w:rPr>
        <w:t>;</w:t>
      </w:r>
    </w:p>
    <w:p w14:paraId="7870A333" w14:textId="77777777" w:rsidR="00995E15" w:rsidRPr="006F6171" w:rsidRDefault="00995E15" w:rsidP="005C64C8">
      <w:pPr>
        <w:tabs>
          <w:tab w:val="left" w:pos="-720"/>
        </w:tabs>
        <w:suppressAutoHyphens/>
        <w:ind w:left="1080" w:hanging="360"/>
        <w:jc w:val="both"/>
        <w:rPr>
          <w:szCs w:val="24"/>
        </w:rPr>
      </w:pPr>
    </w:p>
    <w:p w14:paraId="1431C375" w14:textId="77777777" w:rsidR="00995E15" w:rsidRPr="006F6171" w:rsidRDefault="00995E15" w:rsidP="00A8328C">
      <w:pPr>
        <w:pStyle w:val="ListParagraph"/>
        <w:numPr>
          <w:ilvl w:val="1"/>
          <w:numId w:val="21"/>
        </w:numPr>
        <w:tabs>
          <w:tab w:val="left" w:pos="-720"/>
        </w:tabs>
        <w:suppressAutoHyphens/>
        <w:jc w:val="both"/>
        <w:rPr>
          <w:szCs w:val="24"/>
        </w:rPr>
      </w:pPr>
      <w:r w:rsidRPr="006F6171">
        <w:rPr>
          <w:szCs w:val="24"/>
        </w:rPr>
        <w:t xml:space="preserve">The </w:t>
      </w:r>
      <w:r w:rsidR="00351660" w:rsidRPr="006F6171">
        <w:rPr>
          <w:szCs w:val="24"/>
        </w:rPr>
        <w:t xml:space="preserve">number of </w:t>
      </w:r>
      <w:r w:rsidRPr="006F6171">
        <w:rPr>
          <w:szCs w:val="24"/>
        </w:rPr>
        <w:t>low-income unit vacanci</w:t>
      </w:r>
      <w:r w:rsidR="00A51C82" w:rsidRPr="006F6171">
        <w:rPr>
          <w:szCs w:val="24"/>
        </w:rPr>
        <w:t>es</w:t>
      </w:r>
      <w:r w:rsidRPr="006F6171">
        <w:rPr>
          <w:szCs w:val="24"/>
        </w:rPr>
        <w:t xml:space="preserve"> and information show</w:t>
      </w:r>
      <w:r w:rsidR="00351660" w:rsidRPr="006F6171">
        <w:rPr>
          <w:szCs w:val="24"/>
        </w:rPr>
        <w:t>ing</w:t>
      </w:r>
      <w:r w:rsidRPr="006F6171">
        <w:rPr>
          <w:szCs w:val="24"/>
        </w:rPr>
        <w:t xml:space="preserve"> when, and to whom, the next available units were rented</w:t>
      </w:r>
      <w:r w:rsidR="005C3FED" w:rsidRPr="006F6171">
        <w:rPr>
          <w:szCs w:val="24"/>
        </w:rPr>
        <w:t>;</w:t>
      </w:r>
    </w:p>
    <w:p w14:paraId="54241095" w14:textId="77777777" w:rsidR="00995E15" w:rsidRPr="006F6171" w:rsidRDefault="00995E15" w:rsidP="005C64C8">
      <w:pPr>
        <w:tabs>
          <w:tab w:val="left" w:pos="-720"/>
        </w:tabs>
        <w:suppressAutoHyphens/>
        <w:ind w:left="1080" w:hanging="360"/>
        <w:jc w:val="both"/>
        <w:rPr>
          <w:szCs w:val="24"/>
        </w:rPr>
      </w:pPr>
    </w:p>
    <w:p w14:paraId="069CFCFF" w14:textId="77777777" w:rsidR="002C3529" w:rsidRPr="006F6171" w:rsidRDefault="00351660" w:rsidP="00A8328C">
      <w:pPr>
        <w:pStyle w:val="ListParagraph"/>
        <w:numPr>
          <w:ilvl w:val="1"/>
          <w:numId w:val="21"/>
        </w:numPr>
        <w:tabs>
          <w:tab w:val="left" w:pos="-720"/>
        </w:tabs>
        <w:suppressAutoHyphens/>
        <w:jc w:val="both"/>
        <w:rPr>
          <w:szCs w:val="24"/>
        </w:rPr>
      </w:pPr>
      <w:r w:rsidRPr="006F6171">
        <w:rPr>
          <w:szCs w:val="24"/>
        </w:rPr>
        <w:t>I</w:t>
      </w:r>
      <w:r w:rsidR="00995E15" w:rsidRPr="006F6171">
        <w:rPr>
          <w:szCs w:val="24"/>
        </w:rPr>
        <w:t xml:space="preserve">ncome certification </w:t>
      </w:r>
      <w:r w:rsidR="00280835" w:rsidRPr="006F6171">
        <w:t>and third-party documentation verifying the income of each household occupying a Credit Unit at the time of initial occupancy and for each new person added to the household after initial occupancy</w:t>
      </w:r>
      <w:r w:rsidR="005C3FED" w:rsidRPr="006F6171">
        <w:rPr>
          <w:szCs w:val="24"/>
        </w:rPr>
        <w:t>;</w:t>
      </w:r>
    </w:p>
    <w:p w14:paraId="4FA28672" w14:textId="77777777" w:rsidR="002C3529" w:rsidRPr="006F6171" w:rsidRDefault="002C3529" w:rsidP="002C3529">
      <w:pPr>
        <w:pStyle w:val="ListParagraph"/>
      </w:pPr>
    </w:p>
    <w:p w14:paraId="290CAC04" w14:textId="77777777" w:rsidR="00995E15" w:rsidRPr="006F6171" w:rsidRDefault="00280835" w:rsidP="006461CD">
      <w:pPr>
        <w:pStyle w:val="ListParagraph"/>
        <w:numPr>
          <w:ilvl w:val="1"/>
          <w:numId w:val="21"/>
        </w:numPr>
        <w:tabs>
          <w:tab w:val="left" w:pos="-720"/>
        </w:tabs>
        <w:suppressAutoHyphens/>
        <w:jc w:val="both"/>
        <w:rPr>
          <w:szCs w:val="24"/>
        </w:rPr>
      </w:pPr>
      <w:r w:rsidRPr="006F6171">
        <w:t>Annual income certifications and third-party documentati</w:t>
      </w:r>
      <w:r w:rsidR="00CB3DBE" w:rsidRPr="006F6171">
        <w:t xml:space="preserve">on verifying the income of each </w:t>
      </w:r>
      <w:r w:rsidRPr="006F6171">
        <w:t>household occupying a Credit Unit in a LIHTC Project are required if</w:t>
      </w:r>
      <w:r w:rsidR="006461CD" w:rsidRPr="006F6171">
        <w:t xml:space="preserve"> </w:t>
      </w:r>
      <w:r w:rsidRPr="006F6171">
        <w:t>not all of the units in the LIHT</w:t>
      </w:r>
      <w:r w:rsidR="006461CD" w:rsidRPr="006F6171">
        <w:t xml:space="preserve">C Project are Credit Units, or </w:t>
      </w:r>
      <w:r w:rsidRPr="006F6171">
        <w:t xml:space="preserve">the LIHTC Project is financed or assisted under a state or federal program that </w:t>
      </w:r>
      <w:r w:rsidR="00CB3DBE" w:rsidRPr="006F6171">
        <w:t>requires annual certifications.</w:t>
      </w:r>
    </w:p>
    <w:p w14:paraId="662FDECE" w14:textId="77777777" w:rsidR="00995E15" w:rsidRPr="006F6171" w:rsidRDefault="00995E15" w:rsidP="005C64C8">
      <w:pPr>
        <w:tabs>
          <w:tab w:val="left" w:pos="-720"/>
        </w:tabs>
        <w:suppressAutoHyphens/>
        <w:ind w:left="1080" w:hanging="360"/>
        <w:jc w:val="both"/>
        <w:rPr>
          <w:szCs w:val="24"/>
        </w:rPr>
      </w:pPr>
    </w:p>
    <w:p w14:paraId="55837E5E" w14:textId="77777777" w:rsidR="004A1001" w:rsidRPr="006F6171" w:rsidRDefault="00995E15" w:rsidP="005C64C8">
      <w:pPr>
        <w:tabs>
          <w:tab w:val="left" w:pos="-720"/>
        </w:tabs>
        <w:suppressAutoHyphens/>
        <w:ind w:left="1080" w:hanging="360"/>
        <w:jc w:val="both"/>
      </w:pPr>
      <w:r w:rsidRPr="006F6171">
        <w:rPr>
          <w:szCs w:val="24"/>
        </w:rPr>
        <w:tab/>
      </w:r>
      <w:r w:rsidR="00280835" w:rsidRPr="006F6171">
        <w:t xml:space="preserve">For a LIHTC Project with 100% Credit Units that are subject to more than one income limit, annual income certifications are only required for the households occupying the Credit Units subject to the lower income limits.  The annual certification may be a self-certification, except that third-party documentation verifying the income of the household is required every 6 years from the date the LIHTC Project is Placed in Service and otherwise upon request by MaineHousing.  The self-certification must be </w:t>
      </w:r>
    </w:p>
    <w:p w14:paraId="3093CDD1" w14:textId="77777777" w:rsidR="00CB3DBE" w:rsidRPr="006F6171" w:rsidRDefault="00CB3DBE" w:rsidP="005C64C8">
      <w:pPr>
        <w:tabs>
          <w:tab w:val="left" w:pos="-720"/>
        </w:tabs>
        <w:suppressAutoHyphens/>
        <w:ind w:left="1080" w:hanging="360"/>
        <w:jc w:val="both"/>
        <w:rPr>
          <w:szCs w:val="24"/>
        </w:rPr>
      </w:pPr>
    </w:p>
    <w:p w14:paraId="314B9375" w14:textId="77777777" w:rsidR="00D26C97" w:rsidRPr="006F6171" w:rsidRDefault="00995E15" w:rsidP="00A8328C">
      <w:pPr>
        <w:pStyle w:val="ListParagraph"/>
        <w:numPr>
          <w:ilvl w:val="1"/>
          <w:numId w:val="22"/>
        </w:numPr>
        <w:tabs>
          <w:tab w:val="left" w:pos="-720"/>
        </w:tabs>
        <w:suppressAutoHyphens/>
        <w:ind w:left="1440"/>
        <w:jc w:val="both"/>
        <w:rPr>
          <w:szCs w:val="24"/>
        </w:rPr>
      </w:pPr>
      <w:r w:rsidRPr="006F6171">
        <w:rPr>
          <w:szCs w:val="24"/>
        </w:rPr>
        <w:t>in writin</w:t>
      </w:r>
      <w:r w:rsidR="004A1001" w:rsidRPr="006F6171">
        <w:rPr>
          <w:szCs w:val="24"/>
        </w:rPr>
        <w:t>g</w:t>
      </w:r>
      <w:r w:rsidR="005C3FED" w:rsidRPr="006F6171">
        <w:rPr>
          <w:szCs w:val="24"/>
        </w:rPr>
        <w:t>,</w:t>
      </w:r>
    </w:p>
    <w:p w14:paraId="3B64C2C0" w14:textId="77777777" w:rsidR="004A1001" w:rsidRPr="006F6171" w:rsidRDefault="004A1001" w:rsidP="001F0CB9">
      <w:pPr>
        <w:pStyle w:val="ListParagraph"/>
        <w:tabs>
          <w:tab w:val="left" w:pos="-720"/>
        </w:tabs>
        <w:suppressAutoHyphens/>
        <w:ind w:left="1440" w:hanging="360"/>
        <w:jc w:val="both"/>
        <w:rPr>
          <w:szCs w:val="24"/>
        </w:rPr>
      </w:pPr>
    </w:p>
    <w:p w14:paraId="23901206" w14:textId="77777777" w:rsidR="00D26C97" w:rsidRPr="006F6171" w:rsidRDefault="00CA01DA" w:rsidP="00A8328C">
      <w:pPr>
        <w:pStyle w:val="ListParagraph"/>
        <w:numPr>
          <w:ilvl w:val="1"/>
          <w:numId w:val="22"/>
        </w:numPr>
        <w:tabs>
          <w:tab w:val="left" w:pos="-720"/>
        </w:tabs>
        <w:suppressAutoHyphens/>
        <w:ind w:left="1440"/>
        <w:jc w:val="both"/>
        <w:rPr>
          <w:szCs w:val="24"/>
        </w:rPr>
      </w:pPr>
      <w:r w:rsidRPr="006F6171">
        <w:rPr>
          <w:szCs w:val="24"/>
        </w:rPr>
        <w:t>include</w:t>
      </w:r>
      <w:r w:rsidR="00995E15" w:rsidRPr="006F6171">
        <w:rPr>
          <w:szCs w:val="24"/>
        </w:rPr>
        <w:t xml:space="preserve"> the size of the househ</w:t>
      </w:r>
      <w:r w:rsidR="004A1001" w:rsidRPr="006F6171">
        <w:rPr>
          <w:szCs w:val="24"/>
        </w:rPr>
        <w:t>old and annual household income</w:t>
      </w:r>
      <w:r w:rsidR="005C3FED" w:rsidRPr="006F6171">
        <w:rPr>
          <w:szCs w:val="24"/>
        </w:rPr>
        <w:t>,</w:t>
      </w:r>
    </w:p>
    <w:p w14:paraId="69103496" w14:textId="77777777" w:rsidR="004A1001" w:rsidRPr="006F6171" w:rsidRDefault="004A1001" w:rsidP="001F0CB9">
      <w:pPr>
        <w:pStyle w:val="ListParagraph"/>
        <w:ind w:left="1440" w:hanging="360"/>
        <w:rPr>
          <w:szCs w:val="24"/>
        </w:rPr>
      </w:pPr>
    </w:p>
    <w:p w14:paraId="2DBE587A" w14:textId="77777777" w:rsidR="00D26C97" w:rsidRPr="006F6171" w:rsidRDefault="00791ED3" w:rsidP="00A8328C">
      <w:pPr>
        <w:pStyle w:val="ListParagraph"/>
        <w:numPr>
          <w:ilvl w:val="1"/>
          <w:numId w:val="22"/>
        </w:numPr>
        <w:tabs>
          <w:tab w:val="left" w:pos="-720"/>
        </w:tabs>
        <w:suppressAutoHyphens/>
        <w:ind w:left="1440"/>
        <w:jc w:val="both"/>
        <w:rPr>
          <w:szCs w:val="24"/>
        </w:rPr>
      </w:pPr>
      <w:r w:rsidRPr="006F6171">
        <w:rPr>
          <w:szCs w:val="24"/>
        </w:rPr>
        <w:t>state</w:t>
      </w:r>
      <w:r w:rsidR="00CA01DA" w:rsidRPr="006F6171">
        <w:rPr>
          <w:szCs w:val="24"/>
        </w:rPr>
        <w:t xml:space="preserve"> </w:t>
      </w:r>
      <w:r w:rsidR="00995E15" w:rsidRPr="006F6171">
        <w:rPr>
          <w:szCs w:val="24"/>
        </w:rPr>
        <w:t xml:space="preserve">that the information </w:t>
      </w:r>
      <w:r w:rsidR="004A1001" w:rsidRPr="006F6171">
        <w:rPr>
          <w:szCs w:val="24"/>
        </w:rPr>
        <w:t>is complete and accurate</w:t>
      </w:r>
      <w:r w:rsidR="005C3FED" w:rsidRPr="006F6171">
        <w:rPr>
          <w:szCs w:val="24"/>
        </w:rPr>
        <w:t>,</w:t>
      </w:r>
    </w:p>
    <w:p w14:paraId="7A550F11" w14:textId="77777777" w:rsidR="004A1001" w:rsidRPr="006F6171" w:rsidRDefault="004A1001" w:rsidP="001F0CB9">
      <w:pPr>
        <w:pStyle w:val="ListParagraph"/>
        <w:ind w:left="1440" w:hanging="360"/>
        <w:rPr>
          <w:szCs w:val="24"/>
        </w:rPr>
      </w:pPr>
    </w:p>
    <w:p w14:paraId="2C2FFBB5" w14:textId="77777777" w:rsidR="00D26C97" w:rsidRPr="006F6171" w:rsidRDefault="00995E15" w:rsidP="00A8328C">
      <w:pPr>
        <w:pStyle w:val="ListParagraph"/>
        <w:numPr>
          <w:ilvl w:val="1"/>
          <w:numId w:val="22"/>
        </w:numPr>
        <w:tabs>
          <w:tab w:val="left" w:pos="-720"/>
        </w:tabs>
        <w:suppressAutoHyphens/>
        <w:ind w:left="1440"/>
        <w:jc w:val="both"/>
        <w:rPr>
          <w:szCs w:val="24"/>
        </w:rPr>
      </w:pPr>
      <w:r w:rsidRPr="006F6171">
        <w:rPr>
          <w:szCs w:val="24"/>
        </w:rPr>
        <w:t xml:space="preserve">indicate that third-party source documentation will be provided </w:t>
      </w:r>
      <w:r w:rsidR="00CA01DA" w:rsidRPr="006F6171">
        <w:rPr>
          <w:szCs w:val="24"/>
        </w:rPr>
        <w:t>if requested</w:t>
      </w:r>
      <w:r w:rsidRPr="006F6171">
        <w:rPr>
          <w:szCs w:val="24"/>
        </w:rPr>
        <w:t xml:space="preserve"> by the Owner or MaineHousing</w:t>
      </w:r>
      <w:r w:rsidR="005C3FED" w:rsidRPr="006F6171">
        <w:rPr>
          <w:szCs w:val="24"/>
        </w:rPr>
        <w:t>,</w:t>
      </w:r>
      <w:r w:rsidR="00CA01DA" w:rsidRPr="006F6171">
        <w:rPr>
          <w:szCs w:val="24"/>
        </w:rPr>
        <w:t xml:space="preserve"> and</w:t>
      </w:r>
    </w:p>
    <w:p w14:paraId="47D82466" w14:textId="77777777" w:rsidR="004A1001" w:rsidRPr="006F6171" w:rsidRDefault="004A1001" w:rsidP="001F0CB9">
      <w:pPr>
        <w:pStyle w:val="ListParagraph"/>
        <w:ind w:left="1440" w:hanging="360"/>
        <w:rPr>
          <w:szCs w:val="24"/>
        </w:rPr>
      </w:pPr>
    </w:p>
    <w:p w14:paraId="49F92822" w14:textId="77777777" w:rsidR="00995E15" w:rsidRPr="006F6171" w:rsidRDefault="00995E15" w:rsidP="00A8328C">
      <w:pPr>
        <w:pStyle w:val="ListParagraph"/>
        <w:numPr>
          <w:ilvl w:val="1"/>
          <w:numId w:val="22"/>
        </w:numPr>
        <w:tabs>
          <w:tab w:val="left" w:pos="-720"/>
        </w:tabs>
        <w:suppressAutoHyphens/>
        <w:ind w:left="1440"/>
        <w:jc w:val="both"/>
        <w:rPr>
          <w:szCs w:val="24"/>
        </w:rPr>
      </w:pPr>
      <w:r w:rsidRPr="006F6171">
        <w:rPr>
          <w:szCs w:val="24"/>
        </w:rPr>
        <w:t>witnessed.</w:t>
      </w:r>
      <w:r w:rsidR="00DB18E9" w:rsidRPr="006F6171">
        <w:rPr>
          <w:szCs w:val="24"/>
        </w:rPr>
        <w:t xml:space="preserve"> </w:t>
      </w:r>
    </w:p>
    <w:p w14:paraId="76857A56" w14:textId="77777777" w:rsidR="00424C4A" w:rsidRPr="006F6171" w:rsidRDefault="00424C4A" w:rsidP="0029394F">
      <w:pPr>
        <w:tabs>
          <w:tab w:val="left" w:pos="-720"/>
        </w:tabs>
        <w:suppressAutoHyphens/>
        <w:jc w:val="both"/>
        <w:rPr>
          <w:szCs w:val="24"/>
        </w:rPr>
      </w:pPr>
    </w:p>
    <w:p w14:paraId="79B33B36" w14:textId="77777777" w:rsidR="00E91960" w:rsidRPr="006F6171" w:rsidRDefault="00E91960" w:rsidP="003719DC">
      <w:pPr>
        <w:tabs>
          <w:tab w:val="left" w:pos="-720"/>
        </w:tabs>
        <w:suppressAutoHyphens/>
        <w:ind w:left="1080"/>
        <w:rPr>
          <w:szCs w:val="24"/>
        </w:rPr>
      </w:pPr>
      <w:r w:rsidRPr="006F6171">
        <w:t xml:space="preserve">Annual income certifications are not required for a LIHTC Project with </w:t>
      </w:r>
      <w:r w:rsidR="00CB3DBE" w:rsidRPr="006F6171">
        <w:t xml:space="preserve">100% Credit Units subject </w:t>
      </w:r>
      <w:r w:rsidRPr="006F6171">
        <w:t>to the same income limit.  </w:t>
      </w:r>
    </w:p>
    <w:p w14:paraId="773A8709" w14:textId="77777777" w:rsidR="00995E15" w:rsidRPr="006F6171" w:rsidRDefault="00995E15" w:rsidP="00A8328C">
      <w:pPr>
        <w:pStyle w:val="ListParagraph"/>
        <w:numPr>
          <w:ilvl w:val="1"/>
          <w:numId w:val="21"/>
        </w:numPr>
        <w:tabs>
          <w:tab w:val="left" w:pos="-720"/>
        </w:tabs>
        <w:suppressAutoHyphens/>
        <w:jc w:val="both"/>
        <w:rPr>
          <w:szCs w:val="24"/>
        </w:rPr>
      </w:pPr>
      <w:r w:rsidRPr="006F6171">
        <w:rPr>
          <w:szCs w:val="24"/>
        </w:rPr>
        <w:lastRenderedPageBreak/>
        <w:t>The Eligible Basis and Qualified Ba</w:t>
      </w:r>
      <w:r w:rsidR="00A51C82" w:rsidRPr="006F6171">
        <w:rPr>
          <w:szCs w:val="24"/>
        </w:rPr>
        <w:t>sis of each Qualified</w:t>
      </w:r>
      <w:r w:rsidRPr="006F6171">
        <w:rPr>
          <w:szCs w:val="24"/>
        </w:rPr>
        <w:t xml:space="preserve"> Building at the end of the first year of the Credit Period</w:t>
      </w:r>
      <w:r w:rsidR="005C3FED" w:rsidRPr="006F6171">
        <w:rPr>
          <w:szCs w:val="24"/>
        </w:rPr>
        <w:t>;</w:t>
      </w:r>
    </w:p>
    <w:p w14:paraId="1B5B5663" w14:textId="77777777" w:rsidR="00995E15" w:rsidRPr="006F6171" w:rsidRDefault="00995E15" w:rsidP="005C64C8">
      <w:pPr>
        <w:tabs>
          <w:tab w:val="left" w:pos="-720"/>
        </w:tabs>
        <w:suppressAutoHyphens/>
        <w:ind w:left="1080" w:hanging="360"/>
        <w:jc w:val="both"/>
        <w:rPr>
          <w:szCs w:val="24"/>
        </w:rPr>
      </w:pPr>
    </w:p>
    <w:p w14:paraId="1A0DE005" w14:textId="77777777" w:rsidR="00995E15" w:rsidRPr="006F6171" w:rsidRDefault="00995E15" w:rsidP="00A8328C">
      <w:pPr>
        <w:pStyle w:val="ListParagraph"/>
        <w:numPr>
          <w:ilvl w:val="1"/>
          <w:numId w:val="21"/>
        </w:numPr>
        <w:tabs>
          <w:tab w:val="left" w:pos="-720"/>
        </w:tabs>
        <w:suppressAutoHyphens/>
        <w:jc w:val="both"/>
        <w:rPr>
          <w:szCs w:val="24"/>
        </w:rPr>
      </w:pPr>
      <w:r w:rsidRPr="006F6171">
        <w:rPr>
          <w:szCs w:val="24"/>
        </w:rPr>
        <w:t>The character and use of the nonresidential portion of a</w:t>
      </w:r>
      <w:r w:rsidR="00A51C82" w:rsidRPr="006F6171">
        <w:rPr>
          <w:szCs w:val="24"/>
        </w:rPr>
        <w:t xml:space="preserve"> Qualified </w:t>
      </w:r>
      <w:r w:rsidRPr="006F6171">
        <w:rPr>
          <w:szCs w:val="24"/>
        </w:rPr>
        <w:t>Building inclu</w:t>
      </w:r>
      <w:r w:rsidR="00A51C82" w:rsidRPr="006F6171">
        <w:rPr>
          <w:szCs w:val="24"/>
        </w:rPr>
        <w:t xml:space="preserve">ded in </w:t>
      </w:r>
      <w:r w:rsidR="000D56AC" w:rsidRPr="006F6171">
        <w:rPr>
          <w:szCs w:val="24"/>
        </w:rPr>
        <w:t xml:space="preserve">its </w:t>
      </w:r>
      <w:r w:rsidRPr="006F6171">
        <w:rPr>
          <w:szCs w:val="24"/>
        </w:rPr>
        <w:t>Eligible Basis</w:t>
      </w:r>
      <w:r w:rsidR="005C3FED" w:rsidRPr="006F6171">
        <w:rPr>
          <w:szCs w:val="24"/>
        </w:rPr>
        <w:t>;</w:t>
      </w:r>
    </w:p>
    <w:p w14:paraId="2157E14E" w14:textId="77777777" w:rsidR="007E24CC" w:rsidRPr="006F6171" w:rsidRDefault="007E24CC" w:rsidP="005C64C8">
      <w:pPr>
        <w:tabs>
          <w:tab w:val="left" w:pos="-720"/>
        </w:tabs>
        <w:suppressAutoHyphens/>
        <w:ind w:left="1080" w:hanging="360"/>
        <w:jc w:val="both"/>
        <w:rPr>
          <w:szCs w:val="24"/>
        </w:rPr>
      </w:pPr>
    </w:p>
    <w:p w14:paraId="436B3DBC" w14:textId="77777777" w:rsidR="007E24CC" w:rsidRPr="006F6171" w:rsidRDefault="007E24CC" w:rsidP="00A8328C">
      <w:pPr>
        <w:pStyle w:val="ListParagraph"/>
        <w:numPr>
          <w:ilvl w:val="1"/>
          <w:numId w:val="21"/>
        </w:numPr>
        <w:tabs>
          <w:tab w:val="left" w:pos="-720"/>
        </w:tabs>
        <w:suppressAutoHyphens/>
        <w:jc w:val="both"/>
        <w:rPr>
          <w:szCs w:val="24"/>
        </w:rPr>
      </w:pPr>
      <w:r w:rsidRPr="006F6171">
        <w:rPr>
          <w:szCs w:val="24"/>
        </w:rPr>
        <w:t>A determination of the student status of the resident household</w:t>
      </w:r>
      <w:r w:rsidR="00A82F8B" w:rsidRPr="006F6171">
        <w:rPr>
          <w:szCs w:val="24"/>
        </w:rPr>
        <w:t>;</w:t>
      </w:r>
    </w:p>
    <w:p w14:paraId="042C2B52" w14:textId="77777777" w:rsidR="007E24CC" w:rsidRPr="006F6171" w:rsidRDefault="007E24CC" w:rsidP="005C64C8">
      <w:pPr>
        <w:tabs>
          <w:tab w:val="left" w:pos="-720"/>
        </w:tabs>
        <w:suppressAutoHyphens/>
        <w:ind w:left="1080" w:hanging="360"/>
        <w:jc w:val="both"/>
        <w:rPr>
          <w:szCs w:val="24"/>
        </w:rPr>
      </w:pPr>
    </w:p>
    <w:p w14:paraId="2D8689FC" w14:textId="77777777" w:rsidR="007E24CC" w:rsidRPr="006F6171" w:rsidRDefault="007E24CC" w:rsidP="00A8328C">
      <w:pPr>
        <w:pStyle w:val="ListParagraph"/>
        <w:numPr>
          <w:ilvl w:val="1"/>
          <w:numId w:val="21"/>
        </w:numPr>
        <w:tabs>
          <w:tab w:val="left" w:pos="-720"/>
        </w:tabs>
        <w:suppressAutoHyphens/>
        <w:jc w:val="both"/>
        <w:rPr>
          <w:szCs w:val="24"/>
        </w:rPr>
      </w:pPr>
      <w:r w:rsidRPr="006F6171">
        <w:rPr>
          <w:szCs w:val="24"/>
        </w:rPr>
        <w:t>The tenant occupancy policies and procedures and lease</w:t>
      </w:r>
      <w:r w:rsidR="00EC1DA6" w:rsidRPr="006F6171">
        <w:rPr>
          <w:szCs w:val="24"/>
        </w:rPr>
        <w:t>.</w:t>
      </w:r>
      <w:r w:rsidRPr="006F6171">
        <w:rPr>
          <w:szCs w:val="24"/>
        </w:rPr>
        <w:t xml:space="preserve"> </w:t>
      </w:r>
      <w:r w:rsidR="00EC1DA6" w:rsidRPr="006F6171">
        <w:rPr>
          <w:szCs w:val="24"/>
        </w:rPr>
        <w:t xml:space="preserve">The lease </w:t>
      </w:r>
      <w:r w:rsidRPr="006F6171">
        <w:rPr>
          <w:szCs w:val="24"/>
        </w:rPr>
        <w:t xml:space="preserve">form and content </w:t>
      </w:r>
      <w:r w:rsidR="00EC1DA6" w:rsidRPr="006F6171">
        <w:rPr>
          <w:szCs w:val="24"/>
        </w:rPr>
        <w:t xml:space="preserve">must </w:t>
      </w:r>
      <w:r w:rsidR="0089398C" w:rsidRPr="006F6171">
        <w:rPr>
          <w:szCs w:val="24"/>
        </w:rPr>
        <w:t xml:space="preserve">be </w:t>
      </w:r>
      <w:r w:rsidRPr="006F6171">
        <w:rPr>
          <w:szCs w:val="24"/>
        </w:rPr>
        <w:t xml:space="preserve">acceptable to MaineHousing </w:t>
      </w:r>
      <w:r w:rsidR="00EC1DA6" w:rsidRPr="006F6171">
        <w:rPr>
          <w:szCs w:val="24"/>
        </w:rPr>
        <w:t xml:space="preserve">and </w:t>
      </w:r>
      <w:r w:rsidRPr="006F6171">
        <w:rPr>
          <w:szCs w:val="24"/>
        </w:rPr>
        <w:t>comply</w:t>
      </w:r>
      <w:r w:rsidR="00A75EEA" w:rsidRPr="006F6171">
        <w:rPr>
          <w:szCs w:val="24"/>
        </w:rPr>
        <w:t xml:space="preserve"> with all</w:t>
      </w:r>
      <w:r w:rsidR="000759D4" w:rsidRPr="006F6171">
        <w:rPr>
          <w:szCs w:val="24"/>
        </w:rPr>
        <w:t xml:space="preserve"> </w:t>
      </w:r>
      <w:r w:rsidR="00A75EEA" w:rsidRPr="006F6171">
        <w:rPr>
          <w:szCs w:val="24"/>
        </w:rPr>
        <w:t>applicable</w:t>
      </w:r>
      <w:r w:rsidR="009E5CBE" w:rsidRPr="006F6171">
        <w:rPr>
          <w:szCs w:val="24"/>
        </w:rPr>
        <w:t xml:space="preserve"> federal, s</w:t>
      </w:r>
      <w:r w:rsidR="000759D4" w:rsidRPr="006F6171">
        <w:rPr>
          <w:szCs w:val="24"/>
        </w:rPr>
        <w:t>tate and local laws</w:t>
      </w:r>
      <w:r w:rsidR="00EC1DA6" w:rsidRPr="006F6171">
        <w:rPr>
          <w:szCs w:val="24"/>
        </w:rPr>
        <w:t xml:space="preserve"> (including VAWA)</w:t>
      </w:r>
      <w:r w:rsidR="005C3FED" w:rsidRPr="006F6171">
        <w:rPr>
          <w:szCs w:val="24"/>
        </w:rPr>
        <w:t>; and</w:t>
      </w:r>
    </w:p>
    <w:p w14:paraId="1D684DEF" w14:textId="77777777" w:rsidR="007E24CC" w:rsidRPr="006F6171" w:rsidRDefault="007E24CC" w:rsidP="005C64C8">
      <w:pPr>
        <w:tabs>
          <w:tab w:val="left" w:pos="-720"/>
        </w:tabs>
        <w:suppressAutoHyphens/>
        <w:ind w:left="1080" w:hanging="360"/>
        <w:jc w:val="both"/>
        <w:rPr>
          <w:szCs w:val="24"/>
        </w:rPr>
      </w:pPr>
    </w:p>
    <w:p w14:paraId="458284F1" w14:textId="77777777" w:rsidR="007E24CC" w:rsidRPr="006F6171" w:rsidRDefault="007E24CC" w:rsidP="00A8328C">
      <w:pPr>
        <w:pStyle w:val="ListParagraph"/>
        <w:numPr>
          <w:ilvl w:val="1"/>
          <w:numId w:val="21"/>
        </w:numPr>
        <w:tabs>
          <w:tab w:val="left" w:pos="-720"/>
        </w:tabs>
        <w:suppressAutoHyphens/>
        <w:jc w:val="both"/>
        <w:rPr>
          <w:szCs w:val="24"/>
        </w:rPr>
      </w:pPr>
      <w:r w:rsidRPr="006F6171">
        <w:rPr>
          <w:szCs w:val="24"/>
        </w:rPr>
        <w:t>All other disclosures to tenants, certifications and other records required by appl</w:t>
      </w:r>
      <w:r w:rsidR="009E5CBE" w:rsidRPr="006F6171">
        <w:rPr>
          <w:szCs w:val="24"/>
        </w:rPr>
        <w:t>icable local, s</w:t>
      </w:r>
      <w:r w:rsidRPr="006F6171">
        <w:rPr>
          <w:szCs w:val="24"/>
        </w:rPr>
        <w:t>tate and federal laws.</w:t>
      </w:r>
    </w:p>
    <w:p w14:paraId="3B32F774" w14:textId="77777777" w:rsidR="00995E15" w:rsidRPr="006F6171" w:rsidRDefault="00995E15" w:rsidP="008416BF">
      <w:pPr>
        <w:tabs>
          <w:tab w:val="left" w:pos="-720"/>
        </w:tabs>
        <w:suppressAutoHyphens/>
        <w:ind w:left="1440" w:hanging="720"/>
        <w:jc w:val="both"/>
        <w:rPr>
          <w:szCs w:val="24"/>
        </w:rPr>
      </w:pPr>
    </w:p>
    <w:p w14:paraId="2D4BF82E" w14:textId="77777777" w:rsidR="009F4ECD" w:rsidRPr="006F6171" w:rsidRDefault="00EC1DA6" w:rsidP="008416BF">
      <w:pPr>
        <w:tabs>
          <w:tab w:val="left" w:pos="-720"/>
        </w:tabs>
        <w:suppressAutoHyphens/>
        <w:ind w:left="720"/>
        <w:jc w:val="both"/>
        <w:rPr>
          <w:szCs w:val="24"/>
        </w:rPr>
      </w:pPr>
      <w:r w:rsidRPr="006F6171">
        <w:rPr>
          <w:szCs w:val="24"/>
        </w:rPr>
        <w:t>Owners must maintain t</w:t>
      </w:r>
      <w:r w:rsidR="00CE377D" w:rsidRPr="006F6171">
        <w:rPr>
          <w:szCs w:val="24"/>
        </w:rPr>
        <w:t xml:space="preserve">hese records </w:t>
      </w:r>
      <w:r w:rsidR="007512B4" w:rsidRPr="006F6171">
        <w:rPr>
          <w:szCs w:val="24"/>
        </w:rPr>
        <w:t>throughout the Extended Use Period</w:t>
      </w:r>
      <w:r w:rsidR="00843F58" w:rsidRPr="006F6171">
        <w:rPr>
          <w:szCs w:val="24"/>
        </w:rPr>
        <w:t xml:space="preserve"> for at least 6</w:t>
      </w:r>
      <w:r w:rsidR="00995E15" w:rsidRPr="006F6171">
        <w:rPr>
          <w:szCs w:val="24"/>
        </w:rPr>
        <w:t xml:space="preserve"> years after the due date (with extensions) for filing the federal </w:t>
      </w:r>
      <w:r w:rsidR="00CE377D" w:rsidRPr="006F6171">
        <w:rPr>
          <w:szCs w:val="24"/>
        </w:rPr>
        <w:t>income tax return for that year, except that</w:t>
      </w:r>
      <w:r w:rsidR="00995E15" w:rsidRPr="006F6171">
        <w:rPr>
          <w:szCs w:val="24"/>
        </w:rPr>
        <w:t xml:space="preserve"> </w:t>
      </w:r>
      <w:r w:rsidR="00CE377D" w:rsidRPr="006F6171">
        <w:rPr>
          <w:szCs w:val="24"/>
        </w:rPr>
        <w:t xml:space="preserve">the </w:t>
      </w:r>
      <w:r w:rsidR="00995E15" w:rsidRPr="006F6171">
        <w:rPr>
          <w:szCs w:val="24"/>
        </w:rPr>
        <w:t xml:space="preserve">records for the Credit </w:t>
      </w:r>
      <w:r w:rsidR="00140B2D" w:rsidRPr="006F6171">
        <w:rPr>
          <w:szCs w:val="24"/>
        </w:rPr>
        <w:t>Period</w:t>
      </w:r>
      <w:r w:rsidRPr="006F6171">
        <w:rPr>
          <w:szCs w:val="24"/>
        </w:rPr>
        <w:t>’s first year</w:t>
      </w:r>
      <w:r w:rsidR="00140B2D" w:rsidRPr="006F6171">
        <w:rPr>
          <w:szCs w:val="24"/>
        </w:rPr>
        <w:t xml:space="preserve"> must</w:t>
      </w:r>
      <w:r w:rsidR="00995E15" w:rsidRPr="006F6171">
        <w:rPr>
          <w:szCs w:val="24"/>
        </w:rPr>
        <w:t xml:space="preserve"> be retained</w:t>
      </w:r>
      <w:r w:rsidR="00140B2D" w:rsidRPr="006F6171">
        <w:rPr>
          <w:szCs w:val="24"/>
        </w:rPr>
        <w:t xml:space="preserve"> at least</w:t>
      </w:r>
      <w:r w:rsidR="00995E15" w:rsidRPr="006F6171">
        <w:rPr>
          <w:szCs w:val="24"/>
        </w:rPr>
        <w:t xml:space="preserve"> </w:t>
      </w:r>
      <w:r w:rsidR="00843F58" w:rsidRPr="006F6171">
        <w:rPr>
          <w:szCs w:val="24"/>
        </w:rPr>
        <w:t>6</w:t>
      </w:r>
      <w:r w:rsidR="00995E15" w:rsidRPr="006F6171">
        <w:rPr>
          <w:szCs w:val="24"/>
        </w:rPr>
        <w:t xml:space="preserve"> years beyond the due date (with extensions) for filing the federal income tax return for the last year of the Compliance Per</w:t>
      </w:r>
      <w:r w:rsidR="00BD5C55" w:rsidRPr="006F6171">
        <w:rPr>
          <w:szCs w:val="24"/>
        </w:rPr>
        <w:t>iod</w:t>
      </w:r>
      <w:r w:rsidR="00CE377D" w:rsidRPr="006F6171">
        <w:rPr>
          <w:szCs w:val="24"/>
        </w:rPr>
        <w:t>.</w:t>
      </w:r>
      <w:r w:rsidR="00BB3D09" w:rsidRPr="006F6171">
        <w:rPr>
          <w:szCs w:val="24"/>
        </w:rPr>
        <w:t xml:space="preserve"> </w:t>
      </w:r>
    </w:p>
    <w:p w14:paraId="567CCAC9" w14:textId="77777777" w:rsidR="00995E15" w:rsidRPr="006F6171" w:rsidRDefault="00995E15" w:rsidP="008416BF">
      <w:pPr>
        <w:tabs>
          <w:tab w:val="left" w:pos="-720"/>
        </w:tabs>
        <w:suppressAutoHyphens/>
        <w:ind w:left="720"/>
        <w:jc w:val="both"/>
        <w:rPr>
          <w:szCs w:val="24"/>
        </w:rPr>
      </w:pPr>
    </w:p>
    <w:p w14:paraId="0C7C6534" w14:textId="77777777" w:rsidR="009F4ECD" w:rsidRPr="006F6171" w:rsidRDefault="004B1FF3" w:rsidP="00BE5856">
      <w:pPr>
        <w:numPr>
          <w:ilvl w:val="0"/>
          <w:numId w:val="48"/>
        </w:numPr>
        <w:tabs>
          <w:tab w:val="left" w:pos="-720"/>
        </w:tabs>
        <w:suppressAutoHyphens/>
        <w:ind w:hanging="720"/>
        <w:jc w:val="both"/>
      </w:pPr>
      <w:r w:rsidRPr="006F6171">
        <w:t xml:space="preserve">Annual </w:t>
      </w:r>
      <w:r w:rsidR="009E09BC" w:rsidRPr="006F6171">
        <w:t>Reports</w:t>
      </w:r>
      <w:r w:rsidR="00995E15" w:rsidRPr="006F6171">
        <w:t>.</w:t>
      </w:r>
      <w:r w:rsidR="00BB3D09" w:rsidRPr="006F6171">
        <w:t xml:space="preserve"> </w:t>
      </w:r>
      <w:r w:rsidR="004E188A" w:rsidRPr="006F6171">
        <w:t>Each Owner</w:t>
      </w:r>
      <w:r w:rsidR="00995E15" w:rsidRPr="006F6171">
        <w:t xml:space="preserve"> must</w:t>
      </w:r>
      <w:r w:rsidR="00166824" w:rsidRPr="006F6171">
        <w:t xml:space="preserve"> submit the following to MaineHousing by March 1</w:t>
      </w:r>
      <w:r w:rsidR="005C3FED" w:rsidRPr="006F6171">
        <w:rPr>
          <w:vertAlign w:val="superscript"/>
        </w:rPr>
        <w:t>st</w:t>
      </w:r>
      <w:r w:rsidR="005C3FED" w:rsidRPr="006F6171">
        <w:t xml:space="preserve"> </w:t>
      </w:r>
      <w:r w:rsidR="00166824" w:rsidRPr="006F6171">
        <w:t>of each year thr</w:t>
      </w:r>
      <w:r w:rsidR="009F4ECD" w:rsidRPr="006F6171">
        <w:t>oughout the Extended Use Period:</w:t>
      </w:r>
    </w:p>
    <w:p w14:paraId="1B4329C0" w14:textId="77777777" w:rsidR="00384878" w:rsidRPr="006F6171" w:rsidRDefault="00384878" w:rsidP="009F4ECD">
      <w:pPr>
        <w:tabs>
          <w:tab w:val="left" w:pos="-720"/>
        </w:tabs>
        <w:suppressAutoHyphens/>
        <w:ind w:left="720"/>
        <w:jc w:val="both"/>
        <w:rPr>
          <w:szCs w:val="24"/>
        </w:rPr>
      </w:pPr>
    </w:p>
    <w:p w14:paraId="7AA56484" w14:textId="77777777" w:rsidR="009F4ECD" w:rsidRPr="006F6171" w:rsidRDefault="00166824" w:rsidP="00A8328C">
      <w:pPr>
        <w:pStyle w:val="ListParagraph"/>
        <w:numPr>
          <w:ilvl w:val="0"/>
          <w:numId w:val="9"/>
        </w:numPr>
        <w:tabs>
          <w:tab w:val="left" w:pos="-720"/>
          <w:tab w:val="left" w:pos="1080"/>
        </w:tabs>
        <w:suppressAutoHyphens/>
        <w:ind w:left="1080" w:hanging="360"/>
        <w:jc w:val="both"/>
        <w:rPr>
          <w:szCs w:val="24"/>
        </w:rPr>
      </w:pPr>
      <w:r w:rsidRPr="006F6171">
        <w:rPr>
          <w:szCs w:val="24"/>
        </w:rPr>
        <w:t>Certifica</w:t>
      </w:r>
      <w:r w:rsidR="00384878" w:rsidRPr="006F6171">
        <w:rPr>
          <w:szCs w:val="24"/>
        </w:rPr>
        <w:t>tion for the prior calendar year that the Owner’s</w:t>
      </w:r>
      <w:r w:rsidR="004E188A" w:rsidRPr="006F6171">
        <w:rPr>
          <w:szCs w:val="24"/>
        </w:rPr>
        <w:t xml:space="preserve"> LIHTC Project(s) comply with IRS Treasury Regulation </w:t>
      </w:r>
      <w:r w:rsidR="00BB5B00" w:rsidRPr="006F6171">
        <w:rPr>
          <w:szCs w:val="24"/>
        </w:rPr>
        <w:t>§</w:t>
      </w:r>
      <w:r w:rsidR="004E188A" w:rsidRPr="006F6171">
        <w:rPr>
          <w:szCs w:val="24"/>
        </w:rPr>
        <w:t xml:space="preserve">1.42-5(c)(1) and </w:t>
      </w:r>
      <w:r w:rsidR="004E188A" w:rsidRPr="006F6171">
        <w:rPr>
          <w:i/>
          <w:szCs w:val="24"/>
        </w:rPr>
        <w:t>MaineHousing’s Low Income Housing Tax Credit Program Owner’s Certificate of Continuing Program Compliance</w:t>
      </w:r>
      <w:r w:rsidR="004E188A" w:rsidRPr="006F6171">
        <w:rPr>
          <w:szCs w:val="24"/>
        </w:rPr>
        <w:t xml:space="preserve"> </w:t>
      </w:r>
      <w:r w:rsidR="006654D2" w:rsidRPr="006F6171">
        <w:rPr>
          <w:szCs w:val="24"/>
        </w:rPr>
        <w:t xml:space="preserve">attached hereto as </w:t>
      </w:r>
      <w:r w:rsidR="006654D2" w:rsidRPr="006F6171">
        <w:rPr>
          <w:b/>
          <w:szCs w:val="24"/>
        </w:rPr>
        <w:t xml:space="preserve">Appendix </w:t>
      </w:r>
      <w:r w:rsidR="003718F3" w:rsidRPr="006F6171">
        <w:rPr>
          <w:b/>
          <w:szCs w:val="24"/>
        </w:rPr>
        <w:t>D</w:t>
      </w:r>
      <w:r w:rsidR="004E188A" w:rsidRPr="006F6171">
        <w:rPr>
          <w:szCs w:val="24"/>
        </w:rPr>
        <w:t>.</w:t>
      </w:r>
      <w:r w:rsidR="00BB3D09" w:rsidRPr="006F6171">
        <w:rPr>
          <w:szCs w:val="24"/>
        </w:rPr>
        <w:t xml:space="preserve"> </w:t>
      </w:r>
      <w:r w:rsidR="00771B4A" w:rsidRPr="006F6171">
        <w:rPr>
          <w:szCs w:val="24"/>
        </w:rPr>
        <w:t>A completed and executed</w:t>
      </w:r>
      <w:r w:rsidR="00384878" w:rsidRPr="006F6171">
        <w:rPr>
          <w:szCs w:val="24"/>
        </w:rPr>
        <w:t xml:space="preserve"> IRS</w:t>
      </w:r>
      <w:r w:rsidR="00771B4A" w:rsidRPr="006F6171">
        <w:rPr>
          <w:szCs w:val="24"/>
        </w:rPr>
        <w:t xml:space="preserve"> Form 8609</w:t>
      </w:r>
      <w:r w:rsidR="00384878" w:rsidRPr="006F6171">
        <w:rPr>
          <w:szCs w:val="24"/>
        </w:rPr>
        <w:t xml:space="preserve"> for each Qualified Building</w:t>
      </w:r>
      <w:r w:rsidR="00771B4A" w:rsidRPr="006F6171">
        <w:rPr>
          <w:szCs w:val="24"/>
        </w:rPr>
        <w:t xml:space="preserve"> must be submitted with </w:t>
      </w:r>
      <w:r w:rsidR="00384878" w:rsidRPr="006F6171">
        <w:rPr>
          <w:szCs w:val="24"/>
        </w:rPr>
        <w:t>the first certification</w:t>
      </w:r>
      <w:r w:rsidR="00BB7DB5" w:rsidRPr="006F6171">
        <w:rPr>
          <w:szCs w:val="24"/>
        </w:rPr>
        <w:t>; and</w:t>
      </w:r>
    </w:p>
    <w:p w14:paraId="360E1DE1" w14:textId="77777777" w:rsidR="001379B1" w:rsidRPr="006F6171" w:rsidRDefault="001379B1" w:rsidP="009F4ECD">
      <w:pPr>
        <w:pStyle w:val="ListParagraph"/>
        <w:tabs>
          <w:tab w:val="left" w:pos="-720"/>
          <w:tab w:val="left" w:pos="1080"/>
        </w:tabs>
        <w:suppressAutoHyphens/>
        <w:ind w:left="1080"/>
        <w:jc w:val="both"/>
        <w:rPr>
          <w:szCs w:val="24"/>
        </w:rPr>
      </w:pPr>
    </w:p>
    <w:p w14:paraId="569D1961" w14:textId="77777777" w:rsidR="009F4ECD" w:rsidRPr="006F6171" w:rsidRDefault="00384878" w:rsidP="00A8328C">
      <w:pPr>
        <w:pStyle w:val="ListParagraph"/>
        <w:numPr>
          <w:ilvl w:val="0"/>
          <w:numId w:val="9"/>
        </w:numPr>
        <w:tabs>
          <w:tab w:val="left" w:pos="-720"/>
          <w:tab w:val="left" w:pos="1080"/>
        </w:tabs>
        <w:suppressAutoHyphens/>
        <w:ind w:left="1080" w:hanging="360"/>
        <w:jc w:val="both"/>
        <w:rPr>
          <w:szCs w:val="24"/>
        </w:rPr>
      </w:pPr>
      <w:r w:rsidRPr="006F6171">
        <w:rPr>
          <w:szCs w:val="24"/>
        </w:rPr>
        <w:t xml:space="preserve">Certain </w:t>
      </w:r>
      <w:r w:rsidR="00CE377D" w:rsidRPr="006F6171">
        <w:rPr>
          <w:szCs w:val="24"/>
        </w:rPr>
        <w:t>information and data about the tenants in Credit Units</w:t>
      </w:r>
      <w:r w:rsidRPr="006F6171">
        <w:rPr>
          <w:szCs w:val="24"/>
        </w:rPr>
        <w:t xml:space="preserve"> for the prior calendar year</w:t>
      </w:r>
      <w:r w:rsidR="00CE377D" w:rsidRPr="006F6171">
        <w:rPr>
          <w:szCs w:val="24"/>
        </w:rPr>
        <w:t xml:space="preserve">, including household income; monthly rental payments; family composition; use of </w:t>
      </w:r>
      <w:r w:rsidR="003718F3" w:rsidRPr="006F6171">
        <w:rPr>
          <w:szCs w:val="24"/>
        </w:rPr>
        <w:t xml:space="preserve">Section 8 </w:t>
      </w:r>
      <w:r w:rsidR="00CE377D" w:rsidRPr="006F6171">
        <w:rPr>
          <w:szCs w:val="24"/>
        </w:rPr>
        <w:t>r</w:t>
      </w:r>
      <w:r w:rsidR="003718F3" w:rsidRPr="006F6171">
        <w:rPr>
          <w:szCs w:val="24"/>
        </w:rPr>
        <w:t>ental assistance</w:t>
      </w:r>
      <w:r w:rsidR="00CE377D" w:rsidRPr="006F6171">
        <w:rPr>
          <w:szCs w:val="24"/>
        </w:rPr>
        <w:t xml:space="preserve"> and other similar assistance; the race, ethnicity, age and disability status of the members of the households; and all other occupancy information required by MaineHousing.</w:t>
      </w:r>
    </w:p>
    <w:p w14:paraId="63E37381" w14:textId="77777777" w:rsidR="003719DC" w:rsidRPr="006F6171" w:rsidRDefault="003719DC" w:rsidP="003719DC">
      <w:pPr>
        <w:tabs>
          <w:tab w:val="left" w:pos="-720"/>
        </w:tabs>
        <w:suppressAutoHyphens/>
        <w:ind w:left="720"/>
        <w:jc w:val="both"/>
        <w:rPr>
          <w:szCs w:val="24"/>
        </w:rPr>
      </w:pPr>
    </w:p>
    <w:p w14:paraId="27D310D4" w14:textId="77777777" w:rsidR="00C20E2B" w:rsidRPr="006F6171" w:rsidRDefault="00424C4A" w:rsidP="00BE5856">
      <w:pPr>
        <w:numPr>
          <w:ilvl w:val="0"/>
          <w:numId w:val="48"/>
        </w:numPr>
        <w:tabs>
          <w:tab w:val="left" w:pos="-720"/>
        </w:tabs>
        <w:suppressAutoHyphens/>
        <w:ind w:hanging="720"/>
        <w:jc w:val="both"/>
        <w:rPr>
          <w:szCs w:val="24"/>
        </w:rPr>
      </w:pPr>
      <w:r w:rsidRPr="006F6171">
        <w:t>Review</w:t>
      </w:r>
      <w:r w:rsidRPr="006F6171">
        <w:rPr>
          <w:szCs w:val="24"/>
        </w:rPr>
        <w:t>.  For new LIHTC Projects, MaineHousing will complete a review of tenant records within two (2) years following the year the last Qualified Building is Placed in Service. MaineHousing will give owners reasonable prior written notice of a review.</w:t>
      </w:r>
      <w:r w:rsidR="00C20E2B" w:rsidRPr="006F6171">
        <w:rPr>
          <w:szCs w:val="24"/>
        </w:rPr>
        <w:t xml:space="preserve"> To the extent required by the Internal Revenue Service (IRS), MaineHousing will inspect </w:t>
      </w:r>
      <w:r w:rsidR="00D67078" w:rsidRPr="006F6171">
        <w:rPr>
          <w:szCs w:val="24"/>
        </w:rPr>
        <w:t>low income certifications and tenant records</w:t>
      </w:r>
      <w:r w:rsidR="00C20E2B" w:rsidRPr="006F6171">
        <w:rPr>
          <w:szCs w:val="24"/>
        </w:rPr>
        <w:t xml:space="preserve"> in accordance with IRS Treasury Regulation </w:t>
      </w:r>
      <w:r w:rsidR="00BB5B00" w:rsidRPr="006F6171">
        <w:rPr>
          <w:szCs w:val="24"/>
        </w:rPr>
        <w:t>§</w:t>
      </w:r>
      <w:r w:rsidR="00D67078" w:rsidRPr="006F6171">
        <w:rPr>
          <w:szCs w:val="24"/>
        </w:rPr>
        <w:t xml:space="preserve">1.42 5(c)(2)(iii)(A) through (D) and </w:t>
      </w:r>
      <w:r w:rsidR="00BB5B00" w:rsidRPr="006F6171">
        <w:rPr>
          <w:szCs w:val="24"/>
        </w:rPr>
        <w:t>§</w:t>
      </w:r>
      <w:r w:rsidR="00C20E2B" w:rsidRPr="006F6171">
        <w:rPr>
          <w:szCs w:val="24"/>
        </w:rPr>
        <w:t>1.42 5(d) and will give no more than 15</w:t>
      </w:r>
      <w:r w:rsidR="005E1CCB" w:rsidRPr="006F6171">
        <w:rPr>
          <w:szCs w:val="24"/>
        </w:rPr>
        <w:t xml:space="preserve"> calendar</w:t>
      </w:r>
      <w:r w:rsidR="00C20E2B" w:rsidRPr="006F6171">
        <w:rPr>
          <w:szCs w:val="24"/>
        </w:rPr>
        <w:t xml:space="preserve"> days prior notice.</w:t>
      </w:r>
    </w:p>
    <w:p w14:paraId="67395D3F" w14:textId="77777777" w:rsidR="003C4DCA" w:rsidRPr="006F6171" w:rsidRDefault="003C4DCA" w:rsidP="003C4DCA">
      <w:pPr>
        <w:tabs>
          <w:tab w:val="left" w:pos="-720"/>
        </w:tabs>
        <w:suppressAutoHyphens/>
        <w:ind w:left="720"/>
        <w:jc w:val="both"/>
        <w:rPr>
          <w:szCs w:val="24"/>
        </w:rPr>
      </w:pPr>
    </w:p>
    <w:p w14:paraId="1EBB17A0" w14:textId="77777777" w:rsidR="009F4ECD" w:rsidRPr="006F6171" w:rsidRDefault="00064A55" w:rsidP="00BE5856">
      <w:pPr>
        <w:numPr>
          <w:ilvl w:val="0"/>
          <w:numId w:val="48"/>
        </w:numPr>
        <w:tabs>
          <w:tab w:val="left" w:pos="-720"/>
        </w:tabs>
        <w:suppressAutoHyphens/>
        <w:ind w:hanging="720"/>
        <w:jc w:val="both"/>
        <w:rPr>
          <w:szCs w:val="24"/>
        </w:rPr>
      </w:pPr>
      <w:r w:rsidRPr="006F6171">
        <w:rPr>
          <w:szCs w:val="24"/>
        </w:rPr>
        <w:lastRenderedPageBreak/>
        <w:t>Inspec</w:t>
      </w:r>
      <w:r w:rsidR="00995E15" w:rsidRPr="006F6171">
        <w:t>tions</w:t>
      </w:r>
      <w:r w:rsidR="00995E15" w:rsidRPr="006F6171">
        <w:rPr>
          <w:szCs w:val="24"/>
        </w:rPr>
        <w:t>.</w:t>
      </w:r>
      <w:r w:rsidR="00BB3D09" w:rsidRPr="006F6171">
        <w:rPr>
          <w:szCs w:val="24"/>
        </w:rPr>
        <w:t xml:space="preserve"> </w:t>
      </w:r>
      <w:r w:rsidR="00120BB2" w:rsidRPr="006F6171">
        <w:rPr>
          <w:szCs w:val="24"/>
        </w:rPr>
        <w:t xml:space="preserve">Every one to three years after a Project is Placed in Service, </w:t>
      </w:r>
      <w:r w:rsidR="00995E15" w:rsidRPr="006F6171">
        <w:rPr>
          <w:szCs w:val="24"/>
        </w:rPr>
        <w:t>MaineHousing will</w:t>
      </w:r>
      <w:r w:rsidR="00AE793D" w:rsidRPr="006F6171">
        <w:rPr>
          <w:szCs w:val="24"/>
        </w:rPr>
        <w:t xml:space="preserve"> inspect </w:t>
      </w:r>
      <w:r w:rsidR="004A6577" w:rsidRPr="006F6171">
        <w:rPr>
          <w:szCs w:val="24"/>
        </w:rPr>
        <w:t>LIHTC Projects</w:t>
      </w:r>
      <w:r w:rsidR="0088366D" w:rsidRPr="006F6171">
        <w:rPr>
          <w:szCs w:val="24"/>
        </w:rPr>
        <w:t>.</w:t>
      </w:r>
      <w:r w:rsidR="00BB3D09" w:rsidRPr="006F6171">
        <w:rPr>
          <w:szCs w:val="24"/>
        </w:rPr>
        <w:t xml:space="preserve"> </w:t>
      </w:r>
      <w:r w:rsidR="004A6577" w:rsidRPr="006F6171">
        <w:rPr>
          <w:szCs w:val="24"/>
        </w:rPr>
        <w:t xml:space="preserve">For new </w:t>
      </w:r>
      <w:r w:rsidR="0088366D" w:rsidRPr="006F6171">
        <w:rPr>
          <w:szCs w:val="24"/>
        </w:rPr>
        <w:t>LIHTC Projects</w:t>
      </w:r>
      <w:r w:rsidR="004A6577" w:rsidRPr="006F6171">
        <w:rPr>
          <w:szCs w:val="24"/>
        </w:rPr>
        <w:t xml:space="preserve">, MaineHousing will inspect Credit Units </w:t>
      </w:r>
      <w:r w:rsidR="00091985" w:rsidRPr="006F6171">
        <w:rPr>
          <w:szCs w:val="24"/>
        </w:rPr>
        <w:t xml:space="preserve">by the end of the second calendar year </w:t>
      </w:r>
      <w:r w:rsidR="004A6577" w:rsidRPr="006F6171">
        <w:rPr>
          <w:szCs w:val="24"/>
        </w:rPr>
        <w:t>following the year the last Qualified Building is Placed in Service.</w:t>
      </w:r>
      <w:r w:rsidR="00BB3D09" w:rsidRPr="006F6171">
        <w:rPr>
          <w:szCs w:val="24"/>
        </w:rPr>
        <w:t xml:space="preserve"> </w:t>
      </w:r>
      <w:r w:rsidR="006C3498" w:rsidRPr="006F6171">
        <w:rPr>
          <w:szCs w:val="24"/>
        </w:rPr>
        <w:t xml:space="preserve">MaineHousing </w:t>
      </w:r>
      <w:r w:rsidR="00A82F8B" w:rsidRPr="006F6171">
        <w:rPr>
          <w:szCs w:val="24"/>
        </w:rPr>
        <w:t xml:space="preserve">will give reasonable </w:t>
      </w:r>
      <w:r w:rsidR="006C3498" w:rsidRPr="006F6171">
        <w:rPr>
          <w:szCs w:val="24"/>
        </w:rPr>
        <w:t>prior wr</w:t>
      </w:r>
      <w:r w:rsidR="007B1DCF" w:rsidRPr="006F6171">
        <w:rPr>
          <w:szCs w:val="24"/>
        </w:rPr>
        <w:t>itten notice</w:t>
      </w:r>
      <w:r w:rsidR="006C3498" w:rsidRPr="006F6171">
        <w:rPr>
          <w:szCs w:val="24"/>
        </w:rPr>
        <w:t>.</w:t>
      </w:r>
      <w:r w:rsidR="00C20E2B" w:rsidRPr="006F6171">
        <w:rPr>
          <w:szCs w:val="24"/>
        </w:rPr>
        <w:t xml:space="preserve">  To the extent required by the Internal Revenue Service, MaineHousing will inspect the LIHTC Projects in accordance with IRS Treasury Regulation </w:t>
      </w:r>
      <w:r w:rsidR="00BB5B00" w:rsidRPr="006F6171">
        <w:rPr>
          <w:szCs w:val="24"/>
        </w:rPr>
        <w:t>§</w:t>
      </w:r>
      <w:r w:rsidR="00C20E2B" w:rsidRPr="006F6171">
        <w:rPr>
          <w:szCs w:val="24"/>
        </w:rPr>
        <w:t>1.42 5</w:t>
      </w:r>
      <w:r w:rsidR="00D67078" w:rsidRPr="006F6171">
        <w:rPr>
          <w:szCs w:val="24"/>
        </w:rPr>
        <w:t xml:space="preserve">(c)(2)(iii)(A) through (D) and </w:t>
      </w:r>
      <w:r w:rsidR="00BB5B00" w:rsidRPr="006F6171">
        <w:rPr>
          <w:szCs w:val="24"/>
        </w:rPr>
        <w:t>§</w:t>
      </w:r>
      <w:r w:rsidR="00D67078" w:rsidRPr="006F6171">
        <w:rPr>
          <w:szCs w:val="24"/>
        </w:rPr>
        <w:t>1.42 5</w:t>
      </w:r>
      <w:r w:rsidR="00C20E2B" w:rsidRPr="006F6171">
        <w:rPr>
          <w:szCs w:val="24"/>
        </w:rPr>
        <w:t>(d)</w:t>
      </w:r>
      <w:r w:rsidR="0025012F" w:rsidRPr="006F6171">
        <w:rPr>
          <w:szCs w:val="24"/>
        </w:rPr>
        <w:t xml:space="preserve"> </w:t>
      </w:r>
      <w:r w:rsidR="00D67078" w:rsidRPr="006F6171">
        <w:rPr>
          <w:szCs w:val="24"/>
        </w:rPr>
        <w:t xml:space="preserve"> </w:t>
      </w:r>
      <w:r w:rsidR="00C20E2B" w:rsidRPr="006F6171">
        <w:rPr>
          <w:szCs w:val="24"/>
        </w:rPr>
        <w:t xml:space="preserve">and will give no more than 15 </w:t>
      </w:r>
      <w:r w:rsidR="005E1CCB" w:rsidRPr="006F6171">
        <w:rPr>
          <w:szCs w:val="24"/>
        </w:rPr>
        <w:t xml:space="preserve">calendar </w:t>
      </w:r>
      <w:r w:rsidR="00C20E2B" w:rsidRPr="006F6171">
        <w:rPr>
          <w:szCs w:val="24"/>
        </w:rPr>
        <w:t xml:space="preserve">days prior notice. </w:t>
      </w:r>
    </w:p>
    <w:p w14:paraId="0A861185" w14:textId="77777777" w:rsidR="00667A5A" w:rsidRPr="006F6171" w:rsidRDefault="00667A5A" w:rsidP="00667A5A">
      <w:pPr>
        <w:tabs>
          <w:tab w:val="left" w:pos="-720"/>
        </w:tabs>
        <w:suppressAutoHyphens/>
        <w:ind w:left="720"/>
        <w:jc w:val="both"/>
        <w:rPr>
          <w:szCs w:val="24"/>
        </w:rPr>
      </w:pPr>
    </w:p>
    <w:p w14:paraId="5ED30734" w14:textId="16994386" w:rsidR="008A5E8D" w:rsidRPr="006F6171" w:rsidRDefault="008A5E8D" w:rsidP="00BE5856">
      <w:pPr>
        <w:pStyle w:val="ListParagraph"/>
        <w:numPr>
          <w:ilvl w:val="0"/>
          <w:numId w:val="48"/>
        </w:numPr>
        <w:tabs>
          <w:tab w:val="left" w:pos="-720"/>
        </w:tabs>
        <w:suppressAutoHyphens/>
        <w:jc w:val="both"/>
      </w:pPr>
      <w:r w:rsidRPr="006F6171">
        <w:t>Utility Monitoring</w:t>
      </w:r>
    </w:p>
    <w:p w14:paraId="10C0278D" w14:textId="58A24B25" w:rsidR="002C35E8" w:rsidRPr="006F6171" w:rsidRDefault="002C35E8" w:rsidP="002C35E8">
      <w:pPr>
        <w:tabs>
          <w:tab w:val="left" w:pos="-720"/>
        </w:tabs>
        <w:suppressAutoHyphens/>
        <w:jc w:val="both"/>
      </w:pPr>
    </w:p>
    <w:p w14:paraId="22104C7A" w14:textId="59BB7EA5" w:rsidR="00FB4929" w:rsidRPr="006F6171" w:rsidRDefault="00FB4929" w:rsidP="00FB4929">
      <w:pPr>
        <w:pStyle w:val="ListParagraph"/>
        <w:rPr>
          <w:sz w:val="22"/>
        </w:rPr>
      </w:pPr>
      <w:r w:rsidRPr="006F6171">
        <w:t>For all projects funded in Year 2 of this QAP, monitoring of all utilities f</w:t>
      </w:r>
      <w:r w:rsidR="00D674CE" w:rsidRPr="006F6171">
        <w:t>or all units will be required</w:t>
      </w:r>
      <w:r w:rsidR="00B64CDF" w:rsidRPr="006F6171">
        <w:t xml:space="preserve"> based on the HUD submission model for PHAs.</w:t>
      </w:r>
    </w:p>
    <w:p w14:paraId="78C71698" w14:textId="77777777" w:rsidR="008A5E8D" w:rsidRPr="006F6171" w:rsidRDefault="008A5E8D" w:rsidP="008A5E8D">
      <w:pPr>
        <w:pStyle w:val="ListParagraph"/>
      </w:pPr>
    </w:p>
    <w:p w14:paraId="545ADE3A" w14:textId="2DF9AF9E" w:rsidR="00FE70AA" w:rsidRPr="006F6171" w:rsidRDefault="00995E15" w:rsidP="00BE5856">
      <w:pPr>
        <w:numPr>
          <w:ilvl w:val="0"/>
          <w:numId w:val="48"/>
        </w:numPr>
        <w:tabs>
          <w:tab w:val="left" w:pos="-720"/>
        </w:tabs>
        <w:suppressAutoHyphens/>
        <w:ind w:hanging="720"/>
        <w:jc w:val="both"/>
        <w:rPr>
          <w:szCs w:val="24"/>
        </w:rPr>
      </w:pPr>
      <w:r w:rsidRPr="006F6171">
        <w:t>Notification of Noncompliance</w:t>
      </w:r>
      <w:r w:rsidRPr="006F6171">
        <w:rPr>
          <w:szCs w:val="24"/>
        </w:rPr>
        <w:t xml:space="preserve">. </w:t>
      </w:r>
      <w:r w:rsidR="00B65D96" w:rsidRPr="006F6171">
        <w:rPr>
          <w:szCs w:val="24"/>
        </w:rPr>
        <w:t xml:space="preserve">MaineHousing will notify an Owner </w:t>
      </w:r>
      <w:r w:rsidR="00E91960" w:rsidRPr="006F6171">
        <w:rPr>
          <w:szCs w:val="24"/>
        </w:rPr>
        <w:t xml:space="preserve">in writing </w:t>
      </w:r>
      <w:r w:rsidR="00FB5032" w:rsidRPr="006F6171">
        <w:rPr>
          <w:szCs w:val="24"/>
        </w:rPr>
        <w:t>of</w:t>
      </w:r>
      <w:r w:rsidR="00B54E20" w:rsidRPr="006F6171">
        <w:rPr>
          <w:szCs w:val="24"/>
        </w:rPr>
        <w:t xml:space="preserve"> any failure to</w:t>
      </w:r>
    </w:p>
    <w:p w14:paraId="3D0C38C7" w14:textId="77777777" w:rsidR="001F0CB9" w:rsidRPr="006F6171" w:rsidRDefault="001F0CB9" w:rsidP="001F0CB9">
      <w:pPr>
        <w:tabs>
          <w:tab w:val="left" w:pos="-720"/>
        </w:tabs>
        <w:suppressAutoHyphens/>
        <w:ind w:left="720"/>
        <w:jc w:val="both"/>
        <w:rPr>
          <w:szCs w:val="24"/>
        </w:rPr>
      </w:pPr>
    </w:p>
    <w:p w14:paraId="18EAFEBD" w14:textId="77777777" w:rsidR="00FE70AA" w:rsidRPr="006F6171" w:rsidRDefault="00B65D96" w:rsidP="00A8328C">
      <w:pPr>
        <w:pStyle w:val="ListParagraph"/>
        <w:numPr>
          <w:ilvl w:val="0"/>
          <w:numId w:val="33"/>
        </w:numPr>
        <w:tabs>
          <w:tab w:val="left" w:pos="-720"/>
        </w:tabs>
        <w:suppressAutoHyphens/>
        <w:ind w:left="1080"/>
        <w:jc w:val="both"/>
        <w:rPr>
          <w:szCs w:val="24"/>
        </w:rPr>
      </w:pPr>
      <w:r w:rsidRPr="006F6171">
        <w:rPr>
          <w:szCs w:val="24"/>
        </w:rPr>
        <w:t xml:space="preserve">submit any </w:t>
      </w:r>
      <w:r w:rsidR="00116CB9" w:rsidRPr="006F6171">
        <w:rPr>
          <w:szCs w:val="24"/>
        </w:rPr>
        <w:t xml:space="preserve">complete </w:t>
      </w:r>
      <w:r w:rsidRPr="006F6171">
        <w:rPr>
          <w:szCs w:val="24"/>
        </w:rPr>
        <w:t>certification</w:t>
      </w:r>
      <w:r w:rsidR="00116CB9" w:rsidRPr="006F6171">
        <w:rPr>
          <w:szCs w:val="24"/>
        </w:rPr>
        <w:t>s</w:t>
      </w:r>
      <w:r w:rsidRPr="006F6171">
        <w:rPr>
          <w:szCs w:val="24"/>
        </w:rPr>
        <w:t xml:space="preserve"> or information requ</w:t>
      </w:r>
      <w:r w:rsidR="009F4ECD" w:rsidRPr="006F6171">
        <w:rPr>
          <w:szCs w:val="24"/>
        </w:rPr>
        <w:t>ired by MaineHousing when due</w:t>
      </w:r>
      <w:r w:rsidR="00BB7DB5" w:rsidRPr="006F6171">
        <w:rPr>
          <w:szCs w:val="24"/>
        </w:rPr>
        <w:t>,</w:t>
      </w:r>
    </w:p>
    <w:p w14:paraId="0A3B6757" w14:textId="77777777" w:rsidR="009F4ECD" w:rsidRPr="006F6171" w:rsidRDefault="009F4ECD" w:rsidP="001F0CB9">
      <w:pPr>
        <w:pStyle w:val="ListParagraph"/>
        <w:tabs>
          <w:tab w:val="left" w:pos="-720"/>
        </w:tabs>
        <w:suppressAutoHyphens/>
        <w:ind w:left="1080" w:hanging="360"/>
        <w:jc w:val="both"/>
        <w:rPr>
          <w:szCs w:val="24"/>
        </w:rPr>
      </w:pPr>
    </w:p>
    <w:p w14:paraId="23F81D72" w14:textId="77777777" w:rsidR="00FE70AA" w:rsidRPr="006F6171" w:rsidRDefault="009E5CBE" w:rsidP="00A8328C">
      <w:pPr>
        <w:pStyle w:val="ListParagraph"/>
        <w:numPr>
          <w:ilvl w:val="0"/>
          <w:numId w:val="33"/>
        </w:numPr>
        <w:tabs>
          <w:tab w:val="left" w:pos="-720"/>
        </w:tabs>
        <w:suppressAutoHyphens/>
        <w:ind w:left="1080"/>
        <w:jc w:val="both"/>
        <w:rPr>
          <w:szCs w:val="24"/>
        </w:rPr>
      </w:pPr>
      <w:r w:rsidRPr="006F6171">
        <w:rPr>
          <w:szCs w:val="24"/>
        </w:rPr>
        <w:t>allow MaineHousing to</w:t>
      </w:r>
      <w:r w:rsidR="007A3C7D" w:rsidRPr="006F6171">
        <w:rPr>
          <w:szCs w:val="24"/>
        </w:rPr>
        <w:t xml:space="preserve"> perform any review or inspect</w:t>
      </w:r>
      <w:r w:rsidR="009F4ECD" w:rsidRPr="006F6171">
        <w:rPr>
          <w:szCs w:val="24"/>
        </w:rPr>
        <w:t>ion required under this Section</w:t>
      </w:r>
      <w:r w:rsidR="00BB7DB5" w:rsidRPr="006F6171">
        <w:rPr>
          <w:szCs w:val="24"/>
        </w:rPr>
        <w:t>,</w:t>
      </w:r>
      <w:r w:rsidR="00B65D96" w:rsidRPr="006F6171">
        <w:rPr>
          <w:szCs w:val="24"/>
        </w:rPr>
        <w:t xml:space="preserve"> or</w:t>
      </w:r>
    </w:p>
    <w:p w14:paraId="008E51AB" w14:textId="77777777" w:rsidR="009F4ECD" w:rsidRPr="006F6171" w:rsidRDefault="009F4ECD" w:rsidP="001F0CB9">
      <w:pPr>
        <w:pStyle w:val="ListParagraph"/>
        <w:ind w:left="1080" w:hanging="360"/>
        <w:rPr>
          <w:szCs w:val="24"/>
        </w:rPr>
      </w:pPr>
    </w:p>
    <w:p w14:paraId="6EDFC9E3" w14:textId="77777777" w:rsidR="00FE70AA" w:rsidRPr="006F6171" w:rsidRDefault="007A3C7D" w:rsidP="00A8328C">
      <w:pPr>
        <w:pStyle w:val="ListParagraph"/>
        <w:numPr>
          <w:ilvl w:val="0"/>
          <w:numId w:val="33"/>
        </w:numPr>
        <w:tabs>
          <w:tab w:val="left" w:pos="-720"/>
        </w:tabs>
        <w:suppressAutoHyphens/>
        <w:ind w:left="1080"/>
        <w:jc w:val="both"/>
        <w:rPr>
          <w:szCs w:val="24"/>
        </w:rPr>
      </w:pPr>
      <w:r w:rsidRPr="006F6171">
        <w:rPr>
          <w:szCs w:val="24"/>
        </w:rPr>
        <w:t>comply</w:t>
      </w:r>
      <w:r w:rsidR="00B65D96" w:rsidRPr="006F6171">
        <w:rPr>
          <w:szCs w:val="24"/>
        </w:rPr>
        <w:t xml:space="preserve"> with </w:t>
      </w:r>
      <w:hyperlink r:id="rId38" w:history="1">
        <w:r w:rsidR="00B65D96" w:rsidRPr="006F6171">
          <w:rPr>
            <w:rStyle w:val="Hyperlink"/>
            <w:szCs w:val="24"/>
          </w:rPr>
          <w:t>Section 42</w:t>
        </w:r>
      </w:hyperlink>
      <w:r w:rsidR="00B65D96" w:rsidRPr="006F6171">
        <w:rPr>
          <w:szCs w:val="24"/>
        </w:rPr>
        <w:t xml:space="preserve"> of the Code or any</w:t>
      </w:r>
      <w:r w:rsidRPr="006F6171">
        <w:rPr>
          <w:szCs w:val="24"/>
        </w:rPr>
        <w:t xml:space="preserve"> others requirements under this </w:t>
      </w:r>
      <w:r w:rsidR="00573CCA" w:rsidRPr="006F6171">
        <w:rPr>
          <w:szCs w:val="24"/>
        </w:rPr>
        <w:t>QAP</w:t>
      </w:r>
      <w:r w:rsidR="00B65D96" w:rsidRPr="006F6171">
        <w:rPr>
          <w:szCs w:val="24"/>
        </w:rPr>
        <w:t>.</w:t>
      </w:r>
      <w:r w:rsidR="00DB18E9" w:rsidRPr="006F6171">
        <w:rPr>
          <w:szCs w:val="24"/>
        </w:rPr>
        <w:t xml:space="preserve"> </w:t>
      </w:r>
    </w:p>
    <w:p w14:paraId="1A50EF39" w14:textId="77777777" w:rsidR="009F4ECD" w:rsidRPr="006F6171" w:rsidRDefault="009F4ECD" w:rsidP="008416BF">
      <w:pPr>
        <w:tabs>
          <w:tab w:val="left" w:pos="-720"/>
        </w:tabs>
        <w:suppressAutoHyphens/>
        <w:ind w:left="720"/>
        <w:jc w:val="both"/>
        <w:rPr>
          <w:szCs w:val="24"/>
        </w:rPr>
      </w:pPr>
    </w:p>
    <w:p w14:paraId="2DF60FFC" w14:textId="5A531238" w:rsidR="00E054AF" w:rsidRPr="006F6171" w:rsidRDefault="00B65D96" w:rsidP="008416BF">
      <w:pPr>
        <w:tabs>
          <w:tab w:val="left" w:pos="-720"/>
        </w:tabs>
        <w:suppressAutoHyphens/>
        <w:ind w:left="720"/>
        <w:jc w:val="both"/>
        <w:rPr>
          <w:szCs w:val="24"/>
        </w:rPr>
      </w:pPr>
      <w:r w:rsidRPr="006F6171">
        <w:rPr>
          <w:szCs w:val="24"/>
        </w:rPr>
        <w:t>The Owner will have a reasonable period of time</w:t>
      </w:r>
      <w:r w:rsidR="00A5335E" w:rsidRPr="006F6171">
        <w:rPr>
          <w:szCs w:val="24"/>
        </w:rPr>
        <w:t xml:space="preserve"> to correct the noncompliance identified in the notice.</w:t>
      </w:r>
      <w:r w:rsidR="00E91960" w:rsidRPr="006F6171">
        <w:rPr>
          <w:szCs w:val="24"/>
        </w:rPr>
        <w:t xml:space="preserve">  MaineHousing will file a Form 8823, “Low-Income Housing Credit Agencies Report of Noncompliance” with the Internal Revenue Service within 45 </w:t>
      </w:r>
      <w:r w:rsidR="005E1CCB" w:rsidRPr="006F6171">
        <w:rPr>
          <w:szCs w:val="24"/>
        </w:rPr>
        <w:t xml:space="preserve">calendar </w:t>
      </w:r>
      <w:r w:rsidR="00E91960" w:rsidRPr="006F6171">
        <w:rPr>
          <w:szCs w:val="24"/>
        </w:rPr>
        <w:t>days of the end of the correction period.</w:t>
      </w:r>
    </w:p>
    <w:p w14:paraId="39987F1E" w14:textId="086B7E77" w:rsidR="008A5E8D" w:rsidRPr="006F6171" w:rsidRDefault="008A5E8D" w:rsidP="008A5E8D">
      <w:pPr>
        <w:tabs>
          <w:tab w:val="left" w:pos="-720"/>
        </w:tabs>
        <w:suppressAutoHyphens/>
        <w:jc w:val="both"/>
        <w:rPr>
          <w:szCs w:val="24"/>
        </w:rPr>
      </w:pPr>
    </w:p>
    <w:p w14:paraId="6F621F86" w14:textId="77777777" w:rsidR="00995E15" w:rsidRPr="006F6171" w:rsidRDefault="00995E15" w:rsidP="008416BF">
      <w:pPr>
        <w:pStyle w:val="Heading1"/>
        <w:jc w:val="both"/>
      </w:pPr>
      <w:bookmarkStart w:id="11" w:name="_Toc531341082"/>
      <w:r w:rsidRPr="006F6171">
        <w:t>SECTION 11:</w:t>
      </w:r>
      <w:r w:rsidR="00BB3D09" w:rsidRPr="006F6171">
        <w:t xml:space="preserve"> </w:t>
      </w:r>
      <w:r w:rsidR="00B94632" w:rsidRPr="006F6171">
        <w:t>GENERAL</w:t>
      </w:r>
      <w:bookmarkEnd w:id="11"/>
    </w:p>
    <w:p w14:paraId="22604647" w14:textId="77777777" w:rsidR="00995E15" w:rsidRPr="006F6171" w:rsidRDefault="00995E15" w:rsidP="008416BF">
      <w:pPr>
        <w:tabs>
          <w:tab w:val="left" w:pos="-720"/>
        </w:tabs>
        <w:suppressAutoHyphens/>
        <w:jc w:val="both"/>
        <w:rPr>
          <w:szCs w:val="24"/>
        </w:rPr>
      </w:pPr>
    </w:p>
    <w:p w14:paraId="6274C92A" w14:textId="77777777" w:rsidR="000678C7" w:rsidRPr="006F6171" w:rsidRDefault="00995E15" w:rsidP="00A8328C">
      <w:pPr>
        <w:numPr>
          <w:ilvl w:val="0"/>
          <w:numId w:val="7"/>
        </w:numPr>
        <w:tabs>
          <w:tab w:val="clear" w:pos="1440"/>
          <w:tab w:val="left" w:pos="-720"/>
          <w:tab w:val="num" w:pos="720"/>
        </w:tabs>
        <w:suppressAutoHyphens/>
        <w:ind w:left="720" w:hanging="720"/>
        <w:jc w:val="both"/>
        <w:rPr>
          <w:szCs w:val="24"/>
        </w:rPr>
      </w:pPr>
      <w:r w:rsidRPr="006F6171">
        <w:t>Conflicts</w:t>
      </w:r>
      <w:r w:rsidRPr="006F6171">
        <w:rPr>
          <w:szCs w:val="24"/>
        </w:rPr>
        <w:t>.</w:t>
      </w:r>
      <w:r w:rsidR="00DB18E9" w:rsidRPr="006F6171">
        <w:rPr>
          <w:szCs w:val="24"/>
        </w:rPr>
        <w:t xml:space="preserve"> </w:t>
      </w:r>
      <w:r w:rsidRPr="006F6171">
        <w:rPr>
          <w:szCs w:val="24"/>
        </w:rPr>
        <w:t>If this rule conflicts with</w:t>
      </w:r>
      <w:r w:rsidR="009F527F" w:rsidRPr="006F6171">
        <w:rPr>
          <w:szCs w:val="24"/>
        </w:rPr>
        <w:t xml:space="preserve"> </w:t>
      </w:r>
      <w:hyperlink r:id="rId39" w:history="1">
        <w:r w:rsidR="009F527F" w:rsidRPr="006F6171">
          <w:rPr>
            <w:rStyle w:val="Hyperlink"/>
            <w:szCs w:val="24"/>
          </w:rPr>
          <w:t>Section 42</w:t>
        </w:r>
      </w:hyperlink>
      <w:r w:rsidR="009F527F" w:rsidRPr="006F6171">
        <w:rPr>
          <w:szCs w:val="24"/>
        </w:rPr>
        <w:t xml:space="preserve"> of the Code or</w:t>
      </w:r>
      <w:r w:rsidRPr="006F6171">
        <w:rPr>
          <w:szCs w:val="24"/>
        </w:rPr>
        <w:t xml:space="preserve"> any </w:t>
      </w:r>
      <w:r w:rsidR="009F527F" w:rsidRPr="006F6171">
        <w:rPr>
          <w:szCs w:val="24"/>
        </w:rPr>
        <w:t xml:space="preserve">other </w:t>
      </w:r>
      <w:r w:rsidRPr="006F6171">
        <w:rPr>
          <w:szCs w:val="24"/>
        </w:rPr>
        <w:t>provision of federal or State law, the fede</w:t>
      </w:r>
      <w:r w:rsidR="00AE274E" w:rsidRPr="006F6171">
        <w:rPr>
          <w:szCs w:val="24"/>
        </w:rPr>
        <w:t>ral or State law shall control.</w:t>
      </w:r>
    </w:p>
    <w:p w14:paraId="35563304" w14:textId="77777777" w:rsidR="000678C7" w:rsidRPr="006F6171" w:rsidRDefault="000678C7" w:rsidP="000678C7">
      <w:pPr>
        <w:tabs>
          <w:tab w:val="left" w:pos="-720"/>
        </w:tabs>
        <w:suppressAutoHyphens/>
        <w:ind w:left="720"/>
        <w:jc w:val="both"/>
        <w:rPr>
          <w:szCs w:val="24"/>
        </w:rPr>
      </w:pPr>
    </w:p>
    <w:p w14:paraId="46EFE35D" w14:textId="77777777" w:rsidR="009269CD" w:rsidRPr="006F6171" w:rsidRDefault="000678C7" w:rsidP="00A8328C">
      <w:pPr>
        <w:numPr>
          <w:ilvl w:val="0"/>
          <w:numId w:val="7"/>
        </w:numPr>
        <w:tabs>
          <w:tab w:val="clear" w:pos="1440"/>
          <w:tab w:val="left" w:pos="-720"/>
          <w:tab w:val="num" w:pos="720"/>
        </w:tabs>
        <w:suppressAutoHyphens/>
        <w:ind w:left="720" w:hanging="720"/>
        <w:jc w:val="both"/>
        <w:rPr>
          <w:szCs w:val="24"/>
        </w:rPr>
      </w:pPr>
      <w:r w:rsidRPr="006F6171">
        <w:t>Full Discretion.</w:t>
      </w:r>
      <w:r w:rsidR="00AE274E" w:rsidRPr="006F6171">
        <w:rPr>
          <w:szCs w:val="24"/>
        </w:rPr>
        <w:t xml:space="preserve">  </w:t>
      </w:r>
      <w:r w:rsidR="009269CD" w:rsidRPr="006F6171">
        <w:t xml:space="preserve">MaineHousing </w:t>
      </w:r>
      <w:r w:rsidR="00C70E51" w:rsidRPr="006F6171">
        <w:t xml:space="preserve">is entitled to the full discretion allowed by law in making </w:t>
      </w:r>
      <w:r w:rsidR="00F82A1D" w:rsidRPr="006F6171">
        <w:t>all decisions</w:t>
      </w:r>
      <w:r w:rsidR="00C70E51" w:rsidRPr="006F6171">
        <w:t xml:space="preserve"> and interpretations under this rule</w:t>
      </w:r>
      <w:r w:rsidR="009269CD" w:rsidRPr="006F6171">
        <w:t>.</w:t>
      </w:r>
    </w:p>
    <w:p w14:paraId="7BF2487D" w14:textId="77777777" w:rsidR="00995E15" w:rsidRPr="006F6171" w:rsidRDefault="00995E15" w:rsidP="002D72F6">
      <w:pPr>
        <w:tabs>
          <w:tab w:val="left" w:pos="-720"/>
        </w:tabs>
        <w:suppressAutoHyphens/>
        <w:ind w:left="720"/>
        <w:jc w:val="both"/>
        <w:rPr>
          <w:szCs w:val="24"/>
        </w:rPr>
      </w:pPr>
      <w:r w:rsidRPr="006F6171">
        <w:rPr>
          <w:szCs w:val="24"/>
        </w:rPr>
        <w:t xml:space="preserve"> </w:t>
      </w:r>
    </w:p>
    <w:p w14:paraId="18D3DE38" w14:textId="77777777" w:rsidR="00995E15" w:rsidRPr="006F6171" w:rsidRDefault="00995E15" w:rsidP="00A8328C">
      <w:pPr>
        <w:numPr>
          <w:ilvl w:val="0"/>
          <w:numId w:val="7"/>
        </w:numPr>
        <w:tabs>
          <w:tab w:val="clear" w:pos="1440"/>
          <w:tab w:val="left" w:pos="-720"/>
          <w:tab w:val="num" w:pos="720"/>
        </w:tabs>
        <w:suppressAutoHyphens/>
        <w:ind w:left="720" w:hanging="720"/>
        <w:jc w:val="both"/>
        <w:rPr>
          <w:szCs w:val="24"/>
        </w:rPr>
      </w:pPr>
      <w:r w:rsidRPr="006F6171">
        <w:t>Not an Entitlement</w:t>
      </w:r>
      <w:r w:rsidRPr="006F6171">
        <w:rPr>
          <w:szCs w:val="24"/>
        </w:rPr>
        <w:t>.</w:t>
      </w:r>
      <w:r w:rsidR="00BB3D09" w:rsidRPr="006F6171">
        <w:rPr>
          <w:b/>
          <w:szCs w:val="24"/>
        </w:rPr>
        <w:t xml:space="preserve"> </w:t>
      </w:r>
      <w:r w:rsidRPr="006F6171">
        <w:rPr>
          <w:szCs w:val="24"/>
        </w:rPr>
        <w:t>This rule establishes a pool of eligible Applicants but does not preclude additional reasonable criteria and does not confer any automatic right or entitlement to Credit on any person or entity eligible hereunder.</w:t>
      </w:r>
      <w:r w:rsidR="00BB3D09" w:rsidRPr="006F6171">
        <w:rPr>
          <w:szCs w:val="24"/>
        </w:rPr>
        <w:t xml:space="preserve"> </w:t>
      </w:r>
      <w:r w:rsidR="00B94632" w:rsidRPr="006F6171">
        <w:rPr>
          <w:szCs w:val="24"/>
        </w:rPr>
        <w:t>MaineHousing may reject any and all Applications and may refuse to award any or all of the Credit.</w:t>
      </w:r>
      <w:r w:rsidR="00BB3D09" w:rsidRPr="006F6171">
        <w:rPr>
          <w:szCs w:val="24"/>
        </w:rPr>
        <w:t xml:space="preserve"> </w:t>
      </w:r>
    </w:p>
    <w:p w14:paraId="1300D919" w14:textId="77777777" w:rsidR="00995E15" w:rsidRPr="006F6171" w:rsidRDefault="00995E15" w:rsidP="008416BF">
      <w:pPr>
        <w:tabs>
          <w:tab w:val="left" w:pos="-720"/>
          <w:tab w:val="num" w:pos="720"/>
        </w:tabs>
        <w:suppressAutoHyphens/>
        <w:ind w:left="720" w:hanging="720"/>
        <w:jc w:val="both"/>
        <w:rPr>
          <w:szCs w:val="24"/>
        </w:rPr>
      </w:pPr>
    </w:p>
    <w:p w14:paraId="229543E3" w14:textId="77777777" w:rsidR="00995E15" w:rsidRPr="006F6171" w:rsidRDefault="00995E15" w:rsidP="00A8328C">
      <w:pPr>
        <w:numPr>
          <w:ilvl w:val="0"/>
          <w:numId w:val="7"/>
        </w:numPr>
        <w:tabs>
          <w:tab w:val="clear" w:pos="1440"/>
          <w:tab w:val="left" w:pos="-720"/>
          <w:tab w:val="num" w:pos="720"/>
        </w:tabs>
        <w:suppressAutoHyphens/>
        <w:ind w:left="720" w:hanging="720"/>
        <w:jc w:val="both"/>
        <w:rPr>
          <w:szCs w:val="24"/>
        </w:rPr>
      </w:pPr>
      <w:r w:rsidRPr="006F6171">
        <w:t>Final Agency Action</w:t>
      </w:r>
      <w:r w:rsidRPr="006F6171">
        <w:rPr>
          <w:szCs w:val="24"/>
        </w:rPr>
        <w:t>.</w:t>
      </w:r>
      <w:r w:rsidR="00BB3D09" w:rsidRPr="006F6171">
        <w:rPr>
          <w:b/>
          <w:szCs w:val="24"/>
        </w:rPr>
        <w:t xml:space="preserve"> </w:t>
      </w:r>
      <w:r w:rsidRPr="006F6171">
        <w:rPr>
          <w:szCs w:val="24"/>
        </w:rPr>
        <w:t xml:space="preserve">The </w:t>
      </w:r>
      <w:r w:rsidR="00A82F8B" w:rsidRPr="006F6171">
        <w:rPr>
          <w:szCs w:val="24"/>
        </w:rPr>
        <w:t>d</w:t>
      </w:r>
      <w:r w:rsidRPr="006F6171">
        <w:rPr>
          <w:szCs w:val="24"/>
        </w:rPr>
        <w:t>irector of MaineHousing, individually or by exercise of the delegation of powers contained in the Act, shall make all decisions and take all action necessary to implement this rule.</w:t>
      </w:r>
      <w:r w:rsidR="00BB3D09" w:rsidRPr="006F6171">
        <w:rPr>
          <w:szCs w:val="24"/>
        </w:rPr>
        <w:t xml:space="preserve"> </w:t>
      </w:r>
      <w:r w:rsidRPr="006F6171">
        <w:rPr>
          <w:szCs w:val="24"/>
        </w:rPr>
        <w:t xml:space="preserve">Such action of the </w:t>
      </w:r>
      <w:r w:rsidR="00A82F8B" w:rsidRPr="006F6171">
        <w:rPr>
          <w:szCs w:val="24"/>
        </w:rPr>
        <w:t>d</w:t>
      </w:r>
      <w:r w:rsidRPr="006F6171">
        <w:rPr>
          <w:szCs w:val="24"/>
        </w:rPr>
        <w:t>irector shall constitute final agency action.</w:t>
      </w:r>
      <w:r w:rsidRPr="006F6171">
        <w:rPr>
          <w:szCs w:val="24"/>
        </w:rPr>
        <w:br/>
      </w:r>
    </w:p>
    <w:p w14:paraId="535A30F5" w14:textId="77777777" w:rsidR="00995E15" w:rsidRPr="006F6171" w:rsidRDefault="00995E15" w:rsidP="00A8328C">
      <w:pPr>
        <w:numPr>
          <w:ilvl w:val="0"/>
          <w:numId w:val="7"/>
        </w:numPr>
        <w:tabs>
          <w:tab w:val="clear" w:pos="1440"/>
          <w:tab w:val="left" w:pos="-720"/>
          <w:tab w:val="num" w:pos="720"/>
        </w:tabs>
        <w:suppressAutoHyphens/>
        <w:ind w:left="720" w:hanging="720"/>
        <w:jc w:val="both"/>
        <w:rPr>
          <w:szCs w:val="24"/>
        </w:rPr>
      </w:pPr>
      <w:r w:rsidRPr="006F6171">
        <w:lastRenderedPageBreak/>
        <w:t>Waiver</w:t>
      </w:r>
      <w:r w:rsidRPr="006F6171">
        <w:rPr>
          <w:szCs w:val="24"/>
        </w:rPr>
        <w:t>.</w:t>
      </w:r>
      <w:r w:rsidR="00DB18E9" w:rsidRPr="006F6171">
        <w:rPr>
          <w:b/>
          <w:szCs w:val="24"/>
        </w:rPr>
        <w:t xml:space="preserve"> </w:t>
      </w:r>
      <w:r w:rsidRPr="006F6171">
        <w:rPr>
          <w:szCs w:val="24"/>
        </w:rPr>
        <w:t xml:space="preserve">Upon </w:t>
      </w:r>
      <w:r w:rsidR="006C5D72" w:rsidRPr="006F6171">
        <w:rPr>
          <w:szCs w:val="24"/>
        </w:rPr>
        <w:t xml:space="preserve">a </w:t>
      </w:r>
      <w:r w:rsidRPr="006F6171">
        <w:rPr>
          <w:szCs w:val="24"/>
        </w:rPr>
        <w:t xml:space="preserve">determination of good cause, the </w:t>
      </w:r>
      <w:r w:rsidR="00A82F8B" w:rsidRPr="006F6171">
        <w:rPr>
          <w:szCs w:val="24"/>
        </w:rPr>
        <w:t>d</w:t>
      </w:r>
      <w:r w:rsidRPr="006F6171">
        <w:rPr>
          <w:szCs w:val="24"/>
        </w:rPr>
        <w:t xml:space="preserve">irector of MaineHousing or the </w:t>
      </w:r>
      <w:r w:rsidR="00A82F8B" w:rsidRPr="006F6171">
        <w:rPr>
          <w:szCs w:val="24"/>
        </w:rPr>
        <w:t>d</w:t>
      </w:r>
      <w:r w:rsidRPr="006F6171">
        <w:rPr>
          <w:szCs w:val="24"/>
        </w:rPr>
        <w:t>irector’s designee may, subject to statutory limitations, waive any provision of this rule.</w:t>
      </w:r>
      <w:r w:rsidR="00BB3D09" w:rsidRPr="006F6171">
        <w:rPr>
          <w:szCs w:val="24"/>
        </w:rPr>
        <w:t xml:space="preserve"> </w:t>
      </w:r>
      <w:r w:rsidR="006C5D72" w:rsidRPr="006F6171">
        <w:rPr>
          <w:szCs w:val="24"/>
        </w:rPr>
        <w:t>The waiver must be in writing and must</w:t>
      </w:r>
      <w:r w:rsidRPr="006F6171">
        <w:rPr>
          <w:szCs w:val="24"/>
        </w:rPr>
        <w:t xml:space="preserve"> be supported by documentation of the pertinent facts and grounds.</w:t>
      </w:r>
    </w:p>
    <w:p w14:paraId="46150A82" w14:textId="77777777" w:rsidR="00995E15" w:rsidRPr="006F6171" w:rsidRDefault="00995E15" w:rsidP="008416BF">
      <w:pPr>
        <w:tabs>
          <w:tab w:val="left" w:pos="-720"/>
        </w:tabs>
        <w:suppressAutoHyphens/>
        <w:ind w:left="1440" w:hanging="720"/>
        <w:jc w:val="both"/>
        <w:rPr>
          <w:szCs w:val="24"/>
        </w:rPr>
      </w:pPr>
    </w:p>
    <w:p w14:paraId="3040FF75" w14:textId="0773DC79" w:rsidR="00CC6183" w:rsidRPr="006F6171" w:rsidRDefault="006F02E6" w:rsidP="00A8328C">
      <w:pPr>
        <w:numPr>
          <w:ilvl w:val="0"/>
          <w:numId w:val="7"/>
        </w:numPr>
        <w:tabs>
          <w:tab w:val="clear" w:pos="1440"/>
          <w:tab w:val="left" w:pos="-720"/>
          <w:tab w:val="num" w:pos="720"/>
        </w:tabs>
        <w:suppressAutoHyphens/>
        <w:ind w:left="720" w:hanging="720"/>
        <w:jc w:val="both"/>
        <w:rPr>
          <w:szCs w:val="24"/>
        </w:rPr>
      </w:pPr>
      <w:r w:rsidRPr="006F6171">
        <w:t>Freedom of Access</w:t>
      </w:r>
      <w:r w:rsidR="003A38F0" w:rsidRPr="006F6171">
        <w:t xml:space="preserve"> Act.</w:t>
      </w:r>
      <w:r w:rsidR="00BB3D09" w:rsidRPr="006F6171">
        <w:t xml:space="preserve"> </w:t>
      </w:r>
      <w:r w:rsidR="007B17E7" w:rsidRPr="006F6171">
        <w:t xml:space="preserve">MaineHousing is subject to the </w:t>
      </w:r>
      <w:r w:rsidR="007B17E7" w:rsidRPr="006F6171">
        <w:rPr>
          <w:szCs w:val="24"/>
        </w:rPr>
        <w:t xml:space="preserve">Freedom of Access Act, </w:t>
      </w:r>
      <w:hyperlink r:id="rId40" w:history="1">
        <w:r w:rsidR="007B17E7" w:rsidRPr="006F6171">
          <w:rPr>
            <w:rStyle w:val="Hyperlink"/>
            <w:szCs w:val="24"/>
          </w:rPr>
          <w:t xml:space="preserve">1 M.R.S. §401 </w:t>
        </w:r>
        <w:r w:rsidR="007B17E7" w:rsidRPr="006F6171">
          <w:rPr>
            <w:rStyle w:val="Hyperlink"/>
            <w:i/>
            <w:szCs w:val="24"/>
          </w:rPr>
          <w:t>et seq.</w:t>
        </w:r>
        <w:r w:rsidR="007B17E7" w:rsidRPr="006F6171">
          <w:rPr>
            <w:rStyle w:val="Hyperlink"/>
            <w:szCs w:val="24"/>
          </w:rPr>
          <w:t>,</w:t>
        </w:r>
      </w:hyperlink>
      <w:r w:rsidR="007B17E7" w:rsidRPr="006F6171">
        <w:rPr>
          <w:szCs w:val="24"/>
        </w:rPr>
        <w:t xml:space="preserve"> which requires the disclosure of all information provided to MaineHousing that is not specifically excluded</w:t>
      </w:r>
      <w:r w:rsidR="00E644D0" w:rsidRPr="006F6171">
        <w:rPr>
          <w:szCs w:val="24"/>
        </w:rPr>
        <w:t>, such as</w:t>
      </w:r>
      <w:r w:rsidR="007B17E7" w:rsidRPr="006F6171">
        <w:rPr>
          <w:szCs w:val="24"/>
        </w:rPr>
        <w:t xml:space="preserve"> confidential information under the </w:t>
      </w:r>
      <w:r w:rsidR="00EA7085" w:rsidRPr="006F6171">
        <w:rPr>
          <w:szCs w:val="24"/>
        </w:rPr>
        <w:t>Act</w:t>
      </w:r>
      <w:r w:rsidR="007B17E7" w:rsidRPr="006F6171">
        <w:rPr>
          <w:szCs w:val="24"/>
        </w:rPr>
        <w:t>.</w:t>
      </w:r>
      <w:r w:rsidR="00BB3D09" w:rsidRPr="006F6171">
        <w:rPr>
          <w:szCs w:val="24"/>
        </w:rPr>
        <w:t xml:space="preserve"> </w:t>
      </w:r>
      <w:r w:rsidR="007748A6" w:rsidRPr="006F6171">
        <w:rPr>
          <w:szCs w:val="24"/>
        </w:rPr>
        <w:t xml:space="preserve">MaineHousing shall not be liable for the disclosure of any information that </w:t>
      </w:r>
      <w:r w:rsidR="00573CCA" w:rsidRPr="006F6171">
        <w:rPr>
          <w:szCs w:val="24"/>
        </w:rPr>
        <w:t xml:space="preserve">it </w:t>
      </w:r>
      <w:r w:rsidR="00070BE8" w:rsidRPr="006F6171">
        <w:rPr>
          <w:szCs w:val="24"/>
        </w:rPr>
        <w:t>determines</w:t>
      </w:r>
      <w:r w:rsidR="007748A6" w:rsidRPr="006F6171">
        <w:rPr>
          <w:szCs w:val="24"/>
        </w:rPr>
        <w:t xml:space="preserve"> must be disclosed under the Freedom of Access Act. </w:t>
      </w:r>
    </w:p>
    <w:p w14:paraId="48950A5D" w14:textId="77777777" w:rsidR="00A82F8B" w:rsidRPr="006F6171" w:rsidRDefault="00A82F8B" w:rsidP="0029394F">
      <w:pPr>
        <w:tabs>
          <w:tab w:val="left" w:pos="-720"/>
        </w:tabs>
        <w:suppressAutoHyphens/>
        <w:ind w:left="720"/>
        <w:jc w:val="both"/>
        <w:rPr>
          <w:szCs w:val="24"/>
        </w:rPr>
      </w:pPr>
    </w:p>
    <w:p w14:paraId="18BB69FA" w14:textId="77777777" w:rsidR="00E74356" w:rsidRPr="006F6171" w:rsidRDefault="00E74356" w:rsidP="00A8328C">
      <w:pPr>
        <w:numPr>
          <w:ilvl w:val="0"/>
          <w:numId w:val="7"/>
        </w:numPr>
        <w:tabs>
          <w:tab w:val="clear" w:pos="1440"/>
          <w:tab w:val="left" w:pos="-720"/>
          <w:tab w:val="num" w:pos="720"/>
        </w:tabs>
        <w:suppressAutoHyphens/>
        <w:ind w:left="720" w:hanging="720"/>
        <w:jc w:val="both"/>
        <w:rPr>
          <w:szCs w:val="24"/>
        </w:rPr>
      </w:pPr>
      <w:r w:rsidRPr="006F6171">
        <w:t xml:space="preserve">Liability.  Compliance with </w:t>
      </w:r>
      <w:hyperlink r:id="rId41" w:history="1">
        <w:r w:rsidRPr="006F6171">
          <w:rPr>
            <w:rStyle w:val="Hyperlink"/>
          </w:rPr>
          <w:t>Section 42</w:t>
        </w:r>
      </w:hyperlink>
      <w:r w:rsidRPr="006F6171">
        <w:t xml:space="preserve"> of the Code is the responsibility of the Owner. MaineHousing is in no way responsible for an Owner’s compliance or liable for an Owner’s noncompliance. Any allocation, review or inspection by MaineHousing and any determination made by MaineHousing pursuant to this QAP is for the sole benefit of MaineHousing. No liability or responsibility for Owner compliance with </w:t>
      </w:r>
      <w:hyperlink r:id="rId42" w:history="1">
        <w:r w:rsidRPr="006F6171">
          <w:rPr>
            <w:rStyle w:val="Hyperlink"/>
          </w:rPr>
          <w:t>Section 42</w:t>
        </w:r>
      </w:hyperlink>
      <w:r w:rsidRPr="006F6171">
        <w:t xml:space="preserve"> of the Code or other applicable requirements and no representation or warranty of a Project’s feasibility or viability, eligibility for Credit, or compliance shall be implied or construed from any such actions and determinations by MaineHousing</w:t>
      </w:r>
      <w:r w:rsidR="00A82F8B" w:rsidRPr="006F6171">
        <w:t>.</w:t>
      </w:r>
      <w:r w:rsidRPr="006F6171">
        <w:t xml:space="preserve">  </w:t>
      </w:r>
    </w:p>
    <w:p w14:paraId="68DD6DA4" w14:textId="77777777" w:rsidR="002D72F6" w:rsidRPr="006F6171" w:rsidRDefault="002D72F6" w:rsidP="002D72F6">
      <w:pPr>
        <w:pStyle w:val="ListParagraph"/>
        <w:rPr>
          <w:szCs w:val="24"/>
        </w:rPr>
      </w:pPr>
    </w:p>
    <w:p w14:paraId="11C413E8" w14:textId="493C8388" w:rsidR="002D72F6" w:rsidRPr="006F6171" w:rsidRDefault="00995E15" w:rsidP="00A8328C">
      <w:pPr>
        <w:numPr>
          <w:ilvl w:val="0"/>
          <w:numId w:val="7"/>
        </w:numPr>
        <w:tabs>
          <w:tab w:val="clear" w:pos="1440"/>
          <w:tab w:val="left" w:pos="-720"/>
          <w:tab w:val="num" w:pos="720"/>
        </w:tabs>
        <w:suppressAutoHyphens/>
        <w:ind w:left="720" w:hanging="720"/>
        <w:jc w:val="both"/>
        <w:rPr>
          <w:szCs w:val="24"/>
        </w:rPr>
      </w:pPr>
      <w:r w:rsidRPr="006F6171">
        <w:t>Headings</w:t>
      </w:r>
      <w:r w:rsidR="00D41EAE" w:rsidRPr="006F6171">
        <w:t>/Context</w:t>
      </w:r>
      <w:r w:rsidRPr="006F6171">
        <w:rPr>
          <w:szCs w:val="24"/>
        </w:rPr>
        <w:t>.</w:t>
      </w:r>
      <w:r w:rsidR="00DB18E9" w:rsidRPr="006F6171">
        <w:rPr>
          <w:szCs w:val="24"/>
        </w:rPr>
        <w:t xml:space="preserve"> </w:t>
      </w:r>
      <w:r w:rsidRPr="006F6171">
        <w:rPr>
          <w:szCs w:val="24"/>
        </w:rPr>
        <w:t>The headings in this rule are for convenience only and do not define or limit the scope of the provisions of this rule.</w:t>
      </w:r>
      <w:r w:rsidR="00BB3D09" w:rsidRPr="006F6171">
        <w:rPr>
          <w:szCs w:val="24"/>
        </w:rPr>
        <w:t xml:space="preserve"> </w:t>
      </w:r>
      <w:r w:rsidR="00D41EAE" w:rsidRPr="006F6171">
        <w:rPr>
          <w:color w:val="333333"/>
        </w:rPr>
        <w:t>The use of Section, Subsection or Appendix without a reference to another document</w:t>
      </w:r>
      <w:r w:rsidR="00E500A8" w:rsidRPr="006F6171">
        <w:rPr>
          <w:color w:val="333333"/>
        </w:rPr>
        <w:t xml:space="preserve"> or source</w:t>
      </w:r>
      <w:r w:rsidR="00D41EAE" w:rsidRPr="006F6171">
        <w:rPr>
          <w:color w:val="333333"/>
        </w:rPr>
        <w:t xml:space="preserve"> refers to a section, subsection and Appendix of </w:t>
      </w:r>
      <w:r w:rsidR="00D41EAE" w:rsidRPr="006F6171">
        <w:t>this rule.</w:t>
      </w:r>
      <w:r w:rsidR="00BD26FF" w:rsidRPr="006F6171">
        <w:t xml:space="preserve"> All Appendices attached to this Rule are incorporated herein and made a part of this Rule.</w:t>
      </w:r>
    </w:p>
    <w:p w14:paraId="2A3C7144" w14:textId="77777777" w:rsidR="0049629D" w:rsidRPr="006F6171" w:rsidRDefault="0049629D" w:rsidP="002D72F6">
      <w:pPr>
        <w:tabs>
          <w:tab w:val="left" w:pos="-720"/>
        </w:tabs>
        <w:suppressAutoHyphens/>
        <w:jc w:val="both"/>
        <w:rPr>
          <w:szCs w:val="24"/>
        </w:rPr>
      </w:pPr>
    </w:p>
    <w:p w14:paraId="6BD20A34" w14:textId="1AACBF2E" w:rsidR="00300E91" w:rsidRPr="006F6171" w:rsidRDefault="00300E91" w:rsidP="00545C91">
      <w:pPr>
        <w:rPr>
          <w:bCs/>
          <w:szCs w:val="24"/>
        </w:rPr>
      </w:pPr>
      <w:bookmarkStart w:id="12" w:name="_Toc450577697"/>
      <w:bookmarkStart w:id="13" w:name="_Toc531341083"/>
      <w:r w:rsidRPr="006F6171">
        <w:rPr>
          <w:rStyle w:val="Heading1Char"/>
          <w:bCs/>
        </w:rPr>
        <w:t>STATUTORY AUTHORITY</w:t>
      </w:r>
      <w:bookmarkEnd w:id="12"/>
      <w:bookmarkEnd w:id="13"/>
      <w:r w:rsidRPr="006F6171">
        <w:rPr>
          <w:bCs/>
          <w:szCs w:val="24"/>
        </w:rPr>
        <w:t>:</w:t>
      </w:r>
      <w:r w:rsidR="00BB3D09" w:rsidRPr="006F6171">
        <w:rPr>
          <w:bCs/>
          <w:szCs w:val="24"/>
        </w:rPr>
        <w:t xml:space="preserve"> </w:t>
      </w:r>
      <w:hyperlink r:id="rId43" w:history="1">
        <w:r w:rsidRPr="00ED5AF2">
          <w:rPr>
            <w:rStyle w:val="Hyperlink"/>
            <w:bCs/>
            <w:color w:val="auto"/>
            <w:szCs w:val="24"/>
            <w:u w:val="none"/>
          </w:rPr>
          <w:t>30-A MRS §§4741(1) and 4741(14)</w:t>
        </w:r>
      </w:hyperlink>
      <w:r w:rsidRPr="00ED5AF2">
        <w:rPr>
          <w:bCs/>
          <w:szCs w:val="24"/>
        </w:rPr>
        <w:t>,</w:t>
      </w:r>
      <w:r w:rsidR="00ED5AF2" w:rsidRPr="00ED5AF2">
        <w:rPr>
          <w:bCs/>
          <w:szCs w:val="24"/>
        </w:rPr>
        <w:t xml:space="preserve"> §4726,</w:t>
      </w:r>
      <w:r w:rsidRPr="00ED5AF2">
        <w:rPr>
          <w:bCs/>
          <w:szCs w:val="24"/>
        </w:rPr>
        <w:t xml:space="preserve"> </w:t>
      </w:r>
      <w:hyperlink r:id="rId44" w:history="1">
        <w:r w:rsidRPr="00ED5AF2">
          <w:rPr>
            <w:rStyle w:val="Hyperlink"/>
            <w:bCs/>
            <w:color w:val="auto"/>
            <w:szCs w:val="24"/>
            <w:u w:val="none"/>
          </w:rPr>
          <w:t>Section 42</w:t>
        </w:r>
      </w:hyperlink>
      <w:r w:rsidRPr="006F6171">
        <w:rPr>
          <w:bCs/>
          <w:szCs w:val="24"/>
        </w:rPr>
        <w:t xml:space="preserve"> of the Internal Revenue Code of 1986, as amended </w:t>
      </w:r>
    </w:p>
    <w:p w14:paraId="73DE582F" w14:textId="77777777" w:rsidR="00300E91" w:rsidRPr="006F6171" w:rsidRDefault="00300E91" w:rsidP="008416BF">
      <w:pPr>
        <w:pStyle w:val="BodyText"/>
        <w:tabs>
          <w:tab w:val="left" w:pos="-720"/>
        </w:tabs>
        <w:suppressAutoHyphens/>
        <w:jc w:val="both"/>
        <w:rPr>
          <w:bCs/>
          <w:sz w:val="24"/>
          <w:szCs w:val="24"/>
        </w:rPr>
      </w:pPr>
    </w:p>
    <w:p w14:paraId="33EA0779" w14:textId="77777777" w:rsidR="0051540B" w:rsidRPr="006F6171" w:rsidRDefault="0051540B" w:rsidP="0051540B">
      <w:pPr>
        <w:pStyle w:val="NoSpacing"/>
      </w:pPr>
      <w:bookmarkStart w:id="14" w:name="_Toc531341084"/>
      <w:r w:rsidRPr="006F6171">
        <w:rPr>
          <w:rStyle w:val="Heading1Char"/>
        </w:rPr>
        <w:t>BASIS STATEMENT</w:t>
      </w:r>
      <w:bookmarkEnd w:id="14"/>
      <w:r w:rsidRPr="006F6171">
        <w:t xml:space="preserve">:  This rule is the qualified allocation plan for allocating and administering federal low income housing tax credits (“LIHTC”) in the State of Maine, which MaineHousing, as the State’s designated housing credit agency, is required to adopt pursuant to </w:t>
      </w:r>
      <w:hyperlink r:id="rId45" w:history="1">
        <w:r w:rsidRPr="006F6171">
          <w:rPr>
            <w:rStyle w:val="Hyperlink"/>
            <w:szCs w:val="24"/>
          </w:rPr>
          <w:t>Section 42</w:t>
        </w:r>
      </w:hyperlink>
      <w:r w:rsidRPr="006F6171">
        <w:t xml:space="preserve"> of the Internal Revenue Code and the above-referenced sections of the Maine Housing Authorities Act.  </w:t>
      </w:r>
    </w:p>
    <w:p w14:paraId="342D854C" w14:textId="77777777" w:rsidR="0051540B" w:rsidRPr="006F6171" w:rsidRDefault="0051540B" w:rsidP="0051540B">
      <w:pPr>
        <w:pStyle w:val="NoSpacing"/>
      </w:pPr>
    </w:p>
    <w:p w14:paraId="515F945E" w14:textId="77777777" w:rsidR="0051540B" w:rsidRPr="006F6171" w:rsidRDefault="0051540B" w:rsidP="0051540B">
      <w:pPr>
        <w:pStyle w:val="NoSpacing"/>
      </w:pPr>
      <w:r w:rsidRPr="006F6171">
        <w:t>This rule replaces the prior rule and includes the following changes:</w:t>
      </w:r>
    </w:p>
    <w:p w14:paraId="5ACBB93B" w14:textId="77777777" w:rsidR="0051540B" w:rsidRPr="006F6171" w:rsidRDefault="0051540B" w:rsidP="0051540B">
      <w:pPr>
        <w:pStyle w:val="NoSpacing"/>
      </w:pPr>
    </w:p>
    <w:p w14:paraId="548DF987" w14:textId="77777777" w:rsidR="0051540B" w:rsidRPr="006F6171" w:rsidRDefault="0051540B" w:rsidP="0051540B">
      <w:pPr>
        <w:pStyle w:val="NoSpacing"/>
      </w:pPr>
      <w:r w:rsidRPr="006F6171">
        <w:t>Throughout:</w:t>
      </w:r>
    </w:p>
    <w:p w14:paraId="65AA9BDD" w14:textId="77777777" w:rsidR="0051540B" w:rsidRPr="006F6171" w:rsidRDefault="0051540B" w:rsidP="0051540B">
      <w:pPr>
        <w:pStyle w:val="NoSpacing"/>
      </w:pPr>
    </w:p>
    <w:p w14:paraId="5D2A55BC" w14:textId="7F424748" w:rsidR="0051540B" w:rsidRPr="006F6171" w:rsidRDefault="0051540B" w:rsidP="00BE5856">
      <w:pPr>
        <w:pStyle w:val="NoSpacing"/>
        <w:numPr>
          <w:ilvl w:val="0"/>
          <w:numId w:val="60"/>
        </w:numPr>
        <w:tabs>
          <w:tab w:val="clear" w:pos="720"/>
        </w:tabs>
      </w:pPr>
      <w:r w:rsidRPr="006F6171">
        <w:t>Updated deadlines</w:t>
      </w:r>
    </w:p>
    <w:p w14:paraId="2CB591C3" w14:textId="699A066C" w:rsidR="009B1C3F" w:rsidRPr="006F6171" w:rsidRDefault="009B1C3F" w:rsidP="00BE5856">
      <w:pPr>
        <w:pStyle w:val="NoSpacing"/>
        <w:numPr>
          <w:ilvl w:val="0"/>
          <w:numId w:val="60"/>
        </w:numPr>
        <w:tabs>
          <w:tab w:val="clear" w:pos="720"/>
        </w:tabs>
      </w:pPr>
      <w:r w:rsidRPr="006F6171">
        <w:t>Updated Section number references</w:t>
      </w:r>
    </w:p>
    <w:p w14:paraId="3C27EF14" w14:textId="77777777" w:rsidR="0051540B" w:rsidRPr="006F6171" w:rsidRDefault="0051540B" w:rsidP="00BE5856">
      <w:pPr>
        <w:pStyle w:val="NoSpacing"/>
        <w:numPr>
          <w:ilvl w:val="0"/>
          <w:numId w:val="60"/>
        </w:numPr>
        <w:tabs>
          <w:tab w:val="clear" w:pos="720"/>
        </w:tabs>
      </w:pPr>
      <w:r w:rsidRPr="006F6171">
        <w:t>Repaired grammatical errors (punctuation, typos, correcting defined terms, etc.)</w:t>
      </w:r>
    </w:p>
    <w:p w14:paraId="533628BC" w14:textId="77777777" w:rsidR="00D8090F" w:rsidRPr="006F6171" w:rsidRDefault="00D8090F" w:rsidP="00D8090F">
      <w:pPr>
        <w:pStyle w:val="NoSpacing"/>
      </w:pPr>
    </w:p>
    <w:p w14:paraId="42D6E3CA" w14:textId="77777777" w:rsidR="004920A4" w:rsidRPr="006F6171" w:rsidRDefault="004920A4"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3A:</w:t>
      </w:r>
      <w:r w:rsidRPr="006F6171">
        <w:rPr>
          <w:color w:val="000000" w:themeColor="text1"/>
          <w:szCs w:val="22"/>
          <w14:props3d w14:extrusionH="0" w14:contourW="0" w14:prstMaterial="matte"/>
        </w:rPr>
        <w:tab/>
        <w:t>Added “at least” to clarify that MaineHousing can set aside more than 10% for the Nonprofit Set-Aside.</w:t>
      </w:r>
    </w:p>
    <w:p w14:paraId="4F3EDF70" w14:textId="53B78785" w:rsidR="004920A4" w:rsidRPr="006F6171" w:rsidRDefault="004920A4"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lastRenderedPageBreak/>
        <w:t xml:space="preserve"> </w:t>
      </w:r>
    </w:p>
    <w:p w14:paraId="5FC59507" w14:textId="1B2AAD16"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3B:</w:t>
      </w:r>
      <w:r w:rsidRPr="006F6171">
        <w:rPr>
          <w:color w:val="000000" w:themeColor="text1"/>
          <w:szCs w:val="22"/>
          <w14:props3d w14:extrusionH="0" w14:contourW="0" w14:prstMaterial="matte"/>
        </w:rPr>
        <w:tab/>
        <w:t>Updated Preservation Set-Aside amount to $750,000.</w:t>
      </w:r>
    </w:p>
    <w:p w14:paraId="39F31A7D"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3E4C0B4C"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3C:      Increased the amount of credit per unit to $30,000 from $20,000, and changed the maximum amount of credit per project to $1,200,000.</w:t>
      </w:r>
    </w:p>
    <w:p w14:paraId="065A2CF1"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4C7AD438"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4A:</w:t>
      </w:r>
      <w:r w:rsidRPr="006F6171">
        <w:rPr>
          <w:color w:val="000000" w:themeColor="text1"/>
          <w:szCs w:val="22"/>
          <w14:props3d w14:extrusionH="0" w14:contourW="0" w14:prstMaterial="matte"/>
        </w:rPr>
        <w:tab/>
        <w:t xml:space="preserve">Pre-apps due July 3, 2024 and July 3, 2025.  </w:t>
      </w:r>
    </w:p>
    <w:p w14:paraId="1F2C4ACD"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013E67E1"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4B2:</w:t>
      </w:r>
      <w:r w:rsidRPr="006F6171">
        <w:rPr>
          <w:color w:val="000000" w:themeColor="text1"/>
          <w:szCs w:val="22"/>
          <w14:props3d w14:extrusionH="0" w14:contourW="0" w14:prstMaterial="matte"/>
        </w:rPr>
        <w:tab/>
        <w:t>Applications due September 19, 2024 and September 18, 2025.</w:t>
      </w:r>
    </w:p>
    <w:p w14:paraId="5223C834"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41C445D6" w14:textId="5B9E4F03"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 xml:space="preserve">Section 4B3:    Added language: </w:t>
      </w:r>
      <w:r w:rsidR="009B1C3F" w:rsidRPr="006F6171">
        <w:rPr>
          <w:color w:val="000000" w:themeColor="text1"/>
          <w14:props3d w14:extrusionH="0" w14:contourW="0" w14:prstMaterial="matte"/>
        </w:rPr>
        <w:t>“</w:t>
      </w:r>
      <w:r w:rsidR="009B1C3F" w:rsidRPr="006F6171">
        <w:rPr>
          <w:szCs w:val="24"/>
        </w:rPr>
        <w:t>Submitted exhibits must include documentation such as grant award letters, signed documentation on letterhead or evidence of official municipal action to provide evidence of all funding sources and official approvals.”</w:t>
      </w:r>
    </w:p>
    <w:p w14:paraId="21B80AF8" w14:textId="77777777" w:rsidR="00D8090F" w:rsidRPr="006F6171" w:rsidRDefault="00D8090F" w:rsidP="00D8090F">
      <w:pPr>
        <w:tabs>
          <w:tab w:val="left" w:pos="720"/>
        </w:tabs>
        <w:rPr>
          <w:color w:val="000000" w:themeColor="text1"/>
          <w:szCs w:val="22"/>
          <w14:props3d w14:extrusionH="0" w14:contourW="0" w14:prstMaterial="matte"/>
        </w:rPr>
      </w:pPr>
    </w:p>
    <w:p w14:paraId="2C8998F9"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4I4:     Updated language to clarify.</w:t>
      </w:r>
    </w:p>
    <w:p w14:paraId="35BE49DF"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6024B971"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4I5:       Added language “in the case of a TDC Index Cap waiver, the TDC Index increases substantially”</w:t>
      </w:r>
    </w:p>
    <w:p w14:paraId="7BEAFE30"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012664FD" w14:textId="5A50CF18"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5A:</w:t>
      </w:r>
      <w:r w:rsidRPr="006F6171">
        <w:rPr>
          <w:color w:val="000000" w:themeColor="text1"/>
          <w:szCs w:val="22"/>
          <w14:props3d w14:extrusionH="0" w14:contourW="0" w14:prstMaterial="matte"/>
        </w:rPr>
        <w:tab/>
        <w:t>Removed Section 811 language.</w:t>
      </w:r>
    </w:p>
    <w:p w14:paraId="6925C2ED" w14:textId="29A767F8" w:rsidR="00262552" w:rsidRPr="006F6171" w:rsidRDefault="00262552" w:rsidP="00D8090F">
      <w:pPr>
        <w:tabs>
          <w:tab w:val="left" w:pos="720"/>
        </w:tabs>
        <w:ind w:left="1440" w:hanging="1440"/>
        <w:rPr>
          <w:color w:val="000000" w:themeColor="text1"/>
          <w:szCs w:val="22"/>
          <w14:props3d w14:extrusionH="0" w14:contourW="0" w14:prstMaterial="matte"/>
        </w:rPr>
      </w:pPr>
    </w:p>
    <w:p w14:paraId="1D9616EE" w14:textId="77777777" w:rsidR="00262552" w:rsidRPr="006F6171" w:rsidRDefault="00262552" w:rsidP="00262552">
      <w:pPr>
        <w:tabs>
          <w:tab w:val="left" w:pos="720"/>
        </w:tabs>
        <w:ind w:left="1440" w:hanging="1440"/>
        <w:rPr>
          <w:szCs w:val="24"/>
        </w:rPr>
      </w:pPr>
      <w:r w:rsidRPr="006F6171">
        <w:rPr>
          <w:color w:val="000000" w:themeColor="text1"/>
          <w:szCs w:val="22"/>
          <w14:props3d w14:extrusionH="0" w14:contourW="0" w14:prstMaterial="matte"/>
        </w:rPr>
        <w:t>Section 5A3</w:t>
      </w:r>
      <w:r w:rsidRPr="006F6171">
        <w:rPr>
          <w:color w:val="000000" w:themeColor="text1"/>
          <w:szCs w:val="22"/>
          <w14:props3d w14:extrusionH="0" w14:contourW="0" w14:prstMaterial="matte"/>
        </w:rPr>
        <w:tab/>
        <w:t xml:space="preserve">Revised to revert the language back to the language that was adopted in the 2023-2024 QAP. </w:t>
      </w:r>
      <w:r w:rsidRPr="006F6171">
        <w:rPr>
          <w:szCs w:val="24"/>
        </w:rPr>
        <w:t>MaineHousing had made changes to the 2023-2024 QAP after a public hearing and those changes were adopted, however in the version MaineHousing published for the 2025-2026 QAP, those changes were inadvertently left out. MaineHousing did not intend to make any changes to this Section.</w:t>
      </w:r>
    </w:p>
    <w:p w14:paraId="21FA63E2" w14:textId="77777777" w:rsidR="00262552" w:rsidRPr="006F6171" w:rsidRDefault="00262552" w:rsidP="00262552">
      <w:pPr>
        <w:tabs>
          <w:tab w:val="left" w:pos="720"/>
        </w:tabs>
        <w:ind w:left="1440" w:hanging="1440"/>
        <w:rPr>
          <w:szCs w:val="24"/>
        </w:rPr>
      </w:pPr>
    </w:p>
    <w:p w14:paraId="1DD68A27" w14:textId="77777777" w:rsidR="00262552" w:rsidRPr="006F6171" w:rsidRDefault="00262552" w:rsidP="00262552">
      <w:pPr>
        <w:tabs>
          <w:tab w:val="left" w:pos="720"/>
        </w:tabs>
        <w:ind w:left="1440" w:hanging="1440"/>
        <w:rPr>
          <w:color w:val="000000" w:themeColor="text1"/>
          <w:szCs w:val="22"/>
          <w14:props3d w14:extrusionH="0" w14:contourW="0" w14:prstMaterial="matte"/>
        </w:rPr>
      </w:pPr>
      <w:r w:rsidRPr="006F6171">
        <w:rPr>
          <w:szCs w:val="24"/>
        </w:rPr>
        <w:t xml:space="preserve">Section 5A4  </w:t>
      </w:r>
      <w:r w:rsidRPr="006F6171">
        <w:rPr>
          <w:szCs w:val="24"/>
        </w:rPr>
        <w:tab/>
      </w:r>
      <w:r w:rsidRPr="006F6171">
        <w:rPr>
          <w:color w:val="000000" w:themeColor="text1"/>
          <w:szCs w:val="22"/>
          <w14:props3d w14:extrusionH="0" w14:contourW="0" w14:prstMaterial="matte"/>
        </w:rPr>
        <w:t xml:space="preserve">Revised to revert the language back to the language that was adopted in the 2023-2024 QAP. </w:t>
      </w:r>
      <w:r w:rsidRPr="006F6171">
        <w:rPr>
          <w:szCs w:val="24"/>
        </w:rPr>
        <w:t>MaineHousing had made changes to the 2023-2024 QAP after a public hearing and those changes were adopted, however in the version MaineHousing published for the 2025-2026 QAP, those changes were inadvertently left out. MaineHousing did not intend to make any changes to this Section.</w:t>
      </w:r>
    </w:p>
    <w:p w14:paraId="38FCE09A"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5841519B"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5B:</w:t>
      </w:r>
      <w:r w:rsidRPr="006F6171">
        <w:rPr>
          <w:color w:val="000000" w:themeColor="text1"/>
          <w:szCs w:val="22"/>
          <w14:props3d w14:extrusionH="0" w14:contourW="0" w14:prstMaterial="matte"/>
        </w:rPr>
        <w:tab/>
        <w:t>Increased the TDC Index caps.</w:t>
      </w:r>
    </w:p>
    <w:p w14:paraId="5CE48E8F"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473DE954"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5C:</w:t>
      </w:r>
      <w:r w:rsidRPr="006F6171">
        <w:rPr>
          <w:color w:val="000000" w:themeColor="text1"/>
          <w:szCs w:val="22"/>
          <w14:props3d w14:extrusionH="0" w14:contourW="0" w14:prstMaterial="matte"/>
        </w:rPr>
        <w:tab/>
        <w:t>Increased Rehabilitation Costs per unit of existing housing from $50,000 to $75,000.</w:t>
      </w:r>
    </w:p>
    <w:p w14:paraId="2D2D0C24"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343785A3"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5G:</w:t>
      </w:r>
      <w:r w:rsidRPr="006F6171">
        <w:rPr>
          <w:color w:val="000000" w:themeColor="text1"/>
          <w:szCs w:val="22"/>
          <w14:props3d w14:extrusionH="0" w14:contourW="0" w14:prstMaterial="matte"/>
        </w:rPr>
        <w:tab/>
        <w:t xml:space="preserve">Updated and clarified re-characterization language. </w:t>
      </w:r>
    </w:p>
    <w:p w14:paraId="510E9FC5"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39143570"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5H:</w:t>
      </w:r>
      <w:r w:rsidRPr="006F6171">
        <w:rPr>
          <w:color w:val="000000" w:themeColor="text1"/>
          <w:szCs w:val="22"/>
          <w14:props3d w14:extrusionH="0" w14:contourW="0" w14:prstMaterial="matte"/>
        </w:rPr>
        <w:tab/>
        <w:t>Added a link to the latest version of the Quality Standards and Procedures Manual and noted energy efficiency standards. Additionally, updated Build America, Buy America requirements, removed electrical raceway/conduits language and relocated and updated Section 3 language.</w:t>
      </w:r>
    </w:p>
    <w:p w14:paraId="5752E09A"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71D340E1" w14:textId="77777777" w:rsidR="00262552" w:rsidRPr="006F6171" w:rsidRDefault="00262552" w:rsidP="00262552">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lastRenderedPageBreak/>
        <w:t>Section 5I3:</w:t>
      </w:r>
      <w:r w:rsidRPr="006F6171">
        <w:rPr>
          <w:color w:val="000000" w:themeColor="text1"/>
          <w:szCs w:val="22"/>
          <w14:props3d w14:extrusionH="0" w14:contourW="0" w14:prstMaterial="matte"/>
        </w:rPr>
        <w:tab/>
        <w:t>Revised to revert the language back to the language that was adopted in the 2023-2024 QAP then revised to update the language to be consistent with the changes that were provided in the 2025-2026 version of the QAP that was published. Changed Broadband Capabilities to “Broadband Access” and indicated that the project must include broadband infrastructure with capacity sufficient to support the provision of Telehealth services. Separated out the definition of Broadband infrastructure and removed “ConnectMaine”. Deleted “If the broadband capabilities are used for telemedicine services”.</w:t>
      </w:r>
    </w:p>
    <w:p w14:paraId="2FE2BB23"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2831ED55"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5J:</w:t>
      </w:r>
      <w:r w:rsidRPr="006F6171">
        <w:rPr>
          <w:color w:val="000000" w:themeColor="text1"/>
          <w:szCs w:val="22"/>
          <w14:props3d w14:extrusionH="0" w14:contourW="0" w14:prstMaterial="matte"/>
        </w:rPr>
        <w:tab/>
        <w:t>Added that the resident service coordinator must be available twice weekly which is the appropriate number of days each week acceptable to MaineHousing.</w:t>
      </w:r>
    </w:p>
    <w:p w14:paraId="1E6A9186"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795D8BA1"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           Renumbered and reorganized the scoring criteria.</w:t>
      </w:r>
    </w:p>
    <w:p w14:paraId="14C2AA69"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0B1028A2"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6A:</w:t>
      </w:r>
      <w:r w:rsidRPr="006F6171">
        <w:rPr>
          <w:color w:val="000000" w:themeColor="text1"/>
          <w:szCs w:val="22"/>
          <w14:props3d w14:extrusionH="0" w14:contourW="0" w14:prstMaterial="matte"/>
        </w:rPr>
        <w:tab/>
        <w:t>Increased the scoring points for Rehabilitation or Reuse of Existing Housing, Structure or Site from 4 to 5.</w:t>
      </w:r>
    </w:p>
    <w:p w14:paraId="05F381F5"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69CD42D5"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6B:</w:t>
      </w:r>
      <w:r w:rsidRPr="006F6171">
        <w:rPr>
          <w:color w:val="000000" w:themeColor="text1"/>
          <w:szCs w:val="22"/>
          <w14:props3d w14:extrusionH="0" w14:contourW="0" w14:prstMaterial="matte"/>
        </w:rPr>
        <w:tab/>
        <w:t>Increased the scoring points for Historic Rehabilitation from 4 to 5.</w:t>
      </w:r>
    </w:p>
    <w:p w14:paraId="0289D361"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7C7ED639"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6E:</w:t>
      </w:r>
      <w:r w:rsidRPr="006F6171">
        <w:rPr>
          <w:color w:val="000000" w:themeColor="text1"/>
          <w:szCs w:val="22"/>
          <w14:props3d w14:extrusionH="0" w14:contourW="0" w14:prstMaterial="matte"/>
        </w:rPr>
        <w:tab/>
        <w:t xml:space="preserve">Updated the scoring points for Accessibility to increase 6 points to 9 points for Projects that are not specifically for Older Adults or Families, having only 1 BR and/or efficiency units and to add 6 points for Family Projects. </w:t>
      </w:r>
    </w:p>
    <w:p w14:paraId="28ED4C6F"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329A1551"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6F:</w:t>
      </w:r>
      <w:r w:rsidRPr="006F6171">
        <w:rPr>
          <w:color w:val="000000" w:themeColor="text1"/>
          <w:szCs w:val="22"/>
          <w14:props3d w14:extrusionH="0" w14:contourW="0" w14:prstMaterial="matte"/>
        </w:rPr>
        <w:tab/>
        <w:t>Increased the scoring points for National Housing Trust Fund from 1 to 2.</w:t>
      </w:r>
    </w:p>
    <w:p w14:paraId="5C3099D8"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4F8AD001"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6G:</w:t>
      </w:r>
      <w:r w:rsidRPr="006F6171">
        <w:rPr>
          <w:color w:val="000000" w:themeColor="text1"/>
          <w:szCs w:val="22"/>
          <w14:props3d w14:extrusionH="0" w14:contourW="0" w14:prstMaterial="matte"/>
        </w:rPr>
        <w:tab/>
        <w:t xml:space="preserve">Increased the scoring points for Acquisition Cost from 4 to 5, increased the average acquisition cost per unit and increased the percentage of project’s acquisition cost as comparted to average acquisition cost and the associated points. </w:t>
      </w:r>
    </w:p>
    <w:p w14:paraId="1B5A9CB8"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7E3AF6F6"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6I:</w:t>
      </w:r>
      <w:r w:rsidRPr="006F6171">
        <w:rPr>
          <w:color w:val="000000" w:themeColor="text1"/>
          <w:szCs w:val="22"/>
          <w14:props3d w14:extrusionH="0" w14:contourW="0" w14:prstMaterial="matte"/>
        </w:rPr>
        <w:tab/>
        <w:t>Decreased the scoring points for Housing Need from 10 to 8 and updated the Service Center Community Cities/Towns for both Project providing housing for Older Adults and Other Housing Projects and the associated points. Additionally, adjusted the points for Projects located on Native American tribal lands from 10 points to 8 points.</w:t>
      </w:r>
    </w:p>
    <w:p w14:paraId="37213D72"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113EFE7B"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6J:</w:t>
      </w:r>
      <w:r w:rsidRPr="006F6171">
        <w:rPr>
          <w:color w:val="000000" w:themeColor="text1"/>
          <w:szCs w:val="22"/>
          <w14:props3d w14:extrusionH="0" w14:contourW="0" w14:prstMaterial="matte"/>
        </w:rPr>
        <w:tab/>
        <w:t>Increased the scoring points for Community Revitalization from 3 to 5 and added two points for Projects located in a QCT with at least 20% of the units at market rate.</w:t>
      </w:r>
    </w:p>
    <w:p w14:paraId="38B573C6"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24274A86"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6K:</w:t>
      </w:r>
      <w:r w:rsidRPr="006F6171">
        <w:rPr>
          <w:color w:val="000000" w:themeColor="text1"/>
          <w:szCs w:val="22"/>
          <w14:props3d w14:extrusionH="0" w14:contourW="0" w14:prstMaterial="matte"/>
        </w:rPr>
        <w:tab/>
        <w:t xml:space="preserve">Adjusted the scoring points and criteria for proximity to activities important to daily living to up to 5 points for activities important for daily living that are located within not more than a ½ mile of the Project, 1 point per activity. </w:t>
      </w:r>
    </w:p>
    <w:p w14:paraId="1262B71F"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7017DBD4"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6L:</w:t>
      </w:r>
      <w:r w:rsidRPr="006F6171">
        <w:rPr>
          <w:color w:val="000000" w:themeColor="text1"/>
          <w:szCs w:val="22"/>
          <w14:props3d w14:extrusionH="0" w14:contourW="0" w14:prstMaterial="matte"/>
        </w:rPr>
        <w:tab/>
        <w:t>Increased the scoring points for Readiness and provided a breakdown of the points for different categories.</w:t>
      </w:r>
    </w:p>
    <w:p w14:paraId="2094019D"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lastRenderedPageBreak/>
        <w:t>Section 6M:</w:t>
      </w:r>
      <w:r w:rsidRPr="006F6171">
        <w:rPr>
          <w:color w:val="000000" w:themeColor="text1"/>
          <w:szCs w:val="22"/>
          <w14:props3d w14:extrusionH="0" w14:contourW="0" w14:prstMaterial="matte"/>
        </w:rPr>
        <w:tab/>
        <w:t>Added the word “successfully” to the scoring criteria for two categories.</w:t>
      </w:r>
    </w:p>
    <w:p w14:paraId="690E9BEE"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7080E6A1" w14:textId="0153C89E"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6N:</w:t>
      </w:r>
      <w:r w:rsidRPr="006F6171">
        <w:rPr>
          <w:color w:val="000000" w:themeColor="text1"/>
          <w:szCs w:val="22"/>
          <w14:props3d w14:extrusionH="0" w14:contourW="0" w14:prstMaterial="matte"/>
        </w:rPr>
        <w:tab/>
        <w:t>Changed to negative points for bad performance.</w:t>
      </w:r>
      <w:r w:rsidR="009B1C3F" w:rsidRPr="006F6171">
        <w:rPr>
          <w:color w:val="000000" w:themeColor="text1"/>
          <w:szCs w:val="22"/>
          <w14:props3d w14:extrusionH="0" w14:contourW="0" w14:prstMaterial="matte"/>
        </w:rPr>
        <w:t xml:space="preserve"> Added language clarifying that MaineHousing has </w:t>
      </w:r>
      <w:r w:rsidR="009B1C3F" w:rsidRPr="006F6171">
        <w:rPr>
          <w:szCs w:val="24"/>
        </w:rPr>
        <w:t>the discretion to consider whether non-compliance was a direct result of the Applicant’s non-performance, the performance of an unaffiliated third-party, or a result of something outside the control of any affiliated party provided it was corrected appropriately within a reasonable timeframe.</w:t>
      </w:r>
    </w:p>
    <w:p w14:paraId="1C1CA148"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11640520" w14:textId="41D3BC1F"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6O:</w:t>
      </w:r>
      <w:r w:rsidRPr="006F6171">
        <w:rPr>
          <w:color w:val="000000" w:themeColor="text1"/>
          <w:szCs w:val="22"/>
          <w14:props3d w14:extrusionH="0" w14:contourW="0" w14:prstMaterial="matte"/>
        </w:rPr>
        <w:tab/>
        <w:t>Reduced the weight of the scoring criterion from 5 points to 2.</w:t>
      </w:r>
      <w:r w:rsidR="009B1C3F" w:rsidRPr="006F6171">
        <w:rPr>
          <w:color w:val="000000" w:themeColor="text1"/>
          <w:szCs w:val="22"/>
          <w14:props3d w14:extrusionH="0" w14:contourW="0" w14:prstMaterial="matte"/>
        </w:rPr>
        <w:t xml:space="preserve"> Added language clarifying that </w:t>
      </w:r>
      <w:r w:rsidR="009B1C3F" w:rsidRPr="006F6171">
        <w:rPr>
          <w:rFonts w:cs="FranklinGothic-Book"/>
          <w:color w:val="000000"/>
          <w:szCs w:val="24"/>
        </w:rPr>
        <w:t>experience successfully managing at least one (1) low income housing property developed under a Federal program that is substantially similar to LIHTC, to be determined at MaineHousing’s sole discretion, is experience that qualifies for 1 point.</w:t>
      </w:r>
    </w:p>
    <w:p w14:paraId="4525586B"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44BDD8C3" w14:textId="77777777"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6P:</w:t>
      </w:r>
      <w:r w:rsidRPr="006F6171">
        <w:rPr>
          <w:color w:val="000000" w:themeColor="text1"/>
          <w:szCs w:val="22"/>
          <w14:props3d w14:extrusionH="0" w14:contourW="0" w14:prstMaterial="matte"/>
        </w:rPr>
        <w:tab/>
        <w:t>Changed to negative points for bad performance.</w:t>
      </w:r>
    </w:p>
    <w:p w14:paraId="42318D27"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0200E29E" w14:textId="36EF4648"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10F:</w:t>
      </w:r>
      <w:r w:rsidRPr="006F6171">
        <w:rPr>
          <w:color w:val="000000" w:themeColor="text1"/>
          <w:szCs w:val="22"/>
          <w14:props3d w14:extrusionH="0" w14:contourW="0" w14:prstMaterial="matte"/>
        </w:rPr>
        <w:tab/>
        <w:t>Added Utility Monitoring to begin in Year 2 of the QAP.</w:t>
      </w:r>
    </w:p>
    <w:p w14:paraId="1467FA3F" w14:textId="0A647ABD" w:rsidR="00DC6E76" w:rsidRPr="006F6171" w:rsidRDefault="00DC6E76" w:rsidP="00D8090F">
      <w:pPr>
        <w:tabs>
          <w:tab w:val="left" w:pos="720"/>
        </w:tabs>
        <w:ind w:left="1440" w:hanging="1440"/>
        <w:rPr>
          <w:color w:val="000000" w:themeColor="text1"/>
          <w:szCs w:val="22"/>
          <w14:props3d w14:extrusionH="0" w14:contourW="0" w14:prstMaterial="matte"/>
        </w:rPr>
      </w:pPr>
    </w:p>
    <w:p w14:paraId="7798D494" w14:textId="31DEC9E0" w:rsidR="00DC6E76" w:rsidRPr="006F6171" w:rsidRDefault="00DC6E76" w:rsidP="00DC6E76">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Section 11H:</w:t>
      </w:r>
      <w:r w:rsidRPr="006F6171">
        <w:rPr>
          <w:color w:val="000000" w:themeColor="text1"/>
          <w:szCs w:val="22"/>
          <w14:props3d w14:extrusionH="0" w14:contourW="0" w14:prstMaterial="matte"/>
        </w:rPr>
        <w:tab/>
        <w:t xml:space="preserve">Added a reference to Appendices for clarity. </w:t>
      </w:r>
    </w:p>
    <w:p w14:paraId="77028BE1"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37BD37B1" w14:textId="066B5BCD"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Appendix A:</w:t>
      </w:r>
      <w:r w:rsidRPr="006F6171">
        <w:rPr>
          <w:color w:val="000000" w:themeColor="text1"/>
          <w:szCs w:val="22"/>
          <w14:props3d w14:extrusionH="0" w14:contourW="0" w14:prstMaterial="matte"/>
        </w:rPr>
        <w:tab/>
        <w:t>Change made to “Activities Important to Daily Living” definition adjusting retail store to a store that offers regularly purchased household supplies.</w:t>
      </w:r>
    </w:p>
    <w:p w14:paraId="5FAD6F42" w14:textId="67C262F3" w:rsidR="0035039A" w:rsidRPr="006F6171" w:rsidRDefault="0035039A" w:rsidP="00D8090F">
      <w:pPr>
        <w:tabs>
          <w:tab w:val="left" w:pos="720"/>
        </w:tabs>
        <w:ind w:left="1440" w:hanging="1440"/>
        <w:rPr>
          <w:color w:val="000000" w:themeColor="text1"/>
          <w:szCs w:val="22"/>
          <w14:props3d w14:extrusionH="0" w14:contourW="0" w14:prstMaterial="matte"/>
        </w:rPr>
      </w:pPr>
    </w:p>
    <w:p w14:paraId="275AE41D" w14:textId="22AA65F2" w:rsidR="0035039A" w:rsidRPr="006F6171" w:rsidRDefault="0035039A"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ab/>
      </w:r>
      <w:r w:rsidRPr="006F6171">
        <w:rPr>
          <w:color w:val="000000" w:themeColor="text1"/>
          <w:szCs w:val="22"/>
          <w14:props3d w14:extrusionH="0" w14:contourW="0" w14:prstMaterial="matte"/>
        </w:rPr>
        <w:tab/>
        <w:t>Deleted the definition for “Telemonitoring.”</w:t>
      </w:r>
    </w:p>
    <w:p w14:paraId="710E62EE" w14:textId="77777777" w:rsidR="00D8090F" w:rsidRPr="006F6171" w:rsidRDefault="00D8090F" w:rsidP="00D8090F">
      <w:pPr>
        <w:tabs>
          <w:tab w:val="left" w:pos="720"/>
        </w:tabs>
        <w:ind w:left="1440" w:hanging="1440"/>
        <w:rPr>
          <w:color w:val="000000" w:themeColor="text1"/>
          <w:szCs w:val="22"/>
          <w14:props3d w14:extrusionH="0" w14:contourW="0" w14:prstMaterial="matte"/>
        </w:rPr>
      </w:pPr>
    </w:p>
    <w:p w14:paraId="4FF6384D" w14:textId="5B92299C" w:rsidR="00D8090F" w:rsidRPr="006F6171" w:rsidRDefault="00D8090F" w:rsidP="00D8090F">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Appendix B:</w:t>
      </w:r>
      <w:r w:rsidRPr="006F6171">
        <w:rPr>
          <w:color w:val="000000" w:themeColor="text1"/>
          <w:szCs w:val="22"/>
          <w14:props3d w14:extrusionH="0" w14:contourW="0" w14:prstMaterial="matte"/>
        </w:rPr>
        <w:tab/>
        <w:t>Language was added to require any available radon test results for the Project site</w:t>
      </w:r>
      <w:r w:rsidR="008878F9" w:rsidRPr="006F6171">
        <w:rPr>
          <w:color w:val="000000" w:themeColor="text1"/>
          <w:szCs w:val="22"/>
          <w14:props3d w14:extrusionH="0" w14:contourW="0" w14:prstMaterial="matte"/>
        </w:rPr>
        <w:t>.</w:t>
      </w:r>
    </w:p>
    <w:p w14:paraId="11533265" w14:textId="78C3F4E3" w:rsidR="00262552" w:rsidRPr="006F6171" w:rsidRDefault="00262552" w:rsidP="00D8090F">
      <w:pPr>
        <w:tabs>
          <w:tab w:val="left" w:pos="720"/>
        </w:tabs>
        <w:ind w:left="1440" w:hanging="1440"/>
        <w:rPr>
          <w:color w:val="000000" w:themeColor="text1"/>
          <w:szCs w:val="22"/>
          <w14:props3d w14:extrusionH="0" w14:contourW="0" w14:prstMaterial="matte"/>
        </w:rPr>
      </w:pPr>
    </w:p>
    <w:p w14:paraId="37FA4455" w14:textId="77777777" w:rsidR="00262552" w:rsidRPr="006F6171" w:rsidRDefault="00262552" w:rsidP="00262552">
      <w:pPr>
        <w:tabs>
          <w:tab w:val="left" w:pos="720"/>
        </w:tabs>
        <w:ind w:left="1440" w:hanging="1440"/>
        <w:rPr>
          <w:color w:val="000000" w:themeColor="text1"/>
          <w:szCs w:val="22"/>
          <w14:props3d w14:extrusionH="0" w14:contourW="0" w14:prstMaterial="matte"/>
        </w:rPr>
      </w:pPr>
      <w:r w:rsidRPr="006F6171">
        <w:rPr>
          <w:color w:val="000000" w:themeColor="text1"/>
          <w:szCs w:val="22"/>
          <w14:props3d w14:extrusionH="0" w14:contourW="0" w14:prstMaterial="matte"/>
        </w:rPr>
        <w:t>Appendix E:</w:t>
      </w:r>
      <w:r w:rsidRPr="006F6171">
        <w:rPr>
          <w:color w:val="000000" w:themeColor="text1"/>
          <w:szCs w:val="22"/>
          <w14:props3d w14:extrusionH="0" w14:contourW="0" w14:prstMaterial="matte"/>
        </w:rPr>
        <w:tab/>
        <w:t xml:space="preserve">Revised to revert the language back to the language that was adopted in the 2023-2024 QAP. </w:t>
      </w:r>
      <w:r w:rsidRPr="006F6171">
        <w:rPr>
          <w:szCs w:val="24"/>
        </w:rPr>
        <w:t xml:space="preserve">MaineHousing had made changes to the 2023-2024 QAP after a public hearing and those changes were adopted, however in the version MaineHousing published for the 2025-2026 QAP, those changes were inadvertently left out. MaineHousing did not intend to make any changes to Appendix E.   </w:t>
      </w:r>
    </w:p>
    <w:p w14:paraId="2197AD06" w14:textId="77777777" w:rsidR="0051540B" w:rsidRPr="006F6171" w:rsidRDefault="0051540B" w:rsidP="008416BF">
      <w:pPr>
        <w:pStyle w:val="BodyText"/>
        <w:tabs>
          <w:tab w:val="left" w:pos="-720"/>
        </w:tabs>
        <w:suppressAutoHyphens/>
        <w:jc w:val="both"/>
        <w:rPr>
          <w:bCs/>
          <w:sz w:val="24"/>
          <w:szCs w:val="24"/>
        </w:rPr>
      </w:pPr>
    </w:p>
    <w:p w14:paraId="52D58F0D" w14:textId="77777777" w:rsidR="0051540B" w:rsidRPr="006F6171" w:rsidRDefault="0051540B" w:rsidP="0051540B">
      <w:pPr>
        <w:rPr>
          <w:b/>
        </w:rPr>
      </w:pPr>
      <w:r w:rsidRPr="006F6171">
        <w:rPr>
          <w:b/>
        </w:rPr>
        <w:t>PUBLIC COMMENT:</w:t>
      </w:r>
    </w:p>
    <w:p w14:paraId="65DDD7B0" w14:textId="77777777" w:rsidR="0051540B" w:rsidRPr="006F6171" w:rsidRDefault="0051540B" w:rsidP="0051540B">
      <w:pPr>
        <w:jc w:val="both"/>
        <w:rPr>
          <w:i/>
        </w:rPr>
      </w:pPr>
      <w:r w:rsidRPr="006F6171">
        <w:rPr>
          <w:i/>
        </w:rPr>
        <w:t xml:space="preserve">Process:  </w:t>
      </w:r>
    </w:p>
    <w:p w14:paraId="0AA85F58" w14:textId="21F9D0B4" w:rsidR="0051540B" w:rsidRPr="006F6171" w:rsidRDefault="0051540B" w:rsidP="0051540B">
      <w:pPr>
        <w:pStyle w:val="BodyText"/>
        <w:spacing w:line="247" w:lineRule="exact"/>
        <w:jc w:val="both"/>
        <w:rPr>
          <w:spacing w:val="-2"/>
          <w:sz w:val="24"/>
          <w:szCs w:val="24"/>
        </w:rPr>
      </w:pPr>
      <w:r w:rsidRPr="006F6171">
        <w:rPr>
          <w:spacing w:val="-1"/>
          <w:sz w:val="24"/>
          <w:szCs w:val="24"/>
        </w:rPr>
        <w:t xml:space="preserve">Notice </w:t>
      </w:r>
      <w:r w:rsidRPr="006F6171">
        <w:rPr>
          <w:sz w:val="24"/>
          <w:szCs w:val="24"/>
        </w:rPr>
        <w:t xml:space="preserve">of </w:t>
      </w:r>
      <w:r w:rsidRPr="006F6171">
        <w:rPr>
          <w:spacing w:val="-1"/>
          <w:sz w:val="24"/>
          <w:szCs w:val="24"/>
        </w:rPr>
        <w:t>Agency</w:t>
      </w:r>
      <w:r w:rsidRPr="006F6171">
        <w:rPr>
          <w:spacing w:val="-3"/>
          <w:sz w:val="24"/>
          <w:szCs w:val="24"/>
        </w:rPr>
        <w:t xml:space="preserve"> </w:t>
      </w:r>
      <w:r w:rsidRPr="006F6171">
        <w:rPr>
          <w:spacing w:val="-1"/>
          <w:sz w:val="24"/>
          <w:szCs w:val="24"/>
        </w:rPr>
        <w:t>Rule-making Proposal</w:t>
      </w:r>
      <w:r w:rsidRPr="006F6171">
        <w:rPr>
          <w:sz w:val="24"/>
          <w:szCs w:val="24"/>
        </w:rPr>
        <w:t xml:space="preserve"> </w:t>
      </w:r>
      <w:r w:rsidRPr="006F6171">
        <w:rPr>
          <w:spacing w:val="-1"/>
          <w:sz w:val="24"/>
          <w:szCs w:val="24"/>
        </w:rPr>
        <w:t>(MAPA-3)</w:t>
      </w:r>
      <w:r w:rsidRPr="006F6171">
        <w:rPr>
          <w:sz w:val="24"/>
          <w:szCs w:val="24"/>
        </w:rPr>
        <w:t xml:space="preserve"> </w:t>
      </w:r>
      <w:r w:rsidRPr="006F6171">
        <w:rPr>
          <w:spacing w:val="-1"/>
          <w:sz w:val="24"/>
          <w:szCs w:val="24"/>
        </w:rPr>
        <w:t>was</w:t>
      </w:r>
      <w:r w:rsidRPr="006F6171">
        <w:rPr>
          <w:spacing w:val="-2"/>
          <w:sz w:val="24"/>
          <w:szCs w:val="24"/>
        </w:rPr>
        <w:t xml:space="preserve"> </w:t>
      </w:r>
      <w:r w:rsidRPr="006F6171">
        <w:rPr>
          <w:spacing w:val="-1"/>
          <w:sz w:val="24"/>
          <w:szCs w:val="24"/>
        </w:rPr>
        <w:t>submitted</w:t>
      </w:r>
      <w:r w:rsidRPr="006F6171">
        <w:rPr>
          <w:sz w:val="24"/>
          <w:szCs w:val="24"/>
        </w:rPr>
        <w:t xml:space="preserve"> to</w:t>
      </w:r>
      <w:r w:rsidRPr="006F6171">
        <w:rPr>
          <w:spacing w:val="-3"/>
          <w:sz w:val="24"/>
          <w:szCs w:val="24"/>
        </w:rPr>
        <w:t xml:space="preserve"> </w:t>
      </w:r>
      <w:r w:rsidRPr="006F6171">
        <w:rPr>
          <w:sz w:val="24"/>
          <w:szCs w:val="24"/>
        </w:rPr>
        <w:t>the</w:t>
      </w:r>
      <w:r w:rsidRPr="006F6171">
        <w:rPr>
          <w:spacing w:val="-1"/>
          <w:sz w:val="24"/>
          <w:szCs w:val="24"/>
        </w:rPr>
        <w:t xml:space="preserve"> Secretary </w:t>
      </w:r>
      <w:r w:rsidRPr="006F6171">
        <w:rPr>
          <w:spacing w:val="-2"/>
          <w:sz w:val="24"/>
          <w:szCs w:val="24"/>
        </w:rPr>
        <w:t>of</w:t>
      </w:r>
      <w:r w:rsidRPr="006F6171">
        <w:rPr>
          <w:sz w:val="24"/>
          <w:szCs w:val="24"/>
        </w:rPr>
        <w:t xml:space="preserve"> </w:t>
      </w:r>
      <w:r w:rsidRPr="006F6171">
        <w:rPr>
          <w:spacing w:val="-1"/>
          <w:sz w:val="24"/>
          <w:szCs w:val="24"/>
        </w:rPr>
        <w:t>State for</w:t>
      </w:r>
      <w:r w:rsidRPr="006F6171">
        <w:rPr>
          <w:sz w:val="24"/>
          <w:szCs w:val="24"/>
        </w:rPr>
        <w:t xml:space="preserve"> </w:t>
      </w:r>
      <w:r w:rsidRPr="006F6171">
        <w:rPr>
          <w:spacing w:val="-1"/>
          <w:sz w:val="24"/>
          <w:szCs w:val="24"/>
        </w:rPr>
        <w:t>publication</w:t>
      </w:r>
      <w:r w:rsidRPr="006F6171">
        <w:rPr>
          <w:sz w:val="24"/>
          <w:szCs w:val="24"/>
        </w:rPr>
        <w:t xml:space="preserve"> </w:t>
      </w:r>
      <w:r w:rsidRPr="006F6171">
        <w:rPr>
          <w:spacing w:val="-1"/>
          <w:sz w:val="24"/>
          <w:szCs w:val="24"/>
        </w:rPr>
        <w:t>in</w:t>
      </w:r>
      <w:r w:rsidRPr="006F6171">
        <w:rPr>
          <w:sz w:val="24"/>
          <w:szCs w:val="24"/>
        </w:rPr>
        <w:t xml:space="preserve"> </w:t>
      </w:r>
      <w:r w:rsidRPr="006F6171">
        <w:rPr>
          <w:spacing w:val="-1"/>
          <w:sz w:val="24"/>
          <w:szCs w:val="24"/>
        </w:rPr>
        <w:t>the</w:t>
      </w:r>
      <w:r w:rsidR="00D5271C" w:rsidRPr="006F6171">
        <w:rPr>
          <w:spacing w:val="-1"/>
          <w:sz w:val="24"/>
          <w:szCs w:val="24"/>
        </w:rPr>
        <w:t xml:space="preserve"> </w:t>
      </w:r>
      <w:r w:rsidR="00A13BA6" w:rsidRPr="006F6171">
        <w:rPr>
          <w:spacing w:val="-1"/>
          <w:sz w:val="24"/>
          <w:szCs w:val="24"/>
        </w:rPr>
        <w:t>March</w:t>
      </w:r>
      <w:r w:rsidR="002E7D08" w:rsidRPr="006F6171">
        <w:rPr>
          <w:spacing w:val="-1"/>
          <w:sz w:val="24"/>
          <w:szCs w:val="24"/>
        </w:rPr>
        <w:t xml:space="preserve"> 27</w:t>
      </w:r>
      <w:r w:rsidRPr="006F6171">
        <w:rPr>
          <w:spacing w:val="-1"/>
          <w:sz w:val="24"/>
          <w:szCs w:val="24"/>
        </w:rPr>
        <w:t>, 202</w:t>
      </w:r>
      <w:r w:rsidR="00A13BA6" w:rsidRPr="006F6171">
        <w:rPr>
          <w:spacing w:val="-1"/>
          <w:sz w:val="24"/>
          <w:szCs w:val="24"/>
        </w:rPr>
        <w:t>4</w:t>
      </w:r>
      <w:r w:rsidRPr="006F6171">
        <w:rPr>
          <w:spacing w:val="-1"/>
          <w:sz w:val="24"/>
          <w:szCs w:val="24"/>
        </w:rPr>
        <w:t xml:space="preserve"> edition</w:t>
      </w:r>
      <w:r w:rsidRPr="006F6171">
        <w:rPr>
          <w:spacing w:val="-2"/>
          <w:sz w:val="24"/>
          <w:szCs w:val="24"/>
        </w:rPr>
        <w:t xml:space="preserve"> </w:t>
      </w:r>
      <w:r w:rsidRPr="006F6171">
        <w:rPr>
          <w:sz w:val="24"/>
          <w:szCs w:val="24"/>
        </w:rPr>
        <w:t xml:space="preserve">of </w:t>
      </w:r>
      <w:r w:rsidRPr="006F6171">
        <w:rPr>
          <w:spacing w:val="-1"/>
          <w:sz w:val="24"/>
          <w:szCs w:val="24"/>
        </w:rPr>
        <w:t>the appropriate newspapers. Additionally, MaineHousing</w:t>
      </w:r>
      <w:r w:rsidRPr="006F6171">
        <w:rPr>
          <w:spacing w:val="-3"/>
          <w:sz w:val="24"/>
          <w:szCs w:val="24"/>
        </w:rPr>
        <w:t xml:space="preserve"> </w:t>
      </w:r>
      <w:r w:rsidRPr="006F6171">
        <w:rPr>
          <w:spacing w:val="-1"/>
          <w:sz w:val="24"/>
          <w:szCs w:val="24"/>
        </w:rPr>
        <w:t>sent</w:t>
      </w:r>
      <w:r w:rsidRPr="006F6171">
        <w:rPr>
          <w:sz w:val="24"/>
          <w:szCs w:val="24"/>
        </w:rPr>
        <w:t xml:space="preserve"> the</w:t>
      </w:r>
      <w:r w:rsidRPr="006F6171">
        <w:rPr>
          <w:spacing w:val="-1"/>
          <w:sz w:val="24"/>
          <w:szCs w:val="24"/>
        </w:rPr>
        <w:t xml:space="preserve"> proposed</w:t>
      </w:r>
      <w:r w:rsidRPr="006F6171">
        <w:rPr>
          <w:sz w:val="24"/>
          <w:szCs w:val="24"/>
        </w:rPr>
        <w:t xml:space="preserve"> </w:t>
      </w:r>
      <w:r w:rsidRPr="006F6171">
        <w:rPr>
          <w:spacing w:val="-1"/>
          <w:sz w:val="24"/>
          <w:szCs w:val="24"/>
        </w:rPr>
        <w:t>rule</w:t>
      </w:r>
      <w:r w:rsidRPr="006F6171">
        <w:rPr>
          <w:spacing w:val="-3"/>
          <w:sz w:val="24"/>
          <w:szCs w:val="24"/>
        </w:rPr>
        <w:t xml:space="preserve"> </w:t>
      </w:r>
      <w:r w:rsidR="00E57AFC">
        <w:rPr>
          <w:spacing w:val="-3"/>
          <w:sz w:val="24"/>
          <w:szCs w:val="24"/>
        </w:rPr>
        <w:t>to Interested Parties on March 27, 2024</w:t>
      </w:r>
      <w:r w:rsidR="00E57AFC">
        <w:rPr>
          <w:sz w:val="24"/>
          <w:szCs w:val="24"/>
        </w:rPr>
        <w:t xml:space="preserve"> </w:t>
      </w:r>
      <w:r w:rsidRPr="006F6171">
        <w:rPr>
          <w:spacing w:val="-1"/>
          <w:sz w:val="24"/>
          <w:szCs w:val="24"/>
        </w:rPr>
        <w:t>and</w:t>
      </w:r>
      <w:r w:rsidRPr="006F6171">
        <w:rPr>
          <w:sz w:val="24"/>
          <w:szCs w:val="24"/>
        </w:rPr>
        <w:t xml:space="preserve"> </w:t>
      </w:r>
      <w:r w:rsidRPr="006F6171">
        <w:rPr>
          <w:spacing w:val="-1"/>
          <w:sz w:val="24"/>
          <w:szCs w:val="24"/>
        </w:rPr>
        <w:t>published</w:t>
      </w:r>
      <w:r w:rsidRPr="006F6171">
        <w:rPr>
          <w:sz w:val="24"/>
          <w:szCs w:val="24"/>
        </w:rPr>
        <w:t xml:space="preserve"> the</w:t>
      </w:r>
      <w:r w:rsidRPr="006F6171">
        <w:rPr>
          <w:spacing w:val="-1"/>
          <w:sz w:val="24"/>
          <w:szCs w:val="24"/>
        </w:rPr>
        <w:t xml:space="preserve"> proposed</w:t>
      </w:r>
      <w:r w:rsidRPr="006F6171">
        <w:rPr>
          <w:sz w:val="24"/>
          <w:szCs w:val="24"/>
        </w:rPr>
        <w:t xml:space="preserve"> </w:t>
      </w:r>
      <w:r w:rsidRPr="006F6171">
        <w:rPr>
          <w:spacing w:val="-1"/>
          <w:sz w:val="24"/>
          <w:szCs w:val="24"/>
        </w:rPr>
        <w:t xml:space="preserve">rule </w:t>
      </w:r>
      <w:r w:rsidRPr="006F6171">
        <w:rPr>
          <w:sz w:val="24"/>
          <w:szCs w:val="24"/>
        </w:rPr>
        <w:t>on</w:t>
      </w:r>
      <w:r w:rsidRPr="006F6171">
        <w:rPr>
          <w:spacing w:val="-3"/>
          <w:sz w:val="24"/>
          <w:szCs w:val="24"/>
        </w:rPr>
        <w:t xml:space="preserve"> </w:t>
      </w:r>
      <w:r w:rsidRPr="006F6171">
        <w:rPr>
          <w:spacing w:val="-1"/>
          <w:sz w:val="24"/>
          <w:szCs w:val="24"/>
        </w:rPr>
        <w:t>its</w:t>
      </w:r>
      <w:r w:rsidRPr="006F6171">
        <w:rPr>
          <w:spacing w:val="1"/>
          <w:sz w:val="24"/>
          <w:szCs w:val="24"/>
        </w:rPr>
        <w:t xml:space="preserve"> </w:t>
      </w:r>
      <w:r w:rsidRPr="006F6171">
        <w:rPr>
          <w:spacing w:val="-1"/>
          <w:sz w:val="24"/>
          <w:szCs w:val="24"/>
        </w:rPr>
        <w:t xml:space="preserve">website </w:t>
      </w:r>
      <w:r w:rsidRPr="006F6171">
        <w:rPr>
          <w:sz w:val="24"/>
          <w:szCs w:val="24"/>
        </w:rPr>
        <w:t xml:space="preserve">on </w:t>
      </w:r>
      <w:r w:rsidR="00B9789F">
        <w:rPr>
          <w:sz w:val="24"/>
          <w:szCs w:val="24"/>
        </w:rPr>
        <w:t>March 27, 2024</w:t>
      </w:r>
      <w:r w:rsidRPr="006F6171">
        <w:rPr>
          <w:spacing w:val="-1"/>
          <w:sz w:val="24"/>
          <w:szCs w:val="24"/>
        </w:rPr>
        <w:t>.  MaineHousing held</w:t>
      </w:r>
      <w:r w:rsidRPr="006F6171">
        <w:rPr>
          <w:sz w:val="24"/>
          <w:szCs w:val="24"/>
        </w:rPr>
        <w:t xml:space="preserve"> a</w:t>
      </w:r>
      <w:r w:rsidRPr="006F6171">
        <w:rPr>
          <w:spacing w:val="-1"/>
          <w:sz w:val="24"/>
          <w:szCs w:val="24"/>
        </w:rPr>
        <w:t xml:space="preserve"> public hearing </w:t>
      </w:r>
      <w:r w:rsidRPr="006F6171">
        <w:rPr>
          <w:sz w:val="24"/>
          <w:szCs w:val="24"/>
        </w:rPr>
        <w:t xml:space="preserve">on </w:t>
      </w:r>
      <w:r w:rsidR="00A13BA6" w:rsidRPr="006F6171">
        <w:rPr>
          <w:sz w:val="24"/>
          <w:szCs w:val="24"/>
        </w:rPr>
        <w:t>April 16, 2024</w:t>
      </w:r>
      <w:r w:rsidRPr="006F6171">
        <w:rPr>
          <w:spacing w:val="-1"/>
          <w:sz w:val="24"/>
          <w:szCs w:val="24"/>
        </w:rPr>
        <w:t>.  T</w:t>
      </w:r>
      <w:r w:rsidRPr="006F6171">
        <w:rPr>
          <w:sz w:val="24"/>
          <w:szCs w:val="24"/>
        </w:rPr>
        <w:t>he</w:t>
      </w:r>
      <w:r w:rsidRPr="006F6171">
        <w:rPr>
          <w:spacing w:val="-1"/>
          <w:sz w:val="24"/>
          <w:szCs w:val="24"/>
        </w:rPr>
        <w:t xml:space="preserve"> comment</w:t>
      </w:r>
      <w:r w:rsidRPr="006F6171">
        <w:rPr>
          <w:sz w:val="24"/>
          <w:szCs w:val="24"/>
        </w:rPr>
        <w:t xml:space="preserve"> </w:t>
      </w:r>
      <w:r w:rsidRPr="006F6171">
        <w:rPr>
          <w:spacing w:val="-1"/>
          <w:sz w:val="24"/>
          <w:szCs w:val="24"/>
        </w:rPr>
        <w:t>period</w:t>
      </w:r>
      <w:r w:rsidRPr="006F6171">
        <w:rPr>
          <w:spacing w:val="-3"/>
          <w:sz w:val="24"/>
          <w:szCs w:val="24"/>
        </w:rPr>
        <w:t xml:space="preserve"> </w:t>
      </w:r>
      <w:r w:rsidRPr="006F6171">
        <w:rPr>
          <w:spacing w:val="-1"/>
          <w:sz w:val="24"/>
          <w:szCs w:val="24"/>
        </w:rPr>
        <w:t>was</w:t>
      </w:r>
      <w:r w:rsidRPr="006F6171">
        <w:rPr>
          <w:spacing w:val="1"/>
          <w:sz w:val="24"/>
          <w:szCs w:val="24"/>
        </w:rPr>
        <w:t xml:space="preserve"> </w:t>
      </w:r>
      <w:r w:rsidRPr="006F6171">
        <w:rPr>
          <w:spacing w:val="-1"/>
          <w:sz w:val="24"/>
          <w:szCs w:val="24"/>
        </w:rPr>
        <w:t>held</w:t>
      </w:r>
      <w:r w:rsidRPr="006F6171">
        <w:rPr>
          <w:sz w:val="24"/>
          <w:szCs w:val="24"/>
        </w:rPr>
        <w:t xml:space="preserve"> </w:t>
      </w:r>
      <w:r w:rsidRPr="006F6171">
        <w:rPr>
          <w:spacing w:val="-1"/>
          <w:sz w:val="24"/>
          <w:szCs w:val="24"/>
        </w:rPr>
        <w:t>open</w:t>
      </w:r>
      <w:r w:rsidRPr="006F6171">
        <w:rPr>
          <w:sz w:val="24"/>
          <w:szCs w:val="24"/>
        </w:rPr>
        <w:t xml:space="preserve"> </w:t>
      </w:r>
      <w:r w:rsidRPr="006F6171">
        <w:rPr>
          <w:spacing w:val="-1"/>
          <w:sz w:val="24"/>
          <w:szCs w:val="24"/>
        </w:rPr>
        <w:t>until</w:t>
      </w:r>
      <w:r w:rsidRPr="006F6171">
        <w:rPr>
          <w:spacing w:val="-2"/>
          <w:sz w:val="24"/>
          <w:szCs w:val="24"/>
        </w:rPr>
        <w:t xml:space="preserve"> </w:t>
      </w:r>
      <w:r w:rsidR="00A13BA6" w:rsidRPr="006F6171">
        <w:rPr>
          <w:spacing w:val="-2"/>
          <w:sz w:val="24"/>
          <w:szCs w:val="24"/>
        </w:rPr>
        <w:t>April 26, 2024</w:t>
      </w:r>
      <w:r w:rsidRPr="006F6171">
        <w:rPr>
          <w:spacing w:val="-2"/>
          <w:sz w:val="24"/>
          <w:szCs w:val="24"/>
        </w:rPr>
        <w:t xml:space="preserve"> at 5:00 PM.</w:t>
      </w:r>
    </w:p>
    <w:p w14:paraId="41F54F6C" w14:textId="77777777" w:rsidR="002C35E8" w:rsidRPr="006F6171" w:rsidRDefault="002C35E8" w:rsidP="0051540B">
      <w:pPr>
        <w:pStyle w:val="BodyText"/>
        <w:spacing w:line="247" w:lineRule="exact"/>
        <w:jc w:val="both"/>
        <w:rPr>
          <w:spacing w:val="-2"/>
          <w:sz w:val="24"/>
          <w:szCs w:val="24"/>
        </w:rPr>
      </w:pPr>
    </w:p>
    <w:p w14:paraId="3C918C40" w14:textId="4EFE3357" w:rsidR="005C3EF3" w:rsidRPr="006F6171" w:rsidRDefault="005C3EF3" w:rsidP="005C3EF3">
      <w:pPr>
        <w:pStyle w:val="BodyText"/>
        <w:spacing w:line="247" w:lineRule="exact"/>
        <w:jc w:val="both"/>
        <w:rPr>
          <w:spacing w:val="-2"/>
          <w:sz w:val="24"/>
          <w:szCs w:val="24"/>
        </w:rPr>
      </w:pPr>
      <w:r w:rsidRPr="006F6171">
        <w:rPr>
          <w:spacing w:val="-2"/>
          <w:sz w:val="24"/>
          <w:szCs w:val="24"/>
        </w:rPr>
        <w:t>A second Notice of Agency Rule-making Proposal (MAPA-3) was</w:t>
      </w:r>
      <w:r w:rsidRPr="006F6171">
        <w:rPr>
          <w:spacing w:val="-1"/>
          <w:sz w:val="24"/>
          <w:szCs w:val="24"/>
        </w:rPr>
        <w:t xml:space="preserve"> submitted</w:t>
      </w:r>
      <w:r w:rsidRPr="006F6171">
        <w:rPr>
          <w:sz w:val="24"/>
          <w:szCs w:val="24"/>
        </w:rPr>
        <w:t xml:space="preserve"> to</w:t>
      </w:r>
      <w:r w:rsidRPr="006F6171">
        <w:rPr>
          <w:spacing w:val="-3"/>
          <w:sz w:val="24"/>
          <w:szCs w:val="24"/>
        </w:rPr>
        <w:t xml:space="preserve"> </w:t>
      </w:r>
      <w:r w:rsidRPr="006F6171">
        <w:rPr>
          <w:sz w:val="24"/>
          <w:szCs w:val="24"/>
        </w:rPr>
        <w:t>the</w:t>
      </w:r>
      <w:r w:rsidRPr="006F6171">
        <w:rPr>
          <w:spacing w:val="-1"/>
          <w:sz w:val="24"/>
          <w:szCs w:val="24"/>
        </w:rPr>
        <w:t xml:space="preserve"> Secretary </w:t>
      </w:r>
      <w:r w:rsidRPr="006F6171">
        <w:rPr>
          <w:spacing w:val="-2"/>
          <w:sz w:val="24"/>
          <w:szCs w:val="24"/>
        </w:rPr>
        <w:t>of</w:t>
      </w:r>
      <w:r w:rsidRPr="006F6171">
        <w:rPr>
          <w:sz w:val="24"/>
          <w:szCs w:val="24"/>
        </w:rPr>
        <w:t xml:space="preserve"> </w:t>
      </w:r>
      <w:r w:rsidRPr="006F6171">
        <w:rPr>
          <w:spacing w:val="-1"/>
          <w:sz w:val="24"/>
          <w:szCs w:val="24"/>
        </w:rPr>
        <w:t>State for</w:t>
      </w:r>
      <w:r w:rsidRPr="006F6171">
        <w:rPr>
          <w:sz w:val="24"/>
          <w:szCs w:val="24"/>
        </w:rPr>
        <w:t xml:space="preserve"> </w:t>
      </w:r>
      <w:r w:rsidRPr="006F6171">
        <w:rPr>
          <w:spacing w:val="-1"/>
          <w:sz w:val="24"/>
          <w:szCs w:val="24"/>
        </w:rPr>
        <w:t>publication</w:t>
      </w:r>
      <w:r w:rsidRPr="006F6171">
        <w:rPr>
          <w:sz w:val="24"/>
          <w:szCs w:val="24"/>
        </w:rPr>
        <w:t xml:space="preserve"> </w:t>
      </w:r>
      <w:r w:rsidRPr="006F6171">
        <w:rPr>
          <w:spacing w:val="-1"/>
          <w:sz w:val="24"/>
          <w:szCs w:val="24"/>
        </w:rPr>
        <w:t>in</w:t>
      </w:r>
      <w:r w:rsidRPr="006F6171">
        <w:rPr>
          <w:sz w:val="24"/>
          <w:szCs w:val="24"/>
        </w:rPr>
        <w:t xml:space="preserve"> </w:t>
      </w:r>
      <w:r w:rsidRPr="006F6171">
        <w:rPr>
          <w:spacing w:val="-1"/>
          <w:sz w:val="24"/>
          <w:szCs w:val="24"/>
        </w:rPr>
        <w:t xml:space="preserve">the </w:t>
      </w:r>
      <w:r w:rsidR="00286F59" w:rsidRPr="006F6171">
        <w:rPr>
          <w:spacing w:val="-1"/>
          <w:sz w:val="24"/>
          <w:szCs w:val="24"/>
        </w:rPr>
        <w:t>May 15</w:t>
      </w:r>
      <w:r w:rsidRPr="006F6171">
        <w:rPr>
          <w:spacing w:val="-1"/>
          <w:sz w:val="24"/>
          <w:szCs w:val="24"/>
        </w:rPr>
        <w:t>, 2024 edition</w:t>
      </w:r>
      <w:r w:rsidRPr="006F6171">
        <w:rPr>
          <w:spacing w:val="-2"/>
          <w:sz w:val="24"/>
          <w:szCs w:val="24"/>
        </w:rPr>
        <w:t xml:space="preserve"> </w:t>
      </w:r>
      <w:r w:rsidRPr="006F6171">
        <w:rPr>
          <w:sz w:val="24"/>
          <w:szCs w:val="24"/>
        </w:rPr>
        <w:t xml:space="preserve">of </w:t>
      </w:r>
      <w:r w:rsidRPr="006F6171">
        <w:rPr>
          <w:spacing w:val="-1"/>
          <w:sz w:val="24"/>
          <w:szCs w:val="24"/>
        </w:rPr>
        <w:t>the appropriate newspapers. Additionally, MaineHousing</w:t>
      </w:r>
      <w:r w:rsidRPr="006F6171">
        <w:rPr>
          <w:spacing w:val="-3"/>
          <w:sz w:val="24"/>
          <w:szCs w:val="24"/>
        </w:rPr>
        <w:t xml:space="preserve"> </w:t>
      </w:r>
      <w:r w:rsidRPr="006F6171">
        <w:rPr>
          <w:spacing w:val="-1"/>
          <w:sz w:val="24"/>
          <w:szCs w:val="24"/>
        </w:rPr>
        <w:t>sent</w:t>
      </w:r>
      <w:r w:rsidRPr="006F6171">
        <w:rPr>
          <w:sz w:val="24"/>
          <w:szCs w:val="24"/>
        </w:rPr>
        <w:t xml:space="preserve"> the</w:t>
      </w:r>
      <w:r w:rsidRPr="006F6171">
        <w:rPr>
          <w:spacing w:val="-1"/>
          <w:sz w:val="24"/>
          <w:szCs w:val="24"/>
        </w:rPr>
        <w:t xml:space="preserve"> proposed</w:t>
      </w:r>
      <w:r w:rsidRPr="006F6171">
        <w:rPr>
          <w:sz w:val="24"/>
          <w:szCs w:val="24"/>
        </w:rPr>
        <w:t xml:space="preserve"> </w:t>
      </w:r>
      <w:r w:rsidRPr="006F6171">
        <w:rPr>
          <w:spacing w:val="-1"/>
          <w:sz w:val="24"/>
          <w:szCs w:val="24"/>
        </w:rPr>
        <w:t>rule</w:t>
      </w:r>
      <w:r w:rsidRPr="006F6171">
        <w:rPr>
          <w:spacing w:val="-3"/>
          <w:sz w:val="24"/>
          <w:szCs w:val="24"/>
        </w:rPr>
        <w:t xml:space="preserve"> </w:t>
      </w:r>
      <w:r w:rsidRPr="006F6171">
        <w:rPr>
          <w:sz w:val="24"/>
          <w:szCs w:val="24"/>
        </w:rPr>
        <w:t>to</w:t>
      </w:r>
      <w:r w:rsidRPr="006F6171">
        <w:rPr>
          <w:spacing w:val="69"/>
          <w:sz w:val="24"/>
          <w:szCs w:val="24"/>
        </w:rPr>
        <w:t xml:space="preserve"> </w:t>
      </w:r>
      <w:r w:rsidRPr="006F6171">
        <w:rPr>
          <w:spacing w:val="-1"/>
          <w:sz w:val="24"/>
          <w:szCs w:val="24"/>
        </w:rPr>
        <w:t>Interested</w:t>
      </w:r>
      <w:r w:rsidRPr="006F6171">
        <w:rPr>
          <w:sz w:val="24"/>
          <w:szCs w:val="24"/>
        </w:rPr>
        <w:t xml:space="preserve"> </w:t>
      </w:r>
      <w:r w:rsidRPr="006F6171">
        <w:rPr>
          <w:spacing w:val="-1"/>
          <w:sz w:val="24"/>
          <w:szCs w:val="24"/>
        </w:rPr>
        <w:t>Parties</w:t>
      </w:r>
      <w:r w:rsidRPr="006F6171">
        <w:rPr>
          <w:spacing w:val="-2"/>
          <w:sz w:val="24"/>
          <w:szCs w:val="24"/>
        </w:rPr>
        <w:t xml:space="preserve"> </w:t>
      </w:r>
      <w:r w:rsidRPr="006F6171">
        <w:rPr>
          <w:sz w:val="24"/>
          <w:szCs w:val="24"/>
        </w:rPr>
        <w:t xml:space="preserve">on </w:t>
      </w:r>
      <w:r w:rsidR="00286F59" w:rsidRPr="006F6171">
        <w:rPr>
          <w:sz w:val="24"/>
          <w:szCs w:val="24"/>
        </w:rPr>
        <w:t>May 15</w:t>
      </w:r>
      <w:r w:rsidRPr="006F6171">
        <w:rPr>
          <w:sz w:val="24"/>
          <w:szCs w:val="24"/>
        </w:rPr>
        <w:t xml:space="preserve">, 2024 </w:t>
      </w:r>
      <w:r w:rsidRPr="006F6171">
        <w:rPr>
          <w:spacing w:val="-1"/>
          <w:sz w:val="24"/>
          <w:szCs w:val="24"/>
        </w:rPr>
        <w:t>and</w:t>
      </w:r>
      <w:r w:rsidRPr="006F6171">
        <w:rPr>
          <w:sz w:val="24"/>
          <w:szCs w:val="24"/>
        </w:rPr>
        <w:t xml:space="preserve"> </w:t>
      </w:r>
      <w:r w:rsidRPr="006F6171">
        <w:rPr>
          <w:spacing w:val="-1"/>
          <w:sz w:val="24"/>
          <w:szCs w:val="24"/>
        </w:rPr>
        <w:t>published</w:t>
      </w:r>
      <w:r w:rsidRPr="006F6171">
        <w:rPr>
          <w:sz w:val="24"/>
          <w:szCs w:val="24"/>
        </w:rPr>
        <w:t xml:space="preserve"> the</w:t>
      </w:r>
      <w:r w:rsidRPr="006F6171">
        <w:rPr>
          <w:spacing w:val="-1"/>
          <w:sz w:val="24"/>
          <w:szCs w:val="24"/>
        </w:rPr>
        <w:t xml:space="preserve"> proposed</w:t>
      </w:r>
      <w:r w:rsidRPr="006F6171">
        <w:rPr>
          <w:sz w:val="24"/>
          <w:szCs w:val="24"/>
        </w:rPr>
        <w:t xml:space="preserve"> </w:t>
      </w:r>
      <w:r w:rsidRPr="006F6171">
        <w:rPr>
          <w:spacing w:val="-1"/>
          <w:sz w:val="24"/>
          <w:szCs w:val="24"/>
        </w:rPr>
        <w:t xml:space="preserve">rule </w:t>
      </w:r>
      <w:r w:rsidRPr="006F6171">
        <w:rPr>
          <w:sz w:val="24"/>
          <w:szCs w:val="24"/>
        </w:rPr>
        <w:t>on</w:t>
      </w:r>
      <w:r w:rsidRPr="006F6171">
        <w:rPr>
          <w:spacing w:val="-3"/>
          <w:sz w:val="24"/>
          <w:szCs w:val="24"/>
        </w:rPr>
        <w:t xml:space="preserve"> </w:t>
      </w:r>
      <w:r w:rsidRPr="006F6171">
        <w:rPr>
          <w:spacing w:val="-1"/>
          <w:sz w:val="24"/>
          <w:szCs w:val="24"/>
        </w:rPr>
        <w:t>its</w:t>
      </w:r>
      <w:r w:rsidRPr="006F6171">
        <w:rPr>
          <w:spacing w:val="1"/>
          <w:sz w:val="24"/>
          <w:szCs w:val="24"/>
        </w:rPr>
        <w:t xml:space="preserve"> </w:t>
      </w:r>
      <w:r w:rsidRPr="006F6171">
        <w:rPr>
          <w:spacing w:val="-1"/>
          <w:sz w:val="24"/>
          <w:szCs w:val="24"/>
        </w:rPr>
        <w:t xml:space="preserve">website </w:t>
      </w:r>
      <w:r w:rsidRPr="006F6171">
        <w:rPr>
          <w:sz w:val="24"/>
          <w:szCs w:val="24"/>
        </w:rPr>
        <w:t xml:space="preserve">on </w:t>
      </w:r>
      <w:r w:rsidR="00286F59" w:rsidRPr="006F6171">
        <w:rPr>
          <w:sz w:val="24"/>
          <w:szCs w:val="24"/>
        </w:rPr>
        <w:t>May 15</w:t>
      </w:r>
      <w:r w:rsidRPr="006F6171">
        <w:rPr>
          <w:sz w:val="24"/>
          <w:szCs w:val="24"/>
        </w:rPr>
        <w:t>, 2024. No public hearing was held. The comment pe</w:t>
      </w:r>
      <w:r w:rsidR="00286F59" w:rsidRPr="006F6171">
        <w:rPr>
          <w:sz w:val="24"/>
          <w:szCs w:val="24"/>
        </w:rPr>
        <w:t>riod was held open until June 14</w:t>
      </w:r>
      <w:r w:rsidRPr="006F6171">
        <w:rPr>
          <w:sz w:val="24"/>
          <w:szCs w:val="24"/>
        </w:rPr>
        <w:t xml:space="preserve">, 2024 at </w:t>
      </w:r>
      <w:r w:rsidRPr="006F6171">
        <w:rPr>
          <w:spacing w:val="-2"/>
          <w:sz w:val="24"/>
          <w:szCs w:val="24"/>
        </w:rPr>
        <w:t>5:00 PM.</w:t>
      </w:r>
    </w:p>
    <w:p w14:paraId="50CBC1B4" w14:textId="77777777" w:rsidR="00411B41" w:rsidRPr="00933D66" w:rsidRDefault="00411B41" w:rsidP="00411B41">
      <w:pPr>
        <w:rPr>
          <w:i/>
          <w:spacing w:val="-2"/>
          <w:szCs w:val="24"/>
        </w:rPr>
      </w:pPr>
      <w:r w:rsidRPr="00933D66">
        <w:rPr>
          <w:i/>
          <w:spacing w:val="-2"/>
          <w:szCs w:val="24"/>
        </w:rPr>
        <w:lastRenderedPageBreak/>
        <w:t>Summary of Comments and Responses to Comments:</w:t>
      </w:r>
    </w:p>
    <w:p w14:paraId="33D30091" w14:textId="77777777" w:rsidR="00411B41" w:rsidRPr="00933D66" w:rsidRDefault="00411B41" w:rsidP="00411B41">
      <w:pPr>
        <w:rPr>
          <w:szCs w:val="24"/>
        </w:rPr>
      </w:pPr>
    </w:p>
    <w:p w14:paraId="40C97CEA" w14:textId="77777777" w:rsidR="00411B41" w:rsidRPr="00933D66" w:rsidRDefault="00411B41" w:rsidP="00411B41">
      <w:pPr>
        <w:rPr>
          <w:szCs w:val="24"/>
        </w:rPr>
      </w:pPr>
      <w:r w:rsidRPr="00933D66">
        <w:rPr>
          <w:i/>
          <w:szCs w:val="24"/>
        </w:rPr>
        <w:t>Comment:</w:t>
      </w:r>
      <w:r w:rsidRPr="00933D66">
        <w:rPr>
          <w:szCs w:val="24"/>
        </w:rPr>
        <w:t xml:space="preserve"> Brian Kilgallen, Development Officer for Community Housing of Maine, submitted written comments and questions as follows:</w:t>
      </w:r>
    </w:p>
    <w:p w14:paraId="0CC9E65E" w14:textId="77777777" w:rsidR="00411B41" w:rsidRPr="00933D66" w:rsidRDefault="00411B41" w:rsidP="00411B41">
      <w:pPr>
        <w:rPr>
          <w:szCs w:val="24"/>
        </w:rPr>
      </w:pPr>
    </w:p>
    <w:p w14:paraId="389750F5" w14:textId="77777777" w:rsidR="00411B41" w:rsidRPr="00933D66" w:rsidRDefault="00411B41" w:rsidP="00411B41">
      <w:pPr>
        <w:pStyle w:val="ListParagraph"/>
        <w:numPr>
          <w:ilvl w:val="0"/>
          <w:numId w:val="67"/>
        </w:numPr>
        <w:contextualSpacing/>
      </w:pPr>
      <w:r w:rsidRPr="00933D66">
        <w:t>If a property uses the ODE account to fund a YE operating deficit before the application deadline, would the application lose a point in Owner Performance?</w:t>
      </w:r>
    </w:p>
    <w:p w14:paraId="2009924F" w14:textId="77777777" w:rsidR="00411B41" w:rsidRPr="00933D66" w:rsidRDefault="00411B41" w:rsidP="00411B41">
      <w:pPr>
        <w:pStyle w:val="ListParagraph"/>
        <w:numPr>
          <w:ilvl w:val="0"/>
          <w:numId w:val="67"/>
        </w:numPr>
        <w:contextualSpacing/>
      </w:pPr>
      <w:r w:rsidRPr="00933D66">
        <w:t>Can Management Company and Ownership scores be available before the Pre-application deadline?</w:t>
      </w:r>
    </w:p>
    <w:p w14:paraId="2A3EA93B" w14:textId="77777777" w:rsidR="00411B41" w:rsidRPr="00933D66" w:rsidRDefault="00411B41" w:rsidP="00411B41">
      <w:pPr>
        <w:pStyle w:val="ListParagraph"/>
        <w:numPr>
          <w:ilvl w:val="0"/>
          <w:numId w:val="67"/>
        </w:numPr>
        <w:contextualSpacing/>
      </w:pPr>
      <w:r w:rsidRPr="00933D66">
        <w:t xml:space="preserve">What is the process for MaineHousing to approve the building design prior to a project submitting for readiness points?  </w:t>
      </w:r>
    </w:p>
    <w:p w14:paraId="40EF0FAE" w14:textId="77777777" w:rsidR="00411B41" w:rsidRPr="00933D66" w:rsidRDefault="00411B41" w:rsidP="00411B41">
      <w:pPr>
        <w:pStyle w:val="ListParagraph"/>
        <w:numPr>
          <w:ilvl w:val="0"/>
          <w:numId w:val="67"/>
        </w:numPr>
        <w:contextualSpacing/>
      </w:pPr>
      <w:r w:rsidRPr="00933D66">
        <w:t>Is the Maine Construction General Permit required to earn the readiness points?  Typically, this is done closer to construction. </w:t>
      </w:r>
    </w:p>
    <w:p w14:paraId="2E39587C" w14:textId="77777777" w:rsidR="00411B41" w:rsidRPr="00933D66" w:rsidRDefault="00411B41" w:rsidP="00411B41">
      <w:pPr>
        <w:pStyle w:val="ListParagraph"/>
        <w:numPr>
          <w:ilvl w:val="0"/>
          <w:numId w:val="67"/>
        </w:numPr>
        <w:contextualSpacing/>
      </w:pPr>
      <w:r w:rsidRPr="00933D66">
        <w:t>Section H references dates from 2023 and 2024.</w:t>
      </w:r>
    </w:p>
    <w:p w14:paraId="69045174" w14:textId="77777777" w:rsidR="00411B41" w:rsidRPr="00933D66" w:rsidRDefault="00411B41" w:rsidP="00411B41">
      <w:pPr>
        <w:pStyle w:val="ListParagraph"/>
        <w:numPr>
          <w:ilvl w:val="0"/>
          <w:numId w:val="67"/>
        </w:numPr>
        <w:contextualSpacing/>
      </w:pPr>
      <w:r w:rsidRPr="00933D66">
        <w:t>Was any consideration given to phased projects that can run relatively concurrently?</w:t>
      </w:r>
    </w:p>
    <w:p w14:paraId="65B5C91F" w14:textId="77777777" w:rsidR="00411B41" w:rsidRPr="00933D66" w:rsidRDefault="00411B41" w:rsidP="00411B41">
      <w:pPr>
        <w:rPr>
          <w:color w:val="FF0000"/>
          <w:szCs w:val="24"/>
        </w:rPr>
      </w:pPr>
    </w:p>
    <w:p w14:paraId="09F19F61" w14:textId="77777777" w:rsidR="00411B41" w:rsidRPr="00933D66" w:rsidRDefault="00411B41" w:rsidP="00411B41">
      <w:pPr>
        <w:rPr>
          <w:i/>
          <w:szCs w:val="24"/>
        </w:rPr>
      </w:pPr>
      <w:r w:rsidRPr="00933D66">
        <w:rPr>
          <w:i/>
          <w:szCs w:val="24"/>
        </w:rPr>
        <w:t xml:space="preserve">Response: </w:t>
      </w:r>
    </w:p>
    <w:p w14:paraId="157BFC0C" w14:textId="77777777" w:rsidR="00411B41" w:rsidRPr="00933D66" w:rsidRDefault="00411B41" w:rsidP="00411B41">
      <w:pPr>
        <w:rPr>
          <w:i/>
          <w:szCs w:val="24"/>
        </w:rPr>
      </w:pPr>
    </w:p>
    <w:p w14:paraId="5081077D" w14:textId="77777777" w:rsidR="00411B41" w:rsidRPr="00933D66" w:rsidRDefault="00411B41" w:rsidP="00411B41">
      <w:pPr>
        <w:pStyle w:val="ListParagraph"/>
        <w:numPr>
          <w:ilvl w:val="0"/>
          <w:numId w:val="68"/>
        </w:numPr>
        <w:contextualSpacing/>
      </w:pPr>
      <w:r w:rsidRPr="00933D66">
        <w:t>No.</w:t>
      </w:r>
    </w:p>
    <w:p w14:paraId="010929EB" w14:textId="77777777" w:rsidR="00411B41" w:rsidRPr="00933D66" w:rsidRDefault="00411B41" w:rsidP="00411B41">
      <w:pPr>
        <w:pStyle w:val="ListParagraph"/>
        <w:numPr>
          <w:ilvl w:val="0"/>
          <w:numId w:val="68"/>
        </w:numPr>
        <w:contextualSpacing/>
      </w:pPr>
      <w:r w:rsidRPr="00933D66">
        <w:t>Applicants are encouraged to connect with management companies and owners prior to Pre-application and perform due diligence in gathering information regarding performance. Currently MaineHousing does not publish scores on its website.</w:t>
      </w:r>
    </w:p>
    <w:p w14:paraId="5799D83D" w14:textId="77777777" w:rsidR="00411B41" w:rsidRPr="00933D66" w:rsidRDefault="00411B41" w:rsidP="00411B41">
      <w:pPr>
        <w:pStyle w:val="ListParagraph"/>
        <w:numPr>
          <w:ilvl w:val="0"/>
          <w:numId w:val="68"/>
        </w:numPr>
        <w:contextualSpacing/>
      </w:pPr>
      <w:r w:rsidRPr="00933D66">
        <w:t>There is no process by which MaineHousing would approve a building design prior to the submission of an application. The Pre-application review is generally a site visit (sometimes a walk-through if the project is an adaptive reuse) and potentially a brief review of conceptual plans and specifications. Construction Analysts are not assigned until an application is awarded funding and MaineHousing does not have the resources to conduct detailed building design reviews beforehand for all applicants. MaineHousing can try to answer general questions a developer might have about specific items, but cannot provide full review in advance of an award.</w:t>
      </w:r>
    </w:p>
    <w:p w14:paraId="44097B05" w14:textId="77777777" w:rsidR="00411B41" w:rsidRPr="00933D66" w:rsidRDefault="00411B41" w:rsidP="00411B41">
      <w:pPr>
        <w:pStyle w:val="ListParagraph"/>
        <w:numPr>
          <w:ilvl w:val="0"/>
          <w:numId w:val="68"/>
        </w:numPr>
        <w:contextualSpacing/>
      </w:pPr>
      <w:r w:rsidRPr="00933D66">
        <w:t>No. It is typically done closer to construction.</w:t>
      </w:r>
    </w:p>
    <w:p w14:paraId="3AC15279" w14:textId="77777777" w:rsidR="00411B41" w:rsidRPr="00933D66" w:rsidRDefault="00411B41" w:rsidP="00411B41">
      <w:pPr>
        <w:pStyle w:val="ListParagraph"/>
        <w:numPr>
          <w:ilvl w:val="0"/>
          <w:numId w:val="68"/>
        </w:numPr>
        <w:contextualSpacing/>
      </w:pPr>
      <w:r w:rsidRPr="00933D66">
        <w:t>This has been corrected.</w:t>
      </w:r>
    </w:p>
    <w:p w14:paraId="2585B5C3" w14:textId="77777777" w:rsidR="00411B41" w:rsidRPr="00933D66" w:rsidRDefault="00411B41" w:rsidP="00411B41">
      <w:pPr>
        <w:pStyle w:val="ListParagraph"/>
        <w:numPr>
          <w:ilvl w:val="0"/>
          <w:numId w:val="68"/>
        </w:numPr>
        <w:contextualSpacing/>
      </w:pPr>
      <w:r w:rsidRPr="00933D66">
        <w:t>The QAP scoring currently does not award points for phased projects that can run relatively concurrently. MaineHousing intends to retain that position.</w:t>
      </w:r>
    </w:p>
    <w:p w14:paraId="159AD076" w14:textId="77777777" w:rsidR="00411B41" w:rsidRPr="00933D66" w:rsidRDefault="00411B41" w:rsidP="00411B41">
      <w:pPr>
        <w:rPr>
          <w:szCs w:val="24"/>
        </w:rPr>
      </w:pPr>
    </w:p>
    <w:p w14:paraId="6F3BF171" w14:textId="77777777" w:rsidR="00411B41" w:rsidRPr="00933D66" w:rsidRDefault="00411B41" w:rsidP="00411B41">
      <w:pPr>
        <w:rPr>
          <w:szCs w:val="24"/>
        </w:rPr>
      </w:pPr>
      <w:r w:rsidRPr="00933D66">
        <w:rPr>
          <w:i/>
          <w:szCs w:val="24"/>
        </w:rPr>
        <w:t>Comment:</w:t>
      </w:r>
      <w:r w:rsidRPr="00933D66">
        <w:rPr>
          <w:szCs w:val="24"/>
        </w:rPr>
        <w:t xml:space="preserve"> Amanda Bartlett, Chief Operating Officer of Developers Collaborative, submitted written comments asking MaineHousing to further amend Section 6(N), Owner Performance, to better align with the intent of the scoring in the category.</w:t>
      </w:r>
    </w:p>
    <w:p w14:paraId="69AA6D31" w14:textId="77777777" w:rsidR="00411B41" w:rsidRPr="00933D66" w:rsidRDefault="00411B41" w:rsidP="00411B41">
      <w:pPr>
        <w:rPr>
          <w:szCs w:val="24"/>
        </w:rPr>
      </w:pPr>
    </w:p>
    <w:p w14:paraId="4A2BD56E" w14:textId="77777777" w:rsidR="00411B41" w:rsidRPr="00933D66" w:rsidRDefault="00411B41" w:rsidP="00411B41">
      <w:pPr>
        <w:rPr>
          <w:szCs w:val="24"/>
        </w:rPr>
      </w:pPr>
      <w:r w:rsidRPr="00933D66">
        <w:rPr>
          <w:i/>
          <w:szCs w:val="24"/>
        </w:rPr>
        <w:t>Response:</w:t>
      </w:r>
      <w:r w:rsidRPr="00933D66">
        <w:rPr>
          <w:szCs w:val="24"/>
        </w:rPr>
        <w:t xml:space="preserve"> MaineHousing has added clarifying language to Section 6(N), Owner Performance, explaining that MaineHousing has the discretion to consider whether non-compliance was a direct result of the Applicant’s non-performance, the performance of an unaffiliated third-party, or a result of something outside the control of any affiliated party provided it was corrected appropriately within a reasonable timeframe.</w:t>
      </w:r>
    </w:p>
    <w:p w14:paraId="52C94BE5" w14:textId="77777777" w:rsidR="00411B41" w:rsidRPr="00933D66" w:rsidRDefault="00411B41" w:rsidP="00411B41">
      <w:pPr>
        <w:rPr>
          <w:szCs w:val="24"/>
        </w:rPr>
      </w:pPr>
      <w:r w:rsidRPr="00933D66">
        <w:rPr>
          <w:i/>
          <w:szCs w:val="24"/>
        </w:rPr>
        <w:lastRenderedPageBreak/>
        <w:t>Comment:</w:t>
      </w:r>
      <w:r w:rsidRPr="00933D66">
        <w:rPr>
          <w:szCs w:val="24"/>
        </w:rPr>
        <w:t xml:space="preserve"> Tyler Norod, Development Director of Westbrook Development Corporation provided testimony at the public hearing and submitted written comments asking MaineHousing to consider removing Brownfield remediation costs from the TDC calculation as the costs are typically paid by outside funds and can be very expensive.</w:t>
      </w:r>
    </w:p>
    <w:p w14:paraId="0F716E01" w14:textId="77777777" w:rsidR="00411B41" w:rsidRPr="00933D66" w:rsidRDefault="00411B41" w:rsidP="00411B41">
      <w:pPr>
        <w:rPr>
          <w:szCs w:val="24"/>
        </w:rPr>
      </w:pPr>
    </w:p>
    <w:p w14:paraId="0D95DFBA" w14:textId="77777777" w:rsidR="00411B41" w:rsidRPr="00933D66" w:rsidRDefault="00411B41" w:rsidP="00411B41">
      <w:pPr>
        <w:rPr>
          <w:szCs w:val="24"/>
        </w:rPr>
      </w:pPr>
      <w:r w:rsidRPr="00933D66">
        <w:rPr>
          <w:i/>
          <w:szCs w:val="24"/>
        </w:rPr>
        <w:t>Response:</w:t>
      </w:r>
      <w:r w:rsidRPr="00933D66">
        <w:rPr>
          <w:szCs w:val="24"/>
        </w:rPr>
        <w:t xml:space="preserve"> Brownfield remediation is frequently performed outside of and/or prior to the project scope of work and therefore does not contribute to the TDC.</w:t>
      </w:r>
    </w:p>
    <w:p w14:paraId="49B4A15C" w14:textId="77777777" w:rsidR="00411B41" w:rsidRPr="00933D66" w:rsidRDefault="00411B41" w:rsidP="00411B41">
      <w:pPr>
        <w:rPr>
          <w:szCs w:val="24"/>
        </w:rPr>
      </w:pPr>
    </w:p>
    <w:p w14:paraId="319F2881" w14:textId="77777777" w:rsidR="00411B41" w:rsidRPr="00933D66" w:rsidRDefault="00411B41" w:rsidP="00411B41">
      <w:pPr>
        <w:rPr>
          <w:szCs w:val="24"/>
        </w:rPr>
      </w:pPr>
      <w:r w:rsidRPr="00933D66">
        <w:rPr>
          <w:i/>
          <w:szCs w:val="24"/>
        </w:rPr>
        <w:t>Comment:</w:t>
      </w:r>
      <w:r w:rsidRPr="00933D66">
        <w:rPr>
          <w:szCs w:val="24"/>
        </w:rPr>
        <w:t xml:space="preserve"> Tyler Norod also recommended a waiver process for Section 6(N), Owner Performance, whereby an owner could seek a waiver from the negative scoring points for the issuance of an 8823 that was outside of the owner’s control. </w:t>
      </w:r>
    </w:p>
    <w:p w14:paraId="41E1ADC9" w14:textId="77777777" w:rsidR="00411B41" w:rsidRPr="00933D66" w:rsidRDefault="00411B41" w:rsidP="00411B41">
      <w:pPr>
        <w:rPr>
          <w:szCs w:val="24"/>
        </w:rPr>
      </w:pPr>
    </w:p>
    <w:p w14:paraId="09D4D875" w14:textId="77777777" w:rsidR="00411B41" w:rsidRPr="00933D66" w:rsidRDefault="00411B41" w:rsidP="00411B41">
      <w:pPr>
        <w:rPr>
          <w:szCs w:val="24"/>
        </w:rPr>
      </w:pPr>
      <w:r w:rsidRPr="00933D66">
        <w:rPr>
          <w:i/>
          <w:szCs w:val="24"/>
        </w:rPr>
        <w:t>Response:</w:t>
      </w:r>
      <w:r w:rsidRPr="00933D66">
        <w:rPr>
          <w:szCs w:val="24"/>
        </w:rPr>
        <w:t xml:space="preserve"> MaineHousing has added clarifying language to Section 6(N), Owner Performance, explaining that MaineHousing has the discretion to consider whether non-compliance was a direct result of the Applicant’s non-performance, the performance of an unaffiliated third-party, or a result of something outside the control of any affiliated party provided it was corrected appropriately within a reasonable timeframe.</w:t>
      </w:r>
    </w:p>
    <w:p w14:paraId="4580AB37" w14:textId="77777777" w:rsidR="00411B41" w:rsidRPr="00933D66" w:rsidRDefault="00411B41" w:rsidP="00411B41">
      <w:pPr>
        <w:rPr>
          <w:b/>
          <w:szCs w:val="24"/>
        </w:rPr>
      </w:pPr>
    </w:p>
    <w:p w14:paraId="743524FC" w14:textId="77777777" w:rsidR="00411B41" w:rsidRPr="00933D66" w:rsidRDefault="00411B41" w:rsidP="00411B41">
      <w:pPr>
        <w:rPr>
          <w:szCs w:val="24"/>
        </w:rPr>
      </w:pPr>
      <w:r w:rsidRPr="00933D66">
        <w:rPr>
          <w:i/>
          <w:szCs w:val="24"/>
        </w:rPr>
        <w:t>Comment:</w:t>
      </w:r>
      <w:r w:rsidRPr="00933D66">
        <w:rPr>
          <w:szCs w:val="24"/>
        </w:rPr>
        <w:t xml:space="preserve"> Tyler Norod also recommended that MaineHousing outsource the Environmental Review work to qualified engineers to save MaineHousing staff significant time and remove the risks and barriers associated with Choice Limited Actions for tax credit applications. Norod proposed that applicants could have the checklist completed and included with the submission of a project application for tax credits. </w:t>
      </w:r>
    </w:p>
    <w:p w14:paraId="35D8C6BE" w14:textId="77777777" w:rsidR="00411B41" w:rsidRPr="00933D66" w:rsidRDefault="00411B41" w:rsidP="00411B41">
      <w:pPr>
        <w:rPr>
          <w:szCs w:val="24"/>
        </w:rPr>
      </w:pPr>
    </w:p>
    <w:p w14:paraId="584D2FC7" w14:textId="77777777" w:rsidR="00411B41" w:rsidRPr="00933D66" w:rsidRDefault="00411B41" w:rsidP="00411B41">
      <w:pPr>
        <w:rPr>
          <w:szCs w:val="24"/>
        </w:rPr>
      </w:pPr>
      <w:r w:rsidRPr="00933D66">
        <w:rPr>
          <w:i/>
          <w:szCs w:val="24"/>
        </w:rPr>
        <w:t>Response:</w:t>
      </w:r>
      <w:r w:rsidRPr="00933D66">
        <w:rPr>
          <w:szCs w:val="24"/>
        </w:rPr>
        <w:t xml:space="preserve"> MaineHousing appreciates this recommendation and intends to look into the possibility of outsourcing the Environmental Review work; however, it should be noted that the requirements of an Environmental Review are dependent on the type of Federal funding a project receives. Applicants would not know which type of Federal funding they would receive prior to an award, so requiring Applicants to complete the Environmental Review prior to award could be a cost to the Applicant that would not be an eligible project cost if it turned out an Environmental Review was not required. Additionally, the Choice Limiting Action period does not expire until the project receives a release of funds from the Department of Housing and Urban Development (“HUD”). The completion of the Environmental Review itself does not stop the Choice Limiting Action period and MaineHousing would still have to request a release of funds from HUD and go through the public comment period before an applicant could take any action that would be considered a Choice Limiting Action. </w:t>
      </w:r>
    </w:p>
    <w:p w14:paraId="242ECD72" w14:textId="77777777" w:rsidR="00411B41" w:rsidRPr="00933D66" w:rsidRDefault="00411B41" w:rsidP="00411B41">
      <w:pPr>
        <w:rPr>
          <w:szCs w:val="24"/>
        </w:rPr>
      </w:pPr>
    </w:p>
    <w:p w14:paraId="328C5453" w14:textId="67B1EEB7" w:rsidR="00411B41" w:rsidRDefault="00411B41" w:rsidP="00411B41">
      <w:pPr>
        <w:rPr>
          <w:szCs w:val="24"/>
        </w:rPr>
      </w:pPr>
      <w:r w:rsidRPr="00933D66">
        <w:rPr>
          <w:i/>
          <w:szCs w:val="24"/>
        </w:rPr>
        <w:t>Comment:</w:t>
      </w:r>
      <w:r w:rsidRPr="00933D66">
        <w:rPr>
          <w:szCs w:val="24"/>
        </w:rPr>
        <w:t xml:space="preserve"> Cory Fellows, Vice President of Development for Preservation of Affordable Housing (“POAH”) submitted written comments asking MaineHousing to replace its project-level $750,000 Net Developer Fee cap with a $25,000 per-unit cap that would better reflect the significant overhead and risk associated with larger or more complex Low Income Housing Tax Credit (“LIHTC”) projects.</w:t>
      </w:r>
    </w:p>
    <w:p w14:paraId="301FC71C" w14:textId="77777777" w:rsidR="00085BA1" w:rsidRPr="00933D66" w:rsidRDefault="00085BA1" w:rsidP="00411B41">
      <w:pPr>
        <w:rPr>
          <w:szCs w:val="24"/>
        </w:rPr>
      </w:pPr>
    </w:p>
    <w:p w14:paraId="4C8BB9AF" w14:textId="77777777" w:rsidR="00411B41" w:rsidRPr="00933D66" w:rsidRDefault="00411B41" w:rsidP="00411B41">
      <w:pPr>
        <w:rPr>
          <w:szCs w:val="24"/>
        </w:rPr>
      </w:pPr>
      <w:r w:rsidRPr="00933D66">
        <w:rPr>
          <w:i/>
          <w:szCs w:val="24"/>
        </w:rPr>
        <w:lastRenderedPageBreak/>
        <w:t>Response:</w:t>
      </w:r>
      <w:r w:rsidRPr="00933D66">
        <w:rPr>
          <w:szCs w:val="24"/>
        </w:rPr>
        <w:t xml:space="preserve"> MaineHousing continues to believe that the Net Developer Fee cap of $750,000 is appropriate. The Net Developer Fee cap is reviewed with each iteration of the QAP and adjustments are made as necessary. </w:t>
      </w:r>
    </w:p>
    <w:p w14:paraId="275F5DFF" w14:textId="77777777" w:rsidR="00411B41" w:rsidRPr="00933D66" w:rsidRDefault="00411B41" w:rsidP="00411B41">
      <w:pPr>
        <w:rPr>
          <w:szCs w:val="24"/>
        </w:rPr>
      </w:pPr>
    </w:p>
    <w:p w14:paraId="10A5B6F0" w14:textId="77777777" w:rsidR="00411B41" w:rsidRPr="00933D66" w:rsidRDefault="00411B41" w:rsidP="00411B41">
      <w:pPr>
        <w:rPr>
          <w:color w:val="FF0000"/>
          <w:szCs w:val="24"/>
        </w:rPr>
      </w:pPr>
      <w:r w:rsidRPr="00933D66">
        <w:rPr>
          <w:i/>
          <w:szCs w:val="24"/>
        </w:rPr>
        <w:t>Comment:</w:t>
      </w:r>
      <w:r w:rsidRPr="00933D66">
        <w:rPr>
          <w:szCs w:val="24"/>
        </w:rPr>
        <w:t xml:space="preserve"> Corey Fellows also expressed concern regarding the requirement to set aside at least 60% of the units in a LIHTC project for households under 50% AMI. Fellows indicated this requirement is aggressive and undermines project viability, creating a very significant barrier to financing a viable construction or rehabilitation project and substantially weakening a project’s long-term financial stability.</w:t>
      </w:r>
    </w:p>
    <w:p w14:paraId="4067CA9D" w14:textId="77777777" w:rsidR="00411B41" w:rsidRPr="00933D66" w:rsidRDefault="00411B41" w:rsidP="00411B41">
      <w:pPr>
        <w:rPr>
          <w:i/>
          <w:szCs w:val="24"/>
        </w:rPr>
      </w:pPr>
    </w:p>
    <w:p w14:paraId="68D4B011"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Response: </w:t>
      </w:r>
      <w:r w:rsidRPr="00933D66">
        <w:rPr>
          <w:rFonts w:cs="Calibri"/>
          <w:color w:val="000000"/>
          <w:szCs w:val="24"/>
        </w:rPr>
        <w:t>MaineHousing designs its financing packages to make its affordability requirements feasible. The need of the State is taken into consideration when determining what is required for affordability. MaineHousing has a long track record and an extremely successful portfolio of projects bolstering the position that its requirements are not burdensome to the properties.</w:t>
      </w:r>
    </w:p>
    <w:p w14:paraId="42735D82" w14:textId="77777777" w:rsidR="00411B41" w:rsidRPr="00933D66" w:rsidRDefault="00411B41" w:rsidP="00411B41">
      <w:pPr>
        <w:autoSpaceDE w:val="0"/>
        <w:autoSpaceDN w:val="0"/>
        <w:adjustRightInd w:val="0"/>
        <w:rPr>
          <w:rFonts w:cs="Calibri"/>
          <w:color w:val="000000"/>
          <w:szCs w:val="24"/>
        </w:rPr>
      </w:pPr>
    </w:p>
    <w:p w14:paraId="5ED71C31"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Comment: </w:t>
      </w:r>
      <w:r w:rsidRPr="00933D66">
        <w:rPr>
          <w:rFonts w:cs="Calibri"/>
          <w:color w:val="000000"/>
          <w:szCs w:val="24"/>
        </w:rPr>
        <w:t>Corey Fellows also recommended that MaineHousing restore scoring criteria for new Project-Based Rental Assistance (“PBRA”) to encourage sponsors to incorporate PBRA which is a   sustainable solution for long-term affordability.</w:t>
      </w:r>
    </w:p>
    <w:p w14:paraId="7D616714" w14:textId="77777777" w:rsidR="00411B41" w:rsidRPr="00933D66" w:rsidRDefault="00411B41" w:rsidP="00411B41">
      <w:pPr>
        <w:autoSpaceDE w:val="0"/>
        <w:autoSpaceDN w:val="0"/>
        <w:adjustRightInd w:val="0"/>
        <w:rPr>
          <w:rFonts w:cs="Calibri"/>
          <w:color w:val="000000"/>
          <w:szCs w:val="24"/>
        </w:rPr>
      </w:pPr>
    </w:p>
    <w:p w14:paraId="1CBC5DF5" w14:textId="77777777" w:rsidR="00411B41" w:rsidRPr="00933D66" w:rsidRDefault="00411B41" w:rsidP="00411B41">
      <w:pPr>
        <w:widowControl w:val="0"/>
        <w:autoSpaceDE w:val="0"/>
        <w:autoSpaceDN w:val="0"/>
        <w:adjustRightInd w:val="0"/>
        <w:rPr>
          <w:rFonts w:cs="Calibri"/>
          <w:szCs w:val="24"/>
        </w:rPr>
      </w:pPr>
      <w:r w:rsidRPr="00933D66">
        <w:rPr>
          <w:i/>
          <w:szCs w:val="24"/>
        </w:rPr>
        <w:t xml:space="preserve">Response: </w:t>
      </w:r>
      <w:r w:rsidRPr="00933D66">
        <w:rPr>
          <w:szCs w:val="24"/>
        </w:rPr>
        <w:t xml:space="preserve">MaineHousing removed the scoring criteria for new PBRA as in the past a number of local public housing authorities have pledged Project-Based Vouchers to their own projects, making it an unfair scoring advantage for those Developers that have their own Project-Based Vouchers. </w:t>
      </w:r>
      <w:r w:rsidRPr="00933D66">
        <w:rPr>
          <w:rFonts w:cs="Calibri"/>
          <w:color w:val="000000"/>
        </w:rPr>
        <w:t>Additionally, MaineHousing has committed to providing Project-Based Vouchers for each unit that a developer pledges to set-aside for special needs populations.</w:t>
      </w:r>
    </w:p>
    <w:p w14:paraId="016D44DE" w14:textId="77777777" w:rsidR="00411B41" w:rsidRPr="00933D66" w:rsidRDefault="00411B41" w:rsidP="00411B41">
      <w:pPr>
        <w:autoSpaceDE w:val="0"/>
        <w:autoSpaceDN w:val="0"/>
        <w:adjustRightInd w:val="0"/>
        <w:ind w:left="360"/>
        <w:rPr>
          <w:rFonts w:cs="Calibri"/>
          <w:szCs w:val="24"/>
        </w:rPr>
      </w:pPr>
    </w:p>
    <w:p w14:paraId="57F7A95A" w14:textId="77777777" w:rsidR="00411B41" w:rsidRPr="00933D66" w:rsidRDefault="00411B41" w:rsidP="00411B41">
      <w:pPr>
        <w:autoSpaceDE w:val="0"/>
        <w:autoSpaceDN w:val="0"/>
        <w:adjustRightInd w:val="0"/>
        <w:rPr>
          <w:rFonts w:cs="Calibri"/>
          <w:szCs w:val="24"/>
        </w:rPr>
      </w:pPr>
      <w:r w:rsidRPr="00933D66">
        <w:rPr>
          <w:rFonts w:cs="Calibri"/>
          <w:bCs/>
          <w:i/>
          <w:color w:val="000000"/>
          <w:szCs w:val="24"/>
        </w:rPr>
        <w:t>Comment:</w:t>
      </w:r>
      <w:r w:rsidRPr="00933D66">
        <w:rPr>
          <w:rFonts w:cs="Calibri"/>
          <w:b/>
          <w:bCs/>
          <w:i/>
          <w:color w:val="000000"/>
          <w:szCs w:val="24"/>
        </w:rPr>
        <w:t xml:space="preserve"> </w:t>
      </w:r>
      <w:r w:rsidRPr="00933D66">
        <w:rPr>
          <w:rFonts w:cs="Calibri"/>
          <w:bCs/>
          <w:color w:val="000000"/>
          <w:szCs w:val="24"/>
        </w:rPr>
        <w:t>Corey Fellows noted that</w:t>
      </w:r>
      <w:r w:rsidRPr="00933D66">
        <w:rPr>
          <w:rFonts w:cs="Calibri"/>
          <w:b/>
          <w:bCs/>
          <w:i/>
          <w:color w:val="000000"/>
          <w:szCs w:val="24"/>
        </w:rPr>
        <w:t xml:space="preserve"> </w:t>
      </w:r>
      <w:r w:rsidRPr="00933D66">
        <w:rPr>
          <w:rFonts w:cs="Calibri"/>
          <w:color w:val="000000"/>
          <w:szCs w:val="24"/>
        </w:rPr>
        <w:t xml:space="preserve">POAH supports MaineHousing’s revisions to the maximum credit </w:t>
      </w:r>
      <w:r w:rsidRPr="00933D66">
        <w:rPr>
          <w:rFonts w:cs="Calibri"/>
          <w:szCs w:val="24"/>
        </w:rPr>
        <w:t xml:space="preserve">amount, including the increased cap per Credit Unit and the imposition of a new $1.2M total maximum. </w:t>
      </w:r>
    </w:p>
    <w:p w14:paraId="5328BE15" w14:textId="77777777" w:rsidR="00411B41" w:rsidRPr="00933D66" w:rsidRDefault="00411B41" w:rsidP="00411B41">
      <w:pPr>
        <w:autoSpaceDE w:val="0"/>
        <w:autoSpaceDN w:val="0"/>
        <w:adjustRightInd w:val="0"/>
        <w:rPr>
          <w:rFonts w:cs="Calibri"/>
          <w:szCs w:val="24"/>
        </w:rPr>
      </w:pPr>
    </w:p>
    <w:p w14:paraId="5D110F82" w14:textId="77777777" w:rsidR="00411B41" w:rsidRPr="00933D66" w:rsidRDefault="00411B41" w:rsidP="00411B41">
      <w:pPr>
        <w:autoSpaceDE w:val="0"/>
        <w:autoSpaceDN w:val="0"/>
        <w:adjustRightInd w:val="0"/>
        <w:rPr>
          <w:szCs w:val="24"/>
        </w:rPr>
      </w:pPr>
      <w:r w:rsidRPr="00933D66">
        <w:rPr>
          <w:i/>
          <w:szCs w:val="24"/>
        </w:rPr>
        <w:t>Response:</w:t>
      </w:r>
      <w:r w:rsidRPr="00933D66">
        <w:rPr>
          <w:szCs w:val="24"/>
        </w:rPr>
        <w:t xml:space="preserve"> </w:t>
      </w:r>
      <w:r w:rsidRPr="00933D66">
        <w:rPr>
          <w:spacing w:val="-2"/>
          <w:szCs w:val="24"/>
        </w:rPr>
        <w:t>MaineHousing appreciates the support for those changes.</w:t>
      </w:r>
    </w:p>
    <w:p w14:paraId="728CCCEF" w14:textId="77777777" w:rsidR="00411B41" w:rsidRPr="00933D66" w:rsidRDefault="00411B41" w:rsidP="00411B41">
      <w:pPr>
        <w:numPr>
          <w:ilvl w:val="1"/>
          <w:numId w:val="66"/>
        </w:numPr>
        <w:autoSpaceDE w:val="0"/>
        <w:autoSpaceDN w:val="0"/>
        <w:adjustRightInd w:val="0"/>
        <w:spacing w:after="22"/>
        <w:ind w:hanging="360"/>
        <w:rPr>
          <w:rFonts w:cs="Calibri"/>
          <w:color w:val="000000"/>
          <w:szCs w:val="24"/>
        </w:rPr>
      </w:pPr>
    </w:p>
    <w:p w14:paraId="1E9EDD72" w14:textId="77777777" w:rsidR="00411B41" w:rsidRPr="00933D66" w:rsidRDefault="00411B41" w:rsidP="00411B41">
      <w:pPr>
        <w:numPr>
          <w:ilvl w:val="1"/>
          <w:numId w:val="66"/>
        </w:numPr>
        <w:autoSpaceDE w:val="0"/>
        <w:autoSpaceDN w:val="0"/>
        <w:adjustRightInd w:val="0"/>
        <w:spacing w:after="22"/>
        <w:ind w:hanging="360"/>
        <w:rPr>
          <w:rFonts w:cs="Calibri"/>
          <w:color w:val="000000"/>
          <w:szCs w:val="24"/>
        </w:rPr>
      </w:pPr>
      <w:r w:rsidRPr="00933D66">
        <w:rPr>
          <w:rFonts w:cs="Calibri"/>
          <w:bCs/>
          <w:i/>
          <w:color w:val="000000"/>
          <w:szCs w:val="24"/>
        </w:rPr>
        <w:t>Comment:</w:t>
      </w:r>
      <w:r w:rsidRPr="00933D66">
        <w:rPr>
          <w:rFonts w:cs="Calibri"/>
          <w:b/>
          <w:bCs/>
          <w:i/>
          <w:color w:val="000000"/>
          <w:szCs w:val="24"/>
        </w:rPr>
        <w:t xml:space="preserve"> </w:t>
      </w:r>
      <w:r w:rsidRPr="00933D66">
        <w:rPr>
          <w:rFonts w:cs="Calibri"/>
          <w:bCs/>
          <w:color w:val="000000"/>
          <w:szCs w:val="24"/>
        </w:rPr>
        <w:t xml:space="preserve">Corey Fellows noted that </w:t>
      </w:r>
      <w:r w:rsidRPr="00933D66">
        <w:rPr>
          <w:rFonts w:cs="Calibri"/>
          <w:color w:val="000000"/>
          <w:szCs w:val="24"/>
        </w:rPr>
        <w:t xml:space="preserve">POAH supports MaineHousing’s efforts to ensure its funded costs are reasonable and necessary, but is concerned that the TDC Index Cap will exclude some worthy projects from competing for MaineHousing resources. Fellows commented that the increased New Construction TDC Index Cap still remains too low, particularly for projects where certain desirable characteristics drive higher costs (i.e. projects for special populations with needs for specific physical accommodations or facilities, projects in high opportunity areas where land costs are higher, projects with advanced energy performance, and projects complying with new Build American, Buy American (“BABA”) requirements). </w:t>
      </w:r>
    </w:p>
    <w:p w14:paraId="4FA21230" w14:textId="77777777" w:rsidR="00411B41" w:rsidRPr="00933D66" w:rsidRDefault="00411B41" w:rsidP="00411B41">
      <w:pPr>
        <w:numPr>
          <w:ilvl w:val="1"/>
          <w:numId w:val="66"/>
        </w:numPr>
        <w:autoSpaceDE w:val="0"/>
        <w:autoSpaceDN w:val="0"/>
        <w:adjustRightInd w:val="0"/>
        <w:ind w:hanging="360"/>
        <w:rPr>
          <w:color w:val="FF0000"/>
          <w:szCs w:val="24"/>
        </w:rPr>
      </w:pPr>
    </w:p>
    <w:p w14:paraId="17A0A8FC" w14:textId="77777777" w:rsidR="00411B41" w:rsidRPr="00933D66" w:rsidRDefault="00411B41" w:rsidP="00411B41">
      <w:pPr>
        <w:numPr>
          <w:ilvl w:val="1"/>
          <w:numId w:val="66"/>
        </w:numPr>
        <w:autoSpaceDE w:val="0"/>
        <w:autoSpaceDN w:val="0"/>
        <w:adjustRightInd w:val="0"/>
        <w:ind w:hanging="360"/>
        <w:rPr>
          <w:szCs w:val="24"/>
        </w:rPr>
      </w:pPr>
      <w:r w:rsidRPr="00933D66">
        <w:rPr>
          <w:i/>
          <w:szCs w:val="24"/>
        </w:rPr>
        <w:t xml:space="preserve">Response: </w:t>
      </w:r>
      <w:r w:rsidRPr="00933D66">
        <w:rPr>
          <w:szCs w:val="24"/>
        </w:rPr>
        <w:t xml:space="preserve">MaineHousing took all of these factors into consideration when setting the new TDC caps. MaineHousing’s priority is to fund as many new, high quality housing units as possible with its limited resources.  Based on the costs in the current pipeline, as well as current labor and materials pricing and trends, MaineHousing is confident that the proposed TDC caps are </w:t>
      </w:r>
      <w:r w:rsidRPr="00933D66">
        <w:rPr>
          <w:szCs w:val="24"/>
        </w:rPr>
        <w:lastRenderedPageBreak/>
        <w:t xml:space="preserve">reasonable and will eliminate certain projects which would otherwise have a higher per unit cost than necessary. MaineHousing’s energy efficiency standards are already quite high and those costs are known; the adjustments to the standards do not add materially to the TDC. The effects of BABA are still unclear at this time. </w:t>
      </w:r>
    </w:p>
    <w:p w14:paraId="097F9475" w14:textId="77777777" w:rsidR="00411B41" w:rsidRPr="00933D66" w:rsidRDefault="00411B41" w:rsidP="00411B41">
      <w:pPr>
        <w:pStyle w:val="ListParagraph"/>
      </w:pPr>
    </w:p>
    <w:p w14:paraId="7E6EF5DC" w14:textId="77777777" w:rsidR="00411B41" w:rsidRPr="00933D66" w:rsidRDefault="00411B41" w:rsidP="00411B41">
      <w:pPr>
        <w:numPr>
          <w:ilvl w:val="1"/>
          <w:numId w:val="66"/>
        </w:numPr>
        <w:autoSpaceDE w:val="0"/>
        <w:autoSpaceDN w:val="0"/>
        <w:adjustRightInd w:val="0"/>
        <w:ind w:hanging="360"/>
        <w:rPr>
          <w:rFonts w:cs="Calibri"/>
          <w:color w:val="000000"/>
          <w:szCs w:val="24"/>
        </w:rPr>
      </w:pPr>
      <w:r w:rsidRPr="00933D66">
        <w:rPr>
          <w:rFonts w:cs="Calibri"/>
          <w:i/>
          <w:color w:val="000000"/>
          <w:szCs w:val="24"/>
        </w:rPr>
        <w:t>Comment:</w:t>
      </w:r>
      <w:r w:rsidRPr="00933D66">
        <w:rPr>
          <w:rFonts w:cs="Calibri"/>
          <w:color w:val="000000"/>
          <w:szCs w:val="24"/>
        </w:rPr>
        <w:t xml:space="preserve">  Corey Fellows also notes that the QAP’s Maximum Credit Amount provisions already serve to limit the LIHTC resources allocable to any given project, ensuring that higher cost developments will not claim a disproportionate share of agency resources, so there is no clear policy benefit from the TDC Index Cap to offset the real harm it may cause by excluding good projects from competing. Fellows recommended MaineHousing either eliminate the TDC Index Caps entirely or implement a waiver process for projects where special characteristics cause them to exceed the caps.</w:t>
      </w:r>
    </w:p>
    <w:p w14:paraId="01DB0352" w14:textId="77777777" w:rsidR="00411B41" w:rsidRPr="00933D66" w:rsidRDefault="00411B41" w:rsidP="00411B41">
      <w:pPr>
        <w:autoSpaceDE w:val="0"/>
        <w:autoSpaceDN w:val="0"/>
        <w:adjustRightInd w:val="0"/>
        <w:rPr>
          <w:szCs w:val="24"/>
        </w:rPr>
      </w:pPr>
    </w:p>
    <w:p w14:paraId="4A1B00C8" w14:textId="77777777" w:rsidR="00411B41" w:rsidRPr="00933D66" w:rsidRDefault="00411B41" w:rsidP="00411B41">
      <w:pPr>
        <w:autoSpaceDE w:val="0"/>
        <w:autoSpaceDN w:val="0"/>
        <w:adjustRightInd w:val="0"/>
        <w:rPr>
          <w:color w:val="FF0000"/>
          <w:szCs w:val="24"/>
        </w:rPr>
      </w:pPr>
      <w:r w:rsidRPr="00933D66">
        <w:rPr>
          <w:i/>
          <w:szCs w:val="24"/>
        </w:rPr>
        <w:t>Response:</w:t>
      </w:r>
      <w:r w:rsidRPr="00933D66">
        <w:rPr>
          <w:szCs w:val="24"/>
        </w:rPr>
        <w:t xml:space="preserve"> MaineHousing discusses TDC Caps in preparation for each QAP.  MaineHousing has determined that the clarity of specific cost targets is helpful to developers and therefore wishes to keep the TDC Caps. During the pandemic MaineHousing chose not to hold developers to hard caps, which resulted in longer negotiations and higher per unit costs. Most additional resources brought to a project are from other public resources and MaineHousing takes its responsibility as stewards of public funds seriously. In very limited circumstances, the Director of MaineHousing has the ability to waive program guidelines for good cause.</w:t>
      </w:r>
    </w:p>
    <w:p w14:paraId="08F9E801" w14:textId="77777777" w:rsidR="00411B41" w:rsidRPr="00933D66" w:rsidRDefault="00411B41" w:rsidP="00411B41">
      <w:pPr>
        <w:autoSpaceDE w:val="0"/>
        <w:autoSpaceDN w:val="0"/>
        <w:adjustRightInd w:val="0"/>
        <w:rPr>
          <w:color w:val="FF0000"/>
          <w:szCs w:val="24"/>
        </w:rPr>
      </w:pPr>
    </w:p>
    <w:p w14:paraId="764635B1"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Comment:</w:t>
      </w:r>
      <w:r w:rsidRPr="00933D66">
        <w:rPr>
          <w:rFonts w:cs="Calibri"/>
          <w:color w:val="000000"/>
          <w:szCs w:val="24"/>
        </w:rPr>
        <w:t xml:space="preserve"> Corey Fellows recommended that MaineHousing take into consideration when considering funding priorities and evaluating project budgets that different towns and regions have different demographics and needs and that the cost of securing local land-use approvals for family housing is often more difficult, time-consuming and expensive than senior housing. </w:t>
      </w:r>
    </w:p>
    <w:p w14:paraId="7E86C481" w14:textId="77777777" w:rsidR="00411B41" w:rsidRPr="00933D66" w:rsidRDefault="00411B41" w:rsidP="00411B41">
      <w:pPr>
        <w:autoSpaceDE w:val="0"/>
        <w:autoSpaceDN w:val="0"/>
        <w:adjustRightInd w:val="0"/>
        <w:rPr>
          <w:rFonts w:cs="Calibri"/>
          <w:color w:val="000000"/>
          <w:szCs w:val="24"/>
        </w:rPr>
      </w:pPr>
    </w:p>
    <w:p w14:paraId="132D76C9" w14:textId="77777777" w:rsidR="00411B41" w:rsidRPr="00933D66" w:rsidRDefault="00411B41" w:rsidP="00411B41">
      <w:pPr>
        <w:rPr>
          <w:szCs w:val="24"/>
        </w:rPr>
      </w:pPr>
      <w:r w:rsidRPr="00933D66">
        <w:rPr>
          <w:i/>
          <w:szCs w:val="24"/>
        </w:rPr>
        <w:t xml:space="preserve">Response: </w:t>
      </w:r>
      <w:r w:rsidRPr="00933D66">
        <w:rPr>
          <w:szCs w:val="24"/>
        </w:rPr>
        <w:t>MaineHousing does not prioritize housing for older adults over housing for families, or vice versa. Each housing type is eligible for an equal number of points under the QAP. MaineHousing will continue to track the number of units developed under each type of housing and can make adjustments in the future if the Board of Commissioners and MaineHousing Staff feel there is a trend towards unnecessarily producing more of one type of housing.</w:t>
      </w:r>
    </w:p>
    <w:p w14:paraId="5232C27A" w14:textId="77777777" w:rsidR="00411B41" w:rsidRPr="00933D66" w:rsidRDefault="00411B41" w:rsidP="00411B41">
      <w:pPr>
        <w:rPr>
          <w:i/>
          <w:szCs w:val="24"/>
        </w:rPr>
      </w:pPr>
    </w:p>
    <w:p w14:paraId="005BAAC6" w14:textId="77777777" w:rsidR="00411B41" w:rsidRPr="00933D66" w:rsidRDefault="00411B41" w:rsidP="00411B41">
      <w:pPr>
        <w:autoSpaceDE w:val="0"/>
        <w:autoSpaceDN w:val="0"/>
        <w:adjustRightInd w:val="0"/>
        <w:rPr>
          <w:rFonts w:cs="FranklinGothic-Book"/>
          <w:color w:val="000000"/>
          <w:szCs w:val="24"/>
        </w:rPr>
      </w:pPr>
      <w:r w:rsidRPr="00933D66">
        <w:rPr>
          <w:rFonts w:cs="FranklinGothic-Book"/>
          <w:i/>
          <w:color w:val="000000"/>
          <w:szCs w:val="24"/>
        </w:rPr>
        <w:t>Comment:</w:t>
      </w:r>
      <w:r w:rsidRPr="00933D66">
        <w:rPr>
          <w:rFonts w:cs="FranklinGothic-Book"/>
          <w:color w:val="000000"/>
          <w:szCs w:val="24"/>
        </w:rPr>
        <w:t xml:space="preserve"> Erinn Roos-Brown, Project Manager of Travois, Inc. </w:t>
      </w:r>
      <w:r w:rsidRPr="00933D66">
        <w:rPr>
          <w:szCs w:val="24"/>
        </w:rPr>
        <w:t xml:space="preserve">submitted written comments stating </w:t>
      </w:r>
      <w:r w:rsidRPr="00933D66">
        <w:rPr>
          <w:rFonts w:cs="FranklinGothic-Book"/>
          <w:color w:val="000000"/>
          <w:szCs w:val="24"/>
        </w:rPr>
        <w:t>that the requirements, in Section 4(B1.a) – Allocation Process: Existing Housing, for Acquisition and Rehabilitation Projects to “include the addition of at least 20 new units, or meet the requirements of the Preservation Set-Aside in Section 3.B” effectively eliminates Tribal entities from applying for acquisition and rehab projects under LIHTC in Maine due to: the smaller scale of Tribal projects; the financial feasibility; the limitation of buildable land in assigned Reservations; and the Federal funding available to Tribes which does not qualify for the Preservation Set-Aside. Roos-Brown recommended MaineHousing remove the requirement that 20 new units be developed as part of Acquisition and Rehabilitation projects.</w:t>
      </w:r>
    </w:p>
    <w:p w14:paraId="57B32959" w14:textId="77777777" w:rsidR="00411B41" w:rsidRPr="00933D66" w:rsidRDefault="00411B41" w:rsidP="00411B41">
      <w:pPr>
        <w:autoSpaceDE w:val="0"/>
        <w:autoSpaceDN w:val="0"/>
        <w:adjustRightInd w:val="0"/>
        <w:rPr>
          <w:rFonts w:cs="FranklinGothic-Book"/>
          <w:color w:val="000000"/>
          <w:szCs w:val="24"/>
        </w:rPr>
      </w:pPr>
    </w:p>
    <w:p w14:paraId="0F4616C0" w14:textId="77777777" w:rsidR="00411B41" w:rsidRPr="00933D66" w:rsidRDefault="00411B41" w:rsidP="00411B41">
      <w:pPr>
        <w:rPr>
          <w:szCs w:val="24"/>
        </w:rPr>
      </w:pPr>
      <w:r w:rsidRPr="00933D66">
        <w:rPr>
          <w:i/>
          <w:szCs w:val="24"/>
        </w:rPr>
        <w:t xml:space="preserve">Response: </w:t>
      </w:r>
      <w:r w:rsidRPr="00933D66">
        <w:rPr>
          <w:szCs w:val="24"/>
        </w:rPr>
        <w:t xml:space="preserve">The requirement that 20 new units be developed as part of Acquisition and Rehabilitation projects is aimed at achieving the goal of adding additional housing stock to Maine. MaineHousing believes this strikes the right balance between supporting acquisition &amp; rehabilitation of housing </w:t>
      </w:r>
      <w:r w:rsidRPr="00933D66">
        <w:rPr>
          <w:szCs w:val="24"/>
        </w:rPr>
        <w:lastRenderedPageBreak/>
        <w:t>and creating more affordable housing. MaineHousing continues to search for alternate methods of funding preservation, and increase the ability to do so when more funding is available.</w:t>
      </w:r>
    </w:p>
    <w:p w14:paraId="0EE37654" w14:textId="77777777" w:rsidR="00411B41" w:rsidRPr="00933D66" w:rsidRDefault="00411B41" w:rsidP="00411B41">
      <w:pPr>
        <w:rPr>
          <w:color w:val="FF0000"/>
          <w:szCs w:val="24"/>
        </w:rPr>
      </w:pPr>
    </w:p>
    <w:p w14:paraId="473F3F4B" w14:textId="77777777" w:rsidR="00411B41" w:rsidRPr="00933D66" w:rsidRDefault="00411B41" w:rsidP="00411B41">
      <w:pPr>
        <w:autoSpaceDE w:val="0"/>
        <w:autoSpaceDN w:val="0"/>
        <w:adjustRightInd w:val="0"/>
        <w:rPr>
          <w:rFonts w:cs="FranklinGothic-Book"/>
          <w:color w:val="000000"/>
          <w:szCs w:val="24"/>
        </w:rPr>
      </w:pPr>
      <w:r w:rsidRPr="00933D66">
        <w:rPr>
          <w:rFonts w:cs="FranklinGothic-Book"/>
          <w:i/>
          <w:color w:val="000000"/>
          <w:szCs w:val="24"/>
        </w:rPr>
        <w:t>Comment:</w:t>
      </w:r>
      <w:r w:rsidRPr="00933D66">
        <w:rPr>
          <w:szCs w:val="24"/>
        </w:rPr>
        <w:t xml:space="preserve"> </w:t>
      </w:r>
      <w:r w:rsidRPr="00933D66">
        <w:rPr>
          <w:rFonts w:cs="FranklinGothic-Book"/>
          <w:color w:val="000000"/>
          <w:szCs w:val="24"/>
        </w:rPr>
        <w:t>Erinn Roos-Brown also commented that the TDC Index Caps prescribed by MaineHousing are exceedingly low in comparison to LIHTC QAP TDC Caps nationwide. Roos-Brown requested MaineHousing recognize the calculated maximum unit development costs specifically for Tribal projects developed by HUD and include a reference to PIH-2023-30 as the applicable limits for Tribal projects</w:t>
      </w:r>
    </w:p>
    <w:p w14:paraId="606C04B9" w14:textId="77777777" w:rsidR="00411B41" w:rsidRPr="00933D66" w:rsidRDefault="00411B41" w:rsidP="00411B41">
      <w:pPr>
        <w:autoSpaceDE w:val="0"/>
        <w:autoSpaceDN w:val="0"/>
        <w:adjustRightInd w:val="0"/>
        <w:rPr>
          <w:rFonts w:cs="FranklinGothic-Book"/>
          <w:szCs w:val="24"/>
        </w:rPr>
      </w:pPr>
    </w:p>
    <w:p w14:paraId="2AFE1D4D" w14:textId="77777777" w:rsidR="00411B41" w:rsidRPr="00933D66" w:rsidRDefault="00411B41" w:rsidP="00411B41">
      <w:pPr>
        <w:autoSpaceDE w:val="0"/>
        <w:autoSpaceDN w:val="0"/>
        <w:adjustRightInd w:val="0"/>
        <w:rPr>
          <w:szCs w:val="24"/>
        </w:rPr>
      </w:pPr>
      <w:r w:rsidRPr="00933D66">
        <w:rPr>
          <w:i/>
          <w:szCs w:val="24"/>
        </w:rPr>
        <w:t xml:space="preserve">Response: </w:t>
      </w:r>
      <w:r w:rsidRPr="00933D66">
        <w:rPr>
          <w:szCs w:val="24"/>
        </w:rPr>
        <w:t xml:space="preserve">MaineHousing believes that the TDC Caps in Maine’s QAP are appropriate for Maine projects and allow for the creation of as many safe, efficient, quality units as possible. Based on a review of the projects in MaineHousing’s pipeline, developer partners are currently creating units for far less than the new proposed TDC Caps.  </w:t>
      </w:r>
    </w:p>
    <w:p w14:paraId="71B6E29E" w14:textId="77777777" w:rsidR="00411B41" w:rsidRPr="00933D66" w:rsidRDefault="00411B41" w:rsidP="00411B41">
      <w:pPr>
        <w:autoSpaceDE w:val="0"/>
        <w:autoSpaceDN w:val="0"/>
        <w:adjustRightInd w:val="0"/>
        <w:rPr>
          <w:rFonts w:cs="FranklinGothic-Book"/>
          <w:color w:val="000000"/>
          <w:szCs w:val="24"/>
        </w:rPr>
      </w:pPr>
    </w:p>
    <w:p w14:paraId="1020CAD3" w14:textId="77777777" w:rsidR="00411B41" w:rsidRPr="00933D66" w:rsidRDefault="00411B41" w:rsidP="00411B41">
      <w:pPr>
        <w:autoSpaceDE w:val="0"/>
        <w:autoSpaceDN w:val="0"/>
        <w:adjustRightInd w:val="0"/>
        <w:rPr>
          <w:rFonts w:cs="FranklinGothic-Book"/>
          <w:color w:val="000000"/>
          <w:szCs w:val="24"/>
        </w:rPr>
      </w:pPr>
      <w:r w:rsidRPr="00933D66">
        <w:rPr>
          <w:rFonts w:cs="FranklinGothic-Book"/>
          <w:i/>
          <w:color w:val="000000"/>
          <w:szCs w:val="24"/>
        </w:rPr>
        <w:t xml:space="preserve">Comment: </w:t>
      </w:r>
      <w:r w:rsidRPr="00933D66">
        <w:rPr>
          <w:rFonts w:cs="FranklinGothic-Book"/>
          <w:color w:val="000000"/>
          <w:szCs w:val="24"/>
        </w:rPr>
        <w:t>Erinn Roos-Brown stated that MaineHousing’s requirement for extensive amenities including a community room, significant broadband infrastructure requirements, and recreational areas at each project is challenging for Tribal developers. Roos-Brown requested MaineHousing eliminate these amenity requirements for Tribal projects or change them from threshold requirements to scoring categories instead.</w:t>
      </w:r>
    </w:p>
    <w:p w14:paraId="5511CB34" w14:textId="77777777" w:rsidR="00411B41" w:rsidRPr="00933D66" w:rsidRDefault="00411B41" w:rsidP="00411B41">
      <w:pPr>
        <w:autoSpaceDE w:val="0"/>
        <w:autoSpaceDN w:val="0"/>
        <w:adjustRightInd w:val="0"/>
        <w:rPr>
          <w:rFonts w:cs="FranklinGothic-Book"/>
          <w:color w:val="000000"/>
          <w:szCs w:val="24"/>
        </w:rPr>
      </w:pPr>
    </w:p>
    <w:p w14:paraId="26AD7FD4" w14:textId="77777777" w:rsidR="00411B41" w:rsidRPr="00933D66" w:rsidRDefault="00411B41" w:rsidP="00411B41">
      <w:pPr>
        <w:autoSpaceDE w:val="0"/>
        <w:autoSpaceDN w:val="0"/>
        <w:adjustRightInd w:val="0"/>
        <w:rPr>
          <w:szCs w:val="24"/>
        </w:rPr>
      </w:pPr>
      <w:r w:rsidRPr="00933D66">
        <w:rPr>
          <w:i/>
          <w:szCs w:val="24"/>
        </w:rPr>
        <w:t xml:space="preserve">Response: </w:t>
      </w:r>
      <w:r w:rsidRPr="00933D66">
        <w:rPr>
          <w:szCs w:val="24"/>
        </w:rPr>
        <w:t xml:space="preserve">MaineHousing believes that these amenities provide great benefits to the people MaineHousing serves and it is important that everyone have access to such amenities. If a developer can show readily available alternatives of equal quality and accessibility, MaineHousing may take that into consideration to avoid funding redundant resources.  </w:t>
      </w:r>
    </w:p>
    <w:p w14:paraId="690DBE1B" w14:textId="77777777" w:rsidR="00411B41" w:rsidRPr="00933D66" w:rsidRDefault="00411B41" w:rsidP="00411B41">
      <w:pPr>
        <w:autoSpaceDE w:val="0"/>
        <w:autoSpaceDN w:val="0"/>
        <w:adjustRightInd w:val="0"/>
        <w:rPr>
          <w:rFonts w:cs="FranklinGothic-Book"/>
          <w:color w:val="000000"/>
          <w:szCs w:val="24"/>
        </w:rPr>
      </w:pPr>
    </w:p>
    <w:p w14:paraId="4F4306B2" w14:textId="77777777" w:rsidR="00411B41" w:rsidRPr="00933D66" w:rsidRDefault="00411B41" w:rsidP="00411B41">
      <w:pPr>
        <w:autoSpaceDE w:val="0"/>
        <w:autoSpaceDN w:val="0"/>
        <w:adjustRightInd w:val="0"/>
        <w:rPr>
          <w:rFonts w:cs="FranklinGothic-Book"/>
          <w:color w:val="000000"/>
          <w:szCs w:val="24"/>
        </w:rPr>
      </w:pPr>
      <w:r w:rsidRPr="00933D66">
        <w:rPr>
          <w:rFonts w:cs="FranklinGothic-Book"/>
          <w:i/>
          <w:color w:val="000000"/>
          <w:szCs w:val="24"/>
        </w:rPr>
        <w:t>Comment:</w:t>
      </w:r>
      <w:r w:rsidRPr="00933D66">
        <w:rPr>
          <w:rFonts w:cs="FranklinGothic-Book"/>
          <w:color w:val="000000"/>
          <w:szCs w:val="24"/>
        </w:rPr>
        <w:t xml:space="preserve"> Erinn Roos-Brown recommended that MaineHousing change the scoring criteria in the Property Tax Relief category to 3 points for Projects located in areas of the State that do not assess or collect property taxes and Projects that are exempt from property taxes.</w:t>
      </w:r>
    </w:p>
    <w:p w14:paraId="5964C24A" w14:textId="77777777" w:rsidR="00411B41" w:rsidRPr="00933D66" w:rsidRDefault="00411B41" w:rsidP="00411B41">
      <w:pPr>
        <w:autoSpaceDE w:val="0"/>
        <w:autoSpaceDN w:val="0"/>
        <w:adjustRightInd w:val="0"/>
        <w:rPr>
          <w:szCs w:val="24"/>
        </w:rPr>
      </w:pPr>
    </w:p>
    <w:p w14:paraId="097E72BE" w14:textId="77777777" w:rsidR="00411B41" w:rsidRPr="00933D66" w:rsidRDefault="00411B41" w:rsidP="00411B41">
      <w:pPr>
        <w:autoSpaceDE w:val="0"/>
        <w:autoSpaceDN w:val="0"/>
        <w:adjustRightInd w:val="0"/>
        <w:rPr>
          <w:szCs w:val="24"/>
        </w:rPr>
      </w:pPr>
      <w:r w:rsidRPr="00933D66">
        <w:rPr>
          <w:i/>
          <w:szCs w:val="24"/>
        </w:rPr>
        <w:t>Response:</w:t>
      </w:r>
      <w:r w:rsidRPr="00933D66">
        <w:rPr>
          <w:szCs w:val="24"/>
        </w:rPr>
        <w:t xml:space="preserve"> The intent of this scoring category within the “Financial Characteristics” section is to reward developers who undertake the work required to bring additional resources to the Project, saving MaineHousing’s resources for additional housing production. Both the developer and community in which the housing will be built have undertaken a task for which points will be awarded. While the lack of property taxes on Tribal lands is of value, it is not awarded the maximum points due to the fact that neither the community nor the developer have undertaken a process for which these points are an incentive. MaineHousing welcome suggestions for other forms of funding assistance as an alternative for Tribal developers and communities.  </w:t>
      </w:r>
    </w:p>
    <w:p w14:paraId="53049F0A" w14:textId="77777777" w:rsidR="00411B41" w:rsidRPr="00933D66" w:rsidRDefault="00411B41" w:rsidP="00411B41">
      <w:pPr>
        <w:autoSpaceDE w:val="0"/>
        <w:autoSpaceDN w:val="0"/>
        <w:adjustRightInd w:val="0"/>
        <w:rPr>
          <w:rFonts w:cs="FranklinGothic-Book"/>
          <w:color w:val="000000"/>
          <w:szCs w:val="24"/>
        </w:rPr>
      </w:pPr>
    </w:p>
    <w:p w14:paraId="73562F6D" w14:textId="77777777" w:rsidR="00411B41" w:rsidRPr="00933D66" w:rsidRDefault="00411B41" w:rsidP="00411B41">
      <w:pPr>
        <w:autoSpaceDE w:val="0"/>
        <w:autoSpaceDN w:val="0"/>
        <w:adjustRightInd w:val="0"/>
        <w:rPr>
          <w:rFonts w:cs="FranklinGothic-Book"/>
          <w:color w:val="000000"/>
          <w:szCs w:val="24"/>
        </w:rPr>
      </w:pPr>
      <w:r w:rsidRPr="00933D66">
        <w:rPr>
          <w:rFonts w:cs="FranklinGothic-Book"/>
          <w:i/>
          <w:color w:val="000000"/>
          <w:szCs w:val="24"/>
        </w:rPr>
        <w:t xml:space="preserve">Comment: </w:t>
      </w:r>
      <w:r w:rsidRPr="00933D66">
        <w:rPr>
          <w:rFonts w:cs="FranklinGothic-Book"/>
          <w:color w:val="000000"/>
          <w:szCs w:val="24"/>
        </w:rPr>
        <w:t>Erinn Roos-Brown noted that Travois, Inc. supports keeping the language in the QAP that awards 8 points for Projects located on Tribal lands.</w:t>
      </w:r>
    </w:p>
    <w:p w14:paraId="4C665EE9" w14:textId="77777777" w:rsidR="00411B41" w:rsidRPr="00933D66" w:rsidRDefault="00411B41" w:rsidP="00411B41">
      <w:pPr>
        <w:autoSpaceDE w:val="0"/>
        <w:autoSpaceDN w:val="0"/>
        <w:adjustRightInd w:val="0"/>
        <w:rPr>
          <w:rFonts w:cs="FranklinGothic-Book"/>
          <w:color w:val="000000"/>
          <w:szCs w:val="24"/>
        </w:rPr>
      </w:pPr>
    </w:p>
    <w:p w14:paraId="0E53E34B" w14:textId="77777777" w:rsidR="00411B41" w:rsidRPr="00933D66" w:rsidRDefault="00411B41" w:rsidP="00411B41">
      <w:pPr>
        <w:autoSpaceDE w:val="0"/>
        <w:autoSpaceDN w:val="0"/>
        <w:adjustRightInd w:val="0"/>
        <w:rPr>
          <w:spacing w:val="-2"/>
          <w:szCs w:val="24"/>
        </w:rPr>
      </w:pPr>
      <w:r w:rsidRPr="00933D66">
        <w:rPr>
          <w:i/>
          <w:szCs w:val="24"/>
        </w:rPr>
        <w:t xml:space="preserve">Response: </w:t>
      </w:r>
      <w:r w:rsidRPr="00933D66">
        <w:rPr>
          <w:spacing w:val="-2"/>
          <w:szCs w:val="24"/>
        </w:rPr>
        <w:t>MaineHousing appreciates the support.</w:t>
      </w:r>
    </w:p>
    <w:p w14:paraId="733E0EFF" w14:textId="77777777" w:rsidR="00085BA1" w:rsidRDefault="00085BA1" w:rsidP="00411B41">
      <w:pPr>
        <w:autoSpaceDE w:val="0"/>
        <w:autoSpaceDN w:val="0"/>
        <w:adjustRightInd w:val="0"/>
        <w:rPr>
          <w:rFonts w:cs="FranklinGothic-Book"/>
          <w:i/>
          <w:color w:val="000000"/>
          <w:szCs w:val="24"/>
        </w:rPr>
      </w:pPr>
    </w:p>
    <w:p w14:paraId="0DF17EBC" w14:textId="3BCE451C" w:rsidR="00411B41" w:rsidRPr="00933D66" w:rsidRDefault="00411B41" w:rsidP="00411B41">
      <w:pPr>
        <w:autoSpaceDE w:val="0"/>
        <w:autoSpaceDN w:val="0"/>
        <w:adjustRightInd w:val="0"/>
        <w:rPr>
          <w:rFonts w:cs="Calibri"/>
          <w:color w:val="0000FF"/>
          <w:szCs w:val="24"/>
        </w:rPr>
      </w:pPr>
      <w:r w:rsidRPr="00933D66">
        <w:rPr>
          <w:rFonts w:cs="FranklinGothic-Book"/>
          <w:i/>
          <w:color w:val="000000"/>
          <w:szCs w:val="24"/>
        </w:rPr>
        <w:lastRenderedPageBreak/>
        <w:t xml:space="preserve">Comment: </w:t>
      </w:r>
      <w:r w:rsidRPr="00933D66">
        <w:rPr>
          <w:rFonts w:cs="FranklinGothic-Book"/>
          <w:color w:val="000000"/>
          <w:szCs w:val="24"/>
        </w:rPr>
        <w:t>Erinn Roos-Brown noted that the 15 points available in the Smart Growth category are typically a major challenge for Tribal projects and requested that this category have a 3-mile radius for Projects located on Tribal land and rural locations to create a fairer scoring opportunity.</w:t>
      </w:r>
    </w:p>
    <w:p w14:paraId="04979C8F" w14:textId="77777777" w:rsidR="00411B41" w:rsidRPr="00933D66" w:rsidRDefault="00411B41" w:rsidP="00411B41">
      <w:pPr>
        <w:autoSpaceDE w:val="0"/>
        <w:autoSpaceDN w:val="0"/>
        <w:adjustRightInd w:val="0"/>
        <w:rPr>
          <w:rFonts w:cs="FranklinGothic-Book"/>
          <w:color w:val="000000"/>
          <w:szCs w:val="24"/>
        </w:rPr>
      </w:pPr>
    </w:p>
    <w:p w14:paraId="475DDE82" w14:textId="36B4F951" w:rsidR="00411B41" w:rsidRDefault="00411B41" w:rsidP="00411B41">
      <w:pPr>
        <w:autoSpaceDE w:val="0"/>
        <w:autoSpaceDN w:val="0"/>
        <w:adjustRightInd w:val="0"/>
        <w:rPr>
          <w:szCs w:val="24"/>
        </w:rPr>
      </w:pPr>
      <w:r w:rsidRPr="00933D66">
        <w:rPr>
          <w:i/>
          <w:szCs w:val="24"/>
        </w:rPr>
        <w:t xml:space="preserve">Response: </w:t>
      </w:r>
      <w:r w:rsidRPr="00933D66">
        <w:rPr>
          <w:szCs w:val="24"/>
        </w:rPr>
        <w:t xml:space="preserve">MaineHousing believes access to transportation and proximity to activities important to daily living are key factors in making projects successful and accessible to all. The scoring criteria creates an opportunity for projects to provide on-demand transportation to receive points when the other categories are not an option. Additionally, the scoring criteria was adjusted to allow projects to score one point for each walkable activity of daily living rather than requiring at least 3 activities in order to obtain any points. </w:t>
      </w:r>
    </w:p>
    <w:p w14:paraId="57CD618E" w14:textId="77777777" w:rsidR="00085BA1" w:rsidRPr="00933D66" w:rsidRDefault="00085BA1" w:rsidP="00411B41">
      <w:pPr>
        <w:autoSpaceDE w:val="0"/>
        <w:autoSpaceDN w:val="0"/>
        <w:adjustRightInd w:val="0"/>
        <w:rPr>
          <w:szCs w:val="24"/>
        </w:rPr>
      </w:pPr>
    </w:p>
    <w:p w14:paraId="772E02C8" w14:textId="77777777" w:rsidR="00411B41" w:rsidRPr="00933D66" w:rsidRDefault="00411B41" w:rsidP="00411B41">
      <w:pPr>
        <w:autoSpaceDE w:val="0"/>
        <w:autoSpaceDN w:val="0"/>
        <w:adjustRightInd w:val="0"/>
        <w:rPr>
          <w:rFonts w:cs="FranklinGothic-Book"/>
          <w:color w:val="000000"/>
          <w:szCs w:val="24"/>
        </w:rPr>
      </w:pPr>
      <w:r w:rsidRPr="00933D66">
        <w:rPr>
          <w:rFonts w:cs="FranklinGothic-Book"/>
          <w:i/>
          <w:color w:val="000000"/>
          <w:szCs w:val="24"/>
        </w:rPr>
        <w:t xml:space="preserve">Comment: </w:t>
      </w:r>
      <w:r w:rsidRPr="00933D66">
        <w:rPr>
          <w:rFonts w:cs="FranklinGothic-Book"/>
          <w:color w:val="000000"/>
          <w:szCs w:val="24"/>
        </w:rPr>
        <w:t>Erinn Roos-Brown requested that MaineHousing change the language in Section 6(O), Management Experience, to match the language in Section M (Developer Capacity). Roos-Brown noted that Tribes have long-standing experiencing managing low income housing under other rules and regulations (NAHASDA and the 1937 Housing Act) that are similar to the LIHTC program and requiring property management agents to have previous LIHTC experiences puts Indigenous nations at a distinct disadvantage scoring wise.</w:t>
      </w:r>
    </w:p>
    <w:p w14:paraId="3B2D9F87" w14:textId="77777777" w:rsidR="00411B41" w:rsidRPr="00933D66" w:rsidRDefault="00411B41" w:rsidP="00411B41">
      <w:pPr>
        <w:autoSpaceDE w:val="0"/>
        <w:autoSpaceDN w:val="0"/>
        <w:adjustRightInd w:val="0"/>
        <w:rPr>
          <w:rFonts w:cs="FranklinGothic-Book"/>
          <w:color w:val="000000"/>
          <w:szCs w:val="24"/>
        </w:rPr>
      </w:pPr>
    </w:p>
    <w:p w14:paraId="604DD508" w14:textId="77777777" w:rsidR="00411B41" w:rsidRPr="00933D66" w:rsidRDefault="00411B41" w:rsidP="00411B41">
      <w:pPr>
        <w:autoSpaceDE w:val="0"/>
        <w:autoSpaceDN w:val="0"/>
        <w:adjustRightInd w:val="0"/>
        <w:rPr>
          <w:rFonts w:cs="FranklinGothic-Book"/>
          <w:color w:val="000000"/>
          <w:szCs w:val="24"/>
        </w:rPr>
      </w:pPr>
      <w:r w:rsidRPr="00933D66">
        <w:rPr>
          <w:rFonts w:cs="FranklinGothic-Book"/>
          <w:i/>
          <w:color w:val="000000"/>
          <w:szCs w:val="24"/>
        </w:rPr>
        <w:t>Response:</w:t>
      </w:r>
      <w:r w:rsidRPr="00933D66">
        <w:rPr>
          <w:rFonts w:cs="FranklinGothic-Book"/>
          <w:color w:val="000000"/>
          <w:szCs w:val="24"/>
        </w:rPr>
        <w:t xml:space="preserve"> MaineHousing has added clarifying language to Section 6(O), Management Experience, stating that experience successfully managing at least one (1) low income housing property developed under a Federal program that is substantially similar to LIHTC, to be determined at MaineHousing’s sole discretion, is experience that qualifies for 1 point. </w:t>
      </w:r>
    </w:p>
    <w:p w14:paraId="24F28FB1" w14:textId="77777777" w:rsidR="00411B41" w:rsidRPr="00933D66" w:rsidRDefault="00411B41" w:rsidP="00411B41">
      <w:pPr>
        <w:autoSpaceDE w:val="0"/>
        <w:autoSpaceDN w:val="0"/>
        <w:adjustRightInd w:val="0"/>
        <w:rPr>
          <w:rFonts w:cs="FranklinGothic-Book"/>
          <w:color w:val="000000"/>
          <w:szCs w:val="24"/>
        </w:rPr>
      </w:pPr>
    </w:p>
    <w:p w14:paraId="087F2F7A" w14:textId="77777777" w:rsidR="00411B41" w:rsidRPr="00933D66" w:rsidRDefault="00411B41" w:rsidP="00411B41">
      <w:pPr>
        <w:rPr>
          <w:szCs w:val="24"/>
        </w:rPr>
      </w:pPr>
      <w:r w:rsidRPr="00933D66">
        <w:rPr>
          <w:i/>
          <w:szCs w:val="24"/>
        </w:rPr>
        <w:t xml:space="preserve">Comment: </w:t>
      </w:r>
      <w:r w:rsidRPr="00933D66">
        <w:rPr>
          <w:szCs w:val="24"/>
        </w:rPr>
        <w:t xml:space="preserve">Nicole McKeith Director of Housing Initiatives at ProsperityME testified at the public hearing and submitted written comments stating that a two-year QAP does not allow for flexibility to change the QAP to reflect current housing priorities and the housing market climate. </w:t>
      </w:r>
    </w:p>
    <w:p w14:paraId="124D1B50" w14:textId="77777777" w:rsidR="00411B41" w:rsidRPr="00933D66" w:rsidRDefault="00411B41" w:rsidP="00411B41">
      <w:pPr>
        <w:rPr>
          <w:szCs w:val="24"/>
        </w:rPr>
      </w:pPr>
    </w:p>
    <w:p w14:paraId="331D842F" w14:textId="77777777" w:rsidR="00411B41" w:rsidRPr="00933D66" w:rsidRDefault="00411B41" w:rsidP="00411B41">
      <w:pPr>
        <w:rPr>
          <w:szCs w:val="24"/>
        </w:rPr>
      </w:pPr>
      <w:r w:rsidRPr="00933D66">
        <w:rPr>
          <w:i/>
          <w:szCs w:val="24"/>
        </w:rPr>
        <w:t xml:space="preserve">Response: </w:t>
      </w:r>
      <w:r w:rsidRPr="00933D66">
        <w:rPr>
          <w:szCs w:val="24"/>
        </w:rPr>
        <w:t xml:space="preserve">MaineHousing has responded to the development community in Maine by implementing a two-year QAP.  This allows developers to better plan their projects around MaineHousing requirements. In drafting the QAP MaineHousing considers current housing priorities and climate and projects trends over that two-year period in order to ensure a successful two-year QAP. MaineHousing has the ability, after the first year, to open rulemaking to make substantive changes to the QAP if it is deemed necessary.  </w:t>
      </w:r>
    </w:p>
    <w:p w14:paraId="0E64DACA" w14:textId="77777777" w:rsidR="00411B41" w:rsidRPr="00933D66" w:rsidRDefault="00411B41" w:rsidP="00411B41">
      <w:pPr>
        <w:ind w:firstLine="720"/>
        <w:rPr>
          <w:szCs w:val="24"/>
        </w:rPr>
      </w:pPr>
    </w:p>
    <w:p w14:paraId="4E2A3772" w14:textId="77777777" w:rsidR="00411B41" w:rsidRPr="00933D66" w:rsidRDefault="00411B41" w:rsidP="00411B41">
      <w:pPr>
        <w:rPr>
          <w:szCs w:val="24"/>
        </w:rPr>
      </w:pPr>
      <w:r w:rsidRPr="00933D66">
        <w:rPr>
          <w:i/>
          <w:szCs w:val="24"/>
        </w:rPr>
        <w:t xml:space="preserve">Comment: </w:t>
      </w:r>
      <w:r w:rsidRPr="00933D66">
        <w:rPr>
          <w:szCs w:val="24"/>
        </w:rPr>
        <w:t xml:space="preserve">Nicole McKeith commented that MaineHousing should consider QAP incentives or other policy initiatives to ensure New Mainer housing needs are adequately addressed. </w:t>
      </w:r>
    </w:p>
    <w:p w14:paraId="449DF5DE" w14:textId="77777777" w:rsidR="00411B41" w:rsidRPr="00933D66" w:rsidRDefault="00411B41" w:rsidP="00411B41">
      <w:pPr>
        <w:rPr>
          <w:szCs w:val="24"/>
        </w:rPr>
      </w:pPr>
    </w:p>
    <w:p w14:paraId="7AEE1D3D" w14:textId="77777777" w:rsidR="00411B41" w:rsidRPr="00933D66" w:rsidRDefault="00411B41" w:rsidP="00411B41">
      <w:pPr>
        <w:rPr>
          <w:szCs w:val="24"/>
        </w:rPr>
      </w:pPr>
      <w:r w:rsidRPr="00933D66">
        <w:rPr>
          <w:i/>
          <w:szCs w:val="24"/>
        </w:rPr>
        <w:t xml:space="preserve">Response: </w:t>
      </w:r>
      <w:r w:rsidRPr="00933D66">
        <w:rPr>
          <w:szCs w:val="24"/>
        </w:rPr>
        <w:t xml:space="preserve">MaineHousing is open to, and actively solicits advice on, how it can better serve the New Mainer population. MaineHousing has a variety of programs other than LIHTC including the Rural Affordable Rental Housing Program, the Affordable Homeownership Program, the Supportive Housing Program, the Recovery Housing Program, and special programs to assist individuals and families experiencing homelessness. Additionally, MaineHousing has allocated Emergency Housing Relief Funds to assist the New Mainer population, including assisting individuals and families in gaining access to LIHTC housing units. LIHTC projects must meet certain underwriting criteria, without which they are financially infeasible. Due to the small number of 9% LIHTC projects </w:t>
      </w:r>
      <w:r w:rsidRPr="00933D66">
        <w:rPr>
          <w:szCs w:val="24"/>
        </w:rPr>
        <w:lastRenderedPageBreak/>
        <w:t xml:space="preserve">funded in Maine annually, MaineHousing does not believe additional set-asides should be established.  </w:t>
      </w:r>
    </w:p>
    <w:p w14:paraId="1BE493F7" w14:textId="77777777" w:rsidR="00411B41" w:rsidRPr="00933D66" w:rsidRDefault="00411B41" w:rsidP="00411B41">
      <w:pPr>
        <w:rPr>
          <w:szCs w:val="24"/>
        </w:rPr>
      </w:pPr>
    </w:p>
    <w:p w14:paraId="2B0D264D" w14:textId="77777777" w:rsidR="00411B41" w:rsidRPr="00933D66" w:rsidRDefault="00411B41" w:rsidP="00411B41">
      <w:pPr>
        <w:rPr>
          <w:szCs w:val="24"/>
        </w:rPr>
      </w:pPr>
      <w:r w:rsidRPr="00933D66">
        <w:rPr>
          <w:i/>
          <w:szCs w:val="24"/>
        </w:rPr>
        <w:t xml:space="preserve">Comment: </w:t>
      </w:r>
      <w:r w:rsidRPr="00933D66">
        <w:rPr>
          <w:szCs w:val="24"/>
        </w:rPr>
        <w:t>Nicole McKeith commented that ProsperityME believes family projects and larger family units are discouraged through the scoring system as the scoring encourages Senior Projects. McKeith recommended MaineHousing allow exceptions that promote various bedroom size developments which would include exceptions to the TDC.</w:t>
      </w:r>
    </w:p>
    <w:p w14:paraId="32831AF6" w14:textId="77777777" w:rsidR="00411B41" w:rsidRPr="00933D66" w:rsidRDefault="00411B41" w:rsidP="00411B41">
      <w:pPr>
        <w:rPr>
          <w:szCs w:val="24"/>
        </w:rPr>
      </w:pPr>
    </w:p>
    <w:p w14:paraId="6AAE11AD" w14:textId="77777777" w:rsidR="00411B41" w:rsidRPr="00933D66" w:rsidRDefault="00411B41" w:rsidP="00411B41">
      <w:pPr>
        <w:rPr>
          <w:szCs w:val="24"/>
        </w:rPr>
      </w:pPr>
      <w:r w:rsidRPr="00933D66">
        <w:rPr>
          <w:i/>
          <w:szCs w:val="24"/>
        </w:rPr>
        <w:t xml:space="preserve">Response: </w:t>
      </w:r>
      <w:r w:rsidRPr="00933D66">
        <w:rPr>
          <w:szCs w:val="24"/>
        </w:rPr>
        <w:t xml:space="preserve">The QAP provides equal scoring opportunities for family and older adult projects.  Additionally, the TDC calculation is indexed to adjust for the number of bedrooms so as not to penalize units with more bedrooms. </w:t>
      </w:r>
    </w:p>
    <w:p w14:paraId="32E91089" w14:textId="77777777" w:rsidR="00411B41" w:rsidRPr="00933D66" w:rsidRDefault="00411B41" w:rsidP="00411B41">
      <w:pPr>
        <w:rPr>
          <w:color w:val="E36C0A" w:themeColor="accent6" w:themeShade="BF"/>
          <w:szCs w:val="24"/>
        </w:rPr>
      </w:pPr>
    </w:p>
    <w:p w14:paraId="322C26D2" w14:textId="77777777" w:rsidR="00411B41" w:rsidRPr="00933D66" w:rsidRDefault="00411B41" w:rsidP="00411B41">
      <w:pPr>
        <w:rPr>
          <w:szCs w:val="24"/>
        </w:rPr>
      </w:pPr>
      <w:r w:rsidRPr="00933D66">
        <w:rPr>
          <w:i/>
          <w:szCs w:val="24"/>
        </w:rPr>
        <w:t xml:space="preserve">Comment: </w:t>
      </w:r>
      <w:r w:rsidRPr="00933D66">
        <w:rPr>
          <w:szCs w:val="24"/>
        </w:rPr>
        <w:t xml:space="preserve">Nicole McKeith expressed concern about the decreased per unit average acquisition cost for new construction from $14,000 to $7,500, which eliminates the Greater Portland area for development. McKeith recommended eliminating Section 6(G) to allow scoring to be based strictly on TDC for items included in the eligible basis. </w:t>
      </w:r>
    </w:p>
    <w:p w14:paraId="62DA11F7" w14:textId="77777777" w:rsidR="00411B41" w:rsidRPr="00933D66" w:rsidRDefault="00411B41" w:rsidP="00411B41">
      <w:pPr>
        <w:rPr>
          <w:szCs w:val="24"/>
        </w:rPr>
      </w:pPr>
    </w:p>
    <w:p w14:paraId="62F01C1A" w14:textId="77777777" w:rsidR="00411B41" w:rsidRPr="00933D66" w:rsidRDefault="00411B41" w:rsidP="00411B41">
      <w:pPr>
        <w:rPr>
          <w:szCs w:val="24"/>
        </w:rPr>
      </w:pPr>
      <w:r w:rsidRPr="00933D66">
        <w:rPr>
          <w:i/>
          <w:szCs w:val="24"/>
        </w:rPr>
        <w:t xml:space="preserve">Response: </w:t>
      </w:r>
      <w:r w:rsidRPr="00933D66">
        <w:rPr>
          <w:szCs w:val="24"/>
        </w:rPr>
        <w:t>The average acquisition cost number is based off the average cost of recent projects.  The average continues to drop which indicates that developers are finding ways to save on the acquisition of properties. The intent of this scoring category is to reduce TDC by requiring more thoughtful use of funds. MaineHousing has seen no signs that developers are developing fewer units in the Greater Portland area, and wants to ensure that all parts of the State are appropriately served with this funding source.</w:t>
      </w:r>
    </w:p>
    <w:p w14:paraId="3072F673" w14:textId="77777777" w:rsidR="00411B41" w:rsidRPr="00933D66" w:rsidRDefault="00411B41" w:rsidP="00411B41">
      <w:pPr>
        <w:rPr>
          <w:szCs w:val="24"/>
        </w:rPr>
      </w:pPr>
    </w:p>
    <w:p w14:paraId="45656DEC" w14:textId="77777777" w:rsidR="00411B41" w:rsidRPr="00933D66" w:rsidRDefault="00411B41" w:rsidP="00411B41">
      <w:pPr>
        <w:rPr>
          <w:szCs w:val="24"/>
        </w:rPr>
      </w:pPr>
      <w:r w:rsidRPr="00933D66">
        <w:rPr>
          <w:i/>
          <w:szCs w:val="24"/>
        </w:rPr>
        <w:t xml:space="preserve">Comment: </w:t>
      </w:r>
      <w:r w:rsidRPr="00933D66">
        <w:rPr>
          <w:szCs w:val="24"/>
        </w:rPr>
        <w:t xml:space="preserve">Nicole McKeith commented it was unclear where the scoring criteria for Section 6, Project Location, was coming from and recommended changing the Section to reflect points for housing need. </w:t>
      </w:r>
    </w:p>
    <w:p w14:paraId="5F36CFE6" w14:textId="77777777" w:rsidR="00411B41" w:rsidRPr="00933D66" w:rsidRDefault="00411B41" w:rsidP="00411B41">
      <w:pPr>
        <w:rPr>
          <w:szCs w:val="24"/>
        </w:rPr>
      </w:pPr>
    </w:p>
    <w:p w14:paraId="54D28A3D" w14:textId="77777777" w:rsidR="00411B41" w:rsidRPr="00933D66" w:rsidRDefault="00411B41" w:rsidP="00411B41">
      <w:pPr>
        <w:rPr>
          <w:szCs w:val="24"/>
        </w:rPr>
      </w:pPr>
      <w:r w:rsidRPr="00933D66">
        <w:rPr>
          <w:i/>
          <w:szCs w:val="24"/>
        </w:rPr>
        <w:t xml:space="preserve">Response: </w:t>
      </w:r>
      <w:r w:rsidRPr="00933D66">
        <w:rPr>
          <w:szCs w:val="24"/>
        </w:rPr>
        <w:t>The State of Maine determines the Service Center communities each year and makes the information available on its website (</w:t>
      </w:r>
      <w:hyperlink r:id="rId46" w:history="1">
        <w:r w:rsidRPr="00933D66">
          <w:rPr>
            <w:rStyle w:val="Hyperlink"/>
          </w:rPr>
          <w:t>Service Centers: Municipal Planning Assistance Program: Maine DACF</w:t>
        </w:r>
      </w:hyperlink>
      <w:r w:rsidRPr="00933D66">
        <w:t>)</w:t>
      </w:r>
      <w:r w:rsidRPr="00933D66">
        <w:rPr>
          <w:szCs w:val="24"/>
        </w:rPr>
        <w:t xml:space="preserve">. Demand for affordable housing units in each Service Center is determined by subtracting the total number of available units for those at or below 60% of Area Median Income from the total number of households making 60% of Area Median Income or less. This housing needs analysis may result in changes to the scoring of individual municipalities in the Project Location Section of the QAP each time it is compiled. MaineHousing continually looks for better data and expertise in this area, but to date this has presented as the best method to assess housing need. MaineHousing welcomes and suggestions or alternative methods that may better assess housing needs in Maine. </w:t>
      </w:r>
    </w:p>
    <w:p w14:paraId="2C0E1E47" w14:textId="77777777" w:rsidR="00411B41" w:rsidRPr="00933D66" w:rsidRDefault="00411B41" w:rsidP="00411B41">
      <w:pPr>
        <w:rPr>
          <w:color w:val="E36C0A" w:themeColor="accent6" w:themeShade="BF"/>
          <w:szCs w:val="24"/>
        </w:rPr>
      </w:pPr>
    </w:p>
    <w:p w14:paraId="34AC54A6" w14:textId="77777777" w:rsidR="00411B41" w:rsidRPr="00933D66" w:rsidRDefault="00411B41" w:rsidP="00411B41">
      <w:pPr>
        <w:rPr>
          <w:szCs w:val="24"/>
        </w:rPr>
      </w:pPr>
      <w:r w:rsidRPr="00933D66">
        <w:rPr>
          <w:i/>
          <w:szCs w:val="24"/>
        </w:rPr>
        <w:t xml:space="preserve">Comment: </w:t>
      </w:r>
      <w:r w:rsidRPr="00933D66">
        <w:rPr>
          <w:szCs w:val="24"/>
        </w:rPr>
        <w:t>Nicole McKeith notes that Maine Housing could consider identifying opportunities to encourage more diversity in development and management teams by reducing barriers to entry, facilitating joint ventures, providing predevelopment capital, or creating other incentives for participation by underrepresented groups. McKeith asked for clarification on the term “successfully” that was added to each section.</w:t>
      </w:r>
    </w:p>
    <w:p w14:paraId="52382963" w14:textId="77777777" w:rsidR="00411B41" w:rsidRPr="00933D66" w:rsidRDefault="00411B41" w:rsidP="00411B41">
      <w:pPr>
        <w:rPr>
          <w:szCs w:val="24"/>
        </w:rPr>
      </w:pPr>
    </w:p>
    <w:p w14:paraId="4F98A6F0" w14:textId="77777777" w:rsidR="00411B41" w:rsidRPr="00933D66" w:rsidRDefault="00411B41" w:rsidP="00411B41">
      <w:pPr>
        <w:rPr>
          <w:szCs w:val="24"/>
        </w:rPr>
      </w:pPr>
      <w:r w:rsidRPr="00933D66">
        <w:rPr>
          <w:i/>
          <w:szCs w:val="24"/>
        </w:rPr>
        <w:lastRenderedPageBreak/>
        <w:t xml:space="preserve">Response: </w:t>
      </w:r>
      <w:r w:rsidRPr="00933D66">
        <w:rPr>
          <w:szCs w:val="24"/>
        </w:rPr>
        <w:t xml:space="preserve">MaineHousing regularly meets with a Cultural Advisory Board, made up of individuals with diverse cultural backgrounds that provide insight on how MaineHousing can assist in encouraging diversity in its programs. Additionally, MaineHousing encourages partnerships and provides scoring criteria that allows for points to be received based on collective experience of development teams. MaineHousing staff are available to answer questions new developers might have and can assist in linking new developers with experienced developers and consultants. MaineHousing also has engaged and will continue to engage the Genesis Fund to provide technical assistance, which has proven successful in assisting new developers enter MaineHousing programs. Every program MaineHousing offers is sent to Maine Small businesses, Women and Minority Businesses or Labor Surplus Area Firms that provide a similar service/program and a copy of each program is sent to Maine PTAC (Procurement Technical Assistance Center) for publishing on their website for greater outreach. </w:t>
      </w:r>
    </w:p>
    <w:p w14:paraId="2E491536" w14:textId="77777777" w:rsidR="00411B41" w:rsidRPr="00933D66" w:rsidRDefault="00411B41" w:rsidP="00411B41">
      <w:pPr>
        <w:rPr>
          <w:szCs w:val="24"/>
        </w:rPr>
      </w:pPr>
    </w:p>
    <w:p w14:paraId="44BF9228" w14:textId="77777777" w:rsidR="00411B41" w:rsidRPr="00933D66" w:rsidRDefault="00411B41" w:rsidP="00411B41">
      <w:pPr>
        <w:rPr>
          <w:szCs w:val="24"/>
        </w:rPr>
      </w:pPr>
      <w:r w:rsidRPr="00933D66">
        <w:rPr>
          <w:i/>
          <w:szCs w:val="24"/>
        </w:rPr>
        <w:t xml:space="preserve">Comment: </w:t>
      </w:r>
      <w:r w:rsidRPr="00933D66">
        <w:rPr>
          <w:szCs w:val="24"/>
        </w:rPr>
        <w:t>Nicole McKeith asked for clarification on the term “successfully” that was added to each section.</w:t>
      </w:r>
    </w:p>
    <w:p w14:paraId="0456E4B2" w14:textId="77777777" w:rsidR="00411B41" w:rsidRPr="00933D66" w:rsidRDefault="00411B41" w:rsidP="00411B41">
      <w:pPr>
        <w:rPr>
          <w:szCs w:val="24"/>
        </w:rPr>
      </w:pPr>
    </w:p>
    <w:p w14:paraId="1490442D" w14:textId="77777777" w:rsidR="00411B41" w:rsidRPr="00933D66" w:rsidRDefault="00411B41" w:rsidP="00411B41">
      <w:pPr>
        <w:rPr>
          <w:szCs w:val="24"/>
        </w:rPr>
      </w:pPr>
      <w:r w:rsidRPr="00933D66">
        <w:rPr>
          <w:i/>
          <w:szCs w:val="24"/>
        </w:rPr>
        <w:t>Response:</w:t>
      </w:r>
      <w:r w:rsidRPr="00933D66">
        <w:rPr>
          <w:szCs w:val="24"/>
        </w:rPr>
        <w:t xml:space="preserve"> Successful development experience means that the team has consistent recent experience delivering projects on budget and on time.</w:t>
      </w:r>
    </w:p>
    <w:p w14:paraId="7D943F12" w14:textId="77777777" w:rsidR="00411B41" w:rsidRPr="00933D66" w:rsidRDefault="00411B41" w:rsidP="00411B41">
      <w:pPr>
        <w:rPr>
          <w:color w:val="E36C0A" w:themeColor="accent6" w:themeShade="BF"/>
          <w:szCs w:val="24"/>
        </w:rPr>
      </w:pPr>
    </w:p>
    <w:p w14:paraId="3B4495BE" w14:textId="77777777" w:rsidR="00411B41" w:rsidRPr="00933D66" w:rsidRDefault="00411B41" w:rsidP="00411B41">
      <w:pPr>
        <w:rPr>
          <w:szCs w:val="24"/>
        </w:rPr>
      </w:pPr>
      <w:r w:rsidRPr="00933D66">
        <w:rPr>
          <w:i/>
          <w:szCs w:val="24"/>
        </w:rPr>
        <w:t xml:space="preserve">Comment: </w:t>
      </w:r>
      <w:r w:rsidRPr="00933D66">
        <w:rPr>
          <w:szCs w:val="24"/>
        </w:rPr>
        <w:t xml:space="preserve">Nicole McKeith commented that one of the required selection criteria under Section 42 of the Internal Revenue Code is ‘projects intended for eventual tenant ownership’ and recommended that MaineHousing add an additional section of requirements for eventual homeownership, or clarify in Section 6(Q) what is required. </w:t>
      </w:r>
    </w:p>
    <w:p w14:paraId="51316BC5" w14:textId="77777777" w:rsidR="00411B41" w:rsidRPr="00933D66" w:rsidRDefault="00411B41" w:rsidP="00411B41">
      <w:pPr>
        <w:rPr>
          <w:szCs w:val="24"/>
        </w:rPr>
      </w:pPr>
    </w:p>
    <w:p w14:paraId="700044EC" w14:textId="77777777" w:rsidR="00411B41" w:rsidRPr="00933D66" w:rsidRDefault="00411B41" w:rsidP="00411B41">
      <w:pPr>
        <w:rPr>
          <w:szCs w:val="24"/>
        </w:rPr>
      </w:pPr>
      <w:r w:rsidRPr="00933D66">
        <w:rPr>
          <w:i/>
          <w:szCs w:val="24"/>
        </w:rPr>
        <w:t xml:space="preserve">Response: </w:t>
      </w:r>
      <w:r w:rsidRPr="00933D66">
        <w:rPr>
          <w:szCs w:val="24"/>
        </w:rPr>
        <w:t xml:space="preserve">Section 6(Q) states that if there is a need for a tie breaker because applications with the same score request the same amount of Credit and 0% deferred debt per unit, the project with the most acceptable plan to convert the project to affordable homeownership for the residents after the Extended Use Period will have priority. Section 6(Q) outlines that the plan must describe the process for transferring ownership to the residents, the purchase price or process for determining it, any financial assistance available for residents (including any reserves), how the affordability will be maintained, and must provide for homebuyer counseling and professional representation of the residents at the time of conversation. To date, no feasible plan for rental projects to transition to homeownership through the Tax Credit Program has been presented to MaineHousing. Additionally, due to the limited funding available for affordable rental units and the desire to maintain the affordability as rental units, it is most advantageous for projects to remain rental units for a minimum of 45 years. MaineHousing welcomes suggestions as to how to better promote and encourage this concept. </w:t>
      </w:r>
    </w:p>
    <w:p w14:paraId="55610233" w14:textId="77777777" w:rsidR="00411B41" w:rsidRPr="00933D66" w:rsidRDefault="00411B41" w:rsidP="00411B41">
      <w:pPr>
        <w:rPr>
          <w:szCs w:val="24"/>
        </w:rPr>
      </w:pPr>
    </w:p>
    <w:p w14:paraId="059E5119" w14:textId="77777777" w:rsidR="00411B41" w:rsidRPr="00933D66" w:rsidRDefault="00411B41" w:rsidP="00411B41">
      <w:pPr>
        <w:rPr>
          <w:szCs w:val="24"/>
        </w:rPr>
      </w:pPr>
      <w:r w:rsidRPr="00933D66">
        <w:rPr>
          <w:i/>
          <w:szCs w:val="24"/>
        </w:rPr>
        <w:t xml:space="preserve">Comment: </w:t>
      </w:r>
      <w:r w:rsidRPr="00933D66">
        <w:rPr>
          <w:szCs w:val="24"/>
        </w:rPr>
        <w:t xml:space="preserve">Nicole McKeith asked if there is a list of approved Market Study analysts that MaineHousing considers qualified professionals. </w:t>
      </w:r>
    </w:p>
    <w:p w14:paraId="2599D525" w14:textId="77777777" w:rsidR="00411B41" w:rsidRPr="00933D66" w:rsidRDefault="00411B41" w:rsidP="00411B41">
      <w:pPr>
        <w:rPr>
          <w:szCs w:val="24"/>
        </w:rPr>
      </w:pPr>
    </w:p>
    <w:p w14:paraId="1992B49A" w14:textId="77777777" w:rsidR="00411B41" w:rsidRPr="00933D66" w:rsidRDefault="00411B41" w:rsidP="00411B41">
      <w:pPr>
        <w:rPr>
          <w:szCs w:val="24"/>
        </w:rPr>
      </w:pPr>
      <w:r w:rsidRPr="00933D66">
        <w:rPr>
          <w:i/>
          <w:szCs w:val="24"/>
        </w:rPr>
        <w:t xml:space="preserve">Response: </w:t>
      </w:r>
      <w:r w:rsidRPr="00933D66">
        <w:rPr>
          <w:szCs w:val="24"/>
        </w:rPr>
        <w:t xml:space="preserve">MaineHousing requires market studies prepared by National Council of Housing Market Analysts (“NCHMA”), the only professional body dedicated exclusively to enhancing the professionalism and standards surrounding residential rental real estate market analysis. NCHMA </w:t>
      </w:r>
      <w:r w:rsidRPr="00933D66">
        <w:rPr>
          <w:szCs w:val="24"/>
        </w:rPr>
        <w:lastRenderedPageBreak/>
        <w:t>can provide professionals in Maine that meet the definition of qualified professional under the QAP.</w:t>
      </w:r>
    </w:p>
    <w:p w14:paraId="2C27285A" w14:textId="77777777" w:rsidR="00411B41" w:rsidRPr="00933D66" w:rsidRDefault="00411B41" w:rsidP="00411B41">
      <w:pPr>
        <w:rPr>
          <w:color w:val="E36C0A" w:themeColor="accent6" w:themeShade="BF"/>
          <w:szCs w:val="24"/>
        </w:rPr>
      </w:pPr>
    </w:p>
    <w:p w14:paraId="7543C535" w14:textId="77777777" w:rsidR="00411B41" w:rsidRPr="00933D66" w:rsidRDefault="00411B41" w:rsidP="00411B41">
      <w:pPr>
        <w:rPr>
          <w:szCs w:val="24"/>
        </w:rPr>
      </w:pPr>
      <w:r w:rsidRPr="00933D66">
        <w:rPr>
          <w:i/>
          <w:szCs w:val="24"/>
        </w:rPr>
        <w:t xml:space="preserve">Comment: </w:t>
      </w:r>
      <w:r w:rsidRPr="00933D66">
        <w:rPr>
          <w:szCs w:val="24"/>
        </w:rPr>
        <w:t xml:space="preserve">Nicole McKeith asks that MaineHousing provide flexibility for Housing Credit owners to utilize the optimal utility allowance for each development and to encourage utility allowances that accurately reflect anticipated utility consumption. </w:t>
      </w:r>
    </w:p>
    <w:p w14:paraId="43F16B27" w14:textId="77777777" w:rsidR="00411B41" w:rsidRPr="00933D66" w:rsidRDefault="00411B41" w:rsidP="00411B41">
      <w:pPr>
        <w:rPr>
          <w:szCs w:val="24"/>
        </w:rPr>
      </w:pPr>
    </w:p>
    <w:p w14:paraId="1FA89C66" w14:textId="77777777" w:rsidR="00411B41" w:rsidRPr="00933D66" w:rsidRDefault="00411B41" w:rsidP="00411B41">
      <w:pPr>
        <w:rPr>
          <w:szCs w:val="24"/>
        </w:rPr>
      </w:pPr>
      <w:r w:rsidRPr="00933D66">
        <w:rPr>
          <w:i/>
          <w:szCs w:val="24"/>
        </w:rPr>
        <w:t xml:space="preserve">Response: </w:t>
      </w:r>
      <w:r w:rsidRPr="00933D66">
        <w:rPr>
          <w:szCs w:val="24"/>
        </w:rPr>
        <w:t>MaineHousing allows developers to use the maximum utility allowances. The QAP has been revised to start requiring utility monitoring which should provide developers and MaineHousing with the ability to better estimate consumption over time.</w:t>
      </w:r>
    </w:p>
    <w:p w14:paraId="2284B7BE" w14:textId="77777777" w:rsidR="00411B41" w:rsidRPr="00933D66" w:rsidRDefault="00411B41" w:rsidP="00411B41">
      <w:pPr>
        <w:rPr>
          <w:b/>
          <w:bCs/>
          <w:szCs w:val="24"/>
        </w:rPr>
      </w:pPr>
    </w:p>
    <w:p w14:paraId="5889C0D3" w14:textId="77777777" w:rsidR="00411B41" w:rsidRPr="00933D66" w:rsidRDefault="00411B41" w:rsidP="00411B41">
      <w:pPr>
        <w:rPr>
          <w:szCs w:val="24"/>
        </w:rPr>
      </w:pPr>
      <w:r w:rsidRPr="00933D66">
        <w:rPr>
          <w:i/>
          <w:szCs w:val="24"/>
        </w:rPr>
        <w:t xml:space="preserve">Comment: </w:t>
      </w:r>
      <w:r w:rsidRPr="00933D66">
        <w:rPr>
          <w:szCs w:val="24"/>
        </w:rPr>
        <w:t>Nicole McKeith commented that allowing twinned 4% and 9% projects leverages the benefits of both programs across different portions of the development, offering a nuanced solution to funding challenges and producing more units in a project.</w:t>
      </w:r>
    </w:p>
    <w:p w14:paraId="37B73F76" w14:textId="77777777" w:rsidR="00411B41" w:rsidRPr="00933D66" w:rsidRDefault="00411B41" w:rsidP="00411B41">
      <w:pPr>
        <w:rPr>
          <w:szCs w:val="24"/>
        </w:rPr>
      </w:pPr>
    </w:p>
    <w:p w14:paraId="0C0A5F6C" w14:textId="77777777" w:rsidR="00411B41" w:rsidRPr="00933D66" w:rsidRDefault="00411B41" w:rsidP="00411B41">
      <w:pPr>
        <w:rPr>
          <w:szCs w:val="24"/>
        </w:rPr>
      </w:pPr>
      <w:r w:rsidRPr="00933D66">
        <w:rPr>
          <w:i/>
          <w:szCs w:val="24"/>
        </w:rPr>
        <w:t xml:space="preserve">Response: </w:t>
      </w:r>
      <w:r w:rsidRPr="00933D66">
        <w:rPr>
          <w:szCs w:val="24"/>
        </w:rPr>
        <w:t xml:space="preserve">In Maine, both 9% and 4% projects typically need soft money, or subsidy, requiring developers to compete for resources. In competitions, project feasibility is required and thus “twinning” 4% and 9% projects does not work as a project is not guaranteed to be successful in the second competition, thus rendering the project infeasible in the first competition. Twinning is more common where competition for soft money is not required.  </w:t>
      </w:r>
    </w:p>
    <w:p w14:paraId="04FB65A4" w14:textId="77777777" w:rsidR="00411B41" w:rsidRPr="00933D66" w:rsidRDefault="00411B41" w:rsidP="00411B41">
      <w:pPr>
        <w:rPr>
          <w:szCs w:val="24"/>
        </w:rPr>
      </w:pPr>
    </w:p>
    <w:p w14:paraId="3B76E8EB" w14:textId="77777777" w:rsidR="00411B41" w:rsidRPr="00933D66" w:rsidRDefault="00411B41" w:rsidP="00411B41">
      <w:pPr>
        <w:rPr>
          <w:szCs w:val="24"/>
        </w:rPr>
      </w:pPr>
      <w:r w:rsidRPr="00933D66">
        <w:rPr>
          <w:i/>
          <w:szCs w:val="24"/>
        </w:rPr>
        <w:t xml:space="preserve">Comment: </w:t>
      </w:r>
      <w:r w:rsidRPr="00933D66">
        <w:rPr>
          <w:szCs w:val="24"/>
        </w:rPr>
        <w:t xml:space="preserve">Nicole McKeith noted that average income was not addressed in the QAP and asked if it was allowed. </w:t>
      </w:r>
    </w:p>
    <w:p w14:paraId="5BD25CE1" w14:textId="77777777" w:rsidR="00411B41" w:rsidRPr="00933D66" w:rsidRDefault="00411B41" w:rsidP="00411B41">
      <w:pPr>
        <w:rPr>
          <w:szCs w:val="24"/>
        </w:rPr>
      </w:pPr>
    </w:p>
    <w:p w14:paraId="304217F4" w14:textId="77777777" w:rsidR="00411B41" w:rsidRPr="00933D66" w:rsidRDefault="00411B41" w:rsidP="00411B41">
      <w:pPr>
        <w:rPr>
          <w:szCs w:val="24"/>
        </w:rPr>
      </w:pPr>
      <w:r w:rsidRPr="00933D66">
        <w:rPr>
          <w:i/>
          <w:szCs w:val="24"/>
        </w:rPr>
        <w:t xml:space="preserve">Response: </w:t>
      </w:r>
      <w:r w:rsidRPr="00933D66">
        <w:rPr>
          <w:szCs w:val="24"/>
        </w:rPr>
        <w:t>Income averaging is allowed under the right circumstances. Applicants should have a conversation with MaineHousing’s Asset Management and Development teams before incorporating income averaging in their development pro formas. Considerations include management company willingness and experience with income averaging and the management company’s ability to report required information through their software systems.</w:t>
      </w:r>
    </w:p>
    <w:p w14:paraId="729DBAE9" w14:textId="77777777" w:rsidR="00411B41" w:rsidRPr="00933D66" w:rsidRDefault="00411B41" w:rsidP="00411B41">
      <w:pPr>
        <w:rPr>
          <w:szCs w:val="24"/>
        </w:rPr>
      </w:pPr>
    </w:p>
    <w:p w14:paraId="28188398" w14:textId="77777777" w:rsidR="00411B41" w:rsidRPr="00933D66" w:rsidRDefault="00411B41" w:rsidP="00411B41">
      <w:pPr>
        <w:rPr>
          <w:szCs w:val="24"/>
        </w:rPr>
      </w:pPr>
      <w:r w:rsidRPr="00933D66">
        <w:rPr>
          <w:i/>
          <w:szCs w:val="24"/>
        </w:rPr>
        <w:t xml:space="preserve">Comment: </w:t>
      </w:r>
      <w:r w:rsidRPr="00933D66">
        <w:rPr>
          <w:szCs w:val="24"/>
        </w:rPr>
        <w:t>Nicole McKeith commented that the informational sessions regarding the QAP, don’t seem very interactive and recommended that MaineHousing encourage more public involvement in developing policies.</w:t>
      </w:r>
    </w:p>
    <w:p w14:paraId="4F7D16F0" w14:textId="77777777" w:rsidR="00411B41" w:rsidRPr="00933D66" w:rsidRDefault="00411B41" w:rsidP="00411B41">
      <w:pPr>
        <w:rPr>
          <w:szCs w:val="24"/>
        </w:rPr>
      </w:pPr>
    </w:p>
    <w:p w14:paraId="0CE5E249" w14:textId="77777777" w:rsidR="00411B41" w:rsidRPr="00933D66" w:rsidRDefault="00411B41" w:rsidP="00411B41">
      <w:pPr>
        <w:rPr>
          <w:szCs w:val="24"/>
        </w:rPr>
      </w:pPr>
      <w:r w:rsidRPr="00933D66">
        <w:rPr>
          <w:i/>
          <w:szCs w:val="24"/>
        </w:rPr>
        <w:t xml:space="preserve">Response: </w:t>
      </w:r>
      <w:r w:rsidRPr="00933D66">
        <w:rPr>
          <w:szCs w:val="24"/>
        </w:rPr>
        <w:t>MaineHousing holds several sessions throughout each year to listen to and discuss potential changes and emerging needs in the affordable housing market. For the 2025-2026 QAP MaineHousing received less input than in the past, which suggests that the current QAP is serving the State’s need at this time. MaineHousing encourages all partners to participate and engage with MaineHousing staff at any time.</w:t>
      </w:r>
    </w:p>
    <w:p w14:paraId="6A26CFFA" w14:textId="77777777" w:rsidR="00411B41" w:rsidRPr="00933D66" w:rsidRDefault="00411B41" w:rsidP="00411B41">
      <w:pPr>
        <w:rPr>
          <w:szCs w:val="24"/>
        </w:rPr>
      </w:pPr>
    </w:p>
    <w:p w14:paraId="6E059245" w14:textId="77777777" w:rsidR="00411B41" w:rsidRPr="00933D66" w:rsidRDefault="00411B41" w:rsidP="00411B41">
      <w:pPr>
        <w:rPr>
          <w:szCs w:val="24"/>
        </w:rPr>
      </w:pPr>
      <w:r w:rsidRPr="00933D66">
        <w:rPr>
          <w:i/>
          <w:szCs w:val="24"/>
        </w:rPr>
        <w:t xml:space="preserve">Comment: </w:t>
      </w:r>
      <w:r w:rsidRPr="00933D66">
        <w:rPr>
          <w:szCs w:val="24"/>
        </w:rPr>
        <w:t xml:space="preserve">Nicole McKeith commented that overall, ProsperityME would like to see more policies to encourage housing development for New Mainers. </w:t>
      </w:r>
    </w:p>
    <w:p w14:paraId="66C942D9" w14:textId="77777777" w:rsidR="00411B41" w:rsidRPr="00933D66" w:rsidRDefault="00411B41" w:rsidP="00411B41">
      <w:pPr>
        <w:rPr>
          <w:szCs w:val="24"/>
        </w:rPr>
      </w:pPr>
    </w:p>
    <w:p w14:paraId="52165A52" w14:textId="77777777" w:rsidR="00411B41" w:rsidRPr="00933D66" w:rsidRDefault="00411B41" w:rsidP="00411B41">
      <w:pPr>
        <w:rPr>
          <w:szCs w:val="24"/>
        </w:rPr>
      </w:pPr>
      <w:r w:rsidRPr="00933D66">
        <w:rPr>
          <w:i/>
          <w:szCs w:val="24"/>
        </w:rPr>
        <w:t xml:space="preserve">Response: </w:t>
      </w:r>
      <w:r w:rsidRPr="00933D66">
        <w:rPr>
          <w:szCs w:val="24"/>
        </w:rPr>
        <w:t xml:space="preserve">MaineHousing is open to, and actively solicits advice on, how it can better serve the New Mainer population. As mentioned in response to McKeith’s earlier comment, MaineHousing has a </w:t>
      </w:r>
      <w:r w:rsidRPr="00933D66">
        <w:rPr>
          <w:szCs w:val="24"/>
        </w:rPr>
        <w:lastRenderedPageBreak/>
        <w:t>variety of programs, including the Rural Affordable Rental Housing Program, the Affordable Homeownership Program, the Supportive Housing Program, the Recovery Housing Program, and special programs to assist individuals and families experiencing homelessness. Additionally, MaineHousing has allocated Emergency Housing Relief Funds to assist the New Mainer population, including assisting individuals and families in gaining access to LIHTC housing units. MaineHousing encourages developers to provide suggestions on additional steps that could be taken, keeping in mind the economics of the LIHTC projects.</w:t>
      </w:r>
    </w:p>
    <w:p w14:paraId="3E93CD50" w14:textId="77777777" w:rsidR="00411B41" w:rsidRPr="00933D66" w:rsidRDefault="00411B41" w:rsidP="00411B41">
      <w:pPr>
        <w:rPr>
          <w:szCs w:val="24"/>
        </w:rPr>
      </w:pPr>
    </w:p>
    <w:p w14:paraId="47384184" w14:textId="77777777" w:rsidR="00411B41" w:rsidRPr="00933D66" w:rsidRDefault="00411B41" w:rsidP="00411B41">
      <w:pPr>
        <w:rPr>
          <w:szCs w:val="24"/>
        </w:rPr>
      </w:pPr>
      <w:r w:rsidRPr="00933D66">
        <w:rPr>
          <w:i/>
          <w:szCs w:val="24"/>
        </w:rPr>
        <w:t>Comment:</w:t>
      </w:r>
      <w:r w:rsidRPr="00933D66">
        <w:rPr>
          <w:szCs w:val="24"/>
        </w:rPr>
        <w:t xml:space="preserve"> Claude Rwaganje, Executive Director of ProsperityME, provided testimony at the public hearing asking MaineHousing to look for a balance between senior and family housing to avoid a disproportionate award of senior projects over family projects.</w:t>
      </w:r>
    </w:p>
    <w:p w14:paraId="54363B6B" w14:textId="77777777" w:rsidR="00411B41" w:rsidRPr="00933D66" w:rsidRDefault="00411B41" w:rsidP="00411B41">
      <w:pPr>
        <w:rPr>
          <w:szCs w:val="24"/>
        </w:rPr>
      </w:pPr>
    </w:p>
    <w:p w14:paraId="3F92693D" w14:textId="77777777" w:rsidR="00411B41" w:rsidRPr="00933D66" w:rsidRDefault="00411B41" w:rsidP="00411B41">
      <w:pPr>
        <w:rPr>
          <w:szCs w:val="24"/>
        </w:rPr>
      </w:pPr>
      <w:r w:rsidRPr="00933D66">
        <w:rPr>
          <w:i/>
          <w:szCs w:val="24"/>
        </w:rPr>
        <w:t>Response:</w:t>
      </w:r>
      <w:r w:rsidRPr="00933D66">
        <w:rPr>
          <w:szCs w:val="24"/>
        </w:rPr>
        <w:t xml:space="preserve"> MaineHousing does not prioritize housing for older adults over housing for families, or vice versa. Each housing type is eligible for an equal number of points under the QAP.  MaineHousing will continue to track the number of units developed under each type of housing and can make adjustments in the future if the Board of Commissioners and MaineHousing Staff feel there is a trend towards unnecessarily producing more of one type of housing.</w:t>
      </w:r>
    </w:p>
    <w:p w14:paraId="6EDC1C2E" w14:textId="77777777" w:rsidR="00411B41" w:rsidRPr="00933D66" w:rsidRDefault="00411B41" w:rsidP="00411B41">
      <w:pPr>
        <w:rPr>
          <w:szCs w:val="24"/>
        </w:rPr>
      </w:pPr>
    </w:p>
    <w:p w14:paraId="0D31F472" w14:textId="77777777" w:rsidR="00411B41" w:rsidRPr="00933D66" w:rsidRDefault="00411B41" w:rsidP="00411B41">
      <w:pPr>
        <w:rPr>
          <w:szCs w:val="24"/>
        </w:rPr>
      </w:pPr>
      <w:r w:rsidRPr="00933D66">
        <w:rPr>
          <w:i/>
          <w:szCs w:val="24"/>
        </w:rPr>
        <w:t>Comment:</w:t>
      </w:r>
      <w:r w:rsidRPr="00933D66">
        <w:rPr>
          <w:szCs w:val="24"/>
        </w:rPr>
        <w:t xml:space="preserve"> Claude Rwaganje also commented that the two year QAP is problematic for new developers trying to enter the program as they have to wait until 2026-2027 to gain entry. Rwaganje recommended a set-aside for new developers to encourage diversity in MaineHousing’s programs. </w:t>
      </w:r>
    </w:p>
    <w:p w14:paraId="507B63E6" w14:textId="77777777" w:rsidR="00411B41" w:rsidRPr="00933D66" w:rsidRDefault="00411B41" w:rsidP="00411B41">
      <w:pPr>
        <w:rPr>
          <w:szCs w:val="24"/>
        </w:rPr>
      </w:pPr>
    </w:p>
    <w:p w14:paraId="28B44805" w14:textId="77777777" w:rsidR="00411B41" w:rsidRPr="00933D66" w:rsidRDefault="00411B41" w:rsidP="00411B41">
      <w:pPr>
        <w:rPr>
          <w:szCs w:val="24"/>
        </w:rPr>
      </w:pPr>
      <w:r w:rsidRPr="00933D66">
        <w:rPr>
          <w:i/>
          <w:szCs w:val="24"/>
        </w:rPr>
        <w:t>Response:</w:t>
      </w:r>
      <w:r w:rsidRPr="00933D66">
        <w:rPr>
          <w:szCs w:val="24"/>
        </w:rPr>
        <w:t xml:space="preserve"> A two year QAP offers two consecutive years of funding. One is not dependent on the other and new developers can apply in any year. </w:t>
      </w:r>
    </w:p>
    <w:p w14:paraId="273BBD03" w14:textId="77777777" w:rsidR="00411B41" w:rsidRPr="00933D66" w:rsidRDefault="00411B41" w:rsidP="00411B41">
      <w:pPr>
        <w:rPr>
          <w:szCs w:val="24"/>
        </w:rPr>
      </w:pPr>
    </w:p>
    <w:p w14:paraId="39CEE3B9" w14:textId="77777777" w:rsidR="00411B41" w:rsidRPr="00933D66" w:rsidRDefault="00411B41" w:rsidP="00411B41">
      <w:pPr>
        <w:rPr>
          <w:szCs w:val="24"/>
        </w:rPr>
      </w:pPr>
      <w:r w:rsidRPr="00933D66">
        <w:rPr>
          <w:i/>
          <w:szCs w:val="24"/>
        </w:rPr>
        <w:t xml:space="preserve">Comment: </w:t>
      </w:r>
      <w:r w:rsidRPr="00933D66">
        <w:rPr>
          <w:szCs w:val="24"/>
        </w:rPr>
        <w:t>Matthew Brock, Kittery Housing Committee Chair, and Kendra Amaral, Town Manager for the Town of Kittery, commented on two areas of the QAP that they felt were a disadvantage to the Town of Kittery:</w:t>
      </w:r>
    </w:p>
    <w:p w14:paraId="5102FC8F" w14:textId="77777777" w:rsidR="00411B41" w:rsidRPr="00933D66" w:rsidRDefault="00411B41" w:rsidP="00411B41">
      <w:pPr>
        <w:rPr>
          <w:szCs w:val="24"/>
        </w:rPr>
      </w:pPr>
    </w:p>
    <w:p w14:paraId="7A9FD74E" w14:textId="77777777" w:rsidR="00411B41" w:rsidRPr="00933D66" w:rsidRDefault="00411B41" w:rsidP="00411B41">
      <w:pPr>
        <w:pStyle w:val="ListParagraph"/>
        <w:numPr>
          <w:ilvl w:val="0"/>
          <w:numId w:val="69"/>
        </w:numPr>
        <w:contextualSpacing/>
      </w:pPr>
      <w:r w:rsidRPr="00933D66">
        <w:t>The revisions to Section 6, Project Location, reduced the scoring for the Town of Kittery from 10 to 8 points for projects not specifically for older adults. Kittery continues to see an intense demand for housing for younger adults and Brock and Amaral recommended MaineHousing consider maintaining the 10 points in this category.</w:t>
      </w:r>
    </w:p>
    <w:p w14:paraId="6113D7FA" w14:textId="77777777" w:rsidR="00411B41" w:rsidRPr="00933D66" w:rsidRDefault="00411B41" w:rsidP="00411B41">
      <w:pPr>
        <w:pStyle w:val="ListParagraph"/>
        <w:numPr>
          <w:ilvl w:val="0"/>
          <w:numId w:val="69"/>
        </w:numPr>
        <w:contextualSpacing/>
      </w:pPr>
      <w:r w:rsidRPr="00933D66">
        <w:t xml:space="preserve">Kittery has very few properties that earn maximum points in Section 6(K), Smart Growth, due to the lack of appropriate transit and the fact that properties in Kittery that have public transit are generally in locations that are incredibly valuable. Brock and Amaral recommended MaineHousing reconsider the Smart Growth scoring criteria for rural communities. </w:t>
      </w:r>
    </w:p>
    <w:p w14:paraId="51516969" w14:textId="77777777" w:rsidR="00411B41" w:rsidRPr="00933D66" w:rsidRDefault="00411B41" w:rsidP="00411B41">
      <w:pPr>
        <w:rPr>
          <w:szCs w:val="24"/>
        </w:rPr>
      </w:pPr>
    </w:p>
    <w:p w14:paraId="3B45C7F2" w14:textId="77777777" w:rsidR="00411B41" w:rsidRPr="00933D66" w:rsidRDefault="00411B41" w:rsidP="00411B41">
      <w:pPr>
        <w:rPr>
          <w:szCs w:val="24"/>
        </w:rPr>
      </w:pPr>
      <w:r w:rsidRPr="00933D66">
        <w:rPr>
          <w:i/>
          <w:szCs w:val="24"/>
        </w:rPr>
        <w:t>Response:</w:t>
      </w:r>
      <w:r w:rsidRPr="00933D66">
        <w:rPr>
          <w:szCs w:val="24"/>
        </w:rPr>
        <w:t xml:space="preserve"> </w:t>
      </w:r>
    </w:p>
    <w:p w14:paraId="7F1470D8" w14:textId="77777777" w:rsidR="00411B41" w:rsidRPr="00933D66" w:rsidRDefault="00411B41" w:rsidP="00411B41">
      <w:pPr>
        <w:rPr>
          <w:szCs w:val="24"/>
        </w:rPr>
      </w:pPr>
    </w:p>
    <w:p w14:paraId="4E39F7D1" w14:textId="77777777" w:rsidR="00411B41" w:rsidRPr="00933D66" w:rsidRDefault="00411B41" w:rsidP="00411B41">
      <w:pPr>
        <w:pStyle w:val="ListParagraph"/>
        <w:numPr>
          <w:ilvl w:val="0"/>
          <w:numId w:val="70"/>
        </w:numPr>
        <w:contextualSpacing/>
      </w:pPr>
      <w:r w:rsidRPr="00933D66">
        <w:t>The State of Maine determines the Service Center communities each year and makes the information available on its website (</w:t>
      </w:r>
      <w:hyperlink r:id="rId47" w:history="1">
        <w:r w:rsidRPr="00933D66">
          <w:rPr>
            <w:rStyle w:val="Hyperlink"/>
          </w:rPr>
          <w:t>Service Centers: Municipal Planning Assistance Program: Maine DACF</w:t>
        </w:r>
      </w:hyperlink>
      <w:r w:rsidRPr="00933D66">
        <w:t xml:space="preserve">). Demand for affordable housing units in each Service Center is determined by subtracting the total number of available units for those at or below 60% of </w:t>
      </w:r>
      <w:r w:rsidRPr="00933D66">
        <w:lastRenderedPageBreak/>
        <w:t xml:space="preserve">Area Median Income from the total number of households making 60% of Area Median Income or less. This housing needs analysis may result in changes to the scoring of individual municipalities in the Project Location Section of the QAP each time it is compiled. The scoring for the Town of Kittery was adjusted based on this analysis. It should be noted that the Project Location Section allows municipalities to receive their Housing Need score from the immediately preceding QAP if that score was higher. </w:t>
      </w:r>
    </w:p>
    <w:p w14:paraId="20E4F5C1" w14:textId="77777777" w:rsidR="00411B41" w:rsidRPr="00933D66" w:rsidRDefault="00411B41" w:rsidP="00411B41">
      <w:pPr>
        <w:pStyle w:val="ListParagraph"/>
        <w:numPr>
          <w:ilvl w:val="0"/>
          <w:numId w:val="70"/>
        </w:numPr>
        <w:contextualSpacing/>
      </w:pPr>
      <w:r w:rsidRPr="00933D66">
        <w:t>MaineHousing believes access to transportation and proximity to activities important to daily living are key factors in making projects successful and accessible to all. The scoring criteria creates an opportunity for projects to provide on-demand transportation to receive points when the other categories are not an option. Additionally, the scoring criteria was adjusted to allow projects to score one point for each walkable activity of daily living rather than requiring at least 3 activities in order to obtain any points.</w:t>
      </w:r>
    </w:p>
    <w:p w14:paraId="0AB4A503" w14:textId="77777777" w:rsidR="00411B41" w:rsidRPr="00933D66" w:rsidRDefault="00411B41" w:rsidP="00411B41">
      <w:pPr>
        <w:rPr>
          <w:szCs w:val="24"/>
        </w:rPr>
      </w:pPr>
    </w:p>
    <w:p w14:paraId="4F2B2AE5" w14:textId="77777777" w:rsidR="00411B41" w:rsidRPr="00933D66" w:rsidRDefault="00411B41" w:rsidP="00411B41">
      <w:pPr>
        <w:rPr>
          <w:szCs w:val="24"/>
        </w:rPr>
      </w:pPr>
      <w:r w:rsidRPr="00933D66">
        <w:rPr>
          <w:i/>
          <w:szCs w:val="24"/>
        </w:rPr>
        <w:t xml:space="preserve">Comment: </w:t>
      </w:r>
      <w:r w:rsidRPr="00933D66">
        <w:rPr>
          <w:szCs w:val="24"/>
        </w:rPr>
        <w:t xml:space="preserve">Patrick Hess, the Director of Development at Avesta Housing, commented on the change to Section 6(G), Acquisition Cost, asking for clarification on the thinking of the lower per unit costs for new construction and adaptive reuse. Hess commented that the changes seem to incentivize sprawl by pushing development further out. Hess recommended considering scoring that is based on whether a project meets the standards or not, rather than a sliding scale based on percentages of an average. </w:t>
      </w:r>
    </w:p>
    <w:p w14:paraId="461985FB" w14:textId="77777777" w:rsidR="00411B41" w:rsidRPr="00933D66" w:rsidRDefault="00411B41" w:rsidP="00411B41">
      <w:pPr>
        <w:rPr>
          <w:color w:val="FF0000"/>
          <w:szCs w:val="24"/>
        </w:rPr>
      </w:pPr>
    </w:p>
    <w:p w14:paraId="5C35D283" w14:textId="77777777" w:rsidR="00411B41" w:rsidRPr="00933D66" w:rsidRDefault="00411B41" w:rsidP="00411B41">
      <w:pPr>
        <w:rPr>
          <w:szCs w:val="24"/>
        </w:rPr>
      </w:pPr>
      <w:r w:rsidRPr="00933D66">
        <w:rPr>
          <w:i/>
          <w:szCs w:val="24"/>
        </w:rPr>
        <w:t xml:space="preserve">Response: </w:t>
      </w:r>
      <w:r w:rsidRPr="00933D66">
        <w:rPr>
          <w:szCs w:val="24"/>
        </w:rPr>
        <w:t>The average acquisition cost number is based off the average cost of recent projects.  The average continues to drop which indicates that developers are finding ways to save on the acquisition of properties. The intent of this scoring category is to reduce TDC by requiring more thoughtful use of funds. MaineHousing wants to ensure that all parts of the State are appropriately served with this funding source.</w:t>
      </w:r>
    </w:p>
    <w:p w14:paraId="17D9CDC0" w14:textId="77777777" w:rsidR="00411B41" w:rsidRPr="00933D66" w:rsidRDefault="00411B41" w:rsidP="00411B41">
      <w:pPr>
        <w:autoSpaceDE w:val="0"/>
        <w:autoSpaceDN w:val="0"/>
        <w:adjustRightInd w:val="0"/>
        <w:rPr>
          <w:rFonts w:cs="Calibri"/>
          <w:color w:val="000000"/>
          <w:szCs w:val="24"/>
        </w:rPr>
      </w:pPr>
    </w:p>
    <w:p w14:paraId="19B6F048"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Comment: </w:t>
      </w:r>
      <w:r w:rsidRPr="00933D66">
        <w:rPr>
          <w:rFonts w:cs="Calibri"/>
          <w:color w:val="000000"/>
          <w:szCs w:val="24"/>
        </w:rPr>
        <w:t>Laura Mitchell, the Executive Director of the Maine Affordable Housing Coalition, asked MaineHousing to reconsider Total Development Cap figures more frequently within the 2 year QAP process to adjust for inflation, unexpected construction cost changes, and other ongoing shifts in state and national policy/funding.</w:t>
      </w:r>
    </w:p>
    <w:p w14:paraId="1A2CB01B" w14:textId="77777777" w:rsidR="00411B41" w:rsidRPr="00933D66" w:rsidRDefault="00411B41" w:rsidP="00411B41">
      <w:pPr>
        <w:rPr>
          <w:szCs w:val="24"/>
        </w:rPr>
      </w:pPr>
    </w:p>
    <w:p w14:paraId="3F6CCD42" w14:textId="0872C06B" w:rsidR="00411B41" w:rsidRDefault="00411B41" w:rsidP="00411B41">
      <w:pPr>
        <w:rPr>
          <w:szCs w:val="24"/>
        </w:rPr>
      </w:pPr>
      <w:r w:rsidRPr="00933D66">
        <w:rPr>
          <w:i/>
          <w:szCs w:val="24"/>
        </w:rPr>
        <w:t xml:space="preserve">Response: </w:t>
      </w:r>
      <w:r w:rsidRPr="00933D66">
        <w:rPr>
          <w:szCs w:val="24"/>
        </w:rPr>
        <w:t xml:space="preserve">MaineHousing has responded to the development community in Maine by implementing a two-year QAP. This allows developers to better plan their projects around MaineHousing requirements. In drafting the QAP MaineHousing considers inflation, unexpected construction cost changes and other potential shifts in polices/funding over that two-year period in order to ensure a successful two-year QAP. If an unforeseen circumstance warrants opening rulemaking after the first year, MaineHousing has the ability to do so and make substantive changes to the QAP if necessary.  </w:t>
      </w:r>
    </w:p>
    <w:p w14:paraId="354C90F4" w14:textId="77777777" w:rsidR="00085BA1" w:rsidRPr="00933D66" w:rsidRDefault="00085BA1" w:rsidP="00411B41">
      <w:pPr>
        <w:rPr>
          <w:i/>
          <w:szCs w:val="24"/>
        </w:rPr>
      </w:pPr>
    </w:p>
    <w:p w14:paraId="4C0B2176" w14:textId="77777777" w:rsidR="00411B41" w:rsidRPr="00933D66" w:rsidRDefault="00411B41" w:rsidP="00411B41">
      <w:pPr>
        <w:autoSpaceDE w:val="0"/>
        <w:autoSpaceDN w:val="0"/>
        <w:adjustRightInd w:val="0"/>
        <w:spacing w:after="51"/>
        <w:rPr>
          <w:rFonts w:cs="Calibri"/>
          <w:color w:val="000000"/>
          <w:szCs w:val="24"/>
        </w:rPr>
      </w:pPr>
      <w:r w:rsidRPr="00933D66">
        <w:rPr>
          <w:rFonts w:cs="Calibri"/>
          <w:i/>
          <w:color w:val="000000"/>
          <w:szCs w:val="24"/>
        </w:rPr>
        <w:t xml:space="preserve">Comment: </w:t>
      </w:r>
      <w:r w:rsidRPr="00933D66">
        <w:rPr>
          <w:rFonts w:cs="Calibri"/>
          <w:color w:val="000000"/>
          <w:szCs w:val="24"/>
        </w:rPr>
        <w:t xml:space="preserve"> Laura Mitchell asked MaineHousing to build in the added cost that EV requirements create in terms of larger transformers in addition to AC use tracking.</w:t>
      </w:r>
    </w:p>
    <w:p w14:paraId="620F8674" w14:textId="77777777" w:rsidR="00411B41" w:rsidRPr="00933D66" w:rsidRDefault="00411B41" w:rsidP="00411B41">
      <w:pPr>
        <w:autoSpaceDE w:val="0"/>
        <w:autoSpaceDN w:val="0"/>
        <w:adjustRightInd w:val="0"/>
        <w:spacing w:after="51"/>
        <w:rPr>
          <w:szCs w:val="24"/>
        </w:rPr>
      </w:pPr>
    </w:p>
    <w:p w14:paraId="08A60123" w14:textId="77777777" w:rsidR="00411B41" w:rsidRPr="00933D66" w:rsidRDefault="00411B41" w:rsidP="00411B41">
      <w:pPr>
        <w:autoSpaceDE w:val="0"/>
        <w:autoSpaceDN w:val="0"/>
        <w:adjustRightInd w:val="0"/>
        <w:spacing w:after="51"/>
        <w:rPr>
          <w:szCs w:val="24"/>
        </w:rPr>
      </w:pPr>
      <w:r w:rsidRPr="00933D66">
        <w:rPr>
          <w:i/>
          <w:szCs w:val="24"/>
        </w:rPr>
        <w:t>Response:</w:t>
      </w:r>
      <w:r w:rsidRPr="00933D66">
        <w:rPr>
          <w:szCs w:val="24"/>
        </w:rPr>
        <w:t xml:space="preserve">  The TDC Caps take into consideration greater costs than in the past. The EV requirements have been in other MaineHousing programs since 2022 and have not been a cost </w:t>
      </w:r>
      <w:r w:rsidRPr="00933D66">
        <w:rPr>
          <w:szCs w:val="24"/>
        </w:rPr>
        <w:lastRenderedPageBreak/>
        <w:t>burden. MaineHousing does not require specific AC electricity use tracking outside of the total electricity consumption tracking.</w:t>
      </w:r>
    </w:p>
    <w:p w14:paraId="63864BE4" w14:textId="77777777" w:rsidR="00411B41" w:rsidRPr="00933D66" w:rsidRDefault="00411B41" w:rsidP="00411B41">
      <w:pPr>
        <w:autoSpaceDE w:val="0"/>
        <w:autoSpaceDN w:val="0"/>
        <w:adjustRightInd w:val="0"/>
        <w:spacing w:after="51"/>
        <w:rPr>
          <w:szCs w:val="24"/>
        </w:rPr>
      </w:pPr>
    </w:p>
    <w:p w14:paraId="321A622A" w14:textId="77777777" w:rsidR="00411B41" w:rsidRPr="00933D66" w:rsidRDefault="00411B41" w:rsidP="00411B41">
      <w:pPr>
        <w:autoSpaceDE w:val="0"/>
        <w:autoSpaceDN w:val="0"/>
        <w:adjustRightInd w:val="0"/>
        <w:spacing w:after="51"/>
        <w:rPr>
          <w:rFonts w:cs="Calibri"/>
          <w:color w:val="000000"/>
          <w:szCs w:val="24"/>
        </w:rPr>
      </w:pPr>
      <w:r w:rsidRPr="00933D66">
        <w:rPr>
          <w:rFonts w:cs="Calibri"/>
          <w:i/>
          <w:color w:val="000000"/>
          <w:szCs w:val="24"/>
        </w:rPr>
        <w:t xml:space="preserve">Comment: </w:t>
      </w:r>
      <w:r w:rsidRPr="00933D66">
        <w:rPr>
          <w:rFonts w:cs="Calibri"/>
          <w:color w:val="000000"/>
          <w:szCs w:val="24"/>
        </w:rPr>
        <w:t>Laura Mitchell asked MaineHousing to consider that data collection and energy use monitoring has a cost that should be included in the LIHTC eligible expenses.</w:t>
      </w:r>
    </w:p>
    <w:p w14:paraId="3934B428" w14:textId="77777777" w:rsidR="00411B41" w:rsidRPr="00933D66" w:rsidRDefault="00411B41" w:rsidP="00411B41">
      <w:pPr>
        <w:autoSpaceDE w:val="0"/>
        <w:autoSpaceDN w:val="0"/>
        <w:adjustRightInd w:val="0"/>
        <w:spacing w:after="51"/>
        <w:rPr>
          <w:i/>
          <w:szCs w:val="24"/>
        </w:rPr>
      </w:pPr>
    </w:p>
    <w:p w14:paraId="35F046A3" w14:textId="77777777" w:rsidR="00411B41" w:rsidRPr="00933D66" w:rsidRDefault="00411B41" w:rsidP="00411B41">
      <w:pPr>
        <w:autoSpaceDE w:val="0"/>
        <w:autoSpaceDN w:val="0"/>
        <w:adjustRightInd w:val="0"/>
        <w:spacing w:after="51"/>
        <w:rPr>
          <w:szCs w:val="24"/>
        </w:rPr>
      </w:pPr>
      <w:r w:rsidRPr="00933D66">
        <w:rPr>
          <w:i/>
          <w:szCs w:val="24"/>
        </w:rPr>
        <w:t xml:space="preserve">Response: </w:t>
      </w:r>
      <w:r w:rsidRPr="00933D66">
        <w:rPr>
          <w:szCs w:val="24"/>
        </w:rPr>
        <w:t xml:space="preserve"> MaineHousing agrees and those expenses are eligible.</w:t>
      </w:r>
    </w:p>
    <w:p w14:paraId="5DD2A877" w14:textId="77777777" w:rsidR="00411B41" w:rsidRPr="00933D66" w:rsidRDefault="00411B41" w:rsidP="00411B41">
      <w:pPr>
        <w:autoSpaceDE w:val="0"/>
        <w:autoSpaceDN w:val="0"/>
        <w:adjustRightInd w:val="0"/>
        <w:rPr>
          <w:rFonts w:cs="Calibri"/>
          <w:color w:val="000000"/>
          <w:szCs w:val="24"/>
        </w:rPr>
      </w:pPr>
    </w:p>
    <w:p w14:paraId="7595C17B"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Comment: </w:t>
      </w:r>
      <w:r w:rsidRPr="00933D66">
        <w:rPr>
          <w:rFonts w:cs="Calibri"/>
          <w:color w:val="000000"/>
          <w:szCs w:val="24"/>
        </w:rPr>
        <w:t>Laura Mitchell asked that MaineHousing add another priority group to Section 5 to prioritize Section 8 vouchers and those seeking, but ineligible for Section 8.</w:t>
      </w:r>
    </w:p>
    <w:p w14:paraId="0D2C8D3D" w14:textId="77777777" w:rsidR="00411B41" w:rsidRPr="00933D66" w:rsidRDefault="00411B41" w:rsidP="00411B41">
      <w:pPr>
        <w:autoSpaceDE w:val="0"/>
        <w:autoSpaceDN w:val="0"/>
        <w:adjustRightInd w:val="0"/>
        <w:rPr>
          <w:rFonts w:cs="Calibri"/>
          <w:color w:val="000000"/>
          <w:szCs w:val="24"/>
        </w:rPr>
      </w:pPr>
    </w:p>
    <w:p w14:paraId="013312E3"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Response: </w:t>
      </w:r>
      <w:r w:rsidRPr="00933D66">
        <w:rPr>
          <w:rFonts w:cs="Calibri"/>
          <w:color w:val="000000"/>
          <w:szCs w:val="24"/>
        </w:rPr>
        <w:t>The QAP gives an occupancy preference to eligible persons whose names are on a public housing or Section 8 waiting list in an attempt to assist those individuals with affordable housing (Section 5(L)). Providing another priority group for individuals seeking Section 8 vouchers and/or individuals who are ineligible for Section 8 vouchers would not result in an increase in access to LIHTC units, without rental assistance or sufficient income to pay LIHTC rents.</w:t>
      </w:r>
    </w:p>
    <w:p w14:paraId="1F684B02" w14:textId="77777777" w:rsidR="00411B41" w:rsidRPr="00933D66" w:rsidRDefault="00411B41" w:rsidP="00411B41">
      <w:pPr>
        <w:autoSpaceDE w:val="0"/>
        <w:autoSpaceDN w:val="0"/>
        <w:adjustRightInd w:val="0"/>
        <w:rPr>
          <w:rFonts w:cs="Calibri"/>
          <w:color w:val="000000"/>
          <w:szCs w:val="24"/>
        </w:rPr>
      </w:pPr>
    </w:p>
    <w:p w14:paraId="7F125C92"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Comment: </w:t>
      </w:r>
      <w:r w:rsidRPr="00933D66">
        <w:rPr>
          <w:rFonts w:cs="Calibri"/>
          <w:color w:val="000000"/>
          <w:szCs w:val="24"/>
        </w:rPr>
        <w:t xml:space="preserve">Laura Mitchell recommends that to meet workforce and demographic needs, a balance of senior, 1-bedroom nonage restricted, and family units is needed. Mitchell recommends a regular needs analysis so developers can effectively meet changing needs over time. </w:t>
      </w:r>
    </w:p>
    <w:p w14:paraId="7E76585D" w14:textId="77777777" w:rsidR="00411B41" w:rsidRPr="00933D66" w:rsidRDefault="00411B41" w:rsidP="00411B41">
      <w:pPr>
        <w:rPr>
          <w:szCs w:val="24"/>
        </w:rPr>
      </w:pPr>
    </w:p>
    <w:p w14:paraId="1D28F208" w14:textId="77777777" w:rsidR="00411B41" w:rsidRPr="00933D66" w:rsidRDefault="00411B41" w:rsidP="00411B41">
      <w:pPr>
        <w:rPr>
          <w:szCs w:val="24"/>
        </w:rPr>
      </w:pPr>
      <w:r w:rsidRPr="00933D66">
        <w:rPr>
          <w:i/>
          <w:szCs w:val="24"/>
        </w:rPr>
        <w:t xml:space="preserve">Response: </w:t>
      </w:r>
      <w:r w:rsidRPr="00933D66">
        <w:rPr>
          <w:szCs w:val="24"/>
        </w:rPr>
        <w:t>MaineHousing does not prioritize housing for older adults over housing for families, or vice versa. Each housing type is eligible for an equal number of points under the QAP.  MaineHousing will continue to track the number of units developed under each type of housing and can make adjustments in the future if the Board of Commissioners and MaineHousing Staff feel there is a trend towards unnecessarily producing more of one type of housing. The State of Maine determines the Service Center communities each year and makes the information available on its website (</w:t>
      </w:r>
      <w:hyperlink r:id="rId48" w:history="1">
        <w:r w:rsidRPr="00933D66">
          <w:rPr>
            <w:rStyle w:val="Hyperlink"/>
          </w:rPr>
          <w:t>Service Centers: Municipal Planning Assistance Program: Maine DACF</w:t>
        </w:r>
      </w:hyperlink>
      <w:r w:rsidRPr="00933D66">
        <w:t>)</w:t>
      </w:r>
      <w:r w:rsidRPr="00933D66">
        <w:rPr>
          <w:szCs w:val="24"/>
        </w:rPr>
        <w:t xml:space="preserve">. Demand for affordable housing units in each Service Center is determined by subtracting the total number of available units for those at or below 60% of Area Median Income from the total number of households making 60% of Area Median Income or less. This housing needs analysis may result in changes to the scoring of individual municipalities in the Project Location Section of the QAP each time it is compiled. MaineHousing continually looks for better data and expertise in this area, but to date this has presented as the best method to assess housing need. MaineHousing welcomes and suggestions or alternative methods that may better assess housing needs in Maine. </w:t>
      </w:r>
    </w:p>
    <w:p w14:paraId="46D9D554"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Comment: </w:t>
      </w:r>
      <w:r w:rsidRPr="00933D66">
        <w:rPr>
          <w:rFonts w:cs="Calibri"/>
          <w:color w:val="000000"/>
          <w:szCs w:val="24"/>
        </w:rPr>
        <w:t xml:space="preserve">Laura Mitchell noted that the proposed QAP’s scoring discourages larger bedroom counts. Special populations that need consideration are immigrants in need of large bedroom counts for intergenerational and larger family residence. Mitchell recommends in areas with demonstrated need, exceptions should be allowed to promote various bedroom size developments. </w:t>
      </w:r>
    </w:p>
    <w:p w14:paraId="2DD9C8BD" w14:textId="77777777" w:rsidR="00411B41" w:rsidRPr="00933D66" w:rsidRDefault="00411B41" w:rsidP="00411B41">
      <w:pPr>
        <w:autoSpaceDE w:val="0"/>
        <w:autoSpaceDN w:val="0"/>
        <w:adjustRightInd w:val="0"/>
        <w:rPr>
          <w:rFonts w:cs="Calibri"/>
          <w:color w:val="000000"/>
          <w:szCs w:val="24"/>
        </w:rPr>
      </w:pPr>
    </w:p>
    <w:p w14:paraId="16F6D09B" w14:textId="77777777" w:rsidR="00411B41" w:rsidRPr="00933D66" w:rsidRDefault="00411B41" w:rsidP="00411B41">
      <w:pPr>
        <w:autoSpaceDE w:val="0"/>
        <w:autoSpaceDN w:val="0"/>
        <w:adjustRightInd w:val="0"/>
        <w:rPr>
          <w:szCs w:val="24"/>
        </w:rPr>
      </w:pPr>
      <w:r w:rsidRPr="00933D66">
        <w:rPr>
          <w:rFonts w:cs="Calibri"/>
          <w:i/>
          <w:color w:val="000000"/>
          <w:szCs w:val="24"/>
        </w:rPr>
        <w:t xml:space="preserve">Response: </w:t>
      </w:r>
      <w:r w:rsidRPr="00933D66">
        <w:rPr>
          <w:szCs w:val="24"/>
        </w:rPr>
        <w:t>The TDC calculation is indexed to adjust for the number of bedrooms so as not to penalize units with more bedrooms.</w:t>
      </w:r>
    </w:p>
    <w:p w14:paraId="15AD8AE6"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lastRenderedPageBreak/>
        <w:t xml:space="preserve">Comment: </w:t>
      </w:r>
      <w:r w:rsidRPr="00933D66">
        <w:rPr>
          <w:szCs w:val="24"/>
        </w:rPr>
        <w:t xml:space="preserve">Laura Mitchell commented that the changes to Section 6(G) reduce scoring for projects in high land value areas such as the Portland Labor Market Area making it unclear what Section 6(G) is trying to incentivize.  </w:t>
      </w:r>
    </w:p>
    <w:p w14:paraId="3DB6630F" w14:textId="77777777" w:rsidR="00411B41" w:rsidRPr="00933D66" w:rsidRDefault="00411B41" w:rsidP="00411B41">
      <w:pPr>
        <w:autoSpaceDE w:val="0"/>
        <w:autoSpaceDN w:val="0"/>
        <w:adjustRightInd w:val="0"/>
        <w:rPr>
          <w:rFonts w:cs="Calibri"/>
          <w:color w:val="000000"/>
          <w:szCs w:val="24"/>
        </w:rPr>
      </w:pPr>
    </w:p>
    <w:p w14:paraId="1903178F" w14:textId="77777777" w:rsidR="00411B41" w:rsidRPr="00933D66" w:rsidRDefault="00411B41" w:rsidP="00411B41">
      <w:pPr>
        <w:rPr>
          <w:rFonts w:cs="Calibri"/>
          <w:i/>
          <w:color w:val="000000"/>
          <w:szCs w:val="24"/>
        </w:rPr>
      </w:pPr>
      <w:r w:rsidRPr="00933D66">
        <w:rPr>
          <w:rFonts w:cs="Calibri"/>
          <w:i/>
          <w:color w:val="000000"/>
          <w:szCs w:val="24"/>
        </w:rPr>
        <w:t xml:space="preserve">Response: </w:t>
      </w:r>
      <w:r w:rsidRPr="00933D66">
        <w:rPr>
          <w:szCs w:val="24"/>
        </w:rPr>
        <w:t>The average acquisition cost number is based off the average cost of recent projects.  The average continues to drop which indicates that developers are finding ways to save on the acquisition of properties. The intent of this scoring category is to reduce TDC by requiring more thoughtful use of funds. MaineHousing has seen no signs that developers are developing fewer units in the Portland Labor Market Area, and wants to ensure that all parts of the State are appropriately served with this funding source.</w:t>
      </w:r>
    </w:p>
    <w:p w14:paraId="26AB8C03" w14:textId="77777777" w:rsidR="00411B41" w:rsidRPr="00933D66" w:rsidRDefault="00411B41" w:rsidP="00411B41">
      <w:pPr>
        <w:autoSpaceDE w:val="0"/>
        <w:autoSpaceDN w:val="0"/>
        <w:adjustRightInd w:val="0"/>
        <w:rPr>
          <w:rFonts w:cs="Calibri"/>
          <w:color w:val="000000"/>
          <w:szCs w:val="24"/>
        </w:rPr>
      </w:pPr>
    </w:p>
    <w:p w14:paraId="1E27185F"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Comment: </w:t>
      </w:r>
      <w:r w:rsidRPr="00933D66">
        <w:rPr>
          <w:rFonts w:cs="Calibri"/>
          <w:color w:val="000000"/>
          <w:szCs w:val="24"/>
        </w:rPr>
        <w:t>Laura Mitchell states that there continues to be a lack of transparency in how project need/location are identified and prioritized. Mitchell recommended leveraging the housing study that identifies housing need by region in addition to regional and local income levels on top of housing need. Mitchell further commented that it was unclear why communities abutting prioritized communities are not also prioritized. Mitchell also recommended adjusting “Other Housing Projects” to include Portland Labor Market area communities or removing overall point scores for town/city location. Mitchell also recommended that MaineHousing clarify why so few communities are listed and encourage greater municipal participation in the project location selection and scoring section.</w:t>
      </w:r>
    </w:p>
    <w:p w14:paraId="5CDEC0B6" w14:textId="77777777" w:rsidR="00411B41" w:rsidRPr="00933D66" w:rsidRDefault="00411B41" w:rsidP="00411B41">
      <w:pPr>
        <w:autoSpaceDE w:val="0"/>
        <w:autoSpaceDN w:val="0"/>
        <w:adjustRightInd w:val="0"/>
        <w:rPr>
          <w:rFonts w:cs="Calibri"/>
          <w:color w:val="000000"/>
          <w:szCs w:val="24"/>
        </w:rPr>
      </w:pPr>
    </w:p>
    <w:p w14:paraId="6893FBE7" w14:textId="77777777" w:rsidR="00411B41" w:rsidRPr="00933D66" w:rsidRDefault="00411B41" w:rsidP="00411B41">
      <w:pPr>
        <w:rPr>
          <w:szCs w:val="24"/>
        </w:rPr>
      </w:pPr>
      <w:r w:rsidRPr="00933D66">
        <w:rPr>
          <w:i/>
          <w:szCs w:val="24"/>
        </w:rPr>
        <w:t xml:space="preserve">Response: </w:t>
      </w:r>
      <w:r w:rsidRPr="00933D66">
        <w:rPr>
          <w:szCs w:val="24"/>
        </w:rPr>
        <w:t>The State of Maine determines the Service Center communities each year and makes the information available on its website (</w:t>
      </w:r>
      <w:hyperlink r:id="rId49" w:history="1">
        <w:r w:rsidRPr="00933D66">
          <w:rPr>
            <w:rStyle w:val="Hyperlink"/>
          </w:rPr>
          <w:t>Service Centers: Municipal Planning Assistance Program: Maine DACF</w:t>
        </w:r>
      </w:hyperlink>
      <w:r w:rsidRPr="00933D66">
        <w:t>)</w:t>
      </w:r>
      <w:r w:rsidRPr="00933D66">
        <w:rPr>
          <w:szCs w:val="24"/>
        </w:rPr>
        <w:t xml:space="preserve">. Demand for affordable housing units in each Service Center is determined by subtracting the total number of available units for those at or below 60% of Area Median Income from the total number of households making 60% of Area Median Income or less. This housing needs analysis may result in changes to the scoring of individual municipalities in the Project Location Section of the QAP each time it is compiled. MaineHousing continually looks for better data and expertise in this area, but to date this has presented as the best method to assess housing need. MaineHousing welcomes and suggestions or alternative methods that may better assess housing needs in Maine. </w:t>
      </w:r>
    </w:p>
    <w:p w14:paraId="1033BB71" w14:textId="77777777" w:rsidR="00411B41" w:rsidRPr="00933D66" w:rsidRDefault="00411B41" w:rsidP="00411B41">
      <w:pPr>
        <w:rPr>
          <w:rFonts w:cs="Calibri"/>
          <w:color w:val="000000"/>
          <w:szCs w:val="24"/>
        </w:rPr>
      </w:pPr>
    </w:p>
    <w:p w14:paraId="2BAA8E75" w14:textId="77777777" w:rsidR="00411B41" w:rsidRPr="00933D66" w:rsidRDefault="00411B41" w:rsidP="00411B41">
      <w:pPr>
        <w:rPr>
          <w:rFonts w:cs="Calibri"/>
          <w:color w:val="000000"/>
          <w:szCs w:val="24"/>
        </w:rPr>
      </w:pPr>
      <w:r w:rsidRPr="00933D66">
        <w:rPr>
          <w:rFonts w:cs="Calibri"/>
          <w:i/>
          <w:color w:val="000000"/>
          <w:szCs w:val="24"/>
        </w:rPr>
        <w:t xml:space="preserve">Comment: </w:t>
      </w:r>
      <w:r w:rsidRPr="00933D66">
        <w:rPr>
          <w:rFonts w:cs="Calibri"/>
          <w:color w:val="000000"/>
          <w:szCs w:val="24"/>
        </w:rPr>
        <w:t xml:space="preserve">Laura Mitchell commented that adding points for market rate units (Section 6(J)) does not seem fair for rural communities to be able to compete with areas such as Cumberland County where market rate units would be easier to fill. Mitchell recommended adding points for vouchered units instead. </w:t>
      </w:r>
    </w:p>
    <w:p w14:paraId="4927DF04" w14:textId="77777777" w:rsidR="00411B41" w:rsidRPr="00933D66" w:rsidRDefault="00411B41" w:rsidP="00411B41">
      <w:pPr>
        <w:rPr>
          <w:rFonts w:cs="Calibri"/>
          <w:color w:val="000000"/>
          <w:szCs w:val="24"/>
        </w:rPr>
      </w:pPr>
    </w:p>
    <w:p w14:paraId="19A3855B" w14:textId="77777777" w:rsidR="00411B41" w:rsidRPr="00933D66" w:rsidRDefault="00411B41" w:rsidP="00411B41">
      <w:pPr>
        <w:rPr>
          <w:szCs w:val="24"/>
        </w:rPr>
      </w:pPr>
      <w:r w:rsidRPr="00933D66">
        <w:rPr>
          <w:i/>
          <w:szCs w:val="24"/>
        </w:rPr>
        <w:t xml:space="preserve">Response: </w:t>
      </w:r>
      <w:r w:rsidRPr="00933D66">
        <w:rPr>
          <w:szCs w:val="24"/>
        </w:rPr>
        <w:t>MaineHousing believes offering points for projects in QCTs where at least 20% of the units are market rate is one way to achieve community revitalization.</w:t>
      </w:r>
    </w:p>
    <w:p w14:paraId="313FB2ED" w14:textId="77777777" w:rsidR="00411B41" w:rsidRPr="00933D66" w:rsidRDefault="00411B41" w:rsidP="00411B41">
      <w:pPr>
        <w:rPr>
          <w:szCs w:val="24"/>
        </w:rPr>
      </w:pPr>
    </w:p>
    <w:p w14:paraId="73BFF0C8" w14:textId="77777777" w:rsidR="00411B41" w:rsidRPr="00933D66" w:rsidRDefault="00411B41" w:rsidP="00411B41">
      <w:pPr>
        <w:rPr>
          <w:rFonts w:cs="Calibri"/>
          <w:color w:val="000000"/>
          <w:szCs w:val="24"/>
        </w:rPr>
      </w:pPr>
      <w:r w:rsidRPr="00933D66">
        <w:rPr>
          <w:rFonts w:cs="Calibri"/>
          <w:i/>
          <w:color w:val="000000"/>
          <w:szCs w:val="24"/>
        </w:rPr>
        <w:t xml:space="preserve">Comment: </w:t>
      </w:r>
      <w:r w:rsidRPr="00933D66">
        <w:rPr>
          <w:rFonts w:cs="Calibri"/>
          <w:color w:val="000000"/>
          <w:szCs w:val="24"/>
        </w:rPr>
        <w:t xml:space="preserve">Laura Mitchell recommended adding a variance of points to Section 6(K), Smart Growth, to separate out elderly and family to increase the requirement of safe walking distance for families to ¾ mile or 1 mile. Mitchell commented that location and smart growth points should focus on suburban areas with good school systems in strong labor markets as important sites for equitable development and distribution of housing. </w:t>
      </w:r>
    </w:p>
    <w:p w14:paraId="25851BD3" w14:textId="77777777" w:rsidR="00411B41" w:rsidRPr="00933D66" w:rsidRDefault="00411B41" w:rsidP="00411B41">
      <w:pPr>
        <w:rPr>
          <w:rFonts w:cs="Calibri"/>
          <w:color w:val="000000"/>
          <w:szCs w:val="24"/>
        </w:rPr>
      </w:pPr>
    </w:p>
    <w:p w14:paraId="7E89282B" w14:textId="77777777" w:rsidR="00411B41" w:rsidRPr="00933D66" w:rsidRDefault="00411B41" w:rsidP="00411B41">
      <w:pPr>
        <w:rPr>
          <w:szCs w:val="24"/>
        </w:rPr>
      </w:pPr>
      <w:r w:rsidRPr="00933D66">
        <w:rPr>
          <w:i/>
          <w:szCs w:val="24"/>
        </w:rPr>
        <w:t xml:space="preserve">Response: </w:t>
      </w:r>
      <w:r w:rsidRPr="00933D66">
        <w:rPr>
          <w:szCs w:val="24"/>
        </w:rPr>
        <w:t xml:space="preserve">MaineHousing believes that ½ mile is a reasonable and appropriate walking distance to activities important to daily living for all housing types. </w:t>
      </w:r>
    </w:p>
    <w:p w14:paraId="6ED6F480" w14:textId="77777777" w:rsidR="00411B41" w:rsidRPr="00933D66" w:rsidRDefault="00411B41" w:rsidP="00411B41">
      <w:pPr>
        <w:rPr>
          <w:szCs w:val="24"/>
        </w:rPr>
      </w:pPr>
    </w:p>
    <w:p w14:paraId="476ECE82" w14:textId="77777777" w:rsidR="00411B41" w:rsidRPr="00933D66" w:rsidRDefault="00411B41" w:rsidP="00411B41">
      <w:pPr>
        <w:rPr>
          <w:rFonts w:cs="Calibri"/>
          <w:color w:val="000000"/>
          <w:szCs w:val="24"/>
        </w:rPr>
      </w:pPr>
      <w:r w:rsidRPr="00933D66">
        <w:rPr>
          <w:rFonts w:cs="Calibri"/>
          <w:i/>
          <w:color w:val="000000"/>
          <w:szCs w:val="24"/>
        </w:rPr>
        <w:t xml:space="preserve">Comment: </w:t>
      </w:r>
      <w:r w:rsidRPr="00933D66">
        <w:rPr>
          <w:rFonts w:cs="Calibri"/>
          <w:color w:val="000000"/>
          <w:szCs w:val="24"/>
        </w:rPr>
        <w:t xml:space="preserve">Laura Mitchell commended that the changes to Section L, Sponsor Characteristics – Readiness, was a positive addition to the QAP.  </w:t>
      </w:r>
    </w:p>
    <w:p w14:paraId="00F51C62" w14:textId="77777777" w:rsidR="00411B41" w:rsidRPr="00933D66" w:rsidRDefault="00411B41" w:rsidP="00411B41">
      <w:pPr>
        <w:rPr>
          <w:spacing w:val="-2"/>
          <w:szCs w:val="24"/>
        </w:rPr>
      </w:pPr>
      <w:r w:rsidRPr="00933D66">
        <w:rPr>
          <w:rFonts w:cs="Calibri"/>
          <w:i/>
          <w:color w:val="000000"/>
          <w:szCs w:val="24"/>
        </w:rPr>
        <w:t xml:space="preserve">Response: </w:t>
      </w:r>
      <w:r w:rsidRPr="00933D66">
        <w:rPr>
          <w:spacing w:val="-2"/>
          <w:szCs w:val="24"/>
        </w:rPr>
        <w:t>MaineHousing appreciates the support for those changes.</w:t>
      </w:r>
    </w:p>
    <w:p w14:paraId="564E9632" w14:textId="77777777" w:rsidR="00411B41" w:rsidRPr="00933D66" w:rsidRDefault="00411B41" w:rsidP="00411B41">
      <w:pPr>
        <w:rPr>
          <w:rFonts w:cs="Calibri"/>
          <w:i/>
          <w:color w:val="000000"/>
          <w:szCs w:val="24"/>
        </w:rPr>
      </w:pPr>
    </w:p>
    <w:p w14:paraId="1FE4D7A8" w14:textId="77777777" w:rsidR="00411B41" w:rsidRPr="00933D66" w:rsidRDefault="00411B41" w:rsidP="00411B41">
      <w:pPr>
        <w:rPr>
          <w:rFonts w:cs="Calibri"/>
          <w:color w:val="000000"/>
          <w:szCs w:val="24"/>
        </w:rPr>
      </w:pPr>
      <w:r w:rsidRPr="00933D66">
        <w:rPr>
          <w:rFonts w:cs="Calibri"/>
          <w:i/>
          <w:color w:val="000000"/>
          <w:szCs w:val="24"/>
        </w:rPr>
        <w:t xml:space="preserve">Comment: </w:t>
      </w:r>
      <w:r w:rsidRPr="00933D66">
        <w:rPr>
          <w:rFonts w:cs="Calibri"/>
          <w:color w:val="000000"/>
          <w:szCs w:val="24"/>
        </w:rPr>
        <w:t>Laura Mitchell commended that clarity on the added term “successfully” to Section 6(M) should be provided.</w:t>
      </w:r>
    </w:p>
    <w:p w14:paraId="2931FEA8" w14:textId="77777777" w:rsidR="00411B41" w:rsidRPr="00933D66" w:rsidRDefault="00411B41" w:rsidP="00411B41">
      <w:pPr>
        <w:rPr>
          <w:rFonts w:cs="Calibri"/>
          <w:color w:val="000000"/>
          <w:szCs w:val="24"/>
        </w:rPr>
      </w:pPr>
    </w:p>
    <w:p w14:paraId="7E033677" w14:textId="77777777" w:rsidR="00411B41" w:rsidRPr="00933D66" w:rsidRDefault="00411B41" w:rsidP="00411B41">
      <w:pPr>
        <w:rPr>
          <w:rFonts w:cs="Calibri"/>
          <w:color w:val="000000"/>
          <w:szCs w:val="24"/>
        </w:rPr>
      </w:pPr>
      <w:r w:rsidRPr="00933D66">
        <w:rPr>
          <w:rFonts w:cs="Calibri"/>
          <w:i/>
          <w:color w:val="000000"/>
          <w:szCs w:val="24"/>
        </w:rPr>
        <w:t>Response:</w:t>
      </w:r>
      <w:r w:rsidRPr="00933D66">
        <w:rPr>
          <w:rFonts w:cs="Calibri"/>
          <w:color w:val="000000"/>
          <w:szCs w:val="24"/>
        </w:rPr>
        <w:t xml:space="preserve"> </w:t>
      </w:r>
      <w:r w:rsidRPr="00933D66">
        <w:rPr>
          <w:szCs w:val="24"/>
        </w:rPr>
        <w:t>Successful development experience means that the team has consistent recent experience delivering projects on budget and on time.</w:t>
      </w:r>
    </w:p>
    <w:p w14:paraId="5C4D5F5A" w14:textId="77777777" w:rsidR="00411B41" w:rsidRPr="00933D66" w:rsidRDefault="00411B41" w:rsidP="00411B41">
      <w:pPr>
        <w:autoSpaceDE w:val="0"/>
        <w:autoSpaceDN w:val="0"/>
        <w:adjustRightInd w:val="0"/>
        <w:rPr>
          <w:rFonts w:cs="Calibri"/>
          <w:color w:val="000000"/>
          <w:szCs w:val="24"/>
        </w:rPr>
      </w:pPr>
    </w:p>
    <w:p w14:paraId="1F4FDDBC" w14:textId="77777777" w:rsidR="00411B41" w:rsidRPr="00933D66" w:rsidRDefault="00411B41" w:rsidP="00411B41">
      <w:pPr>
        <w:rPr>
          <w:szCs w:val="24"/>
        </w:rPr>
      </w:pPr>
      <w:r w:rsidRPr="00933D66">
        <w:rPr>
          <w:rFonts w:cs="Calibri"/>
          <w:i/>
          <w:color w:val="000000"/>
          <w:szCs w:val="24"/>
        </w:rPr>
        <w:t xml:space="preserve">Comment: </w:t>
      </w:r>
      <w:r w:rsidRPr="00933D66">
        <w:rPr>
          <w:rFonts w:cs="Calibri"/>
          <w:color w:val="000000"/>
          <w:szCs w:val="24"/>
        </w:rPr>
        <w:t>Laura Mitchell commended that the required</w:t>
      </w:r>
      <w:r w:rsidRPr="00933D66">
        <w:rPr>
          <w:szCs w:val="24"/>
        </w:rPr>
        <w:t xml:space="preserve"> selection criteria under Section 42 of the Internal Revenue Code ‘projects intended for eventual tenant ownership’ should either be added as an additional requirement prior to the Tie Breaker section or clarify as to why it is in the Tie Breaker section should be provided. </w:t>
      </w:r>
    </w:p>
    <w:p w14:paraId="55FA2733" w14:textId="77777777" w:rsidR="00411B41" w:rsidRPr="00933D66" w:rsidRDefault="00411B41" w:rsidP="00411B41">
      <w:pPr>
        <w:rPr>
          <w:szCs w:val="24"/>
        </w:rPr>
      </w:pPr>
    </w:p>
    <w:p w14:paraId="78BEA850" w14:textId="77777777" w:rsidR="00411B41" w:rsidRPr="00933D66" w:rsidRDefault="00411B41" w:rsidP="00411B41">
      <w:pPr>
        <w:rPr>
          <w:szCs w:val="24"/>
        </w:rPr>
      </w:pPr>
      <w:r w:rsidRPr="00933D66">
        <w:rPr>
          <w:i/>
          <w:szCs w:val="24"/>
        </w:rPr>
        <w:t xml:space="preserve">Response: </w:t>
      </w:r>
      <w:r w:rsidRPr="00933D66">
        <w:rPr>
          <w:szCs w:val="24"/>
        </w:rPr>
        <w:t xml:space="preserve">“Projects intended for eventual tenant ownership” is included in the Tie Breaker section as MaineHousing believes due to the limited funding available for affordable rental units and the desire to maintain the affordability as rental units, it is most advantageous for projects to remain rental units for a minimum of 45 years. Additionally, to date, no feasible plan for rental projects to transition to homeownership through the Tax Credit Program has been presented to MaineHousing to warrant a change to the current scoring. MaineHousing welcomes suggestions as to how to better promote and encourage this concept. </w:t>
      </w:r>
    </w:p>
    <w:p w14:paraId="454C0EA1" w14:textId="77777777" w:rsidR="00411B41" w:rsidRPr="00933D66" w:rsidRDefault="00411B41" w:rsidP="00411B41">
      <w:pPr>
        <w:rPr>
          <w:rFonts w:cs="Calibri"/>
          <w:color w:val="000000"/>
          <w:szCs w:val="24"/>
        </w:rPr>
      </w:pPr>
    </w:p>
    <w:p w14:paraId="11DA2336" w14:textId="77777777" w:rsidR="00411B41" w:rsidRPr="00933D66" w:rsidRDefault="00411B41" w:rsidP="00411B41">
      <w:pPr>
        <w:rPr>
          <w:szCs w:val="24"/>
        </w:rPr>
      </w:pPr>
      <w:r w:rsidRPr="00933D66">
        <w:rPr>
          <w:rFonts w:cs="Calibri"/>
          <w:i/>
          <w:color w:val="000000"/>
          <w:szCs w:val="24"/>
        </w:rPr>
        <w:t xml:space="preserve">Comment: </w:t>
      </w:r>
      <w:r w:rsidRPr="00933D66">
        <w:rPr>
          <w:rFonts w:cs="Calibri"/>
          <w:color w:val="000000"/>
          <w:szCs w:val="24"/>
        </w:rPr>
        <w:t>Laura Mitchell commended that a list of qualified Market Study Analysts or a definition of “qualified profession” would help new developers engage the right professionals.</w:t>
      </w:r>
    </w:p>
    <w:p w14:paraId="78859798" w14:textId="77777777" w:rsidR="00411B41" w:rsidRPr="00933D66" w:rsidRDefault="00411B41" w:rsidP="00411B41">
      <w:pPr>
        <w:rPr>
          <w:rFonts w:cs="Calibri"/>
          <w:color w:val="000000"/>
          <w:szCs w:val="24"/>
        </w:rPr>
      </w:pPr>
    </w:p>
    <w:p w14:paraId="38159F46" w14:textId="77777777" w:rsidR="00411B41" w:rsidRPr="00933D66" w:rsidRDefault="00411B41" w:rsidP="00411B41">
      <w:pPr>
        <w:autoSpaceDE w:val="0"/>
        <w:autoSpaceDN w:val="0"/>
        <w:adjustRightInd w:val="0"/>
        <w:rPr>
          <w:rFonts w:cs="Calibri"/>
          <w:color w:val="000000"/>
          <w:szCs w:val="24"/>
        </w:rPr>
      </w:pPr>
      <w:r w:rsidRPr="00933D66">
        <w:rPr>
          <w:i/>
          <w:szCs w:val="24"/>
        </w:rPr>
        <w:t xml:space="preserve">Response: </w:t>
      </w:r>
      <w:r w:rsidRPr="00933D66">
        <w:rPr>
          <w:szCs w:val="24"/>
        </w:rPr>
        <w:t>MaineHousing requires market studies prepared by National Council of Housing Market Analysts (“NCHMA”), the only professional body dedicated exclusively to enhancing the professionalism and standards surrounding residential rental real estate market analysis. NCHMA can provide professionals in Maine that meet the definition of qualified professional under the QAP.</w:t>
      </w:r>
    </w:p>
    <w:p w14:paraId="308C206A" w14:textId="77777777" w:rsidR="00411B41" w:rsidRPr="00933D66" w:rsidRDefault="00411B41" w:rsidP="00411B41">
      <w:pPr>
        <w:autoSpaceDE w:val="0"/>
        <w:autoSpaceDN w:val="0"/>
        <w:adjustRightInd w:val="0"/>
        <w:rPr>
          <w:rFonts w:cs="Calibri"/>
          <w:color w:val="000000"/>
          <w:szCs w:val="24"/>
        </w:rPr>
      </w:pPr>
    </w:p>
    <w:p w14:paraId="0AC45023"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Comment: </w:t>
      </w:r>
      <w:r w:rsidRPr="00933D66">
        <w:rPr>
          <w:rFonts w:cs="Calibri"/>
          <w:color w:val="000000"/>
          <w:szCs w:val="24"/>
        </w:rPr>
        <w:t xml:space="preserve">Laura Mitchell commented Maine needs a variety of housing types serving a range of income levels and recommended MaineHousing consider new ways in which LIHTC can be used to increase the range of housing opportunities for those at the lower end of the economic spectrum. </w:t>
      </w:r>
    </w:p>
    <w:p w14:paraId="28430916" w14:textId="77777777" w:rsidR="00411B41" w:rsidRPr="00933D66" w:rsidRDefault="00411B41" w:rsidP="00411B41">
      <w:pPr>
        <w:autoSpaceDE w:val="0"/>
        <w:autoSpaceDN w:val="0"/>
        <w:adjustRightInd w:val="0"/>
        <w:rPr>
          <w:rFonts w:cs="Calibri"/>
          <w:color w:val="000000"/>
          <w:szCs w:val="24"/>
        </w:rPr>
      </w:pPr>
    </w:p>
    <w:p w14:paraId="2EC05793" w14:textId="77777777" w:rsidR="00411B41" w:rsidRPr="00933D66" w:rsidRDefault="00411B41" w:rsidP="00411B41">
      <w:pPr>
        <w:autoSpaceDE w:val="0"/>
        <w:autoSpaceDN w:val="0"/>
        <w:adjustRightInd w:val="0"/>
        <w:rPr>
          <w:szCs w:val="24"/>
        </w:rPr>
      </w:pPr>
      <w:r w:rsidRPr="00933D66">
        <w:rPr>
          <w:i/>
          <w:szCs w:val="24"/>
        </w:rPr>
        <w:t>Response:</w:t>
      </w:r>
      <w:r w:rsidRPr="00933D66">
        <w:rPr>
          <w:szCs w:val="24"/>
        </w:rPr>
        <w:t xml:space="preserve"> Most LIHTC projects currently have mixed incomes which may include Extremely Low Income units, Very Low Income units, Low Income units and/or Market Rate units. Additionally, some funding sources, such as the National Housing Trust Fund create deeper affordability in LIHTC projects. Developers may also elect </w:t>
      </w:r>
      <w:r w:rsidRPr="00933D66">
        <w:rPr>
          <w:rFonts w:cs="Calibri"/>
          <w:color w:val="000000"/>
        </w:rPr>
        <w:t xml:space="preserve">Income Averaging, in the right circumstances with </w:t>
      </w:r>
      <w:r w:rsidRPr="00933D66">
        <w:rPr>
          <w:rFonts w:cs="Calibri"/>
          <w:color w:val="000000"/>
        </w:rPr>
        <w:lastRenderedPageBreak/>
        <w:t xml:space="preserve">approval from MaineHousing, which could be used to address the needs of different income levels. </w:t>
      </w:r>
      <w:r w:rsidRPr="00933D66">
        <w:rPr>
          <w:szCs w:val="24"/>
        </w:rPr>
        <w:t>Additionally, MaineHousing offers a number of other programs which have varying income eligibility requirements that provides a wide range of housing to individuals of mixed incomes.</w:t>
      </w:r>
    </w:p>
    <w:p w14:paraId="23EC804A" w14:textId="77777777" w:rsidR="00411B41" w:rsidRPr="00933D66" w:rsidRDefault="00411B41" w:rsidP="00411B41">
      <w:pPr>
        <w:autoSpaceDE w:val="0"/>
        <w:autoSpaceDN w:val="0"/>
        <w:adjustRightInd w:val="0"/>
        <w:rPr>
          <w:color w:val="FF0000"/>
          <w:szCs w:val="24"/>
        </w:rPr>
      </w:pPr>
    </w:p>
    <w:p w14:paraId="43026136"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 xml:space="preserve">Comment: </w:t>
      </w:r>
      <w:r w:rsidRPr="00933D66">
        <w:rPr>
          <w:rFonts w:cs="Calibri"/>
          <w:color w:val="000000"/>
          <w:szCs w:val="24"/>
        </w:rPr>
        <w:t>Laura Mitchell commented that there are a number of ways to achieve a variety of housing types serving a range of income levels such as:</w:t>
      </w:r>
    </w:p>
    <w:p w14:paraId="4D5835A6" w14:textId="77777777" w:rsidR="00411B41" w:rsidRPr="00933D66" w:rsidRDefault="00411B41" w:rsidP="00411B41">
      <w:pPr>
        <w:autoSpaceDE w:val="0"/>
        <w:autoSpaceDN w:val="0"/>
        <w:adjustRightInd w:val="0"/>
        <w:rPr>
          <w:rFonts w:cs="Calibri"/>
          <w:color w:val="000000"/>
          <w:szCs w:val="24"/>
        </w:rPr>
      </w:pPr>
    </w:p>
    <w:p w14:paraId="4C0F03C3" w14:textId="77777777" w:rsidR="00411B41" w:rsidRPr="00933D66" w:rsidRDefault="00411B41" w:rsidP="00411B41">
      <w:pPr>
        <w:pStyle w:val="ListParagraph"/>
        <w:numPr>
          <w:ilvl w:val="0"/>
          <w:numId w:val="71"/>
        </w:numPr>
        <w:autoSpaceDE w:val="0"/>
        <w:autoSpaceDN w:val="0"/>
        <w:adjustRightInd w:val="0"/>
        <w:contextualSpacing/>
        <w:rPr>
          <w:rFonts w:cs="Calibri"/>
          <w:color w:val="000000"/>
        </w:rPr>
      </w:pPr>
      <w:r w:rsidRPr="00933D66">
        <w:rPr>
          <w:rFonts w:cs="Calibri"/>
          <w:color w:val="000000"/>
        </w:rPr>
        <w:t>A set-aside for one housing project targeting tenants within the lower income range each round.</w:t>
      </w:r>
    </w:p>
    <w:p w14:paraId="77101D3D" w14:textId="77777777" w:rsidR="00411B41" w:rsidRPr="00933D66" w:rsidRDefault="00411B41" w:rsidP="00411B41">
      <w:pPr>
        <w:pStyle w:val="ListParagraph"/>
        <w:numPr>
          <w:ilvl w:val="0"/>
          <w:numId w:val="71"/>
        </w:numPr>
        <w:autoSpaceDE w:val="0"/>
        <w:autoSpaceDN w:val="0"/>
        <w:adjustRightInd w:val="0"/>
        <w:contextualSpacing/>
        <w:rPr>
          <w:rFonts w:cs="Calibri"/>
          <w:color w:val="000000"/>
        </w:rPr>
      </w:pPr>
      <w:r w:rsidRPr="00933D66">
        <w:rPr>
          <w:rFonts w:cs="Calibri"/>
          <w:color w:val="000000"/>
        </w:rPr>
        <w:t>Providing Project-Based Voucher with LIHTC funding for every unit at the building.</w:t>
      </w:r>
    </w:p>
    <w:p w14:paraId="403E9F5A" w14:textId="77777777" w:rsidR="00411B41" w:rsidRPr="00933D66" w:rsidRDefault="00411B41" w:rsidP="00411B41">
      <w:pPr>
        <w:pStyle w:val="ListParagraph"/>
        <w:numPr>
          <w:ilvl w:val="0"/>
          <w:numId w:val="71"/>
        </w:numPr>
        <w:autoSpaceDE w:val="0"/>
        <w:autoSpaceDN w:val="0"/>
        <w:adjustRightInd w:val="0"/>
        <w:contextualSpacing/>
        <w:rPr>
          <w:rFonts w:cs="Calibri"/>
          <w:color w:val="000000"/>
        </w:rPr>
      </w:pPr>
      <w:r w:rsidRPr="00933D66">
        <w:rPr>
          <w:rFonts w:cs="Calibri"/>
          <w:color w:val="000000"/>
        </w:rPr>
        <w:t>Leveraging Average Income that enables projects to target a broader mix of tenants.</w:t>
      </w:r>
    </w:p>
    <w:p w14:paraId="3D7412A4" w14:textId="77777777" w:rsidR="00411B41" w:rsidRPr="00933D66" w:rsidRDefault="00411B41" w:rsidP="00411B41">
      <w:pPr>
        <w:autoSpaceDE w:val="0"/>
        <w:autoSpaceDN w:val="0"/>
        <w:adjustRightInd w:val="0"/>
        <w:rPr>
          <w:rFonts w:cs="Calibri"/>
          <w:color w:val="000000"/>
        </w:rPr>
      </w:pPr>
      <w:r w:rsidRPr="00933D66">
        <w:rPr>
          <w:rFonts w:cs="Calibri"/>
          <w:i/>
          <w:color w:val="000000"/>
        </w:rPr>
        <w:t>Response:</w:t>
      </w:r>
    </w:p>
    <w:p w14:paraId="28FBFA57" w14:textId="77777777" w:rsidR="00411B41" w:rsidRPr="00933D66" w:rsidRDefault="00411B41" w:rsidP="00411B41">
      <w:pPr>
        <w:autoSpaceDE w:val="0"/>
        <w:autoSpaceDN w:val="0"/>
        <w:adjustRightInd w:val="0"/>
        <w:rPr>
          <w:rFonts w:cs="Calibri"/>
          <w:color w:val="000000"/>
        </w:rPr>
      </w:pPr>
    </w:p>
    <w:p w14:paraId="65BFB07F" w14:textId="77777777" w:rsidR="00411B41" w:rsidRPr="00933D66" w:rsidRDefault="00411B41" w:rsidP="00411B41">
      <w:pPr>
        <w:pStyle w:val="ListParagraph"/>
        <w:numPr>
          <w:ilvl w:val="0"/>
          <w:numId w:val="72"/>
        </w:numPr>
        <w:autoSpaceDE w:val="0"/>
        <w:autoSpaceDN w:val="0"/>
        <w:adjustRightInd w:val="0"/>
        <w:contextualSpacing/>
        <w:rPr>
          <w:rFonts w:cs="Calibri"/>
          <w:color w:val="000000"/>
        </w:rPr>
      </w:pPr>
      <w:r w:rsidRPr="00933D66">
        <w:rPr>
          <w:rFonts w:cs="Calibri"/>
          <w:color w:val="000000"/>
        </w:rPr>
        <w:t xml:space="preserve">Creating too many set-asides will limit MaineHousing’s ability to fund projects as well as developers’ abilities to compete for MaineHousing funding. A typical 9% competitive process results in at most four projects being funded and with two already established set-asides, creating a third could limit more than 75% of the funding available through the competitive process. LIHTC projects to some extent already accommodate a range of mixed incomes and other funding sources aid in creating deeper affordability in LIHTC projects. Additionally, Income Averaging, in the right circumstances with approval from MaineHousing, could be used to address the needs of individuals at different income levels. MaineHousing also offers a </w:t>
      </w:r>
      <w:r w:rsidRPr="00933D66">
        <w:t>number of other programs which have varying income eligibility requirements that provides a wide range of housing to individuals of mixed incomes.</w:t>
      </w:r>
    </w:p>
    <w:p w14:paraId="05E2F0A0" w14:textId="77777777" w:rsidR="00411B41" w:rsidRPr="00933D66" w:rsidRDefault="00411B41" w:rsidP="00411B41">
      <w:pPr>
        <w:pStyle w:val="ListParagraph"/>
        <w:numPr>
          <w:ilvl w:val="0"/>
          <w:numId w:val="72"/>
        </w:numPr>
        <w:autoSpaceDE w:val="0"/>
        <w:autoSpaceDN w:val="0"/>
        <w:adjustRightInd w:val="0"/>
        <w:contextualSpacing/>
        <w:rPr>
          <w:rFonts w:cs="Calibri"/>
          <w:color w:val="000000"/>
        </w:rPr>
      </w:pPr>
      <w:r w:rsidRPr="00933D66">
        <w:rPr>
          <w:rFonts w:cs="Calibri"/>
          <w:color w:val="000000"/>
        </w:rPr>
        <w:t xml:space="preserve">MaineHousing believes in keeping with the Congressional intent of the Housing Choice Voucher Program, spreading Project-Based Vouchers throughout many different types of projects creates a broader reach and provides more opportunity. MaineHousing is currently allocating Project-Based Vouchers appropriately in accordance with funding/availability and MaineHousing’s Housing Choice Voucher Plan. Additionally, MaineHousing has committed to providing Project-Based Vouchers for each unit that a developer pledges to set-aside for special needs populations. </w:t>
      </w:r>
    </w:p>
    <w:p w14:paraId="6E35E098" w14:textId="77777777" w:rsidR="00411B41" w:rsidRPr="00933D66" w:rsidRDefault="00411B41" w:rsidP="00411B41">
      <w:pPr>
        <w:pStyle w:val="ListParagraph"/>
        <w:numPr>
          <w:ilvl w:val="0"/>
          <w:numId w:val="72"/>
        </w:numPr>
        <w:autoSpaceDE w:val="0"/>
        <w:autoSpaceDN w:val="0"/>
        <w:adjustRightInd w:val="0"/>
        <w:contextualSpacing/>
        <w:rPr>
          <w:rFonts w:cs="Calibri"/>
          <w:color w:val="000000"/>
        </w:rPr>
      </w:pPr>
      <w:r w:rsidRPr="00933D66">
        <w:t>Income averaging is allowed under the right circumstances. Applicants should have a conversation with MaineHousing’s Asset Management and Development teams before incorporating income averaging in their development pro formas. Considerations include management company willingness and experience with income averaging and the management company’s ability to report required information through their software systems.</w:t>
      </w:r>
    </w:p>
    <w:p w14:paraId="23F62972" w14:textId="77777777" w:rsidR="00411B41" w:rsidRPr="00933D66" w:rsidRDefault="00411B41" w:rsidP="00411B41">
      <w:pPr>
        <w:autoSpaceDE w:val="0"/>
        <w:autoSpaceDN w:val="0"/>
        <w:adjustRightInd w:val="0"/>
        <w:rPr>
          <w:rFonts w:cs="Calibri"/>
          <w:color w:val="000000"/>
          <w:szCs w:val="24"/>
        </w:rPr>
      </w:pPr>
    </w:p>
    <w:p w14:paraId="35A0C891"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Comment:</w:t>
      </w:r>
      <w:r w:rsidRPr="00933D66">
        <w:rPr>
          <w:rFonts w:cs="Calibri"/>
          <w:color w:val="000000"/>
          <w:szCs w:val="24"/>
        </w:rPr>
        <w:t xml:space="preserve"> Emily Flinkstrom, Executive Director of Fair Tide and Hershey Hirschkop, Director of Housing for Fair Tide commented that making LIHTC funding more available for individuals making 30%-40% AMI would assist with the growing homelessness crisis. Flinkstrom and Hirschkop recommended a set-aside for one housing project targeting tenants within the lower income range each round, similar to the set-aside for a preservation project. Flinkstrom and Hirschkop commented another approach would be to provide Project-Based Vouchers with LIHTC funding for every unit at the building. </w:t>
      </w:r>
    </w:p>
    <w:p w14:paraId="1C65A9F8" w14:textId="77777777" w:rsidR="00411B41" w:rsidRPr="00933D66" w:rsidRDefault="00411B41" w:rsidP="00411B41">
      <w:pPr>
        <w:autoSpaceDE w:val="0"/>
        <w:autoSpaceDN w:val="0"/>
        <w:adjustRightInd w:val="0"/>
        <w:rPr>
          <w:rFonts w:cs="Calibri"/>
          <w:color w:val="000000"/>
        </w:rPr>
      </w:pPr>
      <w:r w:rsidRPr="00933D66">
        <w:rPr>
          <w:rFonts w:cs="Calibri"/>
          <w:i/>
          <w:color w:val="000000"/>
          <w:szCs w:val="24"/>
        </w:rPr>
        <w:lastRenderedPageBreak/>
        <w:t>Response:</w:t>
      </w:r>
      <w:r w:rsidRPr="00933D66">
        <w:rPr>
          <w:rFonts w:cs="Calibri"/>
          <w:color w:val="000000"/>
          <w:szCs w:val="24"/>
        </w:rPr>
        <w:t xml:space="preserve"> </w:t>
      </w:r>
      <w:r w:rsidRPr="00933D66">
        <w:rPr>
          <w:rFonts w:cs="Calibri"/>
          <w:color w:val="000000"/>
        </w:rPr>
        <w:t xml:space="preserve">Creating too many set-asides will limit MaineHousing’s ability to fund projects as well as developers’ abilities to compete for MaineHousing funding. A typical 9% competitive process results in at most four projects being funded and with two already established set-asides, creating a third could limit more than 75% of the funding available through the competitive process. LIHTC projects to some extent already accommodate a range of mixed incomes and other funding sources aid in creating deeper affordability in LIHTC projects. Additionally, Income Averaging, in the right circumstances with approval from MaineHousing, could be used to address the needs of individuals in the 30-40% range. MaineHousing also offers a </w:t>
      </w:r>
      <w:r w:rsidRPr="00933D66">
        <w:rPr>
          <w:szCs w:val="24"/>
        </w:rPr>
        <w:t>number of other programs which have varying income eligibility requirements that provides a wide range of housing to individuals of mixed incomes</w:t>
      </w:r>
      <w:r w:rsidRPr="00933D66">
        <w:t xml:space="preserve">. With regards to Project-Based Vouchers, </w:t>
      </w:r>
      <w:r w:rsidRPr="00933D66">
        <w:rPr>
          <w:rFonts w:cs="Calibri"/>
          <w:color w:val="000000"/>
        </w:rPr>
        <w:t>MaineHousing is currently allocating Project-Based Vouchers appropriately in accordance with funding/availability and MaineHousing’s Housing Choice Voucher Plan. Additionally, MaineHousing has committed to providing Project-Based Vouchers for each unit that a developer pledges to set-aside for special needs populations.</w:t>
      </w:r>
    </w:p>
    <w:p w14:paraId="03364951" w14:textId="77777777" w:rsidR="00411B41" w:rsidRPr="00933D66" w:rsidRDefault="00411B41" w:rsidP="00411B41">
      <w:pPr>
        <w:autoSpaceDE w:val="0"/>
        <w:autoSpaceDN w:val="0"/>
        <w:adjustRightInd w:val="0"/>
        <w:rPr>
          <w:rFonts w:cs="Calibri"/>
          <w:color w:val="000000"/>
        </w:rPr>
      </w:pPr>
    </w:p>
    <w:p w14:paraId="54A76112" w14:textId="77777777" w:rsidR="00411B41" w:rsidRPr="00933D66" w:rsidRDefault="00411B41" w:rsidP="00411B41">
      <w:pPr>
        <w:rPr>
          <w:rFonts w:cs="Calibri"/>
          <w:color w:val="000000"/>
          <w:szCs w:val="24"/>
        </w:rPr>
      </w:pPr>
      <w:r w:rsidRPr="00933D66">
        <w:rPr>
          <w:rFonts w:cs="Calibri"/>
          <w:i/>
          <w:color w:val="000000"/>
          <w:szCs w:val="24"/>
        </w:rPr>
        <w:t>Comment:</w:t>
      </w:r>
      <w:r w:rsidRPr="00933D66">
        <w:rPr>
          <w:rFonts w:cs="Calibri"/>
          <w:color w:val="000000"/>
          <w:szCs w:val="24"/>
        </w:rPr>
        <w:t xml:space="preserve"> Beth Boutin, Vice President of Community Investments at Evernorth, commented that Appendix E should be revised to remove the “the lesser of fair market value” language so that the exercise price is just the statutory minimum purchase price under Section 42(i)(7) of the Internal Revenue Code. Beth commented if “the lesser of FMV” language is required, a sponsor could purchase a property for less than the outstanding debt on the property which could result in a cancellation of debt income and resulting tax consequences.  </w:t>
      </w:r>
    </w:p>
    <w:p w14:paraId="3443D5AB" w14:textId="77777777" w:rsidR="00411B41" w:rsidRPr="00933D66" w:rsidRDefault="00411B41" w:rsidP="00411B41">
      <w:pPr>
        <w:rPr>
          <w:rFonts w:cs="Calibri"/>
          <w:color w:val="000000"/>
          <w:szCs w:val="24"/>
        </w:rPr>
      </w:pPr>
    </w:p>
    <w:p w14:paraId="2968E1B5" w14:textId="77777777" w:rsidR="00411B41" w:rsidRPr="00933D66" w:rsidRDefault="00411B41" w:rsidP="00411B41">
      <w:pPr>
        <w:rPr>
          <w:rFonts w:cs="Calibri"/>
          <w:color w:val="000000"/>
          <w:szCs w:val="24"/>
        </w:rPr>
      </w:pPr>
      <w:r w:rsidRPr="00933D66">
        <w:rPr>
          <w:rFonts w:cs="Calibri"/>
          <w:i/>
          <w:color w:val="000000"/>
          <w:szCs w:val="24"/>
        </w:rPr>
        <w:t>Response:</w:t>
      </w:r>
      <w:r w:rsidRPr="00933D66">
        <w:rPr>
          <w:rFonts w:cs="Calibri"/>
          <w:color w:val="000000"/>
          <w:szCs w:val="24"/>
        </w:rPr>
        <w:t xml:space="preserve"> The language in Appendix E does not allow a purchase that is less than the outstanding debt. The language specifically says “. . . but in no event less than the outstanding debt secured by the Project, </w:t>
      </w:r>
      <w:r w:rsidRPr="00933D66">
        <w:rPr>
          <w:szCs w:val="24"/>
        </w:rPr>
        <w:t xml:space="preserve">excluding any indebtedness incurred within the 5-year period ending on the date of the sale pursuant to the ROFR . . . .” </w:t>
      </w:r>
      <w:r w:rsidRPr="00933D66">
        <w:rPr>
          <w:rFonts w:cs="Calibri"/>
          <w:color w:val="000000"/>
          <w:szCs w:val="24"/>
        </w:rPr>
        <w:t xml:space="preserve">MaineHousing will reevaluate this language as it prepares for the next QAP and clarify the language as necessary. </w:t>
      </w:r>
    </w:p>
    <w:p w14:paraId="37A79567" w14:textId="77777777" w:rsidR="00411B41" w:rsidRPr="00933D66" w:rsidRDefault="00411B41" w:rsidP="00411B41">
      <w:pPr>
        <w:rPr>
          <w:rFonts w:cs="Calibri"/>
          <w:color w:val="000000"/>
          <w:szCs w:val="24"/>
        </w:rPr>
      </w:pPr>
    </w:p>
    <w:p w14:paraId="331B502F" w14:textId="77777777" w:rsidR="00411B41" w:rsidRPr="00933D66" w:rsidRDefault="00411B41" w:rsidP="00411B41">
      <w:pPr>
        <w:rPr>
          <w:rFonts w:cs="Calibri"/>
          <w:color w:val="000000"/>
          <w:szCs w:val="24"/>
        </w:rPr>
      </w:pPr>
      <w:r w:rsidRPr="00933D66">
        <w:rPr>
          <w:rFonts w:cs="Calibri"/>
          <w:i/>
          <w:color w:val="000000"/>
          <w:szCs w:val="24"/>
        </w:rPr>
        <w:t>Comment:</w:t>
      </w:r>
      <w:r w:rsidRPr="00933D66">
        <w:rPr>
          <w:rFonts w:cs="Calibri"/>
          <w:color w:val="000000"/>
          <w:szCs w:val="24"/>
        </w:rPr>
        <w:t xml:space="preserve"> Beth Boutin also recommended the removal of “the later of: (i) the public offer of the Project for sale by the general partner or managing member; and (ii)” language in Appendix E so that the Right of First Refusal exercise period ends 36 months after the expiration of the Compliance Period. Beth commented that the language as currently drafted could be interpreted as having an unlimited ROFR exercise period if a public offer of the project for sale is never made as a forced sale is not allowed.</w:t>
      </w:r>
    </w:p>
    <w:p w14:paraId="39DFE4A8" w14:textId="77777777" w:rsidR="00411B41" w:rsidRPr="00933D66" w:rsidRDefault="00411B41" w:rsidP="00411B41">
      <w:pPr>
        <w:rPr>
          <w:rFonts w:cs="Calibri"/>
          <w:color w:val="000000"/>
          <w:szCs w:val="24"/>
        </w:rPr>
      </w:pPr>
    </w:p>
    <w:p w14:paraId="5D53C2BE" w14:textId="77777777" w:rsidR="00411B41" w:rsidRPr="00933D66" w:rsidRDefault="00411B41" w:rsidP="00411B41">
      <w:pPr>
        <w:pStyle w:val="BodyText"/>
        <w:spacing w:line="247" w:lineRule="exact"/>
        <w:rPr>
          <w:spacing w:val="-2"/>
          <w:sz w:val="24"/>
          <w:szCs w:val="24"/>
        </w:rPr>
      </w:pPr>
      <w:r w:rsidRPr="00933D66">
        <w:rPr>
          <w:i/>
          <w:spacing w:val="-2"/>
          <w:sz w:val="24"/>
          <w:szCs w:val="24"/>
        </w:rPr>
        <w:t xml:space="preserve">Response: </w:t>
      </w:r>
      <w:r w:rsidRPr="00933D66">
        <w:rPr>
          <w:spacing w:val="-2"/>
          <w:sz w:val="24"/>
          <w:szCs w:val="24"/>
        </w:rPr>
        <w:t xml:space="preserve">MaineHousing acknowledges that there could be a scenario where a public offer of the project for sale is not made for a long period of time however because the general partner or management member may elect to sell the project to the holder of the ROFR in connection with the exercise of the ROFR following the general partner’s or managing member’s receipt of a bona fide third party offer to purchase the project, MaineHousing feels that the ROFR should not expire 36 months from the end of the Compliance Period if the Project has not been publicly offered for sale. </w:t>
      </w:r>
    </w:p>
    <w:p w14:paraId="7162D853" w14:textId="77777777" w:rsidR="00411B41" w:rsidRPr="00933D66" w:rsidRDefault="00411B41" w:rsidP="00411B41">
      <w:pPr>
        <w:rPr>
          <w:rFonts w:cs="Calibri"/>
          <w:color w:val="000000"/>
          <w:szCs w:val="24"/>
        </w:rPr>
      </w:pPr>
    </w:p>
    <w:p w14:paraId="7811D82B"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Comment:</w:t>
      </w:r>
      <w:r w:rsidRPr="00933D66">
        <w:rPr>
          <w:rFonts w:cs="Calibri"/>
          <w:color w:val="000000"/>
          <w:szCs w:val="24"/>
        </w:rPr>
        <w:t xml:space="preserve"> Beth Boutin also recommended the removal of the “bona fide” requirement in Appendix E and suggested instead a requirement of only a third party offer because bona fide: (a) is contrary to the public policy underlying the LIHTC statutory scheme; (b) sets an extremely high bar that </w:t>
      </w:r>
      <w:r w:rsidRPr="00933D66">
        <w:rPr>
          <w:rFonts w:cs="Calibri"/>
          <w:color w:val="000000"/>
          <w:szCs w:val="24"/>
        </w:rPr>
        <w:lastRenderedPageBreak/>
        <w:t>makes it very difficult for a nonprofit to exercise a ROFR; and (c) encourages aggregators to challenge the exercise of ROFRs by nonprofits.</w:t>
      </w:r>
    </w:p>
    <w:p w14:paraId="5F9ED8BD" w14:textId="77777777" w:rsidR="00411B41" w:rsidRPr="00933D66" w:rsidRDefault="00411B41" w:rsidP="00411B41">
      <w:pPr>
        <w:autoSpaceDE w:val="0"/>
        <w:autoSpaceDN w:val="0"/>
        <w:adjustRightInd w:val="0"/>
        <w:rPr>
          <w:rFonts w:cs="Calibri"/>
          <w:color w:val="000000"/>
          <w:szCs w:val="24"/>
        </w:rPr>
      </w:pPr>
    </w:p>
    <w:p w14:paraId="6BEDB2E2" w14:textId="77777777" w:rsidR="00411B41" w:rsidRPr="00933D66" w:rsidRDefault="00411B41" w:rsidP="00411B41">
      <w:pPr>
        <w:autoSpaceDE w:val="0"/>
        <w:autoSpaceDN w:val="0"/>
        <w:adjustRightInd w:val="0"/>
        <w:rPr>
          <w:rFonts w:cs="Calibri"/>
          <w:color w:val="000000"/>
          <w:szCs w:val="24"/>
        </w:rPr>
      </w:pPr>
      <w:r w:rsidRPr="00933D66">
        <w:rPr>
          <w:rFonts w:cs="Calibri"/>
          <w:i/>
          <w:color w:val="000000"/>
          <w:szCs w:val="24"/>
        </w:rPr>
        <w:t>Response:</w:t>
      </w:r>
      <w:r w:rsidRPr="00933D66">
        <w:rPr>
          <w:rFonts w:cs="Calibri"/>
          <w:color w:val="000000"/>
          <w:szCs w:val="24"/>
        </w:rPr>
        <w:t xml:space="preserve"> The requirement that offers be “bona fide” means the offers must be made in good faith. MaineHousing does not believe this standard is unduly burdensome, extreme or contradictory to public policy. Requiring a good faith offer is standard practice.  </w:t>
      </w:r>
    </w:p>
    <w:p w14:paraId="18F47B58"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 xml:space="preserve">Comment: </w:t>
      </w:r>
      <w:r w:rsidRPr="00933D66">
        <w:rPr>
          <w:rFonts w:cs="Calibri-Italic"/>
          <w:iCs/>
          <w:color w:val="000000"/>
          <w:szCs w:val="24"/>
        </w:rPr>
        <w:t>Bill Pearse, Chief Financial Officer at Realty Resources Management provided testimony at the public hearing stating MaineHousing should exercise discretion under Section 6(K), Smart Growth, to allow the proximity to activities important to daily living to be increased from ½ mile to a further distance in certain circumstances. Nichole Lorentzen, Development Officer of Realty Resources Management added to Pearse’s comment asking MaineHousing to look at senior housing vs. family housing and perhaps adjust the distances based on the type of housing.</w:t>
      </w:r>
    </w:p>
    <w:p w14:paraId="762CA087" w14:textId="77777777" w:rsidR="00411B41" w:rsidRPr="00933D66" w:rsidRDefault="00411B41" w:rsidP="00411B41">
      <w:pPr>
        <w:autoSpaceDE w:val="0"/>
        <w:autoSpaceDN w:val="0"/>
        <w:adjustRightInd w:val="0"/>
        <w:rPr>
          <w:rFonts w:cs="Calibri-Italic"/>
          <w:iCs/>
          <w:color w:val="000000"/>
          <w:szCs w:val="24"/>
        </w:rPr>
      </w:pPr>
    </w:p>
    <w:p w14:paraId="291758C6" w14:textId="77777777" w:rsidR="00411B41" w:rsidRPr="00933D66" w:rsidRDefault="00411B41" w:rsidP="00411B41">
      <w:pPr>
        <w:rPr>
          <w:szCs w:val="24"/>
        </w:rPr>
      </w:pPr>
      <w:r w:rsidRPr="00933D66">
        <w:rPr>
          <w:rFonts w:cs="Calibri-Italic"/>
          <w:i/>
          <w:iCs/>
          <w:color w:val="000000"/>
          <w:szCs w:val="24"/>
        </w:rPr>
        <w:t>Response:</w:t>
      </w:r>
      <w:r w:rsidRPr="00933D66">
        <w:rPr>
          <w:rFonts w:cs="Calibri-Italic"/>
          <w:iCs/>
          <w:color w:val="000000"/>
          <w:szCs w:val="24"/>
        </w:rPr>
        <w:t xml:space="preserve"> </w:t>
      </w:r>
      <w:r w:rsidRPr="00933D66">
        <w:rPr>
          <w:szCs w:val="24"/>
        </w:rPr>
        <w:t>MaineHousing believes that ½ mile is a reasonable and appropriate walking distance to activities important to daily living for all housing types.</w:t>
      </w:r>
    </w:p>
    <w:p w14:paraId="7FB575F9" w14:textId="77777777" w:rsidR="00411B41" w:rsidRPr="00933D66" w:rsidRDefault="00411B41" w:rsidP="00411B41">
      <w:pPr>
        <w:autoSpaceDE w:val="0"/>
        <w:autoSpaceDN w:val="0"/>
        <w:adjustRightInd w:val="0"/>
        <w:rPr>
          <w:rFonts w:cs="Calibri-Italic"/>
          <w:iCs/>
          <w:color w:val="000000"/>
          <w:szCs w:val="24"/>
        </w:rPr>
      </w:pPr>
    </w:p>
    <w:p w14:paraId="6F7BCDB0"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Comment:</w:t>
      </w:r>
      <w:r w:rsidRPr="00933D66">
        <w:rPr>
          <w:rFonts w:cs="Calibri-Italic"/>
          <w:iCs/>
          <w:color w:val="000000"/>
          <w:szCs w:val="24"/>
        </w:rPr>
        <w:t xml:space="preserve"> Bill Pearse also commented that the Nonprofit Set-Aside in Section 3(A) discourages nonprofits from being able to move forward with new construction as the set-aside is only 10% of the annual State Ceiling (approximately $400,000). Pearse commented this is not an adequate amount of funding for new construction and is small in comparison to the credits that are offered in the competitive programs. </w:t>
      </w:r>
    </w:p>
    <w:p w14:paraId="7B8EB911" w14:textId="77777777" w:rsidR="00411B41" w:rsidRPr="00933D66" w:rsidRDefault="00411B41" w:rsidP="00411B41">
      <w:pPr>
        <w:autoSpaceDE w:val="0"/>
        <w:autoSpaceDN w:val="0"/>
        <w:adjustRightInd w:val="0"/>
        <w:rPr>
          <w:rFonts w:cs="Calibri-Italic"/>
          <w:iCs/>
          <w:color w:val="000000"/>
          <w:szCs w:val="24"/>
        </w:rPr>
      </w:pPr>
    </w:p>
    <w:p w14:paraId="2D5EC32E"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MaineHousing has added language in Section 3(A) to state it will set-aside “at least” 10%, which clarifies that MaineHousing may, in its sole discretion, provide more than 10% for the Nonprofit Set-Aside. </w:t>
      </w:r>
    </w:p>
    <w:p w14:paraId="277274E2" w14:textId="77777777" w:rsidR="00411B41" w:rsidRPr="00933D66" w:rsidRDefault="00411B41" w:rsidP="00411B41">
      <w:pPr>
        <w:autoSpaceDE w:val="0"/>
        <w:autoSpaceDN w:val="0"/>
        <w:adjustRightInd w:val="0"/>
        <w:rPr>
          <w:rFonts w:cs="Calibri-Italic"/>
          <w:iCs/>
          <w:color w:val="000000"/>
          <w:szCs w:val="24"/>
        </w:rPr>
      </w:pPr>
    </w:p>
    <w:p w14:paraId="6CFACC47"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Cs/>
          <w:color w:val="000000"/>
          <w:szCs w:val="24"/>
        </w:rPr>
        <w:softHyphen/>
      </w:r>
      <w:r w:rsidRPr="00933D66">
        <w:rPr>
          <w:rFonts w:cs="Calibri-Italic"/>
          <w:i/>
          <w:iCs/>
          <w:color w:val="000000"/>
          <w:szCs w:val="24"/>
        </w:rPr>
        <w:t>Comment:</w:t>
      </w:r>
      <w:r w:rsidRPr="00933D66">
        <w:rPr>
          <w:rFonts w:cs="Calibri-Italic"/>
          <w:iCs/>
          <w:color w:val="000000"/>
          <w:szCs w:val="24"/>
        </w:rPr>
        <w:t xml:space="preserve"> George Lavigne, Licensed Architect for CWS Architecture and Interior Design, submitted a written comment noting that the QAP references the 2009 edition of ANSI 117.1 twice and asking if this was correct as his understanding was that MaineHousing was moving to a new edition.</w:t>
      </w:r>
    </w:p>
    <w:p w14:paraId="6C7BB940" w14:textId="77777777" w:rsidR="00411B41" w:rsidRPr="00933D66" w:rsidRDefault="00411B41" w:rsidP="00411B41">
      <w:pPr>
        <w:autoSpaceDE w:val="0"/>
        <w:autoSpaceDN w:val="0"/>
        <w:adjustRightInd w:val="0"/>
        <w:rPr>
          <w:rFonts w:cs="Calibri-Italic"/>
          <w:iCs/>
          <w:color w:val="000000"/>
          <w:szCs w:val="24"/>
        </w:rPr>
      </w:pPr>
    </w:p>
    <w:p w14:paraId="617EB705"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This is the correct reference at this time. Once the newest version of the Maine Uniform Building and Energy Code is approved the new edition of ANSI will apply and MaineHousing will update the requirements as necessary. </w:t>
      </w:r>
    </w:p>
    <w:p w14:paraId="554034E0" w14:textId="77777777" w:rsidR="00411B41" w:rsidRPr="00933D66" w:rsidRDefault="00411B41" w:rsidP="00411B41">
      <w:pPr>
        <w:autoSpaceDE w:val="0"/>
        <w:autoSpaceDN w:val="0"/>
        <w:adjustRightInd w:val="0"/>
        <w:rPr>
          <w:rFonts w:cs="Calibri-Italic"/>
          <w:iCs/>
          <w:color w:val="000000"/>
          <w:szCs w:val="24"/>
        </w:rPr>
      </w:pPr>
    </w:p>
    <w:p w14:paraId="1B394B18"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Cs/>
          <w:color w:val="000000"/>
          <w:szCs w:val="24"/>
        </w:rPr>
        <w:softHyphen/>
      </w:r>
      <w:r w:rsidRPr="00933D66">
        <w:rPr>
          <w:rFonts w:cs="Calibri-Italic"/>
          <w:i/>
          <w:iCs/>
          <w:color w:val="000000"/>
          <w:szCs w:val="24"/>
        </w:rPr>
        <w:t xml:space="preserve">Comment: </w:t>
      </w:r>
      <w:r w:rsidRPr="00933D66">
        <w:rPr>
          <w:rFonts w:cs="Calibri-Italic"/>
          <w:iCs/>
          <w:color w:val="000000"/>
          <w:szCs w:val="24"/>
        </w:rPr>
        <w:t xml:space="preserve">Seth Parker, Director of Real Estate Development for Bath Housing, submitted written comments regarding Section 6L, Readiness. Seth noted that the provision for having all local and state approvals in hand plus having any appeals periods expired puts tremendous pressure upon the developer to start the approvals process so far in advance of the tax credit deadline. Seth suggested softening this provision by requiring only approvals in hand by the application deadline, which would give time for the appeals period to expire before the LIHTC award date. Seth also suggested that an alternative might be to require approvals in hand and appeals expired before the LIHTC award date. </w:t>
      </w:r>
    </w:p>
    <w:p w14:paraId="0002A9C5" w14:textId="77777777" w:rsidR="00411B41" w:rsidRPr="00933D66" w:rsidRDefault="00411B41" w:rsidP="00411B41">
      <w:pPr>
        <w:autoSpaceDE w:val="0"/>
        <w:autoSpaceDN w:val="0"/>
        <w:adjustRightInd w:val="0"/>
        <w:rPr>
          <w:rFonts w:cs="Calibri-Italic"/>
          <w:iCs/>
          <w:color w:val="000000"/>
          <w:szCs w:val="24"/>
        </w:rPr>
      </w:pPr>
    </w:p>
    <w:p w14:paraId="01379A13"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The Readiness Scoring Criteria gives points to Developers who are fully prepared to proceed with a project. The requirement that the timeframe to appeal has passed and no actions </w:t>
      </w:r>
      <w:r w:rsidRPr="00933D66">
        <w:rPr>
          <w:rFonts w:cs="Calibri-Italic"/>
          <w:iCs/>
          <w:color w:val="000000"/>
          <w:szCs w:val="24"/>
        </w:rPr>
        <w:lastRenderedPageBreak/>
        <w:t xml:space="preserve">have been taken and/or all actions have been resolved supports the notion that a Developer is fully prepared to proceed with a project. Without the passage of the appeal timeframe, there is a risk of the appeal terminating the project or resulting in the project not being able to move forward for a long period of time. For these reasons, MaineHousing believes the requirement is appropriate. It requires preplanning on the Developer’s part to ensure all approvals are in place and all appeal timeframes have passed prior to Application, but it does not create an undue burden.  </w:t>
      </w:r>
    </w:p>
    <w:p w14:paraId="4D1E8486" w14:textId="77777777" w:rsidR="00411B41" w:rsidRPr="00933D66" w:rsidRDefault="00411B41" w:rsidP="00411B41">
      <w:pPr>
        <w:autoSpaceDE w:val="0"/>
        <w:autoSpaceDN w:val="0"/>
        <w:adjustRightInd w:val="0"/>
        <w:rPr>
          <w:rFonts w:cs="Calibri-Italic"/>
          <w:i/>
          <w:iCs/>
          <w:color w:val="000000"/>
          <w:szCs w:val="24"/>
        </w:rPr>
      </w:pPr>
    </w:p>
    <w:p w14:paraId="26CEE424"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Comment:</w:t>
      </w:r>
      <w:r w:rsidRPr="00933D66">
        <w:rPr>
          <w:rFonts w:cs="Calibri-Italic"/>
          <w:iCs/>
          <w:color w:val="000000"/>
          <w:szCs w:val="24"/>
        </w:rPr>
        <w:t xml:space="preserve"> Brooks More, Director of Development for South Portland Housing Authority, submitted written comments asking MaineHousing to consider removing the TDC Index Cap as a reason for termination of an application in Section 4(I)(5).</w:t>
      </w:r>
    </w:p>
    <w:p w14:paraId="6A130EB8" w14:textId="77777777" w:rsidR="00411B41" w:rsidRPr="00933D66" w:rsidRDefault="00411B41" w:rsidP="00411B41">
      <w:pPr>
        <w:autoSpaceDE w:val="0"/>
        <w:autoSpaceDN w:val="0"/>
        <w:adjustRightInd w:val="0"/>
        <w:rPr>
          <w:rFonts w:cs="Calibri-Italic"/>
          <w:iCs/>
          <w:color w:val="000000"/>
          <w:szCs w:val="24"/>
        </w:rPr>
      </w:pPr>
    </w:p>
    <w:p w14:paraId="78289A48" w14:textId="77777777" w:rsidR="00411B41" w:rsidRPr="00933D66" w:rsidRDefault="00411B41" w:rsidP="00411B41">
      <w:pPr>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w:t>
      </w:r>
      <w:r w:rsidRPr="00933D66">
        <w:rPr>
          <w:szCs w:val="24"/>
        </w:rPr>
        <w:t xml:space="preserve">MaineHousing’s priority is to fund as many new, high quality housing units as possible with its limited resources. MaineHousing takes its responsibility as stewards of public funds seriously and for that reason believes the TDC Index Caps are important. Projects that exceed the TDC Index Cap warrant closer examination and if the costs are too great, MaineHousing needs a mechanism to not move forward with a project. That said, in limited circumstances, projects can request a waiver of the TDC Index Cap for good cause and avoid the termination of an application if the reasons are justified. </w:t>
      </w:r>
    </w:p>
    <w:p w14:paraId="48B3BC82" w14:textId="77777777" w:rsidR="00411B41" w:rsidRPr="00933D66" w:rsidRDefault="00411B41" w:rsidP="00411B41">
      <w:pPr>
        <w:autoSpaceDE w:val="0"/>
        <w:autoSpaceDN w:val="0"/>
        <w:adjustRightInd w:val="0"/>
        <w:rPr>
          <w:rFonts w:cs="Calibri-Italic"/>
          <w:i/>
          <w:iCs/>
          <w:color w:val="000000"/>
          <w:szCs w:val="24"/>
        </w:rPr>
      </w:pPr>
    </w:p>
    <w:p w14:paraId="3253A6E9"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Comment:</w:t>
      </w:r>
      <w:r w:rsidRPr="00933D66">
        <w:rPr>
          <w:rFonts w:cs="Calibri-Italic"/>
          <w:iCs/>
          <w:color w:val="000000"/>
          <w:szCs w:val="24"/>
        </w:rPr>
        <w:t xml:space="preserve"> Brooks More commented that the Total Development Cost Section (Section 5(B)) should be removed as the TDC index is a static figure that is based on historic data which does not reflect real-time construction costs. In the alternative, Brooks suggested increasing the cap for new construction above $370,000, adjust the cap annually using a benchmark such as the Consumer Price Index or a construction price index, and including a percentage increase for Passive House or LEED certified buildings.</w:t>
      </w:r>
    </w:p>
    <w:p w14:paraId="4E3710C2" w14:textId="77777777" w:rsidR="00411B41" w:rsidRPr="00933D66" w:rsidRDefault="00411B41" w:rsidP="00411B41">
      <w:pPr>
        <w:autoSpaceDE w:val="0"/>
        <w:autoSpaceDN w:val="0"/>
        <w:adjustRightInd w:val="0"/>
        <w:rPr>
          <w:rFonts w:cs="Calibri-Italic"/>
          <w:iCs/>
          <w:color w:val="000000"/>
          <w:szCs w:val="24"/>
        </w:rPr>
      </w:pPr>
    </w:p>
    <w:p w14:paraId="318AD3B2"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The TDC Index is not a static figure. </w:t>
      </w:r>
      <w:r w:rsidRPr="00933D66">
        <w:rPr>
          <w:szCs w:val="24"/>
        </w:rPr>
        <w:t xml:space="preserve">MaineHousing discusses the TDC Index and TDC Caps in preparation for each QAP and takes into consideration characteristics of projects that drive higher costs. MaineHousing looks at the costs of projects in its current pipeline, as well as current labor and materials pricing and trends to propose numbers that are reasonable and allow for increased costs over the short term. MaineHousing believes that the TDC Index and TDC Caps in Maine’s QAP are appropriate for Maine projects and allow for the creation of as many safe, efficient, quality units as possible. Currently MaineHousing is not requiring Passive House or LEED certifications due to the fact that MaineHousing’s energy efficient standards produce comparable results. For that reason, those costs will not be factored into TDC.      </w:t>
      </w:r>
    </w:p>
    <w:p w14:paraId="35E818C0" w14:textId="77777777" w:rsidR="00411B41" w:rsidRPr="00933D66" w:rsidRDefault="00411B41" w:rsidP="00411B41">
      <w:pPr>
        <w:autoSpaceDE w:val="0"/>
        <w:autoSpaceDN w:val="0"/>
        <w:adjustRightInd w:val="0"/>
        <w:rPr>
          <w:rFonts w:cs="Calibri-Italic"/>
          <w:iCs/>
          <w:color w:val="000000"/>
          <w:szCs w:val="24"/>
        </w:rPr>
      </w:pPr>
    </w:p>
    <w:p w14:paraId="240A435C"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Comment:</w:t>
      </w:r>
      <w:r w:rsidRPr="00933D66">
        <w:rPr>
          <w:rFonts w:cs="Calibri-Italic"/>
          <w:iCs/>
          <w:color w:val="000000"/>
          <w:szCs w:val="24"/>
        </w:rPr>
        <w:t xml:space="preserve"> Brooks More commented that the new design criteria in Section 5(H) for higher efficiency buildings, Build America, Buy America Act and Section 3 requirements are laudable, but increase project costs which supports the removal of the TDC cost cap.</w:t>
      </w:r>
    </w:p>
    <w:p w14:paraId="38C6F072" w14:textId="77777777" w:rsidR="00411B41" w:rsidRPr="00933D66" w:rsidRDefault="00411B41" w:rsidP="00411B41">
      <w:pPr>
        <w:autoSpaceDE w:val="0"/>
        <w:autoSpaceDN w:val="0"/>
        <w:adjustRightInd w:val="0"/>
        <w:rPr>
          <w:rFonts w:cs="Calibri-Italic"/>
          <w:iCs/>
          <w:color w:val="000000"/>
          <w:szCs w:val="24"/>
        </w:rPr>
      </w:pPr>
    </w:p>
    <w:p w14:paraId="43031EF4"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MaineHousing’s analysis of the TDC Cost cap in preparation for each QAP takes into consideration characteristics of projects that drive higher costs, such as Build America, Buy America Act and Section 3 requirements. MaineHousing reassess these characteristics periodically and if the TDC Cost caps prove to be too prohibitive given the regulatory requirements, MaineHousing can adjust the caps or consider a waiver for good cause. </w:t>
      </w:r>
    </w:p>
    <w:p w14:paraId="1EC06C59"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lastRenderedPageBreak/>
        <w:t>Comment:</w:t>
      </w:r>
      <w:r w:rsidRPr="00933D66">
        <w:rPr>
          <w:rFonts w:cs="Calibri-Italic"/>
          <w:iCs/>
          <w:color w:val="000000"/>
          <w:szCs w:val="24"/>
        </w:rPr>
        <w:t xml:space="preserve"> Brooks More commented that community rooms should be made optional particularly for family projects where they do not get much use. Making this requirement in Section 5(I) option would further the goal of lowering costs.</w:t>
      </w:r>
    </w:p>
    <w:p w14:paraId="57095F0F" w14:textId="77777777" w:rsidR="00411B41" w:rsidRPr="00933D66" w:rsidRDefault="00411B41" w:rsidP="00411B41">
      <w:pPr>
        <w:autoSpaceDE w:val="0"/>
        <w:autoSpaceDN w:val="0"/>
        <w:adjustRightInd w:val="0"/>
        <w:rPr>
          <w:rFonts w:cs="Calibri-Italic"/>
          <w:iCs/>
          <w:color w:val="000000"/>
          <w:szCs w:val="24"/>
        </w:rPr>
      </w:pPr>
    </w:p>
    <w:p w14:paraId="1D909C4A"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MaineHousing believes the requirement of a community room in all projects is essential to encouraging socialization, collaboration and a sense of community and is for the benefit of the tenants. In certain circumstances a community room may not be feasible and there may be viable alternatives which can be explored through a request for a waiver for good cause.</w:t>
      </w:r>
    </w:p>
    <w:p w14:paraId="4FC8948E" w14:textId="77777777" w:rsidR="00411B41" w:rsidRPr="00933D66" w:rsidRDefault="00411B41" w:rsidP="00411B41">
      <w:pPr>
        <w:autoSpaceDE w:val="0"/>
        <w:autoSpaceDN w:val="0"/>
        <w:adjustRightInd w:val="0"/>
        <w:rPr>
          <w:rFonts w:cs="Calibri-Italic"/>
          <w:iCs/>
          <w:color w:val="000000"/>
          <w:szCs w:val="24"/>
        </w:rPr>
      </w:pPr>
    </w:p>
    <w:p w14:paraId="5CF7E4F9"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Comment:</w:t>
      </w:r>
      <w:r w:rsidRPr="00933D66">
        <w:rPr>
          <w:rFonts w:cs="Calibri-Italic"/>
          <w:iCs/>
          <w:color w:val="000000"/>
          <w:szCs w:val="24"/>
        </w:rPr>
        <w:t xml:space="preserve"> Brooks More commented asking MaineHousing what the criteria of a “single-family residential area” in Section 6(A)(3) means. </w:t>
      </w:r>
    </w:p>
    <w:p w14:paraId="2D18190C" w14:textId="77777777" w:rsidR="00411B41" w:rsidRPr="00933D66" w:rsidRDefault="00411B41" w:rsidP="00411B41">
      <w:pPr>
        <w:autoSpaceDE w:val="0"/>
        <w:autoSpaceDN w:val="0"/>
        <w:adjustRightInd w:val="0"/>
        <w:rPr>
          <w:rFonts w:cs="Calibri-Italic"/>
          <w:iCs/>
          <w:color w:val="000000"/>
          <w:szCs w:val="24"/>
        </w:rPr>
      </w:pPr>
    </w:p>
    <w:p w14:paraId="1085AD1D"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A “single-family residential area” is an area predominately made up of single family homes, meant to be used as living spaces and not for multiple families or a commercial venture. There may be situations where it is not clear if an area is predominately single family and in those situations MaineHousing would consider the factors and circumstances in making that determination.  </w:t>
      </w:r>
    </w:p>
    <w:p w14:paraId="734EFD82" w14:textId="77777777" w:rsidR="00411B41" w:rsidRPr="00933D66" w:rsidRDefault="00411B41" w:rsidP="00411B41">
      <w:pPr>
        <w:autoSpaceDE w:val="0"/>
        <w:autoSpaceDN w:val="0"/>
        <w:adjustRightInd w:val="0"/>
        <w:rPr>
          <w:rFonts w:cs="Calibri-Italic"/>
          <w:i/>
          <w:iCs/>
          <w:color w:val="000000"/>
          <w:szCs w:val="24"/>
        </w:rPr>
      </w:pPr>
    </w:p>
    <w:p w14:paraId="38606B79"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Comment:</w:t>
      </w:r>
      <w:r w:rsidRPr="00933D66">
        <w:rPr>
          <w:rFonts w:cs="Calibri-Italic"/>
          <w:iCs/>
          <w:color w:val="000000"/>
          <w:szCs w:val="24"/>
        </w:rPr>
        <w:t xml:space="preserve"> Brooks More commented suggesting the acquisition cost points in Section 6(G) should increase in light of the rising cost of land in Maine.</w:t>
      </w:r>
    </w:p>
    <w:p w14:paraId="6607D58D" w14:textId="77777777" w:rsidR="00411B41" w:rsidRPr="00933D66" w:rsidRDefault="00411B41" w:rsidP="00411B41">
      <w:pPr>
        <w:autoSpaceDE w:val="0"/>
        <w:autoSpaceDN w:val="0"/>
        <w:adjustRightInd w:val="0"/>
        <w:rPr>
          <w:rFonts w:cs="Calibri-Italic"/>
          <w:iCs/>
          <w:color w:val="000000"/>
          <w:szCs w:val="24"/>
        </w:rPr>
      </w:pPr>
    </w:p>
    <w:p w14:paraId="55985ED5"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Response:</w:t>
      </w:r>
      <w:r w:rsidRPr="00933D66">
        <w:rPr>
          <w:rFonts w:cs="Calibri-Italic"/>
          <w:iCs/>
          <w:color w:val="000000"/>
          <w:szCs w:val="24"/>
        </w:rPr>
        <w:t xml:space="preserve"> The average acquisition cost figures are based on recent purchase prices, which have stayed consistent in most areas of Maine. The goal of this point category is to keep acquisition costs down and encourage developers to negotiate for a better price. MaineHousing will continue to review this category in preparation for each QAP and make adjustments as necessary.</w:t>
      </w:r>
    </w:p>
    <w:p w14:paraId="517AFEB3" w14:textId="77777777" w:rsidR="00411B41" w:rsidRPr="00933D66" w:rsidRDefault="00411B41" w:rsidP="00411B41">
      <w:pPr>
        <w:autoSpaceDE w:val="0"/>
        <w:autoSpaceDN w:val="0"/>
        <w:adjustRightInd w:val="0"/>
        <w:rPr>
          <w:rFonts w:cs="Calibri-Italic"/>
          <w:iCs/>
          <w:color w:val="000000"/>
          <w:szCs w:val="24"/>
        </w:rPr>
      </w:pPr>
    </w:p>
    <w:p w14:paraId="7689F363"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Comment:</w:t>
      </w:r>
      <w:r w:rsidRPr="00933D66">
        <w:rPr>
          <w:rFonts w:cs="Calibri-Italic"/>
          <w:iCs/>
          <w:color w:val="000000"/>
          <w:szCs w:val="24"/>
        </w:rPr>
        <w:t xml:space="preserve"> Brooks More commented applauding the separation of points for local and state approvals under Section 6(I).</w:t>
      </w:r>
    </w:p>
    <w:p w14:paraId="254B1F6B" w14:textId="77777777" w:rsidR="00411B41" w:rsidRPr="00933D66" w:rsidRDefault="00411B41" w:rsidP="00411B41">
      <w:pPr>
        <w:autoSpaceDE w:val="0"/>
        <w:autoSpaceDN w:val="0"/>
        <w:adjustRightInd w:val="0"/>
        <w:rPr>
          <w:rFonts w:cs="Calibri-Italic"/>
          <w:iCs/>
          <w:color w:val="000000"/>
          <w:szCs w:val="24"/>
        </w:rPr>
      </w:pPr>
    </w:p>
    <w:p w14:paraId="4E01087D" w14:textId="77777777" w:rsidR="00411B41" w:rsidRPr="00933D66" w:rsidRDefault="00411B41" w:rsidP="00411B41">
      <w:pPr>
        <w:autoSpaceDE w:val="0"/>
        <w:autoSpaceDN w:val="0"/>
        <w:adjustRightInd w:val="0"/>
        <w:rPr>
          <w:rFonts w:cs="Calibri-Italic"/>
          <w:iCs/>
          <w:color w:val="000000"/>
          <w:szCs w:val="24"/>
        </w:rPr>
      </w:pPr>
      <w:r w:rsidRPr="00933D66">
        <w:rPr>
          <w:rFonts w:cs="Calibri-Italic"/>
          <w:i/>
          <w:iCs/>
          <w:color w:val="000000"/>
          <w:szCs w:val="24"/>
        </w:rPr>
        <w:t xml:space="preserve">Response: </w:t>
      </w:r>
      <w:r w:rsidRPr="00933D66">
        <w:rPr>
          <w:rFonts w:cs="Calibri-Italic"/>
          <w:iCs/>
          <w:color w:val="000000"/>
          <w:szCs w:val="24"/>
        </w:rPr>
        <w:t>MaineHousing appreciates the support.</w:t>
      </w:r>
    </w:p>
    <w:p w14:paraId="18AF7B3B" w14:textId="77777777" w:rsidR="00411B41" w:rsidRPr="00933D66" w:rsidRDefault="00411B41" w:rsidP="00411B41">
      <w:pPr>
        <w:autoSpaceDE w:val="0"/>
        <w:autoSpaceDN w:val="0"/>
        <w:adjustRightInd w:val="0"/>
        <w:rPr>
          <w:rFonts w:cs="Calibri-Italic"/>
          <w:iCs/>
          <w:color w:val="000000"/>
          <w:szCs w:val="24"/>
        </w:rPr>
      </w:pPr>
    </w:p>
    <w:p w14:paraId="1F17356A" w14:textId="77777777" w:rsidR="00411B41" w:rsidRPr="00F77761" w:rsidRDefault="00411B41" w:rsidP="00411B41">
      <w:pPr>
        <w:autoSpaceDE w:val="0"/>
        <w:autoSpaceDN w:val="0"/>
        <w:adjustRightInd w:val="0"/>
        <w:rPr>
          <w:rFonts w:cs="Calibri-Italic"/>
          <w:iCs/>
          <w:color w:val="000000"/>
          <w:szCs w:val="24"/>
        </w:rPr>
      </w:pPr>
      <w:r w:rsidRPr="00933D66">
        <w:rPr>
          <w:rFonts w:cs="Calibri-Italic"/>
          <w:i/>
          <w:iCs/>
          <w:color w:val="000000"/>
          <w:szCs w:val="24"/>
        </w:rPr>
        <w:t>Comment:</w:t>
      </w:r>
      <w:r w:rsidRPr="00933D66">
        <w:rPr>
          <w:rFonts w:cs="Calibri-Italic"/>
          <w:iCs/>
          <w:color w:val="000000"/>
          <w:szCs w:val="24"/>
        </w:rPr>
        <w:t xml:space="preserve"> Brooks More commented the Net Developer Fee in Section 7(B) needs to increase. Maine </w:t>
      </w:r>
      <w:r w:rsidRPr="00F77761">
        <w:rPr>
          <w:rFonts w:cs="Calibri-Italic"/>
          <w:iCs/>
          <w:color w:val="000000"/>
          <w:szCs w:val="24"/>
        </w:rPr>
        <w:t>has the lowest Net Developer Fee in the nation and projects take a long time and considerable resources to developer therefore the fee should reflect this commitment and risk.</w:t>
      </w:r>
    </w:p>
    <w:p w14:paraId="5868F913" w14:textId="77777777" w:rsidR="00411B41" w:rsidRPr="00F77761" w:rsidRDefault="00411B41" w:rsidP="00411B41">
      <w:pPr>
        <w:autoSpaceDE w:val="0"/>
        <w:autoSpaceDN w:val="0"/>
        <w:adjustRightInd w:val="0"/>
        <w:rPr>
          <w:rFonts w:cs="Calibri-Italic"/>
          <w:iCs/>
          <w:color w:val="000000"/>
          <w:szCs w:val="24"/>
        </w:rPr>
      </w:pPr>
    </w:p>
    <w:p w14:paraId="4E283860" w14:textId="77777777" w:rsidR="00411B41" w:rsidRPr="00F77761" w:rsidRDefault="00411B41" w:rsidP="00411B41">
      <w:pPr>
        <w:autoSpaceDE w:val="0"/>
        <w:autoSpaceDN w:val="0"/>
        <w:adjustRightInd w:val="0"/>
        <w:rPr>
          <w:rFonts w:cs="Calibri-Italic"/>
          <w:iCs/>
          <w:color w:val="000000"/>
          <w:szCs w:val="24"/>
        </w:rPr>
      </w:pPr>
      <w:r w:rsidRPr="00F77761">
        <w:rPr>
          <w:rFonts w:cs="Calibri-Italic"/>
          <w:i/>
          <w:iCs/>
          <w:color w:val="000000"/>
          <w:szCs w:val="24"/>
        </w:rPr>
        <w:t>Response:</w:t>
      </w:r>
      <w:r w:rsidRPr="00F77761">
        <w:rPr>
          <w:rFonts w:cs="Calibri-Italic"/>
          <w:iCs/>
          <w:color w:val="000000"/>
          <w:szCs w:val="24"/>
        </w:rPr>
        <w:t xml:space="preserve"> MaineHousing reevaluates the Net Developer Fee with every QAP and will continue to do so in the future. MaineHousing believes the New Developer Fee is appropriate at this time. </w:t>
      </w:r>
    </w:p>
    <w:p w14:paraId="780798FB" w14:textId="3E76A671" w:rsidR="00411B41" w:rsidRPr="00F77761" w:rsidRDefault="00411B41" w:rsidP="00411B41">
      <w:pPr>
        <w:autoSpaceDE w:val="0"/>
        <w:autoSpaceDN w:val="0"/>
        <w:adjustRightInd w:val="0"/>
        <w:rPr>
          <w:rFonts w:cs="Calibri-Italic"/>
          <w:iCs/>
          <w:color w:val="000000"/>
          <w:szCs w:val="24"/>
        </w:rPr>
      </w:pPr>
    </w:p>
    <w:p w14:paraId="32F26A92" w14:textId="77777777" w:rsidR="00F77761" w:rsidRPr="00F77761" w:rsidRDefault="00F77761" w:rsidP="00F77761">
      <w:pPr>
        <w:autoSpaceDE w:val="0"/>
        <w:autoSpaceDN w:val="0"/>
        <w:adjustRightInd w:val="0"/>
        <w:rPr>
          <w:rFonts w:cs="Calibri-Italic"/>
          <w:iCs/>
          <w:color w:val="000000"/>
          <w:szCs w:val="24"/>
        </w:rPr>
      </w:pPr>
      <w:r w:rsidRPr="00F77761">
        <w:rPr>
          <w:rFonts w:cs="Calibri-Italic"/>
          <w:i/>
          <w:iCs/>
          <w:color w:val="000000"/>
          <w:szCs w:val="24"/>
        </w:rPr>
        <w:t>Comment:</w:t>
      </w:r>
      <w:r w:rsidRPr="00F77761">
        <w:rPr>
          <w:rFonts w:cs="Calibri-Italic"/>
          <w:iCs/>
          <w:color w:val="000000"/>
          <w:szCs w:val="24"/>
        </w:rPr>
        <w:t xml:space="preserve"> Jay Waterman, Director of Real Estate Development for Portland Housing Development Corporation, submitted written comments addressing Section 5B stating that the QAP incentivizes developers to take on brownfield mitigation, which can be very costly, outside of LIHTC deals because of the cost caps. Jay urged MaineHousing to consider removing Brownfield remediation costs from the TDC calculation. </w:t>
      </w:r>
    </w:p>
    <w:p w14:paraId="18EF34A4" w14:textId="77777777" w:rsidR="00F77761" w:rsidRPr="00F77761" w:rsidRDefault="00F77761" w:rsidP="00F77761">
      <w:pPr>
        <w:autoSpaceDE w:val="0"/>
        <w:autoSpaceDN w:val="0"/>
        <w:adjustRightInd w:val="0"/>
        <w:rPr>
          <w:rFonts w:cs="Calibri-Italic"/>
          <w:iCs/>
          <w:color w:val="000000"/>
          <w:szCs w:val="24"/>
        </w:rPr>
      </w:pPr>
    </w:p>
    <w:p w14:paraId="2BC323A3" w14:textId="77777777" w:rsidR="00F77761" w:rsidRPr="00F77761" w:rsidRDefault="00F77761" w:rsidP="00F77761">
      <w:pPr>
        <w:autoSpaceDE w:val="0"/>
        <w:autoSpaceDN w:val="0"/>
        <w:adjustRightInd w:val="0"/>
        <w:rPr>
          <w:rFonts w:cs="Calibri-Italic"/>
          <w:iCs/>
          <w:color w:val="000000"/>
          <w:szCs w:val="24"/>
        </w:rPr>
      </w:pPr>
      <w:r w:rsidRPr="00F77761">
        <w:rPr>
          <w:rFonts w:cs="Calibri-Italic"/>
          <w:i/>
          <w:iCs/>
          <w:color w:val="000000"/>
          <w:szCs w:val="24"/>
        </w:rPr>
        <w:t>Response:</w:t>
      </w:r>
      <w:r w:rsidRPr="00F77761">
        <w:rPr>
          <w:rFonts w:cs="Calibri-Italic"/>
          <w:iCs/>
          <w:color w:val="000000"/>
          <w:szCs w:val="24"/>
        </w:rPr>
        <w:t xml:space="preserve"> If Brownfield remediation is performed as part of the LIHTC deal it must be included in the TDC calculation as it is part of the total development cost. Developers may, as suggested, </w:t>
      </w:r>
      <w:r w:rsidRPr="00F77761">
        <w:rPr>
          <w:rFonts w:cs="Calibri-Italic"/>
          <w:iCs/>
          <w:color w:val="000000"/>
          <w:szCs w:val="24"/>
        </w:rPr>
        <w:lastRenderedPageBreak/>
        <w:t xml:space="preserve">perform </w:t>
      </w:r>
      <w:r w:rsidRPr="00F77761">
        <w:rPr>
          <w:szCs w:val="24"/>
        </w:rPr>
        <w:t xml:space="preserve">Brownfield remediation outside of and/or prior to the project scope of work to avoid inclusion in the TDC. </w:t>
      </w:r>
    </w:p>
    <w:p w14:paraId="783AF68F" w14:textId="77777777" w:rsidR="00F77761" w:rsidRPr="00F77761" w:rsidRDefault="00F77761" w:rsidP="00F77761">
      <w:pPr>
        <w:autoSpaceDE w:val="0"/>
        <w:autoSpaceDN w:val="0"/>
        <w:adjustRightInd w:val="0"/>
        <w:rPr>
          <w:rFonts w:cs="Calibri-Italic"/>
          <w:iCs/>
          <w:color w:val="000000"/>
          <w:szCs w:val="24"/>
        </w:rPr>
      </w:pPr>
    </w:p>
    <w:p w14:paraId="0911BDB2" w14:textId="77777777" w:rsidR="00F77761" w:rsidRPr="00F77761" w:rsidRDefault="00F77761" w:rsidP="00F77761">
      <w:pPr>
        <w:autoSpaceDE w:val="0"/>
        <w:autoSpaceDN w:val="0"/>
        <w:adjustRightInd w:val="0"/>
        <w:rPr>
          <w:rFonts w:cs="Calibri-Italic"/>
          <w:iCs/>
          <w:color w:val="000000"/>
          <w:szCs w:val="24"/>
        </w:rPr>
      </w:pPr>
      <w:r w:rsidRPr="00F77761">
        <w:rPr>
          <w:rFonts w:cs="Calibri-Italic"/>
          <w:i/>
          <w:iCs/>
          <w:color w:val="000000"/>
          <w:szCs w:val="24"/>
        </w:rPr>
        <w:t xml:space="preserve">Comment: </w:t>
      </w:r>
      <w:r w:rsidRPr="00F77761">
        <w:rPr>
          <w:rFonts w:cs="Calibri-Italic"/>
          <w:iCs/>
          <w:color w:val="000000"/>
          <w:szCs w:val="24"/>
        </w:rPr>
        <w:t>Jay Waterman also commented that generally the project cost caps are too low. With higher costs associated with building in Southern Maine’s urban areas and the fact that cost caps are fixed for over two years, it leads to developers needing to seek waivers of the cost caps. Jay urged MaineHousing to consider annual increases to the cost caps based on actual costs and/or a recognized inflation index, as well as regional cost caps, splitting the state into lower and higher cost cap areas.</w:t>
      </w:r>
    </w:p>
    <w:p w14:paraId="08A6FEF4" w14:textId="77777777" w:rsidR="00F77761" w:rsidRPr="00F77761" w:rsidRDefault="00F77761" w:rsidP="00F77761">
      <w:pPr>
        <w:autoSpaceDE w:val="0"/>
        <w:autoSpaceDN w:val="0"/>
        <w:adjustRightInd w:val="0"/>
        <w:rPr>
          <w:rFonts w:cs="Calibri-Italic"/>
          <w:iCs/>
          <w:color w:val="000000"/>
          <w:szCs w:val="24"/>
        </w:rPr>
      </w:pPr>
    </w:p>
    <w:p w14:paraId="098F8D58" w14:textId="77777777" w:rsidR="00F77761" w:rsidRPr="00F77761" w:rsidRDefault="00F77761" w:rsidP="00F77761">
      <w:pPr>
        <w:numPr>
          <w:ilvl w:val="1"/>
          <w:numId w:val="66"/>
        </w:numPr>
        <w:autoSpaceDE w:val="0"/>
        <w:autoSpaceDN w:val="0"/>
        <w:adjustRightInd w:val="0"/>
        <w:ind w:hanging="360"/>
        <w:rPr>
          <w:szCs w:val="24"/>
        </w:rPr>
      </w:pPr>
      <w:r w:rsidRPr="00F77761">
        <w:rPr>
          <w:rFonts w:cs="Calibri-Italic"/>
          <w:i/>
          <w:iCs/>
          <w:color w:val="000000"/>
          <w:szCs w:val="24"/>
        </w:rPr>
        <w:t>Response:</w:t>
      </w:r>
      <w:r w:rsidRPr="00F77761">
        <w:rPr>
          <w:rFonts w:cs="Calibri-Italic"/>
          <w:iCs/>
          <w:color w:val="000000"/>
          <w:szCs w:val="24"/>
        </w:rPr>
        <w:t xml:space="preserve"> </w:t>
      </w:r>
      <w:r w:rsidRPr="00F77761">
        <w:rPr>
          <w:szCs w:val="24"/>
        </w:rPr>
        <w:t>MaineHousing’s priority is to fund as many new, high quality housing units as possible with its limited resources.  Based on the costs in the current pipeline, as well as current labor and materials pricing and trends, MaineHousing is confident that the proposed TDC caps are reasonable and will eliminate certain projects which would otherwise have a higher per unit cost than necessary. MaineHousing believes that the TDC Caps in Maine’s QAP are appropriate for Maine projects.</w:t>
      </w:r>
    </w:p>
    <w:p w14:paraId="632E0D02" w14:textId="77777777" w:rsidR="00F77761" w:rsidRPr="00F77761" w:rsidRDefault="00F77761" w:rsidP="00F77761">
      <w:pPr>
        <w:autoSpaceDE w:val="0"/>
        <w:autoSpaceDN w:val="0"/>
        <w:adjustRightInd w:val="0"/>
        <w:rPr>
          <w:rFonts w:cs="Calibri-Italic"/>
          <w:iCs/>
          <w:color w:val="000000"/>
          <w:szCs w:val="24"/>
        </w:rPr>
      </w:pPr>
    </w:p>
    <w:p w14:paraId="78B5EDB9" w14:textId="77777777" w:rsidR="00F77761" w:rsidRPr="00F77761" w:rsidRDefault="00F77761" w:rsidP="00F77761">
      <w:pPr>
        <w:autoSpaceDE w:val="0"/>
        <w:autoSpaceDN w:val="0"/>
        <w:adjustRightInd w:val="0"/>
        <w:rPr>
          <w:rFonts w:cs="Calibri-Italic"/>
          <w:iCs/>
          <w:color w:val="000000"/>
          <w:szCs w:val="24"/>
        </w:rPr>
      </w:pPr>
      <w:r w:rsidRPr="00F77761">
        <w:rPr>
          <w:rFonts w:cs="Calibri-Italic"/>
          <w:i/>
          <w:iCs/>
          <w:color w:val="000000"/>
          <w:szCs w:val="24"/>
        </w:rPr>
        <w:t xml:space="preserve">Comment: </w:t>
      </w:r>
      <w:r w:rsidRPr="00F77761">
        <w:rPr>
          <w:rFonts w:cs="Calibri-Italic"/>
          <w:iCs/>
          <w:color w:val="000000"/>
          <w:szCs w:val="24"/>
        </w:rPr>
        <w:t>Jay Waterman also commented on Section 6(N), Owner Performance, expressing concern regarding negative points for situations where incidents occur that are no fault of the owner or property management company and are quickly remediated, but still result in the issuance of an 8823.</w:t>
      </w:r>
    </w:p>
    <w:p w14:paraId="766DD6E7" w14:textId="77777777" w:rsidR="00F77761" w:rsidRPr="00F77761" w:rsidRDefault="00F77761" w:rsidP="00F77761">
      <w:pPr>
        <w:autoSpaceDE w:val="0"/>
        <w:autoSpaceDN w:val="0"/>
        <w:adjustRightInd w:val="0"/>
        <w:rPr>
          <w:rFonts w:cs="Calibri-Italic"/>
          <w:iCs/>
          <w:color w:val="000000"/>
          <w:szCs w:val="24"/>
        </w:rPr>
      </w:pPr>
    </w:p>
    <w:p w14:paraId="6EDA5021" w14:textId="77777777" w:rsidR="00F77761" w:rsidRPr="00F77761" w:rsidRDefault="00F77761" w:rsidP="00F77761">
      <w:pPr>
        <w:autoSpaceDE w:val="0"/>
        <w:autoSpaceDN w:val="0"/>
        <w:adjustRightInd w:val="0"/>
        <w:rPr>
          <w:rFonts w:cs="Calibri-Italic"/>
          <w:iCs/>
          <w:color w:val="000000"/>
          <w:szCs w:val="24"/>
        </w:rPr>
      </w:pPr>
      <w:r w:rsidRPr="00F77761">
        <w:rPr>
          <w:rFonts w:cs="Calibri-Italic"/>
          <w:i/>
          <w:iCs/>
          <w:color w:val="000000"/>
          <w:szCs w:val="24"/>
        </w:rPr>
        <w:t>Response:</w:t>
      </w:r>
      <w:r w:rsidRPr="00F77761">
        <w:rPr>
          <w:rFonts w:cs="Calibri-Italic"/>
          <w:iCs/>
          <w:color w:val="000000"/>
          <w:szCs w:val="24"/>
        </w:rPr>
        <w:t xml:space="preserve"> </w:t>
      </w:r>
      <w:r w:rsidRPr="00F77761">
        <w:rPr>
          <w:szCs w:val="24"/>
        </w:rPr>
        <w:t>MaineHousing has added clarifying language to Section 6(N), Owner Performance, explaining that MaineHousing has the discretion to consider whether non-compliance was a direct result of the Applicant’s non-performance, the performance of an unaffiliated third-party, or a result of something outside the control of any affiliated party provided it was corrected appropriately within a reasonable timeframe.</w:t>
      </w:r>
    </w:p>
    <w:p w14:paraId="4840F7B3" w14:textId="77777777" w:rsidR="00F77761" w:rsidRPr="00F77761" w:rsidRDefault="00F77761" w:rsidP="00F77761">
      <w:pPr>
        <w:autoSpaceDE w:val="0"/>
        <w:autoSpaceDN w:val="0"/>
        <w:adjustRightInd w:val="0"/>
        <w:rPr>
          <w:rFonts w:cs="Calibri-Italic"/>
          <w:iCs/>
          <w:color w:val="000000"/>
          <w:szCs w:val="24"/>
        </w:rPr>
      </w:pPr>
    </w:p>
    <w:p w14:paraId="7F6B75A6" w14:textId="77777777" w:rsidR="00F77761" w:rsidRPr="00F77761" w:rsidRDefault="00F77761" w:rsidP="00F77761">
      <w:pPr>
        <w:autoSpaceDE w:val="0"/>
        <w:autoSpaceDN w:val="0"/>
        <w:adjustRightInd w:val="0"/>
        <w:rPr>
          <w:rFonts w:cs="Calibri-Italic"/>
          <w:iCs/>
          <w:color w:val="000000"/>
          <w:szCs w:val="24"/>
        </w:rPr>
      </w:pPr>
      <w:r w:rsidRPr="00F77761">
        <w:rPr>
          <w:rFonts w:cs="Calibri-Italic"/>
          <w:i/>
          <w:iCs/>
          <w:color w:val="000000"/>
          <w:szCs w:val="24"/>
        </w:rPr>
        <w:t xml:space="preserve">Comment: </w:t>
      </w:r>
      <w:r w:rsidRPr="00F77761">
        <w:rPr>
          <w:rFonts w:cs="Calibri-Italic"/>
          <w:iCs/>
          <w:color w:val="000000"/>
          <w:szCs w:val="24"/>
        </w:rPr>
        <w:t>Jay Waterman also commented on Section 7B, Developer Fee, stating $750,000 is still among the lowest in the nation. Jay expressed there is significant financial risk in taking on these projects and the amount should be increased to at least the national median.</w:t>
      </w:r>
    </w:p>
    <w:p w14:paraId="588D6986" w14:textId="77777777" w:rsidR="00F77761" w:rsidRPr="00F77761" w:rsidRDefault="00F77761" w:rsidP="00F77761">
      <w:pPr>
        <w:autoSpaceDE w:val="0"/>
        <w:autoSpaceDN w:val="0"/>
        <w:adjustRightInd w:val="0"/>
        <w:rPr>
          <w:rFonts w:cs="Calibri-Italic"/>
          <w:iCs/>
          <w:color w:val="000000"/>
          <w:szCs w:val="24"/>
        </w:rPr>
      </w:pPr>
    </w:p>
    <w:p w14:paraId="44161C36" w14:textId="77777777" w:rsidR="00F77761" w:rsidRPr="00F77761" w:rsidRDefault="00F77761" w:rsidP="00F77761">
      <w:pPr>
        <w:autoSpaceDE w:val="0"/>
        <w:autoSpaceDN w:val="0"/>
        <w:adjustRightInd w:val="0"/>
        <w:rPr>
          <w:rFonts w:cs="Calibri-Italic"/>
          <w:iCs/>
          <w:color w:val="000000"/>
          <w:szCs w:val="24"/>
        </w:rPr>
      </w:pPr>
      <w:r w:rsidRPr="00F77761">
        <w:rPr>
          <w:rFonts w:cs="Calibri-Italic"/>
          <w:i/>
          <w:iCs/>
          <w:color w:val="000000"/>
          <w:szCs w:val="24"/>
        </w:rPr>
        <w:t>Response:</w:t>
      </w:r>
      <w:r w:rsidRPr="00F77761">
        <w:rPr>
          <w:rFonts w:cs="Calibri-Italic"/>
          <w:iCs/>
          <w:color w:val="000000"/>
          <w:szCs w:val="24"/>
        </w:rPr>
        <w:t xml:space="preserve"> </w:t>
      </w:r>
      <w:r w:rsidRPr="00F77761">
        <w:rPr>
          <w:szCs w:val="24"/>
        </w:rPr>
        <w:t>MaineHousing continues to believe that the Net Developer Fee cap of $750,000 is appropriate. The Net Developer Fee cap is reviewed with each iteration of the QAP and adjustments are made as necessary.</w:t>
      </w:r>
    </w:p>
    <w:p w14:paraId="1F4517FD" w14:textId="77777777" w:rsidR="00F77761" w:rsidRPr="00F77761" w:rsidRDefault="00F77761" w:rsidP="00F77761">
      <w:pPr>
        <w:autoSpaceDE w:val="0"/>
        <w:autoSpaceDN w:val="0"/>
        <w:adjustRightInd w:val="0"/>
        <w:rPr>
          <w:rFonts w:cs="Calibri-Italic"/>
          <w:i/>
          <w:iCs/>
          <w:color w:val="000000"/>
          <w:szCs w:val="24"/>
        </w:rPr>
      </w:pPr>
    </w:p>
    <w:p w14:paraId="38B60C9E" w14:textId="77777777" w:rsidR="00F77761" w:rsidRPr="00F77761" w:rsidRDefault="00F77761" w:rsidP="00F77761">
      <w:pPr>
        <w:autoSpaceDE w:val="0"/>
        <w:autoSpaceDN w:val="0"/>
        <w:adjustRightInd w:val="0"/>
        <w:rPr>
          <w:rFonts w:cs="Calibri-Italic"/>
          <w:iCs/>
          <w:color w:val="000000"/>
          <w:szCs w:val="24"/>
        </w:rPr>
      </w:pPr>
      <w:r w:rsidRPr="00F77761">
        <w:rPr>
          <w:rFonts w:cs="Calibri-Italic"/>
          <w:i/>
          <w:iCs/>
          <w:color w:val="000000"/>
          <w:szCs w:val="24"/>
        </w:rPr>
        <w:t xml:space="preserve">Comment: </w:t>
      </w:r>
      <w:r w:rsidRPr="00F77761">
        <w:rPr>
          <w:rFonts w:cs="Calibri-Italic"/>
          <w:iCs/>
          <w:color w:val="000000"/>
          <w:szCs w:val="24"/>
        </w:rPr>
        <w:t>Jay Waterman also commented that MaineHousing should streamline the environmental review process and help mitigate some of the risk that comes with a potential Choice Limiting Action. Jay suggested using qualified third-party engineers to compile the Environmental Review Checklist to submit to MaineHousing for review and approval. Jay commented this would be relatively inexpensive and would save a lot of MaineHousing staff time and remove the regulatory risk of a Choice Limiting Action much earlier in the life of a LIHTC project.</w:t>
      </w:r>
    </w:p>
    <w:p w14:paraId="3B0EDCB8" w14:textId="77777777" w:rsidR="00F77761" w:rsidRPr="00F77761" w:rsidRDefault="00F77761" w:rsidP="00F77761">
      <w:pPr>
        <w:autoSpaceDE w:val="0"/>
        <w:autoSpaceDN w:val="0"/>
        <w:adjustRightInd w:val="0"/>
        <w:rPr>
          <w:rFonts w:cs="Calibri-Italic"/>
          <w:iCs/>
          <w:color w:val="000000"/>
          <w:szCs w:val="24"/>
        </w:rPr>
      </w:pPr>
    </w:p>
    <w:p w14:paraId="44365815" w14:textId="77777777" w:rsidR="00F77761" w:rsidRDefault="00F77761" w:rsidP="00F77761">
      <w:pPr>
        <w:autoSpaceDE w:val="0"/>
        <w:autoSpaceDN w:val="0"/>
        <w:adjustRightInd w:val="0"/>
        <w:rPr>
          <w:szCs w:val="24"/>
        </w:rPr>
      </w:pPr>
      <w:r w:rsidRPr="00F77761">
        <w:rPr>
          <w:rFonts w:cs="Calibri-Italic"/>
          <w:i/>
          <w:iCs/>
          <w:color w:val="000000"/>
          <w:szCs w:val="24"/>
        </w:rPr>
        <w:t>Response:</w:t>
      </w:r>
      <w:r w:rsidRPr="00F77761">
        <w:rPr>
          <w:rFonts w:cs="Calibri-Italic"/>
          <w:iCs/>
          <w:color w:val="000000"/>
          <w:szCs w:val="24"/>
        </w:rPr>
        <w:t xml:space="preserve"> </w:t>
      </w:r>
      <w:r w:rsidRPr="00F77761">
        <w:rPr>
          <w:szCs w:val="24"/>
        </w:rPr>
        <w:t>MaineHousing appreciates this recommendation and intends to look into the possibility of outsourcing the Environmental Review work.</w:t>
      </w:r>
    </w:p>
    <w:p w14:paraId="5AD75AB4" w14:textId="63CE6EFA" w:rsidR="0051540B" w:rsidRPr="006F6171" w:rsidRDefault="0051540B" w:rsidP="0051540B">
      <w:pPr>
        <w:pStyle w:val="NoSpacing"/>
        <w:rPr>
          <w:b/>
        </w:rPr>
      </w:pPr>
      <w:bookmarkStart w:id="15" w:name="_Toc450577699"/>
      <w:bookmarkStart w:id="16" w:name="_Toc531341085"/>
      <w:r w:rsidRPr="006F6171">
        <w:rPr>
          <w:rStyle w:val="Heading1Char"/>
        </w:rPr>
        <w:lastRenderedPageBreak/>
        <w:t xml:space="preserve">FISCAL </w:t>
      </w:r>
      <w:r w:rsidRPr="005837CD">
        <w:rPr>
          <w:rStyle w:val="Heading1Char"/>
          <w:color w:val="auto"/>
        </w:rPr>
        <w:t>IMPACT OF THE RULE:</w:t>
      </w:r>
      <w:bookmarkEnd w:id="15"/>
      <w:bookmarkEnd w:id="16"/>
      <w:r w:rsidRPr="005837CD">
        <w:rPr>
          <w:color w:val="auto"/>
        </w:rPr>
        <w:t xml:space="preserve"> The 202</w:t>
      </w:r>
      <w:r w:rsidR="006D347A" w:rsidRPr="005837CD">
        <w:rPr>
          <w:color w:val="auto"/>
        </w:rPr>
        <w:t>5</w:t>
      </w:r>
      <w:r w:rsidRPr="005837CD">
        <w:rPr>
          <w:color w:val="auto"/>
        </w:rPr>
        <w:t xml:space="preserve"> State of Maine ceiling of federal low-income housing tax credits </w:t>
      </w:r>
      <w:r w:rsidR="005A7A66" w:rsidRPr="005837CD">
        <w:rPr>
          <w:color w:val="auto"/>
        </w:rPr>
        <w:t>is</w:t>
      </w:r>
      <w:r w:rsidRPr="005837CD">
        <w:rPr>
          <w:color w:val="auto"/>
        </w:rPr>
        <w:t xml:space="preserve"> projected to raise approximately $</w:t>
      </w:r>
      <w:r w:rsidR="006D347A" w:rsidRPr="005837CD">
        <w:rPr>
          <w:color w:val="auto"/>
        </w:rPr>
        <w:t xml:space="preserve"> 34,700,000 </w:t>
      </w:r>
      <w:r w:rsidRPr="005837CD">
        <w:rPr>
          <w:color w:val="auto"/>
        </w:rPr>
        <w:t>of private investor capital</w:t>
      </w:r>
      <w:r w:rsidR="005A7A66" w:rsidRPr="005837CD">
        <w:rPr>
          <w:color w:val="auto"/>
        </w:rPr>
        <w:t>, and the 202</w:t>
      </w:r>
      <w:r w:rsidR="006D347A" w:rsidRPr="005837CD">
        <w:rPr>
          <w:color w:val="auto"/>
        </w:rPr>
        <w:t>6</w:t>
      </w:r>
      <w:r w:rsidR="005A7A66" w:rsidRPr="005837CD">
        <w:rPr>
          <w:color w:val="auto"/>
        </w:rPr>
        <w:t xml:space="preserve"> State of Maine ceiling of federal low-income housing tax credits is projected to raise approximately $</w:t>
      </w:r>
      <w:r w:rsidR="006D347A" w:rsidRPr="005837CD">
        <w:rPr>
          <w:color w:val="auto"/>
        </w:rPr>
        <w:t xml:space="preserve"> 35,300,000 </w:t>
      </w:r>
      <w:r w:rsidR="005A7A66" w:rsidRPr="005837CD">
        <w:rPr>
          <w:color w:val="auto"/>
        </w:rPr>
        <w:t>of private investor capital</w:t>
      </w:r>
      <w:r w:rsidRPr="005837CD">
        <w:rPr>
          <w:color w:val="auto"/>
        </w:rPr>
        <w:t xml:space="preserve">. The private investor capital generated by the federal low-income housing tax credits will be used to develop affordable </w:t>
      </w:r>
      <w:r w:rsidRPr="006F6171">
        <w:t xml:space="preserve">housing for low-income persons. Additionally, it is estimated that </w:t>
      </w:r>
      <w:r w:rsidR="005A7A66" w:rsidRPr="006F6171">
        <w:t>1,400</w:t>
      </w:r>
      <w:r w:rsidRPr="006F6171">
        <w:t xml:space="preserve"> jobs </w:t>
      </w:r>
      <w:r w:rsidR="005A7A66" w:rsidRPr="006F6171">
        <w:t xml:space="preserve">a year </w:t>
      </w:r>
      <w:r w:rsidRPr="006F6171">
        <w:t>will be created with this investment.  The rule will not impose any costs on municipalities or counties for implementation or compliance.</w:t>
      </w:r>
    </w:p>
    <w:p w14:paraId="12BF883B" w14:textId="77777777" w:rsidR="0051540B" w:rsidRPr="006F6171" w:rsidRDefault="0051540B" w:rsidP="008416BF">
      <w:pPr>
        <w:pStyle w:val="BodyText"/>
        <w:tabs>
          <w:tab w:val="left" w:pos="-720"/>
        </w:tabs>
        <w:suppressAutoHyphens/>
        <w:jc w:val="both"/>
        <w:rPr>
          <w:bCs/>
          <w:sz w:val="24"/>
          <w:szCs w:val="24"/>
        </w:rPr>
      </w:pPr>
    </w:p>
    <w:p w14:paraId="444B2A69" w14:textId="77777777" w:rsidR="00C5738F" w:rsidRDefault="00300E91" w:rsidP="0051540B">
      <w:pPr>
        <w:jc w:val="both"/>
        <w:rPr>
          <w:b/>
          <w:bCs/>
        </w:rPr>
      </w:pPr>
      <w:r w:rsidRPr="006F6171">
        <w:rPr>
          <w:b/>
          <w:bCs/>
        </w:rPr>
        <w:t>EFFECTIVE DATE:</w:t>
      </w:r>
      <w:r w:rsidR="00C70E51" w:rsidRPr="006F6171">
        <w:rPr>
          <w:b/>
          <w:bCs/>
        </w:rPr>
        <w:t xml:space="preserve"> </w:t>
      </w:r>
      <w:r w:rsidR="006F32BB">
        <w:rPr>
          <w:b/>
          <w:bCs/>
        </w:rPr>
        <w:t xml:space="preserve">  JULY 3, 2024</w:t>
      </w:r>
    </w:p>
    <w:p w14:paraId="06675219" w14:textId="77777777" w:rsidR="001A57FA" w:rsidRDefault="001A57FA" w:rsidP="0051540B">
      <w:pPr>
        <w:jc w:val="both"/>
        <w:rPr>
          <w:b/>
          <w:bCs/>
        </w:rPr>
      </w:pPr>
    </w:p>
    <w:p w14:paraId="4FB8B573" w14:textId="77777777" w:rsidR="001A57FA" w:rsidRDefault="001A57FA" w:rsidP="0051540B">
      <w:pPr>
        <w:jc w:val="both"/>
        <w:rPr>
          <w:b/>
          <w:bCs/>
        </w:rPr>
      </w:pPr>
    </w:p>
    <w:p w14:paraId="58D9F4EE" w14:textId="5F976E9F" w:rsidR="001A57FA" w:rsidRPr="006F6171" w:rsidRDefault="001A57FA" w:rsidP="0051540B">
      <w:pPr>
        <w:jc w:val="both"/>
        <w:rPr>
          <w:b/>
          <w:szCs w:val="24"/>
        </w:rPr>
        <w:sectPr w:rsidR="001A57FA" w:rsidRPr="006F6171" w:rsidSect="00282994">
          <w:footerReference w:type="default" r:id="rId50"/>
          <w:endnotePr>
            <w:numFmt w:val="decimal"/>
          </w:endnotePr>
          <w:pgSz w:w="12240" w:h="15840" w:code="1"/>
          <w:pgMar w:top="1440" w:right="1526" w:bottom="1440" w:left="1440" w:header="1440" w:footer="720" w:gutter="0"/>
          <w:paperSrc w:first="1284" w:other="1284"/>
          <w:pgNumType w:start="1"/>
          <w:cols w:space="720"/>
          <w:noEndnote/>
        </w:sectPr>
      </w:pPr>
      <w:r>
        <w:rPr>
          <w:b/>
          <w:bCs/>
        </w:rPr>
        <w:t>APAO ACCESSIBILITY CHECK: July 24, 2025</w:t>
      </w:r>
    </w:p>
    <w:p w14:paraId="3C9642D3" w14:textId="77777777" w:rsidR="00AE7EB0" w:rsidRPr="006F6171" w:rsidRDefault="00AE7EB0" w:rsidP="00614DD9">
      <w:pPr>
        <w:pStyle w:val="NoSpacing"/>
        <w:jc w:val="center"/>
      </w:pPr>
      <w:r w:rsidRPr="006F6171">
        <w:lastRenderedPageBreak/>
        <w:t>APPENDIX A</w:t>
      </w:r>
    </w:p>
    <w:p w14:paraId="6B8E75DC" w14:textId="77777777" w:rsidR="00AE7EB0" w:rsidRPr="006F6171" w:rsidRDefault="00AE7EB0" w:rsidP="00B34323">
      <w:pPr>
        <w:pStyle w:val="NoSpacing"/>
      </w:pPr>
    </w:p>
    <w:p w14:paraId="534C77A0" w14:textId="77777777" w:rsidR="00AE7EB0" w:rsidRPr="006F6171" w:rsidRDefault="00AE7EB0" w:rsidP="00B34323">
      <w:pPr>
        <w:pStyle w:val="NoSpacing"/>
      </w:pPr>
      <w:r w:rsidRPr="006F6171">
        <w:t>Definitions</w:t>
      </w:r>
    </w:p>
    <w:p w14:paraId="379614F6" w14:textId="77777777" w:rsidR="00AE7EB0" w:rsidRPr="006F6171" w:rsidRDefault="00AE7EB0" w:rsidP="00B34323">
      <w:pPr>
        <w:pStyle w:val="NoSpacing"/>
      </w:pPr>
    </w:p>
    <w:p w14:paraId="13AEE10F" w14:textId="77777777" w:rsidR="00894AD6" w:rsidRPr="006F6171" w:rsidRDefault="00894AD6" w:rsidP="00B34323">
      <w:pPr>
        <w:pStyle w:val="NoSpacing"/>
        <w:rPr>
          <w:rStyle w:val="CommentReference"/>
          <w:color w:val="auto"/>
          <w14:props3d w14:extrusionH="0" w14:contourW="0" w14:prstMaterial="none"/>
        </w:rPr>
      </w:pPr>
      <w:r w:rsidRPr="006F6171">
        <w:t>“Above Average” means an average overall score of 4 in the rating category - Physical plant inspections, Project Reports submissions, or Management and Occupancy Reviews.  Physical plant inspections</w:t>
      </w:r>
      <w:r w:rsidR="000671EF" w:rsidRPr="006F6171">
        <w:t>,</w:t>
      </w:r>
      <w:r w:rsidRPr="006F6171">
        <w:t xml:space="preserve"> and Management Occupancy Reviews are scored on the following </w:t>
      </w:r>
      <w:r w:rsidR="00B34323" w:rsidRPr="006F6171">
        <w:t>scale</w:t>
      </w:r>
      <w:r w:rsidRPr="006F6171">
        <w:t>:  1- Unsatisfactory, 2 – Below Average, 3 – Average, 4 – Above Average, and 5 – Superior.  Project Reports submissions are scored as 5-Timely Submission and 1-Late Submission for each required submission report – Audited Financial Review (AFR), Budget</w:t>
      </w:r>
      <w:r w:rsidR="000671EF" w:rsidRPr="006F6171">
        <w:t>,</w:t>
      </w:r>
      <w:r w:rsidRPr="006F6171">
        <w:t xml:space="preserve"> and Owner Certification of Continued Compliance.</w:t>
      </w:r>
    </w:p>
    <w:p w14:paraId="36FCBF10" w14:textId="77777777" w:rsidR="00894AD6" w:rsidRPr="006F6171" w:rsidRDefault="00894AD6" w:rsidP="00B34323">
      <w:pPr>
        <w:pStyle w:val="NoSpacing"/>
      </w:pPr>
      <w:r w:rsidRPr="006F6171" w:rsidDel="00F53D81">
        <w:t xml:space="preserve"> </w:t>
      </w:r>
    </w:p>
    <w:p w14:paraId="193A8EA6" w14:textId="01845C3E" w:rsidR="00ED3776" w:rsidRPr="006F6171" w:rsidRDefault="000671EF" w:rsidP="00B34323">
      <w:pPr>
        <w:pStyle w:val="NoSpacing"/>
        <w:rPr>
          <w:b/>
        </w:rPr>
      </w:pPr>
      <w:r w:rsidRPr="006F6171">
        <w:t xml:space="preserve"> </w:t>
      </w:r>
      <w:r w:rsidR="00AE7EB0" w:rsidRPr="006F6171">
        <w:t xml:space="preserve">“Act” means the Maine Housing Authorities Act, </w:t>
      </w:r>
      <w:hyperlink r:id="rId51" w:history="1">
        <w:r w:rsidR="00AE7EB0" w:rsidRPr="006F6171">
          <w:rPr>
            <w:rStyle w:val="Hyperlink"/>
            <w:szCs w:val="24"/>
          </w:rPr>
          <w:t>30-A M.R.S. §4701 et seq.,</w:t>
        </w:r>
      </w:hyperlink>
      <w:r w:rsidR="00AE7EB0" w:rsidRPr="006F6171">
        <w:t xml:space="preserve"> as may be amended from time to time.</w:t>
      </w:r>
    </w:p>
    <w:p w14:paraId="767F34DE" w14:textId="77777777" w:rsidR="00AE7EB0" w:rsidRPr="006F6171" w:rsidRDefault="00AE7EB0" w:rsidP="00B34323">
      <w:pPr>
        <w:pStyle w:val="NoSpacing"/>
      </w:pPr>
    </w:p>
    <w:p w14:paraId="091C1C31" w14:textId="4DD36DD2" w:rsidR="00ED3776" w:rsidRPr="006F6171" w:rsidRDefault="00AE7EB0" w:rsidP="00B34323">
      <w:pPr>
        <w:pStyle w:val="NoSpacing"/>
        <w:rPr>
          <w:b/>
        </w:rPr>
      </w:pPr>
      <w:r w:rsidRPr="006F6171">
        <w:t xml:space="preserve">“Activities Important to Daily Living” means activities or destinations that are important to </w:t>
      </w:r>
      <w:r w:rsidR="0051540B" w:rsidRPr="006F6171">
        <w:t xml:space="preserve">the </w:t>
      </w:r>
      <w:r w:rsidRPr="006F6171">
        <w:t xml:space="preserve">course of daily living of the population served by the Project, which include a grocery store, a public school only if the Project is housing for families, a daycare only if the Project is housing for families, a senior center only if the Project is </w:t>
      </w:r>
      <w:r w:rsidR="0051540B" w:rsidRPr="006F6171">
        <w:t xml:space="preserve">Housing for </w:t>
      </w:r>
      <w:r w:rsidR="0047136D" w:rsidRPr="006F6171">
        <w:t>Older Adult</w:t>
      </w:r>
      <w:r w:rsidR="0051540B" w:rsidRPr="006F6171">
        <w:t>s</w:t>
      </w:r>
      <w:r w:rsidRPr="006F6171">
        <w:t>, a pharmacy, a bank or credit union, a post office, a store</w:t>
      </w:r>
      <w:r w:rsidR="00915A16" w:rsidRPr="006F6171">
        <w:t xml:space="preserve"> that offers regularly purchased household supplies</w:t>
      </w:r>
      <w:r w:rsidRPr="006F6171">
        <w:t>, a general health care practitioner’s office</w:t>
      </w:r>
      <w:r w:rsidR="001D1829" w:rsidRPr="006F6171">
        <w:t xml:space="preserve">, </w:t>
      </w:r>
      <w:r w:rsidRPr="006F6171">
        <w:t xml:space="preserve">a public library, </w:t>
      </w:r>
      <w:r w:rsidR="00B077D3" w:rsidRPr="006F6171">
        <w:t xml:space="preserve">a location where people socialize, </w:t>
      </w:r>
      <w:r w:rsidRPr="006F6171">
        <w:t>a hospital and other activities or destinations approved by MaineHousing.  Convenience stores</w:t>
      </w:r>
      <w:r w:rsidR="00B077D3" w:rsidRPr="006F6171">
        <w:t xml:space="preserve"> and</w:t>
      </w:r>
      <w:r w:rsidRPr="006F6171">
        <w:t xml:space="preserve"> gas stations are not eligible destinations for purposes of this subsection.  If there is more than one activity or destination important to the course of daily living within a single establishment, each activity or destination will be counted separately (e.g. a retail store that also includes a pharmacy and a bank branch will be treated as 3 destinations important to the course of daily living).    </w:t>
      </w:r>
    </w:p>
    <w:p w14:paraId="16723AE0" w14:textId="77777777" w:rsidR="00AE7EB0" w:rsidRPr="006F6171" w:rsidRDefault="00AE7EB0" w:rsidP="00B34323">
      <w:pPr>
        <w:pStyle w:val="NoSpacing"/>
      </w:pPr>
    </w:p>
    <w:p w14:paraId="37496A42" w14:textId="77777777" w:rsidR="00ED3776" w:rsidRPr="006F6171" w:rsidRDefault="00AE7EB0" w:rsidP="00B34323">
      <w:pPr>
        <w:pStyle w:val="NoSpacing"/>
        <w:rPr>
          <w:b/>
        </w:rPr>
      </w:pPr>
      <w:r w:rsidRPr="006F6171">
        <w:t>“Adaptive Reuse” means the conversion of an existing non-housing building or structure to multi-family residential rental housing or the reconstruction of existing housing that has become functionally obsolete, as determined by MaineHousing.</w:t>
      </w:r>
    </w:p>
    <w:p w14:paraId="167E3960" w14:textId="77777777" w:rsidR="00AE7EB0" w:rsidRPr="006F6171" w:rsidRDefault="00AE7EB0" w:rsidP="00B34323">
      <w:pPr>
        <w:pStyle w:val="NoSpacing"/>
      </w:pPr>
    </w:p>
    <w:p w14:paraId="036BD1B9" w14:textId="77777777" w:rsidR="00ED3776" w:rsidRPr="006F6171" w:rsidRDefault="00AE7EB0" w:rsidP="00B34323">
      <w:pPr>
        <w:pStyle w:val="NoSpacing"/>
        <w:rPr>
          <w:b/>
        </w:rPr>
      </w:pPr>
      <w:r w:rsidRPr="006F6171">
        <w:t>“Affiliate</w:t>
      </w:r>
      <w:r w:rsidR="003D2EED" w:rsidRPr="006F6171">
        <w:t>s</w:t>
      </w:r>
      <w:r w:rsidRPr="006F6171">
        <w:t>” means any person or entity directly or indirectly controlling, controlled by, or under common control with another person or entity</w:t>
      </w:r>
      <w:r w:rsidR="00ED3776" w:rsidRPr="006F6171">
        <w:t>.</w:t>
      </w:r>
    </w:p>
    <w:p w14:paraId="5A596260" w14:textId="77777777" w:rsidR="00AE7EB0" w:rsidRPr="006F6171" w:rsidRDefault="00AE7EB0" w:rsidP="00B34323">
      <w:pPr>
        <w:pStyle w:val="NoSpacing"/>
      </w:pPr>
    </w:p>
    <w:p w14:paraId="321FD13F" w14:textId="77777777" w:rsidR="00AE7EB0" w:rsidRPr="006F6171" w:rsidRDefault="00AE7EB0" w:rsidP="00B34323">
      <w:pPr>
        <w:pStyle w:val="NoSpacing"/>
        <w:rPr>
          <w:b/>
        </w:rPr>
      </w:pPr>
      <w:r w:rsidRPr="006F6171">
        <w:t>“Affordable Housing” means multi-family rental housing that has five or more units and is assisted under a HUD or Rural Development program or is subject to a restrictive covenant requiring units in the housing to be restricted to households with income at or below 60% of area median income, as determined by HUD.</w:t>
      </w:r>
    </w:p>
    <w:p w14:paraId="09AB2599" w14:textId="77777777" w:rsidR="00AE7EB0" w:rsidRPr="006F6171" w:rsidRDefault="00AE7EB0" w:rsidP="00B34323">
      <w:pPr>
        <w:pStyle w:val="NoSpacing"/>
      </w:pPr>
    </w:p>
    <w:p w14:paraId="05CE0B8B" w14:textId="4328ED14" w:rsidR="00AE7EB0" w:rsidRPr="006F6171" w:rsidRDefault="00AE7EB0" w:rsidP="00B34323">
      <w:pPr>
        <w:pStyle w:val="NoSpacing"/>
        <w:rPr>
          <w:b/>
        </w:rPr>
      </w:pPr>
      <w:r w:rsidRPr="006F6171">
        <w:t xml:space="preserve">“Affordable Housing </w:t>
      </w:r>
      <w:smartTag w:uri="urn:schemas-microsoft-com:office:smarttags" w:element="stockticker">
        <w:r w:rsidRPr="006F6171">
          <w:t>TIF</w:t>
        </w:r>
      </w:smartTag>
      <w:r w:rsidRPr="006F6171">
        <w:t xml:space="preserve">” means an affordable housing development district and development program approved by MaineHousing pursuant to MaineHousing’s Affordable Housing Tax Increment Financing Program, </w:t>
      </w:r>
      <w:hyperlink r:id="rId52" w:history="1">
        <w:r w:rsidRPr="006F6171">
          <w:rPr>
            <w:rStyle w:val="Hyperlink"/>
            <w:szCs w:val="24"/>
          </w:rPr>
          <w:t>30-A M.R.S., Chapter 206, Subchapter 3</w:t>
        </w:r>
      </w:hyperlink>
      <w:r w:rsidRPr="006F6171">
        <w:t xml:space="preserve"> and the Act, as may be amended.</w:t>
      </w:r>
      <w:r w:rsidRPr="006F6171">
        <w:br/>
      </w:r>
    </w:p>
    <w:p w14:paraId="4C9D865F" w14:textId="77777777" w:rsidR="00ED3776" w:rsidRPr="006F6171" w:rsidRDefault="00AE7EB0" w:rsidP="00B34323">
      <w:pPr>
        <w:pStyle w:val="NoSpacing"/>
        <w:rPr>
          <w:b/>
        </w:rPr>
      </w:pPr>
      <w:r w:rsidRPr="006F6171">
        <w:t xml:space="preserve"> “Applicant” means the entity applying for Credit, its successors and assigns, which must be the entity that will be the owner of the Project for tax purposes; must be duly organized and validly existing under the laws of the state in which it is formed, and if not formed in this State, must be </w:t>
      </w:r>
      <w:r w:rsidRPr="006F6171">
        <w:lastRenderedPageBreak/>
        <w:t>duly authorized to conduct business in this State; and must be in good standing under the laws of this State and its state of formation, if not this State.</w:t>
      </w:r>
    </w:p>
    <w:p w14:paraId="5238D12A" w14:textId="77777777" w:rsidR="00AE7EB0" w:rsidRPr="006F6171" w:rsidRDefault="00AE7EB0" w:rsidP="00B34323">
      <w:pPr>
        <w:pStyle w:val="NoSpacing"/>
      </w:pPr>
    </w:p>
    <w:p w14:paraId="68BD0C40" w14:textId="77777777" w:rsidR="00AE7EB0" w:rsidRPr="006F6171" w:rsidRDefault="00AE7EB0" w:rsidP="00B34323">
      <w:pPr>
        <w:pStyle w:val="NoSpacing"/>
        <w:rPr>
          <w:b/>
        </w:rPr>
      </w:pPr>
      <w:r w:rsidRPr="006F6171">
        <w:t>“Application” means an application to MaineHousing for an allocation of Credit.</w:t>
      </w:r>
    </w:p>
    <w:p w14:paraId="378BE4D8" w14:textId="77777777" w:rsidR="00AE7EB0" w:rsidRPr="006F6171" w:rsidRDefault="00AE7EB0" w:rsidP="00B34323">
      <w:pPr>
        <w:pStyle w:val="NoSpacing"/>
        <w:rPr>
          <w:b/>
        </w:rPr>
      </w:pPr>
      <w:r w:rsidRPr="006F6171">
        <w:br/>
        <w:t>“Capitalized Lease Value” means the net present value of all lease payments under a lease calculated over the term of the lease using the 10-year Treasury note rate 60 calendar days before the Application</w:t>
      </w:r>
      <w:r w:rsidR="004B5A2C" w:rsidRPr="006F6171">
        <w:t xml:space="preserve"> deadline </w:t>
      </w:r>
      <w:r w:rsidRPr="006F6171">
        <w:t xml:space="preserve">plus 300 basis points. </w:t>
      </w:r>
    </w:p>
    <w:p w14:paraId="0CD6F409" w14:textId="77777777" w:rsidR="00AE7EB0" w:rsidRPr="006F6171" w:rsidRDefault="00AE7EB0" w:rsidP="00B34323">
      <w:pPr>
        <w:pStyle w:val="NoSpacing"/>
      </w:pPr>
    </w:p>
    <w:p w14:paraId="2D5CAE46" w14:textId="77777777" w:rsidR="00AE7EB0" w:rsidRPr="006F6171" w:rsidRDefault="00AE7EB0" w:rsidP="00B34323">
      <w:pPr>
        <w:pStyle w:val="NoSpacing"/>
        <w:rPr>
          <w:b/>
        </w:rPr>
      </w:pPr>
      <w:r w:rsidRPr="006F6171">
        <w:t>“Code” means the Internal Revenue Code, Title 26 of the United States Code, and applicable regulations promulgated pursuant thereto, as may be amended.</w:t>
      </w:r>
    </w:p>
    <w:p w14:paraId="57968553" w14:textId="77777777" w:rsidR="00AE7EB0" w:rsidRPr="006F6171" w:rsidRDefault="00AE7EB0" w:rsidP="00B34323">
      <w:pPr>
        <w:pStyle w:val="NoSpacing"/>
      </w:pPr>
    </w:p>
    <w:p w14:paraId="4485AF72" w14:textId="77777777" w:rsidR="00AE7EB0" w:rsidRPr="006F6171" w:rsidRDefault="00AE7EB0" w:rsidP="00B34323">
      <w:pPr>
        <w:pStyle w:val="NoSpacing"/>
      </w:pPr>
      <w:r w:rsidRPr="006F6171">
        <w:t>“Community Revitalization Plan” means (1) a community that has been designated by HUD or RD as an Empowerment Zone, a Renewal Community or Enterprise Community, or a Neighborhood Revitalization Strategy Area</w:t>
      </w:r>
      <w:r w:rsidR="000E4E2C" w:rsidRPr="006F6171">
        <w:t>;</w:t>
      </w:r>
      <w:r w:rsidRPr="006F6171">
        <w:t xml:space="preserve"> or (2) a written plan that </w:t>
      </w:r>
      <w:r w:rsidR="00280835" w:rsidRPr="006F6171">
        <w:t xml:space="preserve">was </w:t>
      </w:r>
      <w:r w:rsidRPr="006F6171">
        <w:t xml:space="preserve">formally adopted by the governing body of a municipality </w:t>
      </w:r>
      <w:r w:rsidR="00280835" w:rsidRPr="006F6171">
        <w:t xml:space="preserve">no more than </w:t>
      </w:r>
      <w:r w:rsidR="006871A3" w:rsidRPr="006F6171">
        <w:t xml:space="preserve">twelve </w:t>
      </w:r>
      <w:r w:rsidR="00280835" w:rsidRPr="006F6171">
        <w:t>(</w:t>
      </w:r>
      <w:r w:rsidR="006871A3" w:rsidRPr="006F6171">
        <w:t>12</w:t>
      </w:r>
      <w:r w:rsidR="00280835" w:rsidRPr="006F6171">
        <w:t xml:space="preserve">) years prior to the Application deadline </w:t>
      </w:r>
      <w:r w:rsidRPr="006F6171">
        <w:t xml:space="preserve">following a concerted planning process and public input, specifically targets a neighborhood or area in the community (not a single building or site or the entire municipality) for redevelopment or revitalization, and includes (a) an assessment of the existing physical structures and infrastructure of the area, (b) detailed policy goals with respect to economic redevelopment, the rehabilitation or development of housing (including multi-family rental housing) and the improvement or expansion of infrastructure, and (c) proposed activities and a timetable for implementing the policy goals.  </w:t>
      </w:r>
      <w:r w:rsidR="00280835" w:rsidRPr="006F6171">
        <w:t>P</w:t>
      </w:r>
      <w:r w:rsidRPr="006F6171">
        <w:t xml:space="preserve">lans for a single development and plans formulated by or on behalf of the Applicant are not Community Revitalization Plans. </w:t>
      </w:r>
      <w:r w:rsidR="00280835" w:rsidRPr="006F6171">
        <w:t xml:space="preserve"> A comprehensive plan that meets all of the requirements in (2) may qualify.</w:t>
      </w:r>
      <w:r w:rsidRPr="006F6171">
        <w:t xml:space="preserve"> </w:t>
      </w:r>
    </w:p>
    <w:p w14:paraId="57A890A3" w14:textId="77777777" w:rsidR="0051540B" w:rsidRPr="006F6171" w:rsidRDefault="0051540B" w:rsidP="00B34323">
      <w:pPr>
        <w:pStyle w:val="NoSpacing"/>
      </w:pPr>
    </w:p>
    <w:p w14:paraId="78C1B074" w14:textId="77777777" w:rsidR="0051540B" w:rsidRPr="006F6171" w:rsidRDefault="0051540B" w:rsidP="0051540B">
      <w:pPr>
        <w:pStyle w:val="NoSpacing"/>
        <w:rPr>
          <w:b/>
        </w:rPr>
      </w:pPr>
      <w:r w:rsidRPr="006F6171">
        <w:t xml:space="preserve">“Compliance Period” means the period defined in Section 42(i)(1) of the Code.         </w:t>
      </w:r>
    </w:p>
    <w:p w14:paraId="399B39EB" w14:textId="77777777" w:rsidR="00AE7EB0" w:rsidRPr="006F6171" w:rsidRDefault="00AE7EB0" w:rsidP="00B34323">
      <w:pPr>
        <w:pStyle w:val="NoSpacing"/>
      </w:pPr>
    </w:p>
    <w:p w14:paraId="1309B5E1" w14:textId="77777777" w:rsidR="00AE7EB0" w:rsidRPr="006F6171" w:rsidRDefault="00AE7EB0" w:rsidP="00B34323">
      <w:pPr>
        <w:pStyle w:val="NoSpacing"/>
      </w:pPr>
      <w:r w:rsidRPr="006F6171">
        <w:t xml:space="preserve">“Credit” or “LIHTC” means the low-income housing tax credit established pursuant to </w:t>
      </w:r>
      <w:hyperlink r:id="rId53" w:history="1">
        <w:r w:rsidRPr="006F6171">
          <w:rPr>
            <w:rStyle w:val="Hyperlink"/>
            <w:szCs w:val="24"/>
          </w:rPr>
          <w:t>Section 42</w:t>
        </w:r>
      </w:hyperlink>
      <w:r w:rsidRPr="006F6171">
        <w:t xml:space="preserve"> of the Code and allocated pursuant to this rule.</w:t>
      </w:r>
    </w:p>
    <w:p w14:paraId="7693337B" w14:textId="77777777" w:rsidR="0051540B" w:rsidRPr="006F6171" w:rsidRDefault="0051540B" w:rsidP="00B34323">
      <w:pPr>
        <w:pStyle w:val="NoSpacing"/>
      </w:pPr>
    </w:p>
    <w:p w14:paraId="082ADF1D" w14:textId="77777777" w:rsidR="0051540B" w:rsidRPr="006F6171" w:rsidRDefault="0051540B" w:rsidP="00B34323">
      <w:pPr>
        <w:pStyle w:val="NoSpacing"/>
        <w:rPr>
          <w:b/>
        </w:rPr>
      </w:pPr>
      <w:r w:rsidRPr="006F6171">
        <w:t>“Credit Period” means the period defined in Section 42(f)(1) of the Code.</w:t>
      </w:r>
    </w:p>
    <w:p w14:paraId="6FBDFE86" w14:textId="77777777" w:rsidR="00ED3776" w:rsidRPr="006F6171" w:rsidRDefault="00AE7EB0" w:rsidP="00B34323">
      <w:pPr>
        <w:pStyle w:val="NoSpacing"/>
        <w:rPr>
          <w:b/>
        </w:rPr>
      </w:pPr>
      <w:r w:rsidRPr="006F6171">
        <w:br/>
        <w:t>“Credit Units” means units in a Project that are eligible for Credit.</w:t>
      </w:r>
    </w:p>
    <w:p w14:paraId="66DA5436" w14:textId="77777777" w:rsidR="00AE7EB0" w:rsidRPr="006F6171" w:rsidRDefault="00AE7EB0" w:rsidP="00B34323">
      <w:pPr>
        <w:pStyle w:val="NoSpacing"/>
      </w:pPr>
    </w:p>
    <w:p w14:paraId="60DD8D6E" w14:textId="77777777" w:rsidR="00AE7EB0" w:rsidRPr="006F6171" w:rsidRDefault="00AE7EB0" w:rsidP="00B34323">
      <w:pPr>
        <w:pStyle w:val="NoSpacing"/>
        <w:rPr>
          <w:b/>
        </w:rPr>
      </w:pPr>
      <w:r w:rsidRPr="006F6171">
        <w:t xml:space="preserve">“Demand Response Transportation” means on-call transportation services that operate at least 3 days per week and provide service throughout the day. </w:t>
      </w:r>
    </w:p>
    <w:p w14:paraId="2E87B1CB" w14:textId="77777777" w:rsidR="00AE7EB0" w:rsidRPr="006F6171" w:rsidRDefault="00AE7EB0" w:rsidP="00B34323">
      <w:pPr>
        <w:pStyle w:val="NoSpacing"/>
      </w:pPr>
    </w:p>
    <w:p w14:paraId="26BC83C0" w14:textId="77777777" w:rsidR="00ED3776" w:rsidRPr="006F6171" w:rsidRDefault="00AE7EB0" w:rsidP="00B34323">
      <w:pPr>
        <w:pStyle w:val="NoSpacing"/>
        <w:rPr>
          <w:b/>
        </w:rPr>
      </w:pPr>
      <w:r w:rsidRPr="006F6171">
        <w:t xml:space="preserve">“Developer Fee” </w:t>
      </w:r>
      <w:r w:rsidRPr="006F6171">
        <w:rPr>
          <w:rStyle w:val="Heading2Char"/>
          <w:b w:val="0"/>
        </w:rPr>
        <w:t>means</w:t>
      </w:r>
      <w:r w:rsidRPr="006F6171">
        <w:t xml:space="preserve"> the total compensation for the work, costs and risks associated with developing a Project, including without limitation, creating the Project concept, identifying and acquiring the Project site, obtaining construction and permanent financing, obtaining necessary subsidies, negotiating the syndication of investment interests in the Project, obtaining all necessary regulatory approvals, constructing and/or rehabilitating the Project and marketing, and includes all amounts paid to consultants to perform this work, except fees for professional services such as environmental assessments, rental market studies, soil tests, and water tests, and includes all reserves, in the form of cash, expected to be paid to the tax credit developer from the Project.</w:t>
      </w:r>
    </w:p>
    <w:p w14:paraId="29172FC6" w14:textId="77777777" w:rsidR="00AE7EB0" w:rsidRPr="006F6171" w:rsidRDefault="00AE7EB0" w:rsidP="00B34323">
      <w:pPr>
        <w:pStyle w:val="NoSpacing"/>
        <w:rPr>
          <w:b/>
        </w:rPr>
      </w:pPr>
      <w:r w:rsidRPr="006F6171">
        <w:br/>
        <w:t xml:space="preserve">“DDA” means an area of the State that is designated by HUD as a difficult development area </w:t>
      </w:r>
      <w:r w:rsidRPr="006F6171">
        <w:lastRenderedPageBreak/>
        <w:t xml:space="preserve">pursuant to </w:t>
      </w:r>
      <w:hyperlink r:id="rId54" w:history="1">
        <w:r w:rsidRPr="006F6171">
          <w:rPr>
            <w:rStyle w:val="Hyperlink"/>
            <w:szCs w:val="24"/>
          </w:rPr>
          <w:t>Section 42(d)(5)(B)(iii)</w:t>
        </w:r>
      </w:hyperlink>
      <w:r w:rsidRPr="006F6171">
        <w:t xml:space="preserve"> of the Code or an area of the State that is designated by MaineHousing as a difficult-to-develop area in Section 7.A.3 pursuant to </w:t>
      </w:r>
      <w:hyperlink r:id="rId55" w:history="1">
        <w:r w:rsidRPr="006F6171">
          <w:rPr>
            <w:rStyle w:val="Hyperlink"/>
            <w:szCs w:val="24"/>
          </w:rPr>
          <w:t>Section 42(d)(5)(B)(v)</w:t>
        </w:r>
      </w:hyperlink>
      <w:r w:rsidRPr="006F6171">
        <w:t xml:space="preserve"> of the Code.</w:t>
      </w:r>
    </w:p>
    <w:p w14:paraId="79907C4B" w14:textId="77777777" w:rsidR="00AE7EB0" w:rsidRPr="006F6171" w:rsidRDefault="00AE7EB0" w:rsidP="00B34323">
      <w:pPr>
        <w:pStyle w:val="NoSpacing"/>
      </w:pPr>
    </w:p>
    <w:p w14:paraId="36FD4062" w14:textId="77777777" w:rsidR="00AE7EB0" w:rsidRPr="006F6171" w:rsidRDefault="00AE7EB0" w:rsidP="00B34323">
      <w:pPr>
        <w:pStyle w:val="NoSpacing"/>
        <w:rPr>
          <w:b/>
        </w:rPr>
      </w:pPr>
      <w:r w:rsidRPr="006F6171">
        <w:t xml:space="preserve">“Extended Use Agreement” means an agreement that satisfies the requirements of </w:t>
      </w:r>
      <w:hyperlink r:id="rId56" w:history="1">
        <w:r w:rsidRPr="006F6171">
          <w:rPr>
            <w:rStyle w:val="Hyperlink"/>
            <w:szCs w:val="24"/>
          </w:rPr>
          <w:t>Section 42(h)(6)(B)</w:t>
        </w:r>
      </w:hyperlink>
      <w:r w:rsidRPr="006F6171">
        <w:t xml:space="preserve"> of the Code.</w:t>
      </w:r>
    </w:p>
    <w:p w14:paraId="2C9BC240" w14:textId="77777777" w:rsidR="00AE7EB0" w:rsidRPr="006F6171" w:rsidRDefault="00AE7EB0" w:rsidP="00B34323">
      <w:pPr>
        <w:pStyle w:val="NoSpacing"/>
      </w:pPr>
    </w:p>
    <w:p w14:paraId="6E77D223" w14:textId="77777777" w:rsidR="00AE7EB0" w:rsidRPr="006F6171" w:rsidRDefault="00AE7EB0" w:rsidP="00B34323">
      <w:pPr>
        <w:pStyle w:val="NoSpacing"/>
        <w:rPr>
          <w:b/>
        </w:rPr>
      </w:pPr>
      <w:r w:rsidRPr="006F6171">
        <w:t xml:space="preserve">“Extended Use Period” means the period of time specified by MaineHousing in the Extended Use Agreement executed in connection with a Project pursuant to </w:t>
      </w:r>
      <w:hyperlink r:id="rId57" w:history="1">
        <w:r w:rsidRPr="006F6171">
          <w:rPr>
            <w:rStyle w:val="Hyperlink"/>
            <w:szCs w:val="24"/>
          </w:rPr>
          <w:t>Section 42(h)(6)(D)</w:t>
        </w:r>
      </w:hyperlink>
      <w:r w:rsidRPr="006F6171">
        <w:t xml:space="preserve"> of the Code, which is the period set forth in Section 5.A. for Projects allocated Credit under the State Ceiling.  </w:t>
      </w:r>
    </w:p>
    <w:p w14:paraId="05C56E19" w14:textId="77777777" w:rsidR="00AE7EB0" w:rsidRPr="006F6171" w:rsidRDefault="00AE7EB0" w:rsidP="00B34323">
      <w:pPr>
        <w:pStyle w:val="NoSpacing"/>
      </w:pPr>
    </w:p>
    <w:p w14:paraId="021D5F6C" w14:textId="77777777" w:rsidR="00AE7EB0" w:rsidRPr="006F6171" w:rsidRDefault="00144EA1" w:rsidP="00B34323">
      <w:pPr>
        <w:pStyle w:val="NoSpacing"/>
        <w:rPr>
          <w:b/>
        </w:rPr>
      </w:pPr>
      <w:r w:rsidRPr="006F6171">
        <w:t>“</w:t>
      </w:r>
      <w:r w:rsidR="00AE7EB0" w:rsidRPr="006F6171">
        <w:t>Extremely Low Income” means income that is at or below 30% of the area median income as determined pursuant to the regulations and guidance governing the National Housing Trust Fund.</w:t>
      </w:r>
      <w:r w:rsidR="00AE7EB0" w:rsidRPr="006F6171">
        <w:br/>
      </w:r>
    </w:p>
    <w:p w14:paraId="3BE25766" w14:textId="77777777" w:rsidR="00AE7EB0" w:rsidRPr="006F6171" w:rsidRDefault="00AE7EB0" w:rsidP="00B34323">
      <w:pPr>
        <w:pStyle w:val="NoSpacing"/>
        <w:rPr>
          <w:b/>
        </w:rPr>
      </w:pPr>
      <w:r w:rsidRPr="006F6171">
        <w:t xml:space="preserve"> “Family Housing” means housing for families that qualifies for points under the Family Housing scoring criteria set forth in Section 6.E.</w:t>
      </w:r>
    </w:p>
    <w:p w14:paraId="753FC17D" w14:textId="77777777" w:rsidR="00AE7EB0" w:rsidRPr="006F6171" w:rsidRDefault="00AE7EB0" w:rsidP="00B34323">
      <w:pPr>
        <w:pStyle w:val="NoSpacing"/>
      </w:pPr>
    </w:p>
    <w:p w14:paraId="29EEDCA9" w14:textId="77777777" w:rsidR="00AE7EB0" w:rsidRPr="006F6171" w:rsidRDefault="00AE7EB0" w:rsidP="00B34323">
      <w:pPr>
        <w:pStyle w:val="NoSpacing"/>
        <w:rPr>
          <w:b/>
        </w:rPr>
      </w:pPr>
      <w:r w:rsidRPr="006F6171">
        <w:t xml:space="preserve">“Fiscal Year” means the fiscal year for a LIHTC Project as defined in the Owner’s organizational documents. </w:t>
      </w:r>
    </w:p>
    <w:p w14:paraId="4B9409CC" w14:textId="77777777" w:rsidR="00AE7EB0" w:rsidRPr="006F6171" w:rsidRDefault="00AE7EB0" w:rsidP="00B34323">
      <w:pPr>
        <w:pStyle w:val="NoSpacing"/>
      </w:pPr>
    </w:p>
    <w:p w14:paraId="0948BF1D" w14:textId="77777777" w:rsidR="00AE7EB0" w:rsidRPr="006F6171" w:rsidRDefault="00AE7EB0" w:rsidP="00B34323">
      <w:pPr>
        <w:pStyle w:val="NoSpacing"/>
        <w:rPr>
          <w:b/>
        </w:rPr>
      </w:pPr>
      <w:r w:rsidRPr="006F6171">
        <w:t xml:space="preserve">“Fixed-route Public Transportation” means year-round, regularly scheduled public transportation that operates at least 5 days per week and provides regular service throughout the day.  </w:t>
      </w:r>
      <w:r w:rsidRPr="006F6171">
        <w:br/>
        <w:t xml:space="preserve">   </w:t>
      </w:r>
    </w:p>
    <w:p w14:paraId="46D87382" w14:textId="77777777" w:rsidR="00AE7EB0" w:rsidRPr="006F6171" w:rsidRDefault="00144EA1" w:rsidP="00B34323">
      <w:pPr>
        <w:pStyle w:val="NoSpacing"/>
        <w:rPr>
          <w:b/>
        </w:rPr>
      </w:pPr>
      <w:r w:rsidRPr="006F6171" w:rsidDel="00144EA1">
        <w:t xml:space="preserve"> </w:t>
      </w:r>
      <w:r w:rsidR="00AE7EB0" w:rsidRPr="006F6171">
        <w:t>“Housing Development Costs” means the total of all direct and indirect costs incurred in financing, creating, purchasing or rehabilitating a LIHTC Project except the costs attributable to the acquisition of the land and any existing buildings as determined by MaineHousing.</w:t>
      </w:r>
    </w:p>
    <w:p w14:paraId="78D41000" w14:textId="77777777" w:rsidR="00AE7EB0" w:rsidRPr="006F6171" w:rsidRDefault="00AE7EB0" w:rsidP="00B34323">
      <w:pPr>
        <w:pStyle w:val="NoSpacing"/>
      </w:pPr>
    </w:p>
    <w:p w14:paraId="7A76BEAA" w14:textId="141BEAC4" w:rsidR="000E4E2C" w:rsidRPr="006F6171" w:rsidRDefault="000E4E2C" w:rsidP="00B34323">
      <w:pPr>
        <w:pStyle w:val="NoSpacing"/>
        <w:rPr>
          <w:b/>
        </w:rPr>
      </w:pPr>
      <w:r w:rsidRPr="006F6171">
        <w:t xml:space="preserve">“Housing for Older Adults” means a Project that is designated as elderly or senior housing and receives funding and project-based rental assistance under a RD or HUD multi-family elderly housing program (such as </w:t>
      </w:r>
      <w:hyperlink r:id="rId58" w:history="1">
        <w:r w:rsidRPr="006F6171">
          <w:rPr>
            <w:rStyle w:val="Hyperlink"/>
            <w:szCs w:val="24"/>
          </w:rPr>
          <w:t>RD’s Section 515 Rural Rental Housing Program</w:t>
        </w:r>
      </w:hyperlink>
      <w:r w:rsidRPr="006F6171">
        <w:t xml:space="preserve"> and </w:t>
      </w:r>
      <w:hyperlink r:id="rId59" w:history="1">
        <w:r w:rsidRPr="006F6171">
          <w:rPr>
            <w:rStyle w:val="Hyperlink"/>
            <w:szCs w:val="24"/>
          </w:rPr>
          <w:t>HUD’s Section 202 Supportive Housing for the Elderly Program</w:t>
        </w:r>
      </w:hyperlink>
      <w:r w:rsidRPr="006F6171">
        <w:t xml:space="preserve">) or that meets the definition of “housing for older persons” under the federal </w:t>
      </w:r>
      <w:hyperlink r:id="rId60" w:history="1">
        <w:r w:rsidRPr="006F6171">
          <w:rPr>
            <w:rStyle w:val="Hyperlink"/>
            <w:szCs w:val="24"/>
          </w:rPr>
          <w:t xml:space="preserve">Fair Housing Act, 42 U.S.C. </w:t>
        </w:r>
        <w:r w:rsidR="00BB5B00" w:rsidRPr="006F6171">
          <w:rPr>
            <w:rStyle w:val="Hyperlink"/>
            <w:szCs w:val="24"/>
          </w:rPr>
          <w:t>§</w:t>
        </w:r>
        <w:r w:rsidRPr="006F6171">
          <w:rPr>
            <w:rStyle w:val="Hyperlink"/>
            <w:szCs w:val="24"/>
          </w:rPr>
          <w:t>3607(b)(2)</w:t>
        </w:r>
      </w:hyperlink>
      <w:r w:rsidRPr="006F6171">
        <w:t xml:space="preserve"> and the Maine Human Rights Act, </w:t>
      </w:r>
      <w:hyperlink r:id="rId61" w:history="1">
        <w:r w:rsidRPr="006F6171">
          <w:rPr>
            <w:rStyle w:val="Hyperlink"/>
            <w:szCs w:val="24"/>
          </w:rPr>
          <w:t>5 M.R.S.</w:t>
        </w:r>
        <w:r w:rsidR="000B1997" w:rsidRPr="006F6171">
          <w:rPr>
            <w:rStyle w:val="Hyperlink"/>
            <w:szCs w:val="24"/>
          </w:rPr>
          <w:t xml:space="preserve"> </w:t>
        </w:r>
        <w:r w:rsidRPr="006F6171">
          <w:rPr>
            <w:rStyle w:val="Hyperlink"/>
            <w:szCs w:val="24"/>
          </w:rPr>
          <w:t>§4581 et seq</w:t>
        </w:r>
      </w:hyperlink>
      <w:r w:rsidRPr="006F6171">
        <w:t xml:space="preserve">. and all associated regulations, as may be amended.  </w:t>
      </w:r>
    </w:p>
    <w:p w14:paraId="387D8AE7" w14:textId="77777777" w:rsidR="000E4E2C" w:rsidRPr="006F6171" w:rsidRDefault="000E4E2C" w:rsidP="00B34323">
      <w:pPr>
        <w:pStyle w:val="NoSpacing"/>
      </w:pPr>
      <w:r w:rsidRPr="006F6171">
        <w:t xml:space="preserve"> </w:t>
      </w:r>
    </w:p>
    <w:p w14:paraId="43467F3C" w14:textId="77777777" w:rsidR="00AE7EB0" w:rsidRPr="006F6171" w:rsidRDefault="00AE7EB0" w:rsidP="00B34323">
      <w:pPr>
        <w:pStyle w:val="NoSpacing"/>
        <w:rPr>
          <w:b/>
        </w:rPr>
      </w:pPr>
      <w:r w:rsidRPr="006F6171">
        <w:t>“HUD” means the United States of America acting through the United States Department of Housing and Urban Development.</w:t>
      </w:r>
    </w:p>
    <w:p w14:paraId="028BE6EF" w14:textId="77777777" w:rsidR="00AE7EB0" w:rsidRPr="006F6171" w:rsidRDefault="00AE7EB0" w:rsidP="00B34323">
      <w:pPr>
        <w:pStyle w:val="NoSpacing"/>
      </w:pPr>
    </w:p>
    <w:p w14:paraId="4C2712E6" w14:textId="77777777" w:rsidR="00AE7EB0" w:rsidRPr="006F6171" w:rsidRDefault="00AE7EB0" w:rsidP="00B34323">
      <w:pPr>
        <w:pStyle w:val="NoSpacing"/>
        <w:rPr>
          <w:b/>
        </w:rPr>
      </w:pPr>
      <w:r w:rsidRPr="006F6171">
        <w:t xml:space="preserve">“Intermediary Costs” means all Housing Development Costs except the actual construction costs or eligible rehabilitation costs under </w:t>
      </w:r>
      <w:hyperlink r:id="rId62" w:history="1">
        <w:r w:rsidRPr="006F6171">
          <w:rPr>
            <w:rStyle w:val="Hyperlink"/>
            <w:szCs w:val="24"/>
          </w:rPr>
          <w:t>Section 42(e)</w:t>
        </w:r>
      </w:hyperlink>
      <w:r w:rsidRPr="006F6171">
        <w:t xml:space="preserve"> of the Code attributable to the development of the units. </w:t>
      </w:r>
    </w:p>
    <w:p w14:paraId="120CE49E" w14:textId="77777777" w:rsidR="00AE7EB0" w:rsidRPr="006F6171" w:rsidRDefault="00AE7EB0" w:rsidP="00B34323">
      <w:pPr>
        <w:pStyle w:val="NoSpacing"/>
      </w:pPr>
    </w:p>
    <w:p w14:paraId="13AB2A76" w14:textId="77777777" w:rsidR="00AE7EB0" w:rsidRPr="006F6171" w:rsidRDefault="00AE7EB0" w:rsidP="00B34323">
      <w:pPr>
        <w:pStyle w:val="NoSpacing"/>
        <w:rPr>
          <w:b/>
        </w:rPr>
      </w:pPr>
      <w:r w:rsidRPr="006F6171">
        <w:t>“IRS” means the United States Department of Treasury, Bureau of Internal Revenue Service.</w:t>
      </w:r>
    </w:p>
    <w:p w14:paraId="2888B906" w14:textId="77777777" w:rsidR="00AE7EB0" w:rsidRPr="006F6171" w:rsidRDefault="00AE7EB0" w:rsidP="00B34323">
      <w:pPr>
        <w:pStyle w:val="NoSpacing"/>
      </w:pPr>
    </w:p>
    <w:p w14:paraId="202EF1F3" w14:textId="77777777" w:rsidR="00AE7EB0" w:rsidRPr="006F6171" w:rsidRDefault="00AE7EB0" w:rsidP="00B34323">
      <w:pPr>
        <w:pStyle w:val="NoSpacing"/>
        <w:rPr>
          <w:b/>
        </w:rPr>
      </w:pPr>
      <w:r w:rsidRPr="006F6171">
        <w:t xml:space="preserve">“LIHTC Project” means a qualified low-income housing project as defined in and governed by </w:t>
      </w:r>
      <w:hyperlink r:id="rId63" w:history="1">
        <w:r w:rsidRPr="006F6171">
          <w:rPr>
            <w:rStyle w:val="Hyperlink"/>
            <w:szCs w:val="24"/>
          </w:rPr>
          <w:t>Section 42(g)</w:t>
        </w:r>
      </w:hyperlink>
      <w:r w:rsidRPr="006F6171">
        <w:t xml:space="preserve"> of the Code. </w:t>
      </w:r>
    </w:p>
    <w:p w14:paraId="4404B7CA" w14:textId="77777777" w:rsidR="00AE7EB0" w:rsidRPr="006F6171" w:rsidRDefault="00AE7EB0" w:rsidP="00B34323">
      <w:pPr>
        <w:pStyle w:val="NoSpacing"/>
      </w:pPr>
    </w:p>
    <w:p w14:paraId="040BA949" w14:textId="77777777" w:rsidR="00AE7EB0" w:rsidRPr="006F6171" w:rsidRDefault="00AE7EB0" w:rsidP="00B34323">
      <w:pPr>
        <w:pStyle w:val="NoSpacing"/>
        <w:rPr>
          <w:b/>
        </w:rPr>
      </w:pPr>
      <w:r w:rsidRPr="006F6171">
        <w:t>“MaineHousing” means Maine State Housing Authority.</w:t>
      </w:r>
    </w:p>
    <w:p w14:paraId="4E6A1462" w14:textId="77777777" w:rsidR="00AE7EB0" w:rsidRPr="006F6171" w:rsidRDefault="00AE7EB0" w:rsidP="00B34323">
      <w:pPr>
        <w:pStyle w:val="NoSpacing"/>
      </w:pPr>
    </w:p>
    <w:p w14:paraId="569CDCA6" w14:textId="77777777" w:rsidR="00AE7EB0" w:rsidRPr="006F6171" w:rsidRDefault="00AE7EB0" w:rsidP="00B34323">
      <w:pPr>
        <w:pStyle w:val="NoSpacing"/>
        <w:rPr>
          <w:b/>
        </w:rPr>
      </w:pPr>
      <w:r w:rsidRPr="006F6171">
        <w:lastRenderedPageBreak/>
        <w:t>“MaineHousing’s Construction Standards” means MaineHousing’s</w:t>
      </w:r>
      <w:r w:rsidRPr="006F6171">
        <w:rPr>
          <w:i/>
        </w:rPr>
        <w:t xml:space="preserve"> </w:t>
      </w:r>
      <w:hyperlink r:id="rId64" w:history="1">
        <w:r w:rsidRPr="006F6171">
          <w:rPr>
            <w:rStyle w:val="Hyperlink"/>
            <w:i/>
          </w:rPr>
          <w:t>Quality Standards and Procedures Manual</w:t>
        </w:r>
      </w:hyperlink>
      <w:r w:rsidRPr="006F6171">
        <w:t xml:space="preserve"> in effect 60 </w:t>
      </w:r>
      <w:r w:rsidR="005E1CCB" w:rsidRPr="006F6171">
        <w:t xml:space="preserve">calendar </w:t>
      </w:r>
      <w:r w:rsidRPr="006F6171">
        <w:t>days prior to the applicable deadline for an Application for Credit which include without limitation certain energy efficiency standards and UPCS</w:t>
      </w:r>
      <w:r w:rsidR="00144EA1" w:rsidRPr="006F6171">
        <w:t xml:space="preserve"> and incorporate MaineHousing’s accessibility policy and procedures</w:t>
      </w:r>
      <w:r w:rsidRPr="006F6171">
        <w:t xml:space="preserve">. </w:t>
      </w:r>
    </w:p>
    <w:p w14:paraId="5AC9BF78" w14:textId="77777777" w:rsidR="00AE7EB0" w:rsidRPr="006F6171" w:rsidRDefault="00AE7EB0" w:rsidP="00B34323">
      <w:pPr>
        <w:pStyle w:val="NoSpacing"/>
      </w:pPr>
    </w:p>
    <w:p w14:paraId="08C33F68" w14:textId="77777777" w:rsidR="00AE7EB0" w:rsidRPr="006F6171" w:rsidRDefault="00AE7EB0" w:rsidP="00B34323">
      <w:pPr>
        <w:pStyle w:val="NoSpacing"/>
        <w:rPr>
          <w:b/>
        </w:rPr>
      </w:pPr>
      <w:r w:rsidRPr="006F6171">
        <w:t xml:space="preserve"> “Maximum Credit Amount” means the maximum amount of Credit a Project is eligible to receive pursuant to Section 3.C.</w:t>
      </w:r>
    </w:p>
    <w:p w14:paraId="45641FF8" w14:textId="77777777" w:rsidR="00AE7EB0" w:rsidRPr="006F6171" w:rsidRDefault="00AE7EB0" w:rsidP="00B34323">
      <w:pPr>
        <w:pStyle w:val="NoSpacing"/>
      </w:pPr>
    </w:p>
    <w:p w14:paraId="2D2B46DC" w14:textId="77777777" w:rsidR="00AE7EB0" w:rsidRPr="006F6171" w:rsidRDefault="00AE7EB0" w:rsidP="00B34323">
      <w:pPr>
        <w:pStyle w:val="NoSpacing"/>
        <w:rPr>
          <w:b/>
        </w:rPr>
      </w:pPr>
      <w:r w:rsidRPr="006F6171">
        <w:t xml:space="preserve">“National Housing Trust Fund” means the Housing Trust Fund established under Title I of the Housing and Economic Recovery Act of 2008, </w:t>
      </w:r>
      <w:hyperlink r:id="rId65" w:history="1">
        <w:r w:rsidRPr="006F6171">
          <w:rPr>
            <w:rStyle w:val="Hyperlink"/>
            <w:szCs w:val="24"/>
          </w:rPr>
          <w:t>12 U.S.C. §4568</w:t>
        </w:r>
      </w:hyperlink>
      <w:r w:rsidRPr="006F6171">
        <w:t xml:space="preserve">, together with associated regulations and guidance now or hereafter promulgated pursuant thereto.    </w:t>
      </w:r>
    </w:p>
    <w:p w14:paraId="704A309F" w14:textId="77777777" w:rsidR="00AE7EB0" w:rsidRPr="006F6171" w:rsidRDefault="00AE7EB0" w:rsidP="00B34323">
      <w:pPr>
        <w:pStyle w:val="NoSpacing"/>
      </w:pPr>
    </w:p>
    <w:p w14:paraId="693847A2" w14:textId="77777777" w:rsidR="00AE7EB0" w:rsidRPr="006F6171" w:rsidRDefault="00AE7EB0" w:rsidP="00B34323">
      <w:pPr>
        <w:pStyle w:val="NoSpacing"/>
        <w:rPr>
          <w:b/>
        </w:rPr>
      </w:pPr>
      <w:r w:rsidRPr="006F6171">
        <w:t xml:space="preserve"> “Net Developer Fee” means the Developer Fee with respect to a Project that does not exceed the applicable limit set forth in Section 7.B.2., including any portion thereof that is deferred or loaned to pay for costs associated with the Project (and does not include any additional Developer Fee allowed under Section 7.B.3).</w:t>
      </w:r>
    </w:p>
    <w:p w14:paraId="2F210611" w14:textId="77777777" w:rsidR="00AE7EB0" w:rsidRPr="006F6171" w:rsidRDefault="00AE7EB0" w:rsidP="00B34323">
      <w:pPr>
        <w:pStyle w:val="NoSpacing"/>
      </w:pPr>
    </w:p>
    <w:p w14:paraId="20F28974" w14:textId="77777777" w:rsidR="00ED3776" w:rsidRPr="006F6171" w:rsidRDefault="00AE7EB0" w:rsidP="00B34323">
      <w:pPr>
        <w:pStyle w:val="NoSpacing"/>
        <w:rPr>
          <w:b/>
        </w:rPr>
      </w:pPr>
      <w:r w:rsidRPr="006F6171">
        <w:t>“Notice to Proceed” means the notice that a Project has been selected for further evaluation to determine the Project’s eligibility for Credit and the amount of Credit to be allocated for the Project.  The Notice to Proceed will require the submission of all information necessary for MaineHousing to determine the amount of Credit, if any, to be allocated to the Project, obligate the Applicant to fulfill all commitments made in the Application, and require the Applicant to promptly and diligently develop and complete the Project according to the deadlines specified in the notice.</w:t>
      </w:r>
    </w:p>
    <w:p w14:paraId="138FE15D" w14:textId="77777777" w:rsidR="00AE7EB0" w:rsidRPr="006F6171" w:rsidRDefault="00AE7EB0" w:rsidP="00B34323">
      <w:pPr>
        <w:pStyle w:val="NoSpacing"/>
        <w:rPr>
          <w:b/>
        </w:rPr>
      </w:pPr>
      <w:r w:rsidRPr="006F6171">
        <w:t xml:space="preserve">  </w:t>
      </w:r>
    </w:p>
    <w:p w14:paraId="11C5656F" w14:textId="77777777" w:rsidR="00AE7EB0" w:rsidRPr="006F6171" w:rsidRDefault="00AE7EB0" w:rsidP="00B34323">
      <w:pPr>
        <w:pStyle w:val="NoSpacing"/>
        <w:rPr>
          <w:b/>
        </w:rPr>
      </w:pPr>
      <w:r w:rsidRPr="006F6171">
        <w:t>“Owner” means the legal owner of a LIHTC Project or Qualified Building for which an Application has been submitted to MaineHousing or which has received an allocation of Credit from MaineHousing pursuant to this Qualified Allocation Plan or a prior Qualified Allocation Plan for the State.</w:t>
      </w:r>
    </w:p>
    <w:p w14:paraId="5CD11316" w14:textId="77777777" w:rsidR="00AE7EB0" w:rsidRPr="006F6171" w:rsidRDefault="00AE7EB0" w:rsidP="00B34323">
      <w:pPr>
        <w:pStyle w:val="NoSpacing"/>
      </w:pPr>
    </w:p>
    <w:p w14:paraId="5BD622EF" w14:textId="77777777" w:rsidR="00AE7EB0" w:rsidRPr="006F6171" w:rsidRDefault="00AE7EB0" w:rsidP="00B34323">
      <w:pPr>
        <w:pStyle w:val="NoSpacing"/>
      </w:pPr>
      <w:r w:rsidRPr="006F6171">
        <w:t xml:space="preserve">“Ownership Transfer Rule” means Chapter 27 of MaineHousing’s rules, </w:t>
      </w:r>
      <w:r w:rsidRPr="006F6171">
        <w:rPr>
          <w:i/>
        </w:rPr>
        <w:t>Transfers of Ownership Interests</w:t>
      </w:r>
      <w:r w:rsidRPr="006F6171">
        <w:t xml:space="preserve">, and the policies and procedures related thereto, all as may be amended.  </w:t>
      </w:r>
    </w:p>
    <w:p w14:paraId="410712E6" w14:textId="77777777" w:rsidR="0050343F" w:rsidRPr="006F6171" w:rsidRDefault="0050343F" w:rsidP="00B34323">
      <w:pPr>
        <w:pStyle w:val="NoSpacing"/>
      </w:pPr>
    </w:p>
    <w:p w14:paraId="476CE6DC" w14:textId="77777777" w:rsidR="0050343F" w:rsidRPr="006F6171" w:rsidRDefault="0050343F" w:rsidP="00B34323">
      <w:pPr>
        <w:pStyle w:val="NoSpacing"/>
      </w:pPr>
      <w:r w:rsidRPr="006F6171">
        <w:t>“Passive House Certification” means</w:t>
      </w:r>
      <w:r w:rsidR="002C6068" w:rsidRPr="006F6171">
        <w:t xml:space="preserve"> certification from Passive House Institute US, Inc. (PHIUS) or Passive House Institute (PHI) prior to MaineHousing’s issuance of IRS Form 8609.</w:t>
      </w:r>
    </w:p>
    <w:p w14:paraId="37E14F94" w14:textId="77777777" w:rsidR="00EF5CED" w:rsidRPr="006F6171" w:rsidRDefault="00EF5CED" w:rsidP="00B34323">
      <w:pPr>
        <w:pStyle w:val="NoSpacing"/>
      </w:pPr>
    </w:p>
    <w:p w14:paraId="59B6A972" w14:textId="77777777" w:rsidR="00EF5CED" w:rsidRPr="006F6171" w:rsidRDefault="00EF5CED" w:rsidP="00B34323">
      <w:pPr>
        <w:pStyle w:val="NoSpacing"/>
        <w:rPr>
          <w:b/>
        </w:rPr>
      </w:pPr>
      <w:r w:rsidRPr="006F6171">
        <w:t>“Persons Experiencing Homelessness” means</w:t>
      </w:r>
      <w:r w:rsidR="00CD615E" w:rsidRPr="006F6171">
        <w:t xml:space="preserve"> </w:t>
      </w:r>
      <w:r w:rsidR="00CD615E" w:rsidRPr="006F6171">
        <w:rPr>
          <w:color w:val="000000"/>
          <w:szCs w:val="24"/>
        </w:rPr>
        <w:t>persons sleeping in a place not meant for human habitation, in an Emergency Shelter, or in other emergency housing; persons exiting an institution where they resided for 90 days or less and who had resided in an Emergency Shelter, other emergency housing, or place not meant for human habitation before entering that institution; and persons fleeing, or attempting to flee, domestic violence, dating violence, sexual assault, stalking, or other dangerous or life-threatening conditions in the individual’s or family’s current housing situation, including where the health and safety of children are jeopardized, and who have no other residence and lack the resources or support networks to obtain other permanent housing.</w:t>
      </w:r>
    </w:p>
    <w:p w14:paraId="4F8F5B98" w14:textId="77777777" w:rsidR="00AE7EB0" w:rsidRPr="006F6171" w:rsidRDefault="00AE7EB0" w:rsidP="00B34323">
      <w:pPr>
        <w:pStyle w:val="NoSpacing"/>
      </w:pPr>
    </w:p>
    <w:p w14:paraId="49B9C69C" w14:textId="77777777" w:rsidR="00AE7EB0" w:rsidRPr="006F6171" w:rsidRDefault="00AE7EB0" w:rsidP="00B34323">
      <w:pPr>
        <w:pStyle w:val="NoSpacing"/>
        <w:rPr>
          <w:b/>
        </w:rPr>
      </w:pPr>
      <w:r w:rsidRPr="006F6171">
        <w:t xml:space="preserve">“Placed in Service” means the date on which a Qualified Building is suitable and available for occupancy as determined in accordance with </w:t>
      </w:r>
      <w:hyperlink r:id="rId66" w:history="1">
        <w:r w:rsidRPr="006F6171">
          <w:rPr>
            <w:rStyle w:val="Hyperlink"/>
            <w:szCs w:val="24"/>
          </w:rPr>
          <w:t>Section 42</w:t>
        </w:r>
      </w:hyperlink>
      <w:r w:rsidRPr="006F6171">
        <w:t xml:space="preserve"> of the Code.</w:t>
      </w:r>
    </w:p>
    <w:p w14:paraId="77053A31" w14:textId="77777777" w:rsidR="00AE7EB0" w:rsidRPr="006F6171" w:rsidRDefault="00AE7EB0" w:rsidP="00B34323">
      <w:pPr>
        <w:pStyle w:val="NoSpacing"/>
      </w:pPr>
    </w:p>
    <w:p w14:paraId="1E965CBE" w14:textId="77777777" w:rsidR="00AE7EB0" w:rsidRPr="006F6171" w:rsidRDefault="00AE7EB0" w:rsidP="00B34323">
      <w:pPr>
        <w:pStyle w:val="NoSpacing"/>
        <w:rPr>
          <w:b/>
        </w:rPr>
      </w:pPr>
      <w:r w:rsidRPr="006F6171">
        <w:lastRenderedPageBreak/>
        <w:t xml:space="preserve">“Principal” means any person or entity with a controlling interest in another entity, including without limitation, a person or entity with an ownership interest in an Applicant that controls the development and day-to-day operation of a Project, such as the general partner(s) of a limited partnership or the manager(s) or member(s) invested with the management authority of a limited liability company, and all persons and entities with an ownership interest in or control of said entity. </w:t>
      </w:r>
    </w:p>
    <w:p w14:paraId="0970B114" w14:textId="77777777" w:rsidR="00AE7EB0" w:rsidRPr="006F6171" w:rsidRDefault="00AE7EB0" w:rsidP="00B34323">
      <w:pPr>
        <w:pStyle w:val="NoSpacing"/>
      </w:pPr>
    </w:p>
    <w:p w14:paraId="43460DC1" w14:textId="77777777" w:rsidR="00AE7EB0" w:rsidRPr="006F6171" w:rsidRDefault="00AE7EB0" w:rsidP="00B34323">
      <w:pPr>
        <w:pStyle w:val="NoSpacing"/>
        <w:rPr>
          <w:b/>
        </w:rPr>
      </w:pPr>
      <w:r w:rsidRPr="006F6171">
        <w:t xml:space="preserve">“Project” means the property described in the Application, which must be a qualified low-income housing project as defined in and governed by </w:t>
      </w:r>
      <w:hyperlink r:id="rId67" w:history="1">
        <w:r w:rsidRPr="006F6171">
          <w:rPr>
            <w:rStyle w:val="Hyperlink"/>
            <w:szCs w:val="24"/>
          </w:rPr>
          <w:t>Section 42(g)</w:t>
        </w:r>
      </w:hyperlink>
      <w:r w:rsidRPr="006F6171">
        <w:t xml:space="preserve"> of the Code.</w:t>
      </w:r>
    </w:p>
    <w:p w14:paraId="718A7582" w14:textId="77777777" w:rsidR="00AE7EB0" w:rsidRPr="006F6171" w:rsidRDefault="00AE7EB0" w:rsidP="00B34323">
      <w:pPr>
        <w:pStyle w:val="NoSpacing"/>
      </w:pPr>
    </w:p>
    <w:p w14:paraId="67CAF89B" w14:textId="77777777" w:rsidR="00AE7EB0" w:rsidRPr="006F6171" w:rsidRDefault="00AE7EB0" w:rsidP="00B34323">
      <w:pPr>
        <w:pStyle w:val="NoSpacing"/>
        <w:rPr>
          <w:b/>
        </w:rPr>
      </w:pPr>
      <w:r w:rsidRPr="006F6171">
        <w:t>“Project Report</w:t>
      </w:r>
      <w:r w:rsidR="000E4E2C" w:rsidRPr="006F6171">
        <w:t>s</w:t>
      </w:r>
      <w:r w:rsidRPr="006F6171">
        <w:t xml:space="preserve">” means the annual certification and tenant data required under Section 10.C., and if required for the LIHTC Project, the audited financial report (AFR) and the annual project budget.  </w:t>
      </w:r>
    </w:p>
    <w:p w14:paraId="70B0403A" w14:textId="77777777" w:rsidR="00AE7EB0" w:rsidRPr="006F6171" w:rsidRDefault="00AE7EB0" w:rsidP="00B34323">
      <w:pPr>
        <w:pStyle w:val="NoSpacing"/>
      </w:pPr>
    </w:p>
    <w:p w14:paraId="349CDCD1" w14:textId="77777777" w:rsidR="00AE7EB0" w:rsidRPr="006F6171" w:rsidRDefault="00AE7EB0" w:rsidP="00B34323">
      <w:pPr>
        <w:pStyle w:val="NoSpacing"/>
        <w:rPr>
          <w:b/>
        </w:rPr>
      </w:pPr>
      <w:r w:rsidRPr="006F6171">
        <w:t xml:space="preserve">“QCT” means an area of the State designated by HUD as a qualified census tract pursuant to </w:t>
      </w:r>
      <w:hyperlink r:id="rId68" w:history="1">
        <w:r w:rsidRPr="006F6171">
          <w:rPr>
            <w:rStyle w:val="Hyperlink"/>
            <w:szCs w:val="24"/>
          </w:rPr>
          <w:t>Section 42(d)(5)(B)(ii)</w:t>
        </w:r>
      </w:hyperlink>
      <w:r w:rsidRPr="006F6171">
        <w:t xml:space="preserve"> of the Code.</w:t>
      </w:r>
    </w:p>
    <w:p w14:paraId="00D01F90" w14:textId="77777777" w:rsidR="00AE7EB0" w:rsidRPr="006F6171" w:rsidRDefault="00AE7EB0" w:rsidP="00B34323">
      <w:pPr>
        <w:pStyle w:val="NoSpacing"/>
      </w:pPr>
    </w:p>
    <w:p w14:paraId="4B577E6D" w14:textId="77777777" w:rsidR="00AE7EB0" w:rsidRPr="006F6171" w:rsidRDefault="00AE7EB0" w:rsidP="00B34323">
      <w:pPr>
        <w:pStyle w:val="NoSpacing"/>
        <w:rPr>
          <w:b/>
        </w:rPr>
      </w:pPr>
      <w:r w:rsidRPr="006F6171">
        <w:t xml:space="preserve">“Qualified Allocation Plan” or “Plan” means the plan for allocating and administering the Credit adopted by the housing credit agency pursuant </w:t>
      </w:r>
      <w:hyperlink r:id="rId69" w:history="1">
        <w:r w:rsidRPr="006F6171">
          <w:rPr>
            <w:rStyle w:val="Hyperlink"/>
            <w:szCs w:val="24"/>
          </w:rPr>
          <w:t>Section 42(m)(1)(B)</w:t>
        </w:r>
      </w:hyperlink>
      <w:r w:rsidRPr="006F6171">
        <w:t xml:space="preserve"> of the Code.</w:t>
      </w:r>
    </w:p>
    <w:p w14:paraId="7699EE64" w14:textId="77777777" w:rsidR="00AE7EB0" w:rsidRPr="006F6171" w:rsidRDefault="00AE7EB0" w:rsidP="00B34323">
      <w:pPr>
        <w:pStyle w:val="NoSpacing"/>
      </w:pPr>
    </w:p>
    <w:p w14:paraId="0A5B72FC" w14:textId="77777777" w:rsidR="00AE7EB0" w:rsidRPr="006F6171" w:rsidRDefault="00AE7EB0" w:rsidP="00B34323">
      <w:pPr>
        <w:pStyle w:val="NoSpacing"/>
      </w:pPr>
      <w:r w:rsidRPr="006F6171">
        <w:t xml:space="preserve"> “Qualified Building” means a qualified low-income building as defined in and governed by </w:t>
      </w:r>
      <w:hyperlink r:id="rId70" w:history="1">
        <w:r w:rsidRPr="006F6171">
          <w:rPr>
            <w:rStyle w:val="Hyperlink"/>
            <w:szCs w:val="24"/>
          </w:rPr>
          <w:t>Section 42(c)(2)</w:t>
        </w:r>
      </w:hyperlink>
      <w:r w:rsidRPr="006F6171">
        <w:t xml:space="preserve"> of the Code. </w:t>
      </w:r>
    </w:p>
    <w:p w14:paraId="7156DC60" w14:textId="77777777" w:rsidR="00144EA1" w:rsidRPr="006F6171" w:rsidRDefault="00144EA1" w:rsidP="00B34323">
      <w:pPr>
        <w:pStyle w:val="NoSpacing"/>
      </w:pPr>
    </w:p>
    <w:p w14:paraId="2C513CDF" w14:textId="77777777" w:rsidR="00144EA1" w:rsidRPr="006F6171" w:rsidRDefault="00144EA1" w:rsidP="00144EA1">
      <w:pPr>
        <w:pStyle w:val="NoSpacing"/>
      </w:pPr>
      <w:r w:rsidRPr="006F6171">
        <w:t>“Qualified Contract” means a contract as defined in Section 42(h)(6)(F) of the Code.</w:t>
      </w:r>
    </w:p>
    <w:p w14:paraId="4399035D" w14:textId="77777777" w:rsidR="00144EA1" w:rsidRPr="006F6171" w:rsidRDefault="00144EA1" w:rsidP="00144EA1">
      <w:pPr>
        <w:pStyle w:val="NoSpacing"/>
      </w:pPr>
    </w:p>
    <w:p w14:paraId="6022E425" w14:textId="77777777" w:rsidR="00144EA1" w:rsidRPr="006F6171" w:rsidRDefault="00144EA1" w:rsidP="00144EA1">
      <w:pPr>
        <w:pStyle w:val="NoSpacing"/>
        <w:rPr>
          <w:b/>
        </w:rPr>
      </w:pPr>
      <w:r w:rsidRPr="006F6171">
        <w:t>“Qualified Nonprofit Organization” means a qualified nonprofit organization as defined in Section 42(h)(5)(C) of the Code.</w:t>
      </w:r>
    </w:p>
    <w:p w14:paraId="359745B8" w14:textId="77777777" w:rsidR="00AE7EB0" w:rsidRPr="006F6171" w:rsidRDefault="00AE7EB0" w:rsidP="00B34323">
      <w:pPr>
        <w:pStyle w:val="NoSpacing"/>
      </w:pPr>
    </w:p>
    <w:p w14:paraId="075A7B5D" w14:textId="10CBEE69" w:rsidR="00ED3776" w:rsidRPr="006F6171" w:rsidRDefault="00AE7EB0" w:rsidP="00B34323">
      <w:pPr>
        <w:pStyle w:val="NoSpacing"/>
      </w:pPr>
      <w:r w:rsidRPr="006F6171">
        <w:t xml:space="preserve"> “Rehabilitation Costs” means with respect to a Project (1) the site costs, (2) the costs of complying with the construction requirements of other funding sources except those required by the Applicant, any Principal thereof or Affiliate</w:t>
      </w:r>
      <w:r w:rsidR="000E4E2C" w:rsidRPr="006F6171">
        <w:t>s</w:t>
      </w:r>
      <w:r w:rsidRPr="006F6171">
        <w:t xml:space="preserve"> of either, (3) contractor profit, overhead and general conditions, and (4) certain costs identified in the capital needs assessment required under Section 5.</w:t>
      </w:r>
      <w:r w:rsidR="00717051" w:rsidRPr="006F6171">
        <w:t>C</w:t>
      </w:r>
      <w:r w:rsidRPr="006F6171">
        <w:t>.1. of the QAP, including (a) the cost of correcting all violations of applicable federal, state and local health, safety and building codes and correcting deferred maintenance, (b) the rehabilitation or replacement of all structures, systems, facilities and components that have reached or exceed their useful life or will reach their useful life within 5 years, (c) the cost of complying with MaineHousing’s Construction Standards, (d) the cost of complying with the most current accessibility requirements for new construction projects under applicable federal, state and local accessibility laws, regulations, standards and guidance, and (e) the remediation and disposal of any environmental or other hazards identified in environmental reports.  Rehabilitation Costs do not include construction contingency, relocation costs</w:t>
      </w:r>
      <w:r w:rsidR="00ED3776" w:rsidRPr="006F6171">
        <w:t>,</w:t>
      </w:r>
      <w:r w:rsidRPr="006F6171">
        <w:t xml:space="preserve"> or other soft costs.  </w:t>
      </w:r>
    </w:p>
    <w:p w14:paraId="353B5842" w14:textId="77777777" w:rsidR="00AE7EB0" w:rsidRPr="006F6171" w:rsidRDefault="00AE7EB0" w:rsidP="00B34323">
      <w:pPr>
        <w:pStyle w:val="NoSpacing"/>
        <w:rPr>
          <w:b/>
        </w:rPr>
      </w:pPr>
      <w:r w:rsidRPr="006F6171">
        <w:br/>
        <w:t>“Related Development” means any development of which the Project is a part or is related and the Project cannot be completed, either structurally or financially, without the completion of the development.</w:t>
      </w:r>
    </w:p>
    <w:p w14:paraId="40B59BAA" w14:textId="77777777" w:rsidR="00AE7EB0" w:rsidRPr="006F6171" w:rsidRDefault="00AE7EB0" w:rsidP="00B34323">
      <w:pPr>
        <w:pStyle w:val="NoSpacing"/>
      </w:pPr>
    </w:p>
    <w:p w14:paraId="1221B1BC" w14:textId="77777777" w:rsidR="00ED3776" w:rsidRPr="006F6171" w:rsidRDefault="00AE7EB0" w:rsidP="00B34323">
      <w:pPr>
        <w:pStyle w:val="NoSpacing"/>
        <w:rPr>
          <w:b/>
        </w:rPr>
      </w:pPr>
      <w:r w:rsidRPr="006F6171">
        <w:t>“RD” or “Rural Development” means the United States of America acting through the United States Department of Agriculture, Rural Housing Services.</w:t>
      </w:r>
    </w:p>
    <w:p w14:paraId="31AC3F22" w14:textId="77777777" w:rsidR="00AE7EB0" w:rsidRPr="006F6171" w:rsidRDefault="00AE7EB0" w:rsidP="00B34323">
      <w:pPr>
        <w:pStyle w:val="NoSpacing"/>
      </w:pPr>
      <w:r w:rsidRPr="006F6171">
        <w:t xml:space="preserve"> </w:t>
      </w:r>
    </w:p>
    <w:p w14:paraId="37FEB9EB" w14:textId="77777777" w:rsidR="00AE7EB0" w:rsidRPr="006F6171" w:rsidRDefault="00AE7EB0" w:rsidP="00B34323">
      <w:pPr>
        <w:pStyle w:val="NoSpacing"/>
        <w:rPr>
          <w:b/>
        </w:rPr>
      </w:pPr>
      <w:r w:rsidRPr="006F6171">
        <w:lastRenderedPageBreak/>
        <w:t xml:space="preserve">“Safe Walking Distance” means a pedestrian route appropriate to the area, as determined by MaineHousing, with sidewalks, crosswalks and traffic signals at busy roads or intersections and year-round walkability, which includes being plowed during the winter.    </w:t>
      </w:r>
    </w:p>
    <w:p w14:paraId="422F398C" w14:textId="77777777" w:rsidR="00AE7EB0" w:rsidRPr="006F6171" w:rsidRDefault="00AE7EB0" w:rsidP="00B34323">
      <w:pPr>
        <w:pStyle w:val="NoSpacing"/>
      </w:pPr>
    </w:p>
    <w:p w14:paraId="28BF8D26" w14:textId="77777777" w:rsidR="00AE7EB0" w:rsidRPr="006F6171" w:rsidRDefault="00AE7EB0" w:rsidP="00B34323">
      <w:pPr>
        <w:pStyle w:val="NoSpacing"/>
        <w:rPr>
          <w:b/>
        </w:rPr>
      </w:pPr>
      <w:r w:rsidRPr="006F6171">
        <w:t xml:space="preserve"> “Section 8” means Section 8 of the United States Housing Act of 1937, </w:t>
      </w:r>
      <w:hyperlink r:id="rId71" w:history="1">
        <w:r w:rsidRPr="006F6171">
          <w:rPr>
            <w:rStyle w:val="Hyperlink"/>
            <w:szCs w:val="24"/>
          </w:rPr>
          <w:t xml:space="preserve">42 U.S.C. </w:t>
        </w:r>
        <w:r w:rsidR="00BB5B00" w:rsidRPr="006F6171">
          <w:rPr>
            <w:rStyle w:val="Hyperlink"/>
            <w:szCs w:val="24"/>
          </w:rPr>
          <w:t>§</w:t>
        </w:r>
        <w:r w:rsidRPr="006F6171">
          <w:rPr>
            <w:rStyle w:val="Hyperlink"/>
            <w:szCs w:val="24"/>
          </w:rPr>
          <w:t>1437f</w:t>
        </w:r>
      </w:hyperlink>
      <w:r w:rsidRPr="006F6171">
        <w:t>, as may be amended.</w:t>
      </w:r>
      <w:r w:rsidRPr="006F6171">
        <w:br/>
      </w:r>
    </w:p>
    <w:p w14:paraId="5796A3C0" w14:textId="77777777" w:rsidR="00AE7EB0" w:rsidRPr="006F6171" w:rsidRDefault="00AE7EB0" w:rsidP="00B34323">
      <w:pPr>
        <w:pStyle w:val="NoSpacing"/>
        <w:rPr>
          <w:b/>
        </w:rPr>
      </w:pPr>
      <w:r w:rsidRPr="006F6171">
        <w:t>“Service Center Community” means an entire municipality that provides jobs and retail to surrounding areas and is a center for education, health care, cultural, recreational and social services, designated pursuant to the Municipal Planning Assistance Program of the State’s Department of Agriculture, Conservation and Forestry as a Regional Service Center as of January 2013.</w:t>
      </w:r>
    </w:p>
    <w:p w14:paraId="4914D863" w14:textId="77777777" w:rsidR="00AE7EB0" w:rsidRPr="006F6171" w:rsidRDefault="00AE7EB0" w:rsidP="00B34323">
      <w:pPr>
        <w:pStyle w:val="NoSpacing"/>
      </w:pPr>
    </w:p>
    <w:p w14:paraId="3FBE2D6D" w14:textId="77777777" w:rsidR="00AE7EB0" w:rsidRPr="006F6171" w:rsidRDefault="000E4E2C" w:rsidP="00B34323">
      <w:pPr>
        <w:pStyle w:val="NoSpacing"/>
        <w:rPr>
          <w:b/>
        </w:rPr>
      </w:pPr>
      <w:r w:rsidRPr="006F6171" w:rsidDel="000E4E2C">
        <w:t xml:space="preserve"> </w:t>
      </w:r>
      <w:r w:rsidR="00AE7EB0" w:rsidRPr="006F6171">
        <w:t>“State” means the State of Maine.</w:t>
      </w:r>
    </w:p>
    <w:p w14:paraId="7DE171CE" w14:textId="77777777" w:rsidR="00AE7EB0" w:rsidRPr="006F6171" w:rsidRDefault="00AE7EB0" w:rsidP="00B34323">
      <w:pPr>
        <w:pStyle w:val="NoSpacing"/>
      </w:pPr>
    </w:p>
    <w:p w14:paraId="4CD7E96A" w14:textId="77777777" w:rsidR="00AE7EB0" w:rsidRPr="006F6171" w:rsidRDefault="00AE7EB0" w:rsidP="00B34323">
      <w:pPr>
        <w:pStyle w:val="NoSpacing"/>
        <w:rPr>
          <w:b/>
        </w:rPr>
      </w:pPr>
      <w:r w:rsidRPr="006F6171">
        <w:t xml:space="preserve">“State Ceiling” means the State’s housing credit ceiling established pursuant to </w:t>
      </w:r>
      <w:hyperlink r:id="rId72" w:history="1">
        <w:r w:rsidRPr="006F6171">
          <w:rPr>
            <w:rStyle w:val="Hyperlink"/>
            <w:szCs w:val="24"/>
          </w:rPr>
          <w:t>Section 42(h)(3)(C)</w:t>
        </w:r>
      </w:hyperlink>
      <w:r w:rsidRPr="006F6171">
        <w:t xml:space="preserve"> of the Code.</w:t>
      </w:r>
    </w:p>
    <w:p w14:paraId="122271D6" w14:textId="77777777" w:rsidR="00AE7EB0" w:rsidRPr="006F6171" w:rsidRDefault="00AE7EB0" w:rsidP="00B34323">
      <w:pPr>
        <w:pStyle w:val="NoSpacing"/>
      </w:pPr>
    </w:p>
    <w:p w14:paraId="4E75C88D" w14:textId="0E0A1428" w:rsidR="00AE7EB0" w:rsidRPr="006F6171" w:rsidRDefault="00AE7EB0" w:rsidP="00B34323">
      <w:pPr>
        <w:pStyle w:val="NoSpacing"/>
        <w:rPr>
          <w:b/>
        </w:rPr>
      </w:pPr>
      <w:r w:rsidRPr="006F6171">
        <w:t xml:space="preserve">“Tax Increment Financing” means any type of tax increment financing, including without limitation an Affordable Housing TIF, a development district and development program approved by a municipality or a tax increment financing district approved by the State’s Department of Economic and Community Development pursuant to </w:t>
      </w:r>
      <w:hyperlink r:id="rId73" w:history="1">
        <w:r w:rsidRPr="006F6171">
          <w:rPr>
            <w:rStyle w:val="Hyperlink"/>
            <w:szCs w:val="24"/>
          </w:rPr>
          <w:t>30-A M.R.S., Chapter 206</w:t>
        </w:r>
      </w:hyperlink>
      <w:r w:rsidRPr="006F6171">
        <w:t xml:space="preserve">, as may be amended. </w:t>
      </w:r>
    </w:p>
    <w:p w14:paraId="179BB0B4" w14:textId="77777777" w:rsidR="00AE7EB0" w:rsidRPr="006F6171" w:rsidRDefault="00AE7EB0" w:rsidP="00B34323">
      <w:pPr>
        <w:pStyle w:val="NoSpacing"/>
      </w:pPr>
    </w:p>
    <w:p w14:paraId="4AD696F2" w14:textId="68B680C8" w:rsidR="00AE7EB0" w:rsidRPr="006F6171" w:rsidRDefault="00AE7EB0" w:rsidP="00527B06">
      <w:pPr>
        <w:jc w:val="both"/>
        <w:rPr>
          <w:szCs w:val="24"/>
        </w:rPr>
      </w:pPr>
      <w:r w:rsidRPr="006F6171">
        <w:rPr>
          <w:szCs w:val="24"/>
        </w:rPr>
        <w:t>“TDC Index” means the calculation described in Sec</w:t>
      </w:r>
      <w:r w:rsidR="003571C3" w:rsidRPr="006F6171">
        <w:rPr>
          <w:szCs w:val="24"/>
        </w:rPr>
        <w:t>tion 5.B</w:t>
      </w:r>
      <w:r w:rsidRPr="006F6171">
        <w:rPr>
          <w:szCs w:val="24"/>
        </w:rPr>
        <w:t>.</w:t>
      </w:r>
    </w:p>
    <w:p w14:paraId="2569AC8A" w14:textId="77777777" w:rsidR="00495C46" w:rsidRPr="006F6171" w:rsidRDefault="00495C46" w:rsidP="00527B06">
      <w:pPr>
        <w:jc w:val="both"/>
        <w:rPr>
          <w:szCs w:val="24"/>
        </w:rPr>
      </w:pPr>
    </w:p>
    <w:p w14:paraId="620CEFD0" w14:textId="657D46FE" w:rsidR="00AE7EB0" w:rsidRPr="006F6171" w:rsidRDefault="00AE7EB0" w:rsidP="00527B06">
      <w:pPr>
        <w:jc w:val="both"/>
        <w:rPr>
          <w:szCs w:val="24"/>
        </w:rPr>
      </w:pPr>
      <w:r w:rsidRPr="006F6171">
        <w:rPr>
          <w:szCs w:val="24"/>
        </w:rPr>
        <w:t>“TDC Index Cap” means the limit on Total Developme</w:t>
      </w:r>
      <w:r w:rsidR="003571C3" w:rsidRPr="006F6171">
        <w:rPr>
          <w:szCs w:val="24"/>
        </w:rPr>
        <w:t>nt Cost set forth in Section 5.B</w:t>
      </w:r>
      <w:r w:rsidRPr="006F6171">
        <w:rPr>
          <w:szCs w:val="24"/>
        </w:rPr>
        <w:t>.</w:t>
      </w:r>
    </w:p>
    <w:p w14:paraId="2558FBEB" w14:textId="77777777" w:rsidR="00495C46" w:rsidRPr="006F6171" w:rsidRDefault="00495C46" w:rsidP="00527B06">
      <w:pPr>
        <w:jc w:val="both"/>
        <w:rPr>
          <w:szCs w:val="24"/>
        </w:rPr>
      </w:pPr>
    </w:p>
    <w:p w14:paraId="61C53BCA" w14:textId="77777777" w:rsidR="00495C46" w:rsidRPr="006F6171" w:rsidRDefault="00495C46" w:rsidP="0029394F">
      <w:pPr>
        <w:jc w:val="both"/>
      </w:pPr>
      <w:r w:rsidRPr="006F6171">
        <w:rPr>
          <w:szCs w:val="24"/>
        </w:rPr>
        <w:t>"Telehealth" means the use of interactive real-time visual and audio or other electronic media for the purpose of consultation and education concerning and diagnosis, treatment, care management</w:t>
      </w:r>
      <w:r w:rsidR="001D1829" w:rsidRPr="006F6171">
        <w:rPr>
          <w:szCs w:val="24"/>
        </w:rPr>
        <w:t xml:space="preserve">, </w:t>
      </w:r>
      <w:r w:rsidRPr="006F6171">
        <w:t xml:space="preserve">and self-management of a patient's physical and mental health and includes real-time interaction between the patient and the telehealth provider, synchronous encounters, asynchronous encounters, store and forward transfers and remote patient monitoring.  Telehealth includes telephonic services when interactive telehealth services are unavailable or when a telephonic service is medically appropriate for the underlying covered service. </w:t>
      </w:r>
    </w:p>
    <w:p w14:paraId="669390EB" w14:textId="77777777" w:rsidR="00495C46" w:rsidRPr="006F6171" w:rsidRDefault="00495C46" w:rsidP="00527B06">
      <w:pPr>
        <w:jc w:val="both"/>
        <w:rPr>
          <w:szCs w:val="24"/>
        </w:rPr>
      </w:pPr>
    </w:p>
    <w:p w14:paraId="0B1D30B2" w14:textId="77777777" w:rsidR="00FD4D54" w:rsidRPr="006F6171" w:rsidRDefault="00FD4D54" w:rsidP="00527B06">
      <w:pPr>
        <w:jc w:val="both"/>
        <w:rPr>
          <w:szCs w:val="24"/>
        </w:rPr>
      </w:pPr>
    </w:p>
    <w:p w14:paraId="79E1D203" w14:textId="77777777" w:rsidR="00AE7EB0" w:rsidRPr="006F6171" w:rsidRDefault="00AE7EB0" w:rsidP="00B34323">
      <w:pPr>
        <w:pStyle w:val="NoSpacing"/>
        <w:rPr>
          <w:b/>
        </w:rPr>
      </w:pPr>
      <w:r w:rsidRPr="006F6171">
        <w:t>“Total Construction Cost” means the sum of site costs, costs of constructing or rehabilitating structures, systems, facilities, units and components, general requirements, bond premiums, and contractor overhead and profit as determined by MaineHousing.</w:t>
      </w:r>
    </w:p>
    <w:p w14:paraId="6742A384" w14:textId="77777777" w:rsidR="00AE7EB0" w:rsidRPr="006F6171" w:rsidRDefault="00AE7EB0" w:rsidP="00B34323">
      <w:pPr>
        <w:pStyle w:val="NoSpacing"/>
      </w:pPr>
    </w:p>
    <w:p w14:paraId="0287E47C" w14:textId="77777777" w:rsidR="00ED3776" w:rsidRPr="006F6171" w:rsidRDefault="00AE7EB0" w:rsidP="00B34323">
      <w:pPr>
        <w:pStyle w:val="NoSpacing"/>
        <w:rPr>
          <w:b/>
        </w:rPr>
      </w:pPr>
      <w:r w:rsidRPr="006F6171">
        <w:t xml:space="preserve">“Total Development Cost” or “TDC” means Total Project Cost less (1) the fees required by MaineHousing, (2) the Project’s operating deficit account to the extent required by MaineHousing and (3) the costs associated with any commercial space developed in connection with the Project.  </w:t>
      </w:r>
    </w:p>
    <w:p w14:paraId="3255213F" w14:textId="77777777" w:rsidR="00AE7EB0" w:rsidRPr="006F6171" w:rsidRDefault="00AE7EB0" w:rsidP="00B34323">
      <w:pPr>
        <w:pStyle w:val="NoSpacing"/>
      </w:pPr>
    </w:p>
    <w:p w14:paraId="06E92A36" w14:textId="77777777" w:rsidR="00AE7EB0" w:rsidRPr="006F6171" w:rsidRDefault="00AE7EB0" w:rsidP="00B34323">
      <w:pPr>
        <w:pStyle w:val="NoSpacing"/>
        <w:rPr>
          <w:b/>
        </w:rPr>
      </w:pPr>
      <w:r w:rsidRPr="006F6171">
        <w:t xml:space="preserve">“Total Project Cost” means the sum of all costs associated with the development, construction and rehabilitation of a Project, as determined by MaineHousing.  Total Project Cost includes, without limitation, acquisition costs, the Capitalized Lease Value of all leases of land and building(s), demolition costs, Total Construction Cost, construction contingency, costs associated with community service facilities included in the Eligible Basis of the Project, soft costs (such as permits, </w:t>
      </w:r>
      <w:r w:rsidRPr="006F6171">
        <w:lastRenderedPageBreak/>
        <w:t>design and engineering fees, environmental reports, appraisals, market studies and legal fees), syndication costs, Developer Fee, financing costs and project reserves.  Community service facilities are not considered commercial space for purposes of Total Project Cost.</w:t>
      </w:r>
    </w:p>
    <w:p w14:paraId="3A050633" w14:textId="77777777" w:rsidR="00AE7EB0" w:rsidRPr="006F6171" w:rsidRDefault="00AE7EB0" w:rsidP="00B34323">
      <w:pPr>
        <w:pStyle w:val="NoSpacing"/>
      </w:pPr>
    </w:p>
    <w:p w14:paraId="6DCBAF49" w14:textId="77777777" w:rsidR="00ED3776" w:rsidRPr="006F6171" w:rsidRDefault="00AE7EB0" w:rsidP="00B34323">
      <w:pPr>
        <w:pStyle w:val="NoSpacing"/>
        <w:rPr>
          <w:b/>
        </w:rPr>
      </w:pPr>
      <w:r w:rsidRPr="006F6171">
        <w:t xml:space="preserve">“UPCS” means the Uniform Physical Conditions Standards established by HUD pursuant to </w:t>
      </w:r>
      <w:hyperlink r:id="rId74" w:history="1">
        <w:r w:rsidRPr="006F6171">
          <w:rPr>
            <w:rStyle w:val="Hyperlink"/>
            <w:szCs w:val="24"/>
          </w:rPr>
          <w:t xml:space="preserve">24 CFR </w:t>
        </w:r>
        <w:r w:rsidR="00BB5B00" w:rsidRPr="006F6171">
          <w:rPr>
            <w:rStyle w:val="Hyperlink"/>
            <w:szCs w:val="24"/>
          </w:rPr>
          <w:t>§</w:t>
        </w:r>
        <w:r w:rsidRPr="006F6171">
          <w:rPr>
            <w:rStyle w:val="Hyperlink"/>
            <w:szCs w:val="24"/>
          </w:rPr>
          <w:t>5.703</w:t>
        </w:r>
      </w:hyperlink>
      <w:r w:rsidRPr="006F6171">
        <w:t>, as may be amended.</w:t>
      </w:r>
    </w:p>
    <w:p w14:paraId="3A107EC7" w14:textId="77777777" w:rsidR="00AE7EB0" w:rsidRPr="006F6171" w:rsidRDefault="00AE7EB0" w:rsidP="00B34323">
      <w:pPr>
        <w:pStyle w:val="NoSpacing"/>
      </w:pPr>
    </w:p>
    <w:p w14:paraId="25DC6A7E" w14:textId="77777777" w:rsidR="00B4045B" w:rsidRPr="006F6171" w:rsidRDefault="00B4045B" w:rsidP="00B34323">
      <w:pPr>
        <w:pStyle w:val="NoSpacing"/>
        <w:sectPr w:rsidR="00B4045B" w:rsidRPr="006F6171" w:rsidSect="00B4045B">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pgNumType w:start="1"/>
          <w:cols w:space="720"/>
          <w:docGrid w:linePitch="360"/>
        </w:sectPr>
      </w:pPr>
    </w:p>
    <w:p w14:paraId="13EE2138" w14:textId="77777777" w:rsidR="00B4045B" w:rsidRPr="006F6171" w:rsidRDefault="00B4045B" w:rsidP="00B4045B">
      <w:pPr>
        <w:tabs>
          <w:tab w:val="left" w:pos="-720"/>
        </w:tabs>
        <w:suppressAutoHyphens/>
        <w:jc w:val="center"/>
        <w:rPr>
          <w:b/>
          <w:szCs w:val="24"/>
        </w:rPr>
      </w:pPr>
      <w:bookmarkStart w:id="17" w:name="_Toc450577586"/>
      <w:r w:rsidRPr="006F6171">
        <w:rPr>
          <w:b/>
          <w:szCs w:val="24"/>
        </w:rPr>
        <w:lastRenderedPageBreak/>
        <w:t>APPENDIX B</w:t>
      </w:r>
    </w:p>
    <w:p w14:paraId="317D12B9" w14:textId="77777777" w:rsidR="00B4045B" w:rsidRPr="006F6171" w:rsidRDefault="00B4045B" w:rsidP="00B4045B">
      <w:pPr>
        <w:tabs>
          <w:tab w:val="left" w:pos="-720"/>
        </w:tabs>
        <w:suppressAutoHyphens/>
        <w:jc w:val="center"/>
        <w:rPr>
          <w:b/>
          <w:szCs w:val="24"/>
        </w:rPr>
      </w:pPr>
      <w:r w:rsidRPr="006F6171">
        <w:rPr>
          <w:b/>
          <w:szCs w:val="24"/>
        </w:rPr>
        <w:t>Pre-Application Submission Requirements</w:t>
      </w:r>
    </w:p>
    <w:p w14:paraId="26441195" w14:textId="77777777" w:rsidR="00B4045B" w:rsidRPr="006F6171" w:rsidRDefault="00B4045B" w:rsidP="00B4045B">
      <w:pPr>
        <w:tabs>
          <w:tab w:val="left" w:pos="-720"/>
        </w:tabs>
        <w:suppressAutoHyphens/>
        <w:ind w:left="1440" w:hanging="720"/>
        <w:rPr>
          <w:szCs w:val="24"/>
        </w:rPr>
      </w:pPr>
    </w:p>
    <w:p w14:paraId="1C635AD2" w14:textId="77777777" w:rsidR="00B4045B" w:rsidRPr="006F6171" w:rsidRDefault="00B4045B" w:rsidP="00527B06">
      <w:pPr>
        <w:tabs>
          <w:tab w:val="left" w:pos="-720"/>
        </w:tabs>
        <w:suppressAutoHyphens/>
        <w:jc w:val="both"/>
        <w:rPr>
          <w:szCs w:val="24"/>
        </w:rPr>
      </w:pPr>
      <w:r w:rsidRPr="006F6171">
        <w:rPr>
          <w:szCs w:val="24"/>
        </w:rPr>
        <w:t xml:space="preserve">Applicants must submit a request for pre-application review and the following information to MaineHousing </w:t>
      </w:r>
      <w:r w:rsidRPr="006F6171">
        <w:rPr>
          <w:b/>
          <w:szCs w:val="24"/>
        </w:rPr>
        <w:t>at least 60 calendar days before the applicable Application deadline</w:t>
      </w:r>
      <w:r w:rsidRPr="006F6171">
        <w:rPr>
          <w:szCs w:val="24"/>
        </w:rPr>
        <w:t xml:space="preserve">.   </w:t>
      </w:r>
    </w:p>
    <w:p w14:paraId="2A9FEE07" w14:textId="77777777" w:rsidR="00B4045B" w:rsidRPr="006F6171" w:rsidRDefault="00B4045B" w:rsidP="00527B06">
      <w:pPr>
        <w:tabs>
          <w:tab w:val="left" w:pos="-720"/>
        </w:tabs>
        <w:suppressAutoHyphens/>
        <w:jc w:val="both"/>
        <w:rPr>
          <w:szCs w:val="24"/>
        </w:rPr>
      </w:pPr>
    </w:p>
    <w:p w14:paraId="547B3DCF" w14:textId="77777777" w:rsidR="00C16F24" w:rsidRPr="006F6171" w:rsidRDefault="00B4045B" w:rsidP="00A8328C">
      <w:pPr>
        <w:pStyle w:val="ListParagraph"/>
        <w:numPr>
          <w:ilvl w:val="0"/>
          <w:numId w:val="34"/>
        </w:numPr>
        <w:tabs>
          <w:tab w:val="left" w:pos="-720"/>
        </w:tabs>
        <w:suppressAutoHyphens/>
        <w:ind w:left="0" w:firstLine="0"/>
        <w:jc w:val="both"/>
        <w:rPr>
          <w:szCs w:val="24"/>
        </w:rPr>
      </w:pPr>
      <w:r w:rsidRPr="006F6171">
        <w:rPr>
          <w:szCs w:val="24"/>
        </w:rPr>
        <w:t>A narrative description of the Project and any Related Development, including, the location, type of housing, total number of units by bedroom size, breakdown of required and/or pledged accessible units by type and location, total number of income-restricted units by bedroom size, proposed affordability, any existing affordability restrictions, any existing or proposed use restrictions, common areas and amenities at the Project, any community service facilities, any commercial space and other unique features of the Project.</w:t>
      </w:r>
    </w:p>
    <w:p w14:paraId="16FF220B" w14:textId="77777777" w:rsidR="00B4045B" w:rsidRPr="006F6171" w:rsidRDefault="00B4045B" w:rsidP="00527B06">
      <w:pPr>
        <w:pStyle w:val="ListParagraph"/>
        <w:tabs>
          <w:tab w:val="left" w:pos="-720"/>
        </w:tabs>
        <w:suppressAutoHyphens/>
        <w:ind w:left="0"/>
        <w:jc w:val="both"/>
        <w:rPr>
          <w:szCs w:val="24"/>
        </w:rPr>
      </w:pPr>
    </w:p>
    <w:p w14:paraId="54C9AC6D" w14:textId="69E2B0AA" w:rsidR="00C16F24" w:rsidRPr="006F6171" w:rsidRDefault="00B4045B" w:rsidP="00A8328C">
      <w:pPr>
        <w:pStyle w:val="ListParagraph"/>
        <w:numPr>
          <w:ilvl w:val="0"/>
          <w:numId w:val="34"/>
        </w:numPr>
        <w:tabs>
          <w:tab w:val="left" w:pos="-720"/>
        </w:tabs>
        <w:suppressAutoHyphens/>
        <w:ind w:left="0" w:firstLine="0"/>
        <w:jc w:val="both"/>
        <w:rPr>
          <w:szCs w:val="24"/>
        </w:rPr>
      </w:pPr>
      <w:r w:rsidRPr="006F6171">
        <w:rPr>
          <w:szCs w:val="24"/>
        </w:rPr>
        <w:t>Conceptual, Diagrammatic Site Plan and Conceptual Floor Plans and Conceptual Building Elevations in accordance with the requirements set forth in MaineHousing’s</w:t>
      </w:r>
      <w:r w:rsidR="00725273" w:rsidRPr="006F6171">
        <w:rPr>
          <w:szCs w:val="24"/>
        </w:rPr>
        <w:t xml:space="preserve"> </w:t>
      </w:r>
      <w:r w:rsidR="00725273" w:rsidRPr="006F6171">
        <w:rPr>
          <w:i/>
          <w:szCs w:val="24"/>
        </w:rPr>
        <w:t>Quality Standards and Procedures Manual</w:t>
      </w:r>
      <w:r w:rsidR="00725273" w:rsidRPr="006F6171">
        <w:rPr>
          <w:szCs w:val="24"/>
        </w:rPr>
        <w:t xml:space="preserve"> which can be found at </w:t>
      </w:r>
      <w:hyperlink r:id="rId81" w:history="1">
        <w:r w:rsidR="00725273" w:rsidRPr="006F6171">
          <w:rPr>
            <w:rStyle w:val="Hyperlink"/>
            <w:szCs w:val="24"/>
          </w:rPr>
          <w:t>https://www.mainehousing.org/programs-services/housing-development/construction-services</w:t>
        </w:r>
      </w:hyperlink>
      <w:r w:rsidR="00725273" w:rsidRPr="006F6171">
        <w:rPr>
          <w:szCs w:val="24"/>
        </w:rPr>
        <w:t xml:space="preserve">. </w:t>
      </w:r>
      <w:r w:rsidRPr="006F6171">
        <w:rPr>
          <w:szCs w:val="24"/>
        </w:rPr>
        <w:t xml:space="preserve"> </w:t>
      </w:r>
    </w:p>
    <w:p w14:paraId="57E8C6C9" w14:textId="77777777" w:rsidR="00B4045B" w:rsidRPr="006F6171" w:rsidRDefault="00B4045B" w:rsidP="00527B06">
      <w:pPr>
        <w:pStyle w:val="ListParagraph"/>
        <w:tabs>
          <w:tab w:val="left" w:pos="-720"/>
        </w:tabs>
        <w:suppressAutoHyphens/>
        <w:ind w:left="0"/>
        <w:jc w:val="both"/>
        <w:rPr>
          <w:szCs w:val="24"/>
        </w:rPr>
      </w:pPr>
    </w:p>
    <w:p w14:paraId="181EEA28" w14:textId="77777777" w:rsidR="00C16F24" w:rsidRPr="006F6171" w:rsidRDefault="00B4045B" w:rsidP="00A8328C">
      <w:pPr>
        <w:pStyle w:val="ListParagraph"/>
        <w:numPr>
          <w:ilvl w:val="0"/>
          <w:numId w:val="34"/>
        </w:numPr>
        <w:tabs>
          <w:tab w:val="left" w:pos="-720"/>
        </w:tabs>
        <w:suppressAutoHyphens/>
        <w:ind w:left="0" w:firstLine="0"/>
        <w:jc w:val="both"/>
        <w:rPr>
          <w:szCs w:val="24"/>
        </w:rPr>
      </w:pPr>
      <w:r w:rsidRPr="006F6171">
        <w:rPr>
          <w:szCs w:val="24"/>
        </w:rPr>
        <w:t>The status of applicable federal, State and local land use approvals for the Project and any Related Development, and any site, subdivision and other plans for the Project and any Related Development that have been prepared for submission or have been submitted to applicable municipal, state and federal governmental entities.</w:t>
      </w:r>
    </w:p>
    <w:p w14:paraId="7509D1E7" w14:textId="77777777" w:rsidR="00B4045B" w:rsidRPr="006F6171" w:rsidRDefault="00B4045B" w:rsidP="00527B06">
      <w:pPr>
        <w:pStyle w:val="ListParagraph"/>
        <w:tabs>
          <w:tab w:val="left" w:pos="-720"/>
        </w:tabs>
        <w:suppressAutoHyphens/>
        <w:ind w:left="0"/>
        <w:jc w:val="both"/>
        <w:rPr>
          <w:szCs w:val="24"/>
        </w:rPr>
      </w:pPr>
    </w:p>
    <w:p w14:paraId="14C66ECD" w14:textId="77777777" w:rsidR="00B4045B" w:rsidRPr="006F6171" w:rsidRDefault="00B4045B" w:rsidP="00A8328C">
      <w:pPr>
        <w:pStyle w:val="ListParagraph"/>
        <w:numPr>
          <w:ilvl w:val="0"/>
          <w:numId w:val="34"/>
        </w:numPr>
        <w:tabs>
          <w:tab w:val="left" w:pos="-720"/>
        </w:tabs>
        <w:suppressAutoHyphens/>
        <w:ind w:left="0" w:firstLine="0"/>
        <w:jc w:val="both"/>
        <w:rPr>
          <w:szCs w:val="24"/>
        </w:rPr>
      </w:pPr>
      <w:r w:rsidRPr="006F6171">
        <w:rPr>
          <w:szCs w:val="24"/>
        </w:rPr>
        <w:t xml:space="preserve">Details about the parking for the Project, including the number, type and location of all on-site parking and off-site parking and the terms and conditions thereof. </w:t>
      </w:r>
    </w:p>
    <w:p w14:paraId="1B9566E5" w14:textId="77777777" w:rsidR="00991788" w:rsidRPr="006F6171" w:rsidRDefault="00991788" w:rsidP="00991788">
      <w:pPr>
        <w:pStyle w:val="ListParagraph"/>
        <w:rPr>
          <w:szCs w:val="24"/>
        </w:rPr>
      </w:pPr>
    </w:p>
    <w:p w14:paraId="4D99306A" w14:textId="77897A87" w:rsidR="00C16F24" w:rsidRPr="006F6171" w:rsidRDefault="00B4045B" w:rsidP="00A8328C">
      <w:pPr>
        <w:pStyle w:val="ListParagraph"/>
        <w:numPr>
          <w:ilvl w:val="0"/>
          <w:numId w:val="34"/>
        </w:numPr>
        <w:tabs>
          <w:tab w:val="left" w:pos="-720"/>
        </w:tabs>
        <w:suppressAutoHyphens/>
        <w:ind w:left="0" w:firstLine="0"/>
        <w:jc w:val="both"/>
        <w:rPr>
          <w:szCs w:val="24"/>
        </w:rPr>
      </w:pPr>
      <w:r w:rsidRPr="006F6171">
        <w:rPr>
          <w:szCs w:val="24"/>
        </w:rPr>
        <w:t>An explanation and all supporting documentation for any exceptions from the requirement to provide a community room, laundry facilities, telemedicine facilities or area activitie</w:t>
      </w:r>
      <w:r w:rsidR="00B718F3" w:rsidRPr="006F6171">
        <w:rPr>
          <w:szCs w:val="24"/>
        </w:rPr>
        <w:t>s in accordance with Section 5.</w:t>
      </w:r>
      <w:r w:rsidR="00A32E1F" w:rsidRPr="006F6171">
        <w:rPr>
          <w:szCs w:val="24"/>
        </w:rPr>
        <w:t>I</w:t>
      </w:r>
      <w:r w:rsidRPr="006F6171">
        <w:rPr>
          <w:szCs w:val="24"/>
        </w:rPr>
        <w:t xml:space="preserve"> of the QAP.   </w:t>
      </w:r>
    </w:p>
    <w:p w14:paraId="08E32874" w14:textId="77777777" w:rsidR="00B4045B" w:rsidRPr="006F6171" w:rsidRDefault="00B4045B" w:rsidP="00527B06">
      <w:pPr>
        <w:pStyle w:val="ListParagraph"/>
        <w:tabs>
          <w:tab w:val="left" w:pos="-720"/>
        </w:tabs>
        <w:suppressAutoHyphens/>
        <w:ind w:left="0"/>
        <w:jc w:val="both"/>
        <w:rPr>
          <w:szCs w:val="24"/>
        </w:rPr>
      </w:pPr>
    </w:p>
    <w:p w14:paraId="0D93AABB" w14:textId="753DE39B" w:rsidR="00B4045B" w:rsidRPr="006F6171" w:rsidRDefault="00B4045B" w:rsidP="00A8328C">
      <w:pPr>
        <w:pStyle w:val="ListParagraph"/>
        <w:numPr>
          <w:ilvl w:val="0"/>
          <w:numId w:val="34"/>
        </w:numPr>
        <w:tabs>
          <w:tab w:val="left" w:pos="-720"/>
        </w:tabs>
        <w:suppressAutoHyphens/>
        <w:ind w:left="0" w:firstLine="0"/>
        <w:jc w:val="both"/>
        <w:rPr>
          <w:szCs w:val="24"/>
        </w:rPr>
      </w:pPr>
      <w:r w:rsidRPr="006F6171">
        <w:rPr>
          <w:szCs w:val="24"/>
        </w:rPr>
        <w:t>All available information about any known or suspected environmental conditions on the Project site and any Related Development or adjacent sites that may impact the Project site or any Related Development, including any environmental reports</w:t>
      </w:r>
      <w:r w:rsidR="00C934BC" w:rsidRPr="006F6171">
        <w:rPr>
          <w:szCs w:val="24"/>
        </w:rPr>
        <w:t xml:space="preserve"> and </w:t>
      </w:r>
      <w:r w:rsidR="00C934BC" w:rsidRPr="006F6171">
        <w:t>all available radon test results for the Project site</w:t>
      </w:r>
      <w:r w:rsidRPr="006F6171">
        <w:rPr>
          <w:szCs w:val="24"/>
        </w:rPr>
        <w:t xml:space="preserve">. To the extent feasible, identify any and all visible (both on and off-site) fuel oil and propane tanks and include them on the </w:t>
      </w:r>
      <w:r w:rsidR="000E4E2C" w:rsidRPr="006F6171">
        <w:rPr>
          <w:szCs w:val="24"/>
        </w:rPr>
        <w:t>s</w:t>
      </w:r>
      <w:r w:rsidRPr="006F6171">
        <w:rPr>
          <w:szCs w:val="24"/>
        </w:rPr>
        <w:t xml:space="preserve">ite </w:t>
      </w:r>
      <w:r w:rsidR="000E4E2C" w:rsidRPr="006F6171">
        <w:rPr>
          <w:szCs w:val="24"/>
        </w:rPr>
        <w:t>p</w:t>
      </w:r>
      <w:r w:rsidRPr="006F6171">
        <w:rPr>
          <w:szCs w:val="24"/>
        </w:rPr>
        <w:t>lan</w:t>
      </w:r>
    </w:p>
    <w:p w14:paraId="625198C8" w14:textId="1AEBDC28" w:rsidR="00C9404C" w:rsidRPr="006F6171" w:rsidRDefault="00C9404C" w:rsidP="00C9404C">
      <w:pPr>
        <w:pStyle w:val="ListParagraph"/>
        <w:tabs>
          <w:tab w:val="left" w:pos="-720"/>
        </w:tabs>
        <w:suppressAutoHyphens/>
        <w:ind w:left="0"/>
        <w:jc w:val="both"/>
        <w:rPr>
          <w:szCs w:val="24"/>
        </w:rPr>
      </w:pPr>
    </w:p>
    <w:p w14:paraId="7509916F" w14:textId="04B0C624" w:rsidR="00C16F24" w:rsidRPr="006F6171" w:rsidRDefault="00B4045B" w:rsidP="00A8328C">
      <w:pPr>
        <w:pStyle w:val="ListParagraph"/>
        <w:numPr>
          <w:ilvl w:val="0"/>
          <w:numId w:val="34"/>
        </w:numPr>
        <w:tabs>
          <w:tab w:val="left" w:pos="-720"/>
        </w:tabs>
        <w:suppressAutoHyphens/>
        <w:ind w:left="0" w:firstLine="0"/>
        <w:jc w:val="both"/>
        <w:rPr>
          <w:szCs w:val="24"/>
        </w:rPr>
      </w:pPr>
      <w:r w:rsidRPr="006F6171">
        <w:rPr>
          <w:szCs w:val="24"/>
        </w:rPr>
        <w:t>A capital needs assessment for any existing housing that meets</w:t>
      </w:r>
      <w:r w:rsidR="00C93325" w:rsidRPr="006F6171">
        <w:rPr>
          <w:szCs w:val="24"/>
        </w:rPr>
        <w:t xml:space="preserve"> the requirements in Section 5.C</w:t>
      </w:r>
      <w:r w:rsidRPr="006F6171">
        <w:rPr>
          <w:szCs w:val="24"/>
        </w:rPr>
        <w:t xml:space="preserve">. and Appendix C. </w:t>
      </w:r>
    </w:p>
    <w:p w14:paraId="0B1D56CC" w14:textId="77777777" w:rsidR="00B4045B" w:rsidRPr="006F6171" w:rsidRDefault="00B4045B" w:rsidP="00527B06">
      <w:pPr>
        <w:pStyle w:val="ListParagraph"/>
        <w:tabs>
          <w:tab w:val="left" w:pos="-720"/>
        </w:tabs>
        <w:suppressAutoHyphens/>
        <w:ind w:left="0"/>
        <w:jc w:val="both"/>
        <w:rPr>
          <w:szCs w:val="24"/>
        </w:rPr>
      </w:pPr>
    </w:p>
    <w:p w14:paraId="7F97932B" w14:textId="77777777" w:rsidR="00B4045B" w:rsidRPr="006F6171" w:rsidRDefault="00B4045B" w:rsidP="00A8328C">
      <w:pPr>
        <w:pStyle w:val="ListParagraph"/>
        <w:numPr>
          <w:ilvl w:val="0"/>
          <w:numId w:val="34"/>
        </w:numPr>
        <w:tabs>
          <w:tab w:val="left" w:pos="-720"/>
        </w:tabs>
        <w:suppressAutoHyphens/>
        <w:ind w:left="0" w:firstLine="0"/>
        <w:jc w:val="both"/>
        <w:rPr>
          <w:szCs w:val="24"/>
        </w:rPr>
      </w:pPr>
      <w:r w:rsidRPr="006F6171">
        <w:rPr>
          <w:szCs w:val="24"/>
        </w:rPr>
        <w:t>A conceptual construction estimate(s) prepared by a qualified general contractor or third-party estimator for the Project and any Related Development, including trade breakdowns in the form of a schedule of values and a reasonable estimating contingency, if applicable, with sufficient detail to demonstrate expected construction-related costs.  All exclusions and qualifications, if any, must be clearly stated in the estimate. The estimate is to be the basis of the hard cost line items contained in the project underwriting without exception.</w:t>
      </w:r>
    </w:p>
    <w:p w14:paraId="74F5C843" w14:textId="77777777" w:rsidR="00B4045B" w:rsidRPr="006F6171" w:rsidRDefault="00B4045B" w:rsidP="00527B06">
      <w:pPr>
        <w:pStyle w:val="ListParagraph"/>
        <w:tabs>
          <w:tab w:val="left" w:pos="-720"/>
        </w:tabs>
        <w:suppressAutoHyphens/>
        <w:ind w:left="0"/>
        <w:jc w:val="both"/>
        <w:rPr>
          <w:szCs w:val="24"/>
        </w:rPr>
      </w:pPr>
    </w:p>
    <w:p w14:paraId="1410A50F" w14:textId="77777777" w:rsidR="00B4045B" w:rsidRPr="006F6171" w:rsidRDefault="00B4045B" w:rsidP="00A8328C">
      <w:pPr>
        <w:pStyle w:val="ListParagraph"/>
        <w:numPr>
          <w:ilvl w:val="0"/>
          <w:numId w:val="34"/>
        </w:numPr>
        <w:tabs>
          <w:tab w:val="left" w:pos="-720"/>
        </w:tabs>
        <w:suppressAutoHyphens/>
        <w:ind w:left="720" w:hanging="720"/>
        <w:jc w:val="both"/>
      </w:pPr>
      <w:r w:rsidRPr="006F6171">
        <w:rPr>
          <w:szCs w:val="24"/>
        </w:rPr>
        <w:t xml:space="preserve">A projected development and operating budget(s) for the Project and any Related </w:t>
      </w:r>
    </w:p>
    <w:p w14:paraId="5D98E785" w14:textId="77777777" w:rsidR="00B4045B" w:rsidRPr="006F6171" w:rsidRDefault="00B4045B" w:rsidP="00527B06">
      <w:pPr>
        <w:pStyle w:val="ListParagraph"/>
        <w:tabs>
          <w:tab w:val="left" w:pos="-720"/>
        </w:tabs>
        <w:suppressAutoHyphens/>
        <w:ind w:left="810" w:hanging="810"/>
        <w:jc w:val="both"/>
      </w:pPr>
      <w:r w:rsidRPr="006F6171">
        <w:rPr>
          <w:szCs w:val="24"/>
        </w:rPr>
        <w:t>Development which must be submitted electronically in the format prescribed by MaineHousing.</w:t>
      </w:r>
      <w:bookmarkEnd w:id="17"/>
    </w:p>
    <w:p w14:paraId="4DF6C690" w14:textId="77777777" w:rsidR="00726985" w:rsidRPr="006F6171" w:rsidRDefault="00726985">
      <w:pPr>
        <w:rPr>
          <w:color w:val="000000" w:themeColor="text1"/>
          <w:szCs w:val="22"/>
          <w14:props3d w14:extrusionH="0" w14:contourW="0" w14:prstMaterial="matte"/>
        </w:rPr>
      </w:pPr>
      <w:r w:rsidRPr="006F6171">
        <w:br w:type="page"/>
      </w:r>
    </w:p>
    <w:p w14:paraId="0F2C55B6" w14:textId="77777777" w:rsidR="00B4045B" w:rsidRPr="006F6171" w:rsidRDefault="00B4045B" w:rsidP="00B34323">
      <w:pPr>
        <w:pStyle w:val="NoSpacing"/>
        <w:sectPr w:rsidR="00B4045B" w:rsidRPr="006F6171" w:rsidSect="000D736B">
          <w:headerReference w:type="even" r:id="rId82"/>
          <w:headerReference w:type="default" r:id="rId83"/>
          <w:footerReference w:type="even" r:id="rId84"/>
          <w:footerReference w:type="default" r:id="rId85"/>
          <w:headerReference w:type="first" r:id="rId86"/>
          <w:footerReference w:type="first" r:id="rId87"/>
          <w:pgSz w:w="12240" w:h="15840"/>
          <w:pgMar w:top="1296" w:right="1440" w:bottom="288" w:left="1440" w:header="720" w:footer="720" w:gutter="0"/>
          <w:cols w:space="720"/>
          <w:docGrid w:linePitch="360"/>
        </w:sectPr>
      </w:pPr>
    </w:p>
    <w:p w14:paraId="32E0E0F7" w14:textId="77777777" w:rsidR="00B4045B" w:rsidRPr="006F6171" w:rsidRDefault="00B4045B" w:rsidP="009766B4">
      <w:pPr>
        <w:tabs>
          <w:tab w:val="left" w:pos="-720"/>
        </w:tabs>
        <w:suppressAutoHyphens/>
        <w:jc w:val="center"/>
        <w:rPr>
          <w:b/>
          <w:szCs w:val="24"/>
        </w:rPr>
      </w:pPr>
      <w:r w:rsidRPr="006F6171">
        <w:rPr>
          <w:b/>
          <w:szCs w:val="24"/>
        </w:rPr>
        <w:lastRenderedPageBreak/>
        <w:t>APPENDIX C</w:t>
      </w:r>
    </w:p>
    <w:p w14:paraId="78231FE5" w14:textId="77777777" w:rsidR="00B4045B" w:rsidRPr="006F6171" w:rsidRDefault="00B4045B" w:rsidP="00C16F24">
      <w:pPr>
        <w:tabs>
          <w:tab w:val="left" w:pos="-720"/>
        </w:tabs>
        <w:suppressAutoHyphens/>
        <w:jc w:val="center"/>
        <w:rPr>
          <w:szCs w:val="24"/>
        </w:rPr>
      </w:pPr>
      <w:r w:rsidRPr="006F6171">
        <w:rPr>
          <w:b/>
          <w:szCs w:val="24"/>
        </w:rPr>
        <w:t>Capital Needs Assessment Requirements</w:t>
      </w:r>
      <w:r w:rsidRPr="006F6171">
        <w:rPr>
          <w:b/>
          <w:szCs w:val="24"/>
        </w:rPr>
        <w:br/>
      </w:r>
    </w:p>
    <w:p w14:paraId="768B8EEC" w14:textId="77777777" w:rsidR="00B4045B" w:rsidRPr="006F6171" w:rsidRDefault="00B4045B" w:rsidP="00527B06">
      <w:pPr>
        <w:pStyle w:val="BodyTextIndent2"/>
        <w:tabs>
          <w:tab w:val="left" w:pos="-720"/>
        </w:tabs>
        <w:suppressAutoHyphens/>
        <w:spacing w:after="0" w:line="240" w:lineRule="auto"/>
        <w:ind w:left="0"/>
        <w:jc w:val="both"/>
        <w:rPr>
          <w:szCs w:val="24"/>
        </w:rPr>
      </w:pPr>
      <w:r w:rsidRPr="006F6171">
        <w:rPr>
          <w:szCs w:val="24"/>
        </w:rPr>
        <w:t>1.</w:t>
      </w:r>
      <w:r w:rsidRPr="006F6171">
        <w:rPr>
          <w:szCs w:val="24"/>
        </w:rPr>
        <w:tab/>
        <w:t>The assessment must include a site visit, an interview with the on-site property manager and maintenance personnel concerning prior and pending repairs and improvements and existing or chronic physical deficiencies, and a physical inspection of the interior and exterior of at least 20% of the units and all other structures, facilities, systems and components that will be part of the Project, including the following</w:t>
      </w:r>
      <w:r w:rsidR="00545C91" w:rsidRPr="006F6171">
        <w:rPr>
          <w:szCs w:val="24"/>
        </w:rPr>
        <w:t>:</w:t>
      </w:r>
      <w:r w:rsidRPr="006F6171">
        <w:rPr>
          <w:szCs w:val="24"/>
        </w:rPr>
        <w:t xml:space="preserve">  </w:t>
      </w:r>
    </w:p>
    <w:p w14:paraId="62F6E1F4" w14:textId="77777777" w:rsidR="00B4045B" w:rsidRPr="006F6171" w:rsidRDefault="00B4045B" w:rsidP="00527B06">
      <w:pPr>
        <w:pStyle w:val="BodyTextIndent2"/>
        <w:tabs>
          <w:tab w:val="left" w:pos="-720"/>
        </w:tabs>
        <w:suppressAutoHyphens/>
        <w:spacing w:after="0" w:line="240" w:lineRule="auto"/>
        <w:ind w:left="0"/>
        <w:jc w:val="both"/>
        <w:rPr>
          <w:szCs w:val="24"/>
        </w:rPr>
      </w:pPr>
    </w:p>
    <w:p w14:paraId="34472EF9" w14:textId="77777777" w:rsidR="009766B4" w:rsidRPr="006F6171" w:rsidRDefault="00B4045B" w:rsidP="00BE5856">
      <w:pPr>
        <w:pStyle w:val="NoSpacing"/>
        <w:numPr>
          <w:ilvl w:val="0"/>
          <w:numId w:val="35"/>
        </w:numPr>
        <w:rPr>
          <w:b/>
        </w:rPr>
      </w:pPr>
      <w:r w:rsidRPr="006F6171">
        <w:t>Site, including without limitation topography, drainage, pavement, curbing, walkways, sidewalks, parking, accessible parking, accessible routes, landscaping, amenities, water, sewer, storm drainage, and all utility lines;</w:t>
      </w:r>
    </w:p>
    <w:p w14:paraId="29E1DE6D" w14:textId="77777777" w:rsidR="00B4045B" w:rsidRPr="006F6171" w:rsidRDefault="00B4045B" w:rsidP="00B34323">
      <w:pPr>
        <w:pStyle w:val="NoSpacing"/>
      </w:pPr>
    </w:p>
    <w:p w14:paraId="591EB883" w14:textId="77777777" w:rsidR="009766B4" w:rsidRPr="006F6171" w:rsidRDefault="00B4045B" w:rsidP="00BE5856">
      <w:pPr>
        <w:pStyle w:val="NoSpacing"/>
        <w:numPr>
          <w:ilvl w:val="0"/>
          <w:numId w:val="35"/>
        </w:numPr>
        <w:rPr>
          <w:b/>
        </w:rPr>
      </w:pPr>
      <w:r w:rsidRPr="006F6171">
        <w:t>Structural systems and components, both substructure and superstructure, including without limitation foundations, exterior walls, balconies, porches, and stairways, exterior doors and windows, chimneys and roofing;</w:t>
      </w:r>
    </w:p>
    <w:p w14:paraId="0A996D48" w14:textId="77777777" w:rsidR="00B4045B" w:rsidRPr="006F6171" w:rsidRDefault="00B4045B" w:rsidP="00B34323">
      <w:pPr>
        <w:pStyle w:val="NoSpacing"/>
      </w:pPr>
    </w:p>
    <w:p w14:paraId="3B022804" w14:textId="77777777" w:rsidR="009766B4" w:rsidRPr="006F6171" w:rsidRDefault="00B4045B" w:rsidP="00BE5856">
      <w:pPr>
        <w:pStyle w:val="NoSpacing"/>
        <w:numPr>
          <w:ilvl w:val="0"/>
          <w:numId w:val="35"/>
        </w:numPr>
        <w:rPr>
          <w:b/>
        </w:rPr>
      </w:pPr>
      <w:r w:rsidRPr="006F6171">
        <w:t>Interiors, including without limitation unit and common area finishes and substrata (e.g. flooring, underlayment, carpeting, plaster or drywall, wall coverings and paint condition), and unit and common area kitchen finishes, cabinets, countertops and appliances, and unit and common area bathroom finishes, fixtures and accessories, laundry facilities, and common area lobbies and corridors; and</w:t>
      </w:r>
    </w:p>
    <w:p w14:paraId="5CC5F885" w14:textId="77777777" w:rsidR="00B4045B" w:rsidRPr="006F6171" w:rsidRDefault="00B4045B" w:rsidP="00B34323">
      <w:pPr>
        <w:pStyle w:val="NoSpacing"/>
      </w:pPr>
    </w:p>
    <w:p w14:paraId="31DBE2B4" w14:textId="77777777" w:rsidR="00B4045B" w:rsidRPr="006F6171" w:rsidRDefault="00B4045B" w:rsidP="00BE5856">
      <w:pPr>
        <w:pStyle w:val="NoSpacing"/>
        <w:numPr>
          <w:ilvl w:val="0"/>
          <w:numId w:val="35"/>
        </w:numPr>
        <w:rPr>
          <w:b/>
        </w:rPr>
      </w:pPr>
      <w:r w:rsidRPr="006F6171">
        <w:t>Building systems, including without limitation plumbing supplies and drainage, domestic hot water production, heating, ventilating and air-conditioning production and distributions systems, fuel storage and delivery systems, electrical power distribution and metering systems, lighting controls and fixtures, smoke, fire and any other alarm systems, fire protection systems, security systems, and elevators.</w:t>
      </w:r>
    </w:p>
    <w:p w14:paraId="5B94EBCE" w14:textId="77777777" w:rsidR="00B4045B" w:rsidRPr="006F6171" w:rsidRDefault="00B4045B" w:rsidP="00B34323">
      <w:pPr>
        <w:pStyle w:val="NoSpacing"/>
      </w:pPr>
    </w:p>
    <w:p w14:paraId="7B27248F" w14:textId="77777777" w:rsidR="00B4045B" w:rsidRPr="006F6171" w:rsidRDefault="00B4045B" w:rsidP="00B34323">
      <w:pPr>
        <w:pStyle w:val="NoSpacing"/>
        <w:rPr>
          <w:b/>
        </w:rPr>
      </w:pPr>
      <w:r w:rsidRPr="006F6171">
        <w:t xml:space="preserve">The capital needs assessment must specifically identify all structures, systems, facilities, units and components that were inspected and must include a concise overview of the physical and operational condition of the existing housing and a detailed assessment of the expected useful life and the remaining useful life of each structure, system, facility, unit and component inspected.  The assessment must also consider the presence of environmental and other hazards, including without limitation, asbestos, lead paint, mold, water damage and insect infestations.  </w:t>
      </w:r>
    </w:p>
    <w:p w14:paraId="27B28347" w14:textId="77777777" w:rsidR="00B4045B" w:rsidRPr="006F6171" w:rsidRDefault="00B4045B" w:rsidP="00B34323">
      <w:pPr>
        <w:pStyle w:val="NoSpacing"/>
      </w:pPr>
    </w:p>
    <w:p w14:paraId="0663020E" w14:textId="77777777" w:rsidR="00B4045B" w:rsidRPr="006F6171" w:rsidRDefault="00B4045B" w:rsidP="00B34323">
      <w:pPr>
        <w:pStyle w:val="NoSpacing"/>
        <w:rPr>
          <w:b/>
        </w:rPr>
      </w:pPr>
      <w:r w:rsidRPr="006F6171">
        <w:t>2.</w:t>
      </w:r>
      <w:r w:rsidRPr="006F6171">
        <w:tab/>
        <w:t>The capital needs assessment must include a recommended scope of work and a cost estimate to complete the scope of work that addresses the following capital needs of the Project, without consideration of financial feasibility:</w:t>
      </w:r>
    </w:p>
    <w:p w14:paraId="1F527C99" w14:textId="77777777" w:rsidR="00B4045B" w:rsidRPr="006F6171" w:rsidRDefault="00B4045B" w:rsidP="00B34323">
      <w:pPr>
        <w:pStyle w:val="NoSpacing"/>
      </w:pPr>
    </w:p>
    <w:p w14:paraId="3A82C52F" w14:textId="77777777" w:rsidR="009766B4" w:rsidRPr="006F6171" w:rsidRDefault="00B4045B" w:rsidP="00BE5856">
      <w:pPr>
        <w:pStyle w:val="NoSpacing"/>
        <w:numPr>
          <w:ilvl w:val="0"/>
          <w:numId w:val="36"/>
        </w:numPr>
        <w:rPr>
          <w:b/>
        </w:rPr>
      </w:pPr>
      <w:r w:rsidRPr="006F6171">
        <w:t>Correction of all violations of applicable federal, state and local building, health and life safety codes and correction of all deferred maintenance;</w:t>
      </w:r>
    </w:p>
    <w:p w14:paraId="45D3807A" w14:textId="77777777" w:rsidR="00B4045B" w:rsidRPr="006F6171" w:rsidRDefault="00B4045B" w:rsidP="00B34323">
      <w:pPr>
        <w:pStyle w:val="NoSpacing"/>
      </w:pPr>
    </w:p>
    <w:p w14:paraId="5DF4B171" w14:textId="77777777" w:rsidR="009766B4" w:rsidRPr="006F6171" w:rsidRDefault="00B4045B" w:rsidP="00BE5856">
      <w:pPr>
        <w:pStyle w:val="NoSpacing"/>
        <w:numPr>
          <w:ilvl w:val="0"/>
          <w:numId w:val="36"/>
        </w:numPr>
        <w:rPr>
          <w:b/>
        </w:rPr>
      </w:pPr>
      <w:r w:rsidRPr="006F6171">
        <w:t xml:space="preserve">Rehabilitation or replacement of all structures, systems, facilities, units and components that have reached or exceeded their useful lives or will reach their useful lives within 5 years;  </w:t>
      </w:r>
    </w:p>
    <w:p w14:paraId="0F483630" w14:textId="77777777" w:rsidR="00B4045B" w:rsidRPr="006F6171" w:rsidRDefault="00B4045B" w:rsidP="00B34323">
      <w:pPr>
        <w:pStyle w:val="NoSpacing"/>
      </w:pPr>
    </w:p>
    <w:p w14:paraId="605385C2" w14:textId="77777777" w:rsidR="00B4045B" w:rsidRPr="006F6171" w:rsidRDefault="00B4045B" w:rsidP="00BE5856">
      <w:pPr>
        <w:pStyle w:val="NoSpacing"/>
        <w:numPr>
          <w:ilvl w:val="0"/>
          <w:numId w:val="36"/>
        </w:numPr>
        <w:rPr>
          <w:b/>
        </w:rPr>
      </w:pPr>
      <w:r w:rsidRPr="006F6171">
        <w:t>Rehabilitation of all units and common areas and facilities to bring them into compliance with MaineHousing’s Construction Standards to the maximum extent feasible;</w:t>
      </w:r>
      <w:r w:rsidRPr="006F6171">
        <w:br/>
      </w:r>
    </w:p>
    <w:p w14:paraId="7F3F57C3" w14:textId="77777777" w:rsidR="009766B4" w:rsidRPr="006F6171" w:rsidRDefault="00B4045B" w:rsidP="00BE5856">
      <w:pPr>
        <w:pStyle w:val="NoSpacing"/>
        <w:numPr>
          <w:ilvl w:val="0"/>
          <w:numId w:val="36"/>
        </w:numPr>
        <w:rPr>
          <w:b/>
        </w:rPr>
      </w:pPr>
      <w:r w:rsidRPr="006F6171">
        <w:t xml:space="preserve">Rehabilitation of the minimum number of units and all common areas and facilities that are necessary to comply with the most current requirements for new construction projects under applicable federal, state and local accessibility laws, regulations, standards and guidance (which include without limitation, </w:t>
      </w:r>
      <w:hyperlink r:id="rId88" w:history="1">
        <w:r w:rsidRPr="006F6171">
          <w:rPr>
            <w:rStyle w:val="Hyperlink"/>
            <w:szCs w:val="24"/>
          </w:rPr>
          <w:t>Section 504 of the Rehabilitation Act of 1973</w:t>
        </w:r>
      </w:hyperlink>
      <w:r w:rsidRPr="006F6171">
        <w:t xml:space="preserve">, HUD's housing regulations at </w:t>
      </w:r>
      <w:hyperlink r:id="rId89" w:history="1">
        <w:r w:rsidRPr="006F6171">
          <w:rPr>
            <w:rStyle w:val="Hyperlink"/>
            <w:szCs w:val="24"/>
          </w:rPr>
          <w:t>24 C.F.R. Part 8</w:t>
        </w:r>
      </w:hyperlink>
      <w:r w:rsidRPr="006F6171">
        <w:t xml:space="preserve"> and any accessibility standard designated by HUD; Title II and Title III of the Americans with Disabilities Act of 1990 and the 2010 Standards of Accessible Design; and if the Project involves substantial rehabilitation, the Maine Human Rights Act, the Maine Human Rights Commission’s Chapter 8, Housing Regulations, and ANSI Standard A117.1-2009); and </w:t>
      </w:r>
    </w:p>
    <w:p w14:paraId="3C16D072" w14:textId="77777777" w:rsidR="00B4045B" w:rsidRPr="006F6171" w:rsidRDefault="00B4045B" w:rsidP="00B34323">
      <w:pPr>
        <w:pStyle w:val="NoSpacing"/>
      </w:pPr>
    </w:p>
    <w:p w14:paraId="524781F3" w14:textId="77777777" w:rsidR="00B4045B" w:rsidRPr="006F6171" w:rsidRDefault="00B4045B" w:rsidP="00BE5856">
      <w:pPr>
        <w:pStyle w:val="NoSpacing"/>
        <w:numPr>
          <w:ilvl w:val="0"/>
          <w:numId w:val="36"/>
        </w:numPr>
        <w:rPr>
          <w:b/>
        </w:rPr>
      </w:pPr>
      <w:r w:rsidRPr="006F6171">
        <w:t>Remediation and disposal of any environmental or other hazards identified in the assessment.</w:t>
      </w:r>
      <w:r w:rsidRPr="006F6171">
        <w:br/>
      </w:r>
    </w:p>
    <w:p w14:paraId="1C512DA2" w14:textId="77777777" w:rsidR="00B4045B" w:rsidRPr="006F6171" w:rsidRDefault="00B4045B" w:rsidP="00B34323">
      <w:pPr>
        <w:pStyle w:val="NoSpacing"/>
        <w:rPr>
          <w:b/>
        </w:rPr>
      </w:pPr>
      <w:r w:rsidRPr="006F6171">
        <w:t>3.</w:t>
      </w:r>
      <w:r w:rsidRPr="006F6171">
        <w:tab/>
        <w:t>The capital needs assessment must also identify any structures, systems, facilities, units and components with a remaining useful life of less than 30 years.  The Application must include a plan for future rehabilitation or replacement of any identified structure, system, facility, unit and component with a useful life of less than 30 years that is not included in the scope of work for the Project, including possible funding sources, which will be considered in establishing the appropriate funding amounts for the Project’s reserve accounts.</w:t>
      </w:r>
    </w:p>
    <w:p w14:paraId="715057F8" w14:textId="77777777" w:rsidR="00B4045B" w:rsidRPr="006F6171" w:rsidRDefault="00B4045B" w:rsidP="00527B06">
      <w:pPr>
        <w:tabs>
          <w:tab w:val="left" w:pos="-720"/>
        </w:tabs>
        <w:suppressAutoHyphens/>
        <w:jc w:val="both"/>
        <w:rPr>
          <w:szCs w:val="24"/>
        </w:rPr>
      </w:pPr>
    </w:p>
    <w:p w14:paraId="324BC72C" w14:textId="77777777" w:rsidR="00726985" w:rsidRPr="006F6171" w:rsidRDefault="00726985">
      <w:pPr>
        <w:sectPr w:rsidR="00726985" w:rsidRPr="006F6171">
          <w:footerReference w:type="default" r:id="rId90"/>
          <w:endnotePr>
            <w:numFmt w:val="decimal"/>
          </w:endnotePr>
          <w:type w:val="continuous"/>
          <w:pgSz w:w="12240" w:h="15840" w:code="1"/>
          <w:pgMar w:top="432" w:right="720" w:bottom="720" w:left="720" w:header="432" w:footer="360" w:gutter="0"/>
          <w:pgNumType w:start="1"/>
          <w:cols w:space="720"/>
          <w:noEndnote/>
        </w:sectPr>
      </w:pPr>
    </w:p>
    <w:p w14:paraId="2024A30D" w14:textId="77777777" w:rsidR="009336AB" w:rsidRPr="006F6171" w:rsidRDefault="009336AB">
      <w:pPr>
        <w:rPr>
          <w:sz w:val="22"/>
        </w:rPr>
      </w:pPr>
    </w:p>
    <w:p w14:paraId="388FE8D0" w14:textId="77777777" w:rsidR="00C058E7" w:rsidRPr="006F6171" w:rsidRDefault="00C058E7" w:rsidP="00C058E7">
      <w:pPr>
        <w:pStyle w:val="Title"/>
        <w:rPr>
          <w:rFonts w:ascii="Garamond" w:hAnsi="Garamond"/>
        </w:rPr>
      </w:pPr>
      <w:r w:rsidRPr="006F6171">
        <w:rPr>
          <w:rFonts w:ascii="Garamond" w:hAnsi="Garamond"/>
        </w:rPr>
        <w:t>APPENDIX D</w:t>
      </w:r>
    </w:p>
    <w:p w14:paraId="03E34B28" w14:textId="77777777" w:rsidR="00C058E7" w:rsidRPr="006F6171" w:rsidRDefault="00C058E7" w:rsidP="00C058E7">
      <w:pPr>
        <w:pStyle w:val="Title"/>
        <w:rPr>
          <w:rFonts w:ascii="Garamond" w:hAnsi="Garamond"/>
        </w:rPr>
      </w:pPr>
      <w:r w:rsidRPr="006F6171">
        <w:rPr>
          <w:rFonts w:ascii="Garamond" w:hAnsi="Garamond"/>
        </w:rPr>
        <w:t>LOW INCOME HOUSING TAX CREDIT PROGRAM</w:t>
      </w:r>
    </w:p>
    <w:p w14:paraId="41C6FDF8" w14:textId="77777777" w:rsidR="00C058E7" w:rsidRPr="006F6171" w:rsidRDefault="00C058E7" w:rsidP="00C058E7">
      <w:pPr>
        <w:pStyle w:val="Title"/>
        <w:rPr>
          <w:rFonts w:ascii="Garamond" w:hAnsi="Garamond"/>
        </w:rPr>
      </w:pPr>
      <w:r w:rsidRPr="006F6171">
        <w:rPr>
          <w:rFonts w:ascii="Garamond" w:hAnsi="Garamond"/>
        </w:rPr>
        <w:t>OWNER'S CERTIFICATE OF CONTINUING PROGRAM COMPLIANCE</w:t>
      </w:r>
    </w:p>
    <w:p w14:paraId="0A09F507" w14:textId="77777777" w:rsidR="00C058E7" w:rsidRPr="006F6171" w:rsidRDefault="00C058E7" w:rsidP="00C058E7">
      <w:pPr>
        <w:suppressAutoHyphens/>
        <w:rPr>
          <w:sz w:val="22"/>
        </w:rPr>
      </w:pPr>
    </w:p>
    <w:p w14:paraId="3B09D088" w14:textId="77777777" w:rsidR="00C058E7" w:rsidRPr="006F6171"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i/>
        </w:rPr>
      </w:pPr>
      <w:r w:rsidRPr="006F6171">
        <w:t>To:</w:t>
      </w:r>
      <w:r w:rsidRPr="006F6171">
        <w:tab/>
      </w:r>
      <w:r w:rsidRPr="006F6171">
        <w:rPr>
          <w:i/>
        </w:rPr>
        <w:t>MaineHousing</w:t>
      </w:r>
    </w:p>
    <w:p w14:paraId="0291B3B9" w14:textId="77777777" w:rsidR="00C058E7" w:rsidRPr="006F6171"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i/>
        </w:rPr>
      </w:pPr>
      <w:r w:rsidRPr="006F6171">
        <w:rPr>
          <w:i/>
        </w:rPr>
        <w:tab/>
      </w:r>
      <w:r w:rsidR="006E1228" w:rsidRPr="006F6171">
        <w:rPr>
          <w:i/>
        </w:rPr>
        <w:t>26 Edison Drive</w:t>
      </w:r>
    </w:p>
    <w:p w14:paraId="2AA86A2B" w14:textId="77777777" w:rsidR="00C058E7" w:rsidRPr="006F6171"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rPr>
          <w:i/>
        </w:rPr>
        <w:tab/>
        <w:t>Augusta, ME  04330</w:t>
      </w:r>
    </w:p>
    <w:p w14:paraId="19FDC2AD" w14:textId="77777777" w:rsidR="00C058E7" w:rsidRPr="006F6171"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3006"/>
        <w:gridCol w:w="1242"/>
        <w:gridCol w:w="261"/>
        <w:gridCol w:w="261"/>
        <w:gridCol w:w="1242"/>
        <w:gridCol w:w="36"/>
        <w:gridCol w:w="1800"/>
        <w:gridCol w:w="1170"/>
      </w:tblGrid>
      <w:tr w:rsidR="00C058E7" w:rsidRPr="006F6171" w14:paraId="49D01ECE" w14:textId="77777777" w:rsidTr="00482261">
        <w:tc>
          <w:tcPr>
            <w:tcW w:w="1998" w:type="dxa"/>
          </w:tcPr>
          <w:p w14:paraId="3722232A"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6F6171">
              <w:rPr>
                <w:b/>
              </w:rPr>
              <w:t xml:space="preserve">Certification Dates: </w:t>
            </w:r>
          </w:p>
        </w:tc>
        <w:tc>
          <w:tcPr>
            <w:tcW w:w="4509" w:type="dxa"/>
            <w:gridSpan w:val="3"/>
          </w:tcPr>
          <w:p w14:paraId="33ABE491"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sz w:val="18"/>
              </w:rPr>
            </w:pPr>
            <w:r w:rsidRPr="006F6171">
              <w:rPr>
                <w:b/>
                <w:sz w:val="18"/>
              </w:rPr>
              <w:t xml:space="preserve">From:    </w:t>
            </w:r>
          </w:p>
          <w:p w14:paraId="646C4E23"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6F6171">
              <w:rPr>
                <w:b/>
              </w:rPr>
              <w:t xml:space="preserve">               January 1, 20_______                          </w:t>
            </w:r>
          </w:p>
        </w:tc>
        <w:tc>
          <w:tcPr>
            <w:tcW w:w="4509" w:type="dxa"/>
            <w:gridSpan w:val="5"/>
          </w:tcPr>
          <w:p w14:paraId="29FE8F26"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sz w:val="18"/>
              </w:rPr>
            </w:pPr>
            <w:r w:rsidRPr="006F6171">
              <w:rPr>
                <w:b/>
              </w:rPr>
              <w:t xml:space="preserve">  </w:t>
            </w:r>
            <w:r w:rsidRPr="006F6171">
              <w:rPr>
                <w:b/>
                <w:sz w:val="18"/>
              </w:rPr>
              <w:t>To:</w:t>
            </w:r>
          </w:p>
          <w:p w14:paraId="25C67701"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u w:val="single"/>
              </w:rPr>
            </w:pPr>
            <w:r w:rsidRPr="006F6171">
              <w:rPr>
                <w:b/>
              </w:rPr>
              <w:t xml:space="preserve">              December 31, 20_______       </w:t>
            </w:r>
          </w:p>
        </w:tc>
      </w:tr>
      <w:tr w:rsidR="00C058E7" w:rsidRPr="006F6171" w14:paraId="3B87B761" w14:textId="77777777" w:rsidTr="00482261">
        <w:trPr>
          <w:trHeight w:val="360"/>
        </w:trPr>
        <w:tc>
          <w:tcPr>
            <w:tcW w:w="1998" w:type="dxa"/>
          </w:tcPr>
          <w:p w14:paraId="503A9C94"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6F6171">
              <w:rPr>
                <w:b/>
              </w:rPr>
              <w:t>Project Name:</w:t>
            </w:r>
          </w:p>
        </w:tc>
        <w:tc>
          <w:tcPr>
            <w:tcW w:w="4770" w:type="dxa"/>
            <w:gridSpan w:val="4"/>
          </w:tcPr>
          <w:p w14:paraId="7395A823" w14:textId="77777777" w:rsidR="00C058E7" w:rsidRPr="006F6171"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p>
        </w:tc>
        <w:tc>
          <w:tcPr>
            <w:tcW w:w="4248" w:type="dxa"/>
            <w:gridSpan w:val="4"/>
          </w:tcPr>
          <w:p w14:paraId="4F6046C4"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rPr>
                <w:b/>
              </w:rPr>
              <w:t>Project No:</w:t>
            </w:r>
            <w:r w:rsidRPr="006F6171">
              <w:t xml:space="preserve">  </w:t>
            </w:r>
          </w:p>
        </w:tc>
      </w:tr>
      <w:tr w:rsidR="00C058E7" w:rsidRPr="006F6171" w14:paraId="6CBD9DA4" w14:textId="77777777" w:rsidTr="00482261">
        <w:trPr>
          <w:trHeight w:val="360"/>
        </w:trPr>
        <w:tc>
          <w:tcPr>
            <w:tcW w:w="1998" w:type="dxa"/>
          </w:tcPr>
          <w:p w14:paraId="6092C679"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6F6171">
              <w:rPr>
                <w:b/>
              </w:rPr>
              <w:t>Project Address:</w:t>
            </w:r>
          </w:p>
        </w:tc>
        <w:tc>
          <w:tcPr>
            <w:tcW w:w="4248" w:type="dxa"/>
            <w:gridSpan w:val="2"/>
          </w:tcPr>
          <w:p w14:paraId="79D4FFAC" w14:textId="77777777" w:rsidR="00C058E7" w:rsidRPr="006F6171"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p>
        </w:tc>
        <w:tc>
          <w:tcPr>
            <w:tcW w:w="1800" w:type="dxa"/>
            <w:gridSpan w:val="4"/>
          </w:tcPr>
          <w:p w14:paraId="7B616304"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sz w:val="18"/>
              </w:rPr>
            </w:pPr>
            <w:r w:rsidRPr="006F6171">
              <w:rPr>
                <w:b/>
                <w:sz w:val="18"/>
              </w:rPr>
              <w:t>City:</w:t>
            </w:r>
            <w:r w:rsidRPr="006F6171">
              <w:rPr>
                <w:sz w:val="18"/>
              </w:rPr>
              <w:t xml:space="preserve">  </w:t>
            </w:r>
          </w:p>
        </w:tc>
        <w:tc>
          <w:tcPr>
            <w:tcW w:w="1800" w:type="dxa"/>
          </w:tcPr>
          <w:p w14:paraId="62208244"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6F6171">
              <w:rPr>
                <w:b/>
                <w:sz w:val="18"/>
              </w:rPr>
              <w:t>County:</w:t>
            </w:r>
            <w:r w:rsidRPr="006F6171">
              <w:rPr>
                <w:sz w:val="18"/>
              </w:rPr>
              <w:t xml:space="preserve">  </w:t>
            </w:r>
          </w:p>
        </w:tc>
        <w:tc>
          <w:tcPr>
            <w:tcW w:w="1170" w:type="dxa"/>
          </w:tcPr>
          <w:p w14:paraId="1432679D"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6F6171">
              <w:rPr>
                <w:b/>
                <w:sz w:val="18"/>
              </w:rPr>
              <w:t>Zip:</w:t>
            </w:r>
            <w:r w:rsidRPr="006F6171">
              <w:rPr>
                <w:sz w:val="18"/>
              </w:rPr>
              <w:t xml:space="preserve">  </w:t>
            </w:r>
          </w:p>
        </w:tc>
      </w:tr>
      <w:tr w:rsidR="00C058E7" w:rsidRPr="006F6171" w14:paraId="53DEC9BD" w14:textId="77777777" w:rsidTr="00482261">
        <w:tc>
          <w:tcPr>
            <w:tcW w:w="1998" w:type="dxa"/>
          </w:tcPr>
          <w:p w14:paraId="415591D7"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6F6171">
              <w:rPr>
                <w:b/>
              </w:rPr>
              <w:t>Tax ID # of Ownership Entity:</w:t>
            </w:r>
          </w:p>
        </w:tc>
        <w:tc>
          <w:tcPr>
            <w:tcW w:w="9018" w:type="dxa"/>
            <w:gridSpan w:val="8"/>
          </w:tcPr>
          <w:p w14:paraId="0AC8C94A"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u w:val="single"/>
              </w:rPr>
            </w:pPr>
          </w:p>
        </w:tc>
      </w:tr>
      <w:tr w:rsidR="00C058E7" w:rsidRPr="006F6171" w14:paraId="397BE332" w14:textId="77777777" w:rsidTr="00482261">
        <w:trPr>
          <w:cantSplit/>
          <w:trHeight w:val="360"/>
        </w:trPr>
        <w:tc>
          <w:tcPr>
            <w:tcW w:w="1998" w:type="dxa"/>
            <w:vMerge w:val="restart"/>
          </w:tcPr>
          <w:p w14:paraId="24EE37CC"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r w:rsidRPr="006F6171">
              <w:rPr>
                <w:b/>
              </w:rPr>
              <w:t>Building Identification Number(s):</w:t>
            </w:r>
          </w:p>
        </w:tc>
        <w:tc>
          <w:tcPr>
            <w:tcW w:w="3006" w:type="dxa"/>
          </w:tcPr>
          <w:p w14:paraId="61DF424F" w14:textId="77777777" w:rsidR="00C058E7" w:rsidRPr="006F6171"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r w:rsidRPr="006F6171">
              <w:t>(1)</w:t>
            </w:r>
          </w:p>
        </w:tc>
        <w:tc>
          <w:tcPr>
            <w:tcW w:w="3006" w:type="dxa"/>
            <w:gridSpan w:val="4"/>
          </w:tcPr>
          <w:p w14:paraId="4CFFA930"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t>(2)</w:t>
            </w:r>
          </w:p>
        </w:tc>
        <w:tc>
          <w:tcPr>
            <w:tcW w:w="3006" w:type="dxa"/>
            <w:gridSpan w:val="3"/>
          </w:tcPr>
          <w:p w14:paraId="070A8423"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t>(3)</w:t>
            </w:r>
          </w:p>
        </w:tc>
      </w:tr>
      <w:tr w:rsidR="00C058E7" w:rsidRPr="006F6171" w14:paraId="286F981D" w14:textId="77777777" w:rsidTr="00482261">
        <w:trPr>
          <w:cantSplit/>
          <w:trHeight w:val="360"/>
        </w:trPr>
        <w:tc>
          <w:tcPr>
            <w:tcW w:w="1998" w:type="dxa"/>
            <w:vMerge/>
          </w:tcPr>
          <w:p w14:paraId="60C7BCA5"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p>
        </w:tc>
        <w:tc>
          <w:tcPr>
            <w:tcW w:w="3006" w:type="dxa"/>
          </w:tcPr>
          <w:p w14:paraId="699CEAB8" w14:textId="77777777" w:rsidR="00C058E7" w:rsidRPr="006F6171"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r w:rsidRPr="006F6171">
              <w:t>(4)</w:t>
            </w:r>
          </w:p>
        </w:tc>
        <w:tc>
          <w:tcPr>
            <w:tcW w:w="3006" w:type="dxa"/>
            <w:gridSpan w:val="4"/>
          </w:tcPr>
          <w:p w14:paraId="43E57A72"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t>(5)</w:t>
            </w:r>
          </w:p>
        </w:tc>
        <w:tc>
          <w:tcPr>
            <w:tcW w:w="3006" w:type="dxa"/>
            <w:gridSpan w:val="3"/>
          </w:tcPr>
          <w:p w14:paraId="55974CF1"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t>(6)</w:t>
            </w:r>
          </w:p>
        </w:tc>
      </w:tr>
      <w:tr w:rsidR="00C058E7" w:rsidRPr="006F6171" w14:paraId="20074FB1" w14:textId="77777777" w:rsidTr="00482261">
        <w:trPr>
          <w:cantSplit/>
          <w:trHeight w:val="360"/>
        </w:trPr>
        <w:tc>
          <w:tcPr>
            <w:tcW w:w="1998" w:type="dxa"/>
            <w:vMerge/>
          </w:tcPr>
          <w:p w14:paraId="5C2B4CDA"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p>
        </w:tc>
        <w:tc>
          <w:tcPr>
            <w:tcW w:w="3006" w:type="dxa"/>
          </w:tcPr>
          <w:p w14:paraId="04302981" w14:textId="77777777" w:rsidR="00C058E7" w:rsidRPr="006F6171"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r w:rsidRPr="006F6171">
              <w:t>(7)</w:t>
            </w:r>
          </w:p>
        </w:tc>
        <w:tc>
          <w:tcPr>
            <w:tcW w:w="3006" w:type="dxa"/>
            <w:gridSpan w:val="4"/>
          </w:tcPr>
          <w:p w14:paraId="46B4F954"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t>(8)</w:t>
            </w:r>
          </w:p>
        </w:tc>
        <w:tc>
          <w:tcPr>
            <w:tcW w:w="3006" w:type="dxa"/>
            <w:gridSpan w:val="3"/>
          </w:tcPr>
          <w:p w14:paraId="27CDDF96"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t>(9)</w:t>
            </w:r>
          </w:p>
        </w:tc>
      </w:tr>
      <w:tr w:rsidR="00C058E7" w:rsidRPr="006F6171" w14:paraId="0051923E" w14:textId="77777777" w:rsidTr="00482261">
        <w:trPr>
          <w:cantSplit/>
          <w:trHeight w:val="360"/>
        </w:trPr>
        <w:tc>
          <w:tcPr>
            <w:tcW w:w="1998" w:type="dxa"/>
            <w:vMerge/>
          </w:tcPr>
          <w:p w14:paraId="5388F6BE"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rPr>
            </w:pPr>
          </w:p>
        </w:tc>
        <w:tc>
          <w:tcPr>
            <w:tcW w:w="3006" w:type="dxa"/>
          </w:tcPr>
          <w:p w14:paraId="486EAEC4" w14:textId="77777777" w:rsidR="00C058E7" w:rsidRPr="006F6171" w:rsidRDefault="00C058E7" w:rsidP="00482261">
            <w:pPr>
              <w:pStyle w:val="TOAHeading"/>
              <w:tabs>
                <w:tab w:val="clear" w:pos="9360"/>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pPr>
            <w:r w:rsidRPr="006F6171">
              <w:t>(10)</w:t>
            </w:r>
          </w:p>
        </w:tc>
        <w:tc>
          <w:tcPr>
            <w:tcW w:w="3006" w:type="dxa"/>
            <w:gridSpan w:val="4"/>
          </w:tcPr>
          <w:p w14:paraId="59336394"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t>(11)</w:t>
            </w:r>
          </w:p>
        </w:tc>
        <w:tc>
          <w:tcPr>
            <w:tcW w:w="3006" w:type="dxa"/>
            <w:gridSpan w:val="3"/>
          </w:tcPr>
          <w:p w14:paraId="237FFE75" w14:textId="77777777" w:rsidR="00C058E7" w:rsidRPr="006F6171" w:rsidRDefault="00C058E7" w:rsidP="00482261">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pPr>
            <w:r w:rsidRPr="006F6171">
              <w:t>(12)</w:t>
            </w:r>
          </w:p>
        </w:tc>
      </w:tr>
    </w:tbl>
    <w:p w14:paraId="54640FCA" w14:textId="77777777" w:rsidR="00C058E7" w:rsidRPr="006F6171"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u w:val="single"/>
        </w:rPr>
      </w:pPr>
    </w:p>
    <w:p w14:paraId="1DBEAC3A" w14:textId="77777777" w:rsidR="00C058E7" w:rsidRPr="006F6171" w:rsidRDefault="00C058E7" w:rsidP="00BE5856">
      <w:pPr>
        <w:widowControl w:val="0"/>
        <w:numPr>
          <w:ilvl w:val="0"/>
          <w:numId w:val="52"/>
        </w:numPr>
        <w:pBdr>
          <w:top w:val="single" w:sz="6" w:space="3" w:color="auto" w:shadow="1"/>
          <w:left w:val="single" w:sz="6" w:space="1" w:color="auto" w:shadow="1"/>
          <w:bottom w:val="single" w:sz="6" w:space="3" w:color="auto" w:shadow="1"/>
          <w:right w:val="single" w:sz="6" w:space="1" w:color="auto" w:shadow="1"/>
        </w:pBdr>
        <w:tabs>
          <w:tab w:val="left" w:pos="0"/>
          <w:tab w:val="left" w:pos="360"/>
          <w:tab w:val="left" w:pos="1080"/>
          <w:tab w:val="left" w:pos="2340"/>
          <w:tab w:val="left" w:pos="2880"/>
          <w:tab w:val="left" w:pos="3600"/>
          <w:tab w:val="left" w:pos="4320"/>
          <w:tab w:val="left" w:pos="5040"/>
          <w:tab w:val="left" w:pos="5760"/>
          <w:tab w:val="left" w:pos="7020"/>
          <w:tab w:val="left" w:pos="7920"/>
          <w:tab w:val="left" w:pos="8820"/>
          <w:tab w:val="left" w:pos="10080"/>
        </w:tabs>
        <w:suppressAutoHyphens/>
        <w:overflowPunct w:val="0"/>
        <w:autoSpaceDE w:val="0"/>
        <w:autoSpaceDN w:val="0"/>
        <w:adjustRightInd w:val="0"/>
        <w:textAlignment w:val="baseline"/>
        <w:rPr>
          <w:sz w:val="16"/>
        </w:rPr>
      </w:pPr>
      <w:r w:rsidRPr="006F6171">
        <w:rPr>
          <w:sz w:val="16"/>
        </w:rPr>
        <w:t>No buildings have been Placed in Service</w:t>
      </w:r>
    </w:p>
    <w:p w14:paraId="36E1E7E4" w14:textId="77777777" w:rsidR="00C058E7" w:rsidRPr="006F6171" w:rsidRDefault="00C058E7" w:rsidP="00BE5856">
      <w:pPr>
        <w:widowControl w:val="0"/>
        <w:numPr>
          <w:ilvl w:val="0"/>
          <w:numId w:val="52"/>
        </w:numPr>
        <w:pBdr>
          <w:top w:val="single" w:sz="6" w:space="3" w:color="auto" w:shadow="1"/>
          <w:left w:val="single" w:sz="6" w:space="1" w:color="auto" w:shadow="1"/>
          <w:bottom w:val="single" w:sz="6" w:space="3" w:color="auto" w:shadow="1"/>
          <w:right w:val="single" w:sz="6" w:space="1" w:color="auto" w:shadow="1"/>
        </w:pBdr>
        <w:tabs>
          <w:tab w:val="left" w:pos="0"/>
          <w:tab w:val="left" w:pos="360"/>
          <w:tab w:val="left" w:pos="1080"/>
          <w:tab w:val="left" w:pos="2340"/>
          <w:tab w:val="left" w:pos="2880"/>
          <w:tab w:val="left" w:pos="3600"/>
          <w:tab w:val="left" w:pos="4320"/>
          <w:tab w:val="left" w:pos="5040"/>
          <w:tab w:val="left" w:pos="5760"/>
          <w:tab w:val="left" w:pos="7020"/>
          <w:tab w:val="left" w:pos="7920"/>
          <w:tab w:val="left" w:pos="8820"/>
          <w:tab w:val="left" w:pos="10080"/>
        </w:tabs>
        <w:suppressAutoHyphens/>
        <w:overflowPunct w:val="0"/>
        <w:autoSpaceDE w:val="0"/>
        <w:autoSpaceDN w:val="0"/>
        <w:adjustRightInd w:val="0"/>
        <w:textAlignment w:val="baseline"/>
        <w:rPr>
          <w:sz w:val="16"/>
        </w:rPr>
      </w:pPr>
      <w:r w:rsidRPr="006F6171">
        <w:rPr>
          <w:sz w:val="16"/>
        </w:rPr>
        <w:t>At least one building has been placed in Service but owner elects to begin credit period in the following year.</w:t>
      </w:r>
    </w:p>
    <w:p w14:paraId="1389DFDC" w14:textId="77777777" w:rsidR="00C058E7" w:rsidRPr="006F6171" w:rsidRDefault="00C058E7" w:rsidP="00C058E7">
      <w:pPr>
        <w:pBdr>
          <w:top w:val="single" w:sz="6" w:space="3" w:color="auto" w:shadow="1"/>
          <w:left w:val="single" w:sz="6" w:space="1" w:color="auto" w:shadow="1"/>
          <w:bottom w:val="single" w:sz="6" w:space="3" w:color="auto" w:shadow="1"/>
          <w:right w:val="single" w:sz="6" w:space="1" w:color="auto" w:shadow="1"/>
        </w:pBdr>
        <w:tabs>
          <w:tab w:val="left" w:pos="0"/>
          <w:tab w:val="left" w:pos="1080"/>
          <w:tab w:val="left" w:pos="2340"/>
          <w:tab w:val="left" w:pos="2880"/>
          <w:tab w:val="left" w:pos="3600"/>
          <w:tab w:val="left" w:pos="4320"/>
          <w:tab w:val="left" w:pos="5040"/>
          <w:tab w:val="left" w:pos="5760"/>
          <w:tab w:val="left" w:pos="7020"/>
          <w:tab w:val="left" w:pos="7920"/>
          <w:tab w:val="left" w:pos="8820"/>
          <w:tab w:val="left" w:pos="10080"/>
        </w:tabs>
        <w:suppressAutoHyphens/>
        <w:rPr>
          <w:sz w:val="16"/>
        </w:rPr>
      </w:pPr>
      <w:r w:rsidRPr="006F6171">
        <w:rPr>
          <w:sz w:val="16"/>
        </w:rPr>
        <w:t>If either of the above applies, please check the appropriate box, and proceed to page 2 to sign and date this form.</w:t>
      </w:r>
    </w:p>
    <w:p w14:paraId="2B5DC015" w14:textId="77777777" w:rsidR="00C058E7" w:rsidRPr="006F6171" w:rsidRDefault="00C058E7" w:rsidP="00C058E7">
      <w:pPr>
        <w:tabs>
          <w:tab w:val="left" w:pos="0"/>
          <w:tab w:val="left" w:pos="540"/>
          <w:tab w:val="left" w:pos="1440"/>
          <w:tab w:val="left" w:pos="2160"/>
          <w:tab w:val="left" w:pos="2880"/>
          <w:tab w:val="left" w:pos="3600"/>
          <w:tab w:val="left" w:pos="4320"/>
          <w:tab w:val="left" w:pos="5040"/>
          <w:tab w:val="left" w:pos="5760"/>
          <w:tab w:val="left" w:pos="7020"/>
          <w:tab w:val="left" w:pos="7920"/>
          <w:tab w:val="left" w:pos="8820"/>
          <w:tab w:val="left" w:pos="10080"/>
        </w:tabs>
        <w:suppressAutoHyphens/>
        <w:rPr>
          <w:b/>
          <w:u w:val="single"/>
        </w:rPr>
      </w:pPr>
    </w:p>
    <w:p w14:paraId="469EB235" w14:textId="77777777" w:rsidR="00C058E7" w:rsidRPr="006F6171" w:rsidRDefault="00C058E7" w:rsidP="00C058E7">
      <w:pPr>
        <w:tabs>
          <w:tab w:val="left" w:pos="0"/>
          <w:tab w:val="left" w:pos="3600"/>
        </w:tabs>
        <w:suppressAutoHyphens/>
        <w:rPr>
          <w:b/>
          <w:u w:val="single"/>
        </w:rPr>
      </w:pPr>
      <w:r w:rsidRPr="006F6171">
        <w:t xml:space="preserve">The undersigned___________________________________________________________________ on behalf of </w:t>
      </w:r>
    </w:p>
    <w:p w14:paraId="51276728" w14:textId="77777777" w:rsidR="00C058E7" w:rsidRPr="006F6171" w:rsidRDefault="00C058E7" w:rsidP="00C058E7">
      <w:pPr>
        <w:tabs>
          <w:tab w:val="left" w:pos="0"/>
          <w:tab w:val="left" w:pos="3600"/>
        </w:tabs>
        <w:suppressAutoHyphens/>
        <w:rPr>
          <w:b/>
          <w:u w:val="single"/>
        </w:rPr>
      </w:pPr>
    </w:p>
    <w:p w14:paraId="6FAD4371" w14:textId="77777777" w:rsidR="00C058E7" w:rsidRPr="006F6171" w:rsidRDefault="00C058E7" w:rsidP="00C058E7">
      <w:pPr>
        <w:tabs>
          <w:tab w:val="left" w:pos="0"/>
          <w:tab w:val="left" w:pos="3600"/>
        </w:tabs>
        <w:suppressAutoHyphens/>
      </w:pPr>
      <w:r w:rsidRPr="006F6171">
        <w:t>______________________________________________________________ (the "Owner"), hereby certifies that:</w:t>
      </w:r>
    </w:p>
    <w:p w14:paraId="6501450D" w14:textId="77777777" w:rsidR="00C058E7" w:rsidRPr="006F6171" w:rsidRDefault="00C058E7" w:rsidP="00C058E7">
      <w:pPr>
        <w:tabs>
          <w:tab w:val="left" w:pos="0"/>
          <w:tab w:val="left" w:pos="3600"/>
        </w:tabs>
        <w:suppressAutoHyphens/>
        <w:rPr>
          <w:sz w:val="18"/>
        </w:rPr>
      </w:pPr>
    </w:p>
    <w:p w14:paraId="7CC2FF6D" w14:textId="77777777" w:rsidR="00C058E7" w:rsidRPr="006F6171" w:rsidRDefault="00C058E7" w:rsidP="00C058E7">
      <w:pPr>
        <w:keepNext/>
        <w:tabs>
          <w:tab w:val="left" w:pos="540"/>
          <w:tab w:val="left" w:pos="1440"/>
          <w:tab w:val="left" w:pos="2160"/>
          <w:tab w:val="left" w:pos="2880"/>
          <w:tab w:val="left" w:pos="3600"/>
          <w:tab w:val="left" w:pos="4320"/>
          <w:tab w:val="left" w:pos="5040"/>
          <w:tab w:val="left" w:pos="6660"/>
          <w:tab w:val="left" w:pos="7920"/>
        </w:tabs>
        <w:rPr>
          <w:sz w:val="16"/>
        </w:rPr>
      </w:pPr>
      <w:r w:rsidRPr="006F6171">
        <w:t>1.</w:t>
      </w:r>
      <w:r w:rsidRPr="006F6171">
        <w:tab/>
        <w:t>The project meets the minimum requirements of:  (check one)</w:t>
      </w:r>
    </w:p>
    <w:p w14:paraId="5FCDF487" w14:textId="77777777" w:rsidR="00C058E7" w:rsidRPr="006F6171" w:rsidRDefault="00C058E7" w:rsidP="00C058E7">
      <w:pPr>
        <w:keepNext/>
        <w:tabs>
          <w:tab w:val="left" w:pos="540"/>
          <w:tab w:val="left" w:pos="1260"/>
          <w:tab w:val="left" w:pos="2160"/>
          <w:tab w:val="left" w:pos="2880"/>
          <w:tab w:val="left" w:pos="3600"/>
          <w:tab w:val="left" w:pos="4320"/>
          <w:tab w:val="left" w:pos="5040"/>
          <w:tab w:val="left" w:pos="6660"/>
          <w:tab w:val="left" w:pos="7920"/>
        </w:tabs>
      </w:pPr>
      <w:r w:rsidRPr="006F6171">
        <w:tab/>
      </w:r>
      <w:r w:rsidRPr="006F6171">
        <w:fldChar w:fldCharType="begin"/>
      </w:r>
      <w:r w:rsidRPr="006F6171">
        <w:instrText>symbol 111 \f "Wingdings" \s 10</w:instrText>
      </w:r>
      <w:r w:rsidRPr="006F6171">
        <w:fldChar w:fldCharType="separate"/>
      </w:r>
      <w:r w:rsidRPr="006F6171">
        <w:t>o</w:t>
      </w:r>
      <w:r w:rsidRPr="006F6171">
        <w:fldChar w:fldCharType="end"/>
      </w:r>
      <w:r w:rsidRPr="006F6171">
        <w:tab/>
        <w:t>20 - 50 test under Section 42(g)(1)(A) of the Code</w:t>
      </w:r>
    </w:p>
    <w:p w14:paraId="7B2AC9AA" w14:textId="77777777" w:rsidR="00C058E7" w:rsidRPr="006F6171" w:rsidRDefault="00C058E7" w:rsidP="00C058E7">
      <w:pPr>
        <w:keepNext/>
        <w:tabs>
          <w:tab w:val="left" w:pos="540"/>
          <w:tab w:val="left" w:pos="1260"/>
          <w:tab w:val="left" w:pos="2160"/>
          <w:tab w:val="left" w:pos="2880"/>
          <w:tab w:val="left" w:pos="3600"/>
          <w:tab w:val="left" w:pos="4320"/>
          <w:tab w:val="left" w:pos="5040"/>
          <w:tab w:val="left" w:pos="6660"/>
          <w:tab w:val="left" w:pos="7920"/>
        </w:tabs>
      </w:pPr>
      <w:r w:rsidRPr="006F6171">
        <w:tab/>
      </w:r>
      <w:r w:rsidRPr="006F6171">
        <w:fldChar w:fldCharType="begin"/>
      </w:r>
      <w:r w:rsidRPr="006F6171">
        <w:instrText>symbol 111 \f "Wingdings" \s 10</w:instrText>
      </w:r>
      <w:r w:rsidRPr="006F6171">
        <w:fldChar w:fldCharType="separate"/>
      </w:r>
      <w:r w:rsidRPr="006F6171">
        <w:t>o</w:t>
      </w:r>
      <w:r w:rsidRPr="006F6171">
        <w:fldChar w:fldCharType="end"/>
      </w:r>
      <w:r w:rsidRPr="006F6171">
        <w:tab/>
        <w:t>40 - 60 test under Section 42(g)(1)(B) of the Code</w:t>
      </w:r>
    </w:p>
    <w:p w14:paraId="33876ACE" w14:textId="77777777" w:rsidR="00C058E7" w:rsidRPr="006F6171" w:rsidRDefault="00C058E7" w:rsidP="00C058E7">
      <w:pPr>
        <w:keepNext/>
        <w:tabs>
          <w:tab w:val="left" w:pos="540"/>
          <w:tab w:val="left" w:pos="1260"/>
          <w:tab w:val="left" w:pos="2160"/>
          <w:tab w:val="left" w:pos="2880"/>
          <w:tab w:val="left" w:pos="3600"/>
          <w:tab w:val="left" w:pos="4320"/>
          <w:tab w:val="left" w:pos="5040"/>
          <w:tab w:val="left" w:pos="6660"/>
          <w:tab w:val="left" w:pos="7920"/>
        </w:tabs>
      </w:pPr>
      <w:r w:rsidRPr="006F6171">
        <w:tab/>
      </w:r>
      <w:r w:rsidRPr="006F6171">
        <w:fldChar w:fldCharType="begin"/>
      </w:r>
      <w:r w:rsidRPr="006F6171">
        <w:instrText>symbol 111 \f "Wingdings" \s 10</w:instrText>
      </w:r>
      <w:r w:rsidRPr="006F6171">
        <w:fldChar w:fldCharType="separate"/>
      </w:r>
      <w:r w:rsidRPr="006F6171">
        <w:t>o</w:t>
      </w:r>
      <w:r w:rsidRPr="006F6171">
        <w:fldChar w:fldCharType="end"/>
      </w:r>
      <w:r w:rsidRPr="006F6171">
        <w:tab/>
        <w:t>15 - 40 test for "deep rent-skewed" projects under Section 42(g)(4) and 142(d)(4)(B) of the Code</w:t>
      </w:r>
    </w:p>
    <w:p w14:paraId="6D1937FA" w14:textId="77777777" w:rsidR="00C058E7" w:rsidRPr="006F6171" w:rsidRDefault="00C058E7" w:rsidP="00C058E7">
      <w:pPr>
        <w:keepNext/>
        <w:tabs>
          <w:tab w:val="left" w:pos="540"/>
          <w:tab w:val="left" w:pos="1260"/>
          <w:tab w:val="left" w:pos="2160"/>
          <w:tab w:val="left" w:pos="2880"/>
          <w:tab w:val="left" w:pos="3600"/>
          <w:tab w:val="left" w:pos="4320"/>
          <w:tab w:val="left" w:pos="5040"/>
          <w:tab w:val="left" w:pos="6660"/>
          <w:tab w:val="left" w:pos="7920"/>
        </w:tabs>
        <w:rPr>
          <w:sz w:val="16"/>
        </w:rPr>
      </w:pPr>
      <w:r w:rsidRPr="006F6171">
        <w:rPr>
          <w:sz w:val="16"/>
        </w:rPr>
        <w:tab/>
      </w:r>
      <w:r w:rsidRPr="006F6171">
        <w:fldChar w:fldCharType="begin"/>
      </w:r>
      <w:r w:rsidRPr="006F6171">
        <w:instrText>symbol 111 \f "Wingdings" \s 10</w:instrText>
      </w:r>
      <w:r w:rsidRPr="006F6171">
        <w:fldChar w:fldCharType="separate"/>
      </w:r>
      <w:r w:rsidRPr="006F6171">
        <w:t>o</w:t>
      </w:r>
      <w:r w:rsidRPr="006F6171">
        <w:fldChar w:fldCharType="end"/>
      </w:r>
      <w:r w:rsidRPr="006F6171">
        <w:tab/>
        <w:t>Income Averaging</w:t>
      </w:r>
    </w:p>
    <w:p w14:paraId="7B85552C"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452173CB" w14:textId="77777777" w:rsidR="00C058E7" w:rsidRPr="006F6171" w:rsidRDefault="00C058E7" w:rsidP="00BE5856">
      <w:pPr>
        <w:keepNext/>
        <w:widowControl w:val="0"/>
        <w:numPr>
          <w:ilvl w:val="0"/>
          <w:numId w:val="53"/>
        </w:numPr>
        <w:tabs>
          <w:tab w:val="left" w:pos="540"/>
          <w:tab w:val="left" w:pos="1440"/>
          <w:tab w:val="left" w:pos="2160"/>
          <w:tab w:val="left" w:pos="2880"/>
          <w:tab w:val="left" w:pos="3600"/>
          <w:tab w:val="left" w:pos="4320"/>
          <w:tab w:val="left" w:pos="5490"/>
          <w:tab w:val="left" w:pos="6660"/>
          <w:tab w:val="left" w:pos="7920"/>
        </w:tabs>
        <w:overflowPunct w:val="0"/>
        <w:autoSpaceDE w:val="0"/>
        <w:autoSpaceDN w:val="0"/>
        <w:adjustRightInd w:val="0"/>
        <w:ind w:left="540" w:hanging="540"/>
        <w:textAlignment w:val="baseline"/>
      </w:pPr>
      <w:r w:rsidRPr="006F6171">
        <w:t xml:space="preserve">There has been </w:t>
      </w:r>
      <w:r w:rsidRPr="006F6171">
        <w:rPr>
          <w:b/>
        </w:rPr>
        <w:t>no change in the applicable fraction</w:t>
      </w:r>
      <w:r w:rsidRPr="006F6171">
        <w:t xml:space="preserve"> (as defined in Section 42(c)(1)(B) of the Code) for any building in the project:</w:t>
      </w:r>
    </w:p>
    <w:p w14:paraId="2F64017F" w14:textId="77777777" w:rsidR="00C058E7" w:rsidRPr="006F6171" w:rsidRDefault="00C058E7" w:rsidP="00C058E7">
      <w:pPr>
        <w:keepNext/>
        <w:tabs>
          <w:tab w:val="left" w:pos="540"/>
          <w:tab w:val="left" w:pos="1440"/>
          <w:tab w:val="left" w:pos="2160"/>
          <w:tab w:val="left" w:pos="2880"/>
          <w:tab w:val="left" w:pos="3600"/>
          <w:tab w:val="left" w:pos="4320"/>
          <w:tab w:val="left" w:pos="5490"/>
          <w:tab w:val="left" w:pos="6660"/>
          <w:tab w:val="left" w:pos="7920"/>
        </w:tabs>
        <w:rPr>
          <w:sz w:val="16"/>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 CHANGE</w:t>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CHANGE</w:t>
      </w:r>
      <w:r w:rsidRPr="006F6171">
        <w:rPr>
          <w:b/>
        </w:rPr>
        <w:br/>
      </w:r>
    </w:p>
    <w:p w14:paraId="2A9A3B4E" w14:textId="77777777" w:rsidR="00C058E7" w:rsidRPr="006F6171" w:rsidRDefault="00C058E7" w:rsidP="00C058E7">
      <w:pPr>
        <w:keepNext/>
        <w:tabs>
          <w:tab w:val="left" w:pos="540"/>
          <w:tab w:val="left" w:pos="1440"/>
          <w:tab w:val="left" w:pos="2160"/>
          <w:tab w:val="left" w:pos="2880"/>
          <w:tab w:val="left" w:pos="3600"/>
          <w:tab w:val="left" w:pos="4320"/>
          <w:tab w:val="left" w:pos="5040"/>
          <w:tab w:val="left" w:pos="6660"/>
          <w:tab w:val="left" w:pos="7920"/>
        </w:tabs>
        <w:ind w:left="540" w:hanging="540"/>
      </w:pPr>
      <w:r w:rsidRPr="006F6171">
        <w:tab/>
        <w:t xml:space="preserve">If </w:t>
      </w:r>
      <w:r w:rsidRPr="006F6171">
        <w:rPr>
          <w:b/>
        </w:rPr>
        <w:t>“Change”,</w:t>
      </w:r>
      <w:r w:rsidRPr="006F6171">
        <w:t xml:space="preserve"> list the applicable fraction to be reported to the IRS for </w:t>
      </w:r>
      <w:r w:rsidRPr="006F6171">
        <w:rPr>
          <w:u w:val="single"/>
        </w:rPr>
        <w:t>each building</w:t>
      </w:r>
      <w:r w:rsidRPr="006F6171">
        <w:t xml:space="preserve"> in the project for the certification year on page 4:</w:t>
      </w:r>
    </w:p>
    <w:p w14:paraId="79E1F4D3" w14:textId="77777777" w:rsidR="00C058E7" w:rsidRPr="006F6171" w:rsidRDefault="00C058E7" w:rsidP="00C058E7">
      <w:pPr>
        <w:keepNext/>
        <w:tabs>
          <w:tab w:val="left" w:pos="540"/>
          <w:tab w:val="left" w:pos="1440"/>
          <w:tab w:val="left" w:pos="2160"/>
          <w:tab w:val="left" w:pos="2880"/>
          <w:tab w:val="left" w:pos="3600"/>
          <w:tab w:val="left" w:pos="4320"/>
          <w:tab w:val="left" w:pos="5040"/>
          <w:tab w:val="left" w:pos="6660"/>
          <w:tab w:val="left" w:pos="7920"/>
        </w:tabs>
        <w:ind w:left="540" w:hanging="540"/>
      </w:pPr>
    </w:p>
    <w:p w14:paraId="6C7A4C85" w14:textId="77777777" w:rsidR="00C058E7" w:rsidRPr="006F6171" w:rsidRDefault="00C058E7" w:rsidP="00BE5856">
      <w:pPr>
        <w:keepNext/>
        <w:widowControl w:val="0"/>
        <w:numPr>
          <w:ilvl w:val="0"/>
          <w:numId w:val="54"/>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textAlignment w:val="baseline"/>
        <w:rPr>
          <w:sz w:val="16"/>
        </w:rPr>
      </w:pPr>
      <w:r w:rsidRPr="006F6171">
        <w:t>There have been no changes in the building’s eligible basis under Section 42(d) of any building in the project.</w:t>
      </w:r>
    </w:p>
    <w:p w14:paraId="2AD66C8D" w14:textId="77777777" w:rsidR="00C058E7" w:rsidRPr="006F6171" w:rsidRDefault="00C058E7" w:rsidP="00C058E7">
      <w:pPr>
        <w:keepNext/>
        <w:tabs>
          <w:tab w:val="left" w:pos="540"/>
          <w:tab w:val="left" w:pos="1440"/>
          <w:tab w:val="left" w:pos="2160"/>
          <w:tab w:val="left" w:pos="2880"/>
          <w:tab w:val="left" w:pos="3600"/>
          <w:tab w:val="left" w:pos="4320"/>
          <w:tab w:val="left" w:pos="5040"/>
          <w:tab w:val="left" w:pos="6660"/>
          <w:tab w:val="left" w:pos="7920"/>
        </w:tabs>
        <w:ind w:left="360"/>
        <w:rPr>
          <w:sz w:val="16"/>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 CHANGE</w:t>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CHANGE</w:t>
      </w:r>
    </w:p>
    <w:p w14:paraId="7F0F15CA"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pPr>
      <w:r w:rsidRPr="006F6171">
        <w:tab/>
        <w:t xml:space="preserve">If </w:t>
      </w:r>
      <w:r w:rsidRPr="006F6171">
        <w:rPr>
          <w:b/>
        </w:rPr>
        <w:t>“Change”,</w:t>
      </w:r>
      <w:r w:rsidRPr="006F6171">
        <w:t xml:space="preserve"> list the changes on page 4:</w:t>
      </w:r>
    </w:p>
    <w:p w14:paraId="00C3EBE9"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773DF121" w14:textId="77777777" w:rsidR="00C058E7" w:rsidRPr="006F6171" w:rsidRDefault="00C058E7" w:rsidP="00BE5856">
      <w:pPr>
        <w:pStyle w:val="TOC6"/>
        <w:keepNext/>
        <w:widowControl w:val="0"/>
        <w:numPr>
          <w:ilvl w:val="0"/>
          <w:numId w:val="54"/>
        </w:numPr>
        <w:tabs>
          <w:tab w:val="clear" w:pos="9000"/>
          <w:tab w:val="clear" w:pos="9360"/>
          <w:tab w:val="left" w:pos="540"/>
          <w:tab w:val="left" w:pos="1440"/>
          <w:tab w:val="left" w:pos="2160"/>
          <w:tab w:val="left" w:pos="2880"/>
          <w:tab w:val="left" w:pos="3600"/>
          <w:tab w:val="left" w:pos="4320"/>
          <w:tab w:val="left" w:pos="5490"/>
          <w:tab w:val="left" w:pos="6660"/>
          <w:tab w:val="left" w:pos="7920"/>
        </w:tabs>
        <w:suppressAutoHyphens w:val="0"/>
        <w:overflowPunct w:val="0"/>
        <w:autoSpaceDE w:val="0"/>
        <w:autoSpaceDN w:val="0"/>
        <w:adjustRightInd w:val="0"/>
        <w:ind w:left="540" w:hanging="540"/>
        <w:textAlignment w:val="baseline"/>
        <w:rPr>
          <w:sz w:val="16"/>
        </w:rPr>
      </w:pPr>
      <w:r w:rsidRPr="006F6171">
        <w:t xml:space="preserve">The owner has received an annual Tenant Income Certification from each low-income resident and documentation to support that certification, or the owner has a re-certification waiver letter from the IRS in good standing, has received an annual Tenant Income Certification from each low-income resident, and </w:t>
      </w:r>
      <w:r w:rsidRPr="006F6171">
        <w:lastRenderedPageBreak/>
        <w:t>documentation to support the certification at their initial occupancy.</w:t>
      </w:r>
    </w:p>
    <w:p w14:paraId="1E5874A1" w14:textId="77777777" w:rsidR="00C058E7" w:rsidRPr="006F6171" w:rsidRDefault="00C058E7" w:rsidP="00596F90">
      <w:pPr>
        <w:pStyle w:val="TOC6"/>
        <w:keepNext/>
        <w:tabs>
          <w:tab w:val="clear" w:pos="9360"/>
          <w:tab w:val="left" w:pos="540"/>
          <w:tab w:val="left" w:pos="1440"/>
          <w:tab w:val="left" w:pos="2160"/>
          <w:tab w:val="left" w:pos="2880"/>
          <w:tab w:val="left" w:pos="3600"/>
          <w:tab w:val="left" w:pos="4320"/>
          <w:tab w:val="left" w:pos="5490"/>
          <w:tab w:val="left" w:pos="6660"/>
          <w:tab w:val="left" w:pos="7920"/>
        </w:tabs>
        <w:suppressAutoHyphens w:val="0"/>
        <w:ind w:firstLine="720"/>
        <w:rPr>
          <w:b/>
          <w:sz w:val="16"/>
        </w:rPr>
      </w:pP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p>
    <w:p w14:paraId="427F0A3F"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1EB8F0D9" w14:textId="77777777" w:rsidR="00C058E7" w:rsidRPr="006F6171" w:rsidRDefault="00C058E7" w:rsidP="00BE5856">
      <w:pPr>
        <w:keepNext/>
        <w:widowControl w:val="0"/>
        <w:numPr>
          <w:ilvl w:val="0"/>
          <w:numId w:val="54"/>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textAlignment w:val="baseline"/>
      </w:pPr>
      <w:r w:rsidRPr="006F6171">
        <w:t xml:space="preserve">Each low-income unit in the project has been rent-restricted under Section 42(g)(2) of the Code:  </w:t>
      </w:r>
    </w:p>
    <w:p w14:paraId="37FC8621" w14:textId="77777777" w:rsidR="00C058E7" w:rsidRPr="006F6171" w:rsidRDefault="00C058E7" w:rsidP="00C058E7">
      <w:pPr>
        <w:keepNext/>
        <w:tabs>
          <w:tab w:val="left" w:pos="540"/>
          <w:tab w:val="left" w:pos="1440"/>
          <w:tab w:val="left" w:pos="2160"/>
          <w:tab w:val="left" w:pos="2880"/>
          <w:tab w:val="left" w:pos="3600"/>
          <w:tab w:val="left" w:pos="4320"/>
          <w:tab w:val="left" w:pos="5040"/>
          <w:tab w:val="left" w:pos="6660"/>
          <w:tab w:val="left" w:pos="7920"/>
        </w:tabs>
        <w:rPr>
          <w:b/>
          <w:sz w:val="16"/>
        </w:rPr>
      </w:pPr>
      <w:r w:rsidRPr="006F6171">
        <w:tab/>
      </w:r>
      <w:r w:rsidRPr="006F6171">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p>
    <w:p w14:paraId="6DB27CE6"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736E6662" w14:textId="77777777" w:rsidR="00C058E7" w:rsidRPr="006F6171" w:rsidRDefault="00C058E7" w:rsidP="00C058E7">
      <w:pPr>
        <w:pStyle w:val="BodyTextIndent"/>
        <w:keepNext/>
        <w:tabs>
          <w:tab w:val="left" w:pos="360"/>
          <w:tab w:val="left" w:pos="1440"/>
          <w:tab w:val="left" w:pos="2160"/>
          <w:tab w:val="left" w:pos="2880"/>
          <w:tab w:val="left" w:pos="3600"/>
          <w:tab w:val="left" w:pos="4320"/>
          <w:tab w:val="left" w:pos="5490"/>
          <w:tab w:val="left" w:pos="6660"/>
          <w:tab w:val="left" w:pos="7920"/>
        </w:tabs>
        <w:ind w:hanging="547"/>
        <w:rPr>
          <w:b/>
        </w:rPr>
      </w:pPr>
      <w:r w:rsidRPr="006F6171">
        <w:t xml:space="preserve">   6.</w:t>
      </w:r>
      <w:r w:rsidRPr="006F6171">
        <w:tab/>
        <w:t>All low-income units in the project are and have been for use by the general public and used on a non-transient basis (except for transitional housing for the homeless provided under Section 42</w:t>
      </w:r>
      <w:r w:rsidR="00596F90" w:rsidRPr="006F6171">
        <w:t xml:space="preserve"> (i)(3)(B)(iii) of the Code):</w:t>
      </w:r>
      <w:r w:rsidR="00596F90" w:rsidRPr="006F6171">
        <w:tab/>
      </w:r>
      <w:r w:rsidR="00596F90" w:rsidRPr="006F6171">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HOMELESS</w:t>
      </w:r>
    </w:p>
    <w:p w14:paraId="6D5AADEB"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4ACEF500" w14:textId="77777777" w:rsidR="00C058E7" w:rsidRPr="006F6171" w:rsidRDefault="00C058E7" w:rsidP="00BE5856">
      <w:pPr>
        <w:pStyle w:val="BodyTextIndent"/>
        <w:keepNext/>
        <w:widowControl w:val="0"/>
        <w:numPr>
          <w:ilvl w:val="0"/>
          <w:numId w:val="57"/>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There has been no finding of discrimination under the Fair Housing Act, 42 U.S.C 3601-3619 with respect to this project.  A finding of discrimination includes an adverse final decision by the Secretary of Housing and Urban Development (HUD), 24 CFR 180.680, an adverse final decision by a substantially equivalent state or local fair housing agency, 42 U.S.C 3616a(a)(1), or an adverse judgment from a federal court:</w:t>
      </w:r>
    </w:p>
    <w:p w14:paraId="0099D8BF"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rPr>
          <w:b/>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FINDING</w:t>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 FINDING</w:t>
      </w:r>
    </w:p>
    <w:p w14:paraId="291CBF66"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rPr>
          <w:b/>
        </w:rPr>
      </w:pPr>
    </w:p>
    <w:p w14:paraId="4EE785BF"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pPr>
      <w:r w:rsidRPr="006F6171">
        <w:rPr>
          <w:b/>
        </w:rPr>
        <w:tab/>
      </w:r>
      <w:r w:rsidRPr="006F6171">
        <w:t>If “</w:t>
      </w:r>
      <w:r w:rsidRPr="006F6171">
        <w:rPr>
          <w:b/>
        </w:rPr>
        <w:t>Finding</w:t>
      </w:r>
      <w:r w:rsidRPr="006F6171">
        <w:t>”, please explain the nature of the violation and attach a copy of the decision or judgment.</w:t>
      </w:r>
    </w:p>
    <w:p w14:paraId="2302BFA0"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3B7E2701" w14:textId="77777777" w:rsidR="00C058E7" w:rsidRPr="006F6171" w:rsidRDefault="00C058E7" w:rsidP="00BE5856">
      <w:pPr>
        <w:pStyle w:val="BodyTextIndent"/>
        <w:keepNext/>
        <w:widowControl w:val="0"/>
        <w:numPr>
          <w:ilvl w:val="0"/>
          <w:numId w:val="56"/>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There has been no finding of discrimination under any other applicable local, State or federal equal access or nondiscrimination law with respect to this project.  A finding of discrimination includes an adverse final decision by the governmental agency responsible for administering such law, or an adverse judgment from a court with jurisdiction over such law:</w:t>
      </w:r>
    </w:p>
    <w:p w14:paraId="71AB2EF2" w14:textId="77777777" w:rsidR="00C058E7" w:rsidRPr="006F6171"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FINDING</w:t>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 FINDING</w:t>
      </w:r>
    </w:p>
    <w:p w14:paraId="4F34F518"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hanging="540"/>
        <w:rPr>
          <w:b/>
        </w:rPr>
      </w:pPr>
    </w:p>
    <w:p w14:paraId="3DAB8B3C"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hanging="540"/>
      </w:pPr>
      <w:r w:rsidRPr="006F6171">
        <w:rPr>
          <w:b/>
        </w:rPr>
        <w:tab/>
      </w:r>
      <w:r w:rsidRPr="006F6171">
        <w:t>If “</w:t>
      </w:r>
      <w:r w:rsidRPr="006F6171">
        <w:rPr>
          <w:b/>
        </w:rPr>
        <w:t>Finding</w:t>
      </w:r>
      <w:r w:rsidRPr="006F6171">
        <w:t>”, please explain the nature of the violation and attach a copy of the decision or judgment.</w:t>
      </w:r>
    </w:p>
    <w:p w14:paraId="79095DC0"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hanging="540"/>
      </w:pPr>
    </w:p>
    <w:p w14:paraId="775E9099" w14:textId="77777777" w:rsidR="00C058E7" w:rsidRPr="006F6171" w:rsidRDefault="00C058E7" w:rsidP="00BE5856">
      <w:pPr>
        <w:pStyle w:val="BodyTextIndent"/>
        <w:keepNext/>
        <w:widowControl w:val="0"/>
        <w:numPr>
          <w:ilvl w:val="0"/>
          <w:numId w:val="56"/>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Each building in the project is and has been suitable for occupancy, taking into account local health, safety, and building codes (or other habitability standards), and the state or local government unit responsible for making building code inspections did not issue a report of a violation for any building or low income unit in the project:</w:t>
      </w:r>
    </w:p>
    <w:p w14:paraId="01DE358C" w14:textId="77777777" w:rsidR="00C058E7" w:rsidRPr="006F6171"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ind w:left="547" w:hanging="7"/>
      </w:pPr>
      <w:r w:rsidRPr="006F6171">
        <w:tab/>
      </w:r>
      <w:r w:rsidRPr="006F6171">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p>
    <w:p w14:paraId="44B8E7FE"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33" w:hanging="540"/>
      </w:pPr>
      <w:r w:rsidRPr="006F6171">
        <w:tab/>
      </w:r>
      <w:r w:rsidRPr="006F6171">
        <w:br/>
        <w:t xml:space="preserve">If </w:t>
      </w:r>
      <w:r w:rsidRPr="006F6171">
        <w:rPr>
          <w:b/>
        </w:rPr>
        <w:t>"No"</w:t>
      </w:r>
      <w:r w:rsidRPr="006F6171">
        <w:t>, explain the nature of violation on page 4 and attach a copy of the violation report as required by 26 CFR 1.42-5 and any documentation of correction.</w:t>
      </w:r>
    </w:p>
    <w:p w14:paraId="04A8D498"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33" w:hanging="540"/>
      </w:pPr>
    </w:p>
    <w:p w14:paraId="5BF0831D"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33" w:hanging="540"/>
      </w:pPr>
      <w:r w:rsidRPr="006F6171">
        <w:t>10.</w:t>
      </w:r>
      <w:r w:rsidRPr="006F6171">
        <w:tab/>
        <w:t>Each building and all FedHome (HOME) assisted units are suitable for occupancy, taking into account State and local health, safety, and other applicable codes, ordinances, and requirements, and the ongoing property standards established by the participating jurisdiction (MaineHousing) to meet the requirements of 24 CFR, Part 92,  HOME Investment Partnership Program, Section 92.251.</w:t>
      </w:r>
    </w:p>
    <w:p w14:paraId="34E2DCB5" w14:textId="77777777" w:rsidR="00C058E7" w:rsidRPr="006F6171"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sz w:val="16"/>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N/A</w:t>
      </w:r>
    </w:p>
    <w:p w14:paraId="7E39D82D"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33" w:hanging="533"/>
      </w:pPr>
    </w:p>
    <w:p w14:paraId="0C27410B"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pPr>
      <w:r w:rsidRPr="006F6171">
        <w:t>11.</w:t>
      </w:r>
      <w:r w:rsidRPr="006F6171">
        <w:tab/>
        <w:t xml:space="preserve">There has been </w:t>
      </w:r>
      <w:r w:rsidRPr="006F6171">
        <w:rPr>
          <w:b/>
        </w:rPr>
        <w:t>no change in the eligible basis</w:t>
      </w:r>
      <w:r w:rsidRPr="006F6171">
        <w:t xml:space="preserve"> (as defined in Section 42(d) of the Code) of any building in the project since last certification submission:</w:t>
      </w:r>
      <w:r w:rsidRPr="006F6171">
        <w:tab/>
      </w:r>
    </w:p>
    <w:p w14:paraId="58F6FEDD"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rPr>
          <w:sz w:val="16"/>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 CHANGE</w:t>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CHANGE</w:t>
      </w:r>
      <w:r w:rsidRPr="006F6171">
        <w:rPr>
          <w:b/>
        </w:rPr>
        <w:br/>
      </w:r>
    </w:p>
    <w:p w14:paraId="169C4326"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rPr>
          <w:u w:val="single"/>
        </w:rPr>
      </w:pPr>
      <w:r w:rsidRPr="006F6171">
        <w:rPr>
          <w:sz w:val="16"/>
        </w:rPr>
        <w:tab/>
      </w:r>
      <w:r w:rsidRPr="006F6171">
        <w:t xml:space="preserve">If </w:t>
      </w:r>
      <w:r w:rsidRPr="006F6171">
        <w:rPr>
          <w:b/>
        </w:rPr>
        <w:t>"Change"</w:t>
      </w:r>
      <w:r w:rsidRPr="006F6171">
        <w:t xml:space="preserve">, state nature of change (e.g., a common area has become commercial space, a fee is now charged for a tenant facility formerly provided without charge, or the project owner has received federal </w:t>
      </w:r>
      <w:r w:rsidRPr="006F6171">
        <w:lastRenderedPageBreak/>
        <w:t>subsidies with respect to the project which had not been disclosed to the allocating authority in writing) on page 4:</w:t>
      </w:r>
    </w:p>
    <w:p w14:paraId="03C8BAA3"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46ACAAAC" w14:textId="77777777" w:rsidR="00C058E7" w:rsidRPr="006F6171" w:rsidRDefault="00C058E7" w:rsidP="00BE5856">
      <w:pPr>
        <w:pStyle w:val="BodyTextIndent"/>
        <w:keepNext/>
        <w:widowControl w:val="0"/>
        <w:numPr>
          <w:ilvl w:val="0"/>
          <w:numId w:val="58"/>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All tenant facilities included in the eligible basis under Section 42(d) of the Code of any building in the project, such as swimming pools, other recreational facilities, parking areas, washer/dryer hookups, and appliances were provided on a comparable basis without charge to all tenants in the buildings:</w:t>
      </w:r>
    </w:p>
    <w:p w14:paraId="691C6FCF"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p>
    <w:p w14:paraId="02FA448D"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720"/>
        <w:rPr>
          <w:sz w:val="14"/>
        </w:rPr>
      </w:pPr>
    </w:p>
    <w:p w14:paraId="56247B5C" w14:textId="77777777" w:rsidR="00C058E7" w:rsidRPr="006F6171" w:rsidRDefault="00C058E7" w:rsidP="00BE5856">
      <w:pPr>
        <w:pStyle w:val="BodyTextIndent"/>
        <w:keepNext/>
        <w:widowControl w:val="0"/>
        <w:numPr>
          <w:ilvl w:val="0"/>
          <w:numId w:val="58"/>
        </w:numPr>
        <w:tabs>
          <w:tab w:val="left" w:pos="540"/>
          <w:tab w:val="left" w:pos="81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If a low-income unit in the project has been vacant during the year, reasonable attempts were or are being made to rent that unit or the next available unit of comparable or smaller size to tenants having a qualifying income before any units were or will be rented to tenants not having a qualifying income:</w:t>
      </w:r>
    </w:p>
    <w:p w14:paraId="509D63B9"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rPr>
          <w:b/>
          <w:sz w:val="16"/>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p>
    <w:p w14:paraId="41077EE2"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720"/>
        <w:rPr>
          <w:sz w:val="14"/>
        </w:rPr>
      </w:pPr>
    </w:p>
    <w:p w14:paraId="579B734D" w14:textId="77777777" w:rsidR="00C058E7" w:rsidRPr="006F6171" w:rsidRDefault="00C058E7" w:rsidP="00BE5856">
      <w:pPr>
        <w:pStyle w:val="BodyTextIndent"/>
        <w:keepNext/>
        <w:widowControl w:val="0"/>
        <w:numPr>
          <w:ilvl w:val="0"/>
          <w:numId w:val="58"/>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If the income of tenants of a low-income unit in any building increased above the limit allowed in Section 42(g)(2)(D)(ii) of the Code, the next available unit of comparable or smaller size in that building was or will be rented to residents having a qualifying income:</w:t>
      </w:r>
      <w:r w:rsidRPr="006F6171">
        <w:tab/>
      </w:r>
    </w:p>
    <w:p w14:paraId="01A32A97" w14:textId="77777777" w:rsidR="00C058E7" w:rsidRPr="006F6171"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sz w:val="16"/>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p>
    <w:p w14:paraId="6BA59F9F"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4BE97C84" w14:textId="77777777" w:rsidR="00C058E7" w:rsidRPr="006F6171" w:rsidRDefault="00C058E7" w:rsidP="00BE5856">
      <w:pPr>
        <w:pStyle w:val="BodyTextIndent"/>
        <w:keepNext/>
        <w:widowControl w:val="0"/>
        <w:numPr>
          <w:ilvl w:val="0"/>
          <w:numId w:val="58"/>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Project complies with an extended low-income housing commitment as described in section 42(h)(6) (not applicable to buildings with tax credits from years 1987-1989):</w:t>
      </w:r>
    </w:p>
    <w:p w14:paraId="575AAC98" w14:textId="77777777" w:rsidR="00C058E7" w:rsidRPr="006F6171"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N/A</w:t>
      </w:r>
    </w:p>
    <w:p w14:paraId="4C9C187D"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rPr>
          <w:sz w:val="14"/>
        </w:rPr>
      </w:pPr>
    </w:p>
    <w:p w14:paraId="1B644203" w14:textId="77777777" w:rsidR="00C058E7" w:rsidRPr="006F6171" w:rsidRDefault="00C058E7" w:rsidP="00BE5856">
      <w:pPr>
        <w:pStyle w:val="BodyTextIndent"/>
        <w:keepNext/>
        <w:widowControl w:val="0"/>
        <w:numPr>
          <w:ilvl w:val="0"/>
          <w:numId w:val="58"/>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In the prior 12 month period, the owner has:</w:t>
      </w:r>
    </w:p>
    <w:p w14:paraId="70453551" w14:textId="77777777" w:rsidR="00C058E7" w:rsidRPr="006F6171" w:rsidRDefault="00C058E7" w:rsidP="00BE5856">
      <w:pPr>
        <w:pStyle w:val="BodyTextIndent"/>
        <w:keepNext/>
        <w:widowControl w:val="0"/>
        <w:numPr>
          <w:ilvl w:val="0"/>
          <w:numId w:val="55"/>
        </w:numPr>
        <w:tabs>
          <w:tab w:val="clear" w:pos="1440"/>
          <w:tab w:val="left" w:pos="540"/>
          <w:tab w:val="num" w:pos="1260"/>
          <w:tab w:val="left" w:pos="2160"/>
          <w:tab w:val="left" w:pos="2880"/>
          <w:tab w:val="left" w:pos="3600"/>
          <w:tab w:val="left" w:pos="4320"/>
          <w:tab w:val="left" w:pos="5040"/>
          <w:tab w:val="left" w:pos="6660"/>
          <w:tab w:val="left" w:pos="7920"/>
        </w:tabs>
        <w:overflowPunct w:val="0"/>
        <w:autoSpaceDE w:val="0"/>
        <w:autoSpaceDN w:val="0"/>
        <w:adjustRightInd w:val="0"/>
        <w:spacing w:after="0"/>
        <w:ind w:left="1260" w:hanging="540"/>
        <w:textAlignment w:val="baseline"/>
      </w:pPr>
      <w:r w:rsidRPr="006F6171">
        <w:t>terminated the tenancy of a tenant in a low income unit, including without limitation, non-renewal of the lease of an existing tenant in a low income unit, for other than good cause;</w:t>
      </w:r>
    </w:p>
    <w:p w14:paraId="2A1B6887" w14:textId="77777777" w:rsidR="00C058E7" w:rsidRPr="006F6171" w:rsidRDefault="00C058E7" w:rsidP="00BE5856">
      <w:pPr>
        <w:pStyle w:val="BodyTextIndent"/>
        <w:keepNext/>
        <w:widowControl w:val="0"/>
        <w:numPr>
          <w:ilvl w:val="0"/>
          <w:numId w:val="55"/>
        </w:numPr>
        <w:tabs>
          <w:tab w:val="clear" w:pos="1440"/>
          <w:tab w:val="left" w:pos="540"/>
          <w:tab w:val="num" w:pos="1260"/>
          <w:tab w:val="left" w:pos="1980"/>
          <w:tab w:val="left" w:pos="2880"/>
          <w:tab w:val="left" w:pos="3600"/>
          <w:tab w:val="left" w:pos="4320"/>
          <w:tab w:val="left" w:pos="5040"/>
          <w:tab w:val="left" w:pos="6660"/>
          <w:tab w:val="left" w:pos="7920"/>
        </w:tabs>
        <w:overflowPunct w:val="0"/>
        <w:autoSpaceDE w:val="0"/>
        <w:autoSpaceDN w:val="0"/>
        <w:adjustRightInd w:val="0"/>
        <w:spacing w:after="0"/>
        <w:ind w:left="1260" w:hanging="540"/>
        <w:textAlignment w:val="baseline"/>
      </w:pPr>
      <w:r w:rsidRPr="006F6171">
        <w:t>increased the gross rent of a tenant with respect to a low income unit not otherwise permitted under Section 42 of the Code and any other applicable program (e.g. HOME, HUD Section 8);</w:t>
      </w:r>
    </w:p>
    <w:p w14:paraId="7885BF82" w14:textId="77777777" w:rsidR="00C058E7" w:rsidRPr="006F6171" w:rsidRDefault="00C058E7" w:rsidP="00BE5856">
      <w:pPr>
        <w:pStyle w:val="BodyTextIndent"/>
        <w:keepNext/>
        <w:widowControl w:val="0"/>
        <w:numPr>
          <w:ilvl w:val="0"/>
          <w:numId w:val="55"/>
        </w:numPr>
        <w:tabs>
          <w:tab w:val="clear" w:pos="1440"/>
          <w:tab w:val="num" w:pos="1260"/>
          <w:tab w:val="left" w:pos="2880"/>
          <w:tab w:val="left" w:pos="3600"/>
          <w:tab w:val="left" w:pos="4320"/>
          <w:tab w:val="left" w:pos="5040"/>
          <w:tab w:val="left" w:pos="6660"/>
          <w:tab w:val="left" w:pos="7920"/>
        </w:tabs>
        <w:overflowPunct w:val="0"/>
        <w:autoSpaceDE w:val="0"/>
        <w:autoSpaceDN w:val="0"/>
        <w:adjustRightInd w:val="0"/>
        <w:spacing w:after="0"/>
        <w:ind w:left="1260" w:hanging="540"/>
        <w:textAlignment w:val="baseline"/>
      </w:pPr>
      <w:r w:rsidRPr="006F6171">
        <w:t>denied tenancy to any applicant or terminated the tenancy of any tenant solely because the applicant or tenant had a Section 8 voucher or certificate; or</w:t>
      </w:r>
    </w:p>
    <w:p w14:paraId="3E10CE78" w14:textId="77777777" w:rsidR="00C058E7" w:rsidRPr="006F6171" w:rsidRDefault="00C058E7" w:rsidP="00BE5856">
      <w:pPr>
        <w:pStyle w:val="BodyTextIndent"/>
        <w:keepNext/>
        <w:widowControl w:val="0"/>
        <w:numPr>
          <w:ilvl w:val="0"/>
          <w:numId w:val="55"/>
        </w:numPr>
        <w:tabs>
          <w:tab w:val="clear" w:pos="1440"/>
          <w:tab w:val="num" w:pos="1260"/>
          <w:tab w:val="left" w:pos="2880"/>
          <w:tab w:val="left" w:pos="3600"/>
          <w:tab w:val="left" w:pos="4320"/>
          <w:tab w:val="left" w:pos="5040"/>
          <w:tab w:val="left" w:pos="6660"/>
          <w:tab w:val="left" w:pos="7920"/>
        </w:tabs>
        <w:overflowPunct w:val="0"/>
        <w:autoSpaceDE w:val="0"/>
        <w:autoSpaceDN w:val="0"/>
        <w:adjustRightInd w:val="0"/>
        <w:spacing w:after="0"/>
        <w:ind w:left="1260" w:hanging="540"/>
        <w:textAlignment w:val="baseline"/>
      </w:pPr>
      <w:r w:rsidRPr="006F6171">
        <w:t>denied tenancy to any applicant, terminated the tenancy of any tenant, or failed to assist a tenant in finding alternative appropriate housing in violation of Title VI of the Violence Against Women Reauthorization Act of 2013, 34 USC Subpart 2 – housing rights Chapter 121 and applicable  regulations (VAWA), as amended.</w:t>
      </w:r>
    </w:p>
    <w:p w14:paraId="25CDAF55" w14:textId="77777777" w:rsidR="00C058E7" w:rsidRPr="006F6171"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rPr>
          <w:b/>
          <w:sz w:val="16"/>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r w:rsidRPr="006F6171">
        <w:rPr>
          <w:b/>
        </w:rPr>
        <w:br/>
      </w:r>
      <w:r w:rsidRPr="006F6171">
        <w:rPr>
          <w:b/>
        </w:rPr>
        <w:tab/>
      </w:r>
      <w:r w:rsidRPr="006F6171">
        <w:rPr>
          <w:b/>
        </w:rPr>
        <w:tab/>
      </w:r>
    </w:p>
    <w:p w14:paraId="5ECC0C45" w14:textId="77777777" w:rsidR="00C058E7" w:rsidRPr="006F6171" w:rsidRDefault="00C058E7" w:rsidP="00C058E7">
      <w:pPr>
        <w:pStyle w:val="BodyTextIndent"/>
        <w:keepNext/>
        <w:tabs>
          <w:tab w:val="left" w:pos="540"/>
          <w:tab w:val="left" w:pos="900"/>
          <w:tab w:val="left" w:pos="1440"/>
          <w:tab w:val="left" w:pos="2160"/>
          <w:tab w:val="left" w:pos="2880"/>
          <w:tab w:val="left" w:pos="3600"/>
          <w:tab w:val="left" w:pos="4320"/>
          <w:tab w:val="left" w:pos="5040"/>
          <w:tab w:val="left" w:pos="6660"/>
          <w:tab w:val="left" w:pos="7920"/>
        </w:tabs>
        <w:ind w:left="540" w:hanging="540"/>
      </w:pPr>
      <w:r w:rsidRPr="006F6171">
        <w:tab/>
        <w:t xml:space="preserve">If </w:t>
      </w:r>
      <w:r w:rsidRPr="006F6171">
        <w:rPr>
          <w:b/>
        </w:rPr>
        <w:t>“Yes</w:t>
      </w:r>
      <w:r w:rsidRPr="006F6171">
        <w:t>”, please explain the nature of the violation on page 4.</w:t>
      </w:r>
    </w:p>
    <w:p w14:paraId="54FF9C57" w14:textId="77777777" w:rsidR="00C058E7" w:rsidRPr="006F6171" w:rsidRDefault="00C058E7" w:rsidP="00C058E7">
      <w:pPr>
        <w:pStyle w:val="BodyTextIndent"/>
        <w:keepNext/>
        <w:tabs>
          <w:tab w:val="left" w:pos="540"/>
          <w:tab w:val="left" w:pos="900"/>
          <w:tab w:val="left" w:pos="1440"/>
          <w:tab w:val="left" w:pos="2160"/>
          <w:tab w:val="left" w:pos="2880"/>
          <w:tab w:val="left" w:pos="3600"/>
          <w:tab w:val="left" w:pos="4320"/>
          <w:tab w:val="left" w:pos="5040"/>
          <w:tab w:val="left" w:pos="6660"/>
          <w:tab w:val="left" w:pos="7920"/>
        </w:tabs>
        <w:ind w:left="0" w:hanging="540"/>
      </w:pPr>
    </w:p>
    <w:p w14:paraId="6D1D974F" w14:textId="77777777" w:rsidR="00C058E7" w:rsidRPr="006F6171" w:rsidRDefault="00C058E7" w:rsidP="00BE5856">
      <w:pPr>
        <w:pStyle w:val="BodyTextIndent"/>
        <w:keepNext/>
        <w:widowControl w:val="0"/>
        <w:numPr>
          <w:ilvl w:val="0"/>
          <w:numId w:val="58"/>
        </w:numPr>
        <w:tabs>
          <w:tab w:val="left" w:pos="540"/>
          <w:tab w:val="left" w:pos="90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The project complies with the requirements of all applicable Federal and State Housing Programs included in the development (e.g., Rural Housing Services, HOME, HUD Section 8, or Tax-Exempt Bonds).</w:t>
      </w:r>
    </w:p>
    <w:p w14:paraId="2342AC82"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b/>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r w:rsidRPr="006F6171">
        <w:rPr>
          <w:b/>
        </w:rPr>
        <w:br/>
      </w:r>
    </w:p>
    <w:p w14:paraId="4FE0C5FA"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630" w:hanging="540"/>
        <w:rPr>
          <w:sz w:val="14"/>
        </w:rPr>
      </w:pPr>
      <w:r w:rsidRPr="006F6171">
        <w:rPr>
          <w:b/>
        </w:rPr>
        <w:tab/>
      </w:r>
      <w:r w:rsidRPr="006F6171">
        <w:t xml:space="preserve">If </w:t>
      </w:r>
      <w:r w:rsidRPr="006F6171">
        <w:rPr>
          <w:b/>
        </w:rPr>
        <w:t>“No</w:t>
      </w:r>
      <w:r w:rsidRPr="006F6171">
        <w:t>”, please explain the nature of the violation on page 4.</w:t>
      </w:r>
      <w:r w:rsidRPr="006F6171">
        <w:rPr>
          <w:b/>
        </w:rPr>
        <w:tab/>
      </w:r>
      <w:r w:rsidRPr="006F6171">
        <w:rPr>
          <w:b/>
        </w:rPr>
        <w:br/>
      </w:r>
    </w:p>
    <w:p w14:paraId="7D17DDFC" w14:textId="77777777" w:rsidR="00C058E7" w:rsidRPr="006F6171" w:rsidRDefault="00C058E7" w:rsidP="00BE5856">
      <w:pPr>
        <w:pStyle w:val="BodyTextIndent"/>
        <w:keepNext/>
        <w:widowControl w:val="0"/>
        <w:numPr>
          <w:ilvl w:val="0"/>
          <w:numId w:val="58"/>
        </w:numPr>
        <w:tabs>
          <w:tab w:val="left" w:pos="540"/>
          <w:tab w:val="left" w:pos="1440"/>
          <w:tab w:val="left" w:pos="2160"/>
          <w:tab w:val="left" w:pos="2880"/>
          <w:tab w:val="left" w:pos="3600"/>
          <w:tab w:val="left" w:pos="4320"/>
          <w:tab w:val="left" w:pos="5040"/>
          <w:tab w:val="left" w:pos="6660"/>
          <w:tab w:val="left" w:pos="7920"/>
        </w:tabs>
        <w:overflowPunct w:val="0"/>
        <w:autoSpaceDE w:val="0"/>
        <w:autoSpaceDN w:val="0"/>
        <w:adjustRightInd w:val="0"/>
        <w:spacing w:after="0"/>
        <w:ind w:left="540" w:hanging="540"/>
        <w:textAlignment w:val="baseline"/>
      </w:pPr>
      <w:r w:rsidRPr="006F6171">
        <w:t xml:space="preserve">The owner received its credit allocation from the portion of the state ceiling set-aside for a project involving "qualified non-profit organizations" under Section 42(h)(5) of the code and its non-profit entity materially participated in the operation of the development within the meaning of Section 469(h) of the Code. </w:t>
      </w:r>
    </w:p>
    <w:p w14:paraId="17AC0868" w14:textId="77777777" w:rsidR="00C058E7" w:rsidRPr="006F6171"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ind w:left="547" w:hanging="7"/>
        <w:rPr>
          <w:b/>
        </w:rPr>
      </w:pPr>
      <w:r w:rsidRPr="006F6171">
        <w:tab/>
      </w:r>
      <w:r w:rsidRPr="006F6171">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N/A</w:t>
      </w:r>
    </w:p>
    <w:p w14:paraId="3DCB3B00"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7" w:hanging="540"/>
        <w:rPr>
          <w:b/>
          <w:sz w:val="16"/>
        </w:rPr>
      </w:pPr>
    </w:p>
    <w:p w14:paraId="38A331D6" w14:textId="77777777" w:rsidR="00C058E7" w:rsidRPr="006F6171" w:rsidRDefault="00C058E7" w:rsidP="00C058E7">
      <w:pPr>
        <w:keepLines/>
        <w:ind w:left="630" w:hanging="630"/>
        <w:jc w:val="both"/>
      </w:pPr>
      <w:r w:rsidRPr="006F6171">
        <w:t>19.    The property has not suffered a casualty loss resulting in the displacement of residents.</w:t>
      </w:r>
    </w:p>
    <w:p w14:paraId="67BBB97A" w14:textId="77777777" w:rsidR="00C058E7" w:rsidRPr="006F6171" w:rsidRDefault="00C058E7" w:rsidP="00C058E7">
      <w:pPr>
        <w:keepLines/>
        <w:ind w:left="720" w:firstLine="720"/>
        <w:rPr>
          <w:b/>
        </w:rPr>
      </w:pP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YES</w:t>
      </w:r>
      <w:r w:rsidRPr="006F6171">
        <w:rPr>
          <w:b/>
        </w:rPr>
        <w:tab/>
      </w: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w:t>
      </w:r>
    </w:p>
    <w:p w14:paraId="27C77C40" w14:textId="77777777" w:rsidR="00C058E7" w:rsidRPr="006F6171" w:rsidRDefault="00C058E7" w:rsidP="00C058E7">
      <w:pPr>
        <w:keepLines/>
        <w:ind w:left="720" w:hanging="180"/>
      </w:pPr>
      <w:r w:rsidRPr="006F6171">
        <w:t>If “Yes”, please explain the nature of the loss on page 4.</w:t>
      </w:r>
    </w:p>
    <w:p w14:paraId="2AF6718D"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4B6F00F1" w14:textId="77777777" w:rsidR="00C058E7" w:rsidRPr="006F6171" w:rsidRDefault="00C058E7" w:rsidP="00596F90">
      <w:pPr>
        <w:pStyle w:val="BodyTextIndent"/>
        <w:keepNext/>
        <w:tabs>
          <w:tab w:val="left" w:pos="540"/>
          <w:tab w:val="left" w:pos="1440"/>
          <w:tab w:val="left" w:pos="2160"/>
          <w:tab w:val="left" w:pos="2880"/>
          <w:tab w:val="left" w:pos="3600"/>
          <w:tab w:val="left" w:pos="4320"/>
          <w:tab w:val="left" w:pos="5040"/>
          <w:tab w:val="left" w:pos="6660"/>
          <w:tab w:val="left" w:pos="7920"/>
        </w:tabs>
        <w:ind w:hanging="450"/>
      </w:pPr>
      <w:r w:rsidRPr="006F6171">
        <w:lastRenderedPageBreak/>
        <w:t>20.    There has been no change in the ownership or management of the project:</w:t>
      </w:r>
    </w:p>
    <w:p w14:paraId="7C840BC4" w14:textId="77777777" w:rsidR="00C058E7" w:rsidRPr="006F6171" w:rsidRDefault="00C058E7" w:rsidP="00C058E7">
      <w:pPr>
        <w:pStyle w:val="BodyTextIndent"/>
        <w:keepNext/>
        <w:tabs>
          <w:tab w:val="left" w:pos="540"/>
          <w:tab w:val="left" w:pos="1440"/>
          <w:tab w:val="left" w:pos="2160"/>
          <w:tab w:val="left" w:pos="2880"/>
          <w:tab w:val="left" w:pos="3600"/>
          <w:tab w:val="left" w:pos="4320"/>
          <w:tab w:val="left" w:pos="5040"/>
          <w:tab w:val="left" w:pos="6660"/>
          <w:tab w:val="left" w:pos="7920"/>
        </w:tabs>
        <w:ind w:left="540" w:hanging="540"/>
        <w:rPr>
          <w:b/>
          <w:sz w:val="16"/>
        </w:rPr>
      </w:pPr>
      <w:r w:rsidRPr="006F6171">
        <w:rPr>
          <w:b/>
        </w:rPr>
        <w:tab/>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NO CHANGE</w:t>
      </w:r>
      <w:r w:rsidRPr="006F6171">
        <w:rPr>
          <w:b/>
        </w:rPr>
        <w:tab/>
      </w:r>
      <w:r w:rsidRPr="006F6171">
        <w:rPr>
          <w:b/>
        </w:rPr>
        <w:fldChar w:fldCharType="begin"/>
      </w:r>
      <w:r w:rsidRPr="006F6171">
        <w:rPr>
          <w:b/>
        </w:rPr>
        <w:instrText>symbol 111 \f "Wingdings" \s 10</w:instrText>
      </w:r>
      <w:r w:rsidRPr="006F6171">
        <w:rPr>
          <w:b/>
        </w:rPr>
        <w:fldChar w:fldCharType="separate"/>
      </w:r>
      <w:r w:rsidRPr="006F6171">
        <w:rPr>
          <w:b/>
        </w:rPr>
        <w:t>o</w:t>
      </w:r>
      <w:r w:rsidRPr="006F6171">
        <w:rPr>
          <w:b/>
        </w:rPr>
        <w:fldChar w:fldCharType="end"/>
      </w:r>
      <w:r w:rsidRPr="006F6171">
        <w:rPr>
          <w:b/>
        </w:rPr>
        <w:t xml:space="preserve"> CHANGE</w:t>
      </w:r>
      <w:r w:rsidRPr="006F6171">
        <w:rPr>
          <w:b/>
        </w:rPr>
        <w:br/>
      </w:r>
    </w:p>
    <w:p w14:paraId="70C465D2" w14:textId="77777777" w:rsidR="00C058E7" w:rsidRPr="006F6171" w:rsidRDefault="00C058E7" w:rsidP="00C058E7">
      <w:pPr>
        <w:keepNext/>
        <w:tabs>
          <w:tab w:val="left" w:pos="540"/>
          <w:tab w:val="left" w:pos="1440"/>
          <w:tab w:val="left" w:pos="2160"/>
          <w:tab w:val="left" w:pos="2880"/>
          <w:tab w:val="left" w:pos="3600"/>
          <w:tab w:val="left" w:pos="4320"/>
          <w:tab w:val="left" w:pos="5040"/>
          <w:tab w:val="left" w:pos="6660"/>
          <w:tab w:val="left" w:pos="7920"/>
        </w:tabs>
        <w:ind w:left="540" w:hanging="720"/>
      </w:pPr>
      <w:r w:rsidRPr="006F6171">
        <w:tab/>
        <w:t xml:space="preserve">If </w:t>
      </w:r>
      <w:r w:rsidRPr="006F6171">
        <w:rPr>
          <w:b/>
        </w:rPr>
        <w:t>"Change"</w:t>
      </w:r>
      <w:r w:rsidRPr="006F6171">
        <w:t>, complete page 4 detailing the changes in ownership or management of the project.</w:t>
      </w:r>
    </w:p>
    <w:p w14:paraId="398320CD"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768E2785" w14:textId="77777777" w:rsidR="00C058E7" w:rsidRPr="006F6171" w:rsidRDefault="00C058E7" w:rsidP="00C058E7">
      <w:pPr>
        <w:keepLines/>
      </w:pPr>
      <w:r w:rsidRPr="006F6171">
        <w:rPr>
          <w:b/>
        </w:rPr>
        <w:t>Note:  Failure to complete this form in its entirety will result in noncompliance with program requirements.  In addition, any individual other than an owner or general partner of the project is not permitted to sign this form, unless permitted by the state agency.</w:t>
      </w:r>
    </w:p>
    <w:p w14:paraId="468F0B5B" w14:textId="77777777" w:rsidR="00C058E7" w:rsidRPr="006F6171" w:rsidRDefault="00C058E7" w:rsidP="00C058E7">
      <w:pPr>
        <w:tabs>
          <w:tab w:val="left" w:pos="540"/>
          <w:tab w:val="left" w:pos="1440"/>
          <w:tab w:val="left" w:pos="2160"/>
          <w:tab w:val="left" w:pos="2880"/>
          <w:tab w:val="left" w:pos="3600"/>
          <w:tab w:val="left" w:pos="4320"/>
          <w:tab w:val="left" w:pos="5490"/>
          <w:tab w:val="left" w:pos="6660"/>
          <w:tab w:val="left" w:pos="7920"/>
        </w:tabs>
        <w:ind w:left="540" w:hanging="540"/>
        <w:rPr>
          <w:sz w:val="14"/>
        </w:rPr>
      </w:pPr>
    </w:p>
    <w:p w14:paraId="78B38D94" w14:textId="77777777" w:rsidR="00C058E7" w:rsidRPr="006F6171" w:rsidRDefault="00C058E7" w:rsidP="00C058E7">
      <w:pPr>
        <w:keepLines/>
        <w:rPr>
          <w:sz w:val="16"/>
        </w:rPr>
      </w:pPr>
      <w:r w:rsidRPr="006F6171">
        <w:t xml:space="preserve">The project is otherwise in compliance with the Code, including any Treasury Regulations, the applicable State Allocation Plan, and all other applicable laws, rules and regulations.  This Certification and any attachments are made UNDER PENALTY OF PERJURY.  </w:t>
      </w:r>
    </w:p>
    <w:p w14:paraId="1B4B59B5" w14:textId="77777777" w:rsidR="00C058E7" w:rsidRPr="006F6171" w:rsidRDefault="00C058E7" w:rsidP="00C058E7">
      <w:pPr>
        <w:keepLines/>
        <w:rPr>
          <w:sz w:val="16"/>
        </w:rPr>
      </w:pPr>
    </w:p>
    <w:p w14:paraId="34BD40CF" w14:textId="77777777" w:rsidR="00C058E7" w:rsidRPr="006F6171" w:rsidRDefault="00C058E7" w:rsidP="00C058E7">
      <w:pPr>
        <w:keepLines/>
        <w:rPr>
          <w:sz w:val="16"/>
        </w:rPr>
      </w:pPr>
    </w:p>
    <w:p w14:paraId="5B6C06AF" w14:textId="77777777" w:rsidR="00C058E7" w:rsidRPr="006F6171" w:rsidRDefault="00C058E7" w:rsidP="00C058E7">
      <w:pPr>
        <w:pStyle w:val="BodyText"/>
        <w:keepLines/>
        <w:tabs>
          <w:tab w:val="right" w:pos="4860"/>
        </w:tabs>
      </w:pPr>
      <w:r w:rsidRPr="006F6171">
        <w:tab/>
      </w:r>
      <w:r w:rsidRPr="006F6171">
        <w:tab/>
        <w:t>__________________________________</w:t>
      </w:r>
    </w:p>
    <w:p w14:paraId="5A495E56" w14:textId="77777777" w:rsidR="00C058E7" w:rsidRPr="006F6171" w:rsidRDefault="00C058E7" w:rsidP="00C058E7">
      <w:pPr>
        <w:pStyle w:val="BodyText"/>
        <w:keepLines/>
        <w:tabs>
          <w:tab w:val="right" w:pos="7920"/>
        </w:tabs>
      </w:pPr>
      <w:r w:rsidRPr="006F6171">
        <w:tab/>
        <w:t>(Ownership Entity)</w:t>
      </w:r>
    </w:p>
    <w:p w14:paraId="4BB4DF42" w14:textId="77777777" w:rsidR="00C058E7" w:rsidRPr="006F6171" w:rsidRDefault="00C058E7" w:rsidP="00C058E7">
      <w:pPr>
        <w:pStyle w:val="BodyText"/>
        <w:keepLines/>
        <w:tabs>
          <w:tab w:val="right" w:pos="4860"/>
        </w:tabs>
        <w:spacing w:line="360" w:lineRule="auto"/>
      </w:pPr>
      <w:r w:rsidRPr="006F6171">
        <w:t>By:  __________________________________</w:t>
      </w:r>
    </w:p>
    <w:p w14:paraId="74E5D4E5" w14:textId="77777777" w:rsidR="00C058E7" w:rsidRPr="006F6171" w:rsidRDefault="00C058E7" w:rsidP="00C058E7">
      <w:pPr>
        <w:pStyle w:val="BodyText"/>
        <w:keepLines/>
        <w:tabs>
          <w:tab w:val="right" w:pos="5040"/>
        </w:tabs>
        <w:spacing w:line="360" w:lineRule="auto"/>
        <w:rPr>
          <w:sz w:val="16"/>
        </w:rPr>
      </w:pPr>
      <w:r w:rsidRPr="006F6171">
        <w:t>Title:  __________________________________</w:t>
      </w:r>
    </w:p>
    <w:p w14:paraId="302540F1" w14:textId="77777777" w:rsidR="00C058E7" w:rsidRPr="006F6171"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spacing w:line="360" w:lineRule="auto"/>
        <w:ind w:left="0"/>
      </w:pPr>
      <w:r w:rsidRPr="006F6171">
        <w:t>Date:  __________________________________</w:t>
      </w:r>
    </w:p>
    <w:p w14:paraId="203918D2" w14:textId="77777777" w:rsidR="00C058E7" w:rsidRPr="006F6171"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ind w:left="0"/>
        <w:rPr>
          <w:sz w:val="16"/>
        </w:rPr>
      </w:pPr>
      <w:r w:rsidRPr="006F6171">
        <w:rPr>
          <w:sz w:val="16"/>
        </w:rPr>
        <w:br w:type="page"/>
      </w:r>
    </w:p>
    <w:p w14:paraId="4979FDC4" w14:textId="77777777" w:rsidR="00C058E7" w:rsidRPr="006F6171"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ind w:left="0"/>
        <w:rPr>
          <w:sz w:val="16"/>
        </w:rPr>
      </w:pPr>
    </w:p>
    <w:p w14:paraId="68091AFF" w14:textId="77777777" w:rsidR="00C058E7" w:rsidRPr="006F6171"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ind w:left="0"/>
        <w:rPr>
          <w:sz w:val="16"/>
        </w:rPr>
      </w:pPr>
    </w:p>
    <w:p w14:paraId="405D9DD3" w14:textId="77777777" w:rsidR="00C058E7" w:rsidRPr="006F6171" w:rsidRDefault="00C058E7" w:rsidP="00C058E7">
      <w:pPr>
        <w:pStyle w:val="BodyTextIndent"/>
        <w:keepLines/>
        <w:tabs>
          <w:tab w:val="left" w:pos="720"/>
          <w:tab w:val="left" w:pos="1440"/>
          <w:tab w:val="left" w:pos="2160"/>
          <w:tab w:val="left" w:pos="2880"/>
          <w:tab w:val="left" w:pos="3600"/>
          <w:tab w:val="left" w:pos="4320"/>
          <w:tab w:val="left" w:pos="5040"/>
          <w:tab w:val="left" w:pos="6660"/>
          <w:tab w:val="left" w:pos="7920"/>
        </w:tabs>
        <w:ind w:left="0"/>
        <w:rPr>
          <w:sz w:val="16"/>
        </w:rPr>
        <w:sectPr w:rsidR="00C058E7" w:rsidRPr="006F6171" w:rsidSect="00726985">
          <w:footerReference w:type="default" r:id="rId91"/>
          <w:endnotePr>
            <w:numFmt w:val="decimal"/>
          </w:endnotePr>
          <w:pgSz w:w="12240" w:h="15840" w:code="1"/>
          <w:pgMar w:top="432" w:right="720" w:bottom="720" w:left="720" w:header="432" w:footer="360" w:gutter="0"/>
          <w:pgNumType w:start="1"/>
          <w:cols w:space="720"/>
          <w:noEndnote/>
        </w:sectPr>
      </w:pPr>
    </w:p>
    <w:p w14:paraId="627C84C9" w14:textId="77777777" w:rsidR="00C058E7" w:rsidRPr="006F6171" w:rsidRDefault="00C058E7" w:rsidP="00C058E7">
      <w:pPr>
        <w:jc w:val="center"/>
        <w:rPr>
          <w:b/>
          <w:smallCaps/>
          <w:u w:val="single"/>
        </w:rPr>
      </w:pPr>
      <w:r w:rsidRPr="006F6171">
        <w:rPr>
          <w:b/>
          <w:smallCaps/>
          <w:u w:val="single"/>
        </w:rPr>
        <w:t>PLEASE PROVIDE ANY CHANGES OR EXPLANATIONS REQUIRED UNDER QUESTIONS 1-19.</w:t>
      </w:r>
    </w:p>
    <w:p w14:paraId="5DFF0AC1" w14:textId="77777777" w:rsidR="00C058E7" w:rsidRPr="006F6171" w:rsidRDefault="00C058E7" w:rsidP="00C058E7">
      <w:pPr>
        <w:jc w:val="center"/>
        <w:rPr>
          <w:b/>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0"/>
        <w:gridCol w:w="3960"/>
      </w:tblGrid>
      <w:tr w:rsidR="00C058E7" w:rsidRPr="006F6171" w14:paraId="6CEFDE89" w14:textId="77777777" w:rsidTr="00482261">
        <w:trPr>
          <w:jc w:val="center"/>
        </w:trPr>
        <w:tc>
          <w:tcPr>
            <w:tcW w:w="1100" w:type="dxa"/>
            <w:shd w:val="pct5" w:color="auto" w:fill="auto"/>
          </w:tcPr>
          <w:p w14:paraId="1C4C71FF" w14:textId="77777777" w:rsidR="00C058E7" w:rsidRPr="006F6171" w:rsidRDefault="00C058E7" w:rsidP="00482261">
            <w:pPr>
              <w:rPr>
                <w:b/>
                <w:sz w:val="18"/>
              </w:rPr>
            </w:pPr>
            <w:r w:rsidRPr="006F6171">
              <w:rPr>
                <w:b/>
                <w:sz w:val="18"/>
              </w:rPr>
              <w:t>Question</w:t>
            </w:r>
          </w:p>
          <w:p w14:paraId="3BBDFBFC" w14:textId="77777777" w:rsidR="00C058E7" w:rsidRPr="006F6171" w:rsidRDefault="00C058E7" w:rsidP="00482261">
            <w:pPr>
              <w:rPr>
                <w:b/>
              </w:rPr>
            </w:pPr>
            <w:r w:rsidRPr="006F6171">
              <w:rPr>
                <w:b/>
                <w:sz w:val="18"/>
              </w:rPr>
              <w:t>#</w:t>
            </w:r>
          </w:p>
        </w:tc>
        <w:tc>
          <w:tcPr>
            <w:tcW w:w="3960" w:type="dxa"/>
            <w:shd w:val="pct5" w:color="auto" w:fill="auto"/>
          </w:tcPr>
          <w:p w14:paraId="0278BCCE" w14:textId="77777777" w:rsidR="00C058E7" w:rsidRPr="006F6171" w:rsidRDefault="00C058E7" w:rsidP="00482261">
            <w:pPr>
              <w:jc w:val="center"/>
              <w:rPr>
                <w:b/>
                <w:u w:val="single"/>
              </w:rPr>
            </w:pPr>
            <w:r w:rsidRPr="006F6171">
              <w:rPr>
                <w:b/>
              </w:rPr>
              <w:t>Explanation</w:t>
            </w:r>
          </w:p>
        </w:tc>
      </w:tr>
      <w:tr w:rsidR="00C058E7" w:rsidRPr="006F6171" w14:paraId="579144CD" w14:textId="77777777" w:rsidTr="00482261">
        <w:trPr>
          <w:jc w:val="center"/>
        </w:trPr>
        <w:tc>
          <w:tcPr>
            <w:tcW w:w="1100" w:type="dxa"/>
          </w:tcPr>
          <w:p w14:paraId="49391459" w14:textId="77777777" w:rsidR="00C058E7" w:rsidRPr="006F6171" w:rsidRDefault="00C058E7" w:rsidP="00482261">
            <w:pPr>
              <w:rPr>
                <w:b/>
                <w:u w:val="single"/>
              </w:rPr>
            </w:pPr>
          </w:p>
          <w:p w14:paraId="2DCE7E5D" w14:textId="77777777" w:rsidR="00C058E7" w:rsidRPr="006F6171" w:rsidRDefault="00C058E7" w:rsidP="00482261">
            <w:pPr>
              <w:rPr>
                <w:b/>
                <w:u w:val="single"/>
              </w:rPr>
            </w:pPr>
          </w:p>
          <w:p w14:paraId="65D27C11" w14:textId="77777777" w:rsidR="00C058E7" w:rsidRPr="006F6171" w:rsidRDefault="00C058E7" w:rsidP="00482261">
            <w:pPr>
              <w:rPr>
                <w:b/>
                <w:u w:val="single"/>
              </w:rPr>
            </w:pPr>
          </w:p>
          <w:p w14:paraId="56EE808D" w14:textId="77777777" w:rsidR="00C058E7" w:rsidRPr="006F6171" w:rsidRDefault="00C058E7" w:rsidP="00482261">
            <w:pPr>
              <w:rPr>
                <w:b/>
                <w:u w:val="single"/>
              </w:rPr>
            </w:pPr>
          </w:p>
        </w:tc>
        <w:tc>
          <w:tcPr>
            <w:tcW w:w="3960" w:type="dxa"/>
          </w:tcPr>
          <w:p w14:paraId="16C67C0A" w14:textId="77777777" w:rsidR="00C058E7" w:rsidRPr="006F6171" w:rsidRDefault="00C058E7" w:rsidP="00482261">
            <w:pPr>
              <w:rPr>
                <w:b/>
                <w:u w:val="single"/>
              </w:rPr>
            </w:pPr>
          </w:p>
        </w:tc>
      </w:tr>
      <w:tr w:rsidR="00C058E7" w:rsidRPr="006F6171" w14:paraId="634A4DEB" w14:textId="77777777" w:rsidTr="00482261">
        <w:trPr>
          <w:jc w:val="center"/>
        </w:trPr>
        <w:tc>
          <w:tcPr>
            <w:tcW w:w="1100" w:type="dxa"/>
          </w:tcPr>
          <w:p w14:paraId="7B095D03" w14:textId="77777777" w:rsidR="00C058E7" w:rsidRPr="006F6171" w:rsidRDefault="00C058E7" w:rsidP="00482261">
            <w:pPr>
              <w:rPr>
                <w:b/>
                <w:u w:val="single"/>
              </w:rPr>
            </w:pPr>
          </w:p>
          <w:p w14:paraId="3142358D" w14:textId="77777777" w:rsidR="00C058E7" w:rsidRPr="006F6171" w:rsidRDefault="00C058E7" w:rsidP="00482261">
            <w:pPr>
              <w:rPr>
                <w:b/>
                <w:u w:val="single"/>
              </w:rPr>
            </w:pPr>
          </w:p>
          <w:p w14:paraId="540D26A2" w14:textId="77777777" w:rsidR="00C058E7" w:rsidRPr="006F6171" w:rsidRDefault="00C058E7" w:rsidP="00482261">
            <w:pPr>
              <w:rPr>
                <w:b/>
                <w:u w:val="single"/>
              </w:rPr>
            </w:pPr>
          </w:p>
          <w:p w14:paraId="178FE879" w14:textId="77777777" w:rsidR="00C058E7" w:rsidRPr="006F6171" w:rsidRDefault="00C058E7" w:rsidP="00482261">
            <w:pPr>
              <w:rPr>
                <w:b/>
                <w:u w:val="single"/>
              </w:rPr>
            </w:pPr>
          </w:p>
        </w:tc>
        <w:tc>
          <w:tcPr>
            <w:tcW w:w="3960" w:type="dxa"/>
          </w:tcPr>
          <w:p w14:paraId="06D638B6" w14:textId="77777777" w:rsidR="00C058E7" w:rsidRPr="006F6171" w:rsidRDefault="00C058E7" w:rsidP="00482261">
            <w:pPr>
              <w:rPr>
                <w:b/>
                <w:u w:val="single"/>
              </w:rPr>
            </w:pPr>
          </w:p>
        </w:tc>
      </w:tr>
      <w:tr w:rsidR="00C058E7" w:rsidRPr="006F6171" w14:paraId="355FB886" w14:textId="77777777" w:rsidTr="00482261">
        <w:trPr>
          <w:jc w:val="center"/>
        </w:trPr>
        <w:tc>
          <w:tcPr>
            <w:tcW w:w="1100" w:type="dxa"/>
          </w:tcPr>
          <w:p w14:paraId="349C2C3B" w14:textId="77777777" w:rsidR="00C058E7" w:rsidRPr="006F6171" w:rsidRDefault="00C058E7" w:rsidP="00482261">
            <w:pPr>
              <w:rPr>
                <w:b/>
                <w:u w:val="single"/>
              </w:rPr>
            </w:pPr>
          </w:p>
          <w:p w14:paraId="66599093" w14:textId="77777777" w:rsidR="00C058E7" w:rsidRPr="006F6171" w:rsidRDefault="00C058E7" w:rsidP="00482261">
            <w:pPr>
              <w:rPr>
                <w:b/>
                <w:u w:val="single"/>
              </w:rPr>
            </w:pPr>
          </w:p>
          <w:p w14:paraId="150C39A3" w14:textId="77777777" w:rsidR="00C058E7" w:rsidRPr="006F6171" w:rsidRDefault="00C058E7" w:rsidP="00482261">
            <w:pPr>
              <w:rPr>
                <w:b/>
                <w:u w:val="single"/>
              </w:rPr>
            </w:pPr>
          </w:p>
          <w:p w14:paraId="110BDAB7" w14:textId="77777777" w:rsidR="00C058E7" w:rsidRPr="006F6171" w:rsidRDefault="00C058E7" w:rsidP="00482261">
            <w:pPr>
              <w:rPr>
                <w:b/>
                <w:u w:val="single"/>
              </w:rPr>
            </w:pPr>
          </w:p>
        </w:tc>
        <w:tc>
          <w:tcPr>
            <w:tcW w:w="3960" w:type="dxa"/>
          </w:tcPr>
          <w:p w14:paraId="0ED25050" w14:textId="77777777" w:rsidR="00C058E7" w:rsidRPr="006F6171" w:rsidRDefault="00C058E7" w:rsidP="00482261">
            <w:pPr>
              <w:rPr>
                <w:b/>
                <w:u w:val="single"/>
              </w:rPr>
            </w:pPr>
          </w:p>
        </w:tc>
      </w:tr>
      <w:tr w:rsidR="00C058E7" w:rsidRPr="006F6171" w14:paraId="3CA2A532" w14:textId="77777777" w:rsidTr="00482261">
        <w:trPr>
          <w:jc w:val="center"/>
        </w:trPr>
        <w:tc>
          <w:tcPr>
            <w:tcW w:w="1100" w:type="dxa"/>
          </w:tcPr>
          <w:p w14:paraId="3436ADA5" w14:textId="77777777" w:rsidR="00C058E7" w:rsidRPr="006F6171" w:rsidRDefault="00C058E7" w:rsidP="00482261">
            <w:pPr>
              <w:rPr>
                <w:b/>
                <w:u w:val="single"/>
              </w:rPr>
            </w:pPr>
          </w:p>
          <w:p w14:paraId="30B058ED" w14:textId="77777777" w:rsidR="00C058E7" w:rsidRPr="006F6171" w:rsidRDefault="00C058E7" w:rsidP="00482261">
            <w:pPr>
              <w:rPr>
                <w:b/>
                <w:u w:val="single"/>
              </w:rPr>
            </w:pPr>
          </w:p>
          <w:p w14:paraId="78504899" w14:textId="77777777" w:rsidR="00C058E7" w:rsidRPr="006F6171" w:rsidRDefault="00C058E7" w:rsidP="00482261">
            <w:pPr>
              <w:rPr>
                <w:b/>
                <w:u w:val="single"/>
              </w:rPr>
            </w:pPr>
          </w:p>
          <w:p w14:paraId="3AFE00E1" w14:textId="77777777" w:rsidR="00C058E7" w:rsidRPr="006F6171" w:rsidRDefault="00C058E7" w:rsidP="00482261">
            <w:pPr>
              <w:rPr>
                <w:b/>
                <w:u w:val="single"/>
              </w:rPr>
            </w:pPr>
          </w:p>
        </w:tc>
        <w:tc>
          <w:tcPr>
            <w:tcW w:w="3960" w:type="dxa"/>
          </w:tcPr>
          <w:p w14:paraId="3D7495C6" w14:textId="77777777" w:rsidR="00C058E7" w:rsidRPr="006F6171" w:rsidRDefault="00C058E7" w:rsidP="00482261">
            <w:pPr>
              <w:rPr>
                <w:b/>
                <w:u w:val="single"/>
              </w:rPr>
            </w:pPr>
          </w:p>
        </w:tc>
      </w:tr>
    </w:tbl>
    <w:p w14:paraId="46A847F4" w14:textId="77777777" w:rsidR="00C058E7" w:rsidRPr="006F6171" w:rsidRDefault="00C058E7" w:rsidP="00C058E7">
      <w:pPr>
        <w:rPr>
          <w:b/>
          <w:u w:val="single"/>
        </w:rPr>
      </w:pPr>
    </w:p>
    <w:p w14:paraId="40DD3ED9" w14:textId="77777777" w:rsidR="00C058E7" w:rsidRPr="006F6171" w:rsidRDefault="00C058E7" w:rsidP="00C058E7">
      <w:pPr>
        <w:rPr>
          <w:b/>
          <w:u w:val="single"/>
        </w:rPr>
      </w:pPr>
    </w:p>
    <w:p w14:paraId="02C0D132" w14:textId="77777777" w:rsidR="00C058E7" w:rsidRPr="006F6171" w:rsidRDefault="00C058E7" w:rsidP="00C058E7">
      <w:pPr>
        <w:jc w:val="center"/>
        <w:rPr>
          <w:b/>
        </w:rPr>
      </w:pPr>
      <w:r w:rsidRPr="006F6171">
        <w:rPr>
          <w:b/>
        </w:rPr>
        <w:t>CHANGE IN MANAGEMENT CONTACT</w:t>
      </w:r>
    </w:p>
    <w:p w14:paraId="3A260DC8" w14:textId="77777777" w:rsidR="00C058E7" w:rsidRPr="006F6171" w:rsidRDefault="00C058E7" w:rsidP="00C058E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3960"/>
      </w:tblGrid>
      <w:tr w:rsidR="00C058E7" w:rsidRPr="006F6171" w14:paraId="4F67EF7A" w14:textId="77777777" w:rsidTr="00482261">
        <w:trPr>
          <w:jc w:val="center"/>
        </w:trPr>
        <w:tc>
          <w:tcPr>
            <w:tcW w:w="1530" w:type="dxa"/>
          </w:tcPr>
          <w:p w14:paraId="60EB8859" w14:textId="77777777" w:rsidR="00C058E7" w:rsidRPr="006F6171" w:rsidRDefault="00C058E7" w:rsidP="00482261">
            <w:r w:rsidRPr="006F6171">
              <w:t>Date of Change:</w:t>
            </w:r>
          </w:p>
        </w:tc>
        <w:tc>
          <w:tcPr>
            <w:tcW w:w="3960" w:type="dxa"/>
          </w:tcPr>
          <w:p w14:paraId="46DAB53E" w14:textId="77777777" w:rsidR="00C058E7" w:rsidRPr="006F6171" w:rsidRDefault="00C058E7" w:rsidP="00482261"/>
        </w:tc>
      </w:tr>
      <w:tr w:rsidR="00C058E7" w:rsidRPr="006F6171" w14:paraId="334AA9CB" w14:textId="77777777" w:rsidTr="00482261">
        <w:trPr>
          <w:jc w:val="center"/>
        </w:trPr>
        <w:tc>
          <w:tcPr>
            <w:tcW w:w="1530" w:type="dxa"/>
          </w:tcPr>
          <w:p w14:paraId="615B00FF" w14:textId="77777777" w:rsidR="00C058E7" w:rsidRPr="006F6171" w:rsidRDefault="00C058E7" w:rsidP="00482261">
            <w:r w:rsidRPr="006F6171">
              <w:t>Management Co. Name:</w:t>
            </w:r>
          </w:p>
        </w:tc>
        <w:tc>
          <w:tcPr>
            <w:tcW w:w="3960" w:type="dxa"/>
          </w:tcPr>
          <w:p w14:paraId="7B422321" w14:textId="77777777" w:rsidR="00C058E7" w:rsidRPr="006F6171" w:rsidRDefault="00C058E7" w:rsidP="00482261"/>
        </w:tc>
      </w:tr>
      <w:tr w:rsidR="00C058E7" w:rsidRPr="006F6171" w14:paraId="72DCBD11" w14:textId="77777777" w:rsidTr="00482261">
        <w:trPr>
          <w:jc w:val="center"/>
        </w:trPr>
        <w:tc>
          <w:tcPr>
            <w:tcW w:w="1530" w:type="dxa"/>
          </w:tcPr>
          <w:p w14:paraId="52608D83" w14:textId="77777777" w:rsidR="00C058E7" w:rsidRPr="006F6171" w:rsidRDefault="00C058E7" w:rsidP="00482261">
            <w:r w:rsidRPr="006F6171">
              <w:t>Management Address:</w:t>
            </w:r>
          </w:p>
        </w:tc>
        <w:tc>
          <w:tcPr>
            <w:tcW w:w="3960" w:type="dxa"/>
          </w:tcPr>
          <w:p w14:paraId="5D21C057" w14:textId="77777777" w:rsidR="00C058E7" w:rsidRPr="006F6171" w:rsidRDefault="00C058E7" w:rsidP="00482261"/>
        </w:tc>
      </w:tr>
      <w:tr w:rsidR="00C058E7" w:rsidRPr="006F6171" w14:paraId="6B16A22C" w14:textId="77777777" w:rsidTr="00482261">
        <w:trPr>
          <w:jc w:val="center"/>
        </w:trPr>
        <w:tc>
          <w:tcPr>
            <w:tcW w:w="1530" w:type="dxa"/>
          </w:tcPr>
          <w:p w14:paraId="194E31DC" w14:textId="77777777" w:rsidR="00C058E7" w:rsidRPr="006F6171" w:rsidRDefault="00C058E7" w:rsidP="00482261">
            <w:r w:rsidRPr="006F6171">
              <w:t>Management city, state, zip:</w:t>
            </w:r>
          </w:p>
        </w:tc>
        <w:tc>
          <w:tcPr>
            <w:tcW w:w="3960" w:type="dxa"/>
          </w:tcPr>
          <w:p w14:paraId="67DB81FD" w14:textId="77777777" w:rsidR="00C058E7" w:rsidRPr="006F6171" w:rsidRDefault="00C058E7" w:rsidP="00482261"/>
        </w:tc>
      </w:tr>
      <w:tr w:rsidR="00C058E7" w:rsidRPr="006F6171" w14:paraId="58213312" w14:textId="77777777" w:rsidTr="00482261">
        <w:trPr>
          <w:jc w:val="center"/>
        </w:trPr>
        <w:tc>
          <w:tcPr>
            <w:tcW w:w="1530" w:type="dxa"/>
          </w:tcPr>
          <w:p w14:paraId="5E5854F7" w14:textId="77777777" w:rsidR="00C058E7" w:rsidRPr="006F6171" w:rsidRDefault="00C058E7" w:rsidP="00482261">
            <w:r w:rsidRPr="006F6171">
              <w:t>Management Contact:</w:t>
            </w:r>
          </w:p>
        </w:tc>
        <w:tc>
          <w:tcPr>
            <w:tcW w:w="3960" w:type="dxa"/>
          </w:tcPr>
          <w:p w14:paraId="7DC05F9E" w14:textId="77777777" w:rsidR="00C058E7" w:rsidRPr="006F6171" w:rsidRDefault="00C058E7" w:rsidP="00482261"/>
        </w:tc>
      </w:tr>
      <w:tr w:rsidR="00C058E7" w:rsidRPr="006F6171" w14:paraId="308FD54D" w14:textId="77777777" w:rsidTr="00482261">
        <w:trPr>
          <w:jc w:val="center"/>
        </w:trPr>
        <w:tc>
          <w:tcPr>
            <w:tcW w:w="1530" w:type="dxa"/>
          </w:tcPr>
          <w:p w14:paraId="0CB1315A" w14:textId="77777777" w:rsidR="00C058E7" w:rsidRPr="006F6171" w:rsidRDefault="00C058E7" w:rsidP="00482261">
            <w:r w:rsidRPr="006F6171">
              <w:t>Management Contact Phone:</w:t>
            </w:r>
          </w:p>
        </w:tc>
        <w:tc>
          <w:tcPr>
            <w:tcW w:w="3960" w:type="dxa"/>
          </w:tcPr>
          <w:p w14:paraId="04BF0E2F" w14:textId="77777777" w:rsidR="00C058E7" w:rsidRPr="006F6171" w:rsidRDefault="00C058E7" w:rsidP="00482261"/>
        </w:tc>
      </w:tr>
      <w:tr w:rsidR="00C058E7" w:rsidRPr="006F6171" w14:paraId="143CAC62" w14:textId="77777777" w:rsidTr="00482261">
        <w:trPr>
          <w:jc w:val="center"/>
        </w:trPr>
        <w:tc>
          <w:tcPr>
            <w:tcW w:w="1530" w:type="dxa"/>
          </w:tcPr>
          <w:p w14:paraId="18F6B59B" w14:textId="77777777" w:rsidR="00C058E7" w:rsidRPr="006F6171" w:rsidRDefault="00C058E7" w:rsidP="00482261">
            <w:r w:rsidRPr="006F6171">
              <w:t>Management Contact Fax:</w:t>
            </w:r>
          </w:p>
        </w:tc>
        <w:tc>
          <w:tcPr>
            <w:tcW w:w="3960" w:type="dxa"/>
          </w:tcPr>
          <w:p w14:paraId="4BA1AB7D" w14:textId="77777777" w:rsidR="00C058E7" w:rsidRPr="006F6171" w:rsidRDefault="00C058E7" w:rsidP="00482261"/>
        </w:tc>
      </w:tr>
      <w:tr w:rsidR="00C058E7" w:rsidRPr="006F6171" w14:paraId="5EA1DB8F" w14:textId="77777777" w:rsidTr="00482261">
        <w:trPr>
          <w:jc w:val="center"/>
        </w:trPr>
        <w:tc>
          <w:tcPr>
            <w:tcW w:w="1530" w:type="dxa"/>
          </w:tcPr>
          <w:p w14:paraId="76ADFA7F" w14:textId="77777777" w:rsidR="00C058E7" w:rsidRPr="006F6171" w:rsidRDefault="00C058E7" w:rsidP="00482261">
            <w:r w:rsidRPr="006F6171">
              <w:t>Management Contact Email:</w:t>
            </w:r>
          </w:p>
        </w:tc>
        <w:tc>
          <w:tcPr>
            <w:tcW w:w="3960" w:type="dxa"/>
          </w:tcPr>
          <w:p w14:paraId="0B6FE49C" w14:textId="77777777" w:rsidR="00C058E7" w:rsidRPr="006F6171" w:rsidRDefault="00C058E7" w:rsidP="00482261"/>
        </w:tc>
      </w:tr>
    </w:tbl>
    <w:p w14:paraId="344C3BE7" w14:textId="77777777" w:rsidR="0039043B" w:rsidRPr="006F6171" w:rsidRDefault="00C058E7" w:rsidP="0039043B">
      <w:pPr>
        <w:pStyle w:val="Heading3"/>
        <w:rPr>
          <w:u w:val="single"/>
        </w:rPr>
      </w:pPr>
      <w:r w:rsidRPr="006F6171">
        <w:br w:type="column"/>
      </w:r>
      <w:r w:rsidR="0039043B" w:rsidRPr="006F6171">
        <w:rPr>
          <w:u w:val="single"/>
        </w:rPr>
        <w:t>CHANGES IN OWNERSHIP OR MANAGEMENT</w:t>
      </w:r>
    </w:p>
    <w:p w14:paraId="6BA2CD34" w14:textId="77777777" w:rsidR="0039043B" w:rsidRPr="006F6171" w:rsidRDefault="0039043B" w:rsidP="0039043B">
      <w:pPr>
        <w:keepNext/>
        <w:ind w:left="1440"/>
      </w:pPr>
      <w:r w:rsidRPr="006F6171">
        <w:t xml:space="preserve">(to be completed </w:t>
      </w:r>
      <w:r w:rsidRPr="006F6171">
        <w:rPr>
          <w:b/>
        </w:rPr>
        <w:t>ONLY if “CHANGE”</w:t>
      </w:r>
      <w:r w:rsidRPr="006F6171">
        <w:t xml:space="preserve"> marked for question 20 above)</w:t>
      </w:r>
    </w:p>
    <w:p w14:paraId="5FA73E3F" w14:textId="77777777" w:rsidR="0039043B" w:rsidRPr="006F6171" w:rsidRDefault="0039043B" w:rsidP="0039043B">
      <w:pPr>
        <w:keepNext/>
      </w:pPr>
    </w:p>
    <w:p w14:paraId="2E0BE88E" w14:textId="77777777" w:rsidR="0039043B" w:rsidRPr="006F6171" w:rsidRDefault="0039043B" w:rsidP="0039043B">
      <w:pPr>
        <w:pStyle w:val="Heading3"/>
      </w:pPr>
      <w:r w:rsidRPr="006F6171">
        <w:t>TRANSFER OF OWNERSHIP</w:t>
      </w:r>
    </w:p>
    <w:p w14:paraId="4FE65833" w14:textId="19E5581F" w:rsidR="00C058E7" w:rsidRPr="006F6171" w:rsidRDefault="00C058E7" w:rsidP="0039043B">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3960"/>
      </w:tblGrid>
      <w:tr w:rsidR="00C058E7" w:rsidRPr="006F6171" w14:paraId="52DF4C92" w14:textId="77777777" w:rsidTr="00482261">
        <w:trPr>
          <w:jc w:val="center"/>
        </w:trPr>
        <w:tc>
          <w:tcPr>
            <w:tcW w:w="1530" w:type="dxa"/>
          </w:tcPr>
          <w:p w14:paraId="52D27671" w14:textId="77777777" w:rsidR="00C058E7" w:rsidRPr="006F6171" w:rsidRDefault="00C058E7" w:rsidP="00482261">
            <w:r w:rsidRPr="006F6171">
              <w:t>Date of Change:</w:t>
            </w:r>
          </w:p>
        </w:tc>
        <w:tc>
          <w:tcPr>
            <w:tcW w:w="3960" w:type="dxa"/>
          </w:tcPr>
          <w:p w14:paraId="6F16A5B0" w14:textId="77777777" w:rsidR="00C058E7" w:rsidRPr="006F6171" w:rsidRDefault="00C058E7" w:rsidP="00482261"/>
        </w:tc>
      </w:tr>
      <w:tr w:rsidR="00C058E7" w:rsidRPr="006F6171" w14:paraId="2B1057FD" w14:textId="77777777" w:rsidTr="00482261">
        <w:trPr>
          <w:jc w:val="center"/>
        </w:trPr>
        <w:tc>
          <w:tcPr>
            <w:tcW w:w="1530" w:type="dxa"/>
          </w:tcPr>
          <w:p w14:paraId="5B894BCA" w14:textId="77777777" w:rsidR="00C058E7" w:rsidRPr="006F6171" w:rsidRDefault="00C058E7" w:rsidP="00482261">
            <w:r w:rsidRPr="006F6171">
              <w:t>Taxpayer ID</w:t>
            </w:r>
          </w:p>
          <w:p w14:paraId="3D2D5A8D" w14:textId="77777777" w:rsidR="00C058E7" w:rsidRPr="006F6171" w:rsidRDefault="00C058E7" w:rsidP="00482261">
            <w:r w:rsidRPr="006F6171">
              <w:t>Number:</w:t>
            </w:r>
          </w:p>
        </w:tc>
        <w:tc>
          <w:tcPr>
            <w:tcW w:w="3960" w:type="dxa"/>
          </w:tcPr>
          <w:p w14:paraId="0FF7A8B8" w14:textId="77777777" w:rsidR="00C058E7" w:rsidRPr="006F6171" w:rsidRDefault="00C058E7" w:rsidP="00482261"/>
        </w:tc>
      </w:tr>
      <w:tr w:rsidR="00C058E7" w:rsidRPr="006F6171" w14:paraId="34B301EA" w14:textId="77777777" w:rsidTr="00482261">
        <w:trPr>
          <w:jc w:val="center"/>
        </w:trPr>
        <w:tc>
          <w:tcPr>
            <w:tcW w:w="1530" w:type="dxa"/>
          </w:tcPr>
          <w:p w14:paraId="2D0C40C8" w14:textId="77777777" w:rsidR="00C058E7" w:rsidRPr="006F6171" w:rsidRDefault="00C058E7" w:rsidP="00482261">
            <w:r w:rsidRPr="006F6171">
              <w:t>Legal Owner Name:</w:t>
            </w:r>
          </w:p>
          <w:p w14:paraId="4A1DF127" w14:textId="77777777" w:rsidR="00C058E7" w:rsidRPr="006F6171" w:rsidRDefault="00C058E7" w:rsidP="00482261"/>
          <w:p w14:paraId="79B93D5B" w14:textId="77777777" w:rsidR="00C058E7" w:rsidRPr="006F6171" w:rsidRDefault="00C058E7" w:rsidP="00482261">
            <w:r w:rsidRPr="006F6171">
              <w:t>Address:</w:t>
            </w:r>
          </w:p>
          <w:p w14:paraId="5273C43E" w14:textId="77777777" w:rsidR="00C058E7" w:rsidRPr="006F6171" w:rsidRDefault="00C058E7" w:rsidP="00482261"/>
          <w:p w14:paraId="3E3C65DA" w14:textId="77777777" w:rsidR="00C058E7" w:rsidRPr="006F6171" w:rsidRDefault="00C058E7" w:rsidP="00482261">
            <w:r w:rsidRPr="006F6171">
              <w:t>Phone:</w:t>
            </w:r>
          </w:p>
          <w:p w14:paraId="2E1C222E" w14:textId="77777777" w:rsidR="00C058E7" w:rsidRPr="006F6171" w:rsidRDefault="00C058E7" w:rsidP="00482261"/>
        </w:tc>
        <w:tc>
          <w:tcPr>
            <w:tcW w:w="3960" w:type="dxa"/>
          </w:tcPr>
          <w:p w14:paraId="08580B37" w14:textId="77777777" w:rsidR="00C058E7" w:rsidRPr="006F6171" w:rsidRDefault="00C058E7" w:rsidP="00482261"/>
        </w:tc>
      </w:tr>
      <w:tr w:rsidR="00C058E7" w:rsidRPr="006F6171" w14:paraId="19336286" w14:textId="77777777" w:rsidTr="00482261">
        <w:trPr>
          <w:jc w:val="center"/>
        </w:trPr>
        <w:tc>
          <w:tcPr>
            <w:tcW w:w="1530" w:type="dxa"/>
          </w:tcPr>
          <w:p w14:paraId="525D4C0B" w14:textId="77777777" w:rsidR="00C058E7" w:rsidRPr="006F6171" w:rsidRDefault="00C058E7" w:rsidP="00482261">
            <w:r w:rsidRPr="006F6171">
              <w:t>General Partnership:</w:t>
            </w:r>
          </w:p>
          <w:p w14:paraId="603B1A43" w14:textId="77777777" w:rsidR="00C058E7" w:rsidRPr="006F6171" w:rsidRDefault="00C058E7" w:rsidP="00482261"/>
          <w:p w14:paraId="566B5521" w14:textId="77777777" w:rsidR="00C058E7" w:rsidRPr="006F6171" w:rsidRDefault="00C058E7" w:rsidP="00482261"/>
        </w:tc>
        <w:tc>
          <w:tcPr>
            <w:tcW w:w="3960" w:type="dxa"/>
          </w:tcPr>
          <w:p w14:paraId="6EADB631" w14:textId="77777777" w:rsidR="00C058E7" w:rsidRPr="006F6171" w:rsidRDefault="00C058E7" w:rsidP="00482261"/>
        </w:tc>
      </w:tr>
      <w:tr w:rsidR="00C058E7" w:rsidRPr="006F6171" w14:paraId="6BF746CA" w14:textId="77777777" w:rsidTr="00482261">
        <w:trPr>
          <w:jc w:val="center"/>
        </w:trPr>
        <w:tc>
          <w:tcPr>
            <w:tcW w:w="1530" w:type="dxa"/>
          </w:tcPr>
          <w:p w14:paraId="635777BC" w14:textId="77777777" w:rsidR="00C058E7" w:rsidRPr="006F6171" w:rsidRDefault="00C058E7" w:rsidP="00482261">
            <w:r w:rsidRPr="006F6171">
              <w:t>Status of Partnership (LLC, etc</w:t>
            </w:r>
            <w:r w:rsidR="00FE60B1" w:rsidRPr="006F6171">
              <w:t>.</w:t>
            </w:r>
            <w:r w:rsidRPr="006F6171">
              <w:t>):</w:t>
            </w:r>
          </w:p>
        </w:tc>
        <w:tc>
          <w:tcPr>
            <w:tcW w:w="3960" w:type="dxa"/>
          </w:tcPr>
          <w:p w14:paraId="2D9944F5" w14:textId="77777777" w:rsidR="00C058E7" w:rsidRPr="006F6171" w:rsidRDefault="00C058E7" w:rsidP="00482261"/>
        </w:tc>
      </w:tr>
    </w:tbl>
    <w:p w14:paraId="0863A0C8" w14:textId="77777777" w:rsidR="00C058E7" w:rsidRPr="006F6171" w:rsidRDefault="00C058E7" w:rsidP="00C058E7"/>
    <w:p w14:paraId="711BD39F" w14:textId="77777777" w:rsidR="00C058E7" w:rsidRPr="006F6171" w:rsidRDefault="00C058E7" w:rsidP="00C058E7">
      <w:pPr>
        <w:jc w:val="center"/>
        <w:rPr>
          <w:b/>
        </w:rPr>
      </w:pPr>
      <w:r w:rsidRPr="006F6171">
        <w:rPr>
          <w:b/>
        </w:rPr>
        <w:t>CHANGE IN OWNER CONTACT</w:t>
      </w:r>
    </w:p>
    <w:p w14:paraId="53927917" w14:textId="77777777" w:rsidR="00C058E7" w:rsidRPr="006F6171" w:rsidRDefault="00C058E7" w:rsidP="00C058E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3960"/>
      </w:tblGrid>
      <w:tr w:rsidR="00C058E7" w:rsidRPr="006F6171" w14:paraId="5FC89923" w14:textId="77777777" w:rsidTr="00482261">
        <w:trPr>
          <w:jc w:val="center"/>
        </w:trPr>
        <w:tc>
          <w:tcPr>
            <w:tcW w:w="1530" w:type="dxa"/>
          </w:tcPr>
          <w:p w14:paraId="353C4AC9" w14:textId="77777777" w:rsidR="00C058E7" w:rsidRPr="006F6171" w:rsidRDefault="00C058E7" w:rsidP="00482261">
            <w:r w:rsidRPr="006F6171">
              <w:t>Date of Change:</w:t>
            </w:r>
          </w:p>
        </w:tc>
        <w:tc>
          <w:tcPr>
            <w:tcW w:w="3960" w:type="dxa"/>
          </w:tcPr>
          <w:p w14:paraId="650DDC48" w14:textId="77777777" w:rsidR="00C058E7" w:rsidRPr="006F6171" w:rsidRDefault="00C058E7" w:rsidP="00482261"/>
        </w:tc>
      </w:tr>
      <w:tr w:rsidR="00C058E7" w:rsidRPr="006F6171" w14:paraId="26C6DAFE" w14:textId="77777777" w:rsidTr="00482261">
        <w:trPr>
          <w:jc w:val="center"/>
        </w:trPr>
        <w:tc>
          <w:tcPr>
            <w:tcW w:w="1530" w:type="dxa"/>
          </w:tcPr>
          <w:p w14:paraId="2DA7AB88" w14:textId="77777777" w:rsidR="00C058E7" w:rsidRPr="006F6171" w:rsidRDefault="00C058E7" w:rsidP="00482261">
            <w:r w:rsidRPr="006F6171">
              <w:t xml:space="preserve">Owner </w:t>
            </w:r>
          </w:p>
          <w:p w14:paraId="146C55C1" w14:textId="77777777" w:rsidR="00C058E7" w:rsidRPr="006F6171" w:rsidRDefault="00C058E7" w:rsidP="00482261">
            <w:r w:rsidRPr="006F6171">
              <w:t>Contact:</w:t>
            </w:r>
          </w:p>
          <w:p w14:paraId="1B227C52" w14:textId="77777777" w:rsidR="00C058E7" w:rsidRPr="006F6171" w:rsidRDefault="00C058E7" w:rsidP="00482261"/>
          <w:p w14:paraId="150819E7" w14:textId="77777777" w:rsidR="00C058E7" w:rsidRPr="006F6171" w:rsidRDefault="00C058E7" w:rsidP="00482261"/>
        </w:tc>
        <w:tc>
          <w:tcPr>
            <w:tcW w:w="3960" w:type="dxa"/>
          </w:tcPr>
          <w:p w14:paraId="72D66AA9" w14:textId="77777777" w:rsidR="00C058E7" w:rsidRPr="006F6171" w:rsidRDefault="00C058E7" w:rsidP="00482261"/>
        </w:tc>
      </w:tr>
      <w:tr w:rsidR="00C058E7" w:rsidRPr="006F6171" w14:paraId="03C6E815" w14:textId="77777777" w:rsidTr="00482261">
        <w:trPr>
          <w:jc w:val="center"/>
        </w:trPr>
        <w:tc>
          <w:tcPr>
            <w:tcW w:w="1530" w:type="dxa"/>
          </w:tcPr>
          <w:p w14:paraId="35CC1705" w14:textId="77777777" w:rsidR="00C058E7" w:rsidRPr="006F6171" w:rsidRDefault="00C058E7" w:rsidP="00482261">
            <w:r w:rsidRPr="006F6171">
              <w:t>Owner Contact Phone:</w:t>
            </w:r>
          </w:p>
        </w:tc>
        <w:tc>
          <w:tcPr>
            <w:tcW w:w="3960" w:type="dxa"/>
          </w:tcPr>
          <w:p w14:paraId="719BDF00" w14:textId="77777777" w:rsidR="00C058E7" w:rsidRPr="006F6171" w:rsidRDefault="00C058E7" w:rsidP="00482261"/>
        </w:tc>
      </w:tr>
      <w:tr w:rsidR="00C058E7" w:rsidRPr="006F6171" w14:paraId="3BC9EC1B" w14:textId="77777777" w:rsidTr="00482261">
        <w:trPr>
          <w:jc w:val="center"/>
        </w:trPr>
        <w:tc>
          <w:tcPr>
            <w:tcW w:w="1530" w:type="dxa"/>
          </w:tcPr>
          <w:p w14:paraId="00C22275" w14:textId="77777777" w:rsidR="00C058E7" w:rsidRPr="006F6171" w:rsidRDefault="00C058E7" w:rsidP="00482261">
            <w:r w:rsidRPr="006F6171">
              <w:t>Owner Contact Fax:</w:t>
            </w:r>
          </w:p>
        </w:tc>
        <w:tc>
          <w:tcPr>
            <w:tcW w:w="3960" w:type="dxa"/>
          </w:tcPr>
          <w:p w14:paraId="32B09827" w14:textId="77777777" w:rsidR="00C058E7" w:rsidRPr="006F6171" w:rsidRDefault="00C058E7" w:rsidP="00482261"/>
        </w:tc>
      </w:tr>
      <w:tr w:rsidR="00C058E7" w:rsidRPr="006F6171" w14:paraId="33263199" w14:textId="77777777" w:rsidTr="00482261">
        <w:trPr>
          <w:jc w:val="center"/>
        </w:trPr>
        <w:tc>
          <w:tcPr>
            <w:tcW w:w="1530" w:type="dxa"/>
          </w:tcPr>
          <w:p w14:paraId="4C73A847" w14:textId="77777777" w:rsidR="00C058E7" w:rsidRPr="006F6171" w:rsidRDefault="00C058E7" w:rsidP="00482261">
            <w:r w:rsidRPr="006F6171">
              <w:t>Owner Contact Email:</w:t>
            </w:r>
          </w:p>
        </w:tc>
        <w:tc>
          <w:tcPr>
            <w:tcW w:w="3960" w:type="dxa"/>
          </w:tcPr>
          <w:p w14:paraId="0C0B937F" w14:textId="77777777" w:rsidR="00C058E7" w:rsidRPr="006F6171" w:rsidRDefault="00C058E7" w:rsidP="00482261"/>
        </w:tc>
      </w:tr>
    </w:tbl>
    <w:p w14:paraId="5B4998D7" w14:textId="77777777" w:rsidR="00D46A6B" w:rsidRPr="006F6171" w:rsidRDefault="00D46A6B" w:rsidP="009336AB">
      <w:pPr>
        <w:pStyle w:val="BodyText"/>
        <w:tabs>
          <w:tab w:val="left" w:pos="6025"/>
        </w:tabs>
      </w:pPr>
    </w:p>
    <w:p w14:paraId="31795D47" w14:textId="77777777" w:rsidR="00D46A6B" w:rsidRPr="006F6171" w:rsidRDefault="00D46A6B">
      <w:pPr>
        <w:rPr>
          <w:sz w:val="22"/>
        </w:rPr>
      </w:pPr>
      <w:r w:rsidRPr="006F6171">
        <w:br w:type="page"/>
      </w:r>
    </w:p>
    <w:p w14:paraId="17FC3939" w14:textId="77777777" w:rsidR="00D46A6B" w:rsidRPr="006F6171" w:rsidRDefault="00D46A6B" w:rsidP="009336AB">
      <w:pPr>
        <w:pStyle w:val="BodyText"/>
        <w:tabs>
          <w:tab w:val="left" w:pos="6025"/>
        </w:tabs>
        <w:sectPr w:rsidR="00D46A6B" w:rsidRPr="006F6171">
          <w:headerReference w:type="even" r:id="rId92"/>
          <w:headerReference w:type="default" r:id="rId93"/>
          <w:footerReference w:type="even" r:id="rId94"/>
          <w:footerReference w:type="default" r:id="rId95"/>
          <w:headerReference w:type="first" r:id="rId96"/>
          <w:footerReference w:type="first" r:id="rId97"/>
          <w:endnotePr>
            <w:numFmt w:val="decimal"/>
          </w:endnotePr>
          <w:type w:val="continuous"/>
          <w:pgSz w:w="12240" w:h="15840"/>
          <w:pgMar w:top="630" w:right="540" w:bottom="270" w:left="450" w:header="1440" w:footer="210" w:gutter="0"/>
          <w:pgNumType w:start="1"/>
          <w:cols w:num="2" w:space="590"/>
          <w:noEndnote/>
        </w:sectPr>
      </w:pPr>
    </w:p>
    <w:p w14:paraId="422BFDAC" w14:textId="77777777" w:rsidR="00144EA1" w:rsidRPr="006F6171" w:rsidRDefault="00144EA1" w:rsidP="00144EA1">
      <w:pPr>
        <w:jc w:val="center"/>
        <w:rPr>
          <w:szCs w:val="24"/>
        </w:rPr>
      </w:pPr>
      <w:r w:rsidRPr="006F6171">
        <w:rPr>
          <w:szCs w:val="24"/>
        </w:rPr>
        <w:lastRenderedPageBreak/>
        <w:t>APPENDIX E</w:t>
      </w:r>
    </w:p>
    <w:p w14:paraId="2CAF91A4" w14:textId="77777777" w:rsidR="00144EA1" w:rsidRPr="006F6171" w:rsidRDefault="00144EA1" w:rsidP="00144EA1">
      <w:pPr>
        <w:jc w:val="center"/>
        <w:rPr>
          <w:szCs w:val="24"/>
        </w:rPr>
      </w:pPr>
    </w:p>
    <w:p w14:paraId="66731878" w14:textId="1D0EAB00" w:rsidR="00144EA1" w:rsidRPr="006F6171" w:rsidRDefault="00042B90" w:rsidP="00144EA1">
      <w:pPr>
        <w:jc w:val="center"/>
        <w:rPr>
          <w:szCs w:val="24"/>
        </w:rPr>
      </w:pPr>
      <w:r w:rsidRPr="006F6171">
        <w:rPr>
          <w:szCs w:val="24"/>
        </w:rPr>
        <w:t xml:space="preserve">THRESHOLD </w:t>
      </w:r>
      <w:r w:rsidR="00144EA1" w:rsidRPr="006F6171">
        <w:rPr>
          <w:szCs w:val="24"/>
        </w:rPr>
        <w:t>REQUIREMENTS FOR PURCHASE OPTIONS/RIGHTS OF FIRST REFUSAL</w:t>
      </w:r>
    </w:p>
    <w:p w14:paraId="687E8FE7" w14:textId="77777777" w:rsidR="00144EA1" w:rsidRPr="006F6171" w:rsidRDefault="00144EA1" w:rsidP="00144EA1">
      <w:pPr>
        <w:rPr>
          <w:szCs w:val="24"/>
          <w:highlight w:val="yellow"/>
        </w:rPr>
      </w:pPr>
    </w:p>
    <w:p w14:paraId="5A6388BA" w14:textId="77777777" w:rsidR="00144EA1" w:rsidRPr="006F6171" w:rsidRDefault="00144EA1" w:rsidP="00BE5856">
      <w:pPr>
        <w:pStyle w:val="ListParagraph"/>
        <w:numPr>
          <w:ilvl w:val="0"/>
          <w:numId w:val="63"/>
        </w:numPr>
        <w:ind w:left="360" w:hanging="360"/>
        <w:contextualSpacing/>
        <w:rPr>
          <w:szCs w:val="24"/>
        </w:rPr>
      </w:pPr>
      <w:r w:rsidRPr="006F6171">
        <w:rPr>
          <w:szCs w:val="24"/>
        </w:rPr>
        <w:t>The Purchase Options must:</w:t>
      </w:r>
    </w:p>
    <w:p w14:paraId="3781326B" w14:textId="77777777" w:rsidR="00144EA1" w:rsidRPr="006F6171" w:rsidRDefault="00144EA1" w:rsidP="00144EA1">
      <w:pPr>
        <w:ind w:left="360" w:hanging="360"/>
        <w:rPr>
          <w:szCs w:val="24"/>
        </w:rPr>
      </w:pPr>
    </w:p>
    <w:p w14:paraId="72780D75" w14:textId="5F05F4A9" w:rsidR="00144EA1" w:rsidRPr="006F6171" w:rsidRDefault="00144EA1" w:rsidP="00BE5856">
      <w:pPr>
        <w:pStyle w:val="ListParagraph"/>
        <w:numPr>
          <w:ilvl w:val="0"/>
          <w:numId w:val="64"/>
        </w:numPr>
        <w:ind w:left="360"/>
        <w:contextualSpacing/>
        <w:rPr>
          <w:szCs w:val="24"/>
        </w:rPr>
      </w:pPr>
      <w:r w:rsidRPr="006F6171">
        <w:rPr>
          <w:szCs w:val="24"/>
        </w:rPr>
        <w:t>grant to one or more of the general partner, managing member, developer or sponsor an irrevocable option to purchase the Project at</w:t>
      </w:r>
      <w:r w:rsidR="00CB1949" w:rsidRPr="006F6171">
        <w:rPr>
          <w:szCs w:val="24"/>
        </w:rPr>
        <w:t xml:space="preserve"> </w:t>
      </w:r>
      <w:r w:rsidR="00042B90" w:rsidRPr="006F6171">
        <w:rPr>
          <w:szCs w:val="24"/>
        </w:rPr>
        <w:t xml:space="preserve">a </w:t>
      </w:r>
      <w:r w:rsidR="00AB6053" w:rsidRPr="006F6171">
        <w:rPr>
          <w:szCs w:val="24"/>
        </w:rPr>
        <w:t xml:space="preserve">purchase </w:t>
      </w:r>
      <w:r w:rsidR="00042B90" w:rsidRPr="006F6171">
        <w:rPr>
          <w:szCs w:val="24"/>
        </w:rPr>
        <w:t xml:space="preserve">price not more than </w:t>
      </w:r>
      <w:r w:rsidRPr="006F6171">
        <w:rPr>
          <w:szCs w:val="24"/>
        </w:rPr>
        <w:t>the greater of: (a) its fair market value as encumbered by the Extended Use Agreement</w:t>
      </w:r>
      <w:r w:rsidR="00042B90" w:rsidRPr="006F6171">
        <w:rPr>
          <w:szCs w:val="24"/>
        </w:rPr>
        <w:t xml:space="preserve"> and any other restrictions of record</w:t>
      </w:r>
      <w:r w:rsidRPr="006F6171">
        <w:rPr>
          <w:szCs w:val="24"/>
        </w:rPr>
        <w:t>; and (b) the sum of: (i) the outstanding debt secured by the Project, (ii) the amount of the limited partner’s or non-managing member’s federal, state and local tax liability resulting from the sale of the Project, and (iii) all amounts owed to the limited partner or non-managing member under the limited partnership agreement or limited liability company operating agreement (the “Project Option Price”);</w:t>
      </w:r>
    </w:p>
    <w:p w14:paraId="02A93280" w14:textId="77777777" w:rsidR="00144EA1" w:rsidRPr="006F6171" w:rsidRDefault="00144EA1" w:rsidP="00144EA1">
      <w:pPr>
        <w:ind w:left="360" w:hanging="360"/>
        <w:rPr>
          <w:szCs w:val="24"/>
        </w:rPr>
      </w:pPr>
    </w:p>
    <w:p w14:paraId="300308AE" w14:textId="0CC37B65" w:rsidR="00144EA1" w:rsidRPr="006F6171" w:rsidRDefault="00144EA1" w:rsidP="00BE5856">
      <w:pPr>
        <w:pStyle w:val="ListParagraph"/>
        <w:numPr>
          <w:ilvl w:val="0"/>
          <w:numId w:val="64"/>
        </w:numPr>
        <w:ind w:left="360"/>
        <w:contextualSpacing/>
        <w:rPr>
          <w:szCs w:val="24"/>
        </w:rPr>
      </w:pPr>
      <w:r w:rsidRPr="006F6171">
        <w:rPr>
          <w:szCs w:val="24"/>
        </w:rPr>
        <w:t xml:space="preserve">grant to one or more of the general partner, managing member, developer or sponsor an irrevocable option to purchase the interest of the limited partner(s) or non-managing member(s) in the Project ownership entity (“Ownership Interest”) at </w:t>
      </w:r>
      <w:r w:rsidR="00042B90" w:rsidRPr="006F6171">
        <w:rPr>
          <w:szCs w:val="24"/>
        </w:rPr>
        <w:t xml:space="preserve">a </w:t>
      </w:r>
      <w:r w:rsidRPr="006F6171">
        <w:rPr>
          <w:szCs w:val="24"/>
        </w:rPr>
        <w:t>purchase price</w:t>
      </w:r>
      <w:r w:rsidR="001A03D3" w:rsidRPr="006F6171">
        <w:rPr>
          <w:szCs w:val="24"/>
        </w:rPr>
        <w:t xml:space="preserve"> not more than</w:t>
      </w:r>
      <w:r w:rsidR="005631BD" w:rsidRPr="006F6171">
        <w:rPr>
          <w:szCs w:val="24"/>
        </w:rPr>
        <w:t xml:space="preserve"> </w:t>
      </w:r>
      <w:r w:rsidRPr="006F6171">
        <w:rPr>
          <w:szCs w:val="24"/>
        </w:rPr>
        <w:t>the amount the limited partner(s) or non-managing member(s) would have received on an after-tax basis if the Project had been sold at the Project Option Price and the proceeds distributed pursuant to the terms of the limited partnership agreement or limited liability company operating agreement;</w:t>
      </w:r>
    </w:p>
    <w:p w14:paraId="7F70CD2E" w14:textId="77777777" w:rsidR="00144EA1" w:rsidRPr="006F6171" w:rsidRDefault="00144EA1" w:rsidP="00144EA1">
      <w:pPr>
        <w:pStyle w:val="ListParagraph"/>
        <w:ind w:left="360" w:hanging="360"/>
        <w:rPr>
          <w:szCs w:val="24"/>
        </w:rPr>
      </w:pPr>
    </w:p>
    <w:p w14:paraId="257C69FB" w14:textId="77777777" w:rsidR="00144EA1" w:rsidRPr="006F6171" w:rsidRDefault="00144EA1" w:rsidP="00BE5856">
      <w:pPr>
        <w:pStyle w:val="ListParagraph"/>
        <w:numPr>
          <w:ilvl w:val="0"/>
          <w:numId w:val="64"/>
        </w:numPr>
        <w:ind w:left="360"/>
        <w:contextualSpacing/>
        <w:rPr>
          <w:szCs w:val="24"/>
        </w:rPr>
      </w:pPr>
      <w:r w:rsidRPr="006F6171">
        <w:rPr>
          <w:szCs w:val="24"/>
        </w:rPr>
        <w:t>be exercisable beginning at the earlier of: (a) the expiration of the Compliance Period; or (b) the exit of or change of controlling interest in the limited partner or non-managing member occurring after the expiration of the Credit Period;</w:t>
      </w:r>
    </w:p>
    <w:p w14:paraId="30FA76DC" w14:textId="77777777" w:rsidR="00144EA1" w:rsidRPr="006F6171" w:rsidRDefault="00144EA1" w:rsidP="00144EA1">
      <w:pPr>
        <w:pStyle w:val="ListParagraph"/>
        <w:ind w:left="360" w:hanging="360"/>
        <w:rPr>
          <w:szCs w:val="24"/>
        </w:rPr>
      </w:pPr>
    </w:p>
    <w:p w14:paraId="13AEA400" w14:textId="77777777" w:rsidR="00144EA1" w:rsidRPr="006F6171" w:rsidRDefault="00144EA1" w:rsidP="00BE5856">
      <w:pPr>
        <w:pStyle w:val="ListParagraph"/>
        <w:numPr>
          <w:ilvl w:val="0"/>
          <w:numId w:val="64"/>
        </w:numPr>
        <w:ind w:left="360"/>
        <w:contextualSpacing/>
        <w:rPr>
          <w:szCs w:val="24"/>
        </w:rPr>
      </w:pPr>
      <w:r w:rsidRPr="006F6171">
        <w:rPr>
          <w:szCs w:val="24"/>
        </w:rPr>
        <w:t>expire no earlier than 36 months after the expiration of the Compliance Period; and</w:t>
      </w:r>
    </w:p>
    <w:p w14:paraId="2DD651D1" w14:textId="77777777" w:rsidR="00144EA1" w:rsidRPr="006F6171" w:rsidRDefault="00144EA1" w:rsidP="00144EA1">
      <w:pPr>
        <w:pStyle w:val="ListParagraph"/>
        <w:ind w:left="360" w:hanging="360"/>
        <w:rPr>
          <w:szCs w:val="24"/>
        </w:rPr>
      </w:pPr>
    </w:p>
    <w:p w14:paraId="120D9326" w14:textId="77777777" w:rsidR="00144EA1" w:rsidRPr="006F6171" w:rsidRDefault="00144EA1" w:rsidP="00BE5856">
      <w:pPr>
        <w:pStyle w:val="ListParagraph"/>
        <w:numPr>
          <w:ilvl w:val="0"/>
          <w:numId w:val="64"/>
        </w:numPr>
        <w:ind w:left="360"/>
        <w:contextualSpacing/>
        <w:rPr>
          <w:szCs w:val="24"/>
        </w:rPr>
      </w:pPr>
      <w:r w:rsidRPr="006F6171">
        <w:rPr>
          <w:szCs w:val="24"/>
        </w:rPr>
        <w:t>give the holder of the option a minimum of 12 months to close on the purchase of the Project or the Ownership Interest after exercise of the option or such longer period required by any lender(s) or other party whose consent to the transfer is required.</w:t>
      </w:r>
    </w:p>
    <w:p w14:paraId="2DD2D293" w14:textId="77777777" w:rsidR="00144EA1" w:rsidRPr="006F6171" w:rsidRDefault="00144EA1" w:rsidP="00144EA1">
      <w:pPr>
        <w:rPr>
          <w:szCs w:val="24"/>
        </w:rPr>
      </w:pPr>
    </w:p>
    <w:p w14:paraId="0BE52CF8" w14:textId="77777777" w:rsidR="00144EA1" w:rsidRPr="006F6171" w:rsidRDefault="00144EA1" w:rsidP="00144EA1">
      <w:pPr>
        <w:rPr>
          <w:szCs w:val="24"/>
        </w:rPr>
      </w:pPr>
      <w:r w:rsidRPr="006F6171">
        <w:rPr>
          <w:szCs w:val="24"/>
        </w:rPr>
        <w:t>II.</w:t>
      </w:r>
      <w:r w:rsidRPr="006F6171">
        <w:rPr>
          <w:szCs w:val="24"/>
        </w:rPr>
        <w:tab/>
        <w:t>The right of first refusal (ROFR) must:</w:t>
      </w:r>
    </w:p>
    <w:p w14:paraId="71FAD838" w14:textId="77777777" w:rsidR="00144EA1" w:rsidRPr="006F6171" w:rsidRDefault="00144EA1" w:rsidP="00144EA1">
      <w:pPr>
        <w:rPr>
          <w:szCs w:val="24"/>
        </w:rPr>
      </w:pPr>
    </w:p>
    <w:p w14:paraId="3F45CA0A" w14:textId="485F2969" w:rsidR="00144EA1" w:rsidRPr="006F6171" w:rsidRDefault="00144EA1" w:rsidP="00BE5856">
      <w:pPr>
        <w:pStyle w:val="ListParagraph"/>
        <w:numPr>
          <w:ilvl w:val="0"/>
          <w:numId w:val="61"/>
        </w:numPr>
        <w:contextualSpacing/>
        <w:rPr>
          <w:szCs w:val="24"/>
        </w:rPr>
      </w:pPr>
      <w:r w:rsidRPr="006F6171">
        <w:rPr>
          <w:szCs w:val="24"/>
        </w:rPr>
        <w:t>grant to a Qualified Nonprofit Organization an irrevocable and exclusive ROFR to purchase the Project at the lesser of: (a) its fair market value as encumbered by the Extended Use Agreement</w:t>
      </w:r>
      <w:r w:rsidR="001A03D3" w:rsidRPr="006F6171">
        <w:rPr>
          <w:szCs w:val="24"/>
        </w:rPr>
        <w:t xml:space="preserve"> </w:t>
      </w:r>
      <w:r w:rsidR="00AB6053" w:rsidRPr="006F6171">
        <w:rPr>
          <w:szCs w:val="24"/>
        </w:rPr>
        <w:t>and</w:t>
      </w:r>
      <w:r w:rsidR="001A03D3" w:rsidRPr="006F6171">
        <w:rPr>
          <w:szCs w:val="24"/>
        </w:rPr>
        <w:t xml:space="preserve"> any other restrictions of record</w:t>
      </w:r>
      <w:r w:rsidRPr="006F6171">
        <w:rPr>
          <w:szCs w:val="24"/>
        </w:rPr>
        <w:t>; and (b) the Minimum Purchase Price as defined in Section 42(i)(7) of the Code but in no event less than the outstanding debt secured by the Project</w:t>
      </w:r>
      <w:r w:rsidR="001A03D3" w:rsidRPr="006F6171">
        <w:rPr>
          <w:szCs w:val="24"/>
        </w:rPr>
        <w:t>, excluding any ind</w:t>
      </w:r>
      <w:r w:rsidR="00AB6053" w:rsidRPr="006F6171">
        <w:rPr>
          <w:szCs w:val="24"/>
        </w:rPr>
        <w:t>ebtedness incurred within the 5-</w:t>
      </w:r>
      <w:r w:rsidR="001A03D3" w:rsidRPr="006F6171">
        <w:rPr>
          <w:szCs w:val="24"/>
        </w:rPr>
        <w:t xml:space="preserve">year period ending on the date of the sale pursuant to the ROFR </w:t>
      </w:r>
      <w:r w:rsidRPr="006F6171">
        <w:rPr>
          <w:szCs w:val="24"/>
        </w:rPr>
        <w:t>(the “ROFR Price”);</w:t>
      </w:r>
    </w:p>
    <w:p w14:paraId="7364B879" w14:textId="77777777" w:rsidR="00144EA1" w:rsidRPr="006F6171" w:rsidRDefault="00144EA1" w:rsidP="00144EA1">
      <w:pPr>
        <w:rPr>
          <w:szCs w:val="24"/>
        </w:rPr>
      </w:pPr>
    </w:p>
    <w:p w14:paraId="7A05E7CC" w14:textId="77777777" w:rsidR="00144EA1" w:rsidRPr="006F6171" w:rsidRDefault="00144EA1" w:rsidP="00BE5856">
      <w:pPr>
        <w:pStyle w:val="ListParagraph"/>
        <w:numPr>
          <w:ilvl w:val="0"/>
          <w:numId w:val="61"/>
        </w:numPr>
        <w:contextualSpacing/>
        <w:rPr>
          <w:szCs w:val="24"/>
        </w:rPr>
      </w:pPr>
      <w:r w:rsidRPr="006F6171">
        <w:rPr>
          <w:szCs w:val="24"/>
        </w:rPr>
        <w:t xml:space="preserve">be exercisable beginning at the expiration of the Compliance Period; </w:t>
      </w:r>
    </w:p>
    <w:p w14:paraId="4F9A8867" w14:textId="77777777" w:rsidR="00144EA1" w:rsidRPr="006F6171" w:rsidRDefault="00144EA1" w:rsidP="00144EA1">
      <w:pPr>
        <w:rPr>
          <w:szCs w:val="24"/>
        </w:rPr>
      </w:pPr>
    </w:p>
    <w:p w14:paraId="766FA4AB" w14:textId="77777777" w:rsidR="00144EA1" w:rsidRPr="006F6171" w:rsidRDefault="00144EA1" w:rsidP="00BE5856">
      <w:pPr>
        <w:pStyle w:val="ListParagraph"/>
        <w:numPr>
          <w:ilvl w:val="0"/>
          <w:numId w:val="61"/>
        </w:numPr>
        <w:contextualSpacing/>
        <w:rPr>
          <w:szCs w:val="24"/>
        </w:rPr>
      </w:pPr>
      <w:r w:rsidRPr="006F6171">
        <w:rPr>
          <w:szCs w:val="24"/>
        </w:rPr>
        <w:t>expire no earlier than 36 months after the later of: (i) the public offer of the Project for sale by the general partner or managing member; and (ii) the expiration of the Compliance Period;</w:t>
      </w:r>
    </w:p>
    <w:p w14:paraId="340D1860" w14:textId="77777777" w:rsidR="00144EA1" w:rsidRPr="006F6171" w:rsidRDefault="00144EA1" w:rsidP="00144EA1">
      <w:pPr>
        <w:pStyle w:val="ListParagraph"/>
        <w:ind w:left="360"/>
        <w:rPr>
          <w:szCs w:val="24"/>
          <w:highlight w:val="yellow"/>
        </w:rPr>
      </w:pPr>
    </w:p>
    <w:p w14:paraId="756CF636" w14:textId="77777777" w:rsidR="00144EA1" w:rsidRPr="006F6171" w:rsidRDefault="00144EA1" w:rsidP="00BE5856">
      <w:pPr>
        <w:pStyle w:val="ListParagraph"/>
        <w:numPr>
          <w:ilvl w:val="0"/>
          <w:numId w:val="61"/>
        </w:numPr>
        <w:contextualSpacing/>
        <w:rPr>
          <w:szCs w:val="24"/>
        </w:rPr>
      </w:pPr>
      <w:r w:rsidRPr="006F6171">
        <w:rPr>
          <w:szCs w:val="24"/>
        </w:rPr>
        <w:t>give the holder of the ROFR a minimum of 90 days to exercise its ROFR and a minimum of 12 months to close on the purchase of the Project after exercise of the ROFR or such longer period required by any lender(s) or other party whose consent to the transfer is required</w:t>
      </w:r>
      <w:r w:rsidR="00EF5CED" w:rsidRPr="006F6171">
        <w:rPr>
          <w:szCs w:val="24"/>
        </w:rPr>
        <w:t>; and</w:t>
      </w:r>
    </w:p>
    <w:p w14:paraId="702E5F90" w14:textId="77777777" w:rsidR="00EF5CED" w:rsidRPr="006F6171" w:rsidRDefault="00EF5CED" w:rsidP="00EF5CED">
      <w:pPr>
        <w:pStyle w:val="ListParagraph"/>
        <w:rPr>
          <w:szCs w:val="24"/>
        </w:rPr>
      </w:pPr>
    </w:p>
    <w:p w14:paraId="3E151185" w14:textId="77777777" w:rsidR="00EF5CED" w:rsidRPr="006F6171" w:rsidRDefault="00EF5CED" w:rsidP="00BE5856">
      <w:pPr>
        <w:pStyle w:val="ListParagraph"/>
        <w:numPr>
          <w:ilvl w:val="0"/>
          <w:numId w:val="61"/>
        </w:numPr>
        <w:contextualSpacing/>
        <w:rPr>
          <w:szCs w:val="24"/>
        </w:rPr>
      </w:pPr>
      <w:r w:rsidRPr="006F6171">
        <w:rPr>
          <w:szCs w:val="24"/>
        </w:rPr>
        <w:t>not require more than a nominal earnest money deposit in order to exercise the ROFR.</w:t>
      </w:r>
    </w:p>
    <w:p w14:paraId="494DFF0C" w14:textId="77777777" w:rsidR="00144EA1" w:rsidRPr="006F6171" w:rsidRDefault="00144EA1" w:rsidP="00144EA1">
      <w:pPr>
        <w:rPr>
          <w:szCs w:val="24"/>
        </w:rPr>
      </w:pPr>
    </w:p>
    <w:p w14:paraId="503E4022" w14:textId="77777777" w:rsidR="00144EA1" w:rsidRPr="006F6171" w:rsidRDefault="00144EA1" w:rsidP="00144EA1">
      <w:pPr>
        <w:ind w:left="720" w:hanging="720"/>
        <w:rPr>
          <w:szCs w:val="24"/>
        </w:rPr>
      </w:pPr>
      <w:r w:rsidRPr="006F6171">
        <w:rPr>
          <w:szCs w:val="24"/>
        </w:rPr>
        <w:t>III.</w:t>
      </w:r>
      <w:r w:rsidRPr="006F6171">
        <w:rPr>
          <w:szCs w:val="24"/>
        </w:rPr>
        <w:tab/>
        <w:t>The Project owner’s limited partnership agreement or limited liability company operating agreement must provide that:</w:t>
      </w:r>
    </w:p>
    <w:p w14:paraId="7F2F2AD8" w14:textId="77777777" w:rsidR="00144EA1" w:rsidRPr="006F6171" w:rsidRDefault="00144EA1" w:rsidP="00144EA1">
      <w:pPr>
        <w:rPr>
          <w:szCs w:val="24"/>
        </w:rPr>
      </w:pPr>
    </w:p>
    <w:p w14:paraId="4F8BA025" w14:textId="77777777" w:rsidR="00144EA1" w:rsidRPr="006F6171" w:rsidRDefault="00144EA1" w:rsidP="00BE5856">
      <w:pPr>
        <w:pStyle w:val="ListParagraph"/>
        <w:numPr>
          <w:ilvl w:val="0"/>
          <w:numId w:val="62"/>
        </w:numPr>
        <w:contextualSpacing/>
        <w:rPr>
          <w:szCs w:val="24"/>
        </w:rPr>
      </w:pPr>
      <w:r w:rsidRPr="006F6171">
        <w:rPr>
          <w:szCs w:val="24"/>
        </w:rPr>
        <w:t>the holder of the ROFR may assign the ROFR to a governmental unit, tenant organization or resident management corporation of the Project, or another Qualified Nonprofit Organization without the consent of the limited partner(s) or non-managing member(s);</w:t>
      </w:r>
    </w:p>
    <w:p w14:paraId="3A8B9910" w14:textId="77777777" w:rsidR="00144EA1" w:rsidRPr="006F6171" w:rsidRDefault="00144EA1" w:rsidP="00144EA1">
      <w:pPr>
        <w:pStyle w:val="ListParagraph"/>
        <w:ind w:left="360"/>
        <w:rPr>
          <w:szCs w:val="24"/>
        </w:rPr>
      </w:pPr>
    </w:p>
    <w:p w14:paraId="187BCAB0" w14:textId="77777777" w:rsidR="00144EA1" w:rsidRPr="006F6171" w:rsidRDefault="00144EA1" w:rsidP="00BE5856">
      <w:pPr>
        <w:pStyle w:val="ListParagraph"/>
        <w:numPr>
          <w:ilvl w:val="0"/>
          <w:numId w:val="62"/>
        </w:numPr>
        <w:contextualSpacing/>
        <w:rPr>
          <w:szCs w:val="24"/>
        </w:rPr>
      </w:pPr>
      <w:r w:rsidRPr="006F6171">
        <w:rPr>
          <w:szCs w:val="24"/>
        </w:rPr>
        <w:t>the general partner or managing member may elect to do any of the following:</w:t>
      </w:r>
    </w:p>
    <w:p w14:paraId="601B8D8A" w14:textId="77777777" w:rsidR="00144EA1" w:rsidRPr="006F6171" w:rsidRDefault="00144EA1" w:rsidP="00144EA1">
      <w:pPr>
        <w:pStyle w:val="ListParagraph"/>
        <w:ind w:left="1080"/>
        <w:rPr>
          <w:szCs w:val="24"/>
        </w:rPr>
      </w:pPr>
    </w:p>
    <w:p w14:paraId="1C11CB8A" w14:textId="77777777" w:rsidR="00144EA1" w:rsidRPr="006F6171" w:rsidRDefault="00144EA1" w:rsidP="00BE5856">
      <w:pPr>
        <w:pStyle w:val="ListParagraph"/>
        <w:numPr>
          <w:ilvl w:val="1"/>
          <w:numId w:val="62"/>
        </w:numPr>
        <w:contextualSpacing/>
        <w:rPr>
          <w:szCs w:val="24"/>
        </w:rPr>
      </w:pPr>
      <w:r w:rsidRPr="006F6171">
        <w:rPr>
          <w:szCs w:val="24"/>
        </w:rPr>
        <w:t>subject to the consent of the limited partner(s) or non-managing member(s), which consent shall not be unreasonably withheld, conditioned, or delayed, sell the Project to the holder of the ROFR in connection with the exercise of the ROFR (the limited partner(s) or non-managing member(s) may not withhold consent for a non-material breach of the Project owner’s organizational documents);</w:t>
      </w:r>
    </w:p>
    <w:p w14:paraId="71BA2FE4" w14:textId="77777777" w:rsidR="00144EA1" w:rsidRPr="006F6171" w:rsidRDefault="00144EA1" w:rsidP="00144EA1">
      <w:pPr>
        <w:rPr>
          <w:szCs w:val="24"/>
        </w:rPr>
      </w:pPr>
    </w:p>
    <w:p w14:paraId="0ECC37F7" w14:textId="77777777" w:rsidR="00144EA1" w:rsidRPr="006F6171" w:rsidRDefault="00144EA1" w:rsidP="00BE5856">
      <w:pPr>
        <w:pStyle w:val="ListParagraph"/>
        <w:numPr>
          <w:ilvl w:val="1"/>
          <w:numId w:val="62"/>
        </w:numPr>
        <w:contextualSpacing/>
        <w:rPr>
          <w:szCs w:val="24"/>
        </w:rPr>
      </w:pPr>
      <w:r w:rsidRPr="006F6171">
        <w:rPr>
          <w:szCs w:val="24"/>
        </w:rPr>
        <w:t>at its discretion, without the consent of the limited partner(s) or non-managing member(s), sell the Project to the holder of the ROFR in connection with the exercise of the ROFR following the general partner’s or managing member’s receipt of a bona fide third party offer to purchase the Project, which offer may be solicited by the general partner/managing member or the holder of the ROFR; or</w:t>
      </w:r>
    </w:p>
    <w:p w14:paraId="4B8BB534" w14:textId="77777777" w:rsidR="00144EA1" w:rsidRPr="006F6171" w:rsidRDefault="00144EA1" w:rsidP="00144EA1">
      <w:pPr>
        <w:pStyle w:val="ListParagraph"/>
        <w:ind w:left="0"/>
        <w:rPr>
          <w:szCs w:val="24"/>
        </w:rPr>
      </w:pPr>
    </w:p>
    <w:p w14:paraId="49B367C1" w14:textId="77777777" w:rsidR="00144EA1" w:rsidRPr="006F6171" w:rsidRDefault="00144EA1" w:rsidP="00BE5856">
      <w:pPr>
        <w:pStyle w:val="ListParagraph"/>
        <w:numPr>
          <w:ilvl w:val="1"/>
          <w:numId w:val="62"/>
        </w:numPr>
        <w:contextualSpacing/>
        <w:rPr>
          <w:szCs w:val="24"/>
        </w:rPr>
      </w:pPr>
      <w:r w:rsidRPr="006F6171">
        <w:rPr>
          <w:szCs w:val="24"/>
        </w:rPr>
        <w:t>at its discretion, without the consent of the limited partner(s) or non-managing member(s), offer the Project for sale publicly at any time following the expiration of the Compliance Period and thereafter accept an offer from the highest bidder to purchase the Project, as long as the sale price is not less than the ROFR Price, and provided such acceptance is subject to the rights of the holder of the ROFR to exercise the ROFR and purchase the Project at the ROFR Price;</w:t>
      </w:r>
    </w:p>
    <w:p w14:paraId="02A0251E" w14:textId="77777777" w:rsidR="00144EA1" w:rsidRPr="006F6171" w:rsidRDefault="00144EA1" w:rsidP="00144EA1">
      <w:pPr>
        <w:pStyle w:val="ListParagraph"/>
        <w:ind w:left="1080"/>
        <w:rPr>
          <w:szCs w:val="24"/>
        </w:rPr>
      </w:pPr>
    </w:p>
    <w:p w14:paraId="54BCA6BF" w14:textId="77777777" w:rsidR="00144EA1" w:rsidRPr="006F6171" w:rsidRDefault="00144EA1" w:rsidP="00BE5856">
      <w:pPr>
        <w:pStyle w:val="ListParagraph"/>
        <w:numPr>
          <w:ilvl w:val="0"/>
          <w:numId w:val="62"/>
        </w:numPr>
        <w:contextualSpacing/>
        <w:rPr>
          <w:szCs w:val="24"/>
        </w:rPr>
      </w:pPr>
      <w:r w:rsidRPr="006F6171">
        <w:rPr>
          <w:szCs w:val="24"/>
        </w:rPr>
        <w:t xml:space="preserve">the general partner or managing member is directed and authorized to execute all documents necessary to effect the sale of the Project pursuant to the ROFR or Purchase Options; </w:t>
      </w:r>
    </w:p>
    <w:p w14:paraId="6455C5BA" w14:textId="77777777" w:rsidR="00144EA1" w:rsidRPr="006F6171" w:rsidRDefault="00144EA1" w:rsidP="00144EA1">
      <w:pPr>
        <w:pStyle w:val="ListParagraph"/>
        <w:ind w:left="360"/>
        <w:rPr>
          <w:szCs w:val="24"/>
        </w:rPr>
      </w:pPr>
    </w:p>
    <w:p w14:paraId="498F6755" w14:textId="4B9708A8" w:rsidR="00144EA1" w:rsidRPr="006F6171" w:rsidRDefault="00144EA1" w:rsidP="00BE5856">
      <w:pPr>
        <w:pStyle w:val="ListParagraph"/>
        <w:numPr>
          <w:ilvl w:val="0"/>
          <w:numId w:val="62"/>
        </w:numPr>
        <w:contextualSpacing/>
        <w:rPr>
          <w:szCs w:val="24"/>
        </w:rPr>
      </w:pPr>
      <w:r w:rsidRPr="006F6171">
        <w:rPr>
          <w:szCs w:val="24"/>
        </w:rPr>
        <w:t>the limited partner(s) or non-managing member(s) affirmatively agree not to challenge: (i) the sale of the Project pursuant to the terms of the ROFR by the general partner or managing member to the holder of the ROFR even if the holder of the ROFR is affiliated with the general partner or managing member; (ii) the general partner’s or managing member’s acceptance of an offer from the highest bidder in response to the general partner’s or managing member’s public offer of the Project for sale</w:t>
      </w:r>
      <w:r w:rsidR="001A03D3" w:rsidRPr="006F6171">
        <w:rPr>
          <w:szCs w:val="24"/>
        </w:rPr>
        <w:t>, provided the offer price is not less than the ROFR Price,</w:t>
      </w:r>
      <w:r w:rsidR="009778BB" w:rsidRPr="006F6171">
        <w:rPr>
          <w:szCs w:val="24"/>
        </w:rPr>
        <w:t xml:space="preserve"> </w:t>
      </w:r>
      <w:r w:rsidRPr="006F6171">
        <w:rPr>
          <w:szCs w:val="24"/>
        </w:rPr>
        <w:t>and/or the exercise of the ROFR by the holder of the ROFR after any such acceptance; and (iii) the exercise of the Purchase Options by the holder(s) thereof</w:t>
      </w:r>
      <w:r w:rsidR="001A03D3" w:rsidRPr="006F6171">
        <w:rPr>
          <w:szCs w:val="24"/>
        </w:rPr>
        <w:t xml:space="preserve"> pursuant to the terms of the Purchase Option</w:t>
      </w:r>
      <w:r w:rsidRPr="006F6171">
        <w:rPr>
          <w:szCs w:val="24"/>
        </w:rPr>
        <w:t>;</w:t>
      </w:r>
    </w:p>
    <w:p w14:paraId="1D7BFDE6" w14:textId="77777777" w:rsidR="00144EA1" w:rsidRPr="006F6171" w:rsidRDefault="00144EA1" w:rsidP="00144EA1">
      <w:pPr>
        <w:pStyle w:val="ListParagraph"/>
        <w:ind w:left="0"/>
        <w:rPr>
          <w:szCs w:val="24"/>
        </w:rPr>
      </w:pPr>
    </w:p>
    <w:p w14:paraId="38C8281D" w14:textId="77777777" w:rsidR="00144EA1" w:rsidRPr="006F6171" w:rsidRDefault="00144EA1" w:rsidP="00BE5856">
      <w:pPr>
        <w:pStyle w:val="ListParagraph"/>
        <w:numPr>
          <w:ilvl w:val="0"/>
          <w:numId w:val="62"/>
        </w:numPr>
        <w:contextualSpacing/>
        <w:rPr>
          <w:szCs w:val="24"/>
        </w:rPr>
      </w:pPr>
      <w:r w:rsidRPr="006F6171">
        <w:rPr>
          <w:szCs w:val="24"/>
        </w:rPr>
        <w:t>in the event Section 42(i)(7) of the Code is amended to permit a Qualified Nonprofit Organization to hold a purchase option after the expiration of the Compliance Period, and only to the extent permitted under such revised Section 42(i)(7) of the Code, the holder of the ROFR shall be entitled to purchase the Project, or at its option, all of the interests in the owner, in either case at the ROFR Price, in lieu of exercising the ROFR;</w:t>
      </w:r>
    </w:p>
    <w:p w14:paraId="71B7A5EB" w14:textId="77777777" w:rsidR="00144EA1" w:rsidRPr="006F6171" w:rsidRDefault="00144EA1" w:rsidP="00144EA1">
      <w:pPr>
        <w:pStyle w:val="ListParagraph"/>
        <w:ind w:left="0"/>
        <w:rPr>
          <w:szCs w:val="24"/>
        </w:rPr>
      </w:pPr>
    </w:p>
    <w:p w14:paraId="2D6509DB" w14:textId="77777777" w:rsidR="00144EA1" w:rsidRPr="006F6171" w:rsidRDefault="00144EA1" w:rsidP="00BE5856">
      <w:pPr>
        <w:pStyle w:val="ListParagraph"/>
        <w:numPr>
          <w:ilvl w:val="0"/>
          <w:numId w:val="62"/>
        </w:numPr>
        <w:contextualSpacing/>
        <w:rPr>
          <w:szCs w:val="24"/>
        </w:rPr>
      </w:pPr>
      <w:r w:rsidRPr="006F6171">
        <w:rPr>
          <w:szCs w:val="24"/>
        </w:rPr>
        <w:t>neither the ROFR or Purchase Options will be adversely affected or limited by any other rights of the limited partner(s) or non-managing member(s), or any owner of any interest in any limited partner or non-managing member, such as forced sale rights, and there are no conditions to the exercise of the ROFR or Purchase Options except as explicitly identified in the limited partnership agreement or limited liability company operating agreement; and</w:t>
      </w:r>
    </w:p>
    <w:p w14:paraId="1837D62D" w14:textId="77777777" w:rsidR="00144EA1" w:rsidRPr="006F6171" w:rsidRDefault="00144EA1" w:rsidP="00144EA1">
      <w:pPr>
        <w:pStyle w:val="ListParagraph"/>
        <w:ind w:left="0"/>
        <w:rPr>
          <w:szCs w:val="24"/>
        </w:rPr>
      </w:pPr>
    </w:p>
    <w:p w14:paraId="312037FE" w14:textId="77777777" w:rsidR="00144EA1" w:rsidRPr="006F6171" w:rsidRDefault="00144EA1" w:rsidP="00BE5856">
      <w:pPr>
        <w:pStyle w:val="ListParagraph"/>
        <w:numPr>
          <w:ilvl w:val="0"/>
          <w:numId w:val="62"/>
        </w:numPr>
        <w:contextualSpacing/>
        <w:rPr>
          <w:szCs w:val="24"/>
        </w:rPr>
      </w:pPr>
      <w:r w:rsidRPr="006F6171">
        <w:rPr>
          <w:szCs w:val="24"/>
        </w:rPr>
        <w:t>any amendment that would modify any term or condition related to the ROFR or Purchase Options requires the prior written consent of MaineHousing.</w:t>
      </w:r>
    </w:p>
    <w:p w14:paraId="3C10D53A" w14:textId="77777777" w:rsidR="00D46A6B" w:rsidRPr="006F6171" w:rsidRDefault="00D46A6B" w:rsidP="00D46A6B">
      <w:pPr>
        <w:pStyle w:val="BodyText"/>
      </w:pPr>
    </w:p>
    <w:sectPr w:rsidR="00D46A6B" w:rsidRPr="006F6171" w:rsidSect="00D46A6B">
      <w:endnotePr>
        <w:numFmt w:val="decimal"/>
      </w:endnotePr>
      <w:type w:val="continuous"/>
      <w:pgSz w:w="12240" w:h="15840" w:code="1"/>
      <w:pgMar w:top="1440" w:right="1440" w:bottom="1440" w:left="1440" w:header="1440" w:footer="720" w:gutter="0"/>
      <w:pgNumType w:start="1"/>
      <w:cols w:space="59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3DC1" w14:textId="77777777" w:rsidR="0000641D" w:rsidRDefault="0000641D" w:rsidP="00C74E75">
      <w:r>
        <w:separator/>
      </w:r>
    </w:p>
  </w:endnote>
  <w:endnote w:type="continuationSeparator" w:id="0">
    <w:p w14:paraId="1CC8884E" w14:textId="77777777" w:rsidR="0000641D" w:rsidRDefault="0000641D" w:rsidP="00C7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rEavesModOT">
    <w:altName w:val="Malgun Gothic"/>
    <w:panose1 w:val="00000000000000000000"/>
    <w:charset w:val="00"/>
    <w:family w:val="swiss"/>
    <w:notTrueType/>
    <w:pitch w:val="variable"/>
    <w:sig w:usb0="00000003" w:usb1="00000001"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AF04" w14:textId="77777777" w:rsidR="0000641D" w:rsidRDefault="0000641D">
    <w:pPr>
      <w:tabs>
        <w:tab w:val="left" w:pos="-720"/>
      </w:tabs>
      <w:suppressAutoHyphens/>
      <w:rPr>
        <w:sz w:val="22"/>
      </w:rPr>
    </w:pPr>
  </w:p>
  <w:p w14:paraId="57A316B3" w14:textId="77777777" w:rsidR="0000641D" w:rsidRDefault="0000641D">
    <w:pPr>
      <w:tabs>
        <w:tab w:val="left" w:pos="-720"/>
      </w:tabs>
      <w:suppressAutoHyphens/>
      <w:rPr>
        <w:sz w:val="22"/>
      </w:rPr>
    </w:pPr>
  </w:p>
  <w:p w14:paraId="26AAC099" w14:textId="77777777" w:rsidR="0000641D" w:rsidRDefault="0000641D">
    <w:pPr>
      <w:tabs>
        <w:tab w:val="left" w:pos="-720"/>
      </w:tabs>
      <w:suppressAutoHyphens/>
      <w:rPr>
        <w:sz w:val="22"/>
      </w:rPr>
    </w:pPr>
  </w:p>
  <w:p w14:paraId="7FAB72D0" w14:textId="77777777" w:rsidR="0000641D" w:rsidRDefault="0000641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94ED" w14:textId="5C451CAB" w:rsidR="0000641D" w:rsidRDefault="0000641D" w:rsidP="00482261">
    <w:pPr>
      <w:tabs>
        <w:tab w:val="left" w:pos="-720"/>
      </w:tabs>
      <w:suppressAutoHyphens/>
      <w:rPr>
        <w:sz w:val="16"/>
      </w:rPr>
    </w:pPr>
    <w:r w:rsidRPr="00C42617">
      <w:rPr>
        <w:sz w:val="16"/>
      </w:rPr>
      <w:t>R</w:t>
    </w:r>
    <w:r>
      <w:rPr>
        <w:sz w:val="16"/>
      </w:rPr>
      <w:t>evised: 2/1/20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page </w:instrText>
    </w:r>
    <w:r>
      <w:rPr>
        <w:rStyle w:val="PageNumber"/>
        <w:sz w:val="16"/>
      </w:rPr>
      <w:fldChar w:fldCharType="separate"/>
    </w:r>
    <w:r w:rsidR="007317EE">
      <w:rPr>
        <w:rStyle w:val="PageNumber"/>
        <w:noProof/>
        <w:sz w:val="16"/>
      </w:rPr>
      <w:t>5</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SECTIONPAGES   \* MERGEFORMAT </w:instrText>
    </w:r>
    <w:r>
      <w:rPr>
        <w:rStyle w:val="PageNumber"/>
        <w:sz w:val="16"/>
      </w:rPr>
      <w:fldChar w:fldCharType="separate"/>
    </w:r>
    <w:r w:rsidR="001A57FA">
      <w:rPr>
        <w:rStyle w:val="PageNumber"/>
        <w:noProof/>
        <w:sz w:val="16"/>
      </w:rPr>
      <w:t>5</w:t>
    </w:r>
    <w:r>
      <w:rPr>
        <w:rStyle w:val="PageNumber"/>
        <w:sz w:val="16"/>
      </w:rPr>
      <w:fldChar w:fldCharType="end"/>
    </w:r>
  </w:p>
  <w:p w14:paraId="6B052708" w14:textId="77777777" w:rsidR="0000641D" w:rsidRDefault="0000641D">
    <w:pPr>
      <w:tabs>
        <w:tab w:val="left" w:pos="-720"/>
      </w:tabs>
      <w:suppressAutoHyphens/>
      <w:jc w:val="right"/>
      <w:rPr>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E5B5" w14:textId="77777777" w:rsidR="0000641D" w:rsidRDefault="0000641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B588" w14:textId="4566A67A" w:rsidR="0000641D" w:rsidRDefault="0000641D">
    <w:pPr>
      <w:pStyle w:val="Footer"/>
      <w:jc w:val="center"/>
    </w:pPr>
    <w:r>
      <w:t xml:space="preserve">Page </w:t>
    </w:r>
    <w:sdt>
      <w:sdtPr>
        <w:id w:val="-1787418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17EE">
          <w:rPr>
            <w:noProof/>
          </w:rPr>
          <w:t>3</w:t>
        </w:r>
        <w:r>
          <w:rPr>
            <w:noProof/>
          </w:rPr>
          <w:fldChar w:fldCharType="end"/>
        </w:r>
        <w:r>
          <w:rPr>
            <w:noProof/>
          </w:rPr>
          <w:t xml:space="preserve"> of 3</w:t>
        </w:r>
      </w:sdtContent>
    </w:sdt>
  </w:p>
  <w:p w14:paraId="70AB00BD" w14:textId="77777777" w:rsidR="0000641D" w:rsidRDefault="0000641D">
    <w:pPr>
      <w:tabs>
        <w:tab w:val="left" w:pos="-720"/>
      </w:tabs>
      <w:suppressAutoHyphens/>
      <w:jc w:val="right"/>
      <w:rPr>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C4EC" w14:textId="77777777" w:rsidR="0000641D" w:rsidRDefault="0000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DCD0" w14:textId="77777777" w:rsidR="0000641D" w:rsidRPr="00A5479B" w:rsidRDefault="0000641D" w:rsidP="00D056E5">
    <w:pPr>
      <w:tabs>
        <w:tab w:val="left" w:pos="-720"/>
      </w:tabs>
      <w:suppressAutoHyphens/>
      <w:rPr>
        <w:sz w:val="22"/>
      </w:rPr>
    </w:pPr>
    <w:r w:rsidRPr="00A5479B">
      <w:rPr>
        <w:sz w:val="22"/>
      </w:rPr>
      <w:t>99-346 Maine State Housing Authority</w:t>
    </w:r>
  </w:p>
  <w:p w14:paraId="795FF8E4" w14:textId="77777777" w:rsidR="0000641D" w:rsidRDefault="0000641D" w:rsidP="00D056E5">
    <w:pPr>
      <w:tabs>
        <w:tab w:val="left" w:pos="-720"/>
      </w:tabs>
      <w:suppressAutoHyphens/>
      <w:rPr>
        <w:sz w:val="22"/>
      </w:rPr>
    </w:pPr>
    <w:r w:rsidRPr="00C34FF3">
      <w:rPr>
        <w:sz w:val="22"/>
      </w:rPr>
      <w:t xml:space="preserve">Chapter 16 Low-Income Housing Tax Credit Rule </w:t>
    </w:r>
  </w:p>
  <w:p w14:paraId="71DC4128" w14:textId="51773909" w:rsidR="0000641D" w:rsidRPr="00C34FF3" w:rsidRDefault="0000641D" w:rsidP="00D056E5">
    <w:pPr>
      <w:tabs>
        <w:tab w:val="left" w:pos="-720"/>
      </w:tabs>
      <w:suppressAutoHyphens/>
      <w:rPr>
        <w:sz w:val="22"/>
      </w:rPr>
    </w:pPr>
    <w:r>
      <w:rPr>
        <w:sz w:val="22"/>
      </w:rPr>
      <w:t>June 18, 2024</w:t>
    </w:r>
  </w:p>
  <w:p w14:paraId="29BC7EF6" w14:textId="1F6BD23B" w:rsidR="0000641D" w:rsidRDefault="0000641D" w:rsidP="00D056E5">
    <w:pPr>
      <w:tabs>
        <w:tab w:val="left" w:pos="-720"/>
      </w:tabs>
      <w:suppressAutoHyphens/>
      <w:rPr>
        <w:sz w:val="22"/>
      </w:rPr>
    </w:pPr>
    <w:r w:rsidRPr="00F5191C">
      <w:rPr>
        <w:sz w:val="22"/>
      </w:rPr>
      <w:t xml:space="preserve">Page </w:t>
    </w:r>
    <w:r w:rsidRPr="00F5191C">
      <w:rPr>
        <w:sz w:val="22"/>
      </w:rPr>
      <w:fldChar w:fldCharType="begin"/>
    </w:r>
    <w:r w:rsidRPr="00F5191C">
      <w:rPr>
        <w:sz w:val="22"/>
      </w:rPr>
      <w:instrText>page \* arabic</w:instrText>
    </w:r>
    <w:r w:rsidRPr="00F5191C">
      <w:rPr>
        <w:sz w:val="22"/>
      </w:rPr>
      <w:fldChar w:fldCharType="separate"/>
    </w:r>
    <w:r w:rsidR="007317EE">
      <w:rPr>
        <w:noProof/>
        <w:sz w:val="22"/>
      </w:rPr>
      <w:t>51</w:t>
    </w:r>
    <w:r w:rsidRPr="00F5191C">
      <w:rPr>
        <w:sz w:val="22"/>
      </w:rPr>
      <w:fldChar w:fldCharType="end"/>
    </w:r>
    <w:r>
      <w:rPr>
        <w:sz w:val="22"/>
      </w:rPr>
      <w:t xml:space="preserve"> of </w:t>
    </w:r>
    <w:r>
      <w:rPr>
        <w:sz w:val="22"/>
      </w:rPr>
      <w:fldChar w:fldCharType="begin"/>
    </w:r>
    <w:r>
      <w:rPr>
        <w:sz w:val="22"/>
      </w:rPr>
      <w:instrText xml:space="preserve"> SECTIONPAGES   \* MERGEFORMAT </w:instrText>
    </w:r>
    <w:r>
      <w:rPr>
        <w:sz w:val="22"/>
      </w:rPr>
      <w:fldChar w:fldCharType="separate"/>
    </w:r>
    <w:r w:rsidR="001A57FA">
      <w:rPr>
        <w:noProof/>
        <w:sz w:val="22"/>
      </w:rPr>
      <w:t>51</w:t>
    </w:r>
    <w:r>
      <w:rPr>
        <w:sz w:val="22"/>
      </w:rPr>
      <w:fldChar w:fldCharType="end"/>
    </w:r>
  </w:p>
  <w:p w14:paraId="3F5F7EB5" w14:textId="77777777" w:rsidR="0000641D" w:rsidRDefault="0000641D" w:rsidP="00D056E5">
    <w:pPr>
      <w:tabs>
        <w:tab w:val="left" w:pos="-720"/>
      </w:tabs>
      <w:suppressAutoHyphens/>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5582" w14:textId="77777777" w:rsidR="0000641D" w:rsidRDefault="000064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2EB7" w14:textId="2E12C978" w:rsidR="0000641D" w:rsidRDefault="0000641D" w:rsidP="0049629D">
    <w:pPr>
      <w:pStyle w:val="Footer"/>
      <w:tabs>
        <w:tab w:val="clear" w:pos="4680"/>
        <w:tab w:val="center" w:pos="4320"/>
        <w:tab w:val="left" w:pos="5640"/>
      </w:tabs>
      <w:jc w:val="both"/>
    </w:pPr>
    <w:r>
      <w:tab/>
    </w:r>
    <w:sdt>
      <w:sdtPr>
        <w:id w:val="-1336912086"/>
        <w:docPartObj>
          <w:docPartGallery w:val="Page Numbers (Bottom of Page)"/>
          <w:docPartUnique/>
        </w:docPartObj>
      </w:sdtPr>
      <w:sdtEndPr>
        <w:rPr>
          <w:noProof/>
          <w:szCs w:val="24"/>
        </w:rPr>
      </w:sdtEndPr>
      <w:sdtContent>
        <w:r w:rsidRPr="005476B6">
          <w:rPr>
            <w:szCs w:val="24"/>
          </w:rPr>
          <w:t xml:space="preserve">Page </w:t>
        </w:r>
        <w:r w:rsidRPr="005476B6">
          <w:rPr>
            <w:szCs w:val="24"/>
          </w:rPr>
          <w:fldChar w:fldCharType="begin"/>
        </w:r>
        <w:r w:rsidRPr="005476B6">
          <w:rPr>
            <w:szCs w:val="24"/>
          </w:rPr>
          <w:instrText xml:space="preserve"> PAGE   \* MERGEFORMAT </w:instrText>
        </w:r>
        <w:r w:rsidRPr="005476B6">
          <w:rPr>
            <w:szCs w:val="24"/>
          </w:rPr>
          <w:fldChar w:fldCharType="separate"/>
        </w:r>
        <w:r w:rsidR="007317EE">
          <w:rPr>
            <w:noProof/>
            <w:szCs w:val="24"/>
          </w:rPr>
          <w:t>7</w:t>
        </w:r>
        <w:r w:rsidRPr="005476B6">
          <w:rPr>
            <w:noProof/>
            <w:szCs w:val="24"/>
          </w:rPr>
          <w:fldChar w:fldCharType="end"/>
        </w:r>
        <w:r w:rsidRPr="005476B6">
          <w:rPr>
            <w:noProof/>
            <w:szCs w:val="24"/>
          </w:rPr>
          <w:t xml:space="preserve"> of </w:t>
        </w:r>
        <w:r>
          <w:rPr>
            <w:noProof/>
            <w:szCs w:val="24"/>
          </w:rPr>
          <w:t>7</w:t>
        </w:r>
      </w:sdtContent>
    </w:sdt>
  </w:p>
  <w:p w14:paraId="3548E924" w14:textId="77777777" w:rsidR="0000641D" w:rsidRDefault="000064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ED2E" w14:textId="77777777" w:rsidR="0000641D" w:rsidRDefault="000064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7CC5" w14:textId="77777777" w:rsidR="0000641D" w:rsidRDefault="000064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A4B7" w14:textId="77777777" w:rsidR="0000641D" w:rsidRDefault="000064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9C2E" w14:textId="77777777" w:rsidR="0000641D" w:rsidRDefault="0000641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04ED" w14:textId="58B74E3B" w:rsidR="0000641D" w:rsidRDefault="0000641D" w:rsidP="00482261">
    <w:pPr>
      <w:tabs>
        <w:tab w:val="left" w:pos="-720"/>
      </w:tabs>
      <w:suppressAutoHyphen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page </w:instrText>
    </w:r>
    <w:r>
      <w:rPr>
        <w:rStyle w:val="PageNumber"/>
        <w:sz w:val="16"/>
      </w:rPr>
      <w:fldChar w:fldCharType="separate"/>
    </w:r>
    <w:r w:rsidR="007317EE">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SECTIONPAGES   \* MERGEFORMAT </w:instrText>
    </w:r>
    <w:r>
      <w:rPr>
        <w:rStyle w:val="PageNumber"/>
        <w:sz w:val="16"/>
      </w:rPr>
      <w:fldChar w:fldCharType="separate"/>
    </w:r>
    <w:r w:rsidR="001A57FA">
      <w:rPr>
        <w:rStyle w:val="PageNumber"/>
        <w:noProof/>
        <w:sz w:val="16"/>
      </w:rPr>
      <w:t>2</w:t>
    </w:r>
    <w:r>
      <w:rPr>
        <w:rStyle w:val="PageNumber"/>
        <w:sz w:val="16"/>
      </w:rPr>
      <w:fldChar w:fldCharType="end"/>
    </w:r>
  </w:p>
  <w:p w14:paraId="38010424" w14:textId="77777777" w:rsidR="0000641D" w:rsidRDefault="0000641D">
    <w:pPr>
      <w:tabs>
        <w:tab w:val="left" w:pos="-720"/>
      </w:tabs>
      <w:suppressAutoHyphen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3D88" w14:textId="77777777" w:rsidR="0000641D" w:rsidRDefault="0000641D" w:rsidP="00C74E75">
      <w:r>
        <w:separator/>
      </w:r>
    </w:p>
  </w:footnote>
  <w:footnote w:type="continuationSeparator" w:id="0">
    <w:p w14:paraId="0070C510" w14:textId="77777777" w:rsidR="0000641D" w:rsidRDefault="0000641D" w:rsidP="00C7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FDC1" w14:textId="31FE8BC0" w:rsidR="0000641D" w:rsidRDefault="0000641D">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EEEE" w14:textId="77777777" w:rsidR="0000641D" w:rsidRDefault="00006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424D" w14:textId="77777777" w:rsidR="0000641D" w:rsidRDefault="00006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AD5A" w14:textId="77777777" w:rsidR="0000641D" w:rsidRDefault="000064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4F40" w14:textId="77777777" w:rsidR="0000641D" w:rsidRDefault="000064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24B7" w14:textId="77777777" w:rsidR="0000641D" w:rsidRDefault="000064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D7C0" w14:textId="77777777" w:rsidR="0000641D" w:rsidRDefault="000064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4530" w14:textId="77777777" w:rsidR="0000641D" w:rsidRDefault="000064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8306" w14:textId="77777777" w:rsidR="0000641D" w:rsidRDefault="000064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9CA8" w14:textId="77777777" w:rsidR="0000641D" w:rsidRDefault="00006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F087BF"/>
    <w:multiLevelType w:val="hybridMultilevel"/>
    <w:tmpl w:val="282E93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BE58C24C"/>
    <w:lvl w:ilvl="0">
      <w:numFmt w:val="decimal"/>
      <w:lvlText w:val="*"/>
      <w:lvlJc w:val="left"/>
    </w:lvl>
  </w:abstractNum>
  <w:abstractNum w:abstractNumId="2" w15:restartNumberingAfterBreak="0">
    <w:nsid w:val="0164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3D6FC2"/>
    <w:multiLevelType w:val="hybridMultilevel"/>
    <w:tmpl w:val="895E73FC"/>
    <w:lvl w:ilvl="0" w:tplc="4970CAD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7">
      <w:start w:val="1"/>
      <w:numFmt w:val="lowerLetter"/>
      <w:lvlText w:val="%5)"/>
      <w:lvlJc w:val="left"/>
      <w:pPr>
        <w:ind w:left="4050" w:hanging="360"/>
      </w:pPr>
      <w:rPr>
        <w:rFonts w:hint="default"/>
        <w:b w:val="0"/>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9540B08"/>
    <w:multiLevelType w:val="hybridMultilevel"/>
    <w:tmpl w:val="56B841AE"/>
    <w:lvl w:ilvl="0" w:tplc="03427856">
      <w:start w:val="1"/>
      <w:numFmt w:val="upperLetter"/>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09B47672"/>
    <w:multiLevelType w:val="hybridMultilevel"/>
    <w:tmpl w:val="D5C0B31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87BC6"/>
    <w:multiLevelType w:val="singleLevel"/>
    <w:tmpl w:val="62B2C03A"/>
    <w:lvl w:ilvl="0">
      <w:start w:val="3"/>
      <w:numFmt w:val="decimal"/>
      <w:lvlText w:val="%1. "/>
      <w:legacy w:legacy="1" w:legacySpace="0" w:legacyIndent="360"/>
      <w:lvlJc w:val="left"/>
      <w:pPr>
        <w:ind w:left="360" w:hanging="360"/>
      </w:pPr>
      <w:rPr>
        <w:rFonts w:ascii="Arial" w:hAnsi="Arial" w:hint="default"/>
        <w:b w:val="0"/>
        <w:i w:val="0"/>
        <w:sz w:val="20"/>
        <w:u w:val="none"/>
      </w:rPr>
    </w:lvl>
  </w:abstractNum>
  <w:abstractNum w:abstractNumId="8" w15:restartNumberingAfterBreak="0">
    <w:nsid w:val="10652256"/>
    <w:multiLevelType w:val="hybridMultilevel"/>
    <w:tmpl w:val="B6AC8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07858"/>
    <w:multiLevelType w:val="hybridMultilevel"/>
    <w:tmpl w:val="4B2058DC"/>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06177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171F1B"/>
    <w:multiLevelType w:val="hybridMultilevel"/>
    <w:tmpl w:val="529A5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F">
      <w:start w:val="1"/>
      <w:numFmt w:val="decimal"/>
      <w:lvlText w:val="%5."/>
      <w:lvlJc w:val="left"/>
      <w:pPr>
        <w:ind w:left="4320" w:hanging="360"/>
      </w:pPr>
      <w:rPr>
        <w:rFont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7B7E62"/>
    <w:multiLevelType w:val="hybridMultilevel"/>
    <w:tmpl w:val="2DC078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A0B2F"/>
    <w:multiLevelType w:val="hybridMultilevel"/>
    <w:tmpl w:val="95F0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B40CC"/>
    <w:multiLevelType w:val="hybridMultilevel"/>
    <w:tmpl w:val="559228A2"/>
    <w:lvl w:ilvl="0" w:tplc="6D025A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B01E4"/>
    <w:multiLevelType w:val="hybridMultilevel"/>
    <w:tmpl w:val="57688668"/>
    <w:lvl w:ilvl="0" w:tplc="0CC09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F2B7F"/>
    <w:multiLevelType w:val="hybridMultilevel"/>
    <w:tmpl w:val="94F02644"/>
    <w:lvl w:ilvl="0" w:tplc="4DB8017A">
      <w:start w:val="1"/>
      <w:numFmt w:val="upperLetter"/>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1D771BE1"/>
    <w:multiLevelType w:val="hybridMultilevel"/>
    <w:tmpl w:val="5C9EA86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F675797"/>
    <w:multiLevelType w:val="hybridMultilevel"/>
    <w:tmpl w:val="E97E4A24"/>
    <w:lvl w:ilvl="0" w:tplc="0409000F">
      <w:start w:val="1"/>
      <w:numFmt w:val="decimal"/>
      <w:lvlText w:val="%1."/>
      <w:lvlJc w:val="left"/>
      <w:pPr>
        <w:tabs>
          <w:tab w:val="num" w:pos="3600"/>
        </w:tabs>
        <w:ind w:left="360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45008E"/>
    <w:multiLevelType w:val="hybridMultilevel"/>
    <w:tmpl w:val="C5A4A84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24902A8"/>
    <w:multiLevelType w:val="hybridMultilevel"/>
    <w:tmpl w:val="190E94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7103F4F"/>
    <w:multiLevelType w:val="hybridMultilevel"/>
    <w:tmpl w:val="7988D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F250D"/>
    <w:multiLevelType w:val="hybridMultilevel"/>
    <w:tmpl w:val="F06AA01E"/>
    <w:lvl w:ilvl="0" w:tplc="29B08B1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811ABB"/>
    <w:multiLevelType w:val="hybridMultilevel"/>
    <w:tmpl w:val="9738B9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B07C55"/>
    <w:multiLevelType w:val="hybridMultilevel"/>
    <w:tmpl w:val="2C3A2010"/>
    <w:lvl w:ilvl="0" w:tplc="B9EACC28">
      <w:start w:val="1"/>
      <w:numFmt w:val="decimal"/>
      <w:lvlText w:val="%1."/>
      <w:lvlJc w:val="left"/>
      <w:pPr>
        <w:ind w:left="720" w:hanging="360"/>
      </w:pPr>
      <w:rPr>
        <w:rFonts w:ascii="Garamond" w:eastAsia="Times New Roman" w:hAnsi="Garamond" w:cs="Times New Roman"/>
      </w:rPr>
    </w:lvl>
    <w:lvl w:ilvl="1" w:tplc="8078E162">
      <w:start w:val="1"/>
      <w:numFmt w:val="decimal"/>
      <w:lvlText w:val="%2."/>
      <w:lvlJc w:val="left"/>
      <w:pPr>
        <w:tabs>
          <w:tab w:val="num" w:pos="1440"/>
        </w:tabs>
        <w:ind w:left="1440" w:hanging="360"/>
      </w:pPr>
      <w:rPr>
        <w:rFonts w:cs="Times New Roman" w:hint="default"/>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327C05BD"/>
    <w:multiLevelType w:val="hybridMultilevel"/>
    <w:tmpl w:val="C7EC45BE"/>
    <w:lvl w:ilvl="0" w:tplc="77625BF8">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2F47494"/>
    <w:multiLevelType w:val="hybridMultilevel"/>
    <w:tmpl w:val="F2F65C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F50A4F"/>
    <w:multiLevelType w:val="hybridMultilevel"/>
    <w:tmpl w:val="58A079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EF5EEE"/>
    <w:multiLevelType w:val="hybridMultilevel"/>
    <w:tmpl w:val="783E76D0"/>
    <w:lvl w:ilvl="0" w:tplc="FFEC91A6">
      <w:start w:val="1"/>
      <w:numFmt w:val="decimal"/>
      <w:pStyle w:val="Heading3"/>
      <w:lvlText w:val="%1."/>
      <w:lvlJc w:val="left"/>
      <w:pPr>
        <w:ind w:left="1800" w:hanging="360"/>
      </w:pPr>
      <w:rPr>
        <w:rFonts w:ascii="Garamond" w:eastAsia="Times New Roman" w:hAnsi="Garamond" w:cs="Times New Roman"/>
        <w:b w:val="0"/>
      </w:rPr>
    </w:lvl>
    <w:lvl w:ilvl="1" w:tplc="68A4BF0E">
      <w:start w:val="1"/>
      <w:numFmt w:val="lowerLetter"/>
      <w:lvlText w:val="%2."/>
      <w:lvlJc w:val="left"/>
      <w:pPr>
        <w:ind w:left="2520" w:hanging="360"/>
      </w:pPr>
      <w:rPr>
        <w:rFonts w:ascii="Garamond" w:eastAsia="Times New Roman" w:hAnsi="Garamond"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9FF23E7"/>
    <w:multiLevelType w:val="singleLevel"/>
    <w:tmpl w:val="FD400B76"/>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30" w15:restartNumberingAfterBreak="0">
    <w:nsid w:val="3B3103F8"/>
    <w:multiLevelType w:val="hybridMultilevel"/>
    <w:tmpl w:val="38522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FB4A17"/>
    <w:multiLevelType w:val="hybridMultilevel"/>
    <w:tmpl w:val="88800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371CE8"/>
    <w:multiLevelType w:val="hybridMultilevel"/>
    <w:tmpl w:val="47FC2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0A2FD7"/>
    <w:multiLevelType w:val="hybridMultilevel"/>
    <w:tmpl w:val="58D20098"/>
    <w:lvl w:ilvl="0" w:tplc="F2F68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F7F2EE9"/>
    <w:multiLevelType w:val="hybridMultilevel"/>
    <w:tmpl w:val="6BFE87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B862BC"/>
    <w:multiLevelType w:val="hybridMultilevel"/>
    <w:tmpl w:val="1BCCA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367050A"/>
    <w:multiLevelType w:val="hybridMultilevel"/>
    <w:tmpl w:val="9B06A154"/>
    <w:lvl w:ilvl="0" w:tplc="B4665828">
      <w:start w:val="1"/>
      <w:numFmt w:val="upperLetter"/>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7" w15:restartNumberingAfterBreak="0">
    <w:nsid w:val="44CF7A4F"/>
    <w:multiLevelType w:val="hybridMultilevel"/>
    <w:tmpl w:val="DA86E61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62E105A"/>
    <w:multiLevelType w:val="hybridMultilevel"/>
    <w:tmpl w:val="1D406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FE7AE7"/>
    <w:multiLevelType w:val="hybridMultilevel"/>
    <w:tmpl w:val="BE4869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17402D"/>
    <w:multiLevelType w:val="hybridMultilevel"/>
    <w:tmpl w:val="163073E8"/>
    <w:lvl w:ilvl="0" w:tplc="F9D4F7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FF6E1B"/>
    <w:multiLevelType w:val="hybridMultilevel"/>
    <w:tmpl w:val="C7EC45BE"/>
    <w:lvl w:ilvl="0" w:tplc="77625BF8">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01E5AD2"/>
    <w:multiLevelType w:val="hybridMultilevel"/>
    <w:tmpl w:val="E27C5688"/>
    <w:lvl w:ilvl="0" w:tplc="9314E1C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3" w15:restartNumberingAfterBreak="0">
    <w:nsid w:val="50D0750D"/>
    <w:multiLevelType w:val="hybridMultilevel"/>
    <w:tmpl w:val="91A296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3F10C02"/>
    <w:multiLevelType w:val="hybridMultilevel"/>
    <w:tmpl w:val="A2122B28"/>
    <w:lvl w:ilvl="0" w:tplc="E2A211F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542272B6"/>
    <w:multiLevelType w:val="hybridMultilevel"/>
    <w:tmpl w:val="0278F062"/>
    <w:lvl w:ilvl="0" w:tplc="DC38D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A358E1"/>
    <w:multiLevelType w:val="hybridMultilevel"/>
    <w:tmpl w:val="1F3C8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481D82"/>
    <w:multiLevelType w:val="hybridMultilevel"/>
    <w:tmpl w:val="809EC778"/>
    <w:lvl w:ilvl="0" w:tplc="04090017">
      <w:start w:val="1"/>
      <w:numFmt w:val="lowerLetter"/>
      <w:lvlText w:val="%1)"/>
      <w:lvlJc w:val="left"/>
      <w:pPr>
        <w:ind w:left="2520" w:hanging="360"/>
      </w:p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15:restartNumberingAfterBreak="0">
    <w:nsid w:val="5B7A0FE0"/>
    <w:multiLevelType w:val="hybridMultilevel"/>
    <w:tmpl w:val="9824010C"/>
    <w:lvl w:ilvl="0" w:tplc="77EE7AFC">
      <w:start w:val="3"/>
      <w:numFmt w:val="upp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812D1"/>
    <w:multiLevelType w:val="hybridMultilevel"/>
    <w:tmpl w:val="0278F062"/>
    <w:lvl w:ilvl="0" w:tplc="DC38D6A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5F3B3042"/>
    <w:multiLevelType w:val="hybridMultilevel"/>
    <w:tmpl w:val="F5D213E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E698C"/>
    <w:multiLevelType w:val="hybridMultilevel"/>
    <w:tmpl w:val="B4188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AB3B09"/>
    <w:multiLevelType w:val="hybridMultilevel"/>
    <w:tmpl w:val="A8D6B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A905DD"/>
    <w:multiLevelType w:val="hybridMultilevel"/>
    <w:tmpl w:val="418CE6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64042AD1"/>
    <w:multiLevelType w:val="hybridMultilevel"/>
    <w:tmpl w:val="BC78E4C6"/>
    <w:lvl w:ilvl="0" w:tplc="18A25B8E">
      <w:start w:val="3"/>
      <w:numFmt w:val="upperLetter"/>
      <w:lvlText w:val="%1."/>
      <w:lvlJc w:val="left"/>
      <w:pPr>
        <w:tabs>
          <w:tab w:val="num" w:pos="2160"/>
        </w:tabs>
        <w:ind w:left="2160" w:hanging="360"/>
      </w:pPr>
      <w:rPr>
        <w:rFonts w:cs="Times New Roman" w:hint="default"/>
        <w:b w:val="0"/>
      </w:r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6CC5D80"/>
    <w:multiLevelType w:val="hybridMultilevel"/>
    <w:tmpl w:val="8CDEA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9232F32"/>
    <w:multiLevelType w:val="hybridMultilevel"/>
    <w:tmpl w:val="AD308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947269B"/>
    <w:multiLevelType w:val="hybridMultilevel"/>
    <w:tmpl w:val="A8D6B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7E4693"/>
    <w:multiLevelType w:val="hybridMultilevel"/>
    <w:tmpl w:val="559228A2"/>
    <w:lvl w:ilvl="0" w:tplc="6D025AD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EF1D98"/>
    <w:multiLevelType w:val="hybridMultilevel"/>
    <w:tmpl w:val="241A7E1C"/>
    <w:lvl w:ilvl="0" w:tplc="0409000F">
      <w:start w:val="1"/>
      <w:numFmt w:val="decimal"/>
      <w:lvlText w:val="%1."/>
      <w:lvlJc w:val="left"/>
      <w:pPr>
        <w:ind w:left="108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F2D71CF"/>
    <w:multiLevelType w:val="hybridMultilevel"/>
    <w:tmpl w:val="EAEC0A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F457F02"/>
    <w:multiLevelType w:val="hybridMultilevel"/>
    <w:tmpl w:val="87043BA0"/>
    <w:lvl w:ilvl="0" w:tplc="B95EC6E6">
      <w:start w:val="3"/>
      <w:numFmt w:val="upp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56086B"/>
    <w:multiLevelType w:val="hybridMultilevel"/>
    <w:tmpl w:val="776A9A3C"/>
    <w:lvl w:ilvl="0" w:tplc="85467546">
      <w:start w:val="1"/>
      <w:numFmt w:val="decimal"/>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BE71C7"/>
    <w:multiLevelType w:val="hybridMultilevel"/>
    <w:tmpl w:val="B3A4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EE4834"/>
    <w:multiLevelType w:val="hybridMultilevel"/>
    <w:tmpl w:val="2DC078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A829A2"/>
    <w:multiLevelType w:val="hybridMultilevel"/>
    <w:tmpl w:val="D32A8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5133D7F"/>
    <w:multiLevelType w:val="hybridMultilevel"/>
    <w:tmpl w:val="CEA4DEC0"/>
    <w:lvl w:ilvl="0" w:tplc="0D54AAD0">
      <w:start w:val="1"/>
      <w:numFmt w:val="upperLetter"/>
      <w:pStyle w:val="Heading2"/>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7" w15:restartNumberingAfterBreak="0">
    <w:nsid w:val="757146D7"/>
    <w:multiLevelType w:val="hybridMultilevel"/>
    <w:tmpl w:val="C7EC45BE"/>
    <w:lvl w:ilvl="0" w:tplc="77625BF8">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79A1A50"/>
    <w:multiLevelType w:val="hybridMultilevel"/>
    <w:tmpl w:val="9B06A154"/>
    <w:lvl w:ilvl="0" w:tplc="B4665828">
      <w:start w:val="1"/>
      <w:numFmt w:val="upperLetter"/>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9" w15:restartNumberingAfterBreak="0">
    <w:nsid w:val="7A61324E"/>
    <w:multiLevelType w:val="hybridMultilevel"/>
    <w:tmpl w:val="47223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DA474E"/>
    <w:multiLevelType w:val="hybridMultilevel"/>
    <w:tmpl w:val="C88AE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8039B3"/>
    <w:multiLevelType w:val="hybridMultilevel"/>
    <w:tmpl w:val="14D8277A"/>
    <w:lvl w:ilvl="0" w:tplc="C480EB24">
      <w:start w:val="1"/>
      <w:numFmt w:val="upperLetter"/>
      <w:lvlText w:val="%1."/>
      <w:lvlJc w:val="left"/>
      <w:pPr>
        <w:tabs>
          <w:tab w:val="num" w:pos="1440"/>
        </w:tabs>
        <w:ind w:left="1440" w:hanging="360"/>
      </w:pPr>
      <w:rPr>
        <w:rFonts w:cs="Times New Roman"/>
        <w:b w:val="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1612466823">
    <w:abstractNumId w:val="24"/>
  </w:num>
  <w:num w:numId="2" w16cid:durableId="1216161675">
    <w:abstractNumId w:val="28"/>
  </w:num>
  <w:num w:numId="3" w16cid:durableId="465199174">
    <w:abstractNumId w:val="66"/>
  </w:num>
  <w:num w:numId="4" w16cid:durableId="2108429260">
    <w:abstractNumId w:val="68"/>
  </w:num>
  <w:num w:numId="5" w16cid:durableId="1048605967">
    <w:abstractNumId w:val="4"/>
  </w:num>
  <w:num w:numId="6" w16cid:durableId="270940499">
    <w:abstractNumId w:val="71"/>
  </w:num>
  <w:num w:numId="7" w16cid:durableId="674112610">
    <w:abstractNumId w:val="16"/>
  </w:num>
  <w:num w:numId="8" w16cid:durableId="391202355">
    <w:abstractNumId w:val="22"/>
  </w:num>
  <w:num w:numId="9" w16cid:durableId="1539512454">
    <w:abstractNumId w:val="60"/>
  </w:num>
  <w:num w:numId="10" w16cid:durableId="1727139700">
    <w:abstractNumId w:val="48"/>
  </w:num>
  <w:num w:numId="11" w16cid:durableId="1266039394">
    <w:abstractNumId w:val="61"/>
  </w:num>
  <w:num w:numId="12" w16cid:durableId="1240141642">
    <w:abstractNumId w:val="58"/>
  </w:num>
  <w:num w:numId="13" w16cid:durableId="1266495199">
    <w:abstractNumId w:val="40"/>
  </w:num>
  <w:num w:numId="14" w16cid:durableId="1083993423">
    <w:abstractNumId w:val="30"/>
  </w:num>
  <w:num w:numId="15" w16cid:durableId="81225014">
    <w:abstractNumId w:val="19"/>
  </w:num>
  <w:num w:numId="16" w16cid:durableId="489979629">
    <w:abstractNumId w:val="3"/>
  </w:num>
  <w:num w:numId="17" w16cid:durableId="1607693134">
    <w:abstractNumId w:val="59"/>
  </w:num>
  <w:num w:numId="18" w16cid:durableId="681051485">
    <w:abstractNumId w:val="8"/>
  </w:num>
  <w:num w:numId="19" w16cid:durableId="360128426">
    <w:abstractNumId w:val="11"/>
  </w:num>
  <w:num w:numId="20" w16cid:durableId="186144048">
    <w:abstractNumId w:val="63"/>
  </w:num>
  <w:num w:numId="21" w16cid:durableId="2031249348">
    <w:abstractNumId w:val="47"/>
  </w:num>
  <w:num w:numId="22" w16cid:durableId="796143390">
    <w:abstractNumId w:val="54"/>
  </w:num>
  <w:num w:numId="23" w16cid:durableId="1685281368">
    <w:abstractNumId w:val="52"/>
  </w:num>
  <w:num w:numId="24" w16cid:durableId="732511225">
    <w:abstractNumId w:val="67"/>
  </w:num>
  <w:num w:numId="25" w16cid:durableId="1408066142">
    <w:abstractNumId w:val="64"/>
  </w:num>
  <w:num w:numId="26" w16cid:durableId="725494104">
    <w:abstractNumId w:val="9"/>
  </w:num>
  <w:num w:numId="27" w16cid:durableId="1227960171">
    <w:abstractNumId w:val="43"/>
  </w:num>
  <w:num w:numId="28" w16cid:durableId="873925232">
    <w:abstractNumId w:val="23"/>
  </w:num>
  <w:num w:numId="29" w16cid:durableId="2081560581">
    <w:abstractNumId w:val="36"/>
  </w:num>
  <w:num w:numId="30" w16cid:durableId="806581983">
    <w:abstractNumId w:val="27"/>
  </w:num>
  <w:num w:numId="31" w16cid:durableId="1897037587">
    <w:abstractNumId w:val="53"/>
  </w:num>
  <w:num w:numId="32" w16cid:durableId="1274441882">
    <w:abstractNumId w:val="50"/>
  </w:num>
  <w:num w:numId="33" w16cid:durableId="206189183">
    <w:abstractNumId w:val="38"/>
  </w:num>
  <w:num w:numId="34" w16cid:durableId="13175664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8651904">
    <w:abstractNumId w:val="17"/>
  </w:num>
  <w:num w:numId="36" w16cid:durableId="1452900060">
    <w:abstractNumId w:val="37"/>
  </w:num>
  <w:num w:numId="37" w16cid:durableId="374473566">
    <w:abstractNumId w:val="13"/>
  </w:num>
  <w:num w:numId="38" w16cid:durableId="1181821343">
    <w:abstractNumId w:val="56"/>
  </w:num>
  <w:num w:numId="39" w16cid:durableId="796066347">
    <w:abstractNumId w:val="21"/>
  </w:num>
  <w:num w:numId="40" w16cid:durableId="1989508111">
    <w:abstractNumId w:val="12"/>
  </w:num>
  <w:num w:numId="41" w16cid:durableId="1612778123">
    <w:abstractNumId w:val="41"/>
  </w:num>
  <w:num w:numId="42" w16cid:durableId="9533171">
    <w:abstractNumId w:val="20"/>
  </w:num>
  <w:num w:numId="43" w16cid:durableId="690423036">
    <w:abstractNumId w:val="65"/>
  </w:num>
  <w:num w:numId="44" w16cid:durableId="775832159">
    <w:abstractNumId w:val="25"/>
  </w:num>
  <w:num w:numId="45" w16cid:durableId="2047635378">
    <w:abstractNumId w:val="49"/>
  </w:num>
  <w:num w:numId="46" w16cid:durableId="745735290">
    <w:abstractNumId w:val="18"/>
  </w:num>
  <w:num w:numId="47" w16cid:durableId="718094804">
    <w:abstractNumId w:val="55"/>
  </w:num>
  <w:num w:numId="48" w16cid:durableId="1619293667">
    <w:abstractNumId w:val="45"/>
  </w:num>
  <w:num w:numId="49" w16cid:durableId="355891599">
    <w:abstractNumId w:val="14"/>
  </w:num>
  <w:num w:numId="50" w16cid:durableId="1409383681">
    <w:abstractNumId w:val="51"/>
  </w:num>
  <w:num w:numId="51" w16cid:durableId="52319644">
    <w:abstractNumId w:val="57"/>
  </w:num>
  <w:num w:numId="52" w16cid:durableId="276453075">
    <w:abstractNumId w:val="1"/>
    <w:lvlOverride w:ilvl="0">
      <w:lvl w:ilvl="0">
        <w:numFmt w:val="bullet"/>
        <w:lvlText w:val=""/>
        <w:legacy w:legacy="1" w:legacySpace="0" w:legacyIndent="360"/>
        <w:lvlJc w:val="left"/>
        <w:pPr>
          <w:ind w:left="360" w:hanging="360"/>
        </w:pPr>
        <w:rPr>
          <w:rFonts w:ascii="Wingdings" w:hAnsi="Wingdings" w:hint="default"/>
        </w:rPr>
      </w:lvl>
    </w:lvlOverride>
  </w:num>
  <w:num w:numId="53" w16cid:durableId="1341617585">
    <w:abstractNumId w:val="29"/>
  </w:num>
  <w:num w:numId="54" w16cid:durableId="1493911576">
    <w:abstractNumId w:val="7"/>
  </w:num>
  <w:num w:numId="55" w16cid:durableId="1163471554">
    <w:abstractNumId w:val="44"/>
  </w:num>
  <w:num w:numId="56" w16cid:durableId="2071150498">
    <w:abstractNumId w:val="39"/>
  </w:num>
  <w:num w:numId="57" w16cid:durableId="139812089">
    <w:abstractNumId w:val="34"/>
  </w:num>
  <w:num w:numId="58" w16cid:durableId="190265932">
    <w:abstractNumId w:val="5"/>
  </w:num>
  <w:num w:numId="59" w16cid:durableId="1856385503">
    <w:abstractNumId w:val="33"/>
  </w:num>
  <w:num w:numId="60" w16cid:durableId="2013989668">
    <w:abstractNumId w:val="6"/>
  </w:num>
  <w:num w:numId="61" w16cid:durableId="954560426">
    <w:abstractNumId w:val="10"/>
  </w:num>
  <w:num w:numId="62" w16cid:durableId="1314140986">
    <w:abstractNumId w:val="2"/>
  </w:num>
  <w:num w:numId="63" w16cid:durableId="2002735716">
    <w:abstractNumId w:val="15"/>
  </w:num>
  <w:num w:numId="64" w16cid:durableId="1325090794">
    <w:abstractNumId w:val="70"/>
  </w:num>
  <w:num w:numId="65" w16cid:durableId="527254225">
    <w:abstractNumId w:val="35"/>
  </w:num>
  <w:num w:numId="66" w16cid:durableId="841821519">
    <w:abstractNumId w:val="0"/>
  </w:num>
  <w:num w:numId="67" w16cid:durableId="723024131">
    <w:abstractNumId w:val="62"/>
  </w:num>
  <w:num w:numId="68" w16cid:durableId="2121677133">
    <w:abstractNumId w:val="46"/>
  </w:num>
  <w:num w:numId="69" w16cid:durableId="1105229560">
    <w:abstractNumId w:val="32"/>
  </w:num>
  <w:num w:numId="70" w16cid:durableId="2129859104">
    <w:abstractNumId w:val="26"/>
  </w:num>
  <w:num w:numId="71" w16cid:durableId="493688285">
    <w:abstractNumId w:val="69"/>
  </w:num>
  <w:num w:numId="72" w16cid:durableId="1544757290">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14"/>
    <w:rsid w:val="00000193"/>
    <w:rsid w:val="00000CF9"/>
    <w:rsid w:val="000010AC"/>
    <w:rsid w:val="00001ACD"/>
    <w:rsid w:val="00001C14"/>
    <w:rsid w:val="0000294B"/>
    <w:rsid w:val="00003763"/>
    <w:rsid w:val="0000380E"/>
    <w:rsid w:val="00003A7F"/>
    <w:rsid w:val="00003B5B"/>
    <w:rsid w:val="00004027"/>
    <w:rsid w:val="000042F2"/>
    <w:rsid w:val="00004FE4"/>
    <w:rsid w:val="00005B2E"/>
    <w:rsid w:val="0000641D"/>
    <w:rsid w:val="00006FF0"/>
    <w:rsid w:val="00007296"/>
    <w:rsid w:val="00007309"/>
    <w:rsid w:val="0001006E"/>
    <w:rsid w:val="00010E16"/>
    <w:rsid w:val="00011572"/>
    <w:rsid w:val="00011CED"/>
    <w:rsid w:val="000132AC"/>
    <w:rsid w:val="00013DF4"/>
    <w:rsid w:val="00013F76"/>
    <w:rsid w:val="000147F6"/>
    <w:rsid w:val="00015275"/>
    <w:rsid w:val="00016393"/>
    <w:rsid w:val="000167CD"/>
    <w:rsid w:val="000175FE"/>
    <w:rsid w:val="00020471"/>
    <w:rsid w:val="000222F9"/>
    <w:rsid w:val="000235FE"/>
    <w:rsid w:val="000247A3"/>
    <w:rsid w:val="00024FA3"/>
    <w:rsid w:val="00025740"/>
    <w:rsid w:val="0002578A"/>
    <w:rsid w:val="00025C5F"/>
    <w:rsid w:val="00025CDB"/>
    <w:rsid w:val="000265D7"/>
    <w:rsid w:val="000269DA"/>
    <w:rsid w:val="00026A42"/>
    <w:rsid w:val="00026AFF"/>
    <w:rsid w:val="00027365"/>
    <w:rsid w:val="000275BB"/>
    <w:rsid w:val="000277F2"/>
    <w:rsid w:val="000279F5"/>
    <w:rsid w:val="00027A06"/>
    <w:rsid w:val="00030207"/>
    <w:rsid w:val="00030D7A"/>
    <w:rsid w:val="00030DD7"/>
    <w:rsid w:val="0003159F"/>
    <w:rsid w:val="00031660"/>
    <w:rsid w:val="000319A9"/>
    <w:rsid w:val="000325EA"/>
    <w:rsid w:val="000327D4"/>
    <w:rsid w:val="00032895"/>
    <w:rsid w:val="000328D7"/>
    <w:rsid w:val="00033034"/>
    <w:rsid w:val="000334F0"/>
    <w:rsid w:val="00033A5C"/>
    <w:rsid w:val="00034162"/>
    <w:rsid w:val="000343B3"/>
    <w:rsid w:val="0003538B"/>
    <w:rsid w:val="000361EF"/>
    <w:rsid w:val="0003628D"/>
    <w:rsid w:val="00036520"/>
    <w:rsid w:val="00036888"/>
    <w:rsid w:val="000405DA"/>
    <w:rsid w:val="00040C0E"/>
    <w:rsid w:val="00041158"/>
    <w:rsid w:val="00041343"/>
    <w:rsid w:val="00041D66"/>
    <w:rsid w:val="00042012"/>
    <w:rsid w:val="00042B90"/>
    <w:rsid w:val="000439C3"/>
    <w:rsid w:val="00043BAB"/>
    <w:rsid w:val="00043EC2"/>
    <w:rsid w:val="00044325"/>
    <w:rsid w:val="000446C3"/>
    <w:rsid w:val="00045ED9"/>
    <w:rsid w:val="0004628A"/>
    <w:rsid w:val="0004642C"/>
    <w:rsid w:val="00046531"/>
    <w:rsid w:val="0004679D"/>
    <w:rsid w:val="000467F4"/>
    <w:rsid w:val="00046FE4"/>
    <w:rsid w:val="000475B6"/>
    <w:rsid w:val="00047B28"/>
    <w:rsid w:val="00047E12"/>
    <w:rsid w:val="00047F5B"/>
    <w:rsid w:val="0005000A"/>
    <w:rsid w:val="000500B8"/>
    <w:rsid w:val="00050D6C"/>
    <w:rsid w:val="00050F3E"/>
    <w:rsid w:val="0005114F"/>
    <w:rsid w:val="0005152F"/>
    <w:rsid w:val="00051601"/>
    <w:rsid w:val="00052C87"/>
    <w:rsid w:val="00053603"/>
    <w:rsid w:val="00053C7A"/>
    <w:rsid w:val="000541B5"/>
    <w:rsid w:val="000542B9"/>
    <w:rsid w:val="00054DF4"/>
    <w:rsid w:val="000554FA"/>
    <w:rsid w:val="00055E2B"/>
    <w:rsid w:val="00055EDA"/>
    <w:rsid w:val="00056957"/>
    <w:rsid w:val="00057057"/>
    <w:rsid w:val="000572A3"/>
    <w:rsid w:val="000574A5"/>
    <w:rsid w:val="00057A95"/>
    <w:rsid w:val="00057C44"/>
    <w:rsid w:val="000615A0"/>
    <w:rsid w:val="0006199C"/>
    <w:rsid w:val="000619BB"/>
    <w:rsid w:val="00061A92"/>
    <w:rsid w:val="0006228A"/>
    <w:rsid w:val="00063CE4"/>
    <w:rsid w:val="00063D77"/>
    <w:rsid w:val="00064A55"/>
    <w:rsid w:val="00064DC6"/>
    <w:rsid w:val="0006597A"/>
    <w:rsid w:val="0006649B"/>
    <w:rsid w:val="00066514"/>
    <w:rsid w:val="00066D2A"/>
    <w:rsid w:val="000671EF"/>
    <w:rsid w:val="000674F2"/>
    <w:rsid w:val="000678C7"/>
    <w:rsid w:val="00067B99"/>
    <w:rsid w:val="00067EC5"/>
    <w:rsid w:val="0007047D"/>
    <w:rsid w:val="00070BE8"/>
    <w:rsid w:val="00070EFF"/>
    <w:rsid w:val="0007158F"/>
    <w:rsid w:val="0007179A"/>
    <w:rsid w:val="00071D4F"/>
    <w:rsid w:val="00071FC4"/>
    <w:rsid w:val="00072C7F"/>
    <w:rsid w:val="000736A5"/>
    <w:rsid w:val="000738D7"/>
    <w:rsid w:val="00073E52"/>
    <w:rsid w:val="00073FC3"/>
    <w:rsid w:val="00073FD7"/>
    <w:rsid w:val="00074711"/>
    <w:rsid w:val="000753F5"/>
    <w:rsid w:val="000759D4"/>
    <w:rsid w:val="000764D2"/>
    <w:rsid w:val="00076578"/>
    <w:rsid w:val="00076598"/>
    <w:rsid w:val="000766F4"/>
    <w:rsid w:val="00076705"/>
    <w:rsid w:val="0007687C"/>
    <w:rsid w:val="00076906"/>
    <w:rsid w:val="000770D9"/>
    <w:rsid w:val="00077283"/>
    <w:rsid w:val="00080A26"/>
    <w:rsid w:val="00081585"/>
    <w:rsid w:val="00081E26"/>
    <w:rsid w:val="00082158"/>
    <w:rsid w:val="00082BC4"/>
    <w:rsid w:val="0008307A"/>
    <w:rsid w:val="00083AB1"/>
    <w:rsid w:val="00085155"/>
    <w:rsid w:val="000851A7"/>
    <w:rsid w:val="00085510"/>
    <w:rsid w:val="0008579F"/>
    <w:rsid w:val="00085BA1"/>
    <w:rsid w:val="00085DC7"/>
    <w:rsid w:val="00085E0B"/>
    <w:rsid w:val="00086907"/>
    <w:rsid w:val="000872C3"/>
    <w:rsid w:val="00087C03"/>
    <w:rsid w:val="000903C9"/>
    <w:rsid w:val="000907B4"/>
    <w:rsid w:val="00090C36"/>
    <w:rsid w:val="00091985"/>
    <w:rsid w:val="000919F0"/>
    <w:rsid w:val="000925C1"/>
    <w:rsid w:val="000929B3"/>
    <w:rsid w:val="00092F7A"/>
    <w:rsid w:val="000931B0"/>
    <w:rsid w:val="00093B92"/>
    <w:rsid w:val="00093F0E"/>
    <w:rsid w:val="00094183"/>
    <w:rsid w:val="00094A2D"/>
    <w:rsid w:val="00096A65"/>
    <w:rsid w:val="00096DA7"/>
    <w:rsid w:val="000973AC"/>
    <w:rsid w:val="000974A6"/>
    <w:rsid w:val="000A02B0"/>
    <w:rsid w:val="000A0522"/>
    <w:rsid w:val="000A0842"/>
    <w:rsid w:val="000A0A15"/>
    <w:rsid w:val="000A1F5F"/>
    <w:rsid w:val="000A269F"/>
    <w:rsid w:val="000A2734"/>
    <w:rsid w:val="000A27C2"/>
    <w:rsid w:val="000A2B80"/>
    <w:rsid w:val="000A3184"/>
    <w:rsid w:val="000A3928"/>
    <w:rsid w:val="000A3995"/>
    <w:rsid w:val="000A4041"/>
    <w:rsid w:val="000A4FB6"/>
    <w:rsid w:val="000A55B6"/>
    <w:rsid w:val="000A5801"/>
    <w:rsid w:val="000A5DC9"/>
    <w:rsid w:val="000A5F45"/>
    <w:rsid w:val="000A6BDD"/>
    <w:rsid w:val="000A6DC1"/>
    <w:rsid w:val="000A6F3E"/>
    <w:rsid w:val="000A7015"/>
    <w:rsid w:val="000A742A"/>
    <w:rsid w:val="000A7591"/>
    <w:rsid w:val="000A77D1"/>
    <w:rsid w:val="000A7B1F"/>
    <w:rsid w:val="000B0BD1"/>
    <w:rsid w:val="000B0C04"/>
    <w:rsid w:val="000B1972"/>
    <w:rsid w:val="000B1997"/>
    <w:rsid w:val="000B1B8C"/>
    <w:rsid w:val="000B1EE2"/>
    <w:rsid w:val="000B1F1A"/>
    <w:rsid w:val="000B2795"/>
    <w:rsid w:val="000B30E6"/>
    <w:rsid w:val="000B32D4"/>
    <w:rsid w:val="000B38C7"/>
    <w:rsid w:val="000B416D"/>
    <w:rsid w:val="000B432E"/>
    <w:rsid w:val="000B485E"/>
    <w:rsid w:val="000B4862"/>
    <w:rsid w:val="000B5A84"/>
    <w:rsid w:val="000B62AF"/>
    <w:rsid w:val="000B7676"/>
    <w:rsid w:val="000B778E"/>
    <w:rsid w:val="000B7953"/>
    <w:rsid w:val="000B7C97"/>
    <w:rsid w:val="000C02B2"/>
    <w:rsid w:val="000C033D"/>
    <w:rsid w:val="000C04FC"/>
    <w:rsid w:val="000C06AE"/>
    <w:rsid w:val="000C09A3"/>
    <w:rsid w:val="000C15C3"/>
    <w:rsid w:val="000C16A6"/>
    <w:rsid w:val="000C1C41"/>
    <w:rsid w:val="000C1D06"/>
    <w:rsid w:val="000C1DC8"/>
    <w:rsid w:val="000C2270"/>
    <w:rsid w:val="000C3080"/>
    <w:rsid w:val="000C3C9D"/>
    <w:rsid w:val="000C3E80"/>
    <w:rsid w:val="000C40FD"/>
    <w:rsid w:val="000C47CD"/>
    <w:rsid w:val="000C49CA"/>
    <w:rsid w:val="000C5C20"/>
    <w:rsid w:val="000C5C2B"/>
    <w:rsid w:val="000C69B9"/>
    <w:rsid w:val="000C6FA4"/>
    <w:rsid w:val="000C72EE"/>
    <w:rsid w:val="000C7660"/>
    <w:rsid w:val="000C7D61"/>
    <w:rsid w:val="000C7DA3"/>
    <w:rsid w:val="000D023B"/>
    <w:rsid w:val="000D041F"/>
    <w:rsid w:val="000D050A"/>
    <w:rsid w:val="000D100F"/>
    <w:rsid w:val="000D2DF4"/>
    <w:rsid w:val="000D2EA5"/>
    <w:rsid w:val="000D4FDA"/>
    <w:rsid w:val="000D5019"/>
    <w:rsid w:val="000D5082"/>
    <w:rsid w:val="000D5676"/>
    <w:rsid w:val="000D56AC"/>
    <w:rsid w:val="000D5716"/>
    <w:rsid w:val="000D5AC9"/>
    <w:rsid w:val="000D6663"/>
    <w:rsid w:val="000D6694"/>
    <w:rsid w:val="000D6BBA"/>
    <w:rsid w:val="000D736B"/>
    <w:rsid w:val="000D765B"/>
    <w:rsid w:val="000E0532"/>
    <w:rsid w:val="000E08F1"/>
    <w:rsid w:val="000E0981"/>
    <w:rsid w:val="000E134F"/>
    <w:rsid w:val="000E1565"/>
    <w:rsid w:val="000E24CD"/>
    <w:rsid w:val="000E24E3"/>
    <w:rsid w:val="000E360E"/>
    <w:rsid w:val="000E36ED"/>
    <w:rsid w:val="000E4357"/>
    <w:rsid w:val="000E4623"/>
    <w:rsid w:val="000E4E2C"/>
    <w:rsid w:val="000E500E"/>
    <w:rsid w:val="000E5767"/>
    <w:rsid w:val="000E654F"/>
    <w:rsid w:val="000E73D9"/>
    <w:rsid w:val="000E7890"/>
    <w:rsid w:val="000E7A13"/>
    <w:rsid w:val="000E7C88"/>
    <w:rsid w:val="000F0704"/>
    <w:rsid w:val="000F08C0"/>
    <w:rsid w:val="000F09C6"/>
    <w:rsid w:val="000F0E0E"/>
    <w:rsid w:val="000F0F1C"/>
    <w:rsid w:val="000F103B"/>
    <w:rsid w:val="000F2061"/>
    <w:rsid w:val="000F2082"/>
    <w:rsid w:val="000F209F"/>
    <w:rsid w:val="000F26F1"/>
    <w:rsid w:val="000F2AC3"/>
    <w:rsid w:val="000F326A"/>
    <w:rsid w:val="000F39F7"/>
    <w:rsid w:val="000F3FC6"/>
    <w:rsid w:val="000F4245"/>
    <w:rsid w:val="000F4676"/>
    <w:rsid w:val="000F4F2C"/>
    <w:rsid w:val="000F5662"/>
    <w:rsid w:val="000F5676"/>
    <w:rsid w:val="000F5B6E"/>
    <w:rsid w:val="000F5E3E"/>
    <w:rsid w:val="000F6035"/>
    <w:rsid w:val="000F6AD7"/>
    <w:rsid w:val="000F764F"/>
    <w:rsid w:val="000F7AD0"/>
    <w:rsid w:val="000F7D93"/>
    <w:rsid w:val="000F7E00"/>
    <w:rsid w:val="00100582"/>
    <w:rsid w:val="00100991"/>
    <w:rsid w:val="00100C03"/>
    <w:rsid w:val="00100EE4"/>
    <w:rsid w:val="001018F3"/>
    <w:rsid w:val="00101945"/>
    <w:rsid w:val="00102D1F"/>
    <w:rsid w:val="0010321F"/>
    <w:rsid w:val="00103242"/>
    <w:rsid w:val="001037C6"/>
    <w:rsid w:val="00103CAF"/>
    <w:rsid w:val="0010471D"/>
    <w:rsid w:val="00104A7C"/>
    <w:rsid w:val="00104B06"/>
    <w:rsid w:val="00105126"/>
    <w:rsid w:val="00105325"/>
    <w:rsid w:val="001055EA"/>
    <w:rsid w:val="001057D9"/>
    <w:rsid w:val="0010629B"/>
    <w:rsid w:val="0010638B"/>
    <w:rsid w:val="00106B30"/>
    <w:rsid w:val="00106EDC"/>
    <w:rsid w:val="00106F0D"/>
    <w:rsid w:val="0010707F"/>
    <w:rsid w:val="00107524"/>
    <w:rsid w:val="001100C7"/>
    <w:rsid w:val="00110759"/>
    <w:rsid w:val="00110A94"/>
    <w:rsid w:val="00110F17"/>
    <w:rsid w:val="00111055"/>
    <w:rsid w:val="001110D5"/>
    <w:rsid w:val="00111D1C"/>
    <w:rsid w:val="00112271"/>
    <w:rsid w:val="00112304"/>
    <w:rsid w:val="00112BD7"/>
    <w:rsid w:val="00113A3C"/>
    <w:rsid w:val="0011636C"/>
    <w:rsid w:val="001165EE"/>
    <w:rsid w:val="0011674E"/>
    <w:rsid w:val="00116CB9"/>
    <w:rsid w:val="00116DA8"/>
    <w:rsid w:val="001172F5"/>
    <w:rsid w:val="00117682"/>
    <w:rsid w:val="00120B24"/>
    <w:rsid w:val="00120BB2"/>
    <w:rsid w:val="001211CD"/>
    <w:rsid w:val="001213D9"/>
    <w:rsid w:val="00121F95"/>
    <w:rsid w:val="00122036"/>
    <w:rsid w:val="00122962"/>
    <w:rsid w:val="001229A5"/>
    <w:rsid w:val="00123CDF"/>
    <w:rsid w:val="001240F4"/>
    <w:rsid w:val="0012418E"/>
    <w:rsid w:val="001242CF"/>
    <w:rsid w:val="00124770"/>
    <w:rsid w:val="00125280"/>
    <w:rsid w:val="00125739"/>
    <w:rsid w:val="00125D53"/>
    <w:rsid w:val="001268F8"/>
    <w:rsid w:val="0012690E"/>
    <w:rsid w:val="001275C0"/>
    <w:rsid w:val="0012781F"/>
    <w:rsid w:val="001279E7"/>
    <w:rsid w:val="001304C6"/>
    <w:rsid w:val="00130A4C"/>
    <w:rsid w:val="00130B26"/>
    <w:rsid w:val="0013126F"/>
    <w:rsid w:val="00131401"/>
    <w:rsid w:val="00131815"/>
    <w:rsid w:val="00131AF2"/>
    <w:rsid w:val="00132003"/>
    <w:rsid w:val="00132C8E"/>
    <w:rsid w:val="00132E44"/>
    <w:rsid w:val="00132F33"/>
    <w:rsid w:val="00132F85"/>
    <w:rsid w:val="0013495F"/>
    <w:rsid w:val="0013558A"/>
    <w:rsid w:val="00135AEE"/>
    <w:rsid w:val="00135FC3"/>
    <w:rsid w:val="001368BD"/>
    <w:rsid w:val="001368FD"/>
    <w:rsid w:val="00136CF6"/>
    <w:rsid w:val="00137124"/>
    <w:rsid w:val="001379B1"/>
    <w:rsid w:val="00137D35"/>
    <w:rsid w:val="00137E12"/>
    <w:rsid w:val="001405D4"/>
    <w:rsid w:val="00140B2D"/>
    <w:rsid w:val="00140F9E"/>
    <w:rsid w:val="001419C9"/>
    <w:rsid w:val="001425F0"/>
    <w:rsid w:val="00143599"/>
    <w:rsid w:val="001435AC"/>
    <w:rsid w:val="001437C9"/>
    <w:rsid w:val="00143CB3"/>
    <w:rsid w:val="00144761"/>
    <w:rsid w:val="00144944"/>
    <w:rsid w:val="00144ABC"/>
    <w:rsid w:val="00144E31"/>
    <w:rsid w:val="00144EA1"/>
    <w:rsid w:val="0014500B"/>
    <w:rsid w:val="0014538F"/>
    <w:rsid w:val="00145847"/>
    <w:rsid w:val="00145D1E"/>
    <w:rsid w:val="00146366"/>
    <w:rsid w:val="001467A7"/>
    <w:rsid w:val="00146E79"/>
    <w:rsid w:val="001504E6"/>
    <w:rsid w:val="00150DE7"/>
    <w:rsid w:val="00151021"/>
    <w:rsid w:val="0015125A"/>
    <w:rsid w:val="00151426"/>
    <w:rsid w:val="001514CD"/>
    <w:rsid w:val="001536EB"/>
    <w:rsid w:val="001540C9"/>
    <w:rsid w:val="00155036"/>
    <w:rsid w:val="001551D8"/>
    <w:rsid w:val="00155A27"/>
    <w:rsid w:val="00155C81"/>
    <w:rsid w:val="00156609"/>
    <w:rsid w:val="00156726"/>
    <w:rsid w:val="00156C7C"/>
    <w:rsid w:val="00156E4D"/>
    <w:rsid w:val="001572FC"/>
    <w:rsid w:val="00157BC9"/>
    <w:rsid w:val="00157BFA"/>
    <w:rsid w:val="001603E1"/>
    <w:rsid w:val="00160B30"/>
    <w:rsid w:val="00161281"/>
    <w:rsid w:val="00162191"/>
    <w:rsid w:val="001633E0"/>
    <w:rsid w:val="00163875"/>
    <w:rsid w:val="00163A87"/>
    <w:rsid w:val="00164528"/>
    <w:rsid w:val="001646AE"/>
    <w:rsid w:val="00165150"/>
    <w:rsid w:val="0016660F"/>
    <w:rsid w:val="00166824"/>
    <w:rsid w:val="00166A07"/>
    <w:rsid w:val="00166B11"/>
    <w:rsid w:val="001672E0"/>
    <w:rsid w:val="00167B06"/>
    <w:rsid w:val="00167E5B"/>
    <w:rsid w:val="0017034C"/>
    <w:rsid w:val="00170B33"/>
    <w:rsid w:val="00170BFC"/>
    <w:rsid w:val="0017177C"/>
    <w:rsid w:val="0017182D"/>
    <w:rsid w:val="0017230D"/>
    <w:rsid w:val="0017234C"/>
    <w:rsid w:val="001728F8"/>
    <w:rsid w:val="001732E8"/>
    <w:rsid w:val="00173C2C"/>
    <w:rsid w:val="0017421C"/>
    <w:rsid w:val="00174293"/>
    <w:rsid w:val="00174695"/>
    <w:rsid w:val="00174B8D"/>
    <w:rsid w:val="00174EE1"/>
    <w:rsid w:val="00175EB3"/>
    <w:rsid w:val="00176598"/>
    <w:rsid w:val="00177057"/>
    <w:rsid w:val="00177195"/>
    <w:rsid w:val="00177C94"/>
    <w:rsid w:val="0018082D"/>
    <w:rsid w:val="00181A00"/>
    <w:rsid w:val="001827FC"/>
    <w:rsid w:val="00183B01"/>
    <w:rsid w:val="001847F1"/>
    <w:rsid w:val="00186D47"/>
    <w:rsid w:val="00186DD0"/>
    <w:rsid w:val="00187430"/>
    <w:rsid w:val="00187645"/>
    <w:rsid w:val="00187999"/>
    <w:rsid w:val="00190FE3"/>
    <w:rsid w:val="00191167"/>
    <w:rsid w:val="001911C5"/>
    <w:rsid w:val="00191453"/>
    <w:rsid w:val="001914BE"/>
    <w:rsid w:val="00192C62"/>
    <w:rsid w:val="0019464C"/>
    <w:rsid w:val="00194AC2"/>
    <w:rsid w:val="0019576D"/>
    <w:rsid w:val="00195901"/>
    <w:rsid w:val="001959DA"/>
    <w:rsid w:val="00196FC2"/>
    <w:rsid w:val="0019729D"/>
    <w:rsid w:val="00197688"/>
    <w:rsid w:val="00197ED0"/>
    <w:rsid w:val="001A03D3"/>
    <w:rsid w:val="001A0A96"/>
    <w:rsid w:val="001A0BD5"/>
    <w:rsid w:val="001A0BED"/>
    <w:rsid w:val="001A0F90"/>
    <w:rsid w:val="001A171C"/>
    <w:rsid w:val="001A1847"/>
    <w:rsid w:val="001A1B68"/>
    <w:rsid w:val="001A2B37"/>
    <w:rsid w:val="001A2C97"/>
    <w:rsid w:val="001A3262"/>
    <w:rsid w:val="001A4775"/>
    <w:rsid w:val="001A57FA"/>
    <w:rsid w:val="001A5F10"/>
    <w:rsid w:val="001A69F3"/>
    <w:rsid w:val="001A6E6F"/>
    <w:rsid w:val="001A7985"/>
    <w:rsid w:val="001A7B57"/>
    <w:rsid w:val="001B019F"/>
    <w:rsid w:val="001B01B3"/>
    <w:rsid w:val="001B079B"/>
    <w:rsid w:val="001B0F14"/>
    <w:rsid w:val="001B149A"/>
    <w:rsid w:val="001B172E"/>
    <w:rsid w:val="001B1819"/>
    <w:rsid w:val="001B2AD4"/>
    <w:rsid w:val="001B2D90"/>
    <w:rsid w:val="001B3CC8"/>
    <w:rsid w:val="001B41A6"/>
    <w:rsid w:val="001B45CF"/>
    <w:rsid w:val="001B4809"/>
    <w:rsid w:val="001B4C2B"/>
    <w:rsid w:val="001B4E0B"/>
    <w:rsid w:val="001B501F"/>
    <w:rsid w:val="001B5FB2"/>
    <w:rsid w:val="001B6CE0"/>
    <w:rsid w:val="001B7017"/>
    <w:rsid w:val="001B704F"/>
    <w:rsid w:val="001B7BE2"/>
    <w:rsid w:val="001B7D2C"/>
    <w:rsid w:val="001C005F"/>
    <w:rsid w:val="001C0220"/>
    <w:rsid w:val="001C049E"/>
    <w:rsid w:val="001C123A"/>
    <w:rsid w:val="001C1563"/>
    <w:rsid w:val="001C1B81"/>
    <w:rsid w:val="001C2AAC"/>
    <w:rsid w:val="001C2C7D"/>
    <w:rsid w:val="001C354C"/>
    <w:rsid w:val="001C4080"/>
    <w:rsid w:val="001C419E"/>
    <w:rsid w:val="001C465B"/>
    <w:rsid w:val="001C46A9"/>
    <w:rsid w:val="001C47F8"/>
    <w:rsid w:val="001C4E14"/>
    <w:rsid w:val="001C6611"/>
    <w:rsid w:val="001C6698"/>
    <w:rsid w:val="001C68D1"/>
    <w:rsid w:val="001C6CC1"/>
    <w:rsid w:val="001C7686"/>
    <w:rsid w:val="001C7B45"/>
    <w:rsid w:val="001D0792"/>
    <w:rsid w:val="001D0886"/>
    <w:rsid w:val="001D09B6"/>
    <w:rsid w:val="001D1377"/>
    <w:rsid w:val="001D1829"/>
    <w:rsid w:val="001D2A46"/>
    <w:rsid w:val="001D33E1"/>
    <w:rsid w:val="001D3D56"/>
    <w:rsid w:val="001D3E4F"/>
    <w:rsid w:val="001D3FA3"/>
    <w:rsid w:val="001D5784"/>
    <w:rsid w:val="001D630D"/>
    <w:rsid w:val="001D6680"/>
    <w:rsid w:val="001D6696"/>
    <w:rsid w:val="001D679E"/>
    <w:rsid w:val="001D6ADC"/>
    <w:rsid w:val="001D7F30"/>
    <w:rsid w:val="001E08F4"/>
    <w:rsid w:val="001E0909"/>
    <w:rsid w:val="001E144F"/>
    <w:rsid w:val="001E1572"/>
    <w:rsid w:val="001E1F76"/>
    <w:rsid w:val="001E248F"/>
    <w:rsid w:val="001E4090"/>
    <w:rsid w:val="001E4670"/>
    <w:rsid w:val="001E47E3"/>
    <w:rsid w:val="001E482C"/>
    <w:rsid w:val="001E5428"/>
    <w:rsid w:val="001E54BB"/>
    <w:rsid w:val="001E5CB6"/>
    <w:rsid w:val="001E5F77"/>
    <w:rsid w:val="001E7106"/>
    <w:rsid w:val="001E7CE9"/>
    <w:rsid w:val="001F07F4"/>
    <w:rsid w:val="001F0947"/>
    <w:rsid w:val="001F0BD3"/>
    <w:rsid w:val="001F0CB9"/>
    <w:rsid w:val="001F0DC4"/>
    <w:rsid w:val="001F2D26"/>
    <w:rsid w:val="001F2D6D"/>
    <w:rsid w:val="001F3034"/>
    <w:rsid w:val="001F3416"/>
    <w:rsid w:val="001F3DCE"/>
    <w:rsid w:val="001F457E"/>
    <w:rsid w:val="001F4A89"/>
    <w:rsid w:val="001F4B64"/>
    <w:rsid w:val="001F4E68"/>
    <w:rsid w:val="001F512B"/>
    <w:rsid w:val="001F5B58"/>
    <w:rsid w:val="001F6150"/>
    <w:rsid w:val="001F6509"/>
    <w:rsid w:val="001F673A"/>
    <w:rsid w:val="001F6D0A"/>
    <w:rsid w:val="001F717B"/>
    <w:rsid w:val="001F7ACD"/>
    <w:rsid w:val="0020059A"/>
    <w:rsid w:val="00200B3B"/>
    <w:rsid w:val="00200EC7"/>
    <w:rsid w:val="00200F4F"/>
    <w:rsid w:val="002017A0"/>
    <w:rsid w:val="00201E2D"/>
    <w:rsid w:val="00202E46"/>
    <w:rsid w:val="00203957"/>
    <w:rsid w:val="00204627"/>
    <w:rsid w:val="00204AED"/>
    <w:rsid w:val="00204D19"/>
    <w:rsid w:val="002056C9"/>
    <w:rsid w:val="00205DF7"/>
    <w:rsid w:val="0020746D"/>
    <w:rsid w:val="00207538"/>
    <w:rsid w:val="00207E13"/>
    <w:rsid w:val="00207EEE"/>
    <w:rsid w:val="00210837"/>
    <w:rsid w:val="00211242"/>
    <w:rsid w:val="00211ECA"/>
    <w:rsid w:val="0021219F"/>
    <w:rsid w:val="00212338"/>
    <w:rsid w:val="002123E8"/>
    <w:rsid w:val="002125CE"/>
    <w:rsid w:val="00212C43"/>
    <w:rsid w:val="002133E7"/>
    <w:rsid w:val="00213412"/>
    <w:rsid w:val="00213A8A"/>
    <w:rsid w:val="00213C6A"/>
    <w:rsid w:val="0021424A"/>
    <w:rsid w:val="00214849"/>
    <w:rsid w:val="00214E58"/>
    <w:rsid w:val="00214F68"/>
    <w:rsid w:val="00214FCD"/>
    <w:rsid w:val="00215419"/>
    <w:rsid w:val="00215C31"/>
    <w:rsid w:val="002161EB"/>
    <w:rsid w:val="00216706"/>
    <w:rsid w:val="00216EA0"/>
    <w:rsid w:val="002170A0"/>
    <w:rsid w:val="002171A8"/>
    <w:rsid w:val="002176BC"/>
    <w:rsid w:val="00217A17"/>
    <w:rsid w:val="00217F67"/>
    <w:rsid w:val="0022130C"/>
    <w:rsid w:val="002215A9"/>
    <w:rsid w:val="0022204C"/>
    <w:rsid w:val="00222150"/>
    <w:rsid w:val="00222337"/>
    <w:rsid w:val="00222581"/>
    <w:rsid w:val="00222676"/>
    <w:rsid w:val="00222F3D"/>
    <w:rsid w:val="00223A47"/>
    <w:rsid w:val="00224150"/>
    <w:rsid w:val="002254A9"/>
    <w:rsid w:val="00225847"/>
    <w:rsid w:val="00225D12"/>
    <w:rsid w:val="00226652"/>
    <w:rsid w:val="002267CC"/>
    <w:rsid w:val="00226B17"/>
    <w:rsid w:val="002271BB"/>
    <w:rsid w:val="00227876"/>
    <w:rsid w:val="00227A81"/>
    <w:rsid w:val="00227CA6"/>
    <w:rsid w:val="002302B6"/>
    <w:rsid w:val="00231CDD"/>
    <w:rsid w:val="00231E70"/>
    <w:rsid w:val="0023275C"/>
    <w:rsid w:val="002327E0"/>
    <w:rsid w:val="00232DF8"/>
    <w:rsid w:val="00232FB3"/>
    <w:rsid w:val="0023300F"/>
    <w:rsid w:val="00233736"/>
    <w:rsid w:val="002339DB"/>
    <w:rsid w:val="00233A13"/>
    <w:rsid w:val="00233C97"/>
    <w:rsid w:val="00233CAE"/>
    <w:rsid w:val="00234141"/>
    <w:rsid w:val="00234545"/>
    <w:rsid w:val="00234610"/>
    <w:rsid w:val="002348E2"/>
    <w:rsid w:val="00234942"/>
    <w:rsid w:val="00234DFB"/>
    <w:rsid w:val="00236327"/>
    <w:rsid w:val="002364F5"/>
    <w:rsid w:val="002367FF"/>
    <w:rsid w:val="00236AAB"/>
    <w:rsid w:val="00236FC1"/>
    <w:rsid w:val="0023737F"/>
    <w:rsid w:val="00237C22"/>
    <w:rsid w:val="002400C5"/>
    <w:rsid w:val="002402DA"/>
    <w:rsid w:val="002404D3"/>
    <w:rsid w:val="00240B68"/>
    <w:rsid w:val="00240D43"/>
    <w:rsid w:val="00241F7F"/>
    <w:rsid w:val="00242853"/>
    <w:rsid w:val="0024365C"/>
    <w:rsid w:val="00243FEC"/>
    <w:rsid w:val="00244403"/>
    <w:rsid w:val="002459A5"/>
    <w:rsid w:val="00245F7A"/>
    <w:rsid w:val="002460BC"/>
    <w:rsid w:val="00246521"/>
    <w:rsid w:val="00246CD3"/>
    <w:rsid w:val="00247348"/>
    <w:rsid w:val="0025012F"/>
    <w:rsid w:val="0025134E"/>
    <w:rsid w:val="002516EC"/>
    <w:rsid w:val="002518DE"/>
    <w:rsid w:val="00252565"/>
    <w:rsid w:val="00252A67"/>
    <w:rsid w:val="00253702"/>
    <w:rsid w:val="00254909"/>
    <w:rsid w:val="00254A22"/>
    <w:rsid w:val="002550EF"/>
    <w:rsid w:val="00255ACC"/>
    <w:rsid w:val="00256339"/>
    <w:rsid w:val="002564E6"/>
    <w:rsid w:val="0025695D"/>
    <w:rsid w:val="00257185"/>
    <w:rsid w:val="00257958"/>
    <w:rsid w:val="00257C71"/>
    <w:rsid w:val="00257F4D"/>
    <w:rsid w:val="002603D4"/>
    <w:rsid w:val="00260C86"/>
    <w:rsid w:val="002613EF"/>
    <w:rsid w:val="00261545"/>
    <w:rsid w:val="002620AB"/>
    <w:rsid w:val="00262552"/>
    <w:rsid w:val="00262E5A"/>
    <w:rsid w:val="00262E6F"/>
    <w:rsid w:val="002630F1"/>
    <w:rsid w:val="00263346"/>
    <w:rsid w:val="00263613"/>
    <w:rsid w:val="00263700"/>
    <w:rsid w:val="0026484F"/>
    <w:rsid w:val="002650B0"/>
    <w:rsid w:val="002651AD"/>
    <w:rsid w:val="0026540B"/>
    <w:rsid w:val="002654D1"/>
    <w:rsid w:val="002656C2"/>
    <w:rsid w:val="00265B11"/>
    <w:rsid w:val="00265C0E"/>
    <w:rsid w:val="00265C17"/>
    <w:rsid w:val="00266818"/>
    <w:rsid w:val="002668FF"/>
    <w:rsid w:val="00266B86"/>
    <w:rsid w:val="00266D45"/>
    <w:rsid w:val="00267044"/>
    <w:rsid w:val="0026741D"/>
    <w:rsid w:val="0026756F"/>
    <w:rsid w:val="002675E4"/>
    <w:rsid w:val="00270709"/>
    <w:rsid w:val="002715E4"/>
    <w:rsid w:val="002719D0"/>
    <w:rsid w:val="00272041"/>
    <w:rsid w:val="00272890"/>
    <w:rsid w:val="00272B37"/>
    <w:rsid w:val="00272B85"/>
    <w:rsid w:val="00273A23"/>
    <w:rsid w:val="00273CBD"/>
    <w:rsid w:val="002747C0"/>
    <w:rsid w:val="00275003"/>
    <w:rsid w:val="00275984"/>
    <w:rsid w:val="00275C06"/>
    <w:rsid w:val="00277B66"/>
    <w:rsid w:val="00277BCD"/>
    <w:rsid w:val="00280247"/>
    <w:rsid w:val="00280835"/>
    <w:rsid w:val="00280961"/>
    <w:rsid w:val="002824D5"/>
    <w:rsid w:val="00282994"/>
    <w:rsid w:val="00282AB8"/>
    <w:rsid w:val="00282D9D"/>
    <w:rsid w:val="002834D4"/>
    <w:rsid w:val="002835B3"/>
    <w:rsid w:val="00283C78"/>
    <w:rsid w:val="00283E82"/>
    <w:rsid w:val="00284012"/>
    <w:rsid w:val="002847B7"/>
    <w:rsid w:val="0028488E"/>
    <w:rsid w:val="00285550"/>
    <w:rsid w:val="002856AC"/>
    <w:rsid w:val="00285904"/>
    <w:rsid w:val="00286394"/>
    <w:rsid w:val="0028698F"/>
    <w:rsid w:val="00286BE0"/>
    <w:rsid w:val="00286E4A"/>
    <w:rsid w:val="00286EA4"/>
    <w:rsid w:val="00286F59"/>
    <w:rsid w:val="0028747D"/>
    <w:rsid w:val="00287931"/>
    <w:rsid w:val="00287D9B"/>
    <w:rsid w:val="00290111"/>
    <w:rsid w:val="0029032D"/>
    <w:rsid w:val="00290357"/>
    <w:rsid w:val="00290478"/>
    <w:rsid w:val="0029069B"/>
    <w:rsid w:val="00290B3D"/>
    <w:rsid w:val="00291C0D"/>
    <w:rsid w:val="00292D29"/>
    <w:rsid w:val="00292E12"/>
    <w:rsid w:val="0029394F"/>
    <w:rsid w:val="002944EF"/>
    <w:rsid w:val="0029455B"/>
    <w:rsid w:val="002951D0"/>
    <w:rsid w:val="00295666"/>
    <w:rsid w:val="002957E3"/>
    <w:rsid w:val="0029591F"/>
    <w:rsid w:val="00295D94"/>
    <w:rsid w:val="00296C83"/>
    <w:rsid w:val="00297CB0"/>
    <w:rsid w:val="00297F23"/>
    <w:rsid w:val="002A032A"/>
    <w:rsid w:val="002A04A6"/>
    <w:rsid w:val="002A0D6B"/>
    <w:rsid w:val="002A17DA"/>
    <w:rsid w:val="002A196B"/>
    <w:rsid w:val="002A1D8D"/>
    <w:rsid w:val="002A2326"/>
    <w:rsid w:val="002A25E1"/>
    <w:rsid w:val="002A3059"/>
    <w:rsid w:val="002A33A2"/>
    <w:rsid w:val="002A38EA"/>
    <w:rsid w:val="002A3EF2"/>
    <w:rsid w:val="002A4A13"/>
    <w:rsid w:val="002A4F95"/>
    <w:rsid w:val="002A6806"/>
    <w:rsid w:val="002A6CE5"/>
    <w:rsid w:val="002A7499"/>
    <w:rsid w:val="002B0106"/>
    <w:rsid w:val="002B02DD"/>
    <w:rsid w:val="002B0535"/>
    <w:rsid w:val="002B10BF"/>
    <w:rsid w:val="002B17EC"/>
    <w:rsid w:val="002B1B53"/>
    <w:rsid w:val="002B33B2"/>
    <w:rsid w:val="002B3A8F"/>
    <w:rsid w:val="002B3C57"/>
    <w:rsid w:val="002B3F76"/>
    <w:rsid w:val="002B43E5"/>
    <w:rsid w:val="002B4F52"/>
    <w:rsid w:val="002B50F0"/>
    <w:rsid w:val="002B5D4B"/>
    <w:rsid w:val="002B6614"/>
    <w:rsid w:val="002B7623"/>
    <w:rsid w:val="002B763C"/>
    <w:rsid w:val="002B7C87"/>
    <w:rsid w:val="002C1232"/>
    <w:rsid w:val="002C17D4"/>
    <w:rsid w:val="002C3529"/>
    <w:rsid w:val="002C35E8"/>
    <w:rsid w:val="002C379D"/>
    <w:rsid w:val="002C3C2D"/>
    <w:rsid w:val="002C3F5A"/>
    <w:rsid w:val="002C4116"/>
    <w:rsid w:val="002C4C93"/>
    <w:rsid w:val="002C4FF6"/>
    <w:rsid w:val="002C6068"/>
    <w:rsid w:val="002C6B01"/>
    <w:rsid w:val="002C7126"/>
    <w:rsid w:val="002C7B4C"/>
    <w:rsid w:val="002D05FE"/>
    <w:rsid w:val="002D0778"/>
    <w:rsid w:val="002D21B1"/>
    <w:rsid w:val="002D2B5B"/>
    <w:rsid w:val="002D3103"/>
    <w:rsid w:val="002D43FA"/>
    <w:rsid w:val="002D449B"/>
    <w:rsid w:val="002D4C7E"/>
    <w:rsid w:val="002D5443"/>
    <w:rsid w:val="002D5F23"/>
    <w:rsid w:val="002D6090"/>
    <w:rsid w:val="002D632D"/>
    <w:rsid w:val="002D67A0"/>
    <w:rsid w:val="002D727F"/>
    <w:rsid w:val="002D72F2"/>
    <w:rsid w:val="002D72F6"/>
    <w:rsid w:val="002E0188"/>
    <w:rsid w:val="002E0C05"/>
    <w:rsid w:val="002E10DC"/>
    <w:rsid w:val="002E15A7"/>
    <w:rsid w:val="002E2E71"/>
    <w:rsid w:val="002E397E"/>
    <w:rsid w:val="002E3D70"/>
    <w:rsid w:val="002E5226"/>
    <w:rsid w:val="002E5697"/>
    <w:rsid w:val="002E60BC"/>
    <w:rsid w:val="002E708E"/>
    <w:rsid w:val="002E7D08"/>
    <w:rsid w:val="002F020C"/>
    <w:rsid w:val="002F0833"/>
    <w:rsid w:val="002F175E"/>
    <w:rsid w:val="002F1CE2"/>
    <w:rsid w:val="002F2656"/>
    <w:rsid w:val="002F2C76"/>
    <w:rsid w:val="002F3061"/>
    <w:rsid w:val="002F3124"/>
    <w:rsid w:val="002F3F4C"/>
    <w:rsid w:val="002F40F2"/>
    <w:rsid w:val="002F41D9"/>
    <w:rsid w:val="002F4B4F"/>
    <w:rsid w:val="002F4D0E"/>
    <w:rsid w:val="002F4D2F"/>
    <w:rsid w:val="002F4F76"/>
    <w:rsid w:val="002F5F1B"/>
    <w:rsid w:val="002F6421"/>
    <w:rsid w:val="002F6689"/>
    <w:rsid w:val="002F671E"/>
    <w:rsid w:val="002F6D0E"/>
    <w:rsid w:val="002F6EA0"/>
    <w:rsid w:val="002F6F63"/>
    <w:rsid w:val="002F7710"/>
    <w:rsid w:val="002F7F86"/>
    <w:rsid w:val="003007F3"/>
    <w:rsid w:val="00300957"/>
    <w:rsid w:val="00300D15"/>
    <w:rsid w:val="00300E91"/>
    <w:rsid w:val="00300F3D"/>
    <w:rsid w:val="003016F4"/>
    <w:rsid w:val="00301F4B"/>
    <w:rsid w:val="00302291"/>
    <w:rsid w:val="0030237B"/>
    <w:rsid w:val="00302D8B"/>
    <w:rsid w:val="00303124"/>
    <w:rsid w:val="003034D4"/>
    <w:rsid w:val="00303572"/>
    <w:rsid w:val="00303920"/>
    <w:rsid w:val="00304346"/>
    <w:rsid w:val="00304B0B"/>
    <w:rsid w:val="00304D36"/>
    <w:rsid w:val="00304DE0"/>
    <w:rsid w:val="00304FBE"/>
    <w:rsid w:val="00304FF1"/>
    <w:rsid w:val="00305467"/>
    <w:rsid w:val="00305B56"/>
    <w:rsid w:val="00305CC9"/>
    <w:rsid w:val="003063CF"/>
    <w:rsid w:val="00306584"/>
    <w:rsid w:val="0030665B"/>
    <w:rsid w:val="00306E9C"/>
    <w:rsid w:val="0030725B"/>
    <w:rsid w:val="00310100"/>
    <w:rsid w:val="00310A25"/>
    <w:rsid w:val="003110D7"/>
    <w:rsid w:val="003111D4"/>
    <w:rsid w:val="0031152E"/>
    <w:rsid w:val="003116C2"/>
    <w:rsid w:val="003117CE"/>
    <w:rsid w:val="00311A04"/>
    <w:rsid w:val="003125CD"/>
    <w:rsid w:val="00313223"/>
    <w:rsid w:val="00313468"/>
    <w:rsid w:val="00313502"/>
    <w:rsid w:val="0031379F"/>
    <w:rsid w:val="003138C9"/>
    <w:rsid w:val="00313A2F"/>
    <w:rsid w:val="00313B41"/>
    <w:rsid w:val="0031445D"/>
    <w:rsid w:val="003145CD"/>
    <w:rsid w:val="00314FBB"/>
    <w:rsid w:val="0031501D"/>
    <w:rsid w:val="00315A99"/>
    <w:rsid w:val="00315D49"/>
    <w:rsid w:val="003167BB"/>
    <w:rsid w:val="00316D7F"/>
    <w:rsid w:val="00316EBA"/>
    <w:rsid w:val="00317898"/>
    <w:rsid w:val="003204D1"/>
    <w:rsid w:val="00322DF9"/>
    <w:rsid w:val="00323351"/>
    <w:rsid w:val="00323AF2"/>
    <w:rsid w:val="00323D12"/>
    <w:rsid w:val="00323F5D"/>
    <w:rsid w:val="00323F63"/>
    <w:rsid w:val="003242EF"/>
    <w:rsid w:val="0032432D"/>
    <w:rsid w:val="003249DB"/>
    <w:rsid w:val="00324D6C"/>
    <w:rsid w:val="003252A5"/>
    <w:rsid w:val="003261EA"/>
    <w:rsid w:val="00326253"/>
    <w:rsid w:val="00326675"/>
    <w:rsid w:val="00327E9A"/>
    <w:rsid w:val="00330838"/>
    <w:rsid w:val="00330C6A"/>
    <w:rsid w:val="00332004"/>
    <w:rsid w:val="00333730"/>
    <w:rsid w:val="00333B52"/>
    <w:rsid w:val="00333D1F"/>
    <w:rsid w:val="00334B22"/>
    <w:rsid w:val="00334D83"/>
    <w:rsid w:val="003354C0"/>
    <w:rsid w:val="003359BD"/>
    <w:rsid w:val="00335E41"/>
    <w:rsid w:val="00336980"/>
    <w:rsid w:val="00340EBB"/>
    <w:rsid w:val="00340F4C"/>
    <w:rsid w:val="00341384"/>
    <w:rsid w:val="00341681"/>
    <w:rsid w:val="003429AC"/>
    <w:rsid w:val="00342F10"/>
    <w:rsid w:val="003441CC"/>
    <w:rsid w:val="0034579E"/>
    <w:rsid w:val="0034583C"/>
    <w:rsid w:val="0034588F"/>
    <w:rsid w:val="00346550"/>
    <w:rsid w:val="00346FE3"/>
    <w:rsid w:val="00347A63"/>
    <w:rsid w:val="00347CFE"/>
    <w:rsid w:val="0035039A"/>
    <w:rsid w:val="00351660"/>
    <w:rsid w:val="0035262B"/>
    <w:rsid w:val="003529A5"/>
    <w:rsid w:val="00352A34"/>
    <w:rsid w:val="00352EF6"/>
    <w:rsid w:val="0035318E"/>
    <w:rsid w:val="00353BC6"/>
    <w:rsid w:val="00354164"/>
    <w:rsid w:val="00354735"/>
    <w:rsid w:val="00354DC7"/>
    <w:rsid w:val="00355388"/>
    <w:rsid w:val="003557CD"/>
    <w:rsid w:val="003569FF"/>
    <w:rsid w:val="00356E98"/>
    <w:rsid w:val="00356F7D"/>
    <w:rsid w:val="0035701B"/>
    <w:rsid w:val="003571C3"/>
    <w:rsid w:val="00357CCB"/>
    <w:rsid w:val="00360124"/>
    <w:rsid w:val="00360227"/>
    <w:rsid w:val="00360D27"/>
    <w:rsid w:val="00361648"/>
    <w:rsid w:val="00361676"/>
    <w:rsid w:val="003617B3"/>
    <w:rsid w:val="00361A27"/>
    <w:rsid w:val="00361EA6"/>
    <w:rsid w:val="00361F56"/>
    <w:rsid w:val="0036294F"/>
    <w:rsid w:val="00362CBB"/>
    <w:rsid w:val="003633A8"/>
    <w:rsid w:val="00363ABF"/>
    <w:rsid w:val="00364303"/>
    <w:rsid w:val="00364A55"/>
    <w:rsid w:val="00364B25"/>
    <w:rsid w:val="00365B67"/>
    <w:rsid w:val="003675DA"/>
    <w:rsid w:val="00367B41"/>
    <w:rsid w:val="00370590"/>
    <w:rsid w:val="00370687"/>
    <w:rsid w:val="003711F2"/>
    <w:rsid w:val="003718CA"/>
    <w:rsid w:val="003718F3"/>
    <w:rsid w:val="0037191E"/>
    <w:rsid w:val="003719DC"/>
    <w:rsid w:val="00371FEF"/>
    <w:rsid w:val="00372989"/>
    <w:rsid w:val="00372F79"/>
    <w:rsid w:val="00373033"/>
    <w:rsid w:val="00373368"/>
    <w:rsid w:val="00373CAB"/>
    <w:rsid w:val="00373F84"/>
    <w:rsid w:val="0037411A"/>
    <w:rsid w:val="00374BDA"/>
    <w:rsid w:val="0037527D"/>
    <w:rsid w:val="003753D8"/>
    <w:rsid w:val="00375C7A"/>
    <w:rsid w:val="003769A9"/>
    <w:rsid w:val="003776B4"/>
    <w:rsid w:val="0038018E"/>
    <w:rsid w:val="003802CE"/>
    <w:rsid w:val="003807AC"/>
    <w:rsid w:val="00380D6E"/>
    <w:rsid w:val="00381B8E"/>
    <w:rsid w:val="00381F46"/>
    <w:rsid w:val="00382DFD"/>
    <w:rsid w:val="003833AA"/>
    <w:rsid w:val="003847D9"/>
    <w:rsid w:val="00384878"/>
    <w:rsid w:val="00384E47"/>
    <w:rsid w:val="0038608D"/>
    <w:rsid w:val="003872B1"/>
    <w:rsid w:val="003873E4"/>
    <w:rsid w:val="0039043B"/>
    <w:rsid w:val="00390522"/>
    <w:rsid w:val="00391038"/>
    <w:rsid w:val="0039121D"/>
    <w:rsid w:val="00391549"/>
    <w:rsid w:val="00391E4C"/>
    <w:rsid w:val="0039232E"/>
    <w:rsid w:val="00393207"/>
    <w:rsid w:val="003935A5"/>
    <w:rsid w:val="00393E63"/>
    <w:rsid w:val="003941EB"/>
    <w:rsid w:val="00394648"/>
    <w:rsid w:val="0039480A"/>
    <w:rsid w:val="00394AAF"/>
    <w:rsid w:val="0039550F"/>
    <w:rsid w:val="003955F2"/>
    <w:rsid w:val="0039584E"/>
    <w:rsid w:val="0039676A"/>
    <w:rsid w:val="00396DB3"/>
    <w:rsid w:val="0039700D"/>
    <w:rsid w:val="00397263"/>
    <w:rsid w:val="003972EC"/>
    <w:rsid w:val="00397BE2"/>
    <w:rsid w:val="003A0569"/>
    <w:rsid w:val="003A0959"/>
    <w:rsid w:val="003A163E"/>
    <w:rsid w:val="003A1E36"/>
    <w:rsid w:val="003A2525"/>
    <w:rsid w:val="003A2624"/>
    <w:rsid w:val="003A38F0"/>
    <w:rsid w:val="003A399A"/>
    <w:rsid w:val="003A4458"/>
    <w:rsid w:val="003A5019"/>
    <w:rsid w:val="003A5DD8"/>
    <w:rsid w:val="003A5E2C"/>
    <w:rsid w:val="003A65B4"/>
    <w:rsid w:val="003A72FB"/>
    <w:rsid w:val="003A7FD4"/>
    <w:rsid w:val="003B01CC"/>
    <w:rsid w:val="003B02C3"/>
    <w:rsid w:val="003B0387"/>
    <w:rsid w:val="003B1075"/>
    <w:rsid w:val="003B109E"/>
    <w:rsid w:val="003B1446"/>
    <w:rsid w:val="003B179C"/>
    <w:rsid w:val="003B25DA"/>
    <w:rsid w:val="003B263A"/>
    <w:rsid w:val="003B2816"/>
    <w:rsid w:val="003B3E0D"/>
    <w:rsid w:val="003B44EB"/>
    <w:rsid w:val="003B493C"/>
    <w:rsid w:val="003B4C31"/>
    <w:rsid w:val="003B4D4D"/>
    <w:rsid w:val="003B5362"/>
    <w:rsid w:val="003B646E"/>
    <w:rsid w:val="003B6761"/>
    <w:rsid w:val="003B7998"/>
    <w:rsid w:val="003B79EA"/>
    <w:rsid w:val="003C09C3"/>
    <w:rsid w:val="003C0D54"/>
    <w:rsid w:val="003C0F78"/>
    <w:rsid w:val="003C14A9"/>
    <w:rsid w:val="003C1851"/>
    <w:rsid w:val="003C1902"/>
    <w:rsid w:val="003C3360"/>
    <w:rsid w:val="003C3885"/>
    <w:rsid w:val="003C3FC2"/>
    <w:rsid w:val="003C3FDA"/>
    <w:rsid w:val="003C4589"/>
    <w:rsid w:val="003C4DCA"/>
    <w:rsid w:val="003C5234"/>
    <w:rsid w:val="003C5A59"/>
    <w:rsid w:val="003C62A6"/>
    <w:rsid w:val="003C6E92"/>
    <w:rsid w:val="003C70C5"/>
    <w:rsid w:val="003C7236"/>
    <w:rsid w:val="003C75DF"/>
    <w:rsid w:val="003D018D"/>
    <w:rsid w:val="003D1004"/>
    <w:rsid w:val="003D1EB8"/>
    <w:rsid w:val="003D1F36"/>
    <w:rsid w:val="003D2AA0"/>
    <w:rsid w:val="003D2AA6"/>
    <w:rsid w:val="003D2EED"/>
    <w:rsid w:val="003D315A"/>
    <w:rsid w:val="003D490E"/>
    <w:rsid w:val="003D5A2F"/>
    <w:rsid w:val="003D601F"/>
    <w:rsid w:val="003D6543"/>
    <w:rsid w:val="003D7A70"/>
    <w:rsid w:val="003E018A"/>
    <w:rsid w:val="003E0AC8"/>
    <w:rsid w:val="003E11C2"/>
    <w:rsid w:val="003E1DB0"/>
    <w:rsid w:val="003E1DDD"/>
    <w:rsid w:val="003E23D1"/>
    <w:rsid w:val="003E23FE"/>
    <w:rsid w:val="003E2FF0"/>
    <w:rsid w:val="003E3B27"/>
    <w:rsid w:val="003E50F5"/>
    <w:rsid w:val="003E53D1"/>
    <w:rsid w:val="003E53DB"/>
    <w:rsid w:val="003E579F"/>
    <w:rsid w:val="003E5907"/>
    <w:rsid w:val="003E5F9C"/>
    <w:rsid w:val="003E626F"/>
    <w:rsid w:val="003E6978"/>
    <w:rsid w:val="003E6C52"/>
    <w:rsid w:val="003E6D23"/>
    <w:rsid w:val="003E73AC"/>
    <w:rsid w:val="003F0749"/>
    <w:rsid w:val="003F121A"/>
    <w:rsid w:val="003F1446"/>
    <w:rsid w:val="003F153F"/>
    <w:rsid w:val="003F1B02"/>
    <w:rsid w:val="003F24CC"/>
    <w:rsid w:val="003F2533"/>
    <w:rsid w:val="003F29B4"/>
    <w:rsid w:val="003F3678"/>
    <w:rsid w:val="003F3BF4"/>
    <w:rsid w:val="003F4805"/>
    <w:rsid w:val="003F4E70"/>
    <w:rsid w:val="003F5BE0"/>
    <w:rsid w:val="003F651F"/>
    <w:rsid w:val="003F7080"/>
    <w:rsid w:val="003F7843"/>
    <w:rsid w:val="003F7950"/>
    <w:rsid w:val="003F7EF6"/>
    <w:rsid w:val="004006AE"/>
    <w:rsid w:val="00400FA3"/>
    <w:rsid w:val="00401349"/>
    <w:rsid w:val="0040193F"/>
    <w:rsid w:val="00401F08"/>
    <w:rsid w:val="00402663"/>
    <w:rsid w:val="004029AF"/>
    <w:rsid w:val="00402C26"/>
    <w:rsid w:val="004039A5"/>
    <w:rsid w:val="0040479C"/>
    <w:rsid w:val="004052E7"/>
    <w:rsid w:val="004058C8"/>
    <w:rsid w:val="00405986"/>
    <w:rsid w:val="00405A3C"/>
    <w:rsid w:val="0040655D"/>
    <w:rsid w:val="004067D6"/>
    <w:rsid w:val="00407301"/>
    <w:rsid w:val="00407715"/>
    <w:rsid w:val="004077F2"/>
    <w:rsid w:val="0041049E"/>
    <w:rsid w:val="00410A9A"/>
    <w:rsid w:val="00411251"/>
    <w:rsid w:val="00411B41"/>
    <w:rsid w:val="00411F97"/>
    <w:rsid w:val="00412A77"/>
    <w:rsid w:val="00412A94"/>
    <w:rsid w:val="00413139"/>
    <w:rsid w:val="00413C4C"/>
    <w:rsid w:val="00413FB8"/>
    <w:rsid w:val="004145AC"/>
    <w:rsid w:val="00414687"/>
    <w:rsid w:val="00414B47"/>
    <w:rsid w:val="00414C32"/>
    <w:rsid w:val="00415622"/>
    <w:rsid w:val="00415D1E"/>
    <w:rsid w:val="00415DF1"/>
    <w:rsid w:val="004167A6"/>
    <w:rsid w:val="00416D3A"/>
    <w:rsid w:val="0041703D"/>
    <w:rsid w:val="00417266"/>
    <w:rsid w:val="00417774"/>
    <w:rsid w:val="00417AD0"/>
    <w:rsid w:val="00417C79"/>
    <w:rsid w:val="0042119A"/>
    <w:rsid w:val="004211E2"/>
    <w:rsid w:val="004213EB"/>
    <w:rsid w:val="004222D9"/>
    <w:rsid w:val="004228F1"/>
    <w:rsid w:val="00422BBB"/>
    <w:rsid w:val="004241F0"/>
    <w:rsid w:val="00424C4A"/>
    <w:rsid w:val="00424D3D"/>
    <w:rsid w:val="004257E4"/>
    <w:rsid w:val="00425A31"/>
    <w:rsid w:val="004262E4"/>
    <w:rsid w:val="00427249"/>
    <w:rsid w:val="0043081A"/>
    <w:rsid w:val="00430A54"/>
    <w:rsid w:val="00430DB4"/>
    <w:rsid w:val="004318C5"/>
    <w:rsid w:val="00432346"/>
    <w:rsid w:val="0043275D"/>
    <w:rsid w:val="004327E9"/>
    <w:rsid w:val="00432EE9"/>
    <w:rsid w:val="004331BD"/>
    <w:rsid w:val="0043336B"/>
    <w:rsid w:val="00434230"/>
    <w:rsid w:val="004348B3"/>
    <w:rsid w:val="00434C25"/>
    <w:rsid w:val="00434C81"/>
    <w:rsid w:val="004353C6"/>
    <w:rsid w:val="0043545A"/>
    <w:rsid w:val="00435566"/>
    <w:rsid w:val="0043567D"/>
    <w:rsid w:val="00435FD9"/>
    <w:rsid w:val="00436C75"/>
    <w:rsid w:val="00437180"/>
    <w:rsid w:val="00437189"/>
    <w:rsid w:val="004374A2"/>
    <w:rsid w:val="00437D25"/>
    <w:rsid w:val="0044051A"/>
    <w:rsid w:val="0044088B"/>
    <w:rsid w:val="00440E14"/>
    <w:rsid w:val="00441B56"/>
    <w:rsid w:val="00441DF2"/>
    <w:rsid w:val="00441F81"/>
    <w:rsid w:val="00442F47"/>
    <w:rsid w:val="00443C60"/>
    <w:rsid w:val="00444806"/>
    <w:rsid w:val="00444C3C"/>
    <w:rsid w:val="00445064"/>
    <w:rsid w:val="00445320"/>
    <w:rsid w:val="0044540F"/>
    <w:rsid w:val="0044571F"/>
    <w:rsid w:val="00445B93"/>
    <w:rsid w:val="004461B1"/>
    <w:rsid w:val="004462BE"/>
    <w:rsid w:val="00446D92"/>
    <w:rsid w:val="00450766"/>
    <w:rsid w:val="00450928"/>
    <w:rsid w:val="00450AB7"/>
    <w:rsid w:val="00452334"/>
    <w:rsid w:val="00453CE8"/>
    <w:rsid w:val="00454C45"/>
    <w:rsid w:val="00454EEB"/>
    <w:rsid w:val="00455500"/>
    <w:rsid w:val="00455AA0"/>
    <w:rsid w:val="00455B1C"/>
    <w:rsid w:val="00455EC2"/>
    <w:rsid w:val="00455F9E"/>
    <w:rsid w:val="00457633"/>
    <w:rsid w:val="00460578"/>
    <w:rsid w:val="004610E8"/>
    <w:rsid w:val="0046168E"/>
    <w:rsid w:val="0046169A"/>
    <w:rsid w:val="0046172D"/>
    <w:rsid w:val="00461C49"/>
    <w:rsid w:val="00461F59"/>
    <w:rsid w:val="004628DF"/>
    <w:rsid w:val="0046460F"/>
    <w:rsid w:val="004646CE"/>
    <w:rsid w:val="0046475D"/>
    <w:rsid w:val="004647DC"/>
    <w:rsid w:val="00467EDC"/>
    <w:rsid w:val="004702A8"/>
    <w:rsid w:val="00470381"/>
    <w:rsid w:val="00470B13"/>
    <w:rsid w:val="00470F32"/>
    <w:rsid w:val="00471167"/>
    <w:rsid w:val="0047136D"/>
    <w:rsid w:val="0047181E"/>
    <w:rsid w:val="00472B7A"/>
    <w:rsid w:val="004735F0"/>
    <w:rsid w:val="004746C3"/>
    <w:rsid w:val="00474840"/>
    <w:rsid w:val="0047490C"/>
    <w:rsid w:val="004751B7"/>
    <w:rsid w:val="00475C1B"/>
    <w:rsid w:val="00475F6C"/>
    <w:rsid w:val="0047607F"/>
    <w:rsid w:val="004764EE"/>
    <w:rsid w:val="0047650A"/>
    <w:rsid w:val="00476548"/>
    <w:rsid w:val="004766E6"/>
    <w:rsid w:val="00476A20"/>
    <w:rsid w:val="00476D7B"/>
    <w:rsid w:val="00476FAF"/>
    <w:rsid w:val="0047762E"/>
    <w:rsid w:val="00480B9F"/>
    <w:rsid w:val="00480C9A"/>
    <w:rsid w:val="004811AC"/>
    <w:rsid w:val="00481687"/>
    <w:rsid w:val="00481D25"/>
    <w:rsid w:val="00482046"/>
    <w:rsid w:val="00482261"/>
    <w:rsid w:val="004824C6"/>
    <w:rsid w:val="00482C2C"/>
    <w:rsid w:val="004830C7"/>
    <w:rsid w:val="0048320A"/>
    <w:rsid w:val="00483B55"/>
    <w:rsid w:val="0048467F"/>
    <w:rsid w:val="00484C3D"/>
    <w:rsid w:val="00485021"/>
    <w:rsid w:val="0048512F"/>
    <w:rsid w:val="00485306"/>
    <w:rsid w:val="00485D34"/>
    <w:rsid w:val="0048642B"/>
    <w:rsid w:val="00486641"/>
    <w:rsid w:val="00486991"/>
    <w:rsid w:val="0048705B"/>
    <w:rsid w:val="004875D6"/>
    <w:rsid w:val="00487813"/>
    <w:rsid w:val="0049086D"/>
    <w:rsid w:val="004913E6"/>
    <w:rsid w:val="004915A8"/>
    <w:rsid w:val="004920A4"/>
    <w:rsid w:val="004926D7"/>
    <w:rsid w:val="00492B65"/>
    <w:rsid w:val="004931E6"/>
    <w:rsid w:val="004935C4"/>
    <w:rsid w:val="00493A56"/>
    <w:rsid w:val="00494980"/>
    <w:rsid w:val="00494B7B"/>
    <w:rsid w:val="00494E55"/>
    <w:rsid w:val="004952E5"/>
    <w:rsid w:val="004959EF"/>
    <w:rsid w:val="00495C46"/>
    <w:rsid w:val="0049629D"/>
    <w:rsid w:val="004966E0"/>
    <w:rsid w:val="00496AA4"/>
    <w:rsid w:val="004A0142"/>
    <w:rsid w:val="004A0879"/>
    <w:rsid w:val="004A1001"/>
    <w:rsid w:val="004A1FDF"/>
    <w:rsid w:val="004A20FB"/>
    <w:rsid w:val="004A2199"/>
    <w:rsid w:val="004A2487"/>
    <w:rsid w:val="004A30BB"/>
    <w:rsid w:val="004A4186"/>
    <w:rsid w:val="004A42BC"/>
    <w:rsid w:val="004A4422"/>
    <w:rsid w:val="004A5A17"/>
    <w:rsid w:val="004A5AA8"/>
    <w:rsid w:val="004A5B5B"/>
    <w:rsid w:val="004A6577"/>
    <w:rsid w:val="004A6D94"/>
    <w:rsid w:val="004B09E6"/>
    <w:rsid w:val="004B0F39"/>
    <w:rsid w:val="004B1187"/>
    <w:rsid w:val="004B13C9"/>
    <w:rsid w:val="004B15FA"/>
    <w:rsid w:val="004B16A7"/>
    <w:rsid w:val="004B1AAC"/>
    <w:rsid w:val="004B1C97"/>
    <w:rsid w:val="004B1FF3"/>
    <w:rsid w:val="004B27A3"/>
    <w:rsid w:val="004B27F5"/>
    <w:rsid w:val="004B30EF"/>
    <w:rsid w:val="004B313A"/>
    <w:rsid w:val="004B3237"/>
    <w:rsid w:val="004B329F"/>
    <w:rsid w:val="004B3A50"/>
    <w:rsid w:val="004B3B6B"/>
    <w:rsid w:val="004B3FFA"/>
    <w:rsid w:val="004B4167"/>
    <w:rsid w:val="004B4BA2"/>
    <w:rsid w:val="004B55EE"/>
    <w:rsid w:val="004B5A2C"/>
    <w:rsid w:val="004B5C13"/>
    <w:rsid w:val="004B605C"/>
    <w:rsid w:val="004B7975"/>
    <w:rsid w:val="004C0053"/>
    <w:rsid w:val="004C06B1"/>
    <w:rsid w:val="004C0EC3"/>
    <w:rsid w:val="004C219B"/>
    <w:rsid w:val="004C273F"/>
    <w:rsid w:val="004C2A8E"/>
    <w:rsid w:val="004C2BC6"/>
    <w:rsid w:val="004C2D6B"/>
    <w:rsid w:val="004C3CE3"/>
    <w:rsid w:val="004C4415"/>
    <w:rsid w:val="004C571A"/>
    <w:rsid w:val="004C5BAC"/>
    <w:rsid w:val="004C694A"/>
    <w:rsid w:val="004C6C67"/>
    <w:rsid w:val="004C7FC6"/>
    <w:rsid w:val="004D0107"/>
    <w:rsid w:val="004D0D60"/>
    <w:rsid w:val="004D129B"/>
    <w:rsid w:val="004D1F98"/>
    <w:rsid w:val="004D25A8"/>
    <w:rsid w:val="004D2FEA"/>
    <w:rsid w:val="004D303C"/>
    <w:rsid w:val="004D319A"/>
    <w:rsid w:val="004D34C4"/>
    <w:rsid w:val="004D35C9"/>
    <w:rsid w:val="004D3D7C"/>
    <w:rsid w:val="004D3FDF"/>
    <w:rsid w:val="004D46C1"/>
    <w:rsid w:val="004D4FDF"/>
    <w:rsid w:val="004D523A"/>
    <w:rsid w:val="004D535A"/>
    <w:rsid w:val="004D5699"/>
    <w:rsid w:val="004D66D8"/>
    <w:rsid w:val="004E01ED"/>
    <w:rsid w:val="004E07FC"/>
    <w:rsid w:val="004E0FE0"/>
    <w:rsid w:val="004E141E"/>
    <w:rsid w:val="004E188A"/>
    <w:rsid w:val="004E3E2A"/>
    <w:rsid w:val="004E4BC1"/>
    <w:rsid w:val="004E5BEE"/>
    <w:rsid w:val="004E5F06"/>
    <w:rsid w:val="004E6060"/>
    <w:rsid w:val="004E63D0"/>
    <w:rsid w:val="004E6614"/>
    <w:rsid w:val="004E673D"/>
    <w:rsid w:val="004E7ACC"/>
    <w:rsid w:val="004E7D44"/>
    <w:rsid w:val="004F09AC"/>
    <w:rsid w:val="004F1745"/>
    <w:rsid w:val="004F1D72"/>
    <w:rsid w:val="004F20FC"/>
    <w:rsid w:val="004F2873"/>
    <w:rsid w:val="004F2ED4"/>
    <w:rsid w:val="004F3496"/>
    <w:rsid w:val="004F44C7"/>
    <w:rsid w:val="004F4705"/>
    <w:rsid w:val="004F48AA"/>
    <w:rsid w:val="004F4F5B"/>
    <w:rsid w:val="004F556D"/>
    <w:rsid w:val="004F55C6"/>
    <w:rsid w:val="004F60E5"/>
    <w:rsid w:val="004F7105"/>
    <w:rsid w:val="004F716E"/>
    <w:rsid w:val="004F7238"/>
    <w:rsid w:val="004F75AA"/>
    <w:rsid w:val="004F76FA"/>
    <w:rsid w:val="004F7E76"/>
    <w:rsid w:val="004F7EAE"/>
    <w:rsid w:val="0050007C"/>
    <w:rsid w:val="005008AD"/>
    <w:rsid w:val="00501700"/>
    <w:rsid w:val="00501C3F"/>
    <w:rsid w:val="0050257F"/>
    <w:rsid w:val="0050343F"/>
    <w:rsid w:val="0050372A"/>
    <w:rsid w:val="00503BA7"/>
    <w:rsid w:val="005044CC"/>
    <w:rsid w:val="0050503D"/>
    <w:rsid w:val="00505903"/>
    <w:rsid w:val="00505C9F"/>
    <w:rsid w:val="0050632B"/>
    <w:rsid w:val="005067AC"/>
    <w:rsid w:val="00506B6E"/>
    <w:rsid w:val="00506BF5"/>
    <w:rsid w:val="0050758A"/>
    <w:rsid w:val="00510AE0"/>
    <w:rsid w:val="00511CDF"/>
    <w:rsid w:val="00512B54"/>
    <w:rsid w:val="00512FA9"/>
    <w:rsid w:val="00513B70"/>
    <w:rsid w:val="00513E4B"/>
    <w:rsid w:val="00514430"/>
    <w:rsid w:val="0051540B"/>
    <w:rsid w:val="00516FE3"/>
    <w:rsid w:val="00517B53"/>
    <w:rsid w:val="00521937"/>
    <w:rsid w:val="0052220D"/>
    <w:rsid w:val="005222B9"/>
    <w:rsid w:val="00522D16"/>
    <w:rsid w:val="005235F4"/>
    <w:rsid w:val="00523F23"/>
    <w:rsid w:val="0052446E"/>
    <w:rsid w:val="00524576"/>
    <w:rsid w:val="00524FBE"/>
    <w:rsid w:val="00525001"/>
    <w:rsid w:val="00525256"/>
    <w:rsid w:val="005255CD"/>
    <w:rsid w:val="005258D6"/>
    <w:rsid w:val="00525BBA"/>
    <w:rsid w:val="00525FCA"/>
    <w:rsid w:val="00526434"/>
    <w:rsid w:val="00526ABA"/>
    <w:rsid w:val="00527B06"/>
    <w:rsid w:val="00527B8D"/>
    <w:rsid w:val="00530A62"/>
    <w:rsid w:val="00530BE0"/>
    <w:rsid w:val="005310A8"/>
    <w:rsid w:val="00531C77"/>
    <w:rsid w:val="00531F20"/>
    <w:rsid w:val="005321E4"/>
    <w:rsid w:val="005324E2"/>
    <w:rsid w:val="00533E34"/>
    <w:rsid w:val="00533F9D"/>
    <w:rsid w:val="00534081"/>
    <w:rsid w:val="005342E4"/>
    <w:rsid w:val="0053491C"/>
    <w:rsid w:val="00534ECB"/>
    <w:rsid w:val="005357DD"/>
    <w:rsid w:val="00535C29"/>
    <w:rsid w:val="00535D93"/>
    <w:rsid w:val="005372CE"/>
    <w:rsid w:val="00537498"/>
    <w:rsid w:val="00537863"/>
    <w:rsid w:val="005378B8"/>
    <w:rsid w:val="00537B3E"/>
    <w:rsid w:val="00537CAE"/>
    <w:rsid w:val="00537E5C"/>
    <w:rsid w:val="00537E9B"/>
    <w:rsid w:val="00540273"/>
    <w:rsid w:val="00540582"/>
    <w:rsid w:val="00540706"/>
    <w:rsid w:val="005407F2"/>
    <w:rsid w:val="00541411"/>
    <w:rsid w:val="0054272C"/>
    <w:rsid w:val="005430A4"/>
    <w:rsid w:val="00543385"/>
    <w:rsid w:val="00543F69"/>
    <w:rsid w:val="00543FAB"/>
    <w:rsid w:val="00544A78"/>
    <w:rsid w:val="0054574B"/>
    <w:rsid w:val="00545C91"/>
    <w:rsid w:val="00545DAC"/>
    <w:rsid w:val="00546459"/>
    <w:rsid w:val="0054646D"/>
    <w:rsid w:val="005464F4"/>
    <w:rsid w:val="005476CA"/>
    <w:rsid w:val="005509EB"/>
    <w:rsid w:val="00550A17"/>
    <w:rsid w:val="0055128D"/>
    <w:rsid w:val="00551D5E"/>
    <w:rsid w:val="00551F91"/>
    <w:rsid w:val="0055282E"/>
    <w:rsid w:val="00552D64"/>
    <w:rsid w:val="00552FC8"/>
    <w:rsid w:val="005534B6"/>
    <w:rsid w:val="0055393F"/>
    <w:rsid w:val="00553DF8"/>
    <w:rsid w:val="005541FC"/>
    <w:rsid w:val="00555C36"/>
    <w:rsid w:val="005564F0"/>
    <w:rsid w:val="005571F2"/>
    <w:rsid w:val="00557453"/>
    <w:rsid w:val="005578D9"/>
    <w:rsid w:val="005600D1"/>
    <w:rsid w:val="0056017B"/>
    <w:rsid w:val="005603F5"/>
    <w:rsid w:val="00560AD5"/>
    <w:rsid w:val="00560E67"/>
    <w:rsid w:val="005610F1"/>
    <w:rsid w:val="0056141C"/>
    <w:rsid w:val="00561D4E"/>
    <w:rsid w:val="005623FD"/>
    <w:rsid w:val="00562483"/>
    <w:rsid w:val="0056307A"/>
    <w:rsid w:val="005631BD"/>
    <w:rsid w:val="00563499"/>
    <w:rsid w:val="0056363D"/>
    <w:rsid w:val="00563B73"/>
    <w:rsid w:val="00563B76"/>
    <w:rsid w:val="00563C5D"/>
    <w:rsid w:val="005642F0"/>
    <w:rsid w:val="00564992"/>
    <w:rsid w:val="00564C55"/>
    <w:rsid w:val="00566534"/>
    <w:rsid w:val="00567EC0"/>
    <w:rsid w:val="005700D0"/>
    <w:rsid w:val="005701A7"/>
    <w:rsid w:val="00570CB7"/>
    <w:rsid w:val="00571221"/>
    <w:rsid w:val="005716BD"/>
    <w:rsid w:val="00571932"/>
    <w:rsid w:val="005720BA"/>
    <w:rsid w:val="00572882"/>
    <w:rsid w:val="00572C98"/>
    <w:rsid w:val="00573ABF"/>
    <w:rsid w:val="00573CCA"/>
    <w:rsid w:val="00574006"/>
    <w:rsid w:val="00574317"/>
    <w:rsid w:val="00574CF2"/>
    <w:rsid w:val="00575814"/>
    <w:rsid w:val="00575AE4"/>
    <w:rsid w:val="005766C8"/>
    <w:rsid w:val="00576DD6"/>
    <w:rsid w:val="00576E54"/>
    <w:rsid w:val="0057704F"/>
    <w:rsid w:val="005770B7"/>
    <w:rsid w:val="00577A08"/>
    <w:rsid w:val="00577D02"/>
    <w:rsid w:val="00577E23"/>
    <w:rsid w:val="00580438"/>
    <w:rsid w:val="00581AB6"/>
    <w:rsid w:val="005827AC"/>
    <w:rsid w:val="00583087"/>
    <w:rsid w:val="00583280"/>
    <w:rsid w:val="005837CD"/>
    <w:rsid w:val="00583A9C"/>
    <w:rsid w:val="00584402"/>
    <w:rsid w:val="00584C07"/>
    <w:rsid w:val="005856B6"/>
    <w:rsid w:val="00585F0B"/>
    <w:rsid w:val="005865F0"/>
    <w:rsid w:val="00587760"/>
    <w:rsid w:val="005878DF"/>
    <w:rsid w:val="0058795E"/>
    <w:rsid w:val="00587B81"/>
    <w:rsid w:val="00587F3E"/>
    <w:rsid w:val="00587FD8"/>
    <w:rsid w:val="00590416"/>
    <w:rsid w:val="00590BD5"/>
    <w:rsid w:val="0059110E"/>
    <w:rsid w:val="005917A8"/>
    <w:rsid w:val="00591F6A"/>
    <w:rsid w:val="00592498"/>
    <w:rsid w:val="00592B31"/>
    <w:rsid w:val="00594114"/>
    <w:rsid w:val="00594334"/>
    <w:rsid w:val="00594757"/>
    <w:rsid w:val="005952C3"/>
    <w:rsid w:val="0059583B"/>
    <w:rsid w:val="0059585B"/>
    <w:rsid w:val="00595A41"/>
    <w:rsid w:val="00596259"/>
    <w:rsid w:val="0059626C"/>
    <w:rsid w:val="00596298"/>
    <w:rsid w:val="005962C4"/>
    <w:rsid w:val="00596323"/>
    <w:rsid w:val="00596456"/>
    <w:rsid w:val="00596F90"/>
    <w:rsid w:val="00597314"/>
    <w:rsid w:val="005A02BE"/>
    <w:rsid w:val="005A0B72"/>
    <w:rsid w:val="005A1158"/>
    <w:rsid w:val="005A1CFB"/>
    <w:rsid w:val="005A3016"/>
    <w:rsid w:val="005A31A0"/>
    <w:rsid w:val="005A32AB"/>
    <w:rsid w:val="005A3412"/>
    <w:rsid w:val="005A3A8D"/>
    <w:rsid w:val="005A3AC2"/>
    <w:rsid w:val="005A4658"/>
    <w:rsid w:val="005A53CE"/>
    <w:rsid w:val="005A5B15"/>
    <w:rsid w:val="005A60CF"/>
    <w:rsid w:val="005A61BA"/>
    <w:rsid w:val="005A63E8"/>
    <w:rsid w:val="005A70C0"/>
    <w:rsid w:val="005A7A66"/>
    <w:rsid w:val="005B06F8"/>
    <w:rsid w:val="005B0DF1"/>
    <w:rsid w:val="005B0F1E"/>
    <w:rsid w:val="005B15B4"/>
    <w:rsid w:val="005B28B0"/>
    <w:rsid w:val="005B378E"/>
    <w:rsid w:val="005B3F6B"/>
    <w:rsid w:val="005B437B"/>
    <w:rsid w:val="005B4689"/>
    <w:rsid w:val="005B46BA"/>
    <w:rsid w:val="005B4FE8"/>
    <w:rsid w:val="005B50D4"/>
    <w:rsid w:val="005B5CE1"/>
    <w:rsid w:val="005B6260"/>
    <w:rsid w:val="005B6693"/>
    <w:rsid w:val="005B689A"/>
    <w:rsid w:val="005B7215"/>
    <w:rsid w:val="005B7945"/>
    <w:rsid w:val="005C0540"/>
    <w:rsid w:val="005C0647"/>
    <w:rsid w:val="005C06CF"/>
    <w:rsid w:val="005C0887"/>
    <w:rsid w:val="005C0B72"/>
    <w:rsid w:val="005C0EE0"/>
    <w:rsid w:val="005C13CB"/>
    <w:rsid w:val="005C1C8A"/>
    <w:rsid w:val="005C251F"/>
    <w:rsid w:val="005C26A3"/>
    <w:rsid w:val="005C276F"/>
    <w:rsid w:val="005C2E1A"/>
    <w:rsid w:val="005C3B1F"/>
    <w:rsid w:val="005C3BEE"/>
    <w:rsid w:val="005C3EF3"/>
    <w:rsid w:val="005C3FED"/>
    <w:rsid w:val="005C4846"/>
    <w:rsid w:val="005C49BE"/>
    <w:rsid w:val="005C5113"/>
    <w:rsid w:val="005C5157"/>
    <w:rsid w:val="005C52E5"/>
    <w:rsid w:val="005C54A3"/>
    <w:rsid w:val="005C5CE6"/>
    <w:rsid w:val="005C64C8"/>
    <w:rsid w:val="005C64EC"/>
    <w:rsid w:val="005C6614"/>
    <w:rsid w:val="005C7288"/>
    <w:rsid w:val="005C72F1"/>
    <w:rsid w:val="005C7E3C"/>
    <w:rsid w:val="005D0264"/>
    <w:rsid w:val="005D070D"/>
    <w:rsid w:val="005D07D9"/>
    <w:rsid w:val="005D0B60"/>
    <w:rsid w:val="005D1AC7"/>
    <w:rsid w:val="005D22D7"/>
    <w:rsid w:val="005D2848"/>
    <w:rsid w:val="005D2953"/>
    <w:rsid w:val="005D2F81"/>
    <w:rsid w:val="005D36FC"/>
    <w:rsid w:val="005D3A3B"/>
    <w:rsid w:val="005D503B"/>
    <w:rsid w:val="005D587F"/>
    <w:rsid w:val="005D58A4"/>
    <w:rsid w:val="005D5C40"/>
    <w:rsid w:val="005D62E6"/>
    <w:rsid w:val="005D75AE"/>
    <w:rsid w:val="005D7C74"/>
    <w:rsid w:val="005D7FFE"/>
    <w:rsid w:val="005E091E"/>
    <w:rsid w:val="005E0A3D"/>
    <w:rsid w:val="005E0B84"/>
    <w:rsid w:val="005E1CCB"/>
    <w:rsid w:val="005E240C"/>
    <w:rsid w:val="005E2AA3"/>
    <w:rsid w:val="005E2DB9"/>
    <w:rsid w:val="005E2E5E"/>
    <w:rsid w:val="005E328E"/>
    <w:rsid w:val="005E33E2"/>
    <w:rsid w:val="005E3A15"/>
    <w:rsid w:val="005E3E7C"/>
    <w:rsid w:val="005E3F53"/>
    <w:rsid w:val="005E45BF"/>
    <w:rsid w:val="005E4E58"/>
    <w:rsid w:val="005E511D"/>
    <w:rsid w:val="005E57D0"/>
    <w:rsid w:val="005E5806"/>
    <w:rsid w:val="005E607D"/>
    <w:rsid w:val="005E645C"/>
    <w:rsid w:val="005E6A39"/>
    <w:rsid w:val="005E7068"/>
    <w:rsid w:val="005E7440"/>
    <w:rsid w:val="005F04D7"/>
    <w:rsid w:val="005F1558"/>
    <w:rsid w:val="005F1721"/>
    <w:rsid w:val="005F1988"/>
    <w:rsid w:val="005F3DD9"/>
    <w:rsid w:val="005F423D"/>
    <w:rsid w:val="005F48D8"/>
    <w:rsid w:val="005F4901"/>
    <w:rsid w:val="005F5532"/>
    <w:rsid w:val="005F6512"/>
    <w:rsid w:val="005F6D4C"/>
    <w:rsid w:val="005F6F7E"/>
    <w:rsid w:val="005F777B"/>
    <w:rsid w:val="005F77A2"/>
    <w:rsid w:val="005F7F62"/>
    <w:rsid w:val="0060024A"/>
    <w:rsid w:val="006002FD"/>
    <w:rsid w:val="00600BBE"/>
    <w:rsid w:val="00600D8E"/>
    <w:rsid w:val="00601457"/>
    <w:rsid w:val="006014D3"/>
    <w:rsid w:val="00601620"/>
    <w:rsid w:val="006023EC"/>
    <w:rsid w:val="00602524"/>
    <w:rsid w:val="00602AD8"/>
    <w:rsid w:val="00603FCC"/>
    <w:rsid w:val="00604447"/>
    <w:rsid w:val="00604D25"/>
    <w:rsid w:val="00604DD9"/>
    <w:rsid w:val="00605965"/>
    <w:rsid w:val="00605ABA"/>
    <w:rsid w:val="00605D30"/>
    <w:rsid w:val="0060647C"/>
    <w:rsid w:val="00606B9E"/>
    <w:rsid w:val="00606E2F"/>
    <w:rsid w:val="00606FE8"/>
    <w:rsid w:val="00607901"/>
    <w:rsid w:val="00607FAC"/>
    <w:rsid w:val="00610341"/>
    <w:rsid w:val="00611290"/>
    <w:rsid w:val="00612573"/>
    <w:rsid w:val="00613341"/>
    <w:rsid w:val="00613ED5"/>
    <w:rsid w:val="0061457D"/>
    <w:rsid w:val="006145FD"/>
    <w:rsid w:val="00614B3E"/>
    <w:rsid w:val="00614D56"/>
    <w:rsid w:val="00614DD9"/>
    <w:rsid w:val="00615002"/>
    <w:rsid w:val="00615A06"/>
    <w:rsid w:val="0061601C"/>
    <w:rsid w:val="0061657C"/>
    <w:rsid w:val="00617633"/>
    <w:rsid w:val="0062023C"/>
    <w:rsid w:val="0062088B"/>
    <w:rsid w:val="00620E44"/>
    <w:rsid w:val="0062144F"/>
    <w:rsid w:val="00621682"/>
    <w:rsid w:val="00623BCA"/>
    <w:rsid w:val="00624756"/>
    <w:rsid w:val="0062482A"/>
    <w:rsid w:val="00624E03"/>
    <w:rsid w:val="00624F65"/>
    <w:rsid w:val="006251C3"/>
    <w:rsid w:val="006252F0"/>
    <w:rsid w:val="00625402"/>
    <w:rsid w:val="006255FE"/>
    <w:rsid w:val="00626A76"/>
    <w:rsid w:val="006309AB"/>
    <w:rsid w:val="00630B30"/>
    <w:rsid w:val="006314F1"/>
    <w:rsid w:val="0063154E"/>
    <w:rsid w:val="006318AA"/>
    <w:rsid w:val="00631A51"/>
    <w:rsid w:val="00631E76"/>
    <w:rsid w:val="00631F67"/>
    <w:rsid w:val="00633688"/>
    <w:rsid w:val="00633B63"/>
    <w:rsid w:val="006342BF"/>
    <w:rsid w:val="0063517F"/>
    <w:rsid w:val="0063540B"/>
    <w:rsid w:val="0063597C"/>
    <w:rsid w:val="00635A86"/>
    <w:rsid w:val="00635D53"/>
    <w:rsid w:val="00636079"/>
    <w:rsid w:val="006360A9"/>
    <w:rsid w:val="00636267"/>
    <w:rsid w:val="00636609"/>
    <w:rsid w:val="00636647"/>
    <w:rsid w:val="00636A04"/>
    <w:rsid w:val="00637C28"/>
    <w:rsid w:val="00637DE6"/>
    <w:rsid w:val="00640817"/>
    <w:rsid w:val="00640C23"/>
    <w:rsid w:val="0064169B"/>
    <w:rsid w:val="00641C34"/>
    <w:rsid w:val="006426C8"/>
    <w:rsid w:val="00642BBF"/>
    <w:rsid w:val="00642EB2"/>
    <w:rsid w:val="00643B1B"/>
    <w:rsid w:val="00643E1D"/>
    <w:rsid w:val="006441C5"/>
    <w:rsid w:val="00644FF1"/>
    <w:rsid w:val="00645346"/>
    <w:rsid w:val="0064573B"/>
    <w:rsid w:val="006457F5"/>
    <w:rsid w:val="006461CD"/>
    <w:rsid w:val="00646697"/>
    <w:rsid w:val="006468C1"/>
    <w:rsid w:val="00646B74"/>
    <w:rsid w:val="00646B7B"/>
    <w:rsid w:val="0064748A"/>
    <w:rsid w:val="00647EBC"/>
    <w:rsid w:val="0065066C"/>
    <w:rsid w:val="006510D7"/>
    <w:rsid w:val="00651B52"/>
    <w:rsid w:val="00651C2B"/>
    <w:rsid w:val="00652154"/>
    <w:rsid w:val="006521E4"/>
    <w:rsid w:val="00652244"/>
    <w:rsid w:val="00652C4E"/>
    <w:rsid w:val="0065348A"/>
    <w:rsid w:val="00653A87"/>
    <w:rsid w:val="00653C2D"/>
    <w:rsid w:val="00654187"/>
    <w:rsid w:val="00654756"/>
    <w:rsid w:val="0065475F"/>
    <w:rsid w:val="00654A3C"/>
    <w:rsid w:val="00654A46"/>
    <w:rsid w:val="00654A7B"/>
    <w:rsid w:val="00655041"/>
    <w:rsid w:val="0065532F"/>
    <w:rsid w:val="00655722"/>
    <w:rsid w:val="00655F80"/>
    <w:rsid w:val="00656922"/>
    <w:rsid w:val="00657ACD"/>
    <w:rsid w:val="00660111"/>
    <w:rsid w:val="0066035A"/>
    <w:rsid w:val="00660CA4"/>
    <w:rsid w:val="00661141"/>
    <w:rsid w:val="00661B2B"/>
    <w:rsid w:val="0066337D"/>
    <w:rsid w:val="006634B3"/>
    <w:rsid w:val="0066458D"/>
    <w:rsid w:val="00664980"/>
    <w:rsid w:val="006649C7"/>
    <w:rsid w:val="00665340"/>
    <w:rsid w:val="006654D2"/>
    <w:rsid w:val="00665A73"/>
    <w:rsid w:val="00665FA9"/>
    <w:rsid w:val="00666B17"/>
    <w:rsid w:val="0066728C"/>
    <w:rsid w:val="00667369"/>
    <w:rsid w:val="006677D4"/>
    <w:rsid w:val="00667921"/>
    <w:rsid w:val="00667A5A"/>
    <w:rsid w:val="006703EA"/>
    <w:rsid w:val="00670E52"/>
    <w:rsid w:val="00670F67"/>
    <w:rsid w:val="0067179F"/>
    <w:rsid w:val="00671D27"/>
    <w:rsid w:val="0067212C"/>
    <w:rsid w:val="00672657"/>
    <w:rsid w:val="00673202"/>
    <w:rsid w:val="006741C4"/>
    <w:rsid w:val="00674BD3"/>
    <w:rsid w:val="00674F8A"/>
    <w:rsid w:val="00675B1D"/>
    <w:rsid w:val="00675DDC"/>
    <w:rsid w:val="00675EFD"/>
    <w:rsid w:val="0067677F"/>
    <w:rsid w:val="0067720E"/>
    <w:rsid w:val="006772D9"/>
    <w:rsid w:val="00677931"/>
    <w:rsid w:val="00677B1C"/>
    <w:rsid w:val="00677BE4"/>
    <w:rsid w:val="00680C5B"/>
    <w:rsid w:val="00681DD0"/>
    <w:rsid w:val="00682D2F"/>
    <w:rsid w:val="00682DBB"/>
    <w:rsid w:val="006837DB"/>
    <w:rsid w:val="00683BDF"/>
    <w:rsid w:val="00684001"/>
    <w:rsid w:val="0068471B"/>
    <w:rsid w:val="00684A0C"/>
    <w:rsid w:val="00684C22"/>
    <w:rsid w:val="006853F3"/>
    <w:rsid w:val="00685411"/>
    <w:rsid w:val="00685548"/>
    <w:rsid w:val="006856C4"/>
    <w:rsid w:val="0068595F"/>
    <w:rsid w:val="006865D5"/>
    <w:rsid w:val="006871A3"/>
    <w:rsid w:val="00687336"/>
    <w:rsid w:val="00687AD3"/>
    <w:rsid w:val="00687E2F"/>
    <w:rsid w:val="00687F64"/>
    <w:rsid w:val="00687F77"/>
    <w:rsid w:val="0069104A"/>
    <w:rsid w:val="006910CA"/>
    <w:rsid w:val="00691893"/>
    <w:rsid w:val="00691D76"/>
    <w:rsid w:val="00692C28"/>
    <w:rsid w:val="00692EA1"/>
    <w:rsid w:val="006930B5"/>
    <w:rsid w:val="00693F1F"/>
    <w:rsid w:val="00694069"/>
    <w:rsid w:val="0069428E"/>
    <w:rsid w:val="00694766"/>
    <w:rsid w:val="00694E2C"/>
    <w:rsid w:val="00695649"/>
    <w:rsid w:val="00695FF2"/>
    <w:rsid w:val="006963B8"/>
    <w:rsid w:val="00696BED"/>
    <w:rsid w:val="006971E1"/>
    <w:rsid w:val="00697E2E"/>
    <w:rsid w:val="006A0D7F"/>
    <w:rsid w:val="006A1184"/>
    <w:rsid w:val="006A19F4"/>
    <w:rsid w:val="006A21C9"/>
    <w:rsid w:val="006A29E8"/>
    <w:rsid w:val="006A2B03"/>
    <w:rsid w:val="006A4D55"/>
    <w:rsid w:val="006A57D9"/>
    <w:rsid w:val="006A6A73"/>
    <w:rsid w:val="006B0FF2"/>
    <w:rsid w:val="006B1827"/>
    <w:rsid w:val="006B20F8"/>
    <w:rsid w:val="006B2413"/>
    <w:rsid w:val="006B2A3E"/>
    <w:rsid w:val="006B2D01"/>
    <w:rsid w:val="006B3481"/>
    <w:rsid w:val="006B3575"/>
    <w:rsid w:val="006B406B"/>
    <w:rsid w:val="006B4882"/>
    <w:rsid w:val="006B4B2E"/>
    <w:rsid w:val="006B4C7A"/>
    <w:rsid w:val="006B5973"/>
    <w:rsid w:val="006B61B6"/>
    <w:rsid w:val="006B6B3A"/>
    <w:rsid w:val="006B6EFE"/>
    <w:rsid w:val="006B78E3"/>
    <w:rsid w:val="006C0794"/>
    <w:rsid w:val="006C0CF9"/>
    <w:rsid w:val="006C1246"/>
    <w:rsid w:val="006C1CB3"/>
    <w:rsid w:val="006C2039"/>
    <w:rsid w:val="006C2074"/>
    <w:rsid w:val="006C25F5"/>
    <w:rsid w:val="006C2AE3"/>
    <w:rsid w:val="006C3057"/>
    <w:rsid w:val="006C30E3"/>
    <w:rsid w:val="006C3498"/>
    <w:rsid w:val="006C37FC"/>
    <w:rsid w:val="006C3873"/>
    <w:rsid w:val="006C3928"/>
    <w:rsid w:val="006C419A"/>
    <w:rsid w:val="006C44EF"/>
    <w:rsid w:val="006C46F9"/>
    <w:rsid w:val="006C5B75"/>
    <w:rsid w:val="006C5D72"/>
    <w:rsid w:val="006C6194"/>
    <w:rsid w:val="006C6840"/>
    <w:rsid w:val="006C6BDB"/>
    <w:rsid w:val="006C77EF"/>
    <w:rsid w:val="006D03EB"/>
    <w:rsid w:val="006D05E1"/>
    <w:rsid w:val="006D06B4"/>
    <w:rsid w:val="006D0723"/>
    <w:rsid w:val="006D082F"/>
    <w:rsid w:val="006D18CF"/>
    <w:rsid w:val="006D1D2C"/>
    <w:rsid w:val="006D1FD9"/>
    <w:rsid w:val="006D27D4"/>
    <w:rsid w:val="006D29C0"/>
    <w:rsid w:val="006D347A"/>
    <w:rsid w:val="006D3D88"/>
    <w:rsid w:val="006D3E11"/>
    <w:rsid w:val="006D5992"/>
    <w:rsid w:val="006D5DC8"/>
    <w:rsid w:val="006D5FAC"/>
    <w:rsid w:val="006D64A7"/>
    <w:rsid w:val="006D7105"/>
    <w:rsid w:val="006D7793"/>
    <w:rsid w:val="006D7CC6"/>
    <w:rsid w:val="006D7F46"/>
    <w:rsid w:val="006D7FF6"/>
    <w:rsid w:val="006E1228"/>
    <w:rsid w:val="006E14FF"/>
    <w:rsid w:val="006E20FA"/>
    <w:rsid w:val="006E26D2"/>
    <w:rsid w:val="006E2EE5"/>
    <w:rsid w:val="006E2F69"/>
    <w:rsid w:val="006E375C"/>
    <w:rsid w:val="006E404F"/>
    <w:rsid w:val="006E40C3"/>
    <w:rsid w:val="006E45A1"/>
    <w:rsid w:val="006E5938"/>
    <w:rsid w:val="006E6019"/>
    <w:rsid w:val="006E61BA"/>
    <w:rsid w:val="006E677A"/>
    <w:rsid w:val="006E699C"/>
    <w:rsid w:val="006E6EA3"/>
    <w:rsid w:val="006E72D1"/>
    <w:rsid w:val="006E7730"/>
    <w:rsid w:val="006E7CC2"/>
    <w:rsid w:val="006F02E6"/>
    <w:rsid w:val="006F03CB"/>
    <w:rsid w:val="006F045C"/>
    <w:rsid w:val="006F0C3C"/>
    <w:rsid w:val="006F0E5C"/>
    <w:rsid w:val="006F0F9A"/>
    <w:rsid w:val="006F170C"/>
    <w:rsid w:val="006F17BC"/>
    <w:rsid w:val="006F1B11"/>
    <w:rsid w:val="006F1E93"/>
    <w:rsid w:val="006F2346"/>
    <w:rsid w:val="006F2A5C"/>
    <w:rsid w:val="006F2A9F"/>
    <w:rsid w:val="006F2D5A"/>
    <w:rsid w:val="006F32BB"/>
    <w:rsid w:val="006F343B"/>
    <w:rsid w:val="006F354B"/>
    <w:rsid w:val="006F3743"/>
    <w:rsid w:val="006F3A14"/>
    <w:rsid w:val="006F3E7A"/>
    <w:rsid w:val="006F3F95"/>
    <w:rsid w:val="006F47EE"/>
    <w:rsid w:val="006F4958"/>
    <w:rsid w:val="006F49C2"/>
    <w:rsid w:val="006F50E1"/>
    <w:rsid w:val="006F536B"/>
    <w:rsid w:val="006F5981"/>
    <w:rsid w:val="006F5BEE"/>
    <w:rsid w:val="006F5C9E"/>
    <w:rsid w:val="006F6171"/>
    <w:rsid w:val="006F6310"/>
    <w:rsid w:val="006F66E7"/>
    <w:rsid w:val="006F6D11"/>
    <w:rsid w:val="006F7A4D"/>
    <w:rsid w:val="006F7C10"/>
    <w:rsid w:val="007002D8"/>
    <w:rsid w:val="007008F1"/>
    <w:rsid w:val="00701480"/>
    <w:rsid w:val="007014A1"/>
    <w:rsid w:val="0070199B"/>
    <w:rsid w:val="00702212"/>
    <w:rsid w:val="0070309C"/>
    <w:rsid w:val="00703F9C"/>
    <w:rsid w:val="007052F7"/>
    <w:rsid w:val="0070558B"/>
    <w:rsid w:val="00705B67"/>
    <w:rsid w:val="0070646B"/>
    <w:rsid w:val="00706608"/>
    <w:rsid w:val="00706661"/>
    <w:rsid w:val="00706A5C"/>
    <w:rsid w:val="00707B61"/>
    <w:rsid w:val="00710103"/>
    <w:rsid w:val="00710AD0"/>
    <w:rsid w:val="00710AD3"/>
    <w:rsid w:val="00710FD7"/>
    <w:rsid w:val="0071131D"/>
    <w:rsid w:val="007113CA"/>
    <w:rsid w:val="007115DD"/>
    <w:rsid w:val="00711B5A"/>
    <w:rsid w:val="00712418"/>
    <w:rsid w:val="00712CCB"/>
    <w:rsid w:val="007132AC"/>
    <w:rsid w:val="0071330C"/>
    <w:rsid w:val="00714C09"/>
    <w:rsid w:val="00714EE6"/>
    <w:rsid w:val="00715115"/>
    <w:rsid w:val="007151B7"/>
    <w:rsid w:val="00715DD6"/>
    <w:rsid w:val="00716435"/>
    <w:rsid w:val="00716C33"/>
    <w:rsid w:val="00717051"/>
    <w:rsid w:val="00717589"/>
    <w:rsid w:val="007176BA"/>
    <w:rsid w:val="007179B4"/>
    <w:rsid w:val="00717F8D"/>
    <w:rsid w:val="00720A71"/>
    <w:rsid w:val="00720C1F"/>
    <w:rsid w:val="00721898"/>
    <w:rsid w:val="00721E12"/>
    <w:rsid w:val="007220CD"/>
    <w:rsid w:val="0072279B"/>
    <w:rsid w:val="00722F34"/>
    <w:rsid w:val="00723307"/>
    <w:rsid w:val="007238A6"/>
    <w:rsid w:val="00724530"/>
    <w:rsid w:val="00725128"/>
    <w:rsid w:val="00725273"/>
    <w:rsid w:val="0072546F"/>
    <w:rsid w:val="007258AA"/>
    <w:rsid w:val="00726664"/>
    <w:rsid w:val="00726985"/>
    <w:rsid w:val="00727005"/>
    <w:rsid w:val="007272D1"/>
    <w:rsid w:val="00727979"/>
    <w:rsid w:val="0073045C"/>
    <w:rsid w:val="00730721"/>
    <w:rsid w:val="007311BD"/>
    <w:rsid w:val="0073130F"/>
    <w:rsid w:val="007317EE"/>
    <w:rsid w:val="00731E93"/>
    <w:rsid w:val="007321D8"/>
    <w:rsid w:val="007322E9"/>
    <w:rsid w:val="007331A2"/>
    <w:rsid w:val="00733451"/>
    <w:rsid w:val="00733679"/>
    <w:rsid w:val="007336E7"/>
    <w:rsid w:val="00733A7E"/>
    <w:rsid w:val="00733AFF"/>
    <w:rsid w:val="00733C7A"/>
    <w:rsid w:val="00733F1D"/>
    <w:rsid w:val="007350D0"/>
    <w:rsid w:val="0073521D"/>
    <w:rsid w:val="00735C41"/>
    <w:rsid w:val="00735FB0"/>
    <w:rsid w:val="0073641B"/>
    <w:rsid w:val="00736FC6"/>
    <w:rsid w:val="00737B55"/>
    <w:rsid w:val="007402A1"/>
    <w:rsid w:val="00740526"/>
    <w:rsid w:val="00740795"/>
    <w:rsid w:val="00740EE9"/>
    <w:rsid w:val="00741F78"/>
    <w:rsid w:val="007421F1"/>
    <w:rsid w:val="00742296"/>
    <w:rsid w:val="0074231D"/>
    <w:rsid w:val="0074278C"/>
    <w:rsid w:val="00743494"/>
    <w:rsid w:val="00743522"/>
    <w:rsid w:val="00743660"/>
    <w:rsid w:val="0074370B"/>
    <w:rsid w:val="007444A9"/>
    <w:rsid w:val="00744F62"/>
    <w:rsid w:val="00745509"/>
    <w:rsid w:val="00745547"/>
    <w:rsid w:val="00745B30"/>
    <w:rsid w:val="00745F48"/>
    <w:rsid w:val="0074686A"/>
    <w:rsid w:val="00746B70"/>
    <w:rsid w:val="0075018A"/>
    <w:rsid w:val="00750E4C"/>
    <w:rsid w:val="00751071"/>
    <w:rsid w:val="007512B4"/>
    <w:rsid w:val="007518FC"/>
    <w:rsid w:val="00751AC5"/>
    <w:rsid w:val="007524AB"/>
    <w:rsid w:val="00752F5D"/>
    <w:rsid w:val="007534D1"/>
    <w:rsid w:val="0075373A"/>
    <w:rsid w:val="00753ACF"/>
    <w:rsid w:val="00753E28"/>
    <w:rsid w:val="00753F32"/>
    <w:rsid w:val="00754C7F"/>
    <w:rsid w:val="00754D6C"/>
    <w:rsid w:val="00754EF2"/>
    <w:rsid w:val="007553D0"/>
    <w:rsid w:val="00755E63"/>
    <w:rsid w:val="007566FF"/>
    <w:rsid w:val="00756E4D"/>
    <w:rsid w:val="007575B9"/>
    <w:rsid w:val="00760969"/>
    <w:rsid w:val="00760CDC"/>
    <w:rsid w:val="0076123A"/>
    <w:rsid w:val="0076135C"/>
    <w:rsid w:val="007613D5"/>
    <w:rsid w:val="00761D6E"/>
    <w:rsid w:val="00763409"/>
    <w:rsid w:val="00763441"/>
    <w:rsid w:val="0076384C"/>
    <w:rsid w:val="007647D7"/>
    <w:rsid w:val="007648BA"/>
    <w:rsid w:val="007648FD"/>
    <w:rsid w:val="007650AF"/>
    <w:rsid w:val="007655A0"/>
    <w:rsid w:val="00765893"/>
    <w:rsid w:val="00765C80"/>
    <w:rsid w:val="00765EE7"/>
    <w:rsid w:val="007673EC"/>
    <w:rsid w:val="00767E76"/>
    <w:rsid w:val="0077002E"/>
    <w:rsid w:val="007717AC"/>
    <w:rsid w:val="00771B4A"/>
    <w:rsid w:val="00771DAD"/>
    <w:rsid w:val="00771DDD"/>
    <w:rsid w:val="007721EA"/>
    <w:rsid w:val="007725C1"/>
    <w:rsid w:val="00772E05"/>
    <w:rsid w:val="0077405B"/>
    <w:rsid w:val="00774532"/>
    <w:rsid w:val="007748A6"/>
    <w:rsid w:val="0077495D"/>
    <w:rsid w:val="00775707"/>
    <w:rsid w:val="007759E8"/>
    <w:rsid w:val="007761CC"/>
    <w:rsid w:val="00777A68"/>
    <w:rsid w:val="00777CE3"/>
    <w:rsid w:val="00777D85"/>
    <w:rsid w:val="00781033"/>
    <w:rsid w:val="0078182C"/>
    <w:rsid w:val="007819AB"/>
    <w:rsid w:val="0078210C"/>
    <w:rsid w:val="007836C0"/>
    <w:rsid w:val="007836C5"/>
    <w:rsid w:val="0078409B"/>
    <w:rsid w:val="007844BD"/>
    <w:rsid w:val="0078466C"/>
    <w:rsid w:val="00784E84"/>
    <w:rsid w:val="0078575C"/>
    <w:rsid w:val="00785C60"/>
    <w:rsid w:val="00785F15"/>
    <w:rsid w:val="00785FD3"/>
    <w:rsid w:val="007860EE"/>
    <w:rsid w:val="0078691D"/>
    <w:rsid w:val="007906DB"/>
    <w:rsid w:val="00790E3E"/>
    <w:rsid w:val="00791636"/>
    <w:rsid w:val="0079175C"/>
    <w:rsid w:val="00791ED3"/>
    <w:rsid w:val="007925F5"/>
    <w:rsid w:val="00792939"/>
    <w:rsid w:val="00792D46"/>
    <w:rsid w:val="00792DE6"/>
    <w:rsid w:val="007933D9"/>
    <w:rsid w:val="00793B1A"/>
    <w:rsid w:val="00793C6F"/>
    <w:rsid w:val="00793E98"/>
    <w:rsid w:val="00793EFC"/>
    <w:rsid w:val="00794269"/>
    <w:rsid w:val="00794308"/>
    <w:rsid w:val="00794CDE"/>
    <w:rsid w:val="00794D6A"/>
    <w:rsid w:val="007953C4"/>
    <w:rsid w:val="00795B7C"/>
    <w:rsid w:val="007970A4"/>
    <w:rsid w:val="007A08B8"/>
    <w:rsid w:val="007A13D6"/>
    <w:rsid w:val="007A1D3F"/>
    <w:rsid w:val="007A26F6"/>
    <w:rsid w:val="007A275B"/>
    <w:rsid w:val="007A2823"/>
    <w:rsid w:val="007A28FF"/>
    <w:rsid w:val="007A3C7D"/>
    <w:rsid w:val="007A47BD"/>
    <w:rsid w:val="007A53F4"/>
    <w:rsid w:val="007A5927"/>
    <w:rsid w:val="007A5B64"/>
    <w:rsid w:val="007A5BA7"/>
    <w:rsid w:val="007A5F6C"/>
    <w:rsid w:val="007A68EF"/>
    <w:rsid w:val="007A6C9E"/>
    <w:rsid w:val="007A6E4C"/>
    <w:rsid w:val="007A72D5"/>
    <w:rsid w:val="007A74DC"/>
    <w:rsid w:val="007A75DF"/>
    <w:rsid w:val="007A7D13"/>
    <w:rsid w:val="007B0BDD"/>
    <w:rsid w:val="007B112B"/>
    <w:rsid w:val="007B12BE"/>
    <w:rsid w:val="007B17E7"/>
    <w:rsid w:val="007B1B5F"/>
    <w:rsid w:val="007B1D01"/>
    <w:rsid w:val="007B1DCF"/>
    <w:rsid w:val="007B1EE6"/>
    <w:rsid w:val="007B22D4"/>
    <w:rsid w:val="007B34A4"/>
    <w:rsid w:val="007B39D7"/>
    <w:rsid w:val="007B415B"/>
    <w:rsid w:val="007B5D02"/>
    <w:rsid w:val="007B5D94"/>
    <w:rsid w:val="007B634E"/>
    <w:rsid w:val="007B6B49"/>
    <w:rsid w:val="007B7B90"/>
    <w:rsid w:val="007C03DA"/>
    <w:rsid w:val="007C0B87"/>
    <w:rsid w:val="007C0F1E"/>
    <w:rsid w:val="007C127F"/>
    <w:rsid w:val="007C1A73"/>
    <w:rsid w:val="007C1E51"/>
    <w:rsid w:val="007C2A97"/>
    <w:rsid w:val="007C32C4"/>
    <w:rsid w:val="007C33D2"/>
    <w:rsid w:val="007C358F"/>
    <w:rsid w:val="007C37C5"/>
    <w:rsid w:val="007C3A18"/>
    <w:rsid w:val="007C3FA6"/>
    <w:rsid w:val="007C4986"/>
    <w:rsid w:val="007C4B27"/>
    <w:rsid w:val="007C5655"/>
    <w:rsid w:val="007C5C04"/>
    <w:rsid w:val="007C6F2C"/>
    <w:rsid w:val="007C74C6"/>
    <w:rsid w:val="007C7B9F"/>
    <w:rsid w:val="007C7CC2"/>
    <w:rsid w:val="007D074C"/>
    <w:rsid w:val="007D099C"/>
    <w:rsid w:val="007D150B"/>
    <w:rsid w:val="007D2B34"/>
    <w:rsid w:val="007D2F17"/>
    <w:rsid w:val="007D3323"/>
    <w:rsid w:val="007D455D"/>
    <w:rsid w:val="007D5599"/>
    <w:rsid w:val="007D5760"/>
    <w:rsid w:val="007D5D1E"/>
    <w:rsid w:val="007D674D"/>
    <w:rsid w:val="007D7668"/>
    <w:rsid w:val="007D78A3"/>
    <w:rsid w:val="007E062D"/>
    <w:rsid w:val="007E0A83"/>
    <w:rsid w:val="007E10AB"/>
    <w:rsid w:val="007E1516"/>
    <w:rsid w:val="007E1718"/>
    <w:rsid w:val="007E1D46"/>
    <w:rsid w:val="007E2257"/>
    <w:rsid w:val="007E2438"/>
    <w:rsid w:val="007E24CC"/>
    <w:rsid w:val="007E3608"/>
    <w:rsid w:val="007E3BEC"/>
    <w:rsid w:val="007E3F08"/>
    <w:rsid w:val="007E3FF1"/>
    <w:rsid w:val="007E51BE"/>
    <w:rsid w:val="007E5EBD"/>
    <w:rsid w:val="007E7424"/>
    <w:rsid w:val="007E773B"/>
    <w:rsid w:val="007F0C9C"/>
    <w:rsid w:val="007F0E79"/>
    <w:rsid w:val="007F160E"/>
    <w:rsid w:val="007F2585"/>
    <w:rsid w:val="007F2ADB"/>
    <w:rsid w:val="007F2F95"/>
    <w:rsid w:val="007F3058"/>
    <w:rsid w:val="007F3350"/>
    <w:rsid w:val="007F3485"/>
    <w:rsid w:val="007F3FB4"/>
    <w:rsid w:val="007F4727"/>
    <w:rsid w:val="007F490A"/>
    <w:rsid w:val="007F539E"/>
    <w:rsid w:val="007F5EED"/>
    <w:rsid w:val="007F61A5"/>
    <w:rsid w:val="007F6450"/>
    <w:rsid w:val="007F64D8"/>
    <w:rsid w:val="007F65C0"/>
    <w:rsid w:val="007F6ABB"/>
    <w:rsid w:val="008006DD"/>
    <w:rsid w:val="00800941"/>
    <w:rsid w:val="00800E8F"/>
    <w:rsid w:val="00800EE0"/>
    <w:rsid w:val="00801ADB"/>
    <w:rsid w:val="00801BA5"/>
    <w:rsid w:val="00802048"/>
    <w:rsid w:val="00802D50"/>
    <w:rsid w:val="008030DA"/>
    <w:rsid w:val="008033AB"/>
    <w:rsid w:val="0080481A"/>
    <w:rsid w:val="008049FB"/>
    <w:rsid w:val="00804A9F"/>
    <w:rsid w:val="00804C24"/>
    <w:rsid w:val="0080533F"/>
    <w:rsid w:val="008053A5"/>
    <w:rsid w:val="0080699D"/>
    <w:rsid w:val="00806BFB"/>
    <w:rsid w:val="0080711F"/>
    <w:rsid w:val="00807778"/>
    <w:rsid w:val="00807BC6"/>
    <w:rsid w:val="00810F9F"/>
    <w:rsid w:val="008112B7"/>
    <w:rsid w:val="00811B84"/>
    <w:rsid w:val="00812B5C"/>
    <w:rsid w:val="00812E9E"/>
    <w:rsid w:val="00813B3E"/>
    <w:rsid w:val="00814690"/>
    <w:rsid w:val="00814851"/>
    <w:rsid w:val="008152E6"/>
    <w:rsid w:val="008157EE"/>
    <w:rsid w:val="00815988"/>
    <w:rsid w:val="00816867"/>
    <w:rsid w:val="0081749B"/>
    <w:rsid w:val="00817E29"/>
    <w:rsid w:val="00817EDA"/>
    <w:rsid w:val="00820485"/>
    <w:rsid w:val="00820ABC"/>
    <w:rsid w:val="00821151"/>
    <w:rsid w:val="00821E7D"/>
    <w:rsid w:val="0082262E"/>
    <w:rsid w:val="00822C27"/>
    <w:rsid w:val="00822C4C"/>
    <w:rsid w:val="00822E48"/>
    <w:rsid w:val="008232EE"/>
    <w:rsid w:val="0082352F"/>
    <w:rsid w:val="00823A10"/>
    <w:rsid w:val="00823DE9"/>
    <w:rsid w:val="00824D4C"/>
    <w:rsid w:val="00824D9F"/>
    <w:rsid w:val="0082508D"/>
    <w:rsid w:val="008251CB"/>
    <w:rsid w:val="00825E06"/>
    <w:rsid w:val="008273EB"/>
    <w:rsid w:val="00827984"/>
    <w:rsid w:val="008305EE"/>
    <w:rsid w:val="00830BC8"/>
    <w:rsid w:val="00831567"/>
    <w:rsid w:val="00831D08"/>
    <w:rsid w:val="00831EAE"/>
    <w:rsid w:val="00832020"/>
    <w:rsid w:val="00834999"/>
    <w:rsid w:val="00834A68"/>
    <w:rsid w:val="00834D3D"/>
    <w:rsid w:val="00834EB0"/>
    <w:rsid w:val="008351FD"/>
    <w:rsid w:val="008359EC"/>
    <w:rsid w:val="00835A82"/>
    <w:rsid w:val="00835D46"/>
    <w:rsid w:val="00836459"/>
    <w:rsid w:val="00836AA4"/>
    <w:rsid w:val="00836FD7"/>
    <w:rsid w:val="00840282"/>
    <w:rsid w:val="008403E3"/>
    <w:rsid w:val="00840912"/>
    <w:rsid w:val="008409A7"/>
    <w:rsid w:val="00840AFE"/>
    <w:rsid w:val="00840CC3"/>
    <w:rsid w:val="00841468"/>
    <w:rsid w:val="008416BF"/>
    <w:rsid w:val="008419C7"/>
    <w:rsid w:val="00842809"/>
    <w:rsid w:val="00843459"/>
    <w:rsid w:val="00843984"/>
    <w:rsid w:val="00843F58"/>
    <w:rsid w:val="0084402B"/>
    <w:rsid w:val="0084435E"/>
    <w:rsid w:val="00844BAD"/>
    <w:rsid w:val="00844D20"/>
    <w:rsid w:val="00844E10"/>
    <w:rsid w:val="00845269"/>
    <w:rsid w:val="00845B0D"/>
    <w:rsid w:val="0084607E"/>
    <w:rsid w:val="008462AC"/>
    <w:rsid w:val="0084660A"/>
    <w:rsid w:val="008469B4"/>
    <w:rsid w:val="008478F6"/>
    <w:rsid w:val="00847932"/>
    <w:rsid w:val="00850022"/>
    <w:rsid w:val="0085090A"/>
    <w:rsid w:val="008509ED"/>
    <w:rsid w:val="00852748"/>
    <w:rsid w:val="00854A94"/>
    <w:rsid w:val="00855AAC"/>
    <w:rsid w:val="00857173"/>
    <w:rsid w:val="008571E3"/>
    <w:rsid w:val="0085759C"/>
    <w:rsid w:val="0085777A"/>
    <w:rsid w:val="00857CF4"/>
    <w:rsid w:val="0086000D"/>
    <w:rsid w:val="0086091A"/>
    <w:rsid w:val="00860A15"/>
    <w:rsid w:val="00861464"/>
    <w:rsid w:val="00862ACD"/>
    <w:rsid w:val="00862CDF"/>
    <w:rsid w:val="00862F34"/>
    <w:rsid w:val="008634DF"/>
    <w:rsid w:val="008639BF"/>
    <w:rsid w:val="0086441C"/>
    <w:rsid w:val="00864521"/>
    <w:rsid w:val="008646B0"/>
    <w:rsid w:val="008647E3"/>
    <w:rsid w:val="00864A9B"/>
    <w:rsid w:val="00865878"/>
    <w:rsid w:val="008662D7"/>
    <w:rsid w:val="00866372"/>
    <w:rsid w:val="00866497"/>
    <w:rsid w:val="0086761D"/>
    <w:rsid w:val="00867661"/>
    <w:rsid w:val="00867957"/>
    <w:rsid w:val="00870456"/>
    <w:rsid w:val="008704BC"/>
    <w:rsid w:val="008707FE"/>
    <w:rsid w:val="008709F8"/>
    <w:rsid w:val="008715FE"/>
    <w:rsid w:val="0087252A"/>
    <w:rsid w:val="008736EA"/>
    <w:rsid w:val="008738D8"/>
    <w:rsid w:val="00873A53"/>
    <w:rsid w:val="008742D5"/>
    <w:rsid w:val="00874F73"/>
    <w:rsid w:val="00876986"/>
    <w:rsid w:val="00876A8C"/>
    <w:rsid w:val="00876E70"/>
    <w:rsid w:val="00880C01"/>
    <w:rsid w:val="00881263"/>
    <w:rsid w:val="00881CEA"/>
    <w:rsid w:val="008821ED"/>
    <w:rsid w:val="0088292A"/>
    <w:rsid w:val="008832B6"/>
    <w:rsid w:val="0088366D"/>
    <w:rsid w:val="00883F85"/>
    <w:rsid w:val="00883FAA"/>
    <w:rsid w:val="0088411E"/>
    <w:rsid w:val="008844DF"/>
    <w:rsid w:val="00884B6B"/>
    <w:rsid w:val="00885456"/>
    <w:rsid w:val="0088587D"/>
    <w:rsid w:val="00885A8C"/>
    <w:rsid w:val="00885C58"/>
    <w:rsid w:val="00886443"/>
    <w:rsid w:val="00886E51"/>
    <w:rsid w:val="008878F9"/>
    <w:rsid w:val="00887CBE"/>
    <w:rsid w:val="00887EA9"/>
    <w:rsid w:val="00890076"/>
    <w:rsid w:val="008907D6"/>
    <w:rsid w:val="00890E7C"/>
    <w:rsid w:val="008910DE"/>
    <w:rsid w:val="0089140E"/>
    <w:rsid w:val="0089146A"/>
    <w:rsid w:val="00891610"/>
    <w:rsid w:val="00891654"/>
    <w:rsid w:val="0089187A"/>
    <w:rsid w:val="00891DAE"/>
    <w:rsid w:val="00892640"/>
    <w:rsid w:val="00892A23"/>
    <w:rsid w:val="00892A64"/>
    <w:rsid w:val="00892AEE"/>
    <w:rsid w:val="00892BC9"/>
    <w:rsid w:val="00892DFE"/>
    <w:rsid w:val="0089398C"/>
    <w:rsid w:val="00893FE4"/>
    <w:rsid w:val="00894655"/>
    <w:rsid w:val="00894AD6"/>
    <w:rsid w:val="00894B3B"/>
    <w:rsid w:val="00895410"/>
    <w:rsid w:val="008955D6"/>
    <w:rsid w:val="00895C41"/>
    <w:rsid w:val="00895F0C"/>
    <w:rsid w:val="008961FB"/>
    <w:rsid w:val="008965B1"/>
    <w:rsid w:val="00896706"/>
    <w:rsid w:val="008969A1"/>
    <w:rsid w:val="008971DB"/>
    <w:rsid w:val="00897F6C"/>
    <w:rsid w:val="008A01E3"/>
    <w:rsid w:val="008A043C"/>
    <w:rsid w:val="008A0998"/>
    <w:rsid w:val="008A0A94"/>
    <w:rsid w:val="008A1408"/>
    <w:rsid w:val="008A2A8B"/>
    <w:rsid w:val="008A2C2F"/>
    <w:rsid w:val="008A2D93"/>
    <w:rsid w:val="008A329A"/>
    <w:rsid w:val="008A5E8D"/>
    <w:rsid w:val="008A6817"/>
    <w:rsid w:val="008A6A92"/>
    <w:rsid w:val="008A7522"/>
    <w:rsid w:val="008A7881"/>
    <w:rsid w:val="008A7DE3"/>
    <w:rsid w:val="008B0039"/>
    <w:rsid w:val="008B00BD"/>
    <w:rsid w:val="008B00C2"/>
    <w:rsid w:val="008B031E"/>
    <w:rsid w:val="008B099E"/>
    <w:rsid w:val="008B0A32"/>
    <w:rsid w:val="008B0C77"/>
    <w:rsid w:val="008B100D"/>
    <w:rsid w:val="008B11CD"/>
    <w:rsid w:val="008B1BC3"/>
    <w:rsid w:val="008B1DFD"/>
    <w:rsid w:val="008B270A"/>
    <w:rsid w:val="008B2BE9"/>
    <w:rsid w:val="008B3589"/>
    <w:rsid w:val="008B3798"/>
    <w:rsid w:val="008B3807"/>
    <w:rsid w:val="008B515F"/>
    <w:rsid w:val="008B5274"/>
    <w:rsid w:val="008B5377"/>
    <w:rsid w:val="008B59CC"/>
    <w:rsid w:val="008B5F58"/>
    <w:rsid w:val="008B6159"/>
    <w:rsid w:val="008B619C"/>
    <w:rsid w:val="008B7562"/>
    <w:rsid w:val="008B757F"/>
    <w:rsid w:val="008B7BD3"/>
    <w:rsid w:val="008C2696"/>
    <w:rsid w:val="008C2873"/>
    <w:rsid w:val="008C3F42"/>
    <w:rsid w:val="008C3FCE"/>
    <w:rsid w:val="008C4075"/>
    <w:rsid w:val="008C4329"/>
    <w:rsid w:val="008C4584"/>
    <w:rsid w:val="008C4C4A"/>
    <w:rsid w:val="008C4F99"/>
    <w:rsid w:val="008C693F"/>
    <w:rsid w:val="008C6A13"/>
    <w:rsid w:val="008C6B05"/>
    <w:rsid w:val="008D07B0"/>
    <w:rsid w:val="008D1626"/>
    <w:rsid w:val="008D18F0"/>
    <w:rsid w:val="008D1C6B"/>
    <w:rsid w:val="008D2516"/>
    <w:rsid w:val="008D280F"/>
    <w:rsid w:val="008D2CE1"/>
    <w:rsid w:val="008D30AA"/>
    <w:rsid w:val="008D3342"/>
    <w:rsid w:val="008D3466"/>
    <w:rsid w:val="008D3EFC"/>
    <w:rsid w:val="008D4AFD"/>
    <w:rsid w:val="008D52D2"/>
    <w:rsid w:val="008D532F"/>
    <w:rsid w:val="008D570D"/>
    <w:rsid w:val="008D5B64"/>
    <w:rsid w:val="008D5E33"/>
    <w:rsid w:val="008D6151"/>
    <w:rsid w:val="008D7767"/>
    <w:rsid w:val="008E00F4"/>
    <w:rsid w:val="008E067B"/>
    <w:rsid w:val="008E0CDF"/>
    <w:rsid w:val="008E1B7A"/>
    <w:rsid w:val="008E1F8F"/>
    <w:rsid w:val="008E20AB"/>
    <w:rsid w:val="008E2D8E"/>
    <w:rsid w:val="008E2DA5"/>
    <w:rsid w:val="008E4B1D"/>
    <w:rsid w:val="008E50F6"/>
    <w:rsid w:val="008E57EA"/>
    <w:rsid w:val="008E58C0"/>
    <w:rsid w:val="008E59CD"/>
    <w:rsid w:val="008E5CED"/>
    <w:rsid w:val="008E5D2A"/>
    <w:rsid w:val="008E6236"/>
    <w:rsid w:val="008E73C9"/>
    <w:rsid w:val="008E76EC"/>
    <w:rsid w:val="008E786A"/>
    <w:rsid w:val="008E7C91"/>
    <w:rsid w:val="008E7CB0"/>
    <w:rsid w:val="008F04CA"/>
    <w:rsid w:val="008F06E5"/>
    <w:rsid w:val="008F1378"/>
    <w:rsid w:val="008F1A13"/>
    <w:rsid w:val="008F1A9E"/>
    <w:rsid w:val="008F24C7"/>
    <w:rsid w:val="008F2522"/>
    <w:rsid w:val="008F3698"/>
    <w:rsid w:val="008F45A7"/>
    <w:rsid w:val="008F52AB"/>
    <w:rsid w:val="008F5778"/>
    <w:rsid w:val="008F681A"/>
    <w:rsid w:val="008F6D6C"/>
    <w:rsid w:val="008F72E5"/>
    <w:rsid w:val="008F7643"/>
    <w:rsid w:val="008F7A5E"/>
    <w:rsid w:val="008F7ADE"/>
    <w:rsid w:val="009000FA"/>
    <w:rsid w:val="00900E5B"/>
    <w:rsid w:val="00901A31"/>
    <w:rsid w:val="00902305"/>
    <w:rsid w:val="0090265B"/>
    <w:rsid w:val="00903475"/>
    <w:rsid w:val="009041B4"/>
    <w:rsid w:val="00904575"/>
    <w:rsid w:val="00904693"/>
    <w:rsid w:val="00905724"/>
    <w:rsid w:val="00906157"/>
    <w:rsid w:val="009064A6"/>
    <w:rsid w:val="009069C6"/>
    <w:rsid w:val="00906CDC"/>
    <w:rsid w:val="0090707C"/>
    <w:rsid w:val="009073A4"/>
    <w:rsid w:val="0091000D"/>
    <w:rsid w:val="009102A1"/>
    <w:rsid w:val="0091052D"/>
    <w:rsid w:val="00910BDC"/>
    <w:rsid w:val="00911542"/>
    <w:rsid w:val="009117D6"/>
    <w:rsid w:val="0091187B"/>
    <w:rsid w:val="00911E8D"/>
    <w:rsid w:val="009127F8"/>
    <w:rsid w:val="00912841"/>
    <w:rsid w:val="00913127"/>
    <w:rsid w:val="00913AEF"/>
    <w:rsid w:val="0091451E"/>
    <w:rsid w:val="0091532F"/>
    <w:rsid w:val="009156E4"/>
    <w:rsid w:val="0091576D"/>
    <w:rsid w:val="00915A16"/>
    <w:rsid w:val="00915CD7"/>
    <w:rsid w:val="00915F5B"/>
    <w:rsid w:val="00915F94"/>
    <w:rsid w:val="00916236"/>
    <w:rsid w:val="00916384"/>
    <w:rsid w:val="00916F29"/>
    <w:rsid w:val="009174CA"/>
    <w:rsid w:val="009175C3"/>
    <w:rsid w:val="00917C96"/>
    <w:rsid w:val="00920D3F"/>
    <w:rsid w:val="00920F41"/>
    <w:rsid w:val="00921061"/>
    <w:rsid w:val="009219C8"/>
    <w:rsid w:val="00921D76"/>
    <w:rsid w:val="009230E6"/>
    <w:rsid w:val="00923B5E"/>
    <w:rsid w:val="0092465F"/>
    <w:rsid w:val="0092475B"/>
    <w:rsid w:val="009249FC"/>
    <w:rsid w:val="00924A3B"/>
    <w:rsid w:val="00924D0A"/>
    <w:rsid w:val="00924D41"/>
    <w:rsid w:val="009269CD"/>
    <w:rsid w:val="00926D6F"/>
    <w:rsid w:val="009274C3"/>
    <w:rsid w:val="00927D52"/>
    <w:rsid w:val="00930BDF"/>
    <w:rsid w:val="00930D37"/>
    <w:rsid w:val="009311C4"/>
    <w:rsid w:val="00931565"/>
    <w:rsid w:val="009316D5"/>
    <w:rsid w:val="00932190"/>
    <w:rsid w:val="00932468"/>
    <w:rsid w:val="009324A2"/>
    <w:rsid w:val="00932908"/>
    <w:rsid w:val="00932CBF"/>
    <w:rsid w:val="00932D18"/>
    <w:rsid w:val="00933004"/>
    <w:rsid w:val="009336AB"/>
    <w:rsid w:val="0093413B"/>
    <w:rsid w:val="0093484B"/>
    <w:rsid w:val="00934CD4"/>
    <w:rsid w:val="0093511D"/>
    <w:rsid w:val="0093522E"/>
    <w:rsid w:val="009365B4"/>
    <w:rsid w:val="00937679"/>
    <w:rsid w:val="00937A1C"/>
    <w:rsid w:val="00937E6F"/>
    <w:rsid w:val="00937F21"/>
    <w:rsid w:val="009404EB"/>
    <w:rsid w:val="00940EA7"/>
    <w:rsid w:val="009411D3"/>
    <w:rsid w:val="00941361"/>
    <w:rsid w:val="00941A6C"/>
    <w:rsid w:val="00941E11"/>
    <w:rsid w:val="0094204F"/>
    <w:rsid w:val="009421BA"/>
    <w:rsid w:val="00943507"/>
    <w:rsid w:val="009435A9"/>
    <w:rsid w:val="00944538"/>
    <w:rsid w:val="0094476A"/>
    <w:rsid w:val="009450E6"/>
    <w:rsid w:val="0094537E"/>
    <w:rsid w:val="00945458"/>
    <w:rsid w:val="009454FB"/>
    <w:rsid w:val="0094563C"/>
    <w:rsid w:val="00945CC7"/>
    <w:rsid w:val="00945E56"/>
    <w:rsid w:val="00945F90"/>
    <w:rsid w:val="009504FB"/>
    <w:rsid w:val="00950947"/>
    <w:rsid w:val="009511EE"/>
    <w:rsid w:val="009513DB"/>
    <w:rsid w:val="0095141B"/>
    <w:rsid w:val="00952033"/>
    <w:rsid w:val="00953724"/>
    <w:rsid w:val="00953D1C"/>
    <w:rsid w:val="009548A1"/>
    <w:rsid w:val="00954D14"/>
    <w:rsid w:val="00954F36"/>
    <w:rsid w:val="009551F5"/>
    <w:rsid w:val="00955924"/>
    <w:rsid w:val="00956AD3"/>
    <w:rsid w:val="00956E0A"/>
    <w:rsid w:val="00956F42"/>
    <w:rsid w:val="00957629"/>
    <w:rsid w:val="00960178"/>
    <w:rsid w:val="00960C91"/>
    <w:rsid w:val="00961545"/>
    <w:rsid w:val="00961BC2"/>
    <w:rsid w:val="00961D31"/>
    <w:rsid w:val="0096246D"/>
    <w:rsid w:val="00962FCB"/>
    <w:rsid w:val="00963A9A"/>
    <w:rsid w:val="00963F1E"/>
    <w:rsid w:val="0096448A"/>
    <w:rsid w:val="009645C5"/>
    <w:rsid w:val="0096461C"/>
    <w:rsid w:val="00965AF5"/>
    <w:rsid w:val="00967104"/>
    <w:rsid w:val="00970228"/>
    <w:rsid w:val="00970AAC"/>
    <w:rsid w:val="00970D76"/>
    <w:rsid w:val="009714A8"/>
    <w:rsid w:val="00972630"/>
    <w:rsid w:val="009727EB"/>
    <w:rsid w:val="009735BF"/>
    <w:rsid w:val="009735F4"/>
    <w:rsid w:val="00973E9B"/>
    <w:rsid w:val="00974575"/>
    <w:rsid w:val="00974BF4"/>
    <w:rsid w:val="00974C65"/>
    <w:rsid w:val="0097539B"/>
    <w:rsid w:val="009757B1"/>
    <w:rsid w:val="00975886"/>
    <w:rsid w:val="00975A2E"/>
    <w:rsid w:val="00975ADD"/>
    <w:rsid w:val="00975DBF"/>
    <w:rsid w:val="009766B4"/>
    <w:rsid w:val="009769B4"/>
    <w:rsid w:val="00976C7B"/>
    <w:rsid w:val="0097734C"/>
    <w:rsid w:val="009778BB"/>
    <w:rsid w:val="00977E64"/>
    <w:rsid w:val="009801F0"/>
    <w:rsid w:val="00980BC4"/>
    <w:rsid w:val="00980C1B"/>
    <w:rsid w:val="00980EA5"/>
    <w:rsid w:val="00981212"/>
    <w:rsid w:val="00981237"/>
    <w:rsid w:val="00981C4E"/>
    <w:rsid w:val="00981EC9"/>
    <w:rsid w:val="0098225B"/>
    <w:rsid w:val="00982D9E"/>
    <w:rsid w:val="00983390"/>
    <w:rsid w:val="00983A2E"/>
    <w:rsid w:val="00983FA6"/>
    <w:rsid w:val="00984394"/>
    <w:rsid w:val="0098556B"/>
    <w:rsid w:val="009855AA"/>
    <w:rsid w:val="0098588C"/>
    <w:rsid w:val="00985A95"/>
    <w:rsid w:val="00986C91"/>
    <w:rsid w:val="0098758E"/>
    <w:rsid w:val="00987D03"/>
    <w:rsid w:val="00987D68"/>
    <w:rsid w:val="00987D80"/>
    <w:rsid w:val="00990038"/>
    <w:rsid w:val="0099065B"/>
    <w:rsid w:val="00990DC5"/>
    <w:rsid w:val="0099167F"/>
    <w:rsid w:val="00991788"/>
    <w:rsid w:val="0099196F"/>
    <w:rsid w:val="009926A9"/>
    <w:rsid w:val="00992DC9"/>
    <w:rsid w:val="00993055"/>
    <w:rsid w:val="0099349A"/>
    <w:rsid w:val="009935F4"/>
    <w:rsid w:val="00993625"/>
    <w:rsid w:val="00995261"/>
    <w:rsid w:val="0099535C"/>
    <w:rsid w:val="009955AA"/>
    <w:rsid w:val="00995E15"/>
    <w:rsid w:val="00995FB9"/>
    <w:rsid w:val="00996B2B"/>
    <w:rsid w:val="0099702D"/>
    <w:rsid w:val="00997279"/>
    <w:rsid w:val="009975CB"/>
    <w:rsid w:val="009A00E7"/>
    <w:rsid w:val="009A0309"/>
    <w:rsid w:val="009A0A75"/>
    <w:rsid w:val="009A0CAB"/>
    <w:rsid w:val="009A0F15"/>
    <w:rsid w:val="009A2816"/>
    <w:rsid w:val="009A2C3D"/>
    <w:rsid w:val="009A41DA"/>
    <w:rsid w:val="009A4612"/>
    <w:rsid w:val="009A4CD2"/>
    <w:rsid w:val="009A572C"/>
    <w:rsid w:val="009A5AEB"/>
    <w:rsid w:val="009A6006"/>
    <w:rsid w:val="009A613D"/>
    <w:rsid w:val="009A66FD"/>
    <w:rsid w:val="009A6BE3"/>
    <w:rsid w:val="009A7E44"/>
    <w:rsid w:val="009A7FF8"/>
    <w:rsid w:val="009B08CA"/>
    <w:rsid w:val="009B0A57"/>
    <w:rsid w:val="009B0B47"/>
    <w:rsid w:val="009B0C8B"/>
    <w:rsid w:val="009B0D52"/>
    <w:rsid w:val="009B0E4C"/>
    <w:rsid w:val="009B0F32"/>
    <w:rsid w:val="009B1158"/>
    <w:rsid w:val="009B156A"/>
    <w:rsid w:val="009B1C3F"/>
    <w:rsid w:val="009B1D67"/>
    <w:rsid w:val="009B2074"/>
    <w:rsid w:val="009B2A5B"/>
    <w:rsid w:val="009B3EBC"/>
    <w:rsid w:val="009B3F18"/>
    <w:rsid w:val="009B47DE"/>
    <w:rsid w:val="009B4EA6"/>
    <w:rsid w:val="009B5113"/>
    <w:rsid w:val="009B57C3"/>
    <w:rsid w:val="009B59BA"/>
    <w:rsid w:val="009B6AF0"/>
    <w:rsid w:val="009B6BEB"/>
    <w:rsid w:val="009B73D4"/>
    <w:rsid w:val="009C0CB6"/>
    <w:rsid w:val="009C1255"/>
    <w:rsid w:val="009C1344"/>
    <w:rsid w:val="009C1890"/>
    <w:rsid w:val="009C19F9"/>
    <w:rsid w:val="009C1C5B"/>
    <w:rsid w:val="009C2BD9"/>
    <w:rsid w:val="009C3377"/>
    <w:rsid w:val="009C37AB"/>
    <w:rsid w:val="009C4825"/>
    <w:rsid w:val="009C4EAE"/>
    <w:rsid w:val="009C5D06"/>
    <w:rsid w:val="009C5FF3"/>
    <w:rsid w:val="009C61FF"/>
    <w:rsid w:val="009C6ECF"/>
    <w:rsid w:val="009C757D"/>
    <w:rsid w:val="009C76DE"/>
    <w:rsid w:val="009C7B2E"/>
    <w:rsid w:val="009C7E0D"/>
    <w:rsid w:val="009D13A8"/>
    <w:rsid w:val="009D1582"/>
    <w:rsid w:val="009D1680"/>
    <w:rsid w:val="009D1B75"/>
    <w:rsid w:val="009D22E0"/>
    <w:rsid w:val="009D2BD2"/>
    <w:rsid w:val="009D3261"/>
    <w:rsid w:val="009D3DB2"/>
    <w:rsid w:val="009D4233"/>
    <w:rsid w:val="009D437D"/>
    <w:rsid w:val="009D4C6E"/>
    <w:rsid w:val="009D56FF"/>
    <w:rsid w:val="009D5AC4"/>
    <w:rsid w:val="009D5C50"/>
    <w:rsid w:val="009D60AF"/>
    <w:rsid w:val="009D6D07"/>
    <w:rsid w:val="009D6D57"/>
    <w:rsid w:val="009D7101"/>
    <w:rsid w:val="009D75F2"/>
    <w:rsid w:val="009E03CA"/>
    <w:rsid w:val="009E0937"/>
    <w:rsid w:val="009E09BC"/>
    <w:rsid w:val="009E1238"/>
    <w:rsid w:val="009E1B9A"/>
    <w:rsid w:val="009E1C14"/>
    <w:rsid w:val="009E24C9"/>
    <w:rsid w:val="009E2ADB"/>
    <w:rsid w:val="009E2DF8"/>
    <w:rsid w:val="009E310E"/>
    <w:rsid w:val="009E35F2"/>
    <w:rsid w:val="009E38D0"/>
    <w:rsid w:val="009E3CBA"/>
    <w:rsid w:val="009E3E93"/>
    <w:rsid w:val="009E4567"/>
    <w:rsid w:val="009E4677"/>
    <w:rsid w:val="009E4B47"/>
    <w:rsid w:val="009E4C47"/>
    <w:rsid w:val="009E4ECB"/>
    <w:rsid w:val="009E5CBE"/>
    <w:rsid w:val="009E6ABD"/>
    <w:rsid w:val="009E6FF6"/>
    <w:rsid w:val="009E72AB"/>
    <w:rsid w:val="009E7CF3"/>
    <w:rsid w:val="009F09BF"/>
    <w:rsid w:val="009F14C2"/>
    <w:rsid w:val="009F24B6"/>
    <w:rsid w:val="009F26BB"/>
    <w:rsid w:val="009F2A3C"/>
    <w:rsid w:val="009F35F3"/>
    <w:rsid w:val="009F3E1E"/>
    <w:rsid w:val="009F4C62"/>
    <w:rsid w:val="009F4ECD"/>
    <w:rsid w:val="009F4FBC"/>
    <w:rsid w:val="009F5054"/>
    <w:rsid w:val="009F527F"/>
    <w:rsid w:val="009F5EA5"/>
    <w:rsid w:val="009F5F0C"/>
    <w:rsid w:val="009F5F32"/>
    <w:rsid w:val="009F60D9"/>
    <w:rsid w:val="009F6A68"/>
    <w:rsid w:val="009F7C02"/>
    <w:rsid w:val="009F7F04"/>
    <w:rsid w:val="00A00161"/>
    <w:rsid w:val="00A0092A"/>
    <w:rsid w:val="00A00F77"/>
    <w:rsid w:val="00A00F85"/>
    <w:rsid w:val="00A01BF5"/>
    <w:rsid w:val="00A01C1B"/>
    <w:rsid w:val="00A031D8"/>
    <w:rsid w:val="00A03671"/>
    <w:rsid w:val="00A03744"/>
    <w:rsid w:val="00A037A2"/>
    <w:rsid w:val="00A03E1C"/>
    <w:rsid w:val="00A04032"/>
    <w:rsid w:val="00A0440F"/>
    <w:rsid w:val="00A04605"/>
    <w:rsid w:val="00A0482B"/>
    <w:rsid w:val="00A049A5"/>
    <w:rsid w:val="00A04A61"/>
    <w:rsid w:val="00A05182"/>
    <w:rsid w:val="00A054D9"/>
    <w:rsid w:val="00A05AD7"/>
    <w:rsid w:val="00A0626E"/>
    <w:rsid w:val="00A06A18"/>
    <w:rsid w:val="00A06CB7"/>
    <w:rsid w:val="00A07541"/>
    <w:rsid w:val="00A07B8F"/>
    <w:rsid w:val="00A1091F"/>
    <w:rsid w:val="00A10C53"/>
    <w:rsid w:val="00A10FEE"/>
    <w:rsid w:val="00A118EC"/>
    <w:rsid w:val="00A11F06"/>
    <w:rsid w:val="00A122D0"/>
    <w:rsid w:val="00A12DB5"/>
    <w:rsid w:val="00A13BA6"/>
    <w:rsid w:val="00A143AC"/>
    <w:rsid w:val="00A14790"/>
    <w:rsid w:val="00A14911"/>
    <w:rsid w:val="00A14965"/>
    <w:rsid w:val="00A14A32"/>
    <w:rsid w:val="00A15933"/>
    <w:rsid w:val="00A15BE2"/>
    <w:rsid w:val="00A15EBC"/>
    <w:rsid w:val="00A167BB"/>
    <w:rsid w:val="00A16BDE"/>
    <w:rsid w:val="00A2018C"/>
    <w:rsid w:val="00A20212"/>
    <w:rsid w:val="00A20940"/>
    <w:rsid w:val="00A20CA4"/>
    <w:rsid w:val="00A20D8F"/>
    <w:rsid w:val="00A21024"/>
    <w:rsid w:val="00A2164F"/>
    <w:rsid w:val="00A22277"/>
    <w:rsid w:val="00A22CE1"/>
    <w:rsid w:val="00A2309B"/>
    <w:rsid w:val="00A23E6B"/>
    <w:rsid w:val="00A25886"/>
    <w:rsid w:val="00A2625D"/>
    <w:rsid w:val="00A270B5"/>
    <w:rsid w:val="00A27F93"/>
    <w:rsid w:val="00A3068B"/>
    <w:rsid w:val="00A30F8C"/>
    <w:rsid w:val="00A315DB"/>
    <w:rsid w:val="00A31D7A"/>
    <w:rsid w:val="00A31FCA"/>
    <w:rsid w:val="00A32214"/>
    <w:rsid w:val="00A322DB"/>
    <w:rsid w:val="00A32B22"/>
    <w:rsid w:val="00A32E1F"/>
    <w:rsid w:val="00A32FD6"/>
    <w:rsid w:val="00A3360F"/>
    <w:rsid w:val="00A339A6"/>
    <w:rsid w:val="00A34253"/>
    <w:rsid w:val="00A34433"/>
    <w:rsid w:val="00A346EE"/>
    <w:rsid w:val="00A34F2B"/>
    <w:rsid w:val="00A35060"/>
    <w:rsid w:val="00A35232"/>
    <w:rsid w:val="00A364CC"/>
    <w:rsid w:val="00A370E9"/>
    <w:rsid w:val="00A37519"/>
    <w:rsid w:val="00A37FB9"/>
    <w:rsid w:val="00A40915"/>
    <w:rsid w:val="00A416D2"/>
    <w:rsid w:val="00A41969"/>
    <w:rsid w:val="00A41A15"/>
    <w:rsid w:val="00A426BD"/>
    <w:rsid w:val="00A42DD8"/>
    <w:rsid w:val="00A432C2"/>
    <w:rsid w:val="00A434F5"/>
    <w:rsid w:val="00A438D5"/>
    <w:rsid w:val="00A440C0"/>
    <w:rsid w:val="00A442CC"/>
    <w:rsid w:val="00A44BE0"/>
    <w:rsid w:val="00A4522E"/>
    <w:rsid w:val="00A458EE"/>
    <w:rsid w:val="00A46108"/>
    <w:rsid w:val="00A46214"/>
    <w:rsid w:val="00A466AC"/>
    <w:rsid w:val="00A46776"/>
    <w:rsid w:val="00A46C1B"/>
    <w:rsid w:val="00A46F01"/>
    <w:rsid w:val="00A47199"/>
    <w:rsid w:val="00A477BC"/>
    <w:rsid w:val="00A50236"/>
    <w:rsid w:val="00A50517"/>
    <w:rsid w:val="00A507B5"/>
    <w:rsid w:val="00A50A2A"/>
    <w:rsid w:val="00A50AA7"/>
    <w:rsid w:val="00A50BD0"/>
    <w:rsid w:val="00A50BD4"/>
    <w:rsid w:val="00A51C82"/>
    <w:rsid w:val="00A5300B"/>
    <w:rsid w:val="00A5335E"/>
    <w:rsid w:val="00A53981"/>
    <w:rsid w:val="00A53B97"/>
    <w:rsid w:val="00A53FA6"/>
    <w:rsid w:val="00A53FFA"/>
    <w:rsid w:val="00A541AC"/>
    <w:rsid w:val="00A541D9"/>
    <w:rsid w:val="00A546DB"/>
    <w:rsid w:val="00A5479B"/>
    <w:rsid w:val="00A54C11"/>
    <w:rsid w:val="00A5515A"/>
    <w:rsid w:val="00A57336"/>
    <w:rsid w:val="00A573D5"/>
    <w:rsid w:val="00A57E78"/>
    <w:rsid w:val="00A60BC8"/>
    <w:rsid w:val="00A61A81"/>
    <w:rsid w:val="00A61BC1"/>
    <w:rsid w:val="00A620BF"/>
    <w:rsid w:val="00A6279B"/>
    <w:rsid w:val="00A62CC0"/>
    <w:rsid w:val="00A6350A"/>
    <w:rsid w:val="00A6373F"/>
    <w:rsid w:val="00A638F8"/>
    <w:rsid w:val="00A63CC1"/>
    <w:rsid w:val="00A647E3"/>
    <w:rsid w:val="00A64F4F"/>
    <w:rsid w:val="00A64FD0"/>
    <w:rsid w:val="00A64FD9"/>
    <w:rsid w:val="00A6508B"/>
    <w:rsid w:val="00A65C1C"/>
    <w:rsid w:val="00A66AFB"/>
    <w:rsid w:val="00A67B99"/>
    <w:rsid w:val="00A67CF0"/>
    <w:rsid w:val="00A70942"/>
    <w:rsid w:val="00A70C47"/>
    <w:rsid w:val="00A70F78"/>
    <w:rsid w:val="00A71070"/>
    <w:rsid w:val="00A71F69"/>
    <w:rsid w:val="00A71F76"/>
    <w:rsid w:val="00A723D5"/>
    <w:rsid w:val="00A725F9"/>
    <w:rsid w:val="00A72C18"/>
    <w:rsid w:val="00A7363D"/>
    <w:rsid w:val="00A7386D"/>
    <w:rsid w:val="00A73A9B"/>
    <w:rsid w:val="00A74271"/>
    <w:rsid w:val="00A74997"/>
    <w:rsid w:val="00A749C0"/>
    <w:rsid w:val="00A74F29"/>
    <w:rsid w:val="00A74F63"/>
    <w:rsid w:val="00A753BD"/>
    <w:rsid w:val="00A75558"/>
    <w:rsid w:val="00A7590B"/>
    <w:rsid w:val="00A75EEA"/>
    <w:rsid w:val="00A75F62"/>
    <w:rsid w:val="00A76760"/>
    <w:rsid w:val="00A76767"/>
    <w:rsid w:val="00A76888"/>
    <w:rsid w:val="00A76E7C"/>
    <w:rsid w:val="00A77BB6"/>
    <w:rsid w:val="00A77C62"/>
    <w:rsid w:val="00A80B6B"/>
    <w:rsid w:val="00A810B9"/>
    <w:rsid w:val="00A81650"/>
    <w:rsid w:val="00A81933"/>
    <w:rsid w:val="00A82F8B"/>
    <w:rsid w:val="00A8328C"/>
    <w:rsid w:val="00A83B73"/>
    <w:rsid w:val="00A83C87"/>
    <w:rsid w:val="00A84C65"/>
    <w:rsid w:val="00A84D67"/>
    <w:rsid w:val="00A8556D"/>
    <w:rsid w:val="00A863EE"/>
    <w:rsid w:val="00A864D8"/>
    <w:rsid w:val="00A86998"/>
    <w:rsid w:val="00A86B3C"/>
    <w:rsid w:val="00A90268"/>
    <w:rsid w:val="00A90CF5"/>
    <w:rsid w:val="00A910BA"/>
    <w:rsid w:val="00A9195A"/>
    <w:rsid w:val="00A922D7"/>
    <w:rsid w:val="00A93082"/>
    <w:rsid w:val="00A93FAB"/>
    <w:rsid w:val="00A94894"/>
    <w:rsid w:val="00A95459"/>
    <w:rsid w:val="00A95C97"/>
    <w:rsid w:val="00A96EF7"/>
    <w:rsid w:val="00A96EFE"/>
    <w:rsid w:val="00A97009"/>
    <w:rsid w:val="00A97A94"/>
    <w:rsid w:val="00A97E96"/>
    <w:rsid w:val="00A97EC0"/>
    <w:rsid w:val="00AA033A"/>
    <w:rsid w:val="00AA0642"/>
    <w:rsid w:val="00AA1E4E"/>
    <w:rsid w:val="00AA215E"/>
    <w:rsid w:val="00AA2687"/>
    <w:rsid w:val="00AA2D46"/>
    <w:rsid w:val="00AA3345"/>
    <w:rsid w:val="00AA3ACC"/>
    <w:rsid w:val="00AA439E"/>
    <w:rsid w:val="00AA45CB"/>
    <w:rsid w:val="00AA495C"/>
    <w:rsid w:val="00AA5214"/>
    <w:rsid w:val="00AA5C87"/>
    <w:rsid w:val="00AA6678"/>
    <w:rsid w:val="00AA697A"/>
    <w:rsid w:val="00AA717C"/>
    <w:rsid w:val="00AA7287"/>
    <w:rsid w:val="00AA72E5"/>
    <w:rsid w:val="00AA7CFD"/>
    <w:rsid w:val="00AB02CE"/>
    <w:rsid w:val="00AB04B6"/>
    <w:rsid w:val="00AB0D13"/>
    <w:rsid w:val="00AB107B"/>
    <w:rsid w:val="00AB1DBC"/>
    <w:rsid w:val="00AB1E45"/>
    <w:rsid w:val="00AB20B1"/>
    <w:rsid w:val="00AB3746"/>
    <w:rsid w:val="00AB41BC"/>
    <w:rsid w:val="00AB428E"/>
    <w:rsid w:val="00AB4B43"/>
    <w:rsid w:val="00AB5041"/>
    <w:rsid w:val="00AB5D50"/>
    <w:rsid w:val="00AB6053"/>
    <w:rsid w:val="00AB6118"/>
    <w:rsid w:val="00AB64CA"/>
    <w:rsid w:val="00AB6920"/>
    <w:rsid w:val="00AB6A3F"/>
    <w:rsid w:val="00AB6B7F"/>
    <w:rsid w:val="00AB7A37"/>
    <w:rsid w:val="00AB7B09"/>
    <w:rsid w:val="00AB7C9A"/>
    <w:rsid w:val="00AC06A0"/>
    <w:rsid w:val="00AC0B77"/>
    <w:rsid w:val="00AC1512"/>
    <w:rsid w:val="00AC1A5E"/>
    <w:rsid w:val="00AC1CCF"/>
    <w:rsid w:val="00AC298F"/>
    <w:rsid w:val="00AC29C9"/>
    <w:rsid w:val="00AC2A08"/>
    <w:rsid w:val="00AC2BDA"/>
    <w:rsid w:val="00AC2EE5"/>
    <w:rsid w:val="00AC3273"/>
    <w:rsid w:val="00AC3340"/>
    <w:rsid w:val="00AC3490"/>
    <w:rsid w:val="00AC3AD8"/>
    <w:rsid w:val="00AC3B47"/>
    <w:rsid w:val="00AC3BAF"/>
    <w:rsid w:val="00AC3CC7"/>
    <w:rsid w:val="00AC43E9"/>
    <w:rsid w:val="00AC4A75"/>
    <w:rsid w:val="00AC4BF6"/>
    <w:rsid w:val="00AC4C41"/>
    <w:rsid w:val="00AC50B7"/>
    <w:rsid w:val="00AC5819"/>
    <w:rsid w:val="00AC585A"/>
    <w:rsid w:val="00AC60D9"/>
    <w:rsid w:val="00AC6510"/>
    <w:rsid w:val="00AC6562"/>
    <w:rsid w:val="00AC6E2A"/>
    <w:rsid w:val="00AC71B8"/>
    <w:rsid w:val="00AC72D2"/>
    <w:rsid w:val="00AC7B99"/>
    <w:rsid w:val="00AC7BE2"/>
    <w:rsid w:val="00AC7ED9"/>
    <w:rsid w:val="00AD0238"/>
    <w:rsid w:val="00AD026D"/>
    <w:rsid w:val="00AD06C4"/>
    <w:rsid w:val="00AD0C3A"/>
    <w:rsid w:val="00AD104F"/>
    <w:rsid w:val="00AD15B6"/>
    <w:rsid w:val="00AD1B1C"/>
    <w:rsid w:val="00AD32E8"/>
    <w:rsid w:val="00AD3350"/>
    <w:rsid w:val="00AD38B6"/>
    <w:rsid w:val="00AD38C9"/>
    <w:rsid w:val="00AD3FCE"/>
    <w:rsid w:val="00AD4244"/>
    <w:rsid w:val="00AD4CC4"/>
    <w:rsid w:val="00AD4EFD"/>
    <w:rsid w:val="00AD5149"/>
    <w:rsid w:val="00AD52EC"/>
    <w:rsid w:val="00AD6F94"/>
    <w:rsid w:val="00AD77F0"/>
    <w:rsid w:val="00AE0435"/>
    <w:rsid w:val="00AE074D"/>
    <w:rsid w:val="00AE0E40"/>
    <w:rsid w:val="00AE0EF0"/>
    <w:rsid w:val="00AE1071"/>
    <w:rsid w:val="00AE1209"/>
    <w:rsid w:val="00AE14EC"/>
    <w:rsid w:val="00AE1676"/>
    <w:rsid w:val="00AE16FB"/>
    <w:rsid w:val="00AE23F3"/>
    <w:rsid w:val="00AE2533"/>
    <w:rsid w:val="00AE274E"/>
    <w:rsid w:val="00AE32A3"/>
    <w:rsid w:val="00AE423F"/>
    <w:rsid w:val="00AE4471"/>
    <w:rsid w:val="00AE4F5E"/>
    <w:rsid w:val="00AE5441"/>
    <w:rsid w:val="00AE6203"/>
    <w:rsid w:val="00AE6BE6"/>
    <w:rsid w:val="00AE6F69"/>
    <w:rsid w:val="00AE71A8"/>
    <w:rsid w:val="00AE7278"/>
    <w:rsid w:val="00AE793D"/>
    <w:rsid w:val="00AE7D3C"/>
    <w:rsid w:val="00AE7EB0"/>
    <w:rsid w:val="00AF0593"/>
    <w:rsid w:val="00AF1397"/>
    <w:rsid w:val="00AF1A5B"/>
    <w:rsid w:val="00AF1D8B"/>
    <w:rsid w:val="00AF2174"/>
    <w:rsid w:val="00AF2581"/>
    <w:rsid w:val="00AF3675"/>
    <w:rsid w:val="00AF417B"/>
    <w:rsid w:val="00AF41C0"/>
    <w:rsid w:val="00AF42C1"/>
    <w:rsid w:val="00AF4398"/>
    <w:rsid w:val="00AF5302"/>
    <w:rsid w:val="00AF5C33"/>
    <w:rsid w:val="00AF5D38"/>
    <w:rsid w:val="00AF663D"/>
    <w:rsid w:val="00AF6D10"/>
    <w:rsid w:val="00AF7041"/>
    <w:rsid w:val="00AF7117"/>
    <w:rsid w:val="00AF71BB"/>
    <w:rsid w:val="00AF72CB"/>
    <w:rsid w:val="00AF7A03"/>
    <w:rsid w:val="00AF7B53"/>
    <w:rsid w:val="00B001D5"/>
    <w:rsid w:val="00B01DCB"/>
    <w:rsid w:val="00B033E2"/>
    <w:rsid w:val="00B0344E"/>
    <w:rsid w:val="00B03469"/>
    <w:rsid w:val="00B04F7D"/>
    <w:rsid w:val="00B05760"/>
    <w:rsid w:val="00B05FA3"/>
    <w:rsid w:val="00B060D8"/>
    <w:rsid w:val="00B0635D"/>
    <w:rsid w:val="00B068F2"/>
    <w:rsid w:val="00B070A2"/>
    <w:rsid w:val="00B077D3"/>
    <w:rsid w:val="00B10766"/>
    <w:rsid w:val="00B11C99"/>
    <w:rsid w:val="00B1208A"/>
    <w:rsid w:val="00B126B1"/>
    <w:rsid w:val="00B13209"/>
    <w:rsid w:val="00B136D5"/>
    <w:rsid w:val="00B145B6"/>
    <w:rsid w:val="00B14D0E"/>
    <w:rsid w:val="00B152CD"/>
    <w:rsid w:val="00B16947"/>
    <w:rsid w:val="00B17A57"/>
    <w:rsid w:val="00B204E9"/>
    <w:rsid w:val="00B213E7"/>
    <w:rsid w:val="00B2168B"/>
    <w:rsid w:val="00B221B7"/>
    <w:rsid w:val="00B22268"/>
    <w:rsid w:val="00B22469"/>
    <w:rsid w:val="00B23456"/>
    <w:rsid w:val="00B24751"/>
    <w:rsid w:val="00B255D9"/>
    <w:rsid w:val="00B25B9C"/>
    <w:rsid w:val="00B26B91"/>
    <w:rsid w:val="00B26C81"/>
    <w:rsid w:val="00B2724A"/>
    <w:rsid w:val="00B273E3"/>
    <w:rsid w:val="00B27DAC"/>
    <w:rsid w:val="00B301A2"/>
    <w:rsid w:val="00B30324"/>
    <w:rsid w:val="00B30F07"/>
    <w:rsid w:val="00B31A1E"/>
    <w:rsid w:val="00B324A8"/>
    <w:rsid w:val="00B32793"/>
    <w:rsid w:val="00B32D2C"/>
    <w:rsid w:val="00B3335F"/>
    <w:rsid w:val="00B33433"/>
    <w:rsid w:val="00B33D01"/>
    <w:rsid w:val="00B3411D"/>
    <w:rsid w:val="00B34247"/>
    <w:rsid w:val="00B34323"/>
    <w:rsid w:val="00B343A6"/>
    <w:rsid w:val="00B34D1F"/>
    <w:rsid w:val="00B35393"/>
    <w:rsid w:val="00B35951"/>
    <w:rsid w:val="00B372BE"/>
    <w:rsid w:val="00B379EB"/>
    <w:rsid w:val="00B400D9"/>
    <w:rsid w:val="00B4045B"/>
    <w:rsid w:val="00B40914"/>
    <w:rsid w:val="00B41B45"/>
    <w:rsid w:val="00B42537"/>
    <w:rsid w:val="00B43165"/>
    <w:rsid w:val="00B44315"/>
    <w:rsid w:val="00B44565"/>
    <w:rsid w:val="00B45BD8"/>
    <w:rsid w:val="00B45FF6"/>
    <w:rsid w:val="00B463C8"/>
    <w:rsid w:val="00B46944"/>
    <w:rsid w:val="00B47466"/>
    <w:rsid w:val="00B47CD0"/>
    <w:rsid w:val="00B51DB7"/>
    <w:rsid w:val="00B52613"/>
    <w:rsid w:val="00B5318D"/>
    <w:rsid w:val="00B534DB"/>
    <w:rsid w:val="00B535AC"/>
    <w:rsid w:val="00B53CBA"/>
    <w:rsid w:val="00B53FF3"/>
    <w:rsid w:val="00B54527"/>
    <w:rsid w:val="00B549CF"/>
    <w:rsid w:val="00B54E20"/>
    <w:rsid w:val="00B54E53"/>
    <w:rsid w:val="00B5554D"/>
    <w:rsid w:val="00B55625"/>
    <w:rsid w:val="00B55F1E"/>
    <w:rsid w:val="00B56837"/>
    <w:rsid w:val="00B570B4"/>
    <w:rsid w:val="00B573ED"/>
    <w:rsid w:val="00B57778"/>
    <w:rsid w:val="00B57AC2"/>
    <w:rsid w:val="00B57BAF"/>
    <w:rsid w:val="00B57F65"/>
    <w:rsid w:val="00B6017C"/>
    <w:rsid w:val="00B61969"/>
    <w:rsid w:val="00B61AAA"/>
    <w:rsid w:val="00B61B3F"/>
    <w:rsid w:val="00B62231"/>
    <w:rsid w:val="00B627D7"/>
    <w:rsid w:val="00B62A95"/>
    <w:rsid w:val="00B62DB8"/>
    <w:rsid w:val="00B6301B"/>
    <w:rsid w:val="00B630E3"/>
    <w:rsid w:val="00B63465"/>
    <w:rsid w:val="00B6361A"/>
    <w:rsid w:val="00B64103"/>
    <w:rsid w:val="00B6430B"/>
    <w:rsid w:val="00B643A6"/>
    <w:rsid w:val="00B64CDF"/>
    <w:rsid w:val="00B64F38"/>
    <w:rsid w:val="00B65111"/>
    <w:rsid w:val="00B65532"/>
    <w:rsid w:val="00B65920"/>
    <w:rsid w:val="00B659EA"/>
    <w:rsid w:val="00B65D96"/>
    <w:rsid w:val="00B66044"/>
    <w:rsid w:val="00B6606D"/>
    <w:rsid w:val="00B6629F"/>
    <w:rsid w:val="00B66DFD"/>
    <w:rsid w:val="00B67960"/>
    <w:rsid w:val="00B67B74"/>
    <w:rsid w:val="00B700E1"/>
    <w:rsid w:val="00B70380"/>
    <w:rsid w:val="00B70792"/>
    <w:rsid w:val="00B709C0"/>
    <w:rsid w:val="00B718F3"/>
    <w:rsid w:val="00B72150"/>
    <w:rsid w:val="00B73353"/>
    <w:rsid w:val="00B735FA"/>
    <w:rsid w:val="00B7376C"/>
    <w:rsid w:val="00B73AA6"/>
    <w:rsid w:val="00B73C7C"/>
    <w:rsid w:val="00B74290"/>
    <w:rsid w:val="00B76007"/>
    <w:rsid w:val="00B763FC"/>
    <w:rsid w:val="00B76A60"/>
    <w:rsid w:val="00B76AB0"/>
    <w:rsid w:val="00B76C10"/>
    <w:rsid w:val="00B76DD5"/>
    <w:rsid w:val="00B76F8B"/>
    <w:rsid w:val="00B77187"/>
    <w:rsid w:val="00B775B0"/>
    <w:rsid w:val="00B77A43"/>
    <w:rsid w:val="00B77C19"/>
    <w:rsid w:val="00B77D8E"/>
    <w:rsid w:val="00B77E83"/>
    <w:rsid w:val="00B8016D"/>
    <w:rsid w:val="00B80A42"/>
    <w:rsid w:val="00B80DE5"/>
    <w:rsid w:val="00B82EC5"/>
    <w:rsid w:val="00B8305F"/>
    <w:rsid w:val="00B831DD"/>
    <w:rsid w:val="00B83784"/>
    <w:rsid w:val="00B83A50"/>
    <w:rsid w:val="00B83BC3"/>
    <w:rsid w:val="00B83EEB"/>
    <w:rsid w:val="00B84520"/>
    <w:rsid w:val="00B84DC1"/>
    <w:rsid w:val="00B84E90"/>
    <w:rsid w:val="00B85A11"/>
    <w:rsid w:val="00B86224"/>
    <w:rsid w:val="00B862C1"/>
    <w:rsid w:val="00B8632C"/>
    <w:rsid w:val="00B8663E"/>
    <w:rsid w:val="00B86DFB"/>
    <w:rsid w:val="00B87E7D"/>
    <w:rsid w:val="00B91051"/>
    <w:rsid w:val="00B917D6"/>
    <w:rsid w:val="00B924C8"/>
    <w:rsid w:val="00B927C3"/>
    <w:rsid w:val="00B929AD"/>
    <w:rsid w:val="00B92AB2"/>
    <w:rsid w:val="00B92ABF"/>
    <w:rsid w:val="00B9462B"/>
    <w:rsid w:val="00B94632"/>
    <w:rsid w:val="00B94EC1"/>
    <w:rsid w:val="00B95311"/>
    <w:rsid w:val="00B955AC"/>
    <w:rsid w:val="00B9631A"/>
    <w:rsid w:val="00B96598"/>
    <w:rsid w:val="00B96822"/>
    <w:rsid w:val="00B9789F"/>
    <w:rsid w:val="00B97C6B"/>
    <w:rsid w:val="00BA055A"/>
    <w:rsid w:val="00BA062E"/>
    <w:rsid w:val="00BA0AA3"/>
    <w:rsid w:val="00BA0C62"/>
    <w:rsid w:val="00BA0E05"/>
    <w:rsid w:val="00BA1CD7"/>
    <w:rsid w:val="00BA24EB"/>
    <w:rsid w:val="00BA2A96"/>
    <w:rsid w:val="00BA2B31"/>
    <w:rsid w:val="00BA2DE0"/>
    <w:rsid w:val="00BA483B"/>
    <w:rsid w:val="00BA4A3C"/>
    <w:rsid w:val="00BA4A3F"/>
    <w:rsid w:val="00BA5203"/>
    <w:rsid w:val="00BA5612"/>
    <w:rsid w:val="00BA613F"/>
    <w:rsid w:val="00BA6167"/>
    <w:rsid w:val="00BA645F"/>
    <w:rsid w:val="00BA6676"/>
    <w:rsid w:val="00BA6A91"/>
    <w:rsid w:val="00BA746F"/>
    <w:rsid w:val="00BB07F7"/>
    <w:rsid w:val="00BB0BA6"/>
    <w:rsid w:val="00BB10D0"/>
    <w:rsid w:val="00BB17C2"/>
    <w:rsid w:val="00BB1EC7"/>
    <w:rsid w:val="00BB22CF"/>
    <w:rsid w:val="00BB2303"/>
    <w:rsid w:val="00BB239A"/>
    <w:rsid w:val="00BB2BC7"/>
    <w:rsid w:val="00BB2C16"/>
    <w:rsid w:val="00BB2CBF"/>
    <w:rsid w:val="00BB3143"/>
    <w:rsid w:val="00BB3D09"/>
    <w:rsid w:val="00BB3D29"/>
    <w:rsid w:val="00BB3D34"/>
    <w:rsid w:val="00BB4B14"/>
    <w:rsid w:val="00BB4BBC"/>
    <w:rsid w:val="00BB5412"/>
    <w:rsid w:val="00BB5460"/>
    <w:rsid w:val="00BB54D6"/>
    <w:rsid w:val="00BB56B9"/>
    <w:rsid w:val="00BB5B00"/>
    <w:rsid w:val="00BB5E95"/>
    <w:rsid w:val="00BB5EE8"/>
    <w:rsid w:val="00BB5F01"/>
    <w:rsid w:val="00BB66F1"/>
    <w:rsid w:val="00BB694D"/>
    <w:rsid w:val="00BB7045"/>
    <w:rsid w:val="00BB7DB5"/>
    <w:rsid w:val="00BC05FB"/>
    <w:rsid w:val="00BC0679"/>
    <w:rsid w:val="00BC0DDE"/>
    <w:rsid w:val="00BC16C0"/>
    <w:rsid w:val="00BC18FB"/>
    <w:rsid w:val="00BC1E99"/>
    <w:rsid w:val="00BC2762"/>
    <w:rsid w:val="00BC2DD5"/>
    <w:rsid w:val="00BC39FF"/>
    <w:rsid w:val="00BC3D02"/>
    <w:rsid w:val="00BC4C8B"/>
    <w:rsid w:val="00BC6D69"/>
    <w:rsid w:val="00BD0796"/>
    <w:rsid w:val="00BD08DB"/>
    <w:rsid w:val="00BD0EF4"/>
    <w:rsid w:val="00BD1E7E"/>
    <w:rsid w:val="00BD2526"/>
    <w:rsid w:val="00BD26FF"/>
    <w:rsid w:val="00BD2759"/>
    <w:rsid w:val="00BD2F12"/>
    <w:rsid w:val="00BD362B"/>
    <w:rsid w:val="00BD5395"/>
    <w:rsid w:val="00BD55DF"/>
    <w:rsid w:val="00BD5B83"/>
    <w:rsid w:val="00BD5C55"/>
    <w:rsid w:val="00BD664A"/>
    <w:rsid w:val="00BD677C"/>
    <w:rsid w:val="00BD68CF"/>
    <w:rsid w:val="00BE07C6"/>
    <w:rsid w:val="00BE083E"/>
    <w:rsid w:val="00BE1ABE"/>
    <w:rsid w:val="00BE2282"/>
    <w:rsid w:val="00BE2772"/>
    <w:rsid w:val="00BE324E"/>
    <w:rsid w:val="00BE34FD"/>
    <w:rsid w:val="00BE371B"/>
    <w:rsid w:val="00BE4129"/>
    <w:rsid w:val="00BE4435"/>
    <w:rsid w:val="00BE4B08"/>
    <w:rsid w:val="00BE5856"/>
    <w:rsid w:val="00BE674C"/>
    <w:rsid w:val="00BE6A18"/>
    <w:rsid w:val="00BF004A"/>
    <w:rsid w:val="00BF01D2"/>
    <w:rsid w:val="00BF035A"/>
    <w:rsid w:val="00BF05DA"/>
    <w:rsid w:val="00BF0B14"/>
    <w:rsid w:val="00BF0BD1"/>
    <w:rsid w:val="00BF0FD3"/>
    <w:rsid w:val="00BF10C5"/>
    <w:rsid w:val="00BF1725"/>
    <w:rsid w:val="00BF1F33"/>
    <w:rsid w:val="00BF2264"/>
    <w:rsid w:val="00BF2D80"/>
    <w:rsid w:val="00BF3295"/>
    <w:rsid w:val="00BF36A6"/>
    <w:rsid w:val="00BF3D04"/>
    <w:rsid w:val="00BF3DA5"/>
    <w:rsid w:val="00BF4250"/>
    <w:rsid w:val="00BF4356"/>
    <w:rsid w:val="00BF5AD3"/>
    <w:rsid w:val="00BF5E1A"/>
    <w:rsid w:val="00BF615D"/>
    <w:rsid w:val="00BF6FE1"/>
    <w:rsid w:val="00BF71A0"/>
    <w:rsid w:val="00BF79B6"/>
    <w:rsid w:val="00BF7A86"/>
    <w:rsid w:val="00C00765"/>
    <w:rsid w:val="00C0088F"/>
    <w:rsid w:val="00C008C5"/>
    <w:rsid w:val="00C00D9A"/>
    <w:rsid w:val="00C0158F"/>
    <w:rsid w:val="00C01818"/>
    <w:rsid w:val="00C02026"/>
    <w:rsid w:val="00C02046"/>
    <w:rsid w:val="00C025C5"/>
    <w:rsid w:val="00C034DF"/>
    <w:rsid w:val="00C03834"/>
    <w:rsid w:val="00C03CF2"/>
    <w:rsid w:val="00C04370"/>
    <w:rsid w:val="00C04FA5"/>
    <w:rsid w:val="00C054BF"/>
    <w:rsid w:val="00C0565A"/>
    <w:rsid w:val="00C058E7"/>
    <w:rsid w:val="00C05ADB"/>
    <w:rsid w:val="00C06A02"/>
    <w:rsid w:val="00C0742C"/>
    <w:rsid w:val="00C07AAC"/>
    <w:rsid w:val="00C102C9"/>
    <w:rsid w:val="00C11350"/>
    <w:rsid w:val="00C118A7"/>
    <w:rsid w:val="00C129D4"/>
    <w:rsid w:val="00C12A68"/>
    <w:rsid w:val="00C142B6"/>
    <w:rsid w:val="00C149BC"/>
    <w:rsid w:val="00C14D63"/>
    <w:rsid w:val="00C14D8B"/>
    <w:rsid w:val="00C1502E"/>
    <w:rsid w:val="00C165B3"/>
    <w:rsid w:val="00C16F24"/>
    <w:rsid w:val="00C17614"/>
    <w:rsid w:val="00C1770B"/>
    <w:rsid w:val="00C17D2D"/>
    <w:rsid w:val="00C202BF"/>
    <w:rsid w:val="00C203D7"/>
    <w:rsid w:val="00C20556"/>
    <w:rsid w:val="00C2066E"/>
    <w:rsid w:val="00C20687"/>
    <w:rsid w:val="00C20E2B"/>
    <w:rsid w:val="00C2120E"/>
    <w:rsid w:val="00C219D0"/>
    <w:rsid w:val="00C21A02"/>
    <w:rsid w:val="00C22016"/>
    <w:rsid w:val="00C226BC"/>
    <w:rsid w:val="00C22825"/>
    <w:rsid w:val="00C2295C"/>
    <w:rsid w:val="00C233DE"/>
    <w:rsid w:val="00C26548"/>
    <w:rsid w:val="00C26706"/>
    <w:rsid w:val="00C267C5"/>
    <w:rsid w:val="00C2711B"/>
    <w:rsid w:val="00C27864"/>
    <w:rsid w:val="00C2787B"/>
    <w:rsid w:val="00C30613"/>
    <w:rsid w:val="00C30A6B"/>
    <w:rsid w:val="00C31295"/>
    <w:rsid w:val="00C312BA"/>
    <w:rsid w:val="00C314F3"/>
    <w:rsid w:val="00C32053"/>
    <w:rsid w:val="00C321D9"/>
    <w:rsid w:val="00C321FE"/>
    <w:rsid w:val="00C3233A"/>
    <w:rsid w:val="00C32449"/>
    <w:rsid w:val="00C32720"/>
    <w:rsid w:val="00C332C2"/>
    <w:rsid w:val="00C343FC"/>
    <w:rsid w:val="00C346B1"/>
    <w:rsid w:val="00C34B39"/>
    <w:rsid w:val="00C34C81"/>
    <w:rsid w:val="00C34FF3"/>
    <w:rsid w:val="00C3535E"/>
    <w:rsid w:val="00C355BE"/>
    <w:rsid w:val="00C35C94"/>
    <w:rsid w:val="00C36266"/>
    <w:rsid w:val="00C364D7"/>
    <w:rsid w:val="00C36DA4"/>
    <w:rsid w:val="00C36E50"/>
    <w:rsid w:val="00C37180"/>
    <w:rsid w:val="00C3749C"/>
    <w:rsid w:val="00C3754C"/>
    <w:rsid w:val="00C376E7"/>
    <w:rsid w:val="00C37AE5"/>
    <w:rsid w:val="00C4077A"/>
    <w:rsid w:val="00C41252"/>
    <w:rsid w:val="00C425B2"/>
    <w:rsid w:val="00C4305A"/>
    <w:rsid w:val="00C43431"/>
    <w:rsid w:val="00C43EC3"/>
    <w:rsid w:val="00C440C7"/>
    <w:rsid w:val="00C44B50"/>
    <w:rsid w:val="00C44D5F"/>
    <w:rsid w:val="00C45036"/>
    <w:rsid w:val="00C45225"/>
    <w:rsid w:val="00C45FC6"/>
    <w:rsid w:val="00C46230"/>
    <w:rsid w:val="00C465EE"/>
    <w:rsid w:val="00C46682"/>
    <w:rsid w:val="00C46AF9"/>
    <w:rsid w:val="00C47218"/>
    <w:rsid w:val="00C4732B"/>
    <w:rsid w:val="00C47C51"/>
    <w:rsid w:val="00C50B59"/>
    <w:rsid w:val="00C511A0"/>
    <w:rsid w:val="00C511F7"/>
    <w:rsid w:val="00C518AE"/>
    <w:rsid w:val="00C51E52"/>
    <w:rsid w:val="00C53D96"/>
    <w:rsid w:val="00C54879"/>
    <w:rsid w:val="00C55566"/>
    <w:rsid w:val="00C55D55"/>
    <w:rsid w:val="00C55F89"/>
    <w:rsid w:val="00C5609F"/>
    <w:rsid w:val="00C56170"/>
    <w:rsid w:val="00C56378"/>
    <w:rsid w:val="00C56F33"/>
    <w:rsid w:val="00C5738F"/>
    <w:rsid w:val="00C57681"/>
    <w:rsid w:val="00C60621"/>
    <w:rsid w:val="00C6140C"/>
    <w:rsid w:val="00C621A1"/>
    <w:rsid w:val="00C63160"/>
    <w:rsid w:val="00C63171"/>
    <w:rsid w:val="00C63A8E"/>
    <w:rsid w:val="00C63E3D"/>
    <w:rsid w:val="00C64031"/>
    <w:rsid w:val="00C642AF"/>
    <w:rsid w:val="00C64439"/>
    <w:rsid w:val="00C6443A"/>
    <w:rsid w:val="00C64458"/>
    <w:rsid w:val="00C6574D"/>
    <w:rsid w:val="00C65C1A"/>
    <w:rsid w:val="00C66285"/>
    <w:rsid w:val="00C663F9"/>
    <w:rsid w:val="00C665F1"/>
    <w:rsid w:val="00C66B43"/>
    <w:rsid w:val="00C66E52"/>
    <w:rsid w:val="00C66E71"/>
    <w:rsid w:val="00C6729A"/>
    <w:rsid w:val="00C672A4"/>
    <w:rsid w:val="00C6732B"/>
    <w:rsid w:val="00C679D3"/>
    <w:rsid w:val="00C70AA5"/>
    <w:rsid w:val="00C70E51"/>
    <w:rsid w:val="00C7140F"/>
    <w:rsid w:val="00C7170A"/>
    <w:rsid w:val="00C723F0"/>
    <w:rsid w:val="00C72FC1"/>
    <w:rsid w:val="00C74E75"/>
    <w:rsid w:val="00C7579D"/>
    <w:rsid w:val="00C76334"/>
    <w:rsid w:val="00C76C83"/>
    <w:rsid w:val="00C77488"/>
    <w:rsid w:val="00C77607"/>
    <w:rsid w:val="00C77B42"/>
    <w:rsid w:val="00C8026F"/>
    <w:rsid w:val="00C80E77"/>
    <w:rsid w:val="00C81568"/>
    <w:rsid w:val="00C8199D"/>
    <w:rsid w:val="00C81A4A"/>
    <w:rsid w:val="00C81ECB"/>
    <w:rsid w:val="00C825C1"/>
    <w:rsid w:val="00C82D16"/>
    <w:rsid w:val="00C82E07"/>
    <w:rsid w:val="00C8361C"/>
    <w:rsid w:val="00C83787"/>
    <w:rsid w:val="00C8409C"/>
    <w:rsid w:val="00C85240"/>
    <w:rsid w:val="00C85242"/>
    <w:rsid w:val="00C85F81"/>
    <w:rsid w:val="00C86509"/>
    <w:rsid w:val="00C868AB"/>
    <w:rsid w:val="00C86B4E"/>
    <w:rsid w:val="00C86C1A"/>
    <w:rsid w:val="00C86F1F"/>
    <w:rsid w:val="00C872E2"/>
    <w:rsid w:val="00C87C94"/>
    <w:rsid w:val="00C90451"/>
    <w:rsid w:val="00C905B3"/>
    <w:rsid w:val="00C9068B"/>
    <w:rsid w:val="00C90D4B"/>
    <w:rsid w:val="00C90DBE"/>
    <w:rsid w:val="00C91572"/>
    <w:rsid w:val="00C916A5"/>
    <w:rsid w:val="00C91B50"/>
    <w:rsid w:val="00C91E25"/>
    <w:rsid w:val="00C91F35"/>
    <w:rsid w:val="00C9220E"/>
    <w:rsid w:val="00C92210"/>
    <w:rsid w:val="00C93325"/>
    <w:rsid w:val="00C934BC"/>
    <w:rsid w:val="00C9404C"/>
    <w:rsid w:val="00C94BDB"/>
    <w:rsid w:val="00C9529F"/>
    <w:rsid w:val="00C95418"/>
    <w:rsid w:val="00C96938"/>
    <w:rsid w:val="00C96DF9"/>
    <w:rsid w:val="00C96F75"/>
    <w:rsid w:val="00C97088"/>
    <w:rsid w:val="00C9721F"/>
    <w:rsid w:val="00C9722E"/>
    <w:rsid w:val="00C976D2"/>
    <w:rsid w:val="00C977AB"/>
    <w:rsid w:val="00C97806"/>
    <w:rsid w:val="00CA005C"/>
    <w:rsid w:val="00CA01DA"/>
    <w:rsid w:val="00CA062F"/>
    <w:rsid w:val="00CA0677"/>
    <w:rsid w:val="00CA083E"/>
    <w:rsid w:val="00CA0F75"/>
    <w:rsid w:val="00CA1087"/>
    <w:rsid w:val="00CA1A19"/>
    <w:rsid w:val="00CA2128"/>
    <w:rsid w:val="00CA2330"/>
    <w:rsid w:val="00CA25CB"/>
    <w:rsid w:val="00CA2C29"/>
    <w:rsid w:val="00CA386C"/>
    <w:rsid w:val="00CA3C36"/>
    <w:rsid w:val="00CA3E60"/>
    <w:rsid w:val="00CA4879"/>
    <w:rsid w:val="00CA49DE"/>
    <w:rsid w:val="00CA4ABD"/>
    <w:rsid w:val="00CA4C89"/>
    <w:rsid w:val="00CA4DDB"/>
    <w:rsid w:val="00CA58F3"/>
    <w:rsid w:val="00CA618D"/>
    <w:rsid w:val="00CA654B"/>
    <w:rsid w:val="00CA6A17"/>
    <w:rsid w:val="00CA7378"/>
    <w:rsid w:val="00CA7A25"/>
    <w:rsid w:val="00CA7C9A"/>
    <w:rsid w:val="00CB02E4"/>
    <w:rsid w:val="00CB08C5"/>
    <w:rsid w:val="00CB1558"/>
    <w:rsid w:val="00CB1949"/>
    <w:rsid w:val="00CB1953"/>
    <w:rsid w:val="00CB19E4"/>
    <w:rsid w:val="00CB1AC0"/>
    <w:rsid w:val="00CB1D16"/>
    <w:rsid w:val="00CB247B"/>
    <w:rsid w:val="00CB2CC3"/>
    <w:rsid w:val="00CB2DB6"/>
    <w:rsid w:val="00CB38A2"/>
    <w:rsid w:val="00CB3DBE"/>
    <w:rsid w:val="00CB4635"/>
    <w:rsid w:val="00CB5C02"/>
    <w:rsid w:val="00CB6200"/>
    <w:rsid w:val="00CB6833"/>
    <w:rsid w:val="00CB6CD8"/>
    <w:rsid w:val="00CB700F"/>
    <w:rsid w:val="00CB74A2"/>
    <w:rsid w:val="00CB7948"/>
    <w:rsid w:val="00CB7A2B"/>
    <w:rsid w:val="00CC054C"/>
    <w:rsid w:val="00CC1F9A"/>
    <w:rsid w:val="00CC22BB"/>
    <w:rsid w:val="00CC290B"/>
    <w:rsid w:val="00CC2D69"/>
    <w:rsid w:val="00CC32F5"/>
    <w:rsid w:val="00CC3923"/>
    <w:rsid w:val="00CC4788"/>
    <w:rsid w:val="00CC55E2"/>
    <w:rsid w:val="00CC6183"/>
    <w:rsid w:val="00CC6759"/>
    <w:rsid w:val="00CC685F"/>
    <w:rsid w:val="00CC7260"/>
    <w:rsid w:val="00CC7462"/>
    <w:rsid w:val="00CC7A52"/>
    <w:rsid w:val="00CC7FCB"/>
    <w:rsid w:val="00CD0E3C"/>
    <w:rsid w:val="00CD18E4"/>
    <w:rsid w:val="00CD1BEC"/>
    <w:rsid w:val="00CD1C70"/>
    <w:rsid w:val="00CD1F25"/>
    <w:rsid w:val="00CD2323"/>
    <w:rsid w:val="00CD2335"/>
    <w:rsid w:val="00CD2439"/>
    <w:rsid w:val="00CD2644"/>
    <w:rsid w:val="00CD309F"/>
    <w:rsid w:val="00CD3268"/>
    <w:rsid w:val="00CD3877"/>
    <w:rsid w:val="00CD3BB0"/>
    <w:rsid w:val="00CD4540"/>
    <w:rsid w:val="00CD4834"/>
    <w:rsid w:val="00CD4851"/>
    <w:rsid w:val="00CD5820"/>
    <w:rsid w:val="00CD5B55"/>
    <w:rsid w:val="00CD5E05"/>
    <w:rsid w:val="00CD615E"/>
    <w:rsid w:val="00CD638B"/>
    <w:rsid w:val="00CD68CC"/>
    <w:rsid w:val="00CD6F81"/>
    <w:rsid w:val="00CD7378"/>
    <w:rsid w:val="00CD7861"/>
    <w:rsid w:val="00CE02CD"/>
    <w:rsid w:val="00CE068B"/>
    <w:rsid w:val="00CE078E"/>
    <w:rsid w:val="00CE1225"/>
    <w:rsid w:val="00CE203E"/>
    <w:rsid w:val="00CE22FB"/>
    <w:rsid w:val="00CE261C"/>
    <w:rsid w:val="00CE26F4"/>
    <w:rsid w:val="00CE377D"/>
    <w:rsid w:val="00CE39C4"/>
    <w:rsid w:val="00CE3C50"/>
    <w:rsid w:val="00CE477A"/>
    <w:rsid w:val="00CE59AF"/>
    <w:rsid w:val="00CE6D78"/>
    <w:rsid w:val="00CE744D"/>
    <w:rsid w:val="00CF07DA"/>
    <w:rsid w:val="00CF0C1A"/>
    <w:rsid w:val="00CF10E6"/>
    <w:rsid w:val="00CF11F4"/>
    <w:rsid w:val="00CF1567"/>
    <w:rsid w:val="00CF1A8B"/>
    <w:rsid w:val="00CF2051"/>
    <w:rsid w:val="00CF2145"/>
    <w:rsid w:val="00CF310B"/>
    <w:rsid w:val="00CF3495"/>
    <w:rsid w:val="00CF3680"/>
    <w:rsid w:val="00CF4023"/>
    <w:rsid w:val="00CF40E7"/>
    <w:rsid w:val="00CF4275"/>
    <w:rsid w:val="00CF42BD"/>
    <w:rsid w:val="00CF4A6F"/>
    <w:rsid w:val="00CF4BB8"/>
    <w:rsid w:val="00CF4C06"/>
    <w:rsid w:val="00CF4E5C"/>
    <w:rsid w:val="00CF504C"/>
    <w:rsid w:val="00CF5679"/>
    <w:rsid w:val="00CF6406"/>
    <w:rsid w:val="00CF6A77"/>
    <w:rsid w:val="00CF6B04"/>
    <w:rsid w:val="00CF6B48"/>
    <w:rsid w:val="00CF6C2C"/>
    <w:rsid w:val="00CF6F05"/>
    <w:rsid w:val="00CF746A"/>
    <w:rsid w:val="00D0044F"/>
    <w:rsid w:val="00D00859"/>
    <w:rsid w:val="00D00BCE"/>
    <w:rsid w:val="00D00F18"/>
    <w:rsid w:val="00D014EF"/>
    <w:rsid w:val="00D01576"/>
    <w:rsid w:val="00D01AA4"/>
    <w:rsid w:val="00D02D2A"/>
    <w:rsid w:val="00D02E6C"/>
    <w:rsid w:val="00D03F7D"/>
    <w:rsid w:val="00D04083"/>
    <w:rsid w:val="00D04603"/>
    <w:rsid w:val="00D04C36"/>
    <w:rsid w:val="00D056E5"/>
    <w:rsid w:val="00D0583C"/>
    <w:rsid w:val="00D058D9"/>
    <w:rsid w:val="00D05A78"/>
    <w:rsid w:val="00D06399"/>
    <w:rsid w:val="00D0680E"/>
    <w:rsid w:val="00D06D46"/>
    <w:rsid w:val="00D07AA5"/>
    <w:rsid w:val="00D10205"/>
    <w:rsid w:val="00D106BD"/>
    <w:rsid w:val="00D10C67"/>
    <w:rsid w:val="00D115DE"/>
    <w:rsid w:val="00D12926"/>
    <w:rsid w:val="00D137F1"/>
    <w:rsid w:val="00D13BFC"/>
    <w:rsid w:val="00D13DF5"/>
    <w:rsid w:val="00D14763"/>
    <w:rsid w:val="00D147FC"/>
    <w:rsid w:val="00D149FF"/>
    <w:rsid w:val="00D15174"/>
    <w:rsid w:val="00D156C7"/>
    <w:rsid w:val="00D16375"/>
    <w:rsid w:val="00D165B9"/>
    <w:rsid w:val="00D1662F"/>
    <w:rsid w:val="00D176F1"/>
    <w:rsid w:val="00D177D1"/>
    <w:rsid w:val="00D17A8C"/>
    <w:rsid w:val="00D17B8F"/>
    <w:rsid w:val="00D21425"/>
    <w:rsid w:val="00D21612"/>
    <w:rsid w:val="00D21633"/>
    <w:rsid w:val="00D22C5C"/>
    <w:rsid w:val="00D2353F"/>
    <w:rsid w:val="00D23A38"/>
    <w:rsid w:val="00D24329"/>
    <w:rsid w:val="00D24D59"/>
    <w:rsid w:val="00D250AC"/>
    <w:rsid w:val="00D25FCF"/>
    <w:rsid w:val="00D2610E"/>
    <w:rsid w:val="00D26542"/>
    <w:rsid w:val="00D265E1"/>
    <w:rsid w:val="00D26C97"/>
    <w:rsid w:val="00D26CB1"/>
    <w:rsid w:val="00D26EDB"/>
    <w:rsid w:val="00D27200"/>
    <w:rsid w:val="00D27340"/>
    <w:rsid w:val="00D276F0"/>
    <w:rsid w:val="00D2773F"/>
    <w:rsid w:val="00D277C3"/>
    <w:rsid w:val="00D27C4E"/>
    <w:rsid w:val="00D302F7"/>
    <w:rsid w:val="00D30993"/>
    <w:rsid w:val="00D316CB"/>
    <w:rsid w:val="00D318CC"/>
    <w:rsid w:val="00D31C77"/>
    <w:rsid w:val="00D32E80"/>
    <w:rsid w:val="00D34496"/>
    <w:rsid w:val="00D3464D"/>
    <w:rsid w:val="00D34FC8"/>
    <w:rsid w:val="00D35233"/>
    <w:rsid w:val="00D36098"/>
    <w:rsid w:val="00D36AB8"/>
    <w:rsid w:val="00D370C6"/>
    <w:rsid w:val="00D371AB"/>
    <w:rsid w:val="00D4035A"/>
    <w:rsid w:val="00D40688"/>
    <w:rsid w:val="00D40DA7"/>
    <w:rsid w:val="00D41B0C"/>
    <w:rsid w:val="00D41EAE"/>
    <w:rsid w:val="00D4214A"/>
    <w:rsid w:val="00D4239F"/>
    <w:rsid w:val="00D424DC"/>
    <w:rsid w:val="00D42C12"/>
    <w:rsid w:val="00D42E39"/>
    <w:rsid w:val="00D4308A"/>
    <w:rsid w:val="00D430DB"/>
    <w:rsid w:val="00D438A8"/>
    <w:rsid w:val="00D43C13"/>
    <w:rsid w:val="00D43DBC"/>
    <w:rsid w:val="00D445C6"/>
    <w:rsid w:val="00D446E7"/>
    <w:rsid w:val="00D4523E"/>
    <w:rsid w:val="00D45850"/>
    <w:rsid w:val="00D45877"/>
    <w:rsid w:val="00D45E72"/>
    <w:rsid w:val="00D46246"/>
    <w:rsid w:val="00D467B3"/>
    <w:rsid w:val="00D46A6B"/>
    <w:rsid w:val="00D46AC0"/>
    <w:rsid w:val="00D46C80"/>
    <w:rsid w:val="00D46D8C"/>
    <w:rsid w:val="00D47558"/>
    <w:rsid w:val="00D50B95"/>
    <w:rsid w:val="00D51132"/>
    <w:rsid w:val="00D51BF3"/>
    <w:rsid w:val="00D5271C"/>
    <w:rsid w:val="00D52F9E"/>
    <w:rsid w:val="00D52FC6"/>
    <w:rsid w:val="00D53332"/>
    <w:rsid w:val="00D536CE"/>
    <w:rsid w:val="00D54489"/>
    <w:rsid w:val="00D549B3"/>
    <w:rsid w:val="00D54F64"/>
    <w:rsid w:val="00D565BD"/>
    <w:rsid w:val="00D56724"/>
    <w:rsid w:val="00D56B2C"/>
    <w:rsid w:val="00D578A9"/>
    <w:rsid w:val="00D57F85"/>
    <w:rsid w:val="00D603E4"/>
    <w:rsid w:val="00D61725"/>
    <w:rsid w:val="00D61C59"/>
    <w:rsid w:val="00D62F1B"/>
    <w:rsid w:val="00D6326E"/>
    <w:rsid w:val="00D64938"/>
    <w:rsid w:val="00D65339"/>
    <w:rsid w:val="00D65C96"/>
    <w:rsid w:val="00D65FF6"/>
    <w:rsid w:val="00D67078"/>
    <w:rsid w:val="00D674CE"/>
    <w:rsid w:val="00D70202"/>
    <w:rsid w:val="00D70464"/>
    <w:rsid w:val="00D70953"/>
    <w:rsid w:val="00D71471"/>
    <w:rsid w:val="00D72004"/>
    <w:rsid w:val="00D72182"/>
    <w:rsid w:val="00D722D0"/>
    <w:rsid w:val="00D72EC6"/>
    <w:rsid w:val="00D733B5"/>
    <w:rsid w:val="00D73607"/>
    <w:rsid w:val="00D739AD"/>
    <w:rsid w:val="00D73C41"/>
    <w:rsid w:val="00D7425A"/>
    <w:rsid w:val="00D75319"/>
    <w:rsid w:val="00D753B3"/>
    <w:rsid w:val="00D75AA2"/>
    <w:rsid w:val="00D75BD2"/>
    <w:rsid w:val="00D76260"/>
    <w:rsid w:val="00D76697"/>
    <w:rsid w:val="00D77358"/>
    <w:rsid w:val="00D775A1"/>
    <w:rsid w:val="00D8012A"/>
    <w:rsid w:val="00D80755"/>
    <w:rsid w:val="00D8090F"/>
    <w:rsid w:val="00D80A72"/>
    <w:rsid w:val="00D812EE"/>
    <w:rsid w:val="00D815F4"/>
    <w:rsid w:val="00D834BE"/>
    <w:rsid w:val="00D83595"/>
    <w:rsid w:val="00D83DDF"/>
    <w:rsid w:val="00D84FAD"/>
    <w:rsid w:val="00D86087"/>
    <w:rsid w:val="00D864DF"/>
    <w:rsid w:val="00D86D8A"/>
    <w:rsid w:val="00D900C8"/>
    <w:rsid w:val="00D9038B"/>
    <w:rsid w:val="00D906F7"/>
    <w:rsid w:val="00D90CCE"/>
    <w:rsid w:val="00D91761"/>
    <w:rsid w:val="00D91983"/>
    <w:rsid w:val="00D91C18"/>
    <w:rsid w:val="00D91ED1"/>
    <w:rsid w:val="00D91F98"/>
    <w:rsid w:val="00D92941"/>
    <w:rsid w:val="00D92FEF"/>
    <w:rsid w:val="00D931FE"/>
    <w:rsid w:val="00D945F6"/>
    <w:rsid w:val="00D9462D"/>
    <w:rsid w:val="00D948B5"/>
    <w:rsid w:val="00D94C54"/>
    <w:rsid w:val="00D95191"/>
    <w:rsid w:val="00D95FD3"/>
    <w:rsid w:val="00D96241"/>
    <w:rsid w:val="00D96B16"/>
    <w:rsid w:val="00D9717C"/>
    <w:rsid w:val="00D9731F"/>
    <w:rsid w:val="00D97F9C"/>
    <w:rsid w:val="00DA02EE"/>
    <w:rsid w:val="00DA0CC4"/>
    <w:rsid w:val="00DA13BC"/>
    <w:rsid w:val="00DA164C"/>
    <w:rsid w:val="00DA1A0B"/>
    <w:rsid w:val="00DA274F"/>
    <w:rsid w:val="00DA2D62"/>
    <w:rsid w:val="00DA3CE6"/>
    <w:rsid w:val="00DA4217"/>
    <w:rsid w:val="00DA46AA"/>
    <w:rsid w:val="00DA4AE3"/>
    <w:rsid w:val="00DA4F82"/>
    <w:rsid w:val="00DA586B"/>
    <w:rsid w:val="00DA58A6"/>
    <w:rsid w:val="00DA5914"/>
    <w:rsid w:val="00DA653C"/>
    <w:rsid w:val="00DA65F3"/>
    <w:rsid w:val="00DA6B84"/>
    <w:rsid w:val="00DA6D6B"/>
    <w:rsid w:val="00DA72DF"/>
    <w:rsid w:val="00DB04D8"/>
    <w:rsid w:val="00DB0800"/>
    <w:rsid w:val="00DB0879"/>
    <w:rsid w:val="00DB18E9"/>
    <w:rsid w:val="00DB197A"/>
    <w:rsid w:val="00DB2A40"/>
    <w:rsid w:val="00DB2B36"/>
    <w:rsid w:val="00DB2EDD"/>
    <w:rsid w:val="00DB34E0"/>
    <w:rsid w:val="00DB4394"/>
    <w:rsid w:val="00DB4A08"/>
    <w:rsid w:val="00DB4B0B"/>
    <w:rsid w:val="00DB4BA2"/>
    <w:rsid w:val="00DB58A7"/>
    <w:rsid w:val="00DB5A02"/>
    <w:rsid w:val="00DB5CE5"/>
    <w:rsid w:val="00DB5F87"/>
    <w:rsid w:val="00DB7030"/>
    <w:rsid w:val="00DB7683"/>
    <w:rsid w:val="00DB7B42"/>
    <w:rsid w:val="00DC1234"/>
    <w:rsid w:val="00DC1980"/>
    <w:rsid w:val="00DC26FF"/>
    <w:rsid w:val="00DC2A13"/>
    <w:rsid w:val="00DC2F4A"/>
    <w:rsid w:val="00DC3630"/>
    <w:rsid w:val="00DC39FD"/>
    <w:rsid w:val="00DC3F0A"/>
    <w:rsid w:val="00DC40BC"/>
    <w:rsid w:val="00DC4CE6"/>
    <w:rsid w:val="00DC502B"/>
    <w:rsid w:val="00DC591E"/>
    <w:rsid w:val="00DC5BE6"/>
    <w:rsid w:val="00DC650C"/>
    <w:rsid w:val="00DC6605"/>
    <w:rsid w:val="00DC6A35"/>
    <w:rsid w:val="00DC6B0C"/>
    <w:rsid w:val="00DC6E76"/>
    <w:rsid w:val="00DC6F8E"/>
    <w:rsid w:val="00DC7397"/>
    <w:rsid w:val="00DC779E"/>
    <w:rsid w:val="00DC7872"/>
    <w:rsid w:val="00DC7E30"/>
    <w:rsid w:val="00DC7FB6"/>
    <w:rsid w:val="00DD00DF"/>
    <w:rsid w:val="00DD08B1"/>
    <w:rsid w:val="00DD11BB"/>
    <w:rsid w:val="00DD1B28"/>
    <w:rsid w:val="00DD2164"/>
    <w:rsid w:val="00DD2166"/>
    <w:rsid w:val="00DD2AA8"/>
    <w:rsid w:val="00DD321C"/>
    <w:rsid w:val="00DD3845"/>
    <w:rsid w:val="00DD3873"/>
    <w:rsid w:val="00DD4304"/>
    <w:rsid w:val="00DD47E5"/>
    <w:rsid w:val="00DD5806"/>
    <w:rsid w:val="00DD585B"/>
    <w:rsid w:val="00DD604E"/>
    <w:rsid w:val="00DD66A9"/>
    <w:rsid w:val="00DD69A2"/>
    <w:rsid w:val="00DD7C7E"/>
    <w:rsid w:val="00DE0B36"/>
    <w:rsid w:val="00DE2071"/>
    <w:rsid w:val="00DE27E3"/>
    <w:rsid w:val="00DE2AC4"/>
    <w:rsid w:val="00DE2AEC"/>
    <w:rsid w:val="00DE3662"/>
    <w:rsid w:val="00DE38B4"/>
    <w:rsid w:val="00DE4931"/>
    <w:rsid w:val="00DE4B71"/>
    <w:rsid w:val="00DE5405"/>
    <w:rsid w:val="00DE586A"/>
    <w:rsid w:val="00DE5DFF"/>
    <w:rsid w:val="00DE617E"/>
    <w:rsid w:val="00DE620C"/>
    <w:rsid w:val="00DE63D6"/>
    <w:rsid w:val="00DE652F"/>
    <w:rsid w:val="00DE6F26"/>
    <w:rsid w:val="00DE70DD"/>
    <w:rsid w:val="00DE718F"/>
    <w:rsid w:val="00DE7343"/>
    <w:rsid w:val="00DE74F2"/>
    <w:rsid w:val="00DE754E"/>
    <w:rsid w:val="00DE7BA8"/>
    <w:rsid w:val="00DF00C8"/>
    <w:rsid w:val="00DF09AE"/>
    <w:rsid w:val="00DF0B2B"/>
    <w:rsid w:val="00DF0F0D"/>
    <w:rsid w:val="00DF103D"/>
    <w:rsid w:val="00DF10A8"/>
    <w:rsid w:val="00DF198C"/>
    <w:rsid w:val="00DF1B47"/>
    <w:rsid w:val="00DF203F"/>
    <w:rsid w:val="00DF26DF"/>
    <w:rsid w:val="00DF3167"/>
    <w:rsid w:val="00DF3766"/>
    <w:rsid w:val="00DF3DE9"/>
    <w:rsid w:val="00DF4285"/>
    <w:rsid w:val="00DF42B6"/>
    <w:rsid w:val="00DF5F2D"/>
    <w:rsid w:val="00DF5F3B"/>
    <w:rsid w:val="00DF60AA"/>
    <w:rsid w:val="00DF60B1"/>
    <w:rsid w:val="00DF61F4"/>
    <w:rsid w:val="00DF61FC"/>
    <w:rsid w:val="00DF625E"/>
    <w:rsid w:val="00DF7337"/>
    <w:rsid w:val="00DF74CC"/>
    <w:rsid w:val="00E002CA"/>
    <w:rsid w:val="00E00DC5"/>
    <w:rsid w:val="00E011D7"/>
    <w:rsid w:val="00E01932"/>
    <w:rsid w:val="00E02070"/>
    <w:rsid w:val="00E026D8"/>
    <w:rsid w:val="00E03640"/>
    <w:rsid w:val="00E038C0"/>
    <w:rsid w:val="00E04253"/>
    <w:rsid w:val="00E04A84"/>
    <w:rsid w:val="00E054AF"/>
    <w:rsid w:val="00E05FDB"/>
    <w:rsid w:val="00E06206"/>
    <w:rsid w:val="00E06544"/>
    <w:rsid w:val="00E06D9E"/>
    <w:rsid w:val="00E073BF"/>
    <w:rsid w:val="00E07953"/>
    <w:rsid w:val="00E07A5A"/>
    <w:rsid w:val="00E07B7D"/>
    <w:rsid w:val="00E07B92"/>
    <w:rsid w:val="00E07DE5"/>
    <w:rsid w:val="00E07E02"/>
    <w:rsid w:val="00E10157"/>
    <w:rsid w:val="00E1046D"/>
    <w:rsid w:val="00E10D3E"/>
    <w:rsid w:val="00E12586"/>
    <w:rsid w:val="00E12A10"/>
    <w:rsid w:val="00E13BBB"/>
    <w:rsid w:val="00E13E3D"/>
    <w:rsid w:val="00E143FB"/>
    <w:rsid w:val="00E15CEA"/>
    <w:rsid w:val="00E16251"/>
    <w:rsid w:val="00E17C40"/>
    <w:rsid w:val="00E20A72"/>
    <w:rsid w:val="00E20BD7"/>
    <w:rsid w:val="00E20C22"/>
    <w:rsid w:val="00E22A08"/>
    <w:rsid w:val="00E2376B"/>
    <w:rsid w:val="00E23824"/>
    <w:rsid w:val="00E24602"/>
    <w:rsid w:val="00E2512F"/>
    <w:rsid w:val="00E25EF5"/>
    <w:rsid w:val="00E2640B"/>
    <w:rsid w:val="00E26536"/>
    <w:rsid w:val="00E2653D"/>
    <w:rsid w:val="00E266B0"/>
    <w:rsid w:val="00E26FA9"/>
    <w:rsid w:val="00E2714E"/>
    <w:rsid w:val="00E278F2"/>
    <w:rsid w:val="00E27CEE"/>
    <w:rsid w:val="00E305A0"/>
    <w:rsid w:val="00E31300"/>
    <w:rsid w:val="00E316DF"/>
    <w:rsid w:val="00E31EE9"/>
    <w:rsid w:val="00E3216A"/>
    <w:rsid w:val="00E33029"/>
    <w:rsid w:val="00E331E4"/>
    <w:rsid w:val="00E33532"/>
    <w:rsid w:val="00E34219"/>
    <w:rsid w:val="00E347E4"/>
    <w:rsid w:val="00E34D71"/>
    <w:rsid w:val="00E35585"/>
    <w:rsid w:val="00E35704"/>
    <w:rsid w:val="00E35764"/>
    <w:rsid w:val="00E357A1"/>
    <w:rsid w:val="00E3656D"/>
    <w:rsid w:val="00E36665"/>
    <w:rsid w:val="00E370F2"/>
    <w:rsid w:val="00E37F08"/>
    <w:rsid w:val="00E40607"/>
    <w:rsid w:val="00E40EF3"/>
    <w:rsid w:val="00E4106B"/>
    <w:rsid w:val="00E42482"/>
    <w:rsid w:val="00E4252B"/>
    <w:rsid w:val="00E4259C"/>
    <w:rsid w:val="00E4288D"/>
    <w:rsid w:val="00E42A38"/>
    <w:rsid w:val="00E42F5A"/>
    <w:rsid w:val="00E43363"/>
    <w:rsid w:val="00E43484"/>
    <w:rsid w:val="00E43D6D"/>
    <w:rsid w:val="00E44954"/>
    <w:rsid w:val="00E4539F"/>
    <w:rsid w:val="00E4574D"/>
    <w:rsid w:val="00E45A37"/>
    <w:rsid w:val="00E45D02"/>
    <w:rsid w:val="00E45D61"/>
    <w:rsid w:val="00E45F37"/>
    <w:rsid w:val="00E460E4"/>
    <w:rsid w:val="00E466B6"/>
    <w:rsid w:val="00E46E72"/>
    <w:rsid w:val="00E47F37"/>
    <w:rsid w:val="00E500A8"/>
    <w:rsid w:val="00E5033E"/>
    <w:rsid w:val="00E509A0"/>
    <w:rsid w:val="00E509C6"/>
    <w:rsid w:val="00E50CB3"/>
    <w:rsid w:val="00E50CB4"/>
    <w:rsid w:val="00E50EB1"/>
    <w:rsid w:val="00E51065"/>
    <w:rsid w:val="00E51F05"/>
    <w:rsid w:val="00E522E4"/>
    <w:rsid w:val="00E52C26"/>
    <w:rsid w:val="00E534DF"/>
    <w:rsid w:val="00E53B2A"/>
    <w:rsid w:val="00E53F8B"/>
    <w:rsid w:val="00E542BD"/>
    <w:rsid w:val="00E55211"/>
    <w:rsid w:val="00E553B7"/>
    <w:rsid w:val="00E55421"/>
    <w:rsid w:val="00E555C1"/>
    <w:rsid w:val="00E557C4"/>
    <w:rsid w:val="00E558AE"/>
    <w:rsid w:val="00E55C2D"/>
    <w:rsid w:val="00E55D8F"/>
    <w:rsid w:val="00E574E1"/>
    <w:rsid w:val="00E57A20"/>
    <w:rsid w:val="00E57AFC"/>
    <w:rsid w:val="00E57BDA"/>
    <w:rsid w:val="00E57F26"/>
    <w:rsid w:val="00E60248"/>
    <w:rsid w:val="00E605A9"/>
    <w:rsid w:val="00E609B7"/>
    <w:rsid w:val="00E6156F"/>
    <w:rsid w:val="00E61EC8"/>
    <w:rsid w:val="00E62275"/>
    <w:rsid w:val="00E6274C"/>
    <w:rsid w:val="00E62971"/>
    <w:rsid w:val="00E62E08"/>
    <w:rsid w:val="00E630E5"/>
    <w:rsid w:val="00E63357"/>
    <w:rsid w:val="00E6341B"/>
    <w:rsid w:val="00E6349C"/>
    <w:rsid w:val="00E6376A"/>
    <w:rsid w:val="00E64048"/>
    <w:rsid w:val="00E64220"/>
    <w:rsid w:val="00E644D0"/>
    <w:rsid w:val="00E646B4"/>
    <w:rsid w:val="00E64A94"/>
    <w:rsid w:val="00E64E72"/>
    <w:rsid w:val="00E64F93"/>
    <w:rsid w:val="00E67EA6"/>
    <w:rsid w:val="00E70883"/>
    <w:rsid w:val="00E73189"/>
    <w:rsid w:val="00E73260"/>
    <w:rsid w:val="00E73289"/>
    <w:rsid w:val="00E7414C"/>
    <w:rsid w:val="00E74356"/>
    <w:rsid w:val="00E75072"/>
    <w:rsid w:val="00E7632A"/>
    <w:rsid w:val="00E76395"/>
    <w:rsid w:val="00E76EDE"/>
    <w:rsid w:val="00E77064"/>
    <w:rsid w:val="00E77AA1"/>
    <w:rsid w:val="00E77E6C"/>
    <w:rsid w:val="00E77FE4"/>
    <w:rsid w:val="00E80129"/>
    <w:rsid w:val="00E813D9"/>
    <w:rsid w:val="00E819DB"/>
    <w:rsid w:val="00E81C1F"/>
    <w:rsid w:val="00E826F3"/>
    <w:rsid w:val="00E82838"/>
    <w:rsid w:val="00E82999"/>
    <w:rsid w:val="00E8318B"/>
    <w:rsid w:val="00E83561"/>
    <w:rsid w:val="00E83BFD"/>
    <w:rsid w:val="00E842F5"/>
    <w:rsid w:val="00E84459"/>
    <w:rsid w:val="00E84ED9"/>
    <w:rsid w:val="00E859B7"/>
    <w:rsid w:val="00E87487"/>
    <w:rsid w:val="00E910D4"/>
    <w:rsid w:val="00E91960"/>
    <w:rsid w:val="00E91A13"/>
    <w:rsid w:val="00E91EC0"/>
    <w:rsid w:val="00E9249F"/>
    <w:rsid w:val="00E92572"/>
    <w:rsid w:val="00E92A43"/>
    <w:rsid w:val="00E92D60"/>
    <w:rsid w:val="00E936CD"/>
    <w:rsid w:val="00E937C2"/>
    <w:rsid w:val="00E93913"/>
    <w:rsid w:val="00E94104"/>
    <w:rsid w:val="00E942A2"/>
    <w:rsid w:val="00E94691"/>
    <w:rsid w:val="00E94B69"/>
    <w:rsid w:val="00E95B36"/>
    <w:rsid w:val="00E95E0C"/>
    <w:rsid w:val="00E95EBE"/>
    <w:rsid w:val="00E9618A"/>
    <w:rsid w:val="00E96676"/>
    <w:rsid w:val="00E97178"/>
    <w:rsid w:val="00E97262"/>
    <w:rsid w:val="00E9761C"/>
    <w:rsid w:val="00E97AFC"/>
    <w:rsid w:val="00E97C66"/>
    <w:rsid w:val="00E97C76"/>
    <w:rsid w:val="00EA1894"/>
    <w:rsid w:val="00EA1A1C"/>
    <w:rsid w:val="00EA1A61"/>
    <w:rsid w:val="00EA1B56"/>
    <w:rsid w:val="00EA25FF"/>
    <w:rsid w:val="00EA2712"/>
    <w:rsid w:val="00EA2ABD"/>
    <w:rsid w:val="00EA2F6A"/>
    <w:rsid w:val="00EA37EC"/>
    <w:rsid w:val="00EA3B07"/>
    <w:rsid w:val="00EA40BE"/>
    <w:rsid w:val="00EA492E"/>
    <w:rsid w:val="00EA4961"/>
    <w:rsid w:val="00EA55B6"/>
    <w:rsid w:val="00EA7085"/>
    <w:rsid w:val="00EB030F"/>
    <w:rsid w:val="00EB0546"/>
    <w:rsid w:val="00EB0968"/>
    <w:rsid w:val="00EB140E"/>
    <w:rsid w:val="00EB146F"/>
    <w:rsid w:val="00EB17B9"/>
    <w:rsid w:val="00EB2230"/>
    <w:rsid w:val="00EB265A"/>
    <w:rsid w:val="00EB3380"/>
    <w:rsid w:val="00EB3521"/>
    <w:rsid w:val="00EB39FB"/>
    <w:rsid w:val="00EB3B0D"/>
    <w:rsid w:val="00EB4FA3"/>
    <w:rsid w:val="00EB5015"/>
    <w:rsid w:val="00EB64D8"/>
    <w:rsid w:val="00EB7A79"/>
    <w:rsid w:val="00EB7F6B"/>
    <w:rsid w:val="00EC02FC"/>
    <w:rsid w:val="00EC0CA6"/>
    <w:rsid w:val="00EC0E09"/>
    <w:rsid w:val="00EC117C"/>
    <w:rsid w:val="00EC1652"/>
    <w:rsid w:val="00EC1DA6"/>
    <w:rsid w:val="00EC23D7"/>
    <w:rsid w:val="00EC2507"/>
    <w:rsid w:val="00EC2BB5"/>
    <w:rsid w:val="00EC317B"/>
    <w:rsid w:val="00EC34BF"/>
    <w:rsid w:val="00EC4D86"/>
    <w:rsid w:val="00EC509A"/>
    <w:rsid w:val="00EC53EF"/>
    <w:rsid w:val="00EC5CAB"/>
    <w:rsid w:val="00EC5D4F"/>
    <w:rsid w:val="00EC60F8"/>
    <w:rsid w:val="00EC6314"/>
    <w:rsid w:val="00EC71B3"/>
    <w:rsid w:val="00EC7B37"/>
    <w:rsid w:val="00EC7F11"/>
    <w:rsid w:val="00ED038D"/>
    <w:rsid w:val="00ED0458"/>
    <w:rsid w:val="00ED064F"/>
    <w:rsid w:val="00ED071B"/>
    <w:rsid w:val="00ED0C75"/>
    <w:rsid w:val="00ED282A"/>
    <w:rsid w:val="00ED2A7C"/>
    <w:rsid w:val="00ED3776"/>
    <w:rsid w:val="00ED382F"/>
    <w:rsid w:val="00ED41EB"/>
    <w:rsid w:val="00ED4291"/>
    <w:rsid w:val="00ED4F5D"/>
    <w:rsid w:val="00ED512C"/>
    <w:rsid w:val="00ED5AF2"/>
    <w:rsid w:val="00ED65A7"/>
    <w:rsid w:val="00ED6E36"/>
    <w:rsid w:val="00ED753D"/>
    <w:rsid w:val="00ED7835"/>
    <w:rsid w:val="00ED79D5"/>
    <w:rsid w:val="00ED7C3B"/>
    <w:rsid w:val="00ED7EE2"/>
    <w:rsid w:val="00ED7FCB"/>
    <w:rsid w:val="00EE1443"/>
    <w:rsid w:val="00EE1A31"/>
    <w:rsid w:val="00EE2CD5"/>
    <w:rsid w:val="00EE30EA"/>
    <w:rsid w:val="00EE31A1"/>
    <w:rsid w:val="00EE33A6"/>
    <w:rsid w:val="00EE3B07"/>
    <w:rsid w:val="00EE3BD5"/>
    <w:rsid w:val="00EE3E29"/>
    <w:rsid w:val="00EE4A15"/>
    <w:rsid w:val="00EE66D8"/>
    <w:rsid w:val="00EE72DC"/>
    <w:rsid w:val="00EE7452"/>
    <w:rsid w:val="00EE7C94"/>
    <w:rsid w:val="00EE7F0F"/>
    <w:rsid w:val="00EF160E"/>
    <w:rsid w:val="00EF207E"/>
    <w:rsid w:val="00EF2139"/>
    <w:rsid w:val="00EF244D"/>
    <w:rsid w:val="00EF3358"/>
    <w:rsid w:val="00EF3A03"/>
    <w:rsid w:val="00EF4F44"/>
    <w:rsid w:val="00EF55E1"/>
    <w:rsid w:val="00EF5CED"/>
    <w:rsid w:val="00EF5FA8"/>
    <w:rsid w:val="00EF6233"/>
    <w:rsid w:val="00EF6933"/>
    <w:rsid w:val="00EF6AE8"/>
    <w:rsid w:val="00EF70CA"/>
    <w:rsid w:val="00EF71CA"/>
    <w:rsid w:val="00EF7305"/>
    <w:rsid w:val="00EF752F"/>
    <w:rsid w:val="00F0002D"/>
    <w:rsid w:val="00F000B1"/>
    <w:rsid w:val="00F01193"/>
    <w:rsid w:val="00F011CC"/>
    <w:rsid w:val="00F016B6"/>
    <w:rsid w:val="00F0205D"/>
    <w:rsid w:val="00F02C8C"/>
    <w:rsid w:val="00F036AF"/>
    <w:rsid w:val="00F03BC6"/>
    <w:rsid w:val="00F03E40"/>
    <w:rsid w:val="00F04251"/>
    <w:rsid w:val="00F044E4"/>
    <w:rsid w:val="00F04512"/>
    <w:rsid w:val="00F04561"/>
    <w:rsid w:val="00F04799"/>
    <w:rsid w:val="00F04DAF"/>
    <w:rsid w:val="00F058C3"/>
    <w:rsid w:val="00F05A2C"/>
    <w:rsid w:val="00F06F85"/>
    <w:rsid w:val="00F070BE"/>
    <w:rsid w:val="00F070E5"/>
    <w:rsid w:val="00F07675"/>
    <w:rsid w:val="00F077E9"/>
    <w:rsid w:val="00F07D8A"/>
    <w:rsid w:val="00F107EE"/>
    <w:rsid w:val="00F11CA2"/>
    <w:rsid w:val="00F11E44"/>
    <w:rsid w:val="00F12443"/>
    <w:rsid w:val="00F12CB0"/>
    <w:rsid w:val="00F14526"/>
    <w:rsid w:val="00F14A84"/>
    <w:rsid w:val="00F14A98"/>
    <w:rsid w:val="00F15258"/>
    <w:rsid w:val="00F152E2"/>
    <w:rsid w:val="00F157CA"/>
    <w:rsid w:val="00F15F7D"/>
    <w:rsid w:val="00F16E15"/>
    <w:rsid w:val="00F16E7C"/>
    <w:rsid w:val="00F21581"/>
    <w:rsid w:val="00F22807"/>
    <w:rsid w:val="00F23CBE"/>
    <w:rsid w:val="00F2440F"/>
    <w:rsid w:val="00F245E7"/>
    <w:rsid w:val="00F248E4"/>
    <w:rsid w:val="00F24D9D"/>
    <w:rsid w:val="00F24F45"/>
    <w:rsid w:val="00F251E8"/>
    <w:rsid w:val="00F25262"/>
    <w:rsid w:val="00F26531"/>
    <w:rsid w:val="00F273E9"/>
    <w:rsid w:val="00F2759B"/>
    <w:rsid w:val="00F27B0E"/>
    <w:rsid w:val="00F27DF8"/>
    <w:rsid w:val="00F30274"/>
    <w:rsid w:val="00F30695"/>
    <w:rsid w:val="00F30701"/>
    <w:rsid w:val="00F30B58"/>
    <w:rsid w:val="00F32186"/>
    <w:rsid w:val="00F323D5"/>
    <w:rsid w:val="00F32BBF"/>
    <w:rsid w:val="00F33406"/>
    <w:rsid w:val="00F33736"/>
    <w:rsid w:val="00F34421"/>
    <w:rsid w:val="00F34484"/>
    <w:rsid w:val="00F34888"/>
    <w:rsid w:val="00F34930"/>
    <w:rsid w:val="00F34B27"/>
    <w:rsid w:val="00F35851"/>
    <w:rsid w:val="00F35A92"/>
    <w:rsid w:val="00F36E63"/>
    <w:rsid w:val="00F3705D"/>
    <w:rsid w:val="00F375AE"/>
    <w:rsid w:val="00F37FAB"/>
    <w:rsid w:val="00F408B7"/>
    <w:rsid w:val="00F409DE"/>
    <w:rsid w:val="00F40C49"/>
    <w:rsid w:val="00F412D9"/>
    <w:rsid w:val="00F44267"/>
    <w:rsid w:val="00F442A2"/>
    <w:rsid w:val="00F443AD"/>
    <w:rsid w:val="00F44A66"/>
    <w:rsid w:val="00F44EA5"/>
    <w:rsid w:val="00F450DF"/>
    <w:rsid w:val="00F456F6"/>
    <w:rsid w:val="00F46332"/>
    <w:rsid w:val="00F463FE"/>
    <w:rsid w:val="00F465F5"/>
    <w:rsid w:val="00F46A79"/>
    <w:rsid w:val="00F46B4E"/>
    <w:rsid w:val="00F46D4A"/>
    <w:rsid w:val="00F46FC9"/>
    <w:rsid w:val="00F47483"/>
    <w:rsid w:val="00F474DC"/>
    <w:rsid w:val="00F475E7"/>
    <w:rsid w:val="00F4779D"/>
    <w:rsid w:val="00F47B11"/>
    <w:rsid w:val="00F507A3"/>
    <w:rsid w:val="00F517DA"/>
    <w:rsid w:val="00F5191C"/>
    <w:rsid w:val="00F51E8C"/>
    <w:rsid w:val="00F51ECD"/>
    <w:rsid w:val="00F52231"/>
    <w:rsid w:val="00F52692"/>
    <w:rsid w:val="00F52D4A"/>
    <w:rsid w:val="00F53071"/>
    <w:rsid w:val="00F536AB"/>
    <w:rsid w:val="00F53BD6"/>
    <w:rsid w:val="00F53D49"/>
    <w:rsid w:val="00F541F8"/>
    <w:rsid w:val="00F563FB"/>
    <w:rsid w:val="00F56727"/>
    <w:rsid w:val="00F56D74"/>
    <w:rsid w:val="00F56DA7"/>
    <w:rsid w:val="00F56EF9"/>
    <w:rsid w:val="00F57ED2"/>
    <w:rsid w:val="00F6081B"/>
    <w:rsid w:val="00F60A51"/>
    <w:rsid w:val="00F60B6D"/>
    <w:rsid w:val="00F60BA2"/>
    <w:rsid w:val="00F612AB"/>
    <w:rsid w:val="00F62042"/>
    <w:rsid w:val="00F620AF"/>
    <w:rsid w:val="00F626CF"/>
    <w:rsid w:val="00F6354C"/>
    <w:rsid w:val="00F635B6"/>
    <w:rsid w:val="00F63854"/>
    <w:rsid w:val="00F6387D"/>
    <w:rsid w:val="00F6460F"/>
    <w:rsid w:val="00F64BB8"/>
    <w:rsid w:val="00F659FB"/>
    <w:rsid w:val="00F66713"/>
    <w:rsid w:val="00F6744D"/>
    <w:rsid w:val="00F700DD"/>
    <w:rsid w:val="00F70C56"/>
    <w:rsid w:val="00F712EE"/>
    <w:rsid w:val="00F714C9"/>
    <w:rsid w:val="00F71852"/>
    <w:rsid w:val="00F72037"/>
    <w:rsid w:val="00F723D4"/>
    <w:rsid w:val="00F7258D"/>
    <w:rsid w:val="00F72890"/>
    <w:rsid w:val="00F729BC"/>
    <w:rsid w:val="00F72F2D"/>
    <w:rsid w:val="00F7304E"/>
    <w:rsid w:val="00F73CD3"/>
    <w:rsid w:val="00F74019"/>
    <w:rsid w:val="00F7402E"/>
    <w:rsid w:val="00F74A92"/>
    <w:rsid w:val="00F76217"/>
    <w:rsid w:val="00F76A87"/>
    <w:rsid w:val="00F77761"/>
    <w:rsid w:val="00F778D9"/>
    <w:rsid w:val="00F77C55"/>
    <w:rsid w:val="00F8004D"/>
    <w:rsid w:val="00F80F34"/>
    <w:rsid w:val="00F810EA"/>
    <w:rsid w:val="00F81589"/>
    <w:rsid w:val="00F81FBF"/>
    <w:rsid w:val="00F823BE"/>
    <w:rsid w:val="00F82A1D"/>
    <w:rsid w:val="00F82C93"/>
    <w:rsid w:val="00F83444"/>
    <w:rsid w:val="00F83BA9"/>
    <w:rsid w:val="00F8444E"/>
    <w:rsid w:val="00F844EC"/>
    <w:rsid w:val="00F8574B"/>
    <w:rsid w:val="00F86BEC"/>
    <w:rsid w:val="00F86D3A"/>
    <w:rsid w:val="00F902D3"/>
    <w:rsid w:val="00F90742"/>
    <w:rsid w:val="00F90761"/>
    <w:rsid w:val="00F90B54"/>
    <w:rsid w:val="00F90CF0"/>
    <w:rsid w:val="00F91369"/>
    <w:rsid w:val="00F9170F"/>
    <w:rsid w:val="00F946A6"/>
    <w:rsid w:val="00F94BFE"/>
    <w:rsid w:val="00F95264"/>
    <w:rsid w:val="00F9542C"/>
    <w:rsid w:val="00F95A32"/>
    <w:rsid w:val="00F95E5C"/>
    <w:rsid w:val="00F9617A"/>
    <w:rsid w:val="00F962F9"/>
    <w:rsid w:val="00F96BAB"/>
    <w:rsid w:val="00F96BFE"/>
    <w:rsid w:val="00FA011E"/>
    <w:rsid w:val="00FA0D2E"/>
    <w:rsid w:val="00FA1061"/>
    <w:rsid w:val="00FA1AB7"/>
    <w:rsid w:val="00FA1C4E"/>
    <w:rsid w:val="00FA1FD3"/>
    <w:rsid w:val="00FA29B1"/>
    <w:rsid w:val="00FA2E19"/>
    <w:rsid w:val="00FA3D28"/>
    <w:rsid w:val="00FA3F97"/>
    <w:rsid w:val="00FA4848"/>
    <w:rsid w:val="00FA4867"/>
    <w:rsid w:val="00FA4CCA"/>
    <w:rsid w:val="00FA4E1A"/>
    <w:rsid w:val="00FA4FE8"/>
    <w:rsid w:val="00FA5EC1"/>
    <w:rsid w:val="00FA6C0C"/>
    <w:rsid w:val="00FA7335"/>
    <w:rsid w:val="00FA7613"/>
    <w:rsid w:val="00FA7BB0"/>
    <w:rsid w:val="00FA7E20"/>
    <w:rsid w:val="00FB1032"/>
    <w:rsid w:val="00FB1491"/>
    <w:rsid w:val="00FB2248"/>
    <w:rsid w:val="00FB2385"/>
    <w:rsid w:val="00FB491A"/>
    <w:rsid w:val="00FB4929"/>
    <w:rsid w:val="00FB4BA8"/>
    <w:rsid w:val="00FB5032"/>
    <w:rsid w:val="00FB5C7E"/>
    <w:rsid w:val="00FB5D67"/>
    <w:rsid w:val="00FB5D9D"/>
    <w:rsid w:val="00FB715D"/>
    <w:rsid w:val="00FB71BC"/>
    <w:rsid w:val="00FB7490"/>
    <w:rsid w:val="00FB75FB"/>
    <w:rsid w:val="00FB762E"/>
    <w:rsid w:val="00FB76E3"/>
    <w:rsid w:val="00FC0D1C"/>
    <w:rsid w:val="00FC0F06"/>
    <w:rsid w:val="00FC1145"/>
    <w:rsid w:val="00FC1768"/>
    <w:rsid w:val="00FC3506"/>
    <w:rsid w:val="00FC3E69"/>
    <w:rsid w:val="00FC56D5"/>
    <w:rsid w:val="00FC75FA"/>
    <w:rsid w:val="00FC76A3"/>
    <w:rsid w:val="00FD01F1"/>
    <w:rsid w:val="00FD05E0"/>
    <w:rsid w:val="00FD0DF0"/>
    <w:rsid w:val="00FD1570"/>
    <w:rsid w:val="00FD165B"/>
    <w:rsid w:val="00FD1802"/>
    <w:rsid w:val="00FD229C"/>
    <w:rsid w:val="00FD271E"/>
    <w:rsid w:val="00FD2F55"/>
    <w:rsid w:val="00FD35A1"/>
    <w:rsid w:val="00FD3B4F"/>
    <w:rsid w:val="00FD3FE4"/>
    <w:rsid w:val="00FD4D54"/>
    <w:rsid w:val="00FD516F"/>
    <w:rsid w:val="00FD5504"/>
    <w:rsid w:val="00FD6158"/>
    <w:rsid w:val="00FD6BED"/>
    <w:rsid w:val="00FD7A1E"/>
    <w:rsid w:val="00FE0831"/>
    <w:rsid w:val="00FE0CAD"/>
    <w:rsid w:val="00FE1169"/>
    <w:rsid w:val="00FE166C"/>
    <w:rsid w:val="00FE1BEC"/>
    <w:rsid w:val="00FE2373"/>
    <w:rsid w:val="00FE2D87"/>
    <w:rsid w:val="00FE2EDF"/>
    <w:rsid w:val="00FE31CA"/>
    <w:rsid w:val="00FE3DEA"/>
    <w:rsid w:val="00FE3E0A"/>
    <w:rsid w:val="00FE40CF"/>
    <w:rsid w:val="00FE4194"/>
    <w:rsid w:val="00FE43C0"/>
    <w:rsid w:val="00FE456A"/>
    <w:rsid w:val="00FE533A"/>
    <w:rsid w:val="00FE5AED"/>
    <w:rsid w:val="00FE5B71"/>
    <w:rsid w:val="00FE60B1"/>
    <w:rsid w:val="00FE6202"/>
    <w:rsid w:val="00FE70AA"/>
    <w:rsid w:val="00FE7B35"/>
    <w:rsid w:val="00FE7CA2"/>
    <w:rsid w:val="00FE7E5B"/>
    <w:rsid w:val="00FF0577"/>
    <w:rsid w:val="00FF0878"/>
    <w:rsid w:val="00FF112F"/>
    <w:rsid w:val="00FF13B5"/>
    <w:rsid w:val="00FF18E3"/>
    <w:rsid w:val="00FF2EDB"/>
    <w:rsid w:val="00FF3247"/>
    <w:rsid w:val="00FF32D9"/>
    <w:rsid w:val="00FF33DF"/>
    <w:rsid w:val="00FF378F"/>
    <w:rsid w:val="00FF3F9F"/>
    <w:rsid w:val="00FF52FE"/>
    <w:rsid w:val="00FF590F"/>
    <w:rsid w:val="00FF5BF0"/>
    <w:rsid w:val="00FF6131"/>
    <w:rsid w:val="00FF64D8"/>
    <w:rsid w:val="00FF6516"/>
    <w:rsid w:val="00FF6B84"/>
    <w:rsid w:val="00FF7101"/>
    <w:rsid w:val="00FF7901"/>
    <w:rsid w:val="00FF79F7"/>
    <w:rsid w:val="00FF7A6F"/>
    <w:rsid w:val="00FF7E5D"/>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0721"/>
    <o:shapelayout v:ext="edit">
      <o:idmap v:ext="edit" data="1"/>
    </o:shapelayout>
  </w:shapeDefaults>
  <w:decimalSymbol w:val="."/>
  <w:listSeparator w:val=","/>
  <w14:docId w14:val="60F2A647"/>
  <w15:docId w15:val="{493A592E-AF37-4BE4-869D-A4EF1724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Garamond"/>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1B"/>
    <w:rPr>
      <w:rFonts w:cs="Times New Roman"/>
      <w:sz w:val="24"/>
    </w:rPr>
  </w:style>
  <w:style w:type="paragraph" w:styleId="Heading1">
    <w:name w:val="heading 1"/>
    <w:basedOn w:val="Normal"/>
    <w:next w:val="Normal"/>
    <w:link w:val="Heading1Char"/>
    <w:uiPriority w:val="9"/>
    <w:qFormat/>
    <w:rsid w:val="003E018A"/>
    <w:pPr>
      <w:tabs>
        <w:tab w:val="left" w:pos="-720"/>
      </w:tabs>
      <w:suppressAutoHyphens/>
      <w:outlineLvl w:val="0"/>
    </w:pPr>
    <w:rPr>
      <w:b/>
      <w:szCs w:val="24"/>
    </w:rPr>
  </w:style>
  <w:style w:type="paragraph" w:styleId="Heading2">
    <w:name w:val="heading 2"/>
    <w:basedOn w:val="Normal"/>
    <w:next w:val="Normal"/>
    <w:link w:val="Heading2Char"/>
    <w:uiPriority w:val="9"/>
    <w:qFormat/>
    <w:rsid w:val="003E018A"/>
    <w:pPr>
      <w:numPr>
        <w:numId w:val="3"/>
      </w:numPr>
      <w:tabs>
        <w:tab w:val="left" w:pos="-720"/>
      </w:tabs>
      <w:suppressAutoHyphens/>
      <w:ind w:hanging="720"/>
      <w:outlineLvl w:val="1"/>
    </w:pPr>
    <w:rPr>
      <w:b/>
      <w:szCs w:val="24"/>
    </w:rPr>
  </w:style>
  <w:style w:type="paragraph" w:styleId="Heading3">
    <w:name w:val="heading 3"/>
    <w:basedOn w:val="ListParagraph"/>
    <w:next w:val="Normal"/>
    <w:link w:val="Heading3Char"/>
    <w:uiPriority w:val="9"/>
    <w:unhideWhenUsed/>
    <w:qFormat/>
    <w:rsid w:val="003E018A"/>
    <w:pPr>
      <w:numPr>
        <w:numId w:val="2"/>
      </w:numPr>
      <w:tabs>
        <w:tab w:val="left" w:pos="-720"/>
      </w:tabs>
      <w:suppressAutoHyphens/>
      <w:ind w:left="2160" w:hanging="72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018A"/>
    <w:rPr>
      <w:rFonts w:cs="Times New Roman"/>
      <w:b/>
      <w:sz w:val="24"/>
      <w:szCs w:val="24"/>
    </w:rPr>
  </w:style>
  <w:style w:type="character" w:customStyle="1" w:styleId="Heading2Char">
    <w:name w:val="Heading 2 Char"/>
    <w:basedOn w:val="DefaultParagraphFont"/>
    <w:link w:val="Heading2"/>
    <w:uiPriority w:val="9"/>
    <w:locked/>
    <w:rsid w:val="003E018A"/>
    <w:rPr>
      <w:rFonts w:cs="Times New Roman"/>
      <w:b/>
      <w:sz w:val="24"/>
      <w:szCs w:val="24"/>
    </w:rPr>
  </w:style>
  <w:style w:type="paragraph" w:styleId="EnvelopeAddress">
    <w:name w:val="envelope address"/>
    <w:basedOn w:val="Normal"/>
    <w:uiPriority w:val="99"/>
    <w:semiHidden/>
    <w:unhideWhenUsed/>
    <w:rsid w:val="00C43EC3"/>
    <w:pPr>
      <w:framePr w:w="7920" w:h="1980" w:hRule="exact" w:hSpace="180" w:wrap="auto" w:hAnchor="page" w:xAlign="center" w:yAlign="bottom"/>
      <w:ind w:left="2880"/>
    </w:pPr>
    <w:rPr>
      <w:szCs w:val="24"/>
    </w:rPr>
  </w:style>
  <w:style w:type="paragraph" w:styleId="BodyText">
    <w:name w:val="Body Text"/>
    <w:basedOn w:val="Normal"/>
    <w:link w:val="BodyTextChar"/>
    <w:uiPriority w:val="99"/>
    <w:rsid w:val="00440E14"/>
    <w:rPr>
      <w:sz w:val="22"/>
    </w:rPr>
  </w:style>
  <w:style w:type="character" w:customStyle="1" w:styleId="BodyTextChar">
    <w:name w:val="Body Text Char"/>
    <w:basedOn w:val="DefaultParagraphFont"/>
    <w:link w:val="BodyText"/>
    <w:uiPriority w:val="99"/>
    <w:locked/>
    <w:rsid w:val="00440E14"/>
    <w:rPr>
      <w:rFonts w:ascii="Garamond" w:hAnsi="Garamond" w:cs="Times New Roman"/>
      <w:sz w:val="20"/>
      <w:szCs w:val="20"/>
    </w:rPr>
  </w:style>
  <w:style w:type="paragraph" w:customStyle="1" w:styleId="BodyTextKeep">
    <w:name w:val="Body Text Keep"/>
    <w:basedOn w:val="BodyText"/>
    <w:next w:val="BodyText"/>
    <w:rsid w:val="00440E14"/>
    <w:pPr>
      <w:keepNext/>
      <w:spacing w:after="240"/>
      <w:jc w:val="both"/>
    </w:pPr>
    <w:rPr>
      <w:spacing w:val="-5"/>
      <w:sz w:val="24"/>
    </w:rPr>
  </w:style>
  <w:style w:type="paragraph" w:customStyle="1" w:styleId="CompanyName">
    <w:name w:val="Company Name"/>
    <w:basedOn w:val="Normal"/>
    <w:next w:val="Normal"/>
    <w:rsid w:val="00440E14"/>
    <w:pPr>
      <w:spacing w:before="420" w:after="60" w:line="320" w:lineRule="exact"/>
    </w:pPr>
    <w:rPr>
      <w:caps/>
      <w:kern w:val="36"/>
      <w:sz w:val="38"/>
    </w:rPr>
  </w:style>
  <w:style w:type="paragraph" w:styleId="PlainText">
    <w:name w:val="Plain Text"/>
    <w:basedOn w:val="Normal"/>
    <w:link w:val="PlainTextChar"/>
    <w:uiPriority w:val="99"/>
    <w:unhideWhenUsed/>
    <w:rsid w:val="00C72FC1"/>
    <w:rPr>
      <w:rFonts w:ascii="Consolas" w:hAnsi="Consolas"/>
      <w:sz w:val="21"/>
      <w:szCs w:val="21"/>
    </w:rPr>
  </w:style>
  <w:style w:type="character" w:customStyle="1" w:styleId="PlainTextChar">
    <w:name w:val="Plain Text Char"/>
    <w:basedOn w:val="DefaultParagraphFont"/>
    <w:link w:val="PlainText"/>
    <w:uiPriority w:val="99"/>
    <w:locked/>
    <w:rsid w:val="00C72FC1"/>
    <w:rPr>
      <w:rFonts w:ascii="Consolas" w:hAnsi="Consolas" w:cs="Times New Roman"/>
      <w:sz w:val="21"/>
      <w:szCs w:val="21"/>
    </w:rPr>
  </w:style>
  <w:style w:type="paragraph" w:styleId="BalloonText">
    <w:name w:val="Balloon Text"/>
    <w:basedOn w:val="Normal"/>
    <w:link w:val="BalloonTextChar"/>
    <w:uiPriority w:val="99"/>
    <w:semiHidden/>
    <w:unhideWhenUsed/>
    <w:rsid w:val="00A31D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D7A"/>
    <w:rPr>
      <w:rFonts w:ascii="Tahoma" w:hAnsi="Tahoma" w:cs="Tahoma"/>
      <w:sz w:val="16"/>
      <w:szCs w:val="16"/>
    </w:rPr>
  </w:style>
  <w:style w:type="paragraph" w:styleId="Header">
    <w:name w:val="header"/>
    <w:basedOn w:val="Normal"/>
    <w:link w:val="HeaderChar"/>
    <w:uiPriority w:val="99"/>
    <w:unhideWhenUsed/>
    <w:rsid w:val="00C74E75"/>
    <w:pPr>
      <w:tabs>
        <w:tab w:val="center" w:pos="4680"/>
        <w:tab w:val="right" w:pos="9360"/>
      </w:tabs>
    </w:pPr>
  </w:style>
  <w:style w:type="character" w:customStyle="1" w:styleId="HeaderChar">
    <w:name w:val="Header Char"/>
    <w:basedOn w:val="DefaultParagraphFont"/>
    <w:link w:val="Header"/>
    <w:uiPriority w:val="99"/>
    <w:locked/>
    <w:rsid w:val="00C74E75"/>
    <w:rPr>
      <w:rFonts w:ascii="Courier New" w:hAnsi="Courier New" w:cs="Times New Roman"/>
      <w:sz w:val="20"/>
      <w:szCs w:val="20"/>
    </w:rPr>
  </w:style>
  <w:style w:type="paragraph" w:styleId="Footer">
    <w:name w:val="footer"/>
    <w:basedOn w:val="Normal"/>
    <w:link w:val="FooterChar"/>
    <w:uiPriority w:val="99"/>
    <w:unhideWhenUsed/>
    <w:rsid w:val="00C74E75"/>
    <w:pPr>
      <w:tabs>
        <w:tab w:val="center" w:pos="4680"/>
        <w:tab w:val="right" w:pos="9360"/>
      </w:tabs>
    </w:pPr>
  </w:style>
  <w:style w:type="character" w:customStyle="1" w:styleId="FooterChar">
    <w:name w:val="Footer Char"/>
    <w:basedOn w:val="DefaultParagraphFont"/>
    <w:link w:val="Footer"/>
    <w:uiPriority w:val="99"/>
    <w:locked/>
    <w:rsid w:val="00C74E75"/>
    <w:rPr>
      <w:rFonts w:ascii="Courier New" w:hAnsi="Courier New" w:cs="Times New Roman"/>
      <w:sz w:val="20"/>
      <w:szCs w:val="20"/>
    </w:rPr>
  </w:style>
  <w:style w:type="paragraph" w:styleId="BodyTextIndent">
    <w:name w:val="Body Text Indent"/>
    <w:basedOn w:val="Normal"/>
    <w:link w:val="BodyTextIndentChar"/>
    <w:uiPriority w:val="99"/>
    <w:unhideWhenUsed/>
    <w:rsid w:val="00085E0B"/>
    <w:pPr>
      <w:spacing w:after="120"/>
      <w:ind w:left="360"/>
    </w:pPr>
  </w:style>
  <w:style w:type="character" w:customStyle="1" w:styleId="BodyTextIndentChar">
    <w:name w:val="Body Text Indent Char"/>
    <w:basedOn w:val="DefaultParagraphFont"/>
    <w:link w:val="BodyTextIndent"/>
    <w:uiPriority w:val="99"/>
    <w:locked/>
    <w:rsid w:val="00085E0B"/>
    <w:rPr>
      <w:rFonts w:ascii="Courier New" w:hAnsi="Courier New" w:cs="Times New Roman"/>
      <w:sz w:val="20"/>
      <w:szCs w:val="20"/>
    </w:rPr>
  </w:style>
  <w:style w:type="paragraph" w:styleId="BodyTextIndent2">
    <w:name w:val="Body Text Indent 2"/>
    <w:basedOn w:val="Normal"/>
    <w:link w:val="BodyTextIndent2Char"/>
    <w:uiPriority w:val="99"/>
    <w:unhideWhenUsed/>
    <w:rsid w:val="00085E0B"/>
    <w:pPr>
      <w:spacing w:after="120" w:line="480" w:lineRule="auto"/>
      <w:ind w:left="360"/>
    </w:pPr>
  </w:style>
  <w:style w:type="character" w:customStyle="1" w:styleId="BodyTextIndent2Char">
    <w:name w:val="Body Text Indent 2 Char"/>
    <w:basedOn w:val="DefaultParagraphFont"/>
    <w:link w:val="BodyTextIndent2"/>
    <w:uiPriority w:val="99"/>
    <w:locked/>
    <w:rsid w:val="00085E0B"/>
    <w:rPr>
      <w:rFonts w:ascii="Courier New" w:hAnsi="Courier New" w:cs="Times New Roman"/>
      <w:sz w:val="20"/>
      <w:szCs w:val="20"/>
    </w:rPr>
  </w:style>
  <w:style w:type="paragraph" w:styleId="BodyTextIndent3">
    <w:name w:val="Body Text Indent 3"/>
    <w:basedOn w:val="Normal"/>
    <w:link w:val="BodyTextIndent3Char"/>
    <w:uiPriority w:val="99"/>
    <w:unhideWhenUsed/>
    <w:rsid w:val="00085E0B"/>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85E0B"/>
    <w:rPr>
      <w:rFonts w:ascii="Courier New" w:hAnsi="Courier New" w:cs="Times New Roman"/>
      <w:sz w:val="16"/>
      <w:szCs w:val="16"/>
    </w:rPr>
  </w:style>
  <w:style w:type="paragraph" w:styleId="TOC1">
    <w:name w:val="toc 1"/>
    <w:basedOn w:val="Normal"/>
    <w:next w:val="Normal"/>
    <w:uiPriority w:val="39"/>
    <w:rsid w:val="00D056E5"/>
    <w:pPr>
      <w:tabs>
        <w:tab w:val="left" w:leader="dot" w:pos="9000"/>
        <w:tab w:val="right" w:pos="9360"/>
      </w:tabs>
      <w:suppressAutoHyphens/>
      <w:spacing w:before="240" w:after="120"/>
      <w:ind w:left="720" w:right="720" w:hanging="720"/>
    </w:pPr>
  </w:style>
  <w:style w:type="paragraph" w:styleId="TOC2">
    <w:name w:val="toc 2"/>
    <w:basedOn w:val="Normal"/>
    <w:next w:val="Normal"/>
    <w:uiPriority w:val="39"/>
    <w:rsid w:val="001B019F"/>
    <w:pPr>
      <w:tabs>
        <w:tab w:val="left" w:leader="dot" w:pos="9000"/>
        <w:tab w:val="right" w:pos="9360"/>
      </w:tabs>
      <w:suppressAutoHyphens/>
      <w:ind w:left="1440" w:right="720" w:hanging="720"/>
    </w:pPr>
  </w:style>
  <w:style w:type="paragraph" w:styleId="TOC3">
    <w:name w:val="toc 3"/>
    <w:basedOn w:val="Normal"/>
    <w:next w:val="Normal"/>
    <w:uiPriority w:val="39"/>
    <w:rsid w:val="00085E0B"/>
    <w:pPr>
      <w:tabs>
        <w:tab w:val="left" w:leader="dot" w:pos="9000"/>
        <w:tab w:val="right" w:pos="9360"/>
      </w:tabs>
      <w:suppressAutoHyphens/>
      <w:ind w:left="2160" w:right="720" w:hanging="720"/>
    </w:pPr>
  </w:style>
  <w:style w:type="paragraph" w:styleId="TOC4">
    <w:name w:val="toc 4"/>
    <w:basedOn w:val="Normal"/>
    <w:next w:val="Normal"/>
    <w:uiPriority w:val="39"/>
    <w:rsid w:val="00085E0B"/>
    <w:pPr>
      <w:tabs>
        <w:tab w:val="left" w:leader="dot" w:pos="9000"/>
        <w:tab w:val="right" w:pos="9360"/>
      </w:tabs>
      <w:suppressAutoHyphens/>
      <w:ind w:left="2880" w:right="720" w:hanging="720"/>
    </w:pPr>
  </w:style>
  <w:style w:type="paragraph" w:styleId="TOC5">
    <w:name w:val="toc 5"/>
    <w:basedOn w:val="Normal"/>
    <w:next w:val="Normal"/>
    <w:uiPriority w:val="39"/>
    <w:rsid w:val="00085E0B"/>
    <w:pPr>
      <w:tabs>
        <w:tab w:val="left" w:leader="dot" w:pos="9000"/>
        <w:tab w:val="right" w:pos="9360"/>
      </w:tabs>
      <w:suppressAutoHyphens/>
      <w:ind w:left="3600" w:right="720" w:hanging="720"/>
    </w:pPr>
  </w:style>
  <w:style w:type="paragraph" w:styleId="TOC6">
    <w:name w:val="toc 6"/>
    <w:basedOn w:val="Normal"/>
    <w:next w:val="Normal"/>
    <w:uiPriority w:val="39"/>
    <w:rsid w:val="00085E0B"/>
    <w:pPr>
      <w:tabs>
        <w:tab w:val="left" w:pos="9000"/>
        <w:tab w:val="right" w:pos="9360"/>
      </w:tabs>
      <w:suppressAutoHyphens/>
      <w:ind w:left="720" w:hanging="720"/>
    </w:pPr>
  </w:style>
  <w:style w:type="paragraph" w:styleId="TOC7">
    <w:name w:val="toc 7"/>
    <w:basedOn w:val="Normal"/>
    <w:next w:val="Normal"/>
    <w:uiPriority w:val="39"/>
    <w:rsid w:val="00085E0B"/>
    <w:pPr>
      <w:suppressAutoHyphens/>
      <w:ind w:left="720" w:hanging="720"/>
    </w:pPr>
  </w:style>
  <w:style w:type="paragraph" w:styleId="TOC8">
    <w:name w:val="toc 8"/>
    <w:basedOn w:val="Normal"/>
    <w:next w:val="Normal"/>
    <w:uiPriority w:val="39"/>
    <w:rsid w:val="00085E0B"/>
    <w:pPr>
      <w:tabs>
        <w:tab w:val="left" w:pos="9000"/>
        <w:tab w:val="right" w:pos="9360"/>
      </w:tabs>
      <w:suppressAutoHyphens/>
      <w:ind w:left="720" w:hanging="720"/>
    </w:pPr>
  </w:style>
  <w:style w:type="paragraph" w:styleId="TOC9">
    <w:name w:val="toc 9"/>
    <w:basedOn w:val="Normal"/>
    <w:next w:val="Normal"/>
    <w:uiPriority w:val="39"/>
    <w:rsid w:val="00085E0B"/>
    <w:pPr>
      <w:tabs>
        <w:tab w:val="left" w:leader="dot" w:pos="9000"/>
        <w:tab w:val="right" w:pos="9360"/>
      </w:tabs>
      <w:suppressAutoHyphens/>
      <w:ind w:left="720" w:hanging="720"/>
    </w:pPr>
  </w:style>
  <w:style w:type="paragraph" w:styleId="Index1">
    <w:name w:val="index 1"/>
    <w:basedOn w:val="Normal"/>
    <w:next w:val="Normal"/>
    <w:uiPriority w:val="99"/>
    <w:semiHidden/>
    <w:rsid w:val="00085E0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085E0B"/>
    <w:pPr>
      <w:tabs>
        <w:tab w:val="left" w:leader="dot" w:pos="9000"/>
        <w:tab w:val="right" w:pos="9360"/>
      </w:tabs>
      <w:suppressAutoHyphens/>
      <w:ind w:left="1440" w:right="720" w:hanging="720"/>
    </w:pPr>
  </w:style>
  <w:style w:type="paragraph" w:styleId="TOAHeading">
    <w:name w:val="toa heading"/>
    <w:basedOn w:val="Normal"/>
    <w:next w:val="Normal"/>
    <w:semiHidden/>
    <w:rsid w:val="00085E0B"/>
    <w:pPr>
      <w:tabs>
        <w:tab w:val="left" w:pos="9000"/>
        <w:tab w:val="right" w:pos="9360"/>
      </w:tabs>
      <w:suppressAutoHyphens/>
    </w:pPr>
  </w:style>
  <w:style w:type="paragraph" w:styleId="Caption">
    <w:name w:val="caption"/>
    <w:basedOn w:val="Normal"/>
    <w:next w:val="Normal"/>
    <w:uiPriority w:val="35"/>
    <w:qFormat/>
    <w:rsid w:val="00085E0B"/>
  </w:style>
  <w:style w:type="character" w:customStyle="1" w:styleId="EquationCaption">
    <w:name w:val="_Equation Caption"/>
    <w:rsid w:val="00085E0B"/>
  </w:style>
  <w:style w:type="paragraph" w:customStyle="1" w:styleId="PartLabel">
    <w:name w:val="Part Label"/>
    <w:basedOn w:val="Normal"/>
    <w:next w:val="Normal"/>
    <w:rsid w:val="00085E0B"/>
    <w:pPr>
      <w:framePr w:w="2040" w:h="2040" w:hRule="exact" w:wrap="notBeside" w:vAnchor="page" w:hAnchor="page" w:x="9217" w:y="961"/>
      <w:shd w:val="pct20" w:color="auto" w:fill="auto"/>
      <w:spacing w:line="1560" w:lineRule="exact"/>
      <w:jc w:val="center"/>
    </w:pPr>
    <w:rPr>
      <w:rFonts w:ascii="Arial Black" w:hAnsi="Arial Black"/>
      <w:color w:val="FFFFFF"/>
      <w:position w:val="-32"/>
      <w:sz w:val="196"/>
    </w:rPr>
  </w:style>
  <w:style w:type="table" w:styleId="TableGrid">
    <w:name w:val="Table Grid"/>
    <w:basedOn w:val="TableNormal"/>
    <w:uiPriority w:val="59"/>
    <w:rsid w:val="00085E0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85E0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85E0B"/>
    <w:rPr>
      <w:rFonts w:ascii="Tahoma" w:hAnsi="Tahoma" w:cs="Tahoma"/>
      <w:sz w:val="20"/>
      <w:szCs w:val="20"/>
      <w:shd w:val="clear" w:color="auto" w:fill="000080"/>
    </w:rPr>
  </w:style>
  <w:style w:type="paragraph" w:styleId="ListParagraph">
    <w:name w:val="List Paragraph"/>
    <w:basedOn w:val="Normal"/>
    <w:uiPriority w:val="34"/>
    <w:qFormat/>
    <w:rsid w:val="00085E0B"/>
    <w:pPr>
      <w:ind w:left="720"/>
    </w:pPr>
  </w:style>
  <w:style w:type="paragraph" w:styleId="NoSpacing">
    <w:name w:val="No Spacing"/>
    <w:autoRedefine/>
    <w:uiPriority w:val="1"/>
    <w:qFormat/>
    <w:rsid w:val="00B34323"/>
    <w:pPr>
      <w:tabs>
        <w:tab w:val="left" w:pos="720"/>
      </w:tabs>
    </w:pPr>
    <w:rPr>
      <w:rFonts w:cs="Times New Roman"/>
      <w:color w:val="000000" w:themeColor="text1"/>
      <w:sz w:val="24"/>
      <w:szCs w:val="22"/>
      <w14:props3d w14:extrusionH="0" w14:contourW="0" w14:prstMaterial="matte"/>
    </w:rPr>
  </w:style>
  <w:style w:type="paragraph" w:styleId="TOCHeading">
    <w:name w:val="TOC Heading"/>
    <w:basedOn w:val="Normal"/>
    <w:next w:val="Normal"/>
    <w:uiPriority w:val="39"/>
    <w:unhideWhenUsed/>
    <w:qFormat/>
    <w:rsid w:val="008961FB"/>
    <w:pPr>
      <w:tabs>
        <w:tab w:val="left" w:pos="-720"/>
      </w:tabs>
      <w:suppressAutoHyphens/>
    </w:pPr>
    <w:rPr>
      <w:b/>
      <w:szCs w:val="24"/>
    </w:rPr>
  </w:style>
  <w:style w:type="character" w:styleId="Hyperlink">
    <w:name w:val="Hyperlink"/>
    <w:basedOn w:val="DefaultParagraphFont"/>
    <w:uiPriority w:val="99"/>
    <w:unhideWhenUsed/>
    <w:rsid w:val="00BE371B"/>
    <w:rPr>
      <w:color w:val="0000FF" w:themeColor="hyperlink"/>
      <w:u w:val="single"/>
    </w:rPr>
  </w:style>
  <w:style w:type="character" w:customStyle="1" w:styleId="Heading3Char">
    <w:name w:val="Heading 3 Char"/>
    <w:basedOn w:val="DefaultParagraphFont"/>
    <w:link w:val="Heading3"/>
    <w:uiPriority w:val="9"/>
    <w:rsid w:val="003E018A"/>
    <w:rPr>
      <w:rFonts w:cs="Times New Roman"/>
      <w:b/>
      <w:sz w:val="24"/>
      <w:szCs w:val="24"/>
    </w:rPr>
  </w:style>
  <w:style w:type="paragraph" w:styleId="NormalWeb">
    <w:name w:val="Normal (Web)"/>
    <w:basedOn w:val="Normal"/>
    <w:uiPriority w:val="99"/>
    <w:semiHidden/>
    <w:unhideWhenUsed/>
    <w:rsid w:val="00077283"/>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4646CE"/>
    <w:rPr>
      <w:sz w:val="16"/>
      <w:szCs w:val="16"/>
    </w:rPr>
  </w:style>
  <w:style w:type="paragraph" w:styleId="CommentText">
    <w:name w:val="annotation text"/>
    <w:basedOn w:val="Normal"/>
    <w:link w:val="CommentTextChar"/>
    <w:uiPriority w:val="99"/>
    <w:semiHidden/>
    <w:unhideWhenUsed/>
    <w:rsid w:val="004646CE"/>
    <w:rPr>
      <w:sz w:val="20"/>
    </w:rPr>
  </w:style>
  <w:style w:type="character" w:customStyle="1" w:styleId="CommentTextChar">
    <w:name w:val="Comment Text Char"/>
    <w:basedOn w:val="DefaultParagraphFont"/>
    <w:link w:val="CommentText"/>
    <w:uiPriority w:val="99"/>
    <w:semiHidden/>
    <w:rsid w:val="004646CE"/>
    <w:rPr>
      <w:rFonts w:cs="Times New Roman"/>
    </w:rPr>
  </w:style>
  <w:style w:type="paragraph" w:styleId="CommentSubject">
    <w:name w:val="annotation subject"/>
    <w:basedOn w:val="CommentText"/>
    <w:next w:val="CommentText"/>
    <w:link w:val="CommentSubjectChar"/>
    <w:uiPriority w:val="99"/>
    <w:semiHidden/>
    <w:unhideWhenUsed/>
    <w:rsid w:val="004646CE"/>
    <w:rPr>
      <w:b/>
      <w:bCs/>
    </w:rPr>
  </w:style>
  <w:style w:type="character" w:customStyle="1" w:styleId="CommentSubjectChar">
    <w:name w:val="Comment Subject Char"/>
    <w:basedOn w:val="CommentTextChar"/>
    <w:link w:val="CommentSubject"/>
    <w:uiPriority w:val="99"/>
    <w:semiHidden/>
    <w:rsid w:val="004646CE"/>
    <w:rPr>
      <w:rFonts w:cs="Times New Roman"/>
      <w:b/>
      <w:bCs/>
    </w:rPr>
  </w:style>
  <w:style w:type="paragraph" w:styleId="Revision">
    <w:name w:val="Revision"/>
    <w:hidden/>
    <w:uiPriority w:val="99"/>
    <w:semiHidden/>
    <w:rsid w:val="004646CE"/>
    <w:rPr>
      <w:rFonts w:cs="Times New Roman"/>
      <w:sz w:val="24"/>
    </w:rPr>
  </w:style>
  <w:style w:type="character" w:styleId="PageNumber">
    <w:name w:val="page number"/>
    <w:rsid w:val="00B4045B"/>
    <w:rPr>
      <w:sz w:val="20"/>
    </w:rPr>
  </w:style>
  <w:style w:type="paragraph" w:styleId="Title">
    <w:name w:val="Title"/>
    <w:basedOn w:val="Normal"/>
    <w:link w:val="TitleChar"/>
    <w:qFormat/>
    <w:rsid w:val="00B4045B"/>
    <w:pPr>
      <w:widowControl w:val="0"/>
      <w:suppressAutoHyphens/>
      <w:overflowPunct w:val="0"/>
      <w:autoSpaceDE w:val="0"/>
      <w:autoSpaceDN w:val="0"/>
      <w:adjustRightInd w:val="0"/>
      <w:jc w:val="center"/>
      <w:textAlignment w:val="baseline"/>
    </w:pPr>
    <w:rPr>
      <w:rFonts w:ascii="Arial" w:hAnsi="Arial"/>
      <w:b/>
    </w:rPr>
  </w:style>
  <w:style w:type="character" w:customStyle="1" w:styleId="TitleChar">
    <w:name w:val="Title Char"/>
    <w:basedOn w:val="DefaultParagraphFont"/>
    <w:link w:val="Title"/>
    <w:rsid w:val="00B4045B"/>
    <w:rPr>
      <w:rFonts w:ascii="Arial" w:hAnsi="Arial" w:cs="Times New Roman"/>
      <w:b/>
      <w:sz w:val="24"/>
    </w:rPr>
  </w:style>
  <w:style w:type="paragraph" w:customStyle="1" w:styleId="Default">
    <w:name w:val="Default"/>
    <w:basedOn w:val="Normal"/>
    <w:rsid w:val="00495C46"/>
    <w:pPr>
      <w:autoSpaceDE w:val="0"/>
      <w:autoSpaceDN w:val="0"/>
    </w:pPr>
    <w:rPr>
      <w:rFonts w:ascii="Times New Roman" w:eastAsiaTheme="minorHAnsi" w:hAnsi="Times New Roman"/>
      <w:color w:val="000000"/>
      <w:szCs w:val="24"/>
    </w:rPr>
  </w:style>
  <w:style w:type="paragraph" w:customStyle="1" w:styleId="TableParagraph">
    <w:name w:val="Table Paragraph"/>
    <w:basedOn w:val="Normal"/>
    <w:uiPriority w:val="1"/>
    <w:qFormat/>
    <w:rsid w:val="00EC117C"/>
    <w:pPr>
      <w:widowControl w:val="0"/>
      <w:autoSpaceDE w:val="0"/>
      <w:autoSpaceDN w:val="0"/>
      <w:ind w:left="107"/>
    </w:pPr>
    <w:rPr>
      <w:rFonts w:ascii="Arial" w:eastAsia="Arial" w:hAnsi="Arial" w:cs="Arial"/>
      <w:sz w:val="22"/>
      <w:szCs w:val="22"/>
      <w:lang w:bidi="en-US"/>
    </w:rPr>
  </w:style>
  <w:style w:type="character" w:styleId="FollowedHyperlink">
    <w:name w:val="FollowedHyperlink"/>
    <w:basedOn w:val="DefaultParagraphFont"/>
    <w:uiPriority w:val="99"/>
    <w:semiHidden/>
    <w:unhideWhenUsed/>
    <w:rsid w:val="00257C71"/>
    <w:rPr>
      <w:color w:val="800080" w:themeColor="followedHyperlink"/>
      <w:u w:val="single"/>
    </w:rPr>
  </w:style>
  <w:style w:type="paragraph" w:styleId="Subtitle">
    <w:name w:val="Subtitle"/>
    <w:basedOn w:val="Normal"/>
    <w:next w:val="Normal"/>
    <w:link w:val="SubtitleChar"/>
    <w:uiPriority w:val="11"/>
    <w:qFormat/>
    <w:rsid w:val="00411B4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11B41"/>
    <w:rPr>
      <w:rFonts w:asciiTheme="minorHAnsi" w:eastAsiaTheme="minorEastAsia" w:hAnsiTheme="minorHAnsi" w:cstheme="minorBidi"/>
      <w:color w:val="5A5A5A" w:themeColor="text1" w:themeTint="A5"/>
      <w:spacing w:val="15"/>
      <w:sz w:val="24"/>
      <w:szCs w:val="22"/>
    </w:rPr>
  </w:style>
  <w:style w:type="paragraph" w:customStyle="1" w:styleId="xmsonormal">
    <w:name w:val="x_msonormal"/>
    <w:basedOn w:val="Normal"/>
    <w:rsid w:val="00411B41"/>
    <w:rPr>
      <w:rFonts w:ascii="Calibri" w:eastAsiaTheme="minorHAnsi" w:hAnsi="Calibri" w:cs="Calibri"/>
      <w:sz w:val="22"/>
      <w:szCs w:val="22"/>
    </w:rPr>
  </w:style>
  <w:style w:type="character" w:customStyle="1" w:styleId="aranob">
    <w:name w:val="aranob"/>
    <w:basedOn w:val="DefaultParagraphFont"/>
    <w:rsid w:val="00411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6922">
      <w:bodyDiv w:val="1"/>
      <w:marLeft w:val="0"/>
      <w:marRight w:val="0"/>
      <w:marTop w:val="0"/>
      <w:marBottom w:val="0"/>
      <w:divBdr>
        <w:top w:val="none" w:sz="0" w:space="0" w:color="auto"/>
        <w:left w:val="none" w:sz="0" w:space="0" w:color="auto"/>
        <w:bottom w:val="none" w:sz="0" w:space="0" w:color="auto"/>
        <w:right w:val="none" w:sz="0" w:space="0" w:color="auto"/>
      </w:divBdr>
    </w:div>
    <w:div w:id="74908688">
      <w:bodyDiv w:val="1"/>
      <w:marLeft w:val="0"/>
      <w:marRight w:val="0"/>
      <w:marTop w:val="0"/>
      <w:marBottom w:val="0"/>
      <w:divBdr>
        <w:top w:val="none" w:sz="0" w:space="0" w:color="auto"/>
        <w:left w:val="none" w:sz="0" w:space="0" w:color="auto"/>
        <w:bottom w:val="none" w:sz="0" w:space="0" w:color="auto"/>
        <w:right w:val="none" w:sz="0" w:space="0" w:color="auto"/>
      </w:divBdr>
    </w:div>
    <w:div w:id="82580198">
      <w:bodyDiv w:val="1"/>
      <w:marLeft w:val="0"/>
      <w:marRight w:val="0"/>
      <w:marTop w:val="0"/>
      <w:marBottom w:val="0"/>
      <w:divBdr>
        <w:top w:val="none" w:sz="0" w:space="0" w:color="auto"/>
        <w:left w:val="none" w:sz="0" w:space="0" w:color="auto"/>
        <w:bottom w:val="none" w:sz="0" w:space="0" w:color="auto"/>
        <w:right w:val="none" w:sz="0" w:space="0" w:color="auto"/>
      </w:divBdr>
      <w:divsChild>
        <w:div w:id="1315648104">
          <w:marLeft w:val="0"/>
          <w:marRight w:val="0"/>
          <w:marTop w:val="0"/>
          <w:marBottom w:val="0"/>
          <w:divBdr>
            <w:top w:val="none" w:sz="0" w:space="0" w:color="auto"/>
            <w:left w:val="none" w:sz="0" w:space="0" w:color="auto"/>
            <w:bottom w:val="none" w:sz="0" w:space="0" w:color="auto"/>
            <w:right w:val="none" w:sz="0" w:space="0" w:color="auto"/>
          </w:divBdr>
        </w:div>
        <w:div w:id="1333877681">
          <w:marLeft w:val="0"/>
          <w:marRight w:val="0"/>
          <w:marTop w:val="0"/>
          <w:marBottom w:val="0"/>
          <w:divBdr>
            <w:top w:val="none" w:sz="0" w:space="0" w:color="auto"/>
            <w:left w:val="none" w:sz="0" w:space="0" w:color="auto"/>
            <w:bottom w:val="none" w:sz="0" w:space="0" w:color="auto"/>
            <w:right w:val="none" w:sz="0" w:space="0" w:color="auto"/>
          </w:divBdr>
        </w:div>
        <w:div w:id="1016999944">
          <w:marLeft w:val="0"/>
          <w:marRight w:val="0"/>
          <w:marTop w:val="0"/>
          <w:marBottom w:val="0"/>
          <w:divBdr>
            <w:top w:val="none" w:sz="0" w:space="0" w:color="auto"/>
            <w:left w:val="none" w:sz="0" w:space="0" w:color="auto"/>
            <w:bottom w:val="none" w:sz="0" w:space="0" w:color="auto"/>
            <w:right w:val="none" w:sz="0" w:space="0" w:color="auto"/>
          </w:divBdr>
        </w:div>
        <w:div w:id="1278566565">
          <w:marLeft w:val="0"/>
          <w:marRight w:val="0"/>
          <w:marTop w:val="0"/>
          <w:marBottom w:val="0"/>
          <w:divBdr>
            <w:top w:val="none" w:sz="0" w:space="0" w:color="auto"/>
            <w:left w:val="none" w:sz="0" w:space="0" w:color="auto"/>
            <w:bottom w:val="none" w:sz="0" w:space="0" w:color="auto"/>
            <w:right w:val="none" w:sz="0" w:space="0" w:color="auto"/>
          </w:divBdr>
        </w:div>
        <w:div w:id="903298102">
          <w:marLeft w:val="0"/>
          <w:marRight w:val="0"/>
          <w:marTop w:val="0"/>
          <w:marBottom w:val="0"/>
          <w:divBdr>
            <w:top w:val="none" w:sz="0" w:space="0" w:color="auto"/>
            <w:left w:val="none" w:sz="0" w:space="0" w:color="auto"/>
            <w:bottom w:val="none" w:sz="0" w:space="0" w:color="auto"/>
            <w:right w:val="none" w:sz="0" w:space="0" w:color="auto"/>
          </w:divBdr>
        </w:div>
        <w:div w:id="231700716">
          <w:marLeft w:val="0"/>
          <w:marRight w:val="0"/>
          <w:marTop w:val="0"/>
          <w:marBottom w:val="0"/>
          <w:divBdr>
            <w:top w:val="none" w:sz="0" w:space="0" w:color="auto"/>
            <w:left w:val="none" w:sz="0" w:space="0" w:color="auto"/>
            <w:bottom w:val="none" w:sz="0" w:space="0" w:color="auto"/>
            <w:right w:val="none" w:sz="0" w:space="0" w:color="auto"/>
          </w:divBdr>
        </w:div>
        <w:div w:id="349188950">
          <w:marLeft w:val="0"/>
          <w:marRight w:val="0"/>
          <w:marTop w:val="0"/>
          <w:marBottom w:val="0"/>
          <w:divBdr>
            <w:top w:val="none" w:sz="0" w:space="0" w:color="auto"/>
            <w:left w:val="none" w:sz="0" w:space="0" w:color="auto"/>
            <w:bottom w:val="none" w:sz="0" w:space="0" w:color="auto"/>
            <w:right w:val="none" w:sz="0" w:space="0" w:color="auto"/>
          </w:divBdr>
        </w:div>
        <w:div w:id="27729015">
          <w:marLeft w:val="0"/>
          <w:marRight w:val="0"/>
          <w:marTop w:val="0"/>
          <w:marBottom w:val="0"/>
          <w:divBdr>
            <w:top w:val="none" w:sz="0" w:space="0" w:color="auto"/>
            <w:left w:val="none" w:sz="0" w:space="0" w:color="auto"/>
            <w:bottom w:val="none" w:sz="0" w:space="0" w:color="auto"/>
            <w:right w:val="none" w:sz="0" w:space="0" w:color="auto"/>
          </w:divBdr>
        </w:div>
        <w:div w:id="491987475">
          <w:marLeft w:val="0"/>
          <w:marRight w:val="0"/>
          <w:marTop w:val="0"/>
          <w:marBottom w:val="0"/>
          <w:divBdr>
            <w:top w:val="none" w:sz="0" w:space="0" w:color="auto"/>
            <w:left w:val="none" w:sz="0" w:space="0" w:color="auto"/>
            <w:bottom w:val="none" w:sz="0" w:space="0" w:color="auto"/>
            <w:right w:val="none" w:sz="0" w:space="0" w:color="auto"/>
          </w:divBdr>
        </w:div>
        <w:div w:id="1351563172">
          <w:marLeft w:val="0"/>
          <w:marRight w:val="0"/>
          <w:marTop w:val="0"/>
          <w:marBottom w:val="0"/>
          <w:divBdr>
            <w:top w:val="none" w:sz="0" w:space="0" w:color="auto"/>
            <w:left w:val="none" w:sz="0" w:space="0" w:color="auto"/>
            <w:bottom w:val="none" w:sz="0" w:space="0" w:color="auto"/>
            <w:right w:val="none" w:sz="0" w:space="0" w:color="auto"/>
          </w:divBdr>
        </w:div>
        <w:div w:id="494346300">
          <w:marLeft w:val="0"/>
          <w:marRight w:val="0"/>
          <w:marTop w:val="0"/>
          <w:marBottom w:val="0"/>
          <w:divBdr>
            <w:top w:val="none" w:sz="0" w:space="0" w:color="auto"/>
            <w:left w:val="none" w:sz="0" w:space="0" w:color="auto"/>
            <w:bottom w:val="none" w:sz="0" w:space="0" w:color="auto"/>
            <w:right w:val="none" w:sz="0" w:space="0" w:color="auto"/>
          </w:divBdr>
        </w:div>
        <w:div w:id="943919387">
          <w:marLeft w:val="0"/>
          <w:marRight w:val="0"/>
          <w:marTop w:val="0"/>
          <w:marBottom w:val="0"/>
          <w:divBdr>
            <w:top w:val="none" w:sz="0" w:space="0" w:color="auto"/>
            <w:left w:val="none" w:sz="0" w:space="0" w:color="auto"/>
            <w:bottom w:val="none" w:sz="0" w:space="0" w:color="auto"/>
            <w:right w:val="none" w:sz="0" w:space="0" w:color="auto"/>
          </w:divBdr>
        </w:div>
        <w:div w:id="1246111833">
          <w:marLeft w:val="0"/>
          <w:marRight w:val="0"/>
          <w:marTop w:val="0"/>
          <w:marBottom w:val="0"/>
          <w:divBdr>
            <w:top w:val="none" w:sz="0" w:space="0" w:color="auto"/>
            <w:left w:val="none" w:sz="0" w:space="0" w:color="auto"/>
            <w:bottom w:val="none" w:sz="0" w:space="0" w:color="auto"/>
            <w:right w:val="none" w:sz="0" w:space="0" w:color="auto"/>
          </w:divBdr>
        </w:div>
        <w:div w:id="2047178638">
          <w:marLeft w:val="0"/>
          <w:marRight w:val="0"/>
          <w:marTop w:val="0"/>
          <w:marBottom w:val="0"/>
          <w:divBdr>
            <w:top w:val="none" w:sz="0" w:space="0" w:color="auto"/>
            <w:left w:val="none" w:sz="0" w:space="0" w:color="auto"/>
            <w:bottom w:val="none" w:sz="0" w:space="0" w:color="auto"/>
            <w:right w:val="none" w:sz="0" w:space="0" w:color="auto"/>
          </w:divBdr>
        </w:div>
        <w:div w:id="844973104">
          <w:marLeft w:val="0"/>
          <w:marRight w:val="0"/>
          <w:marTop w:val="0"/>
          <w:marBottom w:val="0"/>
          <w:divBdr>
            <w:top w:val="none" w:sz="0" w:space="0" w:color="auto"/>
            <w:left w:val="none" w:sz="0" w:space="0" w:color="auto"/>
            <w:bottom w:val="none" w:sz="0" w:space="0" w:color="auto"/>
            <w:right w:val="none" w:sz="0" w:space="0" w:color="auto"/>
          </w:divBdr>
        </w:div>
        <w:div w:id="34812656">
          <w:marLeft w:val="0"/>
          <w:marRight w:val="0"/>
          <w:marTop w:val="0"/>
          <w:marBottom w:val="0"/>
          <w:divBdr>
            <w:top w:val="none" w:sz="0" w:space="0" w:color="auto"/>
            <w:left w:val="none" w:sz="0" w:space="0" w:color="auto"/>
            <w:bottom w:val="none" w:sz="0" w:space="0" w:color="auto"/>
            <w:right w:val="none" w:sz="0" w:space="0" w:color="auto"/>
          </w:divBdr>
        </w:div>
        <w:div w:id="1016731357">
          <w:marLeft w:val="0"/>
          <w:marRight w:val="0"/>
          <w:marTop w:val="0"/>
          <w:marBottom w:val="0"/>
          <w:divBdr>
            <w:top w:val="none" w:sz="0" w:space="0" w:color="auto"/>
            <w:left w:val="none" w:sz="0" w:space="0" w:color="auto"/>
            <w:bottom w:val="none" w:sz="0" w:space="0" w:color="auto"/>
            <w:right w:val="none" w:sz="0" w:space="0" w:color="auto"/>
          </w:divBdr>
        </w:div>
        <w:div w:id="964625388">
          <w:marLeft w:val="0"/>
          <w:marRight w:val="0"/>
          <w:marTop w:val="0"/>
          <w:marBottom w:val="0"/>
          <w:divBdr>
            <w:top w:val="none" w:sz="0" w:space="0" w:color="auto"/>
            <w:left w:val="none" w:sz="0" w:space="0" w:color="auto"/>
            <w:bottom w:val="none" w:sz="0" w:space="0" w:color="auto"/>
            <w:right w:val="none" w:sz="0" w:space="0" w:color="auto"/>
          </w:divBdr>
        </w:div>
        <w:div w:id="1878006779">
          <w:marLeft w:val="0"/>
          <w:marRight w:val="0"/>
          <w:marTop w:val="0"/>
          <w:marBottom w:val="0"/>
          <w:divBdr>
            <w:top w:val="none" w:sz="0" w:space="0" w:color="auto"/>
            <w:left w:val="none" w:sz="0" w:space="0" w:color="auto"/>
            <w:bottom w:val="none" w:sz="0" w:space="0" w:color="auto"/>
            <w:right w:val="none" w:sz="0" w:space="0" w:color="auto"/>
          </w:divBdr>
        </w:div>
      </w:divsChild>
    </w:div>
    <w:div w:id="88506279">
      <w:bodyDiv w:val="1"/>
      <w:marLeft w:val="0"/>
      <w:marRight w:val="0"/>
      <w:marTop w:val="0"/>
      <w:marBottom w:val="0"/>
      <w:divBdr>
        <w:top w:val="none" w:sz="0" w:space="0" w:color="auto"/>
        <w:left w:val="none" w:sz="0" w:space="0" w:color="auto"/>
        <w:bottom w:val="none" w:sz="0" w:space="0" w:color="auto"/>
        <w:right w:val="none" w:sz="0" w:space="0" w:color="auto"/>
      </w:divBdr>
    </w:div>
    <w:div w:id="103042183">
      <w:bodyDiv w:val="1"/>
      <w:marLeft w:val="0"/>
      <w:marRight w:val="0"/>
      <w:marTop w:val="0"/>
      <w:marBottom w:val="0"/>
      <w:divBdr>
        <w:top w:val="none" w:sz="0" w:space="0" w:color="auto"/>
        <w:left w:val="none" w:sz="0" w:space="0" w:color="auto"/>
        <w:bottom w:val="none" w:sz="0" w:space="0" w:color="auto"/>
        <w:right w:val="none" w:sz="0" w:space="0" w:color="auto"/>
      </w:divBdr>
    </w:div>
    <w:div w:id="132256368">
      <w:bodyDiv w:val="1"/>
      <w:marLeft w:val="0"/>
      <w:marRight w:val="0"/>
      <w:marTop w:val="0"/>
      <w:marBottom w:val="0"/>
      <w:divBdr>
        <w:top w:val="none" w:sz="0" w:space="0" w:color="auto"/>
        <w:left w:val="none" w:sz="0" w:space="0" w:color="auto"/>
        <w:bottom w:val="none" w:sz="0" w:space="0" w:color="auto"/>
        <w:right w:val="none" w:sz="0" w:space="0" w:color="auto"/>
      </w:divBdr>
    </w:div>
    <w:div w:id="154807710">
      <w:bodyDiv w:val="1"/>
      <w:marLeft w:val="0"/>
      <w:marRight w:val="0"/>
      <w:marTop w:val="0"/>
      <w:marBottom w:val="0"/>
      <w:divBdr>
        <w:top w:val="none" w:sz="0" w:space="0" w:color="auto"/>
        <w:left w:val="none" w:sz="0" w:space="0" w:color="auto"/>
        <w:bottom w:val="none" w:sz="0" w:space="0" w:color="auto"/>
        <w:right w:val="none" w:sz="0" w:space="0" w:color="auto"/>
      </w:divBdr>
    </w:div>
    <w:div w:id="172040698">
      <w:bodyDiv w:val="1"/>
      <w:marLeft w:val="0"/>
      <w:marRight w:val="0"/>
      <w:marTop w:val="0"/>
      <w:marBottom w:val="0"/>
      <w:divBdr>
        <w:top w:val="none" w:sz="0" w:space="0" w:color="auto"/>
        <w:left w:val="none" w:sz="0" w:space="0" w:color="auto"/>
        <w:bottom w:val="none" w:sz="0" w:space="0" w:color="auto"/>
        <w:right w:val="none" w:sz="0" w:space="0" w:color="auto"/>
      </w:divBdr>
    </w:div>
    <w:div w:id="177623411">
      <w:bodyDiv w:val="1"/>
      <w:marLeft w:val="0"/>
      <w:marRight w:val="0"/>
      <w:marTop w:val="0"/>
      <w:marBottom w:val="0"/>
      <w:divBdr>
        <w:top w:val="none" w:sz="0" w:space="0" w:color="auto"/>
        <w:left w:val="none" w:sz="0" w:space="0" w:color="auto"/>
        <w:bottom w:val="none" w:sz="0" w:space="0" w:color="auto"/>
        <w:right w:val="none" w:sz="0" w:space="0" w:color="auto"/>
      </w:divBdr>
    </w:div>
    <w:div w:id="188832958">
      <w:bodyDiv w:val="1"/>
      <w:marLeft w:val="0"/>
      <w:marRight w:val="0"/>
      <w:marTop w:val="0"/>
      <w:marBottom w:val="0"/>
      <w:divBdr>
        <w:top w:val="none" w:sz="0" w:space="0" w:color="auto"/>
        <w:left w:val="none" w:sz="0" w:space="0" w:color="auto"/>
        <w:bottom w:val="none" w:sz="0" w:space="0" w:color="auto"/>
        <w:right w:val="none" w:sz="0" w:space="0" w:color="auto"/>
      </w:divBdr>
    </w:div>
    <w:div w:id="200363659">
      <w:marLeft w:val="0"/>
      <w:marRight w:val="0"/>
      <w:marTop w:val="0"/>
      <w:marBottom w:val="0"/>
      <w:divBdr>
        <w:top w:val="none" w:sz="0" w:space="0" w:color="auto"/>
        <w:left w:val="none" w:sz="0" w:space="0" w:color="auto"/>
        <w:bottom w:val="none" w:sz="0" w:space="0" w:color="auto"/>
        <w:right w:val="none" w:sz="0" w:space="0" w:color="auto"/>
      </w:divBdr>
    </w:div>
    <w:div w:id="200363660">
      <w:marLeft w:val="0"/>
      <w:marRight w:val="0"/>
      <w:marTop w:val="0"/>
      <w:marBottom w:val="0"/>
      <w:divBdr>
        <w:top w:val="none" w:sz="0" w:space="0" w:color="auto"/>
        <w:left w:val="none" w:sz="0" w:space="0" w:color="auto"/>
        <w:bottom w:val="none" w:sz="0" w:space="0" w:color="auto"/>
        <w:right w:val="none" w:sz="0" w:space="0" w:color="auto"/>
      </w:divBdr>
    </w:div>
    <w:div w:id="200363661">
      <w:marLeft w:val="0"/>
      <w:marRight w:val="0"/>
      <w:marTop w:val="0"/>
      <w:marBottom w:val="0"/>
      <w:divBdr>
        <w:top w:val="none" w:sz="0" w:space="0" w:color="auto"/>
        <w:left w:val="none" w:sz="0" w:space="0" w:color="auto"/>
        <w:bottom w:val="none" w:sz="0" w:space="0" w:color="auto"/>
        <w:right w:val="none" w:sz="0" w:space="0" w:color="auto"/>
      </w:divBdr>
    </w:div>
    <w:div w:id="200363662">
      <w:marLeft w:val="0"/>
      <w:marRight w:val="0"/>
      <w:marTop w:val="0"/>
      <w:marBottom w:val="0"/>
      <w:divBdr>
        <w:top w:val="none" w:sz="0" w:space="0" w:color="auto"/>
        <w:left w:val="none" w:sz="0" w:space="0" w:color="auto"/>
        <w:bottom w:val="none" w:sz="0" w:space="0" w:color="auto"/>
        <w:right w:val="none" w:sz="0" w:space="0" w:color="auto"/>
      </w:divBdr>
    </w:div>
    <w:div w:id="200363663">
      <w:marLeft w:val="0"/>
      <w:marRight w:val="0"/>
      <w:marTop w:val="0"/>
      <w:marBottom w:val="0"/>
      <w:divBdr>
        <w:top w:val="none" w:sz="0" w:space="0" w:color="auto"/>
        <w:left w:val="none" w:sz="0" w:space="0" w:color="auto"/>
        <w:bottom w:val="none" w:sz="0" w:space="0" w:color="auto"/>
        <w:right w:val="none" w:sz="0" w:space="0" w:color="auto"/>
      </w:divBdr>
    </w:div>
    <w:div w:id="200363664">
      <w:marLeft w:val="0"/>
      <w:marRight w:val="0"/>
      <w:marTop w:val="0"/>
      <w:marBottom w:val="0"/>
      <w:divBdr>
        <w:top w:val="none" w:sz="0" w:space="0" w:color="auto"/>
        <w:left w:val="none" w:sz="0" w:space="0" w:color="auto"/>
        <w:bottom w:val="none" w:sz="0" w:space="0" w:color="auto"/>
        <w:right w:val="none" w:sz="0" w:space="0" w:color="auto"/>
      </w:divBdr>
    </w:div>
    <w:div w:id="200363665">
      <w:marLeft w:val="0"/>
      <w:marRight w:val="0"/>
      <w:marTop w:val="0"/>
      <w:marBottom w:val="0"/>
      <w:divBdr>
        <w:top w:val="none" w:sz="0" w:space="0" w:color="auto"/>
        <w:left w:val="none" w:sz="0" w:space="0" w:color="auto"/>
        <w:bottom w:val="none" w:sz="0" w:space="0" w:color="auto"/>
        <w:right w:val="none" w:sz="0" w:space="0" w:color="auto"/>
      </w:divBdr>
    </w:div>
    <w:div w:id="204560479">
      <w:bodyDiv w:val="1"/>
      <w:marLeft w:val="0"/>
      <w:marRight w:val="0"/>
      <w:marTop w:val="0"/>
      <w:marBottom w:val="0"/>
      <w:divBdr>
        <w:top w:val="none" w:sz="0" w:space="0" w:color="auto"/>
        <w:left w:val="none" w:sz="0" w:space="0" w:color="auto"/>
        <w:bottom w:val="none" w:sz="0" w:space="0" w:color="auto"/>
        <w:right w:val="none" w:sz="0" w:space="0" w:color="auto"/>
      </w:divBdr>
    </w:div>
    <w:div w:id="222448146">
      <w:bodyDiv w:val="1"/>
      <w:marLeft w:val="0"/>
      <w:marRight w:val="0"/>
      <w:marTop w:val="0"/>
      <w:marBottom w:val="0"/>
      <w:divBdr>
        <w:top w:val="none" w:sz="0" w:space="0" w:color="auto"/>
        <w:left w:val="none" w:sz="0" w:space="0" w:color="auto"/>
        <w:bottom w:val="none" w:sz="0" w:space="0" w:color="auto"/>
        <w:right w:val="none" w:sz="0" w:space="0" w:color="auto"/>
      </w:divBdr>
    </w:div>
    <w:div w:id="258686935">
      <w:bodyDiv w:val="1"/>
      <w:marLeft w:val="0"/>
      <w:marRight w:val="0"/>
      <w:marTop w:val="0"/>
      <w:marBottom w:val="0"/>
      <w:divBdr>
        <w:top w:val="none" w:sz="0" w:space="0" w:color="auto"/>
        <w:left w:val="none" w:sz="0" w:space="0" w:color="auto"/>
        <w:bottom w:val="none" w:sz="0" w:space="0" w:color="auto"/>
        <w:right w:val="none" w:sz="0" w:space="0" w:color="auto"/>
      </w:divBdr>
    </w:div>
    <w:div w:id="262688486">
      <w:bodyDiv w:val="1"/>
      <w:marLeft w:val="0"/>
      <w:marRight w:val="0"/>
      <w:marTop w:val="0"/>
      <w:marBottom w:val="0"/>
      <w:divBdr>
        <w:top w:val="none" w:sz="0" w:space="0" w:color="auto"/>
        <w:left w:val="none" w:sz="0" w:space="0" w:color="auto"/>
        <w:bottom w:val="none" w:sz="0" w:space="0" w:color="auto"/>
        <w:right w:val="none" w:sz="0" w:space="0" w:color="auto"/>
      </w:divBdr>
    </w:div>
    <w:div w:id="347174766">
      <w:bodyDiv w:val="1"/>
      <w:marLeft w:val="0"/>
      <w:marRight w:val="0"/>
      <w:marTop w:val="0"/>
      <w:marBottom w:val="0"/>
      <w:divBdr>
        <w:top w:val="none" w:sz="0" w:space="0" w:color="auto"/>
        <w:left w:val="none" w:sz="0" w:space="0" w:color="auto"/>
        <w:bottom w:val="none" w:sz="0" w:space="0" w:color="auto"/>
        <w:right w:val="none" w:sz="0" w:space="0" w:color="auto"/>
      </w:divBdr>
    </w:div>
    <w:div w:id="358165559">
      <w:bodyDiv w:val="1"/>
      <w:marLeft w:val="0"/>
      <w:marRight w:val="0"/>
      <w:marTop w:val="0"/>
      <w:marBottom w:val="0"/>
      <w:divBdr>
        <w:top w:val="none" w:sz="0" w:space="0" w:color="auto"/>
        <w:left w:val="none" w:sz="0" w:space="0" w:color="auto"/>
        <w:bottom w:val="none" w:sz="0" w:space="0" w:color="auto"/>
        <w:right w:val="none" w:sz="0" w:space="0" w:color="auto"/>
      </w:divBdr>
    </w:div>
    <w:div w:id="382607080">
      <w:bodyDiv w:val="1"/>
      <w:marLeft w:val="0"/>
      <w:marRight w:val="0"/>
      <w:marTop w:val="0"/>
      <w:marBottom w:val="0"/>
      <w:divBdr>
        <w:top w:val="none" w:sz="0" w:space="0" w:color="auto"/>
        <w:left w:val="none" w:sz="0" w:space="0" w:color="auto"/>
        <w:bottom w:val="none" w:sz="0" w:space="0" w:color="auto"/>
        <w:right w:val="none" w:sz="0" w:space="0" w:color="auto"/>
      </w:divBdr>
    </w:div>
    <w:div w:id="437454173">
      <w:bodyDiv w:val="1"/>
      <w:marLeft w:val="0"/>
      <w:marRight w:val="0"/>
      <w:marTop w:val="0"/>
      <w:marBottom w:val="0"/>
      <w:divBdr>
        <w:top w:val="none" w:sz="0" w:space="0" w:color="auto"/>
        <w:left w:val="none" w:sz="0" w:space="0" w:color="auto"/>
        <w:bottom w:val="none" w:sz="0" w:space="0" w:color="auto"/>
        <w:right w:val="none" w:sz="0" w:space="0" w:color="auto"/>
      </w:divBdr>
    </w:div>
    <w:div w:id="502165075">
      <w:bodyDiv w:val="1"/>
      <w:marLeft w:val="0"/>
      <w:marRight w:val="0"/>
      <w:marTop w:val="0"/>
      <w:marBottom w:val="0"/>
      <w:divBdr>
        <w:top w:val="none" w:sz="0" w:space="0" w:color="auto"/>
        <w:left w:val="none" w:sz="0" w:space="0" w:color="auto"/>
        <w:bottom w:val="none" w:sz="0" w:space="0" w:color="auto"/>
        <w:right w:val="none" w:sz="0" w:space="0" w:color="auto"/>
      </w:divBdr>
    </w:div>
    <w:div w:id="522205197">
      <w:bodyDiv w:val="1"/>
      <w:marLeft w:val="0"/>
      <w:marRight w:val="0"/>
      <w:marTop w:val="0"/>
      <w:marBottom w:val="0"/>
      <w:divBdr>
        <w:top w:val="none" w:sz="0" w:space="0" w:color="auto"/>
        <w:left w:val="none" w:sz="0" w:space="0" w:color="auto"/>
        <w:bottom w:val="none" w:sz="0" w:space="0" w:color="auto"/>
        <w:right w:val="none" w:sz="0" w:space="0" w:color="auto"/>
      </w:divBdr>
      <w:divsChild>
        <w:div w:id="722217511">
          <w:marLeft w:val="0"/>
          <w:marRight w:val="0"/>
          <w:marTop w:val="0"/>
          <w:marBottom w:val="0"/>
          <w:divBdr>
            <w:top w:val="none" w:sz="0" w:space="0" w:color="auto"/>
            <w:left w:val="none" w:sz="0" w:space="0" w:color="auto"/>
            <w:bottom w:val="none" w:sz="0" w:space="0" w:color="auto"/>
            <w:right w:val="none" w:sz="0" w:space="0" w:color="auto"/>
          </w:divBdr>
          <w:divsChild>
            <w:div w:id="1974288506">
              <w:marLeft w:val="0"/>
              <w:marRight w:val="0"/>
              <w:marTop w:val="0"/>
              <w:marBottom w:val="0"/>
              <w:divBdr>
                <w:top w:val="none" w:sz="0" w:space="0" w:color="auto"/>
                <w:left w:val="none" w:sz="0" w:space="0" w:color="auto"/>
                <w:bottom w:val="none" w:sz="0" w:space="0" w:color="auto"/>
                <w:right w:val="none" w:sz="0" w:space="0" w:color="auto"/>
              </w:divBdr>
              <w:divsChild>
                <w:div w:id="2066416933">
                  <w:marLeft w:val="0"/>
                  <w:marRight w:val="0"/>
                  <w:marTop w:val="0"/>
                  <w:marBottom w:val="0"/>
                  <w:divBdr>
                    <w:top w:val="none" w:sz="0" w:space="0" w:color="auto"/>
                    <w:left w:val="none" w:sz="0" w:space="0" w:color="auto"/>
                    <w:bottom w:val="none" w:sz="0" w:space="0" w:color="auto"/>
                    <w:right w:val="none" w:sz="0" w:space="0" w:color="auto"/>
                  </w:divBdr>
                  <w:divsChild>
                    <w:div w:id="834761542">
                      <w:marLeft w:val="0"/>
                      <w:marRight w:val="0"/>
                      <w:marTop w:val="0"/>
                      <w:marBottom w:val="0"/>
                      <w:divBdr>
                        <w:top w:val="none" w:sz="0" w:space="0" w:color="auto"/>
                        <w:left w:val="none" w:sz="0" w:space="0" w:color="auto"/>
                        <w:bottom w:val="none" w:sz="0" w:space="0" w:color="auto"/>
                        <w:right w:val="none" w:sz="0" w:space="0" w:color="auto"/>
                      </w:divBdr>
                      <w:divsChild>
                        <w:div w:id="450517250">
                          <w:marLeft w:val="0"/>
                          <w:marRight w:val="0"/>
                          <w:marTop w:val="0"/>
                          <w:marBottom w:val="0"/>
                          <w:divBdr>
                            <w:top w:val="none" w:sz="0" w:space="0" w:color="auto"/>
                            <w:left w:val="none" w:sz="0" w:space="0" w:color="auto"/>
                            <w:bottom w:val="none" w:sz="0" w:space="0" w:color="auto"/>
                            <w:right w:val="none" w:sz="0" w:space="0" w:color="auto"/>
                          </w:divBdr>
                          <w:divsChild>
                            <w:div w:id="21223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935420">
      <w:bodyDiv w:val="1"/>
      <w:marLeft w:val="0"/>
      <w:marRight w:val="0"/>
      <w:marTop w:val="0"/>
      <w:marBottom w:val="0"/>
      <w:divBdr>
        <w:top w:val="none" w:sz="0" w:space="0" w:color="auto"/>
        <w:left w:val="none" w:sz="0" w:space="0" w:color="auto"/>
        <w:bottom w:val="none" w:sz="0" w:space="0" w:color="auto"/>
        <w:right w:val="none" w:sz="0" w:space="0" w:color="auto"/>
      </w:divBdr>
    </w:div>
    <w:div w:id="599490109">
      <w:bodyDiv w:val="1"/>
      <w:marLeft w:val="0"/>
      <w:marRight w:val="0"/>
      <w:marTop w:val="0"/>
      <w:marBottom w:val="0"/>
      <w:divBdr>
        <w:top w:val="none" w:sz="0" w:space="0" w:color="auto"/>
        <w:left w:val="none" w:sz="0" w:space="0" w:color="auto"/>
        <w:bottom w:val="none" w:sz="0" w:space="0" w:color="auto"/>
        <w:right w:val="none" w:sz="0" w:space="0" w:color="auto"/>
      </w:divBdr>
    </w:div>
    <w:div w:id="774401182">
      <w:bodyDiv w:val="1"/>
      <w:marLeft w:val="0"/>
      <w:marRight w:val="0"/>
      <w:marTop w:val="0"/>
      <w:marBottom w:val="0"/>
      <w:divBdr>
        <w:top w:val="none" w:sz="0" w:space="0" w:color="auto"/>
        <w:left w:val="none" w:sz="0" w:space="0" w:color="auto"/>
        <w:bottom w:val="none" w:sz="0" w:space="0" w:color="auto"/>
        <w:right w:val="none" w:sz="0" w:space="0" w:color="auto"/>
      </w:divBdr>
    </w:div>
    <w:div w:id="842358537">
      <w:bodyDiv w:val="1"/>
      <w:marLeft w:val="0"/>
      <w:marRight w:val="0"/>
      <w:marTop w:val="0"/>
      <w:marBottom w:val="0"/>
      <w:divBdr>
        <w:top w:val="none" w:sz="0" w:space="0" w:color="auto"/>
        <w:left w:val="none" w:sz="0" w:space="0" w:color="auto"/>
        <w:bottom w:val="none" w:sz="0" w:space="0" w:color="auto"/>
        <w:right w:val="none" w:sz="0" w:space="0" w:color="auto"/>
      </w:divBdr>
    </w:div>
    <w:div w:id="842665033">
      <w:bodyDiv w:val="1"/>
      <w:marLeft w:val="0"/>
      <w:marRight w:val="0"/>
      <w:marTop w:val="0"/>
      <w:marBottom w:val="0"/>
      <w:divBdr>
        <w:top w:val="none" w:sz="0" w:space="0" w:color="auto"/>
        <w:left w:val="none" w:sz="0" w:space="0" w:color="auto"/>
        <w:bottom w:val="none" w:sz="0" w:space="0" w:color="auto"/>
        <w:right w:val="none" w:sz="0" w:space="0" w:color="auto"/>
      </w:divBdr>
    </w:div>
    <w:div w:id="937562492">
      <w:bodyDiv w:val="1"/>
      <w:marLeft w:val="0"/>
      <w:marRight w:val="0"/>
      <w:marTop w:val="0"/>
      <w:marBottom w:val="0"/>
      <w:divBdr>
        <w:top w:val="none" w:sz="0" w:space="0" w:color="auto"/>
        <w:left w:val="none" w:sz="0" w:space="0" w:color="auto"/>
        <w:bottom w:val="none" w:sz="0" w:space="0" w:color="auto"/>
        <w:right w:val="none" w:sz="0" w:space="0" w:color="auto"/>
      </w:divBdr>
    </w:div>
    <w:div w:id="951087038">
      <w:bodyDiv w:val="1"/>
      <w:marLeft w:val="0"/>
      <w:marRight w:val="0"/>
      <w:marTop w:val="0"/>
      <w:marBottom w:val="0"/>
      <w:divBdr>
        <w:top w:val="none" w:sz="0" w:space="0" w:color="auto"/>
        <w:left w:val="none" w:sz="0" w:space="0" w:color="auto"/>
        <w:bottom w:val="none" w:sz="0" w:space="0" w:color="auto"/>
        <w:right w:val="none" w:sz="0" w:space="0" w:color="auto"/>
      </w:divBdr>
    </w:div>
    <w:div w:id="960571616">
      <w:bodyDiv w:val="1"/>
      <w:marLeft w:val="0"/>
      <w:marRight w:val="0"/>
      <w:marTop w:val="0"/>
      <w:marBottom w:val="0"/>
      <w:divBdr>
        <w:top w:val="none" w:sz="0" w:space="0" w:color="auto"/>
        <w:left w:val="none" w:sz="0" w:space="0" w:color="auto"/>
        <w:bottom w:val="none" w:sz="0" w:space="0" w:color="auto"/>
        <w:right w:val="none" w:sz="0" w:space="0" w:color="auto"/>
      </w:divBdr>
    </w:div>
    <w:div w:id="1133256428">
      <w:bodyDiv w:val="1"/>
      <w:marLeft w:val="0"/>
      <w:marRight w:val="0"/>
      <w:marTop w:val="0"/>
      <w:marBottom w:val="0"/>
      <w:divBdr>
        <w:top w:val="none" w:sz="0" w:space="0" w:color="auto"/>
        <w:left w:val="none" w:sz="0" w:space="0" w:color="auto"/>
        <w:bottom w:val="none" w:sz="0" w:space="0" w:color="auto"/>
        <w:right w:val="none" w:sz="0" w:space="0" w:color="auto"/>
      </w:divBdr>
    </w:div>
    <w:div w:id="1134451145">
      <w:bodyDiv w:val="1"/>
      <w:marLeft w:val="0"/>
      <w:marRight w:val="0"/>
      <w:marTop w:val="0"/>
      <w:marBottom w:val="0"/>
      <w:divBdr>
        <w:top w:val="none" w:sz="0" w:space="0" w:color="auto"/>
        <w:left w:val="none" w:sz="0" w:space="0" w:color="auto"/>
        <w:bottom w:val="none" w:sz="0" w:space="0" w:color="auto"/>
        <w:right w:val="none" w:sz="0" w:space="0" w:color="auto"/>
      </w:divBdr>
    </w:div>
    <w:div w:id="1159034040">
      <w:bodyDiv w:val="1"/>
      <w:marLeft w:val="0"/>
      <w:marRight w:val="0"/>
      <w:marTop w:val="0"/>
      <w:marBottom w:val="0"/>
      <w:divBdr>
        <w:top w:val="none" w:sz="0" w:space="0" w:color="auto"/>
        <w:left w:val="none" w:sz="0" w:space="0" w:color="auto"/>
        <w:bottom w:val="none" w:sz="0" w:space="0" w:color="auto"/>
        <w:right w:val="none" w:sz="0" w:space="0" w:color="auto"/>
      </w:divBdr>
    </w:div>
    <w:div w:id="1232739379">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9816247">
      <w:bodyDiv w:val="1"/>
      <w:marLeft w:val="0"/>
      <w:marRight w:val="0"/>
      <w:marTop w:val="0"/>
      <w:marBottom w:val="0"/>
      <w:divBdr>
        <w:top w:val="none" w:sz="0" w:space="0" w:color="auto"/>
        <w:left w:val="none" w:sz="0" w:space="0" w:color="auto"/>
        <w:bottom w:val="none" w:sz="0" w:space="0" w:color="auto"/>
        <w:right w:val="none" w:sz="0" w:space="0" w:color="auto"/>
      </w:divBdr>
    </w:div>
    <w:div w:id="1311518464">
      <w:bodyDiv w:val="1"/>
      <w:marLeft w:val="0"/>
      <w:marRight w:val="0"/>
      <w:marTop w:val="0"/>
      <w:marBottom w:val="0"/>
      <w:divBdr>
        <w:top w:val="none" w:sz="0" w:space="0" w:color="auto"/>
        <w:left w:val="none" w:sz="0" w:space="0" w:color="auto"/>
        <w:bottom w:val="none" w:sz="0" w:space="0" w:color="auto"/>
        <w:right w:val="none" w:sz="0" w:space="0" w:color="auto"/>
      </w:divBdr>
    </w:div>
    <w:div w:id="1325159323">
      <w:bodyDiv w:val="1"/>
      <w:marLeft w:val="0"/>
      <w:marRight w:val="0"/>
      <w:marTop w:val="0"/>
      <w:marBottom w:val="0"/>
      <w:divBdr>
        <w:top w:val="none" w:sz="0" w:space="0" w:color="auto"/>
        <w:left w:val="none" w:sz="0" w:space="0" w:color="auto"/>
        <w:bottom w:val="none" w:sz="0" w:space="0" w:color="auto"/>
        <w:right w:val="none" w:sz="0" w:space="0" w:color="auto"/>
      </w:divBdr>
    </w:div>
    <w:div w:id="1419054962">
      <w:bodyDiv w:val="1"/>
      <w:marLeft w:val="0"/>
      <w:marRight w:val="0"/>
      <w:marTop w:val="0"/>
      <w:marBottom w:val="0"/>
      <w:divBdr>
        <w:top w:val="none" w:sz="0" w:space="0" w:color="auto"/>
        <w:left w:val="none" w:sz="0" w:space="0" w:color="auto"/>
        <w:bottom w:val="none" w:sz="0" w:space="0" w:color="auto"/>
        <w:right w:val="none" w:sz="0" w:space="0" w:color="auto"/>
      </w:divBdr>
    </w:div>
    <w:div w:id="1460491913">
      <w:bodyDiv w:val="1"/>
      <w:marLeft w:val="0"/>
      <w:marRight w:val="0"/>
      <w:marTop w:val="0"/>
      <w:marBottom w:val="0"/>
      <w:divBdr>
        <w:top w:val="none" w:sz="0" w:space="0" w:color="auto"/>
        <w:left w:val="none" w:sz="0" w:space="0" w:color="auto"/>
        <w:bottom w:val="none" w:sz="0" w:space="0" w:color="auto"/>
        <w:right w:val="none" w:sz="0" w:space="0" w:color="auto"/>
      </w:divBdr>
    </w:div>
    <w:div w:id="1485733816">
      <w:bodyDiv w:val="1"/>
      <w:marLeft w:val="0"/>
      <w:marRight w:val="0"/>
      <w:marTop w:val="0"/>
      <w:marBottom w:val="0"/>
      <w:divBdr>
        <w:top w:val="none" w:sz="0" w:space="0" w:color="auto"/>
        <w:left w:val="none" w:sz="0" w:space="0" w:color="auto"/>
        <w:bottom w:val="none" w:sz="0" w:space="0" w:color="auto"/>
        <w:right w:val="none" w:sz="0" w:space="0" w:color="auto"/>
      </w:divBdr>
    </w:div>
    <w:div w:id="1557860181">
      <w:bodyDiv w:val="1"/>
      <w:marLeft w:val="0"/>
      <w:marRight w:val="0"/>
      <w:marTop w:val="0"/>
      <w:marBottom w:val="0"/>
      <w:divBdr>
        <w:top w:val="none" w:sz="0" w:space="0" w:color="auto"/>
        <w:left w:val="none" w:sz="0" w:space="0" w:color="auto"/>
        <w:bottom w:val="none" w:sz="0" w:space="0" w:color="auto"/>
        <w:right w:val="none" w:sz="0" w:space="0" w:color="auto"/>
      </w:divBdr>
    </w:div>
    <w:div w:id="1567180851">
      <w:bodyDiv w:val="1"/>
      <w:marLeft w:val="0"/>
      <w:marRight w:val="0"/>
      <w:marTop w:val="0"/>
      <w:marBottom w:val="0"/>
      <w:divBdr>
        <w:top w:val="none" w:sz="0" w:space="0" w:color="auto"/>
        <w:left w:val="none" w:sz="0" w:space="0" w:color="auto"/>
        <w:bottom w:val="none" w:sz="0" w:space="0" w:color="auto"/>
        <w:right w:val="none" w:sz="0" w:space="0" w:color="auto"/>
      </w:divBdr>
    </w:div>
    <w:div w:id="1605455222">
      <w:bodyDiv w:val="1"/>
      <w:marLeft w:val="0"/>
      <w:marRight w:val="0"/>
      <w:marTop w:val="0"/>
      <w:marBottom w:val="0"/>
      <w:divBdr>
        <w:top w:val="none" w:sz="0" w:space="0" w:color="auto"/>
        <w:left w:val="none" w:sz="0" w:space="0" w:color="auto"/>
        <w:bottom w:val="none" w:sz="0" w:space="0" w:color="auto"/>
        <w:right w:val="none" w:sz="0" w:space="0" w:color="auto"/>
      </w:divBdr>
    </w:div>
    <w:div w:id="1630549357">
      <w:bodyDiv w:val="1"/>
      <w:marLeft w:val="0"/>
      <w:marRight w:val="0"/>
      <w:marTop w:val="0"/>
      <w:marBottom w:val="0"/>
      <w:divBdr>
        <w:top w:val="none" w:sz="0" w:space="0" w:color="auto"/>
        <w:left w:val="none" w:sz="0" w:space="0" w:color="auto"/>
        <w:bottom w:val="none" w:sz="0" w:space="0" w:color="auto"/>
        <w:right w:val="none" w:sz="0" w:space="0" w:color="auto"/>
      </w:divBdr>
    </w:div>
    <w:div w:id="1645310535">
      <w:bodyDiv w:val="1"/>
      <w:marLeft w:val="0"/>
      <w:marRight w:val="0"/>
      <w:marTop w:val="0"/>
      <w:marBottom w:val="0"/>
      <w:divBdr>
        <w:top w:val="none" w:sz="0" w:space="0" w:color="auto"/>
        <w:left w:val="none" w:sz="0" w:space="0" w:color="auto"/>
        <w:bottom w:val="none" w:sz="0" w:space="0" w:color="auto"/>
        <w:right w:val="none" w:sz="0" w:space="0" w:color="auto"/>
      </w:divBdr>
    </w:div>
    <w:div w:id="1655527392">
      <w:bodyDiv w:val="1"/>
      <w:marLeft w:val="0"/>
      <w:marRight w:val="0"/>
      <w:marTop w:val="0"/>
      <w:marBottom w:val="0"/>
      <w:divBdr>
        <w:top w:val="none" w:sz="0" w:space="0" w:color="auto"/>
        <w:left w:val="none" w:sz="0" w:space="0" w:color="auto"/>
        <w:bottom w:val="none" w:sz="0" w:space="0" w:color="auto"/>
        <w:right w:val="none" w:sz="0" w:space="0" w:color="auto"/>
      </w:divBdr>
    </w:div>
    <w:div w:id="1702315790">
      <w:bodyDiv w:val="1"/>
      <w:marLeft w:val="0"/>
      <w:marRight w:val="0"/>
      <w:marTop w:val="0"/>
      <w:marBottom w:val="0"/>
      <w:divBdr>
        <w:top w:val="none" w:sz="0" w:space="0" w:color="auto"/>
        <w:left w:val="none" w:sz="0" w:space="0" w:color="auto"/>
        <w:bottom w:val="none" w:sz="0" w:space="0" w:color="auto"/>
        <w:right w:val="none" w:sz="0" w:space="0" w:color="auto"/>
      </w:divBdr>
    </w:div>
    <w:div w:id="1784418335">
      <w:bodyDiv w:val="1"/>
      <w:marLeft w:val="0"/>
      <w:marRight w:val="0"/>
      <w:marTop w:val="0"/>
      <w:marBottom w:val="0"/>
      <w:divBdr>
        <w:top w:val="none" w:sz="0" w:space="0" w:color="auto"/>
        <w:left w:val="none" w:sz="0" w:space="0" w:color="auto"/>
        <w:bottom w:val="none" w:sz="0" w:space="0" w:color="auto"/>
        <w:right w:val="none" w:sz="0" w:space="0" w:color="auto"/>
      </w:divBdr>
    </w:div>
    <w:div w:id="1829057037">
      <w:bodyDiv w:val="1"/>
      <w:marLeft w:val="0"/>
      <w:marRight w:val="0"/>
      <w:marTop w:val="0"/>
      <w:marBottom w:val="0"/>
      <w:divBdr>
        <w:top w:val="none" w:sz="0" w:space="0" w:color="auto"/>
        <w:left w:val="none" w:sz="0" w:space="0" w:color="auto"/>
        <w:bottom w:val="none" w:sz="0" w:space="0" w:color="auto"/>
        <w:right w:val="none" w:sz="0" w:space="0" w:color="auto"/>
      </w:divBdr>
    </w:div>
    <w:div w:id="1843659599">
      <w:bodyDiv w:val="1"/>
      <w:marLeft w:val="0"/>
      <w:marRight w:val="0"/>
      <w:marTop w:val="0"/>
      <w:marBottom w:val="0"/>
      <w:divBdr>
        <w:top w:val="none" w:sz="0" w:space="0" w:color="auto"/>
        <w:left w:val="none" w:sz="0" w:space="0" w:color="auto"/>
        <w:bottom w:val="none" w:sz="0" w:space="0" w:color="auto"/>
        <w:right w:val="none" w:sz="0" w:space="0" w:color="auto"/>
      </w:divBdr>
    </w:div>
    <w:div w:id="1885941379">
      <w:bodyDiv w:val="1"/>
      <w:marLeft w:val="0"/>
      <w:marRight w:val="0"/>
      <w:marTop w:val="0"/>
      <w:marBottom w:val="0"/>
      <w:divBdr>
        <w:top w:val="none" w:sz="0" w:space="0" w:color="auto"/>
        <w:left w:val="none" w:sz="0" w:space="0" w:color="auto"/>
        <w:bottom w:val="none" w:sz="0" w:space="0" w:color="auto"/>
        <w:right w:val="none" w:sz="0" w:space="0" w:color="auto"/>
      </w:divBdr>
    </w:div>
    <w:div w:id="1958026862">
      <w:bodyDiv w:val="1"/>
      <w:marLeft w:val="0"/>
      <w:marRight w:val="0"/>
      <w:marTop w:val="0"/>
      <w:marBottom w:val="0"/>
      <w:divBdr>
        <w:top w:val="none" w:sz="0" w:space="0" w:color="auto"/>
        <w:left w:val="none" w:sz="0" w:space="0" w:color="auto"/>
        <w:bottom w:val="none" w:sz="0" w:space="0" w:color="auto"/>
        <w:right w:val="none" w:sz="0" w:space="0" w:color="auto"/>
      </w:divBdr>
    </w:div>
    <w:div w:id="1966932840">
      <w:bodyDiv w:val="1"/>
      <w:marLeft w:val="0"/>
      <w:marRight w:val="0"/>
      <w:marTop w:val="0"/>
      <w:marBottom w:val="0"/>
      <w:divBdr>
        <w:top w:val="none" w:sz="0" w:space="0" w:color="auto"/>
        <w:left w:val="none" w:sz="0" w:space="0" w:color="auto"/>
        <w:bottom w:val="none" w:sz="0" w:space="0" w:color="auto"/>
        <w:right w:val="none" w:sz="0" w:space="0" w:color="auto"/>
      </w:divBdr>
    </w:div>
    <w:div w:id="2057469367">
      <w:bodyDiv w:val="1"/>
      <w:marLeft w:val="0"/>
      <w:marRight w:val="0"/>
      <w:marTop w:val="0"/>
      <w:marBottom w:val="0"/>
      <w:divBdr>
        <w:top w:val="none" w:sz="0" w:space="0" w:color="auto"/>
        <w:left w:val="none" w:sz="0" w:space="0" w:color="auto"/>
        <w:bottom w:val="none" w:sz="0" w:space="0" w:color="auto"/>
        <w:right w:val="none" w:sz="0" w:space="0" w:color="auto"/>
      </w:divBdr>
    </w:div>
    <w:div w:id="21242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ederalregister.gov/documents/2023/08/23/2023-17724/guidance-for-grants-and-agreements" TargetMode="External"/><Relationship Id="rId21" Type="http://schemas.openxmlformats.org/officeDocument/2006/relationships/hyperlink" Target="https://www.law.cornell.edu/uscode/text/26/42" TargetMode="External"/><Relationship Id="rId34" Type="http://schemas.openxmlformats.org/officeDocument/2006/relationships/hyperlink" Target="https://www.law.cornell.edu/uscode/text/42/chapter-45/subchapter-I" TargetMode="External"/><Relationship Id="rId42" Type="http://schemas.openxmlformats.org/officeDocument/2006/relationships/hyperlink" Target="https://www.law.cornell.edu/uscode/text/26/42" TargetMode="External"/><Relationship Id="rId47" Type="http://schemas.openxmlformats.org/officeDocument/2006/relationships/hyperlink" Target="https://www.maine.gov/dacf/municipalplanning/service_centers.shtml" TargetMode="External"/><Relationship Id="rId50" Type="http://schemas.openxmlformats.org/officeDocument/2006/relationships/footer" Target="footer2.xml"/><Relationship Id="rId55" Type="http://schemas.openxmlformats.org/officeDocument/2006/relationships/hyperlink" Target="https://www.law.cornell.edu/uscode/text/26/42" TargetMode="External"/><Relationship Id="rId63" Type="http://schemas.openxmlformats.org/officeDocument/2006/relationships/hyperlink" Target="https://www.law.cornell.edu/uscode/text/26/42" TargetMode="External"/><Relationship Id="rId68" Type="http://schemas.openxmlformats.org/officeDocument/2006/relationships/hyperlink" Target="https://www.law.cornell.edu/uscode/text/26/42" TargetMode="External"/><Relationship Id="rId76" Type="http://schemas.openxmlformats.org/officeDocument/2006/relationships/header" Target="header3.xml"/><Relationship Id="rId84" Type="http://schemas.openxmlformats.org/officeDocument/2006/relationships/footer" Target="footer6.xml"/><Relationship Id="rId89" Type="http://schemas.openxmlformats.org/officeDocument/2006/relationships/hyperlink" Target="https://www.law.cornell.edu/cfr/text/24/part-8" TargetMode="External"/><Relationship Id="rId97"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yperlink" Target="https://www.law.cornell.edu/uscode/text/42/1437f" TargetMode="External"/><Relationship Id="rId92"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law.cornell.edu/uscode/text/26/42" TargetMode="External"/><Relationship Id="rId29" Type="http://schemas.openxmlformats.org/officeDocument/2006/relationships/hyperlink" Target="https://www.law.cornell.edu/uscode/text/26/42" TargetMode="External"/><Relationship Id="rId11" Type="http://schemas.openxmlformats.org/officeDocument/2006/relationships/header" Target="header1.xml"/><Relationship Id="rId24" Type="http://schemas.openxmlformats.org/officeDocument/2006/relationships/hyperlink" Target="https://www.mainehousing.org/programs-services/housing-development/construction-services" TargetMode="External"/><Relationship Id="rId32" Type="http://schemas.openxmlformats.org/officeDocument/2006/relationships/hyperlink" Target="https://www.law.cornell.edu/uscode/text/26/42" TargetMode="External"/><Relationship Id="rId37" Type="http://schemas.openxmlformats.org/officeDocument/2006/relationships/hyperlink" Target="https://www.law.cornell.edu/uscode/text/42/chapter-136/subchapter-III" TargetMode="External"/><Relationship Id="rId40" Type="http://schemas.openxmlformats.org/officeDocument/2006/relationships/hyperlink" Target="http://www.mainelegislature.org/legis/statutes/1/title1sec401.html" TargetMode="External"/><Relationship Id="rId45" Type="http://schemas.openxmlformats.org/officeDocument/2006/relationships/hyperlink" Target="https://www.law.cornell.edu/uscode/text/26/42" TargetMode="External"/><Relationship Id="rId53" Type="http://schemas.openxmlformats.org/officeDocument/2006/relationships/hyperlink" Target="https://www.law.cornell.edu/uscode/text/26/42" TargetMode="External"/><Relationship Id="rId58" Type="http://schemas.openxmlformats.org/officeDocument/2006/relationships/hyperlink" Target="http://ruralhousingcoalition.org/section-515-rural-rental-housing-loans/" TargetMode="External"/><Relationship Id="rId66" Type="http://schemas.openxmlformats.org/officeDocument/2006/relationships/hyperlink" Target="https://www.law.cornell.edu/uscode/text/26/42" TargetMode="External"/><Relationship Id="rId74" Type="http://schemas.openxmlformats.org/officeDocument/2006/relationships/hyperlink" Target="https://www.law.cornell.edu/cfr/text/24/5.703" TargetMode="External"/><Relationship Id="rId79" Type="http://schemas.openxmlformats.org/officeDocument/2006/relationships/header" Target="header4.xml"/><Relationship Id="rId87"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yperlink" Target="https://legislature.maine.gov/legis/statutes/5/title5sec4581-A.html" TargetMode="External"/><Relationship Id="rId82" Type="http://schemas.openxmlformats.org/officeDocument/2006/relationships/header" Target="header5.xml"/><Relationship Id="rId90" Type="http://schemas.openxmlformats.org/officeDocument/2006/relationships/footer" Target="footer9.xml"/><Relationship Id="rId95" Type="http://schemas.openxmlformats.org/officeDocument/2006/relationships/footer" Target="footer12.xml"/><Relationship Id="rId19" Type="http://schemas.openxmlformats.org/officeDocument/2006/relationships/hyperlink" Target="https://www.law.cornell.edu/uscode/text/26/42" TargetMode="External"/><Relationship Id="rId14" Type="http://schemas.openxmlformats.org/officeDocument/2006/relationships/hyperlink" Target="https://www.law.cornell.edu/uscode/text/26/42" TargetMode="External"/><Relationship Id="rId22" Type="http://schemas.openxmlformats.org/officeDocument/2006/relationships/hyperlink" Target="http://www.mainelegislature.org/legis/statutes/30-A/title30-Asec4349-A.html" TargetMode="External"/><Relationship Id="rId27" Type="http://schemas.openxmlformats.org/officeDocument/2006/relationships/hyperlink" Target="https://www.hudexchange.info/baba/faqs/?utm_source=HUD+Exchange+Mailing+List&amp;utm_campaign=87c88d5f1e-BABA-FAQs-Now-Available-3.4.24&amp;utm_medium=email&amp;utm_term=0_-87c88d5f1e-%5BLIST_EMAIL_ID%5D" TargetMode="External"/><Relationship Id="rId30" Type="http://schemas.openxmlformats.org/officeDocument/2006/relationships/hyperlink" Target="https://www.law.cornell.edu/uscode/text/26/42" TargetMode="External"/><Relationship Id="rId35" Type="http://schemas.openxmlformats.org/officeDocument/2006/relationships/hyperlink" Target="https://www.law.cornell.edu/uscode/text/42/12101" TargetMode="External"/><Relationship Id="rId43" Type="http://schemas.openxmlformats.org/officeDocument/2006/relationships/hyperlink" Target="http://legislature.maine.gov/statutes/30-A/title30-Asec4741.html" TargetMode="External"/><Relationship Id="rId48" Type="http://schemas.openxmlformats.org/officeDocument/2006/relationships/hyperlink" Target="https://www.maine.gov/dacf/municipalplanning/service_centers.shtml" TargetMode="External"/><Relationship Id="rId56" Type="http://schemas.openxmlformats.org/officeDocument/2006/relationships/hyperlink" Target="https://www.law.cornell.edu/uscode/text/26/42" TargetMode="External"/><Relationship Id="rId64" Type="http://schemas.openxmlformats.org/officeDocument/2006/relationships/hyperlink" Target="http://www.mainehousing.org/docs/default-source/development/2019-quality-standards-procedures-manual.pdf?sfvrsn=b31db415_6" TargetMode="External"/><Relationship Id="rId69" Type="http://schemas.openxmlformats.org/officeDocument/2006/relationships/hyperlink" Target="https://www.law.cornell.edu/uscode/text/26/42"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legislature.maine.gov/statutes/30-A/title30-Ach201sec0.html" TargetMode="External"/><Relationship Id="rId72" Type="http://schemas.openxmlformats.org/officeDocument/2006/relationships/hyperlink" Target="https://www.law.cornell.edu/uscode/text/26/42" TargetMode="External"/><Relationship Id="rId80" Type="http://schemas.openxmlformats.org/officeDocument/2006/relationships/footer" Target="footer5.xml"/><Relationship Id="rId85" Type="http://schemas.openxmlformats.org/officeDocument/2006/relationships/footer" Target="footer7.xml"/><Relationship Id="rId93" Type="http://schemas.openxmlformats.org/officeDocument/2006/relationships/header" Target="header9.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law.cornell.edu/uscode/text/26/42" TargetMode="External"/><Relationship Id="rId25" Type="http://schemas.openxmlformats.org/officeDocument/2006/relationships/hyperlink" Target="https://www.govinfo.gov/app/details/PLAW-117publ58" TargetMode="External"/><Relationship Id="rId33" Type="http://schemas.openxmlformats.org/officeDocument/2006/relationships/hyperlink" Target="https://www.hud.gov/program_offices/fair_housing_equal_opp/fair_housing_and_related_law" TargetMode="External"/><Relationship Id="rId38" Type="http://schemas.openxmlformats.org/officeDocument/2006/relationships/hyperlink" Target="https://www.law.cornell.edu/uscode/text/26/42" TargetMode="External"/><Relationship Id="rId46" Type="http://schemas.openxmlformats.org/officeDocument/2006/relationships/hyperlink" Target="https://www.maine.gov/dacf/municipalplanning/service_centers.shtml" TargetMode="External"/><Relationship Id="rId59" Type="http://schemas.openxmlformats.org/officeDocument/2006/relationships/hyperlink" Target="https://www.hud.gov/program_offices/housing/mfh/progdesc/eld202" TargetMode="External"/><Relationship Id="rId67" Type="http://schemas.openxmlformats.org/officeDocument/2006/relationships/hyperlink" Target="https://www.law.cornell.edu/uscode/text/26/42" TargetMode="External"/><Relationship Id="rId20" Type="http://schemas.openxmlformats.org/officeDocument/2006/relationships/hyperlink" Target="https://www.law.cornell.edu/uscode/text/26/42" TargetMode="External"/><Relationship Id="rId41" Type="http://schemas.openxmlformats.org/officeDocument/2006/relationships/hyperlink" Target="https://www.law.cornell.edu/uscode/text/26/42" TargetMode="External"/><Relationship Id="rId54" Type="http://schemas.openxmlformats.org/officeDocument/2006/relationships/hyperlink" Target="https://www.law.cornell.edu/uscode/text/26/42" TargetMode="External"/><Relationship Id="rId62" Type="http://schemas.openxmlformats.org/officeDocument/2006/relationships/hyperlink" Target="https://www.law.cornell.edu/uscode/text/26/42" TargetMode="External"/><Relationship Id="rId70" Type="http://schemas.openxmlformats.org/officeDocument/2006/relationships/hyperlink" Target="https://www.law.cornell.edu/uscode/text/26/42" TargetMode="External"/><Relationship Id="rId75" Type="http://schemas.openxmlformats.org/officeDocument/2006/relationships/header" Target="header2.xml"/><Relationship Id="rId83" Type="http://schemas.openxmlformats.org/officeDocument/2006/relationships/header" Target="header6.xml"/><Relationship Id="rId88" Type="http://schemas.openxmlformats.org/officeDocument/2006/relationships/hyperlink" Target="https://dredf.org/legal-advocacy/laws/section-504-of-the-rehabilitation-act-of-1973/" TargetMode="External"/><Relationship Id="rId91" Type="http://schemas.openxmlformats.org/officeDocument/2006/relationships/footer" Target="footer10.xml"/><Relationship Id="rId9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gislature.maine.gov/statutes/30-A/title30-Asec4741.html" TargetMode="External"/><Relationship Id="rId23" Type="http://schemas.openxmlformats.org/officeDocument/2006/relationships/hyperlink" Target="http://legislature.maine.gov/statutes/23/title23sec754.html" TargetMode="External"/><Relationship Id="rId28" Type="http://schemas.openxmlformats.org/officeDocument/2006/relationships/hyperlink" Target="https://mainehousing.org/docs/default-source/development/construction-services/other-documents/section-3-contractor-subcontractor-subrecipient-package.pdf?sfvrsn=26f28615_5" TargetMode="External"/><Relationship Id="rId36" Type="http://schemas.openxmlformats.org/officeDocument/2006/relationships/hyperlink" Target="http://www.mainelegislature.org/legis/statutes/5/title5ch337sec0.html" TargetMode="External"/><Relationship Id="rId49" Type="http://schemas.openxmlformats.org/officeDocument/2006/relationships/hyperlink" Target="https://www.maine.gov/dacf/municipalplanning/service_centers.shtml" TargetMode="External"/><Relationship Id="rId57" Type="http://schemas.openxmlformats.org/officeDocument/2006/relationships/hyperlink" Target="https://www.law.cornell.edu/uscode/text/26/42" TargetMode="External"/><Relationship Id="rId10" Type="http://schemas.openxmlformats.org/officeDocument/2006/relationships/image" Target="cid:image001.png@01D61171.9D2C6F80" TargetMode="External"/><Relationship Id="rId31" Type="http://schemas.openxmlformats.org/officeDocument/2006/relationships/hyperlink" Target="https://www.law.cornell.edu/uscode/text/26/42" TargetMode="External"/><Relationship Id="rId44" Type="http://schemas.openxmlformats.org/officeDocument/2006/relationships/hyperlink" Target="https://www.law.cornell.edu/uscode/text/26/42" TargetMode="External"/><Relationship Id="rId52" Type="http://schemas.openxmlformats.org/officeDocument/2006/relationships/hyperlink" Target="http://legislature.maine.gov/legis/statutes/30-A/title30-Ach206sec0.html" TargetMode="External"/><Relationship Id="rId60" Type="http://schemas.openxmlformats.org/officeDocument/2006/relationships/hyperlink" Target="https://www.law.cornell.edu/uscode/text/42/3607" TargetMode="External"/><Relationship Id="rId65" Type="http://schemas.openxmlformats.org/officeDocument/2006/relationships/hyperlink" Target="https://www.law.cornell.edu/uscode/text/12/4568" TargetMode="External"/><Relationship Id="rId73" Type="http://schemas.openxmlformats.org/officeDocument/2006/relationships/hyperlink" Target="http://legislature.maine.gov/legis/statutes/30-A/title30-Ach206sec0.html" TargetMode="External"/><Relationship Id="rId78" Type="http://schemas.openxmlformats.org/officeDocument/2006/relationships/footer" Target="footer4.xml"/><Relationship Id="rId81" Type="http://schemas.openxmlformats.org/officeDocument/2006/relationships/hyperlink" Target="https://www.mainehousing.org/programs-services/housing-development/construction-services" TargetMode="External"/><Relationship Id="rId86" Type="http://schemas.openxmlformats.org/officeDocument/2006/relationships/header" Target="header7.xml"/><Relationship Id="rId94" Type="http://schemas.openxmlformats.org/officeDocument/2006/relationships/footer" Target="footer1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law.cornell.edu/uscode/text/26/42" TargetMode="External"/><Relationship Id="rId18" Type="http://schemas.openxmlformats.org/officeDocument/2006/relationships/hyperlink" Target="https://www.law.cornell.edu/uscode/text/26/42" TargetMode="External"/><Relationship Id="rId39" Type="http://schemas.openxmlformats.org/officeDocument/2006/relationships/hyperlink" Target="https://www.law.cornell.edu/uscode/text/2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FDBC1-69CE-4EA3-AD15-B54D8D4E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26421</Words>
  <Characters>154685</Characters>
  <Application>Microsoft Office Word</Application>
  <DocSecurity>0</DocSecurity>
  <Lines>1289</Lines>
  <Paragraphs>361</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180745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Stevens</dc:creator>
  <cp:lastModifiedBy>Parr, J.Chris</cp:lastModifiedBy>
  <cp:revision>2</cp:revision>
  <cp:lastPrinted>2024-03-12T17:28:00Z</cp:lastPrinted>
  <dcterms:created xsi:type="dcterms:W3CDTF">2025-07-24T19:11:00Z</dcterms:created>
  <dcterms:modified xsi:type="dcterms:W3CDTF">2025-07-24T19:11:00Z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a3cd0e92-b5f3-424a-ba93-e2170dddc9a2</vt:lpwstr>
  </property>
</Properties>
</file>