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B567" w14:textId="77777777" w:rsidR="00782CB9" w:rsidRPr="00D32ADF" w:rsidRDefault="55460704" w:rsidP="3485421E">
      <w:pPr>
        <w:pStyle w:val="DefaultText"/>
        <w:tabs>
          <w:tab w:val="left" w:pos="720"/>
          <w:tab w:val="left" w:pos="1440"/>
          <w:tab w:val="left" w:pos="2160"/>
          <w:tab w:val="left" w:pos="2880"/>
        </w:tabs>
        <w:spacing w:line="240" w:lineRule="auto"/>
        <w:ind w:left="720" w:hanging="720"/>
        <w:rPr>
          <w:rFonts w:ascii="Times New Roman" w:hAnsi="Times New Roman" w:cs="Times New Roman"/>
          <w:b/>
          <w:bCs/>
          <w:sz w:val="22"/>
          <w:szCs w:val="22"/>
        </w:rPr>
      </w:pPr>
      <w:r w:rsidRPr="3485421E">
        <w:rPr>
          <w:rFonts w:ascii="Times New Roman" w:hAnsi="Times New Roman" w:cs="Times New Roman"/>
          <w:b/>
          <w:bCs/>
          <w:sz w:val="22"/>
          <w:szCs w:val="22"/>
        </w:rPr>
        <w:t>02</w:t>
      </w:r>
      <w:r w:rsidR="00782CB9">
        <w:tab/>
      </w:r>
      <w:r w:rsidR="00782CB9">
        <w:tab/>
      </w:r>
      <w:r w:rsidRPr="3485421E">
        <w:rPr>
          <w:rFonts w:ascii="Times New Roman" w:hAnsi="Times New Roman" w:cs="Times New Roman"/>
          <w:b/>
          <w:bCs/>
          <w:sz w:val="22"/>
          <w:szCs w:val="22"/>
        </w:rPr>
        <w:t>DEPARTMENT OF PROFESSIONAL AND FINANCIAL REGULATION</w:t>
      </w:r>
    </w:p>
    <w:p w14:paraId="7F1E0815" w14:textId="77777777" w:rsidR="00782CB9" w:rsidRPr="00D32ADF" w:rsidRDefault="00782CB9" w:rsidP="3485421E">
      <w:pPr>
        <w:pStyle w:val="DefaultText"/>
        <w:tabs>
          <w:tab w:val="left" w:pos="720"/>
          <w:tab w:val="left" w:pos="1440"/>
          <w:tab w:val="left" w:pos="2160"/>
          <w:tab w:val="left" w:pos="2880"/>
        </w:tabs>
        <w:spacing w:line="240" w:lineRule="auto"/>
        <w:ind w:left="720" w:hanging="720"/>
        <w:rPr>
          <w:rFonts w:ascii="Times New Roman" w:hAnsi="Times New Roman" w:cs="Times New Roman"/>
          <w:b/>
          <w:bCs/>
          <w:sz w:val="22"/>
          <w:szCs w:val="22"/>
        </w:rPr>
      </w:pPr>
    </w:p>
    <w:p w14:paraId="3E28FB66" w14:textId="2A5DEA90" w:rsidR="00782CB9" w:rsidRPr="00D32ADF" w:rsidRDefault="55460704" w:rsidP="3485421E">
      <w:pPr>
        <w:pStyle w:val="DefaultText"/>
        <w:tabs>
          <w:tab w:val="left" w:pos="720"/>
          <w:tab w:val="left" w:pos="1440"/>
          <w:tab w:val="left" w:pos="2160"/>
          <w:tab w:val="left" w:pos="2880"/>
        </w:tabs>
        <w:spacing w:line="240" w:lineRule="auto"/>
        <w:ind w:left="720" w:hanging="720"/>
        <w:rPr>
          <w:rFonts w:ascii="Times New Roman" w:hAnsi="Times New Roman" w:cs="Times New Roman"/>
          <w:b/>
          <w:bCs/>
          <w:sz w:val="22"/>
          <w:szCs w:val="22"/>
        </w:rPr>
      </w:pPr>
      <w:r w:rsidRPr="3485421E">
        <w:rPr>
          <w:rFonts w:ascii="Times New Roman" w:hAnsi="Times New Roman" w:cs="Times New Roman"/>
          <w:b/>
          <w:bCs/>
          <w:sz w:val="22"/>
          <w:szCs w:val="22"/>
        </w:rPr>
        <w:t>344</w:t>
      </w:r>
      <w:r w:rsidR="00782CB9">
        <w:tab/>
      </w:r>
      <w:r w:rsidR="00782CB9">
        <w:tab/>
      </w:r>
      <w:r w:rsidRPr="3485421E">
        <w:rPr>
          <w:rFonts w:ascii="Times New Roman" w:hAnsi="Times New Roman" w:cs="Times New Roman"/>
          <w:b/>
          <w:bCs/>
          <w:sz w:val="22"/>
          <w:szCs w:val="22"/>
        </w:rPr>
        <w:t>BOARD OF LICENSING OF DIETETIC PRACTICE</w:t>
      </w:r>
    </w:p>
    <w:p w14:paraId="454155F1" w14:textId="77777777" w:rsidR="00782CB9" w:rsidRPr="00D32ADF" w:rsidRDefault="00782CB9" w:rsidP="3485421E">
      <w:pPr>
        <w:pStyle w:val="DefaultText"/>
        <w:tabs>
          <w:tab w:val="left" w:pos="720"/>
          <w:tab w:val="left" w:pos="1440"/>
          <w:tab w:val="left" w:pos="2160"/>
          <w:tab w:val="left" w:pos="2880"/>
        </w:tabs>
        <w:spacing w:line="240" w:lineRule="auto"/>
        <w:ind w:left="720" w:hanging="720"/>
        <w:rPr>
          <w:rFonts w:ascii="Times New Roman" w:hAnsi="Times New Roman" w:cs="Times New Roman"/>
          <w:b/>
          <w:bCs/>
          <w:sz w:val="22"/>
          <w:szCs w:val="22"/>
        </w:rPr>
      </w:pPr>
    </w:p>
    <w:p w14:paraId="768AC8E0" w14:textId="535266A9" w:rsidR="00782CB9" w:rsidRPr="00D32ADF" w:rsidRDefault="55460704" w:rsidP="3485421E">
      <w:pPr>
        <w:pStyle w:val="DefaultText"/>
        <w:tabs>
          <w:tab w:val="left" w:pos="720"/>
          <w:tab w:val="left" w:pos="1440"/>
          <w:tab w:val="left" w:pos="2160"/>
          <w:tab w:val="left" w:pos="2880"/>
        </w:tabs>
        <w:spacing w:line="240" w:lineRule="auto"/>
        <w:ind w:left="1440" w:hanging="1440"/>
        <w:rPr>
          <w:rFonts w:ascii="Times New Roman" w:hAnsi="Times New Roman" w:cs="Times New Roman"/>
          <w:b/>
          <w:bCs/>
          <w:sz w:val="22"/>
          <w:szCs w:val="22"/>
        </w:rPr>
      </w:pPr>
      <w:r w:rsidRPr="3485421E">
        <w:rPr>
          <w:rFonts w:ascii="Times New Roman" w:hAnsi="Times New Roman" w:cs="Times New Roman"/>
          <w:b/>
          <w:bCs/>
          <w:sz w:val="22"/>
          <w:szCs w:val="22"/>
        </w:rPr>
        <w:t xml:space="preserve">Chapter </w:t>
      </w:r>
      <w:r w:rsidR="6BBBDF6A" w:rsidRPr="3485421E">
        <w:rPr>
          <w:rFonts w:ascii="Times New Roman" w:hAnsi="Times New Roman" w:cs="Times New Roman"/>
          <w:b/>
          <w:bCs/>
          <w:sz w:val="22"/>
          <w:szCs w:val="22"/>
        </w:rPr>
        <w:t>14</w:t>
      </w:r>
      <w:r w:rsidRPr="3485421E">
        <w:rPr>
          <w:rFonts w:ascii="Times New Roman" w:hAnsi="Times New Roman" w:cs="Times New Roman"/>
          <w:b/>
          <w:bCs/>
          <w:sz w:val="22"/>
          <w:szCs w:val="22"/>
        </w:rPr>
        <w:t>:</w:t>
      </w:r>
      <w:r w:rsidR="00782CB9">
        <w:tab/>
      </w:r>
      <w:r w:rsidRPr="3485421E">
        <w:rPr>
          <w:rFonts w:ascii="Times New Roman" w:hAnsi="Times New Roman" w:cs="Times New Roman"/>
          <w:b/>
          <w:bCs/>
          <w:sz w:val="22"/>
          <w:szCs w:val="22"/>
        </w:rPr>
        <w:t>LICENSE RENEWAL AND CONTINUING EDUCATION REQUIREMENTS; REINSTATEMENT</w:t>
      </w:r>
    </w:p>
    <w:p w14:paraId="454940C5" w14:textId="0BA0F2B4" w:rsidR="00782CB9" w:rsidRPr="00D32ADF" w:rsidRDefault="1CB398AE" w:rsidP="3485421E">
      <w:pPr>
        <w:pStyle w:val="DefaultText"/>
        <w:tabs>
          <w:tab w:val="left" w:pos="720"/>
          <w:tab w:val="left" w:pos="1440"/>
          <w:tab w:val="left" w:pos="2160"/>
          <w:tab w:val="left" w:pos="2880"/>
        </w:tabs>
        <w:spacing w:line="240" w:lineRule="auto"/>
        <w:ind w:left="1440" w:hanging="1440"/>
        <w:rPr>
          <w:rFonts w:ascii="Times New Roman" w:hAnsi="Times New Roman" w:cs="Times New Roman"/>
          <w:sz w:val="22"/>
          <w:szCs w:val="22"/>
        </w:rPr>
      </w:pPr>
      <w:r w:rsidRPr="3485421E">
        <w:rPr>
          <w:rFonts w:ascii="Times New Roman" w:hAnsi="Times New Roman" w:cs="Times New Roman"/>
          <w:sz w:val="22"/>
          <w:szCs w:val="22"/>
        </w:rPr>
        <w:t>__________________________________________________________________________________</w:t>
      </w:r>
      <w:r w:rsidR="717491F1" w:rsidRPr="3485421E">
        <w:rPr>
          <w:rFonts w:ascii="Times New Roman" w:hAnsi="Times New Roman" w:cs="Times New Roman"/>
          <w:sz w:val="22"/>
          <w:szCs w:val="22"/>
        </w:rPr>
        <w:t>__</w:t>
      </w:r>
    </w:p>
    <w:p w14:paraId="2646A819" w14:textId="77777777" w:rsidR="00782CB9" w:rsidRPr="00D32ADF" w:rsidRDefault="00782CB9" w:rsidP="3485421E">
      <w:pPr>
        <w:pStyle w:val="DefaultText"/>
        <w:tabs>
          <w:tab w:val="left" w:pos="720"/>
          <w:tab w:val="left" w:pos="1440"/>
          <w:tab w:val="left" w:pos="2160"/>
          <w:tab w:val="left" w:pos="2880"/>
        </w:tabs>
        <w:spacing w:line="240" w:lineRule="auto"/>
        <w:ind w:left="1440" w:hanging="1440"/>
        <w:rPr>
          <w:rFonts w:ascii="Times New Roman" w:hAnsi="Times New Roman" w:cs="Times New Roman"/>
          <w:b/>
          <w:bCs/>
          <w:sz w:val="22"/>
          <w:szCs w:val="22"/>
        </w:rPr>
      </w:pPr>
    </w:p>
    <w:p w14:paraId="0363F03B" w14:textId="0D148F6D" w:rsidR="00782CB9" w:rsidRPr="00D32ADF" w:rsidRDefault="1F71EC96" w:rsidP="3485421E">
      <w:pPr>
        <w:pStyle w:val="DefaultText"/>
        <w:tabs>
          <w:tab w:val="left" w:pos="720"/>
          <w:tab w:val="left" w:pos="2160"/>
          <w:tab w:val="left" w:pos="2880"/>
        </w:tabs>
        <w:spacing w:line="240" w:lineRule="auto"/>
        <w:jc w:val="both"/>
        <w:rPr>
          <w:rFonts w:ascii="Times New Roman" w:hAnsi="Times New Roman" w:cs="Times New Roman"/>
          <w:sz w:val="22"/>
          <w:szCs w:val="22"/>
        </w:rPr>
      </w:pPr>
      <w:r w:rsidRPr="3485421E">
        <w:rPr>
          <w:rFonts w:ascii="Times New Roman" w:hAnsi="Times New Roman" w:cs="Times New Roman"/>
          <w:b/>
          <w:bCs/>
          <w:sz w:val="22"/>
          <w:szCs w:val="22"/>
        </w:rPr>
        <w:t xml:space="preserve">SUMMARY: </w:t>
      </w:r>
      <w:r w:rsidRPr="3485421E">
        <w:rPr>
          <w:rFonts w:ascii="Times New Roman" w:hAnsi="Times New Roman" w:cs="Times New Roman"/>
          <w:sz w:val="22"/>
          <w:szCs w:val="22"/>
        </w:rPr>
        <w:t>This chapter sets forth the requirements for renewing licenses issued by the board</w:t>
      </w:r>
      <w:r w:rsidR="41C2AE76" w:rsidRPr="3485421E">
        <w:rPr>
          <w:rFonts w:ascii="Times New Roman" w:hAnsi="Times New Roman" w:cs="Times New Roman"/>
          <w:sz w:val="22"/>
          <w:szCs w:val="22"/>
        </w:rPr>
        <w:t>, requirements for continuing education, how to qualify for inactive status,</w:t>
      </w:r>
      <w:r w:rsidRPr="3485421E">
        <w:rPr>
          <w:rFonts w:ascii="Times New Roman" w:hAnsi="Times New Roman" w:cs="Times New Roman"/>
          <w:sz w:val="22"/>
          <w:szCs w:val="22"/>
        </w:rPr>
        <w:t xml:space="preserve"> and</w:t>
      </w:r>
      <w:r w:rsidR="41C2AE76" w:rsidRPr="3485421E">
        <w:rPr>
          <w:rFonts w:ascii="Times New Roman" w:hAnsi="Times New Roman" w:cs="Times New Roman"/>
          <w:sz w:val="22"/>
          <w:szCs w:val="22"/>
        </w:rPr>
        <w:t xml:space="preserve"> when an applicant can seek </w:t>
      </w:r>
      <w:r w:rsidRPr="3485421E">
        <w:rPr>
          <w:rFonts w:ascii="Times New Roman" w:hAnsi="Times New Roman" w:cs="Times New Roman"/>
          <w:sz w:val="22"/>
          <w:szCs w:val="22"/>
        </w:rPr>
        <w:t>reinstatement of a license that has expired for more than 90 days.</w:t>
      </w:r>
    </w:p>
    <w:p w14:paraId="129A9901" w14:textId="534B12C6" w:rsidR="004B1D9F" w:rsidRPr="00D32ADF" w:rsidRDefault="423F0A10" w:rsidP="3485421E">
      <w:pPr>
        <w:pStyle w:val="DefaultText"/>
        <w:tabs>
          <w:tab w:val="left" w:pos="720"/>
          <w:tab w:val="left" w:pos="1440"/>
          <w:tab w:val="left" w:pos="2160"/>
          <w:tab w:val="left" w:pos="2880"/>
        </w:tabs>
        <w:spacing w:line="240" w:lineRule="auto"/>
        <w:rPr>
          <w:rFonts w:ascii="Times New Roman" w:hAnsi="Times New Roman" w:cs="Times New Roman"/>
          <w:b/>
          <w:bCs/>
          <w:sz w:val="22"/>
          <w:szCs w:val="22"/>
        </w:rPr>
      </w:pPr>
      <w:r w:rsidRPr="3485421E">
        <w:rPr>
          <w:rFonts w:ascii="Times New Roman" w:hAnsi="Times New Roman" w:cs="Times New Roman"/>
          <w:sz w:val="22"/>
          <w:szCs w:val="22"/>
        </w:rPr>
        <w:t>___________________________________________________________________________________</w:t>
      </w:r>
      <w:r w:rsidR="717491F1" w:rsidRPr="3485421E">
        <w:rPr>
          <w:rFonts w:ascii="Times New Roman" w:hAnsi="Times New Roman" w:cs="Times New Roman"/>
          <w:sz w:val="22"/>
          <w:szCs w:val="22"/>
        </w:rPr>
        <w:t>__</w:t>
      </w:r>
    </w:p>
    <w:p w14:paraId="2C03C15B" w14:textId="77777777" w:rsidR="00782CB9" w:rsidRPr="00D32ADF" w:rsidRDefault="00782CB9" w:rsidP="3485421E">
      <w:pPr>
        <w:pStyle w:val="DefaultText"/>
        <w:tabs>
          <w:tab w:val="left" w:pos="720"/>
          <w:tab w:val="left" w:pos="1440"/>
          <w:tab w:val="left" w:pos="2160"/>
          <w:tab w:val="left" w:pos="2880"/>
        </w:tabs>
        <w:spacing w:line="240" w:lineRule="auto"/>
        <w:ind w:left="1440" w:hanging="1440"/>
        <w:rPr>
          <w:rFonts w:ascii="Times New Roman" w:hAnsi="Times New Roman" w:cs="Times New Roman"/>
          <w:b/>
          <w:bCs/>
          <w:i/>
          <w:iCs/>
          <w:color w:val="C00000"/>
          <w:sz w:val="22"/>
          <w:szCs w:val="22"/>
        </w:rPr>
      </w:pPr>
    </w:p>
    <w:p w14:paraId="271D8332" w14:textId="0FB6CBCA" w:rsidR="00782CB9" w:rsidRPr="00D32ADF" w:rsidRDefault="27541D8C" w:rsidP="3485421E">
      <w:pPr>
        <w:tabs>
          <w:tab w:val="left" w:pos="720"/>
          <w:tab w:val="left" w:pos="1440"/>
          <w:tab w:val="left" w:pos="2160"/>
          <w:tab w:val="left" w:pos="2880"/>
        </w:tabs>
        <w:ind w:left="720" w:hanging="720"/>
        <w:rPr>
          <w:rFonts w:ascii="Times New Roman" w:hAnsi="Times New Roman" w:cs="Times New Roman"/>
          <w:sz w:val="22"/>
          <w:szCs w:val="22"/>
        </w:rPr>
      </w:pPr>
      <w:r w:rsidRPr="3485421E">
        <w:rPr>
          <w:rFonts w:ascii="Times New Roman" w:hAnsi="Times New Roman" w:cs="Times New Roman"/>
          <w:b/>
          <w:bCs/>
          <w:sz w:val="22"/>
          <w:szCs w:val="22"/>
        </w:rPr>
        <w:t>SECTION 1</w:t>
      </w:r>
      <w:r w:rsidR="55460704" w:rsidRPr="3485421E">
        <w:rPr>
          <w:rFonts w:ascii="Times New Roman" w:hAnsi="Times New Roman" w:cs="Times New Roman"/>
          <w:sz w:val="22"/>
          <w:szCs w:val="22"/>
        </w:rPr>
        <w:t>.</w:t>
      </w:r>
      <w:r w:rsidR="00587592">
        <w:tab/>
      </w:r>
      <w:r w:rsidR="55460704" w:rsidRPr="3485421E">
        <w:rPr>
          <w:rFonts w:ascii="Times New Roman" w:hAnsi="Times New Roman" w:cs="Times New Roman"/>
          <w:b/>
          <w:bCs/>
          <w:sz w:val="22"/>
          <w:szCs w:val="22"/>
        </w:rPr>
        <w:t>License Term</w:t>
      </w:r>
      <w:r w:rsidR="00587592">
        <w:tab/>
      </w:r>
    </w:p>
    <w:p w14:paraId="323EE56A" w14:textId="77777777" w:rsidR="00782CB9" w:rsidRPr="00D32ADF" w:rsidRDefault="00782CB9" w:rsidP="3485421E">
      <w:pPr>
        <w:tabs>
          <w:tab w:val="left" w:pos="720"/>
          <w:tab w:val="left" w:pos="1440"/>
          <w:tab w:val="left" w:pos="2160"/>
          <w:tab w:val="left" w:pos="2880"/>
        </w:tabs>
        <w:ind w:left="720" w:hanging="720"/>
        <w:jc w:val="both"/>
        <w:rPr>
          <w:rFonts w:ascii="Times New Roman" w:hAnsi="Times New Roman" w:cs="Times New Roman"/>
          <w:sz w:val="22"/>
          <w:szCs w:val="22"/>
        </w:rPr>
      </w:pPr>
    </w:p>
    <w:p w14:paraId="31F3DB97" w14:textId="04CE4CC0" w:rsidR="00782CB9" w:rsidRPr="00D32ADF" w:rsidRDefault="00782CB9" w:rsidP="3485421E">
      <w:pPr>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55460704" w:rsidRPr="3485421E">
        <w:rPr>
          <w:rFonts w:ascii="Times New Roman" w:hAnsi="Times New Roman" w:cs="Times New Roman"/>
          <w:sz w:val="22"/>
          <w:szCs w:val="22"/>
        </w:rPr>
        <w:t>1.</w:t>
      </w:r>
      <w:r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Dietitian or Dietetic Technician</w:t>
      </w:r>
      <w:r w:rsidR="55460704" w:rsidRPr="3485421E">
        <w:rPr>
          <w:rFonts w:ascii="Times New Roman" w:hAnsi="Times New Roman" w:cs="Times New Roman"/>
          <w:sz w:val="22"/>
          <w:szCs w:val="22"/>
        </w:rPr>
        <w:t xml:space="preserve"> </w:t>
      </w:r>
    </w:p>
    <w:p w14:paraId="733BFFA7" w14:textId="77777777" w:rsidR="00782CB9" w:rsidRPr="00D32ADF" w:rsidRDefault="00782CB9" w:rsidP="3485421E">
      <w:pPr>
        <w:tabs>
          <w:tab w:val="left" w:pos="720"/>
          <w:tab w:val="left" w:pos="1440"/>
          <w:tab w:val="left" w:pos="2160"/>
          <w:tab w:val="left" w:pos="2880"/>
        </w:tabs>
        <w:ind w:left="720" w:hanging="720"/>
        <w:jc w:val="both"/>
        <w:rPr>
          <w:rFonts w:ascii="Times New Roman" w:hAnsi="Times New Roman" w:cs="Times New Roman"/>
          <w:sz w:val="22"/>
          <w:szCs w:val="22"/>
        </w:rPr>
      </w:pPr>
    </w:p>
    <w:p w14:paraId="5FCB94AA" w14:textId="0033697F"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Licenses of all dietitians and dietetic technicians expire annually on December 31.</w:t>
      </w:r>
    </w:p>
    <w:p w14:paraId="20132649"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19B080E9"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 2.</w:t>
      </w:r>
      <w:r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Temporary Licenses</w:t>
      </w:r>
    </w:p>
    <w:p w14:paraId="234E1B93"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0684A156" w14:textId="43BAF14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 temporary license may be issued for a term of one (1) year</w:t>
      </w:r>
      <w:r w:rsidR="3503CED4" w:rsidRPr="3485421E">
        <w:rPr>
          <w:rFonts w:ascii="Times New Roman" w:hAnsi="Times New Roman" w:cs="Times New Roman"/>
          <w:sz w:val="22"/>
          <w:szCs w:val="22"/>
        </w:rPr>
        <w:t xml:space="preserve">.  </w:t>
      </w:r>
      <w:r w:rsidR="517582B4" w:rsidRPr="3485421E">
        <w:rPr>
          <w:rFonts w:ascii="Times New Roman" w:hAnsi="Times New Roman" w:cs="Times New Roman"/>
          <w:sz w:val="22"/>
          <w:szCs w:val="22"/>
        </w:rPr>
        <w:t xml:space="preserve">If a </w:t>
      </w:r>
      <w:r w:rsidR="488489E4" w:rsidRPr="3485421E">
        <w:rPr>
          <w:rFonts w:ascii="Times New Roman" w:hAnsi="Times New Roman" w:cs="Times New Roman"/>
          <w:sz w:val="22"/>
          <w:szCs w:val="22"/>
        </w:rPr>
        <w:t xml:space="preserve">temporary licensee </w:t>
      </w:r>
      <w:r w:rsidR="40832B31" w:rsidRPr="3485421E">
        <w:rPr>
          <w:rFonts w:ascii="Times New Roman" w:hAnsi="Times New Roman" w:cs="Times New Roman"/>
          <w:sz w:val="22"/>
          <w:szCs w:val="22"/>
        </w:rPr>
        <w:t xml:space="preserve">submits a request for an additional term due to </w:t>
      </w:r>
      <w:r w:rsidR="55460704" w:rsidRPr="3485421E">
        <w:rPr>
          <w:rFonts w:ascii="Times New Roman" w:hAnsi="Times New Roman" w:cs="Times New Roman"/>
          <w:sz w:val="22"/>
          <w:szCs w:val="22"/>
        </w:rPr>
        <w:t xml:space="preserve">conditions of extreme hardship, the board </w:t>
      </w:r>
      <w:r w:rsidR="423F0A10" w:rsidRPr="3485421E">
        <w:rPr>
          <w:rFonts w:ascii="Times New Roman" w:hAnsi="Times New Roman" w:cs="Times New Roman"/>
          <w:sz w:val="22"/>
          <w:szCs w:val="22"/>
        </w:rPr>
        <w:t>may renew the license for one additional one (1) year term.</w:t>
      </w:r>
      <w:r w:rsidR="55460704" w:rsidRPr="3485421E">
        <w:rPr>
          <w:rFonts w:ascii="Times New Roman" w:hAnsi="Times New Roman" w:cs="Times New Roman"/>
          <w:sz w:val="22"/>
          <w:szCs w:val="22"/>
        </w:rPr>
        <w:t xml:space="preserve"> Request</w:t>
      </w:r>
      <w:r w:rsidR="423F0A10" w:rsidRPr="3485421E">
        <w:rPr>
          <w:rFonts w:ascii="Times New Roman" w:hAnsi="Times New Roman" w:cs="Times New Roman"/>
          <w:sz w:val="22"/>
          <w:szCs w:val="22"/>
        </w:rPr>
        <w:t>s</w:t>
      </w:r>
      <w:r w:rsidR="55460704" w:rsidRPr="3485421E">
        <w:rPr>
          <w:rFonts w:ascii="Times New Roman" w:hAnsi="Times New Roman" w:cs="Times New Roman"/>
          <w:sz w:val="22"/>
          <w:szCs w:val="22"/>
        </w:rPr>
        <w:t xml:space="preserve"> must be submitted in writing to the board </w:t>
      </w:r>
      <w:r w:rsidR="3503CED4" w:rsidRPr="3485421E">
        <w:rPr>
          <w:rFonts w:ascii="Times New Roman" w:hAnsi="Times New Roman" w:cs="Times New Roman"/>
          <w:sz w:val="22"/>
          <w:szCs w:val="22"/>
        </w:rPr>
        <w:t xml:space="preserve">at least </w:t>
      </w:r>
      <w:r w:rsidR="55460704" w:rsidRPr="3485421E">
        <w:rPr>
          <w:rFonts w:ascii="Times New Roman" w:hAnsi="Times New Roman" w:cs="Times New Roman"/>
          <w:sz w:val="22"/>
          <w:szCs w:val="22"/>
        </w:rPr>
        <w:t xml:space="preserve">15 days before the temporary license expires. </w:t>
      </w:r>
    </w:p>
    <w:p w14:paraId="292E05EF" w14:textId="77777777" w:rsidR="00782CB9" w:rsidRPr="00D32ADF" w:rsidRDefault="00782CB9" w:rsidP="3485421E">
      <w:pPr>
        <w:tabs>
          <w:tab w:val="left" w:pos="720"/>
          <w:tab w:val="left" w:pos="1440"/>
          <w:tab w:val="left" w:pos="2160"/>
          <w:tab w:val="left" w:pos="2880"/>
        </w:tabs>
        <w:ind w:left="1440" w:hanging="1440"/>
        <w:rPr>
          <w:rFonts w:ascii="Times New Roman" w:hAnsi="Times New Roman" w:cs="Times New Roman"/>
          <w:color w:val="C00000"/>
          <w:sz w:val="22"/>
          <w:szCs w:val="22"/>
        </w:rPr>
      </w:pPr>
    </w:p>
    <w:p w14:paraId="65A6634F" w14:textId="5BF794F0" w:rsidR="00782CB9" w:rsidRPr="00D32ADF" w:rsidRDefault="291DFA1F" w:rsidP="3485421E">
      <w:pPr>
        <w:tabs>
          <w:tab w:val="left" w:pos="720"/>
          <w:tab w:val="left" w:pos="1440"/>
          <w:tab w:val="left" w:pos="2160"/>
          <w:tab w:val="left" w:pos="2880"/>
        </w:tabs>
        <w:ind w:left="1440" w:hanging="1440"/>
        <w:rPr>
          <w:rFonts w:ascii="Times New Roman" w:hAnsi="Times New Roman" w:cs="Times New Roman"/>
          <w:b/>
          <w:bCs/>
          <w:sz w:val="22"/>
          <w:szCs w:val="22"/>
        </w:rPr>
      </w:pPr>
      <w:r w:rsidRPr="3485421E">
        <w:rPr>
          <w:rFonts w:ascii="Times New Roman" w:hAnsi="Times New Roman" w:cs="Times New Roman"/>
          <w:b/>
          <w:bCs/>
          <w:sz w:val="22"/>
          <w:szCs w:val="22"/>
        </w:rPr>
        <w:t xml:space="preserve">SECTION </w:t>
      </w:r>
      <w:r w:rsidR="55460704" w:rsidRPr="3485421E">
        <w:rPr>
          <w:rFonts w:ascii="Times New Roman" w:hAnsi="Times New Roman" w:cs="Times New Roman"/>
          <w:b/>
          <w:bCs/>
          <w:sz w:val="22"/>
          <w:szCs w:val="22"/>
        </w:rPr>
        <w:t>2.</w:t>
      </w:r>
      <w:r w:rsidR="004834CC">
        <w:tab/>
      </w:r>
      <w:r w:rsidR="55460704" w:rsidRPr="3485421E">
        <w:rPr>
          <w:rFonts w:ascii="Times New Roman" w:hAnsi="Times New Roman" w:cs="Times New Roman"/>
          <w:b/>
          <w:bCs/>
          <w:sz w:val="22"/>
          <w:szCs w:val="22"/>
        </w:rPr>
        <w:t>Requirements for License Renewal</w:t>
      </w:r>
    </w:p>
    <w:p w14:paraId="3B3CC476"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b/>
          <w:bCs/>
          <w:sz w:val="22"/>
          <w:szCs w:val="22"/>
        </w:rPr>
      </w:pPr>
    </w:p>
    <w:p w14:paraId="2549B8E3" w14:textId="273FDF25"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b/>
          <w:bCs/>
          <w:sz w:val="22"/>
          <w:szCs w:val="22"/>
        </w:rPr>
        <w:tab/>
      </w:r>
      <w:r w:rsidR="55460704" w:rsidRPr="3485421E">
        <w:rPr>
          <w:rFonts w:ascii="Times New Roman" w:hAnsi="Times New Roman" w:cs="Times New Roman"/>
          <w:sz w:val="22"/>
          <w:szCs w:val="22"/>
        </w:rPr>
        <w:t xml:space="preserve">1. </w:t>
      </w:r>
      <w:r w:rsidR="291DFA1F" w:rsidRPr="00D32ADF">
        <w:rPr>
          <w:rFonts w:ascii="Times New Roman" w:hAnsi="Times New Roman" w:cs="Times New Roman"/>
          <w:sz w:val="22"/>
          <w:szCs w:val="22"/>
        </w:rPr>
        <w:t xml:space="preserve"> </w:t>
      </w:r>
      <w:r w:rsidR="004834CC"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 xml:space="preserve">Generally. </w:t>
      </w:r>
      <w:r w:rsidR="55460704" w:rsidRPr="3485421E">
        <w:rPr>
          <w:rFonts w:ascii="Times New Roman" w:hAnsi="Times New Roman" w:cs="Times New Roman"/>
          <w:sz w:val="22"/>
          <w:szCs w:val="22"/>
        </w:rPr>
        <w:t>A dietitian or dietetic technician may renew a license by:</w:t>
      </w:r>
    </w:p>
    <w:p w14:paraId="1846A406"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090658CC"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Submitting a renewal application;</w:t>
      </w:r>
    </w:p>
    <w:p w14:paraId="538949A6"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54DB4057" w14:textId="77777777" w:rsidR="00782CB9" w:rsidRPr="00D32ADF" w:rsidRDefault="00782CB9" w:rsidP="3485421E">
      <w:pPr>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B.</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Remitting the fee set forth in Chapter 10 of the rules of the Office of Professional    and Occupational Regulation;</w:t>
      </w:r>
    </w:p>
    <w:p w14:paraId="3BBAF4EC" w14:textId="77777777" w:rsidR="0097748A" w:rsidRPr="00D32ADF" w:rsidRDefault="0097748A" w:rsidP="3485421E">
      <w:pPr>
        <w:tabs>
          <w:tab w:val="left" w:pos="720"/>
          <w:tab w:val="left" w:pos="1440"/>
          <w:tab w:val="left" w:pos="2160"/>
          <w:tab w:val="left" w:pos="2880"/>
        </w:tabs>
        <w:ind w:left="2160" w:hanging="2160"/>
        <w:jc w:val="both"/>
        <w:rPr>
          <w:rFonts w:ascii="Times New Roman" w:hAnsi="Times New Roman" w:cs="Times New Roman"/>
          <w:sz w:val="22"/>
          <w:szCs w:val="22"/>
        </w:rPr>
      </w:pPr>
    </w:p>
    <w:p w14:paraId="1BC147F3" w14:textId="65687D9A" w:rsidR="0097748A" w:rsidRPr="00D32ADF" w:rsidRDefault="0097748A" w:rsidP="3485421E">
      <w:pPr>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7937068D" w:rsidRPr="3485421E">
        <w:rPr>
          <w:rFonts w:ascii="Times New Roman" w:hAnsi="Times New Roman" w:cs="Times New Roman"/>
          <w:sz w:val="22"/>
          <w:szCs w:val="22"/>
        </w:rPr>
        <w:t xml:space="preserve">C. </w:t>
      </w:r>
      <w:r w:rsidRPr="00D32ADF">
        <w:rPr>
          <w:rFonts w:ascii="Times New Roman" w:hAnsi="Times New Roman" w:cs="Times New Roman"/>
          <w:sz w:val="22"/>
          <w:szCs w:val="22"/>
        </w:rPr>
        <w:tab/>
      </w:r>
      <w:r w:rsidR="7937068D" w:rsidRPr="3485421E">
        <w:rPr>
          <w:rFonts w:ascii="Times New Roman" w:hAnsi="Times New Roman" w:cs="Times New Roman"/>
          <w:sz w:val="22"/>
          <w:szCs w:val="22"/>
        </w:rPr>
        <w:t xml:space="preserve">Certifying to completion of the required continuing education as set forth in Section 3 of this </w:t>
      </w:r>
      <w:r w:rsidR="41A76BD5" w:rsidRPr="3485421E">
        <w:rPr>
          <w:rFonts w:ascii="Times New Roman" w:hAnsi="Times New Roman" w:cs="Times New Roman"/>
          <w:sz w:val="22"/>
          <w:szCs w:val="22"/>
        </w:rPr>
        <w:t>C</w:t>
      </w:r>
      <w:r w:rsidR="7937068D" w:rsidRPr="3485421E">
        <w:rPr>
          <w:rFonts w:ascii="Times New Roman" w:hAnsi="Times New Roman" w:cs="Times New Roman"/>
          <w:sz w:val="22"/>
          <w:szCs w:val="22"/>
        </w:rPr>
        <w:t xml:space="preserve">hapter; </w:t>
      </w:r>
    </w:p>
    <w:p w14:paraId="7A403E0A"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0D99102E" w14:textId="27A519BD" w:rsidR="00782CB9" w:rsidRPr="00D32ADF" w:rsidRDefault="00782CB9" w:rsidP="3485421E">
      <w:pPr>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3EB29187" w:rsidRPr="3485421E">
        <w:rPr>
          <w:rFonts w:ascii="Times New Roman" w:hAnsi="Times New Roman" w:cs="Times New Roman"/>
          <w:sz w:val="22"/>
          <w:szCs w:val="22"/>
        </w:rPr>
        <w:t>D</w:t>
      </w:r>
      <w:r w:rsidR="55460704" w:rsidRPr="3485421E">
        <w:rPr>
          <w:rFonts w:ascii="Times New Roman" w:hAnsi="Times New Roman" w:cs="Times New Roman"/>
          <w:sz w:val="22"/>
          <w:szCs w:val="22"/>
        </w:rPr>
        <w:t>.</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For licenses renewed up to 90 days after the date of expiration, remitting the late fee required by Chapter 11 of the rules of the Office of Professional and Occupational Regulation; and</w:t>
      </w:r>
    </w:p>
    <w:p w14:paraId="440E62A4"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76EB14AD" w14:textId="40708026"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3EB29187" w:rsidRPr="3485421E">
        <w:rPr>
          <w:rFonts w:ascii="Times New Roman" w:hAnsi="Times New Roman" w:cs="Times New Roman"/>
          <w:sz w:val="22"/>
          <w:szCs w:val="22"/>
        </w:rPr>
        <w:t>E</w:t>
      </w:r>
      <w:r w:rsidR="55460704" w:rsidRPr="3485421E">
        <w:rPr>
          <w:rFonts w:ascii="Times New Roman" w:hAnsi="Times New Roman" w:cs="Times New Roman"/>
          <w:sz w:val="22"/>
          <w:szCs w:val="22"/>
        </w:rPr>
        <w:t>.</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Providing such other information as the board may require.</w:t>
      </w:r>
    </w:p>
    <w:p w14:paraId="33852EA7" w14:textId="77777777" w:rsidR="00782CB9" w:rsidRPr="00D32ADF" w:rsidRDefault="00782CB9" w:rsidP="3485421E">
      <w:pPr>
        <w:tabs>
          <w:tab w:val="left" w:pos="720"/>
          <w:tab w:val="left" w:pos="1440"/>
          <w:tab w:val="left" w:pos="2160"/>
          <w:tab w:val="left" w:pos="2880"/>
        </w:tabs>
        <w:rPr>
          <w:rFonts w:ascii="Times New Roman" w:hAnsi="Times New Roman" w:cs="Times New Roman"/>
          <w:color w:val="C00000"/>
          <w:sz w:val="22"/>
          <w:szCs w:val="22"/>
        </w:rPr>
      </w:pPr>
    </w:p>
    <w:p w14:paraId="748CBC41" w14:textId="1C1DE0AA" w:rsidR="00782CB9" w:rsidRPr="00D32ADF" w:rsidRDefault="41A76BD5" w:rsidP="3485421E">
      <w:pPr>
        <w:tabs>
          <w:tab w:val="left" w:pos="720"/>
          <w:tab w:val="left" w:pos="2160"/>
          <w:tab w:val="left" w:pos="2880"/>
        </w:tabs>
        <w:ind w:left="1440" w:hanging="1440"/>
        <w:jc w:val="both"/>
        <w:rPr>
          <w:rFonts w:ascii="Times New Roman" w:hAnsi="Times New Roman" w:cs="Times New Roman"/>
          <w:b/>
          <w:bCs/>
          <w:sz w:val="22"/>
          <w:szCs w:val="22"/>
        </w:rPr>
      </w:pPr>
      <w:r w:rsidRPr="3485421E">
        <w:rPr>
          <w:rFonts w:ascii="Times New Roman" w:hAnsi="Times New Roman" w:cs="Times New Roman"/>
          <w:b/>
          <w:bCs/>
          <w:sz w:val="22"/>
          <w:szCs w:val="22"/>
        </w:rPr>
        <w:t xml:space="preserve">SECTION </w:t>
      </w:r>
      <w:r w:rsidR="55460704" w:rsidRPr="3485421E">
        <w:rPr>
          <w:rFonts w:ascii="Times New Roman" w:hAnsi="Times New Roman" w:cs="Times New Roman"/>
          <w:b/>
          <w:bCs/>
          <w:sz w:val="22"/>
          <w:szCs w:val="22"/>
        </w:rPr>
        <w:t>3.</w:t>
      </w:r>
      <w:r w:rsidR="00FC70DC">
        <w:tab/>
      </w:r>
      <w:r w:rsidR="55460704" w:rsidRPr="3485421E">
        <w:rPr>
          <w:rFonts w:ascii="Times New Roman" w:hAnsi="Times New Roman" w:cs="Times New Roman"/>
          <w:b/>
          <w:bCs/>
          <w:sz w:val="22"/>
          <w:szCs w:val="22"/>
        </w:rPr>
        <w:t xml:space="preserve">Continuing Education Requirement for Licensed Dietitians and Licensed Dietetic Technicians </w:t>
      </w:r>
    </w:p>
    <w:p w14:paraId="561EF9B4" w14:textId="77777777"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7D5E6466" w14:textId="03CAA364" w:rsidR="00782CB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Licensed </w:t>
      </w:r>
      <w:r w:rsidR="41A76BD5" w:rsidRPr="3485421E">
        <w:rPr>
          <w:rFonts w:ascii="Times New Roman" w:hAnsi="Times New Roman" w:cs="Times New Roman"/>
          <w:sz w:val="22"/>
          <w:szCs w:val="22"/>
        </w:rPr>
        <w:t>d</w:t>
      </w:r>
      <w:r w:rsidR="55460704" w:rsidRPr="3485421E">
        <w:rPr>
          <w:rFonts w:ascii="Times New Roman" w:hAnsi="Times New Roman" w:cs="Times New Roman"/>
          <w:sz w:val="22"/>
          <w:szCs w:val="22"/>
        </w:rPr>
        <w:t xml:space="preserve">ietitians and </w:t>
      </w:r>
      <w:r w:rsidR="41A76BD5" w:rsidRPr="3485421E">
        <w:rPr>
          <w:rFonts w:ascii="Times New Roman" w:hAnsi="Times New Roman" w:cs="Times New Roman"/>
          <w:sz w:val="22"/>
          <w:szCs w:val="22"/>
        </w:rPr>
        <w:t>d</w:t>
      </w:r>
      <w:r w:rsidR="55460704" w:rsidRPr="3485421E">
        <w:rPr>
          <w:rFonts w:ascii="Times New Roman" w:hAnsi="Times New Roman" w:cs="Times New Roman"/>
          <w:sz w:val="22"/>
          <w:szCs w:val="22"/>
        </w:rPr>
        <w:t xml:space="preserve">ietetic </w:t>
      </w:r>
      <w:r w:rsidR="41A76BD5" w:rsidRPr="3485421E">
        <w:rPr>
          <w:rFonts w:ascii="Times New Roman" w:hAnsi="Times New Roman" w:cs="Times New Roman"/>
          <w:sz w:val="22"/>
          <w:szCs w:val="22"/>
        </w:rPr>
        <w:t>t</w:t>
      </w:r>
      <w:r w:rsidR="55460704" w:rsidRPr="3485421E">
        <w:rPr>
          <w:rFonts w:ascii="Times New Roman" w:hAnsi="Times New Roman" w:cs="Times New Roman"/>
          <w:sz w:val="22"/>
          <w:szCs w:val="22"/>
        </w:rPr>
        <w:t xml:space="preserve">echnicians shall certify at the time of license renewal to  </w:t>
      </w:r>
    </w:p>
    <w:p w14:paraId="293EA07B" w14:textId="5A86ACCF" w:rsidR="00782CB9" w:rsidRPr="00D32ADF" w:rsidRDefault="55460704"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3485421E">
        <w:rPr>
          <w:rFonts w:ascii="Times New Roman" w:hAnsi="Times New Roman" w:cs="Times New Roman"/>
          <w:sz w:val="22"/>
          <w:szCs w:val="22"/>
        </w:rPr>
        <w:t xml:space="preserve">             </w:t>
      </w:r>
      <w:r w:rsidR="423F0A10" w:rsidRPr="3485421E">
        <w:rPr>
          <w:rFonts w:ascii="Times New Roman" w:hAnsi="Times New Roman" w:cs="Times New Roman"/>
          <w:sz w:val="22"/>
          <w:szCs w:val="22"/>
        </w:rPr>
        <w:t>c</w:t>
      </w:r>
      <w:r w:rsidRPr="3485421E">
        <w:rPr>
          <w:rFonts w:ascii="Times New Roman" w:hAnsi="Times New Roman" w:cs="Times New Roman"/>
          <w:sz w:val="22"/>
          <w:szCs w:val="22"/>
        </w:rPr>
        <w:t>ompliance with the continuing education requirements set forth in this chapter.</w:t>
      </w:r>
    </w:p>
    <w:p w14:paraId="629F593C" w14:textId="77777777" w:rsidR="00782CB9" w:rsidRPr="00D32ADF" w:rsidRDefault="00782CB9" w:rsidP="3485421E">
      <w:pPr>
        <w:tabs>
          <w:tab w:val="left" w:pos="720"/>
          <w:tab w:val="left" w:pos="1440"/>
          <w:tab w:val="left" w:pos="2160"/>
          <w:tab w:val="left" w:pos="2880"/>
        </w:tabs>
        <w:ind w:left="1440" w:hanging="1440"/>
        <w:rPr>
          <w:rFonts w:ascii="Times New Roman" w:hAnsi="Times New Roman" w:cs="Times New Roman"/>
          <w:sz w:val="22"/>
          <w:szCs w:val="22"/>
        </w:rPr>
      </w:pPr>
    </w:p>
    <w:p w14:paraId="62785512" w14:textId="77777777" w:rsidR="00B118AC" w:rsidRPr="00D32ADF" w:rsidRDefault="00B118AC" w:rsidP="3485421E">
      <w:pPr>
        <w:tabs>
          <w:tab w:val="left" w:pos="720"/>
          <w:tab w:val="left" w:pos="1440"/>
          <w:tab w:val="left" w:pos="2160"/>
          <w:tab w:val="left" w:pos="2880"/>
        </w:tabs>
        <w:ind w:left="1440" w:hanging="1440"/>
        <w:rPr>
          <w:rFonts w:ascii="Times New Roman" w:hAnsi="Times New Roman" w:cs="Times New Roman"/>
          <w:sz w:val="22"/>
          <w:szCs w:val="22"/>
        </w:rPr>
      </w:pPr>
    </w:p>
    <w:p w14:paraId="162F48BD" w14:textId="0AC87E4E" w:rsidR="00782CB9" w:rsidRPr="00D32ADF" w:rsidRDefault="00782CB9" w:rsidP="3485421E">
      <w:pPr>
        <w:tabs>
          <w:tab w:val="left" w:pos="720"/>
          <w:tab w:val="left" w:pos="2160"/>
          <w:tab w:val="left" w:pos="2880"/>
        </w:tabs>
        <w:ind w:left="1440" w:hanging="1440"/>
        <w:rPr>
          <w:rFonts w:ascii="Times New Roman" w:hAnsi="Times New Roman" w:cs="Times New Roman"/>
          <w:b/>
          <w:bCs/>
          <w:sz w:val="22"/>
          <w:szCs w:val="22"/>
        </w:rPr>
      </w:pPr>
      <w:r w:rsidRPr="00D32ADF">
        <w:rPr>
          <w:rFonts w:ascii="Times New Roman" w:hAnsi="Times New Roman" w:cs="Times New Roman"/>
          <w:b/>
          <w:bCs/>
          <w:sz w:val="22"/>
          <w:szCs w:val="22"/>
        </w:rPr>
        <w:lastRenderedPageBreak/>
        <w:tab/>
      </w:r>
      <w:r w:rsidR="55460704" w:rsidRPr="3485421E">
        <w:rPr>
          <w:rFonts w:ascii="Times New Roman" w:hAnsi="Times New Roman" w:cs="Times New Roman"/>
          <w:sz w:val="22"/>
          <w:szCs w:val="22"/>
        </w:rPr>
        <w:t>1.</w:t>
      </w:r>
      <w:r w:rsidRPr="00D32ADF">
        <w:rPr>
          <w:rFonts w:ascii="Times New Roman" w:hAnsi="Times New Roman" w:cs="Times New Roman"/>
          <w:b/>
          <w:bCs/>
          <w:sz w:val="22"/>
          <w:szCs w:val="22"/>
        </w:rPr>
        <w:tab/>
      </w:r>
      <w:r w:rsidR="55460704" w:rsidRPr="3485421E">
        <w:rPr>
          <w:rFonts w:ascii="Times New Roman" w:hAnsi="Times New Roman" w:cs="Times New Roman"/>
          <w:b/>
          <w:bCs/>
          <w:sz w:val="22"/>
          <w:szCs w:val="22"/>
        </w:rPr>
        <w:t>Number of Hours and Content Required</w:t>
      </w:r>
    </w:p>
    <w:p w14:paraId="5442EBB0" w14:textId="77777777" w:rsidR="00B118AC" w:rsidRPr="00D32ADF" w:rsidRDefault="00B118AC" w:rsidP="3485421E">
      <w:pPr>
        <w:tabs>
          <w:tab w:val="left" w:pos="720"/>
          <w:tab w:val="left" w:pos="1440"/>
          <w:tab w:val="left" w:pos="2160"/>
          <w:tab w:val="left" w:pos="2880"/>
        </w:tabs>
        <w:ind w:left="1440" w:hanging="1440"/>
        <w:jc w:val="both"/>
        <w:rPr>
          <w:rFonts w:ascii="Times New Roman" w:hAnsi="Times New Roman" w:cs="Times New Roman"/>
          <w:b/>
          <w:bCs/>
          <w:sz w:val="22"/>
          <w:szCs w:val="22"/>
        </w:rPr>
      </w:pPr>
    </w:p>
    <w:p w14:paraId="39DD063F" w14:textId="77777777" w:rsidR="00567059" w:rsidRPr="00D32ADF" w:rsidRDefault="00782CB9" w:rsidP="3485421E">
      <w:pPr>
        <w:tabs>
          <w:tab w:val="left" w:pos="720"/>
          <w:tab w:val="left" w:pos="1440"/>
          <w:tab w:val="left" w:pos="2160"/>
          <w:tab w:val="left" w:pos="2880"/>
        </w:tabs>
        <w:ind w:left="1440" w:hanging="1440"/>
        <w:jc w:val="both"/>
        <w:rPr>
          <w:rFonts w:ascii="Times New Roman" w:hAnsi="Times New Roman" w:cs="Times New Roman"/>
          <w:sz w:val="22"/>
          <w:szCs w:val="22"/>
        </w:rPr>
      </w:pPr>
      <w:r w:rsidRPr="00D32ADF">
        <w:rPr>
          <w:rFonts w:ascii="Times New Roman" w:hAnsi="Times New Roman" w:cs="Times New Roman"/>
          <w:b/>
          <w:bCs/>
          <w:sz w:val="22"/>
          <w:szCs w:val="22"/>
        </w:rPr>
        <w:tab/>
      </w:r>
      <w:r w:rsidRPr="00D32ADF">
        <w:rPr>
          <w:rFonts w:ascii="Times New Roman" w:hAnsi="Times New Roman" w:cs="Times New Roman"/>
          <w:b/>
          <w:bCs/>
          <w:sz w:val="22"/>
          <w:szCs w:val="22"/>
        </w:rPr>
        <w:tab/>
      </w:r>
      <w:r w:rsidR="55460704" w:rsidRPr="3485421E">
        <w:rPr>
          <w:rFonts w:ascii="Times New Roman" w:hAnsi="Times New Roman" w:cs="Times New Roman"/>
          <w:sz w:val="22"/>
          <w:szCs w:val="22"/>
        </w:rPr>
        <w:t xml:space="preserve">All activities shall contribute to the advancement, extension, and enhancement of the professional skills or scientific knowledge of the licensee in the practice of dietetics and nutrition services. The reporting period is January 1 of the </w:t>
      </w:r>
      <w:r w:rsidR="700D2D60" w:rsidRPr="3485421E">
        <w:rPr>
          <w:rFonts w:ascii="Times New Roman" w:hAnsi="Times New Roman" w:cs="Times New Roman"/>
          <w:sz w:val="22"/>
          <w:szCs w:val="22"/>
        </w:rPr>
        <w:t>current</w:t>
      </w:r>
      <w:r w:rsidR="55460704" w:rsidRPr="3485421E">
        <w:rPr>
          <w:rFonts w:ascii="Times New Roman" w:hAnsi="Times New Roman" w:cs="Times New Roman"/>
          <w:sz w:val="22"/>
          <w:szCs w:val="22"/>
        </w:rPr>
        <w:t xml:space="preserve"> year through the December 31 renewal date. Hours completed during the reporting period cannot be carried forward into a subsequent renewal period. </w:t>
      </w:r>
    </w:p>
    <w:p w14:paraId="536F74B2" w14:textId="77777777" w:rsidR="00567059" w:rsidRPr="00D32ADF" w:rsidRDefault="00567059" w:rsidP="3485421E">
      <w:pPr>
        <w:tabs>
          <w:tab w:val="left" w:pos="720"/>
          <w:tab w:val="left" w:pos="1440"/>
          <w:tab w:val="left" w:pos="2160"/>
          <w:tab w:val="left" w:pos="2880"/>
        </w:tabs>
        <w:ind w:left="1440" w:hanging="1440"/>
        <w:jc w:val="both"/>
        <w:rPr>
          <w:rFonts w:ascii="Times New Roman" w:hAnsi="Times New Roman" w:cs="Times New Roman"/>
          <w:sz w:val="22"/>
          <w:szCs w:val="22"/>
        </w:rPr>
      </w:pPr>
    </w:p>
    <w:p w14:paraId="7645AE77" w14:textId="0E1B7178" w:rsidR="00B5466B" w:rsidRPr="00D32ADF" w:rsidRDefault="55460704" w:rsidP="3485421E">
      <w:pPr>
        <w:pStyle w:val="ListParagraph"/>
        <w:numPr>
          <w:ilvl w:val="0"/>
          <w:numId w:val="3"/>
        </w:numPr>
        <w:tabs>
          <w:tab w:val="left" w:pos="720"/>
          <w:tab w:val="left" w:pos="144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sz w:val="22"/>
          <w:szCs w:val="22"/>
        </w:rPr>
        <w:t>Licensed dieti</w:t>
      </w:r>
      <w:r w:rsidR="700D2D60" w:rsidRPr="3485421E">
        <w:rPr>
          <w:rFonts w:ascii="Times New Roman" w:hAnsi="Times New Roman" w:cs="Times New Roman"/>
          <w:sz w:val="22"/>
          <w:szCs w:val="22"/>
        </w:rPr>
        <w:t>t</w:t>
      </w:r>
      <w:r w:rsidRPr="3485421E">
        <w:rPr>
          <w:rFonts w:ascii="Times New Roman" w:hAnsi="Times New Roman" w:cs="Times New Roman"/>
          <w:sz w:val="22"/>
          <w:szCs w:val="22"/>
        </w:rPr>
        <w:t xml:space="preserve">ians shall complete </w:t>
      </w:r>
      <w:r w:rsidR="0FA4C6BA" w:rsidRPr="3485421E">
        <w:rPr>
          <w:rFonts w:ascii="Times New Roman" w:hAnsi="Times New Roman" w:cs="Times New Roman"/>
          <w:sz w:val="22"/>
          <w:szCs w:val="22"/>
        </w:rPr>
        <w:t>fifteen (</w:t>
      </w:r>
      <w:r w:rsidRPr="3485421E">
        <w:rPr>
          <w:rFonts w:ascii="Times New Roman" w:hAnsi="Times New Roman" w:cs="Times New Roman"/>
          <w:sz w:val="22"/>
          <w:szCs w:val="22"/>
        </w:rPr>
        <w:t>15</w:t>
      </w:r>
      <w:r w:rsidR="0FA4C6BA" w:rsidRPr="3485421E">
        <w:rPr>
          <w:rFonts w:ascii="Times New Roman" w:hAnsi="Times New Roman" w:cs="Times New Roman"/>
          <w:sz w:val="22"/>
          <w:szCs w:val="22"/>
        </w:rPr>
        <w:t>)</w:t>
      </w:r>
      <w:r w:rsidRPr="3485421E">
        <w:rPr>
          <w:rFonts w:ascii="Times New Roman" w:hAnsi="Times New Roman" w:cs="Times New Roman"/>
          <w:sz w:val="22"/>
          <w:szCs w:val="22"/>
        </w:rPr>
        <w:t xml:space="preserve"> hours of </w:t>
      </w:r>
      <w:r w:rsidR="3A4D36CC" w:rsidRPr="3485421E">
        <w:rPr>
          <w:rFonts w:ascii="Times New Roman" w:hAnsi="Times New Roman" w:cs="Times New Roman"/>
          <w:sz w:val="22"/>
          <w:szCs w:val="22"/>
        </w:rPr>
        <w:t xml:space="preserve">qualifying </w:t>
      </w:r>
      <w:r w:rsidRPr="3485421E">
        <w:rPr>
          <w:rFonts w:ascii="Times New Roman" w:hAnsi="Times New Roman" w:cs="Times New Roman"/>
          <w:sz w:val="22"/>
          <w:szCs w:val="22"/>
        </w:rPr>
        <w:t>conti</w:t>
      </w:r>
      <w:r w:rsidR="0FA4C6BA" w:rsidRPr="3485421E">
        <w:rPr>
          <w:rFonts w:ascii="Times New Roman" w:hAnsi="Times New Roman" w:cs="Times New Roman"/>
          <w:sz w:val="22"/>
          <w:szCs w:val="22"/>
        </w:rPr>
        <w:t xml:space="preserve">nuing </w:t>
      </w:r>
      <w:r w:rsidRPr="3485421E">
        <w:rPr>
          <w:rFonts w:ascii="Times New Roman" w:hAnsi="Times New Roman" w:cs="Times New Roman"/>
          <w:sz w:val="22"/>
          <w:szCs w:val="22"/>
        </w:rPr>
        <w:t>education</w:t>
      </w:r>
      <w:r w:rsidR="3A4D36CC" w:rsidRPr="3485421E">
        <w:rPr>
          <w:rFonts w:ascii="Times New Roman" w:hAnsi="Times New Roman" w:cs="Times New Roman"/>
          <w:sz w:val="22"/>
          <w:szCs w:val="22"/>
        </w:rPr>
        <w:t xml:space="preserve"> activities</w:t>
      </w:r>
      <w:r w:rsidRPr="3485421E">
        <w:rPr>
          <w:rFonts w:ascii="Times New Roman" w:hAnsi="Times New Roman" w:cs="Times New Roman"/>
          <w:sz w:val="22"/>
          <w:szCs w:val="22"/>
        </w:rPr>
        <w:t xml:space="preserve"> during each reporting period as a condition of renewal. </w:t>
      </w:r>
    </w:p>
    <w:p w14:paraId="250CC1D6" w14:textId="77777777" w:rsidR="00B5466B" w:rsidRPr="00D32ADF" w:rsidRDefault="00B5466B" w:rsidP="3485421E">
      <w:pPr>
        <w:pStyle w:val="ListParagraph"/>
        <w:tabs>
          <w:tab w:val="left" w:pos="720"/>
          <w:tab w:val="left" w:pos="1440"/>
          <w:tab w:val="left" w:pos="2160"/>
          <w:tab w:val="left" w:pos="2880"/>
        </w:tabs>
        <w:ind w:left="2160"/>
        <w:jc w:val="both"/>
        <w:rPr>
          <w:rFonts w:ascii="Times New Roman" w:hAnsi="Times New Roman" w:cs="Times New Roman"/>
          <w:sz w:val="22"/>
          <w:szCs w:val="22"/>
        </w:rPr>
      </w:pPr>
    </w:p>
    <w:p w14:paraId="45B80DE3" w14:textId="0FD688C2" w:rsidR="00782CB9" w:rsidRPr="00D32ADF" w:rsidRDefault="55460704" w:rsidP="3485421E">
      <w:pPr>
        <w:pStyle w:val="ListParagraph"/>
        <w:numPr>
          <w:ilvl w:val="0"/>
          <w:numId w:val="3"/>
        </w:numPr>
        <w:tabs>
          <w:tab w:val="left" w:pos="720"/>
          <w:tab w:val="left" w:pos="144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sz w:val="22"/>
          <w:szCs w:val="22"/>
        </w:rPr>
        <w:t>Licensed dietetic technicians shall complete</w:t>
      </w:r>
      <w:r w:rsidR="0FA4C6BA" w:rsidRPr="3485421E">
        <w:rPr>
          <w:rFonts w:ascii="Times New Roman" w:hAnsi="Times New Roman" w:cs="Times New Roman"/>
          <w:sz w:val="22"/>
          <w:szCs w:val="22"/>
        </w:rPr>
        <w:t xml:space="preserve"> ten (</w:t>
      </w:r>
      <w:r w:rsidRPr="3485421E">
        <w:rPr>
          <w:rFonts w:ascii="Times New Roman" w:hAnsi="Times New Roman" w:cs="Times New Roman"/>
          <w:sz w:val="22"/>
          <w:szCs w:val="22"/>
        </w:rPr>
        <w:t>10</w:t>
      </w:r>
      <w:r w:rsidR="0FA4C6BA" w:rsidRPr="3485421E">
        <w:rPr>
          <w:rFonts w:ascii="Times New Roman" w:hAnsi="Times New Roman" w:cs="Times New Roman"/>
          <w:sz w:val="22"/>
          <w:szCs w:val="22"/>
        </w:rPr>
        <w:t>)</w:t>
      </w:r>
      <w:r w:rsidRPr="3485421E">
        <w:rPr>
          <w:rFonts w:ascii="Times New Roman" w:hAnsi="Times New Roman" w:cs="Times New Roman"/>
          <w:sz w:val="22"/>
          <w:szCs w:val="22"/>
        </w:rPr>
        <w:t xml:space="preserve"> hours of continuing education credits during each reporting period as a condition of renewal. </w:t>
      </w:r>
    </w:p>
    <w:p w14:paraId="40F9858C" w14:textId="77777777" w:rsidR="00782CB9" w:rsidRPr="00D32ADF" w:rsidRDefault="00782CB9" w:rsidP="3485421E">
      <w:pPr>
        <w:tabs>
          <w:tab w:val="left" w:pos="720"/>
          <w:tab w:val="left" w:pos="1440"/>
          <w:tab w:val="left" w:pos="2160"/>
          <w:tab w:val="left" w:pos="2880"/>
        </w:tabs>
        <w:ind w:left="720" w:hanging="720"/>
        <w:rPr>
          <w:rFonts w:ascii="Times New Roman" w:hAnsi="Times New Roman" w:cs="Times New Roman"/>
          <w:sz w:val="22"/>
          <w:szCs w:val="22"/>
        </w:rPr>
      </w:pPr>
    </w:p>
    <w:p w14:paraId="4B19AAB3" w14:textId="77777777" w:rsidR="00F2601A" w:rsidRPr="00D32ADF" w:rsidRDefault="55460704" w:rsidP="3485421E">
      <w:pPr>
        <w:pStyle w:val="ListParagraph"/>
        <w:numPr>
          <w:ilvl w:val="0"/>
          <w:numId w:val="4"/>
        </w:numPr>
        <w:tabs>
          <w:tab w:val="left" w:pos="1440"/>
          <w:tab w:val="left" w:pos="2160"/>
          <w:tab w:val="left" w:pos="2880"/>
        </w:tabs>
        <w:ind w:hanging="1080"/>
        <w:rPr>
          <w:rFonts w:ascii="Times New Roman" w:hAnsi="Times New Roman" w:cs="Times New Roman"/>
          <w:sz w:val="22"/>
          <w:szCs w:val="22"/>
        </w:rPr>
      </w:pPr>
      <w:r w:rsidRPr="3485421E">
        <w:rPr>
          <w:rFonts w:ascii="Times New Roman" w:hAnsi="Times New Roman" w:cs="Times New Roman"/>
          <w:b/>
          <w:bCs/>
          <w:sz w:val="22"/>
          <w:szCs w:val="22"/>
        </w:rPr>
        <w:t xml:space="preserve">Qualifying Continuing Education Activities  </w:t>
      </w:r>
    </w:p>
    <w:p w14:paraId="3E367969" w14:textId="77777777" w:rsidR="00F2601A" w:rsidRPr="00D32ADF" w:rsidRDefault="00F2601A" w:rsidP="3485421E">
      <w:pPr>
        <w:tabs>
          <w:tab w:val="left" w:pos="1440"/>
          <w:tab w:val="left" w:pos="2160"/>
          <w:tab w:val="left" w:pos="2880"/>
        </w:tabs>
        <w:ind w:left="720"/>
        <w:rPr>
          <w:rFonts w:ascii="Times New Roman" w:hAnsi="Times New Roman" w:cs="Times New Roman"/>
          <w:sz w:val="22"/>
          <w:szCs w:val="22"/>
        </w:rPr>
      </w:pPr>
    </w:p>
    <w:p w14:paraId="3F851BA9" w14:textId="3DD64720" w:rsidR="00782CB9" w:rsidRPr="00D32ADF" w:rsidRDefault="1B1FBAE4" w:rsidP="3485421E">
      <w:pPr>
        <w:tabs>
          <w:tab w:val="left" w:pos="1440"/>
          <w:tab w:val="left" w:pos="2160"/>
          <w:tab w:val="left" w:pos="2880"/>
        </w:tabs>
        <w:ind w:left="1440"/>
        <w:rPr>
          <w:rFonts w:ascii="Times New Roman" w:hAnsi="Times New Roman" w:cs="Times New Roman"/>
          <w:sz w:val="22"/>
          <w:szCs w:val="22"/>
        </w:rPr>
      </w:pPr>
      <w:r w:rsidRPr="3485421E">
        <w:rPr>
          <w:rFonts w:ascii="Times New Roman" w:hAnsi="Times New Roman" w:cs="Times New Roman"/>
          <w:sz w:val="22"/>
          <w:szCs w:val="22"/>
        </w:rPr>
        <w:t>The following q</w:t>
      </w:r>
      <w:r w:rsidR="55460704" w:rsidRPr="3485421E">
        <w:rPr>
          <w:rFonts w:ascii="Times New Roman" w:hAnsi="Times New Roman" w:cs="Times New Roman"/>
          <w:sz w:val="22"/>
          <w:szCs w:val="22"/>
        </w:rPr>
        <w:t xml:space="preserve">ualifying </w:t>
      </w:r>
      <w:r w:rsidR="2D2FD2E0" w:rsidRPr="3485421E">
        <w:rPr>
          <w:rFonts w:ascii="Times New Roman" w:hAnsi="Times New Roman" w:cs="Times New Roman"/>
          <w:sz w:val="22"/>
          <w:szCs w:val="22"/>
        </w:rPr>
        <w:t xml:space="preserve">continuing education </w:t>
      </w:r>
      <w:r w:rsidR="55460704" w:rsidRPr="3485421E">
        <w:rPr>
          <w:rFonts w:ascii="Times New Roman" w:hAnsi="Times New Roman" w:cs="Times New Roman"/>
          <w:sz w:val="22"/>
          <w:szCs w:val="22"/>
        </w:rPr>
        <w:t xml:space="preserve">activities satisfy the requirements of Section 3(1): </w:t>
      </w:r>
    </w:p>
    <w:p w14:paraId="7082E707" w14:textId="77777777" w:rsidR="00782CB9" w:rsidRPr="00D32ADF" w:rsidRDefault="00782CB9" w:rsidP="3485421E">
      <w:pPr>
        <w:tabs>
          <w:tab w:val="left" w:pos="720"/>
          <w:tab w:val="left" w:pos="1440"/>
          <w:tab w:val="left" w:pos="2160"/>
          <w:tab w:val="left" w:pos="2880"/>
        </w:tabs>
        <w:ind w:left="2160"/>
        <w:rPr>
          <w:rFonts w:ascii="Times New Roman" w:hAnsi="Times New Roman" w:cs="Times New Roman"/>
          <w:b/>
          <w:bCs/>
          <w:sz w:val="22"/>
          <w:szCs w:val="22"/>
        </w:rPr>
      </w:pPr>
    </w:p>
    <w:p w14:paraId="76A0A590" w14:textId="77777777" w:rsidR="009618AD" w:rsidRPr="00D32ADF" w:rsidRDefault="31C61E8E" w:rsidP="3485421E">
      <w:pPr>
        <w:pStyle w:val="ListParagraph"/>
        <w:keepNext/>
        <w:keepLines/>
        <w:numPr>
          <w:ilvl w:val="0"/>
          <w:numId w:val="5"/>
        </w:numPr>
        <w:tabs>
          <w:tab w:val="left" w:pos="720"/>
          <w:tab w:val="left" w:pos="144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b/>
          <w:bCs/>
          <w:sz w:val="22"/>
          <w:szCs w:val="22"/>
        </w:rPr>
        <w:t>Recognized sponsored presentation</w:t>
      </w:r>
      <w:r w:rsidR="55460704" w:rsidRPr="3485421E">
        <w:rPr>
          <w:rFonts w:ascii="Times New Roman" w:hAnsi="Times New Roman" w:cs="Times New Roman"/>
          <w:sz w:val="22"/>
          <w:szCs w:val="22"/>
        </w:rPr>
        <w:t>. At least four (4) of the required hours shall include participation as required at a sponsored presentation offered by any recognized sponsor as set forth in Section 3(3) of this chapter.</w:t>
      </w:r>
      <w:r w:rsidR="004446D0">
        <w:tab/>
      </w:r>
    </w:p>
    <w:p w14:paraId="6EB54C10" w14:textId="77777777" w:rsidR="009618AD" w:rsidRPr="00D32ADF" w:rsidRDefault="009618AD" w:rsidP="3485421E">
      <w:pPr>
        <w:pStyle w:val="ListParagraph"/>
        <w:keepNext/>
        <w:keepLines/>
        <w:tabs>
          <w:tab w:val="left" w:pos="720"/>
          <w:tab w:val="left" w:pos="1440"/>
          <w:tab w:val="left" w:pos="2160"/>
          <w:tab w:val="left" w:pos="2880"/>
        </w:tabs>
        <w:ind w:left="2160"/>
        <w:jc w:val="both"/>
        <w:rPr>
          <w:rFonts w:ascii="Times New Roman" w:hAnsi="Times New Roman" w:cs="Times New Roman"/>
          <w:sz w:val="22"/>
          <w:szCs w:val="22"/>
        </w:rPr>
      </w:pPr>
    </w:p>
    <w:p w14:paraId="74C794E3" w14:textId="77777777" w:rsidR="009618AD" w:rsidRPr="00D32ADF" w:rsidRDefault="55460704" w:rsidP="3485421E">
      <w:pPr>
        <w:pStyle w:val="ListParagraph"/>
        <w:keepNext/>
        <w:keepLines/>
        <w:numPr>
          <w:ilvl w:val="0"/>
          <w:numId w:val="5"/>
        </w:numPr>
        <w:tabs>
          <w:tab w:val="left" w:pos="720"/>
          <w:tab w:val="left" w:pos="144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b/>
          <w:bCs/>
          <w:sz w:val="22"/>
          <w:szCs w:val="22"/>
        </w:rPr>
        <w:t xml:space="preserve">Other qualifying activities. </w:t>
      </w:r>
      <w:r w:rsidRPr="3485421E">
        <w:rPr>
          <w:rFonts w:ascii="Times New Roman" w:hAnsi="Times New Roman" w:cs="Times New Roman"/>
          <w:sz w:val="22"/>
          <w:szCs w:val="22"/>
        </w:rPr>
        <w:t>Other qualifying</w:t>
      </w:r>
      <w:r w:rsidRPr="3485421E">
        <w:rPr>
          <w:rFonts w:ascii="Times New Roman" w:hAnsi="Times New Roman" w:cs="Times New Roman"/>
          <w:b/>
          <w:bCs/>
          <w:sz w:val="22"/>
          <w:szCs w:val="22"/>
        </w:rPr>
        <w:t xml:space="preserve"> </w:t>
      </w:r>
      <w:r w:rsidRPr="3485421E">
        <w:rPr>
          <w:rFonts w:ascii="Times New Roman" w:hAnsi="Times New Roman" w:cs="Times New Roman"/>
          <w:sz w:val="22"/>
          <w:szCs w:val="22"/>
        </w:rPr>
        <w:t>activities include:</w:t>
      </w:r>
    </w:p>
    <w:p w14:paraId="27A7B377" w14:textId="77777777" w:rsidR="009618AD" w:rsidRPr="00D32ADF" w:rsidRDefault="009618AD" w:rsidP="3485421E">
      <w:pPr>
        <w:pStyle w:val="ListParagraph"/>
        <w:rPr>
          <w:rFonts w:ascii="Times New Roman" w:hAnsi="Times New Roman" w:cs="Times New Roman"/>
          <w:sz w:val="22"/>
          <w:szCs w:val="22"/>
        </w:rPr>
      </w:pPr>
    </w:p>
    <w:p w14:paraId="645747F8" w14:textId="77777777" w:rsidR="00F23A1B" w:rsidRPr="00D32ADF" w:rsidRDefault="55460704"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Participation as required at a presentation such as a workshop, seminar, conference, or in-service educational</w:t>
      </w:r>
      <w:r w:rsidR="028A0065" w:rsidRPr="3485421E">
        <w:rPr>
          <w:rFonts w:ascii="Times New Roman" w:hAnsi="Times New Roman" w:cs="Times New Roman"/>
          <w:sz w:val="22"/>
          <w:szCs w:val="22"/>
        </w:rPr>
        <w:t xml:space="preserve"> </w:t>
      </w:r>
      <w:r w:rsidRPr="3485421E">
        <w:rPr>
          <w:rFonts w:ascii="Times New Roman" w:hAnsi="Times New Roman" w:cs="Times New Roman"/>
          <w:sz w:val="22"/>
          <w:szCs w:val="22"/>
        </w:rPr>
        <w:t>program.</w:t>
      </w:r>
      <w:r w:rsidR="00782CB9">
        <w:tab/>
      </w:r>
      <w:r w:rsidR="00782CB9">
        <w:tab/>
      </w:r>
    </w:p>
    <w:p w14:paraId="1AED4AEB" w14:textId="77777777" w:rsidR="00F23A1B" w:rsidRPr="00D32ADF" w:rsidRDefault="00F23A1B" w:rsidP="00504C68">
      <w:pPr>
        <w:pStyle w:val="ListParagraph"/>
        <w:keepNext/>
        <w:keepLines/>
        <w:tabs>
          <w:tab w:val="left" w:pos="720"/>
          <w:tab w:val="left" w:pos="1440"/>
          <w:tab w:val="left" w:pos="2160"/>
          <w:tab w:val="left" w:pos="2880"/>
        </w:tabs>
        <w:ind w:left="2880"/>
        <w:jc w:val="both"/>
        <w:rPr>
          <w:rFonts w:ascii="Times New Roman" w:hAnsi="Times New Roman" w:cs="Times New Roman"/>
          <w:sz w:val="22"/>
          <w:szCs w:val="22"/>
        </w:rPr>
      </w:pPr>
    </w:p>
    <w:p w14:paraId="00FE8214" w14:textId="77777777" w:rsidR="00F23A1B" w:rsidRPr="00D32ADF" w:rsidRDefault="55460704"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Academic coursework related to the practice of dietetics, which</w:t>
      </w:r>
      <w:r w:rsidR="028A0065" w:rsidRPr="3485421E">
        <w:rPr>
          <w:rFonts w:ascii="Times New Roman" w:hAnsi="Times New Roman" w:cs="Times New Roman"/>
          <w:sz w:val="22"/>
          <w:szCs w:val="22"/>
        </w:rPr>
        <w:t xml:space="preserve"> </w:t>
      </w:r>
      <w:r w:rsidRPr="3485421E">
        <w:rPr>
          <w:rFonts w:ascii="Times New Roman" w:hAnsi="Times New Roman" w:cs="Times New Roman"/>
          <w:sz w:val="22"/>
          <w:szCs w:val="22"/>
        </w:rPr>
        <w:t>includes participation in on-site or distance learning academic courses from a university, college, or vocational-technical adult education course.</w:t>
      </w:r>
    </w:p>
    <w:p w14:paraId="3ED0DA9C" w14:textId="77777777" w:rsidR="00F23A1B" w:rsidRPr="00D32ADF" w:rsidRDefault="00F23A1B" w:rsidP="00504C68">
      <w:pPr>
        <w:pStyle w:val="ListParagraph"/>
        <w:jc w:val="both"/>
        <w:rPr>
          <w:rFonts w:ascii="Times New Roman" w:hAnsi="Times New Roman" w:cs="Times New Roman"/>
          <w:sz w:val="22"/>
          <w:szCs w:val="22"/>
        </w:rPr>
      </w:pPr>
    </w:p>
    <w:p w14:paraId="1D164A60" w14:textId="77777777" w:rsidR="00F23A1B" w:rsidRPr="00D32ADF" w:rsidRDefault="7F1D7D9C"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Publications of peer-reviewed books, articles, films, or web-based resources related to practice, management, or education of dietetics.</w:t>
      </w:r>
    </w:p>
    <w:p w14:paraId="7B2FF906" w14:textId="77777777" w:rsidR="00F23A1B" w:rsidRPr="00D32ADF" w:rsidRDefault="00F23A1B" w:rsidP="00504C68">
      <w:pPr>
        <w:pStyle w:val="ListParagraph"/>
        <w:jc w:val="both"/>
        <w:rPr>
          <w:rFonts w:ascii="Times New Roman" w:hAnsi="Times New Roman" w:cs="Times New Roman"/>
          <w:sz w:val="22"/>
          <w:szCs w:val="22"/>
        </w:rPr>
      </w:pPr>
    </w:p>
    <w:p w14:paraId="64017EB8" w14:textId="77777777" w:rsidR="0029387C" w:rsidRPr="00D32ADF" w:rsidRDefault="7F1D7D9C"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Preparation for teaching a course in dietetics in an accredited</w:t>
      </w:r>
      <w:r w:rsidR="028A0065" w:rsidRPr="3485421E">
        <w:rPr>
          <w:rFonts w:ascii="Times New Roman" w:hAnsi="Times New Roman" w:cs="Times New Roman"/>
          <w:sz w:val="22"/>
          <w:szCs w:val="22"/>
        </w:rPr>
        <w:t xml:space="preserve"> </w:t>
      </w:r>
      <w:r w:rsidRPr="3485421E">
        <w:rPr>
          <w:rFonts w:ascii="Times New Roman" w:hAnsi="Times New Roman" w:cs="Times New Roman"/>
          <w:sz w:val="22"/>
          <w:szCs w:val="22"/>
        </w:rPr>
        <w:t xml:space="preserve">program. </w:t>
      </w:r>
    </w:p>
    <w:p w14:paraId="28673741" w14:textId="77777777" w:rsidR="0029387C" w:rsidRPr="00D32ADF" w:rsidRDefault="0029387C" w:rsidP="00504C68">
      <w:pPr>
        <w:pStyle w:val="ListParagraph"/>
        <w:jc w:val="both"/>
        <w:rPr>
          <w:rFonts w:ascii="Times New Roman" w:hAnsi="Times New Roman" w:cs="Times New Roman"/>
          <w:sz w:val="22"/>
          <w:szCs w:val="22"/>
        </w:rPr>
      </w:pPr>
    </w:p>
    <w:p w14:paraId="2F36DF53" w14:textId="77777777" w:rsidR="0029371D" w:rsidRPr="00D32ADF" w:rsidRDefault="7F1D7D9C"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Preparation for and presenting at a workshop, seminar, conference, or in-service educational program.</w:t>
      </w:r>
    </w:p>
    <w:p w14:paraId="67223EE7" w14:textId="77777777" w:rsidR="0029371D" w:rsidRPr="00D32ADF" w:rsidRDefault="0029371D" w:rsidP="00504C68">
      <w:pPr>
        <w:pStyle w:val="ListParagraph"/>
        <w:jc w:val="both"/>
        <w:rPr>
          <w:rFonts w:ascii="Times New Roman" w:hAnsi="Times New Roman" w:cs="Times New Roman"/>
          <w:sz w:val="22"/>
          <w:szCs w:val="22"/>
        </w:rPr>
      </w:pPr>
    </w:p>
    <w:p w14:paraId="24E59492" w14:textId="77777777" w:rsidR="00720699" w:rsidRPr="00D32ADF" w:rsidRDefault="7F1D7D9C"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Pursuit of evidence-based practice by reviewing critically</w:t>
      </w:r>
      <w:r w:rsidR="11F6072B" w:rsidRPr="3485421E">
        <w:rPr>
          <w:rFonts w:ascii="Times New Roman" w:hAnsi="Times New Roman" w:cs="Times New Roman"/>
          <w:sz w:val="22"/>
          <w:szCs w:val="22"/>
        </w:rPr>
        <w:t xml:space="preserve"> </w:t>
      </w:r>
      <w:r w:rsidRPr="3485421E">
        <w:rPr>
          <w:rFonts w:ascii="Times New Roman" w:hAnsi="Times New Roman" w:cs="Times New Roman"/>
          <w:sz w:val="22"/>
          <w:szCs w:val="22"/>
        </w:rPr>
        <w:t xml:space="preserve">appraised topics for evidence-based literature on </w:t>
      </w:r>
      <w:r w:rsidR="00B118AC">
        <w:tab/>
      </w:r>
      <w:r w:rsidRPr="3485421E">
        <w:rPr>
          <w:rFonts w:ascii="Times New Roman" w:hAnsi="Times New Roman" w:cs="Times New Roman"/>
          <w:sz w:val="22"/>
          <w:szCs w:val="22"/>
        </w:rPr>
        <w:t>practice-related subjects.</w:t>
      </w:r>
    </w:p>
    <w:p w14:paraId="168162EF" w14:textId="77777777" w:rsidR="00720699" w:rsidRPr="00D32ADF" w:rsidRDefault="00720699" w:rsidP="00504C68">
      <w:pPr>
        <w:pStyle w:val="ListParagraph"/>
        <w:jc w:val="both"/>
        <w:rPr>
          <w:rFonts w:ascii="Times New Roman" w:hAnsi="Times New Roman" w:cs="Times New Roman"/>
          <w:sz w:val="22"/>
          <w:szCs w:val="22"/>
        </w:rPr>
      </w:pPr>
    </w:p>
    <w:p w14:paraId="2E398231" w14:textId="305DD9CF" w:rsidR="00B118AC" w:rsidRPr="00D32ADF" w:rsidRDefault="7F1D7D9C" w:rsidP="00504C68">
      <w:pPr>
        <w:pStyle w:val="ListParagraph"/>
        <w:keepNext/>
        <w:keepLines/>
        <w:numPr>
          <w:ilvl w:val="0"/>
          <w:numId w:val="6"/>
        </w:numPr>
        <w:tabs>
          <w:tab w:val="left" w:pos="720"/>
          <w:tab w:val="left" w:pos="1440"/>
          <w:tab w:val="left" w:pos="2160"/>
          <w:tab w:val="left" w:pos="2880"/>
        </w:tabs>
        <w:ind w:left="2880" w:hanging="720"/>
        <w:jc w:val="both"/>
        <w:rPr>
          <w:rFonts w:ascii="Times New Roman" w:hAnsi="Times New Roman" w:cs="Times New Roman"/>
          <w:sz w:val="22"/>
          <w:szCs w:val="22"/>
        </w:rPr>
      </w:pPr>
      <w:r w:rsidRPr="3485421E">
        <w:rPr>
          <w:rFonts w:ascii="Times New Roman" w:hAnsi="Times New Roman" w:cs="Times New Roman"/>
          <w:sz w:val="22"/>
          <w:szCs w:val="22"/>
        </w:rPr>
        <w:t>Research, which includes development or participation in a</w:t>
      </w:r>
      <w:r w:rsidR="639EFA05" w:rsidRPr="3485421E">
        <w:rPr>
          <w:rFonts w:ascii="Times New Roman" w:hAnsi="Times New Roman" w:cs="Times New Roman"/>
          <w:sz w:val="22"/>
          <w:szCs w:val="22"/>
        </w:rPr>
        <w:t xml:space="preserve"> </w:t>
      </w:r>
      <w:r w:rsidRPr="3485421E">
        <w:rPr>
          <w:rFonts w:ascii="Times New Roman" w:hAnsi="Times New Roman" w:cs="Times New Roman"/>
          <w:sz w:val="22"/>
          <w:szCs w:val="22"/>
        </w:rPr>
        <w:t>research project as a primary or assistant investigator in the research project.</w:t>
      </w:r>
    </w:p>
    <w:p w14:paraId="6F44675E" w14:textId="77777777" w:rsidR="00B118AC" w:rsidRPr="00D32ADF" w:rsidRDefault="00B118AC" w:rsidP="3485421E">
      <w:pPr>
        <w:tabs>
          <w:tab w:val="left" w:pos="720"/>
          <w:tab w:val="left" w:pos="1440"/>
          <w:tab w:val="left" w:pos="2160"/>
          <w:tab w:val="left" w:pos="2880"/>
        </w:tabs>
        <w:ind w:left="3600" w:hanging="1440"/>
        <w:rPr>
          <w:rFonts w:ascii="Times New Roman" w:hAnsi="Times New Roman" w:cs="Times New Roman"/>
          <w:sz w:val="22"/>
          <w:szCs w:val="22"/>
        </w:rPr>
      </w:pPr>
    </w:p>
    <w:p w14:paraId="2E3E6B9F" w14:textId="77777777" w:rsidR="00B118AC" w:rsidRPr="00D32ADF" w:rsidRDefault="00B118AC" w:rsidP="3485421E">
      <w:pPr>
        <w:keepNext/>
        <w:keepLines/>
        <w:tabs>
          <w:tab w:val="left" w:pos="720"/>
          <w:tab w:val="left" w:pos="1440"/>
          <w:tab w:val="left" w:pos="2160"/>
          <w:tab w:val="left" w:pos="2880"/>
        </w:tabs>
        <w:rPr>
          <w:rFonts w:ascii="Times New Roman" w:hAnsi="Times New Roman" w:cs="Times New Roman"/>
          <w:sz w:val="22"/>
          <w:szCs w:val="22"/>
        </w:rPr>
      </w:pPr>
    </w:p>
    <w:p w14:paraId="4DE78592" w14:textId="77777777" w:rsidR="00782CB9" w:rsidRPr="00D32ADF" w:rsidRDefault="00782CB9" w:rsidP="3485421E">
      <w:pPr>
        <w:keepNext/>
        <w:keepLines/>
        <w:tabs>
          <w:tab w:val="left" w:pos="720"/>
          <w:tab w:val="left" w:pos="1440"/>
          <w:tab w:val="left" w:pos="2160"/>
          <w:tab w:val="left" w:pos="2880"/>
        </w:tabs>
        <w:rPr>
          <w:rFonts w:ascii="Times New Roman" w:hAnsi="Times New Roman" w:cs="Times New Roman"/>
          <w:sz w:val="22"/>
          <w:szCs w:val="22"/>
        </w:rPr>
      </w:pPr>
    </w:p>
    <w:p w14:paraId="45FC031D" w14:textId="77777777" w:rsidR="00782CB9" w:rsidRPr="00D32ADF" w:rsidRDefault="00782CB9" w:rsidP="3485421E">
      <w:pPr>
        <w:keepNext/>
        <w:keepLines/>
        <w:tabs>
          <w:tab w:val="left" w:pos="720"/>
          <w:tab w:val="left" w:pos="1440"/>
          <w:tab w:val="left" w:pos="2160"/>
          <w:tab w:val="left" w:pos="2880"/>
        </w:tabs>
        <w:rPr>
          <w:rFonts w:ascii="Times New Roman" w:hAnsi="Times New Roman" w:cs="Times New Roman"/>
          <w:sz w:val="22"/>
          <w:szCs w:val="22"/>
        </w:rPr>
      </w:pPr>
    </w:p>
    <w:p w14:paraId="7010378A" w14:textId="47562977" w:rsidR="00782CB9" w:rsidRPr="00D32ADF" w:rsidRDefault="00782CB9" w:rsidP="3485421E">
      <w:pPr>
        <w:keepNext/>
        <w:keepLines/>
        <w:tabs>
          <w:tab w:val="left" w:pos="720"/>
          <w:tab w:val="left" w:pos="1440"/>
          <w:tab w:val="left" w:pos="2160"/>
        </w:tabs>
        <w:ind w:left="2160" w:hanging="2160"/>
        <w:rPr>
          <w:rFonts w:ascii="Times New Roman" w:hAnsi="Times New Roman" w:cs="Times New Roman"/>
          <w:sz w:val="22"/>
          <w:szCs w:val="22"/>
        </w:rPr>
      </w:pPr>
      <w:r w:rsidRPr="00D32ADF">
        <w:rPr>
          <w:rFonts w:ascii="Times New Roman" w:hAnsi="Times New Roman" w:cs="Times New Roman"/>
          <w:b/>
          <w:bCs/>
          <w:sz w:val="22"/>
          <w:szCs w:val="22"/>
        </w:rPr>
        <w:tab/>
      </w:r>
      <w:r w:rsidRPr="00D32ADF">
        <w:rPr>
          <w:rFonts w:ascii="Times New Roman" w:hAnsi="Times New Roman" w:cs="Times New Roman"/>
          <w:b/>
          <w:bCs/>
          <w:sz w:val="22"/>
          <w:szCs w:val="22"/>
        </w:rPr>
        <w:tab/>
      </w:r>
      <w:r w:rsidR="55460704" w:rsidRPr="3485421E">
        <w:rPr>
          <w:rFonts w:ascii="Times New Roman" w:hAnsi="Times New Roman" w:cs="Times New Roman"/>
          <w:sz w:val="22"/>
          <w:szCs w:val="22"/>
        </w:rPr>
        <w:t>C.</w:t>
      </w:r>
      <w:r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In-person attendance; live, remote, interaction.</w:t>
      </w:r>
      <w:r w:rsidR="55460704" w:rsidRPr="3485421E">
        <w:rPr>
          <w:rFonts w:ascii="Times New Roman" w:hAnsi="Times New Roman" w:cs="Times New Roman"/>
          <w:sz w:val="22"/>
          <w:szCs w:val="22"/>
        </w:rPr>
        <w:t xml:space="preserve"> For purposes of this chapter,</w:t>
      </w:r>
      <w:r w:rsidR="74ECCC0A" w:rsidRPr="3485421E">
        <w:rPr>
          <w:rFonts w:ascii="Times New Roman" w:hAnsi="Times New Roman" w:cs="Times New Roman"/>
          <w:sz w:val="22"/>
          <w:szCs w:val="22"/>
        </w:rPr>
        <w:t xml:space="preserve"> </w:t>
      </w:r>
      <w:r w:rsidR="55460704" w:rsidRPr="3485421E">
        <w:rPr>
          <w:rFonts w:ascii="Times New Roman" w:hAnsi="Times New Roman" w:cs="Times New Roman"/>
          <w:sz w:val="22"/>
          <w:szCs w:val="22"/>
        </w:rPr>
        <w:t>continuing education activities are not required to be held in-person nor required to include live, remote interaction with presenters.</w:t>
      </w:r>
    </w:p>
    <w:p w14:paraId="71F39745" w14:textId="77777777" w:rsidR="00782CB9" w:rsidRPr="00D32ADF" w:rsidRDefault="00782CB9" w:rsidP="3485421E">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7AE2D445" w14:textId="6AF6459D" w:rsidR="005D6809" w:rsidRPr="00D32ADF" w:rsidRDefault="55460704" w:rsidP="3485421E">
      <w:pPr>
        <w:pStyle w:val="ListParagraph"/>
        <w:keepNext/>
        <w:keepLines/>
        <w:numPr>
          <w:ilvl w:val="0"/>
          <w:numId w:val="4"/>
        </w:numPr>
        <w:tabs>
          <w:tab w:val="left" w:pos="720"/>
          <w:tab w:val="left" w:pos="1440"/>
          <w:tab w:val="left" w:pos="2160"/>
          <w:tab w:val="left" w:pos="2880"/>
        </w:tabs>
        <w:ind w:hanging="1080"/>
        <w:jc w:val="both"/>
        <w:rPr>
          <w:rFonts w:ascii="Times New Roman" w:hAnsi="Times New Roman" w:cs="Times New Roman"/>
          <w:b/>
          <w:bCs/>
          <w:sz w:val="22"/>
          <w:szCs w:val="22"/>
        </w:rPr>
      </w:pPr>
      <w:r w:rsidRPr="3485421E">
        <w:rPr>
          <w:rFonts w:ascii="Times New Roman" w:hAnsi="Times New Roman" w:cs="Times New Roman"/>
          <w:b/>
          <w:bCs/>
          <w:sz w:val="22"/>
          <w:szCs w:val="22"/>
        </w:rPr>
        <w:t xml:space="preserve">Recognized Sponsors </w:t>
      </w:r>
    </w:p>
    <w:p w14:paraId="1F9F4A7C" w14:textId="77777777" w:rsidR="005D6809" w:rsidRPr="00D32ADF" w:rsidRDefault="005D6809" w:rsidP="3485421E">
      <w:pPr>
        <w:pStyle w:val="ListParagraph"/>
        <w:keepNext/>
        <w:keepLines/>
        <w:tabs>
          <w:tab w:val="left" w:pos="720"/>
          <w:tab w:val="left" w:pos="1440"/>
          <w:tab w:val="left" w:pos="2160"/>
          <w:tab w:val="left" w:pos="2880"/>
        </w:tabs>
        <w:ind w:left="1800"/>
        <w:jc w:val="both"/>
        <w:rPr>
          <w:rFonts w:ascii="Times New Roman" w:hAnsi="Times New Roman" w:cs="Times New Roman"/>
          <w:sz w:val="22"/>
          <w:szCs w:val="22"/>
        </w:rPr>
      </w:pPr>
    </w:p>
    <w:p w14:paraId="28FF1A38" w14:textId="2CC1EFEC" w:rsidR="00782CB9" w:rsidRPr="00D32ADF" w:rsidRDefault="55460704" w:rsidP="3485421E">
      <w:pPr>
        <w:pStyle w:val="ListParagraph"/>
        <w:keepNext/>
        <w:keepLines/>
        <w:tabs>
          <w:tab w:val="left" w:pos="720"/>
          <w:tab w:val="left" w:pos="1440"/>
          <w:tab w:val="left" w:pos="2160"/>
          <w:tab w:val="left" w:pos="2880"/>
        </w:tabs>
        <w:ind w:left="1440"/>
        <w:jc w:val="both"/>
        <w:rPr>
          <w:rFonts w:ascii="Times New Roman" w:hAnsi="Times New Roman" w:cs="Times New Roman"/>
          <w:sz w:val="22"/>
          <w:szCs w:val="22"/>
        </w:rPr>
      </w:pPr>
      <w:r w:rsidRPr="3485421E">
        <w:rPr>
          <w:rFonts w:ascii="Times New Roman" w:hAnsi="Times New Roman" w:cs="Times New Roman"/>
          <w:sz w:val="22"/>
          <w:szCs w:val="22"/>
        </w:rPr>
        <w:t xml:space="preserve">Licensees may satisfy the requirement of </w:t>
      </w:r>
      <w:r w:rsidR="6617B9A4" w:rsidRPr="3485421E">
        <w:rPr>
          <w:rFonts w:ascii="Times New Roman" w:hAnsi="Times New Roman" w:cs="Times New Roman"/>
          <w:sz w:val="22"/>
          <w:szCs w:val="22"/>
        </w:rPr>
        <w:t>S</w:t>
      </w:r>
      <w:r w:rsidRPr="3485421E">
        <w:rPr>
          <w:rFonts w:ascii="Times New Roman" w:hAnsi="Times New Roman" w:cs="Times New Roman"/>
          <w:sz w:val="22"/>
          <w:szCs w:val="22"/>
        </w:rPr>
        <w:t>ection 3(2)(A) by completing activities</w:t>
      </w:r>
      <w:r w:rsidR="2585DCF2" w:rsidRPr="3485421E">
        <w:rPr>
          <w:rFonts w:ascii="Times New Roman" w:hAnsi="Times New Roman" w:cs="Times New Roman"/>
          <w:sz w:val="22"/>
          <w:szCs w:val="22"/>
        </w:rPr>
        <w:t xml:space="preserve"> sponsored or approved by the</w:t>
      </w:r>
      <w:r w:rsidRPr="3485421E">
        <w:rPr>
          <w:rFonts w:ascii="Times New Roman" w:hAnsi="Times New Roman" w:cs="Times New Roman"/>
          <w:sz w:val="22"/>
          <w:szCs w:val="22"/>
        </w:rPr>
        <w:t>:</w:t>
      </w:r>
    </w:p>
    <w:p w14:paraId="5D9D9C66" w14:textId="77777777" w:rsidR="00782CB9" w:rsidRPr="00D32ADF" w:rsidRDefault="00782CB9" w:rsidP="3485421E">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0285EEE4" w14:textId="6FE2074F" w:rsidR="00782CB9" w:rsidRPr="00D32ADF" w:rsidRDefault="00782CB9" w:rsidP="3485421E">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Maine Academy of Nutrition and Dietetics (MAND), its successor organization, or a comparable organization;</w:t>
      </w:r>
    </w:p>
    <w:p w14:paraId="672A61A4" w14:textId="77777777" w:rsidR="00782CB9" w:rsidRPr="00D32ADF" w:rsidRDefault="00782CB9" w:rsidP="3485421E">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5FF0AEFD" w14:textId="0A03A2AF" w:rsidR="00782CB9" w:rsidRPr="00D32ADF" w:rsidRDefault="00782CB9" w:rsidP="3485421E">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B.</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Commission on Dietetic Registration (CDR), its </w:t>
      </w:r>
      <w:r w:rsidRPr="00D32ADF">
        <w:rPr>
          <w:rFonts w:ascii="Times New Roman" w:hAnsi="Times New Roman" w:cs="Times New Roman"/>
          <w:sz w:val="22"/>
          <w:szCs w:val="22"/>
          <w:u w:val="single"/>
        </w:rPr>
        <w:tab/>
      </w:r>
      <w:r w:rsidR="55460704" w:rsidRPr="3485421E">
        <w:rPr>
          <w:rFonts w:ascii="Times New Roman" w:hAnsi="Times New Roman" w:cs="Times New Roman"/>
          <w:sz w:val="22"/>
          <w:szCs w:val="22"/>
        </w:rPr>
        <w:t>successor</w:t>
      </w:r>
      <w:r w:rsidR="07519E24" w:rsidRPr="3485421E">
        <w:rPr>
          <w:rFonts w:ascii="Times New Roman" w:hAnsi="Times New Roman" w:cs="Times New Roman"/>
          <w:sz w:val="22"/>
          <w:szCs w:val="22"/>
        </w:rPr>
        <w:t xml:space="preserve"> </w:t>
      </w:r>
      <w:r w:rsidR="55460704" w:rsidRPr="3485421E">
        <w:rPr>
          <w:rFonts w:ascii="Times New Roman" w:hAnsi="Times New Roman" w:cs="Times New Roman"/>
          <w:sz w:val="22"/>
          <w:szCs w:val="22"/>
        </w:rPr>
        <w:t>organization, or a comparable organization;</w:t>
      </w:r>
      <w:r w:rsidRPr="00D32ADF">
        <w:rPr>
          <w:rFonts w:ascii="Times New Roman" w:hAnsi="Times New Roman" w:cs="Times New Roman"/>
          <w:sz w:val="22"/>
          <w:szCs w:val="22"/>
        </w:rPr>
        <w:tab/>
      </w:r>
    </w:p>
    <w:p w14:paraId="2F760BA9" w14:textId="77777777" w:rsidR="00782CB9" w:rsidRPr="00D32ADF" w:rsidRDefault="00782CB9" w:rsidP="3485421E">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5EAA0D83" w14:textId="5F959D91" w:rsidR="00782CB9" w:rsidRPr="00D32ADF" w:rsidRDefault="00782CB9" w:rsidP="3485421E">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C.</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Accreditation Council for Education in Nut</w:t>
      </w:r>
      <w:r w:rsidR="0BC3C2BA" w:rsidRPr="3485421E">
        <w:rPr>
          <w:rFonts w:ascii="Times New Roman" w:hAnsi="Times New Roman" w:cs="Times New Roman"/>
          <w:sz w:val="22"/>
          <w:szCs w:val="22"/>
        </w:rPr>
        <w:t>r</w:t>
      </w:r>
      <w:r w:rsidR="55460704" w:rsidRPr="3485421E">
        <w:rPr>
          <w:rFonts w:ascii="Times New Roman" w:hAnsi="Times New Roman" w:cs="Times New Roman"/>
          <w:sz w:val="22"/>
          <w:szCs w:val="22"/>
        </w:rPr>
        <w:t xml:space="preserve">ition and Dietetics (ACEND), its successor organization, or a comparable </w:t>
      </w:r>
      <w:r w:rsidRPr="00D32ADF">
        <w:rPr>
          <w:rFonts w:ascii="Times New Roman" w:hAnsi="Times New Roman" w:cs="Times New Roman"/>
          <w:sz w:val="22"/>
          <w:szCs w:val="22"/>
          <w:u w:val="single"/>
        </w:rPr>
        <w:tab/>
      </w:r>
      <w:r w:rsidR="55460704" w:rsidRPr="3485421E">
        <w:rPr>
          <w:rFonts w:ascii="Times New Roman" w:hAnsi="Times New Roman" w:cs="Times New Roman"/>
          <w:sz w:val="22"/>
          <w:szCs w:val="22"/>
        </w:rPr>
        <w:t xml:space="preserve">organization; </w:t>
      </w:r>
    </w:p>
    <w:p w14:paraId="3CD5407E" w14:textId="77777777" w:rsidR="00782CB9" w:rsidRPr="00D32ADF" w:rsidRDefault="00782CB9" w:rsidP="3485421E">
      <w:pPr>
        <w:tabs>
          <w:tab w:val="left" w:pos="720"/>
          <w:tab w:val="left" w:pos="1440"/>
          <w:tab w:val="left" w:pos="2160"/>
          <w:tab w:val="left" w:pos="2880"/>
        </w:tabs>
        <w:jc w:val="both"/>
        <w:rPr>
          <w:rFonts w:ascii="Times New Roman" w:hAnsi="Times New Roman" w:cs="Times New Roman"/>
          <w:b/>
          <w:bCs/>
          <w:sz w:val="22"/>
          <w:szCs w:val="22"/>
        </w:rPr>
      </w:pPr>
    </w:p>
    <w:p w14:paraId="5C17FCCF" w14:textId="5569E91D" w:rsidR="00782CB9" w:rsidRPr="00D32ADF" w:rsidRDefault="00782CB9" w:rsidP="3485421E">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D. </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American Society for Parenteral and Enteral Nutrition (ASPEN), its successor organization, or comparable organization</w:t>
      </w:r>
      <w:r w:rsidR="700D2D60" w:rsidRPr="3485421E">
        <w:rPr>
          <w:rFonts w:ascii="Times New Roman" w:hAnsi="Times New Roman" w:cs="Times New Roman"/>
          <w:sz w:val="22"/>
          <w:szCs w:val="22"/>
        </w:rPr>
        <w:t>;</w:t>
      </w:r>
      <w:r w:rsidR="74BF7F6B" w:rsidRPr="3485421E">
        <w:rPr>
          <w:rFonts w:ascii="Times New Roman" w:hAnsi="Times New Roman" w:cs="Times New Roman"/>
          <w:sz w:val="22"/>
          <w:szCs w:val="22"/>
        </w:rPr>
        <w:t xml:space="preserve"> or</w:t>
      </w:r>
    </w:p>
    <w:p w14:paraId="1F4A85A4" w14:textId="77777777" w:rsidR="00782CB9" w:rsidRPr="00D32ADF" w:rsidRDefault="00782CB9" w:rsidP="3485421E">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08F5A266" w14:textId="40244734" w:rsidR="00782CB9" w:rsidRPr="00D32ADF" w:rsidRDefault="00782CB9" w:rsidP="3485421E">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E.</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Maine Nutrition Council (MNC), its successor organization, or comparable organization.</w:t>
      </w:r>
    </w:p>
    <w:p w14:paraId="5263D0E9" w14:textId="77777777" w:rsidR="00782CB9" w:rsidRPr="00D32ADF" w:rsidRDefault="00782CB9" w:rsidP="3485421E">
      <w:pPr>
        <w:keepNext/>
        <w:keepLines/>
        <w:tabs>
          <w:tab w:val="left" w:pos="720"/>
          <w:tab w:val="left" w:pos="1440"/>
          <w:tab w:val="left" w:pos="2160"/>
          <w:tab w:val="left" w:pos="2880"/>
        </w:tabs>
        <w:rPr>
          <w:rFonts w:ascii="Times New Roman" w:hAnsi="Times New Roman" w:cs="Times New Roman"/>
          <w:sz w:val="22"/>
          <w:szCs w:val="22"/>
        </w:rPr>
      </w:pPr>
    </w:p>
    <w:p w14:paraId="0B48A086" w14:textId="7C42F33E" w:rsidR="00AE3145" w:rsidRPr="00D32ADF" w:rsidRDefault="55460704" w:rsidP="3485421E">
      <w:pPr>
        <w:pStyle w:val="ListParagraph"/>
        <w:keepNext/>
        <w:keepLines/>
        <w:numPr>
          <w:ilvl w:val="0"/>
          <w:numId w:val="4"/>
        </w:numPr>
        <w:tabs>
          <w:tab w:val="left" w:pos="720"/>
          <w:tab w:val="left" w:pos="1440"/>
          <w:tab w:val="left" w:pos="2160"/>
          <w:tab w:val="left" w:pos="2880"/>
        </w:tabs>
        <w:ind w:hanging="1080"/>
        <w:jc w:val="both"/>
        <w:rPr>
          <w:rFonts w:ascii="Times New Roman" w:hAnsi="Times New Roman" w:cs="Times New Roman"/>
          <w:b/>
          <w:bCs/>
          <w:sz w:val="22"/>
          <w:szCs w:val="22"/>
        </w:rPr>
      </w:pPr>
      <w:r w:rsidRPr="3485421E">
        <w:rPr>
          <w:rFonts w:ascii="Times New Roman" w:hAnsi="Times New Roman" w:cs="Times New Roman"/>
          <w:b/>
          <w:bCs/>
          <w:sz w:val="22"/>
          <w:szCs w:val="22"/>
        </w:rPr>
        <w:t>Audit of Continuing Education</w:t>
      </w:r>
    </w:p>
    <w:p w14:paraId="24D19101" w14:textId="77777777" w:rsidR="00AE3145" w:rsidRPr="00D32ADF" w:rsidRDefault="00AE3145" w:rsidP="3485421E">
      <w:pPr>
        <w:keepNext/>
        <w:keepLines/>
        <w:tabs>
          <w:tab w:val="left" w:pos="720"/>
          <w:tab w:val="left" w:pos="1440"/>
          <w:tab w:val="left" w:pos="2160"/>
          <w:tab w:val="left" w:pos="2880"/>
        </w:tabs>
        <w:ind w:left="720"/>
        <w:jc w:val="both"/>
        <w:rPr>
          <w:rFonts w:ascii="Times New Roman" w:hAnsi="Times New Roman" w:cs="Times New Roman"/>
          <w:sz w:val="22"/>
          <w:szCs w:val="22"/>
        </w:rPr>
      </w:pPr>
    </w:p>
    <w:p w14:paraId="24715FDB" w14:textId="17C7BD95" w:rsidR="00782CB9" w:rsidRPr="00D32ADF" w:rsidRDefault="55460704" w:rsidP="3485421E">
      <w:pPr>
        <w:keepNext/>
        <w:keepLines/>
        <w:tabs>
          <w:tab w:val="left" w:pos="720"/>
          <w:tab w:val="left" w:pos="1440"/>
          <w:tab w:val="left" w:pos="2160"/>
          <w:tab w:val="left" w:pos="2880"/>
        </w:tabs>
        <w:ind w:left="1440"/>
        <w:jc w:val="both"/>
        <w:rPr>
          <w:rFonts w:ascii="Times New Roman" w:hAnsi="Times New Roman" w:cs="Times New Roman"/>
          <w:sz w:val="22"/>
          <w:szCs w:val="22"/>
        </w:rPr>
      </w:pPr>
      <w:r w:rsidRPr="3485421E">
        <w:rPr>
          <w:rFonts w:ascii="Times New Roman" w:hAnsi="Times New Roman" w:cs="Times New Roman"/>
          <w:sz w:val="22"/>
          <w:szCs w:val="22"/>
        </w:rPr>
        <w:t xml:space="preserve">A licensee’s certification of completion of continuing professional education is subject to audit and documentation retention requirements as set forth in </w:t>
      </w:r>
      <w:r w:rsidR="7E7F8614" w:rsidRPr="3485421E">
        <w:rPr>
          <w:rFonts w:ascii="Times New Roman" w:hAnsi="Times New Roman" w:cs="Times New Roman"/>
          <w:sz w:val="22"/>
          <w:szCs w:val="22"/>
        </w:rPr>
        <w:t>Chapter 13 of the</w:t>
      </w:r>
      <w:r w:rsidRPr="3485421E">
        <w:rPr>
          <w:rFonts w:ascii="Times New Roman" w:hAnsi="Times New Roman" w:cs="Times New Roman"/>
          <w:sz w:val="22"/>
          <w:szCs w:val="22"/>
        </w:rPr>
        <w:t xml:space="preserve"> rules of the </w:t>
      </w:r>
      <w:r w:rsidR="7E7F8614" w:rsidRPr="3485421E">
        <w:rPr>
          <w:rFonts w:ascii="Times New Roman" w:hAnsi="Times New Roman" w:cs="Times New Roman"/>
          <w:sz w:val="22"/>
          <w:szCs w:val="22"/>
        </w:rPr>
        <w:t xml:space="preserve">Office of Professional and Occupational Regulation. </w:t>
      </w:r>
    </w:p>
    <w:p w14:paraId="7308130D" w14:textId="77777777" w:rsidR="00782CB9" w:rsidRPr="00D32ADF" w:rsidRDefault="00782CB9" w:rsidP="3485421E">
      <w:pPr>
        <w:tabs>
          <w:tab w:val="left" w:pos="720"/>
          <w:tab w:val="left" w:pos="1440"/>
          <w:tab w:val="left" w:pos="2160"/>
          <w:tab w:val="left" w:pos="2880"/>
        </w:tabs>
        <w:rPr>
          <w:rFonts w:ascii="Times New Roman" w:hAnsi="Times New Roman" w:cs="Times New Roman"/>
          <w:b/>
          <w:bCs/>
          <w:sz w:val="22"/>
          <w:szCs w:val="22"/>
        </w:rPr>
      </w:pPr>
    </w:p>
    <w:p w14:paraId="226257BB" w14:textId="5342EBFE" w:rsidR="009757C4" w:rsidRPr="00D32ADF" w:rsidRDefault="55460704" w:rsidP="3485421E">
      <w:pPr>
        <w:pStyle w:val="ListParagraph"/>
        <w:numPr>
          <w:ilvl w:val="0"/>
          <w:numId w:val="4"/>
        </w:numPr>
        <w:tabs>
          <w:tab w:val="left" w:pos="720"/>
          <w:tab w:val="left" w:pos="1440"/>
          <w:tab w:val="left" w:pos="2160"/>
          <w:tab w:val="left" w:pos="2880"/>
        </w:tabs>
        <w:ind w:hanging="1080"/>
        <w:jc w:val="both"/>
        <w:rPr>
          <w:rFonts w:ascii="Times New Roman" w:hAnsi="Times New Roman" w:cs="Times New Roman"/>
          <w:sz w:val="22"/>
          <w:szCs w:val="22"/>
        </w:rPr>
      </w:pPr>
      <w:r w:rsidRPr="3485421E">
        <w:rPr>
          <w:rFonts w:ascii="Times New Roman" w:hAnsi="Times New Roman" w:cs="Times New Roman"/>
          <w:b/>
          <w:bCs/>
          <w:sz w:val="22"/>
          <w:szCs w:val="22"/>
        </w:rPr>
        <w:t>Failed Audit</w:t>
      </w:r>
      <w:r w:rsidR="328C77A1" w:rsidRPr="3485421E">
        <w:rPr>
          <w:rFonts w:ascii="Times New Roman" w:hAnsi="Times New Roman" w:cs="Times New Roman"/>
          <w:b/>
          <w:bCs/>
          <w:sz w:val="22"/>
          <w:szCs w:val="22"/>
        </w:rPr>
        <w:t xml:space="preserve"> and</w:t>
      </w:r>
      <w:r w:rsidRPr="3485421E">
        <w:rPr>
          <w:rFonts w:ascii="Times New Roman" w:hAnsi="Times New Roman" w:cs="Times New Roman"/>
          <w:b/>
          <w:bCs/>
          <w:sz w:val="22"/>
          <w:szCs w:val="22"/>
        </w:rPr>
        <w:t xml:space="preserve"> Disciplinary Action</w:t>
      </w:r>
      <w:r w:rsidRPr="3485421E">
        <w:rPr>
          <w:rFonts w:ascii="Times New Roman" w:hAnsi="Times New Roman" w:cs="Times New Roman"/>
          <w:sz w:val="22"/>
          <w:szCs w:val="22"/>
        </w:rPr>
        <w:t xml:space="preserve"> </w:t>
      </w:r>
      <w:r w:rsidR="637D446F" w:rsidRPr="3485421E">
        <w:rPr>
          <w:rFonts w:ascii="Times New Roman" w:hAnsi="Times New Roman" w:cs="Times New Roman"/>
          <w:sz w:val="22"/>
          <w:szCs w:val="22"/>
        </w:rPr>
        <w:t xml:space="preserve"> </w:t>
      </w:r>
    </w:p>
    <w:p w14:paraId="69E768A6" w14:textId="77777777" w:rsidR="004B42B6" w:rsidRPr="00D32ADF" w:rsidRDefault="004B42B6" w:rsidP="3485421E">
      <w:pPr>
        <w:tabs>
          <w:tab w:val="left" w:pos="720"/>
          <w:tab w:val="left" w:pos="1440"/>
          <w:tab w:val="left" w:pos="2160"/>
          <w:tab w:val="left" w:pos="2880"/>
        </w:tabs>
        <w:ind w:left="720"/>
        <w:jc w:val="both"/>
        <w:rPr>
          <w:rFonts w:ascii="Times New Roman" w:hAnsi="Times New Roman" w:cs="Times New Roman"/>
          <w:sz w:val="22"/>
          <w:szCs w:val="22"/>
        </w:rPr>
      </w:pPr>
    </w:p>
    <w:p w14:paraId="1583D66F" w14:textId="77777777" w:rsidR="00654E15" w:rsidRPr="00D32ADF" w:rsidRDefault="55460704" w:rsidP="3485421E">
      <w:pPr>
        <w:tabs>
          <w:tab w:val="left" w:pos="720"/>
          <w:tab w:val="left" w:pos="1440"/>
          <w:tab w:val="left" w:pos="2160"/>
          <w:tab w:val="left" w:pos="2880"/>
        </w:tabs>
        <w:ind w:left="1440"/>
        <w:jc w:val="both"/>
        <w:rPr>
          <w:rFonts w:ascii="Times New Roman" w:hAnsi="Times New Roman" w:cs="Times New Roman"/>
          <w:b/>
          <w:bCs/>
          <w:sz w:val="22"/>
          <w:szCs w:val="22"/>
        </w:rPr>
      </w:pPr>
      <w:r w:rsidRPr="3485421E">
        <w:rPr>
          <w:rFonts w:ascii="Times New Roman" w:hAnsi="Times New Roman" w:cs="Times New Roman"/>
          <w:sz w:val="22"/>
          <w:szCs w:val="22"/>
        </w:rPr>
        <w:t>If a continuing education audit shows that the licensee did not fulfill the requirements of this chapter then the licensee shall be notified of the failed audit. A failed audit may result in further investigation and may result in disciplinary action.</w:t>
      </w:r>
    </w:p>
    <w:p w14:paraId="35AFD197" w14:textId="77777777" w:rsidR="00654E15" w:rsidRPr="00D32ADF" w:rsidRDefault="00654E15" w:rsidP="3485421E">
      <w:pPr>
        <w:tabs>
          <w:tab w:val="left" w:pos="720"/>
          <w:tab w:val="left" w:pos="1440"/>
          <w:tab w:val="left" w:pos="2160"/>
          <w:tab w:val="left" w:pos="2880"/>
        </w:tabs>
        <w:jc w:val="both"/>
        <w:rPr>
          <w:rFonts w:ascii="Times New Roman" w:hAnsi="Times New Roman" w:cs="Times New Roman"/>
          <w:b/>
          <w:bCs/>
          <w:sz w:val="22"/>
          <w:szCs w:val="22"/>
        </w:rPr>
      </w:pPr>
    </w:p>
    <w:p w14:paraId="72CE91E4" w14:textId="79BFBC4E" w:rsidR="00B42A69" w:rsidRPr="00D32ADF" w:rsidRDefault="55460704" w:rsidP="3485421E">
      <w:pPr>
        <w:pStyle w:val="ListParagraph"/>
        <w:numPr>
          <w:ilvl w:val="0"/>
          <w:numId w:val="4"/>
        </w:numPr>
        <w:tabs>
          <w:tab w:val="left" w:pos="720"/>
          <w:tab w:val="left" w:pos="1440"/>
          <w:tab w:val="left" w:pos="2160"/>
          <w:tab w:val="left" w:pos="2880"/>
        </w:tabs>
        <w:ind w:hanging="1080"/>
        <w:jc w:val="both"/>
        <w:rPr>
          <w:rFonts w:ascii="Times New Roman" w:hAnsi="Times New Roman" w:cs="Times New Roman"/>
          <w:b/>
          <w:bCs/>
          <w:sz w:val="22"/>
          <w:szCs w:val="22"/>
        </w:rPr>
      </w:pPr>
      <w:r w:rsidRPr="3485421E">
        <w:rPr>
          <w:rFonts w:ascii="Times New Roman" w:hAnsi="Times New Roman" w:cs="Times New Roman"/>
          <w:b/>
          <w:bCs/>
          <w:sz w:val="22"/>
          <w:szCs w:val="22"/>
        </w:rPr>
        <w:t>Deferments, First Renewal, In</w:t>
      </w:r>
      <w:r w:rsidR="0BC3C2BA" w:rsidRPr="3485421E">
        <w:rPr>
          <w:rFonts w:ascii="Times New Roman" w:hAnsi="Times New Roman" w:cs="Times New Roman"/>
          <w:b/>
          <w:bCs/>
          <w:sz w:val="22"/>
          <w:szCs w:val="22"/>
        </w:rPr>
        <w:t>ac</w:t>
      </w:r>
      <w:r w:rsidRPr="3485421E">
        <w:rPr>
          <w:rFonts w:ascii="Times New Roman" w:hAnsi="Times New Roman" w:cs="Times New Roman"/>
          <w:b/>
          <w:bCs/>
          <w:sz w:val="22"/>
          <w:szCs w:val="22"/>
        </w:rPr>
        <w:t xml:space="preserve">tive Status </w:t>
      </w:r>
    </w:p>
    <w:p w14:paraId="044FB823" w14:textId="77777777" w:rsidR="00B42A69" w:rsidRPr="00D32ADF" w:rsidRDefault="00B42A69" w:rsidP="3485421E">
      <w:pPr>
        <w:pStyle w:val="ListParagraph"/>
        <w:tabs>
          <w:tab w:val="left" w:pos="720"/>
          <w:tab w:val="left" w:pos="1440"/>
          <w:tab w:val="left" w:pos="2160"/>
          <w:tab w:val="left" w:pos="2880"/>
        </w:tabs>
        <w:ind w:left="1800"/>
        <w:jc w:val="both"/>
        <w:rPr>
          <w:rFonts w:ascii="Times New Roman" w:hAnsi="Times New Roman" w:cs="Times New Roman"/>
          <w:b/>
          <w:bCs/>
          <w:sz w:val="22"/>
          <w:szCs w:val="22"/>
        </w:rPr>
      </w:pPr>
    </w:p>
    <w:p w14:paraId="5A56BEE9" w14:textId="2237E8DB" w:rsidR="00F25B65" w:rsidRPr="00D32ADF" w:rsidRDefault="55460704" w:rsidP="3485421E">
      <w:pPr>
        <w:pStyle w:val="ListParagraph"/>
        <w:numPr>
          <w:ilvl w:val="0"/>
          <w:numId w:val="7"/>
        </w:numPr>
        <w:tabs>
          <w:tab w:val="left" w:pos="720"/>
          <w:tab w:val="left" w:pos="144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b/>
          <w:bCs/>
          <w:sz w:val="22"/>
          <w:szCs w:val="22"/>
        </w:rPr>
        <w:t xml:space="preserve">Deferment. </w:t>
      </w:r>
      <w:r w:rsidRPr="3485421E">
        <w:rPr>
          <w:rFonts w:ascii="Times New Roman" w:hAnsi="Times New Roman" w:cs="Times New Roman"/>
          <w:sz w:val="22"/>
          <w:szCs w:val="22"/>
        </w:rPr>
        <w:t>Upon receipt</w:t>
      </w:r>
      <w:r w:rsidRPr="3485421E">
        <w:rPr>
          <w:rFonts w:ascii="Times New Roman" w:hAnsi="Times New Roman" w:cs="Times New Roman"/>
          <w:b/>
          <w:bCs/>
          <w:sz w:val="22"/>
          <w:szCs w:val="22"/>
        </w:rPr>
        <w:t xml:space="preserve"> </w:t>
      </w:r>
      <w:r w:rsidRPr="3485421E">
        <w:rPr>
          <w:rFonts w:ascii="Times New Roman" w:hAnsi="Times New Roman" w:cs="Times New Roman"/>
          <w:sz w:val="22"/>
          <w:szCs w:val="22"/>
        </w:rPr>
        <w:t>of a written request prior to license expiration, the</w:t>
      </w:r>
      <w:r w:rsidR="2094ED25" w:rsidRPr="3485421E">
        <w:rPr>
          <w:rFonts w:ascii="Times New Roman" w:hAnsi="Times New Roman" w:cs="Times New Roman"/>
          <w:sz w:val="22"/>
          <w:szCs w:val="22"/>
        </w:rPr>
        <w:t xml:space="preserve"> b</w:t>
      </w:r>
      <w:r w:rsidRPr="3485421E">
        <w:rPr>
          <w:rFonts w:ascii="Times New Roman" w:hAnsi="Times New Roman" w:cs="Times New Roman"/>
          <w:sz w:val="22"/>
          <w:szCs w:val="22"/>
        </w:rPr>
        <w:t xml:space="preserve">oard may, in its discretion, grant a continuing education deferment to an individual licensed by the </w:t>
      </w:r>
      <w:r w:rsidR="249C6122" w:rsidRPr="3485421E">
        <w:rPr>
          <w:rFonts w:ascii="Times New Roman" w:hAnsi="Times New Roman" w:cs="Times New Roman"/>
          <w:sz w:val="22"/>
          <w:szCs w:val="22"/>
        </w:rPr>
        <w:t>b</w:t>
      </w:r>
      <w:r w:rsidRPr="3485421E">
        <w:rPr>
          <w:rFonts w:ascii="Times New Roman" w:hAnsi="Times New Roman" w:cs="Times New Roman"/>
          <w:sz w:val="22"/>
          <w:szCs w:val="22"/>
        </w:rPr>
        <w:t xml:space="preserve">oard who, because of prolonged illness or other extenuating circumstances, has been unable to meet the </w:t>
      </w:r>
      <w:r w:rsidR="7C198CB5" w:rsidRPr="3485421E">
        <w:rPr>
          <w:rFonts w:ascii="Times New Roman" w:hAnsi="Times New Roman" w:cs="Times New Roman"/>
          <w:sz w:val="22"/>
          <w:szCs w:val="22"/>
        </w:rPr>
        <w:t xml:space="preserve">continuing </w:t>
      </w:r>
      <w:r w:rsidRPr="3485421E">
        <w:rPr>
          <w:rFonts w:ascii="Times New Roman" w:hAnsi="Times New Roman" w:cs="Times New Roman"/>
          <w:sz w:val="22"/>
          <w:szCs w:val="22"/>
        </w:rPr>
        <w:t xml:space="preserve">education requirements under this chapter. </w:t>
      </w:r>
    </w:p>
    <w:p w14:paraId="4CF5A897" w14:textId="77777777" w:rsidR="00F25B65" w:rsidRPr="00D32ADF" w:rsidRDefault="00F25B65" w:rsidP="3485421E">
      <w:pPr>
        <w:pStyle w:val="ListParagraph"/>
        <w:keepNext/>
        <w:keepLines/>
        <w:tabs>
          <w:tab w:val="left" w:pos="720"/>
          <w:tab w:val="left" w:pos="2160"/>
          <w:tab w:val="left" w:pos="2880"/>
        </w:tabs>
        <w:ind w:left="2160"/>
        <w:jc w:val="both"/>
        <w:rPr>
          <w:rFonts w:ascii="Times New Roman" w:hAnsi="Times New Roman" w:cs="Times New Roman"/>
          <w:sz w:val="22"/>
          <w:szCs w:val="22"/>
        </w:rPr>
      </w:pPr>
    </w:p>
    <w:p w14:paraId="17EF1C36" w14:textId="75CAEBF7" w:rsidR="00782CB9" w:rsidRPr="00D32ADF" w:rsidRDefault="55460704" w:rsidP="00504C68">
      <w:pPr>
        <w:pStyle w:val="ListParagraph"/>
        <w:keepNext/>
        <w:keepLines/>
        <w:numPr>
          <w:ilvl w:val="0"/>
          <w:numId w:val="7"/>
        </w:numPr>
        <w:tabs>
          <w:tab w:val="left" w:pos="720"/>
          <w:tab w:val="left" w:pos="2160"/>
          <w:tab w:val="left" w:pos="2880"/>
        </w:tabs>
        <w:ind w:left="2160" w:hanging="720"/>
        <w:jc w:val="both"/>
        <w:rPr>
          <w:rFonts w:ascii="Times New Roman" w:hAnsi="Times New Roman" w:cs="Times New Roman"/>
          <w:sz w:val="22"/>
          <w:szCs w:val="22"/>
        </w:rPr>
      </w:pPr>
      <w:r w:rsidRPr="3485421E">
        <w:rPr>
          <w:rFonts w:ascii="Times New Roman" w:hAnsi="Times New Roman" w:cs="Times New Roman"/>
          <w:b/>
          <w:bCs/>
          <w:sz w:val="22"/>
          <w:szCs w:val="22"/>
        </w:rPr>
        <w:t>First Renewal; General Requirements</w:t>
      </w:r>
      <w:r w:rsidRPr="3485421E">
        <w:rPr>
          <w:rFonts w:ascii="Times New Roman" w:hAnsi="Times New Roman" w:cs="Times New Roman"/>
          <w:sz w:val="22"/>
          <w:szCs w:val="22"/>
        </w:rPr>
        <w:t xml:space="preserve">. Licensees who renew for the first time must complete one half of the required continuing education credit hours as outlined in this chapter. </w:t>
      </w:r>
    </w:p>
    <w:p w14:paraId="4B1A0B40"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412E629A" w14:textId="0EAA7D2C" w:rsidR="00782CB9" w:rsidRPr="00D32ADF" w:rsidRDefault="00782CB9" w:rsidP="00504C68">
      <w:pPr>
        <w:keepNext/>
        <w:keepLines/>
        <w:tabs>
          <w:tab w:val="left" w:pos="720"/>
          <w:tab w:val="left" w:pos="1440"/>
          <w:tab w:val="left" w:pos="2160"/>
          <w:tab w:val="left" w:pos="2880"/>
        </w:tabs>
        <w:ind w:left="2160" w:hanging="216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C.</w:t>
      </w:r>
      <w:r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Active to Inactive Status.</w:t>
      </w:r>
      <w:r w:rsidR="55460704" w:rsidRPr="3485421E">
        <w:rPr>
          <w:rFonts w:ascii="Times New Roman" w:hAnsi="Times New Roman" w:cs="Times New Roman"/>
          <w:sz w:val="22"/>
          <w:szCs w:val="22"/>
        </w:rPr>
        <w:t xml:space="preserve"> To place an active license on inactive status, the</w:t>
      </w:r>
      <w:r w:rsidR="4FA8EE72" w:rsidRPr="3485421E">
        <w:rPr>
          <w:rFonts w:ascii="Times New Roman" w:hAnsi="Times New Roman" w:cs="Times New Roman"/>
          <w:sz w:val="22"/>
          <w:szCs w:val="22"/>
        </w:rPr>
        <w:t xml:space="preserve"> </w:t>
      </w:r>
      <w:r w:rsidR="55460704" w:rsidRPr="3485421E">
        <w:rPr>
          <w:rFonts w:ascii="Times New Roman" w:hAnsi="Times New Roman" w:cs="Times New Roman"/>
          <w:sz w:val="22"/>
          <w:szCs w:val="22"/>
        </w:rPr>
        <w:t xml:space="preserve">licensee must submit a written request to the </w:t>
      </w:r>
      <w:r w:rsidR="40B974B4" w:rsidRPr="3485421E">
        <w:rPr>
          <w:rFonts w:ascii="Times New Roman" w:hAnsi="Times New Roman" w:cs="Times New Roman"/>
          <w:sz w:val="22"/>
          <w:szCs w:val="22"/>
        </w:rPr>
        <w:t>b</w:t>
      </w:r>
      <w:r w:rsidR="55460704" w:rsidRPr="3485421E">
        <w:rPr>
          <w:rFonts w:ascii="Times New Roman" w:hAnsi="Times New Roman" w:cs="Times New Roman"/>
          <w:sz w:val="22"/>
          <w:szCs w:val="22"/>
        </w:rPr>
        <w:t>oard attesting that services will not be rendered during the remainder of the license term.</w:t>
      </w:r>
    </w:p>
    <w:p w14:paraId="2B898B4F"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5F5CD500" w14:textId="77777777" w:rsidR="003B1B0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Licensees with an inactive license status are required to renew their licenses to</w:t>
      </w:r>
    </w:p>
    <w:p w14:paraId="56B2159D" w14:textId="4C46C808" w:rsidR="00782CB9" w:rsidRPr="00D32ADF" w:rsidRDefault="003B1B0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maintain inactive license status</w:t>
      </w:r>
      <w:r w:rsidR="4FA8EE72" w:rsidRPr="3485421E">
        <w:rPr>
          <w:rFonts w:ascii="Times New Roman" w:hAnsi="Times New Roman" w:cs="Times New Roman"/>
          <w:sz w:val="22"/>
          <w:szCs w:val="22"/>
        </w:rPr>
        <w:t>,</w:t>
      </w:r>
      <w:r w:rsidR="55460704" w:rsidRPr="3485421E">
        <w:rPr>
          <w:rFonts w:ascii="Times New Roman" w:hAnsi="Times New Roman" w:cs="Times New Roman"/>
          <w:sz w:val="22"/>
          <w:szCs w:val="22"/>
        </w:rPr>
        <w:t xml:space="preserve"> but are not required to complete continuing </w:t>
      </w:r>
      <w:r w:rsidR="00782CB9" w:rsidRPr="00D32ADF">
        <w:rPr>
          <w:rFonts w:ascii="Times New Roman" w:hAnsi="Times New Roman" w:cs="Times New Roman"/>
          <w:sz w:val="22"/>
          <w:szCs w:val="22"/>
        </w:rPr>
        <w:tab/>
      </w:r>
      <w:r w:rsidR="00782CB9" w:rsidRPr="00D32ADF">
        <w:rPr>
          <w:rFonts w:ascii="Times New Roman" w:hAnsi="Times New Roman" w:cs="Times New Roman"/>
          <w:sz w:val="22"/>
          <w:szCs w:val="22"/>
        </w:rPr>
        <w:tab/>
      </w:r>
      <w:r w:rsidR="00782CB9" w:rsidRPr="00D32ADF">
        <w:rPr>
          <w:rFonts w:ascii="Times New Roman" w:hAnsi="Times New Roman" w:cs="Times New Roman"/>
          <w:sz w:val="22"/>
          <w:szCs w:val="22"/>
        </w:rPr>
        <w:tab/>
      </w:r>
      <w:r w:rsidR="55460704" w:rsidRPr="3485421E">
        <w:rPr>
          <w:rFonts w:ascii="Times New Roman" w:hAnsi="Times New Roman" w:cs="Times New Roman"/>
          <w:sz w:val="22"/>
          <w:szCs w:val="22"/>
        </w:rPr>
        <w:t>education credit hours under this chapter.</w:t>
      </w:r>
    </w:p>
    <w:p w14:paraId="08F3FF8E"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139FA40F" w14:textId="4C16F8C9"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55460704" w:rsidRPr="3485421E">
        <w:rPr>
          <w:rFonts w:ascii="Times New Roman" w:hAnsi="Times New Roman" w:cs="Times New Roman"/>
          <w:sz w:val="22"/>
          <w:szCs w:val="22"/>
        </w:rPr>
        <w:t>7.</w:t>
      </w:r>
      <w:r w:rsidRPr="00D32ADF">
        <w:rPr>
          <w:rFonts w:ascii="Times New Roman" w:hAnsi="Times New Roman" w:cs="Times New Roman"/>
          <w:sz w:val="22"/>
          <w:szCs w:val="22"/>
        </w:rPr>
        <w:tab/>
      </w:r>
      <w:r w:rsidR="55460704" w:rsidRPr="3485421E">
        <w:rPr>
          <w:rFonts w:ascii="Times New Roman" w:hAnsi="Times New Roman" w:cs="Times New Roman"/>
          <w:b/>
          <w:bCs/>
          <w:sz w:val="22"/>
          <w:szCs w:val="22"/>
        </w:rPr>
        <w:t>Inactive to Active License Status</w:t>
      </w:r>
      <w:r w:rsidR="55460704" w:rsidRPr="3485421E">
        <w:rPr>
          <w:rFonts w:ascii="Times New Roman" w:hAnsi="Times New Roman" w:cs="Times New Roman"/>
          <w:sz w:val="22"/>
          <w:szCs w:val="22"/>
        </w:rPr>
        <w:t xml:space="preserve">. To place an inactive license on active status, the </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licensee must submit a written request to the Board, documenting evidence of completing </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continuing education credit hours as outlined below.</w:t>
      </w:r>
    </w:p>
    <w:p w14:paraId="6E659323"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49CA8EB0" w14:textId="32B9199A"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A.</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Licensees who hold an inactive license status for a </w:t>
      </w:r>
      <w:r w:rsidR="3ED82FD4" w:rsidRPr="3485421E">
        <w:rPr>
          <w:rFonts w:ascii="Times New Roman" w:hAnsi="Times New Roman" w:cs="Times New Roman"/>
          <w:sz w:val="22"/>
          <w:szCs w:val="22"/>
        </w:rPr>
        <w:t>period of</w:t>
      </w:r>
      <w:r w:rsidR="55460704" w:rsidRPr="3485421E">
        <w:rPr>
          <w:rFonts w:ascii="Times New Roman" w:hAnsi="Times New Roman" w:cs="Times New Roman"/>
          <w:sz w:val="22"/>
          <w:szCs w:val="22"/>
        </w:rPr>
        <w:t xml:space="preserve"> </w:t>
      </w:r>
      <w:r w:rsidR="0BC3C2BA" w:rsidRPr="3485421E">
        <w:rPr>
          <w:rFonts w:ascii="Times New Roman" w:hAnsi="Times New Roman" w:cs="Times New Roman"/>
          <w:sz w:val="22"/>
          <w:szCs w:val="22"/>
        </w:rPr>
        <w:t>less</w:t>
      </w:r>
      <w:r w:rsidR="55460704" w:rsidRPr="3485421E">
        <w:rPr>
          <w:rFonts w:ascii="Times New Roman" w:hAnsi="Times New Roman" w:cs="Times New Roman"/>
          <w:sz w:val="22"/>
          <w:szCs w:val="22"/>
        </w:rPr>
        <w:t xml:space="preserve"> than </w:t>
      </w:r>
      <w:r w:rsidR="700D2D60" w:rsidRPr="3485421E">
        <w:rPr>
          <w:rFonts w:ascii="Times New Roman" w:hAnsi="Times New Roman" w:cs="Times New Roman"/>
          <w:sz w:val="22"/>
          <w:szCs w:val="22"/>
        </w:rPr>
        <w:t>two</w:t>
      </w:r>
      <w:r w:rsidR="5955652F" w:rsidRPr="3485421E">
        <w:rPr>
          <w:rFonts w:ascii="Times New Roman" w:hAnsi="Times New Roman" w:cs="Times New Roman"/>
          <w:sz w:val="22"/>
          <w:szCs w:val="22"/>
        </w:rPr>
        <w:t xml:space="preserve"> (2)</w:t>
      </w:r>
      <w:r w:rsidR="55460704" w:rsidRPr="3485421E">
        <w:rPr>
          <w:rFonts w:ascii="Times New Roman" w:hAnsi="Times New Roman" w:cs="Times New Roman"/>
          <w:sz w:val="22"/>
          <w:szCs w:val="22"/>
        </w:rPr>
        <w:t xml:space="preserve"> years </w:t>
      </w: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must meet the continuing education requirements as outlined in Section 3(6)(B)</w:t>
      </w:r>
      <w:r w:rsidR="55460704" w:rsidRPr="00D32ADF">
        <w:rPr>
          <w:rFonts w:ascii="Times New Roman" w:hAnsi="Times New Roman" w:cs="Times New Roman"/>
          <w:sz w:val="22"/>
          <w:szCs w:val="22"/>
        </w:rPr>
        <w:t xml:space="preserve"> </w:t>
      </w:r>
      <w:r w:rsidRPr="00D32ADF">
        <w:rPr>
          <w:rFonts w:ascii="Times New Roman" w:hAnsi="Times New Roman" w:cs="Times New Roman"/>
          <w:sz w:val="22"/>
          <w:szCs w:val="22"/>
        </w:rPr>
        <w:tab/>
      </w: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for the license they hold under this chapter, to return the license to active status.</w:t>
      </w:r>
    </w:p>
    <w:p w14:paraId="7AD0E235"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3A82F727" w14:textId="5D31A3C6"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B.</w:t>
      </w:r>
      <w:r w:rsidRPr="00D32ADF">
        <w:rPr>
          <w:rFonts w:ascii="Times New Roman" w:hAnsi="Times New Roman" w:cs="Times New Roman"/>
          <w:sz w:val="22"/>
          <w:szCs w:val="22"/>
        </w:rPr>
        <w:tab/>
      </w:r>
      <w:r w:rsidR="55460704" w:rsidRPr="3485421E">
        <w:rPr>
          <w:rFonts w:ascii="Times New Roman" w:hAnsi="Times New Roman" w:cs="Times New Roman"/>
          <w:sz w:val="22"/>
          <w:szCs w:val="22"/>
        </w:rPr>
        <w:t xml:space="preserve">Licensees who hold an inactive license status for a period exceeding </w:t>
      </w:r>
      <w:r w:rsidR="700D2D60" w:rsidRPr="3485421E">
        <w:rPr>
          <w:rFonts w:ascii="Times New Roman" w:hAnsi="Times New Roman" w:cs="Times New Roman"/>
          <w:sz w:val="22"/>
          <w:szCs w:val="22"/>
        </w:rPr>
        <w:t>two</w:t>
      </w:r>
      <w:r w:rsidR="43E00006" w:rsidRPr="3485421E">
        <w:rPr>
          <w:rFonts w:ascii="Times New Roman" w:hAnsi="Times New Roman" w:cs="Times New Roman"/>
          <w:sz w:val="22"/>
          <w:szCs w:val="22"/>
        </w:rPr>
        <w:t xml:space="preserve"> (2)</w:t>
      </w:r>
      <w:r w:rsidR="55460704" w:rsidRPr="3485421E">
        <w:rPr>
          <w:rFonts w:ascii="Times New Roman" w:hAnsi="Times New Roman" w:cs="Times New Roman"/>
          <w:sz w:val="22"/>
          <w:szCs w:val="22"/>
        </w:rPr>
        <w:t xml:space="preserve"> years </w:t>
      </w:r>
      <w:r w:rsidRPr="00D32ADF">
        <w:rPr>
          <w:rFonts w:ascii="Times New Roman" w:hAnsi="Times New Roman" w:cs="Times New Roman"/>
          <w:sz w:val="22"/>
          <w:szCs w:val="22"/>
        </w:rPr>
        <w:tab/>
      </w:r>
      <w:r w:rsidRPr="00D32ADF">
        <w:rPr>
          <w:rFonts w:ascii="Times New Roman" w:hAnsi="Times New Roman" w:cs="Times New Roman"/>
          <w:sz w:val="22"/>
          <w:szCs w:val="22"/>
        </w:rPr>
        <w:tab/>
      </w:r>
      <w:r w:rsidR="55460704" w:rsidRPr="3485421E">
        <w:rPr>
          <w:rFonts w:ascii="Times New Roman" w:hAnsi="Times New Roman" w:cs="Times New Roman"/>
          <w:sz w:val="22"/>
          <w:szCs w:val="22"/>
        </w:rPr>
        <w:t>must meet the continuing education requirements as outlined in Section 3(1)</w:t>
      </w:r>
      <w:r w:rsidRPr="00D32ADF">
        <w:rPr>
          <w:rFonts w:ascii="Times New Roman" w:hAnsi="Times New Roman" w:cs="Times New Roman"/>
          <w:sz w:val="22"/>
          <w:szCs w:val="22"/>
        </w:rPr>
        <w:tab/>
      </w:r>
      <w:r w:rsidRPr="00D32ADF">
        <w:rPr>
          <w:rFonts w:ascii="Times New Roman" w:hAnsi="Times New Roman" w:cs="Times New Roman"/>
          <w:sz w:val="22"/>
          <w:szCs w:val="22"/>
        </w:rPr>
        <w:tab/>
      </w:r>
      <w:r w:rsidR="005E30AB">
        <w:rPr>
          <w:rFonts w:ascii="Times New Roman" w:hAnsi="Times New Roman" w:cs="Times New Roman"/>
          <w:sz w:val="22"/>
          <w:szCs w:val="22"/>
        </w:rPr>
        <w:tab/>
      </w:r>
      <w:r w:rsidR="55460704" w:rsidRPr="3485421E">
        <w:rPr>
          <w:rFonts w:ascii="Times New Roman" w:hAnsi="Times New Roman" w:cs="Times New Roman"/>
          <w:sz w:val="22"/>
          <w:szCs w:val="22"/>
        </w:rPr>
        <w:t>for the license they hold under this chapter, to return the license to active status.</w:t>
      </w:r>
    </w:p>
    <w:p w14:paraId="4D505C39" w14:textId="77777777" w:rsidR="00782CB9"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p>
    <w:p w14:paraId="2474F320" w14:textId="77777777" w:rsidR="00350884" w:rsidRPr="00D32ADF" w:rsidRDefault="1147311F" w:rsidP="00504C68">
      <w:pPr>
        <w:keepNext/>
        <w:keepLines/>
        <w:tabs>
          <w:tab w:val="left" w:pos="720"/>
          <w:tab w:val="left" w:pos="1440"/>
          <w:tab w:val="left" w:pos="2160"/>
          <w:tab w:val="left" w:pos="2880"/>
        </w:tabs>
        <w:ind w:left="720" w:hanging="720"/>
        <w:jc w:val="both"/>
        <w:rPr>
          <w:rFonts w:ascii="Times New Roman" w:hAnsi="Times New Roman" w:cs="Times New Roman"/>
          <w:b/>
          <w:bCs/>
          <w:sz w:val="22"/>
          <w:szCs w:val="22"/>
        </w:rPr>
      </w:pPr>
      <w:r w:rsidRPr="3485421E">
        <w:rPr>
          <w:rFonts w:ascii="Times New Roman" w:hAnsi="Times New Roman" w:cs="Times New Roman"/>
          <w:b/>
          <w:bCs/>
          <w:sz w:val="22"/>
          <w:szCs w:val="22"/>
        </w:rPr>
        <w:t>SECTION 4</w:t>
      </w:r>
      <w:r w:rsidR="55460704" w:rsidRPr="3485421E">
        <w:rPr>
          <w:rFonts w:ascii="Times New Roman" w:hAnsi="Times New Roman" w:cs="Times New Roman"/>
          <w:sz w:val="22"/>
          <w:szCs w:val="22"/>
        </w:rPr>
        <w:t>.</w:t>
      </w:r>
      <w:r w:rsidR="4F5A74F7" w:rsidRPr="3485421E">
        <w:rPr>
          <w:rFonts w:ascii="Times New Roman" w:hAnsi="Times New Roman" w:cs="Times New Roman"/>
          <w:sz w:val="22"/>
          <w:szCs w:val="22"/>
        </w:rPr>
        <w:t xml:space="preserve"> </w:t>
      </w:r>
      <w:r w:rsidR="005A20FE">
        <w:tab/>
      </w:r>
      <w:r w:rsidR="4F5A74F7" w:rsidRPr="3485421E">
        <w:rPr>
          <w:rFonts w:ascii="Times New Roman" w:hAnsi="Times New Roman" w:cs="Times New Roman"/>
          <w:b/>
          <w:bCs/>
          <w:sz w:val="22"/>
          <w:szCs w:val="22"/>
        </w:rPr>
        <w:t>Reinstatement</w:t>
      </w:r>
    </w:p>
    <w:p w14:paraId="0DC6E769" w14:textId="77777777" w:rsidR="00350884" w:rsidRPr="00D32ADF" w:rsidRDefault="00350884" w:rsidP="00504C68">
      <w:pPr>
        <w:keepNext/>
        <w:keepLines/>
        <w:tabs>
          <w:tab w:val="left" w:pos="720"/>
          <w:tab w:val="left" w:pos="1440"/>
          <w:tab w:val="left" w:pos="2160"/>
          <w:tab w:val="left" w:pos="2880"/>
        </w:tabs>
        <w:ind w:left="720" w:hanging="720"/>
        <w:jc w:val="both"/>
        <w:rPr>
          <w:rFonts w:ascii="Times New Roman" w:hAnsi="Times New Roman" w:cs="Times New Roman"/>
          <w:b/>
          <w:bCs/>
          <w:sz w:val="22"/>
          <w:szCs w:val="22"/>
        </w:rPr>
      </w:pPr>
    </w:p>
    <w:p w14:paraId="6DB5E025" w14:textId="1F1DA9F1" w:rsidR="00A32B8A" w:rsidRPr="00D32ADF" w:rsidRDefault="00782CB9" w:rsidP="00504C68">
      <w:pPr>
        <w:keepNext/>
        <w:keepLines/>
        <w:tabs>
          <w:tab w:val="left" w:pos="720"/>
          <w:tab w:val="left" w:pos="1440"/>
          <w:tab w:val="left" w:pos="2160"/>
          <w:tab w:val="left" w:pos="2880"/>
        </w:tabs>
        <w:ind w:left="720" w:hanging="720"/>
        <w:jc w:val="both"/>
        <w:rPr>
          <w:rFonts w:ascii="Times New Roman" w:hAnsi="Times New Roman" w:cs="Times New Roman"/>
          <w:sz w:val="22"/>
          <w:szCs w:val="22"/>
        </w:rPr>
      </w:pPr>
      <w:r w:rsidRPr="00D32ADF">
        <w:rPr>
          <w:rFonts w:ascii="Times New Roman" w:hAnsi="Times New Roman" w:cs="Times New Roman"/>
          <w:sz w:val="22"/>
          <w:szCs w:val="22"/>
        </w:rPr>
        <w:tab/>
      </w:r>
      <w:r w:rsidR="41F3BCAC" w:rsidRPr="3485421E">
        <w:rPr>
          <w:rFonts w:ascii="Times New Roman" w:hAnsi="Times New Roman" w:cs="Times New Roman"/>
          <w:sz w:val="22"/>
          <w:szCs w:val="22"/>
        </w:rPr>
        <w:t>Any person who submits an application for r</w:t>
      </w:r>
      <w:r w:rsidR="55460704" w:rsidRPr="3485421E">
        <w:rPr>
          <w:rFonts w:ascii="Times New Roman" w:hAnsi="Times New Roman" w:cs="Times New Roman"/>
          <w:sz w:val="22"/>
          <w:szCs w:val="22"/>
        </w:rPr>
        <w:t xml:space="preserve">enewal </w:t>
      </w:r>
      <w:r w:rsidR="41F3BCAC" w:rsidRPr="3485421E">
        <w:rPr>
          <w:rFonts w:ascii="Times New Roman" w:hAnsi="Times New Roman" w:cs="Times New Roman"/>
          <w:sz w:val="22"/>
          <w:szCs w:val="22"/>
        </w:rPr>
        <w:t xml:space="preserve">more than 90 days after the licensing renewal date is subject to all requirements </w:t>
      </w:r>
      <w:r w:rsidR="55460704" w:rsidRPr="3485421E">
        <w:rPr>
          <w:rFonts w:ascii="Times New Roman" w:hAnsi="Times New Roman" w:cs="Times New Roman"/>
          <w:sz w:val="22"/>
          <w:szCs w:val="22"/>
        </w:rPr>
        <w:t>governed by 32 M.R.S. § 9909(1).</w:t>
      </w:r>
    </w:p>
    <w:p w14:paraId="5A018136" w14:textId="77777777" w:rsidR="00A32B8A" w:rsidRPr="00D32ADF" w:rsidRDefault="00A32B8A" w:rsidP="3485421E">
      <w:pPr>
        <w:pBdr>
          <w:bottom w:val="single" w:sz="6" w:space="1" w:color="auto"/>
        </w:pBdr>
        <w:tabs>
          <w:tab w:val="left" w:pos="720"/>
          <w:tab w:val="left" w:pos="1440"/>
          <w:tab w:val="left" w:pos="2160"/>
          <w:tab w:val="left" w:pos="2880"/>
        </w:tabs>
        <w:ind w:left="720" w:hanging="720"/>
        <w:rPr>
          <w:rFonts w:ascii="Times New Roman" w:hAnsi="Times New Roman" w:cs="Times New Roman"/>
          <w:sz w:val="22"/>
          <w:szCs w:val="22"/>
        </w:rPr>
      </w:pPr>
    </w:p>
    <w:p w14:paraId="16E4EDE8" w14:textId="77777777" w:rsidR="00A32B8A" w:rsidRPr="00D32ADF" w:rsidRDefault="00A32B8A" w:rsidP="3485421E">
      <w:pPr>
        <w:tabs>
          <w:tab w:val="left" w:pos="720"/>
          <w:tab w:val="left" w:pos="1440"/>
          <w:tab w:val="left" w:pos="2160"/>
          <w:tab w:val="left" w:pos="2880"/>
        </w:tabs>
        <w:ind w:left="720" w:hanging="720"/>
        <w:rPr>
          <w:rFonts w:ascii="Times New Roman" w:hAnsi="Times New Roman" w:cs="Times New Roman"/>
          <w:strike/>
          <w:sz w:val="22"/>
          <w:szCs w:val="22"/>
        </w:rPr>
      </w:pPr>
    </w:p>
    <w:p w14:paraId="6787A4C3" w14:textId="61B80AFD" w:rsidR="00A32B8A" w:rsidRPr="00D32ADF" w:rsidRDefault="75E5B837" w:rsidP="3485421E">
      <w:pPr>
        <w:tabs>
          <w:tab w:val="left" w:pos="720"/>
          <w:tab w:val="left" w:pos="1440"/>
          <w:tab w:val="left" w:pos="2160"/>
          <w:tab w:val="left" w:pos="2880"/>
        </w:tabs>
        <w:ind w:left="720" w:hanging="720"/>
        <w:rPr>
          <w:rFonts w:ascii="Times New Roman" w:hAnsi="Times New Roman" w:cs="Times New Roman"/>
          <w:sz w:val="22"/>
          <w:szCs w:val="22"/>
        </w:rPr>
      </w:pPr>
      <w:r w:rsidRPr="3485421E">
        <w:rPr>
          <w:rFonts w:ascii="Times New Roman" w:hAnsi="Times New Roman" w:cs="Times New Roman"/>
          <w:sz w:val="22"/>
          <w:szCs w:val="22"/>
        </w:rPr>
        <w:t>STATUTORY AUTHORITY: 32 M.R.S. §§ 9904</w:t>
      </w:r>
      <w:r w:rsidR="65A31D81" w:rsidRPr="3485421E">
        <w:rPr>
          <w:rFonts w:ascii="Times New Roman" w:hAnsi="Times New Roman" w:cs="Times New Roman"/>
          <w:sz w:val="22"/>
          <w:szCs w:val="22"/>
        </w:rPr>
        <w:t>(2)</w:t>
      </w:r>
      <w:r w:rsidRPr="3485421E">
        <w:rPr>
          <w:rFonts w:ascii="Times New Roman" w:hAnsi="Times New Roman" w:cs="Times New Roman"/>
          <w:sz w:val="22"/>
          <w:szCs w:val="22"/>
        </w:rPr>
        <w:t xml:space="preserve">, 9909, </w:t>
      </w:r>
      <w:r w:rsidR="2FF5952B" w:rsidRPr="3485421E">
        <w:rPr>
          <w:rFonts w:ascii="Times New Roman" w:hAnsi="Times New Roman" w:cs="Times New Roman"/>
          <w:sz w:val="22"/>
          <w:szCs w:val="22"/>
        </w:rPr>
        <w:t xml:space="preserve">9910, </w:t>
      </w:r>
      <w:r w:rsidRPr="3485421E">
        <w:rPr>
          <w:rFonts w:ascii="Times New Roman" w:hAnsi="Times New Roman" w:cs="Times New Roman"/>
          <w:sz w:val="22"/>
          <w:szCs w:val="22"/>
        </w:rPr>
        <w:t>991</w:t>
      </w:r>
      <w:r w:rsidR="2FF5952B" w:rsidRPr="3485421E">
        <w:rPr>
          <w:rFonts w:ascii="Times New Roman" w:hAnsi="Times New Roman" w:cs="Times New Roman"/>
          <w:sz w:val="22"/>
          <w:szCs w:val="22"/>
        </w:rPr>
        <w:t xml:space="preserve">4; 10 M.R.S. </w:t>
      </w:r>
      <w:r w:rsidR="12692245" w:rsidRPr="3485421E">
        <w:rPr>
          <w:rFonts w:ascii="Times New Roman" w:hAnsi="Times New Roman" w:cs="Times New Roman"/>
          <w:sz w:val="22"/>
          <w:szCs w:val="22"/>
        </w:rPr>
        <w:t xml:space="preserve">§ </w:t>
      </w:r>
      <w:r w:rsidR="2FF5952B" w:rsidRPr="3485421E">
        <w:rPr>
          <w:rFonts w:ascii="Times New Roman" w:hAnsi="Times New Roman" w:cs="Times New Roman"/>
          <w:sz w:val="22"/>
          <w:szCs w:val="22"/>
        </w:rPr>
        <w:t>8003(5-A)</w:t>
      </w:r>
      <w:r w:rsidR="12692245" w:rsidRPr="3485421E">
        <w:rPr>
          <w:rFonts w:ascii="Times New Roman" w:hAnsi="Times New Roman" w:cs="Times New Roman"/>
          <w:sz w:val="22"/>
          <w:szCs w:val="22"/>
        </w:rPr>
        <w:t>(D)(4)-(5)</w:t>
      </w:r>
    </w:p>
    <w:p w14:paraId="59C8B19E" w14:textId="77777777" w:rsidR="00A32B8A" w:rsidRPr="00D32ADF" w:rsidRDefault="00A32B8A" w:rsidP="3485421E">
      <w:pPr>
        <w:tabs>
          <w:tab w:val="left" w:pos="720"/>
          <w:tab w:val="left" w:pos="1440"/>
          <w:tab w:val="left" w:pos="2160"/>
          <w:tab w:val="left" w:pos="2880"/>
        </w:tabs>
        <w:ind w:left="720" w:hanging="720"/>
        <w:rPr>
          <w:rFonts w:ascii="Times New Roman" w:hAnsi="Times New Roman" w:cs="Times New Roman"/>
          <w:sz w:val="22"/>
          <w:szCs w:val="22"/>
        </w:rPr>
      </w:pPr>
    </w:p>
    <w:p w14:paraId="0352E001" w14:textId="464278D7" w:rsidR="00A32B8A" w:rsidRDefault="75E5B837" w:rsidP="3485421E">
      <w:pPr>
        <w:tabs>
          <w:tab w:val="left" w:pos="720"/>
          <w:tab w:val="left" w:pos="1440"/>
          <w:tab w:val="left" w:pos="2160"/>
          <w:tab w:val="left" w:pos="2880"/>
        </w:tabs>
        <w:ind w:left="720" w:hanging="720"/>
        <w:rPr>
          <w:rFonts w:ascii="Times New Roman" w:hAnsi="Times New Roman" w:cs="Times New Roman"/>
          <w:sz w:val="22"/>
          <w:szCs w:val="22"/>
        </w:rPr>
      </w:pPr>
      <w:r w:rsidRPr="3485421E">
        <w:rPr>
          <w:rFonts w:ascii="Times New Roman" w:hAnsi="Times New Roman" w:cs="Times New Roman"/>
          <w:sz w:val="22"/>
          <w:szCs w:val="22"/>
        </w:rPr>
        <w:t>EFFECTIVE DATE</w:t>
      </w:r>
      <w:r w:rsidR="009B2117">
        <w:rPr>
          <w:rFonts w:ascii="Times New Roman" w:hAnsi="Times New Roman" w:cs="Times New Roman"/>
          <w:sz w:val="22"/>
          <w:szCs w:val="22"/>
        </w:rPr>
        <w:t xml:space="preserve"> (NEW)</w:t>
      </w:r>
      <w:r w:rsidRPr="3485421E">
        <w:rPr>
          <w:rFonts w:ascii="Times New Roman" w:hAnsi="Times New Roman" w:cs="Times New Roman"/>
          <w:sz w:val="22"/>
          <w:szCs w:val="22"/>
        </w:rPr>
        <w:t>:</w:t>
      </w:r>
    </w:p>
    <w:p w14:paraId="5585499D" w14:textId="2A756250" w:rsidR="009B2117" w:rsidRPr="00D32ADF" w:rsidRDefault="009B2117" w:rsidP="3485421E">
      <w:pPr>
        <w:tabs>
          <w:tab w:val="left" w:pos="720"/>
          <w:tab w:val="left" w:pos="1440"/>
          <w:tab w:val="left" w:pos="2160"/>
          <w:tab w:val="left" w:pos="2880"/>
        </w:tabs>
        <w:ind w:left="720" w:hanging="720"/>
        <w:rPr>
          <w:rFonts w:ascii="Times New Roman" w:hAnsi="Times New Roman" w:cs="Times New Roman"/>
          <w:sz w:val="22"/>
          <w:szCs w:val="22"/>
        </w:rPr>
      </w:pPr>
      <w:r>
        <w:rPr>
          <w:rFonts w:ascii="Times New Roman" w:hAnsi="Times New Roman" w:cs="Times New Roman"/>
          <w:sz w:val="22"/>
          <w:szCs w:val="22"/>
        </w:rPr>
        <w:tab/>
        <w:t>July 1, 2026 – filing 2026-149</w:t>
      </w:r>
    </w:p>
    <w:p w14:paraId="3B662E0D" w14:textId="77777777" w:rsidR="00A32B8A" w:rsidRPr="00D32ADF" w:rsidRDefault="00A32B8A" w:rsidP="3485421E">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4B55F5EF" w14:textId="77777777" w:rsidR="00782CB9" w:rsidRPr="00D32ADF" w:rsidRDefault="00782CB9" w:rsidP="3485421E">
      <w:pPr>
        <w:keepNext/>
        <w:keepLines/>
        <w:tabs>
          <w:tab w:val="left" w:pos="720"/>
          <w:tab w:val="left" w:pos="1440"/>
          <w:tab w:val="left" w:pos="2160"/>
          <w:tab w:val="left" w:pos="2880"/>
        </w:tabs>
        <w:ind w:left="720" w:hanging="720"/>
        <w:rPr>
          <w:rFonts w:ascii="Times New Roman" w:hAnsi="Times New Roman" w:cs="Times New Roman"/>
          <w:sz w:val="22"/>
          <w:szCs w:val="22"/>
        </w:rPr>
      </w:pPr>
    </w:p>
    <w:p w14:paraId="7C952102" w14:textId="77777777" w:rsidR="005A4D45" w:rsidRPr="00D32ADF" w:rsidRDefault="005A4D45" w:rsidP="3485421E"/>
    <w:sectPr w:rsidR="005A4D45" w:rsidRPr="00D32A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5FC"/>
    <w:multiLevelType w:val="hybridMultilevel"/>
    <w:tmpl w:val="69DEF274"/>
    <w:lvl w:ilvl="0" w:tplc="961C28B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12C97"/>
    <w:multiLevelType w:val="hybridMultilevel"/>
    <w:tmpl w:val="54909550"/>
    <w:lvl w:ilvl="0" w:tplc="018CA0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EF44961"/>
    <w:multiLevelType w:val="hybridMultilevel"/>
    <w:tmpl w:val="1744E50A"/>
    <w:lvl w:ilvl="0" w:tplc="61242E20">
      <w:start w:val="1"/>
      <w:numFmt w:val="upperLetter"/>
      <w:lvlText w:val="%1."/>
      <w:lvlJc w:val="left"/>
      <w:pPr>
        <w:ind w:left="3600" w:hanging="360"/>
      </w:pPr>
      <w:rPr>
        <w:rFonts w:hint="default"/>
        <w:u w:val="none"/>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 w15:restartNumberingAfterBreak="0">
    <w:nsid w:val="56443F9D"/>
    <w:multiLevelType w:val="hybridMultilevel"/>
    <w:tmpl w:val="C6982930"/>
    <w:lvl w:ilvl="0" w:tplc="FA96012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CD52E23"/>
    <w:multiLevelType w:val="hybridMultilevel"/>
    <w:tmpl w:val="C4FA4F5A"/>
    <w:lvl w:ilvl="0" w:tplc="ADD8E458">
      <w:start w:val="2"/>
      <w:numFmt w:val="decimal"/>
      <w:lvlText w:val="%1."/>
      <w:lvlJc w:val="left"/>
      <w:pPr>
        <w:ind w:left="1800" w:hanging="36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DB541C"/>
    <w:multiLevelType w:val="hybridMultilevel"/>
    <w:tmpl w:val="08E0B912"/>
    <w:lvl w:ilvl="0" w:tplc="9D402726">
      <w:start w:val="2"/>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9521E6"/>
    <w:multiLevelType w:val="hybridMultilevel"/>
    <w:tmpl w:val="0C6AB2BA"/>
    <w:lvl w:ilvl="0" w:tplc="F5A8BB2C">
      <w:start w:val="1"/>
      <w:numFmt w:val="upperLetter"/>
      <w:lvlText w:val="%1."/>
      <w:lvlJc w:val="left"/>
      <w:pPr>
        <w:ind w:left="1800" w:hanging="360"/>
      </w:pPr>
      <w:rPr>
        <w:rFonts w:hint="default"/>
        <w:b w:val="0"/>
        <w:bCs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836191618">
    <w:abstractNumId w:val="3"/>
  </w:num>
  <w:num w:numId="2" w16cid:durableId="490367237">
    <w:abstractNumId w:val="5"/>
  </w:num>
  <w:num w:numId="3" w16cid:durableId="1461798691">
    <w:abstractNumId w:val="0"/>
  </w:num>
  <w:num w:numId="4" w16cid:durableId="46340232">
    <w:abstractNumId w:val="4"/>
  </w:num>
  <w:num w:numId="5" w16cid:durableId="1883709482">
    <w:abstractNumId w:val="6"/>
  </w:num>
  <w:num w:numId="6" w16cid:durableId="380178389">
    <w:abstractNumId w:val="1"/>
  </w:num>
  <w:num w:numId="7" w16cid:durableId="1641575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SyNDIzMDM3NjQyNrdU0lEKTi0uzszPAykwqwUAvZOuaCwAAAA="/>
  </w:docVars>
  <w:rsids>
    <w:rsidRoot w:val="00782CB9"/>
    <w:rsid w:val="00013F09"/>
    <w:rsid w:val="00087F80"/>
    <w:rsid w:val="000F447B"/>
    <w:rsid w:val="000F59BC"/>
    <w:rsid w:val="00110633"/>
    <w:rsid w:val="0020191E"/>
    <w:rsid w:val="00254947"/>
    <w:rsid w:val="0027637B"/>
    <w:rsid w:val="00277B56"/>
    <w:rsid w:val="0029371D"/>
    <w:rsid w:val="0029387C"/>
    <w:rsid w:val="002A3D9D"/>
    <w:rsid w:val="00301688"/>
    <w:rsid w:val="003157F1"/>
    <w:rsid w:val="00337C93"/>
    <w:rsid w:val="00350884"/>
    <w:rsid w:val="0036164F"/>
    <w:rsid w:val="003B1B09"/>
    <w:rsid w:val="003C077B"/>
    <w:rsid w:val="003F3F7D"/>
    <w:rsid w:val="00404E33"/>
    <w:rsid w:val="00425DDA"/>
    <w:rsid w:val="004446D0"/>
    <w:rsid w:val="004642A1"/>
    <w:rsid w:val="004834CC"/>
    <w:rsid w:val="00485AE8"/>
    <w:rsid w:val="004B1D9F"/>
    <w:rsid w:val="004B42B6"/>
    <w:rsid w:val="004E446F"/>
    <w:rsid w:val="00504C68"/>
    <w:rsid w:val="00567059"/>
    <w:rsid w:val="00587592"/>
    <w:rsid w:val="005A20FE"/>
    <w:rsid w:val="005A40E6"/>
    <w:rsid w:val="005A4D45"/>
    <w:rsid w:val="005D238E"/>
    <w:rsid w:val="005D6809"/>
    <w:rsid w:val="005E30AB"/>
    <w:rsid w:val="00654E15"/>
    <w:rsid w:val="00683A1E"/>
    <w:rsid w:val="006D1B42"/>
    <w:rsid w:val="00720699"/>
    <w:rsid w:val="007352DF"/>
    <w:rsid w:val="007710DD"/>
    <w:rsid w:val="00782CB9"/>
    <w:rsid w:val="007B28A9"/>
    <w:rsid w:val="0084193B"/>
    <w:rsid w:val="008E18C8"/>
    <w:rsid w:val="008E7D98"/>
    <w:rsid w:val="00900B65"/>
    <w:rsid w:val="00930716"/>
    <w:rsid w:val="0093655B"/>
    <w:rsid w:val="00960466"/>
    <w:rsid w:val="009618AD"/>
    <w:rsid w:val="009757C4"/>
    <w:rsid w:val="00976BA6"/>
    <w:rsid w:val="0097748A"/>
    <w:rsid w:val="009B2117"/>
    <w:rsid w:val="009C4452"/>
    <w:rsid w:val="009C6353"/>
    <w:rsid w:val="00A32B8A"/>
    <w:rsid w:val="00A4127C"/>
    <w:rsid w:val="00A621C1"/>
    <w:rsid w:val="00A67A67"/>
    <w:rsid w:val="00AD42CA"/>
    <w:rsid w:val="00AE3145"/>
    <w:rsid w:val="00B118AC"/>
    <w:rsid w:val="00B15E4A"/>
    <w:rsid w:val="00B2185E"/>
    <w:rsid w:val="00B25274"/>
    <w:rsid w:val="00B42A69"/>
    <w:rsid w:val="00B5466B"/>
    <w:rsid w:val="00B60460"/>
    <w:rsid w:val="00B9428A"/>
    <w:rsid w:val="00BE07E0"/>
    <w:rsid w:val="00C12037"/>
    <w:rsid w:val="00C540DF"/>
    <w:rsid w:val="00C71367"/>
    <w:rsid w:val="00C86892"/>
    <w:rsid w:val="00C93BCA"/>
    <w:rsid w:val="00CF7F5D"/>
    <w:rsid w:val="00D0761D"/>
    <w:rsid w:val="00D2398A"/>
    <w:rsid w:val="00D32ADF"/>
    <w:rsid w:val="00D62DB3"/>
    <w:rsid w:val="00D7470E"/>
    <w:rsid w:val="00DA7A15"/>
    <w:rsid w:val="00E013DF"/>
    <w:rsid w:val="00E13F8C"/>
    <w:rsid w:val="00E77835"/>
    <w:rsid w:val="00ED5A62"/>
    <w:rsid w:val="00F23A1B"/>
    <w:rsid w:val="00F25B65"/>
    <w:rsid w:val="00F2601A"/>
    <w:rsid w:val="00F311F0"/>
    <w:rsid w:val="00F83CF3"/>
    <w:rsid w:val="00FA0563"/>
    <w:rsid w:val="00FB4DA0"/>
    <w:rsid w:val="00FC70DC"/>
    <w:rsid w:val="00FD6759"/>
    <w:rsid w:val="028A0065"/>
    <w:rsid w:val="07519E24"/>
    <w:rsid w:val="0BC3C2BA"/>
    <w:rsid w:val="0FA4C6BA"/>
    <w:rsid w:val="1147311F"/>
    <w:rsid w:val="11F6072B"/>
    <w:rsid w:val="12692245"/>
    <w:rsid w:val="13E2D161"/>
    <w:rsid w:val="1B1FBAE4"/>
    <w:rsid w:val="1CB398AE"/>
    <w:rsid w:val="1F71EC96"/>
    <w:rsid w:val="2094ED25"/>
    <w:rsid w:val="249C6122"/>
    <w:rsid w:val="2585DCF2"/>
    <w:rsid w:val="27541D8C"/>
    <w:rsid w:val="291DFA1F"/>
    <w:rsid w:val="2D2FD2E0"/>
    <w:rsid w:val="2FF5952B"/>
    <w:rsid w:val="300B0695"/>
    <w:rsid w:val="31C61E8E"/>
    <w:rsid w:val="328C77A1"/>
    <w:rsid w:val="3485421E"/>
    <w:rsid w:val="3503CED4"/>
    <w:rsid w:val="3A4D36CC"/>
    <w:rsid w:val="3EB29187"/>
    <w:rsid w:val="3ED82FD4"/>
    <w:rsid w:val="40832B31"/>
    <w:rsid w:val="40B974B4"/>
    <w:rsid w:val="41A76BD5"/>
    <w:rsid w:val="41C2AE76"/>
    <w:rsid w:val="41F3BCAC"/>
    <w:rsid w:val="423F0A10"/>
    <w:rsid w:val="43E00006"/>
    <w:rsid w:val="488489E4"/>
    <w:rsid w:val="4F5A74F7"/>
    <w:rsid w:val="4FA8EE72"/>
    <w:rsid w:val="509F6F29"/>
    <w:rsid w:val="517582B4"/>
    <w:rsid w:val="55460704"/>
    <w:rsid w:val="5955652F"/>
    <w:rsid w:val="637D446F"/>
    <w:rsid w:val="639EFA05"/>
    <w:rsid w:val="65A31D81"/>
    <w:rsid w:val="6617B9A4"/>
    <w:rsid w:val="6BBBDF6A"/>
    <w:rsid w:val="700D2D60"/>
    <w:rsid w:val="717491F1"/>
    <w:rsid w:val="74BF7F6B"/>
    <w:rsid w:val="74ECCC0A"/>
    <w:rsid w:val="75E5B837"/>
    <w:rsid w:val="7937068D"/>
    <w:rsid w:val="7C198CB5"/>
    <w:rsid w:val="7E7F8614"/>
    <w:rsid w:val="7F1D7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42FAB"/>
  <w15:chartTrackingRefBased/>
  <w15:docId w15:val="{24E17A75-DB5F-4696-AF8D-37A6DD6F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CB9"/>
    <w:pPr>
      <w:spacing w:after="0" w:line="240" w:lineRule="auto"/>
    </w:pPr>
    <w:rPr>
      <w:rFonts w:ascii="Arial" w:eastAsia="Times New Roman" w:hAnsi="Arial" w:cs="Arial"/>
      <w:kern w:val="0"/>
      <w:szCs w:val="20"/>
      <w14:ligatures w14:val="none"/>
    </w:rPr>
  </w:style>
  <w:style w:type="paragraph" w:styleId="Heading1">
    <w:name w:val="heading 1"/>
    <w:basedOn w:val="Normal"/>
    <w:next w:val="Normal"/>
    <w:link w:val="Heading1Char"/>
    <w:uiPriority w:val="9"/>
    <w:qFormat/>
    <w:rsid w:val="00782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2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2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2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2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2C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2C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2C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2C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2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2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2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2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2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2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2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2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2CB9"/>
    <w:rPr>
      <w:rFonts w:eastAsiaTheme="majorEastAsia" w:cstheme="majorBidi"/>
      <w:color w:val="272727" w:themeColor="text1" w:themeTint="D8"/>
    </w:rPr>
  </w:style>
  <w:style w:type="paragraph" w:styleId="Title">
    <w:name w:val="Title"/>
    <w:basedOn w:val="Normal"/>
    <w:next w:val="Normal"/>
    <w:link w:val="TitleChar"/>
    <w:uiPriority w:val="10"/>
    <w:qFormat/>
    <w:rsid w:val="00782C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2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2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2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2CB9"/>
    <w:pPr>
      <w:spacing w:before="160"/>
      <w:jc w:val="center"/>
    </w:pPr>
    <w:rPr>
      <w:i/>
      <w:iCs/>
      <w:color w:val="404040" w:themeColor="text1" w:themeTint="BF"/>
    </w:rPr>
  </w:style>
  <w:style w:type="character" w:customStyle="1" w:styleId="QuoteChar">
    <w:name w:val="Quote Char"/>
    <w:basedOn w:val="DefaultParagraphFont"/>
    <w:link w:val="Quote"/>
    <w:uiPriority w:val="29"/>
    <w:rsid w:val="00782CB9"/>
    <w:rPr>
      <w:i/>
      <w:iCs/>
      <w:color w:val="404040" w:themeColor="text1" w:themeTint="BF"/>
    </w:rPr>
  </w:style>
  <w:style w:type="paragraph" w:styleId="ListParagraph">
    <w:name w:val="List Paragraph"/>
    <w:basedOn w:val="Normal"/>
    <w:uiPriority w:val="34"/>
    <w:qFormat/>
    <w:rsid w:val="00782CB9"/>
    <w:pPr>
      <w:ind w:left="720"/>
      <w:contextualSpacing/>
    </w:pPr>
  </w:style>
  <w:style w:type="character" w:styleId="IntenseEmphasis">
    <w:name w:val="Intense Emphasis"/>
    <w:basedOn w:val="DefaultParagraphFont"/>
    <w:uiPriority w:val="21"/>
    <w:qFormat/>
    <w:rsid w:val="00782CB9"/>
    <w:rPr>
      <w:i/>
      <w:iCs/>
      <w:color w:val="0F4761" w:themeColor="accent1" w:themeShade="BF"/>
    </w:rPr>
  </w:style>
  <w:style w:type="paragraph" w:styleId="IntenseQuote">
    <w:name w:val="Intense Quote"/>
    <w:basedOn w:val="Normal"/>
    <w:next w:val="Normal"/>
    <w:link w:val="IntenseQuoteChar"/>
    <w:uiPriority w:val="30"/>
    <w:qFormat/>
    <w:rsid w:val="0078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2CB9"/>
    <w:rPr>
      <w:i/>
      <w:iCs/>
      <w:color w:val="0F4761" w:themeColor="accent1" w:themeShade="BF"/>
    </w:rPr>
  </w:style>
  <w:style w:type="character" w:styleId="IntenseReference">
    <w:name w:val="Intense Reference"/>
    <w:basedOn w:val="DefaultParagraphFont"/>
    <w:uiPriority w:val="32"/>
    <w:qFormat/>
    <w:rsid w:val="00782CB9"/>
    <w:rPr>
      <w:b/>
      <w:bCs/>
      <w:smallCaps/>
      <w:color w:val="0F4761" w:themeColor="accent1" w:themeShade="BF"/>
      <w:spacing w:val="5"/>
    </w:rPr>
  </w:style>
  <w:style w:type="paragraph" w:customStyle="1" w:styleId="DefaultText">
    <w:name w:val="Default Text"/>
    <w:basedOn w:val="Normal"/>
    <w:rsid w:val="00782CB9"/>
    <w:pPr>
      <w:spacing w:line="240" w:lineRule="atLeast"/>
    </w:pPr>
    <w:rPr>
      <w:sz w:val="20"/>
    </w:rPr>
  </w:style>
  <w:style w:type="character" w:styleId="CommentReference">
    <w:name w:val="annotation reference"/>
    <w:basedOn w:val="DefaultParagraphFont"/>
    <w:uiPriority w:val="99"/>
    <w:semiHidden/>
    <w:unhideWhenUsed/>
    <w:rsid w:val="004446D0"/>
    <w:rPr>
      <w:sz w:val="16"/>
      <w:szCs w:val="16"/>
    </w:rPr>
  </w:style>
  <w:style w:type="paragraph" w:styleId="CommentText">
    <w:name w:val="annotation text"/>
    <w:basedOn w:val="Normal"/>
    <w:link w:val="CommentTextChar"/>
    <w:uiPriority w:val="99"/>
    <w:unhideWhenUsed/>
    <w:rsid w:val="004446D0"/>
    <w:rPr>
      <w:sz w:val="20"/>
    </w:rPr>
  </w:style>
  <w:style w:type="character" w:customStyle="1" w:styleId="CommentTextChar">
    <w:name w:val="Comment Text Char"/>
    <w:basedOn w:val="DefaultParagraphFont"/>
    <w:link w:val="CommentText"/>
    <w:uiPriority w:val="99"/>
    <w:rsid w:val="004446D0"/>
    <w:rPr>
      <w:rFonts w:ascii="Arial" w:eastAsia="Times New Roman"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446D0"/>
    <w:rPr>
      <w:b/>
      <w:bCs/>
    </w:rPr>
  </w:style>
  <w:style w:type="character" w:customStyle="1" w:styleId="CommentSubjectChar">
    <w:name w:val="Comment Subject Char"/>
    <w:basedOn w:val="CommentTextChar"/>
    <w:link w:val="CommentSubject"/>
    <w:uiPriority w:val="99"/>
    <w:semiHidden/>
    <w:rsid w:val="004446D0"/>
    <w:rPr>
      <w:rFonts w:ascii="Arial" w:eastAsia="Times New Roman" w:hAnsi="Arial" w:cs="Arial"/>
      <w:b/>
      <w:bCs/>
      <w:kern w:val="0"/>
      <w:sz w:val="20"/>
      <w:szCs w:val="20"/>
      <w14:ligatures w14:val="none"/>
    </w:rPr>
  </w:style>
  <w:style w:type="paragraph" w:styleId="Revision">
    <w:name w:val="Revision"/>
    <w:hidden/>
    <w:uiPriority w:val="99"/>
    <w:semiHidden/>
    <w:rsid w:val="009B2117"/>
    <w:pPr>
      <w:spacing w:after="0" w:line="240" w:lineRule="auto"/>
    </w:pPr>
    <w:rPr>
      <w:rFonts w:ascii="Arial" w:eastAsia="Times New Roman" w:hAnsi="Arial" w:cs="Arial"/>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551A6D-5066-4A59-BE31-E6CAB2751EBB}">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customXml/itemProps2.xml><?xml version="1.0" encoding="utf-8"?>
<ds:datastoreItem xmlns:ds="http://schemas.openxmlformats.org/officeDocument/2006/customXml" ds:itemID="{4D403077-A27B-4C1E-B21C-0623EEBF88E6}">
  <ds:schemaRefs>
    <ds:schemaRef ds:uri="http://schemas.microsoft.com/sharepoint/v3/contenttype/forms"/>
  </ds:schemaRefs>
</ds:datastoreItem>
</file>

<file path=customXml/itemProps3.xml><?xml version="1.0" encoding="utf-8"?>
<ds:datastoreItem xmlns:ds="http://schemas.openxmlformats.org/officeDocument/2006/customXml" ds:itemID="{7F7551CF-0A00-4A45-B7E9-E92144E02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1167</Words>
  <Characters>6654</Characters>
  <Application>Microsoft Office Word</Application>
  <DocSecurity>0</DocSecurity>
  <Lines>55</Lines>
  <Paragraphs>15</Paragraphs>
  <ScaleCrop>false</ScaleCrop>
  <Company/>
  <LinksUpToDate>false</LinksUpToDate>
  <CharactersWithSpaces>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Candice B</dc:creator>
  <cp:keywords/>
  <dc:description/>
  <cp:lastModifiedBy>Parr, J.Chris</cp:lastModifiedBy>
  <cp:revision>78</cp:revision>
  <dcterms:created xsi:type="dcterms:W3CDTF">2025-11-19T16:29:00Z</dcterms:created>
  <dcterms:modified xsi:type="dcterms:W3CDTF">2026-06-26T17:22:00Z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