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E9ED" w14:textId="77777777" w:rsidR="00FA3B1B" w:rsidRPr="00BF5BAC" w:rsidRDefault="00FA3B1B" w:rsidP="00BF5BAC">
      <w:pPr>
        <w:pStyle w:val="Heading1"/>
        <w:rPr>
          <w:rFonts w:ascii="Times New Roman" w:hAnsi="Times New Roman" w:cs="Times New Roman"/>
          <w:b/>
          <w:bCs/>
          <w:sz w:val="24"/>
          <w:szCs w:val="24"/>
        </w:rPr>
      </w:pPr>
      <w:r w:rsidRPr="00BF5BAC">
        <w:rPr>
          <w:rFonts w:ascii="Times New Roman" w:hAnsi="Times New Roman" w:cs="Times New Roman"/>
          <w:b/>
          <w:bCs/>
          <w:sz w:val="24"/>
          <w:szCs w:val="24"/>
        </w:rPr>
        <w:t>02</w:t>
      </w:r>
      <w:r w:rsidRPr="00BF5BAC">
        <w:rPr>
          <w:rFonts w:ascii="Times New Roman" w:hAnsi="Times New Roman" w:cs="Times New Roman"/>
          <w:b/>
          <w:bCs/>
          <w:sz w:val="24"/>
          <w:szCs w:val="24"/>
        </w:rPr>
        <w:tab/>
      </w:r>
      <w:r w:rsidRPr="00BF5BAC">
        <w:rPr>
          <w:rFonts w:ascii="Times New Roman" w:hAnsi="Times New Roman" w:cs="Times New Roman"/>
          <w:b/>
          <w:bCs/>
          <w:sz w:val="24"/>
          <w:szCs w:val="24"/>
        </w:rPr>
        <w:tab/>
        <w:t xml:space="preserve">DEPARTMENT OF PROFESSIONAL AND FINANCIAL </w:t>
      </w:r>
      <w:r w:rsidR="00E65955" w:rsidRPr="00BF5BAC">
        <w:rPr>
          <w:rFonts w:ascii="Times New Roman" w:hAnsi="Times New Roman" w:cs="Times New Roman"/>
          <w:b/>
          <w:bCs/>
          <w:sz w:val="24"/>
          <w:szCs w:val="24"/>
        </w:rPr>
        <w:t>REGULATION</w:t>
      </w:r>
    </w:p>
    <w:p w14:paraId="4CBDF41A"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2E4A5C78" w14:textId="77777777" w:rsidR="00FA3B1B" w:rsidRDefault="006B673A"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313</w:t>
      </w:r>
      <w:r w:rsidR="00FA3B1B">
        <w:rPr>
          <w:rFonts w:ascii="Times New Roman" w:hAnsi="Times New Roman"/>
          <w:b/>
          <w:sz w:val="22"/>
        </w:rPr>
        <w:tab/>
      </w:r>
      <w:r w:rsidR="00FA3B1B">
        <w:rPr>
          <w:rFonts w:ascii="Times New Roman" w:hAnsi="Times New Roman"/>
          <w:b/>
          <w:sz w:val="22"/>
        </w:rPr>
        <w:tab/>
        <w:t xml:space="preserve">BOARD OF </w:t>
      </w:r>
      <w:r>
        <w:rPr>
          <w:rFonts w:ascii="Times New Roman" w:hAnsi="Times New Roman"/>
          <w:b/>
          <w:sz w:val="22"/>
        </w:rPr>
        <w:t>DENTAL PRACTICE</w:t>
      </w:r>
    </w:p>
    <w:p w14:paraId="75CA24F5"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66F8C223"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Chapter 1</w:t>
      </w:r>
      <w:r w:rsidR="006B673A">
        <w:rPr>
          <w:rFonts w:ascii="Times New Roman" w:hAnsi="Times New Roman"/>
          <w:b/>
          <w:sz w:val="22"/>
        </w:rPr>
        <w:t>3</w:t>
      </w:r>
      <w:r>
        <w:rPr>
          <w:rFonts w:ascii="Times New Roman" w:hAnsi="Times New Roman"/>
          <w:b/>
          <w:sz w:val="22"/>
        </w:rPr>
        <w:t>:</w:t>
      </w:r>
      <w:r>
        <w:rPr>
          <w:rFonts w:ascii="Times New Roman" w:hAnsi="Times New Roman"/>
          <w:b/>
          <w:sz w:val="22"/>
        </w:rPr>
        <w:tab/>
        <w:t>CONTINUING EDUCATION</w:t>
      </w:r>
    </w:p>
    <w:p w14:paraId="703CB1B9" w14:textId="77777777" w:rsidR="00FA3B1B" w:rsidRDefault="00FA3B1B" w:rsidP="0076132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rPr>
      </w:pPr>
    </w:p>
    <w:p w14:paraId="637AED75"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DF48707" w14:textId="77777777" w:rsidR="006B673A"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chapter sets forth the nature and amount of continuing </w:t>
      </w:r>
      <w:r w:rsidR="009452AB">
        <w:rPr>
          <w:rFonts w:ascii="Times New Roman" w:hAnsi="Times New Roman"/>
          <w:sz w:val="22"/>
        </w:rPr>
        <w:t>e</w:t>
      </w:r>
      <w:r>
        <w:rPr>
          <w:rFonts w:ascii="Times New Roman" w:hAnsi="Times New Roman"/>
          <w:sz w:val="22"/>
        </w:rPr>
        <w:t xml:space="preserve">ducation </w:t>
      </w:r>
      <w:r w:rsidR="009452AB">
        <w:rPr>
          <w:rFonts w:ascii="Times New Roman" w:hAnsi="Times New Roman"/>
          <w:sz w:val="22"/>
        </w:rPr>
        <w:t>credit</w:t>
      </w:r>
      <w:r>
        <w:rPr>
          <w:rFonts w:ascii="Times New Roman" w:hAnsi="Times New Roman"/>
          <w:sz w:val="22"/>
        </w:rPr>
        <w:t xml:space="preserve"> hours required for renewal of licenses issued by the </w:t>
      </w:r>
      <w:r w:rsidR="00067DF4">
        <w:rPr>
          <w:rFonts w:ascii="Times New Roman" w:hAnsi="Times New Roman"/>
          <w:sz w:val="22"/>
        </w:rPr>
        <w:t>Board</w:t>
      </w:r>
      <w:r>
        <w:rPr>
          <w:rFonts w:ascii="Times New Roman" w:hAnsi="Times New Roman"/>
          <w:sz w:val="22"/>
        </w:rPr>
        <w:t>.</w:t>
      </w:r>
      <w:r w:rsidR="00552CEC">
        <w:rPr>
          <w:rFonts w:ascii="Times New Roman" w:hAnsi="Times New Roman"/>
          <w:sz w:val="22"/>
        </w:rPr>
        <w:t xml:space="preserve"> This chapter also establishes </w:t>
      </w:r>
      <w:r w:rsidR="001A6536">
        <w:rPr>
          <w:rFonts w:ascii="Times New Roman" w:hAnsi="Times New Roman"/>
          <w:sz w:val="22"/>
        </w:rPr>
        <w:t>how to substantiate</w:t>
      </w:r>
      <w:r w:rsidR="00552CEC">
        <w:rPr>
          <w:rFonts w:ascii="Times New Roman" w:hAnsi="Times New Roman"/>
          <w:sz w:val="22"/>
        </w:rPr>
        <w:t xml:space="preserve"> </w:t>
      </w:r>
      <w:r w:rsidR="001A6536">
        <w:rPr>
          <w:rFonts w:ascii="Times New Roman" w:hAnsi="Times New Roman"/>
          <w:sz w:val="22"/>
        </w:rPr>
        <w:t xml:space="preserve">satisfaction of </w:t>
      </w:r>
      <w:r w:rsidR="00552CEC">
        <w:rPr>
          <w:rFonts w:ascii="Times New Roman" w:hAnsi="Times New Roman"/>
          <w:sz w:val="22"/>
        </w:rPr>
        <w:t xml:space="preserve">continuing education requirements for licenses issued by the </w:t>
      </w:r>
      <w:r w:rsidR="00067DF4">
        <w:rPr>
          <w:rFonts w:ascii="Times New Roman" w:hAnsi="Times New Roman"/>
          <w:sz w:val="22"/>
        </w:rPr>
        <w:t>B</w:t>
      </w:r>
      <w:r w:rsidR="00552CEC">
        <w:rPr>
          <w:rFonts w:ascii="Times New Roman" w:hAnsi="Times New Roman"/>
          <w:sz w:val="22"/>
        </w:rPr>
        <w:t>oard.</w:t>
      </w:r>
      <w:r w:rsidR="00A763E1">
        <w:rPr>
          <w:rFonts w:ascii="Times New Roman" w:hAnsi="Times New Roman"/>
          <w:sz w:val="22"/>
        </w:rPr>
        <w:t xml:space="preserve"> </w:t>
      </w:r>
    </w:p>
    <w:p w14:paraId="28ED1C78" w14:textId="77777777" w:rsidR="00FA3B1B" w:rsidRDefault="00FA3B1B" w:rsidP="0076132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rPr>
      </w:pPr>
    </w:p>
    <w:p w14:paraId="2B69E410" w14:textId="77777777" w:rsidR="00C223C2" w:rsidRDefault="00C223C2"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185F03B2" w14:textId="77777777" w:rsidR="003D65BD" w:rsidRDefault="003D65BD"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101D7AE4" w14:textId="77777777" w:rsidR="00FA3B1B" w:rsidRDefault="00002F94"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b/>
          <w:sz w:val="22"/>
        </w:rPr>
        <w:t>I</w:t>
      </w:r>
      <w:r w:rsidR="00FA3B1B">
        <w:rPr>
          <w:rFonts w:ascii="Times New Roman" w:hAnsi="Times New Roman"/>
          <w:b/>
          <w:sz w:val="22"/>
        </w:rPr>
        <w:t>.</w:t>
      </w:r>
      <w:r w:rsidR="00FA3B1B">
        <w:rPr>
          <w:rFonts w:ascii="Times New Roman" w:hAnsi="Times New Roman"/>
          <w:b/>
          <w:sz w:val="22"/>
        </w:rPr>
        <w:tab/>
        <w:t>Generally</w:t>
      </w:r>
      <w:r w:rsidR="00045BE3">
        <w:rPr>
          <w:rFonts w:ascii="Times New Roman" w:hAnsi="Times New Roman"/>
          <w:b/>
          <w:sz w:val="22"/>
        </w:rPr>
        <w:t>.</w:t>
      </w:r>
      <w:r w:rsidR="00A718F4">
        <w:rPr>
          <w:rFonts w:ascii="Times New Roman" w:hAnsi="Times New Roman"/>
          <w:b/>
          <w:sz w:val="22"/>
        </w:rPr>
        <w:t xml:space="preserve"> </w:t>
      </w:r>
      <w:r w:rsidR="00A718F4">
        <w:rPr>
          <w:rFonts w:ascii="Times New Roman" w:hAnsi="Times New Roman"/>
          <w:sz w:val="22"/>
        </w:rPr>
        <w:t>As used in</w:t>
      </w:r>
      <w:r w:rsidR="00A763E1" w:rsidRPr="00A718F4">
        <w:rPr>
          <w:rFonts w:ascii="Times New Roman" w:hAnsi="Times New Roman"/>
          <w:sz w:val="22"/>
        </w:rPr>
        <w:t xml:space="preserve"> this chapter “</w:t>
      </w:r>
      <w:r w:rsidR="007B04E5">
        <w:rPr>
          <w:rFonts w:ascii="Times New Roman" w:hAnsi="Times New Roman"/>
          <w:sz w:val="22"/>
        </w:rPr>
        <w:t xml:space="preserve">directly related to </w:t>
      </w:r>
      <w:r w:rsidR="00BC58E1">
        <w:rPr>
          <w:rFonts w:ascii="Times New Roman" w:hAnsi="Times New Roman"/>
          <w:sz w:val="22"/>
        </w:rPr>
        <w:t>d</w:t>
      </w:r>
      <w:r w:rsidR="00A763E1" w:rsidRPr="00A718F4">
        <w:rPr>
          <w:rFonts w:ascii="Times New Roman" w:hAnsi="Times New Roman"/>
          <w:sz w:val="22"/>
        </w:rPr>
        <w:t xml:space="preserve">ental practice” </w:t>
      </w:r>
      <w:r w:rsidR="00C8648B">
        <w:rPr>
          <w:rFonts w:ascii="Times New Roman" w:hAnsi="Times New Roman"/>
          <w:sz w:val="22"/>
        </w:rPr>
        <w:t xml:space="preserve">means that the </w:t>
      </w:r>
      <w:r w:rsidR="00D31754">
        <w:rPr>
          <w:rFonts w:ascii="Times New Roman" w:hAnsi="Times New Roman"/>
          <w:sz w:val="22"/>
        </w:rPr>
        <w:t xml:space="preserve">continuing </w:t>
      </w:r>
      <w:r w:rsidR="007B04E5">
        <w:rPr>
          <w:rFonts w:ascii="Times New Roman" w:hAnsi="Times New Roman"/>
          <w:sz w:val="22"/>
        </w:rPr>
        <w:t xml:space="preserve">education </w:t>
      </w:r>
      <w:r w:rsidR="00D31754">
        <w:rPr>
          <w:rFonts w:ascii="Times New Roman" w:hAnsi="Times New Roman"/>
          <w:sz w:val="22"/>
        </w:rPr>
        <w:t>must relate to professional competency and aspects of the profession for which the individual is licensed.</w:t>
      </w:r>
    </w:p>
    <w:p w14:paraId="56002B48" w14:textId="77777777" w:rsidR="0036296B" w:rsidRDefault="0036296B"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p>
    <w:p w14:paraId="5F895AAC" w14:textId="77777777" w:rsidR="00FA3B1B" w:rsidRDefault="00930BAA"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 xml:space="preserve">Dentists, Faculty Dentists, </w:t>
      </w:r>
      <w:r w:rsidR="00FA1FBD">
        <w:rPr>
          <w:rFonts w:ascii="Times New Roman" w:hAnsi="Times New Roman"/>
          <w:b/>
          <w:sz w:val="22"/>
        </w:rPr>
        <w:t xml:space="preserve">and </w:t>
      </w:r>
      <w:r>
        <w:rPr>
          <w:rFonts w:ascii="Times New Roman" w:hAnsi="Times New Roman"/>
          <w:b/>
          <w:sz w:val="22"/>
        </w:rPr>
        <w:t xml:space="preserve">Limited Dentists: </w:t>
      </w:r>
      <w:r w:rsidR="00E15C11">
        <w:rPr>
          <w:rFonts w:ascii="Times New Roman" w:hAnsi="Times New Roman"/>
          <w:b/>
          <w:sz w:val="22"/>
        </w:rPr>
        <w:t>Forty (</w:t>
      </w:r>
      <w:r w:rsidR="00532922">
        <w:rPr>
          <w:rFonts w:ascii="Times New Roman" w:hAnsi="Times New Roman"/>
          <w:b/>
          <w:sz w:val="22"/>
        </w:rPr>
        <w:t>40</w:t>
      </w:r>
      <w:r w:rsidR="00E15C11">
        <w:rPr>
          <w:rFonts w:ascii="Times New Roman" w:hAnsi="Times New Roman"/>
          <w:b/>
          <w:sz w:val="22"/>
        </w:rPr>
        <w:t>)</w:t>
      </w:r>
      <w:r w:rsidR="00FA3B1B">
        <w:rPr>
          <w:rFonts w:ascii="Times New Roman" w:hAnsi="Times New Roman"/>
          <w:b/>
          <w:sz w:val="22"/>
        </w:rPr>
        <w:t xml:space="preserve"> C</w:t>
      </w:r>
      <w:r w:rsidR="009452AB">
        <w:rPr>
          <w:rFonts w:ascii="Times New Roman" w:hAnsi="Times New Roman"/>
          <w:b/>
          <w:sz w:val="22"/>
        </w:rPr>
        <w:t>redit</w:t>
      </w:r>
      <w:r w:rsidR="00FA3B1B">
        <w:rPr>
          <w:rFonts w:ascii="Times New Roman" w:hAnsi="Times New Roman"/>
          <w:b/>
          <w:sz w:val="22"/>
        </w:rPr>
        <w:t xml:space="preserve"> Hours Required for License Renewal</w:t>
      </w:r>
    </w:p>
    <w:p w14:paraId="33685971"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53C1F8A" w14:textId="21E0B2AD" w:rsidR="00FA3B1B" w:rsidRDefault="00357813" w:rsidP="0076132E">
      <w:pPr>
        <w:pStyle w:val="PlainText"/>
        <w:numPr>
          <w:ilvl w:val="0"/>
          <w:numId w:val="28"/>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sz w:val="22"/>
        </w:rPr>
        <w:t>N</w:t>
      </w:r>
      <w:r w:rsidR="00FA3B1B">
        <w:rPr>
          <w:rFonts w:ascii="Times New Roman" w:hAnsi="Times New Roman"/>
          <w:sz w:val="22"/>
        </w:rPr>
        <w:t xml:space="preserve">o license will be renewed unless the licensee has completed </w:t>
      </w:r>
      <w:r w:rsidR="009452AB">
        <w:rPr>
          <w:rFonts w:ascii="Times New Roman" w:hAnsi="Times New Roman"/>
          <w:sz w:val="22"/>
        </w:rPr>
        <w:t>40</w:t>
      </w:r>
      <w:r w:rsidR="00FA3B1B">
        <w:rPr>
          <w:rFonts w:ascii="Times New Roman" w:hAnsi="Times New Roman"/>
          <w:sz w:val="22"/>
        </w:rPr>
        <w:t xml:space="preserve"> </w:t>
      </w:r>
      <w:r w:rsidR="009452AB">
        <w:rPr>
          <w:rFonts w:ascii="Times New Roman" w:hAnsi="Times New Roman"/>
          <w:sz w:val="22"/>
        </w:rPr>
        <w:t>credit</w:t>
      </w:r>
      <w:r w:rsidR="00FA3B1B">
        <w:rPr>
          <w:rFonts w:ascii="Times New Roman" w:hAnsi="Times New Roman"/>
          <w:sz w:val="22"/>
        </w:rPr>
        <w:t xml:space="preserve"> hours of continuing education directly related to </w:t>
      </w:r>
      <w:r w:rsidR="00C223C2">
        <w:rPr>
          <w:rFonts w:ascii="Times New Roman" w:hAnsi="Times New Roman"/>
          <w:sz w:val="22"/>
        </w:rPr>
        <w:t>dental practice</w:t>
      </w:r>
      <w:r w:rsidR="00FA3B1B">
        <w:rPr>
          <w:rFonts w:ascii="Times New Roman" w:hAnsi="Times New Roman"/>
          <w:sz w:val="22"/>
        </w:rPr>
        <w:t xml:space="preserve"> during the preceding biennial license te</w:t>
      </w:r>
      <w:r w:rsidR="00930BAA">
        <w:rPr>
          <w:rFonts w:ascii="Times New Roman" w:hAnsi="Times New Roman"/>
          <w:sz w:val="22"/>
        </w:rPr>
        <w:t xml:space="preserve">rm as set forth in this </w:t>
      </w:r>
      <w:r w:rsidR="00A718F4">
        <w:rPr>
          <w:rFonts w:ascii="Times New Roman" w:hAnsi="Times New Roman"/>
          <w:sz w:val="22"/>
        </w:rPr>
        <w:t>subsection</w:t>
      </w:r>
      <w:r w:rsidR="00930BAA">
        <w:rPr>
          <w:rFonts w:ascii="Times New Roman" w:hAnsi="Times New Roman"/>
          <w:sz w:val="22"/>
        </w:rPr>
        <w:t xml:space="preserve"> </w:t>
      </w:r>
      <w:r w:rsidR="00726D6B">
        <w:rPr>
          <w:rFonts w:ascii="Times New Roman" w:hAnsi="Times New Roman"/>
          <w:sz w:val="22"/>
        </w:rPr>
        <w:t>and</w:t>
      </w:r>
      <w:r w:rsidR="00930BAA">
        <w:rPr>
          <w:rFonts w:ascii="Times New Roman" w:hAnsi="Times New Roman"/>
          <w:sz w:val="22"/>
        </w:rPr>
        <w:t xml:space="preserve"> has a current</w:t>
      </w:r>
      <w:r w:rsidR="004F6ED9">
        <w:rPr>
          <w:rFonts w:ascii="Times New Roman" w:hAnsi="Times New Roman"/>
          <w:sz w:val="22"/>
        </w:rPr>
        <w:t xml:space="preserve"> </w:t>
      </w:r>
      <w:r w:rsidR="008C6FC0" w:rsidRPr="00AC02DC">
        <w:rPr>
          <w:rFonts w:ascii="Times New Roman" w:hAnsi="Times New Roman"/>
          <w:sz w:val="22"/>
        </w:rPr>
        <w:t xml:space="preserve">BLS </w:t>
      </w:r>
      <w:r w:rsidR="00930BAA">
        <w:rPr>
          <w:rFonts w:ascii="Times New Roman" w:hAnsi="Times New Roman"/>
          <w:sz w:val="22"/>
        </w:rPr>
        <w:t>certification</w:t>
      </w:r>
      <w:r w:rsidR="00726D6B">
        <w:rPr>
          <w:rFonts w:ascii="Times New Roman" w:hAnsi="Times New Roman"/>
          <w:sz w:val="22"/>
        </w:rPr>
        <w:t>.</w:t>
      </w:r>
      <w:r w:rsidR="00FA1FBD">
        <w:rPr>
          <w:rFonts w:ascii="Times New Roman" w:hAnsi="Times New Roman"/>
          <w:sz w:val="22"/>
        </w:rPr>
        <w:t xml:space="preserve"> The biennial license term begins January 1 of even numbered years and ends December 31</w:t>
      </w:r>
      <w:r w:rsidR="00FA1FBD" w:rsidRPr="00FA1FBD">
        <w:rPr>
          <w:rFonts w:ascii="Times New Roman" w:hAnsi="Times New Roman"/>
          <w:sz w:val="22"/>
          <w:vertAlign w:val="superscript"/>
        </w:rPr>
        <w:t>st</w:t>
      </w:r>
      <w:r w:rsidR="00FA1FBD">
        <w:rPr>
          <w:rFonts w:ascii="Times New Roman" w:hAnsi="Times New Roman"/>
          <w:sz w:val="22"/>
        </w:rPr>
        <w:t xml:space="preserve"> of odd numbered years.</w:t>
      </w:r>
    </w:p>
    <w:p w14:paraId="2E92C2A8" w14:textId="77777777" w:rsidR="00C365F1" w:rsidRDefault="00C365F1" w:rsidP="0076132E">
      <w:pPr>
        <w:pStyle w:val="PlainText"/>
        <w:tabs>
          <w:tab w:val="left" w:pos="720"/>
          <w:tab w:val="left" w:pos="1440"/>
          <w:tab w:val="left" w:pos="2160"/>
          <w:tab w:val="left" w:pos="2880"/>
          <w:tab w:val="left" w:pos="3600"/>
          <w:tab w:val="left" w:pos="4320"/>
        </w:tabs>
        <w:ind w:left="2160"/>
        <w:rPr>
          <w:rFonts w:ascii="Times New Roman" w:hAnsi="Times New Roman"/>
          <w:sz w:val="22"/>
        </w:rPr>
      </w:pPr>
    </w:p>
    <w:p w14:paraId="4F42727C" w14:textId="77777777" w:rsidR="00F51F0C" w:rsidRPr="0076132E" w:rsidRDefault="00F51F0C" w:rsidP="0076132E">
      <w:pPr>
        <w:pStyle w:val="PlainText"/>
        <w:numPr>
          <w:ilvl w:val="0"/>
          <w:numId w:val="36"/>
        </w:numPr>
        <w:tabs>
          <w:tab w:val="left" w:pos="720"/>
          <w:tab w:val="left" w:pos="1440"/>
          <w:tab w:val="left" w:pos="2160"/>
          <w:tab w:val="left" w:pos="2880"/>
          <w:tab w:val="left" w:pos="3600"/>
          <w:tab w:val="left" w:pos="4320"/>
        </w:tabs>
        <w:ind w:hanging="720"/>
        <w:rPr>
          <w:rFonts w:ascii="Times New Roman" w:hAnsi="Times New Roman"/>
          <w:b/>
          <w:sz w:val="22"/>
        </w:rPr>
      </w:pPr>
      <w:r w:rsidRPr="0076132E">
        <w:rPr>
          <w:rFonts w:ascii="Times New Roman" w:hAnsi="Times New Roman"/>
          <w:b/>
          <w:sz w:val="22"/>
        </w:rPr>
        <w:t>Required Areas of Study</w:t>
      </w:r>
    </w:p>
    <w:p w14:paraId="432ED584"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6C1F3F4" w14:textId="77777777" w:rsidR="00E15C11" w:rsidRDefault="00F51F0C" w:rsidP="0076132E">
      <w:pPr>
        <w:pStyle w:val="PlainText"/>
        <w:numPr>
          <w:ilvl w:val="3"/>
          <w:numId w:val="1"/>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sz w:val="22"/>
        </w:rPr>
        <w:t>As a condition of prescribing opioid medication, a</w:t>
      </w:r>
      <w:r w:rsidR="00E15C11">
        <w:rPr>
          <w:rFonts w:ascii="Times New Roman" w:hAnsi="Times New Roman"/>
          <w:sz w:val="22"/>
        </w:rPr>
        <w:t xml:space="preserve">t least </w:t>
      </w:r>
      <w:r w:rsidR="00D56AB3">
        <w:rPr>
          <w:rFonts w:ascii="Times New Roman" w:hAnsi="Times New Roman"/>
          <w:sz w:val="22"/>
        </w:rPr>
        <w:t>3</w:t>
      </w:r>
      <w:r w:rsidR="00E15C11">
        <w:rPr>
          <w:rFonts w:ascii="Times New Roman" w:hAnsi="Times New Roman"/>
          <w:sz w:val="22"/>
        </w:rPr>
        <w:t xml:space="preserve"> of the 40 credit hours </w:t>
      </w:r>
      <w:r w:rsidR="009D65F5">
        <w:rPr>
          <w:rFonts w:ascii="Times New Roman" w:hAnsi="Times New Roman"/>
          <w:sz w:val="22"/>
        </w:rPr>
        <w:t xml:space="preserve">of continuing education </w:t>
      </w:r>
      <w:r w:rsidR="00E15C11">
        <w:rPr>
          <w:rFonts w:ascii="Times New Roman" w:hAnsi="Times New Roman"/>
          <w:sz w:val="22"/>
        </w:rPr>
        <w:t xml:space="preserve">must be earned </w:t>
      </w:r>
      <w:r>
        <w:rPr>
          <w:rFonts w:ascii="Times New Roman" w:hAnsi="Times New Roman"/>
          <w:sz w:val="22"/>
        </w:rPr>
        <w:t>on the</w:t>
      </w:r>
      <w:r w:rsidR="00726D6B">
        <w:rPr>
          <w:rFonts w:ascii="Times New Roman" w:hAnsi="Times New Roman"/>
          <w:sz w:val="22"/>
        </w:rPr>
        <w:t xml:space="preserve"> </w:t>
      </w:r>
      <w:r>
        <w:rPr>
          <w:rFonts w:ascii="Times New Roman" w:hAnsi="Times New Roman"/>
          <w:sz w:val="22"/>
        </w:rPr>
        <w:t xml:space="preserve">prescription of </w:t>
      </w:r>
      <w:r w:rsidR="00E15C11">
        <w:rPr>
          <w:rFonts w:ascii="Times New Roman" w:hAnsi="Times New Roman"/>
          <w:sz w:val="22"/>
        </w:rPr>
        <w:t xml:space="preserve">opioid medication. </w:t>
      </w:r>
    </w:p>
    <w:p w14:paraId="09B8D107" w14:textId="77777777" w:rsidR="00B90649" w:rsidRDefault="00B90649" w:rsidP="0076132E">
      <w:pPr>
        <w:pStyle w:val="PlainText"/>
        <w:tabs>
          <w:tab w:val="left" w:pos="720"/>
          <w:tab w:val="left" w:pos="1440"/>
          <w:tab w:val="left" w:pos="2160"/>
          <w:tab w:val="left" w:pos="2880"/>
          <w:tab w:val="left" w:pos="3600"/>
          <w:tab w:val="left" w:pos="4320"/>
        </w:tabs>
        <w:ind w:hanging="720"/>
        <w:rPr>
          <w:rFonts w:ascii="Times New Roman" w:hAnsi="Times New Roman"/>
          <w:sz w:val="22"/>
        </w:rPr>
      </w:pPr>
    </w:p>
    <w:p w14:paraId="1237B6EA" w14:textId="77777777" w:rsidR="00B90649" w:rsidRDefault="00F51F0C" w:rsidP="0076132E">
      <w:pPr>
        <w:pStyle w:val="PlainText"/>
        <w:numPr>
          <w:ilvl w:val="3"/>
          <w:numId w:val="1"/>
        </w:numPr>
        <w:tabs>
          <w:tab w:val="left" w:pos="720"/>
          <w:tab w:val="left" w:pos="1440"/>
          <w:tab w:val="left" w:pos="2160"/>
          <w:tab w:val="left" w:pos="2880"/>
          <w:tab w:val="left" w:pos="3600"/>
          <w:tab w:val="left" w:pos="4320"/>
        </w:tabs>
        <w:ind w:right="-90" w:hanging="720"/>
        <w:rPr>
          <w:rFonts w:ascii="Times New Roman" w:hAnsi="Times New Roman"/>
          <w:sz w:val="22"/>
        </w:rPr>
      </w:pPr>
      <w:r>
        <w:rPr>
          <w:rFonts w:ascii="Times New Roman" w:hAnsi="Times New Roman"/>
          <w:sz w:val="22"/>
        </w:rPr>
        <w:t xml:space="preserve">As a condition of holding a sedation permit issued by the </w:t>
      </w:r>
      <w:r w:rsidR="00067DF4">
        <w:rPr>
          <w:rFonts w:ascii="Times New Roman" w:hAnsi="Times New Roman"/>
          <w:sz w:val="22"/>
        </w:rPr>
        <w:t>Board</w:t>
      </w:r>
      <w:r>
        <w:rPr>
          <w:rFonts w:ascii="Times New Roman" w:hAnsi="Times New Roman"/>
          <w:sz w:val="22"/>
        </w:rPr>
        <w:t>, a</w:t>
      </w:r>
      <w:r w:rsidR="00B90649" w:rsidRPr="00207327">
        <w:rPr>
          <w:rFonts w:ascii="Times New Roman" w:hAnsi="Times New Roman"/>
          <w:sz w:val="22"/>
        </w:rPr>
        <w:t xml:space="preserve">t least 6 of the 40 credit hours </w:t>
      </w:r>
      <w:r w:rsidR="009D65F5">
        <w:rPr>
          <w:rFonts w:ascii="Times New Roman" w:hAnsi="Times New Roman"/>
          <w:sz w:val="22"/>
        </w:rPr>
        <w:t xml:space="preserve">of continuing education </w:t>
      </w:r>
      <w:r w:rsidR="00B90649" w:rsidRPr="00207327">
        <w:rPr>
          <w:rFonts w:ascii="Times New Roman" w:hAnsi="Times New Roman"/>
          <w:sz w:val="22"/>
        </w:rPr>
        <w:t>must be earned in sedation and/or anesthesia, physical diagnosis, complications, and techniques.</w:t>
      </w:r>
      <w:r w:rsidR="00377A60">
        <w:rPr>
          <w:rFonts w:ascii="Times New Roman" w:hAnsi="Times New Roman"/>
          <w:sz w:val="22"/>
        </w:rPr>
        <w:t xml:space="preserve"> </w:t>
      </w:r>
    </w:p>
    <w:p w14:paraId="7E70D96A" w14:textId="77777777" w:rsidR="009452AB" w:rsidRPr="00207327" w:rsidRDefault="009452A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A51B05E" w14:textId="77777777" w:rsidR="00FA3B1B" w:rsidRDefault="00726D6B"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 xml:space="preserve">Dental Hygienists and Faculty Dental Hygienists: </w:t>
      </w:r>
      <w:r w:rsidR="00E15C11">
        <w:rPr>
          <w:rFonts w:ascii="Times New Roman" w:hAnsi="Times New Roman"/>
          <w:b/>
          <w:sz w:val="22"/>
        </w:rPr>
        <w:t xml:space="preserve">Thirty (30) Credit Hours Required for </w:t>
      </w:r>
      <w:r>
        <w:rPr>
          <w:rFonts w:ascii="Times New Roman" w:hAnsi="Times New Roman"/>
          <w:b/>
          <w:sz w:val="22"/>
        </w:rPr>
        <w:t>License Renewal</w:t>
      </w:r>
    </w:p>
    <w:p w14:paraId="3AE7DF8A"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C777F5B" w14:textId="44335F9A" w:rsidR="00930BAA" w:rsidRDefault="00FA3B1B"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357813">
        <w:rPr>
          <w:rFonts w:ascii="Times New Roman" w:hAnsi="Times New Roman"/>
          <w:sz w:val="22"/>
        </w:rPr>
        <w:t>N</w:t>
      </w:r>
      <w:r w:rsidR="00930BAA">
        <w:rPr>
          <w:rFonts w:ascii="Times New Roman" w:hAnsi="Times New Roman"/>
          <w:sz w:val="22"/>
        </w:rPr>
        <w:t xml:space="preserve">o license will be renewed unless the licensee has completed 30 credit hours of continuing education directly related to </w:t>
      </w:r>
      <w:r w:rsidR="004634BA">
        <w:rPr>
          <w:rFonts w:ascii="Times New Roman" w:hAnsi="Times New Roman"/>
          <w:sz w:val="22"/>
        </w:rPr>
        <w:t>dental practice</w:t>
      </w:r>
      <w:r w:rsidR="00930BAA">
        <w:rPr>
          <w:rFonts w:ascii="Times New Roman" w:hAnsi="Times New Roman"/>
          <w:sz w:val="22"/>
        </w:rPr>
        <w:t xml:space="preserve"> during the preceding biennial license term as set forth in this </w:t>
      </w:r>
      <w:r w:rsidR="00A718F4">
        <w:rPr>
          <w:rFonts w:ascii="Times New Roman" w:hAnsi="Times New Roman"/>
          <w:sz w:val="22"/>
        </w:rPr>
        <w:t>subsection</w:t>
      </w:r>
      <w:r w:rsidR="00930BAA">
        <w:rPr>
          <w:rFonts w:ascii="Times New Roman" w:hAnsi="Times New Roman"/>
          <w:sz w:val="22"/>
        </w:rPr>
        <w:t xml:space="preserve"> and has a current </w:t>
      </w:r>
      <w:r w:rsidR="008C6FC0" w:rsidRPr="00AC02DC">
        <w:rPr>
          <w:rFonts w:ascii="Times New Roman" w:hAnsi="Times New Roman"/>
          <w:sz w:val="22"/>
        </w:rPr>
        <w:t>BLS</w:t>
      </w:r>
      <w:r w:rsidR="008C6FC0">
        <w:rPr>
          <w:rFonts w:ascii="Times New Roman" w:hAnsi="Times New Roman"/>
          <w:sz w:val="22"/>
        </w:rPr>
        <w:t xml:space="preserve"> </w:t>
      </w:r>
      <w:r w:rsidR="00930BAA">
        <w:rPr>
          <w:rFonts w:ascii="Times New Roman" w:hAnsi="Times New Roman"/>
          <w:sz w:val="22"/>
        </w:rPr>
        <w:t>certification.</w:t>
      </w:r>
      <w:r w:rsidR="00FA1FBD">
        <w:rPr>
          <w:rFonts w:ascii="Times New Roman" w:hAnsi="Times New Roman"/>
          <w:sz w:val="22"/>
        </w:rPr>
        <w:t xml:space="preserve"> The biennial license term begins January 1 of odd numbered years and ends December 31</w:t>
      </w:r>
      <w:r w:rsidR="00FA1FBD" w:rsidRPr="00967039">
        <w:rPr>
          <w:rFonts w:ascii="Times New Roman" w:hAnsi="Times New Roman"/>
          <w:sz w:val="22"/>
          <w:vertAlign w:val="superscript"/>
        </w:rPr>
        <w:t>st</w:t>
      </w:r>
      <w:r w:rsidR="00FA1FBD">
        <w:rPr>
          <w:rFonts w:ascii="Times New Roman" w:hAnsi="Times New Roman"/>
          <w:sz w:val="22"/>
        </w:rPr>
        <w:t xml:space="preserve"> of even numbered years.</w:t>
      </w:r>
    </w:p>
    <w:p w14:paraId="3F5DB82D" w14:textId="77777777" w:rsidR="0036296B" w:rsidRDefault="0036296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96F6267" w14:textId="77777777" w:rsidR="00930BAA" w:rsidRDefault="00D56AB3"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Denturists</w:t>
      </w:r>
      <w:r w:rsidR="00EF552C">
        <w:rPr>
          <w:rFonts w:ascii="Times New Roman" w:hAnsi="Times New Roman"/>
          <w:b/>
          <w:sz w:val="22"/>
        </w:rPr>
        <w:t xml:space="preserve"> and Faculty Denturists</w:t>
      </w:r>
      <w:r>
        <w:rPr>
          <w:rFonts w:ascii="Times New Roman" w:hAnsi="Times New Roman"/>
          <w:b/>
          <w:sz w:val="22"/>
        </w:rPr>
        <w:t xml:space="preserve">: </w:t>
      </w:r>
      <w:r w:rsidR="00F258E3">
        <w:rPr>
          <w:rFonts w:ascii="Times New Roman" w:hAnsi="Times New Roman"/>
          <w:b/>
          <w:sz w:val="22"/>
        </w:rPr>
        <w:t xml:space="preserve">Thirty (30) </w:t>
      </w:r>
      <w:r w:rsidR="00930BAA">
        <w:rPr>
          <w:rFonts w:ascii="Times New Roman" w:hAnsi="Times New Roman"/>
          <w:b/>
          <w:sz w:val="22"/>
        </w:rPr>
        <w:t xml:space="preserve">Credit Hours Required for </w:t>
      </w:r>
      <w:r>
        <w:rPr>
          <w:rFonts w:ascii="Times New Roman" w:hAnsi="Times New Roman"/>
          <w:b/>
          <w:sz w:val="22"/>
        </w:rPr>
        <w:t>License Renewal</w:t>
      </w:r>
    </w:p>
    <w:p w14:paraId="111ECAE9" w14:textId="77777777" w:rsidR="00930BAA" w:rsidRDefault="00930BAA"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55AF6AD" w14:textId="01E77F1A" w:rsidR="00930BAA" w:rsidRDefault="00930BAA"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lastRenderedPageBreak/>
        <w:tab/>
      </w:r>
      <w:r>
        <w:rPr>
          <w:rFonts w:ascii="Times New Roman" w:hAnsi="Times New Roman"/>
          <w:sz w:val="22"/>
        </w:rPr>
        <w:tab/>
      </w:r>
      <w:r w:rsidR="00357813">
        <w:rPr>
          <w:rFonts w:ascii="Times New Roman" w:hAnsi="Times New Roman"/>
          <w:sz w:val="22"/>
        </w:rPr>
        <w:t>N</w:t>
      </w:r>
      <w:r>
        <w:rPr>
          <w:rFonts w:ascii="Times New Roman" w:hAnsi="Times New Roman"/>
          <w:sz w:val="22"/>
        </w:rPr>
        <w:t xml:space="preserve">o license will be renewed unless the licensee has completed </w:t>
      </w:r>
      <w:r w:rsidR="00917E3C">
        <w:rPr>
          <w:rFonts w:ascii="Times New Roman" w:hAnsi="Times New Roman"/>
          <w:sz w:val="22"/>
        </w:rPr>
        <w:t xml:space="preserve">30 </w:t>
      </w:r>
      <w:r>
        <w:rPr>
          <w:rFonts w:ascii="Times New Roman" w:hAnsi="Times New Roman"/>
          <w:sz w:val="22"/>
        </w:rPr>
        <w:t xml:space="preserve">credit hours of continuing education directly related to </w:t>
      </w:r>
      <w:r w:rsidR="004634BA">
        <w:rPr>
          <w:rFonts w:ascii="Times New Roman" w:hAnsi="Times New Roman"/>
          <w:sz w:val="22"/>
        </w:rPr>
        <w:t>dental practice</w:t>
      </w:r>
      <w:r>
        <w:rPr>
          <w:rFonts w:ascii="Times New Roman" w:hAnsi="Times New Roman"/>
          <w:sz w:val="22"/>
        </w:rPr>
        <w:t xml:space="preserve"> during the preceding biennial license term as set forth in this </w:t>
      </w:r>
      <w:r w:rsidR="00307393">
        <w:rPr>
          <w:rFonts w:ascii="Times New Roman" w:hAnsi="Times New Roman"/>
          <w:sz w:val="22"/>
        </w:rPr>
        <w:t>subsection</w:t>
      </w:r>
      <w:r>
        <w:rPr>
          <w:rFonts w:ascii="Times New Roman" w:hAnsi="Times New Roman"/>
          <w:sz w:val="22"/>
        </w:rPr>
        <w:t xml:space="preserve"> and has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FA1FBD">
        <w:rPr>
          <w:rFonts w:ascii="Times New Roman" w:hAnsi="Times New Roman"/>
          <w:sz w:val="22"/>
        </w:rPr>
        <w:t xml:space="preserve"> The biennial license term begins January 1 of odd numbered years and ends December 31</w:t>
      </w:r>
      <w:r w:rsidR="00FA1FBD" w:rsidRPr="00967039">
        <w:rPr>
          <w:rFonts w:ascii="Times New Roman" w:hAnsi="Times New Roman"/>
          <w:sz w:val="22"/>
          <w:vertAlign w:val="superscript"/>
        </w:rPr>
        <w:t>st</w:t>
      </w:r>
      <w:r w:rsidR="00FA1FBD">
        <w:rPr>
          <w:rFonts w:ascii="Times New Roman" w:hAnsi="Times New Roman"/>
          <w:sz w:val="22"/>
        </w:rPr>
        <w:t xml:space="preserve"> of even numbered years.</w:t>
      </w:r>
    </w:p>
    <w:p w14:paraId="6DB6473A" w14:textId="77777777" w:rsidR="00641447" w:rsidRDefault="00641447"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p>
    <w:p w14:paraId="04D769FE" w14:textId="77777777" w:rsidR="00D56AB3" w:rsidRDefault="00D56AB3"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Expanded Function Dental Assistants: Fifty (50) Credit Hours Required for License Renewal</w:t>
      </w:r>
    </w:p>
    <w:p w14:paraId="5709FABB" w14:textId="77777777" w:rsidR="00D56AB3" w:rsidRDefault="00D56AB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34E4C062" w14:textId="2903A7FE" w:rsidR="00D56AB3" w:rsidRDefault="00D56AB3"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357813">
        <w:rPr>
          <w:rFonts w:ascii="Times New Roman" w:hAnsi="Times New Roman"/>
          <w:sz w:val="22"/>
        </w:rPr>
        <w:t>N</w:t>
      </w:r>
      <w:r>
        <w:rPr>
          <w:rFonts w:ascii="Times New Roman" w:hAnsi="Times New Roman"/>
          <w:sz w:val="22"/>
        </w:rPr>
        <w:t xml:space="preserve">o license will be renewed unless the licensee has completed 50 credit hours of continuing education directly related to </w:t>
      </w:r>
      <w:r w:rsidR="004634BA">
        <w:rPr>
          <w:rFonts w:ascii="Times New Roman" w:hAnsi="Times New Roman"/>
          <w:sz w:val="22"/>
        </w:rPr>
        <w:t>dental practice</w:t>
      </w:r>
      <w:r>
        <w:rPr>
          <w:rFonts w:ascii="Times New Roman" w:hAnsi="Times New Roman"/>
          <w:sz w:val="22"/>
        </w:rPr>
        <w:t xml:space="preserve"> during the preceding five-year license term as set forth in this </w:t>
      </w:r>
      <w:r w:rsidR="00307393">
        <w:rPr>
          <w:rFonts w:ascii="Times New Roman" w:hAnsi="Times New Roman"/>
          <w:sz w:val="22"/>
        </w:rPr>
        <w:t>subsection</w:t>
      </w:r>
      <w:r>
        <w:rPr>
          <w:rFonts w:ascii="Times New Roman" w:hAnsi="Times New Roman"/>
          <w:sz w:val="22"/>
        </w:rPr>
        <w:t xml:space="preserve"> and has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FA1FBD">
        <w:rPr>
          <w:rFonts w:ascii="Times New Roman" w:hAnsi="Times New Roman"/>
          <w:sz w:val="22"/>
        </w:rPr>
        <w:t xml:space="preserve"> The license term begins the day the license is issued and ends</w:t>
      </w:r>
      <w:r w:rsidR="00307393">
        <w:rPr>
          <w:rFonts w:ascii="Times New Roman" w:hAnsi="Times New Roman"/>
          <w:sz w:val="22"/>
        </w:rPr>
        <w:t xml:space="preserve"> in</w:t>
      </w:r>
      <w:r w:rsidR="00FA1FBD">
        <w:rPr>
          <w:rFonts w:ascii="Times New Roman" w:hAnsi="Times New Roman"/>
          <w:sz w:val="22"/>
        </w:rPr>
        <w:t xml:space="preserve"> five years on the last day in the month in which the license was issued.</w:t>
      </w:r>
    </w:p>
    <w:p w14:paraId="46B55162" w14:textId="77777777" w:rsidR="004634BA" w:rsidRDefault="004634BA"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p>
    <w:p w14:paraId="34FFF804" w14:textId="076A6543" w:rsidR="00D56AB3" w:rsidRDefault="00EF552C"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Dental Radiograph</w:t>
      </w:r>
      <w:r w:rsidR="00D56AB3">
        <w:rPr>
          <w:rFonts w:ascii="Times New Roman" w:hAnsi="Times New Roman"/>
          <w:b/>
          <w:sz w:val="22"/>
        </w:rPr>
        <w:t xml:space="preserve">ers: Re-certification of </w:t>
      </w:r>
      <w:r w:rsidR="008C6FC0" w:rsidRPr="00AC02DC">
        <w:rPr>
          <w:rFonts w:ascii="Times New Roman" w:hAnsi="Times New Roman"/>
          <w:b/>
          <w:sz w:val="22"/>
        </w:rPr>
        <w:t>BLS</w:t>
      </w:r>
    </w:p>
    <w:p w14:paraId="5ADA7C01" w14:textId="77777777" w:rsidR="00D56AB3" w:rsidRDefault="00D56AB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AD4284E" w14:textId="7A778209" w:rsidR="00D56AB3" w:rsidRDefault="00D56AB3"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357813">
        <w:rPr>
          <w:rFonts w:ascii="Times New Roman" w:hAnsi="Times New Roman"/>
          <w:sz w:val="22"/>
        </w:rPr>
        <w:t>N</w:t>
      </w:r>
      <w:r>
        <w:rPr>
          <w:rFonts w:ascii="Times New Roman" w:hAnsi="Times New Roman"/>
          <w:sz w:val="22"/>
        </w:rPr>
        <w:t xml:space="preserve">o license will be renewed unless the licensee has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BC58E1">
        <w:rPr>
          <w:rFonts w:ascii="Times New Roman" w:hAnsi="Times New Roman"/>
          <w:sz w:val="22"/>
        </w:rPr>
        <w:t>.</w:t>
      </w:r>
      <w:r w:rsidR="004634BA">
        <w:rPr>
          <w:rFonts w:ascii="Times New Roman" w:hAnsi="Times New Roman"/>
          <w:sz w:val="22"/>
        </w:rPr>
        <w:t xml:space="preserve"> </w:t>
      </w:r>
    </w:p>
    <w:p w14:paraId="081AE812" w14:textId="77777777" w:rsidR="00045BE3" w:rsidRDefault="00045BE3" w:rsidP="0076132E">
      <w:pPr>
        <w:tabs>
          <w:tab w:val="left" w:pos="720"/>
          <w:tab w:val="left" w:pos="1440"/>
          <w:tab w:val="left" w:pos="2160"/>
          <w:tab w:val="left" w:pos="2880"/>
          <w:tab w:val="left" w:pos="3600"/>
          <w:tab w:val="left" w:pos="4320"/>
        </w:tabs>
        <w:ind w:left="720"/>
        <w:rPr>
          <w:sz w:val="22"/>
        </w:rPr>
      </w:pPr>
    </w:p>
    <w:p w14:paraId="0B45A2B4" w14:textId="77777777" w:rsidR="00045BE3" w:rsidRPr="00552CEC" w:rsidRDefault="00045BE3" w:rsidP="0076132E">
      <w:pPr>
        <w:tabs>
          <w:tab w:val="left" w:pos="720"/>
          <w:tab w:val="left" w:pos="1440"/>
          <w:tab w:val="left" w:pos="2160"/>
          <w:tab w:val="left" w:pos="2880"/>
          <w:tab w:val="left" w:pos="3600"/>
          <w:tab w:val="left" w:pos="4320"/>
        </w:tabs>
        <w:ind w:left="720"/>
        <w:rPr>
          <w:sz w:val="22"/>
        </w:rPr>
      </w:pPr>
    </w:p>
    <w:p w14:paraId="097F94A8" w14:textId="77777777" w:rsidR="00CE572F" w:rsidRDefault="00CE572F"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II.</w:t>
      </w:r>
      <w:r>
        <w:rPr>
          <w:rFonts w:ascii="Times New Roman" w:hAnsi="Times New Roman"/>
          <w:b/>
          <w:sz w:val="22"/>
        </w:rPr>
        <w:tab/>
      </w:r>
      <w:r w:rsidR="00C17DD9">
        <w:rPr>
          <w:rFonts w:ascii="Times New Roman" w:hAnsi="Times New Roman"/>
          <w:b/>
          <w:sz w:val="22"/>
        </w:rPr>
        <w:t xml:space="preserve">Eligible </w:t>
      </w:r>
      <w:r>
        <w:rPr>
          <w:rFonts w:ascii="Times New Roman" w:hAnsi="Times New Roman"/>
          <w:b/>
          <w:sz w:val="22"/>
        </w:rPr>
        <w:t>Continuing Education Activities</w:t>
      </w:r>
    </w:p>
    <w:p w14:paraId="7E76AC85" w14:textId="77777777" w:rsidR="00CE572F" w:rsidRDefault="00CE572F"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9C57310" w14:textId="77777777" w:rsidR="00CE572F" w:rsidRDefault="00CE572F" w:rsidP="0076132E">
      <w:pPr>
        <w:pStyle w:val="PlainText"/>
        <w:tabs>
          <w:tab w:val="left" w:pos="720"/>
          <w:tab w:val="left" w:pos="1440"/>
          <w:tab w:val="left" w:pos="2160"/>
          <w:tab w:val="left" w:pos="2880"/>
          <w:tab w:val="left" w:pos="3600"/>
          <w:tab w:val="left" w:pos="4320"/>
        </w:tabs>
        <w:ind w:left="720"/>
        <w:rPr>
          <w:rFonts w:ascii="Times New Roman" w:hAnsi="Times New Roman"/>
          <w:sz w:val="22"/>
        </w:rPr>
      </w:pPr>
      <w:r>
        <w:rPr>
          <w:rFonts w:ascii="Times New Roman" w:hAnsi="Times New Roman"/>
          <w:sz w:val="22"/>
        </w:rPr>
        <w:t xml:space="preserve">Continuing education credit hours </w:t>
      </w:r>
      <w:r w:rsidR="00C17DD9">
        <w:rPr>
          <w:rFonts w:ascii="Times New Roman" w:hAnsi="Times New Roman"/>
          <w:sz w:val="22"/>
        </w:rPr>
        <w:t xml:space="preserve">that directly relate to </w:t>
      </w:r>
      <w:r w:rsidR="004634BA">
        <w:rPr>
          <w:rFonts w:ascii="Times New Roman" w:hAnsi="Times New Roman"/>
          <w:sz w:val="22"/>
        </w:rPr>
        <w:t xml:space="preserve">dental practice </w:t>
      </w:r>
      <w:r>
        <w:rPr>
          <w:rFonts w:ascii="Times New Roman" w:hAnsi="Times New Roman"/>
          <w:sz w:val="22"/>
        </w:rPr>
        <w:t xml:space="preserve">may be earned </w:t>
      </w:r>
      <w:r w:rsidR="00307393">
        <w:rPr>
          <w:rFonts w:ascii="Times New Roman" w:hAnsi="Times New Roman"/>
          <w:sz w:val="22"/>
        </w:rPr>
        <w:t xml:space="preserve">only </w:t>
      </w:r>
      <w:r>
        <w:rPr>
          <w:rFonts w:ascii="Times New Roman" w:hAnsi="Times New Roman"/>
          <w:sz w:val="22"/>
        </w:rPr>
        <w:t>by participation in the following activities:</w:t>
      </w:r>
    </w:p>
    <w:p w14:paraId="16DBF353" w14:textId="77777777" w:rsidR="00CE572F" w:rsidRDefault="00CE572F"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F1267B6" w14:textId="77777777" w:rsidR="008D132F" w:rsidRDefault="00B75C62" w:rsidP="0076132E">
      <w:pPr>
        <w:pStyle w:val="PlainText"/>
        <w:numPr>
          <w:ilvl w:val="4"/>
          <w:numId w:val="8"/>
        </w:numPr>
        <w:tabs>
          <w:tab w:val="left" w:pos="720"/>
          <w:tab w:val="left" w:pos="1440"/>
          <w:tab w:val="left" w:pos="2160"/>
          <w:tab w:val="left" w:pos="2880"/>
          <w:tab w:val="left" w:pos="3600"/>
          <w:tab w:val="left" w:pos="4320"/>
        </w:tabs>
        <w:ind w:left="1440" w:hanging="720"/>
        <w:rPr>
          <w:rFonts w:ascii="Times New Roman" w:hAnsi="Times New Roman"/>
          <w:b/>
          <w:sz w:val="22"/>
        </w:rPr>
      </w:pPr>
      <w:r>
        <w:rPr>
          <w:rFonts w:ascii="Times New Roman" w:hAnsi="Times New Roman"/>
          <w:b/>
          <w:sz w:val="22"/>
        </w:rPr>
        <w:t>There is no</w:t>
      </w:r>
      <w:r w:rsidR="008D132F">
        <w:rPr>
          <w:rFonts w:ascii="Times New Roman" w:hAnsi="Times New Roman"/>
          <w:b/>
          <w:sz w:val="22"/>
        </w:rPr>
        <w:t xml:space="preserve"> </w:t>
      </w:r>
      <w:r w:rsidR="003B263E">
        <w:rPr>
          <w:rFonts w:ascii="Times New Roman" w:hAnsi="Times New Roman"/>
          <w:b/>
          <w:sz w:val="22"/>
        </w:rPr>
        <w:t xml:space="preserve">credit </w:t>
      </w:r>
      <w:r w:rsidR="008D132F">
        <w:rPr>
          <w:rFonts w:ascii="Times New Roman" w:hAnsi="Times New Roman"/>
          <w:b/>
          <w:sz w:val="22"/>
        </w:rPr>
        <w:t xml:space="preserve">hour limit on </w:t>
      </w:r>
      <w:r w:rsidR="003B263E">
        <w:rPr>
          <w:rFonts w:ascii="Times New Roman" w:hAnsi="Times New Roman"/>
          <w:b/>
          <w:sz w:val="22"/>
        </w:rPr>
        <w:t xml:space="preserve">any of </w:t>
      </w:r>
      <w:r w:rsidR="008D132F">
        <w:rPr>
          <w:rFonts w:ascii="Times New Roman" w:hAnsi="Times New Roman"/>
          <w:b/>
          <w:sz w:val="22"/>
        </w:rPr>
        <w:t>the following activities:</w:t>
      </w:r>
    </w:p>
    <w:p w14:paraId="50215934" w14:textId="77777777" w:rsidR="008D132F" w:rsidRDefault="008D132F" w:rsidP="0076132E">
      <w:pPr>
        <w:pStyle w:val="PlainText"/>
        <w:tabs>
          <w:tab w:val="left" w:pos="720"/>
          <w:tab w:val="left" w:pos="1440"/>
          <w:tab w:val="left" w:pos="2160"/>
          <w:tab w:val="left" w:pos="2880"/>
          <w:tab w:val="left" w:pos="3600"/>
          <w:tab w:val="left" w:pos="4320"/>
        </w:tabs>
        <w:ind w:left="1440"/>
        <w:rPr>
          <w:rFonts w:ascii="Times New Roman" w:hAnsi="Times New Roman"/>
          <w:b/>
          <w:sz w:val="22"/>
        </w:rPr>
      </w:pPr>
    </w:p>
    <w:p w14:paraId="2A68008D" w14:textId="77777777" w:rsidR="00634631" w:rsidRDefault="00A15800" w:rsidP="0076132E">
      <w:pPr>
        <w:pStyle w:val="PlainText"/>
        <w:numPr>
          <w:ilvl w:val="0"/>
          <w:numId w:val="37"/>
        </w:numPr>
        <w:tabs>
          <w:tab w:val="left" w:pos="720"/>
          <w:tab w:val="left" w:pos="1440"/>
          <w:tab w:val="left" w:pos="2160"/>
          <w:tab w:val="left" w:pos="2880"/>
          <w:tab w:val="left" w:pos="3600"/>
          <w:tab w:val="left" w:pos="4320"/>
        </w:tabs>
        <w:ind w:left="2160" w:hanging="720"/>
        <w:rPr>
          <w:rFonts w:ascii="Times New Roman" w:hAnsi="Times New Roman"/>
          <w:sz w:val="22"/>
        </w:rPr>
      </w:pPr>
      <w:r w:rsidRPr="00C12056">
        <w:rPr>
          <w:rFonts w:ascii="Times New Roman" w:hAnsi="Times New Roman"/>
          <w:sz w:val="22"/>
        </w:rPr>
        <w:t>Presenta</w:t>
      </w:r>
      <w:r w:rsidRPr="002D3770">
        <w:rPr>
          <w:rFonts w:ascii="Times New Roman" w:hAnsi="Times New Roman"/>
          <w:sz w:val="22"/>
        </w:rPr>
        <w:t>tions, lectures, s</w:t>
      </w:r>
      <w:r w:rsidR="008D132F" w:rsidRPr="002D3770">
        <w:rPr>
          <w:rFonts w:ascii="Times New Roman" w:hAnsi="Times New Roman"/>
          <w:sz w:val="22"/>
        </w:rPr>
        <w:t xml:space="preserve">eminars, </w:t>
      </w:r>
      <w:r w:rsidR="00BC58E1">
        <w:rPr>
          <w:rFonts w:ascii="Times New Roman" w:hAnsi="Times New Roman"/>
          <w:sz w:val="22"/>
        </w:rPr>
        <w:t xml:space="preserve">and </w:t>
      </w:r>
      <w:r w:rsidR="008D132F" w:rsidRPr="002D3770">
        <w:rPr>
          <w:rFonts w:ascii="Times New Roman" w:hAnsi="Times New Roman"/>
          <w:sz w:val="22"/>
        </w:rPr>
        <w:t>workshops</w:t>
      </w:r>
      <w:r w:rsidR="008311F1">
        <w:rPr>
          <w:rFonts w:ascii="Times New Roman" w:hAnsi="Times New Roman"/>
          <w:sz w:val="22"/>
        </w:rPr>
        <w:t>.</w:t>
      </w:r>
    </w:p>
    <w:p w14:paraId="72E9E0D6" w14:textId="77777777" w:rsidR="0036296B" w:rsidRPr="00C12056" w:rsidRDefault="0036296B"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116353C0" w14:textId="77777777" w:rsidR="00634631" w:rsidRDefault="00634631" w:rsidP="0076132E">
      <w:pPr>
        <w:pStyle w:val="PlainText"/>
        <w:numPr>
          <w:ilvl w:val="0"/>
          <w:numId w:val="37"/>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Study clubs pre-approved pursuant to Section </w:t>
      </w:r>
      <w:r w:rsidR="00B75C62">
        <w:rPr>
          <w:rFonts w:ascii="Times New Roman" w:hAnsi="Times New Roman"/>
          <w:sz w:val="22"/>
        </w:rPr>
        <w:t>VI</w:t>
      </w:r>
      <w:r w:rsidR="008311F1">
        <w:rPr>
          <w:rFonts w:ascii="Times New Roman" w:hAnsi="Times New Roman"/>
          <w:sz w:val="22"/>
        </w:rPr>
        <w:t>.</w:t>
      </w:r>
    </w:p>
    <w:p w14:paraId="2A90B6B5" w14:textId="77777777" w:rsidR="00634631" w:rsidRPr="003B263E" w:rsidRDefault="00634631"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0CBDFBF3" w14:textId="77777777" w:rsidR="003B263E"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(3)</w:t>
      </w:r>
      <w:r w:rsidR="00307393">
        <w:rPr>
          <w:rFonts w:ascii="Times New Roman" w:hAnsi="Times New Roman"/>
          <w:sz w:val="22"/>
        </w:rPr>
        <w:tab/>
      </w:r>
      <w:r w:rsidR="003B263E" w:rsidRPr="00634631">
        <w:rPr>
          <w:rFonts w:ascii="Times New Roman" w:hAnsi="Times New Roman"/>
          <w:sz w:val="22"/>
        </w:rPr>
        <w:t xml:space="preserve">Post-graduate academic courses </w:t>
      </w:r>
      <w:r w:rsidR="00634631">
        <w:rPr>
          <w:rFonts w:ascii="Times New Roman" w:hAnsi="Times New Roman"/>
          <w:sz w:val="22"/>
        </w:rPr>
        <w:t xml:space="preserve">related </w:t>
      </w:r>
      <w:r w:rsidR="00AC4B61">
        <w:rPr>
          <w:rFonts w:ascii="Times New Roman" w:hAnsi="Times New Roman"/>
          <w:sz w:val="22"/>
        </w:rPr>
        <w:t xml:space="preserve">to dental </w:t>
      </w:r>
      <w:r w:rsidR="00DF5D3E">
        <w:rPr>
          <w:rFonts w:ascii="Times New Roman" w:hAnsi="Times New Roman"/>
          <w:sz w:val="22"/>
        </w:rPr>
        <w:t xml:space="preserve">practice </w:t>
      </w:r>
      <w:r w:rsidR="00AC4B61">
        <w:rPr>
          <w:rFonts w:ascii="Times New Roman" w:hAnsi="Times New Roman"/>
          <w:sz w:val="22"/>
        </w:rPr>
        <w:t>or medical degree program</w:t>
      </w:r>
      <w:r w:rsidR="00307393">
        <w:rPr>
          <w:rFonts w:ascii="Times New Roman" w:hAnsi="Times New Roman"/>
          <w:sz w:val="22"/>
        </w:rPr>
        <w:t>s</w:t>
      </w:r>
      <w:r w:rsidR="00AC4B61">
        <w:rPr>
          <w:rFonts w:ascii="Times New Roman" w:hAnsi="Times New Roman"/>
          <w:sz w:val="22"/>
        </w:rPr>
        <w:t xml:space="preserve"> </w:t>
      </w:r>
      <w:r w:rsidR="003B263E" w:rsidRPr="00634631">
        <w:rPr>
          <w:rFonts w:ascii="Times New Roman" w:hAnsi="Times New Roman"/>
          <w:sz w:val="22"/>
        </w:rPr>
        <w:t>offered by a regionally accredited program recognized by the United States Department of Education</w:t>
      </w:r>
      <w:r w:rsidR="008311F1">
        <w:rPr>
          <w:rFonts w:ascii="Times New Roman" w:hAnsi="Times New Roman"/>
          <w:sz w:val="22"/>
        </w:rPr>
        <w:t>.</w:t>
      </w:r>
    </w:p>
    <w:p w14:paraId="6F77439C" w14:textId="77777777" w:rsidR="00134D48" w:rsidRDefault="00134D48"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4D69A990" w14:textId="77777777" w:rsidR="00154127"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(4</w:t>
      </w:r>
      <w:r w:rsidR="00154127">
        <w:rPr>
          <w:rFonts w:ascii="Times New Roman" w:hAnsi="Times New Roman"/>
          <w:sz w:val="22"/>
        </w:rPr>
        <w:t>)</w:t>
      </w:r>
      <w:r w:rsidR="00154127">
        <w:rPr>
          <w:rFonts w:ascii="Times New Roman" w:hAnsi="Times New Roman"/>
          <w:sz w:val="22"/>
        </w:rPr>
        <w:tab/>
        <w:t>Academic courses related to the administration of local anesthesia</w:t>
      </w:r>
      <w:r w:rsidR="00074DB6">
        <w:rPr>
          <w:rFonts w:ascii="Times New Roman" w:hAnsi="Times New Roman"/>
          <w:sz w:val="22"/>
        </w:rPr>
        <w:t>,</w:t>
      </w:r>
      <w:r w:rsidR="00154127">
        <w:rPr>
          <w:rFonts w:ascii="Times New Roman" w:hAnsi="Times New Roman"/>
          <w:sz w:val="22"/>
        </w:rPr>
        <w:t xml:space="preserve"> nitrous oxide</w:t>
      </w:r>
      <w:r w:rsidR="004B3C5F">
        <w:rPr>
          <w:rFonts w:ascii="Times New Roman" w:hAnsi="Times New Roman"/>
          <w:sz w:val="22"/>
        </w:rPr>
        <w:t xml:space="preserve"> analgesia, and expanded function dental assisting</w:t>
      </w:r>
      <w:r w:rsidR="00154127">
        <w:rPr>
          <w:rFonts w:ascii="Times New Roman" w:hAnsi="Times New Roman"/>
          <w:sz w:val="22"/>
        </w:rPr>
        <w:t>.</w:t>
      </w:r>
    </w:p>
    <w:p w14:paraId="699AD6BF" w14:textId="77777777" w:rsidR="001B60FD" w:rsidRDefault="001B60FD"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742D4AA1" w14:textId="77777777" w:rsidR="00AC4B61"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(5</w:t>
      </w:r>
      <w:r w:rsidR="00AC4B61">
        <w:rPr>
          <w:rFonts w:ascii="Times New Roman" w:hAnsi="Times New Roman"/>
          <w:sz w:val="22"/>
        </w:rPr>
        <w:t>)</w:t>
      </w:r>
      <w:r w:rsidR="00AC4B61">
        <w:rPr>
          <w:rFonts w:ascii="Times New Roman" w:hAnsi="Times New Roman"/>
          <w:sz w:val="22"/>
        </w:rPr>
        <w:tab/>
        <w:t>Completion of a dental residency program</w:t>
      </w:r>
      <w:r w:rsidR="008311F1">
        <w:rPr>
          <w:rFonts w:ascii="Times New Roman" w:hAnsi="Times New Roman"/>
          <w:sz w:val="22"/>
        </w:rPr>
        <w:t>.</w:t>
      </w:r>
    </w:p>
    <w:p w14:paraId="0894FC40" w14:textId="77777777" w:rsidR="00377A60" w:rsidRDefault="00377A60"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569DDD2B" w14:textId="77777777" w:rsidR="003B263E"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4A508F">
        <w:rPr>
          <w:rFonts w:ascii="Times New Roman" w:hAnsi="Times New Roman"/>
          <w:sz w:val="22"/>
        </w:rPr>
        <w:t>6</w:t>
      </w:r>
      <w:r w:rsidR="003B263E" w:rsidRPr="00634631">
        <w:rPr>
          <w:rFonts w:ascii="Times New Roman" w:hAnsi="Times New Roman"/>
          <w:sz w:val="22"/>
        </w:rPr>
        <w:t>)</w:t>
      </w:r>
      <w:r w:rsidR="003B263E" w:rsidRPr="00634631">
        <w:rPr>
          <w:rFonts w:ascii="Times New Roman" w:hAnsi="Times New Roman"/>
          <w:sz w:val="22"/>
        </w:rPr>
        <w:tab/>
      </w:r>
      <w:r w:rsidR="004E1BA3">
        <w:rPr>
          <w:rFonts w:ascii="Times New Roman" w:hAnsi="Times New Roman"/>
          <w:sz w:val="22"/>
        </w:rPr>
        <w:t>Distance learning activities such as online courses</w:t>
      </w:r>
      <w:r w:rsidR="00756EF1">
        <w:rPr>
          <w:rFonts w:ascii="Times New Roman" w:hAnsi="Times New Roman"/>
          <w:sz w:val="22"/>
        </w:rPr>
        <w:t xml:space="preserve"> or </w:t>
      </w:r>
      <w:r w:rsidR="004E1BA3">
        <w:rPr>
          <w:rFonts w:ascii="Times New Roman" w:hAnsi="Times New Roman"/>
          <w:sz w:val="22"/>
        </w:rPr>
        <w:t>webinars</w:t>
      </w:r>
      <w:r w:rsidR="00756EF1">
        <w:rPr>
          <w:rFonts w:ascii="Times New Roman" w:hAnsi="Times New Roman"/>
          <w:sz w:val="22"/>
        </w:rPr>
        <w:t xml:space="preserve"> </w:t>
      </w:r>
      <w:r w:rsidR="004E1BA3">
        <w:rPr>
          <w:rFonts w:ascii="Times New Roman" w:hAnsi="Times New Roman"/>
          <w:sz w:val="22"/>
        </w:rPr>
        <w:t>with</w:t>
      </w:r>
      <w:r w:rsidR="00992D05">
        <w:rPr>
          <w:rFonts w:ascii="Times New Roman" w:hAnsi="Times New Roman"/>
          <w:sz w:val="22"/>
        </w:rPr>
        <w:t xml:space="preserve"> </w:t>
      </w:r>
      <w:r w:rsidR="00C01E99">
        <w:rPr>
          <w:rFonts w:ascii="Times New Roman" w:hAnsi="Times New Roman"/>
          <w:sz w:val="22"/>
        </w:rPr>
        <w:t xml:space="preserve">verification </w:t>
      </w:r>
      <w:r w:rsidR="00992D05">
        <w:rPr>
          <w:rFonts w:ascii="Times New Roman" w:hAnsi="Times New Roman"/>
          <w:sz w:val="22"/>
        </w:rPr>
        <w:t>and</w:t>
      </w:r>
      <w:r w:rsidR="004E1BA3">
        <w:rPr>
          <w:rFonts w:ascii="Times New Roman" w:hAnsi="Times New Roman"/>
          <w:sz w:val="22"/>
        </w:rPr>
        <w:t xml:space="preserve"> </w:t>
      </w:r>
      <w:r w:rsidR="00756EF1">
        <w:rPr>
          <w:rFonts w:ascii="Times New Roman" w:hAnsi="Times New Roman"/>
          <w:sz w:val="22"/>
        </w:rPr>
        <w:t xml:space="preserve">passage of </w:t>
      </w:r>
      <w:r w:rsidR="004E1BA3">
        <w:rPr>
          <w:rFonts w:ascii="Times New Roman" w:hAnsi="Times New Roman"/>
          <w:sz w:val="22"/>
        </w:rPr>
        <w:t>an exit examination</w:t>
      </w:r>
      <w:r w:rsidR="008311F1">
        <w:rPr>
          <w:rFonts w:ascii="Times New Roman" w:hAnsi="Times New Roman"/>
          <w:sz w:val="22"/>
        </w:rPr>
        <w:t>.</w:t>
      </w:r>
    </w:p>
    <w:p w14:paraId="013AA420" w14:textId="77777777" w:rsidR="00992D05" w:rsidRDefault="00992D05"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p>
    <w:p w14:paraId="41B70983" w14:textId="77777777" w:rsidR="003B263E" w:rsidRDefault="003B263E" w:rsidP="0076132E">
      <w:pPr>
        <w:pStyle w:val="PlainText"/>
        <w:tabs>
          <w:tab w:val="left" w:pos="720"/>
          <w:tab w:val="left" w:pos="1440"/>
          <w:tab w:val="left" w:pos="2160"/>
          <w:tab w:val="left" w:pos="2880"/>
          <w:tab w:val="left" w:pos="3600"/>
          <w:tab w:val="left" w:pos="4320"/>
        </w:tabs>
        <w:ind w:left="1440" w:hanging="1440"/>
        <w:rPr>
          <w:rFonts w:ascii="Times New Roman" w:hAnsi="Times New Roman"/>
          <w:b/>
          <w:sz w:val="22"/>
        </w:rPr>
      </w:pPr>
      <w:r>
        <w:rPr>
          <w:rFonts w:ascii="Times New Roman" w:hAnsi="Times New Roman"/>
          <w:b/>
          <w:sz w:val="22"/>
        </w:rPr>
        <w:tab/>
      </w:r>
      <w:r w:rsidRPr="003C7380">
        <w:rPr>
          <w:rFonts w:ascii="Times New Roman" w:hAnsi="Times New Roman"/>
          <w:sz w:val="22"/>
        </w:rPr>
        <w:t>B.</w:t>
      </w:r>
      <w:r>
        <w:rPr>
          <w:rFonts w:ascii="Times New Roman" w:hAnsi="Times New Roman"/>
          <w:b/>
          <w:sz w:val="22"/>
        </w:rPr>
        <w:tab/>
        <w:t>No more than ten (10) credit hours</w:t>
      </w:r>
      <w:r w:rsidR="00756EF1">
        <w:rPr>
          <w:rFonts w:ascii="Times New Roman" w:hAnsi="Times New Roman"/>
          <w:b/>
          <w:sz w:val="22"/>
        </w:rPr>
        <w:t xml:space="preserve"> can be claimed</w:t>
      </w:r>
      <w:r>
        <w:rPr>
          <w:rFonts w:ascii="Times New Roman" w:hAnsi="Times New Roman"/>
          <w:b/>
          <w:sz w:val="22"/>
        </w:rPr>
        <w:t xml:space="preserve"> in any one activity or </w:t>
      </w:r>
      <w:r w:rsidR="00040581">
        <w:rPr>
          <w:rFonts w:ascii="Times New Roman" w:hAnsi="Times New Roman"/>
          <w:b/>
          <w:sz w:val="22"/>
        </w:rPr>
        <w:t xml:space="preserve">any </w:t>
      </w:r>
      <w:r>
        <w:rPr>
          <w:rFonts w:ascii="Times New Roman" w:hAnsi="Times New Roman"/>
          <w:b/>
          <w:sz w:val="22"/>
        </w:rPr>
        <w:t>combination of activities listed below:</w:t>
      </w:r>
    </w:p>
    <w:p w14:paraId="25F4AEAD" w14:textId="77777777" w:rsidR="004E1BA3" w:rsidRDefault="004E1BA3" w:rsidP="0076132E">
      <w:pPr>
        <w:pStyle w:val="PlainText"/>
        <w:tabs>
          <w:tab w:val="left" w:pos="720"/>
          <w:tab w:val="left" w:pos="1440"/>
          <w:tab w:val="left" w:pos="2160"/>
          <w:tab w:val="left" w:pos="2880"/>
          <w:tab w:val="left" w:pos="3600"/>
          <w:tab w:val="left" w:pos="4320"/>
        </w:tabs>
        <w:ind w:left="1440" w:hanging="1440"/>
        <w:rPr>
          <w:rFonts w:ascii="Times New Roman" w:hAnsi="Times New Roman"/>
          <w:b/>
          <w:sz w:val="22"/>
        </w:rPr>
      </w:pPr>
    </w:p>
    <w:p w14:paraId="36DDD7BF" w14:textId="77777777" w:rsidR="0099179F" w:rsidRDefault="003B263E" w:rsidP="0076132E">
      <w:pPr>
        <w:pStyle w:val="PlainText"/>
        <w:numPr>
          <w:ilvl w:val="0"/>
          <w:numId w:val="38"/>
        </w:numPr>
        <w:tabs>
          <w:tab w:val="left" w:pos="720"/>
          <w:tab w:val="left" w:pos="1440"/>
          <w:tab w:val="left" w:pos="2160"/>
          <w:tab w:val="left" w:pos="2880"/>
          <w:tab w:val="left" w:pos="3600"/>
          <w:tab w:val="left" w:pos="4320"/>
        </w:tabs>
        <w:ind w:left="2160" w:hanging="720"/>
        <w:rPr>
          <w:rFonts w:ascii="Times New Roman" w:hAnsi="Times New Roman"/>
          <w:sz w:val="22"/>
        </w:rPr>
      </w:pPr>
      <w:r w:rsidRPr="003C7380">
        <w:rPr>
          <w:rFonts w:ascii="Times New Roman" w:hAnsi="Times New Roman"/>
          <w:b/>
          <w:sz w:val="22"/>
        </w:rPr>
        <w:t>Teaching</w:t>
      </w:r>
      <w:r w:rsidR="00634631" w:rsidRPr="003C7380">
        <w:rPr>
          <w:rFonts w:ascii="Times New Roman" w:hAnsi="Times New Roman"/>
          <w:b/>
          <w:sz w:val="22"/>
        </w:rPr>
        <w:t>, guest lecturer, guest clinical supervisor</w:t>
      </w:r>
      <w:r w:rsidRPr="00734ED9">
        <w:rPr>
          <w:rFonts w:ascii="Times New Roman" w:hAnsi="Times New Roman"/>
          <w:sz w:val="22"/>
        </w:rPr>
        <w:t xml:space="preserve">. </w:t>
      </w:r>
      <w:r w:rsidR="0099179F" w:rsidRPr="00734ED9">
        <w:rPr>
          <w:rFonts w:ascii="Times New Roman" w:hAnsi="Times New Roman"/>
          <w:sz w:val="22"/>
        </w:rPr>
        <w:t>A</w:t>
      </w:r>
      <w:r w:rsidR="0099179F">
        <w:rPr>
          <w:rFonts w:ascii="Times New Roman" w:hAnsi="Times New Roman"/>
          <w:sz w:val="22"/>
        </w:rPr>
        <w:t xml:space="preserve"> licensee may </w:t>
      </w:r>
      <w:r w:rsidR="0097377B">
        <w:rPr>
          <w:rFonts w:ascii="Times New Roman" w:hAnsi="Times New Roman"/>
          <w:sz w:val="22"/>
        </w:rPr>
        <w:t xml:space="preserve">only once </w:t>
      </w:r>
      <w:r w:rsidR="0099179F">
        <w:rPr>
          <w:rFonts w:ascii="Times New Roman" w:hAnsi="Times New Roman"/>
          <w:sz w:val="22"/>
        </w:rPr>
        <w:t xml:space="preserve">claim continuing education credit for preparation and presentation of a course, workshop or seminar </w:t>
      </w:r>
      <w:r w:rsidR="0097377B">
        <w:rPr>
          <w:rFonts w:ascii="Times New Roman" w:hAnsi="Times New Roman"/>
          <w:sz w:val="22"/>
        </w:rPr>
        <w:t>on a distinct subject matter</w:t>
      </w:r>
      <w:r w:rsidR="0099179F">
        <w:rPr>
          <w:rFonts w:ascii="Times New Roman" w:hAnsi="Times New Roman"/>
          <w:sz w:val="22"/>
        </w:rPr>
        <w:t xml:space="preserve">. A licensee may </w:t>
      </w:r>
      <w:r w:rsidR="0097377B">
        <w:rPr>
          <w:rFonts w:ascii="Times New Roman" w:hAnsi="Times New Roman"/>
          <w:sz w:val="22"/>
        </w:rPr>
        <w:t xml:space="preserve">only once </w:t>
      </w:r>
      <w:r w:rsidR="0099179F">
        <w:rPr>
          <w:rFonts w:ascii="Times New Roman" w:hAnsi="Times New Roman"/>
          <w:sz w:val="22"/>
        </w:rPr>
        <w:t xml:space="preserve">claim continuing education </w:t>
      </w:r>
      <w:r w:rsidR="00756EF1">
        <w:rPr>
          <w:rFonts w:ascii="Times New Roman" w:hAnsi="Times New Roman"/>
          <w:sz w:val="22"/>
        </w:rPr>
        <w:t xml:space="preserve">credit </w:t>
      </w:r>
      <w:r w:rsidR="0099179F">
        <w:rPr>
          <w:rFonts w:ascii="Times New Roman" w:hAnsi="Times New Roman"/>
          <w:sz w:val="22"/>
        </w:rPr>
        <w:t xml:space="preserve">for preparation and presentation as either a </w:t>
      </w:r>
      <w:r w:rsidR="0099179F">
        <w:rPr>
          <w:rFonts w:ascii="Times New Roman" w:hAnsi="Times New Roman"/>
          <w:sz w:val="22"/>
        </w:rPr>
        <w:lastRenderedPageBreak/>
        <w:t xml:space="preserve">guest lecturer or a guest clinical supervisor at a dental practice educational institution or program approved by the </w:t>
      </w:r>
      <w:r w:rsidR="00067DF4">
        <w:rPr>
          <w:rFonts w:ascii="Times New Roman" w:hAnsi="Times New Roman"/>
          <w:sz w:val="22"/>
        </w:rPr>
        <w:t>Board</w:t>
      </w:r>
      <w:r w:rsidR="0070474C">
        <w:rPr>
          <w:rFonts w:ascii="Times New Roman" w:hAnsi="Times New Roman"/>
          <w:sz w:val="22"/>
        </w:rPr>
        <w:t>.</w:t>
      </w:r>
    </w:p>
    <w:p w14:paraId="77AA9D5D" w14:textId="77777777" w:rsidR="00634631" w:rsidRDefault="00634631" w:rsidP="0076132E">
      <w:pPr>
        <w:pStyle w:val="PlainText"/>
        <w:tabs>
          <w:tab w:val="left" w:pos="720"/>
          <w:tab w:val="left" w:pos="1440"/>
          <w:tab w:val="left" w:pos="2160"/>
          <w:tab w:val="left" w:pos="2880"/>
          <w:tab w:val="left" w:pos="3600"/>
          <w:tab w:val="left" w:pos="4320"/>
        </w:tabs>
        <w:ind w:left="2880"/>
        <w:rPr>
          <w:rFonts w:ascii="Times New Roman" w:hAnsi="Times New Roman"/>
          <w:sz w:val="22"/>
        </w:rPr>
      </w:pPr>
    </w:p>
    <w:p w14:paraId="6763F6F6" w14:textId="77777777" w:rsidR="0099179F" w:rsidRDefault="00634631" w:rsidP="0076132E">
      <w:pPr>
        <w:pStyle w:val="PlainText"/>
        <w:numPr>
          <w:ilvl w:val="0"/>
          <w:numId w:val="38"/>
        </w:numPr>
        <w:tabs>
          <w:tab w:val="left" w:pos="720"/>
          <w:tab w:val="left" w:pos="1440"/>
          <w:tab w:val="left" w:pos="2160"/>
          <w:tab w:val="left" w:pos="2880"/>
          <w:tab w:val="left" w:pos="3600"/>
          <w:tab w:val="left" w:pos="4320"/>
        </w:tabs>
        <w:ind w:left="2160" w:hanging="720"/>
        <w:rPr>
          <w:rFonts w:ascii="Times New Roman" w:hAnsi="Times New Roman"/>
          <w:sz w:val="22"/>
        </w:rPr>
      </w:pPr>
      <w:r w:rsidRPr="003C7380">
        <w:rPr>
          <w:rFonts w:ascii="Times New Roman" w:hAnsi="Times New Roman"/>
          <w:b/>
          <w:sz w:val="22"/>
        </w:rPr>
        <w:t>Grand rounds</w:t>
      </w:r>
      <w:r w:rsidRPr="00734ED9">
        <w:rPr>
          <w:rFonts w:ascii="Times New Roman" w:hAnsi="Times New Roman"/>
          <w:sz w:val="22"/>
        </w:rPr>
        <w:t>.</w:t>
      </w:r>
      <w:r w:rsidR="004E1BA3" w:rsidRPr="004E1BA3">
        <w:rPr>
          <w:rFonts w:ascii="Times New Roman" w:hAnsi="Times New Roman"/>
          <w:b/>
          <w:sz w:val="22"/>
        </w:rPr>
        <w:t xml:space="preserve"> </w:t>
      </w:r>
      <w:r w:rsidR="00E35AA3" w:rsidRPr="00E35AA3">
        <w:rPr>
          <w:rFonts w:ascii="Times New Roman" w:hAnsi="Times New Roman"/>
          <w:sz w:val="22"/>
        </w:rPr>
        <w:t>A licensee may claim continuing education credit for</w:t>
      </w:r>
      <w:r w:rsidR="00E35AA3">
        <w:rPr>
          <w:rFonts w:ascii="Times New Roman" w:hAnsi="Times New Roman"/>
          <w:b/>
          <w:sz w:val="22"/>
        </w:rPr>
        <w:t xml:space="preserve"> </w:t>
      </w:r>
      <w:r w:rsidR="00E35AA3">
        <w:rPr>
          <w:rFonts w:ascii="Times New Roman" w:hAnsi="Times New Roman"/>
          <w:sz w:val="22"/>
        </w:rPr>
        <w:t xml:space="preserve">a </w:t>
      </w:r>
      <w:r w:rsidR="0099179F" w:rsidRPr="004E1BA3">
        <w:rPr>
          <w:rFonts w:ascii="Times New Roman" w:hAnsi="Times New Roman"/>
          <w:sz w:val="22"/>
        </w:rPr>
        <w:t>formal meeting in hospital settings in which discussion of a clinical case of one or more patients occur.</w:t>
      </w:r>
      <w:r w:rsidR="000F5BBE">
        <w:rPr>
          <w:rFonts w:ascii="Times New Roman" w:hAnsi="Times New Roman"/>
          <w:sz w:val="22"/>
        </w:rPr>
        <w:t xml:space="preserve"> </w:t>
      </w:r>
    </w:p>
    <w:p w14:paraId="01063714" w14:textId="77777777" w:rsidR="0099179F" w:rsidRPr="0099179F" w:rsidRDefault="0099179F"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67BA978" w14:textId="77777777" w:rsidR="00F16512" w:rsidRDefault="00F16512" w:rsidP="0076132E">
      <w:pPr>
        <w:pStyle w:val="PlainText"/>
        <w:numPr>
          <w:ilvl w:val="0"/>
          <w:numId w:val="38"/>
        </w:numPr>
        <w:tabs>
          <w:tab w:val="left" w:pos="720"/>
          <w:tab w:val="left" w:pos="1440"/>
          <w:tab w:val="left" w:pos="2160"/>
          <w:tab w:val="left" w:pos="2880"/>
          <w:tab w:val="left" w:pos="3600"/>
          <w:tab w:val="left" w:pos="4320"/>
        </w:tabs>
        <w:ind w:left="2160" w:right="-90" w:hanging="720"/>
        <w:rPr>
          <w:rFonts w:ascii="Times New Roman" w:hAnsi="Times New Roman"/>
          <w:sz w:val="22"/>
        </w:rPr>
      </w:pPr>
      <w:r w:rsidRPr="003C7380">
        <w:rPr>
          <w:rFonts w:ascii="Times New Roman" w:hAnsi="Times New Roman"/>
          <w:b/>
          <w:sz w:val="22"/>
        </w:rPr>
        <w:t>Writing</w:t>
      </w:r>
      <w:r w:rsidRPr="005B3CD2">
        <w:rPr>
          <w:rFonts w:ascii="Times New Roman" w:hAnsi="Times New Roman"/>
          <w:sz w:val="22"/>
        </w:rPr>
        <w:t>.</w:t>
      </w:r>
      <w:r>
        <w:rPr>
          <w:rFonts w:ascii="Times New Roman" w:hAnsi="Times New Roman"/>
          <w:sz w:val="22"/>
        </w:rPr>
        <w:t xml:space="preserve"> A licensee may claim continuing education credit for writing articles and books for publication, as well as for reviewing and editing articles and books.</w:t>
      </w:r>
    </w:p>
    <w:p w14:paraId="31214B12" w14:textId="77777777" w:rsidR="00040581" w:rsidRPr="005B3CD2" w:rsidRDefault="00040581"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549B4BF" w14:textId="77777777" w:rsidR="00377A60"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DF5D3E" w:rsidRPr="005B3CD2">
        <w:rPr>
          <w:rFonts w:ascii="Times New Roman" w:hAnsi="Times New Roman"/>
          <w:sz w:val="22"/>
        </w:rPr>
        <w:t>4)</w:t>
      </w:r>
      <w:r w:rsidR="00DF5D3E" w:rsidRPr="005B3CD2">
        <w:rPr>
          <w:rFonts w:ascii="Times New Roman" w:hAnsi="Times New Roman"/>
          <w:sz w:val="22"/>
        </w:rPr>
        <w:tab/>
      </w:r>
      <w:r w:rsidR="00C360D6" w:rsidRPr="003C7380">
        <w:rPr>
          <w:rFonts w:ascii="Times New Roman" w:hAnsi="Times New Roman"/>
          <w:b/>
          <w:sz w:val="22"/>
        </w:rPr>
        <w:t>Pre-recorded audio/video</w:t>
      </w:r>
      <w:r w:rsidR="0099179F" w:rsidRPr="003C7380">
        <w:rPr>
          <w:rFonts w:ascii="Times New Roman" w:hAnsi="Times New Roman"/>
          <w:b/>
          <w:sz w:val="22"/>
        </w:rPr>
        <w:t>;</w:t>
      </w:r>
      <w:r w:rsidR="00F16512" w:rsidRPr="003C7380">
        <w:rPr>
          <w:rFonts w:ascii="Times New Roman" w:hAnsi="Times New Roman"/>
          <w:b/>
          <w:sz w:val="22"/>
        </w:rPr>
        <w:t xml:space="preserve"> </w:t>
      </w:r>
      <w:r w:rsidR="004E1BA3" w:rsidRPr="003C7380">
        <w:rPr>
          <w:rFonts w:ascii="Times New Roman" w:hAnsi="Times New Roman"/>
          <w:b/>
          <w:sz w:val="22"/>
        </w:rPr>
        <w:t>i</w:t>
      </w:r>
      <w:r w:rsidR="0099179F" w:rsidRPr="003C7380">
        <w:rPr>
          <w:rFonts w:ascii="Times New Roman" w:hAnsi="Times New Roman"/>
          <w:b/>
          <w:sz w:val="22"/>
        </w:rPr>
        <w:t>ndependent s</w:t>
      </w:r>
      <w:r w:rsidR="00F16512" w:rsidRPr="003C7380">
        <w:rPr>
          <w:rFonts w:ascii="Times New Roman" w:hAnsi="Times New Roman"/>
          <w:b/>
          <w:sz w:val="22"/>
        </w:rPr>
        <w:t>tudy</w:t>
      </w:r>
      <w:r w:rsidR="00F16512" w:rsidRPr="005B3CD2">
        <w:rPr>
          <w:rFonts w:ascii="Times New Roman" w:hAnsi="Times New Roman"/>
          <w:sz w:val="22"/>
        </w:rPr>
        <w:t>.</w:t>
      </w:r>
      <w:r w:rsidR="00F16512">
        <w:rPr>
          <w:rFonts w:ascii="Times New Roman" w:hAnsi="Times New Roman"/>
          <w:sz w:val="22"/>
        </w:rPr>
        <w:t xml:space="preserve"> A licensee may claim continuing education credit only once for a particular audiotape/disk, videotape/disk or course of independent study.</w:t>
      </w:r>
    </w:p>
    <w:p w14:paraId="57A800F7" w14:textId="77777777" w:rsidR="00377A60" w:rsidRPr="005B3CD2" w:rsidRDefault="00377A60"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339EE0D" w14:textId="77777777" w:rsidR="004E1BA3"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DF5D3E" w:rsidRPr="005B3CD2">
        <w:rPr>
          <w:rFonts w:ascii="Times New Roman" w:hAnsi="Times New Roman"/>
          <w:sz w:val="22"/>
        </w:rPr>
        <w:t>5)</w:t>
      </w:r>
      <w:r w:rsidR="00DF5D3E" w:rsidRPr="005B3CD2">
        <w:rPr>
          <w:rFonts w:ascii="Times New Roman" w:hAnsi="Times New Roman"/>
          <w:sz w:val="22"/>
        </w:rPr>
        <w:tab/>
      </w:r>
      <w:r w:rsidR="004E1BA3" w:rsidRPr="003C7380">
        <w:rPr>
          <w:rFonts w:ascii="Times New Roman" w:hAnsi="Times New Roman"/>
          <w:b/>
          <w:sz w:val="22"/>
        </w:rPr>
        <w:t>Distance learning without exit examination</w:t>
      </w:r>
      <w:r w:rsidR="004E1BA3" w:rsidRPr="005B3CD2">
        <w:rPr>
          <w:rFonts w:ascii="Times New Roman" w:hAnsi="Times New Roman"/>
          <w:sz w:val="22"/>
        </w:rPr>
        <w:t xml:space="preserve">. </w:t>
      </w:r>
      <w:r w:rsidR="00E35AA3">
        <w:rPr>
          <w:rFonts w:ascii="Times New Roman" w:hAnsi="Times New Roman"/>
          <w:sz w:val="22"/>
        </w:rPr>
        <w:t>A licensee may claim continuing education credit for d</w:t>
      </w:r>
      <w:r w:rsidR="004E1BA3">
        <w:rPr>
          <w:rFonts w:ascii="Times New Roman" w:hAnsi="Times New Roman"/>
          <w:sz w:val="22"/>
        </w:rPr>
        <w:t xml:space="preserve">istance learning activities such as online courses and webinars in which an exit examination </w:t>
      </w:r>
      <w:r w:rsidR="00992D05">
        <w:rPr>
          <w:rFonts w:ascii="Times New Roman" w:hAnsi="Times New Roman"/>
          <w:sz w:val="22"/>
        </w:rPr>
        <w:t>was not taken</w:t>
      </w:r>
      <w:r w:rsidR="004E1BA3">
        <w:rPr>
          <w:rFonts w:ascii="Times New Roman" w:hAnsi="Times New Roman"/>
          <w:sz w:val="22"/>
        </w:rPr>
        <w:t>.</w:t>
      </w:r>
    </w:p>
    <w:p w14:paraId="406E5F42" w14:textId="77777777" w:rsidR="004E1BA3" w:rsidRPr="005B3CD2" w:rsidRDefault="004E1BA3"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5494E73" w14:textId="77777777" w:rsidR="003E06E3"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DF5D3E" w:rsidRPr="005B3CD2">
        <w:rPr>
          <w:rFonts w:ascii="Times New Roman" w:hAnsi="Times New Roman"/>
          <w:sz w:val="22"/>
        </w:rPr>
        <w:t>6)</w:t>
      </w:r>
      <w:r w:rsidR="00DF5D3E" w:rsidRPr="005B3CD2">
        <w:rPr>
          <w:rFonts w:ascii="Times New Roman" w:hAnsi="Times New Roman"/>
          <w:sz w:val="22"/>
        </w:rPr>
        <w:tab/>
      </w:r>
      <w:r w:rsidR="003E06E3" w:rsidRPr="003C7380">
        <w:rPr>
          <w:rFonts w:ascii="Times New Roman" w:hAnsi="Times New Roman"/>
          <w:b/>
          <w:sz w:val="22"/>
        </w:rPr>
        <w:t>Student table clinic</w:t>
      </w:r>
      <w:r w:rsidR="003E06E3" w:rsidRPr="005B3CD2">
        <w:rPr>
          <w:rFonts w:ascii="Times New Roman" w:hAnsi="Times New Roman"/>
          <w:sz w:val="22"/>
        </w:rPr>
        <w:t xml:space="preserve">. </w:t>
      </w:r>
      <w:r w:rsidR="00E35AA3">
        <w:rPr>
          <w:rFonts w:ascii="Times New Roman" w:hAnsi="Times New Roman"/>
          <w:sz w:val="22"/>
        </w:rPr>
        <w:t>A licensee may claim continuing education credit for attending a</w:t>
      </w:r>
      <w:r w:rsidR="003E06E3">
        <w:rPr>
          <w:rFonts w:ascii="Times New Roman" w:hAnsi="Times New Roman"/>
          <w:sz w:val="22"/>
        </w:rPr>
        <w:t xml:space="preserve"> student table clinic</w:t>
      </w:r>
      <w:r w:rsidR="00E35AA3">
        <w:rPr>
          <w:rFonts w:ascii="Times New Roman" w:hAnsi="Times New Roman"/>
          <w:sz w:val="22"/>
        </w:rPr>
        <w:t>, which</w:t>
      </w:r>
      <w:r w:rsidR="003E06E3">
        <w:rPr>
          <w:rFonts w:ascii="Times New Roman" w:hAnsi="Times New Roman"/>
          <w:sz w:val="22"/>
        </w:rPr>
        <w:t xml:space="preserve"> is a structured presentation sponsored by an educational institution </w:t>
      </w:r>
      <w:r w:rsidR="00E35AA3">
        <w:rPr>
          <w:rFonts w:ascii="Times New Roman" w:hAnsi="Times New Roman"/>
          <w:sz w:val="22"/>
        </w:rPr>
        <w:t xml:space="preserve">that </w:t>
      </w:r>
      <w:r w:rsidR="003E06E3">
        <w:rPr>
          <w:rFonts w:ascii="Times New Roman" w:hAnsi="Times New Roman"/>
          <w:sz w:val="22"/>
        </w:rPr>
        <w:t>us</w:t>
      </w:r>
      <w:r w:rsidR="00E35AA3">
        <w:rPr>
          <w:rFonts w:ascii="Times New Roman" w:hAnsi="Times New Roman"/>
          <w:sz w:val="22"/>
        </w:rPr>
        <w:t>es</w:t>
      </w:r>
      <w:r w:rsidR="003E06E3">
        <w:rPr>
          <w:rFonts w:ascii="Times New Roman" w:hAnsi="Times New Roman"/>
          <w:sz w:val="22"/>
        </w:rPr>
        <w:t xml:space="preserve"> oral communication and visual media to inform, clarify, and/or review material on a specific topic.</w:t>
      </w:r>
    </w:p>
    <w:p w14:paraId="48538C0F" w14:textId="77777777" w:rsidR="00214D12" w:rsidRPr="005B3CD2" w:rsidRDefault="00214D12"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48310612" w14:textId="77777777" w:rsidR="00214D12"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214D12" w:rsidRPr="005B3CD2">
        <w:rPr>
          <w:rFonts w:ascii="Times New Roman" w:hAnsi="Times New Roman"/>
          <w:sz w:val="22"/>
        </w:rPr>
        <w:t>7)</w:t>
      </w:r>
      <w:r w:rsidR="00214D12" w:rsidRPr="005B3CD2">
        <w:rPr>
          <w:rFonts w:ascii="Times New Roman" w:hAnsi="Times New Roman"/>
          <w:sz w:val="22"/>
        </w:rPr>
        <w:tab/>
      </w:r>
      <w:r w:rsidR="00214D12" w:rsidRPr="003C7380">
        <w:rPr>
          <w:rFonts w:ascii="Times New Roman" w:hAnsi="Times New Roman"/>
          <w:b/>
          <w:sz w:val="22"/>
        </w:rPr>
        <w:t>Reading activity</w:t>
      </w:r>
      <w:r w:rsidR="00214D12" w:rsidRPr="005B3CD2">
        <w:rPr>
          <w:rFonts w:ascii="Times New Roman" w:hAnsi="Times New Roman"/>
          <w:sz w:val="22"/>
        </w:rPr>
        <w:t>.</w:t>
      </w:r>
      <w:r w:rsidR="000F5BBE">
        <w:rPr>
          <w:rFonts w:ascii="Times New Roman" w:hAnsi="Times New Roman"/>
          <w:sz w:val="22"/>
        </w:rPr>
        <w:t xml:space="preserve"> </w:t>
      </w:r>
      <w:r w:rsidR="0097377B">
        <w:rPr>
          <w:rFonts w:ascii="Times New Roman" w:hAnsi="Times New Roman"/>
          <w:sz w:val="22"/>
        </w:rPr>
        <w:t>A licensee may claim continuing education credit for r</w:t>
      </w:r>
      <w:r w:rsidR="00214D12">
        <w:rPr>
          <w:rFonts w:ascii="Times New Roman" w:hAnsi="Times New Roman"/>
          <w:sz w:val="22"/>
        </w:rPr>
        <w:t>eading an article, a professional journal, a written publication, or a professional publication with verification and passage of an exit examination</w:t>
      </w:r>
      <w:r w:rsidR="0097377B">
        <w:rPr>
          <w:rFonts w:ascii="Times New Roman" w:hAnsi="Times New Roman"/>
          <w:sz w:val="22"/>
        </w:rPr>
        <w:t>.</w:t>
      </w:r>
    </w:p>
    <w:p w14:paraId="1BC2CC97" w14:textId="77777777" w:rsidR="004A508F" w:rsidRPr="005B3CD2" w:rsidRDefault="004A508F"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1B2F6D7D" w14:textId="77777777" w:rsidR="004A508F" w:rsidRPr="004A508F"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4A508F" w:rsidRPr="005B3CD2">
        <w:rPr>
          <w:rFonts w:ascii="Times New Roman" w:hAnsi="Times New Roman"/>
          <w:sz w:val="22"/>
        </w:rPr>
        <w:t>8</w:t>
      </w:r>
      <w:r w:rsidR="00045BE3" w:rsidRPr="005B3CD2">
        <w:rPr>
          <w:rFonts w:ascii="Times New Roman" w:hAnsi="Times New Roman"/>
          <w:sz w:val="22"/>
        </w:rPr>
        <w:t>)</w:t>
      </w:r>
      <w:r w:rsidR="004A508F" w:rsidRPr="005B3CD2">
        <w:rPr>
          <w:rFonts w:ascii="Times New Roman" w:hAnsi="Times New Roman"/>
          <w:sz w:val="22"/>
        </w:rPr>
        <w:tab/>
      </w:r>
      <w:r w:rsidR="004A508F" w:rsidRPr="003C7380">
        <w:rPr>
          <w:rFonts w:ascii="Times New Roman" w:hAnsi="Times New Roman"/>
          <w:b/>
          <w:sz w:val="22"/>
        </w:rPr>
        <w:t>In service training sessions</w:t>
      </w:r>
      <w:r w:rsidR="004A508F" w:rsidRPr="005B3CD2">
        <w:rPr>
          <w:rFonts w:ascii="Times New Roman" w:hAnsi="Times New Roman"/>
          <w:sz w:val="22"/>
        </w:rPr>
        <w:t>.</w:t>
      </w:r>
      <w:r w:rsidR="000F5BBE">
        <w:rPr>
          <w:rFonts w:ascii="Times New Roman" w:hAnsi="Times New Roman"/>
          <w:sz w:val="22"/>
        </w:rPr>
        <w:t xml:space="preserve"> </w:t>
      </w:r>
      <w:r w:rsidR="004A508F" w:rsidRPr="005B3CD2">
        <w:rPr>
          <w:rFonts w:ascii="Times New Roman" w:hAnsi="Times New Roman"/>
          <w:sz w:val="22"/>
        </w:rPr>
        <w:t>A licensee may claim continuing</w:t>
      </w:r>
      <w:r w:rsidR="004A508F">
        <w:rPr>
          <w:rFonts w:ascii="Times New Roman" w:hAnsi="Times New Roman"/>
          <w:sz w:val="22"/>
        </w:rPr>
        <w:t xml:space="preserve"> education credit for attending in</w:t>
      </w:r>
      <w:r w:rsidR="004A508F" w:rsidRPr="004A508F">
        <w:rPr>
          <w:rFonts w:ascii="Times New Roman" w:hAnsi="Times New Roman"/>
          <w:sz w:val="22"/>
        </w:rPr>
        <w:t>-service training sessions such as employer sponsored continuing education activities.</w:t>
      </w:r>
    </w:p>
    <w:p w14:paraId="05880378" w14:textId="77777777" w:rsidR="004E1BA3" w:rsidRDefault="004E1BA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DF9C8C4" w14:textId="4887D2F5" w:rsidR="00C223C2" w:rsidRDefault="00040581" w:rsidP="0076132E">
      <w:pPr>
        <w:pStyle w:val="PlainText"/>
        <w:tabs>
          <w:tab w:val="left" w:pos="720"/>
          <w:tab w:val="left" w:pos="1440"/>
          <w:tab w:val="left" w:pos="2160"/>
          <w:tab w:val="left" w:pos="2880"/>
          <w:tab w:val="left" w:pos="3600"/>
          <w:tab w:val="left" w:pos="4320"/>
        </w:tabs>
        <w:ind w:left="1440" w:hanging="720"/>
        <w:rPr>
          <w:rFonts w:ascii="Times New Roman" w:hAnsi="Times New Roman"/>
          <w:b/>
          <w:sz w:val="22"/>
        </w:rPr>
      </w:pPr>
      <w:r w:rsidRPr="003C7380">
        <w:rPr>
          <w:rFonts w:ascii="Times New Roman" w:hAnsi="Times New Roman"/>
          <w:sz w:val="22"/>
        </w:rPr>
        <w:t>C.</w:t>
      </w:r>
      <w:r>
        <w:rPr>
          <w:rFonts w:ascii="Times New Roman" w:hAnsi="Times New Roman"/>
          <w:b/>
          <w:sz w:val="22"/>
        </w:rPr>
        <w:tab/>
      </w:r>
      <w:r w:rsidR="00972C8B">
        <w:rPr>
          <w:rFonts w:ascii="Times New Roman" w:hAnsi="Times New Roman"/>
          <w:b/>
          <w:sz w:val="22"/>
        </w:rPr>
        <w:t xml:space="preserve">BLS certification; </w:t>
      </w:r>
      <w:r w:rsidR="00377A60">
        <w:rPr>
          <w:rFonts w:ascii="Times New Roman" w:hAnsi="Times New Roman"/>
          <w:b/>
          <w:sz w:val="22"/>
        </w:rPr>
        <w:t>ACLS certification; PALS certification</w:t>
      </w:r>
    </w:p>
    <w:p w14:paraId="0297ED8F" w14:textId="77777777" w:rsidR="00C223C2" w:rsidRDefault="00C223C2" w:rsidP="0076132E">
      <w:pPr>
        <w:pStyle w:val="PlainText"/>
        <w:tabs>
          <w:tab w:val="left" w:pos="720"/>
          <w:tab w:val="left" w:pos="1440"/>
          <w:tab w:val="left" w:pos="2160"/>
          <w:tab w:val="left" w:pos="2880"/>
          <w:tab w:val="left" w:pos="3600"/>
          <w:tab w:val="left" w:pos="4320"/>
        </w:tabs>
        <w:ind w:left="1440" w:hanging="720"/>
        <w:rPr>
          <w:rFonts w:ascii="Times New Roman" w:hAnsi="Times New Roman"/>
          <w:b/>
          <w:sz w:val="22"/>
        </w:rPr>
      </w:pPr>
    </w:p>
    <w:p w14:paraId="19813F13" w14:textId="6E945A92" w:rsidR="00207327" w:rsidRDefault="00C223C2"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r>
      <w:r w:rsidR="00207327">
        <w:rPr>
          <w:rFonts w:ascii="Times New Roman" w:hAnsi="Times New Roman"/>
          <w:sz w:val="22"/>
        </w:rPr>
        <w:t xml:space="preserve">No more than 3 credit hours of </w:t>
      </w:r>
      <w:r w:rsidR="008C6FC0" w:rsidRPr="00AC02DC">
        <w:rPr>
          <w:rFonts w:ascii="Times New Roman" w:hAnsi="Times New Roman"/>
          <w:sz w:val="22"/>
        </w:rPr>
        <w:t>BLS</w:t>
      </w:r>
      <w:r w:rsidR="008C6FC0">
        <w:rPr>
          <w:rFonts w:ascii="Times New Roman" w:hAnsi="Times New Roman"/>
          <w:sz w:val="22"/>
        </w:rPr>
        <w:t xml:space="preserve"> </w:t>
      </w:r>
      <w:r w:rsidR="00207327">
        <w:rPr>
          <w:rFonts w:ascii="Times New Roman" w:hAnsi="Times New Roman"/>
          <w:sz w:val="22"/>
        </w:rPr>
        <w:t>certification training completed during a license term will count towards meeting the requirements of this chapter.</w:t>
      </w:r>
      <w:r w:rsidR="000F5BBE">
        <w:rPr>
          <w:rFonts w:ascii="Times New Roman" w:hAnsi="Times New Roman"/>
          <w:sz w:val="22"/>
        </w:rPr>
        <w:t xml:space="preserve"> </w:t>
      </w:r>
      <w:r w:rsidR="00972C8B">
        <w:rPr>
          <w:rFonts w:ascii="Times New Roman" w:hAnsi="Times New Roman"/>
          <w:sz w:val="22"/>
        </w:rPr>
        <w:t>Online BLS trainings are not accepted unless the licensee can verify hands-on participation with the instructor as a component of the training.</w:t>
      </w:r>
    </w:p>
    <w:p w14:paraId="0E5D7142" w14:textId="77777777" w:rsidR="00377A60" w:rsidRDefault="00377A60"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p>
    <w:p w14:paraId="31CEA1AE" w14:textId="77777777" w:rsidR="00377A60" w:rsidRDefault="00377A60"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 xml:space="preserve">No more than 6 credit hours of ACLS or PALS certification training completed during a license term will count towards meeting the requirements of this chapter. </w:t>
      </w:r>
      <w:r w:rsidRPr="00447C26">
        <w:rPr>
          <w:rFonts w:ascii="Times New Roman" w:hAnsi="Times New Roman"/>
          <w:sz w:val="22"/>
        </w:rPr>
        <w:t xml:space="preserve">Online </w:t>
      </w:r>
      <w:r>
        <w:rPr>
          <w:rFonts w:ascii="Times New Roman" w:hAnsi="Times New Roman"/>
          <w:sz w:val="22"/>
        </w:rPr>
        <w:t xml:space="preserve">ACLS or PALS </w:t>
      </w:r>
      <w:r w:rsidRPr="00447C26">
        <w:rPr>
          <w:rFonts w:ascii="Times New Roman" w:hAnsi="Times New Roman"/>
          <w:sz w:val="22"/>
        </w:rPr>
        <w:t>trainings are not accepted</w:t>
      </w:r>
      <w:r w:rsidR="0097377B">
        <w:rPr>
          <w:rFonts w:ascii="Times New Roman" w:hAnsi="Times New Roman"/>
          <w:sz w:val="22"/>
        </w:rPr>
        <w:t>,</w:t>
      </w:r>
      <w:r w:rsidRPr="00447C26">
        <w:rPr>
          <w:rFonts w:ascii="Times New Roman" w:hAnsi="Times New Roman"/>
          <w:sz w:val="22"/>
        </w:rPr>
        <w:t xml:space="preserve"> unless the licensee can verify hands-on participation with the instructor as a component of the training.</w:t>
      </w:r>
    </w:p>
    <w:p w14:paraId="5F1D6C99" w14:textId="77777777" w:rsidR="0036296B" w:rsidRDefault="0036296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6DC0200" w14:textId="77777777" w:rsidR="00045BE3" w:rsidRDefault="00045BE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1457A5D" w14:textId="77777777" w:rsidR="00C17DD9"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b/>
          <w:sz w:val="22"/>
        </w:rPr>
        <w:t>III.</w:t>
      </w:r>
      <w:r>
        <w:rPr>
          <w:rFonts w:ascii="Times New Roman" w:hAnsi="Times New Roman"/>
          <w:b/>
          <w:sz w:val="22"/>
        </w:rPr>
        <w:tab/>
      </w:r>
      <w:r w:rsidRPr="00AA53E4">
        <w:rPr>
          <w:rFonts w:ascii="Times New Roman" w:hAnsi="Times New Roman"/>
          <w:b/>
          <w:sz w:val="22"/>
        </w:rPr>
        <w:t>Ineligible Continuing Education Activities</w:t>
      </w:r>
    </w:p>
    <w:p w14:paraId="21741CC0" w14:textId="77777777" w:rsidR="00C17DD9" w:rsidRPr="00AA53E4"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E7FB8DA" w14:textId="77777777" w:rsidR="00C17DD9"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r>
      <w:r w:rsidRPr="00AA53E4">
        <w:rPr>
          <w:rFonts w:ascii="Times New Roman" w:hAnsi="Times New Roman"/>
          <w:sz w:val="22"/>
        </w:rPr>
        <w:t>The following activities are ineligible for continuing education credit:</w:t>
      </w:r>
    </w:p>
    <w:p w14:paraId="04E391DD" w14:textId="77777777" w:rsidR="00C17DD9" w:rsidRPr="005B3CD2"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95F78C5" w14:textId="77777777" w:rsidR="00C17DD9" w:rsidRPr="002A5399" w:rsidRDefault="00C17DD9"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 xml:space="preserve">Continuing </w:t>
      </w:r>
      <w:r w:rsidR="00D676EF" w:rsidRPr="002A5399">
        <w:rPr>
          <w:rFonts w:ascii="Times New Roman" w:hAnsi="Times New Roman"/>
          <w:bCs/>
          <w:sz w:val="22"/>
        </w:rPr>
        <w:t xml:space="preserve">education pursuant </w:t>
      </w:r>
      <w:r w:rsidRPr="002A5399">
        <w:rPr>
          <w:rFonts w:ascii="Times New Roman" w:hAnsi="Times New Roman"/>
          <w:bCs/>
          <w:sz w:val="22"/>
        </w:rPr>
        <w:t xml:space="preserve">to a </w:t>
      </w:r>
      <w:r w:rsidR="00067DF4" w:rsidRPr="002A5399">
        <w:rPr>
          <w:rFonts w:ascii="Times New Roman" w:hAnsi="Times New Roman"/>
          <w:bCs/>
          <w:sz w:val="22"/>
        </w:rPr>
        <w:t>Board</w:t>
      </w:r>
      <w:r w:rsidR="00357813" w:rsidRPr="002A5399">
        <w:rPr>
          <w:rFonts w:ascii="Times New Roman" w:hAnsi="Times New Roman"/>
          <w:bCs/>
          <w:sz w:val="22"/>
        </w:rPr>
        <w:t xml:space="preserve"> </w:t>
      </w:r>
      <w:r w:rsidR="00D676EF" w:rsidRPr="002A5399">
        <w:rPr>
          <w:rFonts w:ascii="Times New Roman" w:hAnsi="Times New Roman"/>
          <w:bCs/>
          <w:sz w:val="22"/>
        </w:rPr>
        <w:t xml:space="preserve">order </w:t>
      </w:r>
      <w:r w:rsidRPr="002A5399">
        <w:rPr>
          <w:rFonts w:ascii="Times New Roman" w:hAnsi="Times New Roman"/>
          <w:bCs/>
          <w:sz w:val="22"/>
        </w:rPr>
        <w:t xml:space="preserve">or </w:t>
      </w:r>
      <w:r w:rsidR="00D676EF" w:rsidRPr="002A5399">
        <w:rPr>
          <w:rFonts w:ascii="Times New Roman" w:hAnsi="Times New Roman"/>
          <w:bCs/>
          <w:sz w:val="22"/>
        </w:rPr>
        <w:t>consent agreement</w:t>
      </w:r>
      <w:r w:rsidR="0099179F" w:rsidRPr="002A5399">
        <w:rPr>
          <w:rFonts w:ascii="Times New Roman" w:hAnsi="Times New Roman"/>
          <w:bCs/>
          <w:sz w:val="22"/>
        </w:rPr>
        <w:t>.</w:t>
      </w:r>
    </w:p>
    <w:p w14:paraId="4EA8DADB" w14:textId="77777777" w:rsidR="0099179F" w:rsidRPr="002A5399" w:rsidRDefault="0099179F" w:rsidP="0076132E">
      <w:pPr>
        <w:pStyle w:val="PlainText"/>
        <w:tabs>
          <w:tab w:val="left" w:pos="720"/>
          <w:tab w:val="left" w:pos="1440"/>
          <w:tab w:val="left" w:pos="2160"/>
          <w:tab w:val="left" w:pos="2880"/>
          <w:tab w:val="left" w:pos="3600"/>
          <w:tab w:val="left" w:pos="4320"/>
        </w:tabs>
        <w:ind w:left="1440" w:hanging="720"/>
        <w:rPr>
          <w:rFonts w:ascii="Times New Roman" w:hAnsi="Times New Roman"/>
          <w:bCs/>
          <w:sz w:val="22"/>
        </w:rPr>
      </w:pPr>
    </w:p>
    <w:p w14:paraId="3EE0F3BA" w14:textId="77777777" w:rsidR="0099179F" w:rsidRPr="002A5399" w:rsidRDefault="0099179F"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General attendance at a conference.</w:t>
      </w:r>
    </w:p>
    <w:p w14:paraId="56F2FD30" w14:textId="77777777" w:rsidR="00C17DD9" w:rsidRPr="002A5399" w:rsidRDefault="00C17DD9" w:rsidP="0076132E">
      <w:pPr>
        <w:pStyle w:val="PlainText"/>
        <w:tabs>
          <w:tab w:val="left" w:pos="720"/>
          <w:tab w:val="left" w:pos="1440"/>
          <w:tab w:val="left" w:pos="2160"/>
          <w:tab w:val="left" w:pos="2880"/>
          <w:tab w:val="left" w:pos="3600"/>
          <w:tab w:val="left" w:pos="4320"/>
        </w:tabs>
        <w:rPr>
          <w:rFonts w:ascii="Times New Roman" w:hAnsi="Times New Roman"/>
          <w:bCs/>
          <w:sz w:val="22"/>
        </w:rPr>
      </w:pPr>
    </w:p>
    <w:p w14:paraId="42E7F361" w14:textId="77777777" w:rsidR="00C17DD9" w:rsidRPr="002A5399" w:rsidRDefault="00483428"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 xml:space="preserve">Business </w:t>
      </w:r>
      <w:r w:rsidR="00040581" w:rsidRPr="002A5399">
        <w:rPr>
          <w:rFonts w:ascii="Times New Roman" w:hAnsi="Times New Roman"/>
          <w:bCs/>
          <w:sz w:val="22"/>
        </w:rPr>
        <w:t>meeting</w:t>
      </w:r>
      <w:r w:rsidR="007328E6" w:rsidRPr="002A5399">
        <w:rPr>
          <w:rFonts w:ascii="Times New Roman" w:hAnsi="Times New Roman"/>
          <w:bCs/>
          <w:sz w:val="22"/>
        </w:rPr>
        <w:t>s</w:t>
      </w:r>
      <w:r w:rsidR="00040581" w:rsidRPr="002A5399">
        <w:rPr>
          <w:rFonts w:ascii="Times New Roman" w:hAnsi="Times New Roman"/>
          <w:bCs/>
          <w:sz w:val="22"/>
        </w:rPr>
        <w:t xml:space="preserve"> of a professional association</w:t>
      </w:r>
      <w:r w:rsidR="00967B8F" w:rsidRPr="002A5399">
        <w:rPr>
          <w:rFonts w:ascii="Times New Roman" w:hAnsi="Times New Roman"/>
          <w:bCs/>
          <w:sz w:val="22"/>
        </w:rPr>
        <w:t>.</w:t>
      </w:r>
    </w:p>
    <w:p w14:paraId="57709B04" w14:textId="77777777" w:rsidR="00040581" w:rsidRPr="002A5399" w:rsidRDefault="00040581" w:rsidP="0076132E">
      <w:pPr>
        <w:pStyle w:val="PlainText"/>
        <w:tabs>
          <w:tab w:val="left" w:pos="720"/>
          <w:tab w:val="left" w:pos="1440"/>
          <w:tab w:val="left" w:pos="2160"/>
          <w:tab w:val="left" w:pos="2880"/>
          <w:tab w:val="left" w:pos="3600"/>
          <w:tab w:val="left" w:pos="4320"/>
        </w:tabs>
        <w:ind w:left="1440"/>
        <w:rPr>
          <w:rFonts w:ascii="Times New Roman" w:hAnsi="Times New Roman"/>
          <w:bCs/>
          <w:sz w:val="22"/>
        </w:rPr>
      </w:pPr>
    </w:p>
    <w:p w14:paraId="15F7CCEF" w14:textId="77777777" w:rsidR="00C17DD9" w:rsidRPr="002A5399" w:rsidRDefault="00D676EF" w:rsidP="0076132E">
      <w:pPr>
        <w:pStyle w:val="PlainText"/>
        <w:numPr>
          <w:ilvl w:val="0"/>
          <w:numId w:val="32"/>
        </w:numPr>
        <w:tabs>
          <w:tab w:val="left" w:pos="720"/>
          <w:tab w:val="left" w:pos="1440"/>
          <w:tab w:val="left" w:pos="2160"/>
          <w:tab w:val="left" w:pos="2880"/>
          <w:tab w:val="left" w:pos="3600"/>
          <w:tab w:val="left" w:pos="4320"/>
        </w:tabs>
        <w:ind w:left="1440" w:hanging="720"/>
        <w:rPr>
          <w:rFonts w:ascii="Times New Roman" w:hAnsi="Times New Roman"/>
          <w:bCs/>
          <w:sz w:val="22"/>
        </w:rPr>
      </w:pPr>
      <w:r w:rsidRPr="002A5399">
        <w:rPr>
          <w:rFonts w:ascii="Times New Roman" w:hAnsi="Times New Roman"/>
          <w:bCs/>
          <w:sz w:val="22"/>
        </w:rPr>
        <w:t>T</w:t>
      </w:r>
      <w:r w:rsidR="003C17DF" w:rsidRPr="002A5399">
        <w:rPr>
          <w:rFonts w:ascii="Times New Roman" w:hAnsi="Times New Roman"/>
          <w:bCs/>
          <w:sz w:val="22"/>
        </w:rPr>
        <w:t>he study of yoga, energy healing; exploration of personal growth; or any activity of any nature whatsoever that does not directly relate to dental practice.</w:t>
      </w:r>
    </w:p>
    <w:p w14:paraId="5E7DB68D" w14:textId="77777777" w:rsidR="003C17DF" w:rsidRPr="002A5399" w:rsidRDefault="003C17DF" w:rsidP="0076132E">
      <w:pPr>
        <w:pStyle w:val="PlainText"/>
        <w:tabs>
          <w:tab w:val="left" w:pos="720"/>
          <w:tab w:val="left" w:pos="1440"/>
          <w:tab w:val="left" w:pos="2160"/>
          <w:tab w:val="left" w:pos="2880"/>
          <w:tab w:val="left" w:pos="3600"/>
          <w:tab w:val="left" w:pos="4320"/>
        </w:tabs>
        <w:rPr>
          <w:rFonts w:ascii="Times New Roman" w:hAnsi="Times New Roman"/>
          <w:bCs/>
          <w:sz w:val="22"/>
        </w:rPr>
      </w:pPr>
    </w:p>
    <w:p w14:paraId="17D1353D" w14:textId="77777777" w:rsidR="003C17DF" w:rsidRPr="002A5399" w:rsidRDefault="003C17DF" w:rsidP="0076132E">
      <w:pPr>
        <w:pStyle w:val="PlainText"/>
        <w:numPr>
          <w:ilvl w:val="0"/>
          <w:numId w:val="32"/>
        </w:numPr>
        <w:tabs>
          <w:tab w:val="left" w:pos="720"/>
          <w:tab w:val="left" w:pos="1440"/>
          <w:tab w:val="left" w:pos="2160"/>
          <w:tab w:val="left" w:pos="2880"/>
          <w:tab w:val="left" w:pos="3600"/>
          <w:tab w:val="left" w:pos="4320"/>
        </w:tabs>
        <w:ind w:left="1440" w:hanging="720"/>
        <w:rPr>
          <w:rFonts w:ascii="Times New Roman" w:hAnsi="Times New Roman"/>
          <w:bCs/>
          <w:sz w:val="22"/>
        </w:rPr>
      </w:pPr>
      <w:r w:rsidRPr="002A5399">
        <w:rPr>
          <w:rFonts w:ascii="Times New Roman" w:hAnsi="Times New Roman"/>
          <w:bCs/>
          <w:sz w:val="22"/>
        </w:rPr>
        <w:t xml:space="preserve">Reading of an article, a professional journal, an online or written publication, </w:t>
      </w:r>
      <w:r w:rsidR="007F45D8" w:rsidRPr="002A5399">
        <w:rPr>
          <w:rFonts w:ascii="Times New Roman" w:hAnsi="Times New Roman"/>
          <w:bCs/>
          <w:sz w:val="22"/>
        </w:rPr>
        <w:t xml:space="preserve">or </w:t>
      </w:r>
      <w:r w:rsidRPr="002A5399">
        <w:rPr>
          <w:rFonts w:ascii="Times New Roman" w:hAnsi="Times New Roman"/>
          <w:bCs/>
          <w:sz w:val="22"/>
        </w:rPr>
        <w:t>a professional publication</w:t>
      </w:r>
      <w:r w:rsidR="00074DB6" w:rsidRPr="002A5399">
        <w:rPr>
          <w:rFonts w:ascii="Times New Roman" w:hAnsi="Times New Roman"/>
          <w:bCs/>
          <w:sz w:val="22"/>
        </w:rPr>
        <w:t xml:space="preserve"> without an examination</w:t>
      </w:r>
      <w:r w:rsidRPr="002A5399">
        <w:rPr>
          <w:rFonts w:ascii="Times New Roman" w:hAnsi="Times New Roman"/>
          <w:bCs/>
          <w:sz w:val="22"/>
        </w:rPr>
        <w:t>.</w:t>
      </w:r>
    </w:p>
    <w:p w14:paraId="4FF41BDB" w14:textId="77777777" w:rsidR="00746C84" w:rsidRPr="002A5399" w:rsidRDefault="00746C84" w:rsidP="0076132E">
      <w:pPr>
        <w:pStyle w:val="PlainText"/>
        <w:tabs>
          <w:tab w:val="left" w:pos="720"/>
          <w:tab w:val="left" w:pos="1440"/>
          <w:tab w:val="left" w:pos="2160"/>
          <w:tab w:val="left" w:pos="2880"/>
          <w:tab w:val="left" w:pos="3600"/>
          <w:tab w:val="left" w:pos="4320"/>
        </w:tabs>
        <w:rPr>
          <w:rFonts w:ascii="Times New Roman" w:hAnsi="Times New Roman"/>
          <w:bCs/>
          <w:sz w:val="22"/>
        </w:rPr>
      </w:pPr>
    </w:p>
    <w:p w14:paraId="62DD9153" w14:textId="77777777" w:rsidR="003C17DF" w:rsidRPr="002A5399" w:rsidRDefault="003C17DF"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 xml:space="preserve">Clinical </w:t>
      </w:r>
      <w:r w:rsidR="005A753E" w:rsidRPr="002A5399">
        <w:rPr>
          <w:rFonts w:ascii="Times New Roman" w:hAnsi="Times New Roman"/>
          <w:bCs/>
          <w:sz w:val="22"/>
        </w:rPr>
        <w:t>e</w:t>
      </w:r>
      <w:r w:rsidRPr="002A5399">
        <w:rPr>
          <w:rFonts w:ascii="Times New Roman" w:hAnsi="Times New Roman"/>
          <w:bCs/>
          <w:sz w:val="22"/>
        </w:rPr>
        <w:t xml:space="preserve">xaminations </w:t>
      </w:r>
      <w:r w:rsidR="00D676EF" w:rsidRPr="002A5399">
        <w:rPr>
          <w:rFonts w:ascii="Times New Roman" w:hAnsi="Times New Roman"/>
          <w:bCs/>
          <w:sz w:val="22"/>
        </w:rPr>
        <w:t xml:space="preserve">taken </w:t>
      </w:r>
      <w:r w:rsidR="005A753E" w:rsidRPr="002A5399">
        <w:rPr>
          <w:rFonts w:ascii="Times New Roman" w:hAnsi="Times New Roman"/>
          <w:bCs/>
          <w:sz w:val="22"/>
        </w:rPr>
        <w:t>to</w:t>
      </w:r>
      <w:r w:rsidRPr="002A5399">
        <w:rPr>
          <w:rFonts w:ascii="Times New Roman" w:hAnsi="Times New Roman"/>
          <w:bCs/>
          <w:sz w:val="22"/>
        </w:rPr>
        <w:t xml:space="preserve"> </w:t>
      </w:r>
      <w:r w:rsidR="00D676EF" w:rsidRPr="002A5399">
        <w:rPr>
          <w:rFonts w:ascii="Times New Roman" w:hAnsi="Times New Roman"/>
          <w:bCs/>
          <w:sz w:val="22"/>
        </w:rPr>
        <w:t xml:space="preserve">obtain </w:t>
      </w:r>
      <w:r w:rsidRPr="002A5399">
        <w:rPr>
          <w:rFonts w:ascii="Times New Roman" w:hAnsi="Times New Roman"/>
          <w:bCs/>
          <w:sz w:val="22"/>
        </w:rPr>
        <w:t xml:space="preserve">a </w:t>
      </w:r>
      <w:r w:rsidR="00D676EF" w:rsidRPr="002A5399">
        <w:rPr>
          <w:rFonts w:ascii="Times New Roman" w:hAnsi="Times New Roman"/>
          <w:bCs/>
          <w:sz w:val="22"/>
        </w:rPr>
        <w:t>license</w:t>
      </w:r>
      <w:r w:rsidRPr="002A5399">
        <w:rPr>
          <w:rFonts w:ascii="Times New Roman" w:hAnsi="Times New Roman"/>
          <w:bCs/>
          <w:sz w:val="22"/>
        </w:rPr>
        <w:t>.</w:t>
      </w:r>
    </w:p>
    <w:p w14:paraId="691D0527" w14:textId="77777777" w:rsidR="00CE2D62" w:rsidRDefault="00CE2D62" w:rsidP="0076132E">
      <w:pPr>
        <w:pStyle w:val="PlainText"/>
        <w:tabs>
          <w:tab w:val="left" w:pos="720"/>
          <w:tab w:val="left" w:pos="1440"/>
          <w:tab w:val="left" w:pos="2160"/>
          <w:tab w:val="left" w:pos="2880"/>
          <w:tab w:val="left" w:pos="3600"/>
          <w:tab w:val="left" w:pos="4320"/>
        </w:tabs>
        <w:ind w:left="1440"/>
        <w:rPr>
          <w:rFonts w:ascii="Times New Roman" w:hAnsi="Times New Roman"/>
          <w:sz w:val="22"/>
        </w:rPr>
      </w:pPr>
    </w:p>
    <w:p w14:paraId="195B8781" w14:textId="77777777" w:rsidR="00CE2D62" w:rsidRDefault="007F45D8" w:rsidP="0076132E">
      <w:pPr>
        <w:pStyle w:val="PlainText"/>
        <w:tabs>
          <w:tab w:val="left" w:pos="720"/>
          <w:tab w:val="left" w:pos="1440"/>
          <w:tab w:val="left" w:pos="2160"/>
          <w:tab w:val="left" w:pos="2880"/>
          <w:tab w:val="left" w:pos="3600"/>
          <w:tab w:val="left" w:pos="4320"/>
        </w:tabs>
        <w:ind w:left="720"/>
        <w:rPr>
          <w:rFonts w:ascii="Times New Roman" w:hAnsi="Times New Roman"/>
          <w:sz w:val="22"/>
        </w:rPr>
      </w:pPr>
      <w:r>
        <w:rPr>
          <w:rFonts w:ascii="Times New Roman" w:hAnsi="Times New Roman"/>
          <w:sz w:val="22"/>
        </w:rPr>
        <w:t>Hands-on continuing education activities may be eligible for continuing education credit but are not eligible for double-credit.</w:t>
      </w:r>
    </w:p>
    <w:p w14:paraId="676A2DA3" w14:textId="77777777" w:rsidR="00377A60" w:rsidRDefault="00377A60"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F65B4E2" w14:textId="77777777" w:rsidR="00045BE3" w:rsidRDefault="00045BE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BD926CF" w14:textId="77777777" w:rsidR="00641447" w:rsidRPr="00552CEC" w:rsidRDefault="00641447" w:rsidP="0076132E">
      <w:pPr>
        <w:tabs>
          <w:tab w:val="left" w:pos="720"/>
          <w:tab w:val="left" w:pos="1440"/>
          <w:tab w:val="left" w:pos="2160"/>
          <w:tab w:val="left" w:pos="2880"/>
          <w:tab w:val="left" w:pos="3600"/>
          <w:tab w:val="left" w:pos="4320"/>
        </w:tabs>
        <w:rPr>
          <w:sz w:val="22"/>
        </w:rPr>
      </w:pPr>
      <w:r>
        <w:rPr>
          <w:b/>
          <w:sz w:val="22"/>
        </w:rPr>
        <w:t>I</w:t>
      </w:r>
      <w:r w:rsidR="00C17DD9">
        <w:rPr>
          <w:b/>
          <w:sz w:val="22"/>
        </w:rPr>
        <w:t>V</w:t>
      </w:r>
      <w:r>
        <w:rPr>
          <w:b/>
          <w:sz w:val="22"/>
        </w:rPr>
        <w:t>.</w:t>
      </w:r>
      <w:r>
        <w:rPr>
          <w:b/>
          <w:sz w:val="22"/>
        </w:rPr>
        <w:tab/>
      </w:r>
      <w:r w:rsidR="003F7181">
        <w:rPr>
          <w:b/>
          <w:sz w:val="22"/>
        </w:rPr>
        <w:t xml:space="preserve">Continuing Education Providers; </w:t>
      </w:r>
      <w:r>
        <w:rPr>
          <w:b/>
          <w:sz w:val="22"/>
        </w:rPr>
        <w:t>Documentation</w:t>
      </w:r>
    </w:p>
    <w:p w14:paraId="44B28B78" w14:textId="77777777" w:rsidR="00641447" w:rsidRPr="00641447" w:rsidRDefault="00641447" w:rsidP="0076132E">
      <w:pPr>
        <w:tabs>
          <w:tab w:val="left" w:pos="720"/>
          <w:tab w:val="left" w:pos="1440"/>
          <w:tab w:val="left" w:pos="2160"/>
          <w:tab w:val="left" w:pos="2880"/>
          <w:tab w:val="left" w:pos="3600"/>
          <w:tab w:val="left" w:pos="4320"/>
        </w:tabs>
        <w:ind w:left="1530" w:hanging="810"/>
        <w:rPr>
          <w:sz w:val="22"/>
          <w:szCs w:val="22"/>
        </w:rPr>
      </w:pPr>
    </w:p>
    <w:p w14:paraId="109D643F" w14:textId="77777777" w:rsidR="00641447" w:rsidRDefault="000208D3" w:rsidP="0076132E">
      <w:pPr>
        <w:tabs>
          <w:tab w:val="left" w:pos="720"/>
          <w:tab w:val="left" w:pos="1440"/>
          <w:tab w:val="left" w:pos="2160"/>
          <w:tab w:val="left" w:pos="2880"/>
          <w:tab w:val="left" w:pos="3600"/>
          <w:tab w:val="left" w:pos="4320"/>
        </w:tabs>
        <w:ind w:left="1440" w:hanging="720"/>
        <w:rPr>
          <w:rFonts w:eastAsia="Times"/>
          <w:kern w:val="24"/>
          <w:sz w:val="22"/>
          <w:szCs w:val="22"/>
        </w:rPr>
      </w:pPr>
      <w:r w:rsidRPr="0076132E">
        <w:rPr>
          <w:rFonts w:eastAsia="Times"/>
          <w:kern w:val="24"/>
          <w:sz w:val="22"/>
          <w:szCs w:val="22"/>
        </w:rPr>
        <w:t>A.</w:t>
      </w:r>
      <w:r w:rsidR="008731AC">
        <w:rPr>
          <w:rFonts w:eastAsia="Times"/>
          <w:b/>
          <w:kern w:val="24"/>
          <w:sz w:val="22"/>
          <w:szCs w:val="22"/>
        </w:rPr>
        <w:tab/>
      </w:r>
      <w:r w:rsidRPr="00373A4D">
        <w:rPr>
          <w:rFonts w:eastAsia="Times"/>
          <w:b/>
          <w:kern w:val="24"/>
          <w:sz w:val="22"/>
          <w:szCs w:val="22"/>
        </w:rPr>
        <w:t>Providers.</w:t>
      </w:r>
      <w:r w:rsidR="000F5BBE">
        <w:rPr>
          <w:rFonts w:eastAsia="Times"/>
          <w:kern w:val="24"/>
          <w:sz w:val="22"/>
          <w:szCs w:val="22"/>
        </w:rPr>
        <w:t xml:space="preserve"> </w:t>
      </w:r>
      <w:r w:rsidR="00CE572F">
        <w:rPr>
          <w:rFonts w:eastAsia="Times"/>
          <w:kern w:val="24"/>
          <w:sz w:val="22"/>
          <w:szCs w:val="22"/>
        </w:rPr>
        <w:t>Eligible c</w:t>
      </w:r>
      <w:r w:rsidR="00641447" w:rsidRPr="00641447">
        <w:rPr>
          <w:rFonts w:eastAsia="Times"/>
          <w:kern w:val="24"/>
          <w:sz w:val="22"/>
          <w:szCs w:val="22"/>
        </w:rPr>
        <w:t xml:space="preserve">ontinuing education activities may be offered by </w:t>
      </w:r>
      <w:r w:rsidR="003F7181">
        <w:rPr>
          <w:rFonts w:eastAsia="Times"/>
          <w:kern w:val="24"/>
          <w:sz w:val="22"/>
          <w:szCs w:val="22"/>
        </w:rPr>
        <w:t>provide</w:t>
      </w:r>
      <w:r w:rsidR="0071347B">
        <w:rPr>
          <w:rFonts w:eastAsia="Times"/>
          <w:kern w:val="24"/>
          <w:sz w:val="22"/>
          <w:szCs w:val="22"/>
        </w:rPr>
        <w:t xml:space="preserve">rs of continuing education such </w:t>
      </w:r>
      <w:r w:rsidR="003F7181">
        <w:rPr>
          <w:rFonts w:eastAsia="Times"/>
          <w:kern w:val="24"/>
          <w:sz w:val="22"/>
          <w:szCs w:val="22"/>
        </w:rPr>
        <w:t xml:space="preserve">as </w:t>
      </w:r>
      <w:r w:rsidR="00641447" w:rsidRPr="00641447">
        <w:rPr>
          <w:rFonts w:eastAsia="Times"/>
          <w:kern w:val="24"/>
          <w:sz w:val="22"/>
          <w:szCs w:val="22"/>
        </w:rPr>
        <w:t>departments of regionally-accredited institutions</w:t>
      </w:r>
      <w:r w:rsidR="007F45D8">
        <w:rPr>
          <w:rFonts w:eastAsia="Times"/>
          <w:kern w:val="24"/>
          <w:sz w:val="22"/>
          <w:szCs w:val="22"/>
        </w:rPr>
        <w:t>;</w:t>
      </w:r>
      <w:r w:rsidR="007F45D8" w:rsidRPr="00641447">
        <w:rPr>
          <w:rFonts w:eastAsia="Times"/>
          <w:kern w:val="24"/>
          <w:sz w:val="22"/>
          <w:szCs w:val="22"/>
        </w:rPr>
        <w:t xml:space="preserve"> </w:t>
      </w:r>
      <w:r w:rsidR="00641447" w:rsidRPr="00641447">
        <w:rPr>
          <w:rFonts w:eastAsia="Times"/>
          <w:kern w:val="24"/>
          <w:sz w:val="22"/>
          <w:szCs w:val="22"/>
        </w:rPr>
        <w:t>national, state or local professional organizations or associations</w:t>
      </w:r>
      <w:r w:rsidR="007F45D8">
        <w:rPr>
          <w:rFonts w:eastAsia="Times"/>
          <w:kern w:val="24"/>
          <w:sz w:val="22"/>
          <w:szCs w:val="22"/>
        </w:rPr>
        <w:t>;</w:t>
      </w:r>
      <w:r w:rsidR="007F45D8" w:rsidRPr="00641447">
        <w:rPr>
          <w:rFonts w:eastAsia="Times"/>
          <w:kern w:val="24"/>
          <w:sz w:val="22"/>
          <w:szCs w:val="22"/>
        </w:rPr>
        <w:t xml:space="preserve"> </w:t>
      </w:r>
      <w:r w:rsidR="00641447" w:rsidRPr="00641447">
        <w:rPr>
          <w:rFonts w:eastAsia="Times"/>
          <w:kern w:val="24"/>
          <w:sz w:val="22"/>
          <w:szCs w:val="22"/>
        </w:rPr>
        <w:t>public or private human services organizations</w:t>
      </w:r>
      <w:r w:rsidR="007F45D8">
        <w:rPr>
          <w:rFonts w:eastAsia="Times"/>
          <w:kern w:val="24"/>
          <w:sz w:val="22"/>
          <w:szCs w:val="22"/>
        </w:rPr>
        <w:t>;</w:t>
      </w:r>
      <w:r w:rsidR="007F45D8" w:rsidRPr="00641447">
        <w:rPr>
          <w:rFonts w:eastAsia="Times"/>
          <w:kern w:val="24"/>
          <w:sz w:val="22"/>
          <w:szCs w:val="22"/>
        </w:rPr>
        <w:t xml:space="preserve"> </w:t>
      </w:r>
      <w:r w:rsidR="00641447" w:rsidRPr="00641447">
        <w:rPr>
          <w:rFonts w:eastAsia="Times"/>
          <w:kern w:val="24"/>
          <w:sz w:val="22"/>
          <w:szCs w:val="22"/>
        </w:rPr>
        <w:t xml:space="preserve">or private consultants or individuals. </w:t>
      </w:r>
    </w:p>
    <w:p w14:paraId="011B7CB6" w14:textId="77777777" w:rsidR="00C17DD9" w:rsidRDefault="00C17DD9" w:rsidP="0076132E">
      <w:pPr>
        <w:tabs>
          <w:tab w:val="left" w:pos="720"/>
          <w:tab w:val="left" w:pos="1440"/>
          <w:tab w:val="left" w:pos="2160"/>
          <w:tab w:val="left" w:pos="2880"/>
          <w:tab w:val="left" w:pos="3600"/>
          <w:tab w:val="left" w:pos="4320"/>
        </w:tabs>
        <w:ind w:left="720"/>
        <w:rPr>
          <w:rFonts w:eastAsia="Times"/>
          <w:kern w:val="24"/>
          <w:sz w:val="22"/>
          <w:szCs w:val="22"/>
        </w:rPr>
      </w:pPr>
    </w:p>
    <w:p w14:paraId="168C11F5" w14:textId="77777777" w:rsidR="00CE2D62" w:rsidRDefault="008731AC" w:rsidP="0076132E">
      <w:pPr>
        <w:tabs>
          <w:tab w:val="left" w:pos="720"/>
          <w:tab w:val="left" w:pos="1440"/>
          <w:tab w:val="left" w:pos="2160"/>
          <w:tab w:val="left" w:pos="2880"/>
          <w:tab w:val="left" w:pos="3600"/>
          <w:tab w:val="left" w:pos="4320"/>
        </w:tabs>
        <w:ind w:left="1530" w:hanging="810"/>
        <w:rPr>
          <w:rFonts w:eastAsia="Times"/>
          <w:kern w:val="24"/>
          <w:sz w:val="22"/>
          <w:szCs w:val="22"/>
        </w:rPr>
      </w:pPr>
      <w:r>
        <w:rPr>
          <w:rFonts w:eastAsia="Times"/>
          <w:kern w:val="24"/>
          <w:sz w:val="22"/>
          <w:szCs w:val="22"/>
        </w:rPr>
        <w:tab/>
      </w:r>
      <w:r w:rsidR="00CE2D62">
        <w:rPr>
          <w:rFonts w:eastAsia="Times"/>
          <w:kern w:val="24"/>
          <w:sz w:val="22"/>
          <w:szCs w:val="22"/>
        </w:rPr>
        <w:t>Such organizations include, but are not limited to:</w:t>
      </w:r>
    </w:p>
    <w:p w14:paraId="1699B48E" w14:textId="77777777" w:rsidR="00B14EF9" w:rsidRDefault="00B14EF9" w:rsidP="0076132E">
      <w:pPr>
        <w:tabs>
          <w:tab w:val="left" w:pos="720"/>
          <w:tab w:val="left" w:pos="1440"/>
          <w:tab w:val="left" w:pos="2160"/>
          <w:tab w:val="left" w:pos="2880"/>
          <w:tab w:val="left" w:pos="3600"/>
          <w:tab w:val="left" w:pos="4320"/>
        </w:tabs>
        <w:ind w:left="720"/>
        <w:rPr>
          <w:rFonts w:eastAsia="Times"/>
          <w:kern w:val="24"/>
          <w:sz w:val="22"/>
          <w:szCs w:val="22"/>
        </w:rPr>
      </w:pPr>
    </w:p>
    <w:p w14:paraId="21B074AE"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Any </w:t>
      </w:r>
      <w:r w:rsidR="00CE2D62">
        <w:rPr>
          <w:rFonts w:eastAsia="Times"/>
          <w:kern w:val="24"/>
          <w:sz w:val="22"/>
          <w:szCs w:val="22"/>
        </w:rPr>
        <w:t>accredited college or university</w:t>
      </w:r>
      <w:r w:rsidR="00377A60">
        <w:rPr>
          <w:rFonts w:eastAsia="Times"/>
          <w:kern w:val="24"/>
          <w:sz w:val="22"/>
          <w:szCs w:val="22"/>
        </w:rPr>
        <w:t>.</w:t>
      </w:r>
    </w:p>
    <w:p w14:paraId="0979052D"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02C855E6"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Any </w:t>
      </w:r>
      <w:r w:rsidR="00CE2D62">
        <w:rPr>
          <w:rFonts w:eastAsia="Times"/>
          <w:kern w:val="24"/>
          <w:sz w:val="22"/>
          <w:szCs w:val="22"/>
        </w:rPr>
        <w:t xml:space="preserve">program accredited by </w:t>
      </w:r>
      <w:r w:rsidR="00377A60">
        <w:rPr>
          <w:rFonts w:eastAsia="Times"/>
          <w:kern w:val="24"/>
          <w:sz w:val="22"/>
          <w:szCs w:val="22"/>
        </w:rPr>
        <w:t>CODA.</w:t>
      </w:r>
    </w:p>
    <w:p w14:paraId="5A93F969"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79D410B7"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 xml:space="preserve">American </w:t>
      </w:r>
      <w:r w:rsidR="00C01E99">
        <w:rPr>
          <w:rFonts w:eastAsia="Times"/>
          <w:kern w:val="24"/>
          <w:sz w:val="22"/>
          <w:szCs w:val="22"/>
        </w:rPr>
        <w:t>D</w:t>
      </w:r>
      <w:r w:rsidR="00CE2D62">
        <w:rPr>
          <w:rFonts w:eastAsia="Times"/>
          <w:kern w:val="24"/>
          <w:sz w:val="22"/>
          <w:szCs w:val="22"/>
        </w:rPr>
        <w:t xml:space="preserve">ental </w:t>
      </w:r>
      <w:r w:rsidR="00C01E99">
        <w:rPr>
          <w:rFonts w:eastAsia="Times"/>
          <w:kern w:val="24"/>
          <w:sz w:val="22"/>
          <w:szCs w:val="22"/>
        </w:rPr>
        <w:t>A</w:t>
      </w:r>
      <w:r w:rsidR="00CE2D62">
        <w:rPr>
          <w:rFonts w:eastAsia="Times"/>
          <w:kern w:val="24"/>
          <w:sz w:val="22"/>
          <w:szCs w:val="22"/>
        </w:rPr>
        <w:t xml:space="preserve">ssociation, the </w:t>
      </w:r>
      <w:r w:rsidR="00C01E99">
        <w:rPr>
          <w:rFonts w:eastAsia="Times"/>
          <w:kern w:val="24"/>
          <w:sz w:val="22"/>
          <w:szCs w:val="22"/>
        </w:rPr>
        <w:t>N</w:t>
      </w:r>
      <w:r w:rsidR="00CE2D62">
        <w:rPr>
          <w:rFonts w:eastAsia="Times"/>
          <w:kern w:val="24"/>
          <w:sz w:val="22"/>
          <w:szCs w:val="22"/>
        </w:rPr>
        <w:t xml:space="preserve">ational </w:t>
      </w:r>
      <w:r w:rsidR="00C01E99">
        <w:rPr>
          <w:rFonts w:eastAsia="Times"/>
          <w:kern w:val="24"/>
          <w:sz w:val="22"/>
          <w:szCs w:val="22"/>
        </w:rPr>
        <w:t>D</w:t>
      </w:r>
      <w:r w:rsidR="00CE2D62">
        <w:rPr>
          <w:rFonts w:eastAsia="Times"/>
          <w:kern w:val="24"/>
          <w:sz w:val="22"/>
          <w:szCs w:val="22"/>
        </w:rPr>
        <w:t xml:space="preserve">ental </w:t>
      </w:r>
      <w:r w:rsidR="00C01E99">
        <w:rPr>
          <w:rFonts w:eastAsia="Times"/>
          <w:kern w:val="24"/>
          <w:sz w:val="22"/>
          <w:szCs w:val="22"/>
        </w:rPr>
        <w:t>A</w:t>
      </w:r>
      <w:r w:rsidR="00CE2D62">
        <w:rPr>
          <w:rFonts w:eastAsia="Times"/>
          <w:kern w:val="24"/>
          <w:sz w:val="22"/>
          <w:szCs w:val="22"/>
        </w:rPr>
        <w:t>ssociation, or their component and constituent societies, associations, and local society</w:t>
      </w:r>
      <w:r w:rsidR="00377A60">
        <w:rPr>
          <w:rFonts w:eastAsia="Times"/>
          <w:kern w:val="24"/>
          <w:sz w:val="22"/>
          <w:szCs w:val="22"/>
        </w:rPr>
        <w:t>.</w:t>
      </w:r>
    </w:p>
    <w:p w14:paraId="5792344A"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1EECE5CF"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01E99">
        <w:rPr>
          <w:rFonts w:eastAsia="Times"/>
          <w:kern w:val="24"/>
          <w:sz w:val="22"/>
          <w:szCs w:val="22"/>
        </w:rPr>
        <w:t>American Dental H</w:t>
      </w:r>
      <w:r w:rsidR="00B14EF9">
        <w:rPr>
          <w:rFonts w:eastAsia="Times"/>
          <w:kern w:val="24"/>
          <w:sz w:val="22"/>
          <w:szCs w:val="22"/>
        </w:rPr>
        <w:t>ygienists</w:t>
      </w:r>
      <w:r w:rsidR="00C01E99">
        <w:rPr>
          <w:rFonts w:eastAsia="Times"/>
          <w:kern w:val="24"/>
          <w:sz w:val="22"/>
          <w:szCs w:val="22"/>
        </w:rPr>
        <w:t xml:space="preserve"> A</w:t>
      </w:r>
      <w:r w:rsidR="00CE2D62">
        <w:rPr>
          <w:rFonts w:eastAsia="Times"/>
          <w:kern w:val="24"/>
          <w:sz w:val="22"/>
          <w:szCs w:val="22"/>
        </w:rPr>
        <w:t>ssociation</w:t>
      </w:r>
      <w:r w:rsidR="00C01E99">
        <w:rPr>
          <w:rFonts w:eastAsia="Times"/>
          <w:kern w:val="24"/>
          <w:sz w:val="22"/>
          <w:szCs w:val="22"/>
        </w:rPr>
        <w:t>, the National Dental H</w:t>
      </w:r>
      <w:r w:rsidR="00CE2D62">
        <w:rPr>
          <w:rFonts w:eastAsia="Times"/>
          <w:kern w:val="24"/>
          <w:sz w:val="22"/>
          <w:szCs w:val="22"/>
        </w:rPr>
        <w:t>yg</w:t>
      </w:r>
      <w:r w:rsidR="00C01E99">
        <w:rPr>
          <w:rFonts w:eastAsia="Times"/>
          <w:kern w:val="24"/>
          <w:sz w:val="22"/>
          <w:szCs w:val="22"/>
        </w:rPr>
        <w:t>ienists A</w:t>
      </w:r>
      <w:r w:rsidR="00CE2D62">
        <w:rPr>
          <w:rFonts w:eastAsia="Times"/>
          <w:kern w:val="24"/>
          <w:sz w:val="22"/>
          <w:szCs w:val="22"/>
        </w:rPr>
        <w:t>ssociation, or their component or constituent societies, associations, and local society</w:t>
      </w:r>
      <w:r w:rsidR="00377A60">
        <w:rPr>
          <w:rFonts w:eastAsia="Times"/>
          <w:kern w:val="24"/>
          <w:sz w:val="22"/>
          <w:szCs w:val="22"/>
        </w:rPr>
        <w:t>.</w:t>
      </w:r>
    </w:p>
    <w:p w14:paraId="0138F166"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00917634"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International Federation of Denturists (IFD) or its component societies</w:t>
      </w:r>
      <w:r w:rsidR="00377A60">
        <w:rPr>
          <w:rFonts w:eastAsia="Times"/>
          <w:kern w:val="24"/>
          <w:sz w:val="22"/>
          <w:szCs w:val="22"/>
        </w:rPr>
        <w:t>.</w:t>
      </w:r>
    </w:p>
    <w:p w14:paraId="67705971"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5C24445D"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Maine Licensed Denturist Association</w:t>
      </w:r>
      <w:r w:rsidR="00377A60">
        <w:rPr>
          <w:rFonts w:eastAsia="Times"/>
          <w:kern w:val="24"/>
          <w:sz w:val="22"/>
          <w:szCs w:val="22"/>
        </w:rPr>
        <w:t>.</w:t>
      </w:r>
    </w:p>
    <w:p w14:paraId="765F7C1F" w14:textId="77777777" w:rsidR="00CE2D62" w:rsidRDefault="00CE2D62" w:rsidP="0076132E">
      <w:pPr>
        <w:tabs>
          <w:tab w:val="left" w:pos="720"/>
          <w:tab w:val="left" w:pos="1440"/>
          <w:tab w:val="left" w:pos="2160"/>
          <w:tab w:val="left" w:pos="2880"/>
          <w:tab w:val="left" w:pos="3600"/>
          <w:tab w:val="left" w:pos="4320"/>
        </w:tabs>
        <w:ind w:left="2160" w:hanging="450"/>
        <w:rPr>
          <w:rFonts w:eastAsia="Times"/>
          <w:kern w:val="24"/>
          <w:sz w:val="22"/>
          <w:szCs w:val="22"/>
        </w:rPr>
      </w:pPr>
    </w:p>
    <w:p w14:paraId="4829B762"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 xml:space="preserve">academies and specialty organizations recognized by the </w:t>
      </w:r>
      <w:r w:rsidR="00067DF4">
        <w:rPr>
          <w:rFonts w:eastAsia="Times"/>
          <w:kern w:val="24"/>
          <w:sz w:val="22"/>
          <w:szCs w:val="22"/>
        </w:rPr>
        <w:t>Board</w:t>
      </w:r>
      <w:r w:rsidR="00377A60">
        <w:rPr>
          <w:rFonts w:eastAsia="Times"/>
          <w:kern w:val="24"/>
          <w:sz w:val="22"/>
          <w:szCs w:val="22"/>
        </w:rPr>
        <w:t>.</w:t>
      </w:r>
    </w:p>
    <w:p w14:paraId="036D09D7" w14:textId="77777777" w:rsidR="00BF245B" w:rsidRDefault="00BF245B" w:rsidP="0076132E">
      <w:pPr>
        <w:pStyle w:val="ListParagraph"/>
        <w:tabs>
          <w:tab w:val="left" w:pos="720"/>
          <w:tab w:val="left" w:pos="1440"/>
          <w:tab w:val="left" w:pos="2160"/>
          <w:tab w:val="left" w:pos="2880"/>
          <w:tab w:val="left" w:pos="3600"/>
          <w:tab w:val="left" w:pos="4320"/>
        </w:tabs>
        <w:ind w:hanging="720"/>
        <w:rPr>
          <w:rFonts w:eastAsia="Times"/>
          <w:kern w:val="24"/>
          <w:sz w:val="22"/>
          <w:szCs w:val="22"/>
        </w:rPr>
      </w:pPr>
    </w:p>
    <w:p w14:paraId="091F2B6A" w14:textId="77777777" w:rsidR="00B14EF9"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377A60">
        <w:rPr>
          <w:rFonts w:eastAsia="Times"/>
          <w:kern w:val="24"/>
          <w:sz w:val="22"/>
          <w:szCs w:val="22"/>
        </w:rPr>
        <w:t>V</w:t>
      </w:r>
      <w:r w:rsidR="00B14EF9">
        <w:rPr>
          <w:rFonts w:eastAsia="Times"/>
          <w:kern w:val="24"/>
          <w:sz w:val="22"/>
          <w:szCs w:val="22"/>
        </w:rPr>
        <w:t xml:space="preserve">eterans </w:t>
      </w:r>
      <w:r w:rsidR="00377A60">
        <w:rPr>
          <w:rFonts w:eastAsia="Times"/>
          <w:kern w:val="24"/>
          <w:sz w:val="22"/>
          <w:szCs w:val="22"/>
        </w:rPr>
        <w:t>A</w:t>
      </w:r>
      <w:r w:rsidR="00B14EF9">
        <w:rPr>
          <w:rFonts w:eastAsia="Times"/>
          <w:kern w:val="24"/>
          <w:sz w:val="22"/>
          <w:szCs w:val="22"/>
        </w:rPr>
        <w:t>dministration or the armed forces</w:t>
      </w:r>
      <w:r w:rsidR="00377A60">
        <w:rPr>
          <w:rFonts w:eastAsia="Times"/>
          <w:kern w:val="24"/>
          <w:sz w:val="22"/>
          <w:szCs w:val="22"/>
        </w:rPr>
        <w:t>.</w:t>
      </w:r>
    </w:p>
    <w:p w14:paraId="0BD13EBA" w14:textId="77777777" w:rsidR="00973802" w:rsidRDefault="00973802" w:rsidP="0076132E">
      <w:pPr>
        <w:pStyle w:val="ListParagraph"/>
        <w:tabs>
          <w:tab w:val="left" w:pos="720"/>
          <w:tab w:val="left" w:pos="1440"/>
          <w:tab w:val="left" w:pos="2160"/>
          <w:tab w:val="left" w:pos="2880"/>
          <w:tab w:val="left" w:pos="3600"/>
          <w:tab w:val="left" w:pos="4320"/>
        </w:tabs>
        <w:ind w:hanging="720"/>
        <w:rPr>
          <w:rFonts w:eastAsia="Times"/>
          <w:kern w:val="24"/>
          <w:sz w:val="22"/>
          <w:szCs w:val="22"/>
        </w:rPr>
      </w:pPr>
    </w:p>
    <w:p w14:paraId="75602867" w14:textId="77777777" w:rsidR="00973802" w:rsidRDefault="00973802"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Providers who are accredited, approved, or recognized by:</w:t>
      </w:r>
    </w:p>
    <w:p w14:paraId="04FAF886" w14:textId="77777777" w:rsidR="008C79ED" w:rsidRDefault="008C79ED" w:rsidP="0076132E">
      <w:pPr>
        <w:tabs>
          <w:tab w:val="left" w:pos="720"/>
          <w:tab w:val="left" w:pos="1440"/>
          <w:tab w:val="left" w:pos="2160"/>
          <w:tab w:val="left" w:pos="2880"/>
          <w:tab w:val="left" w:pos="3600"/>
          <w:tab w:val="left" w:pos="4320"/>
        </w:tabs>
        <w:rPr>
          <w:rFonts w:eastAsia="Times"/>
          <w:kern w:val="24"/>
          <w:sz w:val="22"/>
          <w:szCs w:val="22"/>
        </w:rPr>
      </w:pPr>
    </w:p>
    <w:p w14:paraId="2B1CDEF5"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The American Academy of Dental Hygiene</w:t>
      </w:r>
      <w:r w:rsidR="002B420E">
        <w:rPr>
          <w:rFonts w:eastAsia="Times"/>
          <w:kern w:val="24"/>
          <w:sz w:val="22"/>
          <w:szCs w:val="22"/>
        </w:rPr>
        <w:t>;</w:t>
      </w:r>
    </w:p>
    <w:p w14:paraId="0DA23247" w14:textId="77777777" w:rsidR="0076132E" w:rsidRDefault="0076132E" w:rsidP="0076132E">
      <w:pPr>
        <w:tabs>
          <w:tab w:val="left" w:pos="720"/>
          <w:tab w:val="left" w:pos="1440"/>
          <w:tab w:val="left" w:pos="2160"/>
          <w:tab w:val="left" w:pos="2880"/>
          <w:tab w:val="left" w:pos="3600"/>
          <w:tab w:val="left" w:pos="4320"/>
        </w:tabs>
        <w:ind w:left="2160"/>
        <w:rPr>
          <w:rFonts w:eastAsia="Times"/>
          <w:kern w:val="24"/>
          <w:sz w:val="22"/>
          <w:szCs w:val="22"/>
        </w:rPr>
      </w:pPr>
    </w:p>
    <w:p w14:paraId="226F7608"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The American Dental Association’s Continuing Education Recognition Program (“ADA CERP”)</w:t>
      </w:r>
      <w:r w:rsidR="002B420E">
        <w:rPr>
          <w:rFonts w:eastAsia="Times"/>
          <w:kern w:val="24"/>
          <w:sz w:val="22"/>
          <w:szCs w:val="22"/>
        </w:rPr>
        <w:t>;</w:t>
      </w:r>
    </w:p>
    <w:p w14:paraId="290FD924" w14:textId="77777777" w:rsidR="0076132E" w:rsidRDefault="0076132E" w:rsidP="0076132E">
      <w:pPr>
        <w:tabs>
          <w:tab w:val="left" w:pos="720"/>
          <w:tab w:val="left" w:pos="1440"/>
          <w:tab w:val="left" w:pos="2160"/>
          <w:tab w:val="left" w:pos="2880"/>
          <w:tab w:val="left" w:pos="3600"/>
          <w:tab w:val="left" w:pos="4320"/>
        </w:tabs>
        <w:ind w:left="2160"/>
        <w:rPr>
          <w:rFonts w:eastAsia="Times"/>
          <w:kern w:val="24"/>
          <w:sz w:val="22"/>
          <w:szCs w:val="22"/>
        </w:rPr>
      </w:pPr>
    </w:p>
    <w:p w14:paraId="6009F173"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lastRenderedPageBreak/>
        <w:t>The Academy of General Dentistry’s Program Approval for Continuing Education (“PACE”)</w:t>
      </w:r>
      <w:r w:rsidR="002B420E">
        <w:rPr>
          <w:rFonts w:eastAsia="Times"/>
          <w:kern w:val="24"/>
          <w:sz w:val="22"/>
          <w:szCs w:val="22"/>
        </w:rPr>
        <w:t>;</w:t>
      </w:r>
    </w:p>
    <w:p w14:paraId="7880AB88" w14:textId="77777777" w:rsidR="008C79ED" w:rsidRDefault="008C79ED" w:rsidP="0076132E">
      <w:pPr>
        <w:tabs>
          <w:tab w:val="left" w:pos="720"/>
          <w:tab w:val="left" w:pos="1440"/>
          <w:tab w:val="left" w:pos="2160"/>
          <w:tab w:val="left" w:pos="2880"/>
          <w:tab w:val="left" w:pos="3600"/>
          <w:tab w:val="left" w:pos="4320"/>
        </w:tabs>
        <w:ind w:left="2880" w:hanging="720"/>
        <w:rPr>
          <w:rFonts w:eastAsia="Times"/>
          <w:kern w:val="24"/>
          <w:sz w:val="22"/>
          <w:szCs w:val="22"/>
        </w:rPr>
      </w:pPr>
    </w:p>
    <w:p w14:paraId="7B4169AD"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Accrediting agencies recognized by the American Medical Association’s Council on Medical Education</w:t>
      </w:r>
      <w:r w:rsidR="002B420E">
        <w:rPr>
          <w:rFonts w:eastAsia="Times"/>
          <w:kern w:val="24"/>
          <w:sz w:val="22"/>
          <w:szCs w:val="22"/>
        </w:rPr>
        <w:t>; or</w:t>
      </w:r>
    </w:p>
    <w:p w14:paraId="178019FF" w14:textId="77777777" w:rsidR="008C79ED" w:rsidRDefault="008C79ED" w:rsidP="0076132E">
      <w:pPr>
        <w:pStyle w:val="ListParagraph"/>
        <w:tabs>
          <w:tab w:val="left" w:pos="720"/>
          <w:tab w:val="left" w:pos="1440"/>
          <w:tab w:val="left" w:pos="2160"/>
          <w:tab w:val="left" w:pos="2880"/>
          <w:tab w:val="left" w:pos="3600"/>
          <w:tab w:val="left" w:pos="4320"/>
        </w:tabs>
        <w:ind w:left="2880" w:hanging="720"/>
        <w:rPr>
          <w:rFonts w:eastAsia="Times"/>
          <w:kern w:val="24"/>
          <w:sz w:val="22"/>
          <w:szCs w:val="22"/>
        </w:rPr>
      </w:pPr>
    </w:p>
    <w:p w14:paraId="287200C3"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The Accreditation Council for Medical Education.</w:t>
      </w:r>
    </w:p>
    <w:p w14:paraId="38940A5D" w14:textId="77777777" w:rsidR="00973802" w:rsidRDefault="00973802" w:rsidP="0076132E">
      <w:pPr>
        <w:tabs>
          <w:tab w:val="left" w:pos="720"/>
          <w:tab w:val="left" w:pos="1440"/>
          <w:tab w:val="left" w:pos="2160"/>
          <w:tab w:val="left" w:pos="2880"/>
          <w:tab w:val="left" w:pos="3600"/>
          <w:tab w:val="left" w:pos="4320"/>
        </w:tabs>
        <w:rPr>
          <w:rFonts w:eastAsia="Times"/>
          <w:kern w:val="24"/>
          <w:sz w:val="22"/>
          <w:szCs w:val="22"/>
        </w:rPr>
      </w:pPr>
    </w:p>
    <w:p w14:paraId="225E5D3D" w14:textId="77777777" w:rsidR="007328E6" w:rsidRDefault="000208D3" w:rsidP="0076132E">
      <w:pPr>
        <w:tabs>
          <w:tab w:val="left" w:pos="1440"/>
          <w:tab w:val="left" w:pos="2160"/>
          <w:tab w:val="left" w:pos="2880"/>
          <w:tab w:val="left" w:pos="3600"/>
          <w:tab w:val="left" w:pos="4320"/>
        </w:tabs>
        <w:ind w:left="1440" w:hanging="720"/>
        <w:rPr>
          <w:rFonts w:eastAsia="Times"/>
          <w:kern w:val="24"/>
          <w:sz w:val="22"/>
          <w:szCs w:val="22"/>
        </w:rPr>
      </w:pPr>
      <w:r w:rsidRPr="0076132E">
        <w:rPr>
          <w:rFonts w:eastAsia="Times"/>
          <w:kern w:val="24"/>
          <w:sz w:val="22"/>
          <w:szCs w:val="22"/>
        </w:rPr>
        <w:t>B.</w:t>
      </w:r>
      <w:r w:rsidR="0076132E" w:rsidRPr="0076132E">
        <w:rPr>
          <w:rFonts w:eastAsia="Times"/>
          <w:kern w:val="24"/>
          <w:sz w:val="22"/>
          <w:szCs w:val="22"/>
        </w:rPr>
        <w:tab/>
      </w:r>
      <w:r w:rsidRPr="00373A4D">
        <w:rPr>
          <w:rFonts w:eastAsia="Times"/>
          <w:b/>
          <w:kern w:val="24"/>
          <w:sz w:val="22"/>
          <w:szCs w:val="22"/>
        </w:rPr>
        <w:t>Documentation.</w:t>
      </w:r>
      <w:r>
        <w:rPr>
          <w:rFonts w:eastAsia="Times"/>
          <w:kern w:val="24"/>
          <w:sz w:val="22"/>
          <w:szCs w:val="22"/>
        </w:rPr>
        <w:t xml:space="preserve"> </w:t>
      </w:r>
      <w:r w:rsidR="00DE2061">
        <w:rPr>
          <w:rFonts w:eastAsia="Times"/>
          <w:kern w:val="24"/>
          <w:sz w:val="22"/>
          <w:szCs w:val="22"/>
        </w:rPr>
        <w:t xml:space="preserve">All documentation must be maintained for the </w:t>
      </w:r>
      <w:r w:rsidR="00D676EF">
        <w:rPr>
          <w:rFonts w:eastAsia="Times"/>
          <w:kern w:val="24"/>
          <w:sz w:val="22"/>
          <w:szCs w:val="22"/>
        </w:rPr>
        <w:t xml:space="preserve">time periods set forth </w:t>
      </w:r>
      <w:r w:rsidR="00DE2061">
        <w:rPr>
          <w:rFonts w:eastAsia="Times"/>
          <w:kern w:val="24"/>
          <w:sz w:val="22"/>
          <w:szCs w:val="22"/>
        </w:rPr>
        <w:t xml:space="preserve">in </w:t>
      </w:r>
      <w:r w:rsidR="00615B31">
        <w:rPr>
          <w:rFonts w:eastAsia="Times"/>
          <w:kern w:val="24"/>
          <w:sz w:val="22"/>
          <w:szCs w:val="22"/>
        </w:rPr>
        <w:t xml:space="preserve">Section V(A). </w:t>
      </w:r>
      <w:r w:rsidR="00641447" w:rsidRPr="00641447">
        <w:rPr>
          <w:rFonts w:eastAsia="Times"/>
          <w:kern w:val="24"/>
          <w:sz w:val="22"/>
          <w:szCs w:val="22"/>
        </w:rPr>
        <w:t xml:space="preserve">All continuing education activities completed by a licensee, including </w:t>
      </w:r>
      <w:r w:rsidR="00AA53E4">
        <w:rPr>
          <w:rFonts w:eastAsia="Times"/>
          <w:kern w:val="24"/>
          <w:sz w:val="22"/>
          <w:szCs w:val="22"/>
        </w:rPr>
        <w:t>teaching, writing, independent study, and other distance learning activities,</w:t>
      </w:r>
      <w:r w:rsidR="00641447" w:rsidRPr="00641447">
        <w:rPr>
          <w:rFonts w:eastAsia="Times"/>
          <w:kern w:val="24"/>
          <w:sz w:val="22"/>
          <w:szCs w:val="22"/>
        </w:rPr>
        <w:t xml:space="preserve"> must be documented by a </w:t>
      </w:r>
      <w:r w:rsidR="00A2356B">
        <w:rPr>
          <w:rFonts w:eastAsia="Times"/>
          <w:kern w:val="24"/>
          <w:sz w:val="22"/>
          <w:szCs w:val="22"/>
        </w:rPr>
        <w:t>certificate issued by a provider of continuing education</w:t>
      </w:r>
      <w:r w:rsidR="00641447" w:rsidRPr="00641447">
        <w:rPr>
          <w:rFonts w:eastAsia="Times"/>
          <w:kern w:val="24"/>
          <w:sz w:val="22"/>
          <w:szCs w:val="22"/>
        </w:rPr>
        <w:t xml:space="preserve">, an official academic transcript, or other reliable written proof of </w:t>
      </w:r>
      <w:r>
        <w:rPr>
          <w:rFonts w:eastAsia="Times"/>
          <w:kern w:val="24"/>
          <w:sz w:val="22"/>
          <w:szCs w:val="22"/>
        </w:rPr>
        <w:t xml:space="preserve">successful </w:t>
      </w:r>
      <w:r w:rsidR="00641447" w:rsidRPr="00641447">
        <w:rPr>
          <w:rFonts w:eastAsia="Times"/>
          <w:kern w:val="24"/>
          <w:sz w:val="22"/>
          <w:szCs w:val="22"/>
        </w:rPr>
        <w:t xml:space="preserve">completion that is acceptable to the </w:t>
      </w:r>
      <w:r w:rsidR="00067DF4">
        <w:rPr>
          <w:rFonts w:eastAsia="Times"/>
          <w:kern w:val="24"/>
          <w:sz w:val="22"/>
          <w:szCs w:val="22"/>
        </w:rPr>
        <w:t>Board</w:t>
      </w:r>
      <w:r w:rsidR="00641447" w:rsidRPr="00641447">
        <w:rPr>
          <w:rFonts w:eastAsia="Times"/>
          <w:kern w:val="24"/>
          <w:sz w:val="22"/>
          <w:szCs w:val="22"/>
        </w:rPr>
        <w:t>. The documentation must include the date</w:t>
      </w:r>
      <w:r w:rsidR="00967B8F">
        <w:rPr>
          <w:rFonts w:eastAsia="Times"/>
          <w:kern w:val="24"/>
          <w:sz w:val="22"/>
          <w:szCs w:val="22"/>
        </w:rPr>
        <w:t>, location,</w:t>
      </w:r>
      <w:r w:rsidR="00641447" w:rsidRPr="00641447">
        <w:rPr>
          <w:rFonts w:eastAsia="Times"/>
          <w:kern w:val="24"/>
          <w:sz w:val="22"/>
          <w:szCs w:val="22"/>
        </w:rPr>
        <w:t xml:space="preserve"> </w:t>
      </w:r>
      <w:r>
        <w:rPr>
          <w:rFonts w:eastAsia="Times"/>
          <w:kern w:val="24"/>
          <w:sz w:val="22"/>
          <w:szCs w:val="22"/>
        </w:rPr>
        <w:t xml:space="preserve">and </w:t>
      </w:r>
      <w:r w:rsidR="00135329">
        <w:rPr>
          <w:rFonts w:eastAsia="Times"/>
          <w:kern w:val="24"/>
          <w:sz w:val="22"/>
          <w:szCs w:val="22"/>
        </w:rPr>
        <w:t>duration</w:t>
      </w:r>
      <w:r w:rsidR="00641447" w:rsidRPr="00641447">
        <w:rPr>
          <w:rFonts w:eastAsia="Times"/>
          <w:kern w:val="24"/>
          <w:sz w:val="22"/>
          <w:szCs w:val="22"/>
        </w:rPr>
        <w:t xml:space="preserve"> of the activity</w:t>
      </w:r>
      <w:r>
        <w:rPr>
          <w:rFonts w:eastAsia="Times"/>
          <w:kern w:val="24"/>
          <w:sz w:val="22"/>
          <w:szCs w:val="22"/>
        </w:rPr>
        <w:t>;</w:t>
      </w:r>
      <w:r w:rsidRPr="00641447">
        <w:rPr>
          <w:rFonts w:eastAsia="Times"/>
          <w:kern w:val="24"/>
          <w:sz w:val="22"/>
          <w:szCs w:val="22"/>
        </w:rPr>
        <w:t xml:space="preserve"> </w:t>
      </w:r>
      <w:r w:rsidR="00641447" w:rsidRPr="00641447">
        <w:rPr>
          <w:rFonts w:eastAsia="Times"/>
          <w:kern w:val="24"/>
          <w:sz w:val="22"/>
          <w:szCs w:val="22"/>
        </w:rPr>
        <w:t>the name of the presenter</w:t>
      </w:r>
      <w:r>
        <w:rPr>
          <w:rFonts w:eastAsia="Times"/>
          <w:kern w:val="24"/>
          <w:sz w:val="22"/>
          <w:szCs w:val="22"/>
        </w:rPr>
        <w:t>;</w:t>
      </w:r>
      <w:r w:rsidRPr="00641447">
        <w:rPr>
          <w:rFonts w:eastAsia="Times"/>
          <w:kern w:val="24"/>
          <w:sz w:val="22"/>
          <w:szCs w:val="22"/>
        </w:rPr>
        <w:t xml:space="preserve"> </w:t>
      </w:r>
      <w:r w:rsidR="00967B8F">
        <w:rPr>
          <w:rFonts w:eastAsia="Times"/>
          <w:kern w:val="24"/>
          <w:sz w:val="22"/>
          <w:szCs w:val="22"/>
        </w:rPr>
        <w:t xml:space="preserve">the name of the </w:t>
      </w:r>
      <w:r w:rsidR="00641447" w:rsidRPr="00641447">
        <w:rPr>
          <w:rFonts w:eastAsia="Times"/>
          <w:kern w:val="24"/>
          <w:sz w:val="22"/>
          <w:szCs w:val="22"/>
        </w:rPr>
        <w:t>course or program</w:t>
      </w:r>
      <w:r>
        <w:rPr>
          <w:rFonts w:eastAsia="Times"/>
          <w:kern w:val="24"/>
          <w:sz w:val="22"/>
          <w:szCs w:val="22"/>
        </w:rPr>
        <w:t xml:space="preserve">; </w:t>
      </w:r>
      <w:r w:rsidR="00C01E99">
        <w:rPr>
          <w:rFonts w:eastAsia="Times"/>
          <w:kern w:val="24"/>
          <w:sz w:val="22"/>
          <w:szCs w:val="22"/>
        </w:rPr>
        <w:t xml:space="preserve">an agenda showing the </w:t>
      </w:r>
      <w:r w:rsidR="00746C84">
        <w:rPr>
          <w:rFonts w:eastAsia="Times"/>
          <w:kern w:val="24"/>
          <w:sz w:val="22"/>
          <w:szCs w:val="22"/>
        </w:rPr>
        <w:t>content of the program</w:t>
      </w:r>
      <w:r>
        <w:rPr>
          <w:rFonts w:eastAsia="Times"/>
          <w:kern w:val="24"/>
          <w:sz w:val="22"/>
          <w:szCs w:val="22"/>
        </w:rPr>
        <w:t>;</w:t>
      </w:r>
      <w:r w:rsidR="00641447" w:rsidRPr="00641447">
        <w:rPr>
          <w:rFonts w:eastAsia="Times"/>
          <w:kern w:val="24"/>
          <w:sz w:val="22"/>
          <w:szCs w:val="22"/>
        </w:rPr>
        <w:t xml:space="preserve"> and the number of </w:t>
      </w:r>
      <w:r w:rsidR="00A2356B">
        <w:rPr>
          <w:rFonts w:eastAsia="Times"/>
          <w:kern w:val="24"/>
          <w:sz w:val="22"/>
          <w:szCs w:val="22"/>
        </w:rPr>
        <w:t xml:space="preserve">credit </w:t>
      </w:r>
      <w:r w:rsidR="00641447" w:rsidRPr="00641447">
        <w:rPr>
          <w:rFonts w:eastAsia="Times"/>
          <w:kern w:val="24"/>
          <w:sz w:val="22"/>
          <w:szCs w:val="22"/>
        </w:rPr>
        <w:t xml:space="preserve">hours </w:t>
      </w:r>
      <w:r w:rsidR="00135329">
        <w:rPr>
          <w:rFonts w:eastAsia="Times"/>
          <w:kern w:val="24"/>
          <w:sz w:val="22"/>
          <w:szCs w:val="22"/>
        </w:rPr>
        <w:t>claimed</w:t>
      </w:r>
      <w:r w:rsidR="00641447" w:rsidRPr="00641447">
        <w:rPr>
          <w:rFonts w:eastAsia="Times"/>
          <w:kern w:val="24"/>
          <w:sz w:val="22"/>
          <w:szCs w:val="22"/>
        </w:rPr>
        <w:t>.</w:t>
      </w:r>
      <w:r w:rsidR="003F7181">
        <w:rPr>
          <w:rFonts w:eastAsia="Times"/>
          <w:kern w:val="24"/>
          <w:sz w:val="22"/>
          <w:szCs w:val="22"/>
        </w:rPr>
        <w:t xml:space="preserve"> </w:t>
      </w:r>
    </w:p>
    <w:p w14:paraId="192BC3A1" w14:textId="77777777" w:rsidR="007328E6" w:rsidRDefault="007328E6" w:rsidP="0076132E">
      <w:pPr>
        <w:tabs>
          <w:tab w:val="left" w:pos="720"/>
          <w:tab w:val="left" w:pos="1440"/>
          <w:tab w:val="left" w:pos="2160"/>
          <w:tab w:val="left" w:pos="2880"/>
          <w:tab w:val="left" w:pos="3600"/>
          <w:tab w:val="left" w:pos="4320"/>
        </w:tabs>
        <w:ind w:left="720"/>
        <w:rPr>
          <w:rFonts w:eastAsia="Times"/>
          <w:kern w:val="24"/>
          <w:sz w:val="22"/>
          <w:szCs w:val="22"/>
        </w:rPr>
      </w:pPr>
    </w:p>
    <w:p w14:paraId="3EFCC27E" w14:textId="77777777" w:rsidR="00135329" w:rsidRDefault="00135329" w:rsidP="0076132E">
      <w:pPr>
        <w:tabs>
          <w:tab w:val="left" w:pos="720"/>
          <w:tab w:val="left" w:pos="1440"/>
          <w:tab w:val="left" w:pos="2160"/>
          <w:tab w:val="left" w:pos="2880"/>
          <w:tab w:val="left" w:pos="3600"/>
          <w:tab w:val="left" w:pos="4320"/>
        </w:tabs>
        <w:ind w:left="1440"/>
        <w:rPr>
          <w:rFonts w:eastAsia="Times"/>
          <w:kern w:val="24"/>
          <w:sz w:val="22"/>
          <w:szCs w:val="22"/>
        </w:rPr>
      </w:pPr>
      <w:r>
        <w:rPr>
          <w:rFonts w:eastAsia="Times"/>
          <w:kern w:val="24"/>
          <w:sz w:val="22"/>
          <w:szCs w:val="22"/>
        </w:rPr>
        <w:t xml:space="preserve">Continuing education printouts or logs maintained by a third party and provided to the </w:t>
      </w:r>
      <w:r w:rsidR="00067DF4">
        <w:rPr>
          <w:rFonts w:eastAsia="Times"/>
          <w:kern w:val="24"/>
          <w:sz w:val="22"/>
          <w:szCs w:val="22"/>
        </w:rPr>
        <w:t>Board</w:t>
      </w:r>
      <w:r w:rsidR="00357813">
        <w:rPr>
          <w:rFonts w:eastAsia="Times"/>
          <w:kern w:val="24"/>
          <w:sz w:val="22"/>
          <w:szCs w:val="22"/>
        </w:rPr>
        <w:t xml:space="preserve"> </w:t>
      </w:r>
      <w:r>
        <w:rPr>
          <w:rFonts w:eastAsia="Times"/>
          <w:kern w:val="24"/>
          <w:sz w:val="22"/>
          <w:szCs w:val="22"/>
        </w:rPr>
        <w:t>by the license</w:t>
      </w:r>
      <w:r w:rsidR="00746C84">
        <w:rPr>
          <w:rFonts w:eastAsia="Times"/>
          <w:kern w:val="24"/>
          <w:sz w:val="22"/>
          <w:szCs w:val="22"/>
        </w:rPr>
        <w:t xml:space="preserve">e are not acceptable unless the </w:t>
      </w:r>
      <w:r w:rsidR="000208D3">
        <w:rPr>
          <w:rFonts w:eastAsia="Times"/>
          <w:kern w:val="24"/>
          <w:sz w:val="22"/>
          <w:szCs w:val="22"/>
        </w:rPr>
        <w:t>printout or log</w:t>
      </w:r>
      <w:r w:rsidR="00746C84">
        <w:rPr>
          <w:rFonts w:eastAsia="Times"/>
          <w:kern w:val="24"/>
          <w:sz w:val="22"/>
          <w:szCs w:val="22"/>
        </w:rPr>
        <w:t xml:space="preserve"> contains </w:t>
      </w:r>
      <w:r w:rsidR="000208D3">
        <w:rPr>
          <w:rFonts w:eastAsia="Times"/>
          <w:kern w:val="24"/>
          <w:sz w:val="22"/>
          <w:szCs w:val="22"/>
        </w:rPr>
        <w:t xml:space="preserve">all of </w:t>
      </w:r>
      <w:r>
        <w:rPr>
          <w:rFonts w:eastAsia="Times"/>
          <w:kern w:val="24"/>
          <w:sz w:val="22"/>
          <w:szCs w:val="22"/>
        </w:rPr>
        <w:t>the following</w:t>
      </w:r>
      <w:r w:rsidR="000208D3">
        <w:rPr>
          <w:rFonts w:eastAsia="Times"/>
          <w:kern w:val="24"/>
          <w:sz w:val="22"/>
          <w:szCs w:val="22"/>
        </w:rPr>
        <w:t xml:space="preserve"> information</w:t>
      </w:r>
      <w:r>
        <w:rPr>
          <w:rFonts w:eastAsia="Times"/>
          <w:kern w:val="24"/>
          <w:sz w:val="22"/>
          <w:szCs w:val="22"/>
        </w:rPr>
        <w:t>:</w:t>
      </w:r>
    </w:p>
    <w:p w14:paraId="01BE2ECC" w14:textId="77777777" w:rsidR="00135329" w:rsidRDefault="00135329"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8160579" w14:textId="77777777" w:rsidR="000208D3" w:rsidRDefault="00373A4D" w:rsidP="0076132E">
      <w:pPr>
        <w:pStyle w:val="PlainText"/>
        <w:numPr>
          <w:ilvl w:val="0"/>
          <w:numId w:val="25"/>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The d</w:t>
      </w:r>
      <w:r w:rsidR="00746C84">
        <w:rPr>
          <w:rFonts w:ascii="Times New Roman" w:hAnsi="Times New Roman"/>
          <w:sz w:val="22"/>
        </w:rPr>
        <w:t xml:space="preserve">ate, location, </w:t>
      </w:r>
      <w:r>
        <w:rPr>
          <w:rFonts w:ascii="Times New Roman" w:hAnsi="Times New Roman"/>
          <w:sz w:val="22"/>
        </w:rPr>
        <w:t xml:space="preserve">and </w:t>
      </w:r>
      <w:r w:rsidR="00B14EF9">
        <w:rPr>
          <w:rFonts w:ascii="Times New Roman" w:hAnsi="Times New Roman"/>
          <w:sz w:val="22"/>
        </w:rPr>
        <w:t>duration</w:t>
      </w:r>
      <w:r w:rsidR="008311F1">
        <w:rPr>
          <w:rFonts w:ascii="Times New Roman" w:hAnsi="Times New Roman"/>
          <w:sz w:val="22"/>
        </w:rPr>
        <w:t xml:space="preserve"> of the activity.</w:t>
      </w:r>
    </w:p>
    <w:p w14:paraId="7FDCEA17" w14:textId="77777777" w:rsidR="000208D3" w:rsidRDefault="000208D3" w:rsidP="0076132E">
      <w:pPr>
        <w:pStyle w:val="PlainText"/>
        <w:tabs>
          <w:tab w:val="left" w:pos="720"/>
          <w:tab w:val="left" w:pos="1440"/>
          <w:tab w:val="left" w:pos="2160"/>
          <w:tab w:val="left" w:pos="2880"/>
          <w:tab w:val="left" w:pos="3600"/>
          <w:tab w:val="left" w:pos="4320"/>
        </w:tabs>
        <w:ind w:left="2250" w:hanging="720"/>
        <w:rPr>
          <w:rFonts w:ascii="Times New Roman" w:hAnsi="Times New Roman"/>
          <w:sz w:val="22"/>
        </w:rPr>
      </w:pPr>
    </w:p>
    <w:p w14:paraId="590D844B" w14:textId="77777777" w:rsidR="00746C84" w:rsidRDefault="00373A4D" w:rsidP="0076132E">
      <w:pPr>
        <w:pStyle w:val="PlainText"/>
        <w:numPr>
          <w:ilvl w:val="0"/>
          <w:numId w:val="25"/>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A c</w:t>
      </w:r>
      <w:r w:rsidR="00BC58E1">
        <w:rPr>
          <w:rFonts w:ascii="Times New Roman" w:hAnsi="Times New Roman"/>
          <w:sz w:val="22"/>
        </w:rPr>
        <w:t>ertificate of completion documenting the</w:t>
      </w:r>
      <w:r w:rsidR="0036296B">
        <w:rPr>
          <w:rFonts w:ascii="Times New Roman" w:hAnsi="Times New Roman"/>
          <w:sz w:val="22"/>
        </w:rPr>
        <w:t xml:space="preserve"> </w:t>
      </w:r>
      <w:r w:rsidR="00BC58E1">
        <w:rPr>
          <w:rFonts w:ascii="Times New Roman" w:hAnsi="Times New Roman"/>
          <w:sz w:val="22"/>
        </w:rPr>
        <w:t>n</w:t>
      </w:r>
      <w:r w:rsidR="00746C84">
        <w:rPr>
          <w:rFonts w:ascii="Times New Roman" w:hAnsi="Times New Roman"/>
          <w:sz w:val="22"/>
        </w:rPr>
        <w:t xml:space="preserve">ame of </w:t>
      </w:r>
      <w:r w:rsidR="000208D3">
        <w:rPr>
          <w:rFonts w:ascii="Times New Roman" w:hAnsi="Times New Roman"/>
          <w:sz w:val="22"/>
        </w:rPr>
        <w:t>the course or program</w:t>
      </w:r>
      <w:r w:rsidR="00746C84">
        <w:rPr>
          <w:rFonts w:ascii="Times New Roman" w:hAnsi="Times New Roman"/>
          <w:sz w:val="22"/>
        </w:rPr>
        <w:t xml:space="preserve">, and </w:t>
      </w:r>
      <w:r>
        <w:rPr>
          <w:rFonts w:ascii="Times New Roman" w:hAnsi="Times New Roman"/>
          <w:sz w:val="22"/>
        </w:rPr>
        <w:t xml:space="preserve">the </w:t>
      </w:r>
      <w:r w:rsidR="00746C84">
        <w:rPr>
          <w:rFonts w:ascii="Times New Roman" w:hAnsi="Times New Roman"/>
          <w:sz w:val="22"/>
        </w:rPr>
        <w:t>number of credit hours</w:t>
      </w:r>
      <w:r w:rsidR="00B14EF9">
        <w:rPr>
          <w:rFonts w:ascii="Times New Roman" w:hAnsi="Times New Roman"/>
          <w:sz w:val="22"/>
        </w:rPr>
        <w:t xml:space="preserve"> earned</w:t>
      </w:r>
      <w:r w:rsidR="008311F1">
        <w:rPr>
          <w:rFonts w:ascii="Times New Roman" w:hAnsi="Times New Roman"/>
          <w:sz w:val="22"/>
        </w:rPr>
        <w:t>.</w:t>
      </w:r>
    </w:p>
    <w:p w14:paraId="76990889" w14:textId="77777777" w:rsidR="00B14EF9" w:rsidRDefault="00B14EF9" w:rsidP="0076132E">
      <w:pPr>
        <w:pStyle w:val="PlainText"/>
        <w:tabs>
          <w:tab w:val="left" w:pos="720"/>
          <w:tab w:val="left" w:pos="1440"/>
          <w:tab w:val="left" w:pos="2160"/>
          <w:tab w:val="left" w:pos="2880"/>
          <w:tab w:val="left" w:pos="3600"/>
          <w:tab w:val="left" w:pos="4320"/>
        </w:tabs>
        <w:ind w:left="2250" w:hanging="720"/>
        <w:rPr>
          <w:rFonts w:ascii="Times New Roman" w:hAnsi="Times New Roman"/>
          <w:sz w:val="22"/>
        </w:rPr>
      </w:pPr>
    </w:p>
    <w:p w14:paraId="67E9610F" w14:textId="77777777" w:rsidR="00746C84" w:rsidRDefault="00373A4D" w:rsidP="0076132E">
      <w:pPr>
        <w:pStyle w:val="PlainText"/>
        <w:numPr>
          <w:ilvl w:val="0"/>
          <w:numId w:val="25"/>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The </w:t>
      </w:r>
      <w:r w:rsidR="00593128">
        <w:rPr>
          <w:rFonts w:ascii="Times New Roman" w:hAnsi="Times New Roman"/>
          <w:sz w:val="22"/>
        </w:rPr>
        <w:t>n</w:t>
      </w:r>
      <w:r w:rsidR="00746C84">
        <w:rPr>
          <w:rFonts w:ascii="Times New Roman" w:hAnsi="Times New Roman"/>
          <w:sz w:val="22"/>
        </w:rPr>
        <w:t xml:space="preserve">ame of the continuing education </w:t>
      </w:r>
      <w:r w:rsidR="00992D05">
        <w:rPr>
          <w:rFonts w:ascii="Times New Roman" w:hAnsi="Times New Roman"/>
          <w:sz w:val="22"/>
        </w:rPr>
        <w:t>presenter</w:t>
      </w:r>
      <w:r w:rsidR="00746C84">
        <w:rPr>
          <w:rFonts w:ascii="Times New Roman" w:hAnsi="Times New Roman"/>
          <w:sz w:val="22"/>
        </w:rPr>
        <w:t xml:space="preserve"> and/or organization</w:t>
      </w:r>
      <w:r w:rsidR="00B14EF9">
        <w:rPr>
          <w:rFonts w:ascii="Times New Roman" w:hAnsi="Times New Roman"/>
          <w:sz w:val="22"/>
        </w:rPr>
        <w:t xml:space="preserve"> providing the activity</w:t>
      </w:r>
      <w:r w:rsidR="00746C84">
        <w:rPr>
          <w:rFonts w:ascii="Times New Roman" w:hAnsi="Times New Roman"/>
          <w:sz w:val="22"/>
        </w:rPr>
        <w:t>.</w:t>
      </w:r>
    </w:p>
    <w:p w14:paraId="7F3D6EDC" w14:textId="77777777" w:rsidR="00B14EF9" w:rsidRDefault="00B14EF9" w:rsidP="0076132E">
      <w:pPr>
        <w:pStyle w:val="PlainText"/>
        <w:tabs>
          <w:tab w:val="left" w:pos="720"/>
          <w:tab w:val="left" w:pos="1440"/>
          <w:tab w:val="left" w:pos="2160"/>
          <w:tab w:val="left" w:pos="2880"/>
          <w:tab w:val="left" w:pos="3600"/>
          <w:tab w:val="left" w:pos="4320"/>
        </w:tabs>
        <w:ind w:left="2250"/>
        <w:rPr>
          <w:rFonts w:ascii="Times New Roman" w:hAnsi="Times New Roman"/>
          <w:sz w:val="22"/>
        </w:rPr>
      </w:pPr>
    </w:p>
    <w:p w14:paraId="72D2FC22" w14:textId="77777777" w:rsidR="00746C84" w:rsidRDefault="00746C84" w:rsidP="0076132E">
      <w:pPr>
        <w:pStyle w:val="PlainText"/>
        <w:tabs>
          <w:tab w:val="left" w:pos="720"/>
          <w:tab w:val="left" w:pos="1440"/>
          <w:tab w:val="left" w:pos="2160"/>
          <w:tab w:val="left" w:pos="2880"/>
          <w:tab w:val="left" w:pos="3600"/>
          <w:tab w:val="left" w:pos="4320"/>
        </w:tabs>
        <w:ind w:left="1440"/>
        <w:rPr>
          <w:rFonts w:ascii="Times New Roman" w:hAnsi="Times New Roman"/>
          <w:sz w:val="22"/>
        </w:rPr>
      </w:pPr>
      <w:r>
        <w:rPr>
          <w:rFonts w:ascii="Times New Roman" w:hAnsi="Times New Roman"/>
          <w:sz w:val="22"/>
        </w:rPr>
        <w:t xml:space="preserve">If </w:t>
      </w:r>
      <w:r w:rsidR="0083548C">
        <w:rPr>
          <w:rFonts w:ascii="Times New Roman" w:hAnsi="Times New Roman"/>
          <w:sz w:val="22"/>
        </w:rPr>
        <w:t>the</w:t>
      </w:r>
      <w:r w:rsidR="00A763E1">
        <w:rPr>
          <w:rFonts w:ascii="Times New Roman" w:hAnsi="Times New Roman"/>
          <w:sz w:val="22"/>
        </w:rPr>
        <w:t xml:space="preserve"> third party does not have a </w:t>
      </w:r>
      <w:r w:rsidR="009D65F5">
        <w:rPr>
          <w:rFonts w:ascii="Times New Roman" w:hAnsi="Times New Roman"/>
          <w:sz w:val="22"/>
        </w:rPr>
        <w:t>certificate of completion</w:t>
      </w:r>
      <w:r w:rsidR="00A763E1">
        <w:rPr>
          <w:rFonts w:ascii="Times New Roman" w:hAnsi="Times New Roman"/>
          <w:sz w:val="22"/>
        </w:rPr>
        <w:t xml:space="preserve"> to document the activity</w:t>
      </w:r>
      <w:r w:rsidR="0083548C">
        <w:rPr>
          <w:rFonts w:ascii="Times New Roman" w:hAnsi="Times New Roman"/>
          <w:sz w:val="22"/>
        </w:rPr>
        <w:t>, then it is the licensee’s responsibility to maintain documentation to substantiate the activity in accordance with this chapter.</w:t>
      </w:r>
      <w:r>
        <w:rPr>
          <w:rFonts w:ascii="Times New Roman" w:hAnsi="Times New Roman"/>
          <w:sz w:val="22"/>
        </w:rPr>
        <w:t xml:space="preserve"> </w:t>
      </w:r>
    </w:p>
    <w:p w14:paraId="231F9B44" w14:textId="77777777" w:rsidR="0024716D" w:rsidRDefault="0024716D"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E943D5F" w14:textId="77777777" w:rsidR="00D3760D" w:rsidRDefault="00D3760D"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8032BCB" w14:textId="77777777" w:rsidR="00FA3B1B" w:rsidRDefault="00CE572F"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V</w:t>
      </w:r>
      <w:r w:rsidR="00FA3B1B">
        <w:rPr>
          <w:rFonts w:ascii="Times New Roman" w:hAnsi="Times New Roman"/>
          <w:b/>
          <w:sz w:val="22"/>
        </w:rPr>
        <w:t>.</w:t>
      </w:r>
      <w:r w:rsidR="00FA3B1B">
        <w:rPr>
          <w:rFonts w:ascii="Times New Roman" w:hAnsi="Times New Roman"/>
          <w:b/>
          <w:sz w:val="22"/>
        </w:rPr>
        <w:tab/>
        <w:t>Audit</w:t>
      </w:r>
    </w:p>
    <w:p w14:paraId="5CB3F31F" w14:textId="77777777" w:rsidR="00552CEC" w:rsidRPr="00552CEC" w:rsidRDefault="00552CEC" w:rsidP="0076132E">
      <w:pPr>
        <w:tabs>
          <w:tab w:val="left" w:pos="720"/>
          <w:tab w:val="left" w:pos="1440"/>
          <w:tab w:val="left" w:pos="2160"/>
          <w:tab w:val="left" w:pos="2880"/>
          <w:tab w:val="left" w:pos="3600"/>
          <w:tab w:val="left" w:pos="4320"/>
        </w:tabs>
        <w:rPr>
          <w:sz w:val="22"/>
        </w:rPr>
      </w:pPr>
    </w:p>
    <w:p w14:paraId="7E82C712" w14:textId="77777777" w:rsidR="00552CEC" w:rsidRPr="00552CEC" w:rsidRDefault="00552CEC" w:rsidP="0076132E">
      <w:pPr>
        <w:numPr>
          <w:ilvl w:val="0"/>
          <w:numId w:val="15"/>
        </w:numPr>
        <w:tabs>
          <w:tab w:val="left" w:pos="720"/>
          <w:tab w:val="left" w:pos="1440"/>
          <w:tab w:val="left" w:pos="2160"/>
          <w:tab w:val="left" w:pos="2880"/>
          <w:tab w:val="left" w:pos="3600"/>
          <w:tab w:val="left" w:pos="4320"/>
        </w:tabs>
        <w:rPr>
          <w:sz w:val="22"/>
        </w:rPr>
      </w:pPr>
      <w:r w:rsidRPr="00552CEC">
        <w:rPr>
          <w:b/>
          <w:sz w:val="22"/>
        </w:rPr>
        <w:t>Certification of continuing education for renewal</w:t>
      </w:r>
    </w:p>
    <w:p w14:paraId="7A1C036F" w14:textId="77777777" w:rsidR="00552CEC" w:rsidRPr="00552CEC" w:rsidRDefault="00552CEC" w:rsidP="0076132E">
      <w:pPr>
        <w:tabs>
          <w:tab w:val="left" w:pos="720"/>
          <w:tab w:val="left" w:pos="1440"/>
          <w:tab w:val="left" w:pos="2160"/>
          <w:tab w:val="left" w:pos="2880"/>
          <w:tab w:val="left" w:pos="3600"/>
          <w:tab w:val="left" w:pos="4320"/>
        </w:tabs>
        <w:rPr>
          <w:sz w:val="22"/>
        </w:rPr>
      </w:pPr>
    </w:p>
    <w:p w14:paraId="1FBCA9F2" w14:textId="77777777" w:rsidR="00552CEC" w:rsidRPr="00552CEC" w:rsidRDefault="00552CEC" w:rsidP="0076132E">
      <w:pPr>
        <w:tabs>
          <w:tab w:val="left" w:pos="720"/>
          <w:tab w:val="left" w:pos="1440"/>
          <w:tab w:val="left" w:pos="2160"/>
          <w:tab w:val="left" w:pos="2880"/>
          <w:tab w:val="left" w:pos="3600"/>
          <w:tab w:val="left" w:pos="4320"/>
        </w:tabs>
        <w:ind w:left="1440" w:hanging="720"/>
        <w:rPr>
          <w:sz w:val="22"/>
        </w:rPr>
      </w:pPr>
      <w:r w:rsidRPr="00552CEC">
        <w:rPr>
          <w:sz w:val="22"/>
        </w:rPr>
        <w:tab/>
        <w:t xml:space="preserve">At the time of application for renewal, each licensee must certify, on a form provided by the </w:t>
      </w:r>
      <w:r w:rsidR="00067DF4">
        <w:rPr>
          <w:sz w:val="22"/>
        </w:rPr>
        <w:t>Board</w:t>
      </w:r>
      <w:r w:rsidR="00BF245B">
        <w:rPr>
          <w:sz w:val="22"/>
        </w:rPr>
        <w:t xml:space="preserve">, compliance with the </w:t>
      </w:r>
      <w:r w:rsidRPr="00552CEC">
        <w:rPr>
          <w:sz w:val="22"/>
        </w:rPr>
        <w:t xml:space="preserve">continuing education </w:t>
      </w:r>
      <w:r w:rsidR="009D65F5">
        <w:rPr>
          <w:sz w:val="22"/>
        </w:rPr>
        <w:t xml:space="preserve">credit </w:t>
      </w:r>
      <w:r w:rsidRPr="00552CEC">
        <w:rPr>
          <w:sz w:val="22"/>
        </w:rPr>
        <w:t xml:space="preserve">hours </w:t>
      </w:r>
      <w:r w:rsidR="00BF245B">
        <w:rPr>
          <w:sz w:val="22"/>
        </w:rPr>
        <w:t>required</w:t>
      </w:r>
      <w:r w:rsidRPr="00552CEC">
        <w:rPr>
          <w:sz w:val="22"/>
        </w:rPr>
        <w:t xml:space="preserve"> during the preceding license term or during the continuing education period established in statute or by </w:t>
      </w:r>
      <w:r w:rsidR="00067DF4">
        <w:rPr>
          <w:sz w:val="22"/>
        </w:rPr>
        <w:t>Board</w:t>
      </w:r>
      <w:r w:rsidRPr="00552CEC">
        <w:rPr>
          <w:sz w:val="22"/>
        </w:rPr>
        <w:t xml:space="preserve"> rule. No additional information or continuing education documentation is required to be submitted at the time of renewal. However, the licensee must retain documentation of all continuing education </w:t>
      </w:r>
      <w:r w:rsidR="00A566FF">
        <w:rPr>
          <w:sz w:val="22"/>
        </w:rPr>
        <w:t>credit hours</w:t>
      </w:r>
      <w:r w:rsidR="00A566FF" w:rsidRPr="00552CEC">
        <w:rPr>
          <w:sz w:val="22"/>
        </w:rPr>
        <w:t xml:space="preserve"> </w:t>
      </w:r>
      <w:r w:rsidR="00967B8F">
        <w:rPr>
          <w:sz w:val="22"/>
        </w:rPr>
        <w:t xml:space="preserve">earned during the most recent </w:t>
      </w:r>
      <w:r w:rsidR="00A566FF">
        <w:rPr>
          <w:sz w:val="22"/>
        </w:rPr>
        <w:t xml:space="preserve">license </w:t>
      </w:r>
      <w:r w:rsidR="00967B8F">
        <w:rPr>
          <w:sz w:val="22"/>
        </w:rPr>
        <w:t xml:space="preserve">renewal </w:t>
      </w:r>
      <w:r w:rsidR="00A566FF">
        <w:rPr>
          <w:sz w:val="22"/>
        </w:rPr>
        <w:t>term for</w:t>
      </w:r>
      <w:r w:rsidR="00967B8F">
        <w:rPr>
          <w:sz w:val="22"/>
        </w:rPr>
        <w:t xml:space="preserve"> two </w:t>
      </w:r>
      <w:r w:rsidR="00BF245B">
        <w:rPr>
          <w:sz w:val="22"/>
        </w:rPr>
        <w:t>years’</w:t>
      </w:r>
      <w:r w:rsidR="00967B8F">
        <w:rPr>
          <w:sz w:val="22"/>
        </w:rPr>
        <w:t xml:space="preserve"> post</w:t>
      </w:r>
      <w:r w:rsidR="00373A4D">
        <w:rPr>
          <w:sz w:val="22"/>
        </w:rPr>
        <w:t>-</w:t>
      </w:r>
      <w:r w:rsidR="00967B8F">
        <w:rPr>
          <w:sz w:val="22"/>
        </w:rPr>
        <w:t>renewal.</w:t>
      </w:r>
    </w:p>
    <w:p w14:paraId="23D05CB1" w14:textId="77777777" w:rsidR="00641447" w:rsidRPr="00552CEC" w:rsidRDefault="00641447" w:rsidP="0076132E">
      <w:pPr>
        <w:tabs>
          <w:tab w:val="left" w:pos="720"/>
          <w:tab w:val="left" w:pos="1440"/>
          <w:tab w:val="left" w:pos="2160"/>
          <w:tab w:val="left" w:pos="2880"/>
          <w:tab w:val="left" w:pos="3600"/>
          <w:tab w:val="left" w:pos="4320"/>
        </w:tabs>
        <w:rPr>
          <w:sz w:val="22"/>
        </w:rPr>
      </w:pPr>
    </w:p>
    <w:p w14:paraId="0B80B97C" w14:textId="77777777" w:rsidR="00552CEC" w:rsidRDefault="006B2A4A" w:rsidP="0076132E">
      <w:pPr>
        <w:numPr>
          <w:ilvl w:val="0"/>
          <w:numId w:val="15"/>
        </w:numPr>
        <w:tabs>
          <w:tab w:val="left" w:pos="720"/>
          <w:tab w:val="left" w:pos="1440"/>
          <w:tab w:val="left" w:pos="2160"/>
          <w:tab w:val="left" w:pos="2880"/>
          <w:tab w:val="left" w:pos="3600"/>
          <w:tab w:val="left" w:pos="4320"/>
        </w:tabs>
        <w:rPr>
          <w:sz w:val="22"/>
        </w:rPr>
      </w:pPr>
      <w:r w:rsidRPr="00552CEC">
        <w:rPr>
          <w:b/>
          <w:sz w:val="22"/>
        </w:rPr>
        <w:t>Verification of compliance by audit</w:t>
      </w:r>
    </w:p>
    <w:p w14:paraId="645892F3" w14:textId="77777777" w:rsidR="00552CEC" w:rsidRPr="00552CEC" w:rsidRDefault="00552CEC" w:rsidP="0076132E">
      <w:pPr>
        <w:tabs>
          <w:tab w:val="left" w:pos="720"/>
          <w:tab w:val="left" w:pos="1440"/>
          <w:tab w:val="left" w:pos="2160"/>
          <w:tab w:val="left" w:pos="2880"/>
          <w:tab w:val="left" w:pos="3600"/>
          <w:tab w:val="left" w:pos="4320"/>
        </w:tabs>
        <w:rPr>
          <w:sz w:val="22"/>
        </w:rPr>
      </w:pPr>
    </w:p>
    <w:p w14:paraId="350A6A5E" w14:textId="77777777" w:rsidR="00552CEC" w:rsidRPr="00552CEC" w:rsidRDefault="00552CEC" w:rsidP="0076132E">
      <w:pPr>
        <w:tabs>
          <w:tab w:val="left" w:pos="720"/>
          <w:tab w:val="left" w:pos="1440"/>
          <w:tab w:val="left" w:pos="2160"/>
          <w:tab w:val="left" w:pos="2880"/>
          <w:tab w:val="left" w:pos="3600"/>
          <w:tab w:val="left" w:pos="4320"/>
        </w:tabs>
        <w:ind w:left="1440" w:hanging="720"/>
        <w:rPr>
          <w:sz w:val="22"/>
        </w:rPr>
      </w:pPr>
      <w:r w:rsidRPr="00552CEC">
        <w:rPr>
          <w:sz w:val="22"/>
        </w:rPr>
        <w:tab/>
        <w:t xml:space="preserve">Applicants for license renewal will be selected on a random basis for audit of continuing education compliance. In addition, an individual licensee may be selected for an audit as </w:t>
      </w:r>
      <w:r w:rsidRPr="00552CEC">
        <w:rPr>
          <w:sz w:val="22"/>
        </w:rPr>
        <w:lastRenderedPageBreak/>
        <w:t>part of an investigation or if there is reasonable cause to believe the licensee has provided a false certification concerning the completion of continuing education requirements.</w:t>
      </w:r>
    </w:p>
    <w:p w14:paraId="6B9F55D0" w14:textId="77777777" w:rsidR="00641447" w:rsidRPr="00552CEC" w:rsidRDefault="00641447" w:rsidP="0076132E">
      <w:pPr>
        <w:tabs>
          <w:tab w:val="left" w:pos="720"/>
          <w:tab w:val="left" w:pos="1440"/>
          <w:tab w:val="left" w:pos="2160"/>
          <w:tab w:val="left" w:pos="2880"/>
          <w:tab w:val="left" w:pos="3600"/>
          <w:tab w:val="left" w:pos="4320"/>
        </w:tabs>
        <w:rPr>
          <w:sz w:val="22"/>
        </w:rPr>
      </w:pPr>
    </w:p>
    <w:p w14:paraId="5AABF935" w14:textId="77777777" w:rsidR="00552CEC" w:rsidRDefault="00552CEC" w:rsidP="0076132E">
      <w:pPr>
        <w:tabs>
          <w:tab w:val="left" w:pos="720"/>
          <w:tab w:val="left" w:pos="1440"/>
          <w:tab w:val="left" w:pos="2160"/>
          <w:tab w:val="left" w:pos="2880"/>
          <w:tab w:val="left" w:pos="3600"/>
          <w:tab w:val="left" w:pos="4320"/>
        </w:tabs>
        <w:ind w:left="1440" w:hanging="720"/>
        <w:rPr>
          <w:sz w:val="22"/>
        </w:rPr>
      </w:pPr>
      <w:r w:rsidRPr="00552CEC">
        <w:rPr>
          <w:sz w:val="22"/>
        </w:rPr>
        <w:tab/>
        <w:t xml:space="preserve">Licensees selected for audit will be notified to submit documentation of the continuing education activities that were certified by the licensee at the time of renewal. Continuing education </w:t>
      </w:r>
      <w:r w:rsidR="009D65F5">
        <w:rPr>
          <w:sz w:val="22"/>
        </w:rPr>
        <w:t xml:space="preserve">credit </w:t>
      </w:r>
      <w:r w:rsidRPr="00552CEC">
        <w:rPr>
          <w:sz w:val="22"/>
        </w:rPr>
        <w:t xml:space="preserve">hours that cannot be documented in accordance with the documentation requirements </w:t>
      </w:r>
      <w:r w:rsidR="007C479E">
        <w:rPr>
          <w:sz w:val="22"/>
        </w:rPr>
        <w:t>of Section IV(B)</w:t>
      </w:r>
      <w:r w:rsidRPr="00552CEC">
        <w:rPr>
          <w:sz w:val="22"/>
        </w:rPr>
        <w:t xml:space="preserve"> or that do not satisfy the criteria for continuing education contained in statute o</w:t>
      </w:r>
      <w:r w:rsidR="006B2A4A">
        <w:rPr>
          <w:sz w:val="22"/>
        </w:rPr>
        <w:t xml:space="preserve">r </w:t>
      </w:r>
      <w:r w:rsidR="00067DF4">
        <w:rPr>
          <w:sz w:val="22"/>
        </w:rPr>
        <w:t>Board</w:t>
      </w:r>
      <w:r w:rsidR="006B2A4A">
        <w:rPr>
          <w:sz w:val="22"/>
        </w:rPr>
        <w:t xml:space="preserve"> rule will be disallowed.</w:t>
      </w:r>
    </w:p>
    <w:p w14:paraId="12844EC8" w14:textId="77777777" w:rsidR="00045BE3" w:rsidRDefault="00045BE3" w:rsidP="0076132E">
      <w:pPr>
        <w:tabs>
          <w:tab w:val="left" w:pos="720"/>
          <w:tab w:val="left" w:pos="1440"/>
          <w:tab w:val="left" w:pos="2160"/>
          <w:tab w:val="left" w:pos="2880"/>
          <w:tab w:val="left" w:pos="3600"/>
          <w:tab w:val="left" w:pos="4320"/>
        </w:tabs>
        <w:ind w:left="1440" w:hanging="720"/>
        <w:rPr>
          <w:sz w:val="22"/>
        </w:rPr>
      </w:pPr>
    </w:p>
    <w:p w14:paraId="78CF110A" w14:textId="77777777" w:rsidR="00D3760D" w:rsidRDefault="00D3760D" w:rsidP="0076132E">
      <w:pPr>
        <w:tabs>
          <w:tab w:val="left" w:pos="720"/>
          <w:tab w:val="left" w:pos="1440"/>
          <w:tab w:val="left" w:pos="2160"/>
          <w:tab w:val="left" w:pos="2880"/>
          <w:tab w:val="left" w:pos="3600"/>
          <w:tab w:val="left" w:pos="4320"/>
        </w:tabs>
        <w:ind w:left="1440" w:hanging="720"/>
        <w:rPr>
          <w:sz w:val="22"/>
        </w:rPr>
      </w:pPr>
    </w:p>
    <w:p w14:paraId="3ACDAA4A" w14:textId="77777777" w:rsidR="00FA3B1B" w:rsidRDefault="00002F94"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V</w:t>
      </w:r>
      <w:r w:rsidR="00CE572F">
        <w:rPr>
          <w:rFonts w:ascii="Times New Roman" w:hAnsi="Times New Roman"/>
          <w:b/>
          <w:sz w:val="22"/>
        </w:rPr>
        <w:t>I</w:t>
      </w:r>
      <w:r w:rsidR="00FA3B1B">
        <w:rPr>
          <w:rFonts w:ascii="Times New Roman" w:hAnsi="Times New Roman"/>
          <w:b/>
          <w:sz w:val="22"/>
        </w:rPr>
        <w:t>.</w:t>
      </w:r>
      <w:r w:rsidR="00FA3B1B">
        <w:rPr>
          <w:rFonts w:ascii="Times New Roman" w:hAnsi="Times New Roman"/>
          <w:b/>
          <w:sz w:val="22"/>
        </w:rPr>
        <w:tab/>
      </w:r>
      <w:r w:rsidR="009D65F5">
        <w:rPr>
          <w:rFonts w:ascii="Times New Roman" w:hAnsi="Times New Roman"/>
          <w:b/>
          <w:sz w:val="22"/>
        </w:rPr>
        <w:t>Pre-approval of Co</w:t>
      </w:r>
      <w:r w:rsidR="00FA3B1B">
        <w:rPr>
          <w:rFonts w:ascii="Times New Roman" w:hAnsi="Times New Roman"/>
          <w:b/>
          <w:sz w:val="22"/>
        </w:rPr>
        <w:t>ntinuing Education Activities</w:t>
      </w:r>
    </w:p>
    <w:p w14:paraId="7F0AA3E2"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563E0E7C" w14:textId="77777777" w:rsidR="00A93DAB" w:rsidRDefault="00FA3B1B"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 xml:space="preserve">The </w:t>
      </w:r>
      <w:r w:rsidR="00067DF4">
        <w:rPr>
          <w:rFonts w:ascii="Times New Roman" w:hAnsi="Times New Roman"/>
          <w:sz w:val="22"/>
        </w:rPr>
        <w:t>Board</w:t>
      </w:r>
      <w:r>
        <w:rPr>
          <w:rFonts w:ascii="Times New Roman" w:hAnsi="Times New Roman"/>
          <w:sz w:val="22"/>
        </w:rPr>
        <w:t xml:space="preserve"> may pre-approve </w:t>
      </w:r>
      <w:r w:rsidR="00A2356B">
        <w:rPr>
          <w:rFonts w:ascii="Times New Roman" w:hAnsi="Times New Roman"/>
          <w:sz w:val="22"/>
        </w:rPr>
        <w:t xml:space="preserve">courses, </w:t>
      </w:r>
      <w:r>
        <w:rPr>
          <w:rFonts w:ascii="Times New Roman" w:hAnsi="Times New Roman"/>
          <w:sz w:val="22"/>
        </w:rPr>
        <w:t xml:space="preserve">seminars, </w:t>
      </w:r>
      <w:r w:rsidR="00A2356B">
        <w:rPr>
          <w:rFonts w:ascii="Times New Roman" w:hAnsi="Times New Roman"/>
          <w:sz w:val="22"/>
        </w:rPr>
        <w:t xml:space="preserve">and </w:t>
      </w:r>
      <w:r>
        <w:rPr>
          <w:rFonts w:ascii="Times New Roman" w:hAnsi="Times New Roman"/>
          <w:sz w:val="22"/>
        </w:rPr>
        <w:t>workshops</w:t>
      </w:r>
      <w:r w:rsidR="00B77711">
        <w:rPr>
          <w:rFonts w:ascii="Times New Roman" w:hAnsi="Times New Roman"/>
          <w:sz w:val="22"/>
        </w:rPr>
        <w:t>,</w:t>
      </w:r>
      <w:r w:rsidR="00BF245B">
        <w:rPr>
          <w:rFonts w:ascii="Times New Roman" w:hAnsi="Times New Roman"/>
          <w:sz w:val="22"/>
        </w:rPr>
        <w:t xml:space="preserve"> to ensure the activity is directly related to</w:t>
      </w:r>
      <w:r>
        <w:rPr>
          <w:rFonts w:ascii="Times New Roman" w:hAnsi="Times New Roman"/>
          <w:sz w:val="22"/>
        </w:rPr>
        <w:t xml:space="preserve"> </w:t>
      </w:r>
      <w:r w:rsidR="0083548C">
        <w:rPr>
          <w:rFonts w:ascii="Times New Roman" w:hAnsi="Times New Roman"/>
          <w:sz w:val="22"/>
        </w:rPr>
        <w:t>dental practice</w:t>
      </w:r>
      <w:r w:rsidR="007C479E">
        <w:rPr>
          <w:rFonts w:ascii="Times New Roman" w:hAnsi="Times New Roman"/>
          <w:sz w:val="22"/>
        </w:rPr>
        <w:t xml:space="preserve"> only</w:t>
      </w:r>
      <w:r w:rsidR="009D65F5">
        <w:rPr>
          <w:rFonts w:ascii="Times New Roman" w:hAnsi="Times New Roman"/>
          <w:sz w:val="22"/>
        </w:rPr>
        <w:t xml:space="preserve"> at the</w:t>
      </w:r>
      <w:r>
        <w:rPr>
          <w:rFonts w:ascii="Times New Roman" w:hAnsi="Times New Roman"/>
          <w:sz w:val="22"/>
        </w:rPr>
        <w:t xml:space="preserve"> request of </w:t>
      </w:r>
      <w:r w:rsidR="00A2356B">
        <w:rPr>
          <w:rFonts w:ascii="Times New Roman" w:hAnsi="Times New Roman"/>
          <w:sz w:val="22"/>
        </w:rPr>
        <w:t>a provider of the continuing education</w:t>
      </w:r>
      <w:r>
        <w:rPr>
          <w:rFonts w:ascii="Times New Roman" w:hAnsi="Times New Roman"/>
          <w:sz w:val="22"/>
        </w:rPr>
        <w:t>.</w:t>
      </w:r>
      <w:r w:rsidR="000F5BBE">
        <w:rPr>
          <w:rFonts w:ascii="Times New Roman" w:hAnsi="Times New Roman"/>
          <w:sz w:val="22"/>
        </w:rPr>
        <w:t xml:space="preserve"> </w:t>
      </w:r>
      <w:r>
        <w:rPr>
          <w:rFonts w:ascii="Times New Roman" w:hAnsi="Times New Roman"/>
          <w:sz w:val="22"/>
        </w:rPr>
        <w:t>A seminar, workshop</w:t>
      </w:r>
      <w:r w:rsidR="00B77711">
        <w:rPr>
          <w:rFonts w:ascii="Times New Roman" w:hAnsi="Times New Roman"/>
          <w:sz w:val="22"/>
        </w:rPr>
        <w:t>,</w:t>
      </w:r>
      <w:r>
        <w:rPr>
          <w:rFonts w:ascii="Times New Roman" w:hAnsi="Times New Roman"/>
          <w:sz w:val="22"/>
        </w:rPr>
        <w:t xml:space="preserve"> or institute for whic</w:t>
      </w:r>
      <w:r w:rsidR="00B77711">
        <w:rPr>
          <w:rFonts w:ascii="Times New Roman" w:hAnsi="Times New Roman"/>
          <w:sz w:val="22"/>
        </w:rPr>
        <w:t>h pre-approval has been sought but</w:t>
      </w:r>
      <w:r>
        <w:rPr>
          <w:rFonts w:ascii="Times New Roman" w:hAnsi="Times New Roman"/>
          <w:sz w:val="22"/>
        </w:rPr>
        <w:t xml:space="preserve"> denied is not eligible for continuing education credit.</w:t>
      </w:r>
    </w:p>
    <w:p w14:paraId="25BE8EC7" w14:textId="77777777" w:rsidR="00717950" w:rsidRDefault="00717950" w:rsidP="0076132E">
      <w:pPr>
        <w:pStyle w:val="PlainText"/>
        <w:tabs>
          <w:tab w:val="left" w:pos="720"/>
          <w:tab w:val="left" w:pos="1440"/>
          <w:tab w:val="left" w:pos="2160"/>
          <w:tab w:val="left" w:pos="2880"/>
          <w:tab w:val="left" w:pos="3600"/>
          <w:tab w:val="left" w:pos="4320"/>
        </w:tabs>
        <w:ind w:left="720" w:hanging="720"/>
        <w:rPr>
          <w:rFonts w:ascii="Times New Roman" w:hAnsi="Times New Roman"/>
          <w:b/>
          <w:sz w:val="22"/>
        </w:rPr>
      </w:pPr>
    </w:p>
    <w:p w14:paraId="1A783911" w14:textId="77777777" w:rsidR="00D3760D" w:rsidRDefault="00D3760D" w:rsidP="0076132E">
      <w:pPr>
        <w:pStyle w:val="PlainText"/>
        <w:tabs>
          <w:tab w:val="left" w:pos="720"/>
          <w:tab w:val="left" w:pos="1440"/>
          <w:tab w:val="left" w:pos="2160"/>
          <w:tab w:val="left" w:pos="2880"/>
          <w:tab w:val="left" w:pos="3600"/>
          <w:tab w:val="left" w:pos="4320"/>
        </w:tabs>
        <w:ind w:left="720" w:hanging="720"/>
        <w:rPr>
          <w:rFonts w:ascii="Times New Roman" w:hAnsi="Times New Roman"/>
          <w:b/>
          <w:sz w:val="22"/>
        </w:rPr>
      </w:pPr>
    </w:p>
    <w:p w14:paraId="113213AD" w14:textId="77777777" w:rsidR="005440F6" w:rsidRDefault="00002F94"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rPr>
        <w:t>V</w:t>
      </w:r>
      <w:r w:rsidR="00CE572F">
        <w:rPr>
          <w:rFonts w:ascii="Times New Roman" w:hAnsi="Times New Roman"/>
          <w:b/>
          <w:sz w:val="22"/>
        </w:rPr>
        <w:t>I</w:t>
      </w:r>
      <w:r w:rsidR="00641447">
        <w:rPr>
          <w:rFonts w:ascii="Times New Roman" w:hAnsi="Times New Roman"/>
          <w:b/>
          <w:sz w:val="22"/>
        </w:rPr>
        <w:t>I</w:t>
      </w:r>
      <w:r w:rsidR="005440F6">
        <w:rPr>
          <w:rFonts w:ascii="Times New Roman" w:hAnsi="Times New Roman"/>
          <w:sz w:val="22"/>
        </w:rPr>
        <w:t xml:space="preserve">. </w:t>
      </w:r>
      <w:r w:rsidR="005440F6">
        <w:rPr>
          <w:rFonts w:ascii="Times New Roman" w:hAnsi="Times New Roman"/>
          <w:sz w:val="22"/>
        </w:rPr>
        <w:tab/>
      </w:r>
      <w:r w:rsidR="00373A4D">
        <w:rPr>
          <w:rFonts w:ascii="Times New Roman" w:hAnsi="Times New Roman"/>
          <w:b/>
          <w:sz w:val="22"/>
        </w:rPr>
        <w:t>The</w:t>
      </w:r>
      <w:r w:rsidR="00373A4D" w:rsidRPr="005440F6">
        <w:rPr>
          <w:rFonts w:ascii="Times New Roman" w:hAnsi="Times New Roman"/>
          <w:b/>
          <w:sz w:val="22"/>
        </w:rPr>
        <w:t xml:space="preserve"> </w:t>
      </w:r>
      <w:r w:rsidR="005440F6" w:rsidRPr="005440F6">
        <w:rPr>
          <w:rFonts w:ascii="Times New Roman" w:hAnsi="Times New Roman"/>
          <w:b/>
          <w:sz w:val="22"/>
        </w:rPr>
        <w:t>Audit Findings</w:t>
      </w:r>
    </w:p>
    <w:p w14:paraId="492986CC" w14:textId="77777777" w:rsidR="005440F6" w:rsidRDefault="005440F6"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252DBA" w14:textId="77777777" w:rsidR="005440F6" w:rsidRPr="006B2A4A" w:rsidRDefault="005440F6"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szCs w:val="22"/>
        </w:rPr>
        <w:tab/>
        <w:t xml:space="preserve">If data submitted to the </w:t>
      </w:r>
      <w:r w:rsidR="00067DF4">
        <w:rPr>
          <w:rFonts w:ascii="Times New Roman" w:hAnsi="Times New Roman"/>
          <w:sz w:val="22"/>
          <w:szCs w:val="22"/>
        </w:rPr>
        <w:t>Board</w:t>
      </w:r>
      <w:r>
        <w:rPr>
          <w:rFonts w:ascii="Times New Roman" w:hAnsi="Times New Roman"/>
          <w:sz w:val="22"/>
          <w:szCs w:val="22"/>
        </w:rPr>
        <w:t xml:space="preserve"> pursuant to an audit does not fulfill the requirements of this chapter, then the licensee shall be notified of the </w:t>
      </w:r>
      <w:r w:rsidR="00067DF4">
        <w:rPr>
          <w:rFonts w:ascii="Times New Roman" w:hAnsi="Times New Roman"/>
          <w:sz w:val="22"/>
          <w:szCs w:val="22"/>
        </w:rPr>
        <w:t>Board</w:t>
      </w:r>
      <w:r>
        <w:rPr>
          <w:rFonts w:ascii="Times New Roman" w:hAnsi="Times New Roman"/>
          <w:sz w:val="22"/>
          <w:szCs w:val="22"/>
        </w:rPr>
        <w:t xml:space="preserve">’s failed audit finding. A failed audit constitutes unprofessional conduct and the </w:t>
      </w:r>
      <w:r w:rsidR="00067DF4">
        <w:rPr>
          <w:rFonts w:ascii="Times New Roman" w:hAnsi="Times New Roman"/>
          <w:sz w:val="22"/>
          <w:szCs w:val="22"/>
        </w:rPr>
        <w:t>Board</w:t>
      </w:r>
      <w:r>
        <w:rPr>
          <w:rFonts w:ascii="Times New Roman" w:hAnsi="Times New Roman"/>
          <w:sz w:val="22"/>
          <w:szCs w:val="22"/>
        </w:rPr>
        <w:t xml:space="preserve"> may, without hearing, enter into a consent agreement with a licensee who has not met the continuing education requirements of this chapter.</w:t>
      </w:r>
      <w:r w:rsidR="000F5BBE">
        <w:rPr>
          <w:rFonts w:ascii="Times New Roman" w:hAnsi="Times New Roman"/>
          <w:sz w:val="22"/>
          <w:szCs w:val="22"/>
        </w:rPr>
        <w:t xml:space="preserve"> </w:t>
      </w:r>
    </w:p>
    <w:p w14:paraId="02582ED0" w14:textId="77777777" w:rsidR="005440F6" w:rsidRDefault="005440F6" w:rsidP="0076132E">
      <w:pPr>
        <w:tabs>
          <w:tab w:val="left" w:pos="720"/>
          <w:tab w:val="left" w:pos="1440"/>
          <w:tab w:val="left" w:pos="2160"/>
          <w:tab w:val="left" w:pos="2880"/>
          <w:tab w:val="left" w:pos="3600"/>
          <w:tab w:val="left" w:pos="4320"/>
        </w:tabs>
        <w:ind w:left="720" w:hanging="720"/>
        <w:rPr>
          <w:sz w:val="22"/>
          <w:szCs w:val="22"/>
        </w:rPr>
      </w:pPr>
    </w:p>
    <w:p w14:paraId="0C0886CE" w14:textId="77777777" w:rsidR="00045BE3" w:rsidRDefault="00045BE3" w:rsidP="0076132E">
      <w:pPr>
        <w:tabs>
          <w:tab w:val="left" w:pos="720"/>
          <w:tab w:val="left" w:pos="1440"/>
          <w:tab w:val="left" w:pos="2160"/>
          <w:tab w:val="left" w:pos="2880"/>
          <w:tab w:val="left" w:pos="3600"/>
          <w:tab w:val="left" w:pos="4320"/>
        </w:tabs>
        <w:ind w:left="720" w:hanging="720"/>
        <w:rPr>
          <w:sz w:val="22"/>
          <w:szCs w:val="22"/>
        </w:rPr>
      </w:pPr>
    </w:p>
    <w:p w14:paraId="3E284AE1" w14:textId="77777777" w:rsidR="005440F6" w:rsidRPr="005440F6" w:rsidRDefault="00002F94" w:rsidP="0076132E">
      <w:pPr>
        <w:tabs>
          <w:tab w:val="left" w:pos="720"/>
          <w:tab w:val="left" w:pos="1440"/>
          <w:tab w:val="left" w:pos="2160"/>
          <w:tab w:val="left" w:pos="2880"/>
          <w:tab w:val="left" w:pos="3600"/>
          <w:tab w:val="left" w:pos="4320"/>
        </w:tabs>
        <w:ind w:left="720" w:hanging="720"/>
        <w:rPr>
          <w:b/>
          <w:sz w:val="22"/>
          <w:szCs w:val="22"/>
        </w:rPr>
      </w:pPr>
      <w:r>
        <w:rPr>
          <w:b/>
          <w:sz w:val="22"/>
          <w:szCs w:val="22"/>
        </w:rPr>
        <w:t>V</w:t>
      </w:r>
      <w:r w:rsidR="00CE572F">
        <w:rPr>
          <w:b/>
          <w:sz w:val="22"/>
          <w:szCs w:val="22"/>
        </w:rPr>
        <w:t>I</w:t>
      </w:r>
      <w:r w:rsidR="00641447">
        <w:rPr>
          <w:b/>
          <w:sz w:val="22"/>
          <w:szCs w:val="22"/>
        </w:rPr>
        <w:t>I</w:t>
      </w:r>
      <w:r>
        <w:rPr>
          <w:b/>
          <w:sz w:val="22"/>
          <w:szCs w:val="22"/>
        </w:rPr>
        <w:t>I</w:t>
      </w:r>
      <w:r w:rsidR="005440F6" w:rsidRPr="005440F6">
        <w:rPr>
          <w:b/>
          <w:sz w:val="22"/>
          <w:szCs w:val="22"/>
        </w:rPr>
        <w:t>.</w:t>
      </w:r>
      <w:r w:rsidR="005440F6" w:rsidRPr="005440F6">
        <w:rPr>
          <w:b/>
          <w:sz w:val="22"/>
          <w:szCs w:val="22"/>
        </w:rPr>
        <w:tab/>
        <w:t>Waivers</w:t>
      </w:r>
      <w:r w:rsidR="00B02CD6">
        <w:rPr>
          <w:b/>
          <w:sz w:val="22"/>
          <w:szCs w:val="22"/>
        </w:rPr>
        <w:t xml:space="preserve">, </w:t>
      </w:r>
      <w:r w:rsidR="00931B0F">
        <w:rPr>
          <w:b/>
          <w:sz w:val="22"/>
          <w:szCs w:val="22"/>
        </w:rPr>
        <w:t>E</w:t>
      </w:r>
      <w:r w:rsidR="00B02CD6">
        <w:rPr>
          <w:b/>
          <w:sz w:val="22"/>
          <w:szCs w:val="22"/>
        </w:rPr>
        <w:t xml:space="preserve">xtensions, </w:t>
      </w:r>
      <w:r w:rsidR="00931B0F">
        <w:rPr>
          <w:b/>
          <w:sz w:val="22"/>
          <w:szCs w:val="22"/>
        </w:rPr>
        <w:t>First Renewal, Inactive S</w:t>
      </w:r>
      <w:r w:rsidR="00B02CD6">
        <w:rPr>
          <w:b/>
          <w:sz w:val="22"/>
          <w:szCs w:val="22"/>
        </w:rPr>
        <w:t>tatus</w:t>
      </w:r>
    </w:p>
    <w:p w14:paraId="2ACD737F" w14:textId="77777777" w:rsidR="005440F6" w:rsidRPr="005440F6" w:rsidRDefault="005440F6" w:rsidP="0076132E">
      <w:pPr>
        <w:tabs>
          <w:tab w:val="left" w:pos="720"/>
          <w:tab w:val="left" w:pos="1440"/>
          <w:tab w:val="left" w:pos="2160"/>
          <w:tab w:val="left" w:pos="2880"/>
          <w:tab w:val="left" w:pos="3600"/>
          <w:tab w:val="left" w:pos="4320"/>
        </w:tabs>
        <w:ind w:left="720" w:hanging="720"/>
        <w:rPr>
          <w:sz w:val="22"/>
          <w:szCs w:val="22"/>
        </w:rPr>
      </w:pPr>
    </w:p>
    <w:p w14:paraId="26D48A8F" w14:textId="77777777" w:rsidR="005440F6" w:rsidRPr="005440F6" w:rsidRDefault="005440F6" w:rsidP="0076132E">
      <w:pPr>
        <w:tabs>
          <w:tab w:val="left" w:pos="720"/>
          <w:tab w:val="left" w:pos="1440"/>
          <w:tab w:val="left" w:pos="2160"/>
          <w:tab w:val="left" w:pos="2880"/>
          <w:tab w:val="left" w:pos="3600"/>
          <w:tab w:val="left" w:pos="4320"/>
        </w:tabs>
        <w:ind w:left="1440" w:hanging="720"/>
        <w:rPr>
          <w:sz w:val="22"/>
          <w:szCs w:val="22"/>
        </w:rPr>
      </w:pPr>
      <w:r w:rsidRPr="00D3760D">
        <w:rPr>
          <w:sz w:val="22"/>
          <w:szCs w:val="22"/>
        </w:rPr>
        <w:t>A.</w:t>
      </w:r>
      <w:r w:rsidRPr="005440F6">
        <w:rPr>
          <w:sz w:val="22"/>
          <w:szCs w:val="22"/>
        </w:rPr>
        <w:tab/>
      </w:r>
      <w:r w:rsidR="00931B0F">
        <w:rPr>
          <w:b/>
          <w:sz w:val="22"/>
          <w:szCs w:val="22"/>
        </w:rPr>
        <w:t>Waiver/e</w:t>
      </w:r>
      <w:r w:rsidRPr="005440F6">
        <w:rPr>
          <w:b/>
          <w:sz w:val="22"/>
          <w:szCs w:val="22"/>
        </w:rPr>
        <w:t xml:space="preserve">xtension. </w:t>
      </w:r>
      <w:r w:rsidR="007C479E">
        <w:rPr>
          <w:sz w:val="22"/>
          <w:szCs w:val="22"/>
        </w:rPr>
        <w:t>U</w:t>
      </w:r>
      <w:r w:rsidRPr="005440F6">
        <w:rPr>
          <w:sz w:val="22"/>
          <w:szCs w:val="22"/>
        </w:rPr>
        <w:t xml:space="preserve">pon receipt of a written request prior to license expiration, </w:t>
      </w:r>
      <w:r w:rsidR="007C479E">
        <w:rPr>
          <w:sz w:val="22"/>
          <w:szCs w:val="22"/>
        </w:rPr>
        <w:t>t</w:t>
      </w:r>
      <w:r w:rsidR="007C479E" w:rsidRPr="005440F6">
        <w:rPr>
          <w:sz w:val="22"/>
          <w:szCs w:val="22"/>
        </w:rPr>
        <w:t xml:space="preserve">he </w:t>
      </w:r>
      <w:r w:rsidR="00067DF4">
        <w:rPr>
          <w:sz w:val="22"/>
          <w:szCs w:val="22"/>
        </w:rPr>
        <w:t>Board</w:t>
      </w:r>
      <w:r w:rsidR="00357813" w:rsidRPr="005440F6">
        <w:rPr>
          <w:sz w:val="22"/>
          <w:szCs w:val="22"/>
        </w:rPr>
        <w:t xml:space="preserve"> </w:t>
      </w:r>
      <w:r w:rsidR="007C479E" w:rsidRPr="005440F6">
        <w:rPr>
          <w:sz w:val="22"/>
          <w:szCs w:val="22"/>
        </w:rPr>
        <w:t xml:space="preserve">may, </w:t>
      </w:r>
      <w:r w:rsidR="007C479E">
        <w:rPr>
          <w:sz w:val="22"/>
          <w:szCs w:val="22"/>
        </w:rPr>
        <w:t>in</w:t>
      </w:r>
      <w:r w:rsidRPr="005440F6">
        <w:rPr>
          <w:sz w:val="22"/>
          <w:szCs w:val="22"/>
        </w:rPr>
        <w:t xml:space="preserve"> its discretion</w:t>
      </w:r>
      <w:r w:rsidR="007C479E">
        <w:rPr>
          <w:sz w:val="22"/>
          <w:szCs w:val="22"/>
        </w:rPr>
        <w:t>,</w:t>
      </w:r>
      <w:r w:rsidRPr="005440F6">
        <w:rPr>
          <w:sz w:val="22"/>
          <w:szCs w:val="22"/>
        </w:rPr>
        <w:t xml:space="preserve"> grant an extension of time or other waiver to an individual licensed or certified by the </w:t>
      </w:r>
      <w:r w:rsidR="00067DF4">
        <w:rPr>
          <w:sz w:val="22"/>
          <w:szCs w:val="22"/>
        </w:rPr>
        <w:t>Board</w:t>
      </w:r>
      <w:r w:rsidR="00357813" w:rsidRPr="005440F6">
        <w:rPr>
          <w:sz w:val="22"/>
          <w:szCs w:val="22"/>
        </w:rPr>
        <w:t xml:space="preserve"> </w:t>
      </w:r>
      <w:r w:rsidRPr="005440F6">
        <w:rPr>
          <w:sz w:val="22"/>
          <w:szCs w:val="22"/>
        </w:rPr>
        <w:t>who, because of prolonged illness or other extenuating circumstances, e.g.</w:t>
      </w:r>
      <w:r w:rsidR="00B77711">
        <w:rPr>
          <w:sz w:val="22"/>
          <w:szCs w:val="22"/>
        </w:rPr>
        <w:t>,</w:t>
      </w:r>
      <w:r w:rsidRPr="005440F6">
        <w:rPr>
          <w:i/>
          <w:sz w:val="22"/>
          <w:szCs w:val="22"/>
        </w:rPr>
        <w:t xml:space="preserve"> </w:t>
      </w:r>
      <w:r w:rsidRPr="005440F6">
        <w:rPr>
          <w:sz w:val="22"/>
          <w:szCs w:val="22"/>
        </w:rPr>
        <w:t xml:space="preserve">military deployment, has been unable to meet </w:t>
      </w:r>
      <w:r>
        <w:rPr>
          <w:sz w:val="22"/>
          <w:szCs w:val="22"/>
        </w:rPr>
        <w:t>the</w:t>
      </w:r>
      <w:r w:rsidRPr="005440F6">
        <w:rPr>
          <w:sz w:val="22"/>
          <w:szCs w:val="22"/>
        </w:rPr>
        <w:t xml:space="preserve"> educational requirements under this </w:t>
      </w:r>
      <w:r>
        <w:rPr>
          <w:sz w:val="22"/>
          <w:szCs w:val="22"/>
        </w:rPr>
        <w:t>chapter</w:t>
      </w:r>
      <w:r w:rsidRPr="005440F6">
        <w:rPr>
          <w:sz w:val="22"/>
          <w:szCs w:val="22"/>
        </w:rPr>
        <w:t>.</w:t>
      </w:r>
    </w:p>
    <w:p w14:paraId="42D44500" w14:textId="77777777" w:rsidR="005440F6" w:rsidRPr="005440F6" w:rsidRDefault="005440F6" w:rsidP="0076132E">
      <w:pPr>
        <w:tabs>
          <w:tab w:val="left" w:pos="720"/>
          <w:tab w:val="left" w:pos="1440"/>
          <w:tab w:val="left" w:pos="2160"/>
          <w:tab w:val="left" w:pos="2880"/>
          <w:tab w:val="left" w:pos="3600"/>
          <w:tab w:val="left" w:pos="4320"/>
        </w:tabs>
        <w:ind w:left="1440" w:hanging="720"/>
        <w:rPr>
          <w:sz w:val="22"/>
          <w:szCs w:val="22"/>
        </w:rPr>
      </w:pPr>
    </w:p>
    <w:p w14:paraId="6467DB8D" w14:textId="4C6380E2" w:rsidR="00B02CD6" w:rsidRDefault="005440F6" w:rsidP="0076132E">
      <w:pPr>
        <w:numPr>
          <w:ilvl w:val="0"/>
          <w:numId w:val="3"/>
        </w:numPr>
        <w:tabs>
          <w:tab w:val="left" w:pos="720"/>
          <w:tab w:val="left" w:pos="1440"/>
          <w:tab w:val="left" w:pos="2160"/>
          <w:tab w:val="left" w:pos="2880"/>
          <w:tab w:val="left" w:pos="3600"/>
          <w:tab w:val="left" w:pos="4320"/>
        </w:tabs>
        <w:ind w:hanging="720"/>
        <w:rPr>
          <w:sz w:val="22"/>
          <w:szCs w:val="22"/>
        </w:rPr>
      </w:pPr>
      <w:r w:rsidRPr="00B02CD6">
        <w:rPr>
          <w:b/>
          <w:sz w:val="22"/>
          <w:szCs w:val="22"/>
        </w:rPr>
        <w:t xml:space="preserve">First </w:t>
      </w:r>
      <w:r w:rsidR="00931B0F">
        <w:rPr>
          <w:b/>
          <w:sz w:val="22"/>
          <w:szCs w:val="22"/>
        </w:rPr>
        <w:t>r</w:t>
      </w:r>
      <w:r w:rsidR="00373D37" w:rsidRPr="00B02CD6">
        <w:rPr>
          <w:b/>
          <w:sz w:val="22"/>
          <w:szCs w:val="22"/>
        </w:rPr>
        <w:t>enewal</w:t>
      </w:r>
      <w:r w:rsidR="00931B0F">
        <w:rPr>
          <w:b/>
          <w:sz w:val="22"/>
          <w:szCs w:val="22"/>
        </w:rPr>
        <w:t>; general requirements.</w:t>
      </w:r>
      <w:r w:rsidRPr="00B02CD6">
        <w:rPr>
          <w:b/>
          <w:sz w:val="22"/>
          <w:szCs w:val="22"/>
        </w:rPr>
        <w:t xml:space="preserve"> </w:t>
      </w:r>
      <w:r w:rsidR="00373D37" w:rsidRPr="00B02CD6">
        <w:rPr>
          <w:sz w:val="22"/>
          <w:szCs w:val="22"/>
        </w:rPr>
        <w:t xml:space="preserve">Licensees who renew for the first time must complete </w:t>
      </w:r>
      <w:r w:rsidRPr="00B02CD6">
        <w:rPr>
          <w:sz w:val="22"/>
          <w:szCs w:val="22"/>
        </w:rPr>
        <w:t xml:space="preserve">one half of the required continuing education </w:t>
      </w:r>
      <w:r w:rsidR="009D65F5">
        <w:rPr>
          <w:sz w:val="22"/>
          <w:szCs w:val="22"/>
        </w:rPr>
        <w:t xml:space="preserve">credit </w:t>
      </w:r>
      <w:r w:rsidRPr="00B02CD6">
        <w:rPr>
          <w:sz w:val="22"/>
          <w:szCs w:val="22"/>
        </w:rPr>
        <w:t>hours</w:t>
      </w:r>
      <w:r w:rsidR="00373D37" w:rsidRPr="00B02CD6">
        <w:rPr>
          <w:sz w:val="22"/>
          <w:szCs w:val="22"/>
        </w:rPr>
        <w:t xml:space="preserve"> as outlined</w:t>
      </w:r>
      <w:r w:rsidR="00B02CD6">
        <w:rPr>
          <w:sz w:val="22"/>
          <w:szCs w:val="22"/>
        </w:rPr>
        <w:t xml:space="preserve"> in this chapter</w:t>
      </w:r>
      <w:r w:rsidRPr="00B02CD6">
        <w:rPr>
          <w:sz w:val="22"/>
          <w:szCs w:val="22"/>
        </w:rPr>
        <w:t xml:space="preserve"> and </w:t>
      </w:r>
      <w:r w:rsidR="0024716D">
        <w:rPr>
          <w:sz w:val="22"/>
          <w:szCs w:val="22"/>
        </w:rPr>
        <w:t>have</w:t>
      </w:r>
      <w:r w:rsidRPr="00B02CD6">
        <w:rPr>
          <w:sz w:val="22"/>
          <w:szCs w:val="22"/>
        </w:rPr>
        <w:t xml:space="preserve"> a current </w:t>
      </w:r>
      <w:r w:rsidR="008C6FC0" w:rsidRPr="00AC02DC">
        <w:rPr>
          <w:sz w:val="22"/>
          <w:szCs w:val="22"/>
        </w:rPr>
        <w:t>BLS</w:t>
      </w:r>
      <w:r w:rsidR="008C6FC0" w:rsidRPr="00B02CD6">
        <w:rPr>
          <w:sz w:val="22"/>
          <w:szCs w:val="22"/>
        </w:rPr>
        <w:t xml:space="preserve"> </w:t>
      </w:r>
      <w:r w:rsidRPr="00B02CD6">
        <w:rPr>
          <w:sz w:val="22"/>
          <w:szCs w:val="22"/>
        </w:rPr>
        <w:t xml:space="preserve">certification. </w:t>
      </w:r>
    </w:p>
    <w:p w14:paraId="7F5EA628" w14:textId="77777777" w:rsidR="00B02CD6" w:rsidRDefault="00B02CD6" w:rsidP="0076132E">
      <w:pPr>
        <w:tabs>
          <w:tab w:val="left" w:pos="720"/>
          <w:tab w:val="left" w:pos="1440"/>
          <w:tab w:val="left" w:pos="2160"/>
          <w:tab w:val="left" w:pos="2880"/>
          <w:tab w:val="left" w:pos="3600"/>
          <w:tab w:val="left" w:pos="4320"/>
        </w:tabs>
        <w:rPr>
          <w:sz w:val="22"/>
          <w:szCs w:val="22"/>
        </w:rPr>
      </w:pPr>
    </w:p>
    <w:p w14:paraId="6D1948FC" w14:textId="20544308" w:rsidR="00B02CD6" w:rsidRDefault="00B02CD6" w:rsidP="0076132E">
      <w:pPr>
        <w:numPr>
          <w:ilvl w:val="0"/>
          <w:numId w:val="3"/>
        </w:numPr>
        <w:tabs>
          <w:tab w:val="left" w:pos="720"/>
          <w:tab w:val="left" w:pos="1440"/>
          <w:tab w:val="left" w:pos="2160"/>
          <w:tab w:val="left" w:pos="2880"/>
          <w:tab w:val="left" w:pos="3600"/>
          <w:tab w:val="left" w:pos="4320"/>
        </w:tabs>
        <w:ind w:hanging="720"/>
        <w:rPr>
          <w:sz w:val="22"/>
          <w:szCs w:val="22"/>
        </w:rPr>
      </w:pPr>
      <w:r w:rsidRPr="00B02CD6">
        <w:rPr>
          <w:b/>
          <w:sz w:val="22"/>
          <w:szCs w:val="22"/>
        </w:rPr>
        <w:t xml:space="preserve">First </w:t>
      </w:r>
      <w:r w:rsidR="009D65F5">
        <w:rPr>
          <w:b/>
          <w:sz w:val="22"/>
          <w:szCs w:val="22"/>
        </w:rPr>
        <w:t>r</w:t>
      </w:r>
      <w:r w:rsidRPr="00B02CD6">
        <w:rPr>
          <w:b/>
          <w:sz w:val="22"/>
          <w:szCs w:val="22"/>
        </w:rPr>
        <w:t xml:space="preserve">enewal for </w:t>
      </w:r>
      <w:r w:rsidR="00931B0F">
        <w:rPr>
          <w:b/>
          <w:sz w:val="22"/>
          <w:szCs w:val="22"/>
        </w:rPr>
        <w:t>d</w:t>
      </w:r>
      <w:r w:rsidRPr="00B02CD6">
        <w:rPr>
          <w:b/>
          <w:sz w:val="22"/>
          <w:szCs w:val="22"/>
        </w:rPr>
        <w:t>entists</w:t>
      </w:r>
      <w:r>
        <w:rPr>
          <w:sz w:val="22"/>
          <w:szCs w:val="22"/>
        </w:rPr>
        <w:t>. Dentists</w:t>
      </w:r>
      <w:r w:rsidRPr="00B02CD6">
        <w:rPr>
          <w:sz w:val="22"/>
          <w:szCs w:val="22"/>
        </w:rPr>
        <w:t xml:space="preserve"> who are renewing for the first time must complete </w:t>
      </w:r>
      <w:r>
        <w:rPr>
          <w:sz w:val="22"/>
          <w:szCs w:val="22"/>
        </w:rPr>
        <w:t xml:space="preserve">one half of the required continuing education </w:t>
      </w:r>
      <w:r w:rsidR="009D65F5">
        <w:rPr>
          <w:sz w:val="22"/>
          <w:szCs w:val="22"/>
        </w:rPr>
        <w:t xml:space="preserve">credit </w:t>
      </w:r>
      <w:r>
        <w:rPr>
          <w:sz w:val="22"/>
          <w:szCs w:val="22"/>
        </w:rPr>
        <w:t xml:space="preserve">hours as outlined in this chapter </w:t>
      </w:r>
      <w:r w:rsidR="0024716D">
        <w:rPr>
          <w:sz w:val="22"/>
          <w:szCs w:val="22"/>
        </w:rPr>
        <w:t xml:space="preserve">and must have a </w:t>
      </w:r>
      <w:r>
        <w:rPr>
          <w:sz w:val="22"/>
          <w:szCs w:val="22"/>
        </w:rPr>
        <w:t xml:space="preserve">current </w:t>
      </w:r>
      <w:r w:rsidR="008C6FC0" w:rsidRPr="00AC02DC">
        <w:rPr>
          <w:sz w:val="22"/>
          <w:szCs w:val="22"/>
        </w:rPr>
        <w:t>BLS</w:t>
      </w:r>
      <w:r w:rsidR="008C6FC0">
        <w:rPr>
          <w:sz w:val="22"/>
          <w:szCs w:val="22"/>
        </w:rPr>
        <w:t xml:space="preserve"> </w:t>
      </w:r>
      <w:r>
        <w:rPr>
          <w:sz w:val="22"/>
          <w:szCs w:val="22"/>
        </w:rPr>
        <w:t>certification</w:t>
      </w:r>
      <w:r w:rsidR="0024716D">
        <w:rPr>
          <w:sz w:val="22"/>
          <w:szCs w:val="22"/>
        </w:rPr>
        <w:t xml:space="preserve">. The content of the credit hours must include completion of </w:t>
      </w:r>
      <w:r w:rsidRPr="00B02CD6">
        <w:rPr>
          <w:sz w:val="22"/>
          <w:szCs w:val="22"/>
        </w:rPr>
        <w:t xml:space="preserve">3 credit hours </w:t>
      </w:r>
      <w:r w:rsidR="007C479E">
        <w:rPr>
          <w:sz w:val="22"/>
          <w:szCs w:val="22"/>
        </w:rPr>
        <w:t>in</w:t>
      </w:r>
      <w:r w:rsidR="007C479E" w:rsidRPr="00B02CD6">
        <w:rPr>
          <w:sz w:val="22"/>
          <w:szCs w:val="22"/>
        </w:rPr>
        <w:t xml:space="preserve"> </w:t>
      </w:r>
      <w:r w:rsidRPr="00B02CD6">
        <w:rPr>
          <w:sz w:val="22"/>
          <w:szCs w:val="22"/>
        </w:rPr>
        <w:t>opioid medication prescribing</w:t>
      </w:r>
      <w:r>
        <w:rPr>
          <w:sz w:val="22"/>
          <w:szCs w:val="22"/>
        </w:rPr>
        <w:t xml:space="preserve"> as a condition to prescribe</w:t>
      </w:r>
      <w:r w:rsidR="00D8669C">
        <w:rPr>
          <w:sz w:val="22"/>
          <w:szCs w:val="22"/>
        </w:rPr>
        <w:t xml:space="preserve"> opioid medication</w:t>
      </w:r>
      <w:r w:rsidRPr="00B02CD6">
        <w:rPr>
          <w:sz w:val="22"/>
          <w:szCs w:val="22"/>
        </w:rPr>
        <w:t xml:space="preserve">, and </w:t>
      </w:r>
      <w:r w:rsidR="0024716D">
        <w:rPr>
          <w:sz w:val="22"/>
          <w:szCs w:val="22"/>
        </w:rPr>
        <w:t xml:space="preserve">completion of </w:t>
      </w:r>
      <w:r w:rsidRPr="00B02CD6">
        <w:rPr>
          <w:sz w:val="22"/>
          <w:szCs w:val="22"/>
        </w:rPr>
        <w:t xml:space="preserve">6 credit hours of sedation and/or anesthesia training </w:t>
      </w:r>
      <w:r>
        <w:rPr>
          <w:sz w:val="22"/>
          <w:szCs w:val="22"/>
        </w:rPr>
        <w:t xml:space="preserve">as a condition </w:t>
      </w:r>
      <w:r w:rsidR="0024716D">
        <w:rPr>
          <w:sz w:val="22"/>
          <w:szCs w:val="22"/>
        </w:rPr>
        <w:t xml:space="preserve">to administer sedation under Chapter 14 of the </w:t>
      </w:r>
      <w:r w:rsidR="00067DF4">
        <w:rPr>
          <w:sz w:val="22"/>
          <w:szCs w:val="22"/>
        </w:rPr>
        <w:t>Board</w:t>
      </w:r>
      <w:r w:rsidR="00357813">
        <w:rPr>
          <w:sz w:val="22"/>
          <w:szCs w:val="22"/>
        </w:rPr>
        <w:t xml:space="preserve">’s </w:t>
      </w:r>
      <w:r w:rsidR="0024716D">
        <w:rPr>
          <w:sz w:val="22"/>
          <w:szCs w:val="22"/>
        </w:rPr>
        <w:t>rules</w:t>
      </w:r>
      <w:r w:rsidRPr="00B02CD6">
        <w:rPr>
          <w:sz w:val="22"/>
          <w:szCs w:val="22"/>
        </w:rPr>
        <w:t>.</w:t>
      </w:r>
    </w:p>
    <w:p w14:paraId="7E11E082" w14:textId="77777777" w:rsidR="00B02CD6" w:rsidRDefault="00B02CD6" w:rsidP="0076132E">
      <w:pPr>
        <w:tabs>
          <w:tab w:val="left" w:pos="720"/>
          <w:tab w:val="left" w:pos="1440"/>
          <w:tab w:val="left" w:pos="2160"/>
          <w:tab w:val="left" w:pos="2880"/>
          <w:tab w:val="left" w:pos="3600"/>
          <w:tab w:val="left" w:pos="4320"/>
        </w:tabs>
        <w:ind w:left="1440"/>
        <w:rPr>
          <w:sz w:val="22"/>
          <w:szCs w:val="22"/>
        </w:rPr>
      </w:pPr>
    </w:p>
    <w:p w14:paraId="0EDEC9E6" w14:textId="77777777" w:rsidR="0000207B" w:rsidRPr="00430352" w:rsidRDefault="00430352" w:rsidP="0076132E">
      <w:pPr>
        <w:numPr>
          <w:ilvl w:val="0"/>
          <w:numId w:val="3"/>
        </w:numPr>
        <w:tabs>
          <w:tab w:val="left" w:pos="720"/>
          <w:tab w:val="left" w:pos="1440"/>
          <w:tab w:val="left" w:pos="2160"/>
          <w:tab w:val="left" w:pos="2880"/>
          <w:tab w:val="left" w:pos="3600"/>
          <w:tab w:val="left" w:pos="4320"/>
        </w:tabs>
        <w:ind w:hanging="720"/>
        <w:rPr>
          <w:sz w:val="22"/>
          <w:szCs w:val="22"/>
        </w:rPr>
      </w:pPr>
      <w:r>
        <w:rPr>
          <w:b/>
          <w:sz w:val="22"/>
          <w:szCs w:val="22"/>
        </w:rPr>
        <w:t xml:space="preserve">Active to </w:t>
      </w:r>
      <w:r w:rsidR="005440F6" w:rsidRPr="005440F6">
        <w:rPr>
          <w:b/>
          <w:sz w:val="22"/>
          <w:szCs w:val="22"/>
        </w:rPr>
        <w:t xml:space="preserve">Inactive </w:t>
      </w:r>
      <w:r>
        <w:rPr>
          <w:b/>
          <w:sz w:val="22"/>
          <w:szCs w:val="22"/>
        </w:rPr>
        <w:t xml:space="preserve">License </w:t>
      </w:r>
      <w:r w:rsidR="008F2FCE">
        <w:rPr>
          <w:b/>
          <w:sz w:val="22"/>
          <w:szCs w:val="22"/>
        </w:rPr>
        <w:t xml:space="preserve">Status. </w:t>
      </w:r>
      <w:r w:rsidR="007C479E">
        <w:rPr>
          <w:sz w:val="22"/>
          <w:szCs w:val="22"/>
        </w:rPr>
        <w:t>To place an active license on</w:t>
      </w:r>
      <w:r w:rsidR="007C479E" w:rsidRPr="007C479E">
        <w:rPr>
          <w:sz w:val="22"/>
          <w:szCs w:val="22"/>
        </w:rPr>
        <w:t xml:space="preserve"> inactive status, the licensee must submit a written request to the </w:t>
      </w:r>
      <w:r w:rsidR="00067DF4">
        <w:rPr>
          <w:sz w:val="22"/>
          <w:szCs w:val="22"/>
        </w:rPr>
        <w:t>Board</w:t>
      </w:r>
      <w:r w:rsidR="007C479E">
        <w:rPr>
          <w:b/>
          <w:sz w:val="22"/>
          <w:szCs w:val="22"/>
        </w:rPr>
        <w:t xml:space="preserve"> </w:t>
      </w:r>
      <w:r>
        <w:rPr>
          <w:sz w:val="22"/>
          <w:szCs w:val="22"/>
          <w:lang w:val="en"/>
        </w:rPr>
        <w:t>attesting that services will not be rendered during the remainder of the license term. Licensees with an inactive status are required to renew their licenses but are not required to complete continuing education</w:t>
      </w:r>
      <w:r w:rsidR="009D65F5">
        <w:rPr>
          <w:sz w:val="22"/>
          <w:szCs w:val="22"/>
          <w:lang w:val="en"/>
        </w:rPr>
        <w:t xml:space="preserve"> credit </w:t>
      </w:r>
      <w:r>
        <w:rPr>
          <w:sz w:val="22"/>
          <w:szCs w:val="22"/>
          <w:lang w:val="en"/>
        </w:rPr>
        <w:t>hours under this chapter.</w:t>
      </w:r>
    </w:p>
    <w:p w14:paraId="13F43AF9" w14:textId="77777777" w:rsidR="00430352" w:rsidRDefault="00430352" w:rsidP="0076132E">
      <w:pPr>
        <w:tabs>
          <w:tab w:val="left" w:pos="720"/>
          <w:tab w:val="left" w:pos="1440"/>
          <w:tab w:val="left" w:pos="2160"/>
          <w:tab w:val="left" w:pos="2880"/>
          <w:tab w:val="left" w:pos="3600"/>
          <w:tab w:val="left" w:pos="4320"/>
        </w:tabs>
        <w:rPr>
          <w:sz w:val="22"/>
          <w:szCs w:val="22"/>
        </w:rPr>
      </w:pPr>
    </w:p>
    <w:p w14:paraId="1B8721B3" w14:textId="5B9C5715" w:rsidR="00430352" w:rsidRDefault="00430352" w:rsidP="0076132E">
      <w:pPr>
        <w:tabs>
          <w:tab w:val="left" w:pos="720"/>
          <w:tab w:val="left" w:pos="1440"/>
          <w:tab w:val="left" w:pos="2160"/>
          <w:tab w:val="left" w:pos="2880"/>
          <w:tab w:val="left" w:pos="3600"/>
          <w:tab w:val="left" w:pos="4320"/>
        </w:tabs>
        <w:ind w:left="1440" w:hanging="1440"/>
        <w:rPr>
          <w:sz w:val="22"/>
          <w:szCs w:val="22"/>
        </w:rPr>
      </w:pPr>
      <w:r w:rsidRPr="00D3760D">
        <w:rPr>
          <w:b/>
          <w:sz w:val="22"/>
          <w:szCs w:val="22"/>
        </w:rPr>
        <w:lastRenderedPageBreak/>
        <w:tab/>
      </w:r>
      <w:r w:rsidR="00373A4D" w:rsidRPr="00D3760D">
        <w:rPr>
          <w:sz w:val="22"/>
          <w:szCs w:val="22"/>
        </w:rPr>
        <w:t>E</w:t>
      </w:r>
      <w:r w:rsidR="00D3760D" w:rsidRPr="00D3760D">
        <w:rPr>
          <w:sz w:val="22"/>
          <w:szCs w:val="22"/>
        </w:rPr>
        <w:t>.</w:t>
      </w:r>
      <w:r w:rsidRPr="00D3760D">
        <w:rPr>
          <w:b/>
          <w:sz w:val="22"/>
          <w:szCs w:val="22"/>
        </w:rPr>
        <w:tab/>
      </w:r>
      <w:r w:rsidRPr="00430352">
        <w:rPr>
          <w:b/>
          <w:sz w:val="22"/>
          <w:szCs w:val="22"/>
        </w:rPr>
        <w:t>Inactive to Active License Statu</w:t>
      </w:r>
      <w:r>
        <w:rPr>
          <w:b/>
          <w:sz w:val="22"/>
          <w:szCs w:val="22"/>
        </w:rPr>
        <w:t>s.</w:t>
      </w:r>
      <w:r w:rsidR="000F5BBE">
        <w:rPr>
          <w:b/>
          <w:sz w:val="22"/>
          <w:szCs w:val="22"/>
        </w:rPr>
        <w:t xml:space="preserve"> </w:t>
      </w:r>
      <w:r w:rsidR="007C479E" w:rsidRPr="007C479E">
        <w:rPr>
          <w:sz w:val="22"/>
          <w:szCs w:val="22"/>
        </w:rPr>
        <w:t xml:space="preserve">To place an inactive license on active status, the licensee must submit a written request to the </w:t>
      </w:r>
      <w:r w:rsidR="00067DF4">
        <w:rPr>
          <w:sz w:val="22"/>
          <w:szCs w:val="22"/>
        </w:rPr>
        <w:t>Board</w:t>
      </w:r>
      <w:r>
        <w:rPr>
          <w:sz w:val="22"/>
          <w:szCs w:val="22"/>
        </w:rPr>
        <w:t>, documented evidence of completing continuing education</w:t>
      </w:r>
      <w:r w:rsidR="00967B8F">
        <w:rPr>
          <w:sz w:val="22"/>
          <w:szCs w:val="22"/>
        </w:rPr>
        <w:t xml:space="preserve"> </w:t>
      </w:r>
      <w:r w:rsidR="00F71FB5">
        <w:rPr>
          <w:sz w:val="22"/>
          <w:szCs w:val="22"/>
        </w:rPr>
        <w:t xml:space="preserve">credit hours </w:t>
      </w:r>
      <w:r w:rsidR="00967B8F">
        <w:rPr>
          <w:sz w:val="22"/>
          <w:szCs w:val="22"/>
        </w:rPr>
        <w:t>as outlined below</w:t>
      </w:r>
      <w:r>
        <w:rPr>
          <w:sz w:val="22"/>
          <w:szCs w:val="22"/>
        </w:rPr>
        <w:t xml:space="preserve">, and a current </w:t>
      </w:r>
      <w:r w:rsidR="008C6FC0" w:rsidRPr="00AC02DC">
        <w:rPr>
          <w:sz w:val="22"/>
          <w:szCs w:val="22"/>
        </w:rPr>
        <w:t>BLS</w:t>
      </w:r>
      <w:r w:rsidR="008C6FC0">
        <w:rPr>
          <w:sz w:val="22"/>
          <w:szCs w:val="22"/>
        </w:rPr>
        <w:t xml:space="preserve"> </w:t>
      </w:r>
      <w:r>
        <w:rPr>
          <w:sz w:val="22"/>
          <w:szCs w:val="22"/>
        </w:rPr>
        <w:t xml:space="preserve">certification card. For purposes of this section, the </w:t>
      </w:r>
      <w:r w:rsidR="00067DF4">
        <w:rPr>
          <w:sz w:val="22"/>
          <w:szCs w:val="22"/>
        </w:rPr>
        <w:t>Board</w:t>
      </w:r>
      <w:r>
        <w:rPr>
          <w:sz w:val="22"/>
          <w:szCs w:val="22"/>
        </w:rPr>
        <w:t xml:space="preserve"> may require </w:t>
      </w:r>
      <w:r w:rsidR="00BC58E1">
        <w:rPr>
          <w:sz w:val="22"/>
          <w:szCs w:val="22"/>
        </w:rPr>
        <w:t xml:space="preserve">dentists to comply with the opioid prescription and the sedation techniques training required under this </w:t>
      </w:r>
      <w:r>
        <w:rPr>
          <w:sz w:val="22"/>
          <w:szCs w:val="22"/>
        </w:rPr>
        <w:t>chapter.</w:t>
      </w:r>
    </w:p>
    <w:p w14:paraId="2A248F32" w14:textId="77777777" w:rsidR="00554E6C" w:rsidRDefault="00554E6C" w:rsidP="0076132E">
      <w:pPr>
        <w:pStyle w:val="PlainText"/>
        <w:tabs>
          <w:tab w:val="left" w:pos="720"/>
          <w:tab w:val="left" w:pos="1440"/>
          <w:tab w:val="left" w:pos="2160"/>
          <w:tab w:val="left" w:pos="2880"/>
          <w:tab w:val="left" w:pos="3600"/>
          <w:tab w:val="left" w:pos="4320"/>
        </w:tabs>
        <w:ind w:left="1440" w:hanging="1440"/>
        <w:rPr>
          <w:rFonts w:ascii="Times New Roman" w:hAnsi="Times New Roman"/>
          <w:b/>
          <w:sz w:val="22"/>
        </w:rPr>
      </w:pPr>
    </w:p>
    <w:p w14:paraId="5796295C" w14:textId="17C59DEB" w:rsidR="00554E6C" w:rsidRDefault="00554E6C" w:rsidP="00D3760D">
      <w:pPr>
        <w:pStyle w:val="PlainText"/>
        <w:numPr>
          <w:ilvl w:val="0"/>
          <w:numId w:val="22"/>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Licensees who hold an inactive license status for a period </w:t>
      </w:r>
      <w:r w:rsidR="00B02CD6">
        <w:rPr>
          <w:rFonts w:ascii="Times New Roman" w:hAnsi="Times New Roman"/>
          <w:sz w:val="22"/>
        </w:rPr>
        <w:t>less than five years</w:t>
      </w:r>
      <w:r>
        <w:rPr>
          <w:rFonts w:ascii="Times New Roman" w:hAnsi="Times New Roman"/>
          <w:sz w:val="22"/>
        </w:rPr>
        <w:t xml:space="preserve"> must complete one-half of the </w:t>
      </w:r>
      <w:r w:rsidR="009D65F5">
        <w:rPr>
          <w:rFonts w:ascii="Times New Roman" w:hAnsi="Times New Roman"/>
          <w:sz w:val="22"/>
        </w:rPr>
        <w:t xml:space="preserve">continuing education </w:t>
      </w:r>
      <w:r w:rsidR="0038740E">
        <w:rPr>
          <w:rFonts w:ascii="Times New Roman" w:hAnsi="Times New Roman"/>
          <w:sz w:val="22"/>
        </w:rPr>
        <w:t xml:space="preserve">credit </w:t>
      </w:r>
      <w:r>
        <w:rPr>
          <w:rFonts w:ascii="Times New Roman" w:hAnsi="Times New Roman"/>
          <w:sz w:val="22"/>
        </w:rPr>
        <w:t xml:space="preserve">hours required for the license they hold under this chapter and present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D8669C">
        <w:rPr>
          <w:rFonts w:ascii="Times New Roman" w:hAnsi="Times New Roman"/>
          <w:sz w:val="22"/>
        </w:rPr>
        <w:t>,</w:t>
      </w:r>
      <w:r>
        <w:rPr>
          <w:rFonts w:ascii="Times New Roman" w:hAnsi="Times New Roman"/>
          <w:sz w:val="22"/>
        </w:rPr>
        <w:t xml:space="preserve"> to return the license to active status.</w:t>
      </w:r>
    </w:p>
    <w:p w14:paraId="36BD911A" w14:textId="77777777" w:rsidR="005365E9" w:rsidRDefault="005365E9" w:rsidP="00D3760D">
      <w:pPr>
        <w:pStyle w:val="PlainText"/>
        <w:tabs>
          <w:tab w:val="left" w:pos="720"/>
          <w:tab w:val="left" w:pos="1440"/>
          <w:tab w:val="left" w:pos="2160"/>
          <w:tab w:val="left" w:pos="2880"/>
          <w:tab w:val="left" w:pos="3600"/>
          <w:tab w:val="left" w:pos="4320"/>
        </w:tabs>
        <w:ind w:left="2250" w:hanging="720"/>
        <w:rPr>
          <w:rFonts w:ascii="Times New Roman" w:hAnsi="Times New Roman"/>
          <w:sz w:val="22"/>
        </w:rPr>
      </w:pPr>
    </w:p>
    <w:p w14:paraId="217474C1" w14:textId="1347F952" w:rsidR="00554E6C" w:rsidRDefault="00554E6C" w:rsidP="00D3760D">
      <w:pPr>
        <w:pStyle w:val="PlainText"/>
        <w:numPr>
          <w:ilvl w:val="0"/>
          <w:numId w:val="22"/>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Licensees who hold an inactive license status for a period exceeding five years must complete all of the </w:t>
      </w:r>
      <w:r w:rsidR="009D65F5">
        <w:rPr>
          <w:rFonts w:ascii="Times New Roman" w:hAnsi="Times New Roman"/>
          <w:sz w:val="22"/>
        </w:rPr>
        <w:t xml:space="preserve">continuing education </w:t>
      </w:r>
      <w:r>
        <w:rPr>
          <w:rFonts w:ascii="Times New Roman" w:hAnsi="Times New Roman"/>
          <w:sz w:val="22"/>
        </w:rPr>
        <w:t>credit hours required for the license they hold under this chapter and present a current</w:t>
      </w:r>
      <w:r w:rsidR="0038740E">
        <w:rPr>
          <w:rFonts w:ascii="Times New Roman" w:hAnsi="Times New Roman"/>
          <w:sz w:val="22"/>
        </w:rPr>
        <w:t xml:space="preserve"> </w:t>
      </w:r>
      <w:r w:rsidR="008C6FC0" w:rsidRPr="00AC02DC">
        <w:rPr>
          <w:rFonts w:ascii="Times New Roman" w:hAnsi="Times New Roman"/>
          <w:sz w:val="22"/>
        </w:rPr>
        <w:t>BLS</w:t>
      </w:r>
      <w:r w:rsidR="008C6FC0">
        <w:rPr>
          <w:rFonts w:ascii="Times New Roman" w:hAnsi="Times New Roman"/>
          <w:sz w:val="22"/>
        </w:rPr>
        <w:t xml:space="preserve"> </w:t>
      </w:r>
      <w:r w:rsidR="0038740E">
        <w:rPr>
          <w:rFonts w:ascii="Times New Roman" w:hAnsi="Times New Roman"/>
          <w:sz w:val="22"/>
        </w:rPr>
        <w:t>certification</w:t>
      </w:r>
      <w:r w:rsidR="00D8669C">
        <w:rPr>
          <w:rFonts w:ascii="Times New Roman" w:hAnsi="Times New Roman"/>
          <w:sz w:val="22"/>
        </w:rPr>
        <w:t>,</w:t>
      </w:r>
      <w:r w:rsidR="0038740E">
        <w:rPr>
          <w:rFonts w:ascii="Times New Roman" w:hAnsi="Times New Roman"/>
          <w:sz w:val="22"/>
        </w:rPr>
        <w:t xml:space="preserve"> to return the license to active status</w:t>
      </w:r>
      <w:r>
        <w:rPr>
          <w:rFonts w:ascii="Times New Roman" w:hAnsi="Times New Roman"/>
          <w:sz w:val="22"/>
        </w:rPr>
        <w:t>.</w:t>
      </w:r>
    </w:p>
    <w:p w14:paraId="0BAFCF95" w14:textId="77777777" w:rsidR="00AF1337" w:rsidRDefault="00AF1337" w:rsidP="0076132E">
      <w:pPr>
        <w:tabs>
          <w:tab w:val="left" w:pos="720"/>
          <w:tab w:val="left" w:pos="1440"/>
          <w:tab w:val="left" w:pos="2160"/>
          <w:tab w:val="left" w:pos="2880"/>
          <w:tab w:val="left" w:pos="3600"/>
          <w:tab w:val="left" w:pos="4320"/>
        </w:tabs>
        <w:ind w:left="1440" w:hanging="1440"/>
        <w:rPr>
          <w:sz w:val="22"/>
          <w:szCs w:val="22"/>
        </w:rPr>
      </w:pPr>
    </w:p>
    <w:p w14:paraId="72BB34D5" w14:textId="77777777" w:rsidR="00D3760D" w:rsidRDefault="00D3760D" w:rsidP="0076132E">
      <w:pPr>
        <w:tabs>
          <w:tab w:val="left" w:pos="720"/>
          <w:tab w:val="left" w:pos="1440"/>
          <w:tab w:val="left" w:pos="2160"/>
          <w:tab w:val="left" w:pos="2880"/>
          <w:tab w:val="left" w:pos="3600"/>
          <w:tab w:val="left" w:pos="4320"/>
        </w:tabs>
        <w:ind w:left="1440" w:hanging="1440"/>
        <w:rPr>
          <w:sz w:val="22"/>
          <w:szCs w:val="22"/>
        </w:rPr>
      </w:pPr>
    </w:p>
    <w:p w14:paraId="12E6C7F1" w14:textId="77777777" w:rsidR="00D3760D" w:rsidRPr="00D3760D" w:rsidRDefault="00AD405E" w:rsidP="00D3760D">
      <w:pPr>
        <w:tabs>
          <w:tab w:val="left" w:pos="720"/>
          <w:tab w:val="left" w:pos="1440"/>
          <w:tab w:val="left" w:pos="2160"/>
          <w:tab w:val="left" w:pos="2880"/>
          <w:tab w:val="left" w:pos="3600"/>
          <w:tab w:val="left" w:pos="4320"/>
        </w:tabs>
        <w:ind w:left="1440" w:hanging="1440"/>
        <w:rPr>
          <w:b/>
          <w:sz w:val="22"/>
          <w:szCs w:val="22"/>
        </w:rPr>
      </w:pPr>
      <w:r w:rsidRPr="00AD405E">
        <w:rPr>
          <w:b/>
          <w:sz w:val="22"/>
          <w:szCs w:val="22"/>
        </w:rPr>
        <w:t>IX.</w:t>
      </w:r>
      <w:r w:rsidRPr="00AD405E">
        <w:rPr>
          <w:b/>
          <w:sz w:val="22"/>
          <w:szCs w:val="22"/>
        </w:rPr>
        <w:tab/>
        <w:t>Transition Language</w:t>
      </w:r>
    </w:p>
    <w:p w14:paraId="3A912611" w14:textId="77777777" w:rsidR="002710A8" w:rsidRPr="00F530A7" w:rsidRDefault="002710A8" w:rsidP="0076132E">
      <w:pPr>
        <w:tabs>
          <w:tab w:val="left" w:pos="720"/>
          <w:tab w:val="left" w:pos="1440"/>
          <w:tab w:val="left" w:pos="2160"/>
          <w:tab w:val="left" w:pos="2880"/>
          <w:tab w:val="left" w:pos="3600"/>
          <w:tab w:val="left" w:pos="4320"/>
        </w:tabs>
        <w:ind w:left="720"/>
        <w:rPr>
          <w:sz w:val="22"/>
          <w:szCs w:val="22"/>
        </w:rPr>
      </w:pPr>
    </w:p>
    <w:p w14:paraId="6D6E38E2" w14:textId="77777777" w:rsidR="00F530A7" w:rsidRPr="00F530A7" w:rsidRDefault="00F530A7" w:rsidP="0076132E">
      <w:pPr>
        <w:tabs>
          <w:tab w:val="left" w:pos="720"/>
          <w:tab w:val="left" w:pos="1440"/>
          <w:tab w:val="left" w:pos="2160"/>
          <w:tab w:val="left" w:pos="2880"/>
          <w:tab w:val="left" w:pos="3600"/>
          <w:tab w:val="left" w:pos="4320"/>
        </w:tabs>
        <w:ind w:left="720"/>
        <w:rPr>
          <w:bCs/>
          <w:sz w:val="22"/>
          <w:szCs w:val="22"/>
        </w:rPr>
      </w:pPr>
      <w:r w:rsidRPr="00F530A7">
        <w:rPr>
          <w:bCs/>
          <w:sz w:val="22"/>
          <w:szCs w:val="22"/>
        </w:rPr>
        <w:t>Individuals who are licensed on the effective date of this revised Chapter 13 may use credits earned pursuant to the former Chapter 13 to satisfy continuing education requirements for their first license renewal due on or after th</w:t>
      </w:r>
      <w:r>
        <w:rPr>
          <w:bCs/>
          <w:sz w:val="22"/>
          <w:szCs w:val="22"/>
        </w:rPr>
        <w:t>is revision’s effective date.</w:t>
      </w:r>
      <w:r w:rsidR="000F5BBE">
        <w:rPr>
          <w:bCs/>
          <w:sz w:val="22"/>
          <w:szCs w:val="22"/>
        </w:rPr>
        <w:t xml:space="preserve"> </w:t>
      </w:r>
      <w:r w:rsidRPr="00F530A7">
        <w:rPr>
          <w:bCs/>
          <w:sz w:val="22"/>
          <w:szCs w:val="22"/>
        </w:rPr>
        <w:t>Continuing education requirements of this newly-effective Chapter 13 shall apply to subsequent renewals by those individuals and to individuals initially licensed after this revision’s effective date.</w:t>
      </w:r>
    </w:p>
    <w:p w14:paraId="388926B8" w14:textId="77777777" w:rsidR="00F530A7" w:rsidRDefault="00F530A7" w:rsidP="0076132E">
      <w:pPr>
        <w:tabs>
          <w:tab w:val="left" w:pos="720"/>
          <w:tab w:val="left" w:pos="1440"/>
          <w:tab w:val="left" w:pos="2160"/>
          <w:tab w:val="left" w:pos="2880"/>
          <w:tab w:val="left" w:pos="3600"/>
          <w:tab w:val="left" w:pos="4320"/>
        </w:tabs>
        <w:ind w:left="720"/>
        <w:rPr>
          <w:sz w:val="22"/>
          <w:szCs w:val="22"/>
        </w:rPr>
      </w:pPr>
    </w:p>
    <w:p w14:paraId="009F3AFD" w14:textId="77777777" w:rsidR="00E50473" w:rsidRDefault="00E50473" w:rsidP="0076132E">
      <w:pPr>
        <w:tabs>
          <w:tab w:val="left" w:pos="720"/>
          <w:tab w:val="left" w:pos="1440"/>
          <w:tab w:val="left" w:pos="2160"/>
          <w:tab w:val="left" w:pos="2880"/>
          <w:tab w:val="left" w:pos="3600"/>
          <w:tab w:val="left" w:pos="4320"/>
        </w:tabs>
        <w:ind w:left="720"/>
        <w:rPr>
          <w:sz w:val="22"/>
          <w:szCs w:val="22"/>
        </w:rPr>
      </w:pPr>
      <w:r>
        <w:rPr>
          <w:sz w:val="22"/>
          <w:szCs w:val="22"/>
        </w:rPr>
        <w:t>However, this does not exempt dentists from completing the 3 hours of opioid training as a condition to prescribe opioids, or completing 6 hours of sedation training as a condition to renew a sedation permit.</w:t>
      </w:r>
    </w:p>
    <w:p w14:paraId="77A69CBA" w14:textId="77777777" w:rsidR="002710A8" w:rsidRDefault="002710A8" w:rsidP="0076132E">
      <w:pPr>
        <w:tabs>
          <w:tab w:val="left" w:pos="720"/>
          <w:tab w:val="left" w:pos="1440"/>
          <w:tab w:val="left" w:pos="2160"/>
          <w:tab w:val="left" w:pos="2880"/>
          <w:tab w:val="left" w:pos="3600"/>
          <w:tab w:val="left" w:pos="4320"/>
        </w:tabs>
        <w:ind w:left="720"/>
        <w:rPr>
          <w:sz w:val="22"/>
          <w:szCs w:val="22"/>
        </w:rPr>
      </w:pPr>
    </w:p>
    <w:p w14:paraId="4DD77AD7" w14:textId="1EF70CDA" w:rsidR="00FD74A5" w:rsidRPr="00FD74A5" w:rsidRDefault="00972C8B" w:rsidP="0076132E">
      <w:pPr>
        <w:tabs>
          <w:tab w:val="left" w:pos="720"/>
          <w:tab w:val="left" w:pos="1440"/>
          <w:tab w:val="left" w:pos="2160"/>
          <w:tab w:val="left" w:pos="2880"/>
          <w:tab w:val="left" w:pos="3600"/>
          <w:tab w:val="left" w:pos="4320"/>
        </w:tabs>
        <w:ind w:left="720"/>
        <w:rPr>
          <w:sz w:val="22"/>
          <w:szCs w:val="22"/>
        </w:rPr>
      </w:pPr>
      <w:r>
        <w:rPr>
          <w:sz w:val="22"/>
          <w:szCs w:val="22"/>
        </w:rPr>
        <w:t xml:space="preserve">Expanded function dental assistants who transition to a two-year license term </w:t>
      </w:r>
      <w:r w:rsidR="00FD74A5">
        <w:rPr>
          <w:sz w:val="22"/>
          <w:szCs w:val="22"/>
        </w:rPr>
        <w:t xml:space="preserve">on or after the effective date of this chapter </w:t>
      </w:r>
      <w:r>
        <w:rPr>
          <w:sz w:val="22"/>
          <w:szCs w:val="22"/>
        </w:rPr>
        <w:t xml:space="preserve">are required to complete </w:t>
      </w:r>
      <w:r w:rsidR="00FD74A5">
        <w:rPr>
          <w:sz w:val="22"/>
          <w:szCs w:val="22"/>
        </w:rPr>
        <w:t>20</w:t>
      </w:r>
      <w:r w:rsidR="00FD74A5" w:rsidRPr="00FD74A5">
        <w:rPr>
          <w:sz w:val="22"/>
          <w:szCs w:val="22"/>
        </w:rPr>
        <w:t xml:space="preserve"> credit hours of continuing education directly related to dental practice</w:t>
      </w:r>
      <w:r w:rsidR="00FD74A5">
        <w:rPr>
          <w:sz w:val="22"/>
          <w:szCs w:val="22"/>
        </w:rPr>
        <w:t xml:space="preserve"> during the preceding two</w:t>
      </w:r>
      <w:r w:rsidR="00FD74A5" w:rsidRPr="00FD74A5">
        <w:rPr>
          <w:sz w:val="22"/>
          <w:szCs w:val="22"/>
        </w:rPr>
        <w:t xml:space="preserve">-year license term as set forth in this subsection and has a current </w:t>
      </w:r>
      <w:r w:rsidR="008C6FC0" w:rsidRPr="00AC02DC">
        <w:rPr>
          <w:sz w:val="22"/>
          <w:szCs w:val="22"/>
        </w:rPr>
        <w:t>BLS</w:t>
      </w:r>
      <w:r w:rsidR="008C6FC0" w:rsidRPr="00FD74A5">
        <w:rPr>
          <w:sz w:val="22"/>
          <w:szCs w:val="22"/>
        </w:rPr>
        <w:t xml:space="preserve"> </w:t>
      </w:r>
      <w:r w:rsidR="00FD74A5" w:rsidRPr="00FD74A5">
        <w:rPr>
          <w:sz w:val="22"/>
          <w:szCs w:val="22"/>
        </w:rPr>
        <w:t>certification. The license term begins the day the license is issued and ends</w:t>
      </w:r>
      <w:r w:rsidR="00FD74A5">
        <w:rPr>
          <w:sz w:val="22"/>
          <w:szCs w:val="22"/>
        </w:rPr>
        <w:t xml:space="preserve"> on</w:t>
      </w:r>
      <w:r w:rsidR="00FD74A5" w:rsidRPr="00FD74A5">
        <w:rPr>
          <w:sz w:val="22"/>
        </w:rPr>
        <w:t xml:space="preserve"> </w:t>
      </w:r>
      <w:r w:rsidR="00FD74A5">
        <w:rPr>
          <w:sz w:val="22"/>
        </w:rPr>
        <w:t>ends December 31</w:t>
      </w:r>
      <w:r w:rsidR="00FD74A5" w:rsidRPr="00967039">
        <w:rPr>
          <w:sz w:val="22"/>
          <w:vertAlign w:val="superscript"/>
        </w:rPr>
        <w:t>st</w:t>
      </w:r>
      <w:r w:rsidR="00FD74A5">
        <w:rPr>
          <w:sz w:val="22"/>
        </w:rPr>
        <w:t xml:space="preserve"> of even numbered years.</w:t>
      </w:r>
    </w:p>
    <w:p w14:paraId="5E906571" w14:textId="77777777" w:rsidR="00FA3B1B" w:rsidRDefault="00FA3B1B" w:rsidP="0076132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rPr>
      </w:pPr>
    </w:p>
    <w:p w14:paraId="649089FF"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180AF5B3" w14:textId="77777777" w:rsidR="00296DA8" w:rsidRDefault="00296DA8"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7808361" w14:textId="77777777" w:rsidR="00D3760D" w:rsidRDefault="00D3760D"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STATUTORY AUTHORITY:</w:t>
      </w:r>
    </w:p>
    <w:p w14:paraId="183D18A7" w14:textId="7ED2601D" w:rsidR="00FA3B1B" w:rsidRDefault="00D3760D"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r>
      <w:r w:rsidR="00FA3B1B">
        <w:rPr>
          <w:rFonts w:ascii="Times New Roman" w:hAnsi="Times New Roman"/>
          <w:sz w:val="22"/>
        </w:rPr>
        <w:t>32 M.R.S.</w:t>
      </w:r>
      <w:r w:rsidR="00A763E1">
        <w:rPr>
          <w:rFonts w:ascii="Times New Roman" w:hAnsi="Times New Roman"/>
          <w:sz w:val="22"/>
        </w:rPr>
        <w:t xml:space="preserve"> </w:t>
      </w:r>
      <w:r w:rsidR="00A763E1" w:rsidRPr="006316AE">
        <w:rPr>
          <w:rFonts w:ascii="Times New Roman" w:hAnsi="Times New Roman"/>
          <w:sz w:val="22"/>
          <w:szCs w:val="22"/>
        </w:rPr>
        <w:t xml:space="preserve">§§ </w:t>
      </w:r>
      <w:r w:rsidR="00E50473">
        <w:rPr>
          <w:rFonts w:ascii="Times New Roman" w:hAnsi="Times New Roman"/>
          <w:sz w:val="22"/>
          <w:szCs w:val="22"/>
        </w:rPr>
        <w:t xml:space="preserve">18308(4), </w:t>
      </w:r>
      <w:r w:rsidR="00A763E1">
        <w:rPr>
          <w:rFonts w:ascii="Times New Roman" w:hAnsi="Times New Roman"/>
          <w:sz w:val="22"/>
          <w:szCs w:val="22"/>
        </w:rPr>
        <w:t>18324, 1</w:t>
      </w:r>
      <w:r w:rsidR="00A763E1">
        <w:rPr>
          <w:rFonts w:ascii="Times New Roman" w:hAnsi="Times New Roman"/>
          <w:sz w:val="22"/>
        </w:rPr>
        <w:t>8350</w:t>
      </w:r>
      <w:r w:rsidR="0086259E" w:rsidRPr="00AC02DC">
        <w:rPr>
          <w:rFonts w:ascii="Times New Roman" w:hAnsi="Times New Roman"/>
          <w:sz w:val="22"/>
        </w:rPr>
        <w:t xml:space="preserve">, </w:t>
      </w:r>
      <w:r w:rsidR="00EF5F06" w:rsidRPr="00AC02DC">
        <w:rPr>
          <w:rFonts w:ascii="Times New Roman" w:hAnsi="Times New Roman"/>
          <w:sz w:val="22"/>
        </w:rPr>
        <w:t>and</w:t>
      </w:r>
      <w:r w:rsidR="00AC02DC">
        <w:rPr>
          <w:rFonts w:ascii="Times New Roman" w:hAnsi="Times New Roman"/>
          <w:sz w:val="22"/>
        </w:rPr>
        <w:t xml:space="preserve"> </w:t>
      </w:r>
      <w:r w:rsidR="0086259E">
        <w:rPr>
          <w:rFonts w:ascii="Times New Roman" w:hAnsi="Times New Roman"/>
          <w:sz w:val="22"/>
        </w:rPr>
        <w:t>18351</w:t>
      </w:r>
      <w:r w:rsidR="000B244F">
        <w:rPr>
          <w:rFonts w:ascii="Times New Roman" w:hAnsi="Times New Roman"/>
          <w:sz w:val="22"/>
        </w:rPr>
        <w:t>.</w:t>
      </w:r>
    </w:p>
    <w:p w14:paraId="7AE76E3F" w14:textId="77777777" w:rsidR="00296DA8" w:rsidRPr="00296DA8" w:rsidRDefault="00296DA8" w:rsidP="0076132E">
      <w:pPr>
        <w:tabs>
          <w:tab w:val="left" w:pos="720"/>
          <w:tab w:val="left" w:pos="1440"/>
          <w:tab w:val="left" w:pos="2160"/>
          <w:tab w:val="left" w:pos="2880"/>
          <w:tab w:val="left" w:pos="3600"/>
          <w:tab w:val="left" w:pos="4320"/>
        </w:tabs>
        <w:rPr>
          <w:sz w:val="22"/>
          <w:szCs w:val="22"/>
        </w:rPr>
      </w:pPr>
    </w:p>
    <w:p w14:paraId="1B7D4DD7" w14:textId="77777777" w:rsidR="00296DA8" w:rsidRPr="00296DA8" w:rsidRDefault="00296DA8" w:rsidP="0076132E">
      <w:pPr>
        <w:tabs>
          <w:tab w:val="left" w:pos="720"/>
          <w:tab w:val="left" w:pos="1440"/>
          <w:tab w:val="left" w:pos="2160"/>
          <w:tab w:val="left" w:pos="2880"/>
          <w:tab w:val="left" w:pos="3600"/>
        </w:tabs>
        <w:ind w:left="720" w:hanging="720"/>
        <w:rPr>
          <w:rFonts w:ascii="CG Times (W1)" w:hAnsi="CG Times (W1)" w:cs="CG Times (W1)"/>
          <w:sz w:val="22"/>
          <w:szCs w:val="22"/>
        </w:rPr>
      </w:pPr>
      <w:r w:rsidRPr="00296DA8">
        <w:rPr>
          <w:rFonts w:ascii="CG Times (W1)" w:hAnsi="CG Times (W1)" w:cs="CG Times (W1)"/>
          <w:sz w:val="22"/>
          <w:szCs w:val="22"/>
        </w:rPr>
        <w:t>EFFECTIVE DATE:</w:t>
      </w:r>
    </w:p>
    <w:p w14:paraId="311FFAC3"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b/>
      </w:r>
      <w:smartTag w:uri="urn:schemas-microsoft-com:office:smarttags" w:element="date">
        <w:smartTagPr>
          <w:attr w:name="Month" w:val="5"/>
          <w:attr w:name="Day" w:val="22"/>
          <w:attr w:name="Year" w:val="2007"/>
        </w:smartTagPr>
        <w:r w:rsidRPr="00296DA8">
          <w:rPr>
            <w:sz w:val="22"/>
            <w:szCs w:val="22"/>
          </w:rPr>
          <w:t>May 22, 2007</w:t>
        </w:r>
      </w:smartTag>
      <w:r w:rsidRPr="00296DA8">
        <w:rPr>
          <w:sz w:val="22"/>
          <w:szCs w:val="22"/>
        </w:rPr>
        <w:t xml:space="preserve"> – filing 2007-204</w:t>
      </w:r>
    </w:p>
    <w:p w14:paraId="32E3D385"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p>
    <w:p w14:paraId="6936767F"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AMENDED:</w:t>
      </w:r>
    </w:p>
    <w:p w14:paraId="696CD687"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b/>
      </w:r>
      <w:smartTag w:uri="urn:schemas-microsoft-com:office:smarttags" w:element="date">
        <w:smartTagPr>
          <w:attr w:name="Month" w:val="2"/>
          <w:attr w:name="Day" w:val="11"/>
          <w:attr w:name="Year" w:val="2009"/>
        </w:smartTagPr>
        <w:r w:rsidRPr="00296DA8">
          <w:rPr>
            <w:sz w:val="22"/>
            <w:szCs w:val="22"/>
          </w:rPr>
          <w:t>February 11, 2009</w:t>
        </w:r>
      </w:smartTag>
      <w:r w:rsidRPr="00296DA8">
        <w:rPr>
          <w:sz w:val="22"/>
          <w:szCs w:val="22"/>
        </w:rPr>
        <w:t xml:space="preserve"> – filing 2009-64</w:t>
      </w:r>
    </w:p>
    <w:p w14:paraId="0F6EE491"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b/>
        <w:t>September 9, 2012 – filing 2012-255</w:t>
      </w:r>
    </w:p>
    <w:p w14:paraId="2C435B41"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F109884" w14:textId="77777777" w:rsidR="00296DA8" w:rsidRDefault="00296DA8"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REPEALED AND REPLACED</w:t>
      </w:r>
      <w:r w:rsidR="00FA3B1B">
        <w:rPr>
          <w:rFonts w:ascii="Times New Roman" w:hAnsi="Times New Roman"/>
          <w:sz w:val="22"/>
        </w:rPr>
        <w:t>:</w:t>
      </w:r>
    </w:p>
    <w:p w14:paraId="2AB7D9DE"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r>
      <w:r w:rsidR="00296DA8">
        <w:rPr>
          <w:rFonts w:ascii="Times New Roman" w:hAnsi="Times New Roman"/>
          <w:sz w:val="22"/>
        </w:rPr>
        <w:t>November 12, 2018 – filing 2018-237</w:t>
      </w:r>
    </w:p>
    <w:p w14:paraId="6A2DF249" w14:textId="77777777" w:rsidR="00296DA8" w:rsidRDefault="00296DA8" w:rsidP="0076132E">
      <w:pPr>
        <w:pStyle w:val="PlainText"/>
        <w:tabs>
          <w:tab w:val="left" w:pos="720"/>
          <w:tab w:val="left" w:pos="1440"/>
          <w:tab w:val="left" w:pos="2160"/>
          <w:tab w:val="left" w:pos="2880"/>
          <w:tab w:val="left" w:pos="3600"/>
          <w:tab w:val="left" w:pos="4320"/>
        </w:tabs>
      </w:pPr>
    </w:p>
    <w:p w14:paraId="0F3DE12A" w14:textId="4352A2CB" w:rsidR="003464DF" w:rsidRPr="003464DF" w:rsidRDefault="003464DF" w:rsidP="0076132E">
      <w:pPr>
        <w:pStyle w:val="PlainText"/>
        <w:tabs>
          <w:tab w:val="left" w:pos="720"/>
          <w:tab w:val="left" w:pos="1440"/>
          <w:tab w:val="left" w:pos="2160"/>
          <w:tab w:val="left" w:pos="2880"/>
          <w:tab w:val="left" w:pos="3600"/>
          <w:tab w:val="left" w:pos="4320"/>
        </w:tabs>
        <w:rPr>
          <w:rFonts w:ascii="Times New Roman" w:hAnsi="Times New Roman"/>
          <w:sz w:val="22"/>
        </w:rPr>
      </w:pPr>
      <w:r w:rsidRPr="003464DF">
        <w:rPr>
          <w:rFonts w:ascii="Times New Roman" w:hAnsi="Times New Roman"/>
          <w:sz w:val="22"/>
        </w:rPr>
        <w:t>AMENDED:</w:t>
      </w:r>
    </w:p>
    <w:p w14:paraId="6BA0D116" w14:textId="6D6944A9" w:rsidR="003464DF" w:rsidRDefault="003464DF" w:rsidP="0076132E">
      <w:pPr>
        <w:pStyle w:val="PlainText"/>
        <w:tabs>
          <w:tab w:val="left" w:pos="720"/>
          <w:tab w:val="left" w:pos="1440"/>
          <w:tab w:val="left" w:pos="2160"/>
          <w:tab w:val="left" w:pos="2880"/>
          <w:tab w:val="left" w:pos="3600"/>
          <w:tab w:val="left" w:pos="4320"/>
        </w:tabs>
        <w:rPr>
          <w:rFonts w:ascii="Times New Roman" w:hAnsi="Times New Roman"/>
          <w:sz w:val="22"/>
        </w:rPr>
      </w:pPr>
      <w:r w:rsidRPr="003464DF">
        <w:rPr>
          <w:rFonts w:ascii="Times New Roman" w:hAnsi="Times New Roman"/>
          <w:sz w:val="22"/>
        </w:rPr>
        <w:lastRenderedPageBreak/>
        <w:tab/>
        <w:t>May 12, 2024 – filing 2024-113</w:t>
      </w:r>
    </w:p>
    <w:p w14:paraId="4B9B19D7" w14:textId="77777777" w:rsidR="00BF5BAC" w:rsidRDefault="00BF5BAC"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C4D77B5" w14:textId="09F09C26" w:rsidR="00BF5BAC" w:rsidRPr="003464DF" w:rsidRDefault="00BF5BAC"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APAO WORD VERSION CONVERSION (IF NEEDED) AND ACCESSIBILITY CHECK: July 18, 2025</w:t>
      </w:r>
    </w:p>
    <w:sectPr w:rsidR="00BF5BAC" w:rsidRPr="003464DF" w:rsidSect="00E76B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671E" w14:textId="77777777" w:rsidR="00117888" w:rsidRDefault="00117888">
      <w:r>
        <w:separator/>
      </w:r>
    </w:p>
  </w:endnote>
  <w:endnote w:type="continuationSeparator" w:id="0">
    <w:p w14:paraId="56FEC242" w14:textId="77777777" w:rsidR="00117888" w:rsidRDefault="0011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DE85" w14:textId="77777777" w:rsidR="009A3259" w:rsidRDefault="009A3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C58D" w14:textId="77777777" w:rsidR="00641447" w:rsidRDefault="00641447">
    <w:pPr>
      <w:pStyle w:val="Footer"/>
      <w:jc w:val="right"/>
    </w:pPr>
  </w:p>
  <w:p w14:paraId="0325639B" w14:textId="77777777" w:rsidR="00641447" w:rsidRDefault="00641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F87B" w14:textId="77777777" w:rsidR="00002F94" w:rsidRDefault="00002F94">
    <w:pPr>
      <w:pStyle w:val="Footer"/>
      <w:jc w:val="right"/>
    </w:pPr>
    <w:r>
      <w:fldChar w:fldCharType="begin"/>
    </w:r>
    <w:r>
      <w:instrText xml:space="preserve"> PAGE   \* MERGEFORMAT </w:instrText>
    </w:r>
    <w:r>
      <w:fldChar w:fldCharType="separate"/>
    </w:r>
    <w:r w:rsidR="00160549">
      <w:rPr>
        <w:noProof/>
      </w:rPr>
      <w:t>1</w:t>
    </w:r>
    <w:r>
      <w:rPr>
        <w:noProof/>
      </w:rPr>
      <w:fldChar w:fldCharType="end"/>
    </w:r>
  </w:p>
  <w:p w14:paraId="778C616B" w14:textId="77777777" w:rsidR="00002F94" w:rsidRDefault="0000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D626" w14:textId="77777777" w:rsidR="00117888" w:rsidRDefault="00117888">
      <w:r>
        <w:separator/>
      </w:r>
    </w:p>
  </w:footnote>
  <w:footnote w:type="continuationSeparator" w:id="0">
    <w:p w14:paraId="268EA1E0" w14:textId="77777777" w:rsidR="00117888" w:rsidRDefault="0011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435" w14:textId="77777777" w:rsidR="009A3259" w:rsidRDefault="009A3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6942" w14:textId="77777777" w:rsidR="003D65BD" w:rsidRDefault="003D65BD">
    <w:pPr>
      <w:pStyle w:val="Header"/>
    </w:pPr>
  </w:p>
  <w:p w14:paraId="4CADECEE" w14:textId="77777777" w:rsidR="003D65BD" w:rsidRDefault="003D65BD">
    <w:pPr>
      <w:pStyle w:val="Header"/>
    </w:pPr>
  </w:p>
  <w:p w14:paraId="47674C4A" w14:textId="77777777" w:rsidR="003D65BD" w:rsidRDefault="003D65BD">
    <w:pPr>
      <w:pStyle w:val="Header"/>
    </w:pPr>
  </w:p>
  <w:p w14:paraId="60E686F3" w14:textId="77777777" w:rsidR="003D65BD" w:rsidRPr="003D65BD" w:rsidRDefault="003D65BD" w:rsidP="003D65BD">
    <w:pPr>
      <w:pStyle w:val="Header"/>
      <w:pBdr>
        <w:bottom w:val="single" w:sz="4" w:space="1" w:color="auto"/>
      </w:pBdr>
      <w:jc w:val="right"/>
      <w:rPr>
        <w:sz w:val="18"/>
        <w:szCs w:val="18"/>
      </w:rPr>
    </w:pPr>
    <w:r w:rsidRPr="003D65BD">
      <w:rPr>
        <w:sz w:val="18"/>
        <w:szCs w:val="18"/>
      </w:rPr>
      <w:t xml:space="preserve">02-313 Chapter 13     page </w:t>
    </w:r>
    <w:r w:rsidRPr="003D65BD">
      <w:rPr>
        <w:sz w:val="18"/>
        <w:szCs w:val="18"/>
      </w:rPr>
      <w:fldChar w:fldCharType="begin"/>
    </w:r>
    <w:r w:rsidRPr="003D65BD">
      <w:rPr>
        <w:sz w:val="18"/>
        <w:szCs w:val="18"/>
      </w:rPr>
      <w:instrText xml:space="preserve"> PAGE   \* MERGEFORMAT </w:instrText>
    </w:r>
    <w:r w:rsidRPr="003D65BD">
      <w:rPr>
        <w:sz w:val="18"/>
        <w:szCs w:val="18"/>
      </w:rPr>
      <w:fldChar w:fldCharType="separate"/>
    </w:r>
    <w:r w:rsidR="00160549">
      <w:rPr>
        <w:noProof/>
        <w:sz w:val="18"/>
        <w:szCs w:val="18"/>
      </w:rPr>
      <w:t>7</w:t>
    </w:r>
    <w:r w:rsidRPr="003D65BD">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1E42" w14:textId="77777777" w:rsidR="009A3259" w:rsidRDefault="009A3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36D"/>
    <w:multiLevelType w:val="hybridMultilevel"/>
    <w:tmpl w:val="9D4AC52C"/>
    <w:lvl w:ilvl="0" w:tplc="9B3CB5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812963"/>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 w15:restartNumberingAfterBreak="0">
    <w:nsid w:val="06907282"/>
    <w:multiLevelType w:val="hybridMultilevel"/>
    <w:tmpl w:val="AF086B3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69A726A"/>
    <w:multiLevelType w:val="hybridMultilevel"/>
    <w:tmpl w:val="680CF66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143302"/>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 w15:restartNumberingAfterBreak="0">
    <w:nsid w:val="0B6A24C1"/>
    <w:multiLevelType w:val="hybridMultilevel"/>
    <w:tmpl w:val="D580139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17ABA"/>
    <w:multiLevelType w:val="hybridMultilevel"/>
    <w:tmpl w:val="15F4A42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7307C3"/>
    <w:multiLevelType w:val="hybridMultilevel"/>
    <w:tmpl w:val="B572514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948DB"/>
    <w:multiLevelType w:val="hybridMultilevel"/>
    <w:tmpl w:val="7B78264A"/>
    <w:lvl w:ilvl="0" w:tplc="6218A9C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B9577E"/>
    <w:multiLevelType w:val="hybridMultilevel"/>
    <w:tmpl w:val="6518E2E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0481795"/>
    <w:multiLevelType w:val="hybridMultilevel"/>
    <w:tmpl w:val="FB72E2F2"/>
    <w:lvl w:ilvl="0" w:tplc="0E24EDC4">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20DE7"/>
    <w:multiLevelType w:val="hybridMultilevel"/>
    <w:tmpl w:val="CE786C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4E39E6"/>
    <w:multiLevelType w:val="hybridMultilevel"/>
    <w:tmpl w:val="C5D2AD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202FD0"/>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251A0F7E"/>
    <w:multiLevelType w:val="hybridMultilevel"/>
    <w:tmpl w:val="DAF2F926"/>
    <w:lvl w:ilvl="0" w:tplc="E78ED18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6A1782"/>
    <w:multiLevelType w:val="hybridMultilevel"/>
    <w:tmpl w:val="B9543F8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1C33CEB"/>
    <w:multiLevelType w:val="hybridMultilevel"/>
    <w:tmpl w:val="7F928920"/>
    <w:lvl w:ilvl="0" w:tplc="9B3CB5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715F06"/>
    <w:multiLevelType w:val="hybridMultilevel"/>
    <w:tmpl w:val="3F9E0F64"/>
    <w:lvl w:ilvl="0" w:tplc="11C05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7167F5"/>
    <w:multiLevelType w:val="hybridMultilevel"/>
    <w:tmpl w:val="C4966ABC"/>
    <w:lvl w:ilvl="0" w:tplc="04090015">
      <w:start w:val="1"/>
      <w:numFmt w:val="upperLetter"/>
      <w:lvlText w:val="%1."/>
      <w:lvlJc w:val="left"/>
      <w:pPr>
        <w:ind w:left="15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C91A21"/>
    <w:multiLevelType w:val="hybridMultilevel"/>
    <w:tmpl w:val="220EB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50614"/>
    <w:multiLevelType w:val="hybridMultilevel"/>
    <w:tmpl w:val="B1F6B75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D847340"/>
    <w:multiLevelType w:val="hybridMultilevel"/>
    <w:tmpl w:val="1E061DC8"/>
    <w:lvl w:ilvl="0" w:tplc="C4847ABA">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1CD5D7B"/>
    <w:multiLevelType w:val="hybridMultilevel"/>
    <w:tmpl w:val="942E57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841F2E"/>
    <w:multiLevelType w:val="hybridMultilevel"/>
    <w:tmpl w:val="B224A330"/>
    <w:lvl w:ilvl="0" w:tplc="D16E173A">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4A86D7A"/>
    <w:multiLevelType w:val="hybridMultilevel"/>
    <w:tmpl w:val="76F62CF8"/>
    <w:lvl w:ilvl="0" w:tplc="9B3CB5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19">
      <w:start w:val="1"/>
      <w:numFmt w:val="lowerLetter"/>
      <w:lvlText w:val="%4."/>
      <w:lvlJc w:val="left"/>
      <w:pPr>
        <w:ind w:left="2880" w:hanging="360"/>
      </w:pPr>
    </w:lvl>
    <w:lvl w:ilvl="4" w:tplc="F496E5D4">
      <w:start w:val="1"/>
      <w:numFmt w:val="decimal"/>
      <w:lvlText w:val="%5."/>
      <w:lvlJc w:val="left"/>
      <w:pPr>
        <w:ind w:left="3960" w:hanging="720"/>
      </w:pPr>
      <w:rPr>
        <w:rFonts w:hint="default"/>
        <w:b w:val="0"/>
      </w:rPr>
    </w:lvl>
    <w:lvl w:ilvl="5" w:tplc="E1D2D154">
      <w:start w:val="1"/>
      <w:numFmt w:val="upperLetter"/>
      <w:lvlText w:val="%6."/>
      <w:lvlJc w:val="left"/>
      <w:pPr>
        <w:ind w:left="4500" w:hanging="360"/>
      </w:pPr>
      <w:rPr>
        <w:rFonts w:hint="default"/>
      </w:rPr>
    </w:lvl>
    <w:lvl w:ilvl="6" w:tplc="9B3CB54A">
      <w:start w:val="1"/>
      <w:numFmt w:val="decimal"/>
      <w:lvlText w:val="(%7)"/>
      <w:lvlJc w:val="left"/>
      <w:pPr>
        <w:ind w:left="2340" w:hanging="360"/>
      </w:pPr>
      <w:rPr>
        <w:rFonts w:hint="default"/>
      </w:rPr>
    </w:lvl>
    <w:lvl w:ilvl="7" w:tplc="04090019">
      <w:start w:val="1"/>
      <w:numFmt w:val="lowerLetter"/>
      <w:lvlText w:val="%8."/>
      <w:lvlJc w:val="left"/>
      <w:pPr>
        <w:ind w:left="7380" w:hanging="360"/>
      </w:pPr>
    </w:lvl>
    <w:lvl w:ilvl="8" w:tplc="0409001B" w:tentative="1">
      <w:start w:val="1"/>
      <w:numFmt w:val="lowerRoman"/>
      <w:lvlText w:val="%9."/>
      <w:lvlJc w:val="right"/>
      <w:pPr>
        <w:ind w:left="6480" w:hanging="180"/>
      </w:pPr>
    </w:lvl>
  </w:abstractNum>
  <w:abstractNum w:abstractNumId="25" w15:restartNumberingAfterBreak="0">
    <w:nsid w:val="56BC3E94"/>
    <w:multiLevelType w:val="hybridMultilevel"/>
    <w:tmpl w:val="441EC59C"/>
    <w:lvl w:ilvl="0" w:tplc="04090015">
      <w:start w:val="1"/>
      <w:numFmt w:val="upperLetter"/>
      <w:lvlText w:val="%1."/>
      <w:lvlJc w:val="left"/>
      <w:pPr>
        <w:ind w:left="15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6B5B8D"/>
    <w:multiLevelType w:val="hybridMultilevel"/>
    <w:tmpl w:val="0996055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7FE6B5B"/>
    <w:multiLevelType w:val="hybridMultilevel"/>
    <w:tmpl w:val="88A8FAEE"/>
    <w:lvl w:ilvl="0" w:tplc="1BA62AC8">
      <w:start w:val="2"/>
      <w:numFmt w:val="upperLetter"/>
      <w:lvlText w:val="%1."/>
      <w:lvlJc w:val="left"/>
      <w:pPr>
        <w:tabs>
          <w:tab w:val="num" w:pos="1440"/>
        </w:tabs>
        <w:ind w:left="144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270"/>
        </w:tabs>
        <w:ind w:left="270" w:hanging="360"/>
      </w:pPr>
    </w:lvl>
    <w:lvl w:ilvl="4" w:tplc="04090019" w:tentative="1">
      <w:start w:val="1"/>
      <w:numFmt w:val="lowerLetter"/>
      <w:lvlText w:val="%5."/>
      <w:lvlJc w:val="left"/>
      <w:pPr>
        <w:tabs>
          <w:tab w:val="num" w:pos="990"/>
        </w:tabs>
        <w:ind w:left="990" w:hanging="360"/>
      </w:pPr>
    </w:lvl>
    <w:lvl w:ilvl="5" w:tplc="0409001B" w:tentative="1">
      <w:start w:val="1"/>
      <w:numFmt w:val="lowerRoman"/>
      <w:lvlText w:val="%6."/>
      <w:lvlJc w:val="right"/>
      <w:pPr>
        <w:tabs>
          <w:tab w:val="num" w:pos="1710"/>
        </w:tabs>
        <w:ind w:left="1710" w:hanging="180"/>
      </w:pPr>
    </w:lvl>
    <w:lvl w:ilvl="6" w:tplc="0409000F" w:tentative="1">
      <w:start w:val="1"/>
      <w:numFmt w:val="decimal"/>
      <w:lvlText w:val="%7."/>
      <w:lvlJc w:val="left"/>
      <w:pPr>
        <w:tabs>
          <w:tab w:val="num" w:pos="2430"/>
        </w:tabs>
        <w:ind w:left="2430" w:hanging="360"/>
      </w:pPr>
    </w:lvl>
    <w:lvl w:ilvl="7" w:tplc="04090019" w:tentative="1">
      <w:start w:val="1"/>
      <w:numFmt w:val="lowerLetter"/>
      <w:lvlText w:val="%8."/>
      <w:lvlJc w:val="left"/>
      <w:pPr>
        <w:tabs>
          <w:tab w:val="num" w:pos="3150"/>
        </w:tabs>
        <w:ind w:left="3150" w:hanging="360"/>
      </w:pPr>
    </w:lvl>
    <w:lvl w:ilvl="8" w:tplc="0409001B" w:tentative="1">
      <w:start w:val="1"/>
      <w:numFmt w:val="lowerRoman"/>
      <w:lvlText w:val="%9."/>
      <w:lvlJc w:val="right"/>
      <w:pPr>
        <w:tabs>
          <w:tab w:val="num" w:pos="3870"/>
        </w:tabs>
        <w:ind w:left="3870" w:hanging="180"/>
      </w:pPr>
    </w:lvl>
  </w:abstractNum>
  <w:abstractNum w:abstractNumId="28" w15:restartNumberingAfterBreak="0">
    <w:nsid w:val="5BC024D5"/>
    <w:multiLevelType w:val="hybridMultilevel"/>
    <w:tmpl w:val="6CC2B3FA"/>
    <w:lvl w:ilvl="0" w:tplc="5C628DC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86FEE"/>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0" w15:restartNumberingAfterBreak="0">
    <w:nsid w:val="66127D95"/>
    <w:multiLevelType w:val="hybridMultilevel"/>
    <w:tmpl w:val="B9543F8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64D6198"/>
    <w:multiLevelType w:val="hybridMultilevel"/>
    <w:tmpl w:val="52E470C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1">
      <w:start w:val="1"/>
      <w:numFmt w:val="decimal"/>
      <w:lvlText w:val="%6)"/>
      <w:lvlJc w:val="lef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102879"/>
    <w:multiLevelType w:val="hybridMultilevel"/>
    <w:tmpl w:val="4FCA4D7A"/>
    <w:lvl w:ilvl="0" w:tplc="04090015">
      <w:start w:val="1"/>
      <w:numFmt w:val="upperLetter"/>
      <w:lvlText w:val="%1."/>
      <w:lvlJc w:val="left"/>
      <w:pPr>
        <w:ind w:left="1080" w:hanging="360"/>
      </w:pPr>
    </w:lvl>
    <w:lvl w:ilvl="1" w:tplc="4B42A888">
      <w:start w:val="1"/>
      <w:numFmt w:val="decimal"/>
      <w:lvlText w:val="(%2)"/>
      <w:lvlJc w:val="left"/>
      <w:pPr>
        <w:ind w:left="1800" w:hanging="360"/>
      </w:pPr>
      <w:rPr>
        <w:rFonts w:hint="default"/>
      </w:rPr>
    </w:lvl>
    <w:lvl w:ilvl="2" w:tplc="0E24EDC4">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CA48B6AC">
      <w:start w:val="1"/>
      <w:numFmt w:val="upperLetter"/>
      <w:lvlText w:val="%5."/>
      <w:lvlJc w:val="left"/>
      <w:pPr>
        <w:ind w:left="1170" w:hanging="360"/>
      </w:pPr>
      <w:rPr>
        <w:rFonts w:hint="default"/>
        <w:b w:val="0"/>
      </w:rPr>
    </w:lvl>
    <w:lvl w:ilvl="5" w:tplc="04090011">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CD0AFF"/>
    <w:multiLevelType w:val="hybridMultilevel"/>
    <w:tmpl w:val="5FE6834E"/>
    <w:lvl w:ilvl="0" w:tplc="A9A84016">
      <w:start w:val="1"/>
      <w:numFmt w:val="upperLetter"/>
      <w:lvlText w:val="%1."/>
      <w:lvlJc w:val="left"/>
      <w:pPr>
        <w:ind w:left="153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814D12"/>
    <w:multiLevelType w:val="hybridMultilevel"/>
    <w:tmpl w:val="ECDE8756"/>
    <w:lvl w:ilvl="0" w:tplc="4B42A88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D1EC9"/>
    <w:multiLevelType w:val="hybridMultilevel"/>
    <w:tmpl w:val="55983C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5B4120"/>
    <w:multiLevelType w:val="hybridMultilevel"/>
    <w:tmpl w:val="51349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13E30"/>
    <w:multiLevelType w:val="hybridMultilevel"/>
    <w:tmpl w:val="EF1CC0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6641327">
    <w:abstractNumId w:val="24"/>
  </w:num>
  <w:num w:numId="2" w16cid:durableId="31350648">
    <w:abstractNumId w:val="6"/>
  </w:num>
  <w:num w:numId="3" w16cid:durableId="983125808">
    <w:abstractNumId w:val="27"/>
  </w:num>
  <w:num w:numId="4" w16cid:durableId="1080373352">
    <w:abstractNumId w:val="11"/>
  </w:num>
  <w:num w:numId="5" w16cid:durableId="1417481896">
    <w:abstractNumId w:val="17"/>
  </w:num>
  <w:num w:numId="6" w16cid:durableId="200872230">
    <w:abstractNumId w:val="19"/>
  </w:num>
  <w:num w:numId="7" w16cid:durableId="1368918237">
    <w:abstractNumId w:val="37"/>
  </w:num>
  <w:num w:numId="8" w16cid:durableId="358051758">
    <w:abstractNumId w:val="32"/>
  </w:num>
  <w:num w:numId="9" w16cid:durableId="1050811249">
    <w:abstractNumId w:val="36"/>
  </w:num>
  <w:num w:numId="10" w16cid:durableId="136533507">
    <w:abstractNumId w:val="9"/>
  </w:num>
  <w:num w:numId="11" w16cid:durableId="649864379">
    <w:abstractNumId w:val="26"/>
  </w:num>
  <w:num w:numId="12" w16cid:durableId="159851775">
    <w:abstractNumId w:val="31"/>
  </w:num>
  <w:num w:numId="13" w16cid:durableId="221018277">
    <w:abstractNumId w:val="21"/>
  </w:num>
  <w:num w:numId="14" w16cid:durableId="943461652">
    <w:abstractNumId w:val="18"/>
  </w:num>
  <w:num w:numId="15" w16cid:durableId="2050955394">
    <w:abstractNumId w:val="14"/>
  </w:num>
  <w:num w:numId="16" w16cid:durableId="347953414">
    <w:abstractNumId w:val="30"/>
  </w:num>
  <w:num w:numId="17" w16cid:durableId="1034497075">
    <w:abstractNumId w:val="5"/>
  </w:num>
  <w:num w:numId="18" w16cid:durableId="15232320">
    <w:abstractNumId w:val="2"/>
  </w:num>
  <w:num w:numId="19" w16cid:durableId="471292140">
    <w:abstractNumId w:val="15"/>
  </w:num>
  <w:num w:numId="20" w16cid:durableId="967126987">
    <w:abstractNumId w:val="20"/>
  </w:num>
  <w:num w:numId="21" w16cid:durableId="1350645974">
    <w:abstractNumId w:val="3"/>
  </w:num>
  <w:num w:numId="22" w16cid:durableId="2058041552">
    <w:abstractNumId w:val="0"/>
  </w:num>
  <w:num w:numId="23" w16cid:durableId="1799183194">
    <w:abstractNumId w:val="12"/>
  </w:num>
  <w:num w:numId="24" w16cid:durableId="896014688">
    <w:abstractNumId w:val="7"/>
  </w:num>
  <w:num w:numId="25" w16cid:durableId="1910455229">
    <w:abstractNumId w:val="16"/>
  </w:num>
  <w:num w:numId="26" w16cid:durableId="483282426">
    <w:abstractNumId w:val="22"/>
  </w:num>
  <w:num w:numId="27" w16cid:durableId="16857700">
    <w:abstractNumId w:val="8"/>
  </w:num>
  <w:num w:numId="28" w16cid:durableId="457064877">
    <w:abstractNumId w:val="29"/>
  </w:num>
  <w:num w:numId="29" w16cid:durableId="599028412">
    <w:abstractNumId w:val="35"/>
  </w:num>
  <w:num w:numId="30" w16cid:durableId="1229998764">
    <w:abstractNumId w:val="25"/>
  </w:num>
  <w:num w:numId="31" w16cid:durableId="1315375024">
    <w:abstractNumId w:val="28"/>
  </w:num>
  <w:num w:numId="32" w16cid:durableId="1584414248">
    <w:abstractNumId w:val="33"/>
  </w:num>
  <w:num w:numId="33" w16cid:durableId="1859156969">
    <w:abstractNumId w:val="4"/>
  </w:num>
  <w:num w:numId="34" w16cid:durableId="845094526">
    <w:abstractNumId w:val="1"/>
  </w:num>
  <w:num w:numId="35" w16cid:durableId="446853559">
    <w:abstractNumId w:val="13"/>
  </w:num>
  <w:num w:numId="36" w16cid:durableId="1329677997">
    <w:abstractNumId w:val="23"/>
  </w:num>
  <w:num w:numId="37" w16cid:durableId="2063826382">
    <w:abstractNumId w:val="34"/>
  </w:num>
  <w:num w:numId="38" w16cid:durableId="8678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3B"/>
    <w:rsid w:val="0000207B"/>
    <w:rsid w:val="00002F94"/>
    <w:rsid w:val="00004569"/>
    <w:rsid w:val="000054F8"/>
    <w:rsid w:val="000208D3"/>
    <w:rsid w:val="0003577A"/>
    <w:rsid w:val="00040581"/>
    <w:rsid w:val="00045BE3"/>
    <w:rsid w:val="00067DF4"/>
    <w:rsid w:val="00070E66"/>
    <w:rsid w:val="00074DB6"/>
    <w:rsid w:val="000B244F"/>
    <w:rsid w:val="000C6549"/>
    <w:rsid w:val="000D3F4E"/>
    <w:rsid w:val="000F5BBE"/>
    <w:rsid w:val="00103D1C"/>
    <w:rsid w:val="00117888"/>
    <w:rsid w:val="00120111"/>
    <w:rsid w:val="0013138B"/>
    <w:rsid w:val="00134D48"/>
    <w:rsid w:val="00135329"/>
    <w:rsid w:val="00147C9D"/>
    <w:rsid w:val="00154127"/>
    <w:rsid w:val="0015753D"/>
    <w:rsid w:val="00160549"/>
    <w:rsid w:val="00176B11"/>
    <w:rsid w:val="001A6536"/>
    <w:rsid w:val="001B14E4"/>
    <w:rsid w:val="001B60FD"/>
    <w:rsid w:val="001E33A6"/>
    <w:rsid w:val="001F0A0A"/>
    <w:rsid w:val="00207327"/>
    <w:rsid w:val="00214D12"/>
    <w:rsid w:val="00221BEC"/>
    <w:rsid w:val="0023306C"/>
    <w:rsid w:val="0024716D"/>
    <w:rsid w:val="00247BB1"/>
    <w:rsid w:val="00251690"/>
    <w:rsid w:val="002710A8"/>
    <w:rsid w:val="00273D73"/>
    <w:rsid w:val="00286796"/>
    <w:rsid w:val="00286C6C"/>
    <w:rsid w:val="0029198F"/>
    <w:rsid w:val="00296DA8"/>
    <w:rsid w:val="002A5399"/>
    <w:rsid w:val="002A5C51"/>
    <w:rsid w:val="002A75C2"/>
    <w:rsid w:val="002B420E"/>
    <w:rsid w:val="002C1E0B"/>
    <w:rsid w:val="002D126E"/>
    <w:rsid w:val="002D3770"/>
    <w:rsid w:val="002F676B"/>
    <w:rsid w:val="00307241"/>
    <w:rsid w:val="00307393"/>
    <w:rsid w:val="0033664D"/>
    <w:rsid w:val="00337D44"/>
    <w:rsid w:val="003464DF"/>
    <w:rsid w:val="00346FF7"/>
    <w:rsid w:val="00350084"/>
    <w:rsid w:val="00357813"/>
    <w:rsid w:val="0036066E"/>
    <w:rsid w:val="0036129A"/>
    <w:rsid w:val="0036296B"/>
    <w:rsid w:val="0036739E"/>
    <w:rsid w:val="00371DED"/>
    <w:rsid w:val="00373A4D"/>
    <w:rsid w:val="00373D37"/>
    <w:rsid w:val="00377A60"/>
    <w:rsid w:val="00377CF7"/>
    <w:rsid w:val="00386806"/>
    <w:rsid w:val="0038740E"/>
    <w:rsid w:val="003A133E"/>
    <w:rsid w:val="003B263E"/>
    <w:rsid w:val="003B530A"/>
    <w:rsid w:val="003C13AE"/>
    <w:rsid w:val="003C17DF"/>
    <w:rsid w:val="003C3041"/>
    <w:rsid w:val="003C7380"/>
    <w:rsid w:val="003D65BD"/>
    <w:rsid w:val="003D71DC"/>
    <w:rsid w:val="003E06E3"/>
    <w:rsid w:val="003F32D6"/>
    <w:rsid w:val="003F7181"/>
    <w:rsid w:val="00430352"/>
    <w:rsid w:val="00453395"/>
    <w:rsid w:val="00453F7E"/>
    <w:rsid w:val="004634BA"/>
    <w:rsid w:val="004827FD"/>
    <w:rsid w:val="00483428"/>
    <w:rsid w:val="00484824"/>
    <w:rsid w:val="004A508F"/>
    <w:rsid w:val="004B3C5F"/>
    <w:rsid w:val="004E18E9"/>
    <w:rsid w:val="004E1BA3"/>
    <w:rsid w:val="004F6ED9"/>
    <w:rsid w:val="00517E39"/>
    <w:rsid w:val="00532922"/>
    <w:rsid w:val="005365E9"/>
    <w:rsid w:val="005440F6"/>
    <w:rsid w:val="00552CEC"/>
    <w:rsid w:val="00554E6C"/>
    <w:rsid w:val="0057171A"/>
    <w:rsid w:val="00573BAD"/>
    <w:rsid w:val="0058232E"/>
    <w:rsid w:val="00593128"/>
    <w:rsid w:val="00594799"/>
    <w:rsid w:val="005A1D61"/>
    <w:rsid w:val="005A753E"/>
    <w:rsid w:val="005B3CD2"/>
    <w:rsid w:val="005C42D7"/>
    <w:rsid w:val="00604A74"/>
    <w:rsid w:val="00615B31"/>
    <w:rsid w:val="006220F2"/>
    <w:rsid w:val="00625AC7"/>
    <w:rsid w:val="00634631"/>
    <w:rsid w:val="00641447"/>
    <w:rsid w:val="006932DD"/>
    <w:rsid w:val="006A6320"/>
    <w:rsid w:val="006B2A4A"/>
    <w:rsid w:val="006B673A"/>
    <w:rsid w:val="006D2DB3"/>
    <w:rsid w:val="006F23C4"/>
    <w:rsid w:val="0070474C"/>
    <w:rsid w:val="0071226D"/>
    <w:rsid w:val="0071347B"/>
    <w:rsid w:val="00717950"/>
    <w:rsid w:val="00726D6B"/>
    <w:rsid w:val="007328E6"/>
    <w:rsid w:val="007345C1"/>
    <w:rsid w:val="00734ED9"/>
    <w:rsid w:val="00746C84"/>
    <w:rsid w:val="00756EF1"/>
    <w:rsid w:val="0076132E"/>
    <w:rsid w:val="0076571B"/>
    <w:rsid w:val="007A0AB4"/>
    <w:rsid w:val="007B04E5"/>
    <w:rsid w:val="007B067E"/>
    <w:rsid w:val="007B5F2D"/>
    <w:rsid w:val="007C479E"/>
    <w:rsid w:val="007F45D8"/>
    <w:rsid w:val="007F7180"/>
    <w:rsid w:val="00817437"/>
    <w:rsid w:val="008202D9"/>
    <w:rsid w:val="00821254"/>
    <w:rsid w:val="008244A5"/>
    <w:rsid w:val="008311F1"/>
    <w:rsid w:val="008317F2"/>
    <w:rsid w:val="008331D0"/>
    <w:rsid w:val="00834BC6"/>
    <w:rsid w:val="0083548C"/>
    <w:rsid w:val="00845D48"/>
    <w:rsid w:val="0086259E"/>
    <w:rsid w:val="008731AC"/>
    <w:rsid w:val="008855DC"/>
    <w:rsid w:val="008A6337"/>
    <w:rsid w:val="008C07E2"/>
    <w:rsid w:val="008C3A5E"/>
    <w:rsid w:val="008C6FC0"/>
    <w:rsid w:val="008C79ED"/>
    <w:rsid w:val="008D132F"/>
    <w:rsid w:val="008D66F8"/>
    <w:rsid w:val="008F1091"/>
    <w:rsid w:val="008F2FCE"/>
    <w:rsid w:val="008F65E3"/>
    <w:rsid w:val="008F680F"/>
    <w:rsid w:val="00913E21"/>
    <w:rsid w:val="009157E6"/>
    <w:rsid w:val="00917E3C"/>
    <w:rsid w:val="00927692"/>
    <w:rsid w:val="00930BAA"/>
    <w:rsid w:val="00931B0F"/>
    <w:rsid w:val="009452AB"/>
    <w:rsid w:val="00954775"/>
    <w:rsid w:val="009658F6"/>
    <w:rsid w:val="00967039"/>
    <w:rsid w:val="00967B8F"/>
    <w:rsid w:val="00972C8B"/>
    <w:rsid w:val="0097377B"/>
    <w:rsid w:val="00973802"/>
    <w:rsid w:val="0099179F"/>
    <w:rsid w:val="00992D05"/>
    <w:rsid w:val="009A3259"/>
    <w:rsid w:val="009C623C"/>
    <w:rsid w:val="009D65F5"/>
    <w:rsid w:val="00A14DFC"/>
    <w:rsid w:val="00A15800"/>
    <w:rsid w:val="00A2356B"/>
    <w:rsid w:val="00A2574D"/>
    <w:rsid w:val="00A566FF"/>
    <w:rsid w:val="00A718F4"/>
    <w:rsid w:val="00A763E1"/>
    <w:rsid w:val="00A85824"/>
    <w:rsid w:val="00A873DB"/>
    <w:rsid w:val="00A93DAB"/>
    <w:rsid w:val="00AA04DE"/>
    <w:rsid w:val="00AA53E4"/>
    <w:rsid w:val="00AC02DC"/>
    <w:rsid w:val="00AC1E8D"/>
    <w:rsid w:val="00AC4B61"/>
    <w:rsid w:val="00AD405E"/>
    <w:rsid w:val="00AF1337"/>
    <w:rsid w:val="00B02CD6"/>
    <w:rsid w:val="00B14EF9"/>
    <w:rsid w:val="00B26492"/>
    <w:rsid w:val="00B33F33"/>
    <w:rsid w:val="00B656A8"/>
    <w:rsid w:val="00B75C62"/>
    <w:rsid w:val="00B77711"/>
    <w:rsid w:val="00B90649"/>
    <w:rsid w:val="00BB355F"/>
    <w:rsid w:val="00BC11F8"/>
    <w:rsid w:val="00BC58E1"/>
    <w:rsid w:val="00BC64A2"/>
    <w:rsid w:val="00BE3C87"/>
    <w:rsid w:val="00BF245B"/>
    <w:rsid w:val="00BF5BAC"/>
    <w:rsid w:val="00C01E99"/>
    <w:rsid w:val="00C111FE"/>
    <w:rsid w:val="00C12056"/>
    <w:rsid w:val="00C16292"/>
    <w:rsid w:val="00C17DD9"/>
    <w:rsid w:val="00C223C2"/>
    <w:rsid w:val="00C268DA"/>
    <w:rsid w:val="00C30435"/>
    <w:rsid w:val="00C360D6"/>
    <w:rsid w:val="00C365F1"/>
    <w:rsid w:val="00C4617E"/>
    <w:rsid w:val="00C83A4C"/>
    <w:rsid w:val="00C8648B"/>
    <w:rsid w:val="00C9299B"/>
    <w:rsid w:val="00C97104"/>
    <w:rsid w:val="00CB6551"/>
    <w:rsid w:val="00CE2D62"/>
    <w:rsid w:val="00CE572F"/>
    <w:rsid w:val="00CF2675"/>
    <w:rsid w:val="00D107F2"/>
    <w:rsid w:val="00D3056B"/>
    <w:rsid w:val="00D31754"/>
    <w:rsid w:val="00D3760D"/>
    <w:rsid w:val="00D5205A"/>
    <w:rsid w:val="00D56AB3"/>
    <w:rsid w:val="00D6393B"/>
    <w:rsid w:val="00D676EF"/>
    <w:rsid w:val="00D73CBE"/>
    <w:rsid w:val="00D80D71"/>
    <w:rsid w:val="00D8669C"/>
    <w:rsid w:val="00DB5201"/>
    <w:rsid w:val="00DB79E3"/>
    <w:rsid w:val="00DC3B04"/>
    <w:rsid w:val="00DC4F34"/>
    <w:rsid w:val="00DD1170"/>
    <w:rsid w:val="00DD5039"/>
    <w:rsid w:val="00DD5133"/>
    <w:rsid w:val="00DE2061"/>
    <w:rsid w:val="00DE5D53"/>
    <w:rsid w:val="00DF5D3E"/>
    <w:rsid w:val="00E05DA9"/>
    <w:rsid w:val="00E11F61"/>
    <w:rsid w:val="00E15C11"/>
    <w:rsid w:val="00E311A0"/>
    <w:rsid w:val="00E35AA3"/>
    <w:rsid w:val="00E50473"/>
    <w:rsid w:val="00E51B23"/>
    <w:rsid w:val="00E65562"/>
    <w:rsid w:val="00E65955"/>
    <w:rsid w:val="00E76BA7"/>
    <w:rsid w:val="00EC45F2"/>
    <w:rsid w:val="00EE1420"/>
    <w:rsid w:val="00EE1FEE"/>
    <w:rsid w:val="00EF552C"/>
    <w:rsid w:val="00EF5F06"/>
    <w:rsid w:val="00F0278F"/>
    <w:rsid w:val="00F06F62"/>
    <w:rsid w:val="00F10F73"/>
    <w:rsid w:val="00F16512"/>
    <w:rsid w:val="00F258E3"/>
    <w:rsid w:val="00F3211F"/>
    <w:rsid w:val="00F51F0C"/>
    <w:rsid w:val="00F530A7"/>
    <w:rsid w:val="00F552E0"/>
    <w:rsid w:val="00F7105A"/>
    <w:rsid w:val="00F71FB5"/>
    <w:rsid w:val="00F90917"/>
    <w:rsid w:val="00FA1FBD"/>
    <w:rsid w:val="00FA3B1B"/>
    <w:rsid w:val="00FA45BE"/>
    <w:rsid w:val="00FB4178"/>
    <w:rsid w:val="00FB4855"/>
    <w:rsid w:val="00FC1C37"/>
    <w:rsid w:val="00FD5A42"/>
    <w:rsid w:val="00FD74A5"/>
    <w:rsid w:val="00FE3B16"/>
    <w:rsid w:val="00FE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5601"/>
    <o:shapelayout v:ext="edit">
      <o:idmap v:ext="edit" data="1"/>
    </o:shapelayout>
  </w:shapeDefaults>
  <w:decimalSymbol w:val="."/>
  <w:listSeparator w:val=","/>
  <w14:docId w14:val="449BF24E"/>
  <w15:docId w15:val="{479198A1-C896-4DF3-AB59-B936B181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B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semiHidden/>
    <w:unhideWhenUsed/>
    <w:rsid w:val="0000207B"/>
    <w:pPr>
      <w:spacing w:before="100" w:beforeAutospacing="1" w:after="100" w:afterAutospacing="1"/>
    </w:pPr>
    <w:rPr>
      <w:sz w:val="24"/>
      <w:szCs w:val="24"/>
    </w:rPr>
  </w:style>
  <w:style w:type="character" w:customStyle="1" w:styleId="FooterChar">
    <w:name w:val="Footer Char"/>
    <w:link w:val="Footer"/>
    <w:uiPriority w:val="99"/>
    <w:rsid w:val="00002F94"/>
  </w:style>
  <w:style w:type="paragraph" w:styleId="BalloonText">
    <w:name w:val="Balloon Text"/>
    <w:basedOn w:val="Normal"/>
    <w:link w:val="BalloonTextChar"/>
    <w:uiPriority w:val="99"/>
    <w:semiHidden/>
    <w:unhideWhenUsed/>
    <w:rsid w:val="00070E66"/>
    <w:rPr>
      <w:rFonts w:ascii="Tahoma" w:hAnsi="Tahoma" w:cs="Tahoma"/>
      <w:sz w:val="16"/>
      <w:szCs w:val="16"/>
    </w:rPr>
  </w:style>
  <w:style w:type="character" w:customStyle="1" w:styleId="BalloonTextChar">
    <w:name w:val="Balloon Text Char"/>
    <w:link w:val="BalloonText"/>
    <w:uiPriority w:val="99"/>
    <w:semiHidden/>
    <w:rsid w:val="00070E66"/>
    <w:rPr>
      <w:rFonts w:ascii="Tahoma" w:hAnsi="Tahoma" w:cs="Tahoma"/>
      <w:sz w:val="16"/>
      <w:szCs w:val="16"/>
    </w:rPr>
  </w:style>
  <w:style w:type="character" w:styleId="CommentReference">
    <w:name w:val="annotation reference"/>
    <w:uiPriority w:val="99"/>
    <w:semiHidden/>
    <w:unhideWhenUsed/>
    <w:rsid w:val="00FA1FBD"/>
    <w:rPr>
      <w:sz w:val="16"/>
      <w:szCs w:val="16"/>
    </w:rPr>
  </w:style>
  <w:style w:type="paragraph" w:styleId="CommentText">
    <w:name w:val="annotation text"/>
    <w:basedOn w:val="Normal"/>
    <w:link w:val="CommentTextChar"/>
    <w:uiPriority w:val="99"/>
    <w:semiHidden/>
    <w:unhideWhenUsed/>
    <w:rsid w:val="00FA1FBD"/>
  </w:style>
  <w:style w:type="character" w:customStyle="1" w:styleId="CommentTextChar">
    <w:name w:val="Comment Text Char"/>
    <w:basedOn w:val="DefaultParagraphFont"/>
    <w:link w:val="CommentText"/>
    <w:uiPriority w:val="99"/>
    <w:semiHidden/>
    <w:rsid w:val="00FA1FBD"/>
  </w:style>
  <w:style w:type="paragraph" w:styleId="CommentSubject">
    <w:name w:val="annotation subject"/>
    <w:basedOn w:val="CommentText"/>
    <w:next w:val="CommentText"/>
    <w:link w:val="CommentSubjectChar"/>
    <w:uiPriority w:val="99"/>
    <w:semiHidden/>
    <w:unhideWhenUsed/>
    <w:rsid w:val="00FA1FBD"/>
    <w:rPr>
      <w:b/>
      <w:bCs/>
    </w:rPr>
  </w:style>
  <w:style w:type="character" w:customStyle="1" w:styleId="CommentSubjectChar">
    <w:name w:val="Comment Subject Char"/>
    <w:link w:val="CommentSubject"/>
    <w:uiPriority w:val="99"/>
    <w:semiHidden/>
    <w:rsid w:val="00FA1FBD"/>
    <w:rPr>
      <w:b/>
      <w:bCs/>
    </w:rPr>
  </w:style>
  <w:style w:type="character" w:customStyle="1" w:styleId="PlainTextChar">
    <w:name w:val="Plain Text Char"/>
    <w:link w:val="PlainText"/>
    <w:rsid w:val="003B263E"/>
    <w:rPr>
      <w:rFonts w:ascii="Courier New" w:hAnsi="Courier New"/>
    </w:rPr>
  </w:style>
  <w:style w:type="character" w:customStyle="1" w:styleId="tgc">
    <w:name w:val="_tgc"/>
    <w:rsid w:val="004E1BA3"/>
  </w:style>
  <w:style w:type="paragraph" w:styleId="Revision">
    <w:name w:val="Revision"/>
    <w:hidden/>
    <w:uiPriority w:val="99"/>
    <w:semiHidden/>
    <w:rsid w:val="003F32D6"/>
  </w:style>
  <w:style w:type="character" w:customStyle="1" w:styleId="HeaderChar">
    <w:name w:val="Header Char"/>
    <w:link w:val="Header"/>
    <w:uiPriority w:val="99"/>
    <w:rsid w:val="00147C9D"/>
  </w:style>
  <w:style w:type="paragraph" w:styleId="ListParagraph">
    <w:name w:val="List Paragraph"/>
    <w:basedOn w:val="Normal"/>
    <w:uiPriority w:val="34"/>
    <w:qFormat/>
    <w:rsid w:val="00973802"/>
    <w:pPr>
      <w:ind w:left="720"/>
    </w:pPr>
  </w:style>
  <w:style w:type="character" w:customStyle="1" w:styleId="Heading1Char">
    <w:name w:val="Heading 1 Char"/>
    <w:basedOn w:val="DefaultParagraphFont"/>
    <w:link w:val="Heading1"/>
    <w:uiPriority w:val="9"/>
    <w:rsid w:val="00BF5B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0930">
      <w:bodyDiv w:val="1"/>
      <w:marLeft w:val="0"/>
      <w:marRight w:val="0"/>
      <w:marTop w:val="0"/>
      <w:marBottom w:val="0"/>
      <w:divBdr>
        <w:top w:val="none" w:sz="0" w:space="0" w:color="auto"/>
        <w:left w:val="none" w:sz="0" w:space="0" w:color="auto"/>
        <w:bottom w:val="none" w:sz="0" w:space="0" w:color="auto"/>
        <w:right w:val="none" w:sz="0" w:space="0" w:color="auto"/>
      </w:divBdr>
      <w:divsChild>
        <w:div w:id="1386875882">
          <w:marLeft w:val="0"/>
          <w:marRight w:val="0"/>
          <w:marTop w:val="0"/>
          <w:marBottom w:val="0"/>
          <w:divBdr>
            <w:top w:val="none" w:sz="0" w:space="0" w:color="auto"/>
            <w:left w:val="none" w:sz="0" w:space="0" w:color="auto"/>
            <w:bottom w:val="none" w:sz="0" w:space="0" w:color="auto"/>
            <w:right w:val="none" w:sz="0" w:space="0" w:color="auto"/>
          </w:divBdr>
          <w:divsChild>
            <w:div w:id="1652366704">
              <w:marLeft w:val="0"/>
              <w:marRight w:val="0"/>
              <w:marTop w:val="0"/>
              <w:marBottom w:val="0"/>
              <w:divBdr>
                <w:top w:val="none" w:sz="0" w:space="0" w:color="auto"/>
                <w:left w:val="none" w:sz="0" w:space="0" w:color="auto"/>
                <w:bottom w:val="none" w:sz="0" w:space="0" w:color="auto"/>
                <w:right w:val="none" w:sz="0" w:space="0" w:color="auto"/>
              </w:divBdr>
              <w:divsChild>
                <w:div w:id="260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27A4-756F-4B17-8DFF-6BCFE297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2489</Words>
  <Characters>14018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cec</dc:creator>
  <cp:lastModifiedBy>Parr, J.Chris</cp:lastModifiedBy>
  <cp:revision>2</cp:revision>
  <cp:lastPrinted>2018-10-24T15:56:00Z</cp:lastPrinted>
  <dcterms:created xsi:type="dcterms:W3CDTF">2025-07-18T13:36:00Z</dcterms:created>
  <dcterms:modified xsi:type="dcterms:W3CDTF">2025-07-18T13:36:00Z</dcterms:modified>
</cp:coreProperties>
</file>