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011B" w14:textId="2AF5B144" w:rsidR="000A74CD" w:rsidRDefault="000A74CD" w:rsidP="03B41C52">
      <w:pPr>
        <w:pStyle w:val="DefaultTex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3B41C52">
        <w:rPr>
          <w:rFonts w:ascii="Bookman Old Style" w:hAnsi="Bookman Old Style"/>
          <w:b/>
          <w:bCs/>
          <w:sz w:val="22"/>
          <w:szCs w:val="22"/>
        </w:rPr>
        <w:t>02-318</w:t>
      </w:r>
    </w:p>
    <w:p w14:paraId="18EA18E5" w14:textId="77777777" w:rsidR="00036AC6" w:rsidRDefault="00036AC6" w:rsidP="00036AC6">
      <w:pPr>
        <w:jc w:val="center"/>
      </w:pPr>
      <w:r w:rsidRPr="523E38BA">
        <w:rPr>
          <w:rFonts w:ascii="Bookman Old Style" w:eastAsia="Bookman Old Style" w:hAnsi="Bookman Old Style" w:cs="Bookman Old Style"/>
          <w:sz w:val="22"/>
          <w:szCs w:val="22"/>
        </w:rPr>
        <w:t>Office of Professional and Occupational Regulation</w:t>
      </w:r>
    </w:p>
    <w:p w14:paraId="60203635" w14:textId="77777777" w:rsidR="000A74CD" w:rsidRPr="004623F7" w:rsidRDefault="000A74CD" w:rsidP="0025444F">
      <w:pPr>
        <w:pStyle w:val="DefaultText"/>
        <w:jc w:val="center"/>
        <w:rPr>
          <w:rFonts w:ascii="Bookman Old Style" w:hAnsi="Bookman Old Style"/>
          <w:b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ELECTRICIANS’ EXAMINING BOARD</w:t>
      </w:r>
    </w:p>
    <w:p w14:paraId="168EC55D" w14:textId="780CABCA" w:rsidR="00C569EA" w:rsidRPr="004623F7" w:rsidRDefault="0025444F" w:rsidP="0025444F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7B8481C2">
        <w:rPr>
          <w:rFonts w:ascii="Bookman Old Style" w:hAnsi="Bookman Old Style"/>
          <w:sz w:val="22"/>
          <w:szCs w:val="22"/>
        </w:rPr>
        <w:t>20</w:t>
      </w:r>
      <w:r w:rsidR="00692186" w:rsidRPr="7B8481C2">
        <w:rPr>
          <w:rFonts w:ascii="Bookman Old Style" w:hAnsi="Bookman Old Style"/>
          <w:sz w:val="22"/>
          <w:szCs w:val="22"/>
        </w:rPr>
        <w:t>2</w:t>
      </w:r>
      <w:r w:rsidR="213797D2" w:rsidRPr="7B8481C2">
        <w:rPr>
          <w:rFonts w:ascii="Bookman Old Style" w:hAnsi="Bookman Old Style"/>
          <w:sz w:val="22"/>
          <w:szCs w:val="22"/>
        </w:rPr>
        <w:t>5</w:t>
      </w:r>
      <w:r w:rsidRPr="7B8481C2">
        <w:rPr>
          <w:rFonts w:ascii="Bookman Old Style" w:hAnsi="Bookman Old Style"/>
          <w:sz w:val="22"/>
          <w:szCs w:val="22"/>
        </w:rPr>
        <w:t>- 20</w:t>
      </w:r>
      <w:r w:rsidR="00A445C2" w:rsidRPr="7B8481C2">
        <w:rPr>
          <w:rFonts w:ascii="Bookman Old Style" w:hAnsi="Bookman Old Style"/>
          <w:sz w:val="22"/>
          <w:szCs w:val="22"/>
        </w:rPr>
        <w:t>2</w:t>
      </w:r>
      <w:r w:rsidR="5B23C9B8" w:rsidRPr="7B8481C2">
        <w:rPr>
          <w:rFonts w:ascii="Bookman Old Style" w:hAnsi="Bookman Old Style"/>
          <w:sz w:val="22"/>
          <w:szCs w:val="22"/>
        </w:rPr>
        <w:t>6</w:t>
      </w:r>
      <w:r w:rsidR="00C569EA" w:rsidRPr="7B8481C2">
        <w:rPr>
          <w:rFonts w:ascii="Bookman Old Style" w:hAnsi="Bookman Old Style"/>
          <w:sz w:val="22"/>
          <w:szCs w:val="22"/>
        </w:rPr>
        <w:t xml:space="preserve"> Regulatory Agenda</w:t>
      </w:r>
    </w:p>
    <w:p w14:paraId="7E36372E" w14:textId="77777777" w:rsidR="00120496" w:rsidRPr="004623F7" w:rsidRDefault="00120496" w:rsidP="008464DC">
      <w:pPr>
        <w:jc w:val="center"/>
        <w:rPr>
          <w:rFonts w:ascii="Bookman Old Style" w:hAnsi="Bookman Old Style"/>
          <w:sz w:val="22"/>
          <w:szCs w:val="22"/>
        </w:rPr>
      </w:pPr>
    </w:p>
    <w:p w14:paraId="00EFDAF9" w14:textId="77777777" w:rsidR="000A74CD" w:rsidRPr="004623F7" w:rsidRDefault="000A74CD" w:rsidP="008464DC">
      <w:pPr>
        <w:jc w:val="center"/>
        <w:rPr>
          <w:rFonts w:ascii="Bookman Old Style" w:hAnsi="Bookman Old Style"/>
          <w:sz w:val="22"/>
          <w:szCs w:val="22"/>
        </w:rPr>
      </w:pPr>
    </w:p>
    <w:p w14:paraId="0CB02E4B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AGENCY UMBRELLA-UNIT NUMBER: </w:t>
      </w:r>
      <w:r w:rsidRPr="004623F7">
        <w:rPr>
          <w:rFonts w:ascii="Bookman Old Style" w:hAnsi="Bookman Old Style"/>
          <w:b/>
          <w:sz w:val="22"/>
          <w:szCs w:val="22"/>
        </w:rPr>
        <w:t>02-318</w:t>
      </w:r>
    </w:p>
    <w:p w14:paraId="5DECB0B0" w14:textId="77777777" w:rsidR="008464DC" w:rsidRPr="004623F7" w:rsidRDefault="008464DC" w:rsidP="000A74C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AGENCY NAME: Department of Profess</w:t>
      </w:r>
      <w:r w:rsidR="00E617D3" w:rsidRPr="004623F7">
        <w:rPr>
          <w:rFonts w:ascii="Bookman Old Style" w:hAnsi="Bookman Old Style"/>
          <w:sz w:val="22"/>
          <w:szCs w:val="22"/>
        </w:rPr>
        <w:t>ional and Financial Regulation</w:t>
      </w:r>
      <w:r w:rsidR="000A74CD" w:rsidRPr="004623F7">
        <w:rPr>
          <w:rFonts w:ascii="Bookman Old Style" w:hAnsi="Bookman Old Style"/>
          <w:sz w:val="22"/>
          <w:szCs w:val="22"/>
        </w:rPr>
        <w:t xml:space="preserve">, </w:t>
      </w:r>
      <w:r w:rsidR="00120496" w:rsidRPr="004623F7">
        <w:rPr>
          <w:rFonts w:ascii="Bookman Old Style" w:hAnsi="Bookman Old Style"/>
          <w:sz w:val="22"/>
          <w:szCs w:val="22"/>
        </w:rPr>
        <w:t>Office of Professional and Occupational Regulation</w:t>
      </w:r>
      <w:r w:rsidR="000A74CD" w:rsidRPr="004623F7">
        <w:rPr>
          <w:rFonts w:ascii="Bookman Old Style" w:hAnsi="Bookman Old Style"/>
          <w:sz w:val="22"/>
          <w:szCs w:val="22"/>
        </w:rPr>
        <w:t xml:space="preserve">, </w:t>
      </w:r>
      <w:r w:rsidRPr="004623F7">
        <w:rPr>
          <w:rFonts w:ascii="Bookman Old Style" w:hAnsi="Bookman Old Style"/>
          <w:b/>
          <w:sz w:val="22"/>
          <w:szCs w:val="22"/>
        </w:rPr>
        <w:t>Electricians’ Examining Board</w:t>
      </w:r>
    </w:p>
    <w:p w14:paraId="5C43332E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13FE0251" w14:textId="3C990856" w:rsidR="526E31A4" w:rsidRDefault="526E31A4" w:rsidP="7B8481C2">
      <w:r w:rsidRPr="7B8481C2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7B8481C2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7B8481C2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7B8481C2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7B8481C2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1A970380" w14:textId="77777777" w:rsidR="009F18B7" w:rsidRPr="004623F7" w:rsidRDefault="009F18B7" w:rsidP="008464DC">
      <w:pPr>
        <w:rPr>
          <w:rFonts w:ascii="Bookman Old Style" w:hAnsi="Bookman Old Style"/>
          <w:sz w:val="22"/>
          <w:szCs w:val="22"/>
        </w:rPr>
      </w:pPr>
    </w:p>
    <w:p w14:paraId="74320AE0" w14:textId="77777777" w:rsidR="008464DC" w:rsidRPr="004623F7" w:rsidRDefault="008464DC" w:rsidP="008464DC">
      <w:pPr>
        <w:rPr>
          <w:rFonts w:ascii="Bookman Old Style" w:hAnsi="Bookman Old Style"/>
          <w:spacing w:val="-8"/>
          <w:kern w:val="22"/>
          <w:sz w:val="22"/>
          <w:szCs w:val="22"/>
        </w:rPr>
      </w:pPr>
      <w:r w:rsidRPr="004623F7">
        <w:rPr>
          <w:rFonts w:ascii="Bookman Old Style" w:hAnsi="Bookman Old Style"/>
          <w:b/>
          <w:spacing w:val="-8"/>
          <w:kern w:val="22"/>
          <w:sz w:val="22"/>
          <w:szCs w:val="22"/>
        </w:rPr>
        <w:t>EMERGENCY RULES ADOPTED SINCE THE LAST REGULATORY AGENDA</w:t>
      </w:r>
      <w:r w:rsidRPr="004623F7">
        <w:rPr>
          <w:rFonts w:ascii="Bookman Old Style" w:hAnsi="Bookman Old Style"/>
          <w:spacing w:val="-8"/>
          <w:kern w:val="22"/>
          <w:sz w:val="22"/>
          <w:szCs w:val="22"/>
        </w:rPr>
        <w:t>: None</w:t>
      </w:r>
      <w:r w:rsidR="00461BCF" w:rsidRPr="004623F7">
        <w:rPr>
          <w:rFonts w:ascii="Bookman Old Style" w:hAnsi="Bookman Old Style"/>
          <w:spacing w:val="-8"/>
          <w:kern w:val="22"/>
          <w:sz w:val="22"/>
          <w:szCs w:val="22"/>
        </w:rPr>
        <w:t>.</w:t>
      </w:r>
    </w:p>
    <w:p w14:paraId="3ED83813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03990164" w14:textId="4A277D6B" w:rsidR="008464DC" w:rsidRDefault="006E0963" w:rsidP="004C7061">
      <w:pPr>
        <w:rPr>
          <w:rFonts w:ascii="Bookman Old Style" w:hAnsi="Bookman Old Style"/>
          <w:sz w:val="22"/>
          <w:szCs w:val="22"/>
        </w:rPr>
      </w:pPr>
      <w:r w:rsidRPr="5B23E802">
        <w:rPr>
          <w:rFonts w:ascii="Bookman Old Style" w:hAnsi="Bookman Old Style"/>
          <w:b/>
          <w:bCs/>
          <w:sz w:val="22"/>
          <w:szCs w:val="22"/>
        </w:rPr>
        <w:t>EXPECTED 202</w:t>
      </w:r>
      <w:r w:rsidR="6EF906C9" w:rsidRPr="5B23E802">
        <w:rPr>
          <w:rFonts w:ascii="Bookman Old Style" w:hAnsi="Bookman Old Style"/>
          <w:b/>
          <w:bCs/>
          <w:sz w:val="22"/>
          <w:szCs w:val="22"/>
        </w:rPr>
        <w:t>5</w:t>
      </w:r>
      <w:r w:rsidRPr="5B23E802">
        <w:rPr>
          <w:rFonts w:ascii="Bookman Old Style" w:hAnsi="Bookman Old Style"/>
          <w:b/>
          <w:bCs/>
          <w:sz w:val="22"/>
          <w:szCs w:val="22"/>
        </w:rPr>
        <w:t>-202</w:t>
      </w:r>
      <w:r w:rsidR="4476D575" w:rsidRPr="5B23E802">
        <w:rPr>
          <w:rFonts w:ascii="Bookman Old Style" w:hAnsi="Bookman Old Style"/>
          <w:b/>
          <w:bCs/>
          <w:sz w:val="22"/>
          <w:szCs w:val="22"/>
        </w:rPr>
        <w:t>6</w:t>
      </w:r>
      <w:r w:rsidRPr="5B23E802">
        <w:rPr>
          <w:rFonts w:ascii="Bookman Old Style" w:hAnsi="Bookman Old Style"/>
          <w:b/>
          <w:bCs/>
          <w:sz w:val="22"/>
          <w:szCs w:val="22"/>
        </w:rPr>
        <w:t xml:space="preserve"> RULEMAKING ACTIVITY:</w:t>
      </w:r>
      <w:r w:rsidR="77676986" w:rsidRPr="5B23E80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77676986" w:rsidRPr="5B23E802">
        <w:rPr>
          <w:rFonts w:ascii="Bookman Old Style" w:hAnsi="Bookman Old Style"/>
          <w:sz w:val="22"/>
          <w:szCs w:val="22"/>
        </w:rPr>
        <w:t>Rulem</w:t>
      </w:r>
      <w:r w:rsidR="2A4C20F1" w:rsidRPr="5B23E802">
        <w:rPr>
          <w:rFonts w:ascii="Bookman Old Style" w:hAnsi="Bookman Old Style"/>
          <w:sz w:val="22"/>
          <w:szCs w:val="22"/>
        </w:rPr>
        <w:t>a</w:t>
      </w:r>
      <w:r w:rsidR="77676986" w:rsidRPr="5B23E802">
        <w:rPr>
          <w:rFonts w:ascii="Bookman Old Style" w:hAnsi="Bookman Old Style"/>
          <w:sz w:val="22"/>
          <w:szCs w:val="22"/>
        </w:rPr>
        <w:t xml:space="preserve">king is expected to implement </w:t>
      </w:r>
      <w:r w:rsidR="00036AC6">
        <w:rPr>
          <w:rFonts w:ascii="Bookman Old Style" w:hAnsi="Bookman Old Style"/>
          <w:sz w:val="22"/>
          <w:szCs w:val="22"/>
        </w:rPr>
        <w:t>legislation</w:t>
      </w:r>
      <w:r w:rsidR="77676986" w:rsidRPr="5B23E802">
        <w:rPr>
          <w:rFonts w:ascii="Bookman Old Style" w:hAnsi="Bookman Old Style"/>
          <w:sz w:val="22"/>
          <w:szCs w:val="22"/>
        </w:rPr>
        <w:t xml:space="preserve"> </w:t>
      </w:r>
      <w:r w:rsidR="5D360947" w:rsidRPr="5B23E802">
        <w:rPr>
          <w:rFonts w:ascii="Bookman Old Style" w:hAnsi="Bookman Old Style"/>
          <w:sz w:val="22"/>
          <w:szCs w:val="22"/>
        </w:rPr>
        <w:t xml:space="preserve">to adopt current NEC codes and </w:t>
      </w:r>
      <w:r w:rsidR="2256CE0F" w:rsidRPr="5B23E802">
        <w:rPr>
          <w:rFonts w:ascii="Bookman Old Style" w:hAnsi="Bookman Old Style"/>
          <w:sz w:val="22"/>
          <w:szCs w:val="22"/>
        </w:rPr>
        <w:t xml:space="preserve">standards. Rulemaking is expected to implement </w:t>
      </w:r>
      <w:r w:rsidR="00036AC6">
        <w:rPr>
          <w:rFonts w:ascii="Bookman Old Style" w:hAnsi="Bookman Old Style"/>
          <w:sz w:val="22"/>
          <w:szCs w:val="22"/>
        </w:rPr>
        <w:t>legislation</w:t>
      </w:r>
      <w:r w:rsidR="2256CE0F" w:rsidRPr="5B23E802">
        <w:rPr>
          <w:rFonts w:ascii="Bookman Old Style" w:hAnsi="Bookman Old Style"/>
          <w:sz w:val="22"/>
          <w:szCs w:val="22"/>
        </w:rPr>
        <w:t xml:space="preserve"> </w:t>
      </w:r>
      <w:r w:rsidR="77554A43" w:rsidRPr="5B23E802">
        <w:rPr>
          <w:rFonts w:ascii="Bookman Old Style" w:hAnsi="Bookman Old Style"/>
          <w:sz w:val="22"/>
          <w:szCs w:val="22"/>
        </w:rPr>
        <w:t xml:space="preserve">to </w:t>
      </w:r>
      <w:r w:rsidR="5D360947" w:rsidRPr="5B23E802">
        <w:rPr>
          <w:rFonts w:ascii="Bookman Old Style" w:hAnsi="Bookman Old Style"/>
          <w:sz w:val="22"/>
          <w:szCs w:val="22"/>
        </w:rPr>
        <w:t xml:space="preserve">clarify </w:t>
      </w:r>
      <w:r w:rsidR="3B0AE3C0" w:rsidRPr="5B23E802">
        <w:rPr>
          <w:rFonts w:ascii="Bookman Old Style" w:hAnsi="Bookman Old Style"/>
          <w:sz w:val="22"/>
          <w:szCs w:val="22"/>
        </w:rPr>
        <w:t xml:space="preserve">pathways to licensure </w:t>
      </w:r>
      <w:r w:rsidR="5C8C57E3" w:rsidRPr="5B23E802">
        <w:rPr>
          <w:rFonts w:ascii="Bookman Old Style" w:hAnsi="Bookman Old Style"/>
          <w:sz w:val="22"/>
          <w:szCs w:val="22"/>
        </w:rPr>
        <w:t xml:space="preserve">in Chapter 130, Examination and Licensing Requirements. </w:t>
      </w:r>
    </w:p>
    <w:p w14:paraId="07E76A86" w14:textId="05CD2766" w:rsidR="008A60F1" w:rsidRDefault="008A60F1" w:rsidP="02DC33AD">
      <w:pPr>
        <w:rPr>
          <w:rFonts w:ascii="Bookman Old Style" w:hAnsi="Bookman Old Style"/>
          <w:b/>
          <w:bCs/>
          <w:sz w:val="22"/>
          <w:szCs w:val="22"/>
        </w:rPr>
      </w:pPr>
    </w:p>
    <w:p w14:paraId="1915C0DF" w14:textId="75271D34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100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="008D598F" w:rsidRPr="00977390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7294EAC6" w14:textId="1ABA6B3F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</w:t>
      </w:r>
      <w:r w:rsidR="00980747" w:rsidRPr="004623F7">
        <w:rPr>
          <w:rFonts w:ascii="Bookman Old Style" w:hAnsi="Bookman Old Style"/>
          <w:sz w:val="22"/>
          <w:szCs w:val="22"/>
        </w:rPr>
        <w:t xml:space="preserve"> 1</w:t>
      </w:r>
      <w:r w:rsidR="008D598F" w:rsidRPr="004623F7">
        <w:rPr>
          <w:rFonts w:ascii="Bookman Old Style" w:hAnsi="Bookman Old Style"/>
          <w:sz w:val="22"/>
          <w:szCs w:val="22"/>
        </w:rPr>
        <w:t>101, 1153</w:t>
      </w:r>
    </w:p>
    <w:p w14:paraId="55FF9DDF" w14:textId="1CDDFAB3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PURPOSE: The Board may</w:t>
      </w:r>
      <w:r w:rsidR="00624BD6" w:rsidRPr="004623F7">
        <w:rPr>
          <w:rFonts w:ascii="Bookman Old Style" w:hAnsi="Bookman Old Style"/>
          <w:sz w:val="22"/>
          <w:szCs w:val="22"/>
        </w:rPr>
        <w:t xml:space="preserve"> </w:t>
      </w:r>
      <w:r w:rsidR="00807351">
        <w:rPr>
          <w:rFonts w:ascii="Bookman Old Style" w:hAnsi="Bookman Old Style"/>
          <w:sz w:val="22"/>
          <w:szCs w:val="22"/>
        </w:rPr>
        <w:t>review and revise its rules on definitions</w:t>
      </w:r>
      <w:r w:rsidR="00624BD6" w:rsidRPr="004623F7">
        <w:rPr>
          <w:rFonts w:ascii="Bookman Old Style" w:hAnsi="Bookman Old Style"/>
          <w:sz w:val="22"/>
          <w:szCs w:val="22"/>
        </w:rPr>
        <w:t>.</w:t>
      </w:r>
    </w:p>
    <w:p w14:paraId="4A585C3D" w14:textId="77777777" w:rsidR="008464DC" w:rsidRPr="004623F7" w:rsidRDefault="004508A5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</w:t>
      </w:r>
      <w:r w:rsidR="008464DC" w:rsidRPr="004623F7">
        <w:rPr>
          <w:rFonts w:ascii="Bookman Old Style" w:hAnsi="Bookman Old Style"/>
          <w:sz w:val="22"/>
          <w:szCs w:val="22"/>
        </w:rPr>
        <w:t xml:space="preserve">: </w:t>
      </w:r>
      <w:r w:rsidRPr="004623F7">
        <w:rPr>
          <w:rFonts w:ascii="Bookman Old Style" w:hAnsi="Bookman Old Style"/>
          <w:sz w:val="22"/>
          <w:szCs w:val="22"/>
        </w:rPr>
        <w:t>Within one year, if necessary</w:t>
      </w:r>
      <w:r w:rsidR="008464DC" w:rsidRPr="004623F7">
        <w:rPr>
          <w:rFonts w:ascii="Bookman Old Style" w:hAnsi="Bookman Old Style"/>
          <w:sz w:val="22"/>
          <w:szCs w:val="22"/>
        </w:rPr>
        <w:t>.</w:t>
      </w:r>
    </w:p>
    <w:p w14:paraId="3AD75D0A" w14:textId="418FAB30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AFFECTED PARTIES: </w:t>
      </w:r>
      <w:r w:rsidR="004508A5" w:rsidRPr="004623F7">
        <w:rPr>
          <w:rFonts w:ascii="Bookman Old Style" w:hAnsi="Bookman Old Style"/>
          <w:sz w:val="22"/>
          <w:szCs w:val="22"/>
        </w:rPr>
        <w:t>Licensees</w:t>
      </w:r>
      <w:r w:rsidR="001B7972">
        <w:rPr>
          <w:rFonts w:ascii="Bookman Old Style" w:hAnsi="Bookman Old Style"/>
          <w:sz w:val="22"/>
          <w:szCs w:val="22"/>
        </w:rPr>
        <w:t xml:space="preserve"> and members of the public</w:t>
      </w:r>
      <w:r w:rsidR="004508A5" w:rsidRPr="004623F7">
        <w:rPr>
          <w:rFonts w:ascii="Bookman Old Style" w:hAnsi="Bookman Old Style"/>
          <w:sz w:val="22"/>
          <w:szCs w:val="22"/>
        </w:rPr>
        <w:t>.</w:t>
      </w:r>
    </w:p>
    <w:p w14:paraId="73190A0B" w14:textId="715C84C6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CONSENSUS-BASED RULE DEVELOPMENT: N</w:t>
      </w:r>
      <w:r w:rsidR="00977390">
        <w:rPr>
          <w:rFonts w:ascii="Bookman Old Style" w:hAnsi="Bookman Old Style"/>
          <w:sz w:val="22"/>
          <w:szCs w:val="22"/>
        </w:rPr>
        <w:t>/A</w:t>
      </w:r>
    </w:p>
    <w:p w14:paraId="22A337CB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6AA01A85" w14:textId="72E4CC92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110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Pr="001B7972">
        <w:rPr>
          <w:rFonts w:ascii="Bookman Old Style" w:hAnsi="Bookman Old Style"/>
          <w:b/>
          <w:bCs/>
          <w:sz w:val="22"/>
          <w:szCs w:val="22"/>
        </w:rPr>
        <w:t>Conflict of Interest</w:t>
      </w:r>
    </w:p>
    <w:p w14:paraId="1B264DDD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</w:t>
      </w:r>
      <w:r w:rsidR="00980747" w:rsidRPr="004623F7">
        <w:rPr>
          <w:rFonts w:ascii="Bookman Old Style" w:hAnsi="Bookman Old Style"/>
          <w:sz w:val="22"/>
          <w:szCs w:val="22"/>
        </w:rPr>
        <w:t xml:space="preserve"> </w:t>
      </w:r>
      <w:r w:rsidRPr="004623F7">
        <w:rPr>
          <w:rFonts w:ascii="Bookman Old Style" w:hAnsi="Bookman Old Style"/>
          <w:sz w:val="22"/>
          <w:szCs w:val="22"/>
        </w:rPr>
        <w:t xml:space="preserve">1153 </w:t>
      </w:r>
    </w:p>
    <w:p w14:paraId="2785E031" w14:textId="6D27BDA0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PURPOSE: </w:t>
      </w:r>
      <w:r w:rsidR="00EB2062">
        <w:rPr>
          <w:rFonts w:ascii="Bookman Old Style" w:hAnsi="Bookman Old Style"/>
          <w:sz w:val="22"/>
          <w:szCs w:val="22"/>
        </w:rPr>
        <w:t>The Board</w:t>
      </w:r>
      <w:r w:rsidR="00B83290">
        <w:rPr>
          <w:rFonts w:ascii="Bookman Old Style" w:hAnsi="Bookman Old Style"/>
          <w:sz w:val="22"/>
          <w:szCs w:val="22"/>
        </w:rPr>
        <w:t xml:space="preserve"> may review and revise its rules</w:t>
      </w:r>
      <w:r w:rsidR="001B7972">
        <w:rPr>
          <w:rFonts w:ascii="Bookman Old Style" w:hAnsi="Bookman Old Style"/>
          <w:sz w:val="22"/>
          <w:szCs w:val="22"/>
        </w:rPr>
        <w:t xml:space="preserve"> with regards to </w:t>
      </w:r>
      <w:r w:rsidR="00333599">
        <w:rPr>
          <w:rFonts w:ascii="Bookman Old Style" w:hAnsi="Bookman Old Style"/>
          <w:sz w:val="22"/>
          <w:szCs w:val="22"/>
        </w:rPr>
        <w:t>conflicts of interest of board members</w:t>
      </w:r>
      <w:r w:rsidR="00B83290">
        <w:rPr>
          <w:rFonts w:ascii="Bookman Old Style" w:hAnsi="Bookman Old Style"/>
          <w:sz w:val="22"/>
          <w:szCs w:val="22"/>
        </w:rPr>
        <w:t>.</w:t>
      </w:r>
    </w:p>
    <w:p w14:paraId="55F68786" w14:textId="77777777" w:rsidR="008464DC" w:rsidRPr="004623F7" w:rsidRDefault="004508A5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</w:t>
      </w:r>
      <w:r w:rsidR="008464DC" w:rsidRPr="004623F7">
        <w:rPr>
          <w:rFonts w:ascii="Bookman Old Style" w:hAnsi="Bookman Old Style"/>
          <w:sz w:val="22"/>
          <w:szCs w:val="22"/>
        </w:rPr>
        <w:t xml:space="preserve">: </w:t>
      </w:r>
      <w:r w:rsidRPr="004623F7">
        <w:rPr>
          <w:rFonts w:ascii="Bookman Old Style" w:hAnsi="Bookman Old Style"/>
          <w:sz w:val="22"/>
          <w:szCs w:val="22"/>
        </w:rPr>
        <w:t>Within one year, if necessary</w:t>
      </w:r>
      <w:r w:rsidR="008464DC" w:rsidRPr="004623F7">
        <w:rPr>
          <w:rFonts w:ascii="Bookman Old Style" w:hAnsi="Bookman Old Style"/>
          <w:sz w:val="22"/>
          <w:szCs w:val="22"/>
        </w:rPr>
        <w:t>.</w:t>
      </w:r>
    </w:p>
    <w:p w14:paraId="6DBA03B5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AFFECTED PARTIES: </w:t>
      </w:r>
      <w:r w:rsidR="004508A5" w:rsidRPr="004623F7">
        <w:rPr>
          <w:rFonts w:ascii="Bookman Old Style" w:hAnsi="Bookman Old Style"/>
          <w:sz w:val="22"/>
          <w:szCs w:val="22"/>
        </w:rPr>
        <w:t>Licensees.</w:t>
      </w:r>
    </w:p>
    <w:p w14:paraId="142D2367" w14:textId="1ACB1A59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CONSENSUS-BASED RULE DEVELOPMENT: N</w:t>
      </w:r>
      <w:r w:rsidR="001B7972">
        <w:rPr>
          <w:rFonts w:ascii="Bookman Old Style" w:hAnsi="Bookman Old Style"/>
          <w:sz w:val="22"/>
          <w:szCs w:val="22"/>
        </w:rPr>
        <w:t>/A</w:t>
      </w:r>
    </w:p>
    <w:p w14:paraId="22B3E895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2FD305AF" w14:textId="77777777" w:rsidR="00624BD6" w:rsidRPr="004623F7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115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Pr="001B7972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4D8DCCCF" w14:textId="77777777" w:rsidR="00624BD6" w:rsidRPr="004623F7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 1153; 5 M.R.S. § 9001(4)</w:t>
      </w:r>
    </w:p>
    <w:p w14:paraId="53F710EB" w14:textId="1273665F" w:rsidR="00624BD6" w:rsidRPr="004623F7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PURPOSE: The Board may </w:t>
      </w:r>
      <w:r w:rsidR="00407E0C">
        <w:rPr>
          <w:rFonts w:ascii="Bookman Old Style" w:hAnsi="Bookman Old Style"/>
          <w:sz w:val="22"/>
          <w:szCs w:val="22"/>
        </w:rPr>
        <w:t>review and revise</w:t>
      </w:r>
      <w:r w:rsidR="000A5A52">
        <w:rPr>
          <w:rFonts w:ascii="Bookman Old Style" w:hAnsi="Bookman Old Style"/>
          <w:sz w:val="22"/>
          <w:szCs w:val="22"/>
        </w:rPr>
        <w:t xml:space="preserve"> its rules on the </w:t>
      </w:r>
      <w:r w:rsidRPr="004623F7">
        <w:rPr>
          <w:rFonts w:ascii="Bookman Old Style" w:hAnsi="Bookman Old Style"/>
          <w:sz w:val="22"/>
          <w:szCs w:val="22"/>
        </w:rPr>
        <w:t>guidelines relating to advisory rulings.</w:t>
      </w:r>
    </w:p>
    <w:p w14:paraId="4850DA8B" w14:textId="77777777" w:rsidR="00624BD6" w:rsidRPr="004623F7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60DCD1CC" w14:textId="268C4989" w:rsidR="00624BD6" w:rsidRPr="004623F7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AFFECTED PARTIES: Licensees</w:t>
      </w:r>
      <w:r w:rsidR="001B7972">
        <w:rPr>
          <w:rFonts w:ascii="Bookman Old Style" w:hAnsi="Bookman Old Style"/>
          <w:sz w:val="22"/>
          <w:szCs w:val="22"/>
        </w:rPr>
        <w:t xml:space="preserve"> and members of the public.</w:t>
      </w:r>
    </w:p>
    <w:p w14:paraId="12696E02" w14:textId="17E1F11E" w:rsidR="00624BD6" w:rsidRDefault="00624BD6" w:rsidP="00624BD6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CONSENSUS-BASED RULE DEVELOPMENT: N</w:t>
      </w:r>
      <w:r w:rsidR="001B7972">
        <w:rPr>
          <w:rFonts w:ascii="Bookman Old Style" w:hAnsi="Bookman Old Style"/>
          <w:sz w:val="22"/>
          <w:szCs w:val="22"/>
        </w:rPr>
        <w:t>/A</w:t>
      </w:r>
    </w:p>
    <w:p w14:paraId="18585EAC" w14:textId="77777777" w:rsidR="0066719D" w:rsidRDefault="0066719D" w:rsidP="0066719D">
      <w:pPr>
        <w:rPr>
          <w:rFonts w:ascii="Bookman Old Style" w:hAnsi="Bookman Old Style"/>
          <w:b/>
          <w:sz w:val="22"/>
          <w:szCs w:val="22"/>
        </w:rPr>
      </w:pPr>
    </w:p>
    <w:p w14:paraId="31536A25" w14:textId="069A6CD4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</w:t>
      </w:r>
      <w:r>
        <w:rPr>
          <w:rFonts w:ascii="Bookman Old Style" w:hAnsi="Bookman Old Style"/>
          <w:b/>
          <w:sz w:val="22"/>
          <w:szCs w:val="22"/>
        </w:rPr>
        <w:t>20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="002E1A34">
        <w:rPr>
          <w:rFonts w:ascii="Bookman Old Style" w:hAnsi="Bookman Old Style"/>
          <w:b/>
          <w:bCs/>
          <w:sz w:val="22"/>
          <w:szCs w:val="22"/>
        </w:rPr>
        <w:t>Electrical Installation Standards</w:t>
      </w:r>
    </w:p>
    <w:p w14:paraId="681BE1E2" w14:textId="27019649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</w:t>
      </w:r>
      <w:r w:rsidR="00BA4FB7">
        <w:rPr>
          <w:rFonts w:ascii="Bookman Old Style" w:hAnsi="Bookman Old Style"/>
          <w:sz w:val="22"/>
          <w:szCs w:val="22"/>
        </w:rPr>
        <w:t>§</w:t>
      </w:r>
      <w:r w:rsidRPr="004623F7">
        <w:rPr>
          <w:rFonts w:ascii="Bookman Old Style" w:hAnsi="Bookman Old Style"/>
          <w:sz w:val="22"/>
          <w:szCs w:val="22"/>
        </w:rPr>
        <w:t xml:space="preserve"> 1153</w:t>
      </w:r>
      <w:r w:rsidR="00BA4FB7">
        <w:rPr>
          <w:rFonts w:ascii="Bookman Old Style" w:hAnsi="Bookman Old Style"/>
          <w:sz w:val="22"/>
          <w:szCs w:val="22"/>
        </w:rPr>
        <w:t>, 1153-A</w:t>
      </w:r>
    </w:p>
    <w:p w14:paraId="10B59025" w14:textId="2A316F0A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PURPOSE: The Board may </w:t>
      </w:r>
      <w:r>
        <w:rPr>
          <w:rFonts w:ascii="Bookman Old Style" w:hAnsi="Bookman Old Style"/>
          <w:sz w:val="22"/>
          <w:szCs w:val="22"/>
        </w:rPr>
        <w:t>review and revise its rule</w:t>
      </w:r>
      <w:r w:rsidR="00E7715D">
        <w:rPr>
          <w:rFonts w:ascii="Bookman Old Style" w:hAnsi="Bookman Old Style"/>
          <w:sz w:val="22"/>
          <w:szCs w:val="22"/>
        </w:rPr>
        <w:t xml:space="preserve"> adopting the National Electrical Code.</w:t>
      </w:r>
    </w:p>
    <w:p w14:paraId="20678448" w14:textId="77777777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3E4A7168" w14:textId="77777777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AFFECTED PARTIES: Licensees</w:t>
      </w:r>
      <w:r>
        <w:rPr>
          <w:rFonts w:ascii="Bookman Old Style" w:hAnsi="Bookman Old Style"/>
          <w:sz w:val="22"/>
          <w:szCs w:val="22"/>
        </w:rPr>
        <w:t xml:space="preserve"> and members of the public.</w:t>
      </w:r>
    </w:p>
    <w:p w14:paraId="48ED85E9" w14:textId="77777777" w:rsidR="0066719D" w:rsidRPr="004623F7" w:rsidRDefault="0066719D" w:rsidP="0066719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lastRenderedPageBreak/>
        <w:t>CONSENSUS-BASED RULE DEVELOPMENT: N</w:t>
      </w:r>
      <w:r>
        <w:rPr>
          <w:rFonts w:ascii="Bookman Old Style" w:hAnsi="Bookman Old Style"/>
          <w:sz w:val="22"/>
          <w:szCs w:val="22"/>
        </w:rPr>
        <w:t>/A</w:t>
      </w:r>
    </w:p>
    <w:p w14:paraId="6FB94330" w14:textId="77777777" w:rsidR="0066719D" w:rsidRPr="004623F7" w:rsidRDefault="0066719D" w:rsidP="00624BD6">
      <w:pPr>
        <w:rPr>
          <w:rFonts w:ascii="Bookman Old Style" w:hAnsi="Bookman Old Style"/>
          <w:sz w:val="22"/>
          <w:szCs w:val="22"/>
        </w:rPr>
      </w:pPr>
    </w:p>
    <w:p w14:paraId="411735C9" w14:textId="77777777" w:rsidR="00E617D3" w:rsidRPr="004623F7" w:rsidRDefault="00E617D3" w:rsidP="008464DC">
      <w:pPr>
        <w:rPr>
          <w:rFonts w:ascii="Bookman Old Style" w:hAnsi="Bookman Old Style"/>
          <w:sz w:val="22"/>
          <w:szCs w:val="22"/>
        </w:rPr>
      </w:pPr>
    </w:p>
    <w:p w14:paraId="3277281A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130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Pr="001B7972">
        <w:rPr>
          <w:rFonts w:ascii="Bookman Old Style" w:hAnsi="Bookman Old Style"/>
          <w:b/>
          <w:bCs/>
          <w:sz w:val="22"/>
          <w:szCs w:val="22"/>
        </w:rPr>
        <w:t>Examination and Licensing Requirements</w:t>
      </w:r>
    </w:p>
    <w:p w14:paraId="204A3D3F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</w:t>
      </w:r>
      <w:r w:rsidR="00980747" w:rsidRPr="004623F7">
        <w:rPr>
          <w:rFonts w:ascii="Bookman Old Style" w:hAnsi="Bookman Old Style"/>
          <w:sz w:val="22"/>
          <w:szCs w:val="22"/>
        </w:rPr>
        <w:t xml:space="preserve">§ </w:t>
      </w:r>
      <w:r w:rsidRPr="004623F7">
        <w:rPr>
          <w:rFonts w:ascii="Bookman Old Style" w:hAnsi="Bookman Old Style"/>
          <w:sz w:val="22"/>
          <w:szCs w:val="22"/>
        </w:rPr>
        <w:t>1153, 1202</w:t>
      </w:r>
      <w:r w:rsidR="00680BEE" w:rsidRPr="004623F7">
        <w:rPr>
          <w:rFonts w:ascii="Bookman Old Style" w:hAnsi="Bookman Old Style"/>
          <w:sz w:val="22"/>
          <w:szCs w:val="22"/>
        </w:rPr>
        <w:t>-A</w:t>
      </w:r>
      <w:r w:rsidR="00980747" w:rsidRPr="004623F7">
        <w:rPr>
          <w:rFonts w:ascii="Bookman Old Style" w:hAnsi="Bookman Old Style"/>
          <w:sz w:val="22"/>
          <w:szCs w:val="22"/>
        </w:rPr>
        <w:t xml:space="preserve">, </w:t>
      </w:r>
      <w:r w:rsidRPr="004623F7">
        <w:rPr>
          <w:rFonts w:ascii="Bookman Old Style" w:hAnsi="Bookman Old Style"/>
          <w:sz w:val="22"/>
          <w:szCs w:val="22"/>
        </w:rPr>
        <w:t>1204</w:t>
      </w:r>
    </w:p>
    <w:p w14:paraId="4E9664B1" w14:textId="36724769" w:rsidR="084B1FFA" w:rsidRDefault="008464DC" w:rsidP="60D58B0C">
      <w:pPr>
        <w:rPr>
          <w:rFonts w:ascii="Bookman Old Style" w:hAnsi="Bookman Old Style"/>
          <w:sz w:val="22"/>
          <w:szCs w:val="22"/>
        </w:rPr>
      </w:pPr>
      <w:r w:rsidRPr="60D58B0C">
        <w:rPr>
          <w:rFonts w:ascii="Bookman Old Style" w:hAnsi="Bookman Old Style"/>
          <w:sz w:val="22"/>
          <w:szCs w:val="22"/>
        </w:rPr>
        <w:t xml:space="preserve">PURPOSE: The Board may review and revise its rules </w:t>
      </w:r>
      <w:r w:rsidR="00C01926">
        <w:rPr>
          <w:rFonts w:ascii="Bookman Old Style" w:hAnsi="Bookman Old Style"/>
          <w:sz w:val="22"/>
          <w:szCs w:val="22"/>
        </w:rPr>
        <w:t xml:space="preserve">to implement legislative changes to the </w:t>
      </w:r>
      <w:r w:rsidRPr="60D58B0C">
        <w:rPr>
          <w:rFonts w:ascii="Bookman Old Style" w:hAnsi="Bookman Old Style"/>
          <w:sz w:val="22"/>
          <w:szCs w:val="22"/>
        </w:rPr>
        <w:t>examination and licensing</w:t>
      </w:r>
      <w:r w:rsidR="00C01926">
        <w:rPr>
          <w:rFonts w:ascii="Bookman Old Style" w:hAnsi="Bookman Old Style"/>
          <w:sz w:val="22"/>
          <w:szCs w:val="22"/>
        </w:rPr>
        <w:t xml:space="preserve"> r</w:t>
      </w:r>
      <w:r w:rsidR="084B1FFA" w:rsidRPr="60D58B0C">
        <w:rPr>
          <w:rFonts w:ascii="Bookman Old Style" w:hAnsi="Bookman Old Style"/>
          <w:sz w:val="22"/>
          <w:szCs w:val="22"/>
        </w:rPr>
        <w:t xml:space="preserve">equirements. </w:t>
      </w:r>
    </w:p>
    <w:p w14:paraId="6A62FCD7" w14:textId="77777777" w:rsidR="008464DC" w:rsidRPr="004623F7" w:rsidRDefault="004508A5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</w:t>
      </w:r>
      <w:r w:rsidR="008464DC" w:rsidRPr="004623F7">
        <w:rPr>
          <w:rFonts w:ascii="Bookman Old Style" w:hAnsi="Bookman Old Style"/>
          <w:sz w:val="22"/>
          <w:szCs w:val="22"/>
        </w:rPr>
        <w:t xml:space="preserve">: </w:t>
      </w:r>
      <w:r w:rsidRPr="004623F7">
        <w:rPr>
          <w:rFonts w:ascii="Bookman Old Style" w:hAnsi="Bookman Old Style"/>
          <w:sz w:val="22"/>
          <w:szCs w:val="22"/>
        </w:rPr>
        <w:t>Within one year, if necessary</w:t>
      </w:r>
      <w:r w:rsidR="008464DC" w:rsidRPr="004623F7">
        <w:rPr>
          <w:rFonts w:ascii="Bookman Old Style" w:hAnsi="Bookman Old Style"/>
          <w:sz w:val="22"/>
          <w:szCs w:val="22"/>
        </w:rPr>
        <w:t>.</w:t>
      </w:r>
    </w:p>
    <w:p w14:paraId="728AACDA" w14:textId="499DA5BF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AFFECTED PARTIES: </w:t>
      </w:r>
      <w:r w:rsidR="00333599">
        <w:rPr>
          <w:rFonts w:ascii="Bookman Old Style" w:hAnsi="Bookman Old Style"/>
          <w:sz w:val="22"/>
          <w:szCs w:val="22"/>
        </w:rPr>
        <w:t xml:space="preserve">Applicants for licensure and </w:t>
      </w:r>
      <w:r w:rsidR="000A7C01">
        <w:rPr>
          <w:rFonts w:ascii="Bookman Old Style" w:hAnsi="Bookman Old Style"/>
          <w:sz w:val="22"/>
          <w:szCs w:val="22"/>
        </w:rPr>
        <w:t>l</w:t>
      </w:r>
      <w:r w:rsidR="004508A5" w:rsidRPr="004623F7">
        <w:rPr>
          <w:rFonts w:ascii="Bookman Old Style" w:hAnsi="Bookman Old Style"/>
          <w:sz w:val="22"/>
          <w:szCs w:val="22"/>
        </w:rPr>
        <w:t>icensees.</w:t>
      </w:r>
    </w:p>
    <w:p w14:paraId="4D1624D9" w14:textId="12D15F85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CONSENSUS-BASED RULE DEVELOPMENT: N</w:t>
      </w:r>
      <w:r w:rsidR="0012406E">
        <w:rPr>
          <w:rFonts w:ascii="Bookman Old Style" w:hAnsi="Bookman Old Style"/>
          <w:sz w:val="22"/>
          <w:szCs w:val="22"/>
        </w:rPr>
        <w:t>/A</w:t>
      </w:r>
    </w:p>
    <w:p w14:paraId="65908A32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7512998C" w14:textId="77777777" w:rsidR="00CA323D" w:rsidRPr="0012406E" w:rsidRDefault="00CA323D" w:rsidP="00CA323D">
      <w:pPr>
        <w:rPr>
          <w:rFonts w:ascii="Bookman Old Style" w:hAnsi="Bookman Old Style"/>
          <w:b/>
          <w:bCs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135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Pr="0012406E">
        <w:rPr>
          <w:rFonts w:ascii="Bookman Old Style" w:hAnsi="Bookman Old Style"/>
          <w:b/>
          <w:bCs/>
          <w:sz w:val="22"/>
          <w:szCs w:val="22"/>
        </w:rPr>
        <w:t>Electrical Permits</w:t>
      </w:r>
    </w:p>
    <w:p w14:paraId="65997396" w14:textId="77777777" w:rsidR="00CA323D" w:rsidRPr="004623F7" w:rsidRDefault="00CA323D" w:rsidP="00CA323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§§</w:t>
      </w:r>
      <w:r w:rsidR="00980747" w:rsidRPr="004623F7">
        <w:rPr>
          <w:rFonts w:ascii="Bookman Old Style" w:hAnsi="Bookman Old Style"/>
          <w:sz w:val="22"/>
          <w:szCs w:val="22"/>
        </w:rPr>
        <w:t xml:space="preserve"> </w:t>
      </w:r>
      <w:r w:rsidR="00FF72F3" w:rsidRPr="004623F7">
        <w:rPr>
          <w:rFonts w:ascii="Bookman Old Style" w:hAnsi="Bookman Old Style"/>
          <w:sz w:val="22"/>
          <w:szCs w:val="22"/>
        </w:rPr>
        <w:t xml:space="preserve">1102-C, </w:t>
      </w:r>
      <w:r w:rsidRPr="004623F7">
        <w:rPr>
          <w:rFonts w:ascii="Bookman Old Style" w:hAnsi="Bookman Old Style"/>
          <w:sz w:val="22"/>
          <w:szCs w:val="22"/>
        </w:rPr>
        <w:t>1153</w:t>
      </w:r>
      <w:r w:rsidR="00980747" w:rsidRPr="004623F7">
        <w:rPr>
          <w:rFonts w:ascii="Bookman Old Style" w:hAnsi="Bookman Old Style"/>
          <w:sz w:val="22"/>
          <w:szCs w:val="22"/>
        </w:rPr>
        <w:t>,</w:t>
      </w:r>
      <w:r w:rsidRPr="004623F7">
        <w:rPr>
          <w:rFonts w:ascii="Bookman Old Style" w:hAnsi="Bookman Old Style"/>
          <w:sz w:val="22"/>
          <w:szCs w:val="22"/>
        </w:rPr>
        <w:t xml:space="preserve"> 1153-A</w:t>
      </w:r>
    </w:p>
    <w:p w14:paraId="4AF438B4" w14:textId="77777777" w:rsidR="00CA323D" w:rsidRPr="004623F7" w:rsidRDefault="00CA323D" w:rsidP="00CA323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PURPOSE: The Board may review and revise its rules to ensure clarity and confo</w:t>
      </w:r>
      <w:r w:rsidR="00916BC3" w:rsidRPr="004623F7">
        <w:rPr>
          <w:rFonts w:ascii="Bookman Old Style" w:hAnsi="Bookman Old Style"/>
          <w:sz w:val="22"/>
          <w:szCs w:val="22"/>
        </w:rPr>
        <w:t>rmity with the enabling statute by amending requirements relating to the issuance of electrical permits</w:t>
      </w:r>
      <w:r w:rsidRPr="004623F7">
        <w:rPr>
          <w:rFonts w:ascii="Bookman Old Style" w:hAnsi="Bookman Old Style"/>
          <w:sz w:val="22"/>
          <w:szCs w:val="22"/>
        </w:rPr>
        <w:t>.</w:t>
      </w:r>
    </w:p>
    <w:p w14:paraId="16302ADC" w14:textId="77777777" w:rsidR="00CA323D" w:rsidRPr="004623F7" w:rsidRDefault="00CA323D" w:rsidP="00CA323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50E8E8C0" w14:textId="7F2FB9E7" w:rsidR="00CA323D" w:rsidRPr="004623F7" w:rsidRDefault="00CA323D" w:rsidP="00CA323D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AFFECTED PARTIES: Licensees</w:t>
      </w:r>
      <w:r w:rsidR="0012406E">
        <w:rPr>
          <w:rFonts w:ascii="Bookman Old Style" w:hAnsi="Bookman Old Style"/>
          <w:sz w:val="22"/>
          <w:szCs w:val="22"/>
        </w:rPr>
        <w:t xml:space="preserve"> and members of the public.</w:t>
      </w:r>
    </w:p>
    <w:p w14:paraId="1235FBBF" w14:textId="466D8C65" w:rsidR="00CA323D" w:rsidRPr="004623F7" w:rsidRDefault="00CA323D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CONSENSUS-BASES RULE DEVELOPMENT: N</w:t>
      </w:r>
      <w:r w:rsidR="0012406E">
        <w:rPr>
          <w:rFonts w:ascii="Bookman Old Style" w:hAnsi="Bookman Old Style"/>
          <w:sz w:val="22"/>
          <w:szCs w:val="22"/>
        </w:rPr>
        <w:t>/A</w:t>
      </w:r>
    </w:p>
    <w:p w14:paraId="3C079ABD" w14:textId="77777777" w:rsidR="00EA59E5" w:rsidRPr="004623F7" w:rsidRDefault="00EA59E5" w:rsidP="008464DC">
      <w:pPr>
        <w:rPr>
          <w:rFonts w:ascii="Bookman Old Style" w:hAnsi="Bookman Old Style"/>
          <w:sz w:val="22"/>
          <w:szCs w:val="22"/>
        </w:rPr>
      </w:pPr>
    </w:p>
    <w:p w14:paraId="05A4ED4C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b/>
          <w:sz w:val="22"/>
          <w:szCs w:val="22"/>
        </w:rPr>
        <w:t>CHAPTER 150</w:t>
      </w:r>
      <w:r w:rsidRPr="004623F7">
        <w:rPr>
          <w:rFonts w:ascii="Bookman Old Style" w:hAnsi="Bookman Old Style"/>
          <w:sz w:val="22"/>
          <w:szCs w:val="22"/>
        </w:rPr>
        <w:t xml:space="preserve">: </w:t>
      </w:r>
      <w:r w:rsidRPr="0012406E">
        <w:rPr>
          <w:rFonts w:ascii="Bookman Old Style" w:hAnsi="Bookman Old Style"/>
          <w:b/>
          <w:bCs/>
          <w:sz w:val="22"/>
          <w:szCs w:val="22"/>
        </w:rPr>
        <w:t>Reciprocity</w:t>
      </w:r>
    </w:p>
    <w:p w14:paraId="2330236D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STATUTORY AUTHORITY: 32 M.R.S. §</w:t>
      </w:r>
      <w:r w:rsidR="00980747" w:rsidRPr="004623F7">
        <w:rPr>
          <w:rFonts w:ascii="Bookman Old Style" w:hAnsi="Bookman Old Style"/>
          <w:sz w:val="22"/>
          <w:szCs w:val="22"/>
        </w:rPr>
        <w:t xml:space="preserve">§ 1153, </w:t>
      </w:r>
      <w:r w:rsidRPr="004623F7">
        <w:rPr>
          <w:rFonts w:ascii="Bookman Old Style" w:hAnsi="Bookman Old Style"/>
          <w:sz w:val="22"/>
          <w:szCs w:val="22"/>
        </w:rPr>
        <w:t>1206</w:t>
      </w:r>
    </w:p>
    <w:p w14:paraId="08CBC386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PURPOSE: The Board may review and revise its rules to ensure clarity and conformity with the enabling statute by </w:t>
      </w:r>
      <w:r w:rsidR="00163242" w:rsidRPr="004623F7">
        <w:rPr>
          <w:rFonts w:ascii="Bookman Old Style" w:hAnsi="Bookman Old Style"/>
          <w:sz w:val="22"/>
          <w:szCs w:val="22"/>
        </w:rPr>
        <w:t>amending</w:t>
      </w:r>
      <w:r w:rsidRPr="004623F7">
        <w:rPr>
          <w:rFonts w:ascii="Bookman Old Style" w:hAnsi="Bookman Old Style"/>
          <w:sz w:val="22"/>
          <w:szCs w:val="22"/>
        </w:rPr>
        <w:t xml:space="preserve"> the procedures for qualifying for licensure by reciprocity.</w:t>
      </w:r>
    </w:p>
    <w:p w14:paraId="0C18A4A1" w14:textId="77777777" w:rsidR="008464DC" w:rsidRPr="004623F7" w:rsidRDefault="004508A5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SCHEDULE FOR ADOPTION</w:t>
      </w:r>
      <w:r w:rsidR="008464DC" w:rsidRPr="004623F7">
        <w:rPr>
          <w:rFonts w:ascii="Bookman Old Style" w:hAnsi="Bookman Old Style"/>
          <w:sz w:val="22"/>
          <w:szCs w:val="22"/>
        </w:rPr>
        <w:t xml:space="preserve">: </w:t>
      </w:r>
      <w:r w:rsidRPr="004623F7">
        <w:rPr>
          <w:rFonts w:ascii="Bookman Old Style" w:hAnsi="Bookman Old Style"/>
          <w:sz w:val="22"/>
          <w:szCs w:val="22"/>
        </w:rPr>
        <w:t>Within one year, if necessary</w:t>
      </w:r>
      <w:r w:rsidR="008464DC" w:rsidRPr="004623F7">
        <w:rPr>
          <w:rFonts w:ascii="Bookman Old Style" w:hAnsi="Bookman Old Style"/>
          <w:sz w:val="22"/>
          <w:szCs w:val="22"/>
        </w:rPr>
        <w:t>.</w:t>
      </w:r>
    </w:p>
    <w:p w14:paraId="287069C4" w14:textId="7B466B7D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 xml:space="preserve">AFFECTED PARTIES: </w:t>
      </w:r>
      <w:r w:rsidR="0012406E">
        <w:rPr>
          <w:rFonts w:ascii="Bookman Old Style" w:hAnsi="Bookman Old Style"/>
          <w:sz w:val="22"/>
          <w:szCs w:val="22"/>
        </w:rPr>
        <w:t>Applicants for licensure</w:t>
      </w:r>
      <w:r w:rsidR="004508A5" w:rsidRPr="004623F7">
        <w:rPr>
          <w:rFonts w:ascii="Bookman Old Style" w:hAnsi="Bookman Old Style"/>
          <w:sz w:val="22"/>
          <w:szCs w:val="22"/>
        </w:rPr>
        <w:t>.</w:t>
      </w:r>
    </w:p>
    <w:p w14:paraId="7B963D4C" w14:textId="03A50E50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  <w:r w:rsidRPr="004623F7">
        <w:rPr>
          <w:rFonts w:ascii="Bookman Old Style" w:hAnsi="Bookman Old Style"/>
          <w:sz w:val="22"/>
          <w:szCs w:val="22"/>
        </w:rPr>
        <w:t>CONSENSUS-BASED RULE DEVELOPMENT: N</w:t>
      </w:r>
      <w:r w:rsidR="0012406E">
        <w:rPr>
          <w:rFonts w:ascii="Bookman Old Style" w:hAnsi="Bookman Old Style"/>
          <w:sz w:val="22"/>
          <w:szCs w:val="22"/>
        </w:rPr>
        <w:t>/A</w:t>
      </w:r>
    </w:p>
    <w:p w14:paraId="53C7C8A3" w14:textId="3268F5A6" w:rsidR="00624BD6" w:rsidRPr="004623F7" w:rsidRDefault="00624BD6" w:rsidP="008464DC">
      <w:pPr>
        <w:rPr>
          <w:rFonts w:ascii="Bookman Old Style" w:hAnsi="Bookman Old Style"/>
          <w:sz w:val="22"/>
          <w:szCs w:val="22"/>
        </w:rPr>
      </w:pPr>
    </w:p>
    <w:p w14:paraId="6C5BFB3E" w14:textId="29508CAC" w:rsidR="00624BD6" w:rsidRPr="0012406E" w:rsidRDefault="00624BD6" w:rsidP="00624BD6">
      <w:pPr>
        <w:rPr>
          <w:rFonts w:ascii="Bookman Old Style" w:hAnsi="Bookman Old Style"/>
          <w:b/>
          <w:bCs/>
          <w:sz w:val="22"/>
          <w:szCs w:val="22"/>
        </w:rPr>
      </w:pPr>
      <w:r w:rsidRPr="000C74E5">
        <w:rPr>
          <w:rFonts w:ascii="Bookman Old Style" w:hAnsi="Bookman Old Style"/>
          <w:b/>
          <w:sz w:val="22"/>
          <w:szCs w:val="22"/>
        </w:rPr>
        <w:t>CHAPTER 160</w:t>
      </w:r>
      <w:r w:rsidRPr="000C74E5">
        <w:rPr>
          <w:rFonts w:ascii="Bookman Old Style" w:hAnsi="Bookman Old Style"/>
          <w:sz w:val="22"/>
          <w:szCs w:val="22"/>
        </w:rPr>
        <w:t xml:space="preserve">: </w:t>
      </w:r>
      <w:r w:rsidRPr="0012406E">
        <w:rPr>
          <w:rFonts w:ascii="Bookman Old Style" w:hAnsi="Bookman Old Style"/>
          <w:b/>
          <w:bCs/>
          <w:sz w:val="22"/>
          <w:szCs w:val="22"/>
        </w:rPr>
        <w:t>Power Generation Systems as Electrical Installations</w:t>
      </w:r>
    </w:p>
    <w:p w14:paraId="1FC268CB" w14:textId="055B3F53" w:rsidR="00624BD6" w:rsidRPr="000C74E5" w:rsidRDefault="00624BD6" w:rsidP="00624BD6">
      <w:pPr>
        <w:rPr>
          <w:rFonts w:ascii="Bookman Old Style" w:hAnsi="Bookman Old Style"/>
          <w:sz w:val="22"/>
          <w:szCs w:val="22"/>
        </w:rPr>
      </w:pPr>
      <w:r w:rsidRPr="000C74E5">
        <w:rPr>
          <w:rFonts w:ascii="Bookman Old Style" w:hAnsi="Bookman Old Style"/>
          <w:sz w:val="22"/>
          <w:szCs w:val="22"/>
        </w:rPr>
        <w:t xml:space="preserve">STATUTORY AUTHORITY: 32 M.R.S. §§ 1101, 1153, </w:t>
      </w:r>
      <w:r w:rsidR="00013F72" w:rsidRPr="000C74E5">
        <w:rPr>
          <w:rFonts w:ascii="Bookman Old Style" w:hAnsi="Bookman Old Style"/>
          <w:sz w:val="22"/>
          <w:szCs w:val="22"/>
        </w:rPr>
        <w:t>&amp; 1153-A</w:t>
      </w:r>
    </w:p>
    <w:p w14:paraId="003B038D" w14:textId="4B6598D6" w:rsidR="00624BD6" w:rsidRPr="000C74E5" w:rsidRDefault="00624BD6" w:rsidP="00624BD6">
      <w:pPr>
        <w:rPr>
          <w:rFonts w:ascii="Bookman Old Style" w:hAnsi="Bookman Old Style"/>
          <w:sz w:val="22"/>
          <w:szCs w:val="22"/>
        </w:rPr>
      </w:pPr>
      <w:r w:rsidRPr="000C74E5">
        <w:rPr>
          <w:rFonts w:ascii="Bookman Old Style" w:hAnsi="Bookman Old Style"/>
          <w:sz w:val="22"/>
          <w:szCs w:val="22"/>
        </w:rPr>
        <w:t xml:space="preserve">PURPOSE: The Board </w:t>
      </w:r>
      <w:r w:rsidR="004E789A">
        <w:rPr>
          <w:rFonts w:ascii="Bookman Old Style" w:hAnsi="Bookman Old Style"/>
          <w:sz w:val="22"/>
          <w:szCs w:val="22"/>
        </w:rPr>
        <w:t xml:space="preserve">may review and revise its rules on </w:t>
      </w:r>
      <w:r w:rsidR="00013F72" w:rsidRPr="000C74E5">
        <w:rPr>
          <w:rFonts w:ascii="Bookman Old Style" w:hAnsi="Bookman Old Style"/>
          <w:sz w:val="22"/>
          <w:szCs w:val="22"/>
        </w:rPr>
        <w:t>when installations of power generation systems are, and are not, considered “electrical installations” as defined in statute.</w:t>
      </w:r>
      <w:r w:rsidRPr="000C74E5">
        <w:rPr>
          <w:rFonts w:ascii="Bookman Old Style" w:hAnsi="Bookman Old Style"/>
          <w:sz w:val="22"/>
          <w:szCs w:val="22"/>
        </w:rPr>
        <w:t xml:space="preserve"> </w:t>
      </w:r>
    </w:p>
    <w:p w14:paraId="7303D67E" w14:textId="77777777" w:rsidR="00624BD6" w:rsidRPr="000C74E5" w:rsidRDefault="00624BD6" w:rsidP="00624BD6">
      <w:pPr>
        <w:rPr>
          <w:rFonts w:ascii="Bookman Old Style" w:hAnsi="Bookman Old Style"/>
          <w:sz w:val="22"/>
          <w:szCs w:val="22"/>
        </w:rPr>
      </w:pPr>
      <w:r w:rsidRPr="000C74E5">
        <w:rPr>
          <w:rFonts w:ascii="Bookman Old Style" w:hAnsi="Bookman Old Style"/>
          <w:sz w:val="22"/>
          <w:szCs w:val="22"/>
        </w:rPr>
        <w:t>SCHEDULE FOR ADOPTION: Within one year, if necessary.</w:t>
      </w:r>
    </w:p>
    <w:p w14:paraId="7548884C" w14:textId="5D178A4D" w:rsidR="00624BD6" w:rsidRPr="000C74E5" w:rsidRDefault="00624BD6" w:rsidP="00624BD6">
      <w:pPr>
        <w:rPr>
          <w:rFonts w:ascii="Bookman Old Style" w:hAnsi="Bookman Old Style"/>
          <w:sz w:val="22"/>
          <w:szCs w:val="22"/>
        </w:rPr>
      </w:pPr>
      <w:r w:rsidRPr="000C74E5">
        <w:rPr>
          <w:rFonts w:ascii="Bookman Old Style" w:hAnsi="Bookman Old Style"/>
          <w:sz w:val="22"/>
          <w:szCs w:val="22"/>
        </w:rPr>
        <w:t xml:space="preserve">AFFECTED PARTIES: </w:t>
      </w:r>
      <w:r w:rsidR="0012406E">
        <w:rPr>
          <w:rFonts w:ascii="Bookman Old Style" w:hAnsi="Bookman Old Style"/>
          <w:sz w:val="22"/>
          <w:szCs w:val="22"/>
        </w:rPr>
        <w:t>Licensees and members of the public.</w:t>
      </w:r>
    </w:p>
    <w:p w14:paraId="7AA1C2D1" w14:textId="4C25E166" w:rsidR="00624BD6" w:rsidRPr="000C74E5" w:rsidRDefault="00624BD6" w:rsidP="00624BD6">
      <w:pPr>
        <w:rPr>
          <w:rFonts w:ascii="Bookman Old Style" w:hAnsi="Bookman Old Style"/>
          <w:sz w:val="22"/>
          <w:szCs w:val="22"/>
        </w:rPr>
      </w:pPr>
      <w:r w:rsidRPr="656A5D68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12406E" w:rsidRPr="656A5D68">
        <w:rPr>
          <w:rFonts w:ascii="Bookman Old Style" w:hAnsi="Bookman Old Style"/>
          <w:sz w:val="22"/>
          <w:szCs w:val="22"/>
        </w:rPr>
        <w:t>N/A</w:t>
      </w:r>
      <w:r w:rsidRPr="656A5D68">
        <w:rPr>
          <w:rFonts w:ascii="Bookman Old Style" w:hAnsi="Bookman Old Style"/>
          <w:sz w:val="22"/>
          <w:szCs w:val="22"/>
        </w:rPr>
        <w:t>.</w:t>
      </w:r>
    </w:p>
    <w:p w14:paraId="2A31F0F7" w14:textId="12B35367" w:rsidR="656A5D68" w:rsidRDefault="656A5D68" w:rsidP="656A5D68">
      <w:pPr>
        <w:rPr>
          <w:rFonts w:ascii="Bookman Old Style" w:hAnsi="Bookman Old Style"/>
          <w:sz w:val="22"/>
          <w:szCs w:val="22"/>
        </w:rPr>
      </w:pPr>
    </w:p>
    <w:p w14:paraId="1942A74A" w14:textId="03AD5458" w:rsidR="656A5D68" w:rsidRDefault="656A5D68" w:rsidP="656A5D68">
      <w:pPr>
        <w:rPr>
          <w:rFonts w:ascii="Bookman Old Style" w:hAnsi="Bookman Old Style"/>
          <w:sz w:val="22"/>
          <w:szCs w:val="22"/>
        </w:rPr>
      </w:pPr>
    </w:p>
    <w:p w14:paraId="4DBA762F" w14:textId="77777777" w:rsidR="008464DC" w:rsidRPr="004623F7" w:rsidRDefault="008464DC" w:rsidP="008464DC">
      <w:pPr>
        <w:rPr>
          <w:rFonts w:ascii="Bookman Old Style" w:hAnsi="Bookman Old Style"/>
          <w:sz w:val="22"/>
          <w:szCs w:val="22"/>
        </w:rPr>
      </w:pPr>
    </w:p>
    <w:p w14:paraId="4ED57FC7" w14:textId="77777777" w:rsidR="002254EC" w:rsidRPr="004623F7" w:rsidRDefault="002254EC">
      <w:pPr>
        <w:rPr>
          <w:rFonts w:ascii="Bookman Old Style" w:hAnsi="Bookman Old Style"/>
          <w:sz w:val="22"/>
          <w:szCs w:val="22"/>
        </w:rPr>
      </w:pPr>
    </w:p>
    <w:sectPr w:rsidR="002254EC" w:rsidRPr="004623F7" w:rsidSect="000A74CD"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1A30" w14:textId="77777777" w:rsidR="00031815" w:rsidRDefault="00031815" w:rsidP="000A74CD">
      <w:r>
        <w:separator/>
      </w:r>
    </w:p>
  </w:endnote>
  <w:endnote w:type="continuationSeparator" w:id="0">
    <w:p w14:paraId="4D207E35" w14:textId="77777777" w:rsidR="00031815" w:rsidRDefault="00031815" w:rsidP="000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D498" w14:textId="77777777" w:rsidR="000A74CD" w:rsidRDefault="000A7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43F2" w14:textId="77777777" w:rsidR="00031815" w:rsidRDefault="00031815" w:rsidP="000A74CD">
      <w:r>
        <w:separator/>
      </w:r>
    </w:p>
  </w:footnote>
  <w:footnote w:type="continuationSeparator" w:id="0">
    <w:p w14:paraId="666456DD" w14:textId="77777777" w:rsidR="00031815" w:rsidRDefault="00031815" w:rsidP="000A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aytDQ2MzAztTBU0lEKTi0uzszPAykwNKgFAC1eiJEtAAAA"/>
  </w:docVars>
  <w:rsids>
    <w:rsidRoot w:val="008464DC"/>
    <w:rsid w:val="00013F72"/>
    <w:rsid w:val="00031815"/>
    <w:rsid w:val="00036AC6"/>
    <w:rsid w:val="000A1839"/>
    <w:rsid w:val="000A3D8B"/>
    <w:rsid w:val="000A4239"/>
    <w:rsid w:val="000A5A52"/>
    <w:rsid w:val="000A74CD"/>
    <w:rsid w:val="000A7C01"/>
    <w:rsid w:val="000C74E5"/>
    <w:rsid w:val="000D394D"/>
    <w:rsid w:val="00103AEC"/>
    <w:rsid w:val="00120496"/>
    <w:rsid w:val="0012406E"/>
    <w:rsid w:val="00130DA4"/>
    <w:rsid w:val="00155C53"/>
    <w:rsid w:val="00163242"/>
    <w:rsid w:val="00186118"/>
    <w:rsid w:val="001B7972"/>
    <w:rsid w:val="001F501E"/>
    <w:rsid w:val="002254EC"/>
    <w:rsid w:val="00252217"/>
    <w:rsid w:val="0025444F"/>
    <w:rsid w:val="00290C8C"/>
    <w:rsid w:val="002958F2"/>
    <w:rsid w:val="002A2614"/>
    <w:rsid w:val="002C15F7"/>
    <w:rsid w:val="002E0ED7"/>
    <w:rsid w:val="002E1A34"/>
    <w:rsid w:val="00313570"/>
    <w:rsid w:val="00333599"/>
    <w:rsid w:val="0034407D"/>
    <w:rsid w:val="00403A62"/>
    <w:rsid w:val="00407E0C"/>
    <w:rsid w:val="004149B8"/>
    <w:rsid w:val="00421E2D"/>
    <w:rsid w:val="004430C3"/>
    <w:rsid w:val="004508A5"/>
    <w:rsid w:val="00461BCF"/>
    <w:rsid w:val="004623F7"/>
    <w:rsid w:val="00476443"/>
    <w:rsid w:val="00480568"/>
    <w:rsid w:val="004A14DA"/>
    <w:rsid w:val="004C7061"/>
    <w:rsid w:val="004E789A"/>
    <w:rsid w:val="00503DCC"/>
    <w:rsid w:val="00514ED3"/>
    <w:rsid w:val="00536FBB"/>
    <w:rsid w:val="005440B7"/>
    <w:rsid w:val="00552EA5"/>
    <w:rsid w:val="005E1A4A"/>
    <w:rsid w:val="006243A4"/>
    <w:rsid w:val="00624BD6"/>
    <w:rsid w:val="00630FEB"/>
    <w:rsid w:val="00655E9A"/>
    <w:rsid w:val="00656716"/>
    <w:rsid w:val="00656D26"/>
    <w:rsid w:val="0066719D"/>
    <w:rsid w:val="00680BEE"/>
    <w:rsid w:val="00692186"/>
    <w:rsid w:val="006B3550"/>
    <w:rsid w:val="006E0963"/>
    <w:rsid w:val="00701524"/>
    <w:rsid w:val="00717DA6"/>
    <w:rsid w:val="007818DA"/>
    <w:rsid w:val="007875BA"/>
    <w:rsid w:val="007B4778"/>
    <w:rsid w:val="00807351"/>
    <w:rsid w:val="008464DC"/>
    <w:rsid w:val="00872542"/>
    <w:rsid w:val="00897DC6"/>
    <w:rsid w:val="008A1D72"/>
    <w:rsid w:val="008A60F1"/>
    <w:rsid w:val="008D598F"/>
    <w:rsid w:val="00916BC3"/>
    <w:rsid w:val="00922528"/>
    <w:rsid w:val="00977390"/>
    <w:rsid w:val="00980747"/>
    <w:rsid w:val="009909E0"/>
    <w:rsid w:val="009D6748"/>
    <w:rsid w:val="009F18B7"/>
    <w:rsid w:val="00A01834"/>
    <w:rsid w:val="00A12F39"/>
    <w:rsid w:val="00A248D2"/>
    <w:rsid w:val="00A445C2"/>
    <w:rsid w:val="00A5475B"/>
    <w:rsid w:val="00A96CB9"/>
    <w:rsid w:val="00AA06C2"/>
    <w:rsid w:val="00AB649A"/>
    <w:rsid w:val="00AF1055"/>
    <w:rsid w:val="00B11E7D"/>
    <w:rsid w:val="00B156D6"/>
    <w:rsid w:val="00B2079E"/>
    <w:rsid w:val="00B357C8"/>
    <w:rsid w:val="00B83290"/>
    <w:rsid w:val="00BA4FB7"/>
    <w:rsid w:val="00C01926"/>
    <w:rsid w:val="00C13581"/>
    <w:rsid w:val="00C45AFF"/>
    <w:rsid w:val="00C569EA"/>
    <w:rsid w:val="00C81992"/>
    <w:rsid w:val="00CA323D"/>
    <w:rsid w:val="00CD77CF"/>
    <w:rsid w:val="00D51EA2"/>
    <w:rsid w:val="00D6594A"/>
    <w:rsid w:val="00D800A9"/>
    <w:rsid w:val="00DA4E50"/>
    <w:rsid w:val="00DA5EB8"/>
    <w:rsid w:val="00DC7485"/>
    <w:rsid w:val="00E2127F"/>
    <w:rsid w:val="00E45053"/>
    <w:rsid w:val="00E52344"/>
    <w:rsid w:val="00E617D3"/>
    <w:rsid w:val="00E7715D"/>
    <w:rsid w:val="00EA59E5"/>
    <w:rsid w:val="00EB2062"/>
    <w:rsid w:val="00EF746B"/>
    <w:rsid w:val="00F314F1"/>
    <w:rsid w:val="00F965A1"/>
    <w:rsid w:val="00FA7546"/>
    <w:rsid w:val="00FF41BF"/>
    <w:rsid w:val="00FF72F3"/>
    <w:rsid w:val="02DC33AD"/>
    <w:rsid w:val="03B41C52"/>
    <w:rsid w:val="05F34452"/>
    <w:rsid w:val="07DF1740"/>
    <w:rsid w:val="084B1FFA"/>
    <w:rsid w:val="119669FB"/>
    <w:rsid w:val="1DD4C297"/>
    <w:rsid w:val="213797D2"/>
    <w:rsid w:val="2256CE0F"/>
    <w:rsid w:val="2A4C20F1"/>
    <w:rsid w:val="2AE08B45"/>
    <w:rsid w:val="2D3A8C16"/>
    <w:rsid w:val="38644F3A"/>
    <w:rsid w:val="3B0AE3C0"/>
    <w:rsid w:val="3D463751"/>
    <w:rsid w:val="3F2E3125"/>
    <w:rsid w:val="41D918D0"/>
    <w:rsid w:val="4476D575"/>
    <w:rsid w:val="4C4FC2DF"/>
    <w:rsid w:val="4F206F71"/>
    <w:rsid w:val="526E31A4"/>
    <w:rsid w:val="5B23C9B8"/>
    <w:rsid w:val="5B23E802"/>
    <w:rsid w:val="5C8C57E3"/>
    <w:rsid w:val="5D360947"/>
    <w:rsid w:val="60D58B0C"/>
    <w:rsid w:val="63721A7C"/>
    <w:rsid w:val="656A5D68"/>
    <w:rsid w:val="66F48D82"/>
    <w:rsid w:val="6EF906C9"/>
    <w:rsid w:val="77554A43"/>
    <w:rsid w:val="77676986"/>
    <w:rsid w:val="7B848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48FBB"/>
  <w15:docId w15:val="{34604FDA-96B6-4618-A3B4-E3908E61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569EA"/>
    <w:rPr>
      <w:sz w:val="24"/>
    </w:rPr>
  </w:style>
  <w:style w:type="character" w:styleId="Hyperlink">
    <w:name w:val="Hyperlink"/>
    <w:rsid w:val="00E617D3"/>
    <w:rPr>
      <w:color w:val="0000FF"/>
      <w:u w:val="single"/>
    </w:rPr>
  </w:style>
  <w:style w:type="paragraph" w:styleId="Header">
    <w:name w:val="header"/>
    <w:basedOn w:val="Normal"/>
    <w:link w:val="HeaderChar"/>
    <w:rsid w:val="000A7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74CD"/>
  </w:style>
  <w:style w:type="paragraph" w:styleId="Footer">
    <w:name w:val="footer"/>
    <w:basedOn w:val="Normal"/>
    <w:link w:val="FooterChar"/>
    <w:uiPriority w:val="99"/>
    <w:rsid w:val="000A7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CD"/>
  </w:style>
  <w:style w:type="character" w:styleId="CommentReference">
    <w:name w:val="annotation reference"/>
    <w:semiHidden/>
    <w:unhideWhenUsed/>
    <w:rsid w:val="004623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23F7"/>
  </w:style>
  <w:style w:type="character" w:customStyle="1" w:styleId="CommentTextChar">
    <w:name w:val="Comment Text Char"/>
    <w:basedOn w:val="DefaultParagraphFont"/>
    <w:link w:val="CommentText"/>
    <w:semiHidden/>
    <w:rsid w:val="004623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23F7"/>
    <w:rPr>
      <w:b/>
      <w:bCs/>
    </w:rPr>
  </w:style>
  <w:style w:type="character" w:customStyle="1" w:styleId="CommentSubjectChar">
    <w:name w:val="Comment Subject Char"/>
    <w:link w:val="CommentSubject"/>
    <w:semiHidden/>
    <w:rsid w:val="004623F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6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623F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F18B7"/>
  </w:style>
  <w:style w:type="character" w:customStyle="1" w:styleId="eop">
    <w:name w:val="eop"/>
    <w:basedOn w:val="DefaultParagraphFont"/>
    <w:rsid w:val="009F18B7"/>
  </w:style>
  <w:style w:type="paragraph" w:customStyle="1" w:styleId="paragraph">
    <w:name w:val="paragraph"/>
    <w:basedOn w:val="Normal"/>
    <w:rsid w:val="00656716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01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6C0AA6-AA00-4F88-B301-99AF45786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28771-5EEF-467A-9F74-FC672CBC3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BAABA-506E-4D70-B2A6-A5912FB73EB2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3210</Characters>
  <Application>Microsoft Office Word</Application>
  <DocSecurity>0</DocSecurity>
  <Lines>26</Lines>
  <Paragraphs>7</Paragraphs>
  <ScaleCrop>false</ScaleCrop>
  <Company>Dept of Professional and Financial Regulation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REGULATORY AGENDA</dc:title>
  <dc:subject/>
  <dc:creator>cheryl.c.hersom</dc:creator>
  <cp:keywords/>
  <dc:description/>
  <cp:lastModifiedBy>Vaillancourt, Penny</cp:lastModifiedBy>
  <cp:revision>27</cp:revision>
  <cp:lastPrinted>2009-09-18T13:46:00Z</cp:lastPrinted>
  <dcterms:created xsi:type="dcterms:W3CDTF">2023-06-30T02:10:00Z</dcterms:created>
  <dcterms:modified xsi:type="dcterms:W3CDTF">2025-06-27T20:01:00Z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