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F993" w14:textId="4625C4A8" w:rsidR="00FE39D5" w:rsidRDefault="00FE39D5" w:rsidP="00FE39D5">
      <w:pPr>
        <w:pStyle w:val="Default"/>
        <w:jc w:val="center"/>
        <w:rPr>
          <w:sz w:val="22"/>
          <w:szCs w:val="22"/>
        </w:rPr>
      </w:pPr>
      <w:r>
        <w:rPr>
          <w:b/>
          <w:bCs/>
          <w:sz w:val="22"/>
          <w:szCs w:val="22"/>
        </w:rPr>
        <w:t>02-041</w:t>
      </w:r>
    </w:p>
    <w:p w14:paraId="2D2B6335" w14:textId="31F6480F" w:rsidR="00FE39D5" w:rsidRDefault="00FE39D5" w:rsidP="00FE39D5">
      <w:pPr>
        <w:pStyle w:val="Default"/>
        <w:jc w:val="center"/>
        <w:rPr>
          <w:sz w:val="22"/>
          <w:szCs w:val="22"/>
        </w:rPr>
      </w:pPr>
      <w:r>
        <w:rPr>
          <w:sz w:val="22"/>
          <w:szCs w:val="22"/>
        </w:rPr>
        <w:t>Office of Professional and Occupational Regulation</w:t>
      </w:r>
    </w:p>
    <w:p w14:paraId="7489A3D2" w14:textId="3623FB69" w:rsidR="00FE39D5" w:rsidRDefault="00FE39D5" w:rsidP="00FE39D5">
      <w:pPr>
        <w:pStyle w:val="Default"/>
        <w:jc w:val="center"/>
        <w:rPr>
          <w:sz w:val="22"/>
          <w:szCs w:val="22"/>
        </w:rPr>
      </w:pPr>
      <w:r>
        <w:rPr>
          <w:b/>
          <w:bCs/>
          <w:sz w:val="22"/>
          <w:szCs w:val="22"/>
        </w:rPr>
        <w:t>CHARITABLE SOLICITATIONS</w:t>
      </w:r>
      <w:r w:rsidR="003167AB">
        <w:rPr>
          <w:b/>
          <w:bCs/>
          <w:sz w:val="22"/>
          <w:szCs w:val="22"/>
        </w:rPr>
        <w:t xml:space="preserve"> ACT</w:t>
      </w:r>
    </w:p>
    <w:p w14:paraId="5F5E98A3" w14:textId="44F6E195" w:rsidR="00FE39D5" w:rsidRDefault="00FE39D5" w:rsidP="00FE39D5">
      <w:pPr>
        <w:pStyle w:val="Default"/>
        <w:jc w:val="center"/>
        <w:rPr>
          <w:sz w:val="22"/>
          <w:szCs w:val="22"/>
        </w:rPr>
      </w:pPr>
      <w:r w:rsidRPr="79876752">
        <w:rPr>
          <w:sz w:val="22"/>
          <w:szCs w:val="22"/>
        </w:rPr>
        <w:t>202</w:t>
      </w:r>
      <w:r w:rsidR="56430B02" w:rsidRPr="79876752">
        <w:rPr>
          <w:sz w:val="22"/>
          <w:szCs w:val="22"/>
        </w:rPr>
        <w:t>5</w:t>
      </w:r>
      <w:r w:rsidR="336CC8D7" w:rsidRPr="79876752">
        <w:rPr>
          <w:sz w:val="22"/>
          <w:szCs w:val="22"/>
        </w:rPr>
        <w:t>–</w:t>
      </w:r>
      <w:r w:rsidRPr="79876752">
        <w:rPr>
          <w:sz w:val="22"/>
          <w:szCs w:val="22"/>
        </w:rPr>
        <w:t>202</w:t>
      </w:r>
      <w:r w:rsidR="181840B3" w:rsidRPr="79876752">
        <w:rPr>
          <w:sz w:val="22"/>
          <w:szCs w:val="22"/>
        </w:rPr>
        <w:t>6</w:t>
      </w:r>
      <w:r w:rsidR="336CC8D7" w:rsidRPr="79876752">
        <w:rPr>
          <w:sz w:val="22"/>
          <w:szCs w:val="22"/>
        </w:rPr>
        <w:t xml:space="preserve"> </w:t>
      </w:r>
      <w:r w:rsidRPr="79876752">
        <w:rPr>
          <w:sz w:val="22"/>
          <w:szCs w:val="22"/>
        </w:rPr>
        <w:t>Regulatory Agenda</w:t>
      </w:r>
    </w:p>
    <w:p w14:paraId="3DFE28B3" w14:textId="77777777" w:rsidR="00FE39D5" w:rsidRDefault="00FE39D5" w:rsidP="00FE39D5">
      <w:pPr>
        <w:pStyle w:val="Default"/>
        <w:rPr>
          <w:sz w:val="22"/>
          <w:szCs w:val="22"/>
        </w:rPr>
      </w:pPr>
    </w:p>
    <w:p w14:paraId="4B128E0A" w14:textId="6C3EBDA4" w:rsidR="00FE39D5" w:rsidRDefault="00FE39D5" w:rsidP="00FE39D5">
      <w:pPr>
        <w:pStyle w:val="Default"/>
        <w:rPr>
          <w:sz w:val="22"/>
          <w:szCs w:val="22"/>
        </w:rPr>
      </w:pPr>
      <w:r>
        <w:rPr>
          <w:sz w:val="22"/>
          <w:szCs w:val="22"/>
        </w:rPr>
        <w:t xml:space="preserve">AGENCY UMBRELLA-UNIT NUMBER: </w:t>
      </w:r>
      <w:r>
        <w:rPr>
          <w:b/>
          <w:bCs/>
          <w:sz w:val="22"/>
          <w:szCs w:val="22"/>
        </w:rPr>
        <w:t xml:space="preserve">02-041 </w:t>
      </w:r>
    </w:p>
    <w:p w14:paraId="21DFF3E5" w14:textId="4CB2B288" w:rsidR="00FE39D5" w:rsidRDefault="00FE39D5" w:rsidP="00FE39D5">
      <w:pPr>
        <w:pStyle w:val="Default"/>
        <w:rPr>
          <w:sz w:val="22"/>
          <w:szCs w:val="22"/>
        </w:rPr>
      </w:pPr>
      <w:r>
        <w:rPr>
          <w:sz w:val="22"/>
          <w:szCs w:val="22"/>
        </w:rPr>
        <w:t xml:space="preserve">AGENCY NAME: Department of Professional and Financial Regulation, Office of Professional and Occupational Regulation, </w:t>
      </w:r>
      <w:r>
        <w:rPr>
          <w:b/>
          <w:bCs/>
          <w:sz w:val="22"/>
          <w:szCs w:val="22"/>
        </w:rPr>
        <w:t xml:space="preserve">Charitable Solicitations </w:t>
      </w:r>
      <w:r w:rsidR="003167AB">
        <w:rPr>
          <w:b/>
          <w:bCs/>
          <w:sz w:val="22"/>
          <w:szCs w:val="22"/>
        </w:rPr>
        <w:t>Act</w:t>
      </w:r>
    </w:p>
    <w:p w14:paraId="04D5F315" w14:textId="77777777" w:rsidR="00FE39D5" w:rsidRDefault="00FE39D5" w:rsidP="00FE39D5">
      <w:pPr>
        <w:pStyle w:val="Default"/>
        <w:rPr>
          <w:b/>
          <w:bCs/>
          <w:sz w:val="22"/>
          <w:szCs w:val="22"/>
        </w:rPr>
      </w:pPr>
    </w:p>
    <w:p w14:paraId="15077FD5" w14:textId="32BC0B53" w:rsidR="00FE39D5" w:rsidRDefault="00E8347A" w:rsidP="4F4CDC78">
      <w:pPr>
        <w:pStyle w:val="Default"/>
        <w:rPr>
          <w:rStyle w:val="eop"/>
          <w:sz w:val="22"/>
          <w:szCs w:val="22"/>
        </w:rPr>
      </w:pPr>
      <w:r>
        <w:rPr>
          <w:rStyle w:val="eop"/>
          <w:sz w:val="22"/>
          <w:szCs w:val="22"/>
          <w:shd w:val="clear" w:color="auto" w:fill="FFFFFF"/>
        </w:rPr>
        <w:t> </w:t>
      </w:r>
      <w:r w:rsidR="22C0762C" w:rsidRPr="4F4CDC78">
        <w:rPr>
          <w:rFonts w:eastAsia="Bookman Old Style"/>
          <w:sz w:val="22"/>
          <w:szCs w:val="22"/>
        </w:rPr>
        <w:t xml:space="preserve">CONTACT INFORMATION </w:t>
      </w:r>
      <w:r w:rsidR="22C0762C" w:rsidRPr="4F4CDC78">
        <w:rPr>
          <w:rFonts w:eastAsia="Bookman Old Style"/>
          <w:caps/>
          <w:sz w:val="22"/>
          <w:szCs w:val="22"/>
        </w:rPr>
        <w:t xml:space="preserve">for thE agency </w:t>
      </w:r>
      <w:r w:rsidR="22C0762C" w:rsidRPr="4F4CDC78">
        <w:rPr>
          <w:rFonts w:eastAsia="Bookman Old Style"/>
          <w:b/>
          <w:bCs/>
          <w:caps/>
          <w:sz w:val="22"/>
          <w:szCs w:val="22"/>
        </w:rPr>
        <w:t>RULEMAKING LIAISON</w:t>
      </w:r>
      <w:r w:rsidR="22C0762C" w:rsidRPr="4F4CDC78">
        <w:rPr>
          <w:rFonts w:eastAsia="Bookman Old Style"/>
          <w:sz w:val="22"/>
          <w:szCs w:val="22"/>
        </w:rPr>
        <w:t xml:space="preserve">: Penny Vaillancourt, Director, OPOR, 35 State House Station, Augusta, ME 04333, 207-441-7153, </w:t>
      </w:r>
      <w:hyperlink r:id="rId7">
        <w:r w:rsidR="22C0762C" w:rsidRPr="4F4CDC78">
          <w:rPr>
            <w:rStyle w:val="Hyperlink"/>
            <w:rFonts w:eastAsia="Bookman Old Style"/>
            <w:color w:val="0000FF"/>
            <w:sz w:val="22"/>
            <w:szCs w:val="22"/>
          </w:rPr>
          <w:t>penny.vaillancourt@maine.gov</w:t>
        </w:r>
      </w:hyperlink>
    </w:p>
    <w:p w14:paraId="57433F4A" w14:textId="21E91722" w:rsidR="00FE39D5" w:rsidRDefault="00FE39D5" w:rsidP="00FE39D5">
      <w:pPr>
        <w:pStyle w:val="Default"/>
        <w:rPr>
          <w:rStyle w:val="eop"/>
          <w:sz w:val="22"/>
          <w:szCs w:val="22"/>
          <w:shd w:val="clear" w:color="auto" w:fill="FFFFFF"/>
        </w:rPr>
      </w:pPr>
    </w:p>
    <w:p w14:paraId="34F54F6E" w14:textId="1EDB1F0F" w:rsidR="00FE39D5" w:rsidRDefault="00FE39D5" w:rsidP="00FE39D5">
      <w:pPr>
        <w:pStyle w:val="Default"/>
        <w:rPr>
          <w:sz w:val="22"/>
          <w:szCs w:val="22"/>
        </w:rPr>
      </w:pPr>
      <w:r>
        <w:rPr>
          <w:b/>
          <w:bCs/>
          <w:sz w:val="22"/>
          <w:szCs w:val="22"/>
        </w:rPr>
        <w:t>EMERGENCY RULES ADOPTED SINCE THE LAST REGULATORY AGENDA</w:t>
      </w:r>
      <w:r>
        <w:rPr>
          <w:sz w:val="22"/>
          <w:szCs w:val="22"/>
        </w:rPr>
        <w:t xml:space="preserve">: None. </w:t>
      </w:r>
    </w:p>
    <w:p w14:paraId="2D9E914A" w14:textId="77777777" w:rsidR="00FE39D5" w:rsidRDefault="00FE39D5" w:rsidP="00FE39D5">
      <w:pPr>
        <w:pStyle w:val="Default"/>
        <w:rPr>
          <w:b/>
          <w:bCs/>
          <w:sz w:val="22"/>
          <w:szCs w:val="22"/>
        </w:rPr>
      </w:pPr>
    </w:p>
    <w:p w14:paraId="4324AFF4" w14:textId="77777777" w:rsidR="00211D82" w:rsidRDefault="00FE39D5" w:rsidP="79876752">
      <w:pPr>
        <w:pStyle w:val="Default"/>
        <w:rPr>
          <w:b/>
          <w:bCs/>
          <w:sz w:val="22"/>
          <w:szCs w:val="22"/>
        </w:rPr>
      </w:pPr>
      <w:r w:rsidRPr="79876752">
        <w:rPr>
          <w:b/>
          <w:bCs/>
          <w:sz w:val="22"/>
          <w:szCs w:val="22"/>
        </w:rPr>
        <w:t>EXPECTED 202</w:t>
      </w:r>
      <w:r w:rsidR="64FB83B2" w:rsidRPr="79876752">
        <w:rPr>
          <w:b/>
          <w:bCs/>
          <w:sz w:val="22"/>
          <w:szCs w:val="22"/>
        </w:rPr>
        <w:t>5</w:t>
      </w:r>
      <w:r w:rsidRPr="79876752">
        <w:rPr>
          <w:b/>
          <w:bCs/>
          <w:sz w:val="22"/>
          <w:szCs w:val="22"/>
        </w:rPr>
        <w:t>-202</w:t>
      </w:r>
      <w:r w:rsidR="4E855DFF" w:rsidRPr="79876752">
        <w:rPr>
          <w:b/>
          <w:bCs/>
          <w:sz w:val="22"/>
          <w:szCs w:val="22"/>
        </w:rPr>
        <w:t>6</w:t>
      </w:r>
      <w:r w:rsidRPr="79876752">
        <w:rPr>
          <w:b/>
          <w:bCs/>
          <w:sz w:val="22"/>
          <w:szCs w:val="22"/>
        </w:rPr>
        <w:t xml:space="preserve"> RULEMAKING ACTIVITY: </w:t>
      </w:r>
    </w:p>
    <w:p w14:paraId="2E64F9A7" w14:textId="77777777" w:rsidR="00211D82" w:rsidRDefault="00211D82" w:rsidP="79876752">
      <w:pPr>
        <w:pStyle w:val="Default"/>
        <w:rPr>
          <w:b/>
          <w:bCs/>
          <w:sz w:val="22"/>
          <w:szCs w:val="22"/>
        </w:rPr>
      </w:pPr>
    </w:p>
    <w:p w14:paraId="7E293ABE" w14:textId="1122F3D5" w:rsidR="00211D82" w:rsidRPr="00211D82" w:rsidRDefault="00211D82" w:rsidP="00211D82">
      <w:pPr>
        <w:pStyle w:val="Default"/>
      </w:pPr>
      <w:bookmarkStart w:id="0" w:name="_Hlk202020040"/>
      <w:r w:rsidRPr="00211D82">
        <w:t>A review for conformance with statutes and current rules will be conducted and updated as may be necessary</w:t>
      </w:r>
      <w:bookmarkEnd w:id="0"/>
      <w:r w:rsidRPr="00211D82">
        <w:t>, including an update to discontinue the use of the terms “handicap,” “handicapped” and “hearing impaired” pursuant to 36 M.R.S. § 2557, sub-§2.</w:t>
      </w:r>
    </w:p>
    <w:p w14:paraId="2373C274" w14:textId="03A9827E" w:rsidR="00FE39D5" w:rsidRDefault="00FE39D5" w:rsidP="79876752">
      <w:pPr>
        <w:pStyle w:val="Default"/>
        <w:rPr>
          <w:b/>
          <w:bCs/>
          <w:sz w:val="22"/>
          <w:szCs w:val="22"/>
        </w:rPr>
      </w:pPr>
    </w:p>
    <w:p w14:paraId="6C322240" w14:textId="2D65443F" w:rsidR="00FE39D5" w:rsidRDefault="00FE39D5" w:rsidP="00FE39D5">
      <w:pPr>
        <w:pStyle w:val="Default"/>
        <w:rPr>
          <w:sz w:val="22"/>
          <w:szCs w:val="22"/>
        </w:rPr>
      </w:pPr>
      <w:r w:rsidRPr="79876752">
        <w:rPr>
          <w:b/>
          <w:bCs/>
          <w:sz w:val="22"/>
          <w:szCs w:val="22"/>
        </w:rPr>
        <w:t>CHAPTER 1</w:t>
      </w:r>
      <w:r w:rsidRPr="79876752">
        <w:rPr>
          <w:sz w:val="22"/>
          <w:szCs w:val="22"/>
        </w:rPr>
        <w:t xml:space="preserve">: </w:t>
      </w:r>
      <w:r w:rsidRPr="79876752">
        <w:rPr>
          <w:b/>
          <w:bCs/>
          <w:sz w:val="22"/>
          <w:szCs w:val="22"/>
        </w:rPr>
        <w:t>Registration Applications and Financial Statements</w:t>
      </w:r>
      <w:r w:rsidRPr="79876752">
        <w:rPr>
          <w:sz w:val="22"/>
          <w:szCs w:val="22"/>
        </w:rPr>
        <w:t xml:space="preserve"> </w:t>
      </w:r>
    </w:p>
    <w:p w14:paraId="5A58EF81" w14:textId="77777777" w:rsidR="00FE39D5" w:rsidRDefault="00FE39D5" w:rsidP="00FE39D5">
      <w:pPr>
        <w:pStyle w:val="Default"/>
        <w:rPr>
          <w:sz w:val="22"/>
          <w:szCs w:val="22"/>
        </w:rPr>
      </w:pPr>
      <w:r>
        <w:rPr>
          <w:sz w:val="22"/>
          <w:szCs w:val="22"/>
        </w:rPr>
        <w:t xml:space="preserve">STATUTORY BASIS: 9 M.R.S. § 5018 </w:t>
      </w:r>
    </w:p>
    <w:p w14:paraId="20E90441" w14:textId="34EBB63B" w:rsidR="00FE39D5" w:rsidRDefault="00FE39D5" w:rsidP="00FE39D5">
      <w:pPr>
        <w:pStyle w:val="Default"/>
        <w:rPr>
          <w:sz w:val="22"/>
          <w:szCs w:val="22"/>
        </w:rPr>
      </w:pPr>
      <w:r w:rsidRPr="79876752">
        <w:rPr>
          <w:sz w:val="22"/>
          <w:szCs w:val="22"/>
        </w:rPr>
        <w:t xml:space="preserve">PURPOSE: This chapter contains provisions relating to the submission of licensing applications and financial statements required to be filed with the Office of Professional and Occupational Regulation under the Maine Charitable Solicitations Act.  </w:t>
      </w:r>
    </w:p>
    <w:p w14:paraId="2654E3AB" w14:textId="3DC08FE5" w:rsidR="00FE39D5" w:rsidRDefault="00FE39D5" w:rsidP="00FE39D5">
      <w:pPr>
        <w:pStyle w:val="Default"/>
        <w:rPr>
          <w:sz w:val="22"/>
          <w:szCs w:val="22"/>
        </w:rPr>
      </w:pPr>
      <w:r>
        <w:rPr>
          <w:sz w:val="22"/>
          <w:szCs w:val="22"/>
        </w:rPr>
        <w:t>SCHEDULE FOR REPEAL: Within</w:t>
      </w:r>
      <w:r w:rsidR="00983F82">
        <w:rPr>
          <w:sz w:val="22"/>
          <w:szCs w:val="22"/>
        </w:rPr>
        <w:t xml:space="preserve"> one year, if necessary</w:t>
      </w:r>
      <w:r>
        <w:rPr>
          <w:sz w:val="22"/>
          <w:szCs w:val="22"/>
        </w:rPr>
        <w:t xml:space="preserve">. </w:t>
      </w:r>
    </w:p>
    <w:p w14:paraId="21AED77D" w14:textId="77777777" w:rsidR="00FE39D5" w:rsidRDefault="00FE39D5" w:rsidP="00FE39D5">
      <w:pPr>
        <w:pStyle w:val="Default"/>
        <w:rPr>
          <w:sz w:val="22"/>
          <w:szCs w:val="22"/>
        </w:rPr>
      </w:pPr>
      <w:r>
        <w:rPr>
          <w:sz w:val="22"/>
          <w:szCs w:val="22"/>
        </w:rPr>
        <w:t xml:space="preserve">AFFECTED PARTIES: Licensees, applicants. </w:t>
      </w:r>
    </w:p>
    <w:p w14:paraId="4B8D8B02" w14:textId="07EABBD1" w:rsidR="00FE39D5" w:rsidRDefault="00FE39D5" w:rsidP="00FE39D5">
      <w:pPr>
        <w:pStyle w:val="Default"/>
        <w:rPr>
          <w:sz w:val="22"/>
          <w:szCs w:val="22"/>
        </w:rPr>
      </w:pPr>
      <w:r>
        <w:rPr>
          <w:sz w:val="22"/>
          <w:szCs w:val="22"/>
        </w:rPr>
        <w:t xml:space="preserve">CONSENSUS-BASED RULE DEVELOPMENT: </w:t>
      </w:r>
      <w:r w:rsidR="00983F82">
        <w:rPr>
          <w:sz w:val="22"/>
          <w:szCs w:val="22"/>
        </w:rPr>
        <w:t>N/A</w:t>
      </w:r>
    </w:p>
    <w:p w14:paraId="4676AFB2" w14:textId="77777777" w:rsidR="00FE39D5" w:rsidRDefault="00FE39D5" w:rsidP="00FE39D5">
      <w:pPr>
        <w:pStyle w:val="Default"/>
        <w:rPr>
          <w:b/>
          <w:bCs/>
          <w:sz w:val="22"/>
          <w:szCs w:val="22"/>
        </w:rPr>
      </w:pPr>
    </w:p>
    <w:p w14:paraId="101AB933" w14:textId="303398B9" w:rsidR="00FE39D5" w:rsidRDefault="00FE39D5" w:rsidP="00FE39D5">
      <w:pPr>
        <w:pStyle w:val="Default"/>
        <w:rPr>
          <w:sz w:val="22"/>
          <w:szCs w:val="22"/>
        </w:rPr>
      </w:pPr>
      <w:r>
        <w:rPr>
          <w:b/>
          <w:bCs/>
          <w:sz w:val="22"/>
          <w:szCs w:val="22"/>
        </w:rPr>
        <w:t>CHAPTER 2</w:t>
      </w:r>
      <w:r>
        <w:rPr>
          <w:sz w:val="22"/>
          <w:szCs w:val="22"/>
        </w:rPr>
        <w:t xml:space="preserve">: </w:t>
      </w:r>
      <w:r w:rsidRPr="00983F82">
        <w:rPr>
          <w:b/>
          <w:bCs/>
          <w:sz w:val="22"/>
          <w:szCs w:val="22"/>
        </w:rPr>
        <w:t xml:space="preserve">Annual Fundraising Activity Reports </w:t>
      </w:r>
    </w:p>
    <w:p w14:paraId="6C3F9B76" w14:textId="77777777" w:rsidR="00FE39D5" w:rsidRDefault="00FE39D5" w:rsidP="00FE39D5">
      <w:pPr>
        <w:pStyle w:val="Default"/>
        <w:rPr>
          <w:sz w:val="22"/>
          <w:szCs w:val="22"/>
        </w:rPr>
      </w:pPr>
      <w:r>
        <w:rPr>
          <w:sz w:val="22"/>
          <w:szCs w:val="22"/>
        </w:rPr>
        <w:t xml:space="preserve">STATUTORY BASIS: 9 M.R.S. § 5018 </w:t>
      </w:r>
    </w:p>
    <w:p w14:paraId="5F3BF813" w14:textId="1F3E05FF" w:rsidR="00FE39D5" w:rsidRDefault="00FE39D5" w:rsidP="00FE39D5">
      <w:pPr>
        <w:pStyle w:val="Default"/>
        <w:rPr>
          <w:sz w:val="22"/>
          <w:szCs w:val="22"/>
        </w:rPr>
      </w:pPr>
      <w:r w:rsidRPr="79876752">
        <w:rPr>
          <w:sz w:val="22"/>
          <w:szCs w:val="22"/>
        </w:rPr>
        <w:t xml:space="preserve">PURPOSE: This chapter explains how charitable organizations and professional solicitors shall calculate their remittances and retentions from the prior year in order to comply with the requirement to file an annual report of the prior year’s fund-raising activity.  </w:t>
      </w:r>
    </w:p>
    <w:p w14:paraId="1AA8D4A2" w14:textId="0D9F44D7" w:rsidR="00FE39D5" w:rsidRDefault="00FE39D5" w:rsidP="00FE39D5">
      <w:pPr>
        <w:pStyle w:val="Default"/>
        <w:rPr>
          <w:sz w:val="22"/>
          <w:szCs w:val="22"/>
        </w:rPr>
      </w:pPr>
      <w:r>
        <w:rPr>
          <w:sz w:val="22"/>
          <w:szCs w:val="22"/>
        </w:rPr>
        <w:t xml:space="preserve">SCHEDULE FOR REPEAL: Within </w:t>
      </w:r>
      <w:r w:rsidR="00983F82">
        <w:rPr>
          <w:sz w:val="22"/>
          <w:szCs w:val="22"/>
        </w:rPr>
        <w:t>one year, if necessary</w:t>
      </w:r>
      <w:r>
        <w:rPr>
          <w:sz w:val="22"/>
          <w:szCs w:val="22"/>
        </w:rPr>
        <w:t xml:space="preserve"> </w:t>
      </w:r>
    </w:p>
    <w:p w14:paraId="59F21B9F" w14:textId="77777777" w:rsidR="00FE39D5" w:rsidRDefault="00FE39D5" w:rsidP="00FE39D5">
      <w:pPr>
        <w:pStyle w:val="Default"/>
        <w:rPr>
          <w:sz w:val="22"/>
          <w:szCs w:val="22"/>
        </w:rPr>
      </w:pPr>
      <w:r>
        <w:rPr>
          <w:sz w:val="22"/>
          <w:szCs w:val="22"/>
        </w:rPr>
        <w:t xml:space="preserve">AFFECTED PARTIES: Licensees. </w:t>
      </w:r>
    </w:p>
    <w:p w14:paraId="381A9B9F" w14:textId="2F2AAFDD" w:rsidR="00FE39D5" w:rsidRDefault="00FE39D5" w:rsidP="00FE39D5">
      <w:pPr>
        <w:pStyle w:val="Default"/>
        <w:rPr>
          <w:sz w:val="22"/>
          <w:szCs w:val="22"/>
        </w:rPr>
      </w:pPr>
      <w:r>
        <w:rPr>
          <w:sz w:val="22"/>
          <w:szCs w:val="22"/>
        </w:rPr>
        <w:t xml:space="preserve">CONSENSUS-BASED RULE DEVELOPMENT: </w:t>
      </w:r>
      <w:r w:rsidR="00983F82">
        <w:rPr>
          <w:sz w:val="22"/>
          <w:szCs w:val="22"/>
        </w:rPr>
        <w:t>N/A</w:t>
      </w:r>
    </w:p>
    <w:p w14:paraId="5C90DB34" w14:textId="77777777" w:rsidR="00FE39D5" w:rsidRDefault="00FE39D5" w:rsidP="00FE39D5">
      <w:pPr>
        <w:pStyle w:val="Default"/>
        <w:rPr>
          <w:b/>
          <w:bCs/>
          <w:sz w:val="22"/>
          <w:szCs w:val="22"/>
        </w:rPr>
      </w:pPr>
    </w:p>
    <w:p w14:paraId="6FD0FC13" w14:textId="523F2C3C" w:rsidR="00FE39D5" w:rsidRDefault="00FE39D5" w:rsidP="00FE39D5">
      <w:pPr>
        <w:pStyle w:val="Default"/>
        <w:rPr>
          <w:sz w:val="22"/>
          <w:szCs w:val="22"/>
        </w:rPr>
      </w:pPr>
      <w:r w:rsidRPr="003365B2">
        <w:rPr>
          <w:b/>
          <w:bCs/>
          <w:sz w:val="22"/>
          <w:szCs w:val="22"/>
        </w:rPr>
        <w:t>CHAPTER 3</w:t>
      </w:r>
      <w:r w:rsidRPr="003365B2">
        <w:rPr>
          <w:sz w:val="22"/>
          <w:szCs w:val="22"/>
        </w:rPr>
        <w:t xml:space="preserve">: </w:t>
      </w:r>
      <w:r w:rsidRPr="003365B2">
        <w:rPr>
          <w:b/>
          <w:bCs/>
          <w:sz w:val="22"/>
          <w:szCs w:val="22"/>
        </w:rPr>
        <w:t xml:space="preserve">Enforcement and Disciplinary Procedures </w:t>
      </w:r>
    </w:p>
    <w:p w14:paraId="3F635286" w14:textId="77777777" w:rsidR="00FE39D5" w:rsidRDefault="00FE39D5" w:rsidP="00FE39D5">
      <w:pPr>
        <w:pStyle w:val="Default"/>
        <w:rPr>
          <w:sz w:val="22"/>
          <w:szCs w:val="22"/>
        </w:rPr>
      </w:pPr>
      <w:r>
        <w:rPr>
          <w:sz w:val="22"/>
          <w:szCs w:val="22"/>
        </w:rPr>
        <w:t xml:space="preserve">STATUTORY BASIS: 9 M.R.S. § 5018 </w:t>
      </w:r>
    </w:p>
    <w:p w14:paraId="6061AEA0" w14:textId="61F6A2EC" w:rsidR="00FE39D5" w:rsidRDefault="00FE39D5" w:rsidP="00FE39D5">
      <w:pPr>
        <w:pStyle w:val="Default"/>
        <w:rPr>
          <w:sz w:val="22"/>
          <w:szCs w:val="22"/>
        </w:rPr>
      </w:pPr>
      <w:r>
        <w:rPr>
          <w:sz w:val="22"/>
          <w:szCs w:val="22"/>
        </w:rPr>
        <w:t xml:space="preserve">PURPOSE: This chapter sets forth the right of an applicant or a licensee to appeal certain regulatory actions. This chapter </w:t>
      </w:r>
      <w:r w:rsidR="003365B2">
        <w:rPr>
          <w:sz w:val="22"/>
          <w:szCs w:val="22"/>
        </w:rPr>
        <w:t>contains an outdated reference</w:t>
      </w:r>
      <w:r w:rsidR="00B169EE">
        <w:rPr>
          <w:sz w:val="22"/>
          <w:szCs w:val="22"/>
        </w:rPr>
        <w:t xml:space="preserve"> </w:t>
      </w:r>
      <w:r w:rsidR="0091335A">
        <w:rPr>
          <w:sz w:val="22"/>
          <w:szCs w:val="22"/>
        </w:rPr>
        <w:t>to</w:t>
      </w:r>
      <w:r>
        <w:rPr>
          <w:sz w:val="22"/>
          <w:szCs w:val="22"/>
        </w:rPr>
        <w:t xml:space="preserve"> enforcement and disciplinary procedures used by the Office of Professional and Occupational Regulation. </w:t>
      </w:r>
    </w:p>
    <w:p w14:paraId="27F73608" w14:textId="2B985A1D" w:rsidR="00B169EE" w:rsidRPr="00FE39D5" w:rsidRDefault="00FE39D5" w:rsidP="003365B2">
      <w:pPr>
        <w:spacing w:after="0"/>
        <w:rPr>
          <w:rFonts w:ascii="Bookman Old Style" w:hAnsi="Bookman Old Style"/>
        </w:rPr>
      </w:pPr>
      <w:r w:rsidRPr="00FE39D5">
        <w:rPr>
          <w:rFonts w:ascii="Bookman Old Style" w:hAnsi="Bookman Old Style"/>
        </w:rPr>
        <w:t xml:space="preserve">The Director </w:t>
      </w:r>
      <w:r w:rsidR="003365B2">
        <w:rPr>
          <w:rFonts w:ascii="Bookman Old Style" w:hAnsi="Bookman Old Style"/>
        </w:rPr>
        <w:t>may repeal</w:t>
      </w:r>
      <w:r w:rsidRPr="00FE39D5">
        <w:rPr>
          <w:rFonts w:ascii="Bookman Old Style" w:hAnsi="Bookman Old Style"/>
        </w:rPr>
        <w:t xml:space="preserve"> this chapter.</w:t>
      </w:r>
    </w:p>
    <w:p w14:paraId="714512AD" w14:textId="24D7CC37" w:rsidR="00FE39D5" w:rsidRDefault="00FE39D5" w:rsidP="003365B2">
      <w:pPr>
        <w:pStyle w:val="Default"/>
        <w:rPr>
          <w:sz w:val="22"/>
          <w:szCs w:val="22"/>
        </w:rPr>
      </w:pPr>
      <w:r>
        <w:rPr>
          <w:sz w:val="22"/>
          <w:szCs w:val="22"/>
        </w:rPr>
        <w:lastRenderedPageBreak/>
        <w:t xml:space="preserve">SCHEDULE FOR REPEAL: Within </w:t>
      </w:r>
      <w:r w:rsidR="003365B2">
        <w:rPr>
          <w:sz w:val="22"/>
          <w:szCs w:val="22"/>
        </w:rPr>
        <w:t xml:space="preserve">one </w:t>
      </w:r>
      <w:r>
        <w:rPr>
          <w:sz w:val="22"/>
          <w:szCs w:val="22"/>
        </w:rPr>
        <w:t xml:space="preserve">year. </w:t>
      </w:r>
    </w:p>
    <w:p w14:paraId="01EA6A8B" w14:textId="77777777" w:rsidR="00FE39D5" w:rsidRDefault="00FE39D5" w:rsidP="00FE39D5">
      <w:pPr>
        <w:pStyle w:val="Default"/>
        <w:rPr>
          <w:sz w:val="22"/>
          <w:szCs w:val="22"/>
        </w:rPr>
      </w:pPr>
      <w:r>
        <w:rPr>
          <w:sz w:val="22"/>
          <w:szCs w:val="22"/>
        </w:rPr>
        <w:t xml:space="preserve">AFFECTED PARTIES: Licensees, applicants and members of the public. </w:t>
      </w:r>
    </w:p>
    <w:p w14:paraId="70E81AF6" w14:textId="229F55F3" w:rsidR="00FE39D5" w:rsidRPr="0052600D" w:rsidRDefault="00FE39D5" w:rsidP="00FE39D5">
      <w:pPr>
        <w:rPr>
          <w:rFonts w:ascii="Bookman Old Style" w:hAnsi="Bookman Old Style"/>
        </w:rPr>
      </w:pPr>
      <w:r w:rsidRPr="0052600D">
        <w:rPr>
          <w:rFonts w:ascii="Bookman Old Style" w:hAnsi="Bookman Old Style"/>
        </w:rPr>
        <w:t xml:space="preserve">CONSENSUS-BASED RULE DEVELOPMENT: </w:t>
      </w:r>
      <w:r w:rsidR="003365B2">
        <w:rPr>
          <w:rFonts w:ascii="Bookman Old Style" w:hAnsi="Bookman Old Style"/>
        </w:rPr>
        <w:t>N/A</w:t>
      </w:r>
    </w:p>
    <w:sectPr w:rsidR="00FE39D5" w:rsidRPr="00526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0MTQ0NTA1sbQ0NDRU0lEKTi0uzszPAykwqgUA7QgsVCwAAAA="/>
  </w:docVars>
  <w:rsids>
    <w:rsidRoot w:val="00FE39D5"/>
    <w:rsid w:val="001036D9"/>
    <w:rsid w:val="00111AC4"/>
    <w:rsid w:val="00211D82"/>
    <w:rsid w:val="00230B25"/>
    <w:rsid w:val="003167AB"/>
    <w:rsid w:val="003365B2"/>
    <w:rsid w:val="003729FF"/>
    <w:rsid w:val="004D4DE2"/>
    <w:rsid w:val="0052600D"/>
    <w:rsid w:val="00555B07"/>
    <w:rsid w:val="005600F2"/>
    <w:rsid w:val="005E122C"/>
    <w:rsid w:val="006658AF"/>
    <w:rsid w:val="00680240"/>
    <w:rsid w:val="006E4ECD"/>
    <w:rsid w:val="00801C4B"/>
    <w:rsid w:val="0091335A"/>
    <w:rsid w:val="00947E1B"/>
    <w:rsid w:val="00983F82"/>
    <w:rsid w:val="00A142FB"/>
    <w:rsid w:val="00A23796"/>
    <w:rsid w:val="00A9608A"/>
    <w:rsid w:val="00B169EE"/>
    <w:rsid w:val="00C825CA"/>
    <w:rsid w:val="00D15573"/>
    <w:rsid w:val="00D55FDD"/>
    <w:rsid w:val="00D568D9"/>
    <w:rsid w:val="00E8347A"/>
    <w:rsid w:val="00EB5DDB"/>
    <w:rsid w:val="00F025D2"/>
    <w:rsid w:val="00F35457"/>
    <w:rsid w:val="00F85F09"/>
    <w:rsid w:val="00FA48AA"/>
    <w:rsid w:val="00FE39D5"/>
    <w:rsid w:val="0D5F936D"/>
    <w:rsid w:val="181840B3"/>
    <w:rsid w:val="1E6A05E4"/>
    <w:rsid w:val="22C0762C"/>
    <w:rsid w:val="336CC8D7"/>
    <w:rsid w:val="4E855DFF"/>
    <w:rsid w:val="4F4CDC78"/>
    <w:rsid w:val="516DED79"/>
    <w:rsid w:val="56430B02"/>
    <w:rsid w:val="5D10CBD9"/>
    <w:rsid w:val="64FB83B2"/>
    <w:rsid w:val="6B6E9EDC"/>
    <w:rsid w:val="7987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5312D"/>
  <w15:chartTrackingRefBased/>
  <w15:docId w15:val="{DFA2E801-14DB-4DC9-8F5C-223C1D46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39D5"/>
    <w:pPr>
      <w:autoSpaceDE w:val="0"/>
      <w:autoSpaceDN w:val="0"/>
      <w:adjustRightInd w:val="0"/>
      <w:spacing w:after="0" w:line="240" w:lineRule="auto"/>
    </w:pPr>
    <w:rPr>
      <w:rFonts w:ascii="Bookman Old Style" w:hAnsi="Bookman Old Style" w:cs="Bookman Old Style"/>
      <w:color w:val="000000"/>
      <w:sz w:val="24"/>
      <w:szCs w:val="24"/>
    </w:rPr>
  </w:style>
  <w:style w:type="character" w:styleId="CommentReference">
    <w:name w:val="annotation reference"/>
    <w:basedOn w:val="DefaultParagraphFont"/>
    <w:uiPriority w:val="99"/>
    <w:semiHidden/>
    <w:unhideWhenUsed/>
    <w:rsid w:val="00FE39D5"/>
    <w:rPr>
      <w:sz w:val="16"/>
      <w:szCs w:val="16"/>
    </w:rPr>
  </w:style>
  <w:style w:type="paragraph" w:styleId="CommentText">
    <w:name w:val="annotation text"/>
    <w:basedOn w:val="Normal"/>
    <w:link w:val="CommentTextChar"/>
    <w:uiPriority w:val="99"/>
    <w:semiHidden/>
    <w:unhideWhenUsed/>
    <w:rsid w:val="00FE39D5"/>
    <w:pPr>
      <w:spacing w:line="240" w:lineRule="auto"/>
    </w:pPr>
    <w:rPr>
      <w:sz w:val="20"/>
      <w:szCs w:val="20"/>
    </w:rPr>
  </w:style>
  <w:style w:type="character" w:customStyle="1" w:styleId="CommentTextChar">
    <w:name w:val="Comment Text Char"/>
    <w:basedOn w:val="DefaultParagraphFont"/>
    <w:link w:val="CommentText"/>
    <w:uiPriority w:val="99"/>
    <w:semiHidden/>
    <w:rsid w:val="00FE39D5"/>
    <w:rPr>
      <w:sz w:val="20"/>
      <w:szCs w:val="20"/>
    </w:rPr>
  </w:style>
  <w:style w:type="paragraph" w:styleId="CommentSubject">
    <w:name w:val="annotation subject"/>
    <w:basedOn w:val="CommentText"/>
    <w:next w:val="CommentText"/>
    <w:link w:val="CommentSubjectChar"/>
    <w:uiPriority w:val="99"/>
    <w:semiHidden/>
    <w:unhideWhenUsed/>
    <w:rsid w:val="00FE39D5"/>
    <w:rPr>
      <w:b/>
      <w:bCs/>
    </w:rPr>
  </w:style>
  <w:style w:type="character" w:customStyle="1" w:styleId="CommentSubjectChar">
    <w:name w:val="Comment Subject Char"/>
    <w:basedOn w:val="CommentTextChar"/>
    <w:link w:val="CommentSubject"/>
    <w:uiPriority w:val="99"/>
    <w:semiHidden/>
    <w:rsid w:val="00FE39D5"/>
    <w:rPr>
      <w:b/>
      <w:bCs/>
      <w:sz w:val="20"/>
      <w:szCs w:val="20"/>
    </w:rPr>
  </w:style>
  <w:style w:type="character" w:customStyle="1" w:styleId="normaltextrun">
    <w:name w:val="normaltextrun"/>
    <w:basedOn w:val="DefaultParagraphFont"/>
    <w:rsid w:val="00E8347A"/>
  </w:style>
  <w:style w:type="character" w:customStyle="1" w:styleId="spellingerror">
    <w:name w:val="spellingerror"/>
    <w:basedOn w:val="DefaultParagraphFont"/>
    <w:rsid w:val="00E8347A"/>
  </w:style>
  <w:style w:type="character" w:customStyle="1" w:styleId="eop">
    <w:name w:val="eop"/>
    <w:basedOn w:val="DefaultParagraphFont"/>
    <w:rsid w:val="00E8347A"/>
  </w:style>
  <w:style w:type="character" w:styleId="Hyperlink">
    <w:name w:val="Hyperlink"/>
    <w:basedOn w:val="DefaultParagraphFont"/>
    <w:uiPriority w:val="99"/>
    <w:unhideWhenUsed/>
    <w:rsid w:val="00FA48AA"/>
    <w:rPr>
      <w:color w:val="0563C1" w:themeColor="hyperlink"/>
      <w:u w:val="single"/>
    </w:rPr>
  </w:style>
  <w:style w:type="character" w:styleId="UnresolvedMention">
    <w:name w:val="Unresolved Mention"/>
    <w:basedOn w:val="DefaultParagraphFont"/>
    <w:uiPriority w:val="99"/>
    <w:semiHidden/>
    <w:unhideWhenUsed/>
    <w:rsid w:val="00FA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enny.vaillancourt@main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4D24A-BF5D-4BF3-8FAB-2834D2F436D3}">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DD7B4735-04EE-491C-A20B-EC57D151E92A}">
  <ds:schemaRefs>
    <ds:schemaRef ds:uri="http://schemas.microsoft.com/sharepoint/v3/contenttype/forms"/>
  </ds:schemaRefs>
</ds:datastoreItem>
</file>

<file path=customXml/itemProps3.xml><?xml version="1.0" encoding="utf-8"?>
<ds:datastoreItem xmlns:ds="http://schemas.openxmlformats.org/officeDocument/2006/customXml" ds:itemID="{D137C287-1453-4234-8D52-C2F742B84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Candice B</dc:creator>
  <cp:keywords/>
  <dc:description/>
  <cp:lastModifiedBy>Vaillancourt, Penny</cp:lastModifiedBy>
  <cp:revision>8</cp:revision>
  <dcterms:created xsi:type="dcterms:W3CDTF">2024-06-24T20:47:00Z</dcterms:created>
  <dcterms:modified xsi:type="dcterms:W3CDTF">2025-06-28T21:13:00Z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y fmtid="{D5CDD505-2E9C-101B-9397-08002B2CF9AE}" pid="4" name="GrammarlyDocumentId">
    <vt:lpwstr>863cf5adc723ec02813ee48852015548ce39784d2d439aa8b790048fe4a5fbfe</vt:lpwstr>
  </property>
</Properties>
</file>