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4967" w14:textId="7A77EE5E" w:rsidR="00A34AA7" w:rsidRPr="00E853CD" w:rsidRDefault="002B2521" w:rsidP="00BC5064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853CD">
        <w:rPr>
          <w:rFonts w:asciiTheme="minorHAnsi" w:hAnsiTheme="minorHAnsi" w:cstheme="minorHAnsi"/>
          <w:sz w:val="22"/>
          <w:szCs w:val="22"/>
        </w:rPr>
        <w:t>18</w:t>
      </w:r>
      <w:r w:rsidRPr="00E853CD">
        <w:rPr>
          <w:rFonts w:asciiTheme="minorHAnsi" w:hAnsiTheme="minorHAnsi" w:cstheme="minorHAnsi"/>
          <w:sz w:val="22"/>
          <w:szCs w:val="22"/>
        </w:rPr>
        <w:tab/>
      </w:r>
      <w:r w:rsidR="00BC5064">
        <w:rPr>
          <w:rFonts w:asciiTheme="minorHAnsi" w:hAnsiTheme="minorHAnsi" w:cstheme="minorHAnsi"/>
          <w:sz w:val="22"/>
          <w:szCs w:val="22"/>
        </w:rPr>
        <w:tab/>
      </w:r>
      <w:r w:rsidR="00A34AA7" w:rsidRPr="00E853CD">
        <w:rPr>
          <w:rFonts w:asciiTheme="minorHAnsi" w:hAnsiTheme="minorHAnsi" w:cstheme="minorHAnsi"/>
          <w:sz w:val="22"/>
          <w:szCs w:val="22"/>
        </w:rPr>
        <w:t>DEPARTMENT OF ADMINISTRATIVE AND FINANCIAL SERVICES</w:t>
      </w:r>
    </w:p>
    <w:p w14:paraId="1755DE5F" w14:textId="77777777" w:rsidR="001E6DE9" w:rsidRPr="00E853CD" w:rsidRDefault="001E6DE9" w:rsidP="00BC5064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4408FFE" w14:textId="66007891" w:rsidR="00A34AA7" w:rsidRPr="00E853CD" w:rsidRDefault="002B2521" w:rsidP="00BC5064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853CD">
        <w:rPr>
          <w:rFonts w:asciiTheme="minorHAnsi" w:hAnsiTheme="minorHAnsi" w:cstheme="minorHAnsi"/>
          <w:sz w:val="22"/>
          <w:szCs w:val="22"/>
        </w:rPr>
        <w:t>125</w:t>
      </w:r>
      <w:r w:rsidRPr="00E853CD">
        <w:rPr>
          <w:rFonts w:asciiTheme="minorHAnsi" w:hAnsiTheme="minorHAnsi" w:cstheme="minorHAnsi"/>
          <w:sz w:val="22"/>
          <w:szCs w:val="22"/>
        </w:rPr>
        <w:tab/>
      </w:r>
      <w:r w:rsidR="00BC5064">
        <w:rPr>
          <w:rFonts w:asciiTheme="minorHAnsi" w:hAnsiTheme="minorHAnsi" w:cstheme="minorHAnsi"/>
          <w:sz w:val="22"/>
          <w:szCs w:val="22"/>
        </w:rPr>
        <w:tab/>
      </w:r>
      <w:r w:rsidR="00A04B63" w:rsidRPr="00E853CD">
        <w:rPr>
          <w:rFonts w:asciiTheme="minorHAnsi" w:hAnsiTheme="minorHAnsi" w:cstheme="minorHAnsi"/>
          <w:sz w:val="22"/>
          <w:szCs w:val="22"/>
        </w:rPr>
        <w:t>MAINE</w:t>
      </w:r>
      <w:r w:rsidR="00A34AA7" w:rsidRPr="00E853CD">
        <w:rPr>
          <w:rFonts w:asciiTheme="minorHAnsi" w:hAnsiTheme="minorHAnsi" w:cstheme="minorHAnsi"/>
          <w:sz w:val="22"/>
          <w:szCs w:val="22"/>
        </w:rPr>
        <w:t xml:space="preserve"> </w:t>
      </w:r>
      <w:r w:rsidR="00991ADB" w:rsidRPr="00E853CD">
        <w:rPr>
          <w:rFonts w:asciiTheme="minorHAnsi" w:hAnsiTheme="minorHAnsi" w:cstheme="minorHAnsi"/>
          <w:sz w:val="22"/>
          <w:szCs w:val="22"/>
        </w:rPr>
        <w:t>REVENUE SERVICES</w:t>
      </w:r>
    </w:p>
    <w:p w14:paraId="4BE0E6ED" w14:textId="77777777" w:rsidR="001E6DE9" w:rsidRPr="00E853CD" w:rsidRDefault="001E6DE9" w:rsidP="00BC5064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E080245" w14:textId="48BBBE67" w:rsidR="00A34AA7" w:rsidRPr="00E853CD" w:rsidRDefault="00A34AA7" w:rsidP="00BC5064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853CD">
        <w:rPr>
          <w:rFonts w:asciiTheme="minorHAnsi" w:hAnsiTheme="minorHAnsi" w:cstheme="minorHAnsi"/>
          <w:sz w:val="22"/>
          <w:szCs w:val="22"/>
        </w:rPr>
        <w:t>Chapter 2</w:t>
      </w:r>
      <w:r w:rsidR="00711119" w:rsidRPr="00E853CD">
        <w:rPr>
          <w:rFonts w:asciiTheme="minorHAnsi" w:hAnsiTheme="minorHAnsi" w:cstheme="minorHAnsi"/>
          <w:sz w:val="22"/>
          <w:szCs w:val="22"/>
        </w:rPr>
        <w:t>10</w:t>
      </w:r>
      <w:r w:rsidR="002B2521" w:rsidRPr="00E853CD">
        <w:rPr>
          <w:rFonts w:asciiTheme="minorHAnsi" w:hAnsiTheme="minorHAnsi" w:cstheme="minorHAnsi"/>
          <w:sz w:val="22"/>
          <w:szCs w:val="22"/>
        </w:rPr>
        <w:t>:</w:t>
      </w:r>
      <w:r w:rsidR="002B2521" w:rsidRPr="00E853CD">
        <w:rPr>
          <w:rFonts w:asciiTheme="minorHAnsi" w:hAnsiTheme="minorHAnsi" w:cstheme="minorHAnsi"/>
          <w:sz w:val="22"/>
          <w:szCs w:val="22"/>
        </w:rPr>
        <w:tab/>
      </w:r>
      <w:r w:rsidR="00711119" w:rsidRPr="00E853CD">
        <w:rPr>
          <w:rFonts w:asciiTheme="minorHAnsi" w:hAnsiTheme="minorHAnsi" w:cstheme="minorHAnsi"/>
          <w:sz w:val="22"/>
          <w:szCs w:val="22"/>
        </w:rPr>
        <w:t>TELECOMMUNICATIONS EXCISE TAX</w:t>
      </w:r>
    </w:p>
    <w:p w14:paraId="644BC151" w14:textId="77777777" w:rsidR="001E6DE9" w:rsidRPr="00E853CD" w:rsidRDefault="001E6DE9" w:rsidP="00BC506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Arial" w:hAnsi="Arial" w:cs="Arial"/>
        </w:rPr>
      </w:pPr>
    </w:p>
    <w:p w14:paraId="49443FBB" w14:textId="77777777" w:rsidR="001E6DE9" w:rsidRPr="00E853CD" w:rsidRDefault="001E6DE9" w:rsidP="00BC506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Arial" w:hAnsi="Arial" w:cs="Arial"/>
        </w:rPr>
      </w:pPr>
    </w:p>
    <w:p w14:paraId="5A4DB3B6" w14:textId="741C3DB3" w:rsidR="002B2521" w:rsidRPr="00E853CD" w:rsidRDefault="00991ADB" w:rsidP="00BC5064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ind w:left="1440" w:hanging="1440"/>
        <w:contextualSpacing/>
        <w:jc w:val="both"/>
        <w:rPr>
          <w:sz w:val="22"/>
          <w:szCs w:val="22"/>
        </w:rPr>
      </w:pPr>
      <w:r w:rsidRPr="00E853CD">
        <w:rPr>
          <w:rStyle w:val="InitialStyle"/>
          <w:b/>
          <w:sz w:val="22"/>
          <w:szCs w:val="22"/>
        </w:rPr>
        <w:t>SUMMARY:</w:t>
      </w:r>
      <w:r w:rsidRPr="00E853CD">
        <w:rPr>
          <w:rStyle w:val="InitialStyle"/>
          <w:sz w:val="22"/>
          <w:szCs w:val="22"/>
        </w:rPr>
        <w:tab/>
        <w:t xml:space="preserve">This rule </w:t>
      </w:r>
      <w:r w:rsidR="005C5F9B" w:rsidRPr="00E853CD">
        <w:rPr>
          <w:rStyle w:val="InitialStyle"/>
          <w:sz w:val="22"/>
          <w:szCs w:val="22"/>
        </w:rPr>
        <w:t>provides an overview of</w:t>
      </w:r>
      <w:r w:rsidR="00B87F33" w:rsidRPr="00E853CD">
        <w:rPr>
          <w:rStyle w:val="InitialStyle"/>
          <w:sz w:val="22"/>
          <w:szCs w:val="22"/>
        </w:rPr>
        <w:t xml:space="preserve"> the</w:t>
      </w:r>
      <w:r w:rsidR="002911ED" w:rsidRPr="00E853CD">
        <w:rPr>
          <w:rStyle w:val="InitialStyle"/>
          <w:sz w:val="22"/>
          <w:szCs w:val="22"/>
        </w:rPr>
        <w:t xml:space="preserve"> excise tax </w:t>
      </w:r>
      <w:r w:rsidR="00E63027" w:rsidRPr="00E853CD">
        <w:rPr>
          <w:rStyle w:val="InitialStyle"/>
          <w:sz w:val="22"/>
          <w:szCs w:val="22"/>
        </w:rPr>
        <w:t xml:space="preserve">levied </w:t>
      </w:r>
      <w:r w:rsidR="00B87F33" w:rsidRPr="00E853CD">
        <w:rPr>
          <w:rStyle w:val="InitialStyle"/>
          <w:sz w:val="22"/>
          <w:szCs w:val="22"/>
        </w:rPr>
        <w:t>on telecommunications businesses pursuant to</w:t>
      </w:r>
      <w:r w:rsidR="002911ED" w:rsidRPr="00E853CD">
        <w:rPr>
          <w:rStyle w:val="InitialStyle"/>
          <w:sz w:val="22"/>
          <w:szCs w:val="22"/>
        </w:rPr>
        <w:t xml:space="preserve"> 36 M.R.S. §457.</w:t>
      </w:r>
    </w:p>
    <w:p w14:paraId="401F8450" w14:textId="77777777" w:rsidR="002B2521" w:rsidRPr="00E853CD" w:rsidRDefault="002B2521" w:rsidP="00BC506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360"/>
        <w:contextualSpacing/>
        <w:rPr>
          <w:rFonts w:ascii="Arial" w:hAnsi="Arial" w:cs="Arial"/>
        </w:rPr>
      </w:pPr>
    </w:p>
    <w:p w14:paraId="1423C0B7" w14:textId="77777777" w:rsidR="002B2521" w:rsidRPr="00E853CD" w:rsidRDefault="002B2521" w:rsidP="00BC506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360"/>
        <w:contextualSpacing/>
        <w:rPr>
          <w:rFonts w:ascii="Arial" w:hAnsi="Arial" w:cs="Arial"/>
        </w:rPr>
      </w:pPr>
    </w:p>
    <w:p w14:paraId="3AA4E32E" w14:textId="77777777" w:rsidR="00991ADB" w:rsidRPr="00E853CD" w:rsidRDefault="00991ADB" w:rsidP="00BC5064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contextualSpacing/>
        <w:jc w:val="both"/>
        <w:rPr>
          <w:bCs/>
          <w:spacing w:val="-3"/>
        </w:rPr>
      </w:pPr>
      <w:r w:rsidRPr="00E853CD">
        <w:rPr>
          <w:b/>
          <w:bCs/>
          <w:spacing w:val="-3"/>
        </w:rPr>
        <w:t>Outline of Contents:</w:t>
      </w:r>
    </w:p>
    <w:p w14:paraId="62AC261D" w14:textId="77777777" w:rsidR="00991ADB" w:rsidRPr="00E853CD" w:rsidRDefault="00991ADB" w:rsidP="00F95D1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contextualSpacing/>
        <w:jc w:val="both"/>
        <w:rPr>
          <w:bCs/>
          <w:spacing w:val="-3"/>
        </w:rPr>
      </w:pPr>
    </w:p>
    <w:p w14:paraId="013F0E8A" w14:textId="3012AD3B" w:rsidR="00991ADB" w:rsidRPr="00E853CD" w:rsidRDefault="00991ADB" w:rsidP="00F95D1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contextualSpacing/>
        <w:jc w:val="both"/>
        <w:rPr>
          <w:bCs/>
          <w:spacing w:val="-3"/>
        </w:rPr>
      </w:pPr>
      <w:r w:rsidRPr="00E853CD">
        <w:rPr>
          <w:bCs/>
          <w:spacing w:val="-3"/>
        </w:rPr>
        <w:t>.01</w:t>
      </w:r>
      <w:r w:rsidRPr="00E853CD">
        <w:rPr>
          <w:bCs/>
          <w:spacing w:val="-3"/>
        </w:rPr>
        <w:tab/>
      </w:r>
      <w:r w:rsidR="00711119" w:rsidRPr="00E853CD">
        <w:rPr>
          <w:bCs/>
          <w:spacing w:val="-3"/>
        </w:rPr>
        <w:t>General</w:t>
      </w:r>
    </w:p>
    <w:p w14:paraId="6B1D7C1A" w14:textId="71E28312" w:rsidR="00991ADB" w:rsidRPr="00E853CD" w:rsidRDefault="00991ADB" w:rsidP="00F95D1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contextualSpacing/>
        <w:jc w:val="both"/>
        <w:rPr>
          <w:bCs/>
          <w:spacing w:val="-3"/>
        </w:rPr>
      </w:pPr>
      <w:r w:rsidRPr="00E853CD">
        <w:rPr>
          <w:bCs/>
          <w:spacing w:val="-3"/>
        </w:rPr>
        <w:t>.02</w:t>
      </w:r>
      <w:r w:rsidRPr="00E853CD">
        <w:rPr>
          <w:bCs/>
          <w:spacing w:val="-3"/>
        </w:rPr>
        <w:tab/>
      </w:r>
      <w:r w:rsidR="00711119" w:rsidRPr="00E853CD">
        <w:rPr>
          <w:bCs/>
          <w:spacing w:val="-3"/>
        </w:rPr>
        <w:t>Definitions</w:t>
      </w:r>
    </w:p>
    <w:p w14:paraId="19CB44CC" w14:textId="1CCD78EB" w:rsidR="00711119" w:rsidRPr="00E853CD" w:rsidRDefault="00711119" w:rsidP="00F95D1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contextualSpacing/>
        <w:jc w:val="both"/>
        <w:rPr>
          <w:bCs/>
          <w:spacing w:val="-3"/>
        </w:rPr>
      </w:pPr>
      <w:r w:rsidRPr="00E853CD">
        <w:rPr>
          <w:bCs/>
          <w:spacing w:val="-3"/>
        </w:rPr>
        <w:t>.03</w:t>
      </w:r>
      <w:r w:rsidRPr="00E853CD">
        <w:rPr>
          <w:bCs/>
          <w:spacing w:val="-3"/>
        </w:rPr>
        <w:tab/>
        <w:t>Valuation</w:t>
      </w:r>
    </w:p>
    <w:p w14:paraId="11A47DE8" w14:textId="1F689288" w:rsidR="00711119" w:rsidRPr="00E853CD" w:rsidRDefault="00711119" w:rsidP="00F95D1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contextualSpacing/>
        <w:jc w:val="both"/>
        <w:rPr>
          <w:bCs/>
          <w:spacing w:val="-3"/>
        </w:rPr>
      </w:pPr>
      <w:r w:rsidRPr="00E853CD">
        <w:rPr>
          <w:bCs/>
          <w:spacing w:val="-3"/>
        </w:rPr>
        <w:t>.04</w:t>
      </w:r>
      <w:r w:rsidRPr="00E853CD">
        <w:rPr>
          <w:bCs/>
          <w:spacing w:val="-3"/>
        </w:rPr>
        <w:tab/>
        <w:t>Tax and interest</w:t>
      </w:r>
    </w:p>
    <w:p w14:paraId="01039083" w14:textId="6DF2AE25" w:rsidR="00711119" w:rsidRPr="00E853CD" w:rsidRDefault="00711119" w:rsidP="00F95D1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contextualSpacing/>
        <w:jc w:val="both"/>
        <w:rPr>
          <w:bCs/>
          <w:spacing w:val="-3"/>
        </w:rPr>
      </w:pPr>
      <w:r w:rsidRPr="00E853CD">
        <w:rPr>
          <w:bCs/>
          <w:spacing w:val="-3"/>
        </w:rPr>
        <w:t>.05</w:t>
      </w:r>
      <w:r w:rsidRPr="00E853CD">
        <w:rPr>
          <w:bCs/>
          <w:spacing w:val="-3"/>
        </w:rPr>
        <w:tab/>
        <w:t>Filing</w:t>
      </w:r>
      <w:r w:rsidR="00B12F31" w:rsidRPr="00E853CD">
        <w:rPr>
          <w:bCs/>
          <w:spacing w:val="-3"/>
        </w:rPr>
        <w:t xml:space="preserve"> and payment</w:t>
      </w:r>
    </w:p>
    <w:p w14:paraId="1A933906" w14:textId="5DF9E5CB" w:rsidR="00711119" w:rsidRPr="00E853CD" w:rsidRDefault="00711119" w:rsidP="00F95D1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contextualSpacing/>
        <w:jc w:val="both"/>
        <w:rPr>
          <w:bCs/>
          <w:spacing w:val="-3"/>
        </w:rPr>
      </w:pPr>
      <w:r w:rsidRPr="00E853CD">
        <w:rPr>
          <w:bCs/>
          <w:spacing w:val="-3"/>
        </w:rPr>
        <w:t>.06</w:t>
      </w:r>
      <w:r w:rsidRPr="00E853CD">
        <w:rPr>
          <w:bCs/>
          <w:spacing w:val="-3"/>
        </w:rPr>
        <w:tab/>
      </w:r>
      <w:r w:rsidR="00CD6754" w:rsidRPr="00E853CD">
        <w:rPr>
          <w:bCs/>
          <w:spacing w:val="-3"/>
        </w:rPr>
        <w:t>A</w:t>
      </w:r>
      <w:r w:rsidR="005073FB" w:rsidRPr="00E853CD">
        <w:rPr>
          <w:bCs/>
          <w:spacing w:val="-3"/>
        </w:rPr>
        <w:t>ppeals</w:t>
      </w:r>
    </w:p>
    <w:p w14:paraId="652EE595" w14:textId="77777777" w:rsidR="009B5921" w:rsidRPr="00E853CD" w:rsidRDefault="009B5921" w:rsidP="0034325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contextualSpacing/>
        <w:rPr>
          <w:rFonts w:cstheme="minorHAnsi"/>
        </w:rPr>
      </w:pPr>
    </w:p>
    <w:p w14:paraId="532A7F56" w14:textId="4F47D465" w:rsidR="009B5921" w:rsidRDefault="009B5921" w:rsidP="00F95D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11ABF73E" w14:textId="77777777" w:rsidR="00BC5064" w:rsidRPr="00E853CD" w:rsidRDefault="00BC5064" w:rsidP="00F95D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5EB27A42" w14:textId="161C001F" w:rsidR="00711119" w:rsidRPr="00E853CD" w:rsidRDefault="00711119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  <w:b/>
        </w:rPr>
      </w:pPr>
      <w:r w:rsidRPr="00E853CD">
        <w:rPr>
          <w:rFonts w:cstheme="minorHAnsi"/>
          <w:b/>
        </w:rPr>
        <w:t>.01</w:t>
      </w:r>
      <w:r w:rsidRPr="00E853CD">
        <w:rPr>
          <w:rFonts w:cstheme="minorHAnsi"/>
          <w:b/>
        </w:rPr>
        <w:tab/>
        <w:t>General</w:t>
      </w:r>
    </w:p>
    <w:p w14:paraId="4B3D5FDB" w14:textId="0C93300D" w:rsidR="00711119" w:rsidRPr="00E853CD" w:rsidRDefault="00711119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contextualSpacing/>
        <w:rPr>
          <w:rFonts w:cstheme="minorHAnsi"/>
          <w:bCs/>
        </w:rPr>
      </w:pPr>
    </w:p>
    <w:p w14:paraId="05A70DE3" w14:textId="0E4907DF" w:rsidR="00711119" w:rsidRPr="00E853CD" w:rsidRDefault="00711119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  <w:bCs/>
        </w:rPr>
      </w:pPr>
      <w:r w:rsidRPr="00E853CD">
        <w:rPr>
          <w:rFonts w:cstheme="minorHAnsi"/>
          <w:bCs/>
        </w:rPr>
        <w:tab/>
      </w:r>
      <w:r w:rsidR="00C0647C" w:rsidRPr="00E853CD">
        <w:rPr>
          <w:rFonts w:cstheme="minorHAnsi"/>
          <w:bCs/>
        </w:rPr>
        <w:t xml:space="preserve">Maine </w:t>
      </w:r>
      <w:r w:rsidR="00AB2338" w:rsidRPr="00E853CD">
        <w:rPr>
          <w:rFonts w:cstheme="minorHAnsi"/>
          <w:bCs/>
        </w:rPr>
        <w:t>imposes</w:t>
      </w:r>
      <w:r w:rsidR="00A06093" w:rsidRPr="00E853CD">
        <w:rPr>
          <w:rFonts w:cstheme="minorHAnsi"/>
          <w:bCs/>
        </w:rPr>
        <w:t xml:space="preserve"> </w:t>
      </w:r>
      <w:r w:rsidR="00C0647C" w:rsidRPr="00E853CD">
        <w:rPr>
          <w:rFonts w:cstheme="minorHAnsi"/>
          <w:bCs/>
        </w:rPr>
        <w:t xml:space="preserve">an excise tax </w:t>
      </w:r>
      <w:r w:rsidR="001D6D0A" w:rsidRPr="00E853CD">
        <w:rPr>
          <w:rFonts w:cstheme="minorHAnsi"/>
          <w:bCs/>
        </w:rPr>
        <w:t xml:space="preserve">on </w:t>
      </w:r>
      <w:r w:rsidR="0021768F" w:rsidRPr="00E853CD">
        <w:rPr>
          <w:rFonts w:cstheme="minorHAnsi"/>
          <w:bCs/>
        </w:rPr>
        <w:t xml:space="preserve">all </w:t>
      </w:r>
      <w:r w:rsidR="008F6E80" w:rsidRPr="00E853CD">
        <w:rPr>
          <w:rFonts w:cstheme="minorHAnsi"/>
          <w:bCs/>
        </w:rPr>
        <w:t>qualified</w:t>
      </w:r>
      <w:r w:rsidR="001D6D0A" w:rsidRPr="00E853CD">
        <w:rPr>
          <w:rFonts w:cstheme="minorHAnsi"/>
          <w:bCs/>
        </w:rPr>
        <w:t xml:space="preserve"> telecommunications equipment located in </w:t>
      </w:r>
      <w:r w:rsidR="0021768F" w:rsidRPr="00E853CD">
        <w:rPr>
          <w:rFonts w:cstheme="minorHAnsi"/>
          <w:bCs/>
        </w:rPr>
        <w:t>the State</w:t>
      </w:r>
      <w:r w:rsidR="001D6D0A" w:rsidRPr="00E853CD">
        <w:rPr>
          <w:rFonts w:cstheme="minorHAnsi"/>
          <w:bCs/>
        </w:rPr>
        <w:t>.</w:t>
      </w:r>
      <w:r w:rsidR="00BC5064">
        <w:rPr>
          <w:rFonts w:cstheme="minorHAnsi"/>
          <w:bCs/>
        </w:rPr>
        <w:t xml:space="preserve"> </w:t>
      </w:r>
      <w:r w:rsidR="001D6D0A" w:rsidRPr="00E853CD">
        <w:rPr>
          <w:rFonts w:cstheme="minorHAnsi"/>
          <w:bCs/>
        </w:rPr>
        <w:t xml:space="preserve">The </w:t>
      </w:r>
      <w:r w:rsidR="009B22D5" w:rsidRPr="00E853CD">
        <w:rPr>
          <w:rFonts w:cstheme="minorHAnsi"/>
          <w:bCs/>
        </w:rPr>
        <w:t xml:space="preserve">excise </w:t>
      </w:r>
      <w:r w:rsidR="00B54530" w:rsidRPr="00E853CD">
        <w:rPr>
          <w:rFonts w:cstheme="minorHAnsi"/>
          <w:bCs/>
        </w:rPr>
        <w:t>tax</w:t>
      </w:r>
      <w:r w:rsidR="008F6E80" w:rsidRPr="00E853CD">
        <w:rPr>
          <w:rFonts w:cstheme="minorHAnsi"/>
          <w:bCs/>
        </w:rPr>
        <w:t xml:space="preserve"> rate</w:t>
      </w:r>
      <w:r w:rsidR="00B54530" w:rsidRPr="00E853CD">
        <w:rPr>
          <w:rFonts w:cstheme="minorHAnsi"/>
          <w:bCs/>
        </w:rPr>
        <w:t xml:space="preserve"> is equal to</w:t>
      </w:r>
      <w:r w:rsidR="008F6E80" w:rsidRPr="00E853CD">
        <w:rPr>
          <w:rFonts w:cstheme="minorHAnsi"/>
          <w:bCs/>
        </w:rPr>
        <w:t xml:space="preserve"> the mill rate </w:t>
      </w:r>
      <w:r w:rsidR="005769FC" w:rsidRPr="00E853CD">
        <w:rPr>
          <w:rFonts w:cstheme="minorHAnsi"/>
          <w:bCs/>
        </w:rPr>
        <w:t>of</w:t>
      </w:r>
      <w:r w:rsidR="008F6E80" w:rsidRPr="00E853CD">
        <w:rPr>
          <w:rFonts w:cstheme="minorHAnsi"/>
          <w:bCs/>
        </w:rPr>
        <w:t xml:space="preserve"> the municipality where the equipment is located.</w:t>
      </w:r>
      <w:r w:rsidR="00BC5064">
        <w:rPr>
          <w:rFonts w:cstheme="minorHAnsi"/>
          <w:bCs/>
        </w:rPr>
        <w:t xml:space="preserve"> </w:t>
      </w:r>
      <w:r w:rsidR="00B67045" w:rsidRPr="00E853CD">
        <w:rPr>
          <w:rFonts w:cstheme="minorHAnsi"/>
          <w:bCs/>
        </w:rPr>
        <w:t>Maine Revenue Services (“MRS”) is responsible for assessing the tax on qualified telecommunication</w:t>
      </w:r>
      <w:r w:rsidR="00FB7E06" w:rsidRPr="00E853CD">
        <w:rPr>
          <w:rFonts w:cstheme="minorHAnsi"/>
          <w:bCs/>
        </w:rPr>
        <w:t>s</w:t>
      </w:r>
      <w:r w:rsidR="00B67045" w:rsidRPr="00E853CD">
        <w:rPr>
          <w:rFonts w:cstheme="minorHAnsi"/>
          <w:bCs/>
        </w:rPr>
        <w:t xml:space="preserve"> equipment owned </w:t>
      </w:r>
      <w:r w:rsidR="00861A7C" w:rsidRPr="00E853CD">
        <w:rPr>
          <w:rFonts w:cstheme="minorHAnsi"/>
          <w:bCs/>
        </w:rPr>
        <w:t xml:space="preserve">or leased </w:t>
      </w:r>
      <w:r w:rsidR="00B67045" w:rsidRPr="00E853CD">
        <w:rPr>
          <w:rFonts w:cstheme="minorHAnsi"/>
          <w:bCs/>
        </w:rPr>
        <w:t>by a telecommunications business.</w:t>
      </w:r>
      <w:r w:rsidR="00BC5064">
        <w:rPr>
          <w:rFonts w:cstheme="minorHAnsi"/>
          <w:bCs/>
        </w:rPr>
        <w:t xml:space="preserve"> </w:t>
      </w:r>
      <w:r w:rsidR="00B67045" w:rsidRPr="00E853CD">
        <w:rPr>
          <w:rFonts w:cstheme="minorHAnsi"/>
          <w:bCs/>
        </w:rPr>
        <w:t>Qualified telecommunication</w:t>
      </w:r>
      <w:r w:rsidR="00FB7E06" w:rsidRPr="00E853CD">
        <w:rPr>
          <w:rFonts w:cstheme="minorHAnsi"/>
          <w:bCs/>
        </w:rPr>
        <w:t>s</w:t>
      </w:r>
      <w:r w:rsidR="00B67045" w:rsidRPr="00E853CD">
        <w:rPr>
          <w:rFonts w:cstheme="minorHAnsi"/>
          <w:bCs/>
        </w:rPr>
        <w:t xml:space="preserve"> equipment owned </w:t>
      </w:r>
      <w:r w:rsidR="00861A7C" w:rsidRPr="00E853CD">
        <w:rPr>
          <w:rFonts w:cstheme="minorHAnsi"/>
          <w:bCs/>
        </w:rPr>
        <w:t xml:space="preserve">or leased </w:t>
      </w:r>
      <w:r w:rsidR="00B67045" w:rsidRPr="00E853CD">
        <w:rPr>
          <w:rFonts w:cstheme="minorHAnsi"/>
          <w:bCs/>
        </w:rPr>
        <w:t xml:space="preserve">by a person who is not a telecommunications business must be assessed a tax by </w:t>
      </w:r>
      <w:r w:rsidR="00117233" w:rsidRPr="00E853CD">
        <w:rPr>
          <w:rFonts w:cstheme="minorHAnsi"/>
          <w:bCs/>
        </w:rPr>
        <w:t xml:space="preserve">the </w:t>
      </w:r>
      <w:r w:rsidR="007821AD" w:rsidRPr="00E853CD">
        <w:rPr>
          <w:rFonts w:cstheme="minorHAnsi"/>
          <w:bCs/>
        </w:rPr>
        <w:t xml:space="preserve">assessor of </w:t>
      </w:r>
      <w:r w:rsidR="00B67045" w:rsidRPr="00E853CD">
        <w:rPr>
          <w:rFonts w:cstheme="minorHAnsi"/>
          <w:bCs/>
        </w:rPr>
        <w:t>the municipality in which the equipment is located.</w:t>
      </w:r>
      <w:r w:rsidR="00BC5064">
        <w:rPr>
          <w:rFonts w:cstheme="minorHAnsi"/>
          <w:bCs/>
        </w:rPr>
        <w:t xml:space="preserve"> </w:t>
      </w:r>
      <w:r w:rsidR="0020096C" w:rsidRPr="00E853CD">
        <w:rPr>
          <w:rFonts w:cstheme="minorHAnsi"/>
          <w:bCs/>
        </w:rPr>
        <w:t xml:space="preserve">Any property subject to the telecommunications excise tax is </w:t>
      </w:r>
      <w:r w:rsidR="008C3352" w:rsidRPr="00E853CD">
        <w:rPr>
          <w:rFonts w:cstheme="minorHAnsi"/>
          <w:bCs/>
        </w:rPr>
        <w:t>exempt from</w:t>
      </w:r>
      <w:r w:rsidR="0020096C" w:rsidRPr="00E853CD">
        <w:rPr>
          <w:rFonts w:cstheme="minorHAnsi"/>
          <w:bCs/>
        </w:rPr>
        <w:t xml:space="preserve"> municipal property tax.</w:t>
      </w:r>
      <w:r w:rsidR="00BC5064">
        <w:rPr>
          <w:rFonts w:cstheme="minorHAnsi"/>
          <w:bCs/>
        </w:rPr>
        <w:t xml:space="preserve"> </w:t>
      </w:r>
    </w:p>
    <w:p w14:paraId="7871026B" w14:textId="77777777" w:rsidR="00711119" w:rsidRPr="00E853CD" w:rsidRDefault="00711119" w:rsidP="00F95D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  <w:b/>
        </w:rPr>
      </w:pPr>
    </w:p>
    <w:p w14:paraId="4279C007" w14:textId="77777777" w:rsidR="00711119" w:rsidRPr="00E853CD" w:rsidRDefault="00711119" w:rsidP="00F95D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  <w:b/>
        </w:rPr>
      </w:pPr>
    </w:p>
    <w:p w14:paraId="2063E9E6" w14:textId="2276CBEB" w:rsidR="009B5921" w:rsidRPr="00E853CD" w:rsidRDefault="00A34AA7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  <w:r w:rsidRPr="00E853CD">
        <w:rPr>
          <w:rFonts w:cstheme="minorHAnsi"/>
          <w:b/>
        </w:rPr>
        <w:t>.</w:t>
      </w:r>
      <w:r w:rsidR="009B5921" w:rsidRPr="00E853CD">
        <w:rPr>
          <w:rFonts w:cstheme="minorHAnsi"/>
          <w:b/>
        </w:rPr>
        <w:t>0</w:t>
      </w:r>
      <w:r w:rsidR="00711119" w:rsidRPr="00E853CD">
        <w:rPr>
          <w:rFonts w:cstheme="minorHAnsi"/>
          <w:b/>
        </w:rPr>
        <w:t>2</w:t>
      </w:r>
      <w:r w:rsidR="00F13133" w:rsidRPr="00E853CD">
        <w:rPr>
          <w:rFonts w:cstheme="minorHAnsi"/>
          <w:b/>
        </w:rPr>
        <w:tab/>
      </w:r>
      <w:r w:rsidR="009B5921" w:rsidRPr="00E853CD">
        <w:rPr>
          <w:rFonts w:cstheme="minorHAnsi"/>
          <w:b/>
        </w:rPr>
        <w:t>Definitions</w:t>
      </w:r>
      <w:r w:rsidRPr="00E853CD">
        <w:rPr>
          <w:rFonts w:cstheme="minorHAnsi"/>
        </w:rPr>
        <w:t xml:space="preserve"> </w:t>
      </w:r>
    </w:p>
    <w:p w14:paraId="3410E65C" w14:textId="77777777" w:rsidR="009B5921" w:rsidRPr="00E853CD" w:rsidRDefault="009B5921" w:rsidP="00F95D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7FFE7F63" w14:textId="2E70BD15" w:rsidR="00EF31BA" w:rsidRPr="00E853CD" w:rsidRDefault="00C45B71" w:rsidP="00BC5064">
      <w:pPr>
        <w:autoSpaceDE w:val="0"/>
        <w:autoSpaceDN w:val="0"/>
        <w:adjustRightInd w:val="0"/>
        <w:spacing w:after="0" w:line="240" w:lineRule="auto"/>
        <w:ind w:left="1440" w:right="-180" w:hanging="720"/>
        <w:rPr>
          <w:rFonts w:cstheme="minorHAnsi"/>
          <w:b/>
        </w:rPr>
      </w:pPr>
      <w:r w:rsidRPr="00E853CD">
        <w:rPr>
          <w:rFonts w:cstheme="minorHAnsi"/>
          <w:b/>
        </w:rPr>
        <w:t>A</w:t>
      </w:r>
      <w:r w:rsidR="00A34AA7" w:rsidRPr="00E853CD">
        <w:rPr>
          <w:rFonts w:cstheme="minorHAnsi"/>
          <w:b/>
        </w:rPr>
        <w:t>.</w:t>
      </w:r>
      <w:r w:rsidR="00EF31BA" w:rsidRPr="00E853CD">
        <w:rPr>
          <w:rFonts w:cstheme="minorHAnsi"/>
          <w:b/>
        </w:rPr>
        <w:tab/>
        <w:t>Certified ratio.</w:t>
      </w:r>
      <w:r w:rsidR="00BC5064">
        <w:rPr>
          <w:rFonts w:cstheme="minorHAnsi"/>
          <w:b/>
        </w:rPr>
        <w:t xml:space="preserve"> </w:t>
      </w:r>
      <w:r w:rsidR="00EF31BA" w:rsidRPr="00E853CD">
        <w:rPr>
          <w:rFonts w:cstheme="minorHAnsi"/>
          <w:bCs/>
        </w:rPr>
        <w:t>“Certified ratio” means the level of municipal assessed value, expressed as a percentage, relative to just value as certified by the assessor pursuant to 36 M.R.S.</w:t>
      </w:r>
      <w:r w:rsidR="00BC5064">
        <w:rPr>
          <w:rFonts w:cstheme="minorHAnsi"/>
          <w:bCs/>
        </w:rPr>
        <w:t xml:space="preserve"> </w:t>
      </w:r>
      <w:r w:rsidR="00EF31BA" w:rsidRPr="00E853CD">
        <w:rPr>
          <w:rFonts w:cstheme="minorHAnsi"/>
          <w:bCs/>
        </w:rPr>
        <w:t>§383.</w:t>
      </w:r>
      <w:r w:rsidR="00BC5064">
        <w:rPr>
          <w:rFonts w:cstheme="minorHAnsi"/>
          <w:bCs/>
        </w:rPr>
        <w:t xml:space="preserve"> </w:t>
      </w:r>
    </w:p>
    <w:p w14:paraId="3763B0FF" w14:textId="77777777" w:rsidR="00EF31BA" w:rsidRPr="00E853CD" w:rsidRDefault="00EF31BA" w:rsidP="00EF31BA">
      <w:pPr>
        <w:autoSpaceDE w:val="0"/>
        <w:autoSpaceDN w:val="0"/>
        <w:adjustRightInd w:val="0"/>
        <w:spacing w:after="0" w:line="240" w:lineRule="auto"/>
        <w:ind w:left="1440" w:hanging="720"/>
        <w:rPr>
          <w:rFonts w:cstheme="minorHAnsi"/>
          <w:b/>
        </w:rPr>
      </w:pPr>
    </w:p>
    <w:p w14:paraId="303D4F59" w14:textId="6DE0D20F" w:rsidR="00EF31BA" w:rsidRPr="00E853CD" w:rsidRDefault="00EF31BA" w:rsidP="00204472">
      <w:pPr>
        <w:autoSpaceDE w:val="0"/>
        <w:autoSpaceDN w:val="0"/>
        <w:adjustRightInd w:val="0"/>
        <w:spacing w:after="0" w:line="240" w:lineRule="auto"/>
        <w:ind w:left="1440" w:hanging="720"/>
        <w:rPr>
          <w:rFonts w:cstheme="minorHAnsi"/>
          <w:b/>
        </w:rPr>
      </w:pPr>
      <w:r w:rsidRPr="00E853CD">
        <w:rPr>
          <w:rFonts w:cstheme="minorHAnsi"/>
          <w:b/>
        </w:rPr>
        <w:t xml:space="preserve">B. </w:t>
      </w:r>
      <w:r w:rsidRPr="00E853CD">
        <w:rPr>
          <w:rFonts w:cstheme="minorHAnsi"/>
          <w:b/>
        </w:rPr>
        <w:tab/>
        <w:t>Distribution facilities.</w:t>
      </w:r>
      <w:r w:rsidR="00BC5064">
        <w:rPr>
          <w:rFonts w:cstheme="minorHAnsi"/>
          <w:b/>
        </w:rPr>
        <w:t xml:space="preserve"> </w:t>
      </w:r>
      <w:r w:rsidR="007821AD" w:rsidRPr="00E853CD">
        <w:rPr>
          <w:rFonts w:ascii="TimesNewRomanPSMT" w:hAnsi="TimesNewRomanPSMT" w:cs="TimesNewRomanPSMT"/>
        </w:rPr>
        <w:t>“</w:t>
      </w:r>
      <w:r w:rsidRPr="00E853CD">
        <w:rPr>
          <w:rFonts w:ascii="TimesNewRomanPSMT" w:hAnsi="TimesNewRomanPSMT" w:cs="TimesNewRomanPSMT"/>
        </w:rPr>
        <w:t>Distribution facilities,</w:t>
      </w:r>
      <w:r w:rsidR="007821AD" w:rsidRPr="00E853CD">
        <w:rPr>
          <w:rFonts w:ascii="TimesNewRomanPSMT" w:hAnsi="TimesNewRomanPSMT" w:cs="TimesNewRomanPSMT"/>
        </w:rPr>
        <w:t>”</w:t>
      </w:r>
      <w:r w:rsidRPr="00E853CD">
        <w:rPr>
          <w:rFonts w:ascii="TimesNewRomanPSMT" w:hAnsi="TimesNewRomanPSMT" w:cs="TimesNewRomanPSMT"/>
        </w:rPr>
        <w:t xml:space="preserve"> as defined in 36 M.R.S. </w:t>
      </w:r>
      <w:r w:rsidRPr="00E853CD">
        <w:rPr>
          <w:rFonts w:ascii="Times New Roman" w:hAnsi="Times New Roman" w:cs="Times New Roman"/>
        </w:rPr>
        <w:t>§</w:t>
      </w:r>
      <w:r w:rsidRPr="00E853CD">
        <w:rPr>
          <w:rFonts w:ascii="TimesNewRomanPSMT" w:hAnsi="TimesNewRomanPSMT" w:cs="TimesNewRomanPSMT"/>
        </w:rPr>
        <w:t>457(1)(C), means facilities used primarily to transport communications between fixed locations, including but not limited to cables, wires, wireless transmitters and utility poles.</w:t>
      </w:r>
    </w:p>
    <w:p w14:paraId="6858813F" w14:textId="77777777" w:rsidR="00EF31BA" w:rsidRPr="00E853CD" w:rsidRDefault="00EF31BA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  <w:b/>
        </w:rPr>
      </w:pPr>
    </w:p>
    <w:p w14:paraId="07622E0B" w14:textId="59C07D31" w:rsidR="00A34AA7" w:rsidRPr="00E853CD" w:rsidRDefault="00EF31BA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  <w:r w:rsidRPr="00E853CD">
        <w:rPr>
          <w:rFonts w:cstheme="minorHAnsi"/>
          <w:b/>
        </w:rPr>
        <w:t>C.</w:t>
      </w:r>
      <w:r w:rsidRPr="00E853CD">
        <w:rPr>
          <w:rFonts w:cstheme="minorHAnsi"/>
          <w:b/>
        </w:rPr>
        <w:tab/>
      </w:r>
      <w:r w:rsidR="002911ED" w:rsidRPr="00E853CD">
        <w:rPr>
          <w:rFonts w:cstheme="minorHAnsi"/>
          <w:b/>
        </w:rPr>
        <w:t>Interactive 2-way communication services</w:t>
      </w:r>
      <w:r w:rsidR="00A34AA7" w:rsidRPr="00E853CD">
        <w:rPr>
          <w:rFonts w:cstheme="minorHAnsi"/>
          <w:b/>
        </w:rPr>
        <w:t>.</w:t>
      </w:r>
      <w:r w:rsidR="00BC5064">
        <w:rPr>
          <w:rFonts w:cstheme="minorHAnsi"/>
        </w:rPr>
        <w:t xml:space="preserve"> </w:t>
      </w:r>
      <w:r w:rsidR="007821AD" w:rsidRPr="00E853CD">
        <w:rPr>
          <w:rFonts w:cstheme="minorHAnsi"/>
        </w:rPr>
        <w:t>“</w:t>
      </w:r>
      <w:r w:rsidR="002911ED" w:rsidRPr="00E853CD">
        <w:rPr>
          <w:rFonts w:cstheme="minorHAnsi"/>
        </w:rPr>
        <w:t>Interactive 2-way communication services</w:t>
      </w:r>
      <w:r w:rsidR="007821AD" w:rsidRPr="00E853CD">
        <w:rPr>
          <w:rFonts w:cstheme="minorHAnsi"/>
        </w:rPr>
        <w:t>”</w:t>
      </w:r>
      <w:r w:rsidR="00A34AA7" w:rsidRPr="00E853CD">
        <w:rPr>
          <w:rFonts w:cstheme="minorHAnsi"/>
        </w:rPr>
        <w:t xml:space="preserve"> </w:t>
      </w:r>
      <w:r w:rsidR="008334FA" w:rsidRPr="00E853CD">
        <w:rPr>
          <w:rFonts w:cstheme="minorHAnsi"/>
        </w:rPr>
        <w:t>means</w:t>
      </w:r>
      <w:r w:rsidR="00FF5929" w:rsidRPr="00E853CD">
        <w:rPr>
          <w:rFonts w:cstheme="minorHAnsi"/>
        </w:rPr>
        <w:t xml:space="preserve"> </w:t>
      </w:r>
      <w:r w:rsidR="00A06821" w:rsidRPr="00E853CD">
        <w:rPr>
          <w:rFonts w:cstheme="minorHAnsi"/>
        </w:rPr>
        <w:t>services that allow transmission</w:t>
      </w:r>
      <w:r w:rsidR="008807D7" w:rsidRPr="00E853CD">
        <w:rPr>
          <w:rFonts w:cstheme="minorHAnsi"/>
        </w:rPr>
        <w:t xml:space="preserve"> of voice, image, data</w:t>
      </w:r>
      <w:r w:rsidR="00B82E8F" w:rsidRPr="00E853CD">
        <w:rPr>
          <w:rFonts w:cstheme="minorHAnsi"/>
        </w:rPr>
        <w:t>,</w:t>
      </w:r>
      <w:r w:rsidR="008807D7" w:rsidRPr="00E853CD">
        <w:rPr>
          <w:rFonts w:cstheme="minorHAnsi"/>
        </w:rPr>
        <w:t xml:space="preserve"> and information between or among two or more </w:t>
      </w:r>
      <w:r w:rsidR="00F32E0F" w:rsidRPr="00E853CD">
        <w:rPr>
          <w:rFonts w:cstheme="minorHAnsi"/>
        </w:rPr>
        <w:t>persons</w:t>
      </w:r>
      <w:r w:rsidR="008807D7" w:rsidRPr="00E853CD">
        <w:rPr>
          <w:rFonts w:cstheme="minorHAnsi"/>
        </w:rPr>
        <w:t xml:space="preserve"> </w:t>
      </w:r>
      <w:r w:rsidR="00390BEA" w:rsidRPr="00E853CD">
        <w:rPr>
          <w:rFonts w:cstheme="minorHAnsi"/>
        </w:rPr>
        <w:t xml:space="preserve">via a medium such as </w:t>
      </w:r>
      <w:r w:rsidR="008807D7" w:rsidRPr="00E853CD">
        <w:rPr>
          <w:rFonts w:cstheme="minorHAnsi"/>
        </w:rPr>
        <w:t>wires, cables, microwaves, radio waves, light waves, or any combination of those</w:t>
      </w:r>
      <w:r w:rsidR="00BB237B" w:rsidRPr="00E853CD">
        <w:rPr>
          <w:rFonts w:cstheme="minorHAnsi"/>
        </w:rPr>
        <w:t>,</w:t>
      </w:r>
      <w:r w:rsidR="008807D7" w:rsidRPr="00E853CD">
        <w:rPr>
          <w:rFonts w:cstheme="minorHAnsi"/>
        </w:rPr>
        <w:t xml:space="preserve"> or </w:t>
      </w:r>
      <w:r w:rsidR="00390BEA" w:rsidRPr="00E853CD">
        <w:rPr>
          <w:rFonts w:cstheme="minorHAnsi"/>
        </w:rPr>
        <w:t xml:space="preserve">via some </w:t>
      </w:r>
      <w:r w:rsidR="008807D7" w:rsidRPr="00E853CD">
        <w:rPr>
          <w:rFonts w:cstheme="minorHAnsi"/>
        </w:rPr>
        <w:t>other similar media.</w:t>
      </w:r>
    </w:p>
    <w:p w14:paraId="1811712F" w14:textId="702FDB22" w:rsidR="00B54530" w:rsidRPr="00E853CD" w:rsidRDefault="00B54530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</w:p>
    <w:p w14:paraId="76F696FE" w14:textId="48013931" w:rsidR="00B54530" w:rsidRPr="00E853CD" w:rsidRDefault="00EF31BA" w:rsidP="00B54530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  <w:r w:rsidRPr="00E853CD">
        <w:rPr>
          <w:rFonts w:cstheme="minorHAnsi"/>
          <w:b/>
          <w:bCs/>
        </w:rPr>
        <w:lastRenderedPageBreak/>
        <w:t>D</w:t>
      </w:r>
      <w:r w:rsidR="00B54530" w:rsidRPr="00E853CD">
        <w:rPr>
          <w:rFonts w:cstheme="minorHAnsi"/>
          <w:b/>
          <w:bCs/>
        </w:rPr>
        <w:t>.</w:t>
      </w:r>
      <w:r w:rsidR="00B54530" w:rsidRPr="00E853CD">
        <w:rPr>
          <w:rFonts w:cstheme="minorHAnsi"/>
          <w:b/>
          <w:bCs/>
        </w:rPr>
        <w:tab/>
        <w:t>Just value.</w:t>
      </w:r>
      <w:r w:rsidR="00BC5064">
        <w:rPr>
          <w:rFonts w:cstheme="minorHAnsi"/>
        </w:rPr>
        <w:t xml:space="preserve"> </w:t>
      </w:r>
      <w:r w:rsidR="00B54530" w:rsidRPr="00E853CD">
        <w:rPr>
          <w:rFonts w:cstheme="minorHAnsi"/>
        </w:rPr>
        <w:t>“Just value” means market value, i.e.</w:t>
      </w:r>
      <w:r w:rsidR="00B82E8F" w:rsidRPr="00E853CD">
        <w:rPr>
          <w:rFonts w:cstheme="minorHAnsi"/>
        </w:rPr>
        <w:t>,</w:t>
      </w:r>
      <w:r w:rsidR="00B54530" w:rsidRPr="00E853CD">
        <w:rPr>
          <w:rFonts w:cstheme="minorHAnsi"/>
        </w:rPr>
        <w:t xml:space="preserve"> the amount in cash that could reasonably be expected to be paid by an informed buyer to an informed seller for a property, each acting without compulsion in an arm’s-length transaction.</w:t>
      </w:r>
    </w:p>
    <w:p w14:paraId="64C67EDB" w14:textId="2DFD790B" w:rsidR="00B54530" w:rsidRPr="00E853CD" w:rsidRDefault="00B54530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</w:p>
    <w:p w14:paraId="70195A88" w14:textId="657EADC3" w:rsidR="00B54530" w:rsidRPr="00E853CD" w:rsidRDefault="00EF31BA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  <w:r w:rsidRPr="00E853CD">
        <w:rPr>
          <w:rFonts w:cstheme="minorHAnsi"/>
          <w:b/>
          <w:bCs/>
        </w:rPr>
        <w:t>E</w:t>
      </w:r>
      <w:r w:rsidR="00B54530" w:rsidRPr="00E853CD">
        <w:rPr>
          <w:rFonts w:cstheme="minorHAnsi"/>
          <w:b/>
          <w:bCs/>
        </w:rPr>
        <w:t>.</w:t>
      </w:r>
      <w:r w:rsidR="00B54530" w:rsidRPr="00E853CD">
        <w:rPr>
          <w:rFonts w:cstheme="minorHAnsi"/>
          <w:b/>
          <w:bCs/>
        </w:rPr>
        <w:tab/>
        <w:t>Mill rate.</w:t>
      </w:r>
      <w:r w:rsidR="00BC5064">
        <w:rPr>
          <w:rFonts w:cstheme="minorHAnsi"/>
        </w:rPr>
        <w:t xml:space="preserve"> </w:t>
      </w:r>
      <w:r w:rsidR="00B54530" w:rsidRPr="00E853CD">
        <w:rPr>
          <w:rFonts w:cstheme="minorHAnsi"/>
        </w:rPr>
        <w:t xml:space="preserve">“Mill rate” means the calculated tax rate </w:t>
      </w:r>
      <w:r w:rsidR="007B1295" w:rsidRPr="00E853CD">
        <w:rPr>
          <w:rFonts w:cstheme="minorHAnsi"/>
        </w:rPr>
        <w:t xml:space="preserve">per </w:t>
      </w:r>
      <w:r w:rsidR="00CF556E" w:rsidRPr="00E853CD">
        <w:rPr>
          <w:rFonts w:cstheme="minorHAnsi"/>
        </w:rPr>
        <w:t xml:space="preserve">$1,000 </w:t>
      </w:r>
      <w:r w:rsidR="00EB78F3" w:rsidRPr="00E853CD">
        <w:rPr>
          <w:rFonts w:cstheme="minorHAnsi"/>
        </w:rPr>
        <w:t>o</w:t>
      </w:r>
      <w:r w:rsidR="00CF556E" w:rsidRPr="00E853CD">
        <w:rPr>
          <w:rFonts w:cstheme="minorHAnsi"/>
        </w:rPr>
        <w:t xml:space="preserve">f </w:t>
      </w:r>
      <w:r w:rsidR="00EB78F3" w:rsidRPr="00E853CD">
        <w:rPr>
          <w:rFonts w:cstheme="minorHAnsi"/>
        </w:rPr>
        <w:t xml:space="preserve">assessed </w:t>
      </w:r>
      <w:r w:rsidR="00CF556E" w:rsidRPr="00E853CD">
        <w:rPr>
          <w:rFonts w:cstheme="minorHAnsi"/>
        </w:rPr>
        <w:t xml:space="preserve">value </w:t>
      </w:r>
      <w:r w:rsidR="00B54530" w:rsidRPr="00E853CD">
        <w:rPr>
          <w:rFonts w:cstheme="minorHAnsi"/>
        </w:rPr>
        <w:t>for a municipality, based on the taxable value of property in the municipality and the portion of the municipal, school, and county budgets</w:t>
      </w:r>
      <w:r w:rsidR="001C2E5B" w:rsidRPr="00E853CD">
        <w:rPr>
          <w:rFonts w:cstheme="minorHAnsi"/>
        </w:rPr>
        <w:t>, including any adjustments,</w:t>
      </w:r>
      <w:r w:rsidR="00B54530" w:rsidRPr="00E853CD">
        <w:rPr>
          <w:rFonts w:cstheme="minorHAnsi"/>
        </w:rPr>
        <w:t xml:space="preserve"> that the municipality must collect from property taxes.</w:t>
      </w:r>
    </w:p>
    <w:p w14:paraId="52A392C1" w14:textId="6841DE0A" w:rsidR="00B54530" w:rsidRPr="00E853CD" w:rsidRDefault="00B54530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</w:p>
    <w:p w14:paraId="41F00B63" w14:textId="015B831C" w:rsidR="00B54530" w:rsidRPr="00E853CD" w:rsidRDefault="00EF31BA" w:rsidP="00B54530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  <w:r w:rsidRPr="00E853CD">
        <w:rPr>
          <w:rFonts w:cstheme="minorHAnsi"/>
          <w:b/>
          <w:bCs/>
        </w:rPr>
        <w:t>F</w:t>
      </w:r>
      <w:r w:rsidR="00B54530" w:rsidRPr="00E853CD">
        <w:rPr>
          <w:rFonts w:cstheme="minorHAnsi"/>
          <w:b/>
          <w:bCs/>
        </w:rPr>
        <w:t>.</w:t>
      </w:r>
      <w:r w:rsidR="00B54530" w:rsidRPr="00E853CD">
        <w:rPr>
          <w:rFonts w:cstheme="minorHAnsi"/>
          <w:b/>
          <w:bCs/>
        </w:rPr>
        <w:tab/>
        <w:t>Municipality.</w:t>
      </w:r>
      <w:r w:rsidR="00BC5064">
        <w:rPr>
          <w:rFonts w:cstheme="minorHAnsi"/>
        </w:rPr>
        <w:t xml:space="preserve"> </w:t>
      </w:r>
      <w:r w:rsidR="00B54530" w:rsidRPr="00E853CD">
        <w:rPr>
          <w:rFonts w:cstheme="minorHAnsi"/>
        </w:rPr>
        <w:t>“Municipality” means any city, town, plantation, or that portion of a county in the unorganized territory.</w:t>
      </w:r>
    </w:p>
    <w:p w14:paraId="7B014C9D" w14:textId="7BE5209D" w:rsidR="00B54530" w:rsidRPr="00E853CD" w:rsidRDefault="00B54530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</w:p>
    <w:p w14:paraId="2021115C" w14:textId="3410A1E1" w:rsidR="00B54530" w:rsidRPr="00E853CD" w:rsidRDefault="00EF31BA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  <w:r w:rsidRPr="00E853CD">
        <w:rPr>
          <w:rFonts w:cstheme="minorHAnsi"/>
          <w:b/>
          <w:bCs/>
        </w:rPr>
        <w:t>G</w:t>
      </w:r>
      <w:r w:rsidR="00B54530" w:rsidRPr="00E853CD">
        <w:rPr>
          <w:rFonts w:cstheme="minorHAnsi"/>
          <w:b/>
          <w:bCs/>
        </w:rPr>
        <w:t>.</w:t>
      </w:r>
      <w:r w:rsidR="00B54530" w:rsidRPr="00E853CD">
        <w:rPr>
          <w:rFonts w:cstheme="minorHAnsi"/>
          <w:b/>
          <w:bCs/>
        </w:rPr>
        <w:tab/>
      </w:r>
      <w:r w:rsidR="008F6E80" w:rsidRPr="00E853CD">
        <w:rPr>
          <w:rFonts w:cstheme="minorHAnsi"/>
          <w:b/>
          <w:bCs/>
        </w:rPr>
        <w:t>Qualified t</w:t>
      </w:r>
      <w:r w:rsidR="00B54530" w:rsidRPr="00E853CD">
        <w:rPr>
          <w:rFonts w:cstheme="minorHAnsi"/>
          <w:b/>
          <w:bCs/>
        </w:rPr>
        <w:t>elecommunications equipment.</w:t>
      </w:r>
      <w:r w:rsidR="00BC5064">
        <w:rPr>
          <w:rFonts w:cstheme="minorHAnsi"/>
        </w:rPr>
        <w:t xml:space="preserve"> </w:t>
      </w:r>
      <w:r w:rsidR="00B54530" w:rsidRPr="00E853CD">
        <w:rPr>
          <w:rFonts w:cstheme="minorHAnsi"/>
        </w:rPr>
        <w:t>“</w:t>
      </w:r>
      <w:r w:rsidR="008F6E80" w:rsidRPr="00E853CD">
        <w:rPr>
          <w:rFonts w:cstheme="minorHAnsi"/>
        </w:rPr>
        <w:t>Qualified t</w:t>
      </w:r>
      <w:r w:rsidR="00B54530" w:rsidRPr="00E853CD">
        <w:rPr>
          <w:rFonts w:cstheme="minorHAnsi"/>
        </w:rPr>
        <w:t>elecommunications equipment</w:t>
      </w:r>
      <w:r w:rsidR="000E7C2E" w:rsidRPr="00E853CD">
        <w:rPr>
          <w:rFonts w:cstheme="minorHAnsi"/>
        </w:rPr>
        <w:t>,</w:t>
      </w:r>
      <w:r w:rsidR="00B54530" w:rsidRPr="00E853CD">
        <w:rPr>
          <w:rFonts w:cstheme="minorHAnsi"/>
        </w:rPr>
        <w:t>”</w:t>
      </w:r>
      <w:r w:rsidR="000E7C2E" w:rsidRPr="00E853CD">
        <w:rPr>
          <w:rFonts w:cstheme="minorHAnsi"/>
        </w:rPr>
        <w:t xml:space="preserve"> </w:t>
      </w:r>
      <w:bookmarkStart w:id="0" w:name="_Hlk83288150"/>
      <w:r w:rsidR="000E7C2E" w:rsidRPr="00E853CD">
        <w:rPr>
          <w:rFonts w:cstheme="minorHAnsi"/>
        </w:rPr>
        <w:t xml:space="preserve">as defined in </w:t>
      </w:r>
      <w:bookmarkStart w:id="1" w:name="_Hlk83288072"/>
      <w:r w:rsidR="000E7C2E" w:rsidRPr="00E853CD">
        <w:rPr>
          <w:rFonts w:cstheme="minorHAnsi"/>
        </w:rPr>
        <w:t>36 M.R.S. §457(1)(B)</w:t>
      </w:r>
      <w:bookmarkEnd w:id="1"/>
      <w:r w:rsidR="000E7C2E" w:rsidRPr="00E853CD">
        <w:rPr>
          <w:rFonts w:cstheme="minorHAnsi"/>
        </w:rPr>
        <w:t>,</w:t>
      </w:r>
      <w:bookmarkEnd w:id="0"/>
      <w:r w:rsidR="00B54530" w:rsidRPr="00E853CD">
        <w:rPr>
          <w:rFonts w:cstheme="minorHAnsi"/>
        </w:rPr>
        <w:t xml:space="preserve"> means </w:t>
      </w:r>
      <w:r w:rsidR="000E7C2E" w:rsidRPr="00E853CD">
        <w:rPr>
          <w:rFonts w:cstheme="minorHAnsi"/>
        </w:rPr>
        <w:t>equipment used for the transmission of interactive 2-way communications.</w:t>
      </w:r>
      <w:r w:rsidR="00BC5064">
        <w:rPr>
          <w:rFonts w:cstheme="minorHAnsi"/>
        </w:rPr>
        <w:t xml:space="preserve"> </w:t>
      </w:r>
      <w:r w:rsidR="00B82E8F" w:rsidRPr="00E853CD">
        <w:rPr>
          <w:rFonts w:cstheme="minorHAnsi"/>
        </w:rPr>
        <w:t>“</w:t>
      </w:r>
      <w:r w:rsidR="000E7C2E" w:rsidRPr="00E853CD">
        <w:rPr>
          <w:rFonts w:cstheme="minorHAnsi"/>
        </w:rPr>
        <w:t>Qualified telecommunications equipment</w:t>
      </w:r>
      <w:r w:rsidR="00B82E8F" w:rsidRPr="00E853CD">
        <w:rPr>
          <w:rFonts w:cstheme="minorHAnsi"/>
        </w:rPr>
        <w:t>”</w:t>
      </w:r>
      <w:r w:rsidR="000E7C2E" w:rsidRPr="00E853CD">
        <w:rPr>
          <w:rFonts w:cstheme="minorHAnsi"/>
        </w:rPr>
        <w:t xml:space="preserve"> includes equipment used to provide telegraph service and any interest </w:t>
      </w:r>
      <w:r w:rsidR="0010303C" w:rsidRPr="00E853CD">
        <w:rPr>
          <w:rFonts w:cstheme="minorHAnsi"/>
        </w:rPr>
        <w:t>of</w:t>
      </w:r>
      <w:r w:rsidR="000E7C2E" w:rsidRPr="00E853CD">
        <w:rPr>
          <w:rFonts w:cstheme="minorHAnsi"/>
        </w:rPr>
        <w:t xml:space="preserve"> a telecommunications business in poles.</w:t>
      </w:r>
      <w:r w:rsidR="00BC5064">
        <w:rPr>
          <w:rFonts w:cstheme="minorHAnsi"/>
        </w:rPr>
        <w:t xml:space="preserve"> </w:t>
      </w:r>
      <w:r w:rsidR="00B82E8F" w:rsidRPr="00E853CD">
        <w:rPr>
          <w:rFonts w:cstheme="minorHAnsi"/>
        </w:rPr>
        <w:t>“</w:t>
      </w:r>
      <w:r w:rsidR="000E7C2E" w:rsidRPr="00E853CD">
        <w:rPr>
          <w:rFonts w:cstheme="minorHAnsi"/>
        </w:rPr>
        <w:t>Qualified telecommunications equipment</w:t>
      </w:r>
      <w:r w:rsidR="00B82E8F" w:rsidRPr="00E853CD">
        <w:rPr>
          <w:rFonts w:cstheme="minorHAnsi"/>
        </w:rPr>
        <w:t>”</w:t>
      </w:r>
      <w:r w:rsidR="000E7C2E" w:rsidRPr="00E853CD">
        <w:rPr>
          <w:rFonts w:cstheme="minorHAnsi"/>
        </w:rPr>
        <w:t xml:space="preserve"> does not include equipment used solely to provide value-added nonvoice services in which computer processing applications are used to act on the form, content, code</w:t>
      </w:r>
      <w:r w:rsidR="00A22E77" w:rsidRPr="00E853CD">
        <w:rPr>
          <w:rFonts w:cstheme="minorHAnsi"/>
        </w:rPr>
        <w:t>,</w:t>
      </w:r>
      <w:r w:rsidR="000E7C2E" w:rsidRPr="00E853CD">
        <w:rPr>
          <w:rFonts w:cstheme="minorHAnsi"/>
        </w:rPr>
        <w:t xml:space="preserve"> and protocol of the information to be transmitted, unless those services are provided under a tariff approved by the Public Utilities Commission.</w:t>
      </w:r>
      <w:r w:rsidR="00BC5064">
        <w:rPr>
          <w:rFonts w:cstheme="minorHAnsi"/>
        </w:rPr>
        <w:t xml:space="preserve"> </w:t>
      </w:r>
      <w:r w:rsidR="00F32E0F" w:rsidRPr="00E853CD">
        <w:rPr>
          <w:rFonts w:cstheme="minorHAnsi"/>
        </w:rPr>
        <w:t xml:space="preserve">“Qualified telecommunications equipment” does not include </w:t>
      </w:r>
      <w:r w:rsidR="002E3A6D" w:rsidRPr="00E853CD">
        <w:rPr>
          <w:rFonts w:cstheme="minorHAnsi"/>
        </w:rPr>
        <w:t xml:space="preserve">cellular or landline </w:t>
      </w:r>
      <w:r w:rsidR="00F32E0F" w:rsidRPr="00E853CD">
        <w:rPr>
          <w:rFonts w:cstheme="minorHAnsi"/>
        </w:rPr>
        <w:t>t</w:t>
      </w:r>
      <w:r w:rsidR="005F69A0" w:rsidRPr="00E853CD">
        <w:rPr>
          <w:rFonts w:cstheme="minorHAnsi"/>
        </w:rPr>
        <w:t>elephones</w:t>
      </w:r>
      <w:r w:rsidR="00A267F2" w:rsidRPr="00E853CD">
        <w:rPr>
          <w:rFonts w:cstheme="minorHAnsi"/>
        </w:rPr>
        <w:t>.</w:t>
      </w:r>
    </w:p>
    <w:p w14:paraId="73AF8811" w14:textId="3003E84E" w:rsidR="000E7C2E" w:rsidRPr="00E853CD" w:rsidRDefault="000E7C2E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</w:p>
    <w:p w14:paraId="20F3C0CB" w14:textId="7D1EF506" w:rsidR="000E7C2E" w:rsidRPr="00E853CD" w:rsidRDefault="00EF31BA" w:rsidP="00BC5064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right="-90" w:hanging="720"/>
        <w:contextualSpacing/>
        <w:rPr>
          <w:rFonts w:cstheme="minorHAnsi"/>
        </w:rPr>
      </w:pPr>
      <w:r w:rsidRPr="00E853CD">
        <w:rPr>
          <w:rFonts w:cstheme="minorHAnsi"/>
          <w:b/>
          <w:bCs/>
        </w:rPr>
        <w:t>H</w:t>
      </w:r>
      <w:r w:rsidR="000E7C2E" w:rsidRPr="00E853CD">
        <w:rPr>
          <w:rFonts w:cstheme="minorHAnsi"/>
          <w:b/>
          <w:bCs/>
        </w:rPr>
        <w:t>.</w:t>
      </w:r>
      <w:r w:rsidR="000E7C2E" w:rsidRPr="00E853CD">
        <w:rPr>
          <w:rFonts w:cstheme="minorHAnsi"/>
          <w:b/>
          <w:bCs/>
        </w:rPr>
        <w:tab/>
        <w:t>Telecommunications business.</w:t>
      </w:r>
      <w:r w:rsidR="00BC5064">
        <w:rPr>
          <w:rFonts w:cstheme="minorHAnsi"/>
        </w:rPr>
        <w:t xml:space="preserve"> </w:t>
      </w:r>
      <w:r w:rsidR="0005432D" w:rsidRPr="00E853CD">
        <w:rPr>
          <w:rFonts w:cstheme="minorHAnsi"/>
        </w:rPr>
        <w:t>“</w:t>
      </w:r>
      <w:r w:rsidR="000E7C2E" w:rsidRPr="00E853CD">
        <w:rPr>
          <w:rFonts w:cstheme="minorHAnsi"/>
        </w:rPr>
        <w:t>Telecommunications business,</w:t>
      </w:r>
      <w:r w:rsidR="0005432D" w:rsidRPr="00E853CD">
        <w:rPr>
          <w:rFonts w:cstheme="minorHAnsi"/>
        </w:rPr>
        <w:t>”</w:t>
      </w:r>
      <w:r w:rsidR="000E7C2E" w:rsidRPr="00E853CD">
        <w:rPr>
          <w:rFonts w:cstheme="minorHAnsi"/>
        </w:rPr>
        <w:t xml:space="preserve"> as defined in 36 M.R.S. §457(1)(A), means a person engaged in the activity of providing interactive 2-way communication services for compensation.</w:t>
      </w:r>
    </w:p>
    <w:p w14:paraId="5C8D0E92" w14:textId="77777777" w:rsidR="001E6DE9" w:rsidRPr="00E853CD" w:rsidRDefault="001E6DE9" w:rsidP="00F95D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080" w:hanging="540"/>
        <w:contextualSpacing/>
        <w:rPr>
          <w:rFonts w:cstheme="minorHAnsi"/>
        </w:rPr>
      </w:pPr>
    </w:p>
    <w:p w14:paraId="030FD936" w14:textId="77777777" w:rsidR="001E6DE9" w:rsidRPr="00E853CD" w:rsidRDefault="001E6DE9" w:rsidP="00CD4310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</w:p>
    <w:p w14:paraId="10C0A06F" w14:textId="658F7F90" w:rsidR="00711119" w:rsidRPr="00E853CD" w:rsidRDefault="00711119" w:rsidP="00CD4310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  <w:r w:rsidRPr="00E853CD">
        <w:rPr>
          <w:rFonts w:cstheme="minorHAnsi"/>
          <w:b/>
        </w:rPr>
        <w:t>.0</w:t>
      </w:r>
      <w:r w:rsidR="00D64262" w:rsidRPr="00E853CD">
        <w:rPr>
          <w:rFonts w:cstheme="minorHAnsi"/>
          <w:b/>
        </w:rPr>
        <w:t>3</w:t>
      </w:r>
      <w:r w:rsidRPr="00E853CD">
        <w:rPr>
          <w:rFonts w:cstheme="minorHAnsi"/>
          <w:b/>
        </w:rPr>
        <w:tab/>
      </w:r>
      <w:r w:rsidR="00D64262" w:rsidRPr="00E853CD">
        <w:rPr>
          <w:rFonts w:cstheme="minorHAnsi"/>
          <w:b/>
        </w:rPr>
        <w:t>Valuation</w:t>
      </w:r>
      <w:r w:rsidRPr="00E853CD">
        <w:rPr>
          <w:rFonts w:cstheme="minorHAnsi"/>
        </w:rPr>
        <w:t xml:space="preserve"> </w:t>
      </w:r>
    </w:p>
    <w:p w14:paraId="22157909" w14:textId="77777777" w:rsidR="008F6E80" w:rsidRPr="00E853CD" w:rsidRDefault="008F6E80" w:rsidP="00CD4310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</w:p>
    <w:p w14:paraId="48D78802" w14:textId="7A213F0E" w:rsidR="00711119" w:rsidRPr="00E853CD" w:rsidRDefault="00CD4310" w:rsidP="00CD4310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  <w:r w:rsidRPr="00E853CD">
        <w:rPr>
          <w:rFonts w:cstheme="minorHAnsi"/>
        </w:rPr>
        <w:tab/>
      </w:r>
      <w:r w:rsidR="00A04B63" w:rsidRPr="00E853CD">
        <w:rPr>
          <w:rFonts w:cstheme="minorHAnsi"/>
        </w:rPr>
        <w:t>MRS</w:t>
      </w:r>
      <w:r w:rsidRPr="00E853CD">
        <w:rPr>
          <w:rFonts w:cstheme="minorHAnsi"/>
        </w:rPr>
        <w:t xml:space="preserve"> will determine the </w:t>
      </w:r>
      <w:r w:rsidR="008F6E80" w:rsidRPr="00E853CD">
        <w:rPr>
          <w:rFonts w:cstheme="minorHAnsi"/>
        </w:rPr>
        <w:t xml:space="preserve">just </w:t>
      </w:r>
      <w:r w:rsidRPr="00E853CD">
        <w:rPr>
          <w:rFonts w:cstheme="minorHAnsi"/>
        </w:rPr>
        <w:t xml:space="preserve">value of all </w:t>
      </w:r>
      <w:r w:rsidR="005F141C" w:rsidRPr="00E853CD">
        <w:rPr>
          <w:rFonts w:cstheme="minorHAnsi"/>
        </w:rPr>
        <w:t xml:space="preserve">property owned or leased </w:t>
      </w:r>
      <w:r w:rsidR="00A359A6" w:rsidRPr="00E853CD">
        <w:rPr>
          <w:rFonts w:cstheme="minorHAnsi"/>
        </w:rPr>
        <w:t xml:space="preserve">by a telecommunications </w:t>
      </w:r>
      <w:r w:rsidR="007F4046" w:rsidRPr="00E853CD">
        <w:rPr>
          <w:rFonts w:cstheme="minorHAnsi"/>
        </w:rPr>
        <w:t xml:space="preserve">business </w:t>
      </w:r>
      <w:r w:rsidR="003226EC" w:rsidRPr="00E853CD">
        <w:rPr>
          <w:rFonts w:cstheme="minorHAnsi"/>
        </w:rPr>
        <w:t>that is</w:t>
      </w:r>
      <w:r w:rsidRPr="00E853CD">
        <w:rPr>
          <w:rFonts w:cstheme="minorHAnsi"/>
        </w:rPr>
        <w:t xml:space="preserve"> </w:t>
      </w:r>
      <w:r w:rsidR="006C42D9" w:rsidRPr="00E853CD">
        <w:rPr>
          <w:rFonts w:cstheme="minorHAnsi"/>
        </w:rPr>
        <w:t>subject to</w:t>
      </w:r>
      <w:r w:rsidRPr="00E853CD">
        <w:rPr>
          <w:rFonts w:cstheme="minorHAnsi"/>
        </w:rPr>
        <w:t xml:space="preserve"> the telecommunications excise tax.</w:t>
      </w:r>
      <w:r w:rsidR="00BC5064">
        <w:rPr>
          <w:rFonts w:cstheme="minorHAnsi"/>
        </w:rPr>
        <w:t xml:space="preserve"> </w:t>
      </w:r>
      <w:r w:rsidR="008F6E80" w:rsidRPr="00E853CD">
        <w:rPr>
          <w:rFonts w:cstheme="minorHAnsi"/>
        </w:rPr>
        <w:t xml:space="preserve">In determining just value, </w:t>
      </w:r>
      <w:r w:rsidR="00A04B63" w:rsidRPr="00E853CD">
        <w:rPr>
          <w:rFonts w:cstheme="minorHAnsi"/>
        </w:rPr>
        <w:t>MRS</w:t>
      </w:r>
      <w:r w:rsidRPr="00E853CD">
        <w:rPr>
          <w:rFonts w:cstheme="minorHAnsi"/>
        </w:rPr>
        <w:t xml:space="preserve"> will consider the three standard </w:t>
      </w:r>
      <w:r w:rsidR="00715111" w:rsidRPr="00E853CD">
        <w:rPr>
          <w:rFonts w:cstheme="minorHAnsi"/>
        </w:rPr>
        <w:t>approaches to</w:t>
      </w:r>
      <w:r w:rsidRPr="00E853CD">
        <w:rPr>
          <w:rFonts w:cstheme="minorHAnsi"/>
        </w:rPr>
        <w:t xml:space="preserve"> property valuation</w:t>
      </w:r>
      <w:r w:rsidR="00D35F87" w:rsidRPr="00E853CD">
        <w:rPr>
          <w:rFonts w:cstheme="minorHAnsi"/>
        </w:rPr>
        <w:t>—</w:t>
      </w:r>
      <w:r w:rsidRPr="00E853CD">
        <w:rPr>
          <w:rFonts w:cstheme="minorHAnsi"/>
        </w:rPr>
        <w:t>the cost approach, the market approach</w:t>
      </w:r>
      <w:r w:rsidR="00466897" w:rsidRPr="00E853CD">
        <w:rPr>
          <w:rFonts w:cstheme="minorHAnsi"/>
        </w:rPr>
        <w:t>,</w:t>
      </w:r>
      <w:r w:rsidRPr="00E853CD">
        <w:rPr>
          <w:rFonts w:cstheme="minorHAnsi"/>
        </w:rPr>
        <w:t xml:space="preserve"> and the income approach</w:t>
      </w:r>
      <w:r w:rsidR="00D35F87" w:rsidRPr="00E853CD">
        <w:rPr>
          <w:rFonts w:cstheme="minorHAnsi"/>
        </w:rPr>
        <w:t>—</w:t>
      </w:r>
      <w:r w:rsidR="009430E3" w:rsidRPr="00E853CD">
        <w:rPr>
          <w:rFonts w:cstheme="minorHAnsi"/>
        </w:rPr>
        <w:t>as appropriate</w:t>
      </w:r>
      <w:r w:rsidRPr="00E853CD">
        <w:rPr>
          <w:rFonts w:cstheme="minorHAnsi"/>
        </w:rPr>
        <w:t>.</w:t>
      </w:r>
    </w:p>
    <w:p w14:paraId="30B78C0F" w14:textId="0C84F1B2" w:rsidR="00E76B0A" w:rsidRPr="00E853CD" w:rsidRDefault="00E76B0A" w:rsidP="00CD4310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</w:p>
    <w:p w14:paraId="67548C19" w14:textId="33F9A39E" w:rsidR="0020096C" w:rsidRPr="00E853CD" w:rsidRDefault="00E76B0A" w:rsidP="00CD4310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  <w:r w:rsidRPr="00E853CD">
        <w:rPr>
          <w:rFonts w:cstheme="minorHAnsi"/>
        </w:rPr>
        <w:tab/>
      </w:r>
      <w:r w:rsidR="0020096C" w:rsidRPr="00E853CD">
        <w:rPr>
          <w:rFonts w:cstheme="minorHAnsi"/>
        </w:rPr>
        <w:t>In determin</w:t>
      </w:r>
      <w:r w:rsidR="00A4327D" w:rsidRPr="00E853CD">
        <w:rPr>
          <w:rFonts w:cstheme="minorHAnsi"/>
        </w:rPr>
        <w:t xml:space="preserve">ing </w:t>
      </w:r>
      <w:r w:rsidR="0020096C" w:rsidRPr="00E853CD">
        <w:rPr>
          <w:rFonts w:cstheme="minorHAnsi"/>
        </w:rPr>
        <w:t>just value</w:t>
      </w:r>
      <w:r w:rsidR="008B394A" w:rsidRPr="00E853CD">
        <w:rPr>
          <w:rFonts w:cstheme="minorHAnsi"/>
        </w:rPr>
        <w:t xml:space="preserve">, MRS will </w:t>
      </w:r>
      <w:r w:rsidR="002D6098" w:rsidRPr="00E853CD">
        <w:rPr>
          <w:rFonts w:cstheme="minorHAnsi"/>
        </w:rPr>
        <w:t>apply the following considerations</w:t>
      </w:r>
      <w:r w:rsidR="0020096C" w:rsidRPr="00E853CD">
        <w:rPr>
          <w:rFonts w:cstheme="minorHAnsi"/>
        </w:rPr>
        <w:t xml:space="preserve">: </w:t>
      </w:r>
    </w:p>
    <w:p w14:paraId="6B25C9A2" w14:textId="77777777" w:rsidR="0020096C" w:rsidRPr="00E853CD" w:rsidRDefault="0020096C" w:rsidP="0020096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</w:p>
    <w:p w14:paraId="2BA564ED" w14:textId="1AD997CF" w:rsidR="0020096C" w:rsidRPr="00E853CD" w:rsidRDefault="0020096C" w:rsidP="0020096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  <w:r w:rsidRPr="00E853CD">
        <w:rPr>
          <w:rFonts w:cstheme="minorHAnsi"/>
          <w:b/>
          <w:bCs/>
        </w:rPr>
        <w:t>A.</w:t>
      </w:r>
      <w:r w:rsidRPr="00E853CD">
        <w:rPr>
          <w:rFonts w:cstheme="minorHAnsi"/>
          <w:b/>
          <w:bCs/>
        </w:rPr>
        <w:tab/>
      </w:r>
      <w:r w:rsidR="00E76B0A" w:rsidRPr="00E853CD">
        <w:rPr>
          <w:rFonts w:cstheme="minorHAnsi"/>
        </w:rPr>
        <w:t xml:space="preserve">Fluctuations in the number of customers a telecommunications business has </w:t>
      </w:r>
      <w:r w:rsidR="00BD05D8" w:rsidRPr="00E853CD">
        <w:rPr>
          <w:rFonts w:cstheme="minorHAnsi"/>
        </w:rPr>
        <w:t xml:space="preserve">will </w:t>
      </w:r>
      <w:r w:rsidR="00E76B0A" w:rsidRPr="00E853CD">
        <w:rPr>
          <w:rFonts w:cstheme="minorHAnsi"/>
        </w:rPr>
        <w:t>not necessarily affect the value of that business taxable property.</w:t>
      </w:r>
      <w:r w:rsidR="00BC5064">
        <w:rPr>
          <w:rFonts w:cstheme="minorHAnsi"/>
        </w:rPr>
        <w:t xml:space="preserve"> </w:t>
      </w:r>
    </w:p>
    <w:p w14:paraId="21C4FDF4" w14:textId="77777777" w:rsidR="0020096C" w:rsidRPr="00E853CD" w:rsidRDefault="0020096C" w:rsidP="0020096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</w:p>
    <w:p w14:paraId="6338EFC3" w14:textId="73E59F20" w:rsidR="00E76B0A" w:rsidRPr="00E853CD" w:rsidRDefault="0020096C" w:rsidP="0020096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  <w:r w:rsidRPr="00E853CD">
        <w:rPr>
          <w:rFonts w:cstheme="minorHAnsi"/>
          <w:b/>
          <w:bCs/>
        </w:rPr>
        <w:t>B.</w:t>
      </w:r>
      <w:r w:rsidRPr="00E853CD">
        <w:rPr>
          <w:rFonts w:cstheme="minorHAnsi"/>
          <w:b/>
          <w:bCs/>
        </w:rPr>
        <w:tab/>
      </w:r>
      <w:r w:rsidR="00E76B0A" w:rsidRPr="00E853CD">
        <w:rPr>
          <w:rFonts w:cstheme="minorHAnsi"/>
        </w:rPr>
        <w:t xml:space="preserve">Value is determined by the </w:t>
      </w:r>
      <w:r w:rsidR="00157D72" w:rsidRPr="00E853CD">
        <w:rPr>
          <w:rFonts w:cstheme="minorHAnsi"/>
        </w:rPr>
        <w:t xml:space="preserve">overall </w:t>
      </w:r>
      <w:r w:rsidR="00E76B0A" w:rsidRPr="00E853CD">
        <w:rPr>
          <w:rFonts w:cstheme="minorHAnsi"/>
        </w:rPr>
        <w:t xml:space="preserve">market, not individual </w:t>
      </w:r>
      <w:r w:rsidR="00F32E0F" w:rsidRPr="00E853CD">
        <w:rPr>
          <w:rFonts w:cstheme="minorHAnsi"/>
        </w:rPr>
        <w:t>persons</w:t>
      </w:r>
      <w:r w:rsidR="00157D72" w:rsidRPr="00E853CD">
        <w:rPr>
          <w:rFonts w:cstheme="minorHAnsi"/>
        </w:rPr>
        <w:t xml:space="preserve"> operating within that market</w:t>
      </w:r>
      <w:r w:rsidR="00E76B0A" w:rsidRPr="00E853CD">
        <w:rPr>
          <w:rFonts w:cstheme="minorHAnsi"/>
        </w:rPr>
        <w:t>.</w:t>
      </w:r>
    </w:p>
    <w:p w14:paraId="1C69D0E1" w14:textId="227F1225" w:rsidR="00164A82" w:rsidRPr="00E853CD" w:rsidRDefault="00164A82" w:rsidP="0020096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</w:p>
    <w:p w14:paraId="7FE7D713" w14:textId="409D9E54" w:rsidR="00164A82" w:rsidRPr="00E853CD" w:rsidRDefault="0020096C" w:rsidP="0020096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  <w:r w:rsidRPr="00E853CD">
        <w:rPr>
          <w:rFonts w:cstheme="minorHAnsi"/>
          <w:b/>
          <w:bCs/>
        </w:rPr>
        <w:t>C.</w:t>
      </w:r>
      <w:r w:rsidR="00164A82" w:rsidRPr="00E853CD">
        <w:rPr>
          <w:rFonts w:cstheme="minorHAnsi"/>
        </w:rPr>
        <w:tab/>
      </w:r>
      <w:r w:rsidR="00B26C80" w:rsidRPr="00E853CD">
        <w:rPr>
          <w:rFonts w:cstheme="minorHAnsi"/>
        </w:rPr>
        <w:t>A</w:t>
      </w:r>
      <w:r w:rsidR="00A65A69" w:rsidRPr="00E853CD">
        <w:rPr>
          <w:rFonts w:cstheme="minorHAnsi"/>
        </w:rPr>
        <w:t xml:space="preserve"> telecommunications business </w:t>
      </w:r>
      <w:r w:rsidR="0055505F" w:rsidRPr="00E853CD">
        <w:rPr>
          <w:rFonts w:cstheme="minorHAnsi"/>
        </w:rPr>
        <w:t xml:space="preserve">must </w:t>
      </w:r>
      <w:r w:rsidR="00A65A69" w:rsidRPr="00E853CD">
        <w:rPr>
          <w:rFonts w:cstheme="minorHAnsi"/>
        </w:rPr>
        <w:t>identify the municipality</w:t>
      </w:r>
      <w:r w:rsidR="0055505F" w:rsidRPr="00E853CD">
        <w:rPr>
          <w:rFonts w:cstheme="minorHAnsi"/>
        </w:rPr>
        <w:t xml:space="preserve"> or municipalities</w:t>
      </w:r>
      <w:r w:rsidR="00A65A69" w:rsidRPr="00E853CD">
        <w:rPr>
          <w:rFonts w:cstheme="minorHAnsi"/>
        </w:rPr>
        <w:t xml:space="preserve"> in which its qualified telecommunications equipment is located.</w:t>
      </w:r>
      <w:r w:rsidR="00BC5064">
        <w:rPr>
          <w:rFonts w:cstheme="minorHAnsi"/>
        </w:rPr>
        <w:t xml:space="preserve"> </w:t>
      </w:r>
      <w:r w:rsidR="0055505F" w:rsidRPr="00E853CD">
        <w:rPr>
          <w:rFonts w:cstheme="minorHAnsi"/>
        </w:rPr>
        <w:t>Where</w:t>
      </w:r>
      <w:r w:rsidR="00B376FB" w:rsidRPr="00E853CD">
        <w:rPr>
          <w:rFonts w:cstheme="minorHAnsi"/>
        </w:rPr>
        <w:t xml:space="preserve"> distribution facilities</w:t>
      </w:r>
      <w:r w:rsidR="002E6C7B" w:rsidRPr="00E853CD">
        <w:rPr>
          <w:rFonts w:cstheme="minorHAnsi"/>
        </w:rPr>
        <w:t xml:space="preserve"> </w:t>
      </w:r>
      <w:r w:rsidR="006E5B8E" w:rsidRPr="00E853CD">
        <w:rPr>
          <w:rFonts w:cstheme="minorHAnsi"/>
        </w:rPr>
        <w:t xml:space="preserve">are </w:t>
      </w:r>
      <w:r w:rsidR="00466897" w:rsidRPr="00E853CD">
        <w:rPr>
          <w:rFonts w:cstheme="minorHAnsi"/>
        </w:rPr>
        <w:t xml:space="preserve">located </w:t>
      </w:r>
      <w:r w:rsidR="006E5B8E" w:rsidRPr="00E853CD">
        <w:rPr>
          <w:rFonts w:cstheme="minorHAnsi"/>
        </w:rPr>
        <w:t>in multiple municipalities</w:t>
      </w:r>
      <w:r w:rsidR="00A65A69" w:rsidRPr="00E853CD">
        <w:rPr>
          <w:rFonts w:cstheme="minorHAnsi"/>
        </w:rPr>
        <w:t>, the</w:t>
      </w:r>
      <w:r w:rsidR="001D157F" w:rsidRPr="00E853CD">
        <w:rPr>
          <w:rFonts w:cstheme="minorHAnsi"/>
        </w:rPr>
        <w:t>ir</w:t>
      </w:r>
      <w:r w:rsidR="00A65A69" w:rsidRPr="00E853CD">
        <w:rPr>
          <w:rFonts w:cstheme="minorHAnsi"/>
        </w:rPr>
        <w:t xml:space="preserve"> value</w:t>
      </w:r>
      <w:r w:rsidR="00164A82" w:rsidRPr="00E853CD">
        <w:rPr>
          <w:rFonts w:cstheme="minorHAnsi"/>
        </w:rPr>
        <w:t xml:space="preserve"> </w:t>
      </w:r>
      <w:r w:rsidR="00041C98" w:rsidRPr="00E853CD">
        <w:rPr>
          <w:rFonts w:cstheme="minorHAnsi"/>
        </w:rPr>
        <w:t>may be</w:t>
      </w:r>
      <w:r w:rsidR="00164A82" w:rsidRPr="00E853CD">
        <w:rPr>
          <w:rFonts w:cstheme="minorHAnsi"/>
        </w:rPr>
        <w:t xml:space="preserve"> apportioned among municipalities</w:t>
      </w:r>
      <w:r w:rsidR="00A65A69" w:rsidRPr="00E853CD">
        <w:rPr>
          <w:rFonts w:cstheme="minorHAnsi"/>
        </w:rPr>
        <w:t xml:space="preserve"> based on the length of lines or cables within each municipality</w:t>
      </w:r>
      <w:r w:rsidR="00E94796" w:rsidRPr="00E853CD">
        <w:rPr>
          <w:rFonts w:cstheme="minorHAnsi"/>
        </w:rPr>
        <w:t xml:space="preserve">, or based on the percentage of </w:t>
      </w:r>
      <w:r w:rsidR="00B37A54" w:rsidRPr="00E853CD">
        <w:rPr>
          <w:rFonts w:cstheme="minorHAnsi"/>
        </w:rPr>
        <w:t>the</w:t>
      </w:r>
      <w:r w:rsidR="00B5154C" w:rsidRPr="00E853CD">
        <w:rPr>
          <w:rFonts w:cstheme="minorHAnsi"/>
        </w:rPr>
        <w:t xml:space="preserve"> just value of</w:t>
      </w:r>
      <w:r w:rsidR="00E94796" w:rsidRPr="00E853CD">
        <w:rPr>
          <w:rFonts w:cstheme="minorHAnsi"/>
        </w:rPr>
        <w:t xml:space="preserve"> distribution facili</w:t>
      </w:r>
      <w:r w:rsidR="00B37A54" w:rsidRPr="00E853CD">
        <w:rPr>
          <w:rFonts w:cstheme="minorHAnsi"/>
        </w:rPr>
        <w:t>ties</w:t>
      </w:r>
      <w:r w:rsidR="00E94796" w:rsidRPr="00E853CD">
        <w:rPr>
          <w:rFonts w:cstheme="minorHAnsi"/>
        </w:rPr>
        <w:t xml:space="preserve"> located within a particular municipality</w:t>
      </w:r>
      <w:r w:rsidR="00A65A69" w:rsidRPr="00E853CD">
        <w:rPr>
          <w:rFonts w:cstheme="minorHAnsi"/>
        </w:rPr>
        <w:t>.</w:t>
      </w:r>
      <w:r w:rsidR="00BC5064">
        <w:rPr>
          <w:rFonts w:cstheme="minorHAnsi"/>
        </w:rPr>
        <w:t xml:space="preserve"> </w:t>
      </w:r>
      <w:r w:rsidR="00E94796" w:rsidRPr="00E853CD">
        <w:rPr>
          <w:rFonts w:cstheme="minorHAnsi"/>
        </w:rPr>
        <w:t>A telecommunications business may</w:t>
      </w:r>
      <w:r w:rsidR="00A22BFE" w:rsidRPr="00E853CD">
        <w:rPr>
          <w:rFonts w:cstheme="minorHAnsi"/>
        </w:rPr>
        <w:t xml:space="preserve"> use a different method for apportioning its qualified telecommunications equipment with the approval of MRS</w:t>
      </w:r>
      <w:r w:rsidR="00E94796" w:rsidRPr="00E853CD">
        <w:rPr>
          <w:rFonts w:cstheme="minorHAnsi"/>
        </w:rPr>
        <w:t xml:space="preserve">. </w:t>
      </w:r>
    </w:p>
    <w:p w14:paraId="4D7C718D" w14:textId="3A1D1806" w:rsidR="000C75AD" w:rsidRPr="00E853CD" w:rsidRDefault="000C75AD" w:rsidP="0020096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</w:rPr>
      </w:pPr>
    </w:p>
    <w:p w14:paraId="5604A83D" w14:textId="69EB361B" w:rsidR="00711119" w:rsidRPr="00E853CD" w:rsidRDefault="00711119" w:rsidP="00CD4310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  <w:r w:rsidRPr="00E853CD">
        <w:rPr>
          <w:rFonts w:cstheme="minorHAnsi"/>
          <w:b/>
        </w:rPr>
        <w:lastRenderedPageBreak/>
        <w:t>.0</w:t>
      </w:r>
      <w:r w:rsidR="00D64262" w:rsidRPr="00E853CD">
        <w:rPr>
          <w:rFonts w:cstheme="minorHAnsi"/>
          <w:b/>
        </w:rPr>
        <w:t>4</w:t>
      </w:r>
      <w:r w:rsidRPr="00E853CD">
        <w:rPr>
          <w:rFonts w:cstheme="minorHAnsi"/>
          <w:b/>
        </w:rPr>
        <w:tab/>
      </w:r>
      <w:r w:rsidR="00D64262" w:rsidRPr="00E853CD">
        <w:rPr>
          <w:rFonts w:cstheme="minorHAnsi"/>
          <w:b/>
        </w:rPr>
        <w:t>Tax and interest</w:t>
      </w:r>
      <w:r w:rsidRPr="00E853CD">
        <w:rPr>
          <w:rFonts w:cstheme="minorHAnsi"/>
        </w:rPr>
        <w:t xml:space="preserve"> </w:t>
      </w:r>
    </w:p>
    <w:p w14:paraId="0BB70C99" w14:textId="77777777" w:rsidR="00711119" w:rsidRPr="00E853CD" w:rsidRDefault="00711119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086AF44B" w14:textId="46C5B53C" w:rsidR="00711119" w:rsidRPr="00E853CD" w:rsidRDefault="00711119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440" w:hanging="720"/>
        <w:contextualSpacing/>
        <w:rPr>
          <w:rFonts w:cstheme="minorHAnsi"/>
          <w:bCs/>
        </w:rPr>
      </w:pPr>
      <w:r w:rsidRPr="00E853CD">
        <w:rPr>
          <w:rFonts w:cstheme="minorHAnsi"/>
          <w:b/>
        </w:rPr>
        <w:t>A.</w:t>
      </w:r>
      <w:r w:rsidRPr="00E853CD">
        <w:rPr>
          <w:rFonts w:cstheme="minorHAnsi"/>
          <w:b/>
        </w:rPr>
        <w:tab/>
      </w:r>
      <w:r w:rsidR="00190B75" w:rsidRPr="00E853CD">
        <w:rPr>
          <w:rFonts w:cstheme="minorHAnsi"/>
          <w:b/>
        </w:rPr>
        <w:t>Tax.</w:t>
      </w:r>
      <w:r w:rsidR="00BC5064">
        <w:rPr>
          <w:rFonts w:cstheme="minorHAnsi"/>
          <w:bCs/>
        </w:rPr>
        <w:t xml:space="preserve"> </w:t>
      </w:r>
      <w:r w:rsidR="001D6D0A" w:rsidRPr="00E853CD">
        <w:rPr>
          <w:rFonts w:cstheme="minorHAnsi"/>
          <w:bCs/>
        </w:rPr>
        <w:t xml:space="preserve">The tax rate on </w:t>
      </w:r>
      <w:r w:rsidR="008F6E80" w:rsidRPr="00E853CD">
        <w:rPr>
          <w:rFonts w:cstheme="minorHAnsi"/>
          <w:bCs/>
        </w:rPr>
        <w:t xml:space="preserve">qualified </w:t>
      </w:r>
      <w:r w:rsidR="001D6D0A" w:rsidRPr="00E853CD">
        <w:rPr>
          <w:rFonts w:cstheme="minorHAnsi"/>
          <w:bCs/>
        </w:rPr>
        <w:t xml:space="preserve">telecommunications equipment </w:t>
      </w:r>
      <w:r w:rsidR="00C77604" w:rsidRPr="00E853CD">
        <w:rPr>
          <w:rFonts w:cstheme="minorHAnsi"/>
          <w:bCs/>
        </w:rPr>
        <w:t>equals</w:t>
      </w:r>
      <w:r w:rsidR="001D6D0A" w:rsidRPr="00E853CD">
        <w:rPr>
          <w:rFonts w:cstheme="minorHAnsi"/>
          <w:bCs/>
        </w:rPr>
        <w:t xml:space="preserve"> the mill rate for the municipality where the equipment is located.</w:t>
      </w:r>
      <w:r w:rsidR="00BC5064">
        <w:rPr>
          <w:rFonts w:cstheme="minorHAnsi"/>
          <w:bCs/>
        </w:rPr>
        <w:t xml:space="preserve"> </w:t>
      </w:r>
      <w:r w:rsidR="001D6D0A" w:rsidRPr="00E853CD">
        <w:rPr>
          <w:rFonts w:cstheme="minorHAnsi"/>
          <w:bCs/>
        </w:rPr>
        <w:t>The rate is applied to the</w:t>
      </w:r>
      <w:r w:rsidR="004C666E" w:rsidRPr="00E853CD">
        <w:rPr>
          <w:rFonts w:cstheme="minorHAnsi"/>
          <w:bCs/>
        </w:rPr>
        <w:t xml:space="preserve"> product of the</w:t>
      </w:r>
      <w:r w:rsidR="001D6D0A" w:rsidRPr="00E853CD">
        <w:rPr>
          <w:rFonts w:cstheme="minorHAnsi"/>
          <w:bCs/>
        </w:rPr>
        <w:t xml:space="preserve"> just value of the </w:t>
      </w:r>
      <w:r w:rsidR="008F6E80" w:rsidRPr="00E853CD">
        <w:rPr>
          <w:rFonts w:cstheme="minorHAnsi"/>
          <w:bCs/>
        </w:rPr>
        <w:t xml:space="preserve">qualified </w:t>
      </w:r>
      <w:r w:rsidR="001D6D0A" w:rsidRPr="00E853CD">
        <w:rPr>
          <w:rFonts w:cstheme="minorHAnsi"/>
          <w:bCs/>
        </w:rPr>
        <w:t xml:space="preserve">telecommunications equipment in the municipality multiplied by the municipality’s certified ratio as reported to MRS on the </w:t>
      </w:r>
      <w:r w:rsidR="00524450" w:rsidRPr="00E853CD">
        <w:rPr>
          <w:rFonts w:cstheme="minorHAnsi"/>
          <w:bCs/>
        </w:rPr>
        <w:t>most recently filed</w:t>
      </w:r>
      <w:r w:rsidR="001D6D0A" w:rsidRPr="00E853CD">
        <w:rPr>
          <w:rFonts w:cstheme="minorHAnsi"/>
          <w:bCs/>
        </w:rPr>
        <w:t xml:space="preserve"> Municipal Valuation Return.</w:t>
      </w:r>
      <w:r w:rsidR="00BC5064">
        <w:rPr>
          <w:rFonts w:cstheme="minorHAnsi"/>
          <w:bCs/>
        </w:rPr>
        <w:t xml:space="preserve"> </w:t>
      </w:r>
      <w:r w:rsidR="00DC6810" w:rsidRPr="00E853CD">
        <w:rPr>
          <w:rFonts w:cstheme="minorHAnsi"/>
          <w:bCs/>
        </w:rPr>
        <w:t>Although the municipal mill rate and certified ratio are used to calculate the tax, the excise tax</w:t>
      </w:r>
      <w:r w:rsidR="00612BCB" w:rsidRPr="00E853CD">
        <w:rPr>
          <w:rFonts w:cstheme="minorHAnsi"/>
          <w:bCs/>
        </w:rPr>
        <w:t xml:space="preserve"> on</w:t>
      </w:r>
      <w:r w:rsidR="007029B0" w:rsidRPr="00E853CD">
        <w:rPr>
          <w:rFonts w:cstheme="minorHAnsi"/>
          <w:bCs/>
        </w:rPr>
        <w:t xml:space="preserve"> </w:t>
      </w:r>
      <w:r w:rsidR="00466897" w:rsidRPr="00E853CD">
        <w:rPr>
          <w:rFonts w:cstheme="minorHAnsi"/>
          <w:bCs/>
        </w:rPr>
        <w:t xml:space="preserve">qualified telecommunications </w:t>
      </w:r>
      <w:r w:rsidR="007029B0" w:rsidRPr="00E853CD">
        <w:rPr>
          <w:rFonts w:cstheme="minorHAnsi"/>
          <w:bCs/>
        </w:rPr>
        <w:t xml:space="preserve">equipment </w:t>
      </w:r>
      <w:r w:rsidR="00B41FD8" w:rsidRPr="00E853CD">
        <w:rPr>
          <w:rFonts w:cstheme="minorHAnsi"/>
          <w:bCs/>
        </w:rPr>
        <w:t>owned</w:t>
      </w:r>
      <w:r w:rsidR="00861A7C" w:rsidRPr="00E853CD">
        <w:rPr>
          <w:rFonts w:cstheme="minorHAnsi"/>
          <w:bCs/>
        </w:rPr>
        <w:t xml:space="preserve"> or leased</w:t>
      </w:r>
      <w:r w:rsidR="00B41FD8" w:rsidRPr="00E853CD">
        <w:rPr>
          <w:rFonts w:cstheme="minorHAnsi"/>
          <w:bCs/>
        </w:rPr>
        <w:t xml:space="preserve"> by a</w:t>
      </w:r>
      <w:r w:rsidR="00612BCB" w:rsidRPr="00E853CD">
        <w:rPr>
          <w:rFonts w:cstheme="minorHAnsi"/>
          <w:bCs/>
        </w:rPr>
        <w:t xml:space="preserve"> telecommunications business</w:t>
      </w:r>
      <w:r w:rsidR="00DC6810" w:rsidRPr="00E853CD">
        <w:rPr>
          <w:rFonts w:cstheme="minorHAnsi"/>
          <w:bCs/>
        </w:rPr>
        <w:t xml:space="preserve"> is </w:t>
      </w:r>
      <w:r w:rsidR="00AE11E9" w:rsidRPr="00E853CD">
        <w:rPr>
          <w:rFonts w:cstheme="minorHAnsi"/>
          <w:bCs/>
        </w:rPr>
        <w:t xml:space="preserve">assessed by MRS and </w:t>
      </w:r>
      <w:r w:rsidR="00DC6810" w:rsidRPr="00E853CD">
        <w:rPr>
          <w:rFonts w:cstheme="minorHAnsi"/>
          <w:bCs/>
        </w:rPr>
        <w:t>paid to the State rather than the municipality</w:t>
      </w:r>
      <w:r w:rsidR="004C666E" w:rsidRPr="00E853CD">
        <w:rPr>
          <w:rFonts w:cstheme="minorHAnsi"/>
          <w:bCs/>
        </w:rPr>
        <w:t>.</w:t>
      </w:r>
      <w:r w:rsidR="00BC5064">
        <w:rPr>
          <w:rFonts w:cstheme="minorHAnsi"/>
          <w:bCs/>
        </w:rPr>
        <w:t xml:space="preserve"> </w:t>
      </w:r>
    </w:p>
    <w:p w14:paraId="0A2AA941" w14:textId="77777777" w:rsidR="00711119" w:rsidRPr="00E853CD" w:rsidRDefault="00711119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1080" w:hanging="540"/>
        <w:contextualSpacing/>
        <w:rPr>
          <w:rFonts w:cstheme="minorHAnsi"/>
        </w:rPr>
      </w:pPr>
    </w:p>
    <w:p w14:paraId="2B3FEE1E" w14:textId="7E10F81C" w:rsidR="00190B75" w:rsidRPr="00E853CD" w:rsidRDefault="00190B75" w:rsidP="00190B7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ind w:left="1440" w:hanging="720"/>
        <w:contextualSpacing/>
        <w:rPr>
          <w:rFonts w:cstheme="minorHAnsi"/>
        </w:rPr>
      </w:pPr>
      <w:r w:rsidRPr="00E853CD">
        <w:rPr>
          <w:rFonts w:cstheme="minorHAnsi"/>
          <w:b/>
          <w:bCs/>
        </w:rPr>
        <w:t>B.</w:t>
      </w:r>
      <w:r w:rsidRPr="00E853CD">
        <w:rPr>
          <w:rFonts w:cstheme="minorHAnsi"/>
          <w:b/>
          <w:bCs/>
        </w:rPr>
        <w:tab/>
        <w:t>Interest.</w:t>
      </w:r>
      <w:r w:rsidR="00BC5064">
        <w:rPr>
          <w:rFonts w:cstheme="minorHAnsi"/>
        </w:rPr>
        <w:t xml:space="preserve"> </w:t>
      </w:r>
      <w:r w:rsidRPr="00E853CD">
        <w:rPr>
          <w:rFonts w:cstheme="minorHAnsi"/>
        </w:rPr>
        <w:t xml:space="preserve">Interest </w:t>
      </w:r>
      <w:r w:rsidR="004C666E" w:rsidRPr="00E853CD">
        <w:rPr>
          <w:rFonts w:cstheme="minorHAnsi"/>
        </w:rPr>
        <w:t xml:space="preserve">applies to late payments </w:t>
      </w:r>
      <w:r w:rsidR="00342BAF" w:rsidRPr="00E853CD">
        <w:rPr>
          <w:rFonts w:cstheme="minorHAnsi"/>
        </w:rPr>
        <w:t>of telecommunications excise</w:t>
      </w:r>
      <w:r w:rsidR="00063362" w:rsidRPr="00E853CD">
        <w:rPr>
          <w:rFonts w:cstheme="minorHAnsi"/>
        </w:rPr>
        <w:t xml:space="preserve"> tax.</w:t>
      </w:r>
      <w:r w:rsidR="00BC5064">
        <w:rPr>
          <w:rFonts w:cstheme="minorHAnsi"/>
        </w:rPr>
        <w:t xml:space="preserve"> </w:t>
      </w:r>
      <w:r w:rsidR="00063362" w:rsidRPr="00E853CD">
        <w:rPr>
          <w:rFonts w:cstheme="minorHAnsi"/>
        </w:rPr>
        <w:t xml:space="preserve">The rate of interest is calculated pursuant to 36 M.R.S. </w:t>
      </w:r>
      <w:r w:rsidR="00F27892" w:rsidRPr="00E853CD">
        <w:rPr>
          <w:rFonts w:cstheme="minorHAnsi"/>
        </w:rPr>
        <w:t xml:space="preserve">§186, </w:t>
      </w:r>
      <w:r w:rsidR="004C666E" w:rsidRPr="00E853CD">
        <w:rPr>
          <w:rFonts w:cstheme="minorHAnsi"/>
        </w:rPr>
        <w:t xml:space="preserve">and </w:t>
      </w:r>
      <w:r w:rsidRPr="00E853CD">
        <w:rPr>
          <w:rFonts w:cstheme="minorHAnsi"/>
        </w:rPr>
        <w:t xml:space="preserve">is charged from the date </w:t>
      </w:r>
      <w:r w:rsidR="00E441BA" w:rsidRPr="00E853CD">
        <w:rPr>
          <w:rFonts w:cstheme="minorHAnsi"/>
        </w:rPr>
        <w:t>the</w:t>
      </w:r>
      <w:r w:rsidRPr="00E853CD">
        <w:rPr>
          <w:rFonts w:cstheme="minorHAnsi"/>
        </w:rPr>
        <w:t xml:space="preserve"> payment is due</w:t>
      </w:r>
      <w:r w:rsidR="00DB6956" w:rsidRPr="00E853CD">
        <w:rPr>
          <w:rFonts w:cstheme="minorHAnsi"/>
        </w:rPr>
        <w:t xml:space="preserve"> until the tax is paid</w:t>
      </w:r>
      <w:r w:rsidR="005176F5" w:rsidRPr="00E853CD">
        <w:rPr>
          <w:rFonts w:cstheme="minorHAnsi"/>
        </w:rPr>
        <w:t xml:space="preserve">, </w:t>
      </w:r>
      <w:r w:rsidRPr="00E853CD">
        <w:rPr>
          <w:rFonts w:cstheme="minorHAnsi"/>
        </w:rPr>
        <w:t>compound</w:t>
      </w:r>
      <w:r w:rsidR="00DB6956" w:rsidRPr="00E853CD">
        <w:rPr>
          <w:rFonts w:cstheme="minorHAnsi"/>
        </w:rPr>
        <w:t>ing</w:t>
      </w:r>
      <w:r w:rsidRPr="00E853CD">
        <w:rPr>
          <w:rFonts w:cstheme="minorHAnsi"/>
        </w:rPr>
        <w:t xml:space="preserve"> monthly.</w:t>
      </w:r>
      <w:r w:rsidR="00BC5064">
        <w:rPr>
          <w:rFonts w:cstheme="minorHAnsi"/>
        </w:rPr>
        <w:t xml:space="preserve"> </w:t>
      </w:r>
    </w:p>
    <w:p w14:paraId="2F2488A2" w14:textId="55629A86" w:rsidR="00711119" w:rsidRPr="00E853CD" w:rsidRDefault="00711119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42CEE9A9" w14:textId="77777777" w:rsidR="00D64262" w:rsidRPr="00E853CD" w:rsidRDefault="00D64262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279A8C84" w14:textId="5E08C9DA" w:rsidR="00711119" w:rsidRPr="00E853CD" w:rsidRDefault="00711119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  <w:r w:rsidRPr="00E853CD">
        <w:rPr>
          <w:rFonts w:cstheme="minorHAnsi"/>
          <w:b/>
        </w:rPr>
        <w:t>.0</w:t>
      </w:r>
      <w:r w:rsidR="00D64262" w:rsidRPr="00E853CD">
        <w:rPr>
          <w:rFonts w:cstheme="minorHAnsi"/>
          <w:b/>
        </w:rPr>
        <w:t>5</w:t>
      </w:r>
      <w:r w:rsidRPr="00E853CD">
        <w:rPr>
          <w:rFonts w:cstheme="minorHAnsi"/>
          <w:b/>
        </w:rPr>
        <w:tab/>
      </w:r>
      <w:r w:rsidR="00D64262" w:rsidRPr="00E853CD">
        <w:rPr>
          <w:rFonts w:cstheme="minorHAnsi"/>
          <w:b/>
        </w:rPr>
        <w:t>Filing</w:t>
      </w:r>
      <w:r w:rsidR="00EC0EC8" w:rsidRPr="00E853CD">
        <w:rPr>
          <w:rFonts w:cstheme="minorHAnsi"/>
          <w:b/>
        </w:rPr>
        <w:t xml:space="preserve"> and payment</w:t>
      </w:r>
      <w:r w:rsidRPr="00E853CD">
        <w:rPr>
          <w:rFonts w:cstheme="minorHAnsi"/>
        </w:rPr>
        <w:t xml:space="preserve"> </w:t>
      </w:r>
    </w:p>
    <w:p w14:paraId="6F0D5960" w14:textId="00A380A7" w:rsidR="00711119" w:rsidRPr="00E853CD" w:rsidRDefault="00F535E7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  <w:r w:rsidRPr="00E853CD">
        <w:rPr>
          <w:rFonts w:cstheme="minorHAnsi"/>
        </w:rPr>
        <w:t xml:space="preserve"> </w:t>
      </w:r>
    </w:p>
    <w:p w14:paraId="5A76E5AA" w14:textId="6268AD2A" w:rsidR="00616B61" w:rsidRPr="00E853CD" w:rsidRDefault="00DF5C12" w:rsidP="006B49CB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  <w:r w:rsidRPr="00E853CD">
        <w:rPr>
          <w:rFonts w:cstheme="minorHAnsi"/>
        </w:rPr>
        <w:tab/>
        <w:t>Each telecommunications business must file a</w:t>
      </w:r>
      <w:r w:rsidR="00E76B0A" w:rsidRPr="00E853CD">
        <w:rPr>
          <w:rFonts w:cstheme="minorHAnsi"/>
        </w:rPr>
        <w:t>n annual</w:t>
      </w:r>
      <w:r w:rsidRPr="00E853CD">
        <w:rPr>
          <w:rFonts w:cstheme="minorHAnsi"/>
        </w:rPr>
        <w:t xml:space="preserve"> </w:t>
      </w:r>
      <w:r w:rsidR="00E76B0A" w:rsidRPr="00E853CD">
        <w:rPr>
          <w:rFonts w:cstheme="minorHAnsi"/>
        </w:rPr>
        <w:t>return by December 31</w:t>
      </w:r>
      <w:r w:rsidR="00E441BA" w:rsidRPr="00E853CD">
        <w:rPr>
          <w:rFonts w:cstheme="minorHAnsi"/>
        </w:rPr>
        <w:t xml:space="preserve"> </w:t>
      </w:r>
      <w:r w:rsidR="00F95BA4" w:rsidRPr="00E853CD">
        <w:rPr>
          <w:rFonts w:cstheme="minorHAnsi"/>
        </w:rPr>
        <w:t>detailing</w:t>
      </w:r>
      <w:r w:rsidR="009B1C01" w:rsidRPr="00E853CD">
        <w:rPr>
          <w:rFonts w:cstheme="minorHAnsi"/>
        </w:rPr>
        <w:t xml:space="preserve"> </w:t>
      </w:r>
      <w:r w:rsidR="004561BC" w:rsidRPr="00E853CD">
        <w:rPr>
          <w:rFonts w:cstheme="minorHAnsi"/>
        </w:rPr>
        <w:t>its</w:t>
      </w:r>
      <w:r w:rsidR="00E76B0A" w:rsidRPr="00E853CD">
        <w:rPr>
          <w:rFonts w:cstheme="minorHAnsi"/>
        </w:rPr>
        <w:t xml:space="preserve"> taxable property</w:t>
      </w:r>
      <w:r w:rsidR="00A83820" w:rsidRPr="00E853CD">
        <w:rPr>
          <w:rFonts w:cstheme="minorHAnsi"/>
        </w:rPr>
        <w:t xml:space="preserve"> in the State</w:t>
      </w:r>
      <w:r w:rsidR="00E76B0A" w:rsidRPr="00E853CD">
        <w:rPr>
          <w:rFonts w:cstheme="minorHAnsi"/>
        </w:rPr>
        <w:t xml:space="preserve">, </w:t>
      </w:r>
      <w:r w:rsidR="00A83820" w:rsidRPr="00E853CD">
        <w:rPr>
          <w:rFonts w:cstheme="minorHAnsi"/>
        </w:rPr>
        <w:t xml:space="preserve">including </w:t>
      </w:r>
      <w:r w:rsidR="004561BC" w:rsidRPr="00E853CD">
        <w:rPr>
          <w:rFonts w:cstheme="minorHAnsi"/>
        </w:rPr>
        <w:t xml:space="preserve">the </w:t>
      </w:r>
      <w:r w:rsidR="00E76B0A" w:rsidRPr="00E853CD">
        <w:rPr>
          <w:rFonts w:cstheme="minorHAnsi"/>
        </w:rPr>
        <w:t>original and depreciated cost,</w:t>
      </w:r>
      <w:r w:rsidR="006B49CB" w:rsidRPr="00E853CD">
        <w:rPr>
          <w:rFonts w:cstheme="minorHAnsi"/>
        </w:rPr>
        <w:t xml:space="preserve"> </w:t>
      </w:r>
      <w:r w:rsidR="004561BC" w:rsidRPr="00E853CD">
        <w:rPr>
          <w:rFonts w:cstheme="minorHAnsi"/>
        </w:rPr>
        <w:t xml:space="preserve">the </w:t>
      </w:r>
      <w:r w:rsidR="006B49CB" w:rsidRPr="00E853CD">
        <w:rPr>
          <w:rFonts w:cstheme="minorHAnsi"/>
        </w:rPr>
        <w:t xml:space="preserve">location of </w:t>
      </w:r>
      <w:r w:rsidR="004561BC" w:rsidRPr="00E853CD">
        <w:rPr>
          <w:rFonts w:cstheme="minorHAnsi"/>
        </w:rPr>
        <w:t xml:space="preserve">the </w:t>
      </w:r>
      <w:r w:rsidR="006B49CB" w:rsidRPr="00E853CD">
        <w:rPr>
          <w:rFonts w:cstheme="minorHAnsi"/>
        </w:rPr>
        <w:t>property,</w:t>
      </w:r>
      <w:r w:rsidR="00E76B0A" w:rsidRPr="00E853CD">
        <w:rPr>
          <w:rFonts w:cstheme="minorHAnsi"/>
        </w:rPr>
        <w:t xml:space="preserve"> and </w:t>
      </w:r>
      <w:r w:rsidR="005014E1" w:rsidRPr="00E853CD">
        <w:rPr>
          <w:rFonts w:cstheme="minorHAnsi"/>
        </w:rPr>
        <w:t xml:space="preserve">any </w:t>
      </w:r>
      <w:r w:rsidR="00E76B0A" w:rsidRPr="00E853CD">
        <w:rPr>
          <w:rFonts w:cstheme="minorHAnsi"/>
        </w:rPr>
        <w:t xml:space="preserve">other information required by </w:t>
      </w:r>
      <w:r w:rsidR="00A04B63" w:rsidRPr="00E853CD">
        <w:rPr>
          <w:rFonts w:cstheme="minorHAnsi"/>
        </w:rPr>
        <w:t>MRS</w:t>
      </w:r>
      <w:r w:rsidR="00E76B0A" w:rsidRPr="00E853CD">
        <w:rPr>
          <w:rFonts w:cstheme="minorHAnsi"/>
        </w:rPr>
        <w:t>.</w:t>
      </w:r>
      <w:r w:rsidR="00BC5064">
        <w:rPr>
          <w:rFonts w:cstheme="minorHAnsi"/>
        </w:rPr>
        <w:t xml:space="preserve"> </w:t>
      </w:r>
      <w:r w:rsidR="00E76B0A" w:rsidRPr="00E853CD">
        <w:rPr>
          <w:rFonts w:cstheme="minorHAnsi"/>
        </w:rPr>
        <w:t xml:space="preserve">For purposes of depreciation, the asset class lives </w:t>
      </w:r>
      <w:r w:rsidR="00855DD1" w:rsidRPr="00E853CD">
        <w:rPr>
          <w:rFonts w:cstheme="minorHAnsi"/>
        </w:rPr>
        <w:t xml:space="preserve">set forth </w:t>
      </w:r>
      <w:r w:rsidR="00E76B0A" w:rsidRPr="00E853CD">
        <w:rPr>
          <w:rFonts w:cstheme="minorHAnsi"/>
        </w:rPr>
        <w:t>in IRS Publication 946</w:t>
      </w:r>
      <w:r w:rsidR="00C14DDA" w:rsidRPr="00E853CD">
        <w:rPr>
          <w:rFonts w:cstheme="minorHAnsi"/>
        </w:rPr>
        <w:t xml:space="preserve"> are generally used, but</w:t>
      </w:r>
      <w:r w:rsidR="00E76B0A" w:rsidRPr="00E853CD">
        <w:rPr>
          <w:rFonts w:cstheme="minorHAnsi"/>
        </w:rPr>
        <w:t xml:space="preserve"> </w:t>
      </w:r>
      <w:r w:rsidR="00A04B63" w:rsidRPr="00E853CD">
        <w:rPr>
          <w:rFonts w:cstheme="minorHAnsi"/>
        </w:rPr>
        <w:t>MRS</w:t>
      </w:r>
      <w:r w:rsidR="00C14DDA" w:rsidRPr="00E853CD">
        <w:rPr>
          <w:rFonts w:cstheme="minorHAnsi"/>
        </w:rPr>
        <w:t xml:space="preserve"> may</w:t>
      </w:r>
      <w:r w:rsidR="009B598B" w:rsidRPr="00E853CD">
        <w:rPr>
          <w:rFonts w:cstheme="minorHAnsi"/>
        </w:rPr>
        <w:t xml:space="preserve"> in </w:t>
      </w:r>
      <w:r w:rsidR="008C647B" w:rsidRPr="00E853CD">
        <w:rPr>
          <w:rFonts w:cstheme="minorHAnsi"/>
        </w:rPr>
        <w:t xml:space="preserve">appropriate </w:t>
      </w:r>
      <w:r w:rsidR="009B598B" w:rsidRPr="00E853CD">
        <w:rPr>
          <w:rFonts w:cstheme="minorHAnsi"/>
        </w:rPr>
        <w:t>circumstances</w:t>
      </w:r>
      <w:r w:rsidR="00C14DDA" w:rsidRPr="00E853CD">
        <w:rPr>
          <w:rFonts w:cstheme="minorHAnsi"/>
        </w:rPr>
        <w:t xml:space="preserve"> modify </w:t>
      </w:r>
      <w:r w:rsidR="00E76B0A" w:rsidRPr="00E853CD">
        <w:rPr>
          <w:rFonts w:cstheme="minorHAnsi"/>
        </w:rPr>
        <w:t xml:space="preserve">those class lives </w:t>
      </w:r>
      <w:r w:rsidR="00164F6C" w:rsidRPr="00E853CD">
        <w:rPr>
          <w:rFonts w:cstheme="minorHAnsi"/>
        </w:rPr>
        <w:t>to arrive at just value</w:t>
      </w:r>
      <w:r w:rsidR="00E76B0A" w:rsidRPr="00E853CD">
        <w:rPr>
          <w:rFonts w:cstheme="minorHAnsi"/>
        </w:rPr>
        <w:t>.</w:t>
      </w:r>
      <w:r w:rsidR="00BC5064">
        <w:rPr>
          <w:rFonts w:cstheme="minorHAnsi"/>
        </w:rPr>
        <w:t xml:space="preserve"> </w:t>
      </w:r>
    </w:p>
    <w:p w14:paraId="51DDF27A" w14:textId="77777777" w:rsidR="00616B61" w:rsidRPr="00E853CD" w:rsidRDefault="00616B61" w:rsidP="006B49CB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</w:p>
    <w:p w14:paraId="60300724" w14:textId="6A6A6DF5" w:rsidR="00FE7E4E" w:rsidRPr="00E853CD" w:rsidRDefault="00616B61" w:rsidP="006B49CB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  <w:r w:rsidRPr="00E853CD">
        <w:rPr>
          <w:rFonts w:cstheme="minorHAnsi"/>
        </w:rPr>
        <w:tab/>
      </w:r>
      <w:r w:rsidR="00DF4ED1" w:rsidRPr="00E853CD">
        <w:rPr>
          <w:rFonts w:cstheme="minorHAnsi"/>
        </w:rPr>
        <w:t>The annual return</w:t>
      </w:r>
      <w:r w:rsidR="00EE7D4A" w:rsidRPr="00E853CD">
        <w:rPr>
          <w:rFonts w:cstheme="minorHAnsi"/>
        </w:rPr>
        <w:t xml:space="preserve"> due December 31</w:t>
      </w:r>
      <w:r w:rsidR="00DF4ED1" w:rsidRPr="00E853CD">
        <w:rPr>
          <w:rFonts w:cstheme="minorHAnsi"/>
        </w:rPr>
        <w:t xml:space="preserve"> is based on </w:t>
      </w:r>
      <w:r w:rsidR="00720AAA" w:rsidRPr="00E853CD">
        <w:rPr>
          <w:rFonts w:cstheme="minorHAnsi"/>
        </w:rPr>
        <w:t>the</w:t>
      </w:r>
      <w:r w:rsidR="00DF4ED1" w:rsidRPr="00E853CD">
        <w:rPr>
          <w:rFonts w:cstheme="minorHAnsi"/>
        </w:rPr>
        <w:t xml:space="preserve"> status</w:t>
      </w:r>
      <w:r w:rsidR="00720AAA" w:rsidRPr="00E853CD">
        <w:rPr>
          <w:rFonts w:cstheme="minorHAnsi"/>
        </w:rPr>
        <w:t xml:space="preserve"> of the taxable property</w:t>
      </w:r>
      <w:r w:rsidR="00DF4ED1" w:rsidRPr="00E853CD">
        <w:rPr>
          <w:rFonts w:cstheme="minorHAnsi"/>
        </w:rPr>
        <w:t xml:space="preserve"> as of April 1 of that</w:t>
      </w:r>
      <w:r w:rsidR="000505D0" w:rsidRPr="00E853CD">
        <w:rPr>
          <w:rFonts w:cstheme="minorHAnsi"/>
        </w:rPr>
        <w:t xml:space="preserve"> same</w:t>
      </w:r>
      <w:r w:rsidR="00DF4ED1" w:rsidRPr="00E853CD">
        <w:rPr>
          <w:rFonts w:cstheme="minorHAnsi"/>
        </w:rPr>
        <w:t xml:space="preserve"> year.</w:t>
      </w:r>
      <w:r w:rsidR="00BC5064">
        <w:rPr>
          <w:rFonts w:cstheme="minorHAnsi"/>
        </w:rPr>
        <w:t xml:space="preserve"> </w:t>
      </w:r>
      <w:r w:rsidR="00C82308" w:rsidRPr="00E853CD">
        <w:rPr>
          <w:rFonts w:cstheme="minorHAnsi"/>
        </w:rPr>
        <w:t xml:space="preserve">MRS </w:t>
      </w:r>
      <w:r w:rsidR="004D01F1" w:rsidRPr="00E853CD">
        <w:rPr>
          <w:rFonts w:cstheme="minorHAnsi"/>
        </w:rPr>
        <w:t xml:space="preserve">will </w:t>
      </w:r>
      <w:r w:rsidR="00C82308" w:rsidRPr="00E853CD">
        <w:rPr>
          <w:rFonts w:cstheme="minorHAnsi"/>
        </w:rPr>
        <w:t>mail as</w:t>
      </w:r>
      <w:r w:rsidR="00D961A1" w:rsidRPr="00E853CD">
        <w:rPr>
          <w:rFonts w:cstheme="minorHAnsi"/>
        </w:rPr>
        <w:t>sessments of</w:t>
      </w:r>
      <w:r w:rsidR="00FE7E4E" w:rsidRPr="00E853CD">
        <w:rPr>
          <w:rFonts w:cstheme="minorHAnsi"/>
        </w:rPr>
        <w:t xml:space="preserve"> telecommunications excise tax</w:t>
      </w:r>
      <w:r w:rsidR="00346A00" w:rsidRPr="00E853CD">
        <w:rPr>
          <w:rFonts w:cstheme="minorHAnsi"/>
        </w:rPr>
        <w:t xml:space="preserve"> to </w:t>
      </w:r>
      <w:r w:rsidR="002B04E9" w:rsidRPr="00E853CD">
        <w:rPr>
          <w:rFonts w:cstheme="minorHAnsi"/>
        </w:rPr>
        <w:t>telecommunications businesses</w:t>
      </w:r>
      <w:r w:rsidR="00FE7E4E" w:rsidRPr="00E853CD">
        <w:rPr>
          <w:rFonts w:cstheme="minorHAnsi"/>
        </w:rPr>
        <w:t xml:space="preserve"> </w:t>
      </w:r>
      <w:r w:rsidR="004D01F1" w:rsidRPr="00E853CD">
        <w:rPr>
          <w:rFonts w:cstheme="minorHAnsi"/>
        </w:rPr>
        <w:t>b</w:t>
      </w:r>
      <w:r w:rsidR="00950AB9" w:rsidRPr="00E853CD">
        <w:rPr>
          <w:rFonts w:cstheme="minorHAnsi"/>
        </w:rPr>
        <w:t>y</w:t>
      </w:r>
      <w:r w:rsidR="00FE7E4E" w:rsidRPr="00E853CD">
        <w:rPr>
          <w:rFonts w:cstheme="minorHAnsi"/>
        </w:rPr>
        <w:t xml:space="preserve"> March 30</w:t>
      </w:r>
      <w:r w:rsidR="00950AB9" w:rsidRPr="00E853CD">
        <w:rPr>
          <w:rFonts w:cstheme="minorHAnsi"/>
        </w:rPr>
        <w:t xml:space="preserve"> of the year following </w:t>
      </w:r>
      <w:r w:rsidR="009F247F" w:rsidRPr="00E853CD">
        <w:rPr>
          <w:rFonts w:cstheme="minorHAnsi"/>
        </w:rPr>
        <w:t>the due date of the return</w:t>
      </w:r>
      <w:r w:rsidR="00FE7E4E" w:rsidRPr="00E853CD">
        <w:rPr>
          <w:rFonts w:cstheme="minorHAnsi"/>
        </w:rPr>
        <w:t>.</w:t>
      </w:r>
      <w:r w:rsidR="00BC5064">
        <w:rPr>
          <w:rFonts w:cstheme="minorHAnsi"/>
        </w:rPr>
        <w:t xml:space="preserve"> </w:t>
      </w:r>
      <w:r w:rsidR="00FE7E4E" w:rsidRPr="00E853CD">
        <w:rPr>
          <w:rFonts w:cstheme="minorHAnsi"/>
          <w:bCs/>
        </w:rPr>
        <w:t>Payment of</w:t>
      </w:r>
      <w:r w:rsidR="00950AB9" w:rsidRPr="00E853CD">
        <w:rPr>
          <w:rFonts w:cstheme="minorHAnsi"/>
          <w:bCs/>
        </w:rPr>
        <w:t xml:space="preserve"> the</w:t>
      </w:r>
      <w:r w:rsidR="00FE7E4E" w:rsidRPr="00E853CD">
        <w:rPr>
          <w:rFonts w:cstheme="minorHAnsi"/>
          <w:bCs/>
        </w:rPr>
        <w:t xml:space="preserve"> tax is due</w:t>
      </w:r>
      <w:r w:rsidR="00950AB9" w:rsidRPr="00E853CD">
        <w:rPr>
          <w:rFonts w:cstheme="minorHAnsi"/>
          <w:bCs/>
        </w:rPr>
        <w:t xml:space="preserve"> by</w:t>
      </w:r>
      <w:r w:rsidR="006D7E58" w:rsidRPr="00E853CD">
        <w:rPr>
          <w:rFonts w:cstheme="minorHAnsi"/>
          <w:bCs/>
        </w:rPr>
        <w:t xml:space="preserve"> </w:t>
      </w:r>
      <w:r w:rsidR="00FE7E4E" w:rsidRPr="00E853CD">
        <w:rPr>
          <w:rFonts w:cstheme="minorHAnsi"/>
          <w:bCs/>
        </w:rPr>
        <w:t>August 15</w:t>
      </w:r>
      <w:r w:rsidR="00950AB9" w:rsidRPr="00E853CD">
        <w:rPr>
          <w:rFonts w:cstheme="minorHAnsi"/>
          <w:bCs/>
        </w:rPr>
        <w:t xml:space="preserve"> </w:t>
      </w:r>
      <w:r w:rsidR="006D7E58" w:rsidRPr="00E853CD">
        <w:rPr>
          <w:rFonts w:cstheme="minorHAnsi"/>
          <w:bCs/>
        </w:rPr>
        <w:t>following the March 30 assessment date</w:t>
      </w:r>
      <w:r w:rsidR="00FE7E4E" w:rsidRPr="00E853CD">
        <w:rPr>
          <w:rFonts w:cstheme="minorHAnsi"/>
          <w:bCs/>
        </w:rPr>
        <w:t>.</w:t>
      </w:r>
    </w:p>
    <w:p w14:paraId="5DEC11A2" w14:textId="77777777" w:rsidR="00E76B0A" w:rsidRPr="00E853CD" w:rsidRDefault="00E76B0A" w:rsidP="00DF5C12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</w:p>
    <w:p w14:paraId="0917C521" w14:textId="77777777" w:rsidR="00D64262" w:rsidRPr="00E853CD" w:rsidRDefault="00D64262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1433F42E" w14:textId="73D61AA3" w:rsidR="00711119" w:rsidRPr="00E853CD" w:rsidRDefault="00711119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</w:rPr>
      </w:pPr>
      <w:r w:rsidRPr="00E853CD">
        <w:rPr>
          <w:rFonts w:cstheme="minorHAnsi"/>
          <w:b/>
        </w:rPr>
        <w:t>.0</w:t>
      </w:r>
      <w:r w:rsidR="00D64262" w:rsidRPr="00E853CD">
        <w:rPr>
          <w:rFonts w:cstheme="minorHAnsi"/>
          <w:b/>
        </w:rPr>
        <w:t>6</w:t>
      </w:r>
      <w:r w:rsidRPr="00E853CD">
        <w:rPr>
          <w:rFonts w:cstheme="minorHAnsi"/>
          <w:b/>
        </w:rPr>
        <w:tab/>
      </w:r>
      <w:r w:rsidR="00802BC2" w:rsidRPr="00E853CD">
        <w:rPr>
          <w:rFonts w:cstheme="minorHAnsi"/>
          <w:b/>
        </w:rPr>
        <w:t>A</w:t>
      </w:r>
      <w:r w:rsidR="00E441BA" w:rsidRPr="00E853CD">
        <w:rPr>
          <w:rFonts w:cstheme="minorHAnsi"/>
          <w:b/>
        </w:rPr>
        <w:t>ppeal</w:t>
      </w:r>
      <w:r w:rsidR="00D64262" w:rsidRPr="00E853CD">
        <w:rPr>
          <w:rFonts w:cstheme="minorHAnsi"/>
          <w:b/>
        </w:rPr>
        <w:t>s</w:t>
      </w:r>
      <w:r w:rsidRPr="00E853CD">
        <w:rPr>
          <w:rFonts w:cstheme="minorHAnsi"/>
        </w:rPr>
        <w:t xml:space="preserve"> </w:t>
      </w:r>
    </w:p>
    <w:p w14:paraId="282B569A" w14:textId="77777777" w:rsidR="00711119" w:rsidRPr="00E853CD" w:rsidRDefault="00711119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393E17C8" w14:textId="6C0B4FEB" w:rsidR="00404143" w:rsidRPr="00E853CD" w:rsidRDefault="00802BC2" w:rsidP="00802BC2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rFonts w:cstheme="minorHAnsi"/>
          <w:bCs/>
        </w:rPr>
      </w:pPr>
      <w:r w:rsidRPr="00E853CD">
        <w:rPr>
          <w:rFonts w:cstheme="minorHAnsi"/>
          <w:b/>
        </w:rPr>
        <w:tab/>
      </w:r>
      <w:r w:rsidR="00404143" w:rsidRPr="00E853CD">
        <w:rPr>
          <w:rFonts w:cstheme="minorHAnsi"/>
          <w:bCs/>
        </w:rPr>
        <w:t xml:space="preserve">A taxpayer </w:t>
      </w:r>
      <w:r w:rsidR="00E441BA" w:rsidRPr="00E853CD">
        <w:rPr>
          <w:rFonts w:cstheme="minorHAnsi"/>
          <w:bCs/>
        </w:rPr>
        <w:t xml:space="preserve">who receives an assessment of telecommunications excise tax </w:t>
      </w:r>
      <w:r w:rsidR="00404143" w:rsidRPr="00E853CD">
        <w:rPr>
          <w:rFonts w:cstheme="minorHAnsi"/>
          <w:bCs/>
        </w:rPr>
        <w:t xml:space="preserve">may </w:t>
      </w:r>
      <w:r w:rsidR="00781E58" w:rsidRPr="00E853CD">
        <w:rPr>
          <w:rFonts w:cstheme="minorHAnsi"/>
          <w:bCs/>
        </w:rPr>
        <w:t>appeal that assessment by requesting reconsideration pursuant to 36 M.R.S. §151.</w:t>
      </w:r>
      <w:r w:rsidR="00BC5064">
        <w:rPr>
          <w:rFonts w:cstheme="minorHAnsi"/>
          <w:bCs/>
        </w:rPr>
        <w:t xml:space="preserve"> </w:t>
      </w:r>
      <w:r w:rsidR="00781E58" w:rsidRPr="00E853CD">
        <w:rPr>
          <w:rFonts w:cstheme="minorHAnsi"/>
          <w:bCs/>
        </w:rPr>
        <w:t xml:space="preserve">The taxpayer must submit their </w:t>
      </w:r>
      <w:r w:rsidR="00404143" w:rsidRPr="00E853CD">
        <w:rPr>
          <w:rFonts w:cstheme="minorHAnsi"/>
          <w:bCs/>
        </w:rPr>
        <w:t xml:space="preserve">request </w:t>
      </w:r>
      <w:r w:rsidR="00781E58" w:rsidRPr="00E853CD">
        <w:rPr>
          <w:rFonts w:cstheme="minorHAnsi"/>
          <w:bCs/>
        </w:rPr>
        <w:t xml:space="preserve">for reconsideration in writing </w:t>
      </w:r>
      <w:r w:rsidR="006B49CB" w:rsidRPr="00E853CD">
        <w:rPr>
          <w:rFonts w:cstheme="minorHAnsi"/>
          <w:bCs/>
        </w:rPr>
        <w:t xml:space="preserve">within 60 days </w:t>
      </w:r>
      <w:r w:rsidR="00781E58" w:rsidRPr="00E853CD">
        <w:rPr>
          <w:rFonts w:cstheme="minorHAnsi"/>
          <w:bCs/>
        </w:rPr>
        <w:t>of</w:t>
      </w:r>
      <w:r w:rsidR="006B49CB" w:rsidRPr="00E853CD">
        <w:rPr>
          <w:rFonts w:cstheme="minorHAnsi"/>
          <w:bCs/>
        </w:rPr>
        <w:t xml:space="preserve"> receipt of </w:t>
      </w:r>
      <w:r w:rsidR="00861A7C" w:rsidRPr="00E853CD">
        <w:rPr>
          <w:rFonts w:cstheme="minorHAnsi"/>
          <w:bCs/>
        </w:rPr>
        <w:t xml:space="preserve">notice of </w:t>
      </w:r>
      <w:r w:rsidR="006B49CB" w:rsidRPr="00E853CD">
        <w:rPr>
          <w:rFonts w:cstheme="minorHAnsi"/>
          <w:bCs/>
        </w:rPr>
        <w:t xml:space="preserve">the </w:t>
      </w:r>
      <w:r w:rsidR="00781E58" w:rsidRPr="00E853CD">
        <w:rPr>
          <w:rFonts w:cstheme="minorHAnsi"/>
          <w:bCs/>
        </w:rPr>
        <w:t>assessment</w:t>
      </w:r>
      <w:r w:rsidR="00404143" w:rsidRPr="00E853CD">
        <w:rPr>
          <w:rFonts w:cstheme="minorHAnsi"/>
          <w:bCs/>
        </w:rPr>
        <w:t>.</w:t>
      </w:r>
      <w:r w:rsidR="00BC5064">
        <w:rPr>
          <w:rFonts w:cstheme="minorHAnsi"/>
          <w:bCs/>
        </w:rPr>
        <w:t xml:space="preserve"> </w:t>
      </w:r>
      <w:r w:rsidR="00781E58" w:rsidRPr="00E853CD">
        <w:rPr>
          <w:rFonts w:cstheme="minorHAnsi"/>
          <w:bCs/>
        </w:rPr>
        <w:t xml:space="preserve">The request should include a detailed description of </w:t>
      </w:r>
      <w:r w:rsidR="009D5811" w:rsidRPr="00E853CD">
        <w:rPr>
          <w:rFonts w:cstheme="minorHAnsi"/>
          <w:bCs/>
        </w:rPr>
        <w:t xml:space="preserve">why the </w:t>
      </w:r>
      <w:r w:rsidR="00B82E8F" w:rsidRPr="00E853CD">
        <w:rPr>
          <w:rFonts w:cstheme="minorHAnsi"/>
          <w:bCs/>
        </w:rPr>
        <w:t xml:space="preserve">taxpayer believes the </w:t>
      </w:r>
      <w:r w:rsidR="009D5811" w:rsidRPr="00E853CD">
        <w:rPr>
          <w:rFonts w:cstheme="minorHAnsi"/>
          <w:bCs/>
        </w:rPr>
        <w:t>assessment is incorrect</w:t>
      </w:r>
      <w:r w:rsidR="00861A7C" w:rsidRPr="00E853CD">
        <w:rPr>
          <w:rFonts w:cstheme="minorHAnsi"/>
          <w:bCs/>
        </w:rPr>
        <w:t>,</w:t>
      </w:r>
      <w:r w:rsidR="009D5811" w:rsidRPr="00E853CD">
        <w:rPr>
          <w:rFonts w:cstheme="minorHAnsi"/>
          <w:bCs/>
        </w:rPr>
        <w:t xml:space="preserve"> along with any supporting documentation.</w:t>
      </w:r>
      <w:r w:rsidR="00BC5064">
        <w:rPr>
          <w:rFonts w:cstheme="minorHAnsi"/>
          <w:bCs/>
        </w:rPr>
        <w:t xml:space="preserve"> </w:t>
      </w:r>
    </w:p>
    <w:p w14:paraId="4F4C9E84" w14:textId="77777777" w:rsidR="00D64262" w:rsidRPr="00E853CD" w:rsidRDefault="00D64262" w:rsidP="00F95D1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0B88B1D3" w14:textId="0905CD0E" w:rsidR="000A087C" w:rsidRDefault="000A087C" w:rsidP="00F95D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3E984E1B" w14:textId="77777777" w:rsidR="00A94194" w:rsidRPr="00E853CD" w:rsidRDefault="00A94194" w:rsidP="00F95D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3889A279" w14:textId="77777777" w:rsidR="00A94194" w:rsidRDefault="002D057A" w:rsidP="00F95D1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720" w:hanging="720"/>
        <w:contextualSpacing/>
        <w:jc w:val="both"/>
      </w:pPr>
      <w:r w:rsidRPr="00E853CD">
        <w:t xml:space="preserve">STATUTORY AUTHORITY: </w:t>
      </w:r>
    </w:p>
    <w:p w14:paraId="1F046D6D" w14:textId="132ACE9B" w:rsidR="002D057A" w:rsidRPr="00E853CD" w:rsidRDefault="00A94194" w:rsidP="00F95D1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720" w:hanging="720"/>
        <w:contextualSpacing/>
        <w:jc w:val="both"/>
        <w:rPr>
          <w:spacing w:val="-3"/>
        </w:rPr>
      </w:pPr>
      <w:r>
        <w:tab/>
      </w:r>
      <w:r w:rsidR="002D057A" w:rsidRPr="00E853CD">
        <w:t>36 M.R.S. §§ 112, 305, 457</w:t>
      </w:r>
    </w:p>
    <w:p w14:paraId="368E1CF2" w14:textId="77777777" w:rsidR="002D057A" w:rsidRPr="00E853CD" w:rsidRDefault="002D057A" w:rsidP="00F95D1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720" w:hanging="720"/>
        <w:contextualSpacing/>
        <w:jc w:val="both"/>
        <w:rPr>
          <w:spacing w:val="-3"/>
        </w:rPr>
      </w:pPr>
    </w:p>
    <w:p w14:paraId="175D1AE5" w14:textId="07E6A67F" w:rsidR="000A087C" w:rsidRPr="00E853CD" w:rsidRDefault="000A087C" w:rsidP="00F95D1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720" w:hanging="720"/>
        <w:contextualSpacing/>
        <w:jc w:val="both"/>
        <w:rPr>
          <w:spacing w:val="-3"/>
        </w:rPr>
      </w:pPr>
      <w:r w:rsidRPr="00E853CD">
        <w:rPr>
          <w:spacing w:val="-3"/>
        </w:rPr>
        <w:t>EFFECTIVE DATE:</w:t>
      </w:r>
    </w:p>
    <w:p w14:paraId="45D9B5E6" w14:textId="3B9CEDA2" w:rsidR="000A087C" w:rsidRPr="00E853CD" w:rsidRDefault="000A087C" w:rsidP="007111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contextualSpacing/>
        <w:rPr>
          <w:rFonts w:cstheme="minorHAnsi"/>
        </w:rPr>
      </w:pPr>
      <w:r w:rsidRPr="00E853CD">
        <w:rPr>
          <w:spacing w:val="-3"/>
        </w:rPr>
        <w:tab/>
      </w:r>
      <w:r w:rsidR="00A94194">
        <w:rPr>
          <w:spacing w:val="-3"/>
        </w:rPr>
        <w:t>February 13, 2022 – filing 2022-017</w:t>
      </w:r>
    </w:p>
    <w:sectPr w:rsidR="000A087C" w:rsidRPr="00E853CD" w:rsidSect="00F95D1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F95E" w14:textId="77777777" w:rsidR="005A07B1" w:rsidRDefault="005A07B1" w:rsidP="005D2715">
      <w:pPr>
        <w:spacing w:after="0" w:line="240" w:lineRule="auto"/>
      </w:pPr>
      <w:r>
        <w:separator/>
      </w:r>
    </w:p>
  </w:endnote>
  <w:endnote w:type="continuationSeparator" w:id="0">
    <w:p w14:paraId="4E90A4CA" w14:textId="77777777" w:rsidR="005A07B1" w:rsidRDefault="005A07B1" w:rsidP="005D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6890" w14:textId="77777777" w:rsidR="005A07B1" w:rsidRDefault="005A07B1" w:rsidP="005D2715">
      <w:pPr>
        <w:spacing w:after="0" w:line="240" w:lineRule="auto"/>
      </w:pPr>
      <w:r>
        <w:separator/>
      </w:r>
    </w:p>
  </w:footnote>
  <w:footnote w:type="continuationSeparator" w:id="0">
    <w:p w14:paraId="56897665" w14:textId="77777777" w:rsidR="005A07B1" w:rsidRDefault="005A07B1" w:rsidP="005D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D6F7" w14:textId="3A4B7D27" w:rsidR="00343257" w:rsidRPr="00BC5064" w:rsidRDefault="00343257" w:rsidP="00343257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BC5064">
      <w:rPr>
        <w:sz w:val="18"/>
        <w:szCs w:val="18"/>
      </w:rPr>
      <w:t>18-125 Chapter 2</w:t>
    </w:r>
    <w:r w:rsidR="00711119" w:rsidRPr="00BC5064">
      <w:rPr>
        <w:sz w:val="18"/>
        <w:szCs w:val="18"/>
      </w:rPr>
      <w:t>10</w:t>
    </w:r>
    <w:r w:rsidR="00BC5064" w:rsidRPr="00BC5064">
      <w:rPr>
        <w:sz w:val="18"/>
        <w:szCs w:val="18"/>
      </w:rPr>
      <w:t xml:space="preserve">    </w:t>
    </w:r>
    <w:r w:rsidRPr="00BC5064">
      <w:rPr>
        <w:sz w:val="18"/>
        <w:szCs w:val="18"/>
      </w:rPr>
      <w:t xml:space="preserve"> page </w:t>
    </w:r>
    <w:sdt>
      <w:sdtPr>
        <w:rPr>
          <w:sz w:val="18"/>
          <w:szCs w:val="18"/>
        </w:rPr>
        <w:id w:val="15364625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C5064">
          <w:rPr>
            <w:sz w:val="18"/>
            <w:szCs w:val="18"/>
          </w:rPr>
          <w:fldChar w:fldCharType="begin"/>
        </w:r>
        <w:r w:rsidRPr="00BC5064">
          <w:rPr>
            <w:sz w:val="18"/>
            <w:szCs w:val="18"/>
          </w:rPr>
          <w:instrText xml:space="preserve"> PAGE   \* MERGEFORMAT </w:instrText>
        </w:r>
        <w:r w:rsidRPr="00BC5064">
          <w:rPr>
            <w:sz w:val="18"/>
            <w:szCs w:val="18"/>
          </w:rPr>
          <w:fldChar w:fldCharType="separate"/>
        </w:r>
        <w:r w:rsidRPr="00BC5064">
          <w:rPr>
            <w:noProof/>
            <w:sz w:val="18"/>
            <w:szCs w:val="18"/>
          </w:rPr>
          <w:t>2</w:t>
        </w:r>
        <w:r w:rsidRPr="00BC5064">
          <w:rPr>
            <w:noProof/>
            <w:sz w:val="18"/>
            <w:szCs w:val="18"/>
          </w:rPr>
          <w:fldChar w:fldCharType="end"/>
        </w:r>
      </w:sdtContent>
    </w:sdt>
  </w:p>
  <w:p w14:paraId="536780AB" w14:textId="77777777" w:rsidR="00F95D19" w:rsidRPr="00343257" w:rsidRDefault="00F95D19" w:rsidP="00343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FEA"/>
    <w:multiLevelType w:val="hybridMultilevel"/>
    <w:tmpl w:val="FD5424D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7EE02504"/>
    <w:multiLevelType w:val="hybridMultilevel"/>
    <w:tmpl w:val="A254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revisionView w:markup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6E"/>
    <w:rsid w:val="000064F9"/>
    <w:rsid w:val="000163B9"/>
    <w:rsid w:val="00041C98"/>
    <w:rsid w:val="00043379"/>
    <w:rsid w:val="000505D0"/>
    <w:rsid w:val="0005432D"/>
    <w:rsid w:val="00063362"/>
    <w:rsid w:val="00086BA0"/>
    <w:rsid w:val="00095798"/>
    <w:rsid w:val="000A087C"/>
    <w:rsid w:val="000C213D"/>
    <w:rsid w:val="000C75AD"/>
    <w:rsid w:val="000D3D69"/>
    <w:rsid w:val="000E7C2E"/>
    <w:rsid w:val="000F5199"/>
    <w:rsid w:val="0010303C"/>
    <w:rsid w:val="00117233"/>
    <w:rsid w:val="001177C8"/>
    <w:rsid w:val="00142331"/>
    <w:rsid w:val="00157D72"/>
    <w:rsid w:val="001641BD"/>
    <w:rsid w:val="00164A82"/>
    <w:rsid w:val="00164F6C"/>
    <w:rsid w:val="00190B75"/>
    <w:rsid w:val="00195246"/>
    <w:rsid w:val="001B0EDF"/>
    <w:rsid w:val="001C2E5B"/>
    <w:rsid w:val="001C5AB9"/>
    <w:rsid w:val="001D157F"/>
    <w:rsid w:val="001D5909"/>
    <w:rsid w:val="001D6D0A"/>
    <w:rsid w:val="001E292C"/>
    <w:rsid w:val="001E53F9"/>
    <w:rsid w:val="001E6DE9"/>
    <w:rsid w:val="001F4AD8"/>
    <w:rsid w:val="001F7A9B"/>
    <w:rsid w:val="0020096C"/>
    <w:rsid w:val="00204472"/>
    <w:rsid w:val="00204C2F"/>
    <w:rsid w:val="0021768F"/>
    <w:rsid w:val="00242498"/>
    <w:rsid w:val="00247027"/>
    <w:rsid w:val="002527EC"/>
    <w:rsid w:val="00253DBA"/>
    <w:rsid w:val="00283F69"/>
    <w:rsid w:val="002911ED"/>
    <w:rsid w:val="002A12EE"/>
    <w:rsid w:val="002B04E9"/>
    <w:rsid w:val="002B2521"/>
    <w:rsid w:val="002C3406"/>
    <w:rsid w:val="002D057A"/>
    <w:rsid w:val="002D6098"/>
    <w:rsid w:val="002E3A6D"/>
    <w:rsid w:val="002E6C7B"/>
    <w:rsid w:val="00300C0A"/>
    <w:rsid w:val="00315A6E"/>
    <w:rsid w:val="00316AC6"/>
    <w:rsid w:val="00321A70"/>
    <w:rsid w:val="003226EC"/>
    <w:rsid w:val="00322E52"/>
    <w:rsid w:val="00326D4D"/>
    <w:rsid w:val="003315C5"/>
    <w:rsid w:val="0033390A"/>
    <w:rsid w:val="00342BAF"/>
    <w:rsid w:val="00343257"/>
    <w:rsid w:val="00346A00"/>
    <w:rsid w:val="00353A69"/>
    <w:rsid w:val="00356792"/>
    <w:rsid w:val="00373567"/>
    <w:rsid w:val="003815B1"/>
    <w:rsid w:val="003855F9"/>
    <w:rsid w:val="00390BEA"/>
    <w:rsid w:val="003A350A"/>
    <w:rsid w:val="003A7B86"/>
    <w:rsid w:val="003B0DB1"/>
    <w:rsid w:val="003B5459"/>
    <w:rsid w:val="003C41F0"/>
    <w:rsid w:val="003D24E4"/>
    <w:rsid w:val="003F7EF4"/>
    <w:rsid w:val="00404143"/>
    <w:rsid w:val="0041204D"/>
    <w:rsid w:val="004127BF"/>
    <w:rsid w:val="00424ACB"/>
    <w:rsid w:val="00430DFB"/>
    <w:rsid w:val="00434150"/>
    <w:rsid w:val="00446B1F"/>
    <w:rsid w:val="004561BC"/>
    <w:rsid w:val="0046650A"/>
    <w:rsid w:val="00466897"/>
    <w:rsid w:val="0047002C"/>
    <w:rsid w:val="00473A7C"/>
    <w:rsid w:val="00493569"/>
    <w:rsid w:val="004C666E"/>
    <w:rsid w:val="004D01F1"/>
    <w:rsid w:val="005014E1"/>
    <w:rsid w:val="00503CAD"/>
    <w:rsid w:val="005073FB"/>
    <w:rsid w:val="005176F5"/>
    <w:rsid w:val="0052279F"/>
    <w:rsid w:val="00524450"/>
    <w:rsid w:val="00524F0D"/>
    <w:rsid w:val="00532BB0"/>
    <w:rsid w:val="00540E3D"/>
    <w:rsid w:val="00541B6B"/>
    <w:rsid w:val="0054355E"/>
    <w:rsid w:val="00547E78"/>
    <w:rsid w:val="0055505F"/>
    <w:rsid w:val="00557558"/>
    <w:rsid w:val="005769FC"/>
    <w:rsid w:val="00580B20"/>
    <w:rsid w:val="005A07B1"/>
    <w:rsid w:val="005A07DC"/>
    <w:rsid w:val="005A25DF"/>
    <w:rsid w:val="005C5C3F"/>
    <w:rsid w:val="005C5F9B"/>
    <w:rsid w:val="005D2715"/>
    <w:rsid w:val="005D63C4"/>
    <w:rsid w:val="005E2335"/>
    <w:rsid w:val="005E77B2"/>
    <w:rsid w:val="005F141C"/>
    <w:rsid w:val="005F4ABF"/>
    <w:rsid w:val="005F69A0"/>
    <w:rsid w:val="00606C40"/>
    <w:rsid w:val="00612BCB"/>
    <w:rsid w:val="00616B61"/>
    <w:rsid w:val="00650666"/>
    <w:rsid w:val="0068626A"/>
    <w:rsid w:val="006B2324"/>
    <w:rsid w:val="006B3FC3"/>
    <w:rsid w:val="006B40FE"/>
    <w:rsid w:val="006B49CB"/>
    <w:rsid w:val="006C42D9"/>
    <w:rsid w:val="006D7E58"/>
    <w:rsid w:val="006E5B8E"/>
    <w:rsid w:val="006E71DB"/>
    <w:rsid w:val="006F07A3"/>
    <w:rsid w:val="007029B0"/>
    <w:rsid w:val="00711119"/>
    <w:rsid w:val="0071510E"/>
    <w:rsid w:val="00715111"/>
    <w:rsid w:val="00720AAA"/>
    <w:rsid w:val="007262B3"/>
    <w:rsid w:val="00752A4E"/>
    <w:rsid w:val="00781E58"/>
    <w:rsid w:val="007821AD"/>
    <w:rsid w:val="00793AAD"/>
    <w:rsid w:val="00797061"/>
    <w:rsid w:val="007A4748"/>
    <w:rsid w:val="007B1295"/>
    <w:rsid w:val="007B1B96"/>
    <w:rsid w:val="007D51BD"/>
    <w:rsid w:val="007E2556"/>
    <w:rsid w:val="007E6417"/>
    <w:rsid w:val="007F322B"/>
    <w:rsid w:val="007F4046"/>
    <w:rsid w:val="008015A3"/>
    <w:rsid w:val="00802BC2"/>
    <w:rsid w:val="00806B13"/>
    <w:rsid w:val="00815614"/>
    <w:rsid w:val="0082503A"/>
    <w:rsid w:val="008334FA"/>
    <w:rsid w:val="00852661"/>
    <w:rsid w:val="00855DD1"/>
    <w:rsid w:val="008565E1"/>
    <w:rsid w:val="00861A7C"/>
    <w:rsid w:val="00874B30"/>
    <w:rsid w:val="00876AE8"/>
    <w:rsid w:val="008807D7"/>
    <w:rsid w:val="00880E8D"/>
    <w:rsid w:val="00891F44"/>
    <w:rsid w:val="00897589"/>
    <w:rsid w:val="008B394A"/>
    <w:rsid w:val="008B5368"/>
    <w:rsid w:val="008C3352"/>
    <w:rsid w:val="008C647B"/>
    <w:rsid w:val="008E5D18"/>
    <w:rsid w:val="008F09CA"/>
    <w:rsid w:val="008F3FAF"/>
    <w:rsid w:val="008F6E80"/>
    <w:rsid w:val="009142D9"/>
    <w:rsid w:val="00931F31"/>
    <w:rsid w:val="009430E3"/>
    <w:rsid w:val="00950AB9"/>
    <w:rsid w:val="009630C4"/>
    <w:rsid w:val="00965ECF"/>
    <w:rsid w:val="009728C9"/>
    <w:rsid w:val="00976D5F"/>
    <w:rsid w:val="00982933"/>
    <w:rsid w:val="009841A1"/>
    <w:rsid w:val="00987150"/>
    <w:rsid w:val="00991ADB"/>
    <w:rsid w:val="009A2A41"/>
    <w:rsid w:val="009B1C01"/>
    <w:rsid w:val="009B22D5"/>
    <w:rsid w:val="009B310A"/>
    <w:rsid w:val="009B5921"/>
    <w:rsid w:val="009B598B"/>
    <w:rsid w:val="009C3F5F"/>
    <w:rsid w:val="009D2B75"/>
    <w:rsid w:val="009D44F6"/>
    <w:rsid w:val="009D5811"/>
    <w:rsid w:val="009E2581"/>
    <w:rsid w:val="009F247F"/>
    <w:rsid w:val="00A01F39"/>
    <w:rsid w:val="00A03499"/>
    <w:rsid w:val="00A04B63"/>
    <w:rsid w:val="00A06093"/>
    <w:rsid w:val="00A06821"/>
    <w:rsid w:val="00A22BFE"/>
    <w:rsid w:val="00A22E77"/>
    <w:rsid w:val="00A267F2"/>
    <w:rsid w:val="00A34AA7"/>
    <w:rsid w:val="00A359A6"/>
    <w:rsid w:val="00A4327D"/>
    <w:rsid w:val="00A65A69"/>
    <w:rsid w:val="00A83820"/>
    <w:rsid w:val="00A904C1"/>
    <w:rsid w:val="00A91972"/>
    <w:rsid w:val="00A94194"/>
    <w:rsid w:val="00A94A1D"/>
    <w:rsid w:val="00AB2338"/>
    <w:rsid w:val="00AD082D"/>
    <w:rsid w:val="00AD1D69"/>
    <w:rsid w:val="00AE11E9"/>
    <w:rsid w:val="00AF00C8"/>
    <w:rsid w:val="00AF2F75"/>
    <w:rsid w:val="00AF6CFB"/>
    <w:rsid w:val="00B12F31"/>
    <w:rsid w:val="00B26C80"/>
    <w:rsid w:val="00B33936"/>
    <w:rsid w:val="00B33F8E"/>
    <w:rsid w:val="00B376FB"/>
    <w:rsid w:val="00B37A54"/>
    <w:rsid w:val="00B41FD8"/>
    <w:rsid w:val="00B5154C"/>
    <w:rsid w:val="00B54530"/>
    <w:rsid w:val="00B557F1"/>
    <w:rsid w:val="00B67045"/>
    <w:rsid w:val="00B720C4"/>
    <w:rsid w:val="00B765F6"/>
    <w:rsid w:val="00B825F8"/>
    <w:rsid w:val="00B82E8F"/>
    <w:rsid w:val="00B833CE"/>
    <w:rsid w:val="00B86CFD"/>
    <w:rsid w:val="00B87F33"/>
    <w:rsid w:val="00B91670"/>
    <w:rsid w:val="00B9392B"/>
    <w:rsid w:val="00B964FA"/>
    <w:rsid w:val="00BA3E17"/>
    <w:rsid w:val="00BB237B"/>
    <w:rsid w:val="00BB7680"/>
    <w:rsid w:val="00BC5064"/>
    <w:rsid w:val="00BD05D8"/>
    <w:rsid w:val="00BE08C7"/>
    <w:rsid w:val="00BF5434"/>
    <w:rsid w:val="00BF5F8E"/>
    <w:rsid w:val="00C0119B"/>
    <w:rsid w:val="00C0647C"/>
    <w:rsid w:val="00C06688"/>
    <w:rsid w:val="00C14DDA"/>
    <w:rsid w:val="00C24B31"/>
    <w:rsid w:val="00C322D9"/>
    <w:rsid w:val="00C36444"/>
    <w:rsid w:val="00C3691A"/>
    <w:rsid w:val="00C4129A"/>
    <w:rsid w:val="00C45043"/>
    <w:rsid w:val="00C45B71"/>
    <w:rsid w:val="00C534DE"/>
    <w:rsid w:val="00C6445C"/>
    <w:rsid w:val="00C77604"/>
    <w:rsid w:val="00C82308"/>
    <w:rsid w:val="00C95361"/>
    <w:rsid w:val="00C975B7"/>
    <w:rsid w:val="00CA7085"/>
    <w:rsid w:val="00CB46F2"/>
    <w:rsid w:val="00CD4310"/>
    <w:rsid w:val="00CD6754"/>
    <w:rsid w:val="00CE49F0"/>
    <w:rsid w:val="00CE754A"/>
    <w:rsid w:val="00CF2A52"/>
    <w:rsid w:val="00CF556E"/>
    <w:rsid w:val="00D21191"/>
    <w:rsid w:val="00D2206F"/>
    <w:rsid w:val="00D34F42"/>
    <w:rsid w:val="00D35F87"/>
    <w:rsid w:val="00D5672A"/>
    <w:rsid w:val="00D60E2C"/>
    <w:rsid w:val="00D64262"/>
    <w:rsid w:val="00D67A7A"/>
    <w:rsid w:val="00D7027D"/>
    <w:rsid w:val="00D726D0"/>
    <w:rsid w:val="00D735B5"/>
    <w:rsid w:val="00D7741F"/>
    <w:rsid w:val="00D85A33"/>
    <w:rsid w:val="00D961A1"/>
    <w:rsid w:val="00DB413A"/>
    <w:rsid w:val="00DB6956"/>
    <w:rsid w:val="00DC6810"/>
    <w:rsid w:val="00DE2BEF"/>
    <w:rsid w:val="00DF4ED1"/>
    <w:rsid w:val="00DF5C12"/>
    <w:rsid w:val="00E0363E"/>
    <w:rsid w:val="00E168D1"/>
    <w:rsid w:val="00E20861"/>
    <w:rsid w:val="00E217EF"/>
    <w:rsid w:val="00E26347"/>
    <w:rsid w:val="00E31E6D"/>
    <w:rsid w:val="00E441BA"/>
    <w:rsid w:val="00E51FDC"/>
    <w:rsid w:val="00E62DD8"/>
    <w:rsid w:val="00E63027"/>
    <w:rsid w:val="00E637F6"/>
    <w:rsid w:val="00E655EC"/>
    <w:rsid w:val="00E76B0A"/>
    <w:rsid w:val="00E853CD"/>
    <w:rsid w:val="00E90D39"/>
    <w:rsid w:val="00E91F4E"/>
    <w:rsid w:val="00E92A17"/>
    <w:rsid w:val="00E94796"/>
    <w:rsid w:val="00E96959"/>
    <w:rsid w:val="00EA1568"/>
    <w:rsid w:val="00EB3096"/>
    <w:rsid w:val="00EB344D"/>
    <w:rsid w:val="00EB4376"/>
    <w:rsid w:val="00EB78F3"/>
    <w:rsid w:val="00EC0EC8"/>
    <w:rsid w:val="00ED64F6"/>
    <w:rsid w:val="00EE7D4A"/>
    <w:rsid w:val="00EF31BA"/>
    <w:rsid w:val="00EF4D85"/>
    <w:rsid w:val="00F13133"/>
    <w:rsid w:val="00F14955"/>
    <w:rsid w:val="00F27892"/>
    <w:rsid w:val="00F32E0F"/>
    <w:rsid w:val="00F472C3"/>
    <w:rsid w:val="00F524DA"/>
    <w:rsid w:val="00F535E7"/>
    <w:rsid w:val="00F61115"/>
    <w:rsid w:val="00F7656A"/>
    <w:rsid w:val="00F95BA4"/>
    <w:rsid w:val="00F95D19"/>
    <w:rsid w:val="00FA2359"/>
    <w:rsid w:val="00FB337F"/>
    <w:rsid w:val="00FB7E06"/>
    <w:rsid w:val="00FC3E8A"/>
    <w:rsid w:val="00FD4BEE"/>
    <w:rsid w:val="00FE7E4E"/>
    <w:rsid w:val="00FF32DD"/>
    <w:rsid w:val="00FF5929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734096D"/>
  <w15:docId w15:val="{60BF29AA-8C93-431D-97E5-CAC14DAA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8E"/>
  </w:style>
  <w:style w:type="paragraph" w:styleId="Heading1">
    <w:name w:val="heading 1"/>
    <w:basedOn w:val="Normal"/>
    <w:next w:val="Normal"/>
    <w:link w:val="Heading1Char"/>
    <w:uiPriority w:val="9"/>
    <w:qFormat/>
    <w:rsid w:val="00BF5F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F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F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F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F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F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F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F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F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F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F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F8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F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F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F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F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F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F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5F8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F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F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5F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F5F8E"/>
    <w:rPr>
      <w:b/>
      <w:bCs/>
    </w:rPr>
  </w:style>
  <w:style w:type="character" w:styleId="Emphasis">
    <w:name w:val="Emphasis"/>
    <w:uiPriority w:val="20"/>
    <w:qFormat/>
    <w:rsid w:val="00BF5F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F5F8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5F8E"/>
  </w:style>
  <w:style w:type="paragraph" w:styleId="Quote">
    <w:name w:val="Quote"/>
    <w:basedOn w:val="Normal"/>
    <w:next w:val="Normal"/>
    <w:link w:val="QuoteChar"/>
    <w:uiPriority w:val="29"/>
    <w:qFormat/>
    <w:rsid w:val="00BF5F8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F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F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F8E"/>
    <w:rPr>
      <w:b/>
      <w:bCs/>
      <w:i/>
      <w:iCs/>
    </w:rPr>
  </w:style>
  <w:style w:type="character" w:styleId="SubtleEmphasis">
    <w:name w:val="Subtle Emphasis"/>
    <w:uiPriority w:val="19"/>
    <w:qFormat/>
    <w:rsid w:val="00BF5F8E"/>
    <w:rPr>
      <w:i/>
      <w:iCs/>
    </w:rPr>
  </w:style>
  <w:style w:type="character" w:styleId="IntenseEmphasis">
    <w:name w:val="Intense Emphasis"/>
    <w:uiPriority w:val="21"/>
    <w:qFormat/>
    <w:rsid w:val="00BF5F8E"/>
    <w:rPr>
      <w:b/>
      <w:bCs/>
    </w:rPr>
  </w:style>
  <w:style w:type="character" w:styleId="SubtleReference">
    <w:name w:val="Subtle Reference"/>
    <w:uiPriority w:val="31"/>
    <w:qFormat/>
    <w:rsid w:val="00BF5F8E"/>
    <w:rPr>
      <w:smallCaps/>
    </w:rPr>
  </w:style>
  <w:style w:type="character" w:styleId="IntenseReference">
    <w:name w:val="Intense Reference"/>
    <w:uiPriority w:val="32"/>
    <w:qFormat/>
    <w:rsid w:val="00BF5F8E"/>
    <w:rPr>
      <w:smallCaps/>
      <w:spacing w:val="5"/>
      <w:u w:val="single"/>
    </w:rPr>
  </w:style>
  <w:style w:type="character" w:styleId="BookTitle">
    <w:name w:val="Book Title"/>
    <w:uiPriority w:val="33"/>
    <w:qFormat/>
    <w:rsid w:val="00BF5F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F8E"/>
    <w:pPr>
      <w:outlineLvl w:val="9"/>
    </w:pPr>
    <w:rPr>
      <w:lang w:bidi="en-US"/>
    </w:rPr>
  </w:style>
  <w:style w:type="paragraph" w:customStyle="1" w:styleId="DefaultText">
    <w:name w:val="Default Text"/>
    <w:basedOn w:val="Normal"/>
    <w:rsid w:val="00991A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991ADB"/>
    <w:rPr>
      <w:rFonts w:ascii="Times New Roman" w:hAnsi="Times New Roman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15"/>
  </w:style>
  <w:style w:type="paragraph" w:styleId="Footer">
    <w:name w:val="footer"/>
    <w:basedOn w:val="Normal"/>
    <w:link w:val="FooterChar"/>
    <w:uiPriority w:val="99"/>
    <w:unhideWhenUsed/>
    <w:rsid w:val="005D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15"/>
  </w:style>
  <w:style w:type="character" w:customStyle="1" w:styleId="headnote">
    <w:name w:val="headnote"/>
    <w:basedOn w:val="DefaultParagraphFont"/>
    <w:rsid w:val="00524F0D"/>
  </w:style>
  <w:style w:type="character" w:styleId="Hyperlink">
    <w:name w:val="Hyperlink"/>
    <w:basedOn w:val="DefaultParagraphFont"/>
    <w:uiPriority w:val="99"/>
    <w:semiHidden/>
    <w:unhideWhenUsed/>
    <w:rsid w:val="00524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Brunelle</dc:creator>
  <cp:keywords/>
  <dc:description/>
  <cp:lastModifiedBy>Wismer, Don</cp:lastModifiedBy>
  <cp:revision>5</cp:revision>
  <cp:lastPrinted>2014-09-08T18:36:00Z</cp:lastPrinted>
  <dcterms:created xsi:type="dcterms:W3CDTF">2022-02-10T21:35:00Z</dcterms:created>
  <dcterms:modified xsi:type="dcterms:W3CDTF">2022-02-10T21:42:00Z</dcterms:modified>
</cp:coreProperties>
</file>