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FC18" w14:textId="77777777" w:rsidR="00A6081F" w:rsidRPr="00542442" w:rsidRDefault="00A6081F" w:rsidP="00542442">
      <w:pPr>
        <w:pStyle w:val="Heading1"/>
        <w:rPr>
          <w:rFonts w:ascii="Times New Roman" w:hAnsi="Times New Roman"/>
          <w:u w:val="none"/>
        </w:rPr>
      </w:pPr>
      <w:r w:rsidRPr="00542442">
        <w:rPr>
          <w:rFonts w:ascii="Times New Roman" w:hAnsi="Times New Roman"/>
          <w:u w:val="none"/>
        </w:rPr>
        <w:t>Chapter 69</w:t>
      </w:r>
      <w:r w:rsidR="008F6B51" w:rsidRPr="00542442">
        <w:rPr>
          <w:rFonts w:ascii="Times New Roman" w:hAnsi="Times New Roman"/>
          <w:u w:val="none"/>
        </w:rPr>
        <w:t>2</w:t>
      </w:r>
      <w:r w:rsidR="001535E1" w:rsidRPr="00542442">
        <w:rPr>
          <w:rFonts w:ascii="Times New Roman" w:hAnsi="Times New Roman"/>
          <w:u w:val="none"/>
        </w:rPr>
        <w:t>:</w:t>
      </w:r>
      <w:r w:rsidRPr="00542442">
        <w:rPr>
          <w:rFonts w:ascii="Times New Roman" w:hAnsi="Times New Roman"/>
          <w:u w:val="none"/>
        </w:rPr>
        <w:tab/>
      </w:r>
      <w:r w:rsidR="00DF2039" w:rsidRPr="00542442">
        <w:rPr>
          <w:rFonts w:ascii="Times New Roman" w:hAnsi="Times New Roman"/>
          <w:u w:val="none"/>
        </w:rPr>
        <w:t xml:space="preserve">SITING OF </w:t>
      </w:r>
      <w:r w:rsidRPr="00542442">
        <w:rPr>
          <w:rFonts w:ascii="Times New Roman" w:hAnsi="Times New Roman"/>
          <w:u w:val="none"/>
        </w:rPr>
        <w:t>OIL STORAGE FACILITIES</w:t>
      </w:r>
    </w:p>
    <w:p w14:paraId="26EADE1E" w14:textId="77777777" w:rsidR="00A6081F" w:rsidRPr="001662B5" w:rsidRDefault="00A6081F" w:rsidP="002F3CBC">
      <w:pPr>
        <w:tabs>
          <w:tab w:val="left" w:pos="480"/>
          <w:tab w:val="left" w:pos="1200"/>
          <w:tab w:val="left" w:pos="2400"/>
          <w:tab w:val="left" w:pos="3600"/>
          <w:tab w:val="left" w:pos="4800"/>
          <w:tab w:val="left" w:pos="6000"/>
        </w:tabs>
        <w:rPr>
          <w:sz w:val="22"/>
          <w:szCs w:val="22"/>
        </w:rPr>
      </w:pPr>
    </w:p>
    <w:p w14:paraId="1B57E920" w14:textId="77777777" w:rsidR="00A6081F" w:rsidRPr="001662B5" w:rsidRDefault="00A6081F" w:rsidP="002F3CBC">
      <w:pPr>
        <w:pStyle w:val="RulesSummary"/>
        <w:ind w:left="1800" w:right="1152"/>
        <w:jc w:val="left"/>
        <w:rPr>
          <w:szCs w:val="22"/>
        </w:rPr>
      </w:pPr>
      <w:r w:rsidRPr="001662B5">
        <w:rPr>
          <w:szCs w:val="22"/>
        </w:rPr>
        <w:t>SUMMARY:</w:t>
      </w:r>
      <w:r w:rsidR="001535E1" w:rsidRPr="001662B5">
        <w:rPr>
          <w:szCs w:val="22"/>
        </w:rPr>
        <w:t xml:space="preserve"> </w:t>
      </w:r>
      <w:r w:rsidRPr="001662B5">
        <w:rPr>
          <w:szCs w:val="22"/>
        </w:rPr>
        <w:t xml:space="preserve">This </w:t>
      </w:r>
      <w:r w:rsidR="00DF2039" w:rsidRPr="001662B5">
        <w:rPr>
          <w:szCs w:val="22"/>
        </w:rPr>
        <w:t xml:space="preserve">chapter sets forth restrictions on the geographic location of </w:t>
      </w:r>
      <w:r w:rsidRPr="001662B5">
        <w:rPr>
          <w:szCs w:val="22"/>
        </w:rPr>
        <w:t xml:space="preserve">new </w:t>
      </w:r>
      <w:r w:rsidR="00DF2039" w:rsidRPr="001662B5">
        <w:rPr>
          <w:szCs w:val="22"/>
        </w:rPr>
        <w:t xml:space="preserve">oil storage </w:t>
      </w:r>
      <w:r w:rsidRPr="001662B5">
        <w:rPr>
          <w:szCs w:val="22"/>
        </w:rPr>
        <w:t>facilities.</w:t>
      </w:r>
    </w:p>
    <w:p w14:paraId="16971FA5" w14:textId="77777777" w:rsidR="002F3CBC" w:rsidRPr="001662B5" w:rsidRDefault="002F3CBC" w:rsidP="002F3CBC">
      <w:pPr>
        <w:pStyle w:val="RulesSummary"/>
        <w:ind w:left="1800" w:right="1152"/>
        <w:jc w:val="left"/>
        <w:rPr>
          <w:szCs w:val="22"/>
        </w:rPr>
      </w:pPr>
    </w:p>
    <w:p w14:paraId="3EA5C2D0" w14:textId="77777777" w:rsidR="00AD3B49" w:rsidRPr="001662B5" w:rsidRDefault="007D22D4" w:rsidP="007A214E">
      <w:pPr>
        <w:ind w:left="360" w:right="180" w:hanging="360"/>
        <w:rPr>
          <w:sz w:val="22"/>
          <w:szCs w:val="22"/>
        </w:rPr>
      </w:pPr>
      <w:r w:rsidRPr="001662B5">
        <w:rPr>
          <w:b/>
          <w:sz w:val="22"/>
          <w:szCs w:val="22"/>
        </w:rPr>
        <w:t>1</w:t>
      </w:r>
      <w:r w:rsidR="00A6081F" w:rsidRPr="001662B5">
        <w:rPr>
          <w:b/>
          <w:sz w:val="22"/>
          <w:szCs w:val="22"/>
        </w:rPr>
        <w:t>.</w:t>
      </w:r>
      <w:r w:rsidR="00A6081F" w:rsidRPr="001662B5">
        <w:rPr>
          <w:b/>
          <w:sz w:val="22"/>
          <w:szCs w:val="22"/>
        </w:rPr>
        <w:tab/>
        <w:t>P</w:t>
      </w:r>
      <w:r w:rsidR="005F1CA3" w:rsidRPr="001662B5">
        <w:rPr>
          <w:b/>
          <w:sz w:val="22"/>
          <w:szCs w:val="22"/>
        </w:rPr>
        <w:t>u</w:t>
      </w:r>
      <w:r w:rsidR="00A6081F" w:rsidRPr="001662B5">
        <w:rPr>
          <w:b/>
          <w:sz w:val="22"/>
          <w:szCs w:val="22"/>
        </w:rPr>
        <w:t>r</w:t>
      </w:r>
      <w:r w:rsidR="005F1CA3" w:rsidRPr="001662B5">
        <w:rPr>
          <w:b/>
          <w:sz w:val="22"/>
          <w:szCs w:val="22"/>
        </w:rPr>
        <w:t>pose</w:t>
      </w:r>
      <w:r w:rsidR="00A6081F" w:rsidRPr="001662B5">
        <w:rPr>
          <w:b/>
          <w:sz w:val="22"/>
          <w:szCs w:val="22"/>
        </w:rPr>
        <w:t>.</w:t>
      </w:r>
      <w:r w:rsidR="001535E1" w:rsidRPr="001662B5">
        <w:rPr>
          <w:sz w:val="22"/>
          <w:szCs w:val="22"/>
        </w:rPr>
        <w:t xml:space="preserve"> </w:t>
      </w:r>
      <w:r w:rsidR="00F73DDB" w:rsidRPr="001662B5">
        <w:rPr>
          <w:sz w:val="22"/>
          <w:szCs w:val="22"/>
        </w:rPr>
        <w:t>T</w:t>
      </w:r>
      <w:r w:rsidR="00A6081F" w:rsidRPr="001662B5">
        <w:rPr>
          <w:sz w:val="22"/>
          <w:szCs w:val="22"/>
        </w:rPr>
        <w:t xml:space="preserve">he purpose of this </w:t>
      </w:r>
      <w:r w:rsidR="00B4544C" w:rsidRPr="001662B5">
        <w:rPr>
          <w:sz w:val="22"/>
          <w:szCs w:val="22"/>
        </w:rPr>
        <w:t>chapter</w:t>
      </w:r>
      <w:r w:rsidR="00A6081F" w:rsidRPr="001662B5">
        <w:rPr>
          <w:sz w:val="22"/>
          <w:szCs w:val="22"/>
        </w:rPr>
        <w:t xml:space="preserve"> </w:t>
      </w:r>
      <w:r w:rsidR="00B304B1" w:rsidRPr="001662B5">
        <w:rPr>
          <w:sz w:val="22"/>
          <w:szCs w:val="22"/>
        </w:rPr>
        <w:t xml:space="preserve">is </w:t>
      </w:r>
      <w:r w:rsidR="00A6081F" w:rsidRPr="001662B5">
        <w:rPr>
          <w:sz w:val="22"/>
          <w:szCs w:val="22"/>
        </w:rPr>
        <w:t>to</w:t>
      </w:r>
      <w:r w:rsidR="007A688C" w:rsidRPr="001662B5">
        <w:rPr>
          <w:sz w:val="22"/>
          <w:szCs w:val="22"/>
        </w:rPr>
        <w:t xml:space="preserve"> protect drinking water resources from oil contamination by</w:t>
      </w:r>
      <w:r w:rsidR="00F73DDB" w:rsidRPr="001662B5">
        <w:rPr>
          <w:sz w:val="22"/>
          <w:szCs w:val="22"/>
        </w:rPr>
        <w:t xml:space="preserve"> </w:t>
      </w:r>
      <w:r w:rsidR="00A6081F" w:rsidRPr="001662B5">
        <w:rPr>
          <w:sz w:val="22"/>
          <w:szCs w:val="22"/>
        </w:rPr>
        <w:t>control</w:t>
      </w:r>
      <w:r w:rsidR="007A688C" w:rsidRPr="001662B5">
        <w:rPr>
          <w:sz w:val="22"/>
          <w:szCs w:val="22"/>
        </w:rPr>
        <w:t>ling</w:t>
      </w:r>
      <w:r w:rsidR="00D213C9" w:rsidRPr="001662B5">
        <w:rPr>
          <w:sz w:val="22"/>
          <w:szCs w:val="22"/>
        </w:rPr>
        <w:t xml:space="preserve"> the</w:t>
      </w:r>
      <w:r w:rsidR="00C67277" w:rsidRPr="001662B5">
        <w:rPr>
          <w:sz w:val="22"/>
          <w:szCs w:val="22"/>
        </w:rPr>
        <w:t xml:space="preserve"> </w:t>
      </w:r>
      <w:r w:rsidR="00D213C9" w:rsidRPr="001662B5">
        <w:rPr>
          <w:sz w:val="22"/>
          <w:szCs w:val="22"/>
        </w:rPr>
        <w:t>location of oi</w:t>
      </w:r>
      <w:r w:rsidR="00A6081F" w:rsidRPr="001662B5">
        <w:rPr>
          <w:sz w:val="22"/>
          <w:szCs w:val="22"/>
        </w:rPr>
        <w:t xml:space="preserve">l storage facilities </w:t>
      </w:r>
      <w:r w:rsidR="00F73DDB" w:rsidRPr="001662B5">
        <w:rPr>
          <w:sz w:val="22"/>
          <w:szCs w:val="22"/>
        </w:rPr>
        <w:t xml:space="preserve">consistent with legislative policy </w:t>
      </w:r>
      <w:r w:rsidR="00980FFC" w:rsidRPr="001662B5">
        <w:rPr>
          <w:sz w:val="22"/>
          <w:szCs w:val="22"/>
        </w:rPr>
        <w:t>under</w:t>
      </w:r>
      <w:r w:rsidR="009535E5" w:rsidRPr="001662B5">
        <w:rPr>
          <w:sz w:val="22"/>
          <w:szCs w:val="22"/>
        </w:rPr>
        <w:t xml:space="preserve"> 38</w:t>
      </w:r>
      <w:r w:rsidR="00E70FA0" w:rsidRPr="001662B5">
        <w:rPr>
          <w:sz w:val="22"/>
          <w:szCs w:val="22"/>
        </w:rPr>
        <w:t> M.R.S.</w:t>
      </w:r>
      <w:r w:rsidR="009535E5" w:rsidRPr="001662B5">
        <w:rPr>
          <w:sz w:val="22"/>
          <w:szCs w:val="22"/>
        </w:rPr>
        <w:t xml:space="preserve"> </w:t>
      </w:r>
      <w:r w:rsidR="00F0133C">
        <w:rPr>
          <w:sz w:val="22"/>
          <w:szCs w:val="22"/>
        </w:rPr>
        <w:t>§</w:t>
      </w:r>
      <w:r w:rsidR="009535E5" w:rsidRPr="001662B5">
        <w:rPr>
          <w:sz w:val="22"/>
          <w:szCs w:val="22"/>
        </w:rPr>
        <w:t>1391.</w:t>
      </w:r>
    </w:p>
    <w:p w14:paraId="782F7ACA" w14:textId="77777777" w:rsidR="002F3CBC" w:rsidRPr="001662B5" w:rsidRDefault="002F3CBC" w:rsidP="000E4EEB">
      <w:pPr>
        <w:ind w:left="360" w:hanging="360"/>
        <w:rPr>
          <w:sz w:val="22"/>
          <w:szCs w:val="22"/>
        </w:rPr>
      </w:pPr>
    </w:p>
    <w:p w14:paraId="50869C01" w14:textId="77777777" w:rsidR="00A6081F" w:rsidRPr="001662B5" w:rsidRDefault="007D22D4" w:rsidP="000E4EEB">
      <w:pPr>
        <w:pStyle w:val="RulesSection"/>
        <w:jc w:val="left"/>
        <w:rPr>
          <w:szCs w:val="22"/>
        </w:rPr>
      </w:pPr>
      <w:r w:rsidRPr="001662B5">
        <w:rPr>
          <w:b/>
          <w:szCs w:val="22"/>
        </w:rPr>
        <w:t>2</w:t>
      </w:r>
      <w:r w:rsidR="00A6081F" w:rsidRPr="001662B5">
        <w:rPr>
          <w:b/>
          <w:szCs w:val="22"/>
        </w:rPr>
        <w:t>.</w:t>
      </w:r>
      <w:r w:rsidR="00A6081F" w:rsidRPr="001662B5">
        <w:rPr>
          <w:b/>
          <w:szCs w:val="22"/>
        </w:rPr>
        <w:tab/>
        <w:t>Definitions.</w:t>
      </w:r>
      <w:r w:rsidR="001535E1" w:rsidRPr="001662B5">
        <w:rPr>
          <w:szCs w:val="22"/>
        </w:rPr>
        <w:t xml:space="preserve"> </w:t>
      </w:r>
      <w:r w:rsidR="00A6081F" w:rsidRPr="001662B5">
        <w:rPr>
          <w:szCs w:val="22"/>
        </w:rPr>
        <w:t xml:space="preserve">The following terms as used in </w:t>
      </w:r>
      <w:r w:rsidR="004C55F7" w:rsidRPr="002A5E2B">
        <w:rPr>
          <w:szCs w:val="22"/>
        </w:rPr>
        <w:t>this Chapter</w:t>
      </w:r>
      <w:r w:rsidR="00A6081F" w:rsidRPr="001662B5">
        <w:rPr>
          <w:szCs w:val="22"/>
        </w:rPr>
        <w:t xml:space="preserve"> have the following meaning:</w:t>
      </w:r>
    </w:p>
    <w:p w14:paraId="571BBFAF" w14:textId="77777777" w:rsidR="002F3CBC" w:rsidRPr="001662B5" w:rsidRDefault="002F3CBC" w:rsidP="000E4EEB">
      <w:pPr>
        <w:pStyle w:val="RulesSection"/>
        <w:jc w:val="left"/>
        <w:rPr>
          <w:szCs w:val="22"/>
        </w:rPr>
      </w:pPr>
    </w:p>
    <w:p w14:paraId="5E9576F0" w14:textId="77777777" w:rsidR="00C67277" w:rsidRPr="001662B5" w:rsidRDefault="00C67277" w:rsidP="000E4EEB">
      <w:pPr>
        <w:pStyle w:val="ListParagraph"/>
        <w:numPr>
          <w:ilvl w:val="0"/>
          <w:numId w:val="27"/>
        </w:numPr>
        <w:rPr>
          <w:sz w:val="22"/>
          <w:szCs w:val="22"/>
        </w:rPr>
      </w:pPr>
      <w:r w:rsidRPr="001662B5">
        <w:rPr>
          <w:b/>
          <w:bCs/>
          <w:sz w:val="22"/>
          <w:szCs w:val="22"/>
        </w:rPr>
        <w:t>Aboveground heating oil supply tank.</w:t>
      </w:r>
      <w:r w:rsidR="001535E1" w:rsidRPr="001662B5">
        <w:rPr>
          <w:sz w:val="22"/>
          <w:szCs w:val="22"/>
        </w:rPr>
        <w:t xml:space="preserve"> </w:t>
      </w:r>
      <w:r w:rsidRPr="001662B5">
        <w:rPr>
          <w:sz w:val="22"/>
          <w:szCs w:val="22"/>
        </w:rPr>
        <w:t>"Aboveground heating oil supply tank" means an aboveground oil storage tank that is connected directly to an oil-burning heating appliance and is used solely to store heating oil.</w:t>
      </w:r>
    </w:p>
    <w:p w14:paraId="2700B147" w14:textId="77777777" w:rsidR="002F3CBC" w:rsidRPr="001662B5" w:rsidRDefault="002F3CBC" w:rsidP="000E4EEB">
      <w:pPr>
        <w:pStyle w:val="ListParagraph"/>
        <w:rPr>
          <w:sz w:val="22"/>
          <w:szCs w:val="22"/>
        </w:rPr>
      </w:pPr>
    </w:p>
    <w:p w14:paraId="609DAD55" w14:textId="77777777" w:rsidR="008A5984" w:rsidRPr="001662B5" w:rsidRDefault="008A5984" w:rsidP="000E4EEB">
      <w:pPr>
        <w:pStyle w:val="Indent1"/>
        <w:numPr>
          <w:ilvl w:val="0"/>
          <w:numId w:val="27"/>
        </w:numPr>
        <w:spacing w:after="0"/>
        <w:rPr>
          <w:rFonts w:ascii="Times New Roman" w:hAnsi="Times New Roman" w:cs="Times New Roman"/>
          <w:sz w:val="22"/>
          <w:szCs w:val="22"/>
        </w:rPr>
      </w:pPr>
      <w:r w:rsidRPr="001662B5">
        <w:rPr>
          <w:rFonts w:ascii="Times New Roman" w:hAnsi="Times New Roman" w:cs="Times New Roman"/>
          <w:b/>
          <w:sz w:val="22"/>
          <w:szCs w:val="22"/>
        </w:rPr>
        <w:t>Aboveground oil storage facility.</w:t>
      </w:r>
      <w:r w:rsidR="001535E1" w:rsidRPr="001662B5">
        <w:rPr>
          <w:rFonts w:ascii="Times New Roman" w:hAnsi="Times New Roman" w:cs="Times New Roman"/>
          <w:sz w:val="22"/>
          <w:szCs w:val="22"/>
        </w:rPr>
        <w:t xml:space="preserve"> </w:t>
      </w:r>
      <w:r w:rsidRPr="001662B5">
        <w:rPr>
          <w:rFonts w:ascii="Times New Roman" w:hAnsi="Times New Roman" w:cs="Times New Roman"/>
          <w:sz w:val="22"/>
          <w:szCs w:val="22"/>
        </w:rPr>
        <w:t>"Ab</w:t>
      </w:r>
      <w:r w:rsidR="00980FFC" w:rsidRPr="001662B5">
        <w:rPr>
          <w:rFonts w:ascii="Times New Roman" w:hAnsi="Times New Roman" w:cs="Times New Roman"/>
          <w:sz w:val="22"/>
          <w:szCs w:val="22"/>
        </w:rPr>
        <w:t>oveground oil storage facility"</w:t>
      </w:r>
      <w:r w:rsidRPr="001662B5">
        <w:rPr>
          <w:rFonts w:ascii="Times New Roman" w:hAnsi="Times New Roman" w:cs="Times New Roman"/>
          <w:sz w:val="22"/>
          <w:szCs w:val="22"/>
        </w:rPr>
        <w:t xml:space="preserve"> means any aboveground oil storage tank or tanks, together with associated piping, transfer and dispensing facilities located over land or water of the State at a single location for more than 4 months per year and used or intended to be used for the storage or supply of oil.</w:t>
      </w:r>
      <w:r w:rsidR="001535E1" w:rsidRPr="001662B5">
        <w:rPr>
          <w:rFonts w:ascii="Times New Roman" w:hAnsi="Times New Roman" w:cs="Times New Roman"/>
          <w:sz w:val="22"/>
          <w:szCs w:val="22"/>
        </w:rPr>
        <w:t xml:space="preserve"> </w:t>
      </w:r>
      <w:r w:rsidRPr="001662B5">
        <w:rPr>
          <w:rFonts w:ascii="Times New Roman" w:hAnsi="Times New Roman" w:cs="Times New Roman"/>
          <w:sz w:val="22"/>
          <w:szCs w:val="22"/>
        </w:rPr>
        <w:t xml:space="preserve">Oil terminal facilities, as defined in </w:t>
      </w:r>
      <w:r w:rsidR="00107E63" w:rsidRPr="001662B5">
        <w:rPr>
          <w:rFonts w:ascii="Times New Roman" w:hAnsi="Times New Roman" w:cs="Times New Roman"/>
          <w:sz w:val="22"/>
          <w:szCs w:val="22"/>
        </w:rPr>
        <w:t>38</w:t>
      </w:r>
      <w:r w:rsidR="00E70FA0" w:rsidRPr="001662B5">
        <w:rPr>
          <w:rFonts w:ascii="Times New Roman" w:hAnsi="Times New Roman" w:cs="Times New Roman"/>
          <w:sz w:val="22"/>
          <w:szCs w:val="22"/>
        </w:rPr>
        <w:t> M.R.S.</w:t>
      </w:r>
      <w:r w:rsidR="00107E63" w:rsidRPr="001662B5">
        <w:rPr>
          <w:rFonts w:ascii="Times New Roman" w:hAnsi="Times New Roman" w:cs="Times New Roman"/>
          <w:sz w:val="22"/>
          <w:szCs w:val="22"/>
        </w:rPr>
        <w:t xml:space="preserve"> </w:t>
      </w:r>
      <w:r w:rsidR="00F0133C">
        <w:rPr>
          <w:rFonts w:ascii="Times New Roman" w:hAnsi="Times New Roman" w:cs="Times New Roman"/>
          <w:sz w:val="22"/>
          <w:szCs w:val="22"/>
        </w:rPr>
        <w:t>§</w:t>
      </w:r>
      <w:r w:rsidR="009535E5" w:rsidRPr="001662B5">
        <w:rPr>
          <w:rFonts w:ascii="Times New Roman" w:hAnsi="Times New Roman" w:cs="Times New Roman"/>
          <w:sz w:val="22"/>
          <w:szCs w:val="22"/>
        </w:rPr>
        <w:t>542(</w:t>
      </w:r>
      <w:r w:rsidR="00107E63" w:rsidRPr="001662B5">
        <w:rPr>
          <w:rFonts w:ascii="Times New Roman" w:hAnsi="Times New Roman" w:cs="Times New Roman"/>
          <w:sz w:val="22"/>
          <w:szCs w:val="22"/>
        </w:rPr>
        <w:t>7</w:t>
      </w:r>
      <w:r w:rsidR="009535E5" w:rsidRPr="001662B5">
        <w:rPr>
          <w:rFonts w:ascii="Times New Roman" w:hAnsi="Times New Roman" w:cs="Times New Roman"/>
          <w:sz w:val="22"/>
          <w:szCs w:val="22"/>
        </w:rPr>
        <w:t>)</w:t>
      </w:r>
      <w:r w:rsidRPr="001662B5">
        <w:rPr>
          <w:rFonts w:ascii="Times New Roman" w:hAnsi="Times New Roman" w:cs="Times New Roman"/>
          <w:sz w:val="22"/>
          <w:szCs w:val="22"/>
        </w:rPr>
        <w:t xml:space="preserve"> are not included </w:t>
      </w:r>
      <w:r w:rsidR="00107E63" w:rsidRPr="001662B5">
        <w:rPr>
          <w:rFonts w:ascii="Times New Roman" w:hAnsi="Times New Roman" w:cs="Times New Roman"/>
          <w:sz w:val="22"/>
          <w:szCs w:val="22"/>
        </w:rPr>
        <w:t>in this definition</w:t>
      </w:r>
      <w:r w:rsidRPr="001662B5">
        <w:rPr>
          <w:rFonts w:ascii="Times New Roman" w:hAnsi="Times New Roman" w:cs="Times New Roman"/>
          <w:sz w:val="22"/>
          <w:szCs w:val="22"/>
        </w:rPr>
        <w:t>.</w:t>
      </w:r>
    </w:p>
    <w:p w14:paraId="1C0F8D18" w14:textId="77777777" w:rsidR="002F3CBC" w:rsidRPr="001662B5" w:rsidRDefault="002F3CBC" w:rsidP="000E4EEB">
      <w:pPr>
        <w:pStyle w:val="Indent1"/>
        <w:spacing w:after="0"/>
        <w:ind w:left="0" w:firstLine="0"/>
        <w:rPr>
          <w:rFonts w:ascii="Times New Roman" w:hAnsi="Times New Roman" w:cs="Times New Roman"/>
          <w:sz w:val="22"/>
          <w:szCs w:val="22"/>
        </w:rPr>
      </w:pPr>
    </w:p>
    <w:p w14:paraId="1BA484D3" w14:textId="77777777" w:rsidR="008A5984" w:rsidRPr="001662B5" w:rsidRDefault="008A5984" w:rsidP="000E4EEB">
      <w:pPr>
        <w:pStyle w:val="Indent1"/>
        <w:numPr>
          <w:ilvl w:val="0"/>
          <w:numId w:val="27"/>
        </w:numPr>
        <w:spacing w:after="0"/>
        <w:rPr>
          <w:rFonts w:ascii="Times New Roman" w:hAnsi="Times New Roman" w:cs="Times New Roman"/>
          <w:sz w:val="22"/>
          <w:szCs w:val="22"/>
        </w:rPr>
      </w:pPr>
      <w:r w:rsidRPr="001662B5">
        <w:rPr>
          <w:rFonts w:ascii="Times New Roman" w:hAnsi="Times New Roman" w:cs="Times New Roman"/>
          <w:b/>
          <w:sz w:val="22"/>
          <w:szCs w:val="22"/>
        </w:rPr>
        <w:t>Aboveground oil storage tank.</w:t>
      </w:r>
      <w:r w:rsidR="001535E1" w:rsidRPr="001662B5">
        <w:rPr>
          <w:rFonts w:ascii="Times New Roman" w:hAnsi="Times New Roman" w:cs="Times New Roman"/>
          <w:sz w:val="22"/>
          <w:szCs w:val="22"/>
        </w:rPr>
        <w:t xml:space="preserve"> </w:t>
      </w:r>
      <w:r w:rsidR="00980FFC" w:rsidRPr="001662B5">
        <w:rPr>
          <w:rFonts w:ascii="Times New Roman" w:hAnsi="Times New Roman" w:cs="Times New Roman"/>
          <w:sz w:val="22"/>
          <w:szCs w:val="22"/>
        </w:rPr>
        <w:t>"Aboveground oil storage tank"</w:t>
      </w:r>
      <w:r w:rsidRPr="001662B5">
        <w:rPr>
          <w:rFonts w:ascii="Times New Roman" w:hAnsi="Times New Roman" w:cs="Times New Roman"/>
          <w:sz w:val="22"/>
          <w:szCs w:val="22"/>
        </w:rPr>
        <w:t xml:space="preserve"> means any aboveground container, less than 10</w:t>
      </w:r>
      <w:r w:rsidR="00340822" w:rsidRPr="002A5E2B">
        <w:rPr>
          <w:rFonts w:ascii="Times New Roman" w:hAnsi="Times New Roman" w:cs="Times New Roman"/>
          <w:sz w:val="22"/>
          <w:szCs w:val="22"/>
        </w:rPr>
        <w:t xml:space="preserve"> percent (</w:t>
      </w:r>
      <w:r w:rsidRPr="001662B5">
        <w:rPr>
          <w:rFonts w:ascii="Times New Roman" w:hAnsi="Times New Roman" w:cs="Times New Roman"/>
          <w:sz w:val="22"/>
          <w:szCs w:val="22"/>
        </w:rPr>
        <w:t>%</w:t>
      </w:r>
      <w:r w:rsidR="00340822" w:rsidRPr="002A5E2B">
        <w:rPr>
          <w:rFonts w:ascii="Times New Roman" w:hAnsi="Times New Roman" w:cs="Times New Roman"/>
          <w:sz w:val="22"/>
          <w:szCs w:val="22"/>
        </w:rPr>
        <w:t>)</w:t>
      </w:r>
      <w:r w:rsidRPr="001662B5">
        <w:rPr>
          <w:rFonts w:ascii="Times New Roman" w:hAnsi="Times New Roman" w:cs="Times New Roman"/>
          <w:sz w:val="22"/>
          <w:szCs w:val="22"/>
        </w:rPr>
        <w:t xml:space="preserve"> of the capacity of which is beneath the surface of the ground, that is used or intended to be used for the storage or supply of oil.</w:t>
      </w:r>
      <w:r w:rsidR="001535E1" w:rsidRPr="001662B5">
        <w:rPr>
          <w:rFonts w:ascii="Times New Roman" w:hAnsi="Times New Roman" w:cs="Times New Roman"/>
          <w:sz w:val="22"/>
          <w:szCs w:val="22"/>
        </w:rPr>
        <w:t xml:space="preserve"> </w:t>
      </w:r>
      <w:r w:rsidRPr="001662B5">
        <w:rPr>
          <w:rFonts w:ascii="Times New Roman" w:hAnsi="Times New Roman" w:cs="Times New Roman"/>
          <w:sz w:val="22"/>
          <w:szCs w:val="22"/>
        </w:rPr>
        <w:t>Included in this definition are any tanks situated upon or above the surface of a floor and in such a manner that they may be readily inspected.</w:t>
      </w:r>
      <w:r w:rsidR="001535E1" w:rsidRPr="001662B5">
        <w:rPr>
          <w:rFonts w:ascii="Times New Roman" w:hAnsi="Times New Roman" w:cs="Times New Roman"/>
          <w:sz w:val="22"/>
          <w:szCs w:val="22"/>
        </w:rPr>
        <w:t xml:space="preserve"> </w:t>
      </w:r>
      <w:r w:rsidRPr="001662B5">
        <w:rPr>
          <w:rFonts w:ascii="Times New Roman" w:hAnsi="Times New Roman" w:cs="Times New Roman"/>
          <w:sz w:val="22"/>
          <w:szCs w:val="22"/>
        </w:rPr>
        <w:t>Drums or other st</w:t>
      </w:r>
      <w:r w:rsidR="00980FFC" w:rsidRPr="001662B5">
        <w:rPr>
          <w:rFonts w:ascii="Times New Roman" w:hAnsi="Times New Roman" w:cs="Times New Roman"/>
          <w:sz w:val="22"/>
          <w:szCs w:val="22"/>
        </w:rPr>
        <w:t>orage containers that have</w:t>
      </w:r>
      <w:r w:rsidRPr="001662B5">
        <w:rPr>
          <w:rFonts w:ascii="Times New Roman" w:hAnsi="Times New Roman" w:cs="Times New Roman"/>
          <w:sz w:val="22"/>
          <w:szCs w:val="22"/>
        </w:rPr>
        <w:t xml:space="preserve"> a capacity of 60 gallons or less and oil-containing electrical equipment are not included in this definition.</w:t>
      </w:r>
    </w:p>
    <w:p w14:paraId="1188417C" w14:textId="77777777" w:rsidR="002F3CBC" w:rsidRPr="001662B5" w:rsidRDefault="002F3CBC" w:rsidP="000E4EEB">
      <w:pPr>
        <w:pStyle w:val="Indent1"/>
        <w:spacing w:after="0"/>
        <w:ind w:left="0" w:firstLine="0"/>
        <w:rPr>
          <w:rFonts w:ascii="Times New Roman" w:hAnsi="Times New Roman" w:cs="Times New Roman"/>
          <w:sz w:val="22"/>
          <w:szCs w:val="22"/>
        </w:rPr>
      </w:pPr>
    </w:p>
    <w:p w14:paraId="3344F9AE" w14:textId="77777777" w:rsidR="00CA05CA" w:rsidRPr="001662B5" w:rsidRDefault="00CA05CA" w:rsidP="000E4EEB">
      <w:pPr>
        <w:pStyle w:val="RulesSub-section"/>
        <w:numPr>
          <w:ilvl w:val="0"/>
          <w:numId w:val="27"/>
        </w:numPr>
        <w:jc w:val="left"/>
        <w:rPr>
          <w:szCs w:val="22"/>
        </w:rPr>
      </w:pPr>
      <w:r w:rsidRPr="001662B5">
        <w:rPr>
          <w:b/>
          <w:szCs w:val="22"/>
        </w:rPr>
        <w:t>Bulk plant.</w:t>
      </w:r>
      <w:r w:rsidR="001535E1" w:rsidRPr="001662B5">
        <w:rPr>
          <w:b/>
          <w:szCs w:val="22"/>
        </w:rPr>
        <w:t xml:space="preserve"> </w:t>
      </w:r>
      <w:r w:rsidR="007A3207" w:rsidRPr="001662B5">
        <w:rPr>
          <w:szCs w:val="22"/>
        </w:rPr>
        <w:t>"</w:t>
      </w:r>
      <w:r w:rsidR="00980FFC" w:rsidRPr="001662B5">
        <w:rPr>
          <w:szCs w:val="22"/>
        </w:rPr>
        <w:t xml:space="preserve">Bulk </w:t>
      </w:r>
      <w:r w:rsidR="007A3207" w:rsidRPr="001662B5">
        <w:rPr>
          <w:szCs w:val="22"/>
        </w:rPr>
        <w:t>plant"</w:t>
      </w:r>
      <w:r w:rsidR="00980FFC" w:rsidRPr="001662B5">
        <w:rPr>
          <w:szCs w:val="22"/>
        </w:rPr>
        <w:t xml:space="preserve"> means a</w:t>
      </w:r>
      <w:r w:rsidRPr="001662B5">
        <w:rPr>
          <w:szCs w:val="22"/>
        </w:rPr>
        <w:t>n intermediate fuel oil distribution facility with truck loading racks.</w:t>
      </w:r>
    </w:p>
    <w:p w14:paraId="782B548F" w14:textId="77777777" w:rsidR="002F3CBC" w:rsidRPr="001662B5" w:rsidRDefault="002F3CBC" w:rsidP="000E4EEB">
      <w:pPr>
        <w:pStyle w:val="RulesSub-section"/>
        <w:ind w:left="0" w:firstLine="0"/>
        <w:jc w:val="left"/>
        <w:rPr>
          <w:b/>
          <w:szCs w:val="22"/>
        </w:rPr>
      </w:pPr>
    </w:p>
    <w:p w14:paraId="3157F5AD" w14:textId="77777777" w:rsidR="000E6A85" w:rsidRPr="001662B5" w:rsidRDefault="000E6A85" w:rsidP="000E4EEB">
      <w:pPr>
        <w:pStyle w:val="RulesSub-section"/>
        <w:numPr>
          <w:ilvl w:val="0"/>
          <w:numId w:val="27"/>
        </w:numPr>
        <w:jc w:val="left"/>
        <w:rPr>
          <w:szCs w:val="22"/>
        </w:rPr>
      </w:pPr>
      <w:r w:rsidRPr="001662B5">
        <w:rPr>
          <w:b/>
          <w:szCs w:val="22"/>
        </w:rPr>
        <w:t>Chapter 34.</w:t>
      </w:r>
      <w:r w:rsidR="001535E1" w:rsidRPr="001662B5">
        <w:rPr>
          <w:b/>
          <w:szCs w:val="22"/>
        </w:rPr>
        <w:t xml:space="preserve"> </w:t>
      </w:r>
      <w:r w:rsidR="007A3207" w:rsidRPr="001662B5">
        <w:rPr>
          <w:szCs w:val="22"/>
        </w:rPr>
        <w:t>"Chapter 34"</w:t>
      </w:r>
      <w:r w:rsidRPr="001662B5">
        <w:rPr>
          <w:szCs w:val="22"/>
        </w:rPr>
        <w:t xml:space="preserve"> means the Department of Public Safety</w:t>
      </w:r>
      <w:r w:rsidRPr="001662B5">
        <w:rPr>
          <w:i/>
          <w:szCs w:val="22"/>
        </w:rPr>
        <w:t xml:space="preserve"> Rules and Regulations for Flammable and Combustible Liquids</w:t>
      </w:r>
      <w:r w:rsidRPr="001662B5">
        <w:rPr>
          <w:szCs w:val="22"/>
        </w:rPr>
        <w:t xml:space="preserve">, 16-219 </w:t>
      </w:r>
      <w:r w:rsidRPr="002A5E2B">
        <w:rPr>
          <w:szCs w:val="22"/>
        </w:rPr>
        <w:t>C</w:t>
      </w:r>
      <w:r w:rsidR="006A2652" w:rsidRPr="002A5E2B">
        <w:rPr>
          <w:szCs w:val="22"/>
        </w:rPr>
        <w:t>.</w:t>
      </w:r>
      <w:r w:rsidRPr="002A5E2B">
        <w:rPr>
          <w:szCs w:val="22"/>
        </w:rPr>
        <w:t>M</w:t>
      </w:r>
      <w:r w:rsidR="006A2652" w:rsidRPr="002A5E2B">
        <w:rPr>
          <w:szCs w:val="22"/>
        </w:rPr>
        <w:t>.</w:t>
      </w:r>
      <w:r w:rsidRPr="002A5E2B">
        <w:rPr>
          <w:szCs w:val="22"/>
        </w:rPr>
        <w:t>R</w:t>
      </w:r>
      <w:r w:rsidR="006A2652" w:rsidRPr="002A5E2B">
        <w:rPr>
          <w:szCs w:val="22"/>
        </w:rPr>
        <w:t>. ch.</w:t>
      </w:r>
      <w:r w:rsidRPr="001662B5">
        <w:rPr>
          <w:szCs w:val="22"/>
        </w:rPr>
        <w:t xml:space="preserve"> 34.</w:t>
      </w:r>
    </w:p>
    <w:p w14:paraId="1678ADEA" w14:textId="77777777" w:rsidR="002F3CBC" w:rsidRPr="001662B5" w:rsidRDefault="002F3CBC" w:rsidP="000E4EEB">
      <w:pPr>
        <w:pStyle w:val="RulesSub-section"/>
        <w:ind w:left="0" w:firstLine="0"/>
        <w:jc w:val="left"/>
        <w:rPr>
          <w:szCs w:val="22"/>
        </w:rPr>
      </w:pPr>
    </w:p>
    <w:p w14:paraId="2EB4A919" w14:textId="77777777" w:rsidR="000E6A85" w:rsidRPr="001662B5" w:rsidRDefault="000E6A85" w:rsidP="000E4EEB">
      <w:pPr>
        <w:pStyle w:val="RulesSub-section"/>
        <w:numPr>
          <w:ilvl w:val="0"/>
          <w:numId w:val="27"/>
        </w:numPr>
        <w:jc w:val="left"/>
        <w:rPr>
          <w:szCs w:val="22"/>
        </w:rPr>
      </w:pPr>
      <w:r w:rsidRPr="001662B5">
        <w:rPr>
          <w:b/>
          <w:szCs w:val="22"/>
        </w:rPr>
        <w:t>Chapter 691.</w:t>
      </w:r>
      <w:r w:rsidR="001535E1" w:rsidRPr="001662B5">
        <w:rPr>
          <w:b/>
          <w:szCs w:val="22"/>
        </w:rPr>
        <w:t xml:space="preserve"> </w:t>
      </w:r>
      <w:r w:rsidR="007A3207" w:rsidRPr="001662B5">
        <w:rPr>
          <w:szCs w:val="22"/>
        </w:rPr>
        <w:t>"Chapter 691"</w:t>
      </w:r>
      <w:r w:rsidR="008E531C" w:rsidRPr="001662B5">
        <w:rPr>
          <w:szCs w:val="22"/>
        </w:rPr>
        <w:t xml:space="preserve"> means the </w:t>
      </w:r>
      <w:r w:rsidR="00684DCF" w:rsidRPr="001662B5">
        <w:rPr>
          <w:szCs w:val="22"/>
        </w:rPr>
        <w:t>D</w:t>
      </w:r>
      <w:r w:rsidR="008E531C" w:rsidRPr="001662B5">
        <w:rPr>
          <w:szCs w:val="22"/>
        </w:rPr>
        <w:t>epartment</w:t>
      </w:r>
      <w:r w:rsidR="00684DCF" w:rsidRPr="001662B5">
        <w:rPr>
          <w:szCs w:val="22"/>
        </w:rPr>
        <w:t xml:space="preserve"> of Environmental Protection</w:t>
      </w:r>
      <w:r w:rsidR="008E531C" w:rsidRPr="001662B5">
        <w:rPr>
          <w:szCs w:val="22"/>
        </w:rPr>
        <w:t xml:space="preserve"> </w:t>
      </w:r>
      <w:r w:rsidR="008E531C" w:rsidRPr="001662B5">
        <w:rPr>
          <w:i/>
          <w:szCs w:val="22"/>
        </w:rPr>
        <w:t>Rules for Underground Oil Storage Facilities</w:t>
      </w:r>
      <w:r w:rsidR="008E531C" w:rsidRPr="001662B5">
        <w:rPr>
          <w:szCs w:val="22"/>
        </w:rPr>
        <w:t xml:space="preserve">, </w:t>
      </w:r>
      <w:r w:rsidR="008E531C" w:rsidRPr="002A5E2B">
        <w:rPr>
          <w:szCs w:val="22"/>
        </w:rPr>
        <w:t>06-096 C</w:t>
      </w:r>
      <w:r w:rsidR="006A2652" w:rsidRPr="002A5E2B">
        <w:rPr>
          <w:szCs w:val="22"/>
        </w:rPr>
        <w:t>.</w:t>
      </w:r>
      <w:r w:rsidR="008E531C" w:rsidRPr="002A5E2B">
        <w:rPr>
          <w:szCs w:val="22"/>
        </w:rPr>
        <w:t>M</w:t>
      </w:r>
      <w:r w:rsidR="006A2652" w:rsidRPr="002A5E2B">
        <w:rPr>
          <w:szCs w:val="22"/>
        </w:rPr>
        <w:t>.</w:t>
      </w:r>
      <w:r w:rsidR="008E531C" w:rsidRPr="002A5E2B">
        <w:rPr>
          <w:szCs w:val="22"/>
        </w:rPr>
        <w:t>R</w:t>
      </w:r>
      <w:r w:rsidR="006A2652" w:rsidRPr="002A5E2B">
        <w:rPr>
          <w:szCs w:val="22"/>
        </w:rPr>
        <w:t>. ch.</w:t>
      </w:r>
      <w:r w:rsidR="008E531C" w:rsidRPr="001662B5">
        <w:rPr>
          <w:szCs w:val="22"/>
        </w:rPr>
        <w:t xml:space="preserve"> 691.</w:t>
      </w:r>
    </w:p>
    <w:p w14:paraId="63C7FBAC" w14:textId="77777777" w:rsidR="002F3CBC" w:rsidRPr="001662B5" w:rsidRDefault="002F3CBC" w:rsidP="000E4EEB">
      <w:pPr>
        <w:pStyle w:val="RulesSub-section"/>
        <w:ind w:left="0" w:firstLine="0"/>
        <w:jc w:val="left"/>
        <w:rPr>
          <w:b/>
          <w:szCs w:val="22"/>
        </w:rPr>
      </w:pPr>
    </w:p>
    <w:p w14:paraId="0A0EDC4A" w14:textId="77777777" w:rsidR="00A6081F" w:rsidRPr="001662B5" w:rsidRDefault="00A6081F" w:rsidP="000E4EEB">
      <w:pPr>
        <w:pStyle w:val="RulesSub-section"/>
        <w:numPr>
          <w:ilvl w:val="0"/>
          <w:numId w:val="27"/>
        </w:numPr>
        <w:jc w:val="left"/>
        <w:rPr>
          <w:szCs w:val="22"/>
        </w:rPr>
      </w:pPr>
      <w:r w:rsidRPr="001662B5">
        <w:rPr>
          <w:b/>
          <w:szCs w:val="22"/>
        </w:rPr>
        <w:t>Commissioner.</w:t>
      </w:r>
      <w:r w:rsidR="001535E1" w:rsidRPr="001662B5">
        <w:rPr>
          <w:szCs w:val="22"/>
        </w:rPr>
        <w:t xml:space="preserve"> </w:t>
      </w:r>
      <w:r w:rsidR="007A3207" w:rsidRPr="001662B5">
        <w:rPr>
          <w:szCs w:val="22"/>
        </w:rPr>
        <w:t>"Commissioner"</w:t>
      </w:r>
      <w:r w:rsidRPr="001662B5">
        <w:rPr>
          <w:szCs w:val="22"/>
        </w:rPr>
        <w:t xml:space="preserve"> means the Commissioner of </w:t>
      </w:r>
      <w:r w:rsidR="00AA3B82" w:rsidRPr="002A5E2B">
        <w:rPr>
          <w:szCs w:val="22"/>
        </w:rPr>
        <w:t xml:space="preserve">the Department of </w:t>
      </w:r>
      <w:r w:rsidRPr="001662B5">
        <w:rPr>
          <w:szCs w:val="22"/>
        </w:rPr>
        <w:t>Environmental Protection.</w:t>
      </w:r>
    </w:p>
    <w:p w14:paraId="7725BE73" w14:textId="77777777" w:rsidR="002F3CBC" w:rsidRPr="001662B5" w:rsidRDefault="002F3CBC" w:rsidP="000E4EEB">
      <w:pPr>
        <w:pStyle w:val="RulesSub-section"/>
        <w:ind w:left="0" w:firstLine="0"/>
        <w:jc w:val="left"/>
        <w:rPr>
          <w:szCs w:val="22"/>
        </w:rPr>
      </w:pPr>
    </w:p>
    <w:p w14:paraId="7E082B20" w14:textId="77777777" w:rsidR="002F3CBC" w:rsidRPr="001662B5" w:rsidRDefault="00C8350D" w:rsidP="000E4EEB">
      <w:pPr>
        <w:pStyle w:val="ListParagraph"/>
        <w:numPr>
          <w:ilvl w:val="0"/>
          <w:numId w:val="27"/>
        </w:numPr>
        <w:rPr>
          <w:sz w:val="22"/>
          <w:szCs w:val="22"/>
        </w:rPr>
      </w:pPr>
      <w:r w:rsidRPr="001662B5">
        <w:rPr>
          <w:b/>
          <w:bCs/>
          <w:sz w:val="22"/>
          <w:szCs w:val="22"/>
        </w:rPr>
        <w:t>Community drinking water well.</w:t>
      </w:r>
      <w:r w:rsidR="001535E1" w:rsidRPr="001662B5">
        <w:rPr>
          <w:sz w:val="22"/>
          <w:szCs w:val="22"/>
        </w:rPr>
        <w:t xml:space="preserve"> </w:t>
      </w:r>
      <w:r w:rsidRPr="001662B5">
        <w:rPr>
          <w:sz w:val="22"/>
          <w:szCs w:val="22"/>
        </w:rPr>
        <w:t>"Community drinking water well" means a public drinking water well that supplies a community water system as defined under 22</w:t>
      </w:r>
      <w:r w:rsidR="009535E5" w:rsidRPr="001662B5">
        <w:rPr>
          <w:sz w:val="22"/>
          <w:szCs w:val="22"/>
        </w:rPr>
        <w:t xml:space="preserve"> </w:t>
      </w:r>
      <w:r w:rsidR="00E70FA0" w:rsidRPr="001662B5">
        <w:rPr>
          <w:sz w:val="22"/>
          <w:szCs w:val="22"/>
        </w:rPr>
        <w:t>M.R.S.</w:t>
      </w:r>
      <w:r w:rsidR="009535E5" w:rsidRPr="001662B5">
        <w:rPr>
          <w:sz w:val="22"/>
          <w:szCs w:val="22"/>
        </w:rPr>
        <w:t xml:space="preserve"> </w:t>
      </w:r>
      <w:r w:rsidR="00F0133C">
        <w:rPr>
          <w:sz w:val="22"/>
          <w:szCs w:val="22"/>
        </w:rPr>
        <w:t>§</w:t>
      </w:r>
      <w:r w:rsidR="009535E5" w:rsidRPr="001662B5">
        <w:rPr>
          <w:sz w:val="22"/>
          <w:szCs w:val="22"/>
        </w:rPr>
        <w:t>2660-</w:t>
      </w:r>
      <w:r w:rsidR="00185469">
        <w:rPr>
          <w:sz w:val="22"/>
          <w:szCs w:val="22"/>
        </w:rPr>
        <w:t>B</w:t>
      </w:r>
      <w:r w:rsidR="00D32175" w:rsidRPr="00185469">
        <w:rPr>
          <w:sz w:val="22"/>
          <w:szCs w:val="22"/>
        </w:rPr>
        <w:t>(</w:t>
      </w:r>
      <w:r w:rsidRPr="001662B5">
        <w:rPr>
          <w:sz w:val="22"/>
          <w:szCs w:val="22"/>
        </w:rPr>
        <w:t>2</w:t>
      </w:r>
      <w:r w:rsidR="009535E5" w:rsidRPr="001662B5">
        <w:rPr>
          <w:sz w:val="22"/>
          <w:szCs w:val="22"/>
        </w:rPr>
        <w:t>)</w:t>
      </w:r>
      <w:r w:rsidRPr="001662B5">
        <w:rPr>
          <w:sz w:val="22"/>
          <w:szCs w:val="22"/>
        </w:rPr>
        <w:t>.</w:t>
      </w:r>
    </w:p>
    <w:p w14:paraId="1A6B5374" w14:textId="77777777" w:rsidR="002F3CBC" w:rsidRPr="001662B5" w:rsidRDefault="002F3CBC" w:rsidP="000E4EEB">
      <w:pPr>
        <w:rPr>
          <w:sz w:val="22"/>
          <w:szCs w:val="22"/>
        </w:rPr>
      </w:pPr>
    </w:p>
    <w:p w14:paraId="226D411D" w14:textId="77777777" w:rsidR="00CD1017" w:rsidRPr="001662B5" w:rsidRDefault="00CD1017" w:rsidP="000E4EEB">
      <w:pPr>
        <w:pStyle w:val="RulesSub-section"/>
        <w:numPr>
          <w:ilvl w:val="0"/>
          <w:numId w:val="27"/>
        </w:numPr>
        <w:jc w:val="left"/>
        <w:rPr>
          <w:szCs w:val="22"/>
        </w:rPr>
      </w:pPr>
      <w:r w:rsidRPr="001662B5">
        <w:rPr>
          <w:b/>
          <w:szCs w:val="22"/>
        </w:rPr>
        <w:t>C</w:t>
      </w:r>
      <w:r w:rsidR="006A2652" w:rsidRPr="002A5E2B">
        <w:rPr>
          <w:b/>
          <w:szCs w:val="22"/>
        </w:rPr>
        <w:t>.</w:t>
      </w:r>
      <w:r w:rsidRPr="002A5E2B">
        <w:rPr>
          <w:b/>
          <w:szCs w:val="22"/>
        </w:rPr>
        <w:t>M</w:t>
      </w:r>
      <w:r w:rsidR="006A2652" w:rsidRPr="002A5E2B">
        <w:rPr>
          <w:b/>
          <w:szCs w:val="22"/>
        </w:rPr>
        <w:t>.</w:t>
      </w:r>
      <w:r w:rsidRPr="002A5E2B">
        <w:rPr>
          <w:b/>
          <w:szCs w:val="22"/>
        </w:rPr>
        <w:t>R</w:t>
      </w:r>
      <w:r w:rsidR="006A2652" w:rsidRPr="002A5E2B">
        <w:rPr>
          <w:b/>
          <w:szCs w:val="22"/>
        </w:rPr>
        <w:t>.</w:t>
      </w:r>
      <w:r w:rsidR="001535E1" w:rsidRPr="001662B5">
        <w:rPr>
          <w:b/>
          <w:szCs w:val="22"/>
        </w:rPr>
        <w:t xml:space="preserve"> </w:t>
      </w:r>
      <w:r w:rsidR="007A3207" w:rsidRPr="002A5E2B">
        <w:rPr>
          <w:szCs w:val="22"/>
        </w:rPr>
        <w:t>"</w:t>
      </w:r>
      <w:r w:rsidRPr="002A5E2B">
        <w:rPr>
          <w:szCs w:val="22"/>
        </w:rPr>
        <w:t>C</w:t>
      </w:r>
      <w:r w:rsidR="006A2652" w:rsidRPr="002A5E2B">
        <w:rPr>
          <w:szCs w:val="22"/>
        </w:rPr>
        <w:t>.</w:t>
      </w:r>
      <w:r w:rsidRPr="002A5E2B">
        <w:rPr>
          <w:szCs w:val="22"/>
        </w:rPr>
        <w:t>M</w:t>
      </w:r>
      <w:r w:rsidR="006A2652" w:rsidRPr="002A5E2B">
        <w:rPr>
          <w:szCs w:val="22"/>
        </w:rPr>
        <w:t>.</w:t>
      </w:r>
      <w:r w:rsidRPr="002A5E2B">
        <w:rPr>
          <w:szCs w:val="22"/>
        </w:rPr>
        <w:t>R</w:t>
      </w:r>
      <w:r w:rsidR="006A2652" w:rsidRPr="002A5E2B">
        <w:rPr>
          <w:szCs w:val="22"/>
        </w:rPr>
        <w:t>.</w:t>
      </w:r>
      <w:r w:rsidR="007A3207" w:rsidRPr="002A5E2B">
        <w:rPr>
          <w:szCs w:val="22"/>
        </w:rPr>
        <w:t>"</w:t>
      </w:r>
      <w:r w:rsidRPr="001662B5">
        <w:rPr>
          <w:szCs w:val="22"/>
        </w:rPr>
        <w:t xml:space="preserve"> means the </w:t>
      </w:r>
      <w:r w:rsidRPr="007A214E">
        <w:rPr>
          <w:i/>
          <w:szCs w:val="22"/>
        </w:rPr>
        <w:t>Code of Maine Regulations</w:t>
      </w:r>
      <w:r w:rsidRPr="001662B5">
        <w:rPr>
          <w:szCs w:val="22"/>
        </w:rPr>
        <w:t>.</w:t>
      </w:r>
    </w:p>
    <w:p w14:paraId="5467C34F" w14:textId="77777777" w:rsidR="002F3CBC" w:rsidRPr="00D32175" w:rsidRDefault="002F3CBC" w:rsidP="000E4EEB">
      <w:pPr>
        <w:pStyle w:val="RulesSub-section"/>
        <w:ind w:left="0" w:firstLine="0"/>
        <w:jc w:val="left"/>
        <w:rPr>
          <w:b/>
          <w:szCs w:val="22"/>
          <w:u w:val="single"/>
        </w:rPr>
      </w:pPr>
    </w:p>
    <w:p w14:paraId="2BBC9C5F" w14:textId="77777777" w:rsidR="00A6081F" w:rsidRPr="001662B5" w:rsidRDefault="00A6081F" w:rsidP="000E4EEB">
      <w:pPr>
        <w:pStyle w:val="RulesSub-section"/>
        <w:numPr>
          <w:ilvl w:val="0"/>
          <w:numId w:val="27"/>
        </w:numPr>
        <w:jc w:val="left"/>
        <w:rPr>
          <w:szCs w:val="22"/>
        </w:rPr>
      </w:pPr>
      <w:r w:rsidRPr="001662B5">
        <w:rPr>
          <w:b/>
          <w:szCs w:val="22"/>
        </w:rPr>
        <w:t>Department.</w:t>
      </w:r>
      <w:r w:rsidR="001535E1" w:rsidRPr="001662B5">
        <w:rPr>
          <w:szCs w:val="22"/>
        </w:rPr>
        <w:t xml:space="preserve"> </w:t>
      </w:r>
      <w:r w:rsidRPr="001662B5">
        <w:rPr>
          <w:szCs w:val="22"/>
        </w:rPr>
        <w:t xml:space="preserve">"Department" means the Department of Environmental Protection composed of the </w:t>
      </w:r>
      <w:r w:rsidR="001A53F7" w:rsidRPr="001662B5">
        <w:rPr>
          <w:szCs w:val="22"/>
        </w:rPr>
        <w:t>B</w:t>
      </w:r>
      <w:r w:rsidRPr="001662B5">
        <w:rPr>
          <w:szCs w:val="22"/>
        </w:rPr>
        <w:t>oard</w:t>
      </w:r>
      <w:r w:rsidR="001A53F7" w:rsidRPr="001662B5">
        <w:rPr>
          <w:szCs w:val="22"/>
        </w:rPr>
        <w:t xml:space="preserve"> of Environmental Protection</w:t>
      </w:r>
      <w:r w:rsidRPr="001662B5">
        <w:rPr>
          <w:szCs w:val="22"/>
        </w:rPr>
        <w:t xml:space="preserve"> and the </w:t>
      </w:r>
      <w:r w:rsidR="004C55F7" w:rsidRPr="002A5E2B">
        <w:rPr>
          <w:szCs w:val="22"/>
        </w:rPr>
        <w:t>Commissioner</w:t>
      </w:r>
      <w:r w:rsidRPr="001662B5">
        <w:rPr>
          <w:szCs w:val="22"/>
        </w:rPr>
        <w:t>.</w:t>
      </w:r>
    </w:p>
    <w:p w14:paraId="7DC7A6D9" w14:textId="77777777" w:rsidR="002F3CBC" w:rsidRPr="001662B5" w:rsidRDefault="002F3CBC" w:rsidP="000E4EEB">
      <w:pPr>
        <w:pStyle w:val="RulesSub-section"/>
        <w:ind w:left="0" w:firstLine="0"/>
        <w:jc w:val="left"/>
        <w:rPr>
          <w:szCs w:val="22"/>
        </w:rPr>
      </w:pPr>
    </w:p>
    <w:p w14:paraId="6F58D7D4" w14:textId="77777777" w:rsidR="00EF0C59" w:rsidRPr="001662B5" w:rsidRDefault="000E6A85" w:rsidP="000E4EEB">
      <w:pPr>
        <w:pStyle w:val="RulesSub-section"/>
        <w:jc w:val="left"/>
        <w:rPr>
          <w:szCs w:val="22"/>
        </w:rPr>
      </w:pPr>
      <w:r w:rsidRPr="001662B5">
        <w:rPr>
          <w:b/>
          <w:szCs w:val="22"/>
        </w:rPr>
        <w:t>K</w:t>
      </w:r>
      <w:r w:rsidR="00EF0C59" w:rsidRPr="001662B5">
        <w:rPr>
          <w:b/>
          <w:bCs/>
          <w:szCs w:val="22"/>
        </w:rPr>
        <w:t>.</w:t>
      </w:r>
      <w:r w:rsidR="00EF0C59" w:rsidRPr="001662B5">
        <w:rPr>
          <w:b/>
          <w:bCs/>
          <w:szCs w:val="22"/>
        </w:rPr>
        <w:tab/>
        <w:t>Double-walled tank.</w:t>
      </w:r>
      <w:r w:rsidR="001535E1" w:rsidRPr="001662B5">
        <w:rPr>
          <w:szCs w:val="22"/>
        </w:rPr>
        <w:t xml:space="preserve"> </w:t>
      </w:r>
      <w:r w:rsidR="00EF0C59" w:rsidRPr="001662B5">
        <w:rPr>
          <w:szCs w:val="22"/>
        </w:rPr>
        <w:t>"Double-walled tank" means a tank with inner and outer walls separated by an interstitial space that allows detection and containment of leaks.</w:t>
      </w:r>
    </w:p>
    <w:p w14:paraId="3E5CC9BD" w14:textId="77777777" w:rsidR="0009053E" w:rsidRPr="001662B5" w:rsidRDefault="000E6A85" w:rsidP="000E4EEB">
      <w:pPr>
        <w:pStyle w:val="RulesSub-section"/>
        <w:jc w:val="left"/>
        <w:rPr>
          <w:szCs w:val="22"/>
        </w:rPr>
      </w:pPr>
      <w:r w:rsidRPr="001662B5">
        <w:rPr>
          <w:b/>
          <w:szCs w:val="22"/>
        </w:rPr>
        <w:lastRenderedPageBreak/>
        <w:t>L</w:t>
      </w:r>
      <w:r w:rsidR="001744FD" w:rsidRPr="001662B5">
        <w:rPr>
          <w:b/>
          <w:szCs w:val="22"/>
        </w:rPr>
        <w:t>.</w:t>
      </w:r>
      <w:r w:rsidR="001744FD" w:rsidRPr="001662B5">
        <w:rPr>
          <w:b/>
          <w:szCs w:val="22"/>
        </w:rPr>
        <w:tab/>
      </w:r>
      <w:r w:rsidR="0009053E" w:rsidRPr="001662B5">
        <w:rPr>
          <w:b/>
          <w:szCs w:val="22"/>
        </w:rPr>
        <w:t>Fire marshal.</w:t>
      </w:r>
      <w:r w:rsidR="001535E1" w:rsidRPr="001662B5">
        <w:rPr>
          <w:b/>
          <w:szCs w:val="22"/>
        </w:rPr>
        <w:t xml:space="preserve"> </w:t>
      </w:r>
      <w:r w:rsidR="007A3207" w:rsidRPr="001662B5">
        <w:rPr>
          <w:szCs w:val="22"/>
        </w:rPr>
        <w:t xml:space="preserve">"Fire </w:t>
      </w:r>
      <w:r w:rsidR="000A7CFD" w:rsidRPr="002A5E2B">
        <w:rPr>
          <w:szCs w:val="22"/>
        </w:rPr>
        <w:t>M</w:t>
      </w:r>
      <w:r w:rsidR="007A3207" w:rsidRPr="001662B5">
        <w:rPr>
          <w:szCs w:val="22"/>
        </w:rPr>
        <w:t>arshal"</w:t>
      </w:r>
      <w:r w:rsidR="0009053E" w:rsidRPr="001662B5">
        <w:rPr>
          <w:szCs w:val="22"/>
        </w:rPr>
        <w:t xml:space="preserve"> means the O</w:t>
      </w:r>
      <w:r w:rsidR="000E4D08" w:rsidRPr="001662B5">
        <w:rPr>
          <w:szCs w:val="22"/>
        </w:rPr>
        <w:t>ffice of the State Fire Marshal</w:t>
      </w:r>
      <w:r w:rsidR="0009053E" w:rsidRPr="001662B5">
        <w:rPr>
          <w:szCs w:val="22"/>
        </w:rPr>
        <w:t xml:space="preserve"> in the Department of Public Safety.</w:t>
      </w:r>
    </w:p>
    <w:p w14:paraId="08B43CE4" w14:textId="77777777" w:rsidR="002F3CBC" w:rsidRPr="001662B5" w:rsidRDefault="002F3CBC" w:rsidP="000E4EEB">
      <w:pPr>
        <w:pStyle w:val="RulesSub-section"/>
        <w:ind w:left="0" w:firstLine="0"/>
        <w:jc w:val="left"/>
        <w:rPr>
          <w:b/>
          <w:szCs w:val="22"/>
        </w:rPr>
      </w:pPr>
    </w:p>
    <w:p w14:paraId="0590B985" w14:textId="77777777" w:rsidR="009535E5" w:rsidRPr="001662B5" w:rsidRDefault="000E6A85" w:rsidP="000E4EEB">
      <w:pPr>
        <w:pStyle w:val="RulesSub-section"/>
        <w:jc w:val="left"/>
        <w:rPr>
          <w:szCs w:val="22"/>
        </w:rPr>
      </w:pPr>
      <w:r w:rsidRPr="001662B5">
        <w:rPr>
          <w:b/>
          <w:szCs w:val="22"/>
        </w:rPr>
        <w:t>M</w:t>
      </w:r>
      <w:r w:rsidR="0009053E" w:rsidRPr="001662B5">
        <w:rPr>
          <w:b/>
          <w:szCs w:val="22"/>
        </w:rPr>
        <w:t>.</w:t>
      </w:r>
      <w:r w:rsidR="0009053E" w:rsidRPr="001662B5">
        <w:rPr>
          <w:b/>
          <w:szCs w:val="22"/>
        </w:rPr>
        <w:tab/>
      </w:r>
      <w:r w:rsidR="001744FD" w:rsidRPr="001662B5">
        <w:rPr>
          <w:b/>
          <w:szCs w:val="22"/>
        </w:rPr>
        <w:t>Marketing and distribution</w:t>
      </w:r>
      <w:r w:rsidR="009535E5" w:rsidRPr="001662B5">
        <w:rPr>
          <w:b/>
          <w:szCs w:val="22"/>
        </w:rPr>
        <w:t xml:space="preserve"> facility</w:t>
      </w:r>
      <w:r w:rsidR="001744FD" w:rsidRPr="001662B5">
        <w:rPr>
          <w:b/>
          <w:szCs w:val="22"/>
        </w:rPr>
        <w:t>.</w:t>
      </w:r>
      <w:r w:rsidR="001535E1" w:rsidRPr="001662B5">
        <w:rPr>
          <w:szCs w:val="22"/>
        </w:rPr>
        <w:t xml:space="preserve"> </w:t>
      </w:r>
      <w:r w:rsidR="001744FD" w:rsidRPr="001662B5">
        <w:rPr>
          <w:szCs w:val="22"/>
        </w:rPr>
        <w:t xml:space="preserve">"Marketing and distribution facility" means any underground </w:t>
      </w:r>
      <w:r w:rsidR="000E4D08" w:rsidRPr="001662B5">
        <w:rPr>
          <w:szCs w:val="22"/>
        </w:rPr>
        <w:t xml:space="preserve">and/or aboveground </w:t>
      </w:r>
      <w:r w:rsidR="001744FD" w:rsidRPr="001662B5">
        <w:rPr>
          <w:szCs w:val="22"/>
        </w:rPr>
        <w:t>oil storage facility where oi</w:t>
      </w:r>
      <w:r w:rsidR="009535E5" w:rsidRPr="001662B5">
        <w:rPr>
          <w:szCs w:val="22"/>
        </w:rPr>
        <w:t>l is stored for eventual resale</w:t>
      </w:r>
      <w:r w:rsidR="004B041A" w:rsidRPr="001662B5">
        <w:rPr>
          <w:szCs w:val="22"/>
        </w:rPr>
        <w:t>.</w:t>
      </w:r>
    </w:p>
    <w:p w14:paraId="1C29C9C2" w14:textId="77777777" w:rsidR="002F3CBC" w:rsidRPr="001662B5" w:rsidRDefault="002F3CBC" w:rsidP="000E4EEB">
      <w:pPr>
        <w:pStyle w:val="RulesSub-section"/>
        <w:jc w:val="left"/>
        <w:rPr>
          <w:szCs w:val="22"/>
        </w:rPr>
      </w:pPr>
    </w:p>
    <w:p w14:paraId="0A2DD1ED" w14:textId="77777777" w:rsidR="001535E1" w:rsidRPr="001662B5" w:rsidRDefault="000E6A85" w:rsidP="000E4EEB">
      <w:pPr>
        <w:ind w:left="720" w:hanging="360"/>
        <w:rPr>
          <w:sz w:val="22"/>
          <w:szCs w:val="22"/>
        </w:rPr>
      </w:pPr>
      <w:r w:rsidRPr="001662B5">
        <w:rPr>
          <w:b/>
          <w:sz w:val="22"/>
          <w:szCs w:val="22"/>
        </w:rPr>
        <w:t>N</w:t>
      </w:r>
      <w:r w:rsidR="0039006E" w:rsidRPr="001662B5">
        <w:rPr>
          <w:b/>
          <w:sz w:val="22"/>
          <w:szCs w:val="22"/>
        </w:rPr>
        <w:t>.</w:t>
      </w:r>
      <w:r w:rsidR="0039006E" w:rsidRPr="001662B5">
        <w:rPr>
          <w:b/>
          <w:sz w:val="22"/>
          <w:szCs w:val="22"/>
        </w:rPr>
        <w:tab/>
      </w:r>
      <w:r w:rsidR="00E70FA0" w:rsidRPr="001662B5">
        <w:rPr>
          <w:b/>
          <w:sz w:val="22"/>
          <w:szCs w:val="22"/>
        </w:rPr>
        <w:t>M.R.S.</w:t>
      </w:r>
      <w:r w:rsidR="001535E1" w:rsidRPr="001662B5">
        <w:rPr>
          <w:b/>
          <w:sz w:val="22"/>
          <w:szCs w:val="22"/>
        </w:rPr>
        <w:t xml:space="preserve"> </w:t>
      </w:r>
      <w:r w:rsidR="007A3207" w:rsidRPr="001662B5">
        <w:rPr>
          <w:szCs w:val="22"/>
        </w:rPr>
        <w:t>"</w:t>
      </w:r>
      <w:r w:rsidR="00E70FA0" w:rsidRPr="001662B5">
        <w:rPr>
          <w:sz w:val="22"/>
          <w:szCs w:val="22"/>
        </w:rPr>
        <w:t>M.R.S.</w:t>
      </w:r>
      <w:r w:rsidR="007A3207" w:rsidRPr="001662B5">
        <w:rPr>
          <w:szCs w:val="22"/>
        </w:rPr>
        <w:t>"</w:t>
      </w:r>
      <w:r w:rsidR="0039006E" w:rsidRPr="001662B5">
        <w:rPr>
          <w:sz w:val="22"/>
          <w:szCs w:val="22"/>
        </w:rPr>
        <w:t xml:space="preserve"> means the </w:t>
      </w:r>
      <w:r w:rsidR="0039006E" w:rsidRPr="007A214E">
        <w:rPr>
          <w:i/>
          <w:sz w:val="22"/>
          <w:szCs w:val="22"/>
        </w:rPr>
        <w:t>Maine Revised Statutes</w:t>
      </w:r>
      <w:r w:rsidR="0039006E" w:rsidRPr="001662B5">
        <w:rPr>
          <w:sz w:val="22"/>
          <w:szCs w:val="22"/>
        </w:rPr>
        <w:t>.</w:t>
      </w:r>
    </w:p>
    <w:p w14:paraId="1ADB184A" w14:textId="77777777" w:rsidR="002F3CBC" w:rsidRPr="001662B5" w:rsidRDefault="002F3CBC" w:rsidP="000E4EEB">
      <w:pPr>
        <w:ind w:left="720" w:hanging="360"/>
        <w:rPr>
          <w:b/>
          <w:sz w:val="22"/>
          <w:szCs w:val="22"/>
        </w:rPr>
      </w:pPr>
    </w:p>
    <w:p w14:paraId="623F8248" w14:textId="77777777" w:rsidR="00C8350D" w:rsidRPr="001662B5" w:rsidRDefault="000E6A85" w:rsidP="000E4EEB">
      <w:pPr>
        <w:ind w:left="720" w:hanging="360"/>
        <w:rPr>
          <w:sz w:val="22"/>
          <w:szCs w:val="22"/>
        </w:rPr>
      </w:pPr>
      <w:r w:rsidRPr="001662B5">
        <w:rPr>
          <w:b/>
          <w:sz w:val="22"/>
          <w:szCs w:val="22"/>
        </w:rPr>
        <w:t>O</w:t>
      </w:r>
      <w:r w:rsidR="004C79DC" w:rsidRPr="001662B5">
        <w:rPr>
          <w:b/>
          <w:sz w:val="22"/>
          <w:szCs w:val="22"/>
        </w:rPr>
        <w:t>.</w:t>
      </w:r>
      <w:r w:rsidR="004C79DC" w:rsidRPr="001662B5">
        <w:rPr>
          <w:b/>
          <w:sz w:val="22"/>
          <w:szCs w:val="22"/>
        </w:rPr>
        <w:tab/>
      </w:r>
      <w:r w:rsidR="00A6081F" w:rsidRPr="001662B5">
        <w:rPr>
          <w:b/>
          <w:sz w:val="22"/>
          <w:szCs w:val="22"/>
        </w:rPr>
        <w:t>Oil.</w:t>
      </w:r>
      <w:r w:rsidR="001535E1" w:rsidRPr="001662B5">
        <w:rPr>
          <w:sz w:val="22"/>
          <w:szCs w:val="22"/>
        </w:rPr>
        <w:t xml:space="preserve"> </w:t>
      </w:r>
      <w:r w:rsidR="007A3207" w:rsidRPr="001662B5">
        <w:rPr>
          <w:sz w:val="22"/>
          <w:szCs w:val="22"/>
        </w:rPr>
        <w:t>"Oil</w:t>
      </w:r>
      <w:r w:rsidR="007A3207" w:rsidRPr="001662B5">
        <w:rPr>
          <w:szCs w:val="22"/>
        </w:rPr>
        <w:t>"</w:t>
      </w:r>
      <w:r w:rsidR="00A31083" w:rsidRPr="001662B5">
        <w:rPr>
          <w:sz w:val="22"/>
          <w:szCs w:val="22"/>
        </w:rPr>
        <w:t xml:space="preserve"> means oil, oil additives, petroleum products and their by-products of any kind and in any form including, but not limited to, petroleum, fuel oil, sludge, oil refuse, oil mixed with other nonhazardous waste, crude oils and all other liquid hydrocarbons regardless of specific gravity.</w:t>
      </w:r>
      <w:r w:rsidR="001535E1" w:rsidRPr="001662B5">
        <w:rPr>
          <w:sz w:val="22"/>
          <w:szCs w:val="22"/>
        </w:rPr>
        <w:t xml:space="preserve"> </w:t>
      </w:r>
      <w:r w:rsidR="00C8350D" w:rsidRPr="001662B5">
        <w:rPr>
          <w:sz w:val="22"/>
          <w:szCs w:val="22"/>
        </w:rPr>
        <w:t>"Oil" does not include propane, liquefied natural gas or other liquefied petroleum that is a gas at ambient temperatures.</w:t>
      </w:r>
    </w:p>
    <w:p w14:paraId="3975F539" w14:textId="77777777" w:rsidR="002F3CBC" w:rsidRPr="001662B5" w:rsidRDefault="002F3CBC" w:rsidP="000E4EEB">
      <w:pPr>
        <w:ind w:left="720" w:hanging="360"/>
        <w:rPr>
          <w:sz w:val="22"/>
          <w:szCs w:val="22"/>
        </w:rPr>
      </w:pPr>
    </w:p>
    <w:p w14:paraId="7D4D6937" w14:textId="77777777" w:rsidR="00EF0C59" w:rsidRPr="001662B5" w:rsidRDefault="000E6A85" w:rsidP="000E4EEB">
      <w:pPr>
        <w:ind w:left="720" w:hanging="360"/>
        <w:rPr>
          <w:bCs/>
          <w:sz w:val="22"/>
          <w:szCs w:val="22"/>
        </w:rPr>
      </w:pPr>
      <w:r w:rsidRPr="001662B5">
        <w:rPr>
          <w:b/>
          <w:bCs/>
          <w:sz w:val="22"/>
          <w:szCs w:val="22"/>
        </w:rPr>
        <w:t>P</w:t>
      </w:r>
      <w:r w:rsidR="00EF0C59" w:rsidRPr="001662B5">
        <w:rPr>
          <w:b/>
          <w:bCs/>
          <w:sz w:val="22"/>
          <w:szCs w:val="22"/>
        </w:rPr>
        <w:t>.</w:t>
      </w:r>
      <w:r w:rsidR="00E31D47" w:rsidRPr="001662B5">
        <w:rPr>
          <w:b/>
          <w:bCs/>
          <w:sz w:val="22"/>
          <w:szCs w:val="22"/>
        </w:rPr>
        <w:tab/>
      </w:r>
      <w:r w:rsidR="00EF0C59" w:rsidRPr="001662B5">
        <w:rPr>
          <w:b/>
          <w:bCs/>
          <w:sz w:val="22"/>
          <w:szCs w:val="22"/>
        </w:rPr>
        <w:t>Oil storage facility.</w:t>
      </w:r>
      <w:r w:rsidR="001535E1" w:rsidRPr="001662B5">
        <w:rPr>
          <w:b/>
          <w:bCs/>
          <w:sz w:val="22"/>
          <w:szCs w:val="22"/>
        </w:rPr>
        <w:t xml:space="preserve"> </w:t>
      </w:r>
      <w:r w:rsidR="007A3207" w:rsidRPr="001662B5">
        <w:rPr>
          <w:szCs w:val="22"/>
        </w:rPr>
        <w:t>"</w:t>
      </w:r>
      <w:r w:rsidR="007A3207" w:rsidRPr="001662B5">
        <w:rPr>
          <w:bCs/>
          <w:sz w:val="22"/>
          <w:szCs w:val="22"/>
        </w:rPr>
        <w:t>Oil storage facility</w:t>
      </w:r>
      <w:r w:rsidR="007A3207" w:rsidRPr="002A5E2B">
        <w:rPr>
          <w:szCs w:val="22"/>
        </w:rPr>
        <w:t>"</w:t>
      </w:r>
      <w:r w:rsidR="006B18A7" w:rsidRPr="002A5E2B">
        <w:rPr>
          <w:szCs w:val="22"/>
        </w:rPr>
        <w:t xml:space="preserve"> or</w:t>
      </w:r>
      <w:r w:rsidR="009E07A5" w:rsidRPr="002A5E2B">
        <w:rPr>
          <w:szCs w:val="22"/>
        </w:rPr>
        <w:t xml:space="preserve"> </w:t>
      </w:r>
      <w:r w:rsidR="00CC58D5" w:rsidRPr="002A5E2B">
        <w:rPr>
          <w:szCs w:val="22"/>
        </w:rPr>
        <w:t>"</w:t>
      </w:r>
      <w:r w:rsidR="006B18A7" w:rsidRPr="002A5E2B">
        <w:rPr>
          <w:szCs w:val="22"/>
        </w:rPr>
        <w:t>f</w:t>
      </w:r>
      <w:r w:rsidR="009E07A5" w:rsidRPr="002A5E2B">
        <w:rPr>
          <w:szCs w:val="22"/>
        </w:rPr>
        <w:t>acility</w:t>
      </w:r>
      <w:r w:rsidR="00CC58D5" w:rsidRPr="002A5E2B">
        <w:rPr>
          <w:szCs w:val="22"/>
        </w:rPr>
        <w:t>"</w:t>
      </w:r>
      <w:r w:rsidR="00EF0C59" w:rsidRPr="001662B5">
        <w:rPr>
          <w:bCs/>
          <w:sz w:val="22"/>
          <w:szCs w:val="22"/>
        </w:rPr>
        <w:t xml:space="preserve"> means an aboveground oil storage facility or an underground oil storage facility.</w:t>
      </w:r>
    </w:p>
    <w:p w14:paraId="1DCA5732" w14:textId="77777777" w:rsidR="002F3CBC" w:rsidRPr="001662B5" w:rsidRDefault="002F3CBC" w:rsidP="000E4EEB">
      <w:pPr>
        <w:ind w:left="720" w:hanging="360"/>
        <w:rPr>
          <w:bCs/>
          <w:sz w:val="22"/>
          <w:szCs w:val="22"/>
        </w:rPr>
      </w:pPr>
    </w:p>
    <w:p w14:paraId="767FE883" w14:textId="77777777" w:rsidR="001535E1" w:rsidRPr="001662B5" w:rsidRDefault="00E974AC" w:rsidP="000E4EEB">
      <w:pPr>
        <w:pStyle w:val="RulesSub-section"/>
        <w:jc w:val="left"/>
        <w:rPr>
          <w:szCs w:val="22"/>
        </w:rPr>
      </w:pPr>
      <w:r w:rsidRPr="001662B5">
        <w:rPr>
          <w:b/>
          <w:szCs w:val="22"/>
        </w:rPr>
        <w:t>Q</w:t>
      </w:r>
      <w:r w:rsidR="002E6E8E" w:rsidRPr="001662B5">
        <w:rPr>
          <w:b/>
          <w:szCs w:val="22"/>
        </w:rPr>
        <w:t>.</w:t>
      </w:r>
      <w:r w:rsidR="002E6E8E" w:rsidRPr="001662B5">
        <w:rPr>
          <w:b/>
          <w:szCs w:val="22"/>
        </w:rPr>
        <w:tab/>
        <w:t>Person.</w:t>
      </w:r>
      <w:r w:rsidR="001535E1" w:rsidRPr="001662B5">
        <w:rPr>
          <w:b/>
          <w:szCs w:val="22"/>
        </w:rPr>
        <w:t xml:space="preserve"> </w:t>
      </w:r>
      <w:r w:rsidR="00DF71C0" w:rsidRPr="001662B5">
        <w:rPr>
          <w:szCs w:val="22"/>
        </w:rPr>
        <w:t>"Person"</w:t>
      </w:r>
      <w:r w:rsidR="002E6E8E" w:rsidRPr="001662B5">
        <w:rPr>
          <w:szCs w:val="22"/>
        </w:rPr>
        <w:t xml:space="preserve"> means any natural person, firm, association, partnership, corporation, trust, the State and any agency of the State, government entity, quasi-governmental entity, the United States and any agency of the United States and any other legal entity.</w:t>
      </w:r>
    </w:p>
    <w:p w14:paraId="2407D125" w14:textId="77777777" w:rsidR="002F3CBC" w:rsidRPr="001662B5" w:rsidRDefault="002F3CBC" w:rsidP="000E4EEB">
      <w:pPr>
        <w:pStyle w:val="RulesSub-section"/>
        <w:jc w:val="left"/>
        <w:rPr>
          <w:szCs w:val="22"/>
        </w:rPr>
      </w:pPr>
    </w:p>
    <w:p w14:paraId="5AEF2D1D" w14:textId="77777777" w:rsidR="00A31083" w:rsidRPr="001662B5" w:rsidRDefault="00E974AC" w:rsidP="000E4EEB">
      <w:pPr>
        <w:ind w:left="720" w:hanging="360"/>
        <w:rPr>
          <w:sz w:val="22"/>
          <w:szCs w:val="22"/>
        </w:rPr>
      </w:pPr>
      <w:r w:rsidRPr="001662B5">
        <w:rPr>
          <w:b/>
          <w:bCs/>
          <w:sz w:val="22"/>
          <w:szCs w:val="22"/>
        </w:rPr>
        <w:t>R</w:t>
      </w:r>
      <w:r w:rsidR="00A31083" w:rsidRPr="001662B5">
        <w:rPr>
          <w:b/>
          <w:bCs/>
          <w:sz w:val="22"/>
          <w:szCs w:val="22"/>
        </w:rPr>
        <w:t>.</w:t>
      </w:r>
      <w:r w:rsidR="00A31083" w:rsidRPr="001662B5">
        <w:rPr>
          <w:b/>
          <w:bCs/>
          <w:sz w:val="22"/>
          <w:szCs w:val="22"/>
        </w:rPr>
        <w:tab/>
        <w:t>Private drinking water well.</w:t>
      </w:r>
      <w:r w:rsidR="001535E1" w:rsidRPr="001662B5">
        <w:rPr>
          <w:sz w:val="22"/>
          <w:szCs w:val="22"/>
        </w:rPr>
        <w:t xml:space="preserve"> </w:t>
      </w:r>
      <w:r w:rsidR="00A31083" w:rsidRPr="001662B5">
        <w:rPr>
          <w:sz w:val="22"/>
          <w:szCs w:val="22"/>
        </w:rPr>
        <w:t>"Private drinking water well" means a well that is used to supply water for human consumption and that is not a public drinking water well.</w:t>
      </w:r>
    </w:p>
    <w:p w14:paraId="24A2A5FA" w14:textId="77777777" w:rsidR="002F3CBC" w:rsidRPr="001662B5" w:rsidRDefault="002F3CBC" w:rsidP="000E4EEB">
      <w:pPr>
        <w:ind w:left="720" w:hanging="360"/>
        <w:rPr>
          <w:sz w:val="22"/>
          <w:szCs w:val="22"/>
        </w:rPr>
      </w:pPr>
    </w:p>
    <w:p w14:paraId="0EC625A4" w14:textId="77777777" w:rsidR="00A6081F" w:rsidRPr="001662B5" w:rsidRDefault="00E974AC" w:rsidP="000E4EEB">
      <w:pPr>
        <w:ind w:left="720" w:hanging="360"/>
        <w:rPr>
          <w:sz w:val="22"/>
          <w:szCs w:val="22"/>
        </w:rPr>
      </w:pPr>
      <w:r w:rsidRPr="001662B5">
        <w:rPr>
          <w:b/>
          <w:bCs/>
          <w:sz w:val="22"/>
          <w:szCs w:val="22"/>
        </w:rPr>
        <w:t>S</w:t>
      </w:r>
      <w:r w:rsidR="00A31083" w:rsidRPr="001662B5">
        <w:rPr>
          <w:b/>
          <w:bCs/>
          <w:sz w:val="22"/>
          <w:szCs w:val="22"/>
        </w:rPr>
        <w:t>.</w:t>
      </w:r>
      <w:r w:rsidR="00A31083" w:rsidRPr="001662B5">
        <w:rPr>
          <w:b/>
          <w:bCs/>
          <w:sz w:val="22"/>
          <w:szCs w:val="22"/>
        </w:rPr>
        <w:tab/>
        <w:t>Public drinking water well.</w:t>
      </w:r>
      <w:r w:rsidR="001535E1" w:rsidRPr="001662B5">
        <w:rPr>
          <w:sz w:val="22"/>
          <w:szCs w:val="22"/>
        </w:rPr>
        <w:t xml:space="preserve"> </w:t>
      </w:r>
      <w:r w:rsidR="00A31083" w:rsidRPr="001662B5">
        <w:rPr>
          <w:sz w:val="22"/>
          <w:szCs w:val="22"/>
        </w:rPr>
        <w:t xml:space="preserve">"Public drinking water well" means a drinking water supply well for a public water system as defined in </w:t>
      </w:r>
      <w:r w:rsidR="009535E5" w:rsidRPr="001662B5">
        <w:rPr>
          <w:sz w:val="22"/>
          <w:szCs w:val="22"/>
        </w:rPr>
        <w:t>22</w:t>
      </w:r>
      <w:r w:rsidR="001A53F7" w:rsidRPr="001662B5">
        <w:rPr>
          <w:sz w:val="22"/>
          <w:szCs w:val="22"/>
        </w:rPr>
        <w:t xml:space="preserve"> </w:t>
      </w:r>
      <w:r w:rsidR="00E70FA0" w:rsidRPr="001662B5">
        <w:rPr>
          <w:sz w:val="22"/>
          <w:szCs w:val="22"/>
        </w:rPr>
        <w:t>M.R.S.</w:t>
      </w:r>
      <w:r w:rsidR="009535E5" w:rsidRPr="001662B5">
        <w:rPr>
          <w:sz w:val="22"/>
          <w:szCs w:val="22"/>
        </w:rPr>
        <w:t xml:space="preserve"> </w:t>
      </w:r>
      <w:r w:rsidR="00F0133C">
        <w:rPr>
          <w:sz w:val="22"/>
          <w:szCs w:val="22"/>
        </w:rPr>
        <w:t>§</w:t>
      </w:r>
      <w:r w:rsidR="009535E5" w:rsidRPr="001662B5">
        <w:rPr>
          <w:sz w:val="22"/>
          <w:szCs w:val="22"/>
        </w:rPr>
        <w:t>2601(</w:t>
      </w:r>
      <w:r w:rsidR="00A31083" w:rsidRPr="001662B5">
        <w:rPr>
          <w:sz w:val="22"/>
          <w:szCs w:val="22"/>
        </w:rPr>
        <w:t>8</w:t>
      </w:r>
      <w:r w:rsidR="009535E5" w:rsidRPr="001662B5">
        <w:rPr>
          <w:sz w:val="22"/>
          <w:szCs w:val="22"/>
        </w:rPr>
        <w:t>)</w:t>
      </w:r>
      <w:r w:rsidR="00A31083" w:rsidRPr="001662B5">
        <w:rPr>
          <w:sz w:val="22"/>
          <w:szCs w:val="22"/>
        </w:rPr>
        <w:t>.</w:t>
      </w:r>
    </w:p>
    <w:p w14:paraId="629EB26F" w14:textId="77777777" w:rsidR="002F3CBC" w:rsidRPr="001662B5" w:rsidRDefault="002F3CBC" w:rsidP="000E4EEB">
      <w:pPr>
        <w:ind w:left="720" w:hanging="360"/>
        <w:rPr>
          <w:sz w:val="22"/>
          <w:szCs w:val="22"/>
        </w:rPr>
      </w:pPr>
    </w:p>
    <w:p w14:paraId="7D302C74" w14:textId="77777777" w:rsidR="001535E1" w:rsidRPr="001662B5" w:rsidRDefault="00E974AC" w:rsidP="000E4EEB">
      <w:pPr>
        <w:pStyle w:val="RulesSub-section"/>
        <w:jc w:val="left"/>
        <w:rPr>
          <w:szCs w:val="22"/>
        </w:rPr>
      </w:pPr>
      <w:r w:rsidRPr="001662B5">
        <w:rPr>
          <w:b/>
          <w:szCs w:val="22"/>
        </w:rPr>
        <w:t>T</w:t>
      </w:r>
      <w:r w:rsidR="00A6081F" w:rsidRPr="001662B5">
        <w:rPr>
          <w:b/>
          <w:szCs w:val="22"/>
        </w:rPr>
        <w:t>.</w:t>
      </w:r>
      <w:r w:rsidR="00CB4457" w:rsidRPr="001662B5">
        <w:rPr>
          <w:b/>
          <w:szCs w:val="22"/>
        </w:rPr>
        <w:tab/>
      </w:r>
      <w:r w:rsidR="00A6081F" w:rsidRPr="001662B5">
        <w:rPr>
          <w:b/>
          <w:szCs w:val="22"/>
        </w:rPr>
        <w:t>Public drinking water supply.</w:t>
      </w:r>
      <w:r w:rsidR="001535E1" w:rsidRPr="001662B5">
        <w:rPr>
          <w:szCs w:val="22"/>
        </w:rPr>
        <w:t xml:space="preserve"> </w:t>
      </w:r>
      <w:r w:rsidR="00A6081F" w:rsidRPr="001662B5">
        <w:rPr>
          <w:szCs w:val="22"/>
        </w:rPr>
        <w:t>"Public drinking water supply" means any well or other source of water that furnishes water to the public for human consumption for at least 15 connections, regularly serves an average of at least 25 individuals daily at least 60 days out of the year, or that supplies bottled water for sale.</w:t>
      </w:r>
    </w:p>
    <w:p w14:paraId="3C266011" w14:textId="77777777" w:rsidR="00412C8E" w:rsidRPr="001662B5" w:rsidRDefault="00412C8E" w:rsidP="000E4EEB">
      <w:pPr>
        <w:pStyle w:val="RulesSub-section"/>
        <w:ind w:left="0" w:firstLine="0"/>
        <w:jc w:val="left"/>
        <w:rPr>
          <w:b/>
          <w:szCs w:val="22"/>
          <w:u w:val="single"/>
        </w:rPr>
      </w:pPr>
    </w:p>
    <w:p w14:paraId="274044D1" w14:textId="77777777" w:rsidR="002A5CE4" w:rsidRPr="002A5E2B" w:rsidRDefault="00663EA4" w:rsidP="000E4EEB">
      <w:pPr>
        <w:pStyle w:val="RulesSub-section"/>
        <w:jc w:val="left"/>
        <w:rPr>
          <w:szCs w:val="22"/>
        </w:rPr>
      </w:pPr>
      <w:r w:rsidRPr="002A5E2B">
        <w:rPr>
          <w:b/>
          <w:szCs w:val="22"/>
        </w:rPr>
        <w:t>U</w:t>
      </w:r>
      <w:r w:rsidR="00C62730" w:rsidRPr="002A5E2B">
        <w:rPr>
          <w:b/>
          <w:szCs w:val="22"/>
        </w:rPr>
        <w:t>.</w:t>
      </w:r>
      <w:r w:rsidR="00C62730" w:rsidRPr="002A5E2B">
        <w:rPr>
          <w:b/>
          <w:szCs w:val="22"/>
        </w:rPr>
        <w:tab/>
      </w:r>
      <w:r w:rsidR="002A5CE4" w:rsidRPr="002A5E2B">
        <w:rPr>
          <w:b/>
          <w:szCs w:val="22"/>
        </w:rPr>
        <w:t xml:space="preserve">Significant sand and gravel aquifer. </w:t>
      </w:r>
      <w:r w:rsidR="007A3207" w:rsidRPr="002A5E2B">
        <w:rPr>
          <w:szCs w:val="22"/>
        </w:rPr>
        <w:t>"</w:t>
      </w:r>
      <w:r w:rsidR="002A5CE4" w:rsidRPr="002A5E2B">
        <w:rPr>
          <w:szCs w:val="22"/>
        </w:rPr>
        <w:t>Sign</w:t>
      </w:r>
      <w:r w:rsidR="007A3207" w:rsidRPr="002A5E2B">
        <w:rPr>
          <w:szCs w:val="22"/>
        </w:rPr>
        <w:t>ificant sand and gravel aquifer"</w:t>
      </w:r>
      <w:r w:rsidR="002A5CE4" w:rsidRPr="002A5E2B">
        <w:rPr>
          <w:szCs w:val="22"/>
        </w:rPr>
        <w:t xml:space="preserve"> means a porous formation of ice-contact and glacial outwash sand and gravel that contains significant recoverable quantities of water likely to provide drinking water supplies.</w:t>
      </w:r>
      <w:r w:rsidR="00861D0F" w:rsidRPr="002A5E2B">
        <w:rPr>
          <w:szCs w:val="22"/>
        </w:rPr>
        <w:t xml:space="preserve"> </w:t>
      </w:r>
      <w:r w:rsidR="00936556" w:rsidRPr="002A5E2B">
        <w:rPr>
          <w:szCs w:val="22"/>
        </w:rPr>
        <w:t>For the purpose</w:t>
      </w:r>
      <w:r w:rsidR="006402FF" w:rsidRPr="002A5E2B">
        <w:rPr>
          <w:szCs w:val="22"/>
        </w:rPr>
        <w:t>s</w:t>
      </w:r>
      <w:r w:rsidR="002D2C2B" w:rsidRPr="002A5E2B">
        <w:rPr>
          <w:szCs w:val="22"/>
        </w:rPr>
        <w:t xml:space="preserve"> of this C</w:t>
      </w:r>
      <w:r w:rsidR="001C7268" w:rsidRPr="002A5E2B">
        <w:rPr>
          <w:szCs w:val="22"/>
        </w:rPr>
        <w:t>hapter, surficial</w:t>
      </w:r>
      <w:r w:rsidR="00936556" w:rsidRPr="002A5E2B">
        <w:rPr>
          <w:szCs w:val="22"/>
        </w:rPr>
        <w:t xml:space="preserve"> deposits </w:t>
      </w:r>
      <w:r w:rsidR="00DB1E71" w:rsidRPr="002A5E2B">
        <w:rPr>
          <w:szCs w:val="22"/>
        </w:rPr>
        <w:t xml:space="preserve">with moderate to good potential ground water yield </w:t>
      </w:r>
      <w:r w:rsidR="00936556" w:rsidRPr="002A5E2B">
        <w:rPr>
          <w:szCs w:val="22"/>
        </w:rPr>
        <w:t xml:space="preserve">expected to yield 10 </w:t>
      </w:r>
      <w:r w:rsidR="00B37E22" w:rsidRPr="002A5E2B">
        <w:rPr>
          <w:szCs w:val="22"/>
        </w:rPr>
        <w:t xml:space="preserve">or more </w:t>
      </w:r>
      <w:r w:rsidR="00936556" w:rsidRPr="002A5E2B">
        <w:rPr>
          <w:szCs w:val="22"/>
        </w:rPr>
        <w:t xml:space="preserve">gallons per minute </w:t>
      </w:r>
      <w:r w:rsidR="000A4A00" w:rsidRPr="002A5E2B">
        <w:rPr>
          <w:szCs w:val="22"/>
        </w:rPr>
        <w:t>but no more</w:t>
      </w:r>
      <w:r w:rsidR="00505C63" w:rsidRPr="002A5E2B">
        <w:rPr>
          <w:szCs w:val="22"/>
        </w:rPr>
        <w:t xml:space="preserve"> than 50 gallons per minute </w:t>
      </w:r>
      <w:r w:rsidR="00936556" w:rsidRPr="002A5E2B">
        <w:rPr>
          <w:szCs w:val="22"/>
        </w:rPr>
        <w:t xml:space="preserve">are </w:t>
      </w:r>
      <w:r w:rsidR="00B04D11" w:rsidRPr="002A5E2B">
        <w:rPr>
          <w:szCs w:val="22"/>
        </w:rPr>
        <w:t xml:space="preserve">generally </w:t>
      </w:r>
      <w:r w:rsidR="00936556" w:rsidRPr="002A5E2B">
        <w:rPr>
          <w:szCs w:val="22"/>
        </w:rPr>
        <w:t xml:space="preserve">defined as moderate yield while </w:t>
      </w:r>
      <w:r w:rsidR="00DB1E71" w:rsidRPr="002A5E2B">
        <w:rPr>
          <w:szCs w:val="22"/>
        </w:rPr>
        <w:t xml:space="preserve">surficial deposits with good to excellent ground water yield </w:t>
      </w:r>
      <w:r w:rsidR="00505C63" w:rsidRPr="002A5E2B">
        <w:rPr>
          <w:szCs w:val="22"/>
        </w:rPr>
        <w:t>expected to yield</w:t>
      </w:r>
      <w:r w:rsidR="00936556" w:rsidRPr="002A5E2B">
        <w:rPr>
          <w:szCs w:val="22"/>
        </w:rPr>
        <w:t xml:space="preserve"> </w:t>
      </w:r>
      <w:r w:rsidR="00B37E22" w:rsidRPr="002A5E2B">
        <w:rPr>
          <w:szCs w:val="22"/>
        </w:rPr>
        <w:t xml:space="preserve">greater than </w:t>
      </w:r>
      <w:r w:rsidR="00936556" w:rsidRPr="002A5E2B">
        <w:rPr>
          <w:szCs w:val="22"/>
        </w:rPr>
        <w:t xml:space="preserve">50 gallons per minute are </w:t>
      </w:r>
      <w:r w:rsidR="00B04D11" w:rsidRPr="002A5E2B">
        <w:rPr>
          <w:szCs w:val="22"/>
        </w:rPr>
        <w:t xml:space="preserve">generally </w:t>
      </w:r>
      <w:r w:rsidR="00936556" w:rsidRPr="002A5E2B">
        <w:rPr>
          <w:szCs w:val="22"/>
        </w:rPr>
        <w:t>defined as high yield.</w:t>
      </w:r>
      <w:r w:rsidR="00086968" w:rsidRPr="002A5E2B">
        <w:rPr>
          <w:szCs w:val="22"/>
        </w:rPr>
        <w:t xml:space="preserve"> </w:t>
      </w:r>
      <w:r w:rsidR="00936556" w:rsidRPr="002A5E2B">
        <w:rPr>
          <w:szCs w:val="22"/>
        </w:rPr>
        <w:t xml:space="preserve"> </w:t>
      </w:r>
      <w:r w:rsidR="00086968" w:rsidRPr="002A5E2B">
        <w:rPr>
          <w:szCs w:val="22"/>
        </w:rPr>
        <w:t xml:space="preserve"> </w:t>
      </w:r>
    </w:p>
    <w:p w14:paraId="679CDB31" w14:textId="77777777" w:rsidR="002F3CBC" w:rsidRPr="001662B5" w:rsidRDefault="002F3CBC" w:rsidP="000E4EEB">
      <w:pPr>
        <w:pStyle w:val="RulesSub-section"/>
        <w:jc w:val="left"/>
        <w:rPr>
          <w:b/>
          <w:szCs w:val="22"/>
          <w:u w:val="single"/>
        </w:rPr>
      </w:pPr>
    </w:p>
    <w:p w14:paraId="0791DBC5" w14:textId="77777777" w:rsidR="00A6081F" w:rsidRPr="001662B5" w:rsidRDefault="00663EA4" w:rsidP="000E4EEB">
      <w:pPr>
        <w:pStyle w:val="RulesSub-section"/>
        <w:jc w:val="left"/>
        <w:rPr>
          <w:szCs w:val="22"/>
        </w:rPr>
      </w:pPr>
      <w:r w:rsidRPr="002A5E2B">
        <w:rPr>
          <w:b/>
          <w:szCs w:val="22"/>
        </w:rPr>
        <w:t>V</w:t>
      </w:r>
      <w:r w:rsidR="000E4335" w:rsidRPr="001662B5">
        <w:rPr>
          <w:b/>
          <w:szCs w:val="22"/>
        </w:rPr>
        <w:t>.</w:t>
      </w:r>
      <w:r w:rsidR="000E4335" w:rsidRPr="001662B5">
        <w:rPr>
          <w:b/>
          <w:szCs w:val="22"/>
        </w:rPr>
        <w:tab/>
      </w:r>
      <w:r w:rsidR="00A6081F" w:rsidRPr="001662B5">
        <w:rPr>
          <w:b/>
          <w:szCs w:val="22"/>
        </w:rPr>
        <w:t>Underground oil storage facility.</w:t>
      </w:r>
      <w:r w:rsidR="001535E1" w:rsidRPr="001662B5">
        <w:rPr>
          <w:szCs w:val="22"/>
        </w:rPr>
        <w:t xml:space="preserve"> </w:t>
      </w:r>
      <w:r w:rsidR="00A6081F" w:rsidRPr="001662B5">
        <w:rPr>
          <w:szCs w:val="22"/>
        </w:rPr>
        <w:t>"Un</w:t>
      </w:r>
      <w:r w:rsidR="00980FFC" w:rsidRPr="001662B5">
        <w:rPr>
          <w:szCs w:val="22"/>
        </w:rPr>
        <w:t>derground oil storage facility"</w:t>
      </w:r>
      <w:r w:rsidR="00A6081F" w:rsidRPr="001662B5">
        <w:rPr>
          <w:szCs w:val="22"/>
        </w:rPr>
        <w:t xml:space="preserve"> means any underground oil storage tank or ta</w:t>
      </w:r>
      <w:r w:rsidR="009535E5" w:rsidRPr="001662B5">
        <w:rPr>
          <w:szCs w:val="22"/>
        </w:rPr>
        <w:t xml:space="preserve">nks, as defined in subsection </w:t>
      </w:r>
      <w:r w:rsidR="002A5E2B">
        <w:rPr>
          <w:szCs w:val="22"/>
        </w:rPr>
        <w:t>W</w:t>
      </w:r>
      <w:r w:rsidR="00A6081F" w:rsidRPr="001662B5">
        <w:rPr>
          <w:szCs w:val="22"/>
        </w:rPr>
        <w:t>,</w:t>
      </w:r>
      <w:r w:rsidR="001A53F7" w:rsidRPr="001662B5">
        <w:rPr>
          <w:szCs w:val="22"/>
        </w:rPr>
        <w:t xml:space="preserve"> below,</w:t>
      </w:r>
      <w:r w:rsidR="001535E1" w:rsidRPr="001662B5">
        <w:rPr>
          <w:szCs w:val="22"/>
        </w:rPr>
        <w:t xml:space="preserve"> </w:t>
      </w:r>
      <w:r w:rsidR="00A6081F" w:rsidRPr="001662B5">
        <w:rPr>
          <w:szCs w:val="22"/>
        </w:rPr>
        <w:t xml:space="preserve">together with associated piping and dispensing facilities located under any land at a single location and used, or intended to be used, for the storage or supply of oil, as defined in </w:t>
      </w:r>
      <w:r w:rsidR="004C55F7" w:rsidRPr="00394271">
        <w:rPr>
          <w:szCs w:val="22"/>
        </w:rPr>
        <w:t>this Chapter</w:t>
      </w:r>
      <w:r w:rsidR="00A6081F" w:rsidRPr="001662B5">
        <w:rPr>
          <w:szCs w:val="22"/>
        </w:rPr>
        <w:t>.</w:t>
      </w:r>
      <w:r w:rsidR="001535E1" w:rsidRPr="001662B5">
        <w:rPr>
          <w:szCs w:val="22"/>
        </w:rPr>
        <w:t xml:space="preserve"> </w:t>
      </w:r>
      <w:r w:rsidR="00A6081F" w:rsidRPr="001662B5">
        <w:rPr>
          <w:szCs w:val="22"/>
        </w:rPr>
        <w:t>Underground oil storage facility also includes piping located under any land at a single location associated with above ground storage tanks and containing 10</w:t>
      </w:r>
      <w:r w:rsidR="00340822" w:rsidRPr="002A5E2B">
        <w:rPr>
          <w:szCs w:val="22"/>
        </w:rPr>
        <w:t>%</w:t>
      </w:r>
      <w:r w:rsidR="00A6081F" w:rsidRPr="001662B5">
        <w:rPr>
          <w:szCs w:val="22"/>
        </w:rPr>
        <w:t xml:space="preserve"> or more of the facility's volume capacity</w:t>
      </w:r>
      <w:r w:rsidR="00980FFC" w:rsidRPr="001662B5">
        <w:rPr>
          <w:szCs w:val="22"/>
        </w:rPr>
        <w:t>.</w:t>
      </w:r>
    </w:p>
    <w:p w14:paraId="01A8B670" w14:textId="77777777" w:rsidR="002F3CBC" w:rsidRPr="001662B5" w:rsidRDefault="002F3CBC" w:rsidP="000E4EEB">
      <w:pPr>
        <w:pStyle w:val="RulesSub-section"/>
        <w:jc w:val="left"/>
        <w:rPr>
          <w:szCs w:val="22"/>
        </w:rPr>
      </w:pPr>
    </w:p>
    <w:p w14:paraId="406B9E0F" w14:textId="77777777" w:rsidR="00A6081F" w:rsidRPr="001662B5" w:rsidRDefault="00663EA4" w:rsidP="000E4EEB">
      <w:pPr>
        <w:pStyle w:val="RulesSub-section"/>
        <w:jc w:val="left"/>
        <w:rPr>
          <w:szCs w:val="22"/>
        </w:rPr>
      </w:pPr>
      <w:r w:rsidRPr="002A5E2B">
        <w:rPr>
          <w:b/>
          <w:szCs w:val="22"/>
        </w:rPr>
        <w:t>W</w:t>
      </w:r>
      <w:r w:rsidR="00A6081F" w:rsidRPr="001662B5">
        <w:rPr>
          <w:b/>
          <w:szCs w:val="22"/>
        </w:rPr>
        <w:t>.</w:t>
      </w:r>
      <w:r w:rsidR="00483A7D" w:rsidRPr="001662B5">
        <w:rPr>
          <w:b/>
          <w:szCs w:val="22"/>
        </w:rPr>
        <w:tab/>
      </w:r>
      <w:r w:rsidR="00A6081F" w:rsidRPr="001662B5">
        <w:rPr>
          <w:b/>
          <w:szCs w:val="22"/>
        </w:rPr>
        <w:t>Underground oil storage tank.</w:t>
      </w:r>
      <w:r w:rsidR="001535E1" w:rsidRPr="001662B5">
        <w:rPr>
          <w:szCs w:val="22"/>
        </w:rPr>
        <w:t xml:space="preserve"> </w:t>
      </w:r>
      <w:r w:rsidR="000E4D08" w:rsidRPr="001662B5">
        <w:rPr>
          <w:szCs w:val="22"/>
        </w:rPr>
        <w:t>"Underground oil storage tank"</w:t>
      </w:r>
      <w:r w:rsidR="00A6081F" w:rsidRPr="001662B5">
        <w:rPr>
          <w:szCs w:val="22"/>
        </w:rPr>
        <w:t xml:space="preserve"> means any container, 10% or more of its volume being beneath the surface of the ground and which is used, or intended to be used, for the storage, use, treatment, collection, capture or supply of oil as defined in this subchapter, but does not include any tanks situated in an underground area if these tanks or containers are situated upon or above the surface of a floor and in such a manner that they may be readily inspected.</w:t>
      </w:r>
      <w:r w:rsidR="001535E1" w:rsidRPr="001662B5">
        <w:rPr>
          <w:szCs w:val="22"/>
        </w:rPr>
        <w:t xml:space="preserve"> </w:t>
      </w:r>
      <w:r w:rsidR="00A6081F" w:rsidRPr="001662B5">
        <w:rPr>
          <w:szCs w:val="22"/>
        </w:rPr>
        <w:t xml:space="preserve">For the purpose of </w:t>
      </w:r>
      <w:r w:rsidR="004C55F7" w:rsidRPr="00394271">
        <w:rPr>
          <w:szCs w:val="22"/>
        </w:rPr>
        <w:t>this Chapter</w:t>
      </w:r>
      <w:r w:rsidR="00A6081F" w:rsidRPr="001662B5">
        <w:rPr>
          <w:szCs w:val="22"/>
        </w:rPr>
        <w:t>, "underground oil storage tank" does not include underground propane</w:t>
      </w:r>
      <w:r w:rsidR="000E4D08" w:rsidRPr="001662B5">
        <w:rPr>
          <w:szCs w:val="22"/>
        </w:rPr>
        <w:t xml:space="preserve"> storage tanks, underground oil-</w:t>
      </w:r>
      <w:r w:rsidR="00A6081F" w:rsidRPr="001662B5">
        <w:rPr>
          <w:szCs w:val="22"/>
        </w:rPr>
        <w:t>water separators, storm water and</w:t>
      </w:r>
      <w:r w:rsidR="00A6081F" w:rsidRPr="001662B5">
        <w:rPr>
          <w:b/>
          <w:szCs w:val="22"/>
        </w:rPr>
        <w:t xml:space="preserve"> </w:t>
      </w:r>
      <w:r w:rsidR="00A6081F" w:rsidRPr="001662B5">
        <w:rPr>
          <w:szCs w:val="22"/>
        </w:rPr>
        <w:t>emergency</w:t>
      </w:r>
      <w:r w:rsidR="00A6081F" w:rsidRPr="001662B5">
        <w:rPr>
          <w:b/>
          <w:szCs w:val="22"/>
        </w:rPr>
        <w:t xml:space="preserve"> </w:t>
      </w:r>
      <w:r w:rsidR="00A6081F" w:rsidRPr="001662B5">
        <w:rPr>
          <w:szCs w:val="22"/>
        </w:rPr>
        <w:t>catch basi</w:t>
      </w:r>
      <w:r w:rsidR="000E4D08" w:rsidRPr="001662B5">
        <w:rPr>
          <w:szCs w:val="22"/>
        </w:rPr>
        <w:t>ns, and hydraulic lift tanks.</w:t>
      </w:r>
      <w:r w:rsidR="001535E1" w:rsidRPr="001662B5">
        <w:rPr>
          <w:szCs w:val="22"/>
        </w:rPr>
        <w:t xml:space="preserve"> </w:t>
      </w:r>
      <w:r w:rsidR="000E4D08" w:rsidRPr="001662B5">
        <w:rPr>
          <w:szCs w:val="22"/>
        </w:rPr>
        <w:t>An overflow tank</w:t>
      </w:r>
      <w:r w:rsidR="00A6081F" w:rsidRPr="001662B5">
        <w:rPr>
          <w:szCs w:val="22"/>
        </w:rPr>
        <w:t xml:space="preserve"> associated with </w:t>
      </w:r>
      <w:r w:rsidR="000E4D08" w:rsidRPr="001662B5">
        <w:rPr>
          <w:szCs w:val="22"/>
        </w:rPr>
        <w:t>an oil-water separator is</w:t>
      </w:r>
      <w:r w:rsidR="00A6081F" w:rsidRPr="001662B5">
        <w:rPr>
          <w:szCs w:val="22"/>
        </w:rPr>
        <w:t xml:space="preserve"> considered an underground oil storage tank.</w:t>
      </w:r>
    </w:p>
    <w:p w14:paraId="7B9B8834" w14:textId="77777777" w:rsidR="002F3CBC" w:rsidRPr="001662B5" w:rsidRDefault="002F3CBC" w:rsidP="000E4EEB">
      <w:pPr>
        <w:rPr>
          <w:b/>
          <w:bCs/>
          <w:sz w:val="22"/>
          <w:szCs w:val="22"/>
        </w:rPr>
      </w:pPr>
    </w:p>
    <w:p w14:paraId="18C527A2" w14:textId="77777777" w:rsidR="001535E1" w:rsidRPr="001662B5" w:rsidRDefault="00663EA4" w:rsidP="000E4EEB">
      <w:pPr>
        <w:ind w:left="720" w:hanging="360"/>
        <w:rPr>
          <w:sz w:val="22"/>
          <w:szCs w:val="22"/>
        </w:rPr>
      </w:pPr>
      <w:r w:rsidRPr="00394271">
        <w:rPr>
          <w:b/>
          <w:bCs/>
          <w:sz w:val="22"/>
          <w:szCs w:val="22"/>
        </w:rPr>
        <w:t>X</w:t>
      </w:r>
      <w:r w:rsidR="00C62730" w:rsidRPr="001662B5">
        <w:rPr>
          <w:b/>
          <w:bCs/>
          <w:sz w:val="22"/>
          <w:szCs w:val="22"/>
        </w:rPr>
        <w:t>.</w:t>
      </w:r>
      <w:r w:rsidR="00C62730" w:rsidRPr="001662B5">
        <w:rPr>
          <w:b/>
          <w:bCs/>
          <w:sz w:val="22"/>
          <w:szCs w:val="22"/>
        </w:rPr>
        <w:tab/>
      </w:r>
      <w:r w:rsidR="00A31083" w:rsidRPr="001662B5">
        <w:rPr>
          <w:b/>
          <w:bCs/>
          <w:sz w:val="22"/>
          <w:szCs w:val="22"/>
        </w:rPr>
        <w:t>Wellhead protection zone.</w:t>
      </w:r>
      <w:r w:rsidR="001535E1" w:rsidRPr="001662B5">
        <w:rPr>
          <w:sz w:val="22"/>
          <w:szCs w:val="22"/>
        </w:rPr>
        <w:t xml:space="preserve"> </w:t>
      </w:r>
      <w:r w:rsidR="00A31083" w:rsidRPr="001662B5">
        <w:rPr>
          <w:sz w:val="22"/>
          <w:szCs w:val="22"/>
        </w:rPr>
        <w:t>"Wellhead protection zone" means:</w:t>
      </w:r>
    </w:p>
    <w:p w14:paraId="5E8E2553" w14:textId="77777777" w:rsidR="002F3CBC" w:rsidRPr="001662B5" w:rsidRDefault="002F3CBC" w:rsidP="000E4EEB">
      <w:pPr>
        <w:ind w:left="720" w:hanging="360"/>
        <w:rPr>
          <w:sz w:val="22"/>
          <w:szCs w:val="22"/>
        </w:rPr>
      </w:pPr>
    </w:p>
    <w:p w14:paraId="0E3AD931" w14:textId="77777777" w:rsidR="00A31083" w:rsidRPr="001662B5" w:rsidRDefault="00A31083" w:rsidP="000E4EEB">
      <w:pPr>
        <w:pStyle w:val="ListParagraph"/>
        <w:numPr>
          <w:ilvl w:val="0"/>
          <w:numId w:val="28"/>
        </w:numPr>
        <w:rPr>
          <w:sz w:val="22"/>
          <w:szCs w:val="22"/>
        </w:rPr>
      </w:pPr>
      <w:r w:rsidRPr="001662B5">
        <w:rPr>
          <w:sz w:val="22"/>
          <w:szCs w:val="22"/>
        </w:rPr>
        <w:t>In the case of a private drinking water well, the area within 300 feet of the well; and</w:t>
      </w:r>
    </w:p>
    <w:p w14:paraId="02AADFD5" w14:textId="77777777" w:rsidR="002F3CBC" w:rsidRPr="001662B5" w:rsidRDefault="002F3CBC" w:rsidP="000E4EEB">
      <w:pPr>
        <w:pStyle w:val="ListParagraph"/>
        <w:ind w:left="1080"/>
        <w:rPr>
          <w:sz w:val="22"/>
          <w:szCs w:val="22"/>
        </w:rPr>
      </w:pPr>
    </w:p>
    <w:p w14:paraId="7059963D" w14:textId="77777777" w:rsidR="001535E1" w:rsidRPr="001662B5" w:rsidRDefault="00A31083" w:rsidP="000E4EEB">
      <w:pPr>
        <w:pStyle w:val="ListParagraph"/>
        <w:numPr>
          <w:ilvl w:val="0"/>
          <w:numId w:val="28"/>
        </w:numPr>
        <w:rPr>
          <w:sz w:val="22"/>
          <w:szCs w:val="22"/>
        </w:rPr>
      </w:pPr>
      <w:r w:rsidRPr="001662B5">
        <w:rPr>
          <w:sz w:val="22"/>
          <w:szCs w:val="22"/>
        </w:rPr>
        <w:t>In the case of a public drinking water well, the greater of:</w:t>
      </w:r>
    </w:p>
    <w:p w14:paraId="37E59447" w14:textId="77777777" w:rsidR="002F3CBC" w:rsidRPr="001662B5" w:rsidRDefault="002F3CBC" w:rsidP="000E4EEB">
      <w:pPr>
        <w:rPr>
          <w:sz w:val="22"/>
          <w:szCs w:val="22"/>
        </w:rPr>
      </w:pPr>
    </w:p>
    <w:p w14:paraId="7D764AC5" w14:textId="77777777" w:rsidR="00A31083" w:rsidRPr="001662B5" w:rsidRDefault="00A31083" w:rsidP="000E4EEB">
      <w:pPr>
        <w:pStyle w:val="ListParagraph"/>
        <w:numPr>
          <w:ilvl w:val="0"/>
          <w:numId w:val="29"/>
        </w:numPr>
        <w:rPr>
          <w:sz w:val="22"/>
          <w:szCs w:val="22"/>
        </w:rPr>
      </w:pPr>
      <w:r w:rsidRPr="001662B5">
        <w:rPr>
          <w:sz w:val="22"/>
          <w:szCs w:val="22"/>
        </w:rPr>
        <w:t>The area within 1,000 feet of the well; and</w:t>
      </w:r>
    </w:p>
    <w:p w14:paraId="3E1F65BF" w14:textId="77777777" w:rsidR="002F3CBC" w:rsidRPr="001662B5" w:rsidRDefault="002F3CBC" w:rsidP="000E4EEB">
      <w:pPr>
        <w:pStyle w:val="ListParagraph"/>
        <w:ind w:left="1440"/>
        <w:rPr>
          <w:sz w:val="22"/>
          <w:szCs w:val="22"/>
        </w:rPr>
      </w:pPr>
    </w:p>
    <w:p w14:paraId="558F25BB" w14:textId="77777777" w:rsidR="00A31083" w:rsidRPr="00266EEE" w:rsidRDefault="00A31083" w:rsidP="000E4EEB">
      <w:pPr>
        <w:pStyle w:val="ListParagraph"/>
        <w:numPr>
          <w:ilvl w:val="0"/>
          <w:numId w:val="29"/>
        </w:numPr>
        <w:rPr>
          <w:sz w:val="22"/>
          <w:szCs w:val="22"/>
        </w:rPr>
      </w:pPr>
      <w:r w:rsidRPr="00266EEE">
        <w:rPr>
          <w:sz w:val="22"/>
          <w:szCs w:val="22"/>
        </w:rPr>
        <w:t xml:space="preserve">The source water protection area of the well if mapped by the Department of Health and Human Services as described </w:t>
      </w:r>
      <w:r w:rsidR="009535E5" w:rsidRPr="00266EEE">
        <w:rPr>
          <w:sz w:val="22"/>
          <w:szCs w:val="22"/>
        </w:rPr>
        <w:t xml:space="preserve">under 30-A </w:t>
      </w:r>
      <w:r w:rsidR="00E70FA0" w:rsidRPr="00266EEE">
        <w:rPr>
          <w:sz w:val="22"/>
          <w:szCs w:val="22"/>
        </w:rPr>
        <w:t>M.R.S.</w:t>
      </w:r>
      <w:r w:rsidR="00764B68" w:rsidRPr="00266EEE">
        <w:rPr>
          <w:sz w:val="22"/>
          <w:szCs w:val="22"/>
        </w:rPr>
        <w:t xml:space="preserve"> </w:t>
      </w:r>
      <w:r w:rsidR="00F0133C">
        <w:rPr>
          <w:sz w:val="22"/>
          <w:szCs w:val="22"/>
        </w:rPr>
        <w:t>§</w:t>
      </w:r>
      <w:r w:rsidR="009535E5" w:rsidRPr="00266EEE">
        <w:rPr>
          <w:sz w:val="22"/>
          <w:szCs w:val="22"/>
        </w:rPr>
        <w:t>2001(</w:t>
      </w:r>
      <w:r w:rsidRPr="00266EEE">
        <w:rPr>
          <w:sz w:val="22"/>
          <w:szCs w:val="22"/>
        </w:rPr>
        <w:t>20-A</w:t>
      </w:r>
      <w:r w:rsidR="009535E5" w:rsidRPr="00266EEE">
        <w:rPr>
          <w:sz w:val="22"/>
          <w:szCs w:val="22"/>
        </w:rPr>
        <w:t>)</w:t>
      </w:r>
      <w:r w:rsidRPr="00266EEE">
        <w:rPr>
          <w:sz w:val="22"/>
          <w:szCs w:val="22"/>
        </w:rPr>
        <w:t>.</w:t>
      </w:r>
    </w:p>
    <w:p w14:paraId="6FA74C80" w14:textId="77777777" w:rsidR="002F3CBC" w:rsidRPr="001662B5" w:rsidRDefault="002F3CBC" w:rsidP="000E4EEB">
      <w:pPr>
        <w:ind w:left="1440" w:hanging="360"/>
        <w:rPr>
          <w:sz w:val="22"/>
          <w:szCs w:val="22"/>
        </w:rPr>
      </w:pPr>
    </w:p>
    <w:p w14:paraId="002EB4FA" w14:textId="77777777" w:rsidR="00EC28C2" w:rsidRPr="001662B5" w:rsidRDefault="00EC28C2" w:rsidP="007A214E">
      <w:pPr>
        <w:pStyle w:val="Header"/>
        <w:tabs>
          <w:tab w:val="clear" w:pos="4320"/>
          <w:tab w:val="clear" w:pos="8640"/>
        </w:tabs>
        <w:ind w:left="360" w:right="-90" w:hanging="360"/>
        <w:rPr>
          <w:sz w:val="22"/>
          <w:szCs w:val="22"/>
        </w:rPr>
      </w:pPr>
      <w:r w:rsidRPr="001662B5">
        <w:rPr>
          <w:b/>
          <w:sz w:val="22"/>
          <w:szCs w:val="22"/>
        </w:rPr>
        <w:t>3.</w:t>
      </w:r>
      <w:r w:rsidRPr="001662B5">
        <w:rPr>
          <w:b/>
          <w:sz w:val="22"/>
          <w:szCs w:val="22"/>
        </w:rPr>
        <w:tab/>
      </w:r>
      <w:r w:rsidR="00494293" w:rsidRPr="001662B5">
        <w:rPr>
          <w:b/>
          <w:sz w:val="22"/>
          <w:szCs w:val="22"/>
        </w:rPr>
        <w:t>Prohibition</w:t>
      </w:r>
      <w:r w:rsidR="00894815" w:rsidRPr="001662B5">
        <w:rPr>
          <w:b/>
          <w:sz w:val="22"/>
          <w:szCs w:val="22"/>
        </w:rPr>
        <w:t xml:space="preserve"> on facilities in </w:t>
      </w:r>
      <w:r w:rsidR="00494293" w:rsidRPr="001662B5">
        <w:rPr>
          <w:b/>
          <w:sz w:val="22"/>
          <w:szCs w:val="22"/>
        </w:rPr>
        <w:t>w</w:t>
      </w:r>
      <w:r w:rsidRPr="001662B5">
        <w:rPr>
          <w:b/>
          <w:sz w:val="22"/>
          <w:szCs w:val="22"/>
        </w:rPr>
        <w:t>ellhead protection zones.</w:t>
      </w:r>
      <w:r w:rsidR="001535E1" w:rsidRPr="001662B5">
        <w:rPr>
          <w:sz w:val="22"/>
          <w:szCs w:val="22"/>
        </w:rPr>
        <w:t xml:space="preserve"> </w:t>
      </w:r>
      <w:r w:rsidR="001048EF" w:rsidRPr="001662B5">
        <w:rPr>
          <w:sz w:val="22"/>
          <w:szCs w:val="22"/>
        </w:rPr>
        <w:t>A</w:t>
      </w:r>
      <w:r w:rsidRPr="001662B5">
        <w:rPr>
          <w:sz w:val="22"/>
          <w:szCs w:val="22"/>
        </w:rPr>
        <w:t xml:space="preserve"> person may not install</w:t>
      </w:r>
      <w:r w:rsidR="005F1CA3" w:rsidRPr="001662B5">
        <w:rPr>
          <w:sz w:val="22"/>
          <w:szCs w:val="22"/>
        </w:rPr>
        <w:t xml:space="preserve"> </w:t>
      </w:r>
      <w:r w:rsidR="005B45B1" w:rsidRPr="001662B5">
        <w:rPr>
          <w:sz w:val="22"/>
          <w:szCs w:val="22"/>
        </w:rPr>
        <w:t xml:space="preserve">or cause to be installed </w:t>
      </w:r>
      <w:r w:rsidRPr="001662B5">
        <w:rPr>
          <w:sz w:val="22"/>
          <w:szCs w:val="22"/>
        </w:rPr>
        <w:t>an oil storage facility in a wellhead protection</w:t>
      </w:r>
      <w:r w:rsidR="000B56C7" w:rsidRPr="001662B5">
        <w:rPr>
          <w:sz w:val="22"/>
          <w:szCs w:val="22"/>
        </w:rPr>
        <w:t xml:space="preserve"> zone</w:t>
      </w:r>
      <w:r w:rsidR="001048EF" w:rsidRPr="001662B5">
        <w:rPr>
          <w:sz w:val="22"/>
          <w:szCs w:val="22"/>
        </w:rPr>
        <w:t>.</w:t>
      </w:r>
      <w:r w:rsidR="007E45D7">
        <w:rPr>
          <w:sz w:val="22"/>
          <w:szCs w:val="22"/>
        </w:rPr>
        <w:t xml:space="preserve">  </w:t>
      </w:r>
      <w:r w:rsidR="007E45D7" w:rsidRPr="00EF05D6">
        <w:rPr>
          <w:sz w:val="22"/>
          <w:szCs w:val="22"/>
        </w:rPr>
        <w:t xml:space="preserve">For the </w:t>
      </w:r>
      <w:r w:rsidR="002D06D2" w:rsidRPr="00EF05D6">
        <w:rPr>
          <w:sz w:val="22"/>
          <w:szCs w:val="22"/>
        </w:rPr>
        <w:t>purposes</w:t>
      </w:r>
      <w:r w:rsidR="007E45D7" w:rsidRPr="00EF05D6">
        <w:rPr>
          <w:sz w:val="22"/>
          <w:szCs w:val="22"/>
        </w:rPr>
        <w:t xml:space="preserve"> of </w:t>
      </w:r>
      <w:r w:rsidR="002D06D2" w:rsidRPr="00EF05D6">
        <w:rPr>
          <w:sz w:val="22"/>
          <w:szCs w:val="22"/>
        </w:rPr>
        <w:t>Section 3(A)(2)</w:t>
      </w:r>
      <w:r w:rsidR="00A4241D" w:rsidRPr="00EF05D6">
        <w:rPr>
          <w:sz w:val="22"/>
          <w:szCs w:val="22"/>
        </w:rPr>
        <w:t xml:space="preserve"> and</w:t>
      </w:r>
      <w:r w:rsidR="002D06D2" w:rsidRPr="00EF05D6">
        <w:rPr>
          <w:sz w:val="22"/>
          <w:szCs w:val="22"/>
        </w:rPr>
        <w:t xml:space="preserve"> (3), the oil storage facility owner shall notify the local public water utility or other community public water provider</w:t>
      </w:r>
      <w:r w:rsidR="00A4241D" w:rsidRPr="00EF05D6">
        <w:rPr>
          <w:sz w:val="22"/>
          <w:szCs w:val="22"/>
        </w:rPr>
        <w:t xml:space="preserve">, if any, of their expansion or conversion intentions </w:t>
      </w:r>
      <w:r w:rsidR="002D06D2" w:rsidRPr="00EF05D6">
        <w:rPr>
          <w:sz w:val="22"/>
          <w:szCs w:val="22"/>
        </w:rPr>
        <w:t>prior to the installation of any tanks.</w:t>
      </w:r>
    </w:p>
    <w:p w14:paraId="1AE192A5" w14:textId="77777777" w:rsidR="002F3CBC" w:rsidRPr="001662B5" w:rsidRDefault="002F3CBC" w:rsidP="000E4EEB">
      <w:pPr>
        <w:pStyle w:val="Header"/>
        <w:tabs>
          <w:tab w:val="clear" w:pos="4320"/>
          <w:tab w:val="clear" w:pos="8640"/>
        </w:tabs>
        <w:ind w:left="360" w:hanging="360"/>
        <w:rPr>
          <w:sz w:val="22"/>
          <w:szCs w:val="22"/>
        </w:rPr>
      </w:pPr>
    </w:p>
    <w:p w14:paraId="5AC383C8" w14:textId="77777777" w:rsidR="001535E1" w:rsidRPr="001662B5" w:rsidRDefault="00EC28C2" w:rsidP="000E4EEB">
      <w:pPr>
        <w:pStyle w:val="ListParagraph"/>
        <w:numPr>
          <w:ilvl w:val="0"/>
          <w:numId w:val="30"/>
        </w:numPr>
        <w:rPr>
          <w:sz w:val="22"/>
          <w:szCs w:val="22"/>
        </w:rPr>
      </w:pPr>
      <w:r w:rsidRPr="001662B5">
        <w:rPr>
          <w:b/>
          <w:bCs/>
          <w:sz w:val="22"/>
          <w:szCs w:val="22"/>
        </w:rPr>
        <w:t>Ex</w:t>
      </w:r>
      <w:r w:rsidR="001048EF" w:rsidRPr="001662B5">
        <w:rPr>
          <w:b/>
          <w:bCs/>
          <w:sz w:val="22"/>
          <w:szCs w:val="22"/>
        </w:rPr>
        <w:t>c</w:t>
      </w:r>
      <w:r w:rsidR="00176BE5" w:rsidRPr="001662B5">
        <w:rPr>
          <w:b/>
          <w:bCs/>
          <w:sz w:val="22"/>
          <w:szCs w:val="22"/>
        </w:rPr>
        <w:t>eptions</w:t>
      </w:r>
      <w:r w:rsidRPr="001662B5">
        <w:rPr>
          <w:b/>
          <w:bCs/>
          <w:sz w:val="22"/>
          <w:szCs w:val="22"/>
        </w:rPr>
        <w:t>.</w:t>
      </w:r>
      <w:r w:rsidR="001535E1" w:rsidRPr="001662B5">
        <w:rPr>
          <w:sz w:val="22"/>
          <w:szCs w:val="22"/>
        </w:rPr>
        <w:t xml:space="preserve"> </w:t>
      </w:r>
      <w:r w:rsidR="001048EF" w:rsidRPr="001662B5">
        <w:rPr>
          <w:sz w:val="22"/>
          <w:szCs w:val="22"/>
        </w:rPr>
        <w:t xml:space="preserve">The prohibition of this </w:t>
      </w:r>
      <w:r w:rsidRPr="001662B5">
        <w:rPr>
          <w:sz w:val="22"/>
          <w:szCs w:val="22"/>
        </w:rPr>
        <w:t>section does not apply to:</w:t>
      </w:r>
    </w:p>
    <w:p w14:paraId="19A36E98" w14:textId="77777777" w:rsidR="002F3CBC" w:rsidRPr="001662B5" w:rsidRDefault="002F3CBC" w:rsidP="000E4EEB">
      <w:pPr>
        <w:pStyle w:val="ListParagraph"/>
        <w:rPr>
          <w:sz w:val="22"/>
          <w:szCs w:val="22"/>
        </w:rPr>
      </w:pPr>
    </w:p>
    <w:p w14:paraId="2DD67604" w14:textId="77777777" w:rsidR="00EC28C2" w:rsidRPr="001662B5" w:rsidRDefault="003B1888" w:rsidP="000E4EEB">
      <w:pPr>
        <w:ind w:left="1080" w:hanging="360"/>
        <w:rPr>
          <w:sz w:val="22"/>
          <w:szCs w:val="22"/>
        </w:rPr>
      </w:pPr>
      <w:r w:rsidRPr="001662B5">
        <w:rPr>
          <w:sz w:val="22"/>
          <w:szCs w:val="22"/>
        </w:rPr>
        <w:t>(1)</w:t>
      </w:r>
      <w:r w:rsidR="00EC28C2" w:rsidRPr="001662B5">
        <w:rPr>
          <w:sz w:val="22"/>
          <w:szCs w:val="22"/>
        </w:rPr>
        <w:tab/>
        <w:t>A</w:t>
      </w:r>
      <w:r w:rsidR="00B86635" w:rsidRPr="001662B5">
        <w:rPr>
          <w:sz w:val="22"/>
          <w:szCs w:val="22"/>
        </w:rPr>
        <w:t xml:space="preserve">n underground oil storage facility </w:t>
      </w:r>
      <w:r w:rsidR="00EC28C2" w:rsidRPr="001662B5">
        <w:rPr>
          <w:sz w:val="22"/>
          <w:szCs w:val="22"/>
        </w:rPr>
        <w:t xml:space="preserve">in existence on </w:t>
      </w:r>
      <w:r w:rsidR="00961C19" w:rsidRPr="001662B5">
        <w:rPr>
          <w:sz w:val="22"/>
          <w:szCs w:val="22"/>
        </w:rPr>
        <w:t>September 30, 2001 or an aboveground oil storage facility in existence on September 30, 2008</w:t>
      </w:r>
      <w:r w:rsidR="00EC28C2" w:rsidRPr="001662B5">
        <w:rPr>
          <w:sz w:val="22"/>
          <w:szCs w:val="22"/>
        </w:rPr>
        <w:t>;</w:t>
      </w:r>
    </w:p>
    <w:p w14:paraId="177A4528" w14:textId="77777777" w:rsidR="002F3CBC" w:rsidRPr="001662B5" w:rsidRDefault="002F3CBC" w:rsidP="000E4EEB">
      <w:pPr>
        <w:ind w:left="1080" w:hanging="360"/>
        <w:rPr>
          <w:sz w:val="22"/>
          <w:szCs w:val="22"/>
        </w:rPr>
      </w:pPr>
    </w:p>
    <w:p w14:paraId="48BBD0DE" w14:textId="77777777" w:rsidR="00A8087A" w:rsidRPr="001662B5" w:rsidRDefault="003B1888" w:rsidP="000E4EEB">
      <w:pPr>
        <w:ind w:left="1080" w:hanging="360"/>
        <w:rPr>
          <w:sz w:val="22"/>
          <w:szCs w:val="22"/>
        </w:rPr>
      </w:pPr>
      <w:r w:rsidRPr="001662B5">
        <w:rPr>
          <w:sz w:val="22"/>
          <w:szCs w:val="22"/>
        </w:rPr>
        <w:t>(2)</w:t>
      </w:r>
      <w:r w:rsidR="00EC28C2" w:rsidRPr="001662B5">
        <w:rPr>
          <w:b/>
          <w:sz w:val="22"/>
          <w:szCs w:val="22"/>
        </w:rPr>
        <w:tab/>
      </w:r>
      <w:r w:rsidR="00EC28C2" w:rsidRPr="001662B5">
        <w:rPr>
          <w:sz w:val="22"/>
          <w:szCs w:val="22"/>
        </w:rPr>
        <w:t>The replacement or expansion of an underground oil storage facility in existence on September 30, 2001 or a</w:t>
      </w:r>
      <w:r w:rsidR="007A0B3A" w:rsidRPr="001662B5">
        <w:rPr>
          <w:sz w:val="22"/>
          <w:szCs w:val="22"/>
        </w:rPr>
        <w:t xml:space="preserve">n aboveground oil storage </w:t>
      </w:r>
      <w:r w:rsidR="00EC28C2" w:rsidRPr="001662B5">
        <w:rPr>
          <w:sz w:val="22"/>
          <w:szCs w:val="22"/>
        </w:rPr>
        <w:t xml:space="preserve">facility in existence on September 30, 2008 as long as the replacement or expansion occurs on the same </w:t>
      </w:r>
      <w:r w:rsidR="00EC28C2" w:rsidRPr="007C6543">
        <w:rPr>
          <w:sz w:val="22"/>
          <w:szCs w:val="22"/>
        </w:rPr>
        <w:t>property</w:t>
      </w:r>
      <w:r w:rsidR="009E7068" w:rsidRPr="00EF05D6">
        <w:rPr>
          <w:sz w:val="22"/>
          <w:szCs w:val="22"/>
        </w:rPr>
        <w:t>. T</w:t>
      </w:r>
      <w:r w:rsidR="00EC28C2" w:rsidRPr="001662B5">
        <w:rPr>
          <w:sz w:val="22"/>
          <w:szCs w:val="22"/>
        </w:rPr>
        <w:t xml:space="preserve">he facility </w:t>
      </w:r>
      <w:r w:rsidR="009E7068" w:rsidRPr="00EF05D6">
        <w:rPr>
          <w:sz w:val="22"/>
          <w:szCs w:val="22"/>
        </w:rPr>
        <w:t xml:space="preserve">must </w:t>
      </w:r>
      <w:r w:rsidR="00EC28C2" w:rsidRPr="00EF05D6">
        <w:rPr>
          <w:sz w:val="22"/>
          <w:szCs w:val="22"/>
        </w:rPr>
        <w:t>meet</w:t>
      </w:r>
      <w:r w:rsidR="00EC28C2" w:rsidRPr="001662B5">
        <w:rPr>
          <w:sz w:val="22"/>
          <w:szCs w:val="22"/>
        </w:rPr>
        <w:t xml:space="preserve"> all applicable requirements of </w:t>
      </w:r>
      <w:r w:rsidR="008E531C" w:rsidRPr="001662B5">
        <w:rPr>
          <w:sz w:val="22"/>
          <w:szCs w:val="22"/>
        </w:rPr>
        <w:t>Chapter 34 and Chapter 691</w:t>
      </w:r>
      <w:r w:rsidR="00A527C8" w:rsidRPr="001662B5">
        <w:rPr>
          <w:sz w:val="22"/>
          <w:szCs w:val="22"/>
        </w:rPr>
        <w:t xml:space="preserve"> and, in the case of replacement, the facility owner:</w:t>
      </w:r>
    </w:p>
    <w:p w14:paraId="6848BD79" w14:textId="77777777" w:rsidR="002F3CBC" w:rsidRPr="001662B5" w:rsidRDefault="002F3CBC" w:rsidP="000E4EEB">
      <w:pPr>
        <w:ind w:left="1080" w:hanging="360"/>
        <w:rPr>
          <w:sz w:val="22"/>
          <w:szCs w:val="22"/>
          <w:u w:val="single"/>
        </w:rPr>
      </w:pPr>
    </w:p>
    <w:p w14:paraId="4999A937" w14:textId="77777777" w:rsidR="00CA02E1" w:rsidRPr="001662B5" w:rsidRDefault="00A527C8" w:rsidP="000E4EEB">
      <w:pPr>
        <w:pStyle w:val="ListParagraph"/>
        <w:numPr>
          <w:ilvl w:val="0"/>
          <w:numId w:val="31"/>
        </w:numPr>
        <w:rPr>
          <w:sz w:val="22"/>
          <w:szCs w:val="22"/>
        </w:rPr>
      </w:pPr>
      <w:r w:rsidRPr="001662B5">
        <w:rPr>
          <w:sz w:val="22"/>
          <w:szCs w:val="22"/>
        </w:rPr>
        <w:t xml:space="preserve">Within 30 days after removal of the existing facility, notifies the </w:t>
      </w:r>
      <w:r w:rsidR="004C55F7" w:rsidRPr="00754588">
        <w:rPr>
          <w:sz w:val="22"/>
          <w:szCs w:val="22"/>
        </w:rPr>
        <w:t>Commissioner</w:t>
      </w:r>
      <w:r w:rsidRPr="001662B5">
        <w:rPr>
          <w:sz w:val="22"/>
          <w:szCs w:val="22"/>
        </w:rPr>
        <w:t xml:space="preserve"> in writing of the owner’s intent to replace the facility</w:t>
      </w:r>
      <w:r w:rsidR="00CA02E1" w:rsidRPr="00754588">
        <w:rPr>
          <w:sz w:val="22"/>
          <w:szCs w:val="22"/>
        </w:rPr>
        <w:t xml:space="preserve"> and: </w:t>
      </w:r>
      <w:r w:rsidR="006B149A" w:rsidRPr="00754588">
        <w:rPr>
          <w:sz w:val="22"/>
          <w:szCs w:val="22"/>
        </w:rPr>
        <w:t xml:space="preserve">  </w:t>
      </w:r>
    </w:p>
    <w:p w14:paraId="26FD9027" w14:textId="77777777" w:rsidR="00CA02E1" w:rsidRPr="001662B5" w:rsidRDefault="00CA02E1" w:rsidP="000E4EEB">
      <w:pPr>
        <w:pStyle w:val="ListParagraph"/>
        <w:ind w:left="1440"/>
        <w:rPr>
          <w:sz w:val="22"/>
          <w:szCs w:val="22"/>
        </w:rPr>
      </w:pPr>
    </w:p>
    <w:p w14:paraId="688FF498" w14:textId="77777777" w:rsidR="00CA02E1" w:rsidRPr="00530134" w:rsidRDefault="00CA02E1" w:rsidP="000E4EEB">
      <w:pPr>
        <w:pStyle w:val="ListParagraph"/>
        <w:numPr>
          <w:ilvl w:val="0"/>
          <w:numId w:val="51"/>
        </w:numPr>
        <w:ind w:left="1800"/>
        <w:rPr>
          <w:sz w:val="22"/>
          <w:szCs w:val="22"/>
        </w:rPr>
      </w:pPr>
      <w:bookmarkStart w:id="0" w:name="_Hlk518569664"/>
      <w:r w:rsidRPr="00530134">
        <w:rPr>
          <w:sz w:val="22"/>
          <w:szCs w:val="22"/>
        </w:rPr>
        <w:t>If located in an organized area, notice must also be provided to the municipal code enforcement officer; or</w:t>
      </w:r>
    </w:p>
    <w:p w14:paraId="75A74F8B" w14:textId="77777777" w:rsidR="00B809BD" w:rsidRPr="001662B5" w:rsidRDefault="00B809BD" w:rsidP="000E4EEB">
      <w:pPr>
        <w:pStyle w:val="ListParagraph"/>
        <w:ind w:left="1800"/>
        <w:rPr>
          <w:sz w:val="22"/>
          <w:szCs w:val="22"/>
          <w:u w:val="single"/>
        </w:rPr>
      </w:pPr>
    </w:p>
    <w:p w14:paraId="2EA39004" w14:textId="77777777" w:rsidR="00B809BD" w:rsidRPr="00530134" w:rsidRDefault="00B809BD" w:rsidP="000E4EEB">
      <w:pPr>
        <w:pStyle w:val="ListParagraph"/>
        <w:numPr>
          <w:ilvl w:val="0"/>
          <w:numId w:val="51"/>
        </w:numPr>
        <w:ind w:left="1800"/>
        <w:rPr>
          <w:sz w:val="22"/>
          <w:szCs w:val="22"/>
        </w:rPr>
      </w:pPr>
      <w:r w:rsidRPr="00530134">
        <w:rPr>
          <w:sz w:val="22"/>
          <w:szCs w:val="22"/>
        </w:rPr>
        <w:t xml:space="preserve">If located in an unorganized </w:t>
      </w:r>
      <w:r w:rsidR="004D456C" w:rsidRPr="00530134">
        <w:rPr>
          <w:sz w:val="22"/>
          <w:szCs w:val="22"/>
        </w:rPr>
        <w:t xml:space="preserve">or deorganized </w:t>
      </w:r>
      <w:r w:rsidRPr="00530134">
        <w:rPr>
          <w:sz w:val="22"/>
          <w:szCs w:val="22"/>
        </w:rPr>
        <w:t>area, notice must also be provided to the Office of County Commissioners and the Maine Land Use Planning Commission (LUPC); and</w:t>
      </w:r>
    </w:p>
    <w:bookmarkEnd w:id="0"/>
    <w:p w14:paraId="53D8C17E" w14:textId="77777777" w:rsidR="00A8087A" w:rsidRPr="001662B5" w:rsidRDefault="00A8087A" w:rsidP="000E4EEB">
      <w:pPr>
        <w:rPr>
          <w:sz w:val="22"/>
          <w:szCs w:val="22"/>
        </w:rPr>
      </w:pPr>
    </w:p>
    <w:p w14:paraId="3D83E906" w14:textId="77777777" w:rsidR="00A527C8" w:rsidRPr="001662B5" w:rsidRDefault="00A527C8" w:rsidP="000E4EEB">
      <w:pPr>
        <w:pStyle w:val="ListParagraph"/>
        <w:numPr>
          <w:ilvl w:val="0"/>
          <w:numId w:val="31"/>
        </w:numPr>
        <w:rPr>
          <w:sz w:val="22"/>
          <w:szCs w:val="22"/>
        </w:rPr>
      </w:pPr>
      <w:r w:rsidRPr="001662B5">
        <w:rPr>
          <w:sz w:val="22"/>
          <w:szCs w:val="22"/>
        </w:rPr>
        <w:t xml:space="preserve">Commences construction of the replacement facility within </w:t>
      </w:r>
      <w:r w:rsidR="00861D0F" w:rsidRPr="00530134">
        <w:rPr>
          <w:sz w:val="22"/>
          <w:szCs w:val="22"/>
        </w:rPr>
        <w:t>two</w:t>
      </w:r>
      <w:r w:rsidRPr="00530134">
        <w:rPr>
          <w:sz w:val="22"/>
          <w:szCs w:val="22"/>
        </w:rPr>
        <w:t xml:space="preserve"> years </w:t>
      </w:r>
      <w:r w:rsidR="007F056D" w:rsidRPr="00530134">
        <w:rPr>
          <w:sz w:val="22"/>
          <w:szCs w:val="22"/>
        </w:rPr>
        <w:t>and completes construction within five years</w:t>
      </w:r>
      <w:r w:rsidR="007F056D" w:rsidRPr="00C5212A">
        <w:rPr>
          <w:sz w:val="22"/>
          <w:szCs w:val="22"/>
        </w:rPr>
        <w:t xml:space="preserve"> </w:t>
      </w:r>
      <w:r w:rsidRPr="001662B5">
        <w:rPr>
          <w:sz w:val="22"/>
          <w:szCs w:val="22"/>
        </w:rPr>
        <w:t>after removal of the existing facility;</w:t>
      </w:r>
    </w:p>
    <w:p w14:paraId="088F5463" w14:textId="77777777" w:rsidR="009B1BDA" w:rsidRPr="001662B5" w:rsidRDefault="009B1BDA" w:rsidP="000E4EEB">
      <w:pPr>
        <w:rPr>
          <w:sz w:val="22"/>
          <w:szCs w:val="22"/>
        </w:rPr>
      </w:pPr>
    </w:p>
    <w:p w14:paraId="7DA51F32" w14:textId="77777777" w:rsidR="00EC28C2" w:rsidRPr="001662B5" w:rsidRDefault="003B1888" w:rsidP="000E4EEB">
      <w:pPr>
        <w:ind w:left="1080" w:hanging="360"/>
        <w:rPr>
          <w:sz w:val="22"/>
          <w:szCs w:val="22"/>
        </w:rPr>
      </w:pPr>
      <w:r w:rsidRPr="001662B5">
        <w:rPr>
          <w:sz w:val="22"/>
          <w:szCs w:val="22"/>
        </w:rPr>
        <w:t>(3)</w:t>
      </w:r>
      <w:r w:rsidR="00EC28C2" w:rsidRPr="001662B5">
        <w:rPr>
          <w:b/>
          <w:sz w:val="22"/>
          <w:szCs w:val="22"/>
        </w:rPr>
        <w:tab/>
      </w:r>
      <w:r w:rsidR="00EC28C2" w:rsidRPr="001662B5">
        <w:rPr>
          <w:sz w:val="22"/>
          <w:szCs w:val="22"/>
        </w:rPr>
        <w:t xml:space="preserve">The conversion of an aboveground oil storage facility </w:t>
      </w:r>
      <w:r w:rsidR="007B2642" w:rsidRPr="001662B5">
        <w:rPr>
          <w:sz w:val="22"/>
          <w:szCs w:val="22"/>
        </w:rPr>
        <w:t xml:space="preserve">permitted by the </w:t>
      </w:r>
      <w:r w:rsidR="000A7CFD" w:rsidRPr="00530134">
        <w:rPr>
          <w:sz w:val="22"/>
          <w:szCs w:val="22"/>
        </w:rPr>
        <w:t>F</w:t>
      </w:r>
      <w:r w:rsidR="007B2642" w:rsidRPr="001662B5">
        <w:rPr>
          <w:sz w:val="22"/>
          <w:szCs w:val="22"/>
        </w:rPr>
        <w:t xml:space="preserve">ire </w:t>
      </w:r>
      <w:r w:rsidR="000A7CFD" w:rsidRPr="00530134">
        <w:rPr>
          <w:sz w:val="22"/>
          <w:szCs w:val="22"/>
        </w:rPr>
        <w:t>M</w:t>
      </w:r>
      <w:r w:rsidR="007B2642" w:rsidRPr="001662B5">
        <w:rPr>
          <w:sz w:val="22"/>
          <w:szCs w:val="22"/>
        </w:rPr>
        <w:t xml:space="preserve">arshal and </w:t>
      </w:r>
      <w:r w:rsidR="00132741" w:rsidRPr="001662B5">
        <w:rPr>
          <w:sz w:val="22"/>
          <w:szCs w:val="22"/>
        </w:rPr>
        <w:t xml:space="preserve">in existence </w:t>
      </w:r>
      <w:r w:rsidR="00EC28C2" w:rsidRPr="001662B5">
        <w:rPr>
          <w:sz w:val="22"/>
          <w:szCs w:val="22"/>
        </w:rPr>
        <w:t xml:space="preserve">on September 30, 2001 </w:t>
      </w:r>
      <w:r w:rsidR="00472FAF" w:rsidRPr="001662B5">
        <w:rPr>
          <w:sz w:val="22"/>
          <w:szCs w:val="22"/>
        </w:rPr>
        <w:t xml:space="preserve">to an underground oil storage facility </w:t>
      </w:r>
      <w:r w:rsidR="005B1186" w:rsidRPr="001662B5">
        <w:rPr>
          <w:sz w:val="22"/>
          <w:szCs w:val="22"/>
        </w:rPr>
        <w:t xml:space="preserve">or </w:t>
      </w:r>
      <w:r w:rsidR="0043610C" w:rsidRPr="001662B5">
        <w:rPr>
          <w:sz w:val="22"/>
          <w:szCs w:val="22"/>
        </w:rPr>
        <w:t>the conversion of an underground oil storage facility to an aboveground oil storage facility</w:t>
      </w:r>
      <w:r w:rsidR="00EC28C2" w:rsidRPr="001662B5">
        <w:rPr>
          <w:sz w:val="22"/>
          <w:szCs w:val="22"/>
        </w:rPr>
        <w:t xml:space="preserve"> as long as the conversion occurs on the same </w:t>
      </w:r>
      <w:r w:rsidR="00EC28C2" w:rsidRPr="007C6543">
        <w:rPr>
          <w:sz w:val="22"/>
          <w:szCs w:val="22"/>
        </w:rPr>
        <w:t>property</w:t>
      </w:r>
      <w:r w:rsidR="009E7068" w:rsidRPr="00424690">
        <w:rPr>
          <w:sz w:val="22"/>
          <w:szCs w:val="22"/>
        </w:rPr>
        <w:t>.</w:t>
      </w:r>
      <w:r w:rsidR="007F056D" w:rsidRPr="00424690">
        <w:rPr>
          <w:sz w:val="22"/>
          <w:szCs w:val="22"/>
        </w:rPr>
        <w:t xml:space="preserve"> </w:t>
      </w:r>
      <w:r w:rsidR="009E7068" w:rsidRPr="00424690">
        <w:rPr>
          <w:sz w:val="22"/>
          <w:szCs w:val="22"/>
        </w:rPr>
        <w:t>T</w:t>
      </w:r>
      <w:r w:rsidR="007F056D" w:rsidRPr="00424690">
        <w:rPr>
          <w:sz w:val="22"/>
          <w:szCs w:val="22"/>
        </w:rPr>
        <w:t>he facility</w:t>
      </w:r>
      <w:r w:rsidR="009E7068" w:rsidRPr="00424690">
        <w:rPr>
          <w:sz w:val="22"/>
          <w:szCs w:val="22"/>
        </w:rPr>
        <w:t xml:space="preserve"> must</w:t>
      </w:r>
      <w:r w:rsidR="007F056D" w:rsidRPr="00424690">
        <w:rPr>
          <w:sz w:val="22"/>
          <w:szCs w:val="22"/>
        </w:rPr>
        <w:t xml:space="preserve"> </w:t>
      </w:r>
      <w:r w:rsidR="00551BDC" w:rsidRPr="00424690">
        <w:rPr>
          <w:sz w:val="22"/>
          <w:szCs w:val="22"/>
        </w:rPr>
        <w:t xml:space="preserve">meet all applicable requirements of </w:t>
      </w:r>
      <w:r w:rsidR="00615C0E" w:rsidRPr="00424690">
        <w:rPr>
          <w:sz w:val="22"/>
          <w:szCs w:val="22"/>
        </w:rPr>
        <w:t>Chapter 691 and Chapter 34</w:t>
      </w:r>
      <w:r w:rsidR="00E974FA" w:rsidRPr="00424690">
        <w:rPr>
          <w:sz w:val="22"/>
          <w:szCs w:val="22"/>
        </w:rPr>
        <w:t>.</w:t>
      </w:r>
      <w:r w:rsidR="00E974FA" w:rsidRPr="005A611B">
        <w:rPr>
          <w:sz w:val="22"/>
          <w:szCs w:val="22"/>
          <w:u w:val="single"/>
        </w:rPr>
        <w:t xml:space="preserve"> </w:t>
      </w:r>
    </w:p>
    <w:p w14:paraId="42AABB13" w14:textId="77777777" w:rsidR="002F3CBC" w:rsidRPr="001662B5" w:rsidRDefault="002F3CBC" w:rsidP="002F3CBC">
      <w:pPr>
        <w:ind w:left="1080" w:hanging="360"/>
        <w:rPr>
          <w:sz w:val="22"/>
          <w:szCs w:val="22"/>
        </w:rPr>
      </w:pPr>
    </w:p>
    <w:p w14:paraId="2AD78FC3" w14:textId="77777777" w:rsidR="001535E1" w:rsidRPr="001662B5" w:rsidRDefault="003B1888" w:rsidP="002F3CBC">
      <w:pPr>
        <w:ind w:left="1080" w:hanging="360"/>
        <w:rPr>
          <w:sz w:val="22"/>
          <w:szCs w:val="22"/>
        </w:rPr>
      </w:pPr>
      <w:r w:rsidRPr="001662B5">
        <w:rPr>
          <w:sz w:val="22"/>
          <w:szCs w:val="22"/>
        </w:rPr>
        <w:t>(4)</w:t>
      </w:r>
      <w:r w:rsidR="00EC28C2" w:rsidRPr="001662B5">
        <w:rPr>
          <w:sz w:val="22"/>
          <w:szCs w:val="22"/>
        </w:rPr>
        <w:tab/>
      </w:r>
      <w:r w:rsidR="0013033B" w:rsidRPr="001662B5">
        <w:rPr>
          <w:sz w:val="22"/>
          <w:szCs w:val="22"/>
        </w:rPr>
        <w:t>A</w:t>
      </w:r>
      <w:r w:rsidR="00EC28C2" w:rsidRPr="001662B5">
        <w:rPr>
          <w:sz w:val="22"/>
          <w:szCs w:val="22"/>
        </w:rPr>
        <w:t xml:space="preserve"> facility used solely to store heating oil for consumption on the premises</w:t>
      </w:r>
      <w:r w:rsidR="003E5DD9" w:rsidRPr="001662B5">
        <w:rPr>
          <w:sz w:val="22"/>
          <w:szCs w:val="22"/>
        </w:rPr>
        <w:t>;</w:t>
      </w:r>
    </w:p>
    <w:p w14:paraId="2AB2E6BC" w14:textId="77777777" w:rsidR="002F3CBC" w:rsidRPr="001662B5" w:rsidRDefault="002F3CBC" w:rsidP="002F3CBC">
      <w:pPr>
        <w:ind w:left="1080" w:hanging="360"/>
        <w:rPr>
          <w:sz w:val="22"/>
          <w:szCs w:val="22"/>
        </w:rPr>
      </w:pPr>
    </w:p>
    <w:p w14:paraId="2C4A8B4C" w14:textId="77777777" w:rsidR="00123813" w:rsidRPr="001662B5" w:rsidRDefault="00123813" w:rsidP="000E4EEB">
      <w:pPr>
        <w:ind w:left="1080" w:hanging="360"/>
        <w:rPr>
          <w:sz w:val="22"/>
          <w:szCs w:val="22"/>
        </w:rPr>
      </w:pPr>
      <w:r w:rsidRPr="001662B5">
        <w:rPr>
          <w:sz w:val="22"/>
          <w:szCs w:val="22"/>
        </w:rPr>
        <w:t>(5</w:t>
      </w:r>
      <w:r w:rsidR="005D46F1" w:rsidRPr="001662B5">
        <w:rPr>
          <w:sz w:val="22"/>
          <w:szCs w:val="22"/>
        </w:rPr>
        <w:t>)</w:t>
      </w:r>
      <w:r w:rsidR="005D46F1" w:rsidRPr="001662B5">
        <w:rPr>
          <w:b/>
          <w:sz w:val="22"/>
          <w:szCs w:val="22"/>
        </w:rPr>
        <w:tab/>
      </w:r>
      <w:r w:rsidR="00994448" w:rsidRPr="001662B5">
        <w:rPr>
          <w:sz w:val="22"/>
          <w:szCs w:val="22"/>
        </w:rPr>
        <w:t xml:space="preserve">Facility components, such as buildings and parking </w:t>
      </w:r>
      <w:r w:rsidR="00DD7990" w:rsidRPr="001662B5">
        <w:rPr>
          <w:sz w:val="22"/>
          <w:szCs w:val="22"/>
        </w:rPr>
        <w:t>lots</w:t>
      </w:r>
      <w:r w:rsidR="00994448" w:rsidRPr="001662B5">
        <w:rPr>
          <w:sz w:val="22"/>
          <w:szCs w:val="22"/>
        </w:rPr>
        <w:t>, that are not designed or intended to contain oil in a liquid or vapor phase</w:t>
      </w:r>
      <w:r w:rsidRPr="001662B5">
        <w:rPr>
          <w:sz w:val="22"/>
          <w:szCs w:val="22"/>
        </w:rPr>
        <w:t>; or</w:t>
      </w:r>
    </w:p>
    <w:p w14:paraId="42CEA3A6" w14:textId="77777777" w:rsidR="002F3CBC" w:rsidRPr="001662B5" w:rsidRDefault="002F3CBC" w:rsidP="000E4EEB">
      <w:pPr>
        <w:ind w:left="1080" w:hanging="360"/>
        <w:rPr>
          <w:sz w:val="22"/>
          <w:szCs w:val="22"/>
        </w:rPr>
      </w:pPr>
    </w:p>
    <w:p w14:paraId="0C68E442" w14:textId="77777777" w:rsidR="001535E1" w:rsidRPr="001662B5" w:rsidRDefault="00123813" w:rsidP="000E4EEB">
      <w:pPr>
        <w:ind w:left="1080" w:hanging="360"/>
        <w:rPr>
          <w:sz w:val="22"/>
          <w:szCs w:val="22"/>
        </w:rPr>
      </w:pPr>
      <w:r w:rsidRPr="001662B5">
        <w:rPr>
          <w:sz w:val="22"/>
          <w:szCs w:val="22"/>
        </w:rPr>
        <w:t>(6)</w:t>
      </w:r>
      <w:r w:rsidRPr="001662B5">
        <w:rPr>
          <w:b/>
          <w:sz w:val="22"/>
          <w:szCs w:val="22"/>
        </w:rPr>
        <w:tab/>
      </w:r>
      <w:r w:rsidRPr="001662B5">
        <w:rPr>
          <w:sz w:val="22"/>
          <w:szCs w:val="22"/>
        </w:rPr>
        <w:t>The wellhead protection zone of a well located on the same property as the facility and serving only users of that property</w:t>
      </w:r>
      <w:r w:rsidR="000E4D08" w:rsidRPr="001662B5">
        <w:rPr>
          <w:sz w:val="22"/>
          <w:szCs w:val="22"/>
        </w:rPr>
        <w:t>.</w:t>
      </w:r>
    </w:p>
    <w:p w14:paraId="2F09805C" w14:textId="77777777" w:rsidR="002F3CBC" w:rsidRPr="001662B5" w:rsidRDefault="002F3CBC" w:rsidP="000E4EEB">
      <w:pPr>
        <w:ind w:left="1080" w:hanging="360"/>
        <w:rPr>
          <w:sz w:val="22"/>
          <w:szCs w:val="22"/>
        </w:rPr>
      </w:pPr>
    </w:p>
    <w:p w14:paraId="1A8E0EBC" w14:textId="77777777" w:rsidR="00EC28C2" w:rsidRPr="001662B5" w:rsidRDefault="00EC28C2" w:rsidP="000E4EEB">
      <w:pPr>
        <w:ind w:left="720"/>
        <w:rPr>
          <w:sz w:val="22"/>
          <w:szCs w:val="22"/>
        </w:rPr>
      </w:pPr>
      <w:r w:rsidRPr="001662B5">
        <w:rPr>
          <w:sz w:val="22"/>
          <w:szCs w:val="22"/>
        </w:rPr>
        <w:t>This subsection may not be interpreted to allow the conversion</w:t>
      </w:r>
      <w:r w:rsidR="00AE05A7" w:rsidRPr="00424690">
        <w:rPr>
          <w:sz w:val="22"/>
          <w:szCs w:val="22"/>
        </w:rPr>
        <w:t>,</w:t>
      </w:r>
      <w:r w:rsidRPr="001662B5">
        <w:rPr>
          <w:sz w:val="22"/>
          <w:szCs w:val="22"/>
        </w:rPr>
        <w:t xml:space="preserve"> expansion </w:t>
      </w:r>
      <w:r w:rsidR="00AE05A7" w:rsidRPr="00424690">
        <w:rPr>
          <w:sz w:val="22"/>
          <w:szCs w:val="22"/>
        </w:rPr>
        <w:t xml:space="preserve">or replacement </w:t>
      </w:r>
      <w:r w:rsidRPr="001662B5">
        <w:rPr>
          <w:sz w:val="22"/>
          <w:szCs w:val="22"/>
        </w:rPr>
        <w:t>of an underground oil storage tank or underground oil storage facility subject to the abandonment requirement</w:t>
      </w:r>
      <w:r w:rsidR="000B56C7" w:rsidRPr="001662B5">
        <w:rPr>
          <w:sz w:val="22"/>
          <w:szCs w:val="22"/>
        </w:rPr>
        <w:t>s</w:t>
      </w:r>
      <w:r w:rsidRPr="001662B5">
        <w:rPr>
          <w:sz w:val="22"/>
          <w:szCs w:val="22"/>
        </w:rPr>
        <w:t xml:space="preserve"> </w:t>
      </w:r>
      <w:r w:rsidR="00494293" w:rsidRPr="001662B5">
        <w:rPr>
          <w:sz w:val="22"/>
          <w:szCs w:val="22"/>
        </w:rPr>
        <w:t xml:space="preserve">of </w:t>
      </w:r>
      <w:r w:rsidR="006962C9" w:rsidRPr="00424690">
        <w:rPr>
          <w:sz w:val="22"/>
          <w:szCs w:val="22"/>
        </w:rPr>
        <w:t xml:space="preserve">38 M.R.S. </w:t>
      </w:r>
      <w:r w:rsidR="00F0133C">
        <w:rPr>
          <w:sz w:val="22"/>
          <w:szCs w:val="22"/>
        </w:rPr>
        <w:t>§</w:t>
      </w:r>
      <w:r w:rsidR="006962C9" w:rsidRPr="00424690">
        <w:rPr>
          <w:sz w:val="22"/>
          <w:szCs w:val="22"/>
        </w:rPr>
        <w:t xml:space="preserve">566-A and </w:t>
      </w:r>
      <w:r w:rsidR="00457BA2" w:rsidRPr="001662B5">
        <w:rPr>
          <w:sz w:val="22"/>
          <w:szCs w:val="22"/>
        </w:rPr>
        <w:t>Chapter 691</w:t>
      </w:r>
      <w:r w:rsidR="00953BC8" w:rsidRPr="00424690">
        <w:rPr>
          <w:sz w:val="22"/>
          <w:szCs w:val="22"/>
        </w:rPr>
        <w:t xml:space="preserve"> </w:t>
      </w:r>
      <w:r w:rsidR="00F0133C">
        <w:rPr>
          <w:sz w:val="22"/>
          <w:szCs w:val="22"/>
        </w:rPr>
        <w:t>§</w:t>
      </w:r>
      <w:r w:rsidR="005B45B1" w:rsidRPr="001662B5">
        <w:rPr>
          <w:sz w:val="22"/>
          <w:szCs w:val="22"/>
        </w:rPr>
        <w:t>11</w:t>
      </w:r>
      <w:r w:rsidRPr="001662B5">
        <w:rPr>
          <w:sz w:val="22"/>
          <w:szCs w:val="22"/>
        </w:rPr>
        <w:t>.</w:t>
      </w:r>
    </w:p>
    <w:p w14:paraId="56D7F672" w14:textId="77777777" w:rsidR="002F3CBC" w:rsidRPr="001662B5" w:rsidRDefault="002F3CBC" w:rsidP="002F3CBC">
      <w:pPr>
        <w:ind w:left="720" w:right="-144"/>
        <w:rPr>
          <w:sz w:val="22"/>
          <w:szCs w:val="22"/>
        </w:rPr>
      </w:pPr>
    </w:p>
    <w:p w14:paraId="36165D70" w14:textId="77777777" w:rsidR="007261B4" w:rsidRPr="001662B5" w:rsidRDefault="00EC28C2" w:rsidP="002F3CBC">
      <w:pPr>
        <w:pStyle w:val="ListParagraph"/>
        <w:numPr>
          <w:ilvl w:val="0"/>
          <w:numId w:val="30"/>
        </w:numPr>
        <w:ind w:right="-144"/>
        <w:rPr>
          <w:bCs/>
          <w:sz w:val="22"/>
          <w:szCs w:val="22"/>
        </w:rPr>
      </w:pPr>
      <w:r w:rsidRPr="001662B5">
        <w:rPr>
          <w:b/>
          <w:bCs/>
          <w:sz w:val="22"/>
          <w:szCs w:val="22"/>
        </w:rPr>
        <w:t>Variances</w:t>
      </w:r>
      <w:r w:rsidR="003B1888" w:rsidRPr="001662B5">
        <w:rPr>
          <w:b/>
          <w:bCs/>
          <w:sz w:val="22"/>
          <w:szCs w:val="22"/>
        </w:rPr>
        <w:t>.</w:t>
      </w:r>
      <w:r w:rsidR="001535E1" w:rsidRPr="001662B5">
        <w:rPr>
          <w:bCs/>
          <w:sz w:val="22"/>
          <w:szCs w:val="22"/>
        </w:rPr>
        <w:t xml:space="preserve"> </w:t>
      </w:r>
      <w:r w:rsidR="00B16F68" w:rsidRPr="001662B5">
        <w:rPr>
          <w:bCs/>
          <w:sz w:val="22"/>
          <w:szCs w:val="22"/>
        </w:rPr>
        <w:t xml:space="preserve">The </w:t>
      </w:r>
      <w:r w:rsidR="004C55F7" w:rsidRPr="00424690">
        <w:rPr>
          <w:bCs/>
          <w:sz w:val="22"/>
          <w:szCs w:val="22"/>
        </w:rPr>
        <w:t>Commissioner</w:t>
      </w:r>
      <w:r w:rsidR="007261B4" w:rsidRPr="001662B5">
        <w:rPr>
          <w:bCs/>
          <w:sz w:val="22"/>
          <w:szCs w:val="22"/>
        </w:rPr>
        <w:t xml:space="preserve"> may grant a variance to the prohibition of this section if:</w:t>
      </w:r>
    </w:p>
    <w:p w14:paraId="130B6C5B" w14:textId="77777777" w:rsidR="002F3CBC" w:rsidRPr="001662B5" w:rsidRDefault="002F3CBC" w:rsidP="002F3CBC">
      <w:pPr>
        <w:pStyle w:val="ListParagraph"/>
        <w:ind w:right="-144"/>
        <w:rPr>
          <w:bCs/>
          <w:sz w:val="22"/>
          <w:szCs w:val="22"/>
        </w:rPr>
      </w:pPr>
    </w:p>
    <w:p w14:paraId="38488A4B" w14:textId="77777777" w:rsidR="00EC28C2" w:rsidRPr="001662B5" w:rsidRDefault="00EC28C2" w:rsidP="002F3CBC">
      <w:pPr>
        <w:pStyle w:val="ListParagraph"/>
        <w:numPr>
          <w:ilvl w:val="0"/>
          <w:numId w:val="32"/>
        </w:numPr>
        <w:ind w:right="-144"/>
        <w:rPr>
          <w:sz w:val="22"/>
          <w:szCs w:val="22"/>
        </w:rPr>
      </w:pPr>
      <w:r w:rsidRPr="001662B5">
        <w:rPr>
          <w:sz w:val="22"/>
          <w:szCs w:val="22"/>
        </w:rPr>
        <w:t xml:space="preserve">In the case of a community drinking water well, a private drinking water well or a well that supplies drinking water to a school, the </w:t>
      </w:r>
      <w:r w:rsidR="008D6995" w:rsidRPr="001662B5">
        <w:rPr>
          <w:sz w:val="22"/>
          <w:szCs w:val="22"/>
        </w:rPr>
        <w:t xml:space="preserve">applicant </w:t>
      </w:r>
      <w:r w:rsidRPr="001662B5">
        <w:rPr>
          <w:sz w:val="22"/>
          <w:szCs w:val="22"/>
        </w:rPr>
        <w:t xml:space="preserve">demonstrates </w:t>
      </w:r>
      <w:r w:rsidR="004736FF" w:rsidRPr="001662B5">
        <w:rPr>
          <w:sz w:val="22"/>
          <w:szCs w:val="22"/>
        </w:rPr>
        <w:t xml:space="preserve">to the </w:t>
      </w:r>
      <w:r w:rsidR="004C55F7" w:rsidRPr="00424690">
        <w:rPr>
          <w:sz w:val="22"/>
          <w:szCs w:val="22"/>
        </w:rPr>
        <w:t>Commissioner</w:t>
      </w:r>
      <w:r w:rsidR="004736FF" w:rsidRPr="001662B5">
        <w:rPr>
          <w:sz w:val="22"/>
          <w:szCs w:val="22"/>
        </w:rPr>
        <w:t xml:space="preserve">’s satisfaction </w:t>
      </w:r>
      <w:r w:rsidRPr="001662B5">
        <w:rPr>
          <w:sz w:val="22"/>
          <w:szCs w:val="22"/>
        </w:rPr>
        <w:t>that no hydrogeologic connection exists between the proposed facility and the water supply at issue</w:t>
      </w:r>
      <w:r w:rsidR="002164E6" w:rsidRPr="001662B5">
        <w:rPr>
          <w:sz w:val="22"/>
          <w:szCs w:val="22"/>
        </w:rPr>
        <w:t>; or</w:t>
      </w:r>
    </w:p>
    <w:p w14:paraId="51EE31AB" w14:textId="77777777" w:rsidR="002F3CBC" w:rsidRPr="001662B5" w:rsidRDefault="002F3CBC" w:rsidP="000E4EEB">
      <w:pPr>
        <w:pStyle w:val="ListParagraph"/>
        <w:ind w:left="1080"/>
        <w:rPr>
          <w:sz w:val="22"/>
          <w:szCs w:val="22"/>
        </w:rPr>
      </w:pPr>
    </w:p>
    <w:p w14:paraId="39F43F78" w14:textId="77777777" w:rsidR="00EC28C2" w:rsidRDefault="002164E6" w:rsidP="000E4EEB">
      <w:pPr>
        <w:pStyle w:val="ListParagraph"/>
        <w:numPr>
          <w:ilvl w:val="0"/>
          <w:numId w:val="32"/>
        </w:numPr>
        <w:rPr>
          <w:sz w:val="22"/>
          <w:szCs w:val="22"/>
        </w:rPr>
      </w:pPr>
      <w:r w:rsidRPr="001662B5">
        <w:rPr>
          <w:bCs/>
          <w:sz w:val="22"/>
          <w:szCs w:val="22"/>
        </w:rPr>
        <w:t xml:space="preserve">In the case </w:t>
      </w:r>
      <w:r w:rsidR="00EC28C2" w:rsidRPr="001662B5">
        <w:rPr>
          <w:sz w:val="22"/>
          <w:szCs w:val="22"/>
        </w:rPr>
        <w:t xml:space="preserve">of a public drinking water well other than a community drinking water well or a drinking water well supplying drinking water to a school, the </w:t>
      </w:r>
      <w:r w:rsidR="004C55F7" w:rsidRPr="00424690">
        <w:rPr>
          <w:sz w:val="22"/>
          <w:szCs w:val="22"/>
        </w:rPr>
        <w:t>Commissioner</w:t>
      </w:r>
      <w:r w:rsidR="00EC28C2" w:rsidRPr="001662B5">
        <w:rPr>
          <w:sz w:val="22"/>
          <w:szCs w:val="22"/>
        </w:rPr>
        <w:t xml:space="preserve"> determines that the engineering and monitoring measures proposed by the </w:t>
      </w:r>
      <w:r w:rsidR="00B16F68" w:rsidRPr="001662B5">
        <w:rPr>
          <w:sz w:val="22"/>
          <w:szCs w:val="22"/>
        </w:rPr>
        <w:t xml:space="preserve">applicant </w:t>
      </w:r>
      <w:r w:rsidR="00EC28C2" w:rsidRPr="001662B5">
        <w:rPr>
          <w:sz w:val="22"/>
          <w:szCs w:val="22"/>
        </w:rPr>
        <w:t>exceed regulatory requirements and will effectively minimize the likelihood of drinking water contamination due to the dis</w:t>
      </w:r>
      <w:r w:rsidR="00B304B1" w:rsidRPr="001662B5">
        <w:rPr>
          <w:sz w:val="22"/>
          <w:szCs w:val="22"/>
        </w:rPr>
        <w:t>charge of oil</w:t>
      </w:r>
      <w:r w:rsidR="00EC28C2" w:rsidRPr="001662B5">
        <w:rPr>
          <w:sz w:val="22"/>
          <w:szCs w:val="22"/>
        </w:rPr>
        <w:t>.</w:t>
      </w:r>
    </w:p>
    <w:p w14:paraId="6A33A9F8" w14:textId="77777777" w:rsidR="00B4785E" w:rsidRPr="001662B5" w:rsidRDefault="00B4785E" w:rsidP="000E4EEB">
      <w:pPr>
        <w:rPr>
          <w:sz w:val="22"/>
          <w:szCs w:val="22"/>
        </w:rPr>
      </w:pPr>
    </w:p>
    <w:p w14:paraId="5B0C84F4" w14:textId="77777777" w:rsidR="00EC28C2" w:rsidRPr="001662B5" w:rsidRDefault="00EC28C2" w:rsidP="000E4EEB">
      <w:pPr>
        <w:ind w:left="720"/>
        <w:rPr>
          <w:sz w:val="22"/>
          <w:szCs w:val="22"/>
        </w:rPr>
      </w:pPr>
      <w:r w:rsidRPr="001662B5">
        <w:rPr>
          <w:sz w:val="22"/>
          <w:szCs w:val="22"/>
        </w:rPr>
        <w:t xml:space="preserve">In considering whether to grant a variance under this section, the </w:t>
      </w:r>
      <w:r w:rsidR="004C55F7" w:rsidRPr="00424690">
        <w:rPr>
          <w:sz w:val="22"/>
          <w:szCs w:val="22"/>
        </w:rPr>
        <w:t>Commissioner</w:t>
      </w:r>
      <w:r w:rsidRPr="001662B5">
        <w:rPr>
          <w:sz w:val="22"/>
          <w:szCs w:val="22"/>
        </w:rPr>
        <w:t xml:space="preserve"> may consider the importance of the ground</w:t>
      </w:r>
      <w:r w:rsidR="00790426" w:rsidRPr="003A2F82">
        <w:rPr>
          <w:sz w:val="22"/>
          <w:szCs w:val="22"/>
        </w:rPr>
        <w:t xml:space="preserve"> </w:t>
      </w:r>
      <w:r w:rsidRPr="001662B5">
        <w:rPr>
          <w:sz w:val="22"/>
          <w:szCs w:val="22"/>
        </w:rPr>
        <w:t>water resource, the hydrogeology of the site</w:t>
      </w:r>
      <w:r w:rsidR="00663EA4">
        <w:rPr>
          <w:sz w:val="22"/>
          <w:szCs w:val="22"/>
        </w:rPr>
        <w:t xml:space="preserve"> </w:t>
      </w:r>
      <w:r w:rsidRPr="001662B5">
        <w:rPr>
          <w:sz w:val="22"/>
          <w:szCs w:val="22"/>
        </w:rPr>
        <w:t>and other relevant factors.</w:t>
      </w:r>
      <w:r w:rsidR="00E63A39">
        <w:rPr>
          <w:sz w:val="22"/>
          <w:szCs w:val="22"/>
        </w:rPr>
        <w:t xml:space="preserve"> </w:t>
      </w:r>
      <w:r w:rsidR="00E63A39" w:rsidRPr="00424690">
        <w:rPr>
          <w:sz w:val="22"/>
          <w:szCs w:val="22"/>
        </w:rPr>
        <w:t>The Commissioner may require the applicant to provide additional information to be used in making this determination.</w:t>
      </w:r>
    </w:p>
    <w:p w14:paraId="0A557A22" w14:textId="77777777" w:rsidR="002F3CBC" w:rsidRPr="00E63A39" w:rsidRDefault="002F3CBC" w:rsidP="002F3CBC">
      <w:pPr>
        <w:ind w:left="720" w:right="-144"/>
        <w:rPr>
          <w:sz w:val="22"/>
          <w:szCs w:val="22"/>
          <w:u w:val="double"/>
        </w:rPr>
      </w:pPr>
    </w:p>
    <w:p w14:paraId="0C3B16A3" w14:textId="77777777" w:rsidR="002172CF" w:rsidRPr="001662B5" w:rsidRDefault="002172CF" w:rsidP="002F3CBC">
      <w:pPr>
        <w:pStyle w:val="Header"/>
        <w:ind w:left="720" w:hanging="360"/>
        <w:rPr>
          <w:sz w:val="22"/>
          <w:szCs w:val="22"/>
        </w:rPr>
      </w:pPr>
      <w:r w:rsidRPr="001662B5">
        <w:rPr>
          <w:b/>
          <w:sz w:val="22"/>
          <w:szCs w:val="22"/>
        </w:rPr>
        <w:t>C.</w:t>
      </w:r>
      <w:r w:rsidRPr="001662B5">
        <w:rPr>
          <w:b/>
          <w:sz w:val="22"/>
          <w:szCs w:val="22"/>
        </w:rPr>
        <w:tab/>
        <w:t>Special requirements for heating oil supply tanks.</w:t>
      </w:r>
      <w:r w:rsidR="0011027F" w:rsidRPr="001662B5">
        <w:rPr>
          <w:b/>
          <w:sz w:val="22"/>
          <w:szCs w:val="22"/>
        </w:rPr>
        <w:t xml:space="preserve"> </w:t>
      </w:r>
      <w:r w:rsidRPr="001662B5">
        <w:rPr>
          <w:sz w:val="22"/>
          <w:szCs w:val="22"/>
        </w:rPr>
        <w:tab/>
        <w:t>Effective July 1, 2009, a person may not install an aboveground heating oil supply tank in the wellhead protection zone of a community drinking water well unless:</w:t>
      </w:r>
    </w:p>
    <w:p w14:paraId="51E02C1A" w14:textId="77777777" w:rsidR="002F3CBC" w:rsidRPr="001662B5" w:rsidRDefault="002F3CBC" w:rsidP="002F3CBC">
      <w:pPr>
        <w:pStyle w:val="Header"/>
        <w:ind w:left="720" w:hanging="360"/>
        <w:rPr>
          <w:sz w:val="22"/>
          <w:szCs w:val="22"/>
        </w:rPr>
      </w:pPr>
    </w:p>
    <w:p w14:paraId="2008C6D3" w14:textId="77777777" w:rsidR="002172CF" w:rsidRPr="001662B5" w:rsidRDefault="002172CF" w:rsidP="002F3CBC">
      <w:pPr>
        <w:pStyle w:val="ListParagraph"/>
        <w:numPr>
          <w:ilvl w:val="0"/>
          <w:numId w:val="33"/>
        </w:numPr>
        <w:tabs>
          <w:tab w:val="left" w:pos="1080"/>
        </w:tabs>
        <w:rPr>
          <w:sz w:val="22"/>
          <w:szCs w:val="22"/>
        </w:rPr>
      </w:pPr>
      <w:r w:rsidRPr="001662B5">
        <w:rPr>
          <w:bCs/>
          <w:sz w:val="22"/>
          <w:szCs w:val="22"/>
        </w:rPr>
        <w:t>The tank i</w:t>
      </w:r>
      <w:r w:rsidRPr="001662B5">
        <w:rPr>
          <w:sz w:val="22"/>
          <w:szCs w:val="22"/>
        </w:rPr>
        <w:t xml:space="preserve">s a double-walled tank or has secondary containment approved by the </w:t>
      </w:r>
      <w:r w:rsidR="004C55F7" w:rsidRPr="00424690">
        <w:rPr>
          <w:sz w:val="22"/>
          <w:szCs w:val="22"/>
        </w:rPr>
        <w:t>Commissioner</w:t>
      </w:r>
      <w:r w:rsidRPr="001662B5">
        <w:rPr>
          <w:sz w:val="22"/>
          <w:szCs w:val="22"/>
        </w:rPr>
        <w:t>;</w:t>
      </w:r>
    </w:p>
    <w:p w14:paraId="0BC05D47" w14:textId="77777777" w:rsidR="002F3CBC" w:rsidRPr="001662B5" w:rsidRDefault="002F3CBC" w:rsidP="002F3CBC">
      <w:pPr>
        <w:pStyle w:val="ListParagraph"/>
        <w:tabs>
          <w:tab w:val="left" w:pos="1080"/>
        </w:tabs>
        <w:ind w:left="1080"/>
        <w:rPr>
          <w:sz w:val="22"/>
          <w:szCs w:val="22"/>
        </w:rPr>
      </w:pPr>
    </w:p>
    <w:p w14:paraId="6DC7315A" w14:textId="77777777" w:rsidR="002172CF" w:rsidRPr="001662B5" w:rsidRDefault="002172CF" w:rsidP="002F3CBC">
      <w:pPr>
        <w:pStyle w:val="ListParagraph"/>
        <w:numPr>
          <w:ilvl w:val="0"/>
          <w:numId w:val="33"/>
        </w:numPr>
        <w:tabs>
          <w:tab w:val="left" w:pos="1080"/>
        </w:tabs>
        <w:rPr>
          <w:sz w:val="22"/>
          <w:szCs w:val="22"/>
        </w:rPr>
      </w:pPr>
      <w:r w:rsidRPr="001662B5">
        <w:rPr>
          <w:bCs/>
          <w:sz w:val="22"/>
          <w:szCs w:val="22"/>
        </w:rPr>
        <w:t>The tank a</w:t>
      </w:r>
      <w:r w:rsidRPr="001662B5">
        <w:rPr>
          <w:sz w:val="22"/>
          <w:szCs w:val="22"/>
        </w:rPr>
        <w:t>nd any secondary containment are listed and approved by a nationally recognized, independent testing authority; and</w:t>
      </w:r>
    </w:p>
    <w:p w14:paraId="0DBD2B41" w14:textId="77777777" w:rsidR="002F3CBC" w:rsidRPr="001662B5" w:rsidRDefault="002F3CBC" w:rsidP="002F3CBC">
      <w:pPr>
        <w:tabs>
          <w:tab w:val="left" w:pos="1080"/>
        </w:tabs>
        <w:rPr>
          <w:sz w:val="22"/>
          <w:szCs w:val="22"/>
        </w:rPr>
      </w:pPr>
    </w:p>
    <w:p w14:paraId="2D312346" w14:textId="77777777" w:rsidR="002F3CBC" w:rsidRPr="001662B5" w:rsidRDefault="002172CF" w:rsidP="002F3CBC">
      <w:pPr>
        <w:pStyle w:val="ListParagraph"/>
        <w:numPr>
          <w:ilvl w:val="0"/>
          <w:numId w:val="33"/>
        </w:numPr>
        <w:tabs>
          <w:tab w:val="left" w:pos="1080"/>
        </w:tabs>
        <w:rPr>
          <w:sz w:val="22"/>
          <w:szCs w:val="22"/>
        </w:rPr>
      </w:pPr>
      <w:r w:rsidRPr="001662B5">
        <w:rPr>
          <w:bCs/>
          <w:sz w:val="22"/>
          <w:szCs w:val="22"/>
        </w:rPr>
        <w:t>The tank is</w:t>
      </w:r>
      <w:r w:rsidRPr="001662B5">
        <w:rPr>
          <w:sz w:val="22"/>
          <w:szCs w:val="22"/>
        </w:rPr>
        <w:t xml:space="preserve"> installed by a journeyman or master oil burner technician licensed by the </w:t>
      </w:r>
      <w:r w:rsidR="00ED61B3" w:rsidRPr="00424690">
        <w:rPr>
          <w:sz w:val="22"/>
          <w:szCs w:val="22"/>
        </w:rPr>
        <w:t>Maine</w:t>
      </w:r>
      <w:r w:rsidRPr="001662B5">
        <w:rPr>
          <w:sz w:val="22"/>
          <w:szCs w:val="22"/>
        </w:rPr>
        <w:t xml:space="preserve"> Fuel Board under 32 </w:t>
      </w:r>
      <w:r w:rsidR="00E70FA0" w:rsidRPr="001662B5">
        <w:rPr>
          <w:sz w:val="22"/>
          <w:szCs w:val="22"/>
        </w:rPr>
        <w:t>M.R.S.</w:t>
      </w:r>
      <w:r w:rsidRPr="001662B5">
        <w:rPr>
          <w:sz w:val="22"/>
          <w:szCs w:val="22"/>
        </w:rPr>
        <w:t xml:space="preserve"> </w:t>
      </w:r>
      <w:r w:rsidR="00F0133C">
        <w:rPr>
          <w:sz w:val="22"/>
          <w:szCs w:val="22"/>
        </w:rPr>
        <w:t>§</w:t>
      </w:r>
      <w:r w:rsidRPr="001662B5">
        <w:rPr>
          <w:sz w:val="22"/>
          <w:szCs w:val="22"/>
        </w:rPr>
        <w:t xml:space="preserve">2401-B or, in the case of an outside tank serving manufactured housing, by a person licensed by the </w:t>
      </w:r>
      <w:r w:rsidR="00ED61B3" w:rsidRPr="00424690">
        <w:rPr>
          <w:sz w:val="22"/>
          <w:szCs w:val="22"/>
        </w:rPr>
        <w:t>Maine</w:t>
      </w:r>
      <w:r w:rsidRPr="001662B5">
        <w:rPr>
          <w:sz w:val="22"/>
          <w:szCs w:val="22"/>
        </w:rPr>
        <w:t xml:space="preserve"> Fuel Board under 32 </w:t>
      </w:r>
      <w:r w:rsidR="00E70FA0" w:rsidRPr="001662B5">
        <w:rPr>
          <w:sz w:val="22"/>
          <w:szCs w:val="22"/>
        </w:rPr>
        <w:t>M.R.S.</w:t>
      </w:r>
      <w:r w:rsidRPr="001662B5">
        <w:rPr>
          <w:sz w:val="22"/>
          <w:szCs w:val="22"/>
        </w:rPr>
        <w:t xml:space="preserve"> </w:t>
      </w:r>
      <w:r w:rsidR="00F0133C">
        <w:rPr>
          <w:sz w:val="22"/>
          <w:szCs w:val="22"/>
        </w:rPr>
        <w:t>§</w:t>
      </w:r>
      <w:r w:rsidRPr="001662B5">
        <w:rPr>
          <w:sz w:val="22"/>
          <w:szCs w:val="22"/>
        </w:rPr>
        <w:t>2401 to install such tanks.</w:t>
      </w:r>
    </w:p>
    <w:p w14:paraId="5122F2EB" w14:textId="77777777" w:rsidR="002F3CBC" w:rsidRPr="001662B5" w:rsidRDefault="002F3CBC" w:rsidP="002F3CBC">
      <w:pPr>
        <w:pStyle w:val="ListParagraph"/>
        <w:rPr>
          <w:sz w:val="22"/>
          <w:szCs w:val="22"/>
        </w:rPr>
      </w:pPr>
    </w:p>
    <w:p w14:paraId="44CE0DF1" w14:textId="77777777" w:rsidR="002172CF" w:rsidRPr="001662B5" w:rsidRDefault="002172CF" w:rsidP="007A214E">
      <w:pPr>
        <w:keepNext/>
        <w:keepLines/>
        <w:ind w:left="720"/>
        <w:rPr>
          <w:sz w:val="22"/>
          <w:szCs w:val="22"/>
        </w:rPr>
      </w:pPr>
      <w:r w:rsidRPr="001662B5">
        <w:rPr>
          <w:sz w:val="22"/>
          <w:szCs w:val="22"/>
        </w:rPr>
        <w:t>The requirements of this subsection do not apply to tanks with a capacity of more than 660 gallons or to tanks at an aboveground oil storage facility with an aggregate tank capacity of more than 1,320 gallons. The requirements of this section are in addition to any other installation standards provided for in law or rule.</w:t>
      </w:r>
    </w:p>
    <w:p w14:paraId="2FF9B7F5" w14:textId="77777777" w:rsidR="002F3CBC" w:rsidRPr="001662B5" w:rsidRDefault="002F3CBC" w:rsidP="007A214E">
      <w:pPr>
        <w:keepNext/>
        <w:keepLines/>
        <w:ind w:left="720"/>
        <w:rPr>
          <w:sz w:val="22"/>
          <w:szCs w:val="22"/>
        </w:rPr>
      </w:pPr>
    </w:p>
    <w:p w14:paraId="1A1310F1" w14:textId="77777777" w:rsidR="005C7AE8" w:rsidRPr="001662B5" w:rsidRDefault="00DC5808" w:rsidP="007A214E">
      <w:pPr>
        <w:keepNext/>
        <w:keepLines/>
        <w:ind w:left="360" w:hanging="360"/>
        <w:rPr>
          <w:sz w:val="22"/>
          <w:szCs w:val="22"/>
        </w:rPr>
      </w:pPr>
      <w:r w:rsidRPr="001662B5">
        <w:rPr>
          <w:b/>
          <w:sz w:val="22"/>
          <w:szCs w:val="22"/>
        </w:rPr>
        <w:t>4.</w:t>
      </w:r>
      <w:r w:rsidRPr="001662B5">
        <w:rPr>
          <w:b/>
          <w:sz w:val="22"/>
          <w:szCs w:val="22"/>
        </w:rPr>
        <w:tab/>
        <w:t xml:space="preserve">Prohibition on facilities </w:t>
      </w:r>
      <w:r w:rsidR="002D2C2B" w:rsidRPr="00C5212A">
        <w:rPr>
          <w:b/>
          <w:sz w:val="22"/>
          <w:szCs w:val="22"/>
        </w:rPr>
        <w:t>o</w:t>
      </w:r>
      <w:r w:rsidRPr="001662B5">
        <w:rPr>
          <w:b/>
          <w:sz w:val="22"/>
          <w:szCs w:val="22"/>
        </w:rPr>
        <w:t xml:space="preserve">n </w:t>
      </w:r>
      <w:r w:rsidR="002D2C2B" w:rsidRPr="00C5212A">
        <w:rPr>
          <w:b/>
          <w:sz w:val="22"/>
          <w:szCs w:val="22"/>
        </w:rPr>
        <w:t xml:space="preserve">significant </w:t>
      </w:r>
      <w:r w:rsidR="00A758D7" w:rsidRPr="001662B5">
        <w:rPr>
          <w:b/>
          <w:sz w:val="22"/>
          <w:szCs w:val="22"/>
        </w:rPr>
        <w:t xml:space="preserve">sand and gravel </w:t>
      </w:r>
      <w:r w:rsidR="001744FD" w:rsidRPr="001662B5">
        <w:rPr>
          <w:b/>
          <w:sz w:val="22"/>
          <w:szCs w:val="22"/>
        </w:rPr>
        <w:t>aquifers.</w:t>
      </w:r>
      <w:r w:rsidR="001535E1" w:rsidRPr="001662B5">
        <w:rPr>
          <w:b/>
          <w:sz w:val="22"/>
          <w:szCs w:val="22"/>
        </w:rPr>
        <w:t xml:space="preserve"> </w:t>
      </w:r>
      <w:r w:rsidR="005C7AE8" w:rsidRPr="001662B5">
        <w:rPr>
          <w:sz w:val="22"/>
          <w:szCs w:val="22"/>
        </w:rPr>
        <w:t>A person may not install or cause to be installed a</w:t>
      </w:r>
      <w:r w:rsidR="00A05D35" w:rsidRPr="001662B5">
        <w:rPr>
          <w:sz w:val="22"/>
          <w:szCs w:val="22"/>
        </w:rPr>
        <w:t xml:space="preserve">n oil storage </w:t>
      </w:r>
      <w:r w:rsidR="005C7AE8" w:rsidRPr="001662B5">
        <w:rPr>
          <w:sz w:val="22"/>
          <w:szCs w:val="22"/>
        </w:rPr>
        <w:t xml:space="preserve">facility </w:t>
      </w:r>
      <w:r w:rsidR="008D7DE5" w:rsidRPr="00C5212A">
        <w:rPr>
          <w:sz w:val="22"/>
          <w:szCs w:val="22"/>
        </w:rPr>
        <w:t>o</w:t>
      </w:r>
      <w:r w:rsidR="005C7AE8" w:rsidRPr="001662B5">
        <w:rPr>
          <w:sz w:val="22"/>
          <w:szCs w:val="22"/>
        </w:rPr>
        <w:t>n a significant sand and gravel aquifer</w:t>
      </w:r>
      <w:r w:rsidR="000C72B1" w:rsidRPr="001662B5">
        <w:rPr>
          <w:sz w:val="22"/>
          <w:szCs w:val="22"/>
        </w:rPr>
        <w:t xml:space="preserve"> </w:t>
      </w:r>
      <w:r w:rsidR="005C7AE8" w:rsidRPr="001662B5">
        <w:rPr>
          <w:sz w:val="22"/>
          <w:szCs w:val="22"/>
        </w:rPr>
        <w:t>mapped by the Maine Geological Survey</w:t>
      </w:r>
      <w:r w:rsidR="00980FFC" w:rsidRPr="001662B5">
        <w:rPr>
          <w:sz w:val="22"/>
          <w:szCs w:val="22"/>
        </w:rPr>
        <w:t>.</w:t>
      </w:r>
      <w:r w:rsidR="001535E1" w:rsidRPr="001662B5">
        <w:rPr>
          <w:sz w:val="22"/>
          <w:szCs w:val="22"/>
        </w:rPr>
        <w:t xml:space="preserve"> </w:t>
      </w:r>
      <w:r w:rsidR="003831A1" w:rsidRPr="001662B5">
        <w:rPr>
          <w:sz w:val="22"/>
          <w:szCs w:val="22"/>
        </w:rPr>
        <w:t>This prohibition applies regardless of proximity to a public or private drinking water well.</w:t>
      </w:r>
    </w:p>
    <w:p w14:paraId="687DA658" w14:textId="77777777" w:rsidR="002F3CBC" w:rsidRPr="001662B5" w:rsidRDefault="002F3CBC" w:rsidP="002F3CBC">
      <w:pPr>
        <w:ind w:left="360" w:hanging="360"/>
        <w:rPr>
          <w:sz w:val="22"/>
          <w:szCs w:val="22"/>
        </w:rPr>
      </w:pPr>
    </w:p>
    <w:p w14:paraId="37637209" w14:textId="77777777" w:rsidR="004F4640" w:rsidRPr="001662B5" w:rsidRDefault="004F4640" w:rsidP="002A6EC2">
      <w:pPr>
        <w:pStyle w:val="BodyText"/>
        <w:pBdr>
          <w:top w:val="single" w:sz="8" w:space="1" w:color="auto"/>
          <w:bottom w:val="single" w:sz="8" w:space="1" w:color="auto"/>
        </w:pBdr>
        <w:spacing w:line="240" w:lineRule="auto"/>
        <w:ind w:left="360"/>
        <w:rPr>
          <w:b w:val="0"/>
          <w:sz w:val="22"/>
          <w:szCs w:val="22"/>
        </w:rPr>
      </w:pPr>
      <w:r w:rsidRPr="001662B5">
        <w:rPr>
          <w:sz w:val="22"/>
          <w:szCs w:val="22"/>
        </w:rPr>
        <w:t>NOTE</w:t>
      </w:r>
      <w:r w:rsidRPr="001662B5">
        <w:rPr>
          <w:b w:val="0"/>
          <w:sz w:val="22"/>
          <w:szCs w:val="22"/>
        </w:rPr>
        <w:t>:</w:t>
      </w:r>
      <w:r w:rsidR="001535E1" w:rsidRPr="001662B5">
        <w:rPr>
          <w:b w:val="0"/>
          <w:sz w:val="22"/>
          <w:szCs w:val="22"/>
        </w:rPr>
        <w:t xml:space="preserve"> </w:t>
      </w:r>
      <w:r w:rsidRPr="001662B5">
        <w:rPr>
          <w:b w:val="0"/>
          <w:sz w:val="22"/>
          <w:szCs w:val="22"/>
        </w:rPr>
        <w:t xml:space="preserve">Significant Sand and Gravel Aquifer maps are available </w:t>
      </w:r>
      <w:r w:rsidR="00087265" w:rsidRPr="00C5212A">
        <w:rPr>
          <w:b w:val="0"/>
          <w:sz w:val="22"/>
          <w:szCs w:val="22"/>
        </w:rPr>
        <w:t xml:space="preserve">at </w:t>
      </w:r>
      <w:r w:rsidRPr="001662B5">
        <w:rPr>
          <w:b w:val="0"/>
          <w:sz w:val="22"/>
          <w:szCs w:val="22"/>
        </w:rPr>
        <w:t>most municipal offices and from the Maine Geological Survey, (207) 287-2801.</w:t>
      </w:r>
      <w:r w:rsidR="001535E1" w:rsidRPr="001662B5">
        <w:rPr>
          <w:b w:val="0"/>
          <w:sz w:val="22"/>
          <w:szCs w:val="22"/>
        </w:rPr>
        <w:t xml:space="preserve"> </w:t>
      </w:r>
    </w:p>
    <w:p w14:paraId="7D1A849B" w14:textId="77777777" w:rsidR="002F3CBC" w:rsidRPr="001662B5" w:rsidRDefault="002F3CBC" w:rsidP="002F3CBC">
      <w:pPr>
        <w:keepNext/>
        <w:keepLines/>
        <w:ind w:left="720" w:hanging="360"/>
        <w:rPr>
          <w:b/>
          <w:bCs/>
          <w:sz w:val="22"/>
          <w:szCs w:val="22"/>
        </w:rPr>
      </w:pPr>
    </w:p>
    <w:p w14:paraId="7D5E1721" w14:textId="77777777" w:rsidR="001535E1" w:rsidRPr="001662B5" w:rsidRDefault="006C5236" w:rsidP="002F3CBC">
      <w:pPr>
        <w:pStyle w:val="ListParagraph"/>
        <w:keepNext/>
        <w:keepLines/>
        <w:numPr>
          <w:ilvl w:val="0"/>
          <w:numId w:val="34"/>
        </w:numPr>
        <w:rPr>
          <w:sz w:val="22"/>
          <w:szCs w:val="22"/>
        </w:rPr>
      </w:pPr>
      <w:r w:rsidRPr="001662B5">
        <w:rPr>
          <w:b/>
          <w:bCs/>
          <w:sz w:val="22"/>
          <w:szCs w:val="22"/>
        </w:rPr>
        <w:t>Exceptions.</w:t>
      </w:r>
      <w:r w:rsidR="001535E1" w:rsidRPr="001662B5">
        <w:rPr>
          <w:sz w:val="22"/>
          <w:szCs w:val="22"/>
        </w:rPr>
        <w:t xml:space="preserve"> </w:t>
      </w:r>
      <w:r w:rsidRPr="001662B5">
        <w:rPr>
          <w:sz w:val="22"/>
          <w:szCs w:val="22"/>
        </w:rPr>
        <w:t>The prohibition of this section does not apply to:</w:t>
      </w:r>
    </w:p>
    <w:p w14:paraId="1DAA51B0" w14:textId="77777777" w:rsidR="002F3CBC" w:rsidRPr="001662B5" w:rsidRDefault="002F3CBC" w:rsidP="002F3CBC">
      <w:pPr>
        <w:pStyle w:val="ListParagraph"/>
        <w:keepNext/>
        <w:keepLines/>
        <w:rPr>
          <w:sz w:val="22"/>
          <w:szCs w:val="22"/>
        </w:rPr>
      </w:pPr>
    </w:p>
    <w:p w14:paraId="2A0C9ACA" w14:textId="77777777" w:rsidR="006C5236" w:rsidRPr="001662B5" w:rsidRDefault="006C5236" w:rsidP="000E4EEB">
      <w:pPr>
        <w:pStyle w:val="ListParagraph"/>
        <w:keepNext/>
        <w:keepLines/>
        <w:numPr>
          <w:ilvl w:val="0"/>
          <w:numId w:val="35"/>
        </w:numPr>
        <w:rPr>
          <w:sz w:val="22"/>
          <w:szCs w:val="22"/>
        </w:rPr>
      </w:pPr>
      <w:r w:rsidRPr="001662B5">
        <w:rPr>
          <w:sz w:val="22"/>
          <w:szCs w:val="22"/>
        </w:rPr>
        <w:t xml:space="preserve">An underground oil storage facility in existence on </w:t>
      </w:r>
      <w:r w:rsidR="00DF53D8" w:rsidRPr="001662B5">
        <w:rPr>
          <w:sz w:val="22"/>
          <w:szCs w:val="22"/>
        </w:rPr>
        <w:t>July</w:t>
      </w:r>
      <w:r w:rsidRPr="001662B5">
        <w:rPr>
          <w:sz w:val="22"/>
          <w:szCs w:val="22"/>
        </w:rPr>
        <w:t xml:space="preserve"> 1, 2002 or an aboveground oil storage facility </w:t>
      </w:r>
      <w:r w:rsidR="00DF53D8" w:rsidRPr="001662B5">
        <w:rPr>
          <w:sz w:val="22"/>
          <w:szCs w:val="22"/>
        </w:rPr>
        <w:t>in existence on July 1, 2010</w:t>
      </w:r>
      <w:r w:rsidRPr="001662B5">
        <w:rPr>
          <w:sz w:val="22"/>
          <w:szCs w:val="22"/>
        </w:rPr>
        <w:t>;</w:t>
      </w:r>
    </w:p>
    <w:p w14:paraId="409B06A8" w14:textId="77777777" w:rsidR="002F3CBC" w:rsidRPr="001662B5" w:rsidRDefault="002F3CBC" w:rsidP="000E4EEB">
      <w:pPr>
        <w:pStyle w:val="ListParagraph"/>
        <w:keepNext/>
        <w:keepLines/>
        <w:ind w:left="1080"/>
        <w:rPr>
          <w:sz w:val="22"/>
          <w:szCs w:val="22"/>
        </w:rPr>
      </w:pPr>
    </w:p>
    <w:p w14:paraId="165B3B9E" w14:textId="77777777" w:rsidR="00194E93" w:rsidRPr="001662B5" w:rsidRDefault="006C5236" w:rsidP="000E4EEB">
      <w:pPr>
        <w:pStyle w:val="ListParagraph"/>
        <w:numPr>
          <w:ilvl w:val="0"/>
          <w:numId w:val="35"/>
        </w:numPr>
        <w:rPr>
          <w:sz w:val="22"/>
          <w:szCs w:val="22"/>
        </w:rPr>
      </w:pPr>
      <w:r w:rsidRPr="001662B5">
        <w:rPr>
          <w:sz w:val="22"/>
          <w:szCs w:val="22"/>
        </w:rPr>
        <w:t xml:space="preserve">The replacement or expansion of a </w:t>
      </w:r>
      <w:r w:rsidR="00F82621" w:rsidRPr="001662B5">
        <w:rPr>
          <w:sz w:val="22"/>
          <w:szCs w:val="22"/>
        </w:rPr>
        <w:t xml:space="preserve">motor fuel or marketing and distribution </w:t>
      </w:r>
      <w:r w:rsidRPr="001662B5">
        <w:rPr>
          <w:sz w:val="22"/>
          <w:szCs w:val="22"/>
        </w:rPr>
        <w:t>underground oil storage</w:t>
      </w:r>
      <w:r w:rsidR="00F82621" w:rsidRPr="001662B5">
        <w:rPr>
          <w:sz w:val="22"/>
          <w:szCs w:val="22"/>
        </w:rPr>
        <w:t xml:space="preserve"> facility</w:t>
      </w:r>
      <w:r w:rsidRPr="001662B5">
        <w:rPr>
          <w:sz w:val="22"/>
          <w:szCs w:val="22"/>
        </w:rPr>
        <w:t xml:space="preserve"> </w:t>
      </w:r>
      <w:r w:rsidR="008426A0" w:rsidRPr="001662B5">
        <w:rPr>
          <w:sz w:val="22"/>
          <w:szCs w:val="22"/>
        </w:rPr>
        <w:t>in existence on</w:t>
      </w:r>
      <w:r w:rsidR="006E7024" w:rsidRPr="001662B5">
        <w:rPr>
          <w:sz w:val="22"/>
          <w:szCs w:val="22"/>
        </w:rPr>
        <w:t xml:space="preserve"> July </w:t>
      </w:r>
      <w:r w:rsidRPr="001662B5">
        <w:rPr>
          <w:sz w:val="22"/>
          <w:szCs w:val="22"/>
        </w:rPr>
        <w:t xml:space="preserve">1, 2002 </w:t>
      </w:r>
      <w:r w:rsidR="008426A0" w:rsidRPr="001662B5">
        <w:rPr>
          <w:sz w:val="22"/>
          <w:szCs w:val="22"/>
        </w:rPr>
        <w:t xml:space="preserve">or an aboveground oil storage facility </w:t>
      </w:r>
      <w:r w:rsidR="0070634A" w:rsidRPr="001662B5">
        <w:rPr>
          <w:sz w:val="22"/>
          <w:szCs w:val="22"/>
        </w:rPr>
        <w:t>permitted</w:t>
      </w:r>
      <w:r w:rsidR="00F82621" w:rsidRPr="001662B5">
        <w:rPr>
          <w:sz w:val="22"/>
          <w:szCs w:val="22"/>
        </w:rPr>
        <w:t xml:space="preserve"> by the </w:t>
      </w:r>
      <w:r w:rsidR="000A7CFD" w:rsidRPr="00C5212A">
        <w:rPr>
          <w:sz w:val="22"/>
          <w:szCs w:val="22"/>
        </w:rPr>
        <w:t>F</w:t>
      </w:r>
      <w:r w:rsidR="00F82621" w:rsidRPr="001662B5">
        <w:rPr>
          <w:sz w:val="22"/>
          <w:szCs w:val="22"/>
        </w:rPr>
        <w:t xml:space="preserve">ire </w:t>
      </w:r>
      <w:r w:rsidR="000A7CFD" w:rsidRPr="00C5212A">
        <w:rPr>
          <w:sz w:val="22"/>
          <w:szCs w:val="22"/>
        </w:rPr>
        <w:t>M</w:t>
      </w:r>
      <w:r w:rsidR="00F82621" w:rsidRPr="001662B5">
        <w:rPr>
          <w:sz w:val="22"/>
          <w:szCs w:val="22"/>
        </w:rPr>
        <w:t xml:space="preserve">arshal and </w:t>
      </w:r>
      <w:r w:rsidR="00DF53D8" w:rsidRPr="001662B5">
        <w:rPr>
          <w:sz w:val="22"/>
          <w:szCs w:val="22"/>
        </w:rPr>
        <w:t>in existence on July 1, 2010</w:t>
      </w:r>
      <w:r w:rsidR="008426A0" w:rsidRPr="001662B5">
        <w:rPr>
          <w:sz w:val="22"/>
          <w:szCs w:val="22"/>
        </w:rPr>
        <w:t xml:space="preserve"> </w:t>
      </w:r>
      <w:r w:rsidRPr="001662B5">
        <w:rPr>
          <w:sz w:val="22"/>
          <w:szCs w:val="22"/>
        </w:rPr>
        <w:t xml:space="preserve">as long as the replacement or expansion occurs on the same </w:t>
      </w:r>
      <w:r w:rsidRPr="004E1837">
        <w:rPr>
          <w:sz w:val="22"/>
          <w:szCs w:val="22"/>
        </w:rPr>
        <w:t>property</w:t>
      </w:r>
      <w:r w:rsidR="00663EA4">
        <w:rPr>
          <w:sz w:val="22"/>
          <w:szCs w:val="22"/>
        </w:rPr>
        <w:t xml:space="preserve">, </w:t>
      </w:r>
      <w:r w:rsidRPr="001662B5">
        <w:rPr>
          <w:sz w:val="22"/>
          <w:szCs w:val="22"/>
        </w:rPr>
        <w:t xml:space="preserve">the facility meets all applicable requirements of </w:t>
      </w:r>
      <w:r w:rsidR="00457BA2" w:rsidRPr="001662B5">
        <w:rPr>
          <w:sz w:val="22"/>
          <w:szCs w:val="22"/>
        </w:rPr>
        <w:t>Chapter</w:t>
      </w:r>
      <w:r w:rsidRPr="001662B5">
        <w:rPr>
          <w:sz w:val="22"/>
          <w:szCs w:val="22"/>
        </w:rPr>
        <w:t xml:space="preserve"> 691</w:t>
      </w:r>
      <w:r w:rsidR="008426A0" w:rsidRPr="001662B5">
        <w:rPr>
          <w:sz w:val="22"/>
          <w:szCs w:val="22"/>
        </w:rPr>
        <w:t xml:space="preserve"> and </w:t>
      </w:r>
      <w:r w:rsidR="00457BA2" w:rsidRPr="001662B5">
        <w:rPr>
          <w:sz w:val="22"/>
          <w:szCs w:val="22"/>
        </w:rPr>
        <w:t xml:space="preserve">Chapter </w:t>
      </w:r>
      <w:r w:rsidR="008426A0" w:rsidRPr="001662B5">
        <w:rPr>
          <w:sz w:val="22"/>
          <w:szCs w:val="22"/>
        </w:rPr>
        <w:t>34</w:t>
      </w:r>
      <w:r w:rsidR="00B055CF" w:rsidRPr="001662B5">
        <w:rPr>
          <w:sz w:val="22"/>
          <w:szCs w:val="22"/>
        </w:rPr>
        <w:t xml:space="preserve"> and, in the case of replacement, the facility owner:</w:t>
      </w:r>
    </w:p>
    <w:p w14:paraId="450AD50B" w14:textId="77777777" w:rsidR="002F3CBC" w:rsidRPr="001662B5" w:rsidRDefault="002F3CBC" w:rsidP="000E4EEB">
      <w:pPr>
        <w:rPr>
          <w:sz w:val="22"/>
          <w:szCs w:val="22"/>
        </w:rPr>
      </w:pPr>
    </w:p>
    <w:p w14:paraId="4B9BED1F" w14:textId="77777777" w:rsidR="00042255" w:rsidRPr="001662B5" w:rsidRDefault="00B055CF" w:rsidP="000E4EEB">
      <w:pPr>
        <w:pStyle w:val="ListParagraph"/>
        <w:numPr>
          <w:ilvl w:val="0"/>
          <w:numId w:val="36"/>
        </w:numPr>
        <w:rPr>
          <w:sz w:val="22"/>
          <w:szCs w:val="22"/>
        </w:rPr>
      </w:pPr>
      <w:r w:rsidRPr="001662B5">
        <w:rPr>
          <w:sz w:val="22"/>
          <w:szCs w:val="22"/>
        </w:rPr>
        <w:t xml:space="preserve">Within 30 days after removal of the existing facility, notifies the </w:t>
      </w:r>
      <w:r w:rsidR="004C55F7" w:rsidRPr="00C5212A">
        <w:rPr>
          <w:sz w:val="22"/>
          <w:szCs w:val="22"/>
        </w:rPr>
        <w:t>Commissioner</w:t>
      </w:r>
      <w:r w:rsidRPr="001662B5">
        <w:rPr>
          <w:sz w:val="22"/>
          <w:szCs w:val="22"/>
        </w:rPr>
        <w:t xml:space="preserve"> in writing of the owner’s intent to replace the facility</w:t>
      </w:r>
      <w:r w:rsidR="00042255" w:rsidRPr="00C5212A">
        <w:rPr>
          <w:sz w:val="22"/>
          <w:szCs w:val="22"/>
        </w:rPr>
        <w:t xml:space="preserve"> and:</w:t>
      </w:r>
      <w:r w:rsidR="00141F02" w:rsidRPr="00C5212A">
        <w:rPr>
          <w:sz w:val="22"/>
          <w:szCs w:val="22"/>
        </w:rPr>
        <w:t xml:space="preserve">  </w:t>
      </w:r>
    </w:p>
    <w:p w14:paraId="37E4AE35" w14:textId="77777777" w:rsidR="00042255" w:rsidRPr="001662B5" w:rsidRDefault="00042255" w:rsidP="000E4EEB">
      <w:pPr>
        <w:pStyle w:val="ListParagraph"/>
        <w:ind w:left="1800"/>
        <w:rPr>
          <w:sz w:val="22"/>
          <w:szCs w:val="22"/>
          <w:u w:val="single"/>
        </w:rPr>
      </w:pPr>
    </w:p>
    <w:p w14:paraId="5AFBE8F7" w14:textId="77777777" w:rsidR="00B809BD" w:rsidRPr="00C5212A" w:rsidRDefault="00B809BD" w:rsidP="000E4EEB">
      <w:pPr>
        <w:pStyle w:val="ListParagraph"/>
        <w:numPr>
          <w:ilvl w:val="0"/>
          <w:numId w:val="52"/>
        </w:numPr>
        <w:ind w:left="1800"/>
        <w:rPr>
          <w:sz w:val="22"/>
          <w:szCs w:val="22"/>
        </w:rPr>
      </w:pPr>
      <w:r w:rsidRPr="00C5212A">
        <w:rPr>
          <w:sz w:val="22"/>
          <w:szCs w:val="22"/>
        </w:rPr>
        <w:t>If located in an organized area, notice must also be provided to the municipal code enforcement officer; or</w:t>
      </w:r>
    </w:p>
    <w:p w14:paraId="0D253109" w14:textId="77777777" w:rsidR="00042255" w:rsidRPr="001662B5" w:rsidRDefault="00042255" w:rsidP="000E4EEB">
      <w:pPr>
        <w:rPr>
          <w:sz w:val="22"/>
          <w:szCs w:val="22"/>
        </w:rPr>
      </w:pPr>
    </w:p>
    <w:p w14:paraId="66D6EFEC" w14:textId="77777777" w:rsidR="00042255" w:rsidRPr="001662B5" w:rsidRDefault="00042255" w:rsidP="000E4EEB">
      <w:pPr>
        <w:pStyle w:val="ListParagraph"/>
        <w:numPr>
          <w:ilvl w:val="0"/>
          <w:numId w:val="52"/>
        </w:numPr>
        <w:ind w:left="1800"/>
        <w:rPr>
          <w:sz w:val="22"/>
          <w:szCs w:val="22"/>
          <w:u w:val="single"/>
        </w:rPr>
      </w:pPr>
      <w:r w:rsidRPr="00C5212A">
        <w:rPr>
          <w:sz w:val="22"/>
          <w:szCs w:val="22"/>
        </w:rPr>
        <w:t xml:space="preserve">If located in an unorganized </w:t>
      </w:r>
      <w:r w:rsidR="004D456C" w:rsidRPr="00C5212A">
        <w:rPr>
          <w:sz w:val="22"/>
          <w:szCs w:val="22"/>
        </w:rPr>
        <w:t xml:space="preserve">or deorganized </w:t>
      </w:r>
      <w:r w:rsidRPr="00C5212A">
        <w:rPr>
          <w:sz w:val="22"/>
          <w:szCs w:val="22"/>
        </w:rPr>
        <w:t xml:space="preserve">area, notice must </w:t>
      </w:r>
      <w:r w:rsidR="00B809BD" w:rsidRPr="00C5212A">
        <w:rPr>
          <w:sz w:val="22"/>
          <w:szCs w:val="22"/>
        </w:rPr>
        <w:t xml:space="preserve">also </w:t>
      </w:r>
      <w:r w:rsidRPr="00C5212A">
        <w:rPr>
          <w:sz w:val="22"/>
          <w:szCs w:val="22"/>
        </w:rPr>
        <w:t>be provided to the Office of County Commissioners and the Maine Land Use Planning Commission (LUPC);</w:t>
      </w:r>
      <w:r w:rsidRPr="001662B5">
        <w:rPr>
          <w:sz w:val="22"/>
          <w:szCs w:val="22"/>
        </w:rPr>
        <w:t xml:space="preserve"> and</w:t>
      </w:r>
    </w:p>
    <w:p w14:paraId="5EBF1FC7" w14:textId="77777777" w:rsidR="00194E93" w:rsidRPr="001662B5" w:rsidRDefault="00194E93" w:rsidP="00042255">
      <w:pPr>
        <w:ind w:right="-144"/>
        <w:rPr>
          <w:sz w:val="22"/>
          <w:szCs w:val="22"/>
        </w:rPr>
      </w:pPr>
    </w:p>
    <w:p w14:paraId="6532F679" w14:textId="77777777" w:rsidR="008426A0" w:rsidRPr="001662B5" w:rsidRDefault="00B055CF" w:rsidP="002F3CBC">
      <w:pPr>
        <w:pStyle w:val="ListParagraph"/>
        <w:numPr>
          <w:ilvl w:val="0"/>
          <w:numId w:val="36"/>
        </w:numPr>
        <w:ind w:right="-144"/>
        <w:rPr>
          <w:sz w:val="22"/>
          <w:szCs w:val="22"/>
        </w:rPr>
      </w:pPr>
      <w:r w:rsidRPr="001662B5">
        <w:rPr>
          <w:sz w:val="22"/>
          <w:szCs w:val="22"/>
        </w:rPr>
        <w:t xml:space="preserve">Commences construction of the replacement facility within </w:t>
      </w:r>
      <w:r w:rsidR="008D7DE5" w:rsidRPr="00C5212A">
        <w:rPr>
          <w:sz w:val="22"/>
          <w:szCs w:val="22"/>
        </w:rPr>
        <w:t>two</w:t>
      </w:r>
      <w:r w:rsidRPr="001662B5">
        <w:rPr>
          <w:sz w:val="22"/>
          <w:szCs w:val="22"/>
        </w:rPr>
        <w:t xml:space="preserve"> years </w:t>
      </w:r>
      <w:r w:rsidR="00BE2547" w:rsidRPr="00C5212A">
        <w:rPr>
          <w:sz w:val="22"/>
          <w:szCs w:val="22"/>
        </w:rPr>
        <w:t xml:space="preserve">and completes construction within five years </w:t>
      </w:r>
      <w:r w:rsidRPr="001662B5">
        <w:rPr>
          <w:sz w:val="22"/>
          <w:szCs w:val="22"/>
        </w:rPr>
        <w:t>after removal of the existing facility;</w:t>
      </w:r>
    </w:p>
    <w:p w14:paraId="6F267059" w14:textId="77777777" w:rsidR="002F3CBC" w:rsidRPr="001662B5" w:rsidRDefault="002F3CBC" w:rsidP="000E4EEB">
      <w:pPr>
        <w:rPr>
          <w:sz w:val="22"/>
          <w:szCs w:val="22"/>
        </w:rPr>
      </w:pPr>
    </w:p>
    <w:p w14:paraId="30B0F1DB" w14:textId="77777777" w:rsidR="006C5236" w:rsidRPr="001662B5" w:rsidRDefault="006C5236" w:rsidP="000E4EEB">
      <w:pPr>
        <w:pStyle w:val="ListParagraph"/>
        <w:numPr>
          <w:ilvl w:val="0"/>
          <w:numId w:val="35"/>
        </w:numPr>
        <w:rPr>
          <w:sz w:val="22"/>
          <w:szCs w:val="22"/>
        </w:rPr>
      </w:pPr>
      <w:r w:rsidRPr="001662B5">
        <w:rPr>
          <w:sz w:val="22"/>
          <w:szCs w:val="22"/>
        </w:rPr>
        <w:t xml:space="preserve">The conversion of an aboveground oil storage facility </w:t>
      </w:r>
      <w:r w:rsidR="00AE592D" w:rsidRPr="001662B5">
        <w:rPr>
          <w:sz w:val="22"/>
          <w:szCs w:val="22"/>
        </w:rPr>
        <w:t xml:space="preserve">permitted by the </w:t>
      </w:r>
      <w:r w:rsidR="000A7CFD" w:rsidRPr="000E4EEB">
        <w:rPr>
          <w:sz w:val="22"/>
          <w:szCs w:val="22"/>
        </w:rPr>
        <w:t>F</w:t>
      </w:r>
      <w:r w:rsidR="00AE592D" w:rsidRPr="001662B5">
        <w:rPr>
          <w:sz w:val="22"/>
          <w:szCs w:val="22"/>
        </w:rPr>
        <w:t xml:space="preserve">ire </w:t>
      </w:r>
      <w:r w:rsidR="000A7CFD" w:rsidRPr="000E4EEB">
        <w:rPr>
          <w:sz w:val="22"/>
          <w:szCs w:val="22"/>
        </w:rPr>
        <w:t>M</w:t>
      </w:r>
      <w:r w:rsidR="00AE592D" w:rsidRPr="001662B5">
        <w:rPr>
          <w:sz w:val="22"/>
          <w:szCs w:val="22"/>
        </w:rPr>
        <w:t xml:space="preserve">arshal </w:t>
      </w:r>
      <w:r w:rsidR="00CE6740" w:rsidRPr="001662B5">
        <w:rPr>
          <w:sz w:val="22"/>
          <w:szCs w:val="22"/>
        </w:rPr>
        <w:t>and in</w:t>
      </w:r>
      <w:r w:rsidR="007B2642" w:rsidRPr="001662B5">
        <w:rPr>
          <w:sz w:val="22"/>
          <w:szCs w:val="22"/>
        </w:rPr>
        <w:t xml:space="preserve"> existence on</w:t>
      </w:r>
      <w:r w:rsidR="00CE6740" w:rsidRPr="001662B5">
        <w:rPr>
          <w:sz w:val="22"/>
          <w:szCs w:val="22"/>
        </w:rPr>
        <w:t xml:space="preserve"> July 1, 2002 </w:t>
      </w:r>
      <w:r w:rsidRPr="001662B5">
        <w:rPr>
          <w:sz w:val="22"/>
          <w:szCs w:val="22"/>
        </w:rPr>
        <w:t xml:space="preserve">to an underground oil storage facility or </w:t>
      </w:r>
      <w:r w:rsidR="0043610C" w:rsidRPr="001662B5">
        <w:rPr>
          <w:sz w:val="22"/>
          <w:szCs w:val="22"/>
        </w:rPr>
        <w:t xml:space="preserve">the conversion of an underground oil storage facility to an aboveground oil storage facility </w:t>
      </w:r>
      <w:r w:rsidRPr="001662B5">
        <w:rPr>
          <w:sz w:val="22"/>
          <w:szCs w:val="22"/>
        </w:rPr>
        <w:t xml:space="preserve">as long as the conversion occurs on the same </w:t>
      </w:r>
      <w:r w:rsidRPr="00A3674C">
        <w:rPr>
          <w:sz w:val="22"/>
          <w:szCs w:val="22"/>
        </w:rPr>
        <w:t>property</w:t>
      </w:r>
      <w:r w:rsidR="00C5212A">
        <w:rPr>
          <w:sz w:val="22"/>
          <w:szCs w:val="22"/>
        </w:rPr>
        <w:t xml:space="preserve"> </w:t>
      </w:r>
      <w:r w:rsidR="00551BDC" w:rsidRPr="00C5212A">
        <w:rPr>
          <w:sz w:val="22"/>
          <w:szCs w:val="22"/>
        </w:rPr>
        <w:t xml:space="preserve">and </w:t>
      </w:r>
      <w:r w:rsidR="00091710" w:rsidRPr="00C5212A">
        <w:rPr>
          <w:sz w:val="22"/>
          <w:szCs w:val="22"/>
        </w:rPr>
        <w:t xml:space="preserve">the facility </w:t>
      </w:r>
      <w:r w:rsidR="00EE47FD" w:rsidRPr="00C5212A">
        <w:rPr>
          <w:sz w:val="22"/>
          <w:szCs w:val="22"/>
        </w:rPr>
        <w:t>meets all applicable requirements of Chapter 691 and Chapter 34</w:t>
      </w:r>
      <w:r w:rsidRPr="001662B5">
        <w:rPr>
          <w:sz w:val="22"/>
          <w:szCs w:val="22"/>
        </w:rPr>
        <w:t>;</w:t>
      </w:r>
    </w:p>
    <w:p w14:paraId="0F3B2B37" w14:textId="77777777" w:rsidR="002F3CBC" w:rsidRPr="001662B5" w:rsidRDefault="002F3CBC" w:rsidP="000E4EEB">
      <w:pPr>
        <w:pStyle w:val="ListParagraph"/>
        <w:ind w:left="1080"/>
        <w:rPr>
          <w:sz w:val="22"/>
          <w:szCs w:val="22"/>
        </w:rPr>
      </w:pPr>
    </w:p>
    <w:p w14:paraId="6BF5897C" w14:textId="77777777" w:rsidR="00E70FA0" w:rsidRPr="001662B5" w:rsidRDefault="006C5236" w:rsidP="000E4EEB">
      <w:pPr>
        <w:pStyle w:val="ListParagraph"/>
        <w:numPr>
          <w:ilvl w:val="0"/>
          <w:numId w:val="35"/>
        </w:numPr>
        <w:rPr>
          <w:sz w:val="22"/>
          <w:szCs w:val="22"/>
        </w:rPr>
      </w:pPr>
      <w:r w:rsidRPr="001662B5">
        <w:rPr>
          <w:sz w:val="22"/>
          <w:szCs w:val="22"/>
        </w:rPr>
        <w:t>A facility used solely to store heating oil for consumption on the premises;</w:t>
      </w:r>
    </w:p>
    <w:p w14:paraId="45A85634" w14:textId="77777777" w:rsidR="002F3CBC" w:rsidRPr="001662B5" w:rsidRDefault="002F3CBC" w:rsidP="000E4EEB">
      <w:pPr>
        <w:rPr>
          <w:sz w:val="22"/>
          <w:szCs w:val="22"/>
        </w:rPr>
      </w:pPr>
    </w:p>
    <w:p w14:paraId="65FFE1FA" w14:textId="77777777" w:rsidR="00E70FA0" w:rsidRPr="001662B5" w:rsidRDefault="00DA19ED" w:rsidP="000E4EEB">
      <w:pPr>
        <w:pStyle w:val="ListParagraph"/>
        <w:numPr>
          <w:ilvl w:val="0"/>
          <w:numId w:val="35"/>
        </w:numPr>
        <w:rPr>
          <w:sz w:val="22"/>
          <w:szCs w:val="22"/>
        </w:rPr>
      </w:pPr>
      <w:r w:rsidRPr="001662B5">
        <w:rPr>
          <w:sz w:val="22"/>
          <w:szCs w:val="22"/>
        </w:rPr>
        <w:t>Facility components, such as buildings and parking areas, that are not designed or intended to contain oil in a liquid or vapor phase;</w:t>
      </w:r>
    </w:p>
    <w:p w14:paraId="248D32E7" w14:textId="77777777" w:rsidR="002F3CBC" w:rsidRPr="001662B5" w:rsidRDefault="002F3CBC" w:rsidP="002F3CBC">
      <w:pPr>
        <w:ind w:right="-144"/>
        <w:rPr>
          <w:sz w:val="22"/>
          <w:szCs w:val="22"/>
        </w:rPr>
      </w:pPr>
    </w:p>
    <w:p w14:paraId="57E67DCA" w14:textId="77777777" w:rsidR="00E70FA0" w:rsidRPr="001662B5" w:rsidRDefault="00DA19ED" w:rsidP="000E4EEB">
      <w:pPr>
        <w:pStyle w:val="ListParagraph"/>
        <w:numPr>
          <w:ilvl w:val="0"/>
          <w:numId w:val="35"/>
        </w:numPr>
        <w:rPr>
          <w:sz w:val="22"/>
          <w:szCs w:val="22"/>
        </w:rPr>
      </w:pPr>
      <w:r w:rsidRPr="001662B5">
        <w:rPr>
          <w:sz w:val="22"/>
          <w:szCs w:val="22"/>
        </w:rPr>
        <w:t>A facility located o</w:t>
      </w:r>
      <w:r w:rsidR="004972A3" w:rsidRPr="00C5212A">
        <w:rPr>
          <w:sz w:val="22"/>
          <w:szCs w:val="22"/>
        </w:rPr>
        <w:t>n</w:t>
      </w:r>
      <w:r w:rsidRPr="001662B5">
        <w:rPr>
          <w:sz w:val="22"/>
          <w:szCs w:val="22"/>
        </w:rPr>
        <w:t xml:space="preserve"> a mapped </w:t>
      </w:r>
      <w:r w:rsidR="0053143C" w:rsidRPr="00C5212A">
        <w:rPr>
          <w:sz w:val="22"/>
          <w:szCs w:val="22"/>
        </w:rPr>
        <w:t>significant sand and gravel</w:t>
      </w:r>
      <w:r w:rsidR="0053143C" w:rsidRPr="001662B5">
        <w:rPr>
          <w:sz w:val="22"/>
          <w:szCs w:val="22"/>
          <w:u w:val="single"/>
        </w:rPr>
        <w:t xml:space="preserve"> </w:t>
      </w:r>
      <w:r w:rsidRPr="001662B5">
        <w:rPr>
          <w:sz w:val="22"/>
          <w:szCs w:val="22"/>
        </w:rPr>
        <w:t xml:space="preserve">aquifer if a site specific hydrogeological investigation shows to the </w:t>
      </w:r>
      <w:r w:rsidR="004C55F7" w:rsidRPr="00C5212A">
        <w:rPr>
          <w:sz w:val="22"/>
          <w:szCs w:val="22"/>
        </w:rPr>
        <w:t>Commissioner</w:t>
      </w:r>
      <w:r w:rsidRPr="001662B5">
        <w:rPr>
          <w:sz w:val="22"/>
          <w:szCs w:val="22"/>
        </w:rPr>
        <w:t>’s satis</w:t>
      </w:r>
      <w:r w:rsidR="0054564E" w:rsidRPr="001662B5">
        <w:rPr>
          <w:sz w:val="22"/>
          <w:szCs w:val="22"/>
        </w:rPr>
        <w:t xml:space="preserve">faction that the location is </w:t>
      </w:r>
      <w:r w:rsidR="00F82621" w:rsidRPr="001662B5">
        <w:rPr>
          <w:sz w:val="22"/>
          <w:szCs w:val="22"/>
        </w:rPr>
        <w:t xml:space="preserve">not </w:t>
      </w:r>
      <w:r w:rsidR="0054564E" w:rsidRPr="001662B5">
        <w:rPr>
          <w:sz w:val="22"/>
          <w:szCs w:val="22"/>
        </w:rPr>
        <w:t>on</w:t>
      </w:r>
      <w:r w:rsidRPr="001662B5">
        <w:rPr>
          <w:sz w:val="22"/>
          <w:szCs w:val="22"/>
        </w:rPr>
        <w:t xml:space="preserve"> a </w:t>
      </w:r>
      <w:r w:rsidR="00CC645D" w:rsidRPr="00C5212A">
        <w:rPr>
          <w:sz w:val="22"/>
          <w:szCs w:val="22"/>
        </w:rPr>
        <w:t xml:space="preserve">significant sand and gravel </w:t>
      </w:r>
      <w:r w:rsidRPr="001662B5">
        <w:rPr>
          <w:sz w:val="22"/>
          <w:szCs w:val="22"/>
        </w:rPr>
        <w:t>aquifer;</w:t>
      </w:r>
      <w:r w:rsidR="00283382" w:rsidRPr="001662B5">
        <w:rPr>
          <w:sz w:val="22"/>
          <w:szCs w:val="22"/>
        </w:rPr>
        <w:t xml:space="preserve"> or</w:t>
      </w:r>
    </w:p>
    <w:p w14:paraId="40749F3A" w14:textId="77777777" w:rsidR="002F3CBC" w:rsidRPr="001662B5" w:rsidRDefault="002F3CBC" w:rsidP="000E4EEB">
      <w:pPr>
        <w:rPr>
          <w:sz w:val="22"/>
          <w:szCs w:val="22"/>
        </w:rPr>
      </w:pPr>
    </w:p>
    <w:p w14:paraId="550D3CAD" w14:textId="77777777" w:rsidR="00DA19ED" w:rsidRPr="001662B5" w:rsidRDefault="00DA19ED" w:rsidP="000E4EEB">
      <w:pPr>
        <w:pStyle w:val="ListParagraph"/>
        <w:numPr>
          <w:ilvl w:val="0"/>
          <w:numId w:val="35"/>
        </w:numPr>
        <w:rPr>
          <w:sz w:val="22"/>
          <w:szCs w:val="22"/>
        </w:rPr>
      </w:pPr>
      <w:r w:rsidRPr="001662B5">
        <w:rPr>
          <w:sz w:val="22"/>
          <w:szCs w:val="22"/>
        </w:rPr>
        <w:t>A facility consisting of no more than two double-walled aboveground storage tanks with a total aggregate storage capacity of 1,100 gallons or less on a</w:t>
      </w:r>
      <w:r w:rsidR="00136E04" w:rsidRPr="001662B5">
        <w:rPr>
          <w:sz w:val="22"/>
          <w:szCs w:val="22"/>
        </w:rPr>
        <w:t xml:space="preserve"> single</w:t>
      </w:r>
      <w:r w:rsidRPr="001662B5">
        <w:rPr>
          <w:sz w:val="22"/>
          <w:szCs w:val="22"/>
        </w:rPr>
        <w:t xml:space="preserve"> parcel of property, provided the tank</w:t>
      </w:r>
      <w:r w:rsidR="00136E04" w:rsidRPr="001662B5">
        <w:rPr>
          <w:sz w:val="22"/>
          <w:szCs w:val="22"/>
        </w:rPr>
        <w:t>s are</w:t>
      </w:r>
      <w:r w:rsidRPr="001662B5">
        <w:rPr>
          <w:sz w:val="22"/>
          <w:szCs w:val="22"/>
        </w:rPr>
        <w:t xml:space="preserve"> used exclusively to store diesel fuel for heavy equipment used to mine sand and gravel and further provided the tank meets the requirements of subsection B below.</w:t>
      </w:r>
    </w:p>
    <w:p w14:paraId="77DD930F" w14:textId="77777777" w:rsidR="008C3505" w:rsidRPr="001662B5" w:rsidRDefault="008C3505" w:rsidP="008C3505">
      <w:pPr>
        <w:ind w:right="-144"/>
        <w:rPr>
          <w:sz w:val="22"/>
          <w:szCs w:val="22"/>
        </w:rPr>
      </w:pPr>
    </w:p>
    <w:p w14:paraId="0A5F9AF7" w14:textId="77777777" w:rsidR="00DA19ED" w:rsidRPr="001662B5" w:rsidRDefault="00DA19ED" w:rsidP="002F3CBC">
      <w:pPr>
        <w:ind w:left="720" w:right="-144"/>
        <w:rPr>
          <w:sz w:val="22"/>
          <w:szCs w:val="22"/>
        </w:rPr>
      </w:pPr>
      <w:r w:rsidRPr="001662B5">
        <w:rPr>
          <w:sz w:val="22"/>
          <w:szCs w:val="22"/>
        </w:rPr>
        <w:t>This subsection may not be interpreted to allow the conversion</w:t>
      </w:r>
      <w:r w:rsidR="00265DCC" w:rsidRPr="00C5212A">
        <w:rPr>
          <w:sz w:val="22"/>
          <w:szCs w:val="22"/>
        </w:rPr>
        <w:t>,</w:t>
      </w:r>
      <w:r w:rsidRPr="001662B5">
        <w:rPr>
          <w:sz w:val="22"/>
          <w:szCs w:val="22"/>
        </w:rPr>
        <w:t xml:space="preserve"> expansion </w:t>
      </w:r>
      <w:r w:rsidR="00265DCC" w:rsidRPr="00C5212A">
        <w:rPr>
          <w:sz w:val="22"/>
          <w:szCs w:val="22"/>
        </w:rPr>
        <w:t xml:space="preserve">or replacement </w:t>
      </w:r>
      <w:r w:rsidRPr="001662B5">
        <w:rPr>
          <w:sz w:val="22"/>
          <w:szCs w:val="22"/>
        </w:rPr>
        <w:t xml:space="preserve">of an underground oil storage tank or underground oil storage facility subject to the abandonment requirements of </w:t>
      </w:r>
      <w:r w:rsidR="00265DCC" w:rsidRPr="00C5212A">
        <w:rPr>
          <w:sz w:val="22"/>
          <w:szCs w:val="22"/>
        </w:rPr>
        <w:t xml:space="preserve">38 M.R.S. </w:t>
      </w:r>
      <w:r w:rsidR="00F0133C">
        <w:rPr>
          <w:sz w:val="22"/>
          <w:szCs w:val="22"/>
        </w:rPr>
        <w:t>§</w:t>
      </w:r>
      <w:r w:rsidR="00265DCC" w:rsidRPr="00C5212A">
        <w:rPr>
          <w:sz w:val="22"/>
          <w:szCs w:val="22"/>
        </w:rPr>
        <w:t xml:space="preserve">566-A and </w:t>
      </w:r>
      <w:r w:rsidRPr="001662B5">
        <w:rPr>
          <w:sz w:val="22"/>
          <w:szCs w:val="22"/>
        </w:rPr>
        <w:t xml:space="preserve">Chapter </w:t>
      </w:r>
      <w:r w:rsidRPr="00C5212A">
        <w:rPr>
          <w:sz w:val="22"/>
          <w:szCs w:val="22"/>
        </w:rPr>
        <w:t>691</w:t>
      </w:r>
      <w:r w:rsidR="00953BC8" w:rsidRPr="00C5212A">
        <w:rPr>
          <w:sz w:val="22"/>
          <w:szCs w:val="22"/>
        </w:rPr>
        <w:t xml:space="preserve"> </w:t>
      </w:r>
      <w:r w:rsidR="00F0133C">
        <w:rPr>
          <w:sz w:val="22"/>
          <w:szCs w:val="22"/>
        </w:rPr>
        <w:t>§</w:t>
      </w:r>
      <w:r w:rsidRPr="001662B5">
        <w:rPr>
          <w:sz w:val="22"/>
          <w:szCs w:val="22"/>
        </w:rPr>
        <w:t>11.</w:t>
      </w:r>
    </w:p>
    <w:p w14:paraId="10C8BA98" w14:textId="77777777" w:rsidR="008C3505" w:rsidRPr="001662B5" w:rsidRDefault="008C3505" w:rsidP="002F3CBC">
      <w:pPr>
        <w:ind w:left="720" w:right="-144"/>
        <w:rPr>
          <w:sz w:val="22"/>
          <w:szCs w:val="22"/>
        </w:rPr>
      </w:pPr>
    </w:p>
    <w:p w14:paraId="7FAB09EB" w14:textId="77777777" w:rsidR="00DA19ED" w:rsidRPr="001662B5" w:rsidRDefault="00DA19ED" w:rsidP="008C3505">
      <w:pPr>
        <w:pStyle w:val="BodyTextIndent3"/>
        <w:numPr>
          <w:ilvl w:val="0"/>
          <w:numId w:val="34"/>
        </w:numPr>
        <w:spacing w:line="240" w:lineRule="auto"/>
        <w:rPr>
          <w:sz w:val="22"/>
          <w:szCs w:val="22"/>
        </w:rPr>
      </w:pPr>
      <w:r w:rsidRPr="001662B5">
        <w:rPr>
          <w:b/>
          <w:sz w:val="22"/>
          <w:szCs w:val="22"/>
        </w:rPr>
        <w:t xml:space="preserve">Requirements for use of diesel fuel supply tanks </w:t>
      </w:r>
      <w:r w:rsidR="00F37987" w:rsidRPr="0086013B">
        <w:rPr>
          <w:b/>
          <w:sz w:val="22"/>
          <w:szCs w:val="22"/>
        </w:rPr>
        <w:t>o</w:t>
      </w:r>
      <w:r w:rsidRPr="001662B5">
        <w:rPr>
          <w:b/>
          <w:sz w:val="22"/>
          <w:szCs w:val="22"/>
        </w:rPr>
        <w:t xml:space="preserve">n mapped </w:t>
      </w:r>
      <w:r w:rsidR="00490502" w:rsidRPr="0086013B">
        <w:rPr>
          <w:b/>
          <w:sz w:val="22"/>
          <w:szCs w:val="22"/>
        </w:rPr>
        <w:t xml:space="preserve">significant sand and gravel </w:t>
      </w:r>
      <w:r w:rsidRPr="001662B5">
        <w:rPr>
          <w:b/>
          <w:sz w:val="22"/>
          <w:szCs w:val="22"/>
        </w:rPr>
        <w:t>aquifers.</w:t>
      </w:r>
      <w:r w:rsidR="00E70FA0" w:rsidRPr="001662B5">
        <w:rPr>
          <w:b/>
          <w:sz w:val="22"/>
          <w:szCs w:val="22"/>
        </w:rPr>
        <w:t xml:space="preserve"> </w:t>
      </w:r>
      <w:r w:rsidRPr="001662B5">
        <w:rPr>
          <w:sz w:val="22"/>
          <w:szCs w:val="22"/>
        </w:rPr>
        <w:t xml:space="preserve">As provided under subsection A, paragraph </w:t>
      </w:r>
      <w:r w:rsidR="00194E93" w:rsidRPr="001662B5">
        <w:rPr>
          <w:sz w:val="22"/>
          <w:szCs w:val="22"/>
        </w:rPr>
        <w:t>7</w:t>
      </w:r>
      <w:r w:rsidRPr="001662B5">
        <w:rPr>
          <w:sz w:val="22"/>
          <w:szCs w:val="22"/>
        </w:rPr>
        <w:t>, the aboveground storage of diesel fuel for equipment used to mine sand and gravel is exempt from the siting prohibition of this section provided:</w:t>
      </w:r>
    </w:p>
    <w:p w14:paraId="5FA87F1F" w14:textId="77777777" w:rsidR="008C3505" w:rsidRPr="001662B5" w:rsidRDefault="008C3505" w:rsidP="008C3505">
      <w:pPr>
        <w:pStyle w:val="BodyTextIndent3"/>
        <w:spacing w:line="240" w:lineRule="auto"/>
        <w:ind w:left="720" w:firstLine="0"/>
        <w:rPr>
          <w:b/>
          <w:sz w:val="22"/>
          <w:szCs w:val="22"/>
        </w:rPr>
      </w:pPr>
    </w:p>
    <w:p w14:paraId="5E21A0C0" w14:textId="77777777" w:rsidR="00DA19ED" w:rsidRPr="001662B5" w:rsidRDefault="00DA19ED" w:rsidP="000E4EEB">
      <w:pPr>
        <w:pStyle w:val="BodyTextIndent3"/>
        <w:numPr>
          <w:ilvl w:val="0"/>
          <w:numId w:val="37"/>
        </w:numPr>
        <w:spacing w:line="240" w:lineRule="auto"/>
        <w:rPr>
          <w:sz w:val="22"/>
          <w:szCs w:val="22"/>
        </w:rPr>
      </w:pPr>
      <w:r w:rsidRPr="001662B5">
        <w:rPr>
          <w:sz w:val="22"/>
          <w:szCs w:val="22"/>
        </w:rPr>
        <w:t>The oil storage facility is part of a</w:t>
      </w:r>
      <w:r w:rsidRPr="001662B5">
        <w:rPr>
          <w:b/>
          <w:sz w:val="22"/>
          <w:szCs w:val="22"/>
        </w:rPr>
        <w:t xml:space="preserve"> </w:t>
      </w:r>
      <w:r w:rsidRPr="001662B5">
        <w:rPr>
          <w:sz w:val="22"/>
          <w:szCs w:val="22"/>
        </w:rPr>
        <w:t>mining operation for sand and gravel licensed in accordance with 38</w:t>
      </w:r>
      <w:r w:rsidR="00684DCF" w:rsidRPr="001662B5">
        <w:rPr>
          <w:sz w:val="22"/>
          <w:szCs w:val="22"/>
        </w:rPr>
        <w:t xml:space="preserve"> </w:t>
      </w:r>
      <w:r w:rsidR="00E70FA0" w:rsidRPr="001662B5">
        <w:rPr>
          <w:sz w:val="22"/>
          <w:szCs w:val="22"/>
        </w:rPr>
        <w:t>M.R.S.</w:t>
      </w:r>
      <w:r w:rsidR="00684DCF" w:rsidRPr="001662B5">
        <w:rPr>
          <w:sz w:val="22"/>
          <w:szCs w:val="22"/>
        </w:rPr>
        <w:t xml:space="preserve"> §§</w:t>
      </w:r>
      <w:r w:rsidRPr="001662B5">
        <w:rPr>
          <w:sz w:val="22"/>
          <w:szCs w:val="22"/>
        </w:rPr>
        <w:t xml:space="preserve"> 481 through 490 and 490-A through 490</w:t>
      </w:r>
      <w:r w:rsidR="00E258A7" w:rsidRPr="001662B5">
        <w:rPr>
          <w:sz w:val="22"/>
          <w:szCs w:val="22"/>
        </w:rPr>
        <w:noBreakHyphen/>
      </w:r>
      <w:r w:rsidRPr="001662B5">
        <w:rPr>
          <w:sz w:val="22"/>
          <w:szCs w:val="22"/>
        </w:rPr>
        <w:t>K;</w:t>
      </w:r>
    </w:p>
    <w:p w14:paraId="4B20D372" w14:textId="77777777" w:rsidR="008C3505" w:rsidRPr="001662B5" w:rsidRDefault="008C3505" w:rsidP="008C3505">
      <w:pPr>
        <w:pStyle w:val="BodyTextIndent3"/>
        <w:spacing w:line="240" w:lineRule="auto"/>
        <w:ind w:right="-144" w:firstLine="0"/>
        <w:rPr>
          <w:sz w:val="22"/>
          <w:szCs w:val="22"/>
        </w:rPr>
      </w:pPr>
    </w:p>
    <w:p w14:paraId="455C9342" w14:textId="77777777" w:rsidR="00DA19ED" w:rsidRPr="001662B5" w:rsidRDefault="00DA19ED" w:rsidP="008C3505">
      <w:pPr>
        <w:pStyle w:val="BodyTextIndent3"/>
        <w:numPr>
          <w:ilvl w:val="0"/>
          <w:numId w:val="37"/>
        </w:numPr>
        <w:spacing w:line="240" w:lineRule="auto"/>
        <w:rPr>
          <w:sz w:val="22"/>
          <w:szCs w:val="22"/>
        </w:rPr>
      </w:pPr>
      <w:r w:rsidRPr="001662B5">
        <w:rPr>
          <w:sz w:val="22"/>
          <w:szCs w:val="22"/>
        </w:rPr>
        <w:t xml:space="preserve">The tank is not located on a portion of the </w:t>
      </w:r>
      <w:r w:rsidR="00490502" w:rsidRPr="0086013B">
        <w:rPr>
          <w:sz w:val="22"/>
          <w:szCs w:val="22"/>
        </w:rPr>
        <w:t xml:space="preserve">significant </w:t>
      </w:r>
      <w:r w:rsidRPr="001662B5">
        <w:rPr>
          <w:sz w:val="22"/>
          <w:szCs w:val="22"/>
        </w:rPr>
        <w:t>sand and gravel aquifer mapped as a high potential aquifer with a yield exceeding 50 gallons per minute;</w:t>
      </w:r>
      <w:r w:rsidR="003774B5">
        <w:rPr>
          <w:sz w:val="22"/>
          <w:szCs w:val="22"/>
        </w:rPr>
        <w:t xml:space="preserve"> and</w:t>
      </w:r>
    </w:p>
    <w:p w14:paraId="0B8A1276" w14:textId="77777777" w:rsidR="008C3505" w:rsidRPr="001662B5" w:rsidRDefault="008C3505" w:rsidP="008C3505">
      <w:pPr>
        <w:pStyle w:val="BodyTextIndent3"/>
        <w:spacing w:line="240" w:lineRule="auto"/>
        <w:ind w:left="0" w:firstLine="0"/>
        <w:rPr>
          <w:sz w:val="22"/>
          <w:szCs w:val="22"/>
        </w:rPr>
      </w:pPr>
    </w:p>
    <w:p w14:paraId="4AF2F748" w14:textId="77777777" w:rsidR="00DA19ED" w:rsidRPr="001662B5" w:rsidRDefault="00DA19ED" w:rsidP="008C3505">
      <w:pPr>
        <w:pStyle w:val="BodyTextIndent3"/>
        <w:numPr>
          <w:ilvl w:val="0"/>
          <w:numId w:val="37"/>
        </w:numPr>
        <w:spacing w:line="240" w:lineRule="auto"/>
        <w:rPr>
          <w:sz w:val="22"/>
          <w:szCs w:val="22"/>
        </w:rPr>
      </w:pPr>
      <w:r w:rsidRPr="001662B5">
        <w:rPr>
          <w:sz w:val="22"/>
          <w:szCs w:val="22"/>
        </w:rPr>
        <w:t xml:space="preserve">The tank is not located in a wellhead protection zone as defined by </w:t>
      </w:r>
      <w:r w:rsidR="004C55F7" w:rsidRPr="0086013B">
        <w:rPr>
          <w:sz w:val="22"/>
          <w:szCs w:val="22"/>
        </w:rPr>
        <w:t>this Chapter</w:t>
      </w:r>
      <w:r w:rsidRPr="001662B5">
        <w:rPr>
          <w:sz w:val="22"/>
          <w:szCs w:val="22"/>
        </w:rPr>
        <w:t>;</w:t>
      </w:r>
    </w:p>
    <w:p w14:paraId="66056AC2" w14:textId="77777777" w:rsidR="008C3505" w:rsidRPr="001662B5" w:rsidRDefault="008C3505" w:rsidP="008C3505">
      <w:pPr>
        <w:pStyle w:val="BodyTextIndent3"/>
        <w:spacing w:line="240" w:lineRule="auto"/>
        <w:ind w:left="0" w:firstLine="0"/>
        <w:rPr>
          <w:sz w:val="22"/>
          <w:szCs w:val="22"/>
        </w:rPr>
      </w:pPr>
    </w:p>
    <w:p w14:paraId="78DD7A00" w14:textId="77777777" w:rsidR="006E241D" w:rsidRPr="001662B5" w:rsidRDefault="006E241D" w:rsidP="000E4EEB">
      <w:pPr>
        <w:pStyle w:val="BodyTextIndent3"/>
        <w:pBdr>
          <w:top w:val="single" w:sz="4" w:space="1" w:color="auto"/>
          <w:bottom w:val="single" w:sz="4" w:space="1" w:color="auto"/>
        </w:pBdr>
        <w:spacing w:line="240" w:lineRule="auto"/>
        <w:ind w:left="720" w:firstLine="0"/>
        <w:rPr>
          <w:sz w:val="22"/>
          <w:szCs w:val="22"/>
        </w:rPr>
      </w:pPr>
      <w:r w:rsidRPr="001662B5">
        <w:rPr>
          <w:b/>
          <w:sz w:val="22"/>
          <w:szCs w:val="22"/>
        </w:rPr>
        <w:t>NOTE:</w:t>
      </w:r>
      <w:r w:rsidRPr="001662B5">
        <w:rPr>
          <w:sz w:val="22"/>
          <w:szCs w:val="22"/>
        </w:rPr>
        <w:t xml:space="preserve"> As resources allow, the </w:t>
      </w:r>
      <w:r w:rsidR="00190210" w:rsidRPr="0086013B">
        <w:rPr>
          <w:sz w:val="22"/>
          <w:szCs w:val="22"/>
        </w:rPr>
        <w:t>D</w:t>
      </w:r>
      <w:r w:rsidRPr="001662B5">
        <w:rPr>
          <w:sz w:val="22"/>
          <w:szCs w:val="22"/>
        </w:rPr>
        <w:t>epartment may be able to assist a facility owner or operator in the determination of the GIS location of the proposed new tank location to determine if a proposed tank location qualifies for this exemption.</w:t>
      </w:r>
      <w:r w:rsidR="00E70FA0" w:rsidRPr="001662B5">
        <w:rPr>
          <w:sz w:val="22"/>
          <w:szCs w:val="22"/>
        </w:rPr>
        <w:t xml:space="preserve"> </w:t>
      </w:r>
      <w:r w:rsidRPr="001662B5">
        <w:rPr>
          <w:sz w:val="22"/>
          <w:szCs w:val="22"/>
        </w:rPr>
        <w:t>Any request for assistance should be made at least 10 business days in advance of the planned installation date on the notification form.</w:t>
      </w:r>
    </w:p>
    <w:p w14:paraId="639E56EC" w14:textId="77777777" w:rsidR="008C3505" w:rsidRPr="001662B5" w:rsidRDefault="008C3505" w:rsidP="002F3CBC">
      <w:pPr>
        <w:pStyle w:val="BodyTextIndent3"/>
        <w:spacing w:line="240" w:lineRule="auto"/>
        <w:rPr>
          <w:sz w:val="22"/>
          <w:szCs w:val="22"/>
        </w:rPr>
      </w:pPr>
    </w:p>
    <w:p w14:paraId="4C797E90" w14:textId="77777777" w:rsidR="00DA19ED" w:rsidRPr="001662B5" w:rsidRDefault="00DA19ED" w:rsidP="008C3505">
      <w:pPr>
        <w:pStyle w:val="BodyTextIndent3"/>
        <w:numPr>
          <w:ilvl w:val="0"/>
          <w:numId w:val="37"/>
        </w:numPr>
        <w:spacing w:line="240" w:lineRule="auto"/>
        <w:rPr>
          <w:sz w:val="22"/>
          <w:szCs w:val="22"/>
        </w:rPr>
      </w:pPr>
      <w:r w:rsidRPr="001662B5">
        <w:rPr>
          <w:sz w:val="22"/>
          <w:szCs w:val="22"/>
        </w:rPr>
        <w:t>The tank is an aboveground, double-walled tank with continuous interstitial space monitoring for leaks and installed in accordance with the following standards:</w:t>
      </w:r>
    </w:p>
    <w:p w14:paraId="6BF94A8D" w14:textId="77777777" w:rsidR="008C3505" w:rsidRPr="001662B5" w:rsidRDefault="008C3505" w:rsidP="008C3505">
      <w:pPr>
        <w:pStyle w:val="BodyTextIndent3"/>
        <w:spacing w:line="240" w:lineRule="auto"/>
        <w:ind w:firstLine="0"/>
        <w:rPr>
          <w:sz w:val="22"/>
          <w:szCs w:val="22"/>
        </w:rPr>
      </w:pPr>
    </w:p>
    <w:p w14:paraId="55AE072C" w14:textId="77777777" w:rsidR="00DA19ED" w:rsidRPr="001662B5" w:rsidRDefault="00DA19ED" w:rsidP="008C3505">
      <w:pPr>
        <w:pStyle w:val="BodyTextIndent3"/>
        <w:numPr>
          <w:ilvl w:val="0"/>
          <w:numId w:val="38"/>
        </w:numPr>
        <w:spacing w:line="240" w:lineRule="auto"/>
        <w:rPr>
          <w:sz w:val="22"/>
          <w:szCs w:val="22"/>
        </w:rPr>
      </w:pPr>
      <w:r w:rsidRPr="001662B5">
        <w:rPr>
          <w:sz w:val="22"/>
          <w:szCs w:val="22"/>
        </w:rPr>
        <w:t>The tank must be listed and constructed in accordance with Underwriters Laboratories Standards 142</w:t>
      </w:r>
      <w:r w:rsidR="00B77EA2" w:rsidRPr="001662B5">
        <w:rPr>
          <w:sz w:val="22"/>
          <w:szCs w:val="22"/>
        </w:rPr>
        <w:t>, 2080</w:t>
      </w:r>
      <w:r w:rsidRPr="001662B5">
        <w:rPr>
          <w:sz w:val="22"/>
          <w:szCs w:val="22"/>
        </w:rPr>
        <w:t xml:space="preserve"> or 2085;</w:t>
      </w:r>
    </w:p>
    <w:p w14:paraId="1055F7E2" w14:textId="77777777" w:rsidR="008C3505" w:rsidRPr="001662B5" w:rsidRDefault="008C3505" w:rsidP="008C3505">
      <w:pPr>
        <w:pStyle w:val="BodyTextIndent3"/>
        <w:spacing w:line="240" w:lineRule="auto"/>
        <w:ind w:left="1440" w:firstLine="0"/>
        <w:rPr>
          <w:sz w:val="22"/>
          <w:szCs w:val="22"/>
        </w:rPr>
      </w:pPr>
    </w:p>
    <w:p w14:paraId="4D1344DC" w14:textId="77777777" w:rsidR="00DA19ED" w:rsidRPr="001662B5" w:rsidRDefault="00DA19ED" w:rsidP="008C3505">
      <w:pPr>
        <w:pStyle w:val="BodyTextIndent3"/>
        <w:numPr>
          <w:ilvl w:val="0"/>
          <w:numId w:val="38"/>
        </w:numPr>
        <w:spacing w:line="240" w:lineRule="auto"/>
        <w:rPr>
          <w:sz w:val="22"/>
          <w:szCs w:val="22"/>
        </w:rPr>
      </w:pPr>
      <w:r w:rsidRPr="001662B5">
        <w:rPr>
          <w:sz w:val="22"/>
          <w:szCs w:val="22"/>
        </w:rPr>
        <w:t>No product piping runs are associated with the tank, and the dispenser is located directly on the tank;</w:t>
      </w:r>
    </w:p>
    <w:p w14:paraId="774588C1" w14:textId="77777777" w:rsidR="008C3505" w:rsidRPr="001662B5" w:rsidRDefault="008C3505" w:rsidP="008C3505">
      <w:pPr>
        <w:pStyle w:val="BodyTextIndent3"/>
        <w:spacing w:line="240" w:lineRule="auto"/>
        <w:ind w:left="0" w:firstLine="0"/>
        <w:rPr>
          <w:sz w:val="22"/>
          <w:szCs w:val="22"/>
        </w:rPr>
      </w:pPr>
    </w:p>
    <w:p w14:paraId="419C5657" w14:textId="77777777" w:rsidR="00DA19ED" w:rsidRPr="001662B5" w:rsidRDefault="00DA19ED" w:rsidP="008C3505">
      <w:pPr>
        <w:pStyle w:val="BodyTextIndent3"/>
        <w:numPr>
          <w:ilvl w:val="0"/>
          <w:numId w:val="38"/>
        </w:numPr>
        <w:spacing w:line="240" w:lineRule="auto"/>
        <w:rPr>
          <w:sz w:val="22"/>
          <w:szCs w:val="22"/>
        </w:rPr>
      </w:pPr>
      <w:r w:rsidRPr="001662B5">
        <w:rPr>
          <w:sz w:val="22"/>
          <w:szCs w:val="22"/>
        </w:rPr>
        <w:t>The tank is equipped with an audible overfill alarm that alerts the operator when the ta</w:t>
      </w:r>
      <w:r w:rsidR="00B77EA2" w:rsidRPr="001662B5">
        <w:rPr>
          <w:sz w:val="22"/>
          <w:szCs w:val="22"/>
        </w:rPr>
        <w:t>nk is 90</w:t>
      </w:r>
      <w:r w:rsidR="00ED61B3" w:rsidRPr="003774B5">
        <w:rPr>
          <w:sz w:val="22"/>
          <w:szCs w:val="22"/>
        </w:rPr>
        <w:t>%</w:t>
      </w:r>
      <w:r w:rsidR="00B77EA2" w:rsidRPr="001662B5">
        <w:rPr>
          <w:sz w:val="22"/>
          <w:szCs w:val="22"/>
        </w:rPr>
        <w:t xml:space="preserve"> of capacity, </w:t>
      </w:r>
      <w:r w:rsidRPr="001662B5">
        <w:rPr>
          <w:sz w:val="22"/>
          <w:szCs w:val="22"/>
        </w:rPr>
        <w:t>equipment that automatically shuts off the flow of the fuel when the tank is 95</w:t>
      </w:r>
      <w:r w:rsidR="00ED61B3" w:rsidRPr="003774B5">
        <w:rPr>
          <w:sz w:val="22"/>
          <w:szCs w:val="22"/>
        </w:rPr>
        <w:t>%</w:t>
      </w:r>
      <w:r w:rsidRPr="001662B5">
        <w:rPr>
          <w:sz w:val="22"/>
          <w:szCs w:val="22"/>
        </w:rPr>
        <w:t xml:space="preserve"> or less of total capacity</w:t>
      </w:r>
      <w:r w:rsidR="00B77EA2" w:rsidRPr="001662B5">
        <w:rPr>
          <w:sz w:val="22"/>
          <w:szCs w:val="22"/>
        </w:rPr>
        <w:t>, and a visual product level gauge</w:t>
      </w:r>
      <w:r w:rsidRPr="001662B5">
        <w:rPr>
          <w:sz w:val="22"/>
          <w:szCs w:val="22"/>
        </w:rPr>
        <w:t>.</w:t>
      </w:r>
      <w:r w:rsidR="00E70FA0" w:rsidRPr="001662B5">
        <w:rPr>
          <w:sz w:val="22"/>
          <w:szCs w:val="22"/>
        </w:rPr>
        <w:t xml:space="preserve"> </w:t>
      </w:r>
      <w:r w:rsidRPr="001662B5">
        <w:rPr>
          <w:sz w:val="22"/>
          <w:szCs w:val="22"/>
        </w:rPr>
        <w:t>Such equipment shall be installed by a manufacturer’s certified representative or a Maine certified underground oil storage tank installer;</w:t>
      </w:r>
    </w:p>
    <w:p w14:paraId="25A915C2" w14:textId="77777777" w:rsidR="008C3505" w:rsidRPr="001662B5" w:rsidRDefault="008C3505" w:rsidP="008C3505">
      <w:pPr>
        <w:pStyle w:val="BodyTextIndent3"/>
        <w:spacing w:line="240" w:lineRule="auto"/>
        <w:ind w:left="0" w:firstLine="0"/>
        <w:rPr>
          <w:sz w:val="22"/>
          <w:szCs w:val="22"/>
        </w:rPr>
      </w:pPr>
    </w:p>
    <w:p w14:paraId="62B47842" w14:textId="77777777" w:rsidR="00DA19ED" w:rsidRPr="001662B5" w:rsidRDefault="00D409AF" w:rsidP="00480783">
      <w:pPr>
        <w:pStyle w:val="BodyTextIndent3"/>
        <w:numPr>
          <w:ilvl w:val="0"/>
          <w:numId w:val="38"/>
        </w:numPr>
        <w:spacing w:line="240" w:lineRule="auto"/>
        <w:ind w:right="-144"/>
        <w:rPr>
          <w:sz w:val="22"/>
          <w:szCs w:val="22"/>
        </w:rPr>
      </w:pPr>
      <w:r w:rsidRPr="001662B5">
        <w:rPr>
          <w:sz w:val="22"/>
          <w:szCs w:val="22"/>
        </w:rPr>
        <w:t>T</w:t>
      </w:r>
      <w:r w:rsidR="00DA19ED" w:rsidRPr="001662B5">
        <w:rPr>
          <w:sz w:val="22"/>
          <w:szCs w:val="22"/>
        </w:rPr>
        <w:t>anks and the vehicle fueling area</w:t>
      </w:r>
      <w:r w:rsidRPr="001662B5">
        <w:rPr>
          <w:sz w:val="22"/>
          <w:szCs w:val="22"/>
        </w:rPr>
        <w:t>s</w:t>
      </w:r>
      <w:r w:rsidR="00DA19ED" w:rsidRPr="001662B5">
        <w:rPr>
          <w:sz w:val="22"/>
          <w:szCs w:val="22"/>
        </w:rPr>
        <w:t xml:space="preserve"> are located on a single impervious concrete pad</w:t>
      </w:r>
      <w:r w:rsidRPr="001662B5">
        <w:rPr>
          <w:sz w:val="22"/>
          <w:szCs w:val="22"/>
        </w:rPr>
        <w:t xml:space="preserve"> or a continuous asphalt pad treated with a petroleum compatible </w:t>
      </w:r>
      <w:r w:rsidR="00815E31" w:rsidRPr="001662B5">
        <w:rPr>
          <w:sz w:val="22"/>
          <w:szCs w:val="22"/>
        </w:rPr>
        <w:t xml:space="preserve">polymer based </w:t>
      </w:r>
      <w:r w:rsidRPr="001662B5">
        <w:rPr>
          <w:sz w:val="22"/>
          <w:szCs w:val="22"/>
        </w:rPr>
        <w:t>sealant</w:t>
      </w:r>
      <w:r w:rsidR="00815E31" w:rsidRPr="001662B5">
        <w:rPr>
          <w:sz w:val="22"/>
          <w:szCs w:val="22"/>
        </w:rPr>
        <w:t>, installed and maintained in accordance with manufacturer instructions</w:t>
      </w:r>
      <w:r w:rsidRPr="001662B5">
        <w:rPr>
          <w:sz w:val="22"/>
          <w:szCs w:val="22"/>
        </w:rPr>
        <w:t>.</w:t>
      </w:r>
      <w:r w:rsidR="00E70FA0" w:rsidRPr="001662B5">
        <w:rPr>
          <w:sz w:val="22"/>
          <w:szCs w:val="22"/>
        </w:rPr>
        <w:t xml:space="preserve"> </w:t>
      </w:r>
      <w:r w:rsidRPr="001662B5">
        <w:rPr>
          <w:sz w:val="22"/>
          <w:szCs w:val="22"/>
        </w:rPr>
        <w:t xml:space="preserve">The pad is to be </w:t>
      </w:r>
      <w:r w:rsidR="00DA19ED" w:rsidRPr="001662B5">
        <w:rPr>
          <w:sz w:val="22"/>
          <w:szCs w:val="22"/>
        </w:rPr>
        <w:t>of adequate size to allow for the clean up of small spills before reaching surrounding soils; and</w:t>
      </w:r>
    </w:p>
    <w:p w14:paraId="40767270" w14:textId="77777777" w:rsidR="00480783" w:rsidRPr="001662B5" w:rsidRDefault="00480783" w:rsidP="00480783">
      <w:pPr>
        <w:pStyle w:val="BodyTextIndent3"/>
        <w:spacing w:line="240" w:lineRule="auto"/>
        <w:ind w:left="0" w:right="-144" w:firstLine="0"/>
        <w:rPr>
          <w:sz w:val="22"/>
          <w:szCs w:val="22"/>
        </w:rPr>
      </w:pPr>
    </w:p>
    <w:p w14:paraId="1B111333" w14:textId="77777777" w:rsidR="00DA19ED" w:rsidRPr="001662B5" w:rsidRDefault="00DA19ED" w:rsidP="002F3CBC">
      <w:pPr>
        <w:pStyle w:val="BodyTextIndent3"/>
        <w:spacing w:line="240" w:lineRule="auto"/>
        <w:ind w:left="1440"/>
        <w:rPr>
          <w:sz w:val="22"/>
          <w:szCs w:val="22"/>
        </w:rPr>
      </w:pPr>
      <w:r w:rsidRPr="001662B5">
        <w:rPr>
          <w:sz w:val="22"/>
          <w:szCs w:val="22"/>
        </w:rPr>
        <w:t>(e)</w:t>
      </w:r>
      <w:r w:rsidR="00E70FA0" w:rsidRPr="001662B5">
        <w:rPr>
          <w:sz w:val="22"/>
          <w:szCs w:val="22"/>
        </w:rPr>
        <w:tab/>
      </w:r>
      <w:r w:rsidRPr="001662B5">
        <w:rPr>
          <w:sz w:val="22"/>
          <w:szCs w:val="22"/>
        </w:rPr>
        <w:t xml:space="preserve">The tank and all other facility equipment are installed in accordance with the manufacturer’s instructions and the rules of the Office of the State Fire Marshal in the Department of Public Safety adopted in accordance with 25 </w:t>
      </w:r>
      <w:r w:rsidR="00E70FA0" w:rsidRPr="001662B5">
        <w:rPr>
          <w:sz w:val="22"/>
          <w:szCs w:val="22"/>
        </w:rPr>
        <w:t>M.R.S.</w:t>
      </w:r>
      <w:r w:rsidRPr="001662B5">
        <w:rPr>
          <w:sz w:val="22"/>
          <w:szCs w:val="22"/>
        </w:rPr>
        <w:t xml:space="preserve"> </w:t>
      </w:r>
      <w:r w:rsidR="00F0133C">
        <w:rPr>
          <w:sz w:val="22"/>
          <w:szCs w:val="22"/>
        </w:rPr>
        <w:t>§</w:t>
      </w:r>
      <w:r w:rsidRPr="001662B5">
        <w:rPr>
          <w:sz w:val="22"/>
          <w:szCs w:val="22"/>
        </w:rPr>
        <w:t>2482, including but not limited to, maintaining a minimum of a 25</w:t>
      </w:r>
      <w:r w:rsidR="00A06DF7" w:rsidRPr="003774B5">
        <w:rPr>
          <w:sz w:val="22"/>
          <w:szCs w:val="22"/>
        </w:rPr>
        <w:t>-</w:t>
      </w:r>
      <w:r w:rsidRPr="001662B5">
        <w:rPr>
          <w:sz w:val="22"/>
          <w:szCs w:val="22"/>
        </w:rPr>
        <w:t>foot setback from all buildings, property lines and public roads.</w:t>
      </w:r>
    </w:p>
    <w:p w14:paraId="791A3D34" w14:textId="77777777" w:rsidR="008C3505" w:rsidRPr="001662B5" w:rsidRDefault="008C3505" w:rsidP="002F3CBC">
      <w:pPr>
        <w:pStyle w:val="BodyTextIndent3"/>
        <w:spacing w:line="240" w:lineRule="auto"/>
        <w:ind w:left="1440"/>
        <w:rPr>
          <w:sz w:val="22"/>
          <w:szCs w:val="22"/>
        </w:rPr>
      </w:pPr>
    </w:p>
    <w:p w14:paraId="7EAADE23" w14:textId="77777777" w:rsidR="00DA19ED" w:rsidRPr="001662B5" w:rsidRDefault="00DA19ED" w:rsidP="008C3505">
      <w:pPr>
        <w:pStyle w:val="BodyTextIndent3"/>
        <w:numPr>
          <w:ilvl w:val="0"/>
          <w:numId w:val="37"/>
        </w:numPr>
        <w:spacing w:line="240" w:lineRule="auto"/>
        <w:rPr>
          <w:sz w:val="22"/>
          <w:szCs w:val="22"/>
        </w:rPr>
      </w:pPr>
      <w:r w:rsidRPr="001662B5">
        <w:rPr>
          <w:sz w:val="22"/>
          <w:szCs w:val="22"/>
        </w:rPr>
        <w:t xml:space="preserve">The </w:t>
      </w:r>
      <w:r w:rsidR="00AC7F43" w:rsidRPr="001662B5">
        <w:rPr>
          <w:sz w:val="22"/>
          <w:szCs w:val="22"/>
        </w:rPr>
        <w:t xml:space="preserve">oil storage facility (i.e., </w:t>
      </w:r>
      <w:r w:rsidRPr="001662B5">
        <w:rPr>
          <w:sz w:val="22"/>
          <w:szCs w:val="22"/>
        </w:rPr>
        <w:t>tank, tank appurtenances and fueling area</w:t>
      </w:r>
      <w:r w:rsidR="00AC7F43" w:rsidRPr="001662B5">
        <w:rPr>
          <w:sz w:val="22"/>
          <w:szCs w:val="22"/>
        </w:rPr>
        <w:t>) is</w:t>
      </w:r>
      <w:r w:rsidRPr="001662B5">
        <w:rPr>
          <w:sz w:val="22"/>
          <w:szCs w:val="22"/>
        </w:rPr>
        <w:t xml:space="preserve"> </w:t>
      </w:r>
      <w:r w:rsidR="00EC411A" w:rsidRPr="001662B5">
        <w:rPr>
          <w:sz w:val="22"/>
          <w:szCs w:val="22"/>
        </w:rPr>
        <w:t xml:space="preserve">operated and </w:t>
      </w:r>
      <w:r w:rsidRPr="001662B5">
        <w:rPr>
          <w:sz w:val="22"/>
          <w:szCs w:val="22"/>
        </w:rPr>
        <w:t xml:space="preserve">maintained </w:t>
      </w:r>
      <w:r w:rsidR="00EC411A" w:rsidRPr="001662B5">
        <w:rPr>
          <w:sz w:val="22"/>
          <w:szCs w:val="22"/>
        </w:rPr>
        <w:t>in accordance with the following requirements</w:t>
      </w:r>
      <w:r w:rsidRPr="001662B5">
        <w:rPr>
          <w:sz w:val="22"/>
          <w:szCs w:val="22"/>
        </w:rPr>
        <w:t>:</w:t>
      </w:r>
    </w:p>
    <w:p w14:paraId="7C18D46E" w14:textId="77777777" w:rsidR="008C3505" w:rsidRPr="001662B5" w:rsidRDefault="008C3505" w:rsidP="008C3505">
      <w:pPr>
        <w:pStyle w:val="BodyTextIndent3"/>
        <w:spacing w:line="240" w:lineRule="auto"/>
        <w:ind w:firstLine="0"/>
        <w:rPr>
          <w:sz w:val="22"/>
          <w:szCs w:val="22"/>
        </w:rPr>
      </w:pPr>
    </w:p>
    <w:p w14:paraId="5F9A7991" w14:textId="77777777" w:rsidR="00E35EBA" w:rsidRPr="001662B5" w:rsidRDefault="00EC411A" w:rsidP="007A214E">
      <w:pPr>
        <w:pStyle w:val="BodyTextIndent3"/>
        <w:numPr>
          <w:ilvl w:val="0"/>
          <w:numId w:val="39"/>
        </w:numPr>
        <w:spacing w:line="240" w:lineRule="auto"/>
        <w:ind w:right="180"/>
        <w:rPr>
          <w:sz w:val="22"/>
          <w:szCs w:val="22"/>
        </w:rPr>
      </w:pPr>
      <w:r w:rsidRPr="001662B5">
        <w:rPr>
          <w:sz w:val="22"/>
          <w:szCs w:val="22"/>
        </w:rPr>
        <w:t xml:space="preserve">Evidence of </w:t>
      </w:r>
      <w:r w:rsidR="00E35EBA" w:rsidRPr="001662B5">
        <w:rPr>
          <w:sz w:val="22"/>
          <w:szCs w:val="22"/>
        </w:rPr>
        <w:t>a leak in the tank</w:t>
      </w:r>
      <w:r w:rsidRPr="001662B5">
        <w:rPr>
          <w:sz w:val="22"/>
          <w:szCs w:val="22"/>
        </w:rPr>
        <w:t>, including fuel in the tank interstitial space as indicated by the leak detection system,</w:t>
      </w:r>
      <w:r w:rsidR="00E35EBA" w:rsidRPr="001662B5">
        <w:rPr>
          <w:sz w:val="22"/>
          <w:szCs w:val="22"/>
        </w:rPr>
        <w:t xml:space="preserve"> </w:t>
      </w:r>
      <w:r w:rsidRPr="001662B5">
        <w:rPr>
          <w:sz w:val="22"/>
          <w:szCs w:val="22"/>
        </w:rPr>
        <w:t xml:space="preserve">must be reported to the </w:t>
      </w:r>
      <w:r w:rsidR="00190210" w:rsidRPr="003774B5">
        <w:rPr>
          <w:sz w:val="22"/>
          <w:szCs w:val="22"/>
        </w:rPr>
        <w:t>D</w:t>
      </w:r>
      <w:r w:rsidRPr="001662B5">
        <w:rPr>
          <w:sz w:val="22"/>
          <w:szCs w:val="22"/>
        </w:rPr>
        <w:t xml:space="preserve">epartment </w:t>
      </w:r>
      <w:r w:rsidR="00E35EBA" w:rsidRPr="001662B5">
        <w:rPr>
          <w:sz w:val="22"/>
          <w:szCs w:val="22"/>
        </w:rPr>
        <w:t>within 24 hours of discovery</w:t>
      </w:r>
      <w:r w:rsidR="00136E04" w:rsidRPr="001662B5">
        <w:rPr>
          <w:sz w:val="22"/>
          <w:szCs w:val="22"/>
        </w:rPr>
        <w:t>.</w:t>
      </w:r>
    </w:p>
    <w:p w14:paraId="4436A863" w14:textId="77777777" w:rsidR="008C3505" w:rsidRPr="001662B5" w:rsidRDefault="008C3505" w:rsidP="008C3505">
      <w:pPr>
        <w:pStyle w:val="BodyTextIndent3"/>
        <w:spacing w:line="240" w:lineRule="auto"/>
        <w:ind w:left="1440" w:right="-144" w:firstLine="0"/>
        <w:rPr>
          <w:sz w:val="22"/>
          <w:szCs w:val="22"/>
        </w:rPr>
      </w:pPr>
    </w:p>
    <w:p w14:paraId="7FE6A957" w14:textId="77777777" w:rsidR="00DA19ED" w:rsidRPr="001662B5" w:rsidRDefault="00AC7F43" w:rsidP="008C3505">
      <w:pPr>
        <w:pStyle w:val="BodyTextIndent3"/>
        <w:numPr>
          <w:ilvl w:val="0"/>
          <w:numId w:val="39"/>
        </w:numPr>
        <w:spacing w:line="240" w:lineRule="auto"/>
        <w:ind w:right="-144"/>
        <w:rPr>
          <w:sz w:val="22"/>
          <w:szCs w:val="22"/>
        </w:rPr>
      </w:pPr>
      <w:r w:rsidRPr="001662B5">
        <w:rPr>
          <w:sz w:val="22"/>
          <w:szCs w:val="22"/>
        </w:rPr>
        <w:t>The facility must be inspected for spills on days when it is in operation receiving or dispensing fuel and a written log or other documentation of the inspections must be maintained at the facility or the owner or operator’s normal place of business for up to three calendar years, with the date and findings of each inspection and initialed by the person conducting the inspection.</w:t>
      </w:r>
    </w:p>
    <w:p w14:paraId="4EFB6478" w14:textId="77777777" w:rsidR="008C3505" w:rsidRPr="001662B5" w:rsidRDefault="008C3505" w:rsidP="008C3505">
      <w:pPr>
        <w:pStyle w:val="BodyTextIndent3"/>
        <w:spacing w:line="240" w:lineRule="auto"/>
        <w:ind w:left="0" w:right="-144" w:firstLine="0"/>
        <w:rPr>
          <w:sz w:val="22"/>
          <w:szCs w:val="22"/>
        </w:rPr>
      </w:pPr>
    </w:p>
    <w:p w14:paraId="1D4A1ECC" w14:textId="77777777" w:rsidR="00DA19ED" w:rsidRPr="001662B5" w:rsidRDefault="00017143" w:rsidP="008C3505">
      <w:pPr>
        <w:pStyle w:val="BodyTextIndent3"/>
        <w:numPr>
          <w:ilvl w:val="0"/>
          <w:numId w:val="39"/>
        </w:numPr>
        <w:spacing w:line="240" w:lineRule="auto"/>
        <w:rPr>
          <w:sz w:val="22"/>
          <w:szCs w:val="22"/>
        </w:rPr>
      </w:pPr>
      <w:r w:rsidRPr="001662B5">
        <w:rPr>
          <w:sz w:val="22"/>
          <w:szCs w:val="22"/>
        </w:rPr>
        <w:t>A</w:t>
      </w:r>
      <w:r w:rsidR="00E35EBA" w:rsidRPr="001662B5">
        <w:rPr>
          <w:sz w:val="22"/>
          <w:szCs w:val="22"/>
        </w:rPr>
        <w:t>ll oil spills and discharges</w:t>
      </w:r>
      <w:r w:rsidRPr="001662B5">
        <w:rPr>
          <w:sz w:val="22"/>
          <w:szCs w:val="22"/>
        </w:rPr>
        <w:t xml:space="preserve"> must be reported</w:t>
      </w:r>
      <w:r w:rsidR="00E35EBA" w:rsidRPr="001662B5">
        <w:rPr>
          <w:sz w:val="22"/>
          <w:szCs w:val="22"/>
        </w:rPr>
        <w:t xml:space="preserve"> to the </w:t>
      </w:r>
      <w:r w:rsidR="00190210" w:rsidRPr="003774B5">
        <w:rPr>
          <w:sz w:val="22"/>
          <w:szCs w:val="22"/>
        </w:rPr>
        <w:t>D</w:t>
      </w:r>
      <w:r w:rsidRPr="001662B5">
        <w:rPr>
          <w:sz w:val="22"/>
          <w:szCs w:val="22"/>
        </w:rPr>
        <w:t>epartment</w:t>
      </w:r>
      <w:r w:rsidR="00E35EBA" w:rsidRPr="001662B5">
        <w:rPr>
          <w:sz w:val="22"/>
          <w:szCs w:val="22"/>
        </w:rPr>
        <w:t xml:space="preserve"> within 2 hours of discovery, and immediately clean</w:t>
      </w:r>
      <w:r w:rsidRPr="001662B5">
        <w:rPr>
          <w:sz w:val="22"/>
          <w:szCs w:val="22"/>
        </w:rPr>
        <w:t xml:space="preserve">ed </w:t>
      </w:r>
      <w:r w:rsidR="00E35EBA" w:rsidRPr="001662B5">
        <w:rPr>
          <w:sz w:val="22"/>
          <w:szCs w:val="22"/>
        </w:rPr>
        <w:t xml:space="preserve">up to the </w:t>
      </w:r>
      <w:r w:rsidR="004C55F7" w:rsidRPr="003774B5">
        <w:rPr>
          <w:sz w:val="22"/>
          <w:szCs w:val="22"/>
        </w:rPr>
        <w:t>Commissioner</w:t>
      </w:r>
      <w:r w:rsidR="00E35EBA" w:rsidRPr="001662B5">
        <w:rPr>
          <w:sz w:val="22"/>
          <w:szCs w:val="22"/>
        </w:rPr>
        <w:t>’s satisfaction</w:t>
      </w:r>
      <w:r w:rsidR="00136E04" w:rsidRPr="001662B5">
        <w:rPr>
          <w:sz w:val="22"/>
          <w:szCs w:val="22"/>
        </w:rPr>
        <w:t>.</w:t>
      </w:r>
    </w:p>
    <w:p w14:paraId="3F8C2B5C" w14:textId="77777777" w:rsidR="008C3505" w:rsidRPr="001662B5" w:rsidRDefault="008C3505" w:rsidP="008C3505">
      <w:pPr>
        <w:pStyle w:val="BodyTextIndent3"/>
        <w:spacing w:line="240" w:lineRule="auto"/>
        <w:ind w:left="0" w:firstLine="0"/>
        <w:rPr>
          <w:sz w:val="22"/>
          <w:szCs w:val="22"/>
        </w:rPr>
      </w:pPr>
    </w:p>
    <w:p w14:paraId="7F684B8C" w14:textId="77777777" w:rsidR="00690FDB" w:rsidRPr="001662B5" w:rsidRDefault="00DA19ED" w:rsidP="000E4EEB">
      <w:pPr>
        <w:pStyle w:val="BodyTextIndent3"/>
        <w:pBdr>
          <w:top w:val="single" w:sz="4" w:space="1" w:color="auto"/>
          <w:bottom w:val="single" w:sz="4" w:space="1" w:color="auto"/>
        </w:pBdr>
        <w:spacing w:line="240" w:lineRule="auto"/>
        <w:ind w:firstLine="0"/>
        <w:rPr>
          <w:sz w:val="22"/>
          <w:szCs w:val="22"/>
        </w:rPr>
      </w:pPr>
      <w:r w:rsidRPr="001662B5">
        <w:rPr>
          <w:b/>
          <w:sz w:val="22"/>
          <w:szCs w:val="22"/>
        </w:rPr>
        <w:t>NOTE:</w:t>
      </w:r>
      <w:r w:rsidR="00E70FA0" w:rsidRPr="001662B5">
        <w:rPr>
          <w:b/>
          <w:sz w:val="22"/>
          <w:szCs w:val="22"/>
        </w:rPr>
        <w:t xml:space="preserve"> </w:t>
      </w:r>
      <w:r w:rsidRPr="001662B5">
        <w:rPr>
          <w:sz w:val="22"/>
          <w:szCs w:val="22"/>
        </w:rPr>
        <w:t>Oil spills may be reported 24 hours a day at 1-800-482-0777</w:t>
      </w:r>
    </w:p>
    <w:p w14:paraId="5F2745F9" w14:textId="77777777" w:rsidR="008C3505" w:rsidRPr="001662B5" w:rsidRDefault="008C3505" w:rsidP="002F3CBC">
      <w:pPr>
        <w:pStyle w:val="BodyTextIndent3"/>
        <w:spacing w:line="240" w:lineRule="auto"/>
        <w:ind w:left="1440"/>
        <w:rPr>
          <w:sz w:val="22"/>
          <w:szCs w:val="22"/>
        </w:rPr>
      </w:pPr>
    </w:p>
    <w:p w14:paraId="00B45513" w14:textId="77777777" w:rsidR="00E70FA0" w:rsidRPr="001662B5" w:rsidRDefault="00017143" w:rsidP="008C3505">
      <w:pPr>
        <w:pStyle w:val="BodyTextIndent3"/>
        <w:numPr>
          <w:ilvl w:val="0"/>
          <w:numId w:val="39"/>
        </w:numPr>
        <w:spacing w:line="240" w:lineRule="auto"/>
        <w:rPr>
          <w:sz w:val="22"/>
          <w:szCs w:val="22"/>
        </w:rPr>
      </w:pPr>
      <w:r w:rsidRPr="001662B5">
        <w:rPr>
          <w:sz w:val="22"/>
          <w:szCs w:val="22"/>
        </w:rPr>
        <w:t>T</w:t>
      </w:r>
      <w:r w:rsidR="00DA19ED" w:rsidRPr="001662B5">
        <w:rPr>
          <w:sz w:val="22"/>
          <w:szCs w:val="22"/>
        </w:rPr>
        <w:t xml:space="preserve">he overfill protection and prevention devices </w:t>
      </w:r>
      <w:r w:rsidRPr="001662B5">
        <w:rPr>
          <w:sz w:val="22"/>
          <w:szCs w:val="22"/>
        </w:rPr>
        <w:t xml:space="preserve">must be operated and maintained </w:t>
      </w:r>
      <w:r w:rsidR="00490502" w:rsidRPr="00DF51B3">
        <w:rPr>
          <w:sz w:val="22"/>
          <w:szCs w:val="22"/>
        </w:rPr>
        <w:t>i</w:t>
      </w:r>
      <w:r w:rsidR="00DA19ED" w:rsidRPr="001662B5">
        <w:rPr>
          <w:sz w:val="22"/>
          <w:szCs w:val="22"/>
        </w:rPr>
        <w:t>n accordance with manufacturer instructions;</w:t>
      </w:r>
    </w:p>
    <w:p w14:paraId="213077CC" w14:textId="77777777" w:rsidR="008C3505" w:rsidRPr="001662B5" w:rsidRDefault="008C3505" w:rsidP="008C3505">
      <w:pPr>
        <w:pStyle w:val="BodyTextIndent3"/>
        <w:spacing w:line="240" w:lineRule="auto"/>
        <w:ind w:left="1440" w:firstLine="0"/>
        <w:rPr>
          <w:sz w:val="22"/>
          <w:szCs w:val="22"/>
        </w:rPr>
      </w:pPr>
    </w:p>
    <w:p w14:paraId="5B7081EF" w14:textId="77777777" w:rsidR="00DA19ED" w:rsidRPr="001662B5" w:rsidRDefault="00017143" w:rsidP="008C3505">
      <w:pPr>
        <w:pStyle w:val="BodyTextIndent3"/>
        <w:numPr>
          <w:ilvl w:val="0"/>
          <w:numId w:val="39"/>
        </w:numPr>
        <w:spacing w:line="240" w:lineRule="auto"/>
        <w:ind w:right="-144"/>
        <w:rPr>
          <w:sz w:val="22"/>
          <w:szCs w:val="22"/>
        </w:rPr>
      </w:pPr>
      <w:r w:rsidRPr="001662B5">
        <w:rPr>
          <w:sz w:val="22"/>
          <w:szCs w:val="22"/>
        </w:rPr>
        <w:t>T</w:t>
      </w:r>
      <w:r w:rsidR="00E866B4" w:rsidRPr="001662B5">
        <w:rPr>
          <w:sz w:val="22"/>
          <w:szCs w:val="22"/>
        </w:rPr>
        <w:t xml:space="preserve">he facility owner or operator </w:t>
      </w:r>
      <w:r w:rsidR="000338CD" w:rsidRPr="001662B5">
        <w:rPr>
          <w:sz w:val="22"/>
          <w:szCs w:val="22"/>
        </w:rPr>
        <w:t>shall</w:t>
      </w:r>
      <w:r w:rsidR="00E866B4" w:rsidRPr="001662B5">
        <w:rPr>
          <w:sz w:val="22"/>
          <w:szCs w:val="22"/>
        </w:rPr>
        <w:t xml:space="preserve"> </w:t>
      </w:r>
      <w:r w:rsidR="00BC5135" w:rsidRPr="001662B5">
        <w:rPr>
          <w:sz w:val="22"/>
          <w:szCs w:val="22"/>
        </w:rPr>
        <w:t xml:space="preserve">require </w:t>
      </w:r>
      <w:r w:rsidR="00E866B4" w:rsidRPr="001662B5">
        <w:rPr>
          <w:sz w:val="22"/>
          <w:szCs w:val="22"/>
        </w:rPr>
        <w:t>fuel delivery personnel to</w:t>
      </w:r>
      <w:r w:rsidRPr="001662B5">
        <w:rPr>
          <w:sz w:val="22"/>
          <w:szCs w:val="22"/>
        </w:rPr>
        <w:t xml:space="preserve">: </w:t>
      </w:r>
      <w:r w:rsidR="00E866B4" w:rsidRPr="001662B5">
        <w:rPr>
          <w:sz w:val="22"/>
          <w:szCs w:val="22"/>
        </w:rPr>
        <w:t>check in with the</w:t>
      </w:r>
      <w:r w:rsidRPr="001662B5">
        <w:rPr>
          <w:sz w:val="22"/>
          <w:szCs w:val="22"/>
        </w:rPr>
        <w:t xml:space="preserve"> on-s</w:t>
      </w:r>
      <w:r w:rsidR="00E866B4" w:rsidRPr="001662B5">
        <w:rPr>
          <w:sz w:val="22"/>
          <w:szCs w:val="22"/>
        </w:rPr>
        <w:t xml:space="preserve">ite representative </w:t>
      </w:r>
      <w:r w:rsidRPr="001662B5">
        <w:rPr>
          <w:sz w:val="22"/>
          <w:szCs w:val="22"/>
        </w:rPr>
        <w:t xml:space="preserve">of the owner or operator </w:t>
      </w:r>
      <w:r w:rsidR="00C967FB" w:rsidRPr="001662B5">
        <w:rPr>
          <w:sz w:val="22"/>
          <w:szCs w:val="22"/>
        </w:rPr>
        <w:t xml:space="preserve">before filling a tank </w:t>
      </w:r>
      <w:r w:rsidR="00E866B4" w:rsidRPr="001662B5">
        <w:rPr>
          <w:sz w:val="22"/>
          <w:szCs w:val="22"/>
        </w:rPr>
        <w:t>to verify the quantity ordered and the tank’s ability to receive that volume</w:t>
      </w:r>
      <w:r w:rsidRPr="001662B5">
        <w:rPr>
          <w:sz w:val="22"/>
          <w:szCs w:val="22"/>
        </w:rPr>
        <w:t xml:space="preserve">; </w:t>
      </w:r>
      <w:r w:rsidR="00E866B4" w:rsidRPr="001662B5">
        <w:rPr>
          <w:sz w:val="22"/>
          <w:szCs w:val="22"/>
        </w:rPr>
        <w:t xml:space="preserve">remain with the </w:t>
      </w:r>
      <w:r w:rsidR="00BC5135" w:rsidRPr="001662B5">
        <w:rPr>
          <w:sz w:val="22"/>
          <w:szCs w:val="22"/>
        </w:rPr>
        <w:t xml:space="preserve">delivery vehicle </w:t>
      </w:r>
      <w:r w:rsidR="00E866B4" w:rsidRPr="001662B5">
        <w:rPr>
          <w:sz w:val="22"/>
          <w:szCs w:val="22"/>
        </w:rPr>
        <w:t>and monitor filling of the tank</w:t>
      </w:r>
      <w:r w:rsidRPr="001662B5">
        <w:rPr>
          <w:sz w:val="22"/>
          <w:szCs w:val="22"/>
        </w:rPr>
        <w:t xml:space="preserve">; </w:t>
      </w:r>
      <w:r w:rsidR="00E866B4" w:rsidRPr="001662B5">
        <w:rPr>
          <w:sz w:val="22"/>
          <w:szCs w:val="22"/>
        </w:rPr>
        <w:t xml:space="preserve">check that </w:t>
      </w:r>
      <w:r w:rsidR="00B77EA2" w:rsidRPr="001662B5">
        <w:rPr>
          <w:sz w:val="22"/>
          <w:szCs w:val="22"/>
        </w:rPr>
        <w:t xml:space="preserve">hose </w:t>
      </w:r>
      <w:r w:rsidR="00E866B4" w:rsidRPr="001662B5">
        <w:rPr>
          <w:sz w:val="22"/>
          <w:szCs w:val="22"/>
        </w:rPr>
        <w:t xml:space="preserve">lines are properly connected and disconnected at the start and completion of </w:t>
      </w:r>
      <w:r w:rsidR="00C967FB" w:rsidRPr="001662B5">
        <w:rPr>
          <w:sz w:val="22"/>
          <w:szCs w:val="22"/>
        </w:rPr>
        <w:t>the filling operation</w:t>
      </w:r>
      <w:r w:rsidRPr="001662B5">
        <w:rPr>
          <w:sz w:val="22"/>
          <w:szCs w:val="22"/>
        </w:rPr>
        <w:t xml:space="preserve">; </w:t>
      </w:r>
      <w:r w:rsidR="00D677F2" w:rsidRPr="001662B5">
        <w:rPr>
          <w:sz w:val="22"/>
          <w:szCs w:val="22"/>
        </w:rPr>
        <w:t>inspect the f</w:t>
      </w:r>
      <w:r w:rsidR="00C967FB" w:rsidRPr="001662B5">
        <w:rPr>
          <w:sz w:val="22"/>
          <w:szCs w:val="22"/>
        </w:rPr>
        <w:t xml:space="preserve">illing </w:t>
      </w:r>
      <w:r w:rsidR="00D677F2" w:rsidRPr="001662B5">
        <w:rPr>
          <w:sz w:val="22"/>
          <w:szCs w:val="22"/>
        </w:rPr>
        <w:t>area for spills</w:t>
      </w:r>
      <w:r w:rsidRPr="001662B5">
        <w:rPr>
          <w:sz w:val="22"/>
          <w:szCs w:val="22"/>
        </w:rPr>
        <w:t>;</w:t>
      </w:r>
      <w:r w:rsidR="00D677F2" w:rsidRPr="001662B5">
        <w:rPr>
          <w:sz w:val="22"/>
          <w:szCs w:val="22"/>
        </w:rPr>
        <w:t xml:space="preserve"> </w:t>
      </w:r>
      <w:r w:rsidR="00BC5135" w:rsidRPr="001662B5">
        <w:rPr>
          <w:sz w:val="22"/>
          <w:szCs w:val="22"/>
        </w:rPr>
        <w:t xml:space="preserve">and </w:t>
      </w:r>
      <w:r w:rsidR="000338CD" w:rsidRPr="001662B5">
        <w:rPr>
          <w:sz w:val="22"/>
          <w:szCs w:val="22"/>
        </w:rPr>
        <w:t xml:space="preserve">report </w:t>
      </w:r>
      <w:r w:rsidR="00D677F2" w:rsidRPr="001662B5">
        <w:rPr>
          <w:sz w:val="22"/>
          <w:szCs w:val="22"/>
        </w:rPr>
        <w:t xml:space="preserve">spills </w:t>
      </w:r>
      <w:r w:rsidR="000338CD" w:rsidRPr="001662B5">
        <w:rPr>
          <w:sz w:val="22"/>
          <w:szCs w:val="22"/>
        </w:rPr>
        <w:t xml:space="preserve">to the </w:t>
      </w:r>
      <w:r w:rsidR="00BC5135" w:rsidRPr="001662B5">
        <w:rPr>
          <w:sz w:val="22"/>
          <w:szCs w:val="22"/>
        </w:rPr>
        <w:t xml:space="preserve">facility </w:t>
      </w:r>
      <w:r w:rsidR="000338CD" w:rsidRPr="001662B5">
        <w:rPr>
          <w:sz w:val="22"/>
          <w:szCs w:val="22"/>
        </w:rPr>
        <w:t xml:space="preserve">on-site </w:t>
      </w:r>
      <w:r w:rsidR="00D677F2" w:rsidRPr="001662B5">
        <w:rPr>
          <w:sz w:val="22"/>
          <w:szCs w:val="22"/>
        </w:rPr>
        <w:t>representative</w:t>
      </w:r>
      <w:r w:rsidR="00BC5135" w:rsidRPr="001662B5">
        <w:rPr>
          <w:sz w:val="22"/>
          <w:szCs w:val="22"/>
        </w:rPr>
        <w:t>.</w:t>
      </w:r>
      <w:r w:rsidR="00E70FA0" w:rsidRPr="001662B5">
        <w:rPr>
          <w:sz w:val="22"/>
          <w:szCs w:val="22"/>
        </w:rPr>
        <w:t xml:space="preserve"> </w:t>
      </w:r>
      <w:r w:rsidR="00BC5135" w:rsidRPr="001662B5">
        <w:rPr>
          <w:sz w:val="22"/>
          <w:szCs w:val="22"/>
        </w:rPr>
        <w:t xml:space="preserve">The facility </w:t>
      </w:r>
      <w:r w:rsidR="00490502" w:rsidRPr="00DF51B3">
        <w:rPr>
          <w:sz w:val="22"/>
          <w:szCs w:val="22"/>
        </w:rPr>
        <w:t>owner</w:t>
      </w:r>
      <w:r w:rsidR="00BC2A03" w:rsidRPr="001662B5">
        <w:rPr>
          <w:sz w:val="22"/>
          <w:szCs w:val="22"/>
        </w:rPr>
        <w:t xml:space="preserve"> and operator shall further ensure that delivery personnel know what </w:t>
      </w:r>
      <w:r w:rsidR="005B0A19" w:rsidRPr="001662B5">
        <w:rPr>
          <w:sz w:val="22"/>
          <w:szCs w:val="22"/>
        </w:rPr>
        <w:t>procedures to follow in the event of an overfill or other spill</w:t>
      </w:r>
      <w:r w:rsidR="00DA19ED" w:rsidRPr="001662B5">
        <w:rPr>
          <w:sz w:val="22"/>
          <w:szCs w:val="22"/>
        </w:rPr>
        <w:t>; and</w:t>
      </w:r>
    </w:p>
    <w:p w14:paraId="06359557" w14:textId="77777777" w:rsidR="008C3505" w:rsidRPr="001662B5" w:rsidRDefault="008C3505" w:rsidP="008C3505">
      <w:pPr>
        <w:pStyle w:val="BodyTextIndent3"/>
        <w:spacing w:line="240" w:lineRule="auto"/>
        <w:ind w:left="0" w:right="-144" w:firstLine="0"/>
        <w:rPr>
          <w:sz w:val="22"/>
          <w:szCs w:val="22"/>
        </w:rPr>
      </w:pPr>
    </w:p>
    <w:p w14:paraId="50AEEECA" w14:textId="77777777" w:rsidR="00E70FA0" w:rsidRPr="001662B5" w:rsidRDefault="00BC2A03" w:rsidP="008C3505">
      <w:pPr>
        <w:pStyle w:val="BodyTextIndent3"/>
        <w:numPr>
          <w:ilvl w:val="0"/>
          <w:numId w:val="39"/>
        </w:numPr>
        <w:spacing w:line="240" w:lineRule="auto"/>
        <w:rPr>
          <w:sz w:val="22"/>
          <w:szCs w:val="22"/>
        </w:rPr>
      </w:pPr>
      <w:r w:rsidRPr="001662B5">
        <w:rPr>
          <w:sz w:val="22"/>
          <w:szCs w:val="22"/>
        </w:rPr>
        <w:t xml:space="preserve">A passing annual inspection of the facility must be submitted to the </w:t>
      </w:r>
      <w:r w:rsidR="00190210" w:rsidRPr="00DF51B3">
        <w:rPr>
          <w:sz w:val="22"/>
          <w:szCs w:val="22"/>
        </w:rPr>
        <w:t>D</w:t>
      </w:r>
      <w:r w:rsidRPr="001662B5">
        <w:rPr>
          <w:sz w:val="22"/>
          <w:szCs w:val="22"/>
        </w:rPr>
        <w:t xml:space="preserve">epartment </w:t>
      </w:r>
      <w:r w:rsidR="00DA19ED" w:rsidRPr="001662B5">
        <w:rPr>
          <w:sz w:val="22"/>
          <w:szCs w:val="22"/>
        </w:rPr>
        <w:t>by July 1, 2013 and each year thereafter</w:t>
      </w:r>
      <w:r w:rsidRPr="001662B5">
        <w:rPr>
          <w:sz w:val="22"/>
          <w:szCs w:val="22"/>
        </w:rPr>
        <w:t>.</w:t>
      </w:r>
      <w:r w:rsidR="00E70FA0" w:rsidRPr="001662B5">
        <w:rPr>
          <w:sz w:val="22"/>
          <w:szCs w:val="22"/>
        </w:rPr>
        <w:t xml:space="preserve"> </w:t>
      </w:r>
      <w:r w:rsidRPr="001662B5">
        <w:rPr>
          <w:sz w:val="22"/>
          <w:szCs w:val="22"/>
        </w:rPr>
        <w:t xml:space="preserve">The inspection must include, but is not </w:t>
      </w:r>
      <w:r w:rsidR="00DA19ED" w:rsidRPr="001662B5">
        <w:rPr>
          <w:sz w:val="22"/>
          <w:szCs w:val="22"/>
        </w:rPr>
        <w:t>limited to</w:t>
      </w:r>
      <w:r w:rsidRPr="001662B5">
        <w:rPr>
          <w:sz w:val="22"/>
          <w:szCs w:val="22"/>
        </w:rPr>
        <w:t>,</w:t>
      </w:r>
      <w:r w:rsidR="00DA19ED" w:rsidRPr="001662B5">
        <w:rPr>
          <w:sz w:val="22"/>
          <w:szCs w:val="22"/>
        </w:rPr>
        <w:t xml:space="preserve"> </w:t>
      </w:r>
      <w:r w:rsidRPr="001662B5">
        <w:rPr>
          <w:sz w:val="22"/>
          <w:szCs w:val="22"/>
        </w:rPr>
        <w:t xml:space="preserve">certification that </w:t>
      </w:r>
      <w:r w:rsidR="00DA19ED" w:rsidRPr="001662B5">
        <w:rPr>
          <w:sz w:val="22"/>
          <w:szCs w:val="22"/>
        </w:rPr>
        <w:t>the overfill protection and prevention equipment and leak detection monitoring</w:t>
      </w:r>
      <w:r w:rsidRPr="001662B5">
        <w:rPr>
          <w:sz w:val="22"/>
          <w:szCs w:val="22"/>
        </w:rPr>
        <w:t xml:space="preserve"> </w:t>
      </w:r>
      <w:r w:rsidR="00DA19ED" w:rsidRPr="001662B5">
        <w:rPr>
          <w:sz w:val="22"/>
          <w:szCs w:val="22"/>
        </w:rPr>
        <w:t>is operating properly.</w:t>
      </w:r>
      <w:r w:rsidR="00E70FA0" w:rsidRPr="001662B5">
        <w:rPr>
          <w:sz w:val="22"/>
          <w:szCs w:val="22"/>
        </w:rPr>
        <w:t xml:space="preserve"> </w:t>
      </w:r>
      <w:r w:rsidR="00DA19ED" w:rsidRPr="001662B5">
        <w:rPr>
          <w:sz w:val="22"/>
          <w:szCs w:val="22"/>
        </w:rPr>
        <w:t xml:space="preserve">Any deficiencies discovered </w:t>
      </w:r>
      <w:r w:rsidRPr="001662B5">
        <w:rPr>
          <w:sz w:val="22"/>
          <w:szCs w:val="22"/>
        </w:rPr>
        <w:t xml:space="preserve">must </w:t>
      </w:r>
      <w:r w:rsidR="00DA19ED" w:rsidRPr="001662B5">
        <w:rPr>
          <w:sz w:val="22"/>
          <w:szCs w:val="22"/>
        </w:rPr>
        <w:t>be corrected prior to the annual July 1 inspection report submission deadline.</w:t>
      </w:r>
      <w:r w:rsidR="00E70FA0" w:rsidRPr="001662B5">
        <w:rPr>
          <w:sz w:val="22"/>
          <w:szCs w:val="22"/>
        </w:rPr>
        <w:t xml:space="preserve"> </w:t>
      </w:r>
      <w:r w:rsidR="00DA19ED" w:rsidRPr="001662B5">
        <w:rPr>
          <w:sz w:val="22"/>
          <w:szCs w:val="22"/>
        </w:rPr>
        <w:t xml:space="preserve">The inspection </w:t>
      </w:r>
      <w:r w:rsidRPr="001662B5">
        <w:rPr>
          <w:sz w:val="22"/>
          <w:szCs w:val="22"/>
        </w:rPr>
        <w:t xml:space="preserve">must </w:t>
      </w:r>
      <w:r w:rsidR="00DA19ED" w:rsidRPr="001662B5">
        <w:rPr>
          <w:sz w:val="22"/>
          <w:szCs w:val="22"/>
        </w:rPr>
        <w:t xml:space="preserve">be conducted </w:t>
      </w:r>
      <w:r w:rsidR="00CD4EAD" w:rsidRPr="001662B5">
        <w:rPr>
          <w:sz w:val="22"/>
          <w:szCs w:val="22"/>
        </w:rPr>
        <w:t xml:space="preserve">in accordance with the equipment manufacturer instructions </w:t>
      </w:r>
      <w:r w:rsidR="00DA19ED" w:rsidRPr="001662B5">
        <w:rPr>
          <w:sz w:val="22"/>
          <w:szCs w:val="22"/>
        </w:rPr>
        <w:t xml:space="preserve">and signed by a </w:t>
      </w:r>
      <w:r w:rsidR="00F13C89" w:rsidRPr="001662B5">
        <w:rPr>
          <w:sz w:val="22"/>
          <w:szCs w:val="22"/>
        </w:rPr>
        <w:t>qualified representative of the facility owner or operator.</w:t>
      </w:r>
      <w:r w:rsidR="00E70FA0" w:rsidRPr="001662B5">
        <w:rPr>
          <w:sz w:val="22"/>
          <w:szCs w:val="22"/>
        </w:rPr>
        <w:t xml:space="preserve"> </w:t>
      </w:r>
      <w:r w:rsidR="00DA19ED" w:rsidRPr="001662B5">
        <w:rPr>
          <w:sz w:val="22"/>
          <w:szCs w:val="22"/>
        </w:rPr>
        <w:t xml:space="preserve">The inspection results </w:t>
      </w:r>
      <w:r w:rsidRPr="001662B5">
        <w:rPr>
          <w:sz w:val="22"/>
          <w:szCs w:val="22"/>
        </w:rPr>
        <w:t xml:space="preserve">must </w:t>
      </w:r>
      <w:r w:rsidR="00DA19ED" w:rsidRPr="001662B5">
        <w:rPr>
          <w:sz w:val="22"/>
          <w:szCs w:val="22"/>
        </w:rPr>
        <w:t xml:space="preserve">be recorded and submitted on a form provided by the </w:t>
      </w:r>
      <w:r w:rsidR="004C55F7" w:rsidRPr="00DF51B3">
        <w:rPr>
          <w:sz w:val="22"/>
          <w:szCs w:val="22"/>
        </w:rPr>
        <w:t>Commissioner</w:t>
      </w:r>
      <w:r w:rsidR="00DA19ED" w:rsidRPr="001662B5">
        <w:rPr>
          <w:sz w:val="22"/>
          <w:szCs w:val="22"/>
        </w:rPr>
        <w:t>.</w:t>
      </w:r>
    </w:p>
    <w:p w14:paraId="620BA076" w14:textId="77777777" w:rsidR="008C3505" w:rsidRPr="001662B5" w:rsidRDefault="008C3505" w:rsidP="008C3505">
      <w:pPr>
        <w:pStyle w:val="BodyTextIndent3"/>
        <w:spacing w:line="240" w:lineRule="auto"/>
        <w:ind w:left="0" w:firstLine="0"/>
        <w:rPr>
          <w:sz w:val="22"/>
          <w:szCs w:val="22"/>
        </w:rPr>
      </w:pPr>
    </w:p>
    <w:p w14:paraId="7317A9FA" w14:textId="77777777" w:rsidR="00690FDB" w:rsidRPr="001662B5" w:rsidRDefault="00DA19ED" w:rsidP="008C3505">
      <w:pPr>
        <w:pStyle w:val="BodyTextIndent3"/>
        <w:numPr>
          <w:ilvl w:val="0"/>
          <w:numId w:val="37"/>
        </w:numPr>
        <w:spacing w:line="240" w:lineRule="auto"/>
        <w:rPr>
          <w:sz w:val="22"/>
          <w:szCs w:val="22"/>
        </w:rPr>
      </w:pPr>
      <w:r w:rsidRPr="001662B5">
        <w:rPr>
          <w:sz w:val="22"/>
          <w:szCs w:val="22"/>
        </w:rPr>
        <w:t xml:space="preserve">The tank owner or operator submits a signed written notice and certification of compliance at least </w:t>
      </w:r>
      <w:r w:rsidR="008C4BD8" w:rsidRPr="001662B5">
        <w:rPr>
          <w:sz w:val="22"/>
          <w:szCs w:val="22"/>
        </w:rPr>
        <w:t>24</w:t>
      </w:r>
      <w:r w:rsidRPr="001662B5">
        <w:rPr>
          <w:sz w:val="22"/>
          <w:szCs w:val="22"/>
        </w:rPr>
        <w:t xml:space="preserve"> </w:t>
      </w:r>
      <w:r w:rsidR="008C4BD8" w:rsidRPr="001662B5">
        <w:rPr>
          <w:sz w:val="22"/>
          <w:szCs w:val="22"/>
        </w:rPr>
        <w:t>hours</w:t>
      </w:r>
      <w:r w:rsidRPr="001662B5">
        <w:rPr>
          <w:sz w:val="22"/>
          <w:szCs w:val="22"/>
        </w:rPr>
        <w:t xml:space="preserve"> prior to installation using </w:t>
      </w:r>
      <w:r w:rsidR="008C4BD8" w:rsidRPr="001662B5">
        <w:rPr>
          <w:sz w:val="22"/>
          <w:szCs w:val="22"/>
        </w:rPr>
        <w:t>a</w:t>
      </w:r>
      <w:r w:rsidRPr="001662B5">
        <w:rPr>
          <w:sz w:val="22"/>
          <w:szCs w:val="22"/>
        </w:rPr>
        <w:t xml:space="preserve"> form provided by the </w:t>
      </w:r>
      <w:r w:rsidR="004C55F7" w:rsidRPr="00DF51B3">
        <w:rPr>
          <w:sz w:val="22"/>
          <w:szCs w:val="22"/>
        </w:rPr>
        <w:t>Commissioner</w:t>
      </w:r>
      <w:r w:rsidRPr="001662B5">
        <w:rPr>
          <w:sz w:val="22"/>
          <w:szCs w:val="22"/>
        </w:rPr>
        <w:t xml:space="preserve"> for that purpose and including, at a minimum, the name and contact information for the facility’s owner and operator, the tank GIS location, driving directions, </w:t>
      </w:r>
      <w:r w:rsidR="008C4BD8" w:rsidRPr="001662B5">
        <w:rPr>
          <w:sz w:val="22"/>
          <w:szCs w:val="22"/>
        </w:rPr>
        <w:t xml:space="preserve">the number of tanks </w:t>
      </w:r>
      <w:r w:rsidRPr="001662B5">
        <w:rPr>
          <w:sz w:val="22"/>
          <w:szCs w:val="22"/>
        </w:rPr>
        <w:t>and the maximum volume</w:t>
      </w:r>
      <w:r w:rsidR="008C4BD8" w:rsidRPr="001662B5">
        <w:rPr>
          <w:sz w:val="22"/>
          <w:szCs w:val="22"/>
        </w:rPr>
        <w:t xml:space="preserve"> of each tank</w:t>
      </w:r>
      <w:r w:rsidR="00BC2A03" w:rsidRPr="001662B5">
        <w:rPr>
          <w:sz w:val="22"/>
          <w:szCs w:val="22"/>
        </w:rPr>
        <w:t>.</w:t>
      </w:r>
      <w:r w:rsidR="00E70FA0" w:rsidRPr="001662B5">
        <w:rPr>
          <w:sz w:val="22"/>
          <w:szCs w:val="22"/>
        </w:rPr>
        <w:t xml:space="preserve"> </w:t>
      </w:r>
      <w:r w:rsidR="00DD783E" w:rsidRPr="001662B5">
        <w:rPr>
          <w:sz w:val="22"/>
          <w:szCs w:val="22"/>
        </w:rPr>
        <w:t>The notice and certification may be provided on the day of installation if the installation is necessitated by any of the following:</w:t>
      </w:r>
    </w:p>
    <w:p w14:paraId="6DE0D73A" w14:textId="77777777" w:rsidR="008C3505" w:rsidRPr="001662B5" w:rsidRDefault="008C3505" w:rsidP="008C3505">
      <w:pPr>
        <w:pStyle w:val="BodyTextIndent3"/>
        <w:spacing w:line="240" w:lineRule="auto"/>
        <w:ind w:firstLine="0"/>
        <w:rPr>
          <w:sz w:val="22"/>
          <w:szCs w:val="22"/>
        </w:rPr>
      </w:pPr>
    </w:p>
    <w:p w14:paraId="65ADAC34" w14:textId="77777777" w:rsidR="00DD783E" w:rsidRPr="001662B5" w:rsidRDefault="00DD783E" w:rsidP="008C3505">
      <w:pPr>
        <w:pStyle w:val="IndentA"/>
        <w:numPr>
          <w:ilvl w:val="0"/>
          <w:numId w:val="40"/>
        </w:numPr>
        <w:spacing w:after="0"/>
        <w:rPr>
          <w:rFonts w:ascii="Times New Roman" w:hAnsi="Times New Roman"/>
          <w:sz w:val="22"/>
          <w:szCs w:val="22"/>
        </w:rPr>
      </w:pPr>
      <w:r w:rsidRPr="001662B5">
        <w:rPr>
          <w:rFonts w:ascii="Times New Roman" w:hAnsi="Times New Roman"/>
          <w:sz w:val="22"/>
          <w:szCs w:val="22"/>
        </w:rPr>
        <w:t>An act of war;</w:t>
      </w:r>
    </w:p>
    <w:p w14:paraId="52B42287" w14:textId="77777777" w:rsidR="008C3505" w:rsidRPr="001662B5" w:rsidRDefault="008C3505" w:rsidP="008C3505">
      <w:pPr>
        <w:pStyle w:val="IndentA"/>
        <w:spacing w:after="0"/>
        <w:ind w:left="1440" w:firstLine="0"/>
        <w:rPr>
          <w:rFonts w:ascii="Times New Roman" w:hAnsi="Times New Roman"/>
          <w:sz w:val="22"/>
          <w:szCs w:val="22"/>
        </w:rPr>
      </w:pPr>
    </w:p>
    <w:p w14:paraId="639D7480" w14:textId="77777777" w:rsidR="00DD783E" w:rsidRPr="001662B5" w:rsidRDefault="00DD783E" w:rsidP="008C3505">
      <w:pPr>
        <w:pStyle w:val="IndentA"/>
        <w:numPr>
          <w:ilvl w:val="0"/>
          <w:numId w:val="40"/>
        </w:numPr>
        <w:spacing w:after="0"/>
        <w:rPr>
          <w:rFonts w:ascii="Times New Roman" w:hAnsi="Times New Roman"/>
          <w:sz w:val="22"/>
          <w:szCs w:val="22"/>
        </w:rPr>
      </w:pPr>
      <w:r w:rsidRPr="001662B5">
        <w:rPr>
          <w:rFonts w:ascii="Times New Roman" w:hAnsi="Times New Roman"/>
          <w:sz w:val="22"/>
          <w:szCs w:val="22"/>
        </w:rPr>
        <w:t>An act of God, meaning an unforeseeable act exclusively occasioned by the violence of nature without the interference of any human agency; or</w:t>
      </w:r>
    </w:p>
    <w:p w14:paraId="2A8B3C13" w14:textId="77777777" w:rsidR="008C3505" w:rsidRPr="001662B5" w:rsidRDefault="008C3505" w:rsidP="008C3505">
      <w:pPr>
        <w:pStyle w:val="IndentA"/>
        <w:spacing w:after="0"/>
        <w:ind w:left="0" w:firstLine="0"/>
        <w:rPr>
          <w:rFonts w:ascii="Times New Roman" w:hAnsi="Times New Roman"/>
          <w:sz w:val="22"/>
          <w:szCs w:val="22"/>
        </w:rPr>
      </w:pPr>
    </w:p>
    <w:p w14:paraId="3A8C7C1F" w14:textId="77777777" w:rsidR="00DA19ED" w:rsidRPr="00551667" w:rsidRDefault="00DD783E" w:rsidP="00551667">
      <w:pPr>
        <w:pStyle w:val="IndentA"/>
        <w:spacing w:after="0"/>
        <w:ind w:left="1440"/>
        <w:rPr>
          <w:rFonts w:ascii="Times New Roman" w:hAnsi="Times New Roman"/>
          <w:sz w:val="22"/>
          <w:szCs w:val="22"/>
        </w:rPr>
      </w:pPr>
      <w:r w:rsidRPr="001662B5">
        <w:rPr>
          <w:rFonts w:ascii="Times New Roman" w:hAnsi="Times New Roman"/>
          <w:sz w:val="22"/>
          <w:szCs w:val="22"/>
        </w:rPr>
        <w:t>(c)</w:t>
      </w:r>
      <w:r w:rsidRPr="001662B5">
        <w:rPr>
          <w:rFonts w:ascii="Times New Roman" w:hAnsi="Times New Roman"/>
          <w:sz w:val="22"/>
          <w:szCs w:val="22"/>
        </w:rPr>
        <w:tab/>
      </w:r>
      <w:r w:rsidRPr="00551667">
        <w:rPr>
          <w:rFonts w:ascii="Times New Roman" w:hAnsi="Times New Roman"/>
          <w:sz w:val="22"/>
          <w:szCs w:val="22"/>
        </w:rPr>
        <w:t>Th</w:t>
      </w:r>
      <w:r w:rsidR="00375959" w:rsidRPr="00551667">
        <w:rPr>
          <w:rFonts w:ascii="Times New Roman" w:hAnsi="Times New Roman"/>
          <w:sz w:val="22"/>
          <w:szCs w:val="22"/>
        </w:rPr>
        <w:t>e proclamation of an emergency</w:t>
      </w:r>
      <w:r w:rsidRPr="00551667">
        <w:rPr>
          <w:rFonts w:ascii="Times New Roman" w:hAnsi="Times New Roman"/>
          <w:sz w:val="22"/>
          <w:szCs w:val="22"/>
        </w:rPr>
        <w:t xml:space="preserve"> pursuant to 38 </w:t>
      </w:r>
      <w:r w:rsidR="00E70FA0" w:rsidRPr="00551667">
        <w:rPr>
          <w:rFonts w:ascii="Times New Roman" w:hAnsi="Times New Roman"/>
          <w:sz w:val="22"/>
          <w:szCs w:val="22"/>
        </w:rPr>
        <w:t>M.R.S.</w:t>
      </w:r>
      <w:r w:rsidRPr="00551667">
        <w:rPr>
          <w:rFonts w:ascii="Times New Roman" w:hAnsi="Times New Roman"/>
          <w:sz w:val="22"/>
          <w:szCs w:val="22"/>
        </w:rPr>
        <w:t xml:space="preserve"> </w:t>
      </w:r>
      <w:r w:rsidR="00F0133C" w:rsidRPr="00551667">
        <w:rPr>
          <w:rFonts w:ascii="Times New Roman" w:hAnsi="Times New Roman"/>
          <w:sz w:val="22"/>
          <w:szCs w:val="22"/>
        </w:rPr>
        <w:t>§</w:t>
      </w:r>
      <w:r w:rsidRPr="00551667">
        <w:rPr>
          <w:rFonts w:ascii="Times New Roman" w:hAnsi="Times New Roman"/>
          <w:sz w:val="22"/>
          <w:szCs w:val="22"/>
        </w:rPr>
        <w:t>547.</w:t>
      </w:r>
      <w:r w:rsidR="008C3505" w:rsidRPr="00551667">
        <w:rPr>
          <w:rFonts w:ascii="Times New Roman" w:hAnsi="Times New Roman"/>
        </w:rPr>
        <w:t xml:space="preserve"> </w:t>
      </w:r>
      <w:r w:rsidR="008C3505" w:rsidRPr="00551667">
        <w:rPr>
          <w:rFonts w:ascii="Times New Roman" w:hAnsi="Times New Roman"/>
          <w:sz w:val="22"/>
          <w:szCs w:val="22"/>
        </w:rPr>
        <w:t>The tank owner</w:t>
      </w:r>
      <w:r w:rsidR="008C3505" w:rsidRPr="00551667">
        <w:rPr>
          <w:rFonts w:ascii="Times New Roman" w:hAnsi="Times New Roman"/>
        </w:rPr>
        <w:t xml:space="preserve"> </w:t>
      </w:r>
      <w:r w:rsidR="008C3505" w:rsidRPr="00551667">
        <w:rPr>
          <w:rFonts w:ascii="Times New Roman" w:hAnsi="Times New Roman"/>
          <w:sz w:val="22"/>
          <w:szCs w:val="22"/>
        </w:rPr>
        <w:t>or</w:t>
      </w:r>
      <w:r w:rsidR="00551667" w:rsidRPr="00551667">
        <w:rPr>
          <w:rFonts w:ascii="Times New Roman" w:hAnsi="Times New Roman"/>
          <w:sz w:val="22"/>
          <w:szCs w:val="22"/>
        </w:rPr>
        <w:t xml:space="preserve"> </w:t>
      </w:r>
      <w:r w:rsidR="007866B1" w:rsidRPr="00551667">
        <w:rPr>
          <w:rFonts w:ascii="Times New Roman" w:hAnsi="Times New Roman"/>
          <w:sz w:val="22"/>
          <w:szCs w:val="22"/>
        </w:rPr>
        <w:t>operator shall submit an amended notice and certification of compliance with</w:t>
      </w:r>
      <w:r w:rsidR="00D22674" w:rsidRPr="00551667">
        <w:rPr>
          <w:rFonts w:ascii="Times New Roman" w:hAnsi="Times New Roman"/>
          <w:sz w:val="22"/>
          <w:szCs w:val="22"/>
        </w:rPr>
        <w:t>in</w:t>
      </w:r>
      <w:r w:rsidR="007866B1" w:rsidRPr="00551667">
        <w:rPr>
          <w:rFonts w:ascii="Times New Roman" w:hAnsi="Times New Roman"/>
          <w:sz w:val="22"/>
          <w:szCs w:val="22"/>
        </w:rPr>
        <w:t xml:space="preserve"> 5</w:t>
      </w:r>
      <w:r w:rsidR="00551667">
        <w:rPr>
          <w:rFonts w:ascii="Times New Roman" w:hAnsi="Times New Roman"/>
          <w:sz w:val="22"/>
          <w:szCs w:val="22"/>
        </w:rPr>
        <w:t> </w:t>
      </w:r>
      <w:r w:rsidR="007866B1" w:rsidRPr="00551667">
        <w:rPr>
          <w:rFonts w:ascii="Times New Roman" w:hAnsi="Times New Roman"/>
          <w:sz w:val="22"/>
          <w:szCs w:val="22"/>
        </w:rPr>
        <w:t xml:space="preserve">business days of a change in </w:t>
      </w:r>
      <w:r w:rsidR="00D22674" w:rsidRPr="00551667">
        <w:rPr>
          <w:rFonts w:ascii="Times New Roman" w:hAnsi="Times New Roman"/>
          <w:sz w:val="22"/>
          <w:szCs w:val="22"/>
        </w:rPr>
        <w:t xml:space="preserve">the </w:t>
      </w:r>
      <w:r w:rsidR="00DA19ED" w:rsidRPr="00551667">
        <w:rPr>
          <w:rFonts w:ascii="Times New Roman" w:hAnsi="Times New Roman"/>
          <w:sz w:val="22"/>
          <w:szCs w:val="22"/>
        </w:rPr>
        <w:t>information</w:t>
      </w:r>
      <w:r w:rsidR="00D22674" w:rsidRPr="00551667">
        <w:rPr>
          <w:rFonts w:ascii="Times New Roman" w:hAnsi="Times New Roman"/>
          <w:sz w:val="22"/>
          <w:szCs w:val="22"/>
        </w:rPr>
        <w:t xml:space="preserve"> provided on the form and within 5</w:t>
      </w:r>
      <w:r w:rsidR="00551667">
        <w:rPr>
          <w:rFonts w:ascii="Times New Roman" w:hAnsi="Times New Roman"/>
          <w:sz w:val="22"/>
          <w:szCs w:val="22"/>
        </w:rPr>
        <w:t> </w:t>
      </w:r>
      <w:r w:rsidR="00D22674" w:rsidRPr="00551667">
        <w:rPr>
          <w:rFonts w:ascii="Times New Roman" w:hAnsi="Times New Roman"/>
          <w:sz w:val="22"/>
          <w:szCs w:val="22"/>
        </w:rPr>
        <w:t xml:space="preserve">business days of </w:t>
      </w:r>
      <w:r w:rsidR="002D06D6" w:rsidRPr="00551667">
        <w:rPr>
          <w:rFonts w:ascii="Times New Roman" w:hAnsi="Times New Roman"/>
          <w:sz w:val="22"/>
          <w:szCs w:val="22"/>
        </w:rPr>
        <w:t>moving</w:t>
      </w:r>
      <w:r w:rsidR="00D22674" w:rsidRPr="00551667">
        <w:rPr>
          <w:rFonts w:ascii="Times New Roman" w:hAnsi="Times New Roman"/>
          <w:sz w:val="22"/>
          <w:szCs w:val="22"/>
        </w:rPr>
        <w:t xml:space="preserve"> a tank between locations that previously have been certified as in compliance with this subsection</w:t>
      </w:r>
      <w:r w:rsidR="000415B1" w:rsidRPr="00551667">
        <w:rPr>
          <w:rFonts w:ascii="Times New Roman" w:hAnsi="Times New Roman"/>
          <w:sz w:val="22"/>
          <w:szCs w:val="22"/>
        </w:rPr>
        <w:t>.</w:t>
      </w:r>
    </w:p>
    <w:p w14:paraId="3A827539" w14:textId="77777777" w:rsidR="008C3505" w:rsidRPr="001662B5" w:rsidRDefault="008C3505" w:rsidP="002F3CBC">
      <w:pPr>
        <w:pStyle w:val="BodyTextIndent3"/>
        <w:spacing w:line="240" w:lineRule="auto"/>
        <w:ind w:firstLine="0"/>
        <w:rPr>
          <w:sz w:val="22"/>
          <w:szCs w:val="22"/>
        </w:rPr>
      </w:pPr>
    </w:p>
    <w:p w14:paraId="39D7DBE2" w14:textId="77777777" w:rsidR="00DA19ED" w:rsidRPr="001662B5" w:rsidRDefault="00DA19ED" w:rsidP="008C3505">
      <w:pPr>
        <w:pStyle w:val="BodyTextIndent3"/>
        <w:numPr>
          <w:ilvl w:val="0"/>
          <w:numId w:val="37"/>
        </w:numPr>
        <w:spacing w:line="240" w:lineRule="auto"/>
        <w:rPr>
          <w:sz w:val="22"/>
          <w:szCs w:val="22"/>
        </w:rPr>
      </w:pPr>
      <w:r w:rsidRPr="001662B5">
        <w:rPr>
          <w:sz w:val="22"/>
          <w:szCs w:val="22"/>
        </w:rPr>
        <w:t>The tank is properly abandoned if it is out of service or intended to be out of service for 24 or more consecutive months, including:</w:t>
      </w:r>
    </w:p>
    <w:p w14:paraId="291B2E37" w14:textId="77777777" w:rsidR="008C3505" w:rsidRPr="001662B5" w:rsidRDefault="008C3505" w:rsidP="008C3505">
      <w:pPr>
        <w:pStyle w:val="BodyTextIndent3"/>
        <w:spacing w:line="240" w:lineRule="auto"/>
        <w:ind w:firstLine="0"/>
        <w:rPr>
          <w:sz w:val="22"/>
          <w:szCs w:val="22"/>
        </w:rPr>
      </w:pPr>
    </w:p>
    <w:p w14:paraId="12C8C7E7" w14:textId="77777777" w:rsidR="00DA19ED" w:rsidRPr="001662B5" w:rsidRDefault="00DA19ED" w:rsidP="008C3505">
      <w:pPr>
        <w:pStyle w:val="BodyTextIndent3"/>
        <w:numPr>
          <w:ilvl w:val="0"/>
          <w:numId w:val="41"/>
        </w:numPr>
        <w:spacing w:line="240" w:lineRule="auto"/>
        <w:rPr>
          <w:sz w:val="22"/>
          <w:szCs w:val="22"/>
        </w:rPr>
      </w:pPr>
      <w:r w:rsidRPr="001662B5">
        <w:rPr>
          <w:sz w:val="22"/>
          <w:szCs w:val="22"/>
        </w:rPr>
        <w:t>Removal of all diesel fuel from the tank;</w:t>
      </w:r>
    </w:p>
    <w:p w14:paraId="3BA9AD2E" w14:textId="77777777" w:rsidR="008C3505" w:rsidRPr="001662B5" w:rsidRDefault="008C3505" w:rsidP="008C3505">
      <w:pPr>
        <w:pStyle w:val="BodyTextIndent3"/>
        <w:spacing w:line="240" w:lineRule="auto"/>
        <w:ind w:left="1440" w:firstLine="0"/>
        <w:rPr>
          <w:sz w:val="22"/>
          <w:szCs w:val="22"/>
        </w:rPr>
      </w:pPr>
    </w:p>
    <w:p w14:paraId="77658364" w14:textId="77777777" w:rsidR="00DA19ED" w:rsidRPr="001662B5" w:rsidRDefault="00DA19ED" w:rsidP="008C3505">
      <w:pPr>
        <w:pStyle w:val="BodyTextIndent3"/>
        <w:numPr>
          <w:ilvl w:val="0"/>
          <w:numId w:val="41"/>
        </w:numPr>
        <w:spacing w:line="240" w:lineRule="auto"/>
        <w:rPr>
          <w:sz w:val="22"/>
          <w:szCs w:val="22"/>
        </w:rPr>
      </w:pPr>
      <w:r w:rsidRPr="001662B5">
        <w:rPr>
          <w:sz w:val="22"/>
          <w:szCs w:val="22"/>
        </w:rPr>
        <w:t>Removal of the tank;</w:t>
      </w:r>
    </w:p>
    <w:p w14:paraId="0C6E90B0" w14:textId="77777777" w:rsidR="008C3505" w:rsidRPr="001662B5" w:rsidRDefault="008C3505" w:rsidP="008C3505">
      <w:pPr>
        <w:pStyle w:val="BodyTextIndent3"/>
        <w:spacing w:line="240" w:lineRule="auto"/>
        <w:ind w:left="0" w:firstLine="0"/>
        <w:rPr>
          <w:sz w:val="22"/>
          <w:szCs w:val="22"/>
        </w:rPr>
      </w:pPr>
    </w:p>
    <w:p w14:paraId="08B15F12" w14:textId="77777777" w:rsidR="00DA19ED" w:rsidRPr="001662B5" w:rsidRDefault="00DA19ED" w:rsidP="008C3505">
      <w:pPr>
        <w:pStyle w:val="BodyTextIndent3"/>
        <w:numPr>
          <w:ilvl w:val="0"/>
          <w:numId w:val="41"/>
        </w:numPr>
        <w:spacing w:line="240" w:lineRule="auto"/>
        <w:rPr>
          <w:sz w:val="22"/>
          <w:szCs w:val="22"/>
        </w:rPr>
      </w:pPr>
      <w:r w:rsidRPr="001662B5">
        <w:rPr>
          <w:sz w:val="22"/>
          <w:szCs w:val="22"/>
        </w:rPr>
        <w:t>Proper disposal or re-use of the tank;</w:t>
      </w:r>
    </w:p>
    <w:p w14:paraId="1798F2AF" w14:textId="77777777" w:rsidR="008C3505" w:rsidRPr="001662B5" w:rsidRDefault="008C3505" w:rsidP="008C3505">
      <w:pPr>
        <w:pStyle w:val="BodyTextIndent3"/>
        <w:spacing w:line="240" w:lineRule="auto"/>
        <w:ind w:left="0" w:firstLine="0"/>
        <w:rPr>
          <w:sz w:val="22"/>
          <w:szCs w:val="22"/>
        </w:rPr>
      </w:pPr>
    </w:p>
    <w:p w14:paraId="61A2DF71" w14:textId="77777777" w:rsidR="00DA19ED" w:rsidRPr="001662B5" w:rsidRDefault="00DA19ED" w:rsidP="008C3505">
      <w:pPr>
        <w:pStyle w:val="BodyTextIndent3"/>
        <w:numPr>
          <w:ilvl w:val="0"/>
          <w:numId w:val="41"/>
        </w:numPr>
        <w:spacing w:line="240" w:lineRule="auto"/>
        <w:rPr>
          <w:sz w:val="22"/>
          <w:szCs w:val="22"/>
        </w:rPr>
      </w:pPr>
      <w:r w:rsidRPr="001662B5">
        <w:rPr>
          <w:sz w:val="22"/>
          <w:szCs w:val="22"/>
        </w:rPr>
        <w:t xml:space="preserve">Written notification to the </w:t>
      </w:r>
      <w:r w:rsidR="004C55F7" w:rsidRPr="00DF51B3">
        <w:rPr>
          <w:sz w:val="22"/>
          <w:szCs w:val="22"/>
        </w:rPr>
        <w:t>Commissioner</w:t>
      </w:r>
      <w:r w:rsidRPr="001662B5">
        <w:rPr>
          <w:sz w:val="22"/>
          <w:szCs w:val="22"/>
        </w:rPr>
        <w:t xml:space="preserve"> 10 business days prior to abandonment; and</w:t>
      </w:r>
    </w:p>
    <w:p w14:paraId="4062D0E9" w14:textId="77777777" w:rsidR="008C3505" w:rsidRPr="001662B5" w:rsidRDefault="008C3505" w:rsidP="008C3505">
      <w:pPr>
        <w:pStyle w:val="BodyTextIndent3"/>
        <w:spacing w:line="240" w:lineRule="auto"/>
        <w:ind w:left="0" w:firstLine="0"/>
        <w:rPr>
          <w:sz w:val="22"/>
          <w:szCs w:val="22"/>
        </w:rPr>
      </w:pPr>
    </w:p>
    <w:p w14:paraId="29F552D6" w14:textId="77777777" w:rsidR="00DA19ED" w:rsidRPr="001662B5" w:rsidRDefault="00DA19ED" w:rsidP="008C3505">
      <w:pPr>
        <w:pStyle w:val="BodyTextIndent3"/>
        <w:numPr>
          <w:ilvl w:val="0"/>
          <w:numId w:val="41"/>
        </w:numPr>
        <w:spacing w:line="240" w:lineRule="auto"/>
        <w:ind w:right="-144"/>
        <w:rPr>
          <w:sz w:val="22"/>
          <w:szCs w:val="22"/>
        </w:rPr>
      </w:pPr>
      <w:r w:rsidRPr="001662B5">
        <w:rPr>
          <w:sz w:val="22"/>
          <w:szCs w:val="22"/>
        </w:rPr>
        <w:t xml:space="preserve">Completion and submission of an environmental site assessment to determine the presence of oil contamination within 30 days of the </w:t>
      </w:r>
      <w:r w:rsidR="00547C33" w:rsidRPr="001662B5">
        <w:rPr>
          <w:sz w:val="22"/>
          <w:szCs w:val="22"/>
        </w:rPr>
        <w:t>transfer of own</w:t>
      </w:r>
      <w:r w:rsidR="00703077" w:rsidRPr="001662B5">
        <w:rPr>
          <w:sz w:val="22"/>
          <w:szCs w:val="22"/>
        </w:rPr>
        <w:t>ership, or a change from a mining operation to another land use</w:t>
      </w:r>
      <w:r w:rsidR="00F946DE" w:rsidRPr="001662B5">
        <w:rPr>
          <w:sz w:val="22"/>
          <w:szCs w:val="22"/>
        </w:rPr>
        <w:t>,</w:t>
      </w:r>
      <w:r w:rsidR="00703077" w:rsidRPr="001662B5">
        <w:rPr>
          <w:sz w:val="22"/>
          <w:szCs w:val="22"/>
        </w:rPr>
        <w:t xml:space="preserve"> </w:t>
      </w:r>
      <w:r w:rsidR="00547C33" w:rsidRPr="001662B5">
        <w:rPr>
          <w:sz w:val="22"/>
          <w:szCs w:val="22"/>
        </w:rPr>
        <w:t>of the parcel upon which the tank was located.</w:t>
      </w:r>
      <w:r w:rsidR="00E70FA0" w:rsidRPr="001662B5">
        <w:rPr>
          <w:sz w:val="22"/>
          <w:szCs w:val="22"/>
        </w:rPr>
        <w:t xml:space="preserve"> </w:t>
      </w:r>
      <w:r w:rsidRPr="001662B5">
        <w:rPr>
          <w:sz w:val="22"/>
          <w:szCs w:val="22"/>
        </w:rPr>
        <w:t xml:space="preserve">The site assessment shall be stamped by a Maine certified geologist, Maine </w:t>
      </w:r>
      <w:r w:rsidR="00ED61B3" w:rsidRPr="00DF51B3">
        <w:rPr>
          <w:sz w:val="22"/>
          <w:szCs w:val="22"/>
        </w:rPr>
        <w:t>licensed</w:t>
      </w:r>
      <w:r w:rsidR="00ED61B3" w:rsidRPr="001662B5">
        <w:rPr>
          <w:sz w:val="22"/>
          <w:szCs w:val="22"/>
          <w:u w:val="single"/>
        </w:rPr>
        <w:t xml:space="preserve"> </w:t>
      </w:r>
      <w:r w:rsidRPr="001662B5">
        <w:rPr>
          <w:sz w:val="22"/>
          <w:szCs w:val="22"/>
        </w:rPr>
        <w:t>professional engineer, or a geologist or engineer otherwise in compliance with Maine’ professional regulation statutes.</w:t>
      </w:r>
      <w:r w:rsidR="00E70FA0" w:rsidRPr="001662B5">
        <w:rPr>
          <w:sz w:val="22"/>
          <w:szCs w:val="22"/>
        </w:rPr>
        <w:t xml:space="preserve"> </w:t>
      </w:r>
      <w:r w:rsidRPr="001662B5">
        <w:rPr>
          <w:sz w:val="22"/>
          <w:szCs w:val="22"/>
        </w:rPr>
        <w:t xml:space="preserve">The site assessment must be conducted to the satisfaction of the </w:t>
      </w:r>
      <w:r w:rsidR="004C55F7" w:rsidRPr="00DF51B3">
        <w:rPr>
          <w:sz w:val="22"/>
          <w:szCs w:val="22"/>
        </w:rPr>
        <w:t>Commissioner</w:t>
      </w:r>
      <w:r w:rsidRPr="001662B5">
        <w:rPr>
          <w:sz w:val="22"/>
          <w:szCs w:val="22"/>
        </w:rPr>
        <w:t xml:space="preserve"> and must include adequate soil sampling and analyses representative of soil conditions immediately surrounding and underlying the facility and sufficient to determine if any contamination is a risk to ground water.</w:t>
      </w:r>
      <w:r w:rsidR="00E70FA0" w:rsidRPr="001662B5">
        <w:rPr>
          <w:sz w:val="22"/>
          <w:szCs w:val="22"/>
        </w:rPr>
        <w:t xml:space="preserve"> </w:t>
      </w:r>
      <w:r w:rsidRPr="001662B5">
        <w:rPr>
          <w:sz w:val="22"/>
          <w:szCs w:val="22"/>
        </w:rPr>
        <w:t>Soil analyses m</w:t>
      </w:r>
      <w:r w:rsidR="00490502" w:rsidRPr="00DF51B3">
        <w:rPr>
          <w:sz w:val="22"/>
          <w:szCs w:val="22"/>
        </w:rPr>
        <w:t>ust</w:t>
      </w:r>
      <w:r w:rsidRPr="001662B5">
        <w:rPr>
          <w:sz w:val="22"/>
          <w:szCs w:val="22"/>
        </w:rPr>
        <w:t xml:space="preserve"> be conducted using a field method approved by the </w:t>
      </w:r>
      <w:r w:rsidR="004C55F7" w:rsidRPr="00DF51B3">
        <w:rPr>
          <w:sz w:val="22"/>
          <w:szCs w:val="22"/>
        </w:rPr>
        <w:t>Commissioner</w:t>
      </w:r>
      <w:r w:rsidRPr="001662B5">
        <w:rPr>
          <w:sz w:val="22"/>
          <w:szCs w:val="22"/>
        </w:rPr>
        <w:t xml:space="preserve"> </w:t>
      </w:r>
      <w:r w:rsidR="00CD4EAD" w:rsidRPr="001662B5">
        <w:rPr>
          <w:sz w:val="22"/>
          <w:szCs w:val="22"/>
        </w:rPr>
        <w:t xml:space="preserve">and </w:t>
      </w:r>
      <w:r w:rsidRPr="001662B5">
        <w:rPr>
          <w:sz w:val="22"/>
          <w:szCs w:val="22"/>
        </w:rPr>
        <w:t>confirmed with a laboratory soil analysis from soil with the highest field readings.</w:t>
      </w:r>
      <w:r w:rsidR="00E70FA0" w:rsidRPr="001662B5">
        <w:rPr>
          <w:sz w:val="22"/>
          <w:szCs w:val="22"/>
        </w:rPr>
        <w:t xml:space="preserve"> </w:t>
      </w:r>
      <w:r w:rsidRPr="001662B5">
        <w:rPr>
          <w:sz w:val="22"/>
          <w:szCs w:val="22"/>
        </w:rPr>
        <w:t>Laboratory samples are to</w:t>
      </w:r>
      <w:r w:rsidR="00426E83" w:rsidRPr="001662B5">
        <w:rPr>
          <w:sz w:val="22"/>
          <w:szCs w:val="22"/>
        </w:rPr>
        <w:t xml:space="preserve"> be</w:t>
      </w:r>
      <w:r w:rsidRPr="001662B5">
        <w:rPr>
          <w:sz w:val="22"/>
          <w:szCs w:val="22"/>
        </w:rPr>
        <w:t xml:space="preserve"> analyzed by </w:t>
      </w:r>
      <w:r w:rsidR="00426E83" w:rsidRPr="001662B5">
        <w:rPr>
          <w:sz w:val="22"/>
          <w:szCs w:val="22"/>
        </w:rPr>
        <w:t xml:space="preserve">a laboratory method approved by the </w:t>
      </w:r>
      <w:r w:rsidR="004C55F7" w:rsidRPr="00DF51B3">
        <w:rPr>
          <w:sz w:val="22"/>
          <w:szCs w:val="22"/>
        </w:rPr>
        <w:t>Commissioner</w:t>
      </w:r>
      <w:r w:rsidR="00426E83" w:rsidRPr="001662B5">
        <w:rPr>
          <w:sz w:val="22"/>
          <w:szCs w:val="22"/>
        </w:rPr>
        <w:t xml:space="preserve"> and </w:t>
      </w:r>
      <w:r w:rsidRPr="001662B5">
        <w:rPr>
          <w:sz w:val="22"/>
          <w:szCs w:val="22"/>
        </w:rPr>
        <w:t>by a laboratory certified by the State of Maine to conduct this analysis.</w:t>
      </w:r>
    </w:p>
    <w:p w14:paraId="4377AD90" w14:textId="77777777" w:rsidR="008C3505" w:rsidRPr="001662B5" w:rsidRDefault="008C3505" w:rsidP="008C3505">
      <w:pPr>
        <w:pStyle w:val="BodyTextIndent3"/>
        <w:spacing w:line="240" w:lineRule="auto"/>
        <w:ind w:left="1440" w:right="-144" w:firstLine="0"/>
        <w:rPr>
          <w:sz w:val="22"/>
          <w:szCs w:val="22"/>
        </w:rPr>
      </w:pPr>
    </w:p>
    <w:p w14:paraId="614A54A3" w14:textId="77777777" w:rsidR="00DA19ED" w:rsidRPr="001662B5" w:rsidRDefault="00DA19ED" w:rsidP="008C3505">
      <w:pPr>
        <w:pStyle w:val="ListParagraph"/>
        <w:numPr>
          <w:ilvl w:val="0"/>
          <w:numId w:val="34"/>
        </w:numPr>
        <w:rPr>
          <w:sz w:val="22"/>
          <w:szCs w:val="22"/>
        </w:rPr>
      </w:pPr>
      <w:r w:rsidRPr="001662B5">
        <w:rPr>
          <w:b/>
          <w:bCs/>
          <w:sz w:val="22"/>
          <w:szCs w:val="22"/>
        </w:rPr>
        <w:t xml:space="preserve">Variance for polluted </w:t>
      </w:r>
      <w:r w:rsidR="00FC5A7C" w:rsidRPr="00DF51B3">
        <w:rPr>
          <w:b/>
          <w:bCs/>
          <w:sz w:val="22"/>
          <w:szCs w:val="22"/>
        </w:rPr>
        <w:t xml:space="preserve">significant sand and </w:t>
      </w:r>
      <w:r w:rsidR="00AE05A7" w:rsidRPr="00DF51B3">
        <w:rPr>
          <w:b/>
          <w:bCs/>
          <w:sz w:val="22"/>
          <w:szCs w:val="22"/>
        </w:rPr>
        <w:t xml:space="preserve">gravel </w:t>
      </w:r>
      <w:r w:rsidRPr="001662B5">
        <w:rPr>
          <w:b/>
          <w:bCs/>
          <w:sz w:val="22"/>
          <w:szCs w:val="22"/>
        </w:rPr>
        <w:t xml:space="preserve">aquifers and other </w:t>
      </w:r>
      <w:r w:rsidR="00FC5A7C" w:rsidRPr="00DF51B3">
        <w:rPr>
          <w:b/>
          <w:bCs/>
          <w:sz w:val="22"/>
          <w:szCs w:val="22"/>
        </w:rPr>
        <w:t xml:space="preserve">significant sand and gravel </w:t>
      </w:r>
      <w:r w:rsidRPr="001662B5">
        <w:rPr>
          <w:b/>
          <w:bCs/>
          <w:sz w:val="22"/>
          <w:szCs w:val="22"/>
        </w:rPr>
        <w:t>aquifers with low potential for use.</w:t>
      </w:r>
      <w:r w:rsidR="00E70FA0" w:rsidRPr="001662B5">
        <w:rPr>
          <w:b/>
          <w:bCs/>
          <w:sz w:val="22"/>
          <w:szCs w:val="22"/>
        </w:rPr>
        <w:t xml:space="preserve"> </w:t>
      </w:r>
      <w:r w:rsidRPr="001662B5">
        <w:rPr>
          <w:sz w:val="22"/>
          <w:szCs w:val="22"/>
        </w:rPr>
        <w:t xml:space="preserve">The </w:t>
      </w:r>
      <w:r w:rsidR="004C55F7" w:rsidRPr="00DF51B3">
        <w:rPr>
          <w:sz w:val="22"/>
          <w:szCs w:val="22"/>
        </w:rPr>
        <w:t>Commissioner</w:t>
      </w:r>
      <w:r w:rsidRPr="001662B5">
        <w:rPr>
          <w:sz w:val="22"/>
          <w:szCs w:val="22"/>
        </w:rPr>
        <w:t xml:space="preserve"> may grant a variance to the prohibition of this section if the </w:t>
      </w:r>
      <w:r w:rsidR="005C5CAD" w:rsidRPr="00DF51B3">
        <w:rPr>
          <w:sz w:val="22"/>
          <w:szCs w:val="22"/>
        </w:rPr>
        <w:t xml:space="preserve">proposed </w:t>
      </w:r>
      <w:r w:rsidR="00C906EA" w:rsidRPr="00DF51B3">
        <w:rPr>
          <w:sz w:val="22"/>
          <w:szCs w:val="22"/>
        </w:rPr>
        <w:t>facility meets the design standards of section 5 and the</w:t>
      </w:r>
      <w:r w:rsidR="00C906EA" w:rsidRPr="001662B5">
        <w:rPr>
          <w:sz w:val="22"/>
          <w:szCs w:val="22"/>
          <w:u w:val="single"/>
        </w:rPr>
        <w:t xml:space="preserve"> </w:t>
      </w:r>
      <w:r w:rsidR="004C55F7" w:rsidRPr="00DF51B3">
        <w:rPr>
          <w:sz w:val="22"/>
          <w:szCs w:val="22"/>
        </w:rPr>
        <w:t>Commissioner</w:t>
      </w:r>
      <w:r w:rsidRPr="001662B5">
        <w:rPr>
          <w:sz w:val="22"/>
          <w:szCs w:val="22"/>
        </w:rPr>
        <w:t xml:space="preserve"> finds that </w:t>
      </w:r>
      <w:r w:rsidRPr="00BF7928">
        <w:rPr>
          <w:sz w:val="22"/>
          <w:szCs w:val="22"/>
        </w:rPr>
        <w:t>the aquifer has a low potential for future use as a public or private drinking water supply because</w:t>
      </w:r>
      <w:r w:rsidR="00DF51B3" w:rsidRPr="00DF51B3">
        <w:rPr>
          <w:sz w:val="22"/>
          <w:szCs w:val="22"/>
        </w:rPr>
        <w:t xml:space="preserve"> </w:t>
      </w:r>
      <w:r w:rsidRPr="001662B5">
        <w:rPr>
          <w:sz w:val="22"/>
          <w:szCs w:val="22"/>
        </w:rPr>
        <w:t>one of the following circumstances applies:</w:t>
      </w:r>
    </w:p>
    <w:p w14:paraId="7B9DDD8F" w14:textId="77777777" w:rsidR="008C3505" w:rsidRPr="001662B5" w:rsidRDefault="008C3505" w:rsidP="008C3505">
      <w:pPr>
        <w:pStyle w:val="ListParagraph"/>
        <w:rPr>
          <w:sz w:val="22"/>
          <w:szCs w:val="22"/>
        </w:rPr>
      </w:pPr>
    </w:p>
    <w:p w14:paraId="7249A9D0" w14:textId="77777777" w:rsidR="003E60B7" w:rsidRPr="001662B5" w:rsidRDefault="00283382" w:rsidP="002F3CBC">
      <w:pPr>
        <w:numPr>
          <w:ilvl w:val="0"/>
          <w:numId w:val="22"/>
        </w:numPr>
        <w:ind w:left="1080"/>
        <w:rPr>
          <w:sz w:val="22"/>
          <w:szCs w:val="22"/>
        </w:rPr>
      </w:pPr>
      <w:r w:rsidRPr="001662B5">
        <w:rPr>
          <w:sz w:val="22"/>
          <w:szCs w:val="22"/>
        </w:rPr>
        <w:t>The proposed facility is located in an urban area of dense commercial or industrial land uses</w:t>
      </w:r>
      <w:r w:rsidR="007F056D" w:rsidRPr="001662B5">
        <w:rPr>
          <w:bCs/>
          <w:sz w:val="22"/>
          <w:szCs w:val="22"/>
          <w:u w:val="single"/>
        </w:rPr>
        <w:t xml:space="preserve"> </w:t>
      </w:r>
      <w:r w:rsidR="007F056D" w:rsidRPr="00685B42">
        <w:rPr>
          <w:bCs/>
          <w:sz w:val="22"/>
          <w:szCs w:val="22"/>
        </w:rPr>
        <w:t xml:space="preserve">or an </w:t>
      </w:r>
      <w:r w:rsidR="00091710" w:rsidRPr="00685B42">
        <w:rPr>
          <w:bCs/>
          <w:sz w:val="22"/>
          <w:szCs w:val="22"/>
        </w:rPr>
        <w:t xml:space="preserve">area </w:t>
      </w:r>
      <w:r w:rsidR="00BF7928" w:rsidRPr="00685B42">
        <w:rPr>
          <w:bCs/>
          <w:sz w:val="22"/>
          <w:szCs w:val="22"/>
        </w:rPr>
        <w:t>where a public water supply well</w:t>
      </w:r>
      <w:r w:rsidRPr="001662B5">
        <w:rPr>
          <w:sz w:val="22"/>
          <w:szCs w:val="22"/>
        </w:rPr>
        <w:t xml:space="preserve"> </w:t>
      </w:r>
      <w:r w:rsidR="00D22674" w:rsidRPr="00BF7928">
        <w:rPr>
          <w:sz w:val="22"/>
          <w:szCs w:val="22"/>
        </w:rPr>
        <w:t xml:space="preserve">is unlikely in the foreseeable future </w:t>
      </w:r>
      <w:r w:rsidRPr="001662B5">
        <w:rPr>
          <w:sz w:val="22"/>
          <w:szCs w:val="22"/>
        </w:rPr>
        <w:t>and a public drinking water system serves all drinking water users within 1</w:t>
      </w:r>
      <w:r w:rsidR="002C4A8D" w:rsidRPr="006179B8">
        <w:rPr>
          <w:sz w:val="22"/>
          <w:szCs w:val="22"/>
        </w:rPr>
        <w:t>,</w:t>
      </w:r>
      <w:r w:rsidRPr="001662B5">
        <w:rPr>
          <w:sz w:val="22"/>
          <w:szCs w:val="22"/>
        </w:rPr>
        <w:t>000 feet of the proposed facility;</w:t>
      </w:r>
    </w:p>
    <w:p w14:paraId="0F047BF0" w14:textId="77777777" w:rsidR="008C3505" w:rsidRPr="001662B5" w:rsidRDefault="008C3505" w:rsidP="008C3505">
      <w:pPr>
        <w:ind w:left="1080"/>
        <w:rPr>
          <w:sz w:val="22"/>
          <w:szCs w:val="22"/>
        </w:rPr>
      </w:pPr>
    </w:p>
    <w:p w14:paraId="3A1364E7" w14:textId="77777777" w:rsidR="001535E1" w:rsidRPr="001662B5" w:rsidRDefault="00A6081F" w:rsidP="002F3CBC">
      <w:pPr>
        <w:numPr>
          <w:ilvl w:val="0"/>
          <w:numId w:val="22"/>
        </w:numPr>
        <w:ind w:left="1080"/>
        <w:rPr>
          <w:sz w:val="22"/>
          <w:szCs w:val="22"/>
        </w:rPr>
      </w:pPr>
      <w:r w:rsidRPr="001662B5">
        <w:rPr>
          <w:sz w:val="22"/>
          <w:szCs w:val="22"/>
        </w:rPr>
        <w:t xml:space="preserve">The </w:t>
      </w:r>
      <w:r w:rsidR="00564A55" w:rsidRPr="006179B8">
        <w:rPr>
          <w:sz w:val="22"/>
          <w:szCs w:val="22"/>
        </w:rPr>
        <w:t xml:space="preserve">proposed facility is located in an area where </w:t>
      </w:r>
      <w:r w:rsidR="002A5CE4" w:rsidRPr="006179B8">
        <w:rPr>
          <w:sz w:val="22"/>
          <w:szCs w:val="22"/>
        </w:rPr>
        <w:t xml:space="preserve">the </w:t>
      </w:r>
      <w:r w:rsidRPr="001662B5">
        <w:rPr>
          <w:sz w:val="22"/>
          <w:szCs w:val="22"/>
        </w:rPr>
        <w:t>installation of drinking water supply wells within 1</w:t>
      </w:r>
      <w:r w:rsidR="000415B1" w:rsidRPr="006179B8">
        <w:rPr>
          <w:sz w:val="22"/>
          <w:szCs w:val="22"/>
        </w:rPr>
        <w:t>,</w:t>
      </w:r>
      <w:r w:rsidRPr="001662B5">
        <w:rPr>
          <w:sz w:val="22"/>
          <w:szCs w:val="22"/>
        </w:rPr>
        <w:t xml:space="preserve">000 feet </w:t>
      </w:r>
      <w:r w:rsidR="005D0B24" w:rsidRPr="001662B5">
        <w:rPr>
          <w:sz w:val="22"/>
          <w:szCs w:val="22"/>
        </w:rPr>
        <w:t xml:space="preserve">of the </w:t>
      </w:r>
      <w:r w:rsidR="003E60B7" w:rsidRPr="006179B8">
        <w:rPr>
          <w:sz w:val="22"/>
          <w:szCs w:val="22"/>
        </w:rPr>
        <w:t xml:space="preserve">proposed </w:t>
      </w:r>
      <w:r w:rsidR="005D0B24" w:rsidRPr="001662B5">
        <w:rPr>
          <w:sz w:val="22"/>
          <w:szCs w:val="22"/>
        </w:rPr>
        <w:t>facility site</w:t>
      </w:r>
      <w:r w:rsidRPr="001662B5">
        <w:rPr>
          <w:sz w:val="22"/>
          <w:szCs w:val="22"/>
        </w:rPr>
        <w:t xml:space="preserve"> is prohibited by property deed restrictions, municipal land use ordinance or a zoning rule of the Maine LU</w:t>
      </w:r>
      <w:r w:rsidR="00EA479F" w:rsidRPr="006179B8">
        <w:rPr>
          <w:sz w:val="22"/>
          <w:szCs w:val="22"/>
        </w:rPr>
        <w:t>P</w:t>
      </w:r>
      <w:r w:rsidRPr="001662B5">
        <w:rPr>
          <w:sz w:val="22"/>
          <w:szCs w:val="22"/>
        </w:rPr>
        <w:t>C;</w:t>
      </w:r>
      <w:r w:rsidR="00826069" w:rsidRPr="006179B8">
        <w:rPr>
          <w:sz w:val="22"/>
          <w:szCs w:val="22"/>
        </w:rPr>
        <w:t xml:space="preserve"> or</w:t>
      </w:r>
    </w:p>
    <w:p w14:paraId="1512CD09" w14:textId="77777777" w:rsidR="008C3505" w:rsidRPr="001662B5" w:rsidRDefault="008C3505" w:rsidP="008C3505">
      <w:pPr>
        <w:rPr>
          <w:sz w:val="22"/>
          <w:szCs w:val="22"/>
        </w:rPr>
      </w:pPr>
    </w:p>
    <w:p w14:paraId="0D5080F4" w14:textId="77777777" w:rsidR="001B4B41" w:rsidRPr="001662B5" w:rsidRDefault="00062EF0" w:rsidP="002F3CBC">
      <w:pPr>
        <w:numPr>
          <w:ilvl w:val="0"/>
          <w:numId w:val="22"/>
        </w:numPr>
        <w:ind w:left="1080"/>
        <w:rPr>
          <w:sz w:val="22"/>
          <w:szCs w:val="22"/>
        </w:rPr>
      </w:pPr>
      <w:r w:rsidRPr="001662B5">
        <w:rPr>
          <w:sz w:val="22"/>
          <w:szCs w:val="22"/>
        </w:rPr>
        <w:t xml:space="preserve">The </w:t>
      </w:r>
      <w:r w:rsidR="008D6995" w:rsidRPr="001662B5">
        <w:rPr>
          <w:sz w:val="22"/>
          <w:szCs w:val="22"/>
        </w:rPr>
        <w:t xml:space="preserve">applicant </w:t>
      </w:r>
      <w:r w:rsidR="00185888" w:rsidRPr="001662B5">
        <w:rPr>
          <w:sz w:val="22"/>
          <w:szCs w:val="22"/>
        </w:rPr>
        <w:t xml:space="preserve">has </w:t>
      </w:r>
      <w:r w:rsidRPr="001662B5">
        <w:rPr>
          <w:sz w:val="22"/>
          <w:szCs w:val="22"/>
        </w:rPr>
        <w:t>submit</w:t>
      </w:r>
      <w:r w:rsidR="00185888" w:rsidRPr="001662B5">
        <w:rPr>
          <w:sz w:val="22"/>
          <w:szCs w:val="22"/>
        </w:rPr>
        <w:t>ted</w:t>
      </w:r>
      <w:r w:rsidRPr="001662B5">
        <w:rPr>
          <w:sz w:val="22"/>
          <w:szCs w:val="22"/>
        </w:rPr>
        <w:t xml:space="preserve"> h</w:t>
      </w:r>
      <w:r w:rsidR="00A6081F" w:rsidRPr="001662B5">
        <w:rPr>
          <w:sz w:val="22"/>
          <w:szCs w:val="22"/>
        </w:rPr>
        <w:t>ydrogeological studies or ground</w:t>
      </w:r>
      <w:r w:rsidR="00C906EA" w:rsidRPr="006179B8">
        <w:rPr>
          <w:sz w:val="22"/>
          <w:szCs w:val="22"/>
        </w:rPr>
        <w:t xml:space="preserve"> </w:t>
      </w:r>
      <w:r w:rsidR="00A6081F" w:rsidRPr="001662B5">
        <w:rPr>
          <w:sz w:val="22"/>
          <w:szCs w:val="22"/>
        </w:rPr>
        <w:t xml:space="preserve">water quality testing data </w:t>
      </w:r>
      <w:r w:rsidRPr="001662B5">
        <w:rPr>
          <w:sz w:val="22"/>
          <w:szCs w:val="22"/>
        </w:rPr>
        <w:t xml:space="preserve">demonstrating to the </w:t>
      </w:r>
      <w:r w:rsidR="004C55F7" w:rsidRPr="006179B8">
        <w:rPr>
          <w:sz w:val="22"/>
          <w:szCs w:val="22"/>
        </w:rPr>
        <w:t>Commissioner</w:t>
      </w:r>
      <w:r w:rsidRPr="001662B5">
        <w:rPr>
          <w:sz w:val="22"/>
          <w:szCs w:val="22"/>
        </w:rPr>
        <w:t xml:space="preserve">’s </w:t>
      </w:r>
      <w:r w:rsidR="00864C3E" w:rsidRPr="001662B5">
        <w:rPr>
          <w:sz w:val="22"/>
          <w:szCs w:val="22"/>
        </w:rPr>
        <w:t>sati</w:t>
      </w:r>
      <w:r w:rsidR="00A6081F" w:rsidRPr="001662B5">
        <w:rPr>
          <w:sz w:val="22"/>
          <w:szCs w:val="22"/>
        </w:rPr>
        <w:t>s</w:t>
      </w:r>
      <w:r w:rsidR="00864C3E" w:rsidRPr="001662B5">
        <w:rPr>
          <w:sz w:val="22"/>
          <w:szCs w:val="22"/>
        </w:rPr>
        <w:t>faction</w:t>
      </w:r>
      <w:r w:rsidR="00A6081F" w:rsidRPr="001662B5">
        <w:rPr>
          <w:sz w:val="22"/>
          <w:szCs w:val="22"/>
        </w:rPr>
        <w:t xml:space="preserve"> that</w:t>
      </w:r>
      <w:r w:rsidR="001B4B41" w:rsidRPr="001662B5">
        <w:rPr>
          <w:sz w:val="22"/>
          <w:szCs w:val="22"/>
        </w:rPr>
        <w:t>:</w:t>
      </w:r>
    </w:p>
    <w:p w14:paraId="646FCA55" w14:textId="77777777" w:rsidR="008C3505" w:rsidRPr="001662B5" w:rsidRDefault="008C3505" w:rsidP="008C3505">
      <w:pPr>
        <w:rPr>
          <w:sz w:val="22"/>
          <w:szCs w:val="22"/>
        </w:rPr>
      </w:pPr>
    </w:p>
    <w:p w14:paraId="2FB219D6" w14:textId="77777777" w:rsidR="001B4B41" w:rsidRPr="001662B5" w:rsidRDefault="001B4B41" w:rsidP="008C3505">
      <w:pPr>
        <w:pStyle w:val="ListParagraph"/>
        <w:numPr>
          <w:ilvl w:val="1"/>
          <w:numId w:val="22"/>
        </w:numPr>
        <w:ind w:right="-144"/>
        <w:rPr>
          <w:sz w:val="22"/>
          <w:szCs w:val="22"/>
        </w:rPr>
      </w:pPr>
      <w:r w:rsidRPr="001662B5">
        <w:rPr>
          <w:sz w:val="22"/>
          <w:szCs w:val="22"/>
        </w:rPr>
        <w:t>T</w:t>
      </w:r>
      <w:r w:rsidR="00A6081F" w:rsidRPr="001662B5">
        <w:rPr>
          <w:sz w:val="22"/>
          <w:szCs w:val="22"/>
        </w:rPr>
        <w:t xml:space="preserve">he </w:t>
      </w:r>
      <w:r w:rsidR="00B0505F" w:rsidRPr="006179B8">
        <w:rPr>
          <w:sz w:val="22"/>
          <w:szCs w:val="22"/>
        </w:rPr>
        <w:t xml:space="preserve">significant sand and gravel </w:t>
      </w:r>
      <w:r w:rsidR="00A6081F" w:rsidRPr="001662B5">
        <w:rPr>
          <w:sz w:val="22"/>
          <w:szCs w:val="22"/>
        </w:rPr>
        <w:t>aquifer is polluted with one or more man-made contaminants in concentrations exceeding federal maximum contaminant levels (MCLs) or a</w:t>
      </w:r>
      <w:r w:rsidR="00F36D64" w:rsidRPr="001662B5">
        <w:rPr>
          <w:sz w:val="22"/>
          <w:szCs w:val="22"/>
        </w:rPr>
        <w:t>n</w:t>
      </w:r>
      <w:r w:rsidR="00A6081F" w:rsidRPr="001662B5">
        <w:rPr>
          <w:sz w:val="22"/>
          <w:szCs w:val="22"/>
        </w:rPr>
        <w:t xml:space="preserve"> MCL or maximum exposure guideline (MEG) established by the Ma</w:t>
      </w:r>
      <w:r w:rsidR="00B304B1" w:rsidRPr="001662B5">
        <w:rPr>
          <w:sz w:val="22"/>
          <w:szCs w:val="22"/>
        </w:rPr>
        <w:t>ine Center for Disease Control and Prevention</w:t>
      </w:r>
      <w:r w:rsidRPr="001662B5">
        <w:rPr>
          <w:sz w:val="22"/>
          <w:szCs w:val="22"/>
        </w:rPr>
        <w:t>;</w:t>
      </w:r>
      <w:r w:rsidR="00A6081F" w:rsidRPr="001662B5">
        <w:rPr>
          <w:sz w:val="22"/>
          <w:szCs w:val="22"/>
        </w:rPr>
        <w:t xml:space="preserve"> and</w:t>
      </w:r>
    </w:p>
    <w:p w14:paraId="5E96035A" w14:textId="77777777" w:rsidR="008C3505" w:rsidRPr="001662B5" w:rsidRDefault="008C3505" w:rsidP="008C3505">
      <w:pPr>
        <w:pStyle w:val="ListParagraph"/>
        <w:ind w:left="1440" w:right="-144"/>
        <w:rPr>
          <w:sz w:val="22"/>
          <w:szCs w:val="22"/>
        </w:rPr>
      </w:pPr>
    </w:p>
    <w:p w14:paraId="3C0B8104" w14:textId="77777777" w:rsidR="00A6081F" w:rsidRPr="001662B5" w:rsidRDefault="001B4B41" w:rsidP="008C3505">
      <w:pPr>
        <w:pStyle w:val="ListParagraph"/>
        <w:numPr>
          <w:ilvl w:val="1"/>
          <w:numId w:val="22"/>
        </w:numPr>
        <w:rPr>
          <w:sz w:val="22"/>
          <w:szCs w:val="22"/>
        </w:rPr>
      </w:pPr>
      <w:r w:rsidRPr="001662B5">
        <w:rPr>
          <w:sz w:val="22"/>
          <w:szCs w:val="22"/>
        </w:rPr>
        <w:t>T</w:t>
      </w:r>
      <w:r w:rsidR="00A6081F" w:rsidRPr="001662B5">
        <w:rPr>
          <w:sz w:val="22"/>
          <w:szCs w:val="22"/>
        </w:rPr>
        <w:t xml:space="preserve">he </w:t>
      </w:r>
      <w:r w:rsidR="00B0505F" w:rsidRPr="006179B8">
        <w:rPr>
          <w:sz w:val="22"/>
          <w:szCs w:val="22"/>
        </w:rPr>
        <w:t xml:space="preserve">significant sand and gravel </w:t>
      </w:r>
      <w:r w:rsidR="00A6081F" w:rsidRPr="001662B5">
        <w:rPr>
          <w:sz w:val="22"/>
          <w:szCs w:val="22"/>
        </w:rPr>
        <w:t xml:space="preserve">aquifer has not been and is not now the subject of a </w:t>
      </w:r>
      <w:r w:rsidR="004C55F7" w:rsidRPr="006179B8">
        <w:rPr>
          <w:sz w:val="22"/>
          <w:szCs w:val="22"/>
        </w:rPr>
        <w:t>Commissioner</w:t>
      </w:r>
      <w:r w:rsidR="00A6081F" w:rsidRPr="001662B5">
        <w:rPr>
          <w:sz w:val="22"/>
          <w:szCs w:val="22"/>
        </w:rPr>
        <w:t>-supervised remediation effort with the goal of the eventual restoration of</w:t>
      </w:r>
      <w:r w:rsidR="00B0505F" w:rsidRPr="006179B8">
        <w:rPr>
          <w:sz w:val="22"/>
          <w:szCs w:val="22"/>
        </w:rPr>
        <w:t>,</w:t>
      </w:r>
      <w:r w:rsidR="00A6081F" w:rsidRPr="001662B5">
        <w:rPr>
          <w:sz w:val="22"/>
          <w:szCs w:val="22"/>
        </w:rPr>
        <w:t xml:space="preserve"> or the protection of</w:t>
      </w:r>
      <w:r w:rsidR="00B0505F" w:rsidRPr="006179B8">
        <w:rPr>
          <w:sz w:val="22"/>
          <w:szCs w:val="22"/>
        </w:rPr>
        <w:t>,</w:t>
      </w:r>
      <w:r w:rsidR="00A6081F" w:rsidRPr="001662B5">
        <w:rPr>
          <w:sz w:val="22"/>
          <w:szCs w:val="22"/>
        </w:rPr>
        <w:t xml:space="preserve"> ground water in the </w:t>
      </w:r>
      <w:r w:rsidR="00B0505F" w:rsidRPr="006179B8">
        <w:rPr>
          <w:sz w:val="22"/>
          <w:szCs w:val="22"/>
        </w:rPr>
        <w:t xml:space="preserve">significant sand and gravel </w:t>
      </w:r>
      <w:r w:rsidR="00A6081F" w:rsidRPr="001662B5">
        <w:rPr>
          <w:sz w:val="22"/>
          <w:szCs w:val="22"/>
        </w:rPr>
        <w:t>aquifer to a quality suitable for human consumption</w:t>
      </w:r>
      <w:r w:rsidR="00826069" w:rsidRPr="006179B8">
        <w:rPr>
          <w:sz w:val="22"/>
          <w:szCs w:val="22"/>
        </w:rPr>
        <w:t>.</w:t>
      </w:r>
    </w:p>
    <w:p w14:paraId="206150D2" w14:textId="77777777" w:rsidR="00D80D98" w:rsidRPr="001662B5" w:rsidRDefault="00D80D98" w:rsidP="00D80D98">
      <w:pPr>
        <w:pStyle w:val="BodyTextIndent2"/>
        <w:tabs>
          <w:tab w:val="left" w:pos="1440"/>
        </w:tabs>
        <w:spacing w:line="240" w:lineRule="auto"/>
        <w:ind w:left="0" w:right="-144" w:firstLine="0"/>
        <w:rPr>
          <w:sz w:val="22"/>
          <w:szCs w:val="22"/>
        </w:rPr>
      </w:pPr>
    </w:p>
    <w:p w14:paraId="50663E03" w14:textId="77777777" w:rsidR="001535E1" w:rsidRPr="001662B5" w:rsidRDefault="00A6081F" w:rsidP="00D80D98">
      <w:pPr>
        <w:pStyle w:val="BodyTextIndent3"/>
        <w:numPr>
          <w:ilvl w:val="0"/>
          <w:numId w:val="34"/>
        </w:numPr>
        <w:spacing w:line="240" w:lineRule="auto"/>
        <w:rPr>
          <w:sz w:val="22"/>
          <w:szCs w:val="22"/>
        </w:rPr>
      </w:pPr>
      <w:r w:rsidRPr="001662B5">
        <w:rPr>
          <w:b/>
          <w:sz w:val="22"/>
          <w:szCs w:val="22"/>
        </w:rPr>
        <w:t xml:space="preserve">Variance for </w:t>
      </w:r>
      <w:r w:rsidR="00F36D64" w:rsidRPr="001662B5">
        <w:rPr>
          <w:b/>
          <w:sz w:val="22"/>
          <w:szCs w:val="22"/>
        </w:rPr>
        <w:t>m</w:t>
      </w:r>
      <w:r w:rsidRPr="001662B5">
        <w:rPr>
          <w:b/>
          <w:sz w:val="22"/>
          <w:szCs w:val="22"/>
        </w:rPr>
        <w:t xml:space="preserve">oderate </w:t>
      </w:r>
      <w:r w:rsidR="00F36D64" w:rsidRPr="001662B5">
        <w:rPr>
          <w:b/>
          <w:sz w:val="22"/>
          <w:szCs w:val="22"/>
        </w:rPr>
        <w:t>y</w:t>
      </w:r>
      <w:r w:rsidRPr="001662B5">
        <w:rPr>
          <w:b/>
          <w:sz w:val="22"/>
          <w:szCs w:val="22"/>
        </w:rPr>
        <w:t xml:space="preserve">ield </w:t>
      </w:r>
      <w:r w:rsidR="0086209C" w:rsidRPr="006179B8">
        <w:rPr>
          <w:b/>
          <w:sz w:val="22"/>
          <w:szCs w:val="22"/>
        </w:rPr>
        <w:t>significant sand and gravel</w:t>
      </w:r>
      <w:r w:rsidR="0086209C" w:rsidRPr="00274D20">
        <w:rPr>
          <w:b/>
          <w:sz w:val="22"/>
          <w:szCs w:val="22"/>
        </w:rPr>
        <w:t xml:space="preserve"> </w:t>
      </w:r>
      <w:r w:rsidR="00F36D64" w:rsidRPr="001662B5">
        <w:rPr>
          <w:b/>
          <w:sz w:val="22"/>
          <w:szCs w:val="22"/>
        </w:rPr>
        <w:t>a</w:t>
      </w:r>
      <w:r w:rsidRPr="001662B5">
        <w:rPr>
          <w:b/>
          <w:sz w:val="22"/>
          <w:szCs w:val="22"/>
        </w:rPr>
        <w:t>quifer</w:t>
      </w:r>
      <w:r w:rsidR="00140573" w:rsidRPr="001662B5">
        <w:rPr>
          <w:b/>
          <w:sz w:val="22"/>
          <w:szCs w:val="22"/>
        </w:rPr>
        <w:t>s</w:t>
      </w:r>
      <w:r w:rsidRPr="001662B5">
        <w:rPr>
          <w:b/>
          <w:sz w:val="22"/>
          <w:szCs w:val="22"/>
        </w:rPr>
        <w:t>.</w:t>
      </w:r>
      <w:r w:rsidR="001535E1" w:rsidRPr="001662B5">
        <w:rPr>
          <w:b/>
          <w:sz w:val="22"/>
          <w:szCs w:val="22"/>
        </w:rPr>
        <w:t xml:space="preserve"> </w:t>
      </w:r>
      <w:r w:rsidR="00B16F68" w:rsidRPr="001662B5">
        <w:rPr>
          <w:sz w:val="22"/>
          <w:szCs w:val="22"/>
        </w:rPr>
        <w:t>T</w:t>
      </w:r>
      <w:r w:rsidR="003A4E78" w:rsidRPr="001662B5">
        <w:rPr>
          <w:sz w:val="22"/>
          <w:szCs w:val="22"/>
        </w:rPr>
        <w:t xml:space="preserve">he </w:t>
      </w:r>
      <w:r w:rsidR="004C55F7" w:rsidRPr="006179B8">
        <w:rPr>
          <w:sz w:val="22"/>
          <w:szCs w:val="22"/>
        </w:rPr>
        <w:t>Commissioner</w:t>
      </w:r>
      <w:r w:rsidR="003A4E78" w:rsidRPr="001662B5">
        <w:rPr>
          <w:sz w:val="22"/>
          <w:szCs w:val="22"/>
        </w:rPr>
        <w:t xml:space="preserve"> may grant a variance to the prohibition of this section if the </w:t>
      </w:r>
      <w:r w:rsidR="008D6995" w:rsidRPr="001662B5">
        <w:rPr>
          <w:sz w:val="22"/>
          <w:szCs w:val="22"/>
        </w:rPr>
        <w:t xml:space="preserve">applicant </w:t>
      </w:r>
      <w:r w:rsidR="003A4E78" w:rsidRPr="001662B5">
        <w:rPr>
          <w:sz w:val="22"/>
          <w:szCs w:val="22"/>
        </w:rPr>
        <w:t xml:space="preserve">demonstrates to the </w:t>
      </w:r>
      <w:r w:rsidR="004C55F7" w:rsidRPr="006179B8">
        <w:rPr>
          <w:sz w:val="22"/>
          <w:szCs w:val="22"/>
        </w:rPr>
        <w:t>Commissioner</w:t>
      </w:r>
      <w:r w:rsidR="003A4E78" w:rsidRPr="001662B5">
        <w:rPr>
          <w:sz w:val="22"/>
          <w:szCs w:val="22"/>
        </w:rPr>
        <w:t>’s satisfaction that:</w:t>
      </w:r>
    </w:p>
    <w:p w14:paraId="7D65DBFE" w14:textId="77777777" w:rsidR="009B0158" w:rsidRPr="001662B5" w:rsidRDefault="009B0158" w:rsidP="009B0158">
      <w:pPr>
        <w:pStyle w:val="BodyTextIndent2"/>
        <w:spacing w:line="240" w:lineRule="auto"/>
        <w:ind w:left="1080" w:right="-144" w:firstLine="0"/>
        <w:rPr>
          <w:sz w:val="22"/>
          <w:szCs w:val="22"/>
          <w:u w:val="single"/>
        </w:rPr>
      </w:pPr>
    </w:p>
    <w:p w14:paraId="47B5967C" w14:textId="77777777" w:rsidR="00AE2ECF" w:rsidRPr="00AE2ECF" w:rsidRDefault="00A6081F" w:rsidP="00D80D98">
      <w:pPr>
        <w:pStyle w:val="BodyTextIndent2"/>
        <w:numPr>
          <w:ilvl w:val="0"/>
          <w:numId w:val="42"/>
        </w:numPr>
        <w:spacing w:line="240" w:lineRule="auto"/>
        <w:ind w:right="-144"/>
        <w:rPr>
          <w:sz w:val="22"/>
          <w:szCs w:val="22"/>
        </w:rPr>
      </w:pPr>
      <w:r w:rsidRPr="001662B5">
        <w:rPr>
          <w:sz w:val="22"/>
          <w:szCs w:val="22"/>
        </w:rPr>
        <w:t xml:space="preserve">The </w:t>
      </w:r>
      <w:r w:rsidR="0086209C" w:rsidRPr="00274D20">
        <w:rPr>
          <w:sz w:val="22"/>
          <w:szCs w:val="22"/>
        </w:rPr>
        <w:t xml:space="preserve">significant sand and gravel </w:t>
      </w:r>
      <w:r w:rsidRPr="001662B5">
        <w:rPr>
          <w:sz w:val="22"/>
          <w:szCs w:val="22"/>
        </w:rPr>
        <w:t>aquifer</w:t>
      </w:r>
      <w:r w:rsidR="00D56066" w:rsidRPr="001662B5">
        <w:rPr>
          <w:sz w:val="22"/>
          <w:szCs w:val="22"/>
        </w:rPr>
        <w:t xml:space="preserve"> is </w:t>
      </w:r>
      <w:r w:rsidRPr="001662B5">
        <w:rPr>
          <w:sz w:val="22"/>
          <w:szCs w:val="22"/>
        </w:rPr>
        <w:t xml:space="preserve">mapped by the Maine Geological Survey as </w:t>
      </w:r>
      <w:r w:rsidR="00E3606C" w:rsidRPr="00274D20">
        <w:rPr>
          <w:sz w:val="22"/>
          <w:szCs w:val="22"/>
        </w:rPr>
        <w:t xml:space="preserve">generally </w:t>
      </w:r>
      <w:r w:rsidRPr="001662B5">
        <w:rPr>
          <w:sz w:val="22"/>
          <w:szCs w:val="22"/>
        </w:rPr>
        <w:t>yield</w:t>
      </w:r>
      <w:r w:rsidR="00F76F9F" w:rsidRPr="00274D20">
        <w:rPr>
          <w:sz w:val="22"/>
          <w:szCs w:val="22"/>
        </w:rPr>
        <w:t>ing</w:t>
      </w:r>
      <w:r w:rsidR="00274D20" w:rsidRPr="00274D20">
        <w:rPr>
          <w:sz w:val="22"/>
          <w:szCs w:val="22"/>
        </w:rPr>
        <w:t xml:space="preserve"> </w:t>
      </w:r>
      <w:r w:rsidR="00005698" w:rsidRPr="00274D20">
        <w:rPr>
          <w:sz w:val="22"/>
          <w:szCs w:val="22"/>
        </w:rPr>
        <w:t xml:space="preserve">10 </w:t>
      </w:r>
      <w:r w:rsidR="00E3606C" w:rsidRPr="00274D20">
        <w:rPr>
          <w:sz w:val="22"/>
          <w:szCs w:val="22"/>
        </w:rPr>
        <w:t>or more gallons per minute but no more than</w:t>
      </w:r>
      <w:r w:rsidR="00005698" w:rsidRPr="00274D20">
        <w:rPr>
          <w:sz w:val="22"/>
          <w:szCs w:val="22"/>
        </w:rPr>
        <w:t xml:space="preserve"> </w:t>
      </w:r>
      <w:r w:rsidRPr="001662B5">
        <w:rPr>
          <w:sz w:val="22"/>
          <w:szCs w:val="22"/>
        </w:rPr>
        <w:t>50 gallons per minute</w:t>
      </w:r>
      <w:r w:rsidR="009B0158" w:rsidRPr="00274D20">
        <w:rPr>
          <w:sz w:val="22"/>
          <w:szCs w:val="22"/>
        </w:rPr>
        <w:t xml:space="preserve"> or the applicant has determined</w:t>
      </w:r>
      <w:r w:rsidR="00B0505F" w:rsidRPr="00274D20">
        <w:rPr>
          <w:sz w:val="22"/>
          <w:szCs w:val="22"/>
        </w:rPr>
        <w:t>, and the Commissioner has concurred,</w:t>
      </w:r>
      <w:r w:rsidR="009B0158" w:rsidRPr="00274D20">
        <w:rPr>
          <w:sz w:val="22"/>
          <w:szCs w:val="22"/>
        </w:rPr>
        <w:t xml:space="preserve"> that the </w:t>
      </w:r>
      <w:r w:rsidR="00A9392B" w:rsidRPr="00274D20">
        <w:rPr>
          <w:sz w:val="22"/>
          <w:szCs w:val="22"/>
        </w:rPr>
        <w:t>ground</w:t>
      </w:r>
      <w:r w:rsidR="00E3606C" w:rsidRPr="00274D20">
        <w:rPr>
          <w:sz w:val="22"/>
          <w:szCs w:val="22"/>
        </w:rPr>
        <w:t xml:space="preserve"> </w:t>
      </w:r>
      <w:r w:rsidR="00A9392B" w:rsidRPr="00274D20">
        <w:rPr>
          <w:sz w:val="22"/>
          <w:szCs w:val="22"/>
        </w:rPr>
        <w:t xml:space="preserve">water </w:t>
      </w:r>
      <w:r w:rsidR="009B0158" w:rsidRPr="00274D20">
        <w:rPr>
          <w:sz w:val="22"/>
          <w:szCs w:val="22"/>
        </w:rPr>
        <w:t>yield of the</w:t>
      </w:r>
      <w:r w:rsidR="00D20F9A" w:rsidRPr="00274D20">
        <w:rPr>
          <w:sz w:val="22"/>
          <w:szCs w:val="22"/>
        </w:rPr>
        <w:t xml:space="preserve"> aquifer</w:t>
      </w:r>
      <w:r w:rsidR="00080945" w:rsidRPr="00274D20">
        <w:rPr>
          <w:sz w:val="22"/>
          <w:szCs w:val="22"/>
        </w:rPr>
        <w:t xml:space="preserve"> at the proposed facility location </w:t>
      </w:r>
      <w:r w:rsidR="00E3606C" w:rsidRPr="00274D20">
        <w:rPr>
          <w:sz w:val="22"/>
          <w:szCs w:val="22"/>
        </w:rPr>
        <w:t xml:space="preserve">generally </w:t>
      </w:r>
      <w:r w:rsidR="009B0158" w:rsidRPr="00274D20">
        <w:rPr>
          <w:sz w:val="22"/>
          <w:szCs w:val="22"/>
        </w:rPr>
        <w:t xml:space="preserve">yields </w:t>
      </w:r>
      <w:r w:rsidR="00E3606C" w:rsidRPr="00274D20">
        <w:rPr>
          <w:sz w:val="22"/>
          <w:szCs w:val="22"/>
        </w:rPr>
        <w:t>10 or more gallons per minute but no more than</w:t>
      </w:r>
      <w:r w:rsidR="009B0158" w:rsidRPr="00274D20">
        <w:rPr>
          <w:sz w:val="22"/>
          <w:szCs w:val="22"/>
        </w:rPr>
        <w:t xml:space="preserve"> 50 gallons per minute </w:t>
      </w:r>
      <w:r w:rsidRPr="001662B5">
        <w:rPr>
          <w:sz w:val="22"/>
          <w:szCs w:val="22"/>
        </w:rPr>
        <w:t xml:space="preserve">as confirmed by </w:t>
      </w:r>
      <w:r w:rsidR="00BA19DD" w:rsidRPr="00274D20">
        <w:rPr>
          <w:sz w:val="22"/>
          <w:szCs w:val="22"/>
        </w:rPr>
        <w:t xml:space="preserve">conducting </w:t>
      </w:r>
      <w:r w:rsidRPr="001662B5">
        <w:rPr>
          <w:sz w:val="22"/>
          <w:szCs w:val="22"/>
        </w:rPr>
        <w:t xml:space="preserve">a </w:t>
      </w:r>
      <w:r w:rsidR="004C55F7" w:rsidRPr="00274D20">
        <w:rPr>
          <w:sz w:val="22"/>
          <w:szCs w:val="22"/>
        </w:rPr>
        <w:t>Commissioner</w:t>
      </w:r>
      <w:r w:rsidRPr="001662B5">
        <w:rPr>
          <w:sz w:val="22"/>
          <w:szCs w:val="22"/>
        </w:rPr>
        <w:t xml:space="preserve">-approved hydrogeological </w:t>
      </w:r>
      <w:r w:rsidR="00C152AB" w:rsidRPr="00274D20">
        <w:rPr>
          <w:sz w:val="22"/>
          <w:szCs w:val="22"/>
        </w:rPr>
        <w:t>evaluation</w:t>
      </w:r>
      <w:r w:rsidR="009B0158" w:rsidRPr="00274D20">
        <w:rPr>
          <w:sz w:val="22"/>
          <w:szCs w:val="22"/>
        </w:rPr>
        <w:t xml:space="preserve"> </w:t>
      </w:r>
      <w:r w:rsidRPr="001662B5">
        <w:rPr>
          <w:sz w:val="22"/>
          <w:szCs w:val="22"/>
        </w:rPr>
        <w:t xml:space="preserve">in accordance with Appendix </w:t>
      </w:r>
      <w:r w:rsidR="00D56066" w:rsidRPr="001662B5">
        <w:rPr>
          <w:sz w:val="22"/>
          <w:szCs w:val="22"/>
        </w:rPr>
        <w:t>A</w:t>
      </w:r>
      <w:r w:rsidR="00842BE8">
        <w:rPr>
          <w:sz w:val="22"/>
          <w:szCs w:val="22"/>
        </w:rPr>
        <w:t>.</w:t>
      </w:r>
    </w:p>
    <w:p w14:paraId="1C5AEC97" w14:textId="77777777" w:rsidR="00AE2ECF" w:rsidRDefault="00AE2ECF" w:rsidP="00AE2ECF">
      <w:pPr>
        <w:pStyle w:val="BodyTextIndent2"/>
        <w:spacing w:line="240" w:lineRule="auto"/>
        <w:ind w:left="1080" w:right="-144" w:firstLine="0"/>
        <w:rPr>
          <w:sz w:val="22"/>
          <w:szCs w:val="22"/>
          <w:u w:val="double"/>
        </w:rPr>
      </w:pPr>
    </w:p>
    <w:p w14:paraId="673312A7" w14:textId="77777777" w:rsidR="00BA20EF" w:rsidRPr="001662B5" w:rsidRDefault="001E2FC9" w:rsidP="0026007C">
      <w:pPr>
        <w:ind w:left="1080"/>
        <w:rPr>
          <w:sz w:val="22"/>
          <w:szCs w:val="22"/>
        </w:rPr>
      </w:pPr>
      <w:r w:rsidRPr="00593FF5">
        <w:rPr>
          <w:sz w:val="22"/>
          <w:szCs w:val="22"/>
        </w:rPr>
        <w:t xml:space="preserve">The Commissioner </w:t>
      </w:r>
      <w:r w:rsidR="00B937E0" w:rsidRPr="00593FF5">
        <w:rPr>
          <w:sz w:val="22"/>
          <w:szCs w:val="22"/>
        </w:rPr>
        <w:t>may require a hydrogeologic evaluation, as defined in Appendix A of this rule, when a propose</w:t>
      </w:r>
      <w:r w:rsidRPr="00593FF5">
        <w:rPr>
          <w:sz w:val="22"/>
          <w:szCs w:val="22"/>
        </w:rPr>
        <w:t>d</w:t>
      </w:r>
      <w:r w:rsidR="00B937E0" w:rsidRPr="00593FF5">
        <w:rPr>
          <w:sz w:val="22"/>
          <w:szCs w:val="22"/>
        </w:rPr>
        <w:t xml:space="preserve"> </w:t>
      </w:r>
      <w:r w:rsidR="00AE2ECF" w:rsidRPr="00593FF5">
        <w:rPr>
          <w:sz w:val="22"/>
          <w:szCs w:val="22"/>
        </w:rPr>
        <w:t>facility</w:t>
      </w:r>
      <w:r w:rsidR="00B937E0" w:rsidRPr="00593FF5">
        <w:rPr>
          <w:sz w:val="22"/>
          <w:szCs w:val="22"/>
        </w:rPr>
        <w:t xml:space="preserve"> is located in an area identified by the </w:t>
      </w:r>
      <w:r w:rsidR="00AE2ECF" w:rsidRPr="00593FF5">
        <w:rPr>
          <w:sz w:val="22"/>
          <w:szCs w:val="22"/>
        </w:rPr>
        <w:t>Department</w:t>
      </w:r>
      <w:r w:rsidR="00B937E0" w:rsidRPr="00593FF5">
        <w:rPr>
          <w:sz w:val="22"/>
          <w:szCs w:val="22"/>
        </w:rPr>
        <w:t xml:space="preserve"> as an area </w:t>
      </w:r>
      <w:r w:rsidRPr="00593FF5">
        <w:rPr>
          <w:sz w:val="22"/>
          <w:szCs w:val="22"/>
        </w:rPr>
        <w:t xml:space="preserve"> </w:t>
      </w:r>
      <w:r w:rsidR="00B937E0" w:rsidRPr="00593FF5">
        <w:rPr>
          <w:sz w:val="22"/>
          <w:szCs w:val="22"/>
        </w:rPr>
        <w:t xml:space="preserve">with a high likelihood of containing an </w:t>
      </w:r>
      <w:r w:rsidR="00AE2ECF" w:rsidRPr="00593FF5">
        <w:rPr>
          <w:sz w:val="22"/>
          <w:szCs w:val="22"/>
        </w:rPr>
        <w:t>unmapped</w:t>
      </w:r>
      <w:r w:rsidR="00B937E0" w:rsidRPr="00593FF5">
        <w:rPr>
          <w:sz w:val="22"/>
          <w:szCs w:val="22"/>
        </w:rPr>
        <w:t>, high yield significant sand and gravel aquifer</w:t>
      </w:r>
      <w:r w:rsidR="0026007C" w:rsidRPr="00593FF5">
        <w:rPr>
          <w:sz w:val="22"/>
          <w:szCs w:val="22"/>
        </w:rPr>
        <w:t>, including but not limited to aquifers associated with a surface water body or containing deep glacial drift deposits</w:t>
      </w:r>
      <w:r w:rsidR="0026007C" w:rsidRPr="00593FF5">
        <w:rPr>
          <w:rFonts w:ascii="Arial" w:hAnsi="Arial" w:cs="Arial"/>
        </w:rPr>
        <w:t xml:space="preserve">, </w:t>
      </w:r>
      <w:r w:rsidR="00690EDB" w:rsidRPr="00593FF5">
        <w:rPr>
          <w:sz w:val="22"/>
          <w:szCs w:val="22"/>
        </w:rPr>
        <w:t>or an area with a</w:t>
      </w:r>
      <w:r w:rsidR="00C24C90" w:rsidRPr="00593FF5">
        <w:rPr>
          <w:sz w:val="22"/>
          <w:szCs w:val="22"/>
        </w:rPr>
        <w:t xml:space="preserve"> high likelihood of being used for a public water supply or the expansi</w:t>
      </w:r>
      <w:r w:rsidR="00CB3F06" w:rsidRPr="00593FF5">
        <w:rPr>
          <w:sz w:val="22"/>
          <w:szCs w:val="22"/>
        </w:rPr>
        <w:t>on of an existing public water utility</w:t>
      </w:r>
      <w:r w:rsidR="00593FF5">
        <w:rPr>
          <w:sz w:val="22"/>
          <w:szCs w:val="22"/>
        </w:rPr>
        <w:t xml:space="preserve">. </w:t>
      </w:r>
      <w:r w:rsidR="00B937E0" w:rsidRPr="00593FF5">
        <w:rPr>
          <w:sz w:val="22"/>
          <w:szCs w:val="22"/>
        </w:rPr>
        <w:t xml:space="preserve">This </w:t>
      </w:r>
      <w:r w:rsidR="00AE2ECF" w:rsidRPr="00593FF5">
        <w:rPr>
          <w:sz w:val="22"/>
          <w:szCs w:val="22"/>
        </w:rPr>
        <w:t>determination</w:t>
      </w:r>
      <w:r w:rsidR="00B937E0" w:rsidRPr="00593FF5">
        <w:rPr>
          <w:sz w:val="22"/>
          <w:szCs w:val="22"/>
        </w:rPr>
        <w:t xml:space="preserve"> will be made based on readily available information and best professional judgement</w:t>
      </w:r>
      <w:r w:rsidR="001F3765" w:rsidRPr="00593FF5">
        <w:rPr>
          <w:sz w:val="22"/>
          <w:szCs w:val="22"/>
        </w:rPr>
        <w:t xml:space="preserve"> and input from the local public water utility, if any</w:t>
      </w:r>
      <w:r w:rsidR="00A6081F" w:rsidRPr="001662B5">
        <w:rPr>
          <w:sz w:val="22"/>
          <w:szCs w:val="22"/>
        </w:rPr>
        <w:t>;</w:t>
      </w:r>
      <w:r w:rsidR="00E63A39">
        <w:rPr>
          <w:sz w:val="22"/>
          <w:szCs w:val="22"/>
        </w:rPr>
        <w:t xml:space="preserve"> </w:t>
      </w:r>
      <w:r w:rsidR="000E4D08" w:rsidRPr="00044856">
        <w:rPr>
          <w:sz w:val="22"/>
          <w:szCs w:val="22"/>
        </w:rPr>
        <w:t>and</w:t>
      </w:r>
    </w:p>
    <w:p w14:paraId="2D5F7A8B" w14:textId="77777777" w:rsidR="008537B4" w:rsidRPr="001662B5" w:rsidRDefault="008537B4" w:rsidP="008537B4">
      <w:pPr>
        <w:pStyle w:val="BodyTextIndent2"/>
        <w:spacing w:line="240" w:lineRule="auto"/>
        <w:ind w:left="1080" w:right="-144" w:firstLine="0"/>
        <w:rPr>
          <w:sz w:val="22"/>
          <w:szCs w:val="22"/>
        </w:rPr>
      </w:pPr>
    </w:p>
    <w:p w14:paraId="42ECF339" w14:textId="77777777" w:rsidR="00B937E0" w:rsidRPr="00593FF5" w:rsidRDefault="008537B4" w:rsidP="00DF067A">
      <w:pPr>
        <w:pStyle w:val="BodyTextIndent2"/>
        <w:numPr>
          <w:ilvl w:val="0"/>
          <w:numId w:val="42"/>
        </w:numPr>
        <w:spacing w:line="240" w:lineRule="auto"/>
        <w:ind w:left="720" w:right="-144" w:firstLine="0"/>
        <w:rPr>
          <w:sz w:val="22"/>
          <w:szCs w:val="22"/>
        </w:rPr>
      </w:pPr>
      <w:r w:rsidRPr="00593FF5">
        <w:rPr>
          <w:sz w:val="22"/>
          <w:szCs w:val="22"/>
        </w:rPr>
        <w:t>The proposed facility meets the design standards of section 5.</w:t>
      </w:r>
    </w:p>
    <w:p w14:paraId="173BAB8D" w14:textId="77777777" w:rsidR="00BC6D1E" w:rsidRPr="001662B5" w:rsidRDefault="00BC6D1E" w:rsidP="00BC6D1E">
      <w:pPr>
        <w:pStyle w:val="BodyTextIndent2"/>
        <w:spacing w:line="240" w:lineRule="auto"/>
        <w:ind w:left="1080" w:right="-144" w:firstLine="0"/>
        <w:rPr>
          <w:sz w:val="22"/>
          <w:szCs w:val="22"/>
          <w:u w:val="single"/>
        </w:rPr>
      </w:pPr>
    </w:p>
    <w:p w14:paraId="6730EB87" w14:textId="77777777" w:rsidR="00E90BAC" w:rsidRPr="00ED3A0A" w:rsidRDefault="00E90BAC" w:rsidP="00E90BAC">
      <w:pPr>
        <w:pStyle w:val="ListParagraph"/>
        <w:numPr>
          <w:ilvl w:val="0"/>
          <w:numId w:val="34"/>
        </w:numPr>
        <w:rPr>
          <w:sz w:val="22"/>
          <w:szCs w:val="22"/>
        </w:rPr>
      </w:pPr>
      <w:r w:rsidRPr="00ED3A0A">
        <w:rPr>
          <w:b/>
          <w:sz w:val="22"/>
          <w:szCs w:val="22"/>
        </w:rPr>
        <w:t>Variance for municipalities located on high yield significant sand and gravel aquifers.</w:t>
      </w:r>
      <w:r w:rsidRPr="00ED3A0A">
        <w:rPr>
          <w:sz w:val="22"/>
          <w:szCs w:val="22"/>
        </w:rPr>
        <w:t xml:space="preserve"> The</w:t>
      </w:r>
      <w:r w:rsidRPr="001662B5">
        <w:rPr>
          <w:sz w:val="22"/>
          <w:szCs w:val="22"/>
          <w:u w:val="single"/>
        </w:rPr>
        <w:t xml:space="preserve"> </w:t>
      </w:r>
      <w:r w:rsidRPr="00ED3A0A">
        <w:rPr>
          <w:sz w:val="22"/>
          <w:szCs w:val="22"/>
        </w:rPr>
        <w:t xml:space="preserve">Commissioner may grant a variance to the prohibition of this section if the applicant demonstrates to the Commissioner’s satisfaction that: </w:t>
      </w:r>
    </w:p>
    <w:p w14:paraId="5AC899CB" w14:textId="77777777" w:rsidR="00E90BAC" w:rsidRPr="001662B5" w:rsidRDefault="00E90BAC" w:rsidP="00E90BAC">
      <w:pPr>
        <w:pStyle w:val="ListParagraph"/>
        <w:rPr>
          <w:sz w:val="22"/>
          <w:szCs w:val="22"/>
          <w:u w:val="single"/>
        </w:rPr>
      </w:pPr>
    </w:p>
    <w:p w14:paraId="5CC0F555" w14:textId="77777777" w:rsidR="00E90BAC" w:rsidRPr="007B69E6" w:rsidRDefault="00E90BAC" w:rsidP="00273EFF">
      <w:pPr>
        <w:pStyle w:val="ListParagraph"/>
        <w:numPr>
          <w:ilvl w:val="0"/>
          <w:numId w:val="53"/>
        </w:numPr>
        <w:ind w:left="1080" w:right="270"/>
        <w:rPr>
          <w:sz w:val="22"/>
          <w:szCs w:val="22"/>
        </w:rPr>
      </w:pPr>
      <w:r w:rsidRPr="007B69E6">
        <w:rPr>
          <w:sz w:val="22"/>
          <w:szCs w:val="22"/>
        </w:rPr>
        <w:t xml:space="preserve">The majority of the land area of the municipality or town center is located on a </w:t>
      </w:r>
      <w:r w:rsidR="00DE77A6" w:rsidRPr="007B69E6">
        <w:rPr>
          <w:sz w:val="22"/>
          <w:szCs w:val="22"/>
        </w:rPr>
        <w:t xml:space="preserve">high yield </w:t>
      </w:r>
      <w:r w:rsidRPr="007B69E6">
        <w:rPr>
          <w:sz w:val="22"/>
          <w:szCs w:val="22"/>
        </w:rPr>
        <w:t xml:space="preserve">significant sand and gravel aquifer as delineated by Maine Geological Survey mapping or a Commissioner-approved hydrogeological evaluation conducted in accordance with Appendix A; </w:t>
      </w:r>
    </w:p>
    <w:p w14:paraId="7190AFFE" w14:textId="77777777" w:rsidR="00E90BAC" w:rsidRPr="001662B5" w:rsidRDefault="00E90BAC" w:rsidP="00E90BAC">
      <w:pPr>
        <w:rPr>
          <w:sz w:val="22"/>
          <w:szCs w:val="22"/>
          <w:u w:val="single"/>
        </w:rPr>
      </w:pPr>
    </w:p>
    <w:p w14:paraId="56BC959D" w14:textId="77777777" w:rsidR="00E90BAC" w:rsidRPr="007B69E6" w:rsidRDefault="00E90BAC" w:rsidP="007B69E6">
      <w:pPr>
        <w:pStyle w:val="BodyTextIndent2"/>
        <w:numPr>
          <w:ilvl w:val="0"/>
          <w:numId w:val="53"/>
        </w:numPr>
        <w:spacing w:line="240" w:lineRule="auto"/>
        <w:ind w:left="1080"/>
        <w:rPr>
          <w:sz w:val="22"/>
          <w:szCs w:val="22"/>
        </w:rPr>
      </w:pPr>
      <w:r w:rsidRPr="007B69E6">
        <w:rPr>
          <w:sz w:val="22"/>
          <w:szCs w:val="22"/>
        </w:rPr>
        <w:t>The proposed facility meets the design standards of section 5;</w:t>
      </w:r>
    </w:p>
    <w:p w14:paraId="1BC48912" w14:textId="77777777" w:rsidR="00E90BAC" w:rsidRPr="007B69E6" w:rsidRDefault="00E90BAC" w:rsidP="00E90BAC">
      <w:pPr>
        <w:pStyle w:val="ListParagraph"/>
        <w:rPr>
          <w:sz w:val="22"/>
          <w:szCs w:val="22"/>
        </w:rPr>
      </w:pPr>
    </w:p>
    <w:p w14:paraId="5DCB33A1" w14:textId="77777777" w:rsidR="00E90BAC" w:rsidRPr="007B69E6" w:rsidRDefault="00E90BAC" w:rsidP="007B69E6">
      <w:pPr>
        <w:pStyle w:val="BodyTextIndent2"/>
        <w:numPr>
          <w:ilvl w:val="0"/>
          <w:numId w:val="53"/>
        </w:numPr>
        <w:spacing w:line="240" w:lineRule="auto"/>
        <w:ind w:left="1080"/>
        <w:rPr>
          <w:sz w:val="22"/>
          <w:szCs w:val="22"/>
        </w:rPr>
      </w:pPr>
      <w:r w:rsidRPr="007B69E6">
        <w:rPr>
          <w:sz w:val="22"/>
          <w:szCs w:val="22"/>
        </w:rPr>
        <w:t>The facility is staffed at all times when oil is being pumped; and</w:t>
      </w:r>
    </w:p>
    <w:p w14:paraId="57889B40" w14:textId="77777777" w:rsidR="00E90BAC" w:rsidRPr="007B69E6" w:rsidRDefault="00E90BAC" w:rsidP="00E90BAC">
      <w:pPr>
        <w:pStyle w:val="BodyTextIndent2"/>
        <w:tabs>
          <w:tab w:val="left" w:pos="1440"/>
        </w:tabs>
        <w:spacing w:line="240" w:lineRule="auto"/>
        <w:ind w:right="-144" w:firstLine="0"/>
        <w:rPr>
          <w:sz w:val="22"/>
          <w:szCs w:val="22"/>
        </w:rPr>
      </w:pPr>
    </w:p>
    <w:p w14:paraId="2EB8D871" w14:textId="77777777" w:rsidR="00E90BAC" w:rsidRPr="007B69E6" w:rsidRDefault="00E90BAC" w:rsidP="007B69E6">
      <w:pPr>
        <w:pStyle w:val="BodyTextIndent2"/>
        <w:numPr>
          <w:ilvl w:val="0"/>
          <w:numId w:val="53"/>
        </w:numPr>
        <w:tabs>
          <w:tab w:val="left" w:pos="1080"/>
        </w:tabs>
        <w:spacing w:line="240" w:lineRule="auto"/>
        <w:ind w:left="1080"/>
        <w:rPr>
          <w:sz w:val="22"/>
          <w:szCs w:val="22"/>
        </w:rPr>
      </w:pPr>
      <w:r w:rsidRPr="007B69E6">
        <w:rPr>
          <w:sz w:val="22"/>
          <w:szCs w:val="22"/>
        </w:rPr>
        <w:t>The municipality submits a letter stating that the facility is needed within the community and the specific location is acceptable to the municipality</w:t>
      </w:r>
      <w:r w:rsidR="006B2D9F" w:rsidRPr="007B69E6">
        <w:rPr>
          <w:sz w:val="22"/>
          <w:szCs w:val="22"/>
        </w:rPr>
        <w:t xml:space="preserve"> and the public water utility, if any</w:t>
      </w:r>
      <w:r w:rsidRPr="007B69E6">
        <w:rPr>
          <w:sz w:val="22"/>
          <w:szCs w:val="22"/>
        </w:rPr>
        <w:t>.</w:t>
      </w:r>
    </w:p>
    <w:p w14:paraId="04543A00" w14:textId="77777777" w:rsidR="00E90BAC" w:rsidRPr="001662B5" w:rsidRDefault="00E90BAC" w:rsidP="007B69E6">
      <w:pPr>
        <w:pStyle w:val="BodyTextIndent"/>
        <w:ind w:hanging="360"/>
        <w:rPr>
          <w:b/>
          <w:sz w:val="22"/>
          <w:szCs w:val="22"/>
          <w:u w:val="single"/>
        </w:rPr>
      </w:pPr>
    </w:p>
    <w:p w14:paraId="2E41C866" w14:textId="77777777" w:rsidR="00A6081F" w:rsidRPr="001662B5" w:rsidRDefault="00CA6C8E" w:rsidP="007B69E6">
      <w:pPr>
        <w:pStyle w:val="BodyTextIndent"/>
        <w:ind w:hanging="360"/>
        <w:rPr>
          <w:sz w:val="22"/>
          <w:szCs w:val="22"/>
        </w:rPr>
      </w:pPr>
      <w:r w:rsidRPr="007B69E6">
        <w:rPr>
          <w:b/>
          <w:sz w:val="22"/>
          <w:szCs w:val="22"/>
        </w:rPr>
        <w:t>F.</w:t>
      </w:r>
      <w:r w:rsidRPr="007B69E6">
        <w:rPr>
          <w:b/>
          <w:sz w:val="22"/>
          <w:szCs w:val="22"/>
        </w:rPr>
        <w:tab/>
      </w:r>
      <w:r w:rsidR="006D3442" w:rsidRPr="001662B5">
        <w:rPr>
          <w:b/>
          <w:sz w:val="22"/>
          <w:szCs w:val="22"/>
        </w:rPr>
        <w:t>H</w:t>
      </w:r>
      <w:r w:rsidR="00A6081F" w:rsidRPr="001662B5">
        <w:rPr>
          <w:b/>
          <w:sz w:val="22"/>
          <w:szCs w:val="22"/>
        </w:rPr>
        <w:t xml:space="preserve">igh </w:t>
      </w:r>
      <w:r w:rsidR="00916D35" w:rsidRPr="007B69E6">
        <w:rPr>
          <w:b/>
          <w:sz w:val="22"/>
          <w:szCs w:val="22"/>
        </w:rPr>
        <w:t>yield</w:t>
      </w:r>
      <w:r w:rsidR="00A6081F" w:rsidRPr="001662B5">
        <w:rPr>
          <w:b/>
          <w:sz w:val="22"/>
          <w:szCs w:val="22"/>
        </w:rPr>
        <w:t xml:space="preserve"> </w:t>
      </w:r>
      <w:r w:rsidR="0086209C" w:rsidRPr="007B69E6">
        <w:rPr>
          <w:b/>
          <w:sz w:val="22"/>
          <w:szCs w:val="22"/>
        </w:rPr>
        <w:t>significant sand and gravel</w:t>
      </w:r>
      <w:r w:rsidR="0086209C" w:rsidRPr="00AA05F0">
        <w:rPr>
          <w:b/>
          <w:sz w:val="22"/>
          <w:szCs w:val="22"/>
        </w:rPr>
        <w:t xml:space="preserve"> </w:t>
      </w:r>
      <w:r w:rsidR="006D3442" w:rsidRPr="001662B5">
        <w:rPr>
          <w:b/>
          <w:sz w:val="22"/>
          <w:szCs w:val="22"/>
        </w:rPr>
        <w:t>a</w:t>
      </w:r>
      <w:r w:rsidR="00A6081F" w:rsidRPr="001662B5">
        <w:rPr>
          <w:b/>
          <w:sz w:val="22"/>
          <w:szCs w:val="22"/>
        </w:rPr>
        <w:t>quifer</w:t>
      </w:r>
      <w:r w:rsidR="006D3442" w:rsidRPr="001662B5">
        <w:rPr>
          <w:b/>
          <w:sz w:val="22"/>
          <w:szCs w:val="22"/>
        </w:rPr>
        <w:t>s; variance prohibited</w:t>
      </w:r>
      <w:r w:rsidR="00A6081F" w:rsidRPr="001662B5">
        <w:rPr>
          <w:b/>
          <w:sz w:val="22"/>
          <w:szCs w:val="22"/>
        </w:rPr>
        <w:t>.</w:t>
      </w:r>
      <w:r w:rsidR="001535E1" w:rsidRPr="001662B5">
        <w:rPr>
          <w:sz w:val="22"/>
          <w:szCs w:val="22"/>
        </w:rPr>
        <w:t xml:space="preserve"> </w:t>
      </w:r>
      <w:r w:rsidR="002649EB" w:rsidRPr="007B69E6">
        <w:rPr>
          <w:sz w:val="22"/>
          <w:szCs w:val="22"/>
        </w:rPr>
        <w:t>Except for</w:t>
      </w:r>
      <w:r w:rsidR="00E974AC" w:rsidRPr="001662B5">
        <w:rPr>
          <w:sz w:val="22"/>
          <w:szCs w:val="22"/>
        </w:rPr>
        <w:t xml:space="preserve"> </w:t>
      </w:r>
      <w:r w:rsidR="007D7081" w:rsidRPr="001662B5">
        <w:rPr>
          <w:sz w:val="22"/>
          <w:szCs w:val="22"/>
        </w:rPr>
        <w:t>s</w:t>
      </w:r>
      <w:r w:rsidR="007662A5" w:rsidRPr="001662B5">
        <w:rPr>
          <w:sz w:val="22"/>
          <w:szCs w:val="22"/>
        </w:rPr>
        <w:t>ection</w:t>
      </w:r>
      <w:r w:rsidR="002649EB" w:rsidRPr="007B69E6">
        <w:rPr>
          <w:sz w:val="22"/>
          <w:szCs w:val="22"/>
        </w:rPr>
        <w:t>s</w:t>
      </w:r>
      <w:r w:rsidR="00601E6E" w:rsidRPr="007B69E6">
        <w:rPr>
          <w:sz w:val="22"/>
          <w:szCs w:val="22"/>
        </w:rPr>
        <w:t xml:space="preserve"> 4(C)</w:t>
      </w:r>
      <w:r w:rsidR="003E3C22" w:rsidRPr="007B69E6">
        <w:rPr>
          <w:sz w:val="22"/>
          <w:szCs w:val="22"/>
        </w:rPr>
        <w:t xml:space="preserve"> or</w:t>
      </w:r>
      <w:r w:rsidR="000D0DFA" w:rsidRPr="007B69E6">
        <w:rPr>
          <w:sz w:val="22"/>
          <w:szCs w:val="22"/>
        </w:rPr>
        <w:t xml:space="preserve"> 4(</w:t>
      </w:r>
      <w:r w:rsidR="00E90BAC" w:rsidRPr="007B69E6">
        <w:rPr>
          <w:sz w:val="22"/>
          <w:szCs w:val="22"/>
        </w:rPr>
        <w:t>E</w:t>
      </w:r>
      <w:r w:rsidRPr="007B69E6">
        <w:rPr>
          <w:sz w:val="22"/>
          <w:szCs w:val="22"/>
        </w:rPr>
        <w:t>)</w:t>
      </w:r>
      <w:r w:rsidR="00E974AC" w:rsidRPr="007B69E6">
        <w:rPr>
          <w:sz w:val="22"/>
          <w:szCs w:val="22"/>
        </w:rPr>
        <w:t>,</w:t>
      </w:r>
      <w:r w:rsidR="00E974AC" w:rsidRPr="001662B5">
        <w:rPr>
          <w:sz w:val="22"/>
          <w:szCs w:val="22"/>
        </w:rPr>
        <w:t xml:space="preserve"> t</w:t>
      </w:r>
      <w:r w:rsidR="00A6081F" w:rsidRPr="001662B5">
        <w:rPr>
          <w:sz w:val="22"/>
          <w:szCs w:val="22"/>
        </w:rPr>
        <w:t xml:space="preserve">he </w:t>
      </w:r>
      <w:r w:rsidR="004C55F7" w:rsidRPr="007B69E6">
        <w:rPr>
          <w:sz w:val="22"/>
          <w:szCs w:val="22"/>
        </w:rPr>
        <w:t>Commissioner</w:t>
      </w:r>
      <w:r w:rsidR="00A6081F" w:rsidRPr="001662B5">
        <w:rPr>
          <w:sz w:val="22"/>
          <w:szCs w:val="22"/>
        </w:rPr>
        <w:t xml:space="preserve"> shall not grant a variance from the prohibition of </w:t>
      </w:r>
      <w:r w:rsidR="006D3442" w:rsidRPr="001662B5">
        <w:rPr>
          <w:sz w:val="22"/>
          <w:szCs w:val="22"/>
        </w:rPr>
        <w:t>this s</w:t>
      </w:r>
      <w:r w:rsidR="00A6081F" w:rsidRPr="001662B5">
        <w:rPr>
          <w:sz w:val="22"/>
          <w:szCs w:val="22"/>
        </w:rPr>
        <w:t xml:space="preserve">ection if any part of the proposed facility site overlies a mapped </w:t>
      </w:r>
      <w:r w:rsidR="003F4136" w:rsidRPr="007B69E6">
        <w:rPr>
          <w:sz w:val="22"/>
          <w:szCs w:val="22"/>
        </w:rPr>
        <w:t xml:space="preserve">significant sand and gravel </w:t>
      </w:r>
      <w:r w:rsidR="00A6081F" w:rsidRPr="001662B5">
        <w:rPr>
          <w:sz w:val="22"/>
          <w:szCs w:val="22"/>
        </w:rPr>
        <w:t>aquifer that has good to excellent potential ground water yield, generally exceeding 50 gallons per minute.</w:t>
      </w:r>
      <w:r w:rsidR="00E70FA0" w:rsidRPr="001662B5">
        <w:rPr>
          <w:sz w:val="22"/>
          <w:szCs w:val="22"/>
        </w:rPr>
        <w:t xml:space="preserve"> </w:t>
      </w:r>
      <w:r w:rsidR="00A6081F" w:rsidRPr="001662B5">
        <w:rPr>
          <w:sz w:val="22"/>
          <w:szCs w:val="22"/>
        </w:rPr>
        <w:t xml:space="preserve">High </w:t>
      </w:r>
      <w:r w:rsidR="00916D35" w:rsidRPr="007B69E6">
        <w:rPr>
          <w:sz w:val="22"/>
          <w:szCs w:val="22"/>
        </w:rPr>
        <w:t>yield</w:t>
      </w:r>
      <w:r w:rsidR="00A6081F" w:rsidRPr="007B69E6">
        <w:rPr>
          <w:sz w:val="22"/>
          <w:szCs w:val="22"/>
        </w:rPr>
        <w:t xml:space="preserve"> </w:t>
      </w:r>
      <w:r w:rsidR="00231841" w:rsidRPr="007B69E6">
        <w:rPr>
          <w:sz w:val="22"/>
          <w:szCs w:val="22"/>
        </w:rPr>
        <w:t xml:space="preserve">significant sand and gravel </w:t>
      </w:r>
      <w:r w:rsidR="00A6081F" w:rsidRPr="001662B5">
        <w:rPr>
          <w:sz w:val="22"/>
          <w:szCs w:val="22"/>
        </w:rPr>
        <w:t>aquifers include:</w:t>
      </w:r>
    </w:p>
    <w:p w14:paraId="2CB1C5F3" w14:textId="77777777" w:rsidR="00D80D98" w:rsidRPr="001662B5" w:rsidRDefault="00D80D98" w:rsidP="007B69E6">
      <w:pPr>
        <w:pStyle w:val="BodyTextIndent"/>
        <w:rPr>
          <w:sz w:val="22"/>
          <w:szCs w:val="22"/>
        </w:rPr>
      </w:pPr>
    </w:p>
    <w:p w14:paraId="3B03CD66" w14:textId="77777777" w:rsidR="00A6081F" w:rsidRPr="001662B5" w:rsidRDefault="00A6081F" w:rsidP="007B69E6">
      <w:pPr>
        <w:pStyle w:val="BodyTextIndent"/>
        <w:numPr>
          <w:ilvl w:val="0"/>
          <w:numId w:val="43"/>
        </w:numPr>
        <w:rPr>
          <w:sz w:val="22"/>
          <w:szCs w:val="22"/>
        </w:rPr>
      </w:pPr>
      <w:r w:rsidRPr="001662B5">
        <w:rPr>
          <w:sz w:val="22"/>
          <w:szCs w:val="22"/>
        </w:rPr>
        <w:t xml:space="preserve">Any area designated on a Maine Geological Survey </w:t>
      </w:r>
      <w:r w:rsidR="008E5B1F" w:rsidRPr="00AA776C">
        <w:rPr>
          <w:sz w:val="22"/>
          <w:szCs w:val="22"/>
        </w:rPr>
        <w:t>map as a s</w:t>
      </w:r>
      <w:r w:rsidRPr="00AA776C">
        <w:rPr>
          <w:sz w:val="22"/>
          <w:szCs w:val="22"/>
        </w:rPr>
        <w:t xml:space="preserve">ignificant </w:t>
      </w:r>
      <w:r w:rsidR="008E5B1F" w:rsidRPr="00AA776C">
        <w:rPr>
          <w:sz w:val="22"/>
          <w:szCs w:val="22"/>
        </w:rPr>
        <w:t>s</w:t>
      </w:r>
      <w:r w:rsidRPr="00AA776C">
        <w:rPr>
          <w:sz w:val="22"/>
          <w:szCs w:val="22"/>
        </w:rPr>
        <w:t xml:space="preserve">and and </w:t>
      </w:r>
      <w:r w:rsidR="008E5B1F" w:rsidRPr="00AA776C">
        <w:rPr>
          <w:sz w:val="22"/>
          <w:szCs w:val="22"/>
        </w:rPr>
        <w:t>g</w:t>
      </w:r>
      <w:r w:rsidRPr="00AA776C">
        <w:rPr>
          <w:sz w:val="22"/>
          <w:szCs w:val="22"/>
        </w:rPr>
        <w:t xml:space="preserve">ravel </w:t>
      </w:r>
      <w:r w:rsidR="008E5B1F" w:rsidRPr="00AA776C">
        <w:rPr>
          <w:sz w:val="22"/>
          <w:szCs w:val="22"/>
        </w:rPr>
        <w:t>a</w:t>
      </w:r>
      <w:r w:rsidRPr="00AA776C">
        <w:rPr>
          <w:sz w:val="22"/>
          <w:szCs w:val="22"/>
        </w:rPr>
        <w:t xml:space="preserve">quifer </w:t>
      </w:r>
      <w:r w:rsidR="00936556" w:rsidRPr="00AA776C">
        <w:rPr>
          <w:sz w:val="22"/>
          <w:szCs w:val="22"/>
        </w:rPr>
        <w:t>with good to excellent</w:t>
      </w:r>
      <w:r w:rsidR="00C20348" w:rsidRPr="00AA776C">
        <w:rPr>
          <w:sz w:val="22"/>
          <w:szCs w:val="22"/>
        </w:rPr>
        <w:t xml:space="preserve"> </w:t>
      </w:r>
      <w:r w:rsidRPr="001662B5">
        <w:rPr>
          <w:sz w:val="22"/>
          <w:szCs w:val="22"/>
        </w:rPr>
        <w:t>yield</w:t>
      </w:r>
      <w:r w:rsidRPr="001662B5">
        <w:rPr>
          <w:strike/>
          <w:sz w:val="22"/>
          <w:szCs w:val="22"/>
        </w:rPr>
        <w:t>s</w:t>
      </w:r>
      <w:r w:rsidRPr="001662B5">
        <w:rPr>
          <w:sz w:val="22"/>
          <w:szCs w:val="22"/>
        </w:rPr>
        <w:t xml:space="preserve"> </w:t>
      </w:r>
      <w:r w:rsidR="00C20348" w:rsidRPr="00AA776C">
        <w:rPr>
          <w:sz w:val="22"/>
          <w:szCs w:val="22"/>
        </w:rPr>
        <w:t xml:space="preserve">of </w:t>
      </w:r>
      <w:r w:rsidRPr="001662B5">
        <w:rPr>
          <w:sz w:val="22"/>
          <w:szCs w:val="22"/>
        </w:rPr>
        <w:t>greater than 50 gallons per minute;</w:t>
      </w:r>
    </w:p>
    <w:p w14:paraId="1BEB9EE5" w14:textId="77777777" w:rsidR="00D80D98" w:rsidRPr="001662B5" w:rsidRDefault="00D80D98" w:rsidP="007B69E6">
      <w:pPr>
        <w:pStyle w:val="BodyTextIndent"/>
        <w:ind w:left="1080"/>
        <w:rPr>
          <w:sz w:val="22"/>
          <w:szCs w:val="22"/>
        </w:rPr>
      </w:pPr>
    </w:p>
    <w:p w14:paraId="393B6CB1" w14:textId="77777777" w:rsidR="001535E1" w:rsidRPr="001662B5" w:rsidRDefault="00A6081F" w:rsidP="007B69E6">
      <w:pPr>
        <w:pStyle w:val="BodyTextIndent"/>
        <w:numPr>
          <w:ilvl w:val="0"/>
          <w:numId w:val="43"/>
        </w:numPr>
        <w:rPr>
          <w:sz w:val="22"/>
          <w:szCs w:val="22"/>
        </w:rPr>
      </w:pPr>
      <w:r w:rsidRPr="001662B5">
        <w:rPr>
          <w:sz w:val="22"/>
          <w:szCs w:val="22"/>
        </w:rPr>
        <w:t>An aquifer or ground water resource protection zone as designated in a municipal ordinance or a LU</w:t>
      </w:r>
      <w:r w:rsidR="00EA479F" w:rsidRPr="00AA776C">
        <w:rPr>
          <w:sz w:val="22"/>
          <w:szCs w:val="22"/>
        </w:rPr>
        <w:t>P</w:t>
      </w:r>
      <w:r w:rsidRPr="001662B5">
        <w:rPr>
          <w:sz w:val="22"/>
          <w:szCs w:val="22"/>
        </w:rPr>
        <w:t>C zoning rule;</w:t>
      </w:r>
    </w:p>
    <w:p w14:paraId="37C5904D" w14:textId="77777777" w:rsidR="00D80D98" w:rsidRPr="001662B5" w:rsidRDefault="00D80D98" w:rsidP="007B69E6">
      <w:pPr>
        <w:pStyle w:val="BodyTextIndent"/>
        <w:ind w:left="0"/>
        <w:rPr>
          <w:sz w:val="22"/>
          <w:szCs w:val="22"/>
        </w:rPr>
      </w:pPr>
    </w:p>
    <w:p w14:paraId="313DB72F" w14:textId="77777777" w:rsidR="001535E1" w:rsidRPr="001662B5" w:rsidRDefault="00A6081F" w:rsidP="007B69E6">
      <w:pPr>
        <w:pStyle w:val="BodyTextIndent"/>
        <w:numPr>
          <w:ilvl w:val="0"/>
          <w:numId w:val="43"/>
        </w:numPr>
        <w:rPr>
          <w:sz w:val="22"/>
          <w:szCs w:val="22"/>
        </w:rPr>
      </w:pPr>
      <w:r w:rsidRPr="001662B5">
        <w:rPr>
          <w:sz w:val="22"/>
          <w:szCs w:val="22"/>
        </w:rPr>
        <w:t>The source water or recharge area of a community public drinking water system supply well</w:t>
      </w:r>
      <w:r w:rsidR="00D20823" w:rsidRPr="001662B5">
        <w:rPr>
          <w:sz w:val="22"/>
          <w:szCs w:val="22"/>
        </w:rPr>
        <w:t>, including a well</w:t>
      </w:r>
      <w:r w:rsidRPr="001662B5">
        <w:rPr>
          <w:sz w:val="22"/>
          <w:szCs w:val="22"/>
        </w:rPr>
        <w:t xml:space="preserve"> that is in the process of being developed, or </w:t>
      </w:r>
      <w:r w:rsidR="00D20823" w:rsidRPr="001662B5">
        <w:rPr>
          <w:sz w:val="22"/>
          <w:szCs w:val="22"/>
        </w:rPr>
        <w:t xml:space="preserve">areas </w:t>
      </w:r>
      <w:r w:rsidRPr="001662B5">
        <w:rPr>
          <w:sz w:val="22"/>
          <w:szCs w:val="22"/>
        </w:rPr>
        <w:t>within 1</w:t>
      </w:r>
      <w:r w:rsidR="000415B1" w:rsidRPr="00AA776C">
        <w:rPr>
          <w:sz w:val="22"/>
          <w:szCs w:val="22"/>
        </w:rPr>
        <w:t>,</w:t>
      </w:r>
      <w:r w:rsidRPr="001662B5">
        <w:rPr>
          <w:sz w:val="22"/>
          <w:szCs w:val="22"/>
        </w:rPr>
        <w:t xml:space="preserve">000 feet of such a well, whichever is greater, provided the </w:t>
      </w:r>
      <w:r w:rsidR="00231841" w:rsidRPr="00AA776C">
        <w:rPr>
          <w:sz w:val="22"/>
          <w:szCs w:val="22"/>
        </w:rPr>
        <w:t xml:space="preserve">significant sand and gravel </w:t>
      </w:r>
      <w:r w:rsidRPr="001662B5">
        <w:rPr>
          <w:sz w:val="22"/>
          <w:szCs w:val="22"/>
        </w:rPr>
        <w:t xml:space="preserve">aquifer has been found to yield more than 50 gallons per minute, based on hydrogeological pump test data and analysis by a Maine-certified geologist; </w:t>
      </w:r>
      <w:r w:rsidR="00B71B61" w:rsidRPr="001662B5">
        <w:rPr>
          <w:sz w:val="22"/>
          <w:szCs w:val="22"/>
        </w:rPr>
        <w:t>or</w:t>
      </w:r>
    </w:p>
    <w:p w14:paraId="27A95E6B" w14:textId="77777777" w:rsidR="00D80D98" w:rsidRPr="001662B5" w:rsidRDefault="00D80D98" w:rsidP="007B69E6">
      <w:pPr>
        <w:pStyle w:val="BodyTextIndent"/>
        <w:ind w:left="0"/>
        <w:rPr>
          <w:sz w:val="22"/>
          <w:szCs w:val="22"/>
        </w:rPr>
      </w:pPr>
    </w:p>
    <w:p w14:paraId="2797E845" w14:textId="77777777" w:rsidR="001535E1" w:rsidRPr="001662B5" w:rsidRDefault="00A6081F" w:rsidP="007B69E6">
      <w:pPr>
        <w:pStyle w:val="BodyTextIndent"/>
        <w:numPr>
          <w:ilvl w:val="0"/>
          <w:numId w:val="43"/>
        </w:numPr>
        <w:rPr>
          <w:sz w:val="22"/>
          <w:szCs w:val="22"/>
        </w:rPr>
      </w:pPr>
      <w:r w:rsidRPr="001662B5">
        <w:rPr>
          <w:sz w:val="22"/>
          <w:szCs w:val="22"/>
        </w:rPr>
        <w:t xml:space="preserve">A portion of a mapped </w:t>
      </w:r>
      <w:r w:rsidR="003F4136" w:rsidRPr="00AA776C">
        <w:rPr>
          <w:sz w:val="22"/>
          <w:szCs w:val="22"/>
        </w:rPr>
        <w:t xml:space="preserve">significant sand and gravel </w:t>
      </w:r>
      <w:r w:rsidRPr="001662B5">
        <w:rPr>
          <w:sz w:val="22"/>
          <w:szCs w:val="22"/>
        </w:rPr>
        <w:t xml:space="preserve">aquifer that, based on a borehole test conducted in the center of a proposed facility site and in accordance with Appendix </w:t>
      </w:r>
      <w:r w:rsidR="00DF27EB" w:rsidRPr="001662B5">
        <w:rPr>
          <w:sz w:val="22"/>
          <w:szCs w:val="22"/>
        </w:rPr>
        <w:t>A</w:t>
      </w:r>
      <w:r w:rsidR="00B95585" w:rsidRPr="001662B5">
        <w:rPr>
          <w:sz w:val="22"/>
          <w:szCs w:val="22"/>
        </w:rPr>
        <w:t xml:space="preserve"> </w:t>
      </w:r>
      <w:r w:rsidR="007E603E" w:rsidRPr="001662B5">
        <w:rPr>
          <w:sz w:val="22"/>
          <w:szCs w:val="22"/>
        </w:rPr>
        <w:t xml:space="preserve">of </w:t>
      </w:r>
      <w:r w:rsidR="004C55F7" w:rsidRPr="00AA776C">
        <w:rPr>
          <w:sz w:val="22"/>
          <w:szCs w:val="22"/>
        </w:rPr>
        <w:t>this Chapter</w:t>
      </w:r>
      <w:r w:rsidR="00861D0F" w:rsidRPr="00AA776C">
        <w:rPr>
          <w:sz w:val="22"/>
          <w:szCs w:val="22"/>
        </w:rPr>
        <w:t>,</w:t>
      </w:r>
      <w:r w:rsidRPr="001662B5">
        <w:rPr>
          <w:sz w:val="22"/>
          <w:szCs w:val="22"/>
        </w:rPr>
        <w:t xml:space="preserve"> is expected to yield more than 50 gallons per minute.</w:t>
      </w:r>
    </w:p>
    <w:p w14:paraId="09B657CA" w14:textId="77777777" w:rsidR="00D80D98" w:rsidRPr="001662B5" w:rsidRDefault="00D80D98" w:rsidP="007B69E6">
      <w:pPr>
        <w:pStyle w:val="BodyTextIndent"/>
        <w:ind w:left="0"/>
        <w:rPr>
          <w:sz w:val="22"/>
          <w:szCs w:val="22"/>
          <w:u w:val="single"/>
        </w:rPr>
      </w:pPr>
    </w:p>
    <w:p w14:paraId="3352A71E" w14:textId="77777777" w:rsidR="00E8797E" w:rsidRPr="001662B5" w:rsidRDefault="00E8797E" w:rsidP="002A6EC2">
      <w:pPr>
        <w:pStyle w:val="BodyTextIndent"/>
        <w:pBdr>
          <w:top w:val="single" w:sz="8" w:space="1" w:color="auto"/>
          <w:bottom w:val="single" w:sz="8" w:space="1" w:color="auto"/>
        </w:pBdr>
        <w:rPr>
          <w:b/>
          <w:sz w:val="22"/>
          <w:szCs w:val="22"/>
        </w:rPr>
      </w:pPr>
      <w:r w:rsidRPr="001662B5">
        <w:rPr>
          <w:b/>
          <w:sz w:val="22"/>
          <w:szCs w:val="22"/>
        </w:rPr>
        <w:t>N</w:t>
      </w:r>
      <w:r w:rsidR="00E258A7" w:rsidRPr="001662B5">
        <w:rPr>
          <w:b/>
          <w:sz w:val="22"/>
          <w:szCs w:val="22"/>
        </w:rPr>
        <w:t>OTE</w:t>
      </w:r>
      <w:r w:rsidRPr="001662B5">
        <w:rPr>
          <w:b/>
          <w:sz w:val="22"/>
          <w:szCs w:val="22"/>
        </w:rPr>
        <w:t>:</w:t>
      </w:r>
      <w:r w:rsidRPr="001662B5">
        <w:rPr>
          <w:sz w:val="22"/>
          <w:szCs w:val="22"/>
        </w:rPr>
        <w:t xml:space="preserve"> If </w:t>
      </w:r>
      <w:r w:rsidR="00084ABA" w:rsidRPr="001662B5">
        <w:rPr>
          <w:sz w:val="22"/>
          <w:szCs w:val="22"/>
        </w:rPr>
        <w:t>the</w:t>
      </w:r>
      <w:r w:rsidRPr="001662B5">
        <w:rPr>
          <w:sz w:val="22"/>
          <w:szCs w:val="22"/>
        </w:rPr>
        <w:t xml:space="preserve"> applicant believes that a high </w:t>
      </w:r>
      <w:r w:rsidR="00173D7E" w:rsidRPr="00167298">
        <w:rPr>
          <w:sz w:val="22"/>
          <w:szCs w:val="22"/>
        </w:rPr>
        <w:t>yield</w:t>
      </w:r>
      <w:r w:rsidRPr="00167298">
        <w:rPr>
          <w:sz w:val="22"/>
          <w:szCs w:val="22"/>
        </w:rPr>
        <w:t xml:space="preserve"> </w:t>
      </w:r>
      <w:r w:rsidR="00231841" w:rsidRPr="00167298">
        <w:rPr>
          <w:sz w:val="22"/>
          <w:szCs w:val="22"/>
        </w:rPr>
        <w:t xml:space="preserve">significant sand and gravel </w:t>
      </w:r>
      <w:r w:rsidRPr="001662B5">
        <w:rPr>
          <w:sz w:val="22"/>
          <w:szCs w:val="22"/>
        </w:rPr>
        <w:t>aquifer, as listed above, has been incorrectly mapped or identified, the applicant should engage the entities responsible for that mapping or identification regarding appropriate changes.</w:t>
      </w:r>
    </w:p>
    <w:p w14:paraId="04E1EF5C" w14:textId="77777777" w:rsidR="00D80D98" w:rsidRPr="001662B5" w:rsidRDefault="00D80D98" w:rsidP="007B69E6">
      <w:pPr>
        <w:pStyle w:val="BodyTextIndent"/>
        <w:ind w:left="360" w:hanging="360"/>
        <w:rPr>
          <w:b/>
          <w:bCs/>
          <w:sz w:val="22"/>
          <w:szCs w:val="22"/>
        </w:rPr>
      </w:pPr>
    </w:p>
    <w:p w14:paraId="6AA85E82" w14:textId="77777777" w:rsidR="00B37E22" w:rsidRPr="001662B5" w:rsidRDefault="007628D1" w:rsidP="007B69E6">
      <w:pPr>
        <w:pStyle w:val="BodyTextIndent"/>
        <w:ind w:left="360" w:hanging="360"/>
        <w:rPr>
          <w:b/>
          <w:bCs/>
          <w:sz w:val="22"/>
          <w:szCs w:val="22"/>
          <w:u w:val="single"/>
        </w:rPr>
      </w:pPr>
      <w:r w:rsidRPr="001662B5">
        <w:rPr>
          <w:b/>
          <w:bCs/>
          <w:sz w:val="22"/>
          <w:szCs w:val="22"/>
        </w:rPr>
        <w:t>5.</w:t>
      </w:r>
      <w:r w:rsidRPr="001662B5">
        <w:rPr>
          <w:b/>
          <w:bCs/>
          <w:sz w:val="22"/>
          <w:szCs w:val="22"/>
        </w:rPr>
        <w:tab/>
      </w:r>
      <w:r w:rsidR="00B37E22" w:rsidRPr="00167298">
        <w:rPr>
          <w:b/>
          <w:bCs/>
          <w:sz w:val="22"/>
          <w:szCs w:val="22"/>
        </w:rPr>
        <w:t xml:space="preserve">Design standards. </w:t>
      </w:r>
      <w:r w:rsidR="00A56E97" w:rsidRPr="00167298">
        <w:rPr>
          <w:bCs/>
          <w:sz w:val="22"/>
          <w:szCs w:val="22"/>
        </w:rPr>
        <w:t xml:space="preserve">The design of a proposed facility </w:t>
      </w:r>
      <w:r w:rsidR="007236A9" w:rsidRPr="00167298">
        <w:rPr>
          <w:bCs/>
          <w:sz w:val="22"/>
          <w:szCs w:val="22"/>
        </w:rPr>
        <w:t xml:space="preserve">granted a variance </w:t>
      </w:r>
      <w:r w:rsidR="00A56E97" w:rsidRPr="00167298">
        <w:rPr>
          <w:bCs/>
          <w:sz w:val="22"/>
          <w:szCs w:val="22"/>
        </w:rPr>
        <w:t xml:space="preserve">under </w:t>
      </w:r>
      <w:r w:rsidR="007236A9" w:rsidRPr="00167298">
        <w:rPr>
          <w:bCs/>
          <w:sz w:val="22"/>
          <w:szCs w:val="22"/>
        </w:rPr>
        <w:t xml:space="preserve">sections </w:t>
      </w:r>
      <w:r w:rsidR="00AD0222" w:rsidRPr="00167298">
        <w:rPr>
          <w:bCs/>
          <w:sz w:val="22"/>
          <w:szCs w:val="22"/>
        </w:rPr>
        <w:t xml:space="preserve">3(B), </w:t>
      </w:r>
      <w:r w:rsidR="007236A9" w:rsidRPr="00167298">
        <w:rPr>
          <w:bCs/>
          <w:sz w:val="22"/>
          <w:szCs w:val="22"/>
        </w:rPr>
        <w:t>4(C)</w:t>
      </w:r>
      <w:r w:rsidR="00CA6C8E" w:rsidRPr="00167298">
        <w:rPr>
          <w:bCs/>
          <w:sz w:val="22"/>
          <w:szCs w:val="22"/>
        </w:rPr>
        <w:t>, 4(D)</w:t>
      </w:r>
      <w:r w:rsidR="003E3C22" w:rsidRPr="00167298">
        <w:rPr>
          <w:bCs/>
          <w:sz w:val="22"/>
          <w:szCs w:val="22"/>
        </w:rPr>
        <w:t xml:space="preserve"> or</w:t>
      </w:r>
      <w:r w:rsidR="00CA6C8E" w:rsidRPr="00167298">
        <w:rPr>
          <w:bCs/>
          <w:sz w:val="22"/>
          <w:szCs w:val="22"/>
        </w:rPr>
        <w:t xml:space="preserve"> 4(E</w:t>
      </w:r>
      <w:r w:rsidR="007236A9" w:rsidRPr="00167298">
        <w:rPr>
          <w:bCs/>
          <w:sz w:val="22"/>
          <w:szCs w:val="22"/>
        </w:rPr>
        <w:t>)</w:t>
      </w:r>
      <w:r w:rsidR="00A56E97" w:rsidRPr="00167298">
        <w:rPr>
          <w:bCs/>
          <w:sz w:val="22"/>
          <w:szCs w:val="22"/>
        </w:rPr>
        <w:t xml:space="preserve"> must meet the requirements of this section.  </w:t>
      </w:r>
    </w:p>
    <w:p w14:paraId="583E8302" w14:textId="77777777" w:rsidR="00A56E97" w:rsidRPr="001662B5" w:rsidRDefault="00A56E97" w:rsidP="007B69E6">
      <w:pPr>
        <w:ind w:left="1080" w:hanging="360"/>
        <w:rPr>
          <w:sz w:val="22"/>
          <w:szCs w:val="22"/>
          <w:u w:val="single"/>
        </w:rPr>
      </w:pPr>
    </w:p>
    <w:p w14:paraId="7134BF23" w14:textId="77777777" w:rsidR="00A56E97" w:rsidRPr="00167298" w:rsidRDefault="00682B41" w:rsidP="007B69E6">
      <w:pPr>
        <w:pStyle w:val="BodyTextIndent2"/>
        <w:numPr>
          <w:ilvl w:val="0"/>
          <w:numId w:val="50"/>
        </w:numPr>
        <w:spacing w:line="240" w:lineRule="auto"/>
        <w:ind w:left="720"/>
        <w:rPr>
          <w:sz w:val="22"/>
          <w:szCs w:val="22"/>
        </w:rPr>
      </w:pPr>
      <w:r w:rsidRPr="00167298">
        <w:rPr>
          <w:sz w:val="22"/>
          <w:szCs w:val="22"/>
        </w:rPr>
        <w:t>The facility must</w:t>
      </w:r>
      <w:r w:rsidR="00A56E97" w:rsidRPr="00167298">
        <w:rPr>
          <w:sz w:val="22"/>
          <w:szCs w:val="22"/>
        </w:rPr>
        <w:t xml:space="preserve"> be designed, installed, operated and monitored with a combination of leak detection and spill prevention equipment, discharge monitoring equipment, or other engineering, operational and monitoring measures that collectively are more stringent than state and federal requirements as determined by the Commissioner to </w:t>
      </w:r>
      <w:r w:rsidR="00897156" w:rsidRPr="00167298">
        <w:rPr>
          <w:sz w:val="22"/>
          <w:szCs w:val="22"/>
        </w:rPr>
        <w:t xml:space="preserve">effectively </w:t>
      </w:r>
      <w:r w:rsidR="00A56E97" w:rsidRPr="00167298">
        <w:rPr>
          <w:sz w:val="22"/>
          <w:szCs w:val="22"/>
        </w:rPr>
        <w:t>minimize the risk of oil discharges and the likelihood of future</w:t>
      </w:r>
      <w:r w:rsidR="00A67992" w:rsidRPr="00167298">
        <w:rPr>
          <w:sz w:val="22"/>
          <w:szCs w:val="22"/>
        </w:rPr>
        <w:t xml:space="preserve"> ground water contamination; and</w:t>
      </w:r>
    </w:p>
    <w:p w14:paraId="0F9592A3" w14:textId="77777777" w:rsidR="00A56E97" w:rsidRPr="001662B5" w:rsidRDefault="00A56E97" w:rsidP="007B69E6">
      <w:pPr>
        <w:pStyle w:val="BodyTextIndent2"/>
        <w:spacing w:line="240" w:lineRule="auto"/>
        <w:ind w:firstLine="0"/>
        <w:rPr>
          <w:sz w:val="22"/>
          <w:szCs w:val="22"/>
          <w:u w:val="single"/>
        </w:rPr>
      </w:pPr>
    </w:p>
    <w:p w14:paraId="7827207F" w14:textId="77777777" w:rsidR="00797F56" w:rsidRPr="00167298" w:rsidRDefault="00E974FA" w:rsidP="002A6EC2">
      <w:pPr>
        <w:pStyle w:val="BodyTextIndent2"/>
        <w:pBdr>
          <w:top w:val="single" w:sz="8" w:space="1" w:color="auto"/>
          <w:bottom w:val="single" w:sz="8" w:space="1" w:color="auto"/>
        </w:pBdr>
        <w:spacing w:line="240" w:lineRule="auto"/>
        <w:ind w:left="360" w:firstLine="0"/>
        <w:rPr>
          <w:sz w:val="22"/>
          <w:szCs w:val="22"/>
        </w:rPr>
      </w:pPr>
      <w:r w:rsidRPr="002A6EC2">
        <w:rPr>
          <w:b/>
          <w:sz w:val="22"/>
          <w:szCs w:val="22"/>
        </w:rPr>
        <w:t>NOTE:</w:t>
      </w:r>
      <w:r w:rsidRPr="00167298">
        <w:rPr>
          <w:sz w:val="22"/>
          <w:szCs w:val="22"/>
        </w:rPr>
        <w:t xml:space="preserve"> The following are examples of an acceptable combination of leak detection and spill prevention equipment and discharge monitoring equipment: overfill alarms and positive shut-off devices, remote leak detection alarms, electronic solenoid va</w:t>
      </w:r>
      <w:r w:rsidR="00DE77A6" w:rsidRPr="00167298">
        <w:rPr>
          <w:sz w:val="22"/>
          <w:szCs w:val="22"/>
        </w:rPr>
        <w:t>lves, pump shut-off probes with telemetry,</w:t>
      </w:r>
      <w:r w:rsidRPr="00167298">
        <w:rPr>
          <w:sz w:val="22"/>
          <w:szCs w:val="22"/>
        </w:rPr>
        <w:t xml:space="preserve"> electronic line leak detectors, </w:t>
      </w:r>
      <w:r w:rsidR="006E0B7B" w:rsidRPr="00167298">
        <w:rPr>
          <w:sz w:val="22"/>
          <w:szCs w:val="22"/>
        </w:rPr>
        <w:t xml:space="preserve">and </w:t>
      </w:r>
      <w:r w:rsidRPr="00167298">
        <w:rPr>
          <w:sz w:val="22"/>
          <w:szCs w:val="22"/>
        </w:rPr>
        <w:t>concrete pads in tank refueling areas.</w:t>
      </w:r>
    </w:p>
    <w:p w14:paraId="1016AB90" w14:textId="77777777" w:rsidR="00797F56" w:rsidRPr="001662B5" w:rsidRDefault="00797F56" w:rsidP="00A56E97">
      <w:pPr>
        <w:pStyle w:val="BodyTextIndent2"/>
        <w:spacing w:line="240" w:lineRule="auto"/>
        <w:ind w:right="-144" w:firstLine="0"/>
        <w:rPr>
          <w:sz w:val="22"/>
          <w:szCs w:val="22"/>
          <w:u w:val="single"/>
        </w:rPr>
      </w:pPr>
    </w:p>
    <w:p w14:paraId="50C07DDE" w14:textId="77777777" w:rsidR="00A56E97" w:rsidRPr="00167298" w:rsidRDefault="00166898" w:rsidP="00842BE8">
      <w:pPr>
        <w:pStyle w:val="BodyTextIndent2"/>
        <w:numPr>
          <w:ilvl w:val="0"/>
          <w:numId w:val="50"/>
        </w:numPr>
        <w:spacing w:line="240" w:lineRule="auto"/>
        <w:ind w:left="720"/>
        <w:rPr>
          <w:sz w:val="22"/>
          <w:szCs w:val="22"/>
        </w:rPr>
      </w:pPr>
      <w:r w:rsidRPr="00167298">
        <w:rPr>
          <w:sz w:val="22"/>
          <w:szCs w:val="22"/>
        </w:rPr>
        <w:t>The facility must implement</w:t>
      </w:r>
      <w:r w:rsidR="00A56E97" w:rsidRPr="00167298">
        <w:rPr>
          <w:sz w:val="22"/>
          <w:szCs w:val="22"/>
        </w:rPr>
        <w:t xml:space="preserve"> a Commissioner-approved facility-specific communication and training program to address potential catastrophic releases due to equipment failure, del</w:t>
      </w:r>
      <w:r w:rsidR="00682B41" w:rsidRPr="00167298">
        <w:rPr>
          <w:sz w:val="22"/>
          <w:szCs w:val="22"/>
        </w:rPr>
        <w:t>ivery accidents and human error.</w:t>
      </w:r>
    </w:p>
    <w:p w14:paraId="03A97D3A" w14:textId="77777777" w:rsidR="00B37E22" w:rsidRPr="001662B5" w:rsidRDefault="00B37E22" w:rsidP="002F3CBC">
      <w:pPr>
        <w:pStyle w:val="BodyTextIndent"/>
        <w:ind w:left="360" w:hanging="360"/>
        <w:rPr>
          <w:b/>
          <w:bCs/>
          <w:sz w:val="22"/>
          <w:szCs w:val="22"/>
          <w:u w:val="single"/>
        </w:rPr>
      </w:pPr>
    </w:p>
    <w:p w14:paraId="1835C9CD" w14:textId="77777777" w:rsidR="00CF034E" w:rsidRPr="001662B5" w:rsidRDefault="00B06409" w:rsidP="00B06409">
      <w:pPr>
        <w:pStyle w:val="BodyTextIndent"/>
        <w:ind w:left="360" w:hanging="360"/>
        <w:rPr>
          <w:sz w:val="22"/>
          <w:szCs w:val="22"/>
        </w:rPr>
      </w:pPr>
      <w:r w:rsidRPr="00167298">
        <w:rPr>
          <w:b/>
          <w:bCs/>
          <w:sz w:val="22"/>
          <w:szCs w:val="22"/>
        </w:rPr>
        <w:t>6.</w:t>
      </w:r>
      <w:r w:rsidRPr="001662B5">
        <w:rPr>
          <w:b/>
          <w:bCs/>
          <w:sz w:val="22"/>
          <w:szCs w:val="22"/>
        </w:rPr>
        <w:tab/>
      </w:r>
      <w:r w:rsidR="007628D1" w:rsidRPr="001662B5">
        <w:rPr>
          <w:b/>
          <w:bCs/>
          <w:sz w:val="22"/>
          <w:szCs w:val="22"/>
        </w:rPr>
        <w:t>Variance procedure.</w:t>
      </w:r>
      <w:r w:rsidR="001535E1" w:rsidRPr="001662B5">
        <w:rPr>
          <w:sz w:val="22"/>
          <w:szCs w:val="22"/>
        </w:rPr>
        <w:t xml:space="preserve"> </w:t>
      </w:r>
      <w:r w:rsidR="00CF034E" w:rsidRPr="001662B5">
        <w:rPr>
          <w:sz w:val="22"/>
          <w:szCs w:val="22"/>
        </w:rPr>
        <w:t>Processing of applications for a variance under section</w:t>
      </w:r>
      <w:r w:rsidR="00EF2674" w:rsidRPr="001662B5">
        <w:rPr>
          <w:sz w:val="22"/>
          <w:szCs w:val="22"/>
        </w:rPr>
        <w:t>s 3 and 4</w:t>
      </w:r>
      <w:r w:rsidR="00CF034E" w:rsidRPr="001662B5">
        <w:rPr>
          <w:sz w:val="22"/>
          <w:szCs w:val="22"/>
        </w:rPr>
        <w:t xml:space="preserve"> including, but not limited to, application requirements, public notice, and appeal procedures, are governed by </w:t>
      </w:r>
      <w:r w:rsidR="00D45B3C" w:rsidRPr="001662B5">
        <w:rPr>
          <w:sz w:val="22"/>
          <w:szCs w:val="22"/>
        </w:rPr>
        <w:t xml:space="preserve">the </w:t>
      </w:r>
      <w:r w:rsidR="00190210" w:rsidRPr="00167298">
        <w:rPr>
          <w:sz w:val="22"/>
          <w:szCs w:val="22"/>
        </w:rPr>
        <w:t>D</w:t>
      </w:r>
      <w:r w:rsidR="00D45B3C" w:rsidRPr="001662B5">
        <w:rPr>
          <w:sz w:val="22"/>
          <w:szCs w:val="22"/>
        </w:rPr>
        <w:t>epartment</w:t>
      </w:r>
      <w:r w:rsidR="00190210" w:rsidRPr="00167298">
        <w:rPr>
          <w:sz w:val="22"/>
          <w:szCs w:val="22"/>
        </w:rPr>
        <w:t>’s</w:t>
      </w:r>
      <w:r w:rsidR="00D45B3C" w:rsidRPr="001662B5">
        <w:rPr>
          <w:sz w:val="22"/>
          <w:szCs w:val="22"/>
        </w:rPr>
        <w:t xml:space="preserve"> </w:t>
      </w:r>
      <w:r w:rsidR="00D45B3C" w:rsidRPr="001662B5">
        <w:rPr>
          <w:i/>
          <w:sz w:val="22"/>
          <w:szCs w:val="22"/>
        </w:rPr>
        <w:t xml:space="preserve">Rule Concerning the </w:t>
      </w:r>
      <w:r w:rsidR="002967C5" w:rsidRPr="001662B5">
        <w:rPr>
          <w:i/>
          <w:sz w:val="22"/>
          <w:szCs w:val="22"/>
        </w:rPr>
        <w:t>P</w:t>
      </w:r>
      <w:r w:rsidR="00D45B3C" w:rsidRPr="001662B5">
        <w:rPr>
          <w:i/>
          <w:sz w:val="22"/>
          <w:szCs w:val="22"/>
        </w:rPr>
        <w:t>rocessing of Applications and Other Administrative Matters</w:t>
      </w:r>
      <w:r w:rsidR="00D45B3C" w:rsidRPr="001662B5">
        <w:rPr>
          <w:sz w:val="22"/>
          <w:szCs w:val="22"/>
        </w:rPr>
        <w:t xml:space="preserve">, 06-096 </w:t>
      </w:r>
      <w:r w:rsidR="00D45B3C" w:rsidRPr="00167298">
        <w:rPr>
          <w:sz w:val="22"/>
          <w:szCs w:val="22"/>
        </w:rPr>
        <w:t>C</w:t>
      </w:r>
      <w:r w:rsidR="006A2652" w:rsidRPr="00167298">
        <w:rPr>
          <w:sz w:val="22"/>
          <w:szCs w:val="22"/>
        </w:rPr>
        <w:t>.</w:t>
      </w:r>
      <w:r w:rsidR="00D45B3C" w:rsidRPr="00167298">
        <w:rPr>
          <w:sz w:val="22"/>
          <w:szCs w:val="22"/>
        </w:rPr>
        <w:t>M</w:t>
      </w:r>
      <w:r w:rsidR="006A2652" w:rsidRPr="00167298">
        <w:rPr>
          <w:sz w:val="22"/>
          <w:szCs w:val="22"/>
        </w:rPr>
        <w:t>.</w:t>
      </w:r>
      <w:r w:rsidR="00D45B3C" w:rsidRPr="00167298">
        <w:rPr>
          <w:sz w:val="22"/>
          <w:szCs w:val="22"/>
        </w:rPr>
        <w:t>R</w:t>
      </w:r>
      <w:r w:rsidR="006A2652" w:rsidRPr="00167298">
        <w:rPr>
          <w:sz w:val="22"/>
          <w:szCs w:val="22"/>
        </w:rPr>
        <w:t>.</w:t>
      </w:r>
      <w:r w:rsidR="00D45B3C" w:rsidRPr="001662B5">
        <w:rPr>
          <w:sz w:val="22"/>
          <w:szCs w:val="22"/>
        </w:rPr>
        <w:t xml:space="preserve"> </w:t>
      </w:r>
      <w:r w:rsidR="006A2652" w:rsidRPr="00167298">
        <w:rPr>
          <w:sz w:val="22"/>
          <w:szCs w:val="22"/>
        </w:rPr>
        <w:t xml:space="preserve">ch. </w:t>
      </w:r>
      <w:r w:rsidR="009535E5" w:rsidRPr="001662B5">
        <w:rPr>
          <w:sz w:val="22"/>
          <w:szCs w:val="22"/>
        </w:rPr>
        <w:t>2</w:t>
      </w:r>
      <w:r w:rsidR="00D45B3C" w:rsidRPr="001662B5">
        <w:rPr>
          <w:sz w:val="22"/>
          <w:szCs w:val="22"/>
        </w:rPr>
        <w:t>,</w:t>
      </w:r>
      <w:r w:rsidR="00CF034E" w:rsidRPr="001662B5">
        <w:rPr>
          <w:sz w:val="22"/>
          <w:szCs w:val="22"/>
        </w:rPr>
        <w:t xml:space="preserve"> except as specified below.</w:t>
      </w:r>
    </w:p>
    <w:p w14:paraId="628B8BFF" w14:textId="77777777" w:rsidR="00D80D98" w:rsidRPr="001662B5" w:rsidRDefault="00D80D98" w:rsidP="002F3CBC">
      <w:pPr>
        <w:pStyle w:val="BodyTextIndent"/>
        <w:ind w:left="360" w:hanging="360"/>
        <w:rPr>
          <w:sz w:val="22"/>
          <w:szCs w:val="22"/>
        </w:rPr>
      </w:pPr>
    </w:p>
    <w:p w14:paraId="1E869D44" w14:textId="77777777" w:rsidR="001535E1" w:rsidRPr="001662B5" w:rsidRDefault="007C13F0" w:rsidP="00D80D98">
      <w:pPr>
        <w:pStyle w:val="BodyTextIndent"/>
        <w:numPr>
          <w:ilvl w:val="0"/>
          <w:numId w:val="44"/>
        </w:numPr>
        <w:rPr>
          <w:sz w:val="22"/>
          <w:szCs w:val="22"/>
        </w:rPr>
      </w:pPr>
      <w:r w:rsidRPr="001662B5">
        <w:rPr>
          <w:b/>
          <w:sz w:val="22"/>
          <w:szCs w:val="22"/>
        </w:rPr>
        <w:t>Application requirements.</w:t>
      </w:r>
      <w:r w:rsidR="001535E1" w:rsidRPr="001662B5">
        <w:rPr>
          <w:sz w:val="22"/>
          <w:szCs w:val="22"/>
        </w:rPr>
        <w:t xml:space="preserve"> </w:t>
      </w:r>
      <w:r w:rsidR="00430636" w:rsidRPr="001662B5">
        <w:rPr>
          <w:sz w:val="22"/>
          <w:szCs w:val="22"/>
        </w:rPr>
        <w:t>Request</w:t>
      </w:r>
      <w:r w:rsidRPr="001662B5">
        <w:rPr>
          <w:sz w:val="22"/>
          <w:szCs w:val="22"/>
        </w:rPr>
        <w:t>s</w:t>
      </w:r>
      <w:r w:rsidR="00430636" w:rsidRPr="001662B5">
        <w:rPr>
          <w:sz w:val="22"/>
          <w:szCs w:val="22"/>
        </w:rPr>
        <w:t xml:space="preserve"> for variance from the siting restrictions of </w:t>
      </w:r>
      <w:r w:rsidR="004C55F7" w:rsidRPr="00167298">
        <w:rPr>
          <w:sz w:val="22"/>
          <w:szCs w:val="22"/>
        </w:rPr>
        <w:t>this Chapter</w:t>
      </w:r>
      <w:r w:rsidR="00430636" w:rsidRPr="001662B5">
        <w:rPr>
          <w:sz w:val="22"/>
          <w:szCs w:val="22"/>
        </w:rPr>
        <w:t xml:space="preserve"> must be submitted in writing on forms provided by the </w:t>
      </w:r>
      <w:r w:rsidR="004C55F7" w:rsidRPr="00167298">
        <w:rPr>
          <w:sz w:val="22"/>
          <w:szCs w:val="22"/>
        </w:rPr>
        <w:t>Commissioner</w:t>
      </w:r>
      <w:r w:rsidR="00430636" w:rsidRPr="001662B5">
        <w:rPr>
          <w:sz w:val="22"/>
          <w:szCs w:val="22"/>
        </w:rPr>
        <w:t>.</w:t>
      </w:r>
      <w:r w:rsidR="001535E1" w:rsidRPr="001662B5">
        <w:rPr>
          <w:sz w:val="22"/>
          <w:szCs w:val="22"/>
        </w:rPr>
        <w:t xml:space="preserve"> </w:t>
      </w:r>
      <w:r w:rsidRPr="001662B5">
        <w:rPr>
          <w:sz w:val="22"/>
          <w:szCs w:val="22"/>
        </w:rPr>
        <w:t xml:space="preserve">In addition to the information required under </w:t>
      </w:r>
      <w:r w:rsidR="00B95585" w:rsidRPr="001662B5">
        <w:rPr>
          <w:sz w:val="22"/>
          <w:szCs w:val="22"/>
        </w:rPr>
        <w:t xml:space="preserve">Chapter </w:t>
      </w:r>
      <w:r w:rsidRPr="00167298">
        <w:rPr>
          <w:sz w:val="22"/>
          <w:szCs w:val="22"/>
        </w:rPr>
        <w:t>2</w:t>
      </w:r>
      <w:r w:rsidR="00A9392B" w:rsidRPr="00167298">
        <w:rPr>
          <w:sz w:val="22"/>
          <w:szCs w:val="22"/>
        </w:rPr>
        <w:t xml:space="preserve"> </w:t>
      </w:r>
      <w:r w:rsidR="00F0133C">
        <w:rPr>
          <w:sz w:val="22"/>
          <w:szCs w:val="22"/>
        </w:rPr>
        <w:t>§</w:t>
      </w:r>
      <w:r w:rsidRPr="001662B5">
        <w:rPr>
          <w:sz w:val="22"/>
          <w:szCs w:val="22"/>
        </w:rPr>
        <w:t xml:space="preserve">11, </w:t>
      </w:r>
      <w:r w:rsidR="00A9392B" w:rsidRPr="00167298">
        <w:rPr>
          <w:sz w:val="22"/>
          <w:szCs w:val="22"/>
        </w:rPr>
        <w:t xml:space="preserve">the </w:t>
      </w:r>
      <w:r w:rsidRPr="001662B5">
        <w:rPr>
          <w:sz w:val="22"/>
          <w:szCs w:val="22"/>
        </w:rPr>
        <w:t>application must include at a minimum the following information:</w:t>
      </w:r>
    </w:p>
    <w:p w14:paraId="2D4BF533" w14:textId="77777777" w:rsidR="00D80D98" w:rsidRPr="001662B5" w:rsidRDefault="00D80D98" w:rsidP="00D80D98">
      <w:pPr>
        <w:pStyle w:val="BodyTextIndent"/>
        <w:rPr>
          <w:sz w:val="22"/>
          <w:szCs w:val="22"/>
        </w:rPr>
      </w:pPr>
    </w:p>
    <w:p w14:paraId="560A618B" w14:textId="77777777" w:rsidR="007C13F0" w:rsidRPr="001662B5" w:rsidRDefault="007C13F0" w:rsidP="00D80D98">
      <w:pPr>
        <w:pStyle w:val="BodyTextIndent"/>
        <w:numPr>
          <w:ilvl w:val="0"/>
          <w:numId w:val="45"/>
        </w:numPr>
        <w:rPr>
          <w:sz w:val="22"/>
          <w:szCs w:val="22"/>
        </w:rPr>
      </w:pPr>
      <w:r w:rsidRPr="001662B5">
        <w:rPr>
          <w:sz w:val="22"/>
          <w:szCs w:val="22"/>
        </w:rPr>
        <w:t xml:space="preserve">The registration materials required under </w:t>
      </w:r>
      <w:r w:rsidR="00B95585" w:rsidRPr="001662B5">
        <w:rPr>
          <w:sz w:val="22"/>
          <w:szCs w:val="22"/>
        </w:rPr>
        <w:t>Chapter</w:t>
      </w:r>
      <w:r w:rsidRPr="001662B5">
        <w:rPr>
          <w:sz w:val="22"/>
          <w:szCs w:val="22"/>
        </w:rPr>
        <w:t xml:space="preserve"> 691</w:t>
      </w:r>
      <w:r w:rsidR="00A9392B" w:rsidRPr="00167298">
        <w:rPr>
          <w:sz w:val="22"/>
          <w:szCs w:val="22"/>
        </w:rPr>
        <w:t xml:space="preserve"> </w:t>
      </w:r>
      <w:r w:rsidR="00F0133C">
        <w:rPr>
          <w:sz w:val="22"/>
          <w:szCs w:val="22"/>
        </w:rPr>
        <w:t>§</w:t>
      </w:r>
      <w:r w:rsidRPr="001662B5">
        <w:rPr>
          <w:sz w:val="22"/>
          <w:szCs w:val="22"/>
        </w:rPr>
        <w:t>4;</w:t>
      </w:r>
    </w:p>
    <w:p w14:paraId="674CFE4A" w14:textId="77777777" w:rsidR="00D80D98" w:rsidRPr="001662B5" w:rsidRDefault="00D80D98" w:rsidP="00D80D98">
      <w:pPr>
        <w:pStyle w:val="BodyTextIndent"/>
        <w:ind w:left="1080"/>
        <w:rPr>
          <w:sz w:val="22"/>
          <w:szCs w:val="22"/>
        </w:rPr>
      </w:pPr>
    </w:p>
    <w:p w14:paraId="0FC45333" w14:textId="77777777" w:rsidR="007C13F0" w:rsidRPr="001662B5" w:rsidRDefault="007C13F0" w:rsidP="00D80D98">
      <w:pPr>
        <w:pStyle w:val="BodyTextIndent"/>
        <w:numPr>
          <w:ilvl w:val="0"/>
          <w:numId w:val="45"/>
        </w:numPr>
        <w:rPr>
          <w:sz w:val="22"/>
          <w:szCs w:val="22"/>
        </w:rPr>
      </w:pPr>
      <w:r w:rsidRPr="001662B5">
        <w:rPr>
          <w:sz w:val="22"/>
          <w:szCs w:val="22"/>
        </w:rPr>
        <w:t>The names and mailing addresses of all abutters to the property on which the facility is proposed;</w:t>
      </w:r>
    </w:p>
    <w:p w14:paraId="79B877BB" w14:textId="77777777" w:rsidR="00D80D98" w:rsidRPr="001662B5" w:rsidRDefault="00D80D98" w:rsidP="00D80D98">
      <w:pPr>
        <w:pStyle w:val="BodyTextIndent"/>
        <w:ind w:left="0"/>
        <w:rPr>
          <w:sz w:val="22"/>
          <w:szCs w:val="22"/>
        </w:rPr>
      </w:pPr>
    </w:p>
    <w:p w14:paraId="34D64795" w14:textId="77777777" w:rsidR="007C13F0" w:rsidRPr="001662B5" w:rsidRDefault="007C13F0" w:rsidP="00D80D98">
      <w:pPr>
        <w:pStyle w:val="BodyTextIndent"/>
        <w:numPr>
          <w:ilvl w:val="0"/>
          <w:numId w:val="45"/>
        </w:numPr>
        <w:rPr>
          <w:sz w:val="22"/>
          <w:szCs w:val="22"/>
        </w:rPr>
      </w:pPr>
      <w:r w:rsidRPr="001662B5">
        <w:rPr>
          <w:sz w:val="22"/>
          <w:szCs w:val="22"/>
        </w:rPr>
        <w:t>A plan view of the proposed facility showing the precise location and footprint of all facility components that will contain oil in either a liquid or vapor phase;</w:t>
      </w:r>
    </w:p>
    <w:p w14:paraId="1B84E258" w14:textId="77777777" w:rsidR="00D80D98" w:rsidRPr="001662B5" w:rsidRDefault="00D80D98" w:rsidP="00D80D98">
      <w:pPr>
        <w:pStyle w:val="BodyTextIndent"/>
        <w:ind w:left="0"/>
        <w:rPr>
          <w:sz w:val="22"/>
          <w:szCs w:val="22"/>
        </w:rPr>
      </w:pPr>
    </w:p>
    <w:p w14:paraId="53EBFAD2" w14:textId="77777777" w:rsidR="007C13F0" w:rsidRPr="001662B5" w:rsidRDefault="007C13F0" w:rsidP="00D80D98">
      <w:pPr>
        <w:pStyle w:val="BodyTextIndent"/>
        <w:numPr>
          <w:ilvl w:val="0"/>
          <w:numId w:val="45"/>
        </w:numPr>
        <w:rPr>
          <w:sz w:val="22"/>
          <w:szCs w:val="22"/>
        </w:rPr>
      </w:pPr>
      <w:r w:rsidRPr="001662B5">
        <w:rPr>
          <w:sz w:val="22"/>
          <w:szCs w:val="22"/>
        </w:rPr>
        <w:t>The map coordinates of each corner of the facility footprint and any proposed ground water monitoring wells to sub-meter precision and accuracy in a format compatible with the State of Maine Geographical Information System;</w:t>
      </w:r>
    </w:p>
    <w:p w14:paraId="1F02349D" w14:textId="77777777" w:rsidR="00D80D98" w:rsidRPr="001662B5" w:rsidRDefault="00D80D98" w:rsidP="00D80D98">
      <w:pPr>
        <w:pStyle w:val="BodyTextIndent"/>
        <w:ind w:left="0"/>
        <w:rPr>
          <w:sz w:val="22"/>
          <w:szCs w:val="22"/>
        </w:rPr>
      </w:pPr>
    </w:p>
    <w:p w14:paraId="32A93B36" w14:textId="77777777" w:rsidR="007C13F0" w:rsidRPr="001662B5" w:rsidRDefault="007C13F0" w:rsidP="002A6EC2">
      <w:pPr>
        <w:pStyle w:val="BodyTextIndent"/>
        <w:pBdr>
          <w:top w:val="single" w:sz="8" w:space="1" w:color="auto"/>
          <w:bottom w:val="single" w:sz="8" w:space="1" w:color="auto"/>
        </w:pBdr>
        <w:rPr>
          <w:sz w:val="22"/>
          <w:szCs w:val="22"/>
        </w:rPr>
      </w:pPr>
      <w:r w:rsidRPr="001662B5">
        <w:rPr>
          <w:b/>
          <w:sz w:val="22"/>
          <w:szCs w:val="22"/>
        </w:rPr>
        <w:t>NOTE</w:t>
      </w:r>
      <w:r w:rsidRPr="001662B5">
        <w:rPr>
          <w:sz w:val="22"/>
          <w:szCs w:val="22"/>
        </w:rPr>
        <w:t>:</w:t>
      </w:r>
      <w:r w:rsidR="001535E1" w:rsidRPr="001662B5">
        <w:rPr>
          <w:sz w:val="22"/>
          <w:szCs w:val="22"/>
        </w:rPr>
        <w:t xml:space="preserve"> </w:t>
      </w:r>
      <w:r w:rsidRPr="001662B5">
        <w:rPr>
          <w:sz w:val="22"/>
          <w:szCs w:val="22"/>
        </w:rPr>
        <w:t>The Maine Geographic Information System (GIS) uses as a standard the Universal Traverse Mercator</w:t>
      </w:r>
      <w:r w:rsidR="00CB28C1" w:rsidRPr="00167298">
        <w:rPr>
          <w:sz w:val="22"/>
          <w:szCs w:val="22"/>
        </w:rPr>
        <w:t xml:space="preserve"> </w:t>
      </w:r>
      <w:r w:rsidR="00762682" w:rsidRPr="00167298">
        <w:rPr>
          <w:sz w:val="22"/>
          <w:szCs w:val="22"/>
        </w:rPr>
        <w:t>(UTM)</w:t>
      </w:r>
      <w:r w:rsidRPr="00167298">
        <w:rPr>
          <w:sz w:val="22"/>
          <w:szCs w:val="22"/>
        </w:rPr>
        <w:t xml:space="preserve"> </w:t>
      </w:r>
      <w:r w:rsidRPr="001662B5">
        <w:rPr>
          <w:sz w:val="22"/>
          <w:szCs w:val="22"/>
        </w:rPr>
        <w:t>system.</w:t>
      </w:r>
      <w:r w:rsidR="001535E1" w:rsidRPr="001662B5">
        <w:rPr>
          <w:sz w:val="22"/>
          <w:szCs w:val="22"/>
        </w:rPr>
        <w:t xml:space="preserve"> </w:t>
      </w:r>
      <w:r w:rsidRPr="001662B5">
        <w:rPr>
          <w:sz w:val="22"/>
          <w:szCs w:val="22"/>
        </w:rPr>
        <w:t>The datum system used is the NAD83 (North American Datum 1983) version.</w:t>
      </w:r>
    </w:p>
    <w:p w14:paraId="215147BB" w14:textId="77777777" w:rsidR="00D80D98" w:rsidRPr="001662B5" w:rsidRDefault="00D80D98" w:rsidP="007B69E6">
      <w:pPr>
        <w:pStyle w:val="BodyTextIndent"/>
        <w:ind w:left="1080" w:hanging="360"/>
        <w:rPr>
          <w:sz w:val="22"/>
          <w:szCs w:val="22"/>
        </w:rPr>
      </w:pPr>
    </w:p>
    <w:p w14:paraId="4639A4DA" w14:textId="77777777" w:rsidR="00CF034E" w:rsidRPr="001662B5" w:rsidRDefault="00CF034E" w:rsidP="007B69E6">
      <w:pPr>
        <w:pStyle w:val="BodyTextIndent"/>
        <w:numPr>
          <w:ilvl w:val="0"/>
          <w:numId w:val="45"/>
        </w:numPr>
        <w:rPr>
          <w:sz w:val="22"/>
          <w:szCs w:val="22"/>
        </w:rPr>
      </w:pPr>
      <w:r w:rsidRPr="001662B5">
        <w:rPr>
          <w:sz w:val="22"/>
          <w:szCs w:val="22"/>
        </w:rPr>
        <w:t xml:space="preserve">If a variance is sought under section </w:t>
      </w:r>
      <w:r w:rsidR="0029718B" w:rsidRPr="00167298">
        <w:rPr>
          <w:sz w:val="22"/>
          <w:szCs w:val="22"/>
        </w:rPr>
        <w:t xml:space="preserve">3(B) or </w:t>
      </w:r>
      <w:r w:rsidR="00B95585" w:rsidRPr="001662B5">
        <w:rPr>
          <w:sz w:val="22"/>
          <w:szCs w:val="22"/>
        </w:rPr>
        <w:t>(</w:t>
      </w:r>
      <w:r w:rsidRPr="001662B5">
        <w:rPr>
          <w:sz w:val="22"/>
          <w:szCs w:val="22"/>
        </w:rPr>
        <w:t>C</w:t>
      </w:r>
      <w:r w:rsidR="00B95585" w:rsidRPr="001662B5">
        <w:rPr>
          <w:sz w:val="22"/>
          <w:szCs w:val="22"/>
        </w:rPr>
        <w:t>)</w:t>
      </w:r>
      <w:r w:rsidRPr="001662B5">
        <w:rPr>
          <w:sz w:val="22"/>
          <w:szCs w:val="22"/>
        </w:rPr>
        <w:t xml:space="preserve"> of this chapter, a written report supporting the variance request.</w:t>
      </w:r>
      <w:r w:rsidR="001535E1" w:rsidRPr="001662B5">
        <w:rPr>
          <w:sz w:val="22"/>
          <w:szCs w:val="22"/>
        </w:rPr>
        <w:t xml:space="preserve"> </w:t>
      </w:r>
      <w:r w:rsidRPr="001662B5">
        <w:rPr>
          <w:sz w:val="22"/>
          <w:szCs w:val="22"/>
        </w:rPr>
        <w:t>If the report includes ground water quality or other hydrogeological data that was collected and interpreted in support of the variance request, the data and its written analysis must be certified by a Maine-certified geologist.</w:t>
      </w:r>
      <w:r w:rsidR="001535E1" w:rsidRPr="001662B5">
        <w:rPr>
          <w:sz w:val="22"/>
          <w:szCs w:val="22"/>
        </w:rPr>
        <w:t xml:space="preserve"> </w:t>
      </w:r>
      <w:r w:rsidRPr="001662B5">
        <w:rPr>
          <w:sz w:val="22"/>
          <w:szCs w:val="22"/>
        </w:rPr>
        <w:t>If the variance request is based on a municipal land use ordinance, the report must include a copy of the relevant sections of the ordinance and a copy of the relevant land use mapping, certified by an authorized official of that municipality as being current and true copies.</w:t>
      </w:r>
      <w:r w:rsidR="001535E1" w:rsidRPr="001662B5">
        <w:rPr>
          <w:sz w:val="22"/>
          <w:szCs w:val="22"/>
        </w:rPr>
        <w:t xml:space="preserve"> </w:t>
      </w:r>
      <w:r w:rsidRPr="001662B5">
        <w:rPr>
          <w:sz w:val="22"/>
          <w:szCs w:val="22"/>
        </w:rPr>
        <w:t>The proposed facility site location must be accurately shown on the land use map</w:t>
      </w:r>
      <w:r w:rsidR="0029718B" w:rsidRPr="00167298">
        <w:rPr>
          <w:sz w:val="22"/>
          <w:szCs w:val="22"/>
        </w:rPr>
        <w:t>; and</w:t>
      </w:r>
    </w:p>
    <w:p w14:paraId="2C7629D2" w14:textId="77777777" w:rsidR="00D80D98" w:rsidRPr="001662B5" w:rsidRDefault="00D80D98" w:rsidP="00D80D98">
      <w:pPr>
        <w:pStyle w:val="BodyTextIndent"/>
        <w:ind w:left="1080" w:right="-144"/>
        <w:rPr>
          <w:sz w:val="22"/>
          <w:szCs w:val="22"/>
        </w:rPr>
      </w:pPr>
    </w:p>
    <w:p w14:paraId="4C2F22F9" w14:textId="77777777" w:rsidR="007C13F0" w:rsidRPr="001662B5" w:rsidRDefault="007C13F0" w:rsidP="007B69E6">
      <w:pPr>
        <w:pStyle w:val="BodyTextIndent"/>
        <w:numPr>
          <w:ilvl w:val="0"/>
          <w:numId w:val="45"/>
        </w:numPr>
        <w:rPr>
          <w:sz w:val="22"/>
          <w:szCs w:val="22"/>
        </w:rPr>
      </w:pPr>
      <w:r w:rsidRPr="001662B5">
        <w:rPr>
          <w:sz w:val="22"/>
          <w:szCs w:val="22"/>
        </w:rPr>
        <w:t xml:space="preserve">If a variance is sought under </w:t>
      </w:r>
      <w:r w:rsidR="00294DC6" w:rsidRPr="004707A6">
        <w:rPr>
          <w:sz w:val="22"/>
          <w:szCs w:val="22"/>
        </w:rPr>
        <w:t>section</w:t>
      </w:r>
      <w:r w:rsidR="003B157D" w:rsidRPr="004707A6">
        <w:rPr>
          <w:sz w:val="22"/>
          <w:szCs w:val="22"/>
        </w:rPr>
        <w:t>s</w:t>
      </w:r>
      <w:r w:rsidR="00294DC6" w:rsidRPr="004707A6">
        <w:rPr>
          <w:sz w:val="22"/>
          <w:szCs w:val="22"/>
        </w:rPr>
        <w:t xml:space="preserve"> </w:t>
      </w:r>
      <w:r w:rsidR="00AD0222" w:rsidRPr="004707A6">
        <w:rPr>
          <w:sz w:val="22"/>
          <w:szCs w:val="22"/>
        </w:rPr>
        <w:t xml:space="preserve">3(B), </w:t>
      </w:r>
      <w:r w:rsidR="00DB1E71" w:rsidRPr="004707A6">
        <w:rPr>
          <w:sz w:val="22"/>
          <w:szCs w:val="22"/>
        </w:rPr>
        <w:t>4(C)</w:t>
      </w:r>
      <w:r w:rsidR="00197A88" w:rsidRPr="004707A6">
        <w:rPr>
          <w:sz w:val="22"/>
          <w:szCs w:val="22"/>
        </w:rPr>
        <w:t>,</w:t>
      </w:r>
      <w:r w:rsidR="00166898" w:rsidRPr="004707A6">
        <w:rPr>
          <w:sz w:val="22"/>
          <w:szCs w:val="22"/>
        </w:rPr>
        <w:t xml:space="preserve"> </w:t>
      </w:r>
      <w:r w:rsidR="00294DC6" w:rsidRPr="001662B5">
        <w:rPr>
          <w:sz w:val="22"/>
          <w:szCs w:val="22"/>
        </w:rPr>
        <w:t>4</w:t>
      </w:r>
      <w:r w:rsidRPr="001662B5">
        <w:rPr>
          <w:sz w:val="22"/>
          <w:szCs w:val="22"/>
        </w:rPr>
        <w:t>(</w:t>
      </w:r>
      <w:r w:rsidR="00294DC6" w:rsidRPr="001662B5">
        <w:rPr>
          <w:sz w:val="22"/>
          <w:szCs w:val="22"/>
        </w:rPr>
        <w:t>D</w:t>
      </w:r>
      <w:r w:rsidRPr="001662B5">
        <w:rPr>
          <w:sz w:val="22"/>
          <w:szCs w:val="22"/>
        </w:rPr>
        <w:t xml:space="preserve">) </w:t>
      </w:r>
      <w:r w:rsidR="003E3C22" w:rsidRPr="004707A6">
        <w:rPr>
          <w:sz w:val="22"/>
          <w:szCs w:val="22"/>
        </w:rPr>
        <w:t>or</w:t>
      </w:r>
      <w:r w:rsidR="00197A88" w:rsidRPr="004707A6">
        <w:rPr>
          <w:sz w:val="22"/>
          <w:szCs w:val="22"/>
        </w:rPr>
        <w:t xml:space="preserve"> 4(E) </w:t>
      </w:r>
      <w:r w:rsidRPr="001662B5">
        <w:rPr>
          <w:sz w:val="22"/>
          <w:szCs w:val="22"/>
        </w:rPr>
        <w:t xml:space="preserve">of this </w:t>
      </w:r>
      <w:r w:rsidR="00294DC6" w:rsidRPr="001662B5">
        <w:rPr>
          <w:sz w:val="22"/>
          <w:szCs w:val="22"/>
        </w:rPr>
        <w:t>chapter</w:t>
      </w:r>
      <w:r w:rsidRPr="001662B5">
        <w:rPr>
          <w:sz w:val="22"/>
          <w:szCs w:val="22"/>
        </w:rPr>
        <w:t xml:space="preserve">, </w:t>
      </w:r>
      <w:r w:rsidR="00080945" w:rsidRPr="004707A6">
        <w:rPr>
          <w:sz w:val="22"/>
          <w:szCs w:val="22"/>
        </w:rPr>
        <w:t>facility</w:t>
      </w:r>
      <w:r w:rsidRPr="004707A6">
        <w:rPr>
          <w:sz w:val="22"/>
          <w:szCs w:val="22"/>
        </w:rPr>
        <w:t xml:space="preserve"> </w:t>
      </w:r>
      <w:r w:rsidRPr="001662B5">
        <w:rPr>
          <w:sz w:val="22"/>
          <w:szCs w:val="22"/>
        </w:rPr>
        <w:t>design</w:t>
      </w:r>
      <w:r w:rsidR="00CF1DEA" w:rsidRPr="001662B5">
        <w:rPr>
          <w:sz w:val="22"/>
          <w:szCs w:val="22"/>
          <w:u w:val="single"/>
        </w:rPr>
        <w:t xml:space="preserve"> </w:t>
      </w:r>
      <w:r w:rsidR="00CF1DEA" w:rsidRPr="000E4EEB">
        <w:rPr>
          <w:sz w:val="22"/>
          <w:szCs w:val="22"/>
        </w:rPr>
        <w:t>meeting the standards of section 5</w:t>
      </w:r>
      <w:r w:rsidRPr="001662B5">
        <w:rPr>
          <w:sz w:val="22"/>
          <w:szCs w:val="22"/>
        </w:rPr>
        <w:t xml:space="preserve"> and a narrative explaining how the enhancements </w:t>
      </w:r>
      <w:r w:rsidR="0086209C" w:rsidRPr="000E4EEB">
        <w:rPr>
          <w:sz w:val="22"/>
          <w:szCs w:val="22"/>
        </w:rPr>
        <w:t>will effectively</w:t>
      </w:r>
      <w:r w:rsidRPr="001662B5">
        <w:rPr>
          <w:sz w:val="22"/>
          <w:szCs w:val="22"/>
        </w:rPr>
        <w:t xml:space="preserve"> minimize the risk of oil discharges and the likelihood of future ground water contamination</w:t>
      </w:r>
      <w:r w:rsidR="00B95585" w:rsidRPr="001662B5">
        <w:rPr>
          <w:sz w:val="22"/>
          <w:szCs w:val="22"/>
        </w:rPr>
        <w:t>.</w:t>
      </w:r>
    </w:p>
    <w:p w14:paraId="475D8173" w14:textId="77777777" w:rsidR="00D80D98" w:rsidRPr="001662B5" w:rsidRDefault="00D80D98" w:rsidP="00D80D98">
      <w:pPr>
        <w:pStyle w:val="BodyTextIndent"/>
        <w:ind w:left="0" w:right="-540"/>
        <w:rPr>
          <w:sz w:val="22"/>
          <w:szCs w:val="22"/>
        </w:rPr>
      </w:pPr>
    </w:p>
    <w:p w14:paraId="693BEE32" w14:textId="77777777" w:rsidR="007C13F0" w:rsidRPr="001662B5" w:rsidRDefault="007C13F0" w:rsidP="002F3CBC">
      <w:pPr>
        <w:pStyle w:val="BodyTextIndent"/>
        <w:pBdr>
          <w:top w:val="single" w:sz="4" w:space="1" w:color="auto"/>
          <w:bottom w:val="single" w:sz="4" w:space="1" w:color="auto"/>
        </w:pBdr>
        <w:rPr>
          <w:sz w:val="22"/>
          <w:szCs w:val="22"/>
        </w:rPr>
      </w:pPr>
      <w:r w:rsidRPr="001662B5">
        <w:rPr>
          <w:b/>
          <w:sz w:val="22"/>
          <w:szCs w:val="22"/>
        </w:rPr>
        <w:t>NOTE:</w:t>
      </w:r>
      <w:r w:rsidR="001535E1" w:rsidRPr="001662B5">
        <w:rPr>
          <w:sz w:val="22"/>
          <w:szCs w:val="22"/>
        </w:rPr>
        <w:t xml:space="preserve"> </w:t>
      </w:r>
      <w:r w:rsidRPr="001662B5">
        <w:rPr>
          <w:sz w:val="22"/>
          <w:szCs w:val="22"/>
        </w:rPr>
        <w:t xml:space="preserve">A pre-application meeting with the </w:t>
      </w:r>
      <w:r w:rsidR="00190210" w:rsidRPr="000E4EEB">
        <w:rPr>
          <w:sz w:val="22"/>
          <w:szCs w:val="22"/>
        </w:rPr>
        <w:t>D</w:t>
      </w:r>
      <w:r w:rsidRPr="001662B5">
        <w:rPr>
          <w:sz w:val="22"/>
          <w:szCs w:val="22"/>
        </w:rPr>
        <w:t>epartment is recommended to ensure the applicant understands the variance requirements as they may apply to the specific proposed facility site.</w:t>
      </w:r>
      <w:r w:rsidR="001535E1" w:rsidRPr="001662B5">
        <w:rPr>
          <w:sz w:val="22"/>
          <w:szCs w:val="22"/>
        </w:rPr>
        <w:t xml:space="preserve"> </w:t>
      </w:r>
      <w:r w:rsidRPr="001662B5">
        <w:rPr>
          <w:sz w:val="22"/>
          <w:szCs w:val="22"/>
        </w:rPr>
        <w:t>Such meetings usually avoid misunderstandings of expectations and processing delays.</w:t>
      </w:r>
    </w:p>
    <w:p w14:paraId="3B2DD0B3" w14:textId="77777777" w:rsidR="00D80D98" w:rsidRPr="001662B5" w:rsidRDefault="00D80D98" w:rsidP="002F3CBC">
      <w:pPr>
        <w:pStyle w:val="BodyTextIndent"/>
        <w:tabs>
          <w:tab w:val="left" w:pos="1080"/>
        </w:tabs>
        <w:ind w:hanging="360"/>
        <w:rPr>
          <w:b/>
          <w:sz w:val="22"/>
          <w:szCs w:val="22"/>
        </w:rPr>
      </w:pPr>
    </w:p>
    <w:p w14:paraId="67AC4961" w14:textId="77777777" w:rsidR="001535E1" w:rsidRPr="001662B5" w:rsidRDefault="00A6081F" w:rsidP="00D80D98">
      <w:pPr>
        <w:pStyle w:val="BodyTextIndent"/>
        <w:numPr>
          <w:ilvl w:val="0"/>
          <w:numId w:val="44"/>
        </w:numPr>
        <w:tabs>
          <w:tab w:val="left" w:pos="1080"/>
        </w:tabs>
        <w:rPr>
          <w:sz w:val="22"/>
          <w:szCs w:val="22"/>
        </w:rPr>
      </w:pPr>
      <w:r w:rsidRPr="001662B5">
        <w:rPr>
          <w:b/>
          <w:sz w:val="22"/>
          <w:szCs w:val="22"/>
        </w:rPr>
        <w:t xml:space="preserve">Public </w:t>
      </w:r>
      <w:r w:rsidR="00F614EF" w:rsidRPr="001662B5">
        <w:rPr>
          <w:b/>
          <w:sz w:val="22"/>
          <w:szCs w:val="22"/>
        </w:rPr>
        <w:t>n</w:t>
      </w:r>
      <w:r w:rsidRPr="001662B5">
        <w:rPr>
          <w:b/>
          <w:sz w:val="22"/>
          <w:szCs w:val="22"/>
        </w:rPr>
        <w:t>otice.</w:t>
      </w:r>
      <w:r w:rsidR="001535E1" w:rsidRPr="001662B5">
        <w:rPr>
          <w:sz w:val="22"/>
          <w:szCs w:val="22"/>
        </w:rPr>
        <w:t xml:space="preserve"> </w:t>
      </w:r>
      <w:r w:rsidRPr="001662B5">
        <w:rPr>
          <w:sz w:val="22"/>
          <w:szCs w:val="22"/>
        </w:rPr>
        <w:t>Within 30 days before filing an application, the applicant shall provide notice by certified mail of the application:</w:t>
      </w:r>
    </w:p>
    <w:p w14:paraId="5787ECB9" w14:textId="77777777" w:rsidR="00D80D98" w:rsidRPr="001662B5" w:rsidRDefault="00D80D98" w:rsidP="00D80D98">
      <w:pPr>
        <w:pStyle w:val="BodyTextIndent"/>
        <w:tabs>
          <w:tab w:val="left" w:pos="1080"/>
        </w:tabs>
        <w:rPr>
          <w:sz w:val="22"/>
          <w:szCs w:val="22"/>
        </w:rPr>
      </w:pPr>
    </w:p>
    <w:p w14:paraId="149150EC" w14:textId="77777777" w:rsidR="00A6081F" w:rsidRPr="001662B5" w:rsidRDefault="00A6081F" w:rsidP="00273CA6">
      <w:pPr>
        <w:pStyle w:val="BodyTextIndent"/>
        <w:numPr>
          <w:ilvl w:val="0"/>
          <w:numId w:val="47"/>
        </w:numPr>
        <w:rPr>
          <w:sz w:val="22"/>
          <w:szCs w:val="22"/>
        </w:rPr>
      </w:pPr>
      <w:r w:rsidRPr="001662B5">
        <w:rPr>
          <w:sz w:val="22"/>
          <w:szCs w:val="22"/>
        </w:rPr>
        <w:t>To the chief administrative officer and planning board chairperson of the municipality in which the facility is proposed to be located, or to the county commissioners and the LU</w:t>
      </w:r>
      <w:r w:rsidR="00EA479F" w:rsidRPr="009F6610">
        <w:rPr>
          <w:sz w:val="22"/>
          <w:szCs w:val="22"/>
        </w:rPr>
        <w:t>P</w:t>
      </w:r>
      <w:r w:rsidRPr="001662B5">
        <w:rPr>
          <w:sz w:val="22"/>
          <w:szCs w:val="22"/>
        </w:rPr>
        <w:t>C director if the facility is proposed in an unorganized</w:t>
      </w:r>
      <w:r w:rsidR="00804603" w:rsidRPr="00804603">
        <w:rPr>
          <w:sz w:val="22"/>
          <w:szCs w:val="22"/>
        </w:rPr>
        <w:t xml:space="preserve"> </w:t>
      </w:r>
      <w:r w:rsidR="004D456C" w:rsidRPr="009F6610">
        <w:rPr>
          <w:sz w:val="22"/>
          <w:szCs w:val="22"/>
        </w:rPr>
        <w:t xml:space="preserve">or deorganized </w:t>
      </w:r>
      <w:r w:rsidR="00A11824" w:rsidRPr="009F6610">
        <w:rPr>
          <w:sz w:val="22"/>
          <w:szCs w:val="22"/>
        </w:rPr>
        <w:t>area</w:t>
      </w:r>
      <w:r w:rsidRPr="001662B5">
        <w:rPr>
          <w:sz w:val="22"/>
          <w:szCs w:val="22"/>
        </w:rPr>
        <w:t>;</w:t>
      </w:r>
    </w:p>
    <w:p w14:paraId="25DA2DCD" w14:textId="77777777" w:rsidR="00273CA6" w:rsidRPr="001662B5" w:rsidRDefault="00273CA6" w:rsidP="00273CA6">
      <w:pPr>
        <w:pStyle w:val="BodyTextIndent"/>
        <w:ind w:left="1080"/>
        <w:rPr>
          <w:sz w:val="22"/>
          <w:szCs w:val="22"/>
        </w:rPr>
      </w:pPr>
    </w:p>
    <w:p w14:paraId="3E1BD090" w14:textId="77777777" w:rsidR="00A6081F" w:rsidRPr="001662B5" w:rsidRDefault="00A6081F" w:rsidP="002F3CBC">
      <w:pPr>
        <w:pStyle w:val="BodyTextIndent"/>
        <w:ind w:left="1080" w:hanging="360"/>
        <w:rPr>
          <w:sz w:val="22"/>
          <w:szCs w:val="22"/>
        </w:rPr>
      </w:pPr>
      <w:r w:rsidRPr="001662B5">
        <w:rPr>
          <w:sz w:val="22"/>
          <w:szCs w:val="22"/>
        </w:rPr>
        <w:t>(</w:t>
      </w:r>
      <w:r w:rsidR="00BD5607" w:rsidRPr="001662B5">
        <w:rPr>
          <w:sz w:val="22"/>
          <w:szCs w:val="22"/>
        </w:rPr>
        <w:t>2</w:t>
      </w:r>
      <w:r w:rsidRPr="001662B5">
        <w:rPr>
          <w:sz w:val="22"/>
          <w:szCs w:val="22"/>
        </w:rPr>
        <w:t>)</w:t>
      </w:r>
      <w:r w:rsidRPr="001662B5">
        <w:rPr>
          <w:sz w:val="22"/>
          <w:szCs w:val="22"/>
        </w:rPr>
        <w:tab/>
        <w:t>To the local public water utility or other community public water provider, if any;</w:t>
      </w:r>
    </w:p>
    <w:p w14:paraId="4C1CFBE7" w14:textId="77777777" w:rsidR="00D80D98" w:rsidRPr="001662B5" w:rsidRDefault="00D80D98" w:rsidP="002F3CBC">
      <w:pPr>
        <w:pStyle w:val="BodyTextIndent"/>
        <w:ind w:left="1080" w:hanging="360"/>
        <w:rPr>
          <w:sz w:val="22"/>
          <w:szCs w:val="22"/>
        </w:rPr>
      </w:pPr>
    </w:p>
    <w:p w14:paraId="0EF8B3B9" w14:textId="77777777" w:rsidR="00A6081F" w:rsidRPr="001662B5" w:rsidRDefault="00A6081F" w:rsidP="00D80D98">
      <w:pPr>
        <w:pStyle w:val="BodyTextIndent"/>
        <w:numPr>
          <w:ilvl w:val="0"/>
          <w:numId w:val="46"/>
        </w:numPr>
        <w:jc w:val="both"/>
        <w:rPr>
          <w:sz w:val="22"/>
          <w:szCs w:val="22"/>
        </w:rPr>
      </w:pPr>
      <w:r w:rsidRPr="001662B5">
        <w:rPr>
          <w:sz w:val="22"/>
          <w:szCs w:val="22"/>
        </w:rPr>
        <w:t>To abutters of the property on which the facility is proposed;</w:t>
      </w:r>
    </w:p>
    <w:p w14:paraId="76137BC6" w14:textId="77777777" w:rsidR="00D80D98" w:rsidRPr="001662B5" w:rsidRDefault="00D80D98" w:rsidP="00D80D98">
      <w:pPr>
        <w:pStyle w:val="BodyTextIndent"/>
        <w:ind w:left="1080"/>
        <w:jc w:val="both"/>
        <w:rPr>
          <w:sz w:val="22"/>
          <w:szCs w:val="22"/>
          <w:u w:val="single"/>
        </w:rPr>
      </w:pPr>
    </w:p>
    <w:p w14:paraId="64804447" w14:textId="77777777" w:rsidR="00A6081F" w:rsidRPr="001662B5" w:rsidRDefault="00A6081F" w:rsidP="00D80D98">
      <w:pPr>
        <w:pStyle w:val="BodyTextIndent"/>
        <w:numPr>
          <w:ilvl w:val="0"/>
          <w:numId w:val="46"/>
        </w:numPr>
        <w:rPr>
          <w:sz w:val="22"/>
          <w:szCs w:val="22"/>
        </w:rPr>
      </w:pPr>
      <w:r w:rsidRPr="001662B5">
        <w:rPr>
          <w:sz w:val="22"/>
          <w:szCs w:val="22"/>
        </w:rPr>
        <w:t xml:space="preserve">To other interested persons who have requested in writing of </w:t>
      </w:r>
      <w:r w:rsidRPr="009F6610">
        <w:rPr>
          <w:sz w:val="22"/>
          <w:szCs w:val="22"/>
        </w:rPr>
        <w:t xml:space="preserve">the </w:t>
      </w:r>
      <w:r w:rsidR="004C55F7" w:rsidRPr="009F6610">
        <w:rPr>
          <w:sz w:val="22"/>
          <w:szCs w:val="22"/>
        </w:rPr>
        <w:t>Commissioner</w:t>
      </w:r>
      <w:r w:rsidRPr="001662B5">
        <w:rPr>
          <w:sz w:val="22"/>
          <w:szCs w:val="22"/>
        </w:rPr>
        <w:t xml:space="preserve"> to receive </w:t>
      </w:r>
      <w:r w:rsidR="00B03BE2" w:rsidRPr="009F6610">
        <w:rPr>
          <w:sz w:val="22"/>
          <w:szCs w:val="22"/>
        </w:rPr>
        <w:t xml:space="preserve">materials related to a particular </w:t>
      </w:r>
      <w:r w:rsidR="00021C6E" w:rsidRPr="009F6610">
        <w:rPr>
          <w:sz w:val="22"/>
          <w:szCs w:val="22"/>
        </w:rPr>
        <w:t>application</w:t>
      </w:r>
      <w:r w:rsidRPr="001662B5">
        <w:rPr>
          <w:sz w:val="22"/>
          <w:szCs w:val="22"/>
        </w:rPr>
        <w:t>; and</w:t>
      </w:r>
    </w:p>
    <w:p w14:paraId="27C8409F" w14:textId="77777777" w:rsidR="00D80D98" w:rsidRPr="001662B5" w:rsidRDefault="00D80D98" w:rsidP="00D80D98">
      <w:pPr>
        <w:pStyle w:val="BodyTextIndent"/>
        <w:ind w:left="0"/>
        <w:rPr>
          <w:sz w:val="22"/>
          <w:szCs w:val="22"/>
        </w:rPr>
      </w:pPr>
    </w:p>
    <w:p w14:paraId="4863CBA8" w14:textId="77777777" w:rsidR="00A6081F" w:rsidRPr="001662B5" w:rsidRDefault="005732B8" w:rsidP="007B69E6">
      <w:pPr>
        <w:pStyle w:val="BodyTextIndent"/>
        <w:ind w:left="1080" w:hanging="360"/>
        <w:rPr>
          <w:sz w:val="22"/>
          <w:szCs w:val="22"/>
        </w:rPr>
      </w:pPr>
      <w:r w:rsidRPr="001662B5">
        <w:rPr>
          <w:sz w:val="22"/>
          <w:szCs w:val="22"/>
        </w:rPr>
        <w:t>(5)</w:t>
      </w:r>
      <w:r w:rsidRPr="001662B5">
        <w:rPr>
          <w:sz w:val="22"/>
          <w:szCs w:val="22"/>
        </w:rPr>
        <w:tab/>
      </w:r>
      <w:r w:rsidR="00A6081F" w:rsidRPr="001662B5">
        <w:rPr>
          <w:sz w:val="22"/>
          <w:szCs w:val="22"/>
        </w:rPr>
        <w:t>By publication once in a newspaper generally circulated in the area where the facility is proposed.</w:t>
      </w:r>
    </w:p>
    <w:p w14:paraId="3788D934" w14:textId="77777777" w:rsidR="00D80D98" w:rsidRPr="001662B5" w:rsidRDefault="00D80D98" w:rsidP="002F3CBC">
      <w:pPr>
        <w:pStyle w:val="BodyTextIndent"/>
        <w:rPr>
          <w:sz w:val="22"/>
          <w:szCs w:val="22"/>
        </w:rPr>
      </w:pPr>
    </w:p>
    <w:p w14:paraId="18016C52" w14:textId="77777777" w:rsidR="00A6081F" w:rsidRPr="001662B5" w:rsidRDefault="00A6081F" w:rsidP="002F3CBC">
      <w:pPr>
        <w:pStyle w:val="BodyTextIndent"/>
        <w:rPr>
          <w:sz w:val="22"/>
          <w:szCs w:val="22"/>
        </w:rPr>
      </w:pPr>
      <w:r w:rsidRPr="001662B5">
        <w:rPr>
          <w:sz w:val="22"/>
          <w:szCs w:val="22"/>
        </w:rPr>
        <w:t xml:space="preserve">The notice must include the information listed in </w:t>
      </w:r>
      <w:r w:rsidR="00AA18E2" w:rsidRPr="001662B5">
        <w:rPr>
          <w:sz w:val="22"/>
          <w:szCs w:val="22"/>
        </w:rPr>
        <w:t>Chapter</w:t>
      </w:r>
      <w:r w:rsidR="00ED53A1" w:rsidRPr="001662B5">
        <w:rPr>
          <w:sz w:val="22"/>
          <w:szCs w:val="22"/>
        </w:rPr>
        <w:t xml:space="preserve"> 2</w:t>
      </w:r>
      <w:r w:rsidR="00953BC8" w:rsidRPr="009F6610">
        <w:rPr>
          <w:sz w:val="22"/>
          <w:szCs w:val="22"/>
        </w:rPr>
        <w:t xml:space="preserve"> </w:t>
      </w:r>
      <w:r w:rsidR="00F0133C">
        <w:rPr>
          <w:sz w:val="22"/>
          <w:szCs w:val="22"/>
        </w:rPr>
        <w:t>§</w:t>
      </w:r>
      <w:r w:rsidR="00ED53A1" w:rsidRPr="001662B5">
        <w:rPr>
          <w:sz w:val="22"/>
          <w:szCs w:val="22"/>
        </w:rPr>
        <w:t>14(</w:t>
      </w:r>
      <w:r w:rsidR="00F64CC9" w:rsidRPr="001662B5">
        <w:rPr>
          <w:sz w:val="22"/>
          <w:szCs w:val="22"/>
        </w:rPr>
        <w:t>A</w:t>
      </w:r>
      <w:r w:rsidR="00ED53A1" w:rsidRPr="009F6610">
        <w:rPr>
          <w:sz w:val="22"/>
          <w:szCs w:val="22"/>
        </w:rPr>
        <w:t>)</w:t>
      </w:r>
      <w:r w:rsidR="00A13BFD" w:rsidRPr="009F6610">
        <w:rPr>
          <w:sz w:val="22"/>
          <w:szCs w:val="22"/>
        </w:rPr>
        <w:t>, including, but not limited to, a statement that public comments on the variance application may be provided to the Department</w:t>
      </w:r>
      <w:r w:rsidRPr="009F6610">
        <w:rPr>
          <w:sz w:val="22"/>
          <w:szCs w:val="22"/>
        </w:rPr>
        <w:t>.</w:t>
      </w:r>
    </w:p>
    <w:p w14:paraId="09A543C2" w14:textId="77777777" w:rsidR="00D80D98" w:rsidRPr="001662B5" w:rsidRDefault="00D80D98" w:rsidP="007B69E6">
      <w:pPr>
        <w:pStyle w:val="BodyTextIndent"/>
        <w:rPr>
          <w:sz w:val="22"/>
          <w:szCs w:val="22"/>
        </w:rPr>
      </w:pPr>
    </w:p>
    <w:p w14:paraId="24252545" w14:textId="77777777" w:rsidR="00A6081F" w:rsidRPr="001662B5" w:rsidRDefault="00A6081F" w:rsidP="007B69E6">
      <w:pPr>
        <w:pStyle w:val="BodyTextIndent"/>
        <w:numPr>
          <w:ilvl w:val="0"/>
          <w:numId w:val="44"/>
        </w:numPr>
        <w:rPr>
          <w:sz w:val="22"/>
          <w:szCs w:val="22"/>
        </w:rPr>
      </w:pPr>
      <w:r w:rsidRPr="001662B5">
        <w:rPr>
          <w:b/>
          <w:sz w:val="22"/>
          <w:szCs w:val="22"/>
        </w:rPr>
        <w:t xml:space="preserve">Public </w:t>
      </w:r>
      <w:r w:rsidR="000541C9" w:rsidRPr="001662B5">
        <w:rPr>
          <w:b/>
          <w:sz w:val="22"/>
          <w:szCs w:val="22"/>
        </w:rPr>
        <w:t>m</w:t>
      </w:r>
      <w:r w:rsidRPr="001662B5">
        <w:rPr>
          <w:b/>
          <w:sz w:val="22"/>
          <w:szCs w:val="22"/>
        </w:rPr>
        <w:t>eeting.</w:t>
      </w:r>
      <w:r w:rsidR="001535E1" w:rsidRPr="001662B5">
        <w:rPr>
          <w:sz w:val="22"/>
          <w:szCs w:val="22"/>
        </w:rPr>
        <w:t xml:space="preserve"> </w:t>
      </w:r>
      <w:r w:rsidRPr="001662B5">
        <w:rPr>
          <w:sz w:val="22"/>
          <w:szCs w:val="22"/>
        </w:rPr>
        <w:t>In lieu of</w:t>
      </w:r>
      <w:r w:rsidR="00273CA6" w:rsidRPr="000C4784">
        <w:rPr>
          <w:sz w:val="22"/>
          <w:szCs w:val="22"/>
        </w:rPr>
        <w:t>,</w:t>
      </w:r>
      <w:r w:rsidRPr="001662B5">
        <w:rPr>
          <w:sz w:val="22"/>
          <w:szCs w:val="22"/>
        </w:rPr>
        <w:t xml:space="preserve"> or in addition to</w:t>
      </w:r>
      <w:r w:rsidR="00273CA6" w:rsidRPr="000C4784">
        <w:rPr>
          <w:sz w:val="22"/>
          <w:szCs w:val="22"/>
        </w:rPr>
        <w:t>,</w:t>
      </w:r>
      <w:r w:rsidRPr="001662B5">
        <w:rPr>
          <w:sz w:val="22"/>
          <w:szCs w:val="22"/>
        </w:rPr>
        <w:t xml:space="preserve"> holding a </w:t>
      </w:r>
      <w:r w:rsidR="00F64CC9" w:rsidRPr="001662B5">
        <w:rPr>
          <w:sz w:val="22"/>
          <w:szCs w:val="22"/>
        </w:rPr>
        <w:t xml:space="preserve">public </w:t>
      </w:r>
      <w:r w:rsidRPr="001662B5">
        <w:rPr>
          <w:sz w:val="22"/>
          <w:szCs w:val="22"/>
        </w:rPr>
        <w:t xml:space="preserve">hearing on </w:t>
      </w:r>
      <w:r w:rsidR="000541C9" w:rsidRPr="001662B5">
        <w:rPr>
          <w:sz w:val="22"/>
          <w:szCs w:val="22"/>
        </w:rPr>
        <w:t>a variance</w:t>
      </w:r>
      <w:r w:rsidRPr="001662B5">
        <w:rPr>
          <w:sz w:val="22"/>
          <w:szCs w:val="22"/>
        </w:rPr>
        <w:t xml:space="preserve"> application as provided under </w:t>
      </w:r>
      <w:r w:rsidR="00B95585" w:rsidRPr="001662B5">
        <w:rPr>
          <w:sz w:val="22"/>
          <w:szCs w:val="22"/>
        </w:rPr>
        <w:t>Chapter</w:t>
      </w:r>
      <w:r w:rsidR="000541C9" w:rsidRPr="001662B5">
        <w:rPr>
          <w:sz w:val="22"/>
          <w:szCs w:val="22"/>
        </w:rPr>
        <w:t xml:space="preserve"> 2</w:t>
      </w:r>
      <w:r w:rsidR="00953BC8" w:rsidRPr="000C4784">
        <w:rPr>
          <w:sz w:val="22"/>
          <w:szCs w:val="22"/>
        </w:rPr>
        <w:t xml:space="preserve"> </w:t>
      </w:r>
      <w:r w:rsidR="00F0133C">
        <w:rPr>
          <w:sz w:val="22"/>
          <w:szCs w:val="22"/>
        </w:rPr>
        <w:t>§</w:t>
      </w:r>
      <w:r w:rsidR="00FC0756" w:rsidRPr="001662B5">
        <w:rPr>
          <w:sz w:val="22"/>
          <w:szCs w:val="22"/>
        </w:rPr>
        <w:t>7</w:t>
      </w:r>
      <w:r w:rsidRPr="001662B5">
        <w:rPr>
          <w:sz w:val="22"/>
          <w:szCs w:val="22"/>
        </w:rPr>
        <w:t xml:space="preserve">, the </w:t>
      </w:r>
      <w:r w:rsidR="004C55F7" w:rsidRPr="000C4784">
        <w:rPr>
          <w:sz w:val="22"/>
          <w:szCs w:val="22"/>
        </w:rPr>
        <w:t>Commissioner</w:t>
      </w:r>
      <w:r w:rsidRPr="000C4784">
        <w:rPr>
          <w:sz w:val="22"/>
          <w:szCs w:val="22"/>
        </w:rPr>
        <w:t xml:space="preserve"> </w:t>
      </w:r>
      <w:r w:rsidRPr="001662B5">
        <w:rPr>
          <w:sz w:val="22"/>
          <w:szCs w:val="22"/>
        </w:rPr>
        <w:t>may hold a public informational meeting where deemed appropriate for the applicant to provide information about the variance request to interested</w:t>
      </w:r>
      <w:r w:rsidR="0072234E" w:rsidRPr="000C4784">
        <w:rPr>
          <w:sz w:val="22"/>
          <w:szCs w:val="22"/>
        </w:rPr>
        <w:t xml:space="preserve"> persons</w:t>
      </w:r>
      <w:r w:rsidRPr="001662B5">
        <w:rPr>
          <w:sz w:val="22"/>
          <w:szCs w:val="22"/>
        </w:rPr>
        <w:t>.</w:t>
      </w:r>
      <w:r w:rsidR="001535E1" w:rsidRPr="001662B5">
        <w:rPr>
          <w:sz w:val="22"/>
          <w:szCs w:val="22"/>
        </w:rPr>
        <w:t xml:space="preserve"> </w:t>
      </w:r>
      <w:r w:rsidRPr="001662B5">
        <w:rPr>
          <w:sz w:val="22"/>
          <w:szCs w:val="22"/>
        </w:rPr>
        <w:t xml:space="preserve">If the </w:t>
      </w:r>
      <w:r w:rsidR="004C55F7" w:rsidRPr="000C4784">
        <w:rPr>
          <w:sz w:val="22"/>
          <w:szCs w:val="22"/>
        </w:rPr>
        <w:t>Commissioner</w:t>
      </w:r>
      <w:r w:rsidRPr="001662B5">
        <w:rPr>
          <w:sz w:val="22"/>
          <w:szCs w:val="22"/>
        </w:rPr>
        <w:t xml:space="preserve"> decides to hold a public meeting, notice must be sent at least 10 business days prior to the meeting to the applicant, abutters, the local public water utility or community water provider, the planning board chairperson and chief administrative officer of the municipality in which the facility is proposed (or the LU</w:t>
      </w:r>
      <w:r w:rsidR="00EA479F" w:rsidRPr="000C4784">
        <w:rPr>
          <w:sz w:val="22"/>
          <w:szCs w:val="22"/>
        </w:rPr>
        <w:t>P</w:t>
      </w:r>
      <w:r w:rsidRPr="001662B5">
        <w:rPr>
          <w:sz w:val="22"/>
          <w:szCs w:val="22"/>
        </w:rPr>
        <w:t>C director and appropriate county commissioners if the facility is proposed in an unorganized</w:t>
      </w:r>
      <w:r w:rsidR="00A11824" w:rsidRPr="000C4784">
        <w:rPr>
          <w:sz w:val="22"/>
          <w:szCs w:val="22"/>
        </w:rPr>
        <w:t xml:space="preserve"> </w:t>
      </w:r>
      <w:r w:rsidR="009A4075" w:rsidRPr="000C4784">
        <w:rPr>
          <w:sz w:val="22"/>
          <w:szCs w:val="22"/>
        </w:rPr>
        <w:t xml:space="preserve">or deorganized </w:t>
      </w:r>
      <w:r w:rsidR="00A11824" w:rsidRPr="000C4784">
        <w:rPr>
          <w:sz w:val="22"/>
          <w:szCs w:val="22"/>
        </w:rPr>
        <w:t>area</w:t>
      </w:r>
      <w:r w:rsidRPr="001662B5">
        <w:rPr>
          <w:sz w:val="22"/>
          <w:szCs w:val="22"/>
        </w:rPr>
        <w:t xml:space="preserve">) and other interested persons who have requested in writing of the </w:t>
      </w:r>
      <w:r w:rsidR="004C55F7" w:rsidRPr="000C4784">
        <w:rPr>
          <w:sz w:val="22"/>
          <w:szCs w:val="22"/>
        </w:rPr>
        <w:t>Commissioner</w:t>
      </w:r>
      <w:r w:rsidRPr="001662B5">
        <w:rPr>
          <w:sz w:val="22"/>
          <w:szCs w:val="22"/>
        </w:rPr>
        <w:t xml:space="preserve"> to receive </w:t>
      </w:r>
      <w:r w:rsidR="00021C6E" w:rsidRPr="000C4784">
        <w:rPr>
          <w:sz w:val="22"/>
          <w:szCs w:val="22"/>
        </w:rPr>
        <w:t>materials related to a particular application</w:t>
      </w:r>
      <w:r w:rsidRPr="001662B5">
        <w:rPr>
          <w:sz w:val="22"/>
          <w:szCs w:val="22"/>
        </w:rPr>
        <w:t>.</w:t>
      </w:r>
    </w:p>
    <w:p w14:paraId="40139FF5" w14:textId="77777777" w:rsidR="00D80D98" w:rsidRPr="001662B5" w:rsidRDefault="00D80D98" w:rsidP="00D80D98">
      <w:pPr>
        <w:pStyle w:val="BodyTextIndent"/>
        <w:ind w:right="-144"/>
        <w:rPr>
          <w:sz w:val="22"/>
          <w:szCs w:val="22"/>
        </w:rPr>
      </w:pPr>
    </w:p>
    <w:p w14:paraId="4BEC5651" w14:textId="77777777" w:rsidR="001535E1" w:rsidRPr="001662B5" w:rsidRDefault="009F40FA" w:rsidP="00F37987">
      <w:pPr>
        <w:pStyle w:val="RulesSection"/>
        <w:numPr>
          <w:ilvl w:val="0"/>
          <w:numId w:val="44"/>
        </w:numPr>
        <w:jc w:val="left"/>
        <w:rPr>
          <w:szCs w:val="22"/>
        </w:rPr>
      </w:pPr>
      <w:r w:rsidRPr="001662B5">
        <w:rPr>
          <w:b/>
          <w:szCs w:val="22"/>
        </w:rPr>
        <w:t>D</w:t>
      </w:r>
      <w:r w:rsidR="00FC0756" w:rsidRPr="001662B5">
        <w:rPr>
          <w:b/>
          <w:szCs w:val="22"/>
        </w:rPr>
        <w:t>ecision; a</w:t>
      </w:r>
      <w:r w:rsidR="00A6081F" w:rsidRPr="001662B5">
        <w:rPr>
          <w:b/>
          <w:szCs w:val="22"/>
        </w:rPr>
        <w:t>ppeal.</w:t>
      </w:r>
      <w:r w:rsidR="001535E1" w:rsidRPr="001662B5">
        <w:rPr>
          <w:szCs w:val="22"/>
        </w:rPr>
        <w:t xml:space="preserve"> </w:t>
      </w:r>
      <w:r w:rsidR="00FC0756" w:rsidRPr="001662B5">
        <w:rPr>
          <w:szCs w:val="22"/>
        </w:rPr>
        <w:t xml:space="preserve">The </w:t>
      </w:r>
      <w:r w:rsidR="004C55F7" w:rsidRPr="000C4784">
        <w:rPr>
          <w:szCs w:val="22"/>
        </w:rPr>
        <w:t>Commissioner</w:t>
      </w:r>
      <w:r w:rsidR="00FC0756" w:rsidRPr="001662B5">
        <w:rPr>
          <w:szCs w:val="22"/>
        </w:rPr>
        <w:t xml:space="preserve"> may deny a variance request or approve the request with or without conditions.</w:t>
      </w:r>
      <w:r w:rsidR="001535E1" w:rsidRPr="001662B5">
        <w:rPr>
          <w:szCs w:val="22"/>
        </w:rPr>
        <w:t xml:space="preserve"> </w:t>
      </w:r>
      <w:r w:rsidR="00FC0756" w:rsidRPr="001662B5">
        <w:rPr>
          <w:szCs w:val="22"/>
        </w:rPr>
        <w:t>The decision must be in writing with findings sufficient to explain the basis of the decision.</w:t>
      </w:r>
      <w:r w:rsidR="001535E1" w:rsidRPr="001662B5">
        <w:rPr>
          <w:szCs w:val="22"/>
        </w:rPr>
        <w:t xml:space="preserve"> </w:t>
      </w:r>
      <w:r w:rsidR="00A6081F" w:rsidRPr="001662B5">
        <w:rPr>
          <w:szCs w:val="22"/>
        </w:rPr>
        <w:t>A copy of the decision must be provided to the applicant, abutters, the local public water utility or community water provider, and the planning board chairperson and chief administrative officer of the municipality in which the facility is proposed (or the LU</w:t>
      </w:r>
      <w:r w:rsidR="00EA479F" w:rsidRPr="000C4784">
        <w:rPr>
          <w:szCs w:val="22"/>
        </w:rPr>
        <w:t>P</w:t>
      </w:r>
      <w:r w:rsidR="00A6081F" w:rsidRPr="001662B5">
        <w:rPr>
          <w:szCs w:val="22"/>
        </w:rPr>
        <w:t>C director and county commissioners if the facility is proposed in an unorganized</w:t>
      </w:r>
      <w:r w:rsidR="009B0E9C" w:rsidRPr="000C4784">
        <w:rPr>
          <w:szCs w:val="22"/>
        </w:rPr>
        <w:t xml:space="preserve"> </w:t>
      </w:r>
      <w:r w:rsidR="004D456C" w:rsidRPr="000C4784">
        <w:rPr>
          <w:szCs w:val="22"/>
        </w:rPr>
        <w:t xml:space="preserve">or deorganized </w:t>
      </w:r>
      <w:r w:rsidR="009B0E9C" w:rsidRPr="000C4784">
        <w:rPr>
          <w:szCs w:val="22"/>
        </w:rPr>
        <w:t>area</w:t>
      </w:r>
      <w:r w:rsidR="00A6081F" w:rsidRPr="001662B5">
        <w:rPr>
          <w:szCs w:val="22"/>
        </w:rPr>
        <w:t>).</w:t>
      </w:r>
      <w:r w:rsidR="001535E1" w:rsidRPr="001662B5">
        <w:rPr>
          <w:szCs w:val="22"/>
        </w:rPr>
        <w:t xml:space="preserve"> </w:t>
      </w:r>
      <w:r w:rsidR="00A6081F" w:rsidRPr="001662B5">
        <w:rPr>
          <w:szCs w:val="22"/>
        </w:rPr>
        <w:t>Copies also must be provided to other interested persons upon request.</w:t>
      </w:r>
      <w:r w:rsidR="001535E1" w:rsidRPr="001662B5">
        <w:rPr>
          <w:szCs w:val="22"/>
        </w:rPr>
        <w:t xml:space="preserve"> </w:t>
      </w:r>
      <w:r w:rsidR="00A6081F" w:rsidRPr="001662B5">
        <w:rPr>
          <w:szCs w:val="22"/>
        </w:rPr>
        <w:t>Each copy must be accompanied by a plain statement of the rights of administrative and judicial review of the decision and the time within which those rights must be exercised</w:t>
      </w:r>
      <w:r w:rsidR="00AC43CD" w:rsidRPr="001662B5">
        <w:rPr>
          <w:szCs w:val="22"/>
        </w:rPr>
        <w:t>, as provided under 38</w:t>
      </w:r>
      <w:r w:rsidR="00BF18A6" w:rsidRPr="001662B5">
        <w:rPr>
          <w:szCs w:val="22"/>
        </w:rPr>
        <w:t> </w:t>
      </w:r>
      <w:r w:rsidR="00E70FA0" w:rsidRPr="001662B5">
        <w:rPr>
          <w:szCs w:val="22"/>
        </w:rPr>
        <w:t>M.R.S.</w:t>
      </w:r>
      <w:r w:rsidR="00AC43CD" w:rsidRPr="001662B5">
        <w:rPr>
          <w:szCs w:val="22"/>
        </w:rPr>
        <w:t xml:space="preserve"> </w:t>
      </w:r>
      <w:r w:rsidR="00F0133C">
        <w:rPr>
          <w:szCs w:val="22"/>
        </w:rPr>
        <w:t>§</w:t>
      </w:r>
      <w:r w:rsidR="0025318B" w:rsidRPr="001662B5">
        <w:rPr>
          <w:szCs w:val="22"/>
        </w:rPr>
        <w:t>341</w:t>
      </w:r>
      <w:r w:rsidR="001535E1" w:rsidRPr="001662B5">
        <w:rPr>
          <w:szCs w:val="22"/>
        </w:rPr>
        <w:noBreakHyphen/>
      </w:r>
      <w:r w:rsidR="0025318B" w:rsidRPr="001662B5">
        <w:rPr>
          <w:szCs w:val="22"/>
        </w:rPr>
        <w:t>D(4)(A)</w:t>
      </w:r>
      <w:r w:rsidR="00ED61B3" w:rsidRPr="000C4784">
        <w:rPr>
          <w:szCs w:val="22"/>
        </w:rPr>
        <w:t xml:space="preserve"> </w:t>
      </w:r>
      <w:r w:rsidR="00AC43CD" w:rsidRPr="001662B5">
        <w:rPr>
          <w:szCs w:val="22"/>
        </w:rPr>
        <w:t xml:space="preserve">and </w:t>
      </w:r>
      <w:r w:rsidR="00B95585" w:rsidRPr="001662B5">
        <w:rPr>
          <w:szCs w:val="22"/>
        </w:rPr>
        <w:t>Chapter</w:t>
      </w:r>
      <w:r w:rsidR="00AC43CD" w:rsidRPr="001662B5">
        <w:rPr>
          <w:szCs w:val="22"/>
        </w:rPr>
        <w:t xml:space="preserve"> </w:t>
      </w:r>
      <w:r w:rsidR="00F234E5" w:rsidRPr="000C4784">
        <w:rPr>
          <w:szCs w:val="22"/>
        </w:rPr>
        <w:t>2</w:t>
      </w:r>
      <w:r w:rsidR="00953BC8" w:rsidRPr="000C4784">
        <w:rPr>
          <w:szCs w:val="22"/>
        </w:rPr>
        <w:t xml:space="preserve"> </w:t>
      </w:r>
      <w:r w:rsidR="00F0133C">
        <w:rPr>
          <w:szCs w:val="22"/>
        </w:rPr>
        <w:t>§</w:t>
      </w:r>
      <w:r w:rsidR="00F234E5" w:rsidRPr="001662B5">
        <w:rPr>
          <w:szCs w:val="22"/>
        </w:rPr>
        <w:t>24</w:t>
      </w:r>
      <w:r w:rsidRPr="001662B5">
        <w:rPr>
          <w:szCs w:val="22"/>
        </w:rPr>
        <w:t>.</w:t>
      </w:r>
    </w:p>
    <w:p w14:paraId="44B832DF" w14:textId="77777777" w:rsidR="00F37987" w:rsidRPr="001662B5" w:rsidRDefault="00F37987" w:rsidP="00F37987">
      <w:pPr>
        <w:pStyle w:val="ListParagraph"/>
        <w:rPr>
          <w:szCs w:val="22"/>
        </w:rPr>
      </w:pPr>
    </w:p>
    <w:p w14:paraId="69847FDB" w14:textId="77777777" w:rsidR="00732CB2" w:rsidRPr="00C53075" w:rsidRDefault="00732CB2" w:rsidP="00F37987">
      <w:pPr>
        <w:pStyle w:val="RulesSection"/>
        <w:numPr>
          <w:ilvl w:val="0"/>
          <w:numId w:val="44"/>
        </w:numPr>
        <w:jc w:val="left"/>
        <w:rPr>
          <w:szCs w:val="22"/>
        </w:rPr>
      </w:pPr>
      <w:r w:rsidRPr="00C53075">
        <w:rPr>
          <w:b/>
          <w:szCs w:val="22"/>
        </w:rPr>
        <w:t xml:space="preserve">Transfer of Variances. </w:t>
      </w:r>
      <w:r w:rsidRPr="00C53075">
        <w:rPr>
          <w:szCs w:val="22"/>
        </w:rPr>
        <w:t>Variance approvals are not transferrable unless the Department approves</w:t>
      </w:r>
    </w:p>
    <w:p w14:paraId="1B29F583" w14:textId="77777777" w:rsidR="00F37987" w:rsidRPr="00C53075" w:rsidRDefault="00F37987" w:rsidP="00732CB2">
      <w:pPr>
        <w:pStyle w:val="RulesSection"/>
        <w:ind w:left="0" w:firstLine="720"/>
        <w:jc w:val="left"/>
        <w:rPr>
          <w:szCs w:val="22"/>
        </w:rPr>
      </w:pPr>
      <w:r w:rsidRPr="00C53075">
        <w:rPr>
          <w:szCs w:val="22"/>
        </w:rPr>
        <w:t>a license transfer pursuant to</w:t>
      </w:r>
      <w:r w:rsidR="00732CB2" w:rsidRPr="00C53075">
        <w:rPr>
          <w:szCs w:val="22"/>
        </w:rPr>
        <w:t xml:space="preserve"> Chapter 2 and applicable law. </w:t>
      </w:r>
    </w:p>
    <w:p w14:paraId="33BC6D38" w14:textId="77777777" w:rsidR="00CA637F" w:rsidRPr="001662B5" w:rsidRDefault="00BF18A6" w:rsidP="002F3CBC">
      <w:pPr>
        <w:pStyle w:val="RulesSection"/>
        <w:ind w:left="1440" w:hanging="1440"/>
        <w:jc w:val="left"/>
      </w:pPr>
      <w:r w:rsidRPr="001662B5">
        <w:br w:type="page"/>
      </w:r>
      <w:r w:rsidR="00CA637F" w:rsidRPr="001662B5">
        <w:rPr>
          <w:b/>
        </w:rPr>
        <w:t>APPENDIX A</w:t>
      </w:r>
      <w:r w:rsidR="00CA637F" w:rsidRPr="001662B5">
        <w:t>:</w:t>
      </w:r>
      <w:r w:rsidR="00461E42" w:rsidRPr="001662B5">
        <w:tab/>
      </w:r>
      <w:r w:rsidR="00CA637F" w:rsidRPr="001662B5">
        <w:t>Determination of the Water Supply Potenti</w:t>
      </w:r>
      <w:r w:rsidR="00695500" w:rsidRPr="001662B5">
        <w:t>al of a Proposed New Oil Storage Facility</w:t>
      </w:r>
      <w:r w:rsidR="00CA637F" w:rsidRPr="001662B5">
        <w:t xml:space="preserve"> on a Mapped Significant Sand and Gravel Aquifer</w:t>
      </w:r>
    </w:p>
    <w:p w14:paraId="5EB6D3E2" w14:textId="77777777" w:rsidR="00CA637F" w:rsidRPr="001662B5" w:rsidRDefault="00CA637F" w:rsidP="002F3CBC">
      <w:pPr>
        <w:jc w:val="center"/>
        <w:rPr>
          <w:sz w:val="22"/>
          <w:szCs w:val="22"/>
        </w:rPr>
      </w:pPr>
    </w:p>
    <w:p w14:paraId="26EB7D70" w14:textId="77777777" w:rsidR="001535E1" w:rsidRPr="00C53075" w:rsidRDefault="00132613" w:rsidP="002F3CBC">
      <w:pPr>
        <w:pStyle w:val="BodyText2"/>
        <w:spacing w:line="240" w:lineRule="auto"/>
        <w:rPr>
          <w:sz w:val="22"/>
          <w:szCs w:val="22"/>
        </w:rPr>
      </w:pPr>
      <w:r w:rsidRPr="00C53075">
        <w:rPr>
          <w:sz w:val="22"/>
          <w:szCs w:val="22"/>
        </w:rPr>
        <w:t xml:space="preserve">If the proposed facility </w:t>
      </w:r>
      <w:r w:rsidR="007E1686" w:rsidRPr="00C53075">
        <w:rPr>
          <w:sz w:val="22"/>
          <w:szCs w:val="22"/>
        </w:rPr>
        <w:t xml:space="preserve">site </w:t>
      </w:r>
      <w:r w:rsidRPr="00C53075">
        <w:rPr>
          <w:sz w:val="22"/>
          <w:szCs w:val="22"/>
        </w:rPr>
        <w:t>falls within a</w:t>
      </w:r>
      <w:r w:rsidR="00231841" w:rsidRPr="00C53075">
        <w:rPr>
          <w:sz w:val="22"/>
          <w:szCs w:val="22"/>
        </w:rPr>
        <w:t xml:space="preserve"> significant sand and gravel</w:t>
      </w:r>
      <w:r w:rsidRPr="00C53075">
        <w:rPr>
          <w:sz w:val="22"/>
          <w:szCs w:val="22"/>
        </w:rPr>
        <w:t xml:space="preserve"> </w:t>
      </w:r>
      <w:r w:rsidR="00BA61B2" w:rsidRPr="00C53075">
        <w:rPr>
          <w:sz w:val="22"/>
          <w:szCs w:val="22"/>
        </w:rPr>
        <w:t>aquifer</w:t>
      </w:r>
      <w:r w:rsidRPr="00C53075">
        <w:rPr>
          <w:sz w:val="22"/>
          <w:szCs w:val="22"/>
        </w:rPr>
        <w:t xml:space="preserve"> mapped as </w:t>
      </w:r>
      <w:r w:rsidR="00BA61B2" w:rsidRPr="00C53075">
        <w:rPr>
          <w:sz w:val="22"/>
          <w:szCs w:val="22"/>
        </w:rPr>
        <w:t>potentially</w:t>
      </w:r>
      <w:r w:rsidRPr="00C53075">
        <w:rPr>
          <w:sz w:val="22"/>
          <w:szCs w:val="22"/>
        </w:rPr>
        <w:t xml:space="preserve"> yielding</w:t>
      </w:r>
      <w:r w:rsidR="000415B1" w:rsidRPr="00C53075">
        <w:rPr>
          <w:sz w:val="22"/>
          <w:szCs w:val="22"/>
        </w:rPr>
        <w:t xml:space="preserve"> </w:t>
      </w:r>
      <w:r w:rsidRPr="00C53075">
        <w:rPr>
          <w:sz w:val="22"/>
          <w:szCs w:val="22"/>
        </w:rPr>
        <w:t xml:space="preserve">10 </w:t>
      </w:r>
      <w:r w:rsidR="00BB019B" w:rsidRPr="00C53075">
        <w:rPr>
          <w:sz w:val="22"/>
          <w:szCs w:val="22"/>
        </w:rPr>
        <w:t>or more gallons per minute (gpm) but no more than</w:t>
      </w:r>
      <w:r w:rsidRPr="00C53075">
        <w:rPr>
          <w:sz w:val="22"/>
          <w:szCs w:val="22"/>
        </w:rPr>
        <w:t xml:space="preserve"> 50 </w:t>
      </w:r>
      <w:r w:rsidR="00BB019B" w:rsidRPr="00C53075">
        <w:rPr>
          <w:sz w:val="22"/>
          <w:szCs w:val="22"/>
        </w:rPr>
        <w:t xml:space="preserve">gpm </w:t>
      </w:r>
      <w:r w:rsidR="0058259A" w:rsidRPr="00C53075">
        <w:rPr>
          <w:sz w:val="22"/>
          <w:szCs w:val="22"/>
        </w:rPr>
        <w:t xml:space="preserve">(moderate yield) or </w:t>
      </w:r>
      <w:r w:rsidRPr="00C53075">
        <w:rPr>
          <w:sz w:val="22"/>
          <w:szCs w:val="22"/>
        </w:rPr>
        <w:t>more than 50 gpm</w:t>
      </w:r>
      <w:r w:rsidR="00C53075" w:rsidRPr="00C53075">
        <w:rPr>
          <w:sz w:val="22"/>
          <w:szCs w:val="22"/>
        </w:rPr>
        <w:t xml:space="preserve"> </w:t>
      </w:r>
      <w:r w:rsidR="0058259A" w:rsidRPr="00C53075">
        <w:rPr>
          <w:sz w:val="22"/>
          <w:szCs w:val="22"/>
        </w:rPr>
        <w:t>(high yield)</w:t>
      </w:r>
      <w:r w:rsidRPr="00C53075">
        <w:rPr>
          <w:sz w:val="22"/>
          <w:szCs w:val="22"/>
        </w:rPr>
        <w:t>, the applicant m</w:t>
      </w:r>
      <w:r w:rsidR="00931A46" w:rsidRPr="00C53075">
        <w:rPr>
          <w:sz w:val="22"/>
          <w:szCs w:val="22"/>
        </w:rPr>
        <w:t>ay</w:t>
      </w:r>
      <w:r w:rsidRPr="00C53075">
        <w:rPr>
          <w:sz w:val="22"/>
          <w:szCs w:val="22"/>
        </w:rPr>
        <w:t xml:space="preserve"> implement a </w:t>
      </w:r>
      <w:r w:rsidR="00732CB2" w:rsidRPr="00C53075">
        <w:rPr>
          <w:sz w:val="22"/>
          <w:szCs w:val="22"/>
        </w:rPr>
        <w:t>Commissioner-approved</w:t>
      </w:r>
      <w:r w:rsidR="00C53075" w:rsidRPr="00C53075">
        <w:rPr>
          <w:sz w:val="22"/>
          <w:szCs w:val="22"/>
        </w:rPr>
        <w:t xml:space="preserve"> </w:t>
      </w:r>
      <w:r w:rsidRPr="00C53075">
        <w:rPr>
          <w:sz w:val="22"/>
          <w:szCs w:val="22"/>
        </w:rPr>
        <w:t xml:space="preserve">hydrogeological evaluation to </w:t>
      </w:r>
      <w:r w:rsidR="0058259A" w:rsidRPr="00C53075">
        <w:rPr>
          <w:sz w:val="22"/>
          <w:szCs w:val="22"/>
        </w:rPr>
        <w:t xml:space="preserve">verify </w:t>
      </w:r>
      <w:r w:rsidRPr="00C53075">
        <w:rPr>
          <w:sz w:val="22"/>
          <w:szCs w:val="22"/>
        </w:rPr>
        <w:t xml:space="preserve">the </w:t>
      </w:r>
      <w:r w:rsidR="00BA61B2" w:rsidRPr="00C53075">
        <w:rPr>
          <w:sz w:val="22"/>
          <w:szCs w:val="22"/>
        </w:rPr>
        <w:t xml:space="preserve">actual </w:t>
      </w:r>
      <w:r w:rsidRPr="00C53075">
        <w:rPr>
          <w:sz w:val="22"/>
          <w:szCs w:val="22"/>
        </w:rPr>
        <w:t>aquifer</w:t>
      </w:r>
      <w:r w:rsidR="00BA61B2" w:rsidRPr="00C53075">
        <w:rPr>
          <w:sz w:val="22"/>
          <w:szCs w:val="22"/>
        </w:rPr>
        <w:t xml:space="preserve"> yield at the location of the proposed facility</w:t>
      </w:r>
      <w:r w:rsidRPr="00C53075">
        <w:rPr>
          <w:sz w:val="22"/>
          <w:szCs w:val="22"/>
        </w:rPr>
        <w:t>.</w:t>
      </w:r>
    </w:p>
    <w:p w14:paraId="33380097" w14:textId="77777777" w:rsidR="00E6571B" w:rsidRPr="001662B5" w:rsidRDefault="00E6571B" w:rsidP="002F3CBC">
      <w:pPr>
        <w:pStyle w:val="BodyText2"/>
        <w:spacing w:line="240" w:lineRule="auto"/>
        <w:rPr>
          <w:sz w:val="22"/>
          <w:szCs w:val="22"/>
        </w:rPr>
      </w:pPr>
    </w:p>
    <w:p w14:paraId="067B5E9A" w14:textId="77777777" w:rsidR="00CA637F" w:rsidRPr="00CB251B" w:rsidRDefault="00CA637F" w:rsidP="002F3CBC">
      <w:pPr>
        <w:pStyle w:val="BodyText2"/>
        <w:spacing w:line="240" w:lineRule="auto"/>
        <w:rPr>
          <w:sz w:val="22"/>
          <w:szCs w:val="22"/>
        </w:rPr>
      </w:pPr>
      <w:r w:rsidRPr="00CB251B">
        <w:rPr>
          <w:sz w:val="22"/>
          <w:szCs w:val="22"/>
        </w:rPr>
        <w:t xml:space="preserve">The </w:t>
      </w:r>
      <w:r w:rsidR="00E47BC8" w:rsidRPr="00CB251B">
        <w:rPr>
          <w:sz w:val="22"/>
          <w:szCs w:val="22"/>
        </w:rPr>
        <w:t xml:space="preserve">hydrogeological </w:t>
      </w:r>
      <w:r w:rsidRPr="00CB251B">
        <w:rPr>
          <w:sz w:val="22"/>
          <w:szCs w:val="22"/>
        </w:rPr>
        <w:t xml:space="preserve">evaluation must </w:t>
      </w:r>
      <w:r w:rsidR="0058259A" w:rsidRPr="00CB251B">
        <w:rPr>
          <w:sz w:val="22"/>
          <w:szCs w:val="22"/>
        </w:rPr>
        <w:t xml:space="preserve">determine </w:t>
      </w:r>
      <w:r w:rsidRPr="00CB251B">
        <w:rPr>
          <w:sz w:val="22"/>
          <w:szCs w:val="22"/>
        </w:rPr>
        <w:t xml:space="preserve">to the </w:t>
      </w:r>
      <w:r w:rsidR="004C55F7" w:rsidRPr="00CB251B">
        <w:rPr>
          <w:sz w:val="22"/>
          <w:szCs w:val="22"/>
        </w:rPr>
        <w:t>Commissioner</w:t>
      </w:r>
      <w:r w:rsidRPr="00CB251B">
        <w:rPr>
          <w:sz w:val="22"/>
          <w:szCs w:val="22"/>
        </w:rPr>
        <w:t xml:space="preserve">’s satisfaction </w:t>
      </w:r>
      <w:r w:rsidR="0058259A" w:rsidRPr="00CB251B">
        <w:rPr>
          <w:sz w:val="22"/>
          <w:szCs w:val="22"/>
        </w:rPr>
        <w:t xml:space="preserve">the well yield from </w:t>
      </w:r>
      <w:r w:rsidRPr="00CB251B">
        <w:rPr>
          <w:sz w:val="22"/>
          <w:szCs w:val="22"/>
        </w:rPr>
        <w:t>a properly constructed well in the sand and gravel aquifer beneath the site.</w:t>
      </w:r>
      <w:r w:rsidR="001535E1" w:rsidRPr="00CB251B">
        <w:rPr>
          <w:sz w:val="22"/>
          <w:szCs w:val="22"/>
        </w:rPr>
        <w:t xml:space="preserve"> </w:t>
      </w:r>
      <w:r w:rsidRPr="00CB251B">
        <w:rPr>
          <w:sz w:val="22"/>
          <w:szCs w:val="22"/>
        </w:rPr>
        <w:t>The</w:t>
      </w:r>
      <w:r w:rsidR="00CB251B" w:rsidRPr="00CB251B">
        <w:rPr>
          <w:sz w:val="22"/>
          <w:szCs w:val="22"/>
        </w:rPr>
        <w:t xml:space="preserve"> </w:t>
      </w:r>
      <w:r w:rsidR="00ED1668" w:rsidRPr="00CB251B">
        <w:rPr>
          <w:sz w:val="22"/>
          <w:szCs w:val="22"/>
        </w:rPr>
        <w:t>hydrogeological plan</w:t>
      </w:r>
      <w:r w:rsidRPr="00CB251B">
        <w:rPr>
          <w:sz w:val="22"/>
          <w:szCs w:val="22"/>
        </w:rPr>
        <w:t xml:space="preserve"> </w:t>
      </w:r>
      <w:r w:rsidR="00ED1668" w:rsidRPr="00CB251B">
        <w:rPr>
          <w:sz w:val="22"/>
          <w:szCs w:val="22"/>
        </w:rPr>
        <w:t xml:space="preserve">and </w:t>
      </w:r>
      <w:r w:rsidR="00DC19BB" w:rsidRPr="00CB251B">
        <w:rPr>
          <w:sz w:val="22"/>
          <w:szCs w:val="22"/>
        </w:rPr>
        <w:t>associated</w:t>
      </w:r>
      <w:r w:rsidRPr="00CB251B">
        <w:rPr>
          <w:sz w:val="22"/>
          <w:szCs w:val="22"/>
        </w:rPr>
        <w:t xml:space="preserve"> fieldwork </w:t>
      </w:r>
      <w:r w:rsidR="00ED1668" w:rsidRPr="00CB251B">
        <w:rPr>
          <w:sz w:val="22"/>
          <w:szCs w:val="22"/>
        </w:rPr>
        <w:t>must be completed by a Maine-certified geologist with demonstrated experience in hydrogeology.</w:t>
      </w:r>
      <w:r w:rsidRPr="00CB251B">
        <w:rPr>
          <w:sz w:val="22"/>
          <w:szCs w:val="22"/>
        </w:rPr>
        <w:t xml:space="preserve"> </w:t>
      </w:r>
      <w:r w:rsidR="007E1686" w:rsidRPr="00CB251B">
        <w:rPr>
          <w:sz w:val="22"/>
          <w:szCs w:val="22"/>
        </w:rPr>
        <w:t xml:space="preserve">A </w:t>
      </w:r>
      <w:r w:rsidRPr="00CB251B">
        <w:rPr>
          <w:sz w:val="22"/>
          <w:szCs w:val="22"/>
        </w:rPr>
        <w:t>written report</w:t>
      </w:r>
      <w:r w:rsidR="007E1686" w:rsidRPr="00CB251B">
        <w:rPr>
          <w:sz w:val="22"/>
          <w:szCs w:val="22"/>
        </w:rPr>
        <w:t xml:space="preserve">, signed </w:t>
      </w:r>
      <w:r w:rsidRPr="00CB251B">
        <w:rPr>
          <w:sz w:val="22"/>
          <w:szCs w:val="22"/>
        </w:rPr>
        <w:t xml:space="preserve">and certified by </w:t>
      </w:r>
      <w:r w:rsidR="00707399" w:rsidRPr="00CB251B">
        <w:rPr>
          <w:sz w:val="22"/>
          <w:szCs w:val="22"/>
        </w:rPr>
        <w:t>the</w:t>
      </w:r>
      <w:r w:rsidRPr="00CB251B">
        <w:rPr>
          <w:sz w:val="22"/>
          <w:szCs w:val="22"/>
        </w:rPr>
        <w:t xml:space="preserve"> Maine-certified geologist </w:t>
      </w:r>
      <w:r w:rsidR="00707399" w:rsidRPr="00CB251B">
        <w:rPr>
          <w:sz w:val="22"/>
          <w:szCs w:val="22"/>
        </w:rPr>
        <w:t>supervising the work</w:t>
      </w:r>
      <w:r w:rsidR="0091380B">
        <w:rPr>
          <w:sz w:val="22"/>
          <w:szCs w:val="22"/>
        </w:rPr>
        <w:t>,</w:t>
      </w:r>
      <w:r w:rsidR="00707399" w:rsidRPr="00CB251B">
        <w:rPr>
          <w:sz w:val="22"/>
          <w:szCs w:val="22"/>
        </w:rPr>
        <w:t xml:space="preserve"> must be submitted to the</w:t>
      </w:r>
      <w:r w:rsidR="00CB251B" w:rsidRPr="00CB251B">
        <w:rPr>
          <w:sz w:val="22"/>
          <w:szCs w:val="22"/>
        </w:rPr>
        <w:t xml:space="preserve"> </w:t>
      </w:r>
      <w:r w:rsidR="00ED1668" w:rsidRPr="00CB251B">
        <w:rPr>
          <w:sz w:val="22"/>
          <w:szCs w:val="22"/>
        </w:rPr>
        <w:t>Department for review and approval</w:t>
      </w:r>
      <w:r w:rsidRPr="00CB251B">
        <w:rPr>
          <w:sz w:val="22"/>
          <w:szCs w:val="22"/>
        </w:rPr>
        <w:t>.</w:t>
      </w:r>
    </w:p>
    <w:p w14:paraId="45E8E0D5" w14:textId="77777777" w:rsidR="00D80D98" w:rsidRPr="001662B5" w:rsidRDefault="00D80D98" w:rsidP="002F3CBC">
      <w:pPr>
        <w:pStyle w:val="BodyText2"/>
        <w:spacing w:line="240" w:lineRule="auto"/>
        <w:rPr>
          <w:sz w:val="22"/>
          <w:szCs w:val="22"/>
        </w:rPr>
      </w:pPr>
    </w:p>
    <w:p w14:paraId="12062FA3" w14:textId="77777777" w:rsidR="00CA637F" w:rsidRPr="001662B5" w:rsidRDefault="00CA637F" w:rsidP="002F3CBC">
      <w:pPr>
        <w:pStyle w:val="BodyTextIndent"/>
        <w:ind w:left="0"/>
        <w:rPr>
          <w:sz w:val="22"/>
          <w:szCs w:val="22"/>
        </w:rPr>
      </w:pPr>
      <w:r w:rsidRPr="001662B5">
        <w:rPr>
          <w:sz w:val="22"/>
          <w:szCs w:val="22"/>
        </w:rPr>
        <w:t>The Sand and Gravel Aquifer Mapping Program at the Maine Geological Survey has used a single-borehole evaluation to estimate the projected long-term yield of aquifers</w:t>
      </w:r>
      <w:r w:rsidR="00CB251B" w:rsidRPr="00CB251B">
        <w:rPr>
          <w:sz w:val="22"/>
          <w:szCs w:val="22"/>
        </w:rPr>
        <w:t>.</w:t>
      </w:r>
      <w:r w:rsidR="001535E1" w:rsidRPr="001662B5">
        <w:rPr>
          <w:sz w:val="22"/>
          <w:szCs w:val="22"/>
        </w:rPr>
        <w:t xml:space="preserve"> </w:t>
      </w:r>
      <w:r w:rsidRPr="001662B5">
        <w:rPr>
          <w:sz w:val="22"/>
          <w:szCs w:val="22"/>
        </w:rPr>
        <w:t>The techniques are described on pages 15</w:t>
      </w:r>
      <w:r w:rsidR="006B1DD1" w:rsidRPr="001662B5">
        <w:rPr>
          <w:sz w:val="22"/>
          <w:szCs w:val="22"/>
        </w:rPr>
        <w:t xml:space="preserve"> </w:t>
      </w:r>
      <w:r w:rsidR="006B1DD1" w:rsidRPr="00CB251B">
        <w:rPr>
          <w:sz w:val="22"/>
          <w:szCs w:val="22"/>
        </w:rPr>
        <w:t>to</w:t>
      </w:r>
      <w:r w:rsidRPr="001662B5">
        <w:rPr>
          <w:sz w:val="22"/>
          <w:szCs w:val="22"/>
        </w:rPr>
        <w:t>18 of Maine Geological Survey Open File No. 98-2, Hydrogeology and Water Quality of Significant Sand and Gravel Aquifers in Parts of Piscataquis and Somerset Counties, Maine, 1998, Nichols, W. J., Neil, C. D., Locke, D. B. and Foley, M. E. (authors).</w:t>
      </w:r>
      <w:r w:rsidR="001535E1" w:rsidRPr="001662B5">
        <w:rPr>
          <w:sz w:val="22"/>
          <w:szCs w:val="22"/>
        </w:rPr>
        <w:t xml:space="preserve"> </w:t>
      </w:r>
      <w:r w:rsidR="00E47BC8" w:rsidRPr="00CB251B">
        <w:rPr>
          <w:sz w:val="22"/>
          <w:szCs w:val="22"/>
        </w:rPr>
        <w:t>Using this</w:t>
      </w:r>
      <w:r w:rsidRPr="001662B5">
        <w:rPr>
          <w:sz w:val="22"/>
          <w:szCs w:val="22"/>
        </w:rPr>
        <w:t xml:space="preserve"> method</w:t>
      </w:r>
      <w:r w:rsidR="00E47BC8" w:rsidRPr="00CB251B">
        <w:rPr>
          <w:sz w:val="22"/>
          <w:szCs w:val="22"/>
        </w:rPr>
        <w:t>, a single</w:t>
      </w:r>
      <w:r w:rsidRPr="001662B5">
        <w:rPr>
          <w:sz w:val="22"/>
          <w:szCs w:val="22"/>
        </w:rPr>
        <w:t xml:space="preserve"> borehole </w:t>
      </w:r>
      <w:r w:rsidR="00E47BC8" w:rsidRPr="00CB251B">
        <w:rPr>
          <w:sz w:val="22"/>
          <w:szCs w:val="22"/>
        </w:rPr>
        <w:t xml:space="preserve">is </w:t>
      </w:r>
      <w:r w:rsidRPr="00CB251B">
        <w:rPr>
          <w:sz w:val="22"/>
          <w:szCs w:val="22"/>
        </w:rPr>
        <w:t>advanced to the bedrock surface with continuous soils sampling.</w:t>
      </w:r>
      <w:r w:rsidR="001535E1" w:rsidRPr="00CB251B">
        <w:rPr>
          <w:sz w:val="22"/>
          <w:szCs w:val="22"/>
        </w:rPr>
        <w:t xml:space="preserve"> </w:t>
      </w:r>
      <w:r w:rsidRPr="00CB251B">
        <w:rPr>
          <w:sz w:val="22"/>
          <w:szCs w:val="22"/>
        </w:rPr>
        <w:t xml:space="preserve">Geological information </w:t>
      </w:r>
      <w:r w:rsidR="00E47BC8" w:rsidRPr="00CB251B">
        <w:rPr>
          <w:sz w:val="22"/>
          <w:szCs w:val="22"/>
        </w:rPr>
        <w:t xml:space="preserve">including material observations and aquifer thickness, </w:t>
      </w:r>
      <w:r w:rsidRPr="00CB251B">
        <w:rPr>
          <w:sz w:val="22"/>
          <w:szCs w:val="22"/>
        </w:rPr>
        <w:t xml:space="preserve">along with the grain size analysis of the </w:t>
      </w:r>
      <w:r w:rsidR="00E47BC8" w:rsidRPr="00CB251B">
        <w:rPr>
          <w:sz w:val="22"/>
          <w:szCs w:val="22"/>
        </w:rPr>
        <w:t xml:space="preserve">representative </w:t>
      </w:r>
      <w:r w:rsidRPr="00CB251B">
        <w:rPr>
          <w:sz w:val="22"/>
          <w:szCs w:val="22"/>
        </w:rPr>
        <w:t>soils</w:t>
      </w:r>
      <w:r w:rsidRPr="00CB251B">
        <w:rPr>
          <w:strike/>
          <w:sz w:val="22"/>
          <w:szCs w:val="22"/>
        </w:rPr>
        <w:t xml:space="preserve"> </w:t>
      </w:r>
      <w:r w:rsidR="00E47BC8" w:rsidRPr="00CB251B">
        <w:rPr>
          <w:sz w:val="22"/>
          <w:szCs w:val="22"/>
        </w:rPr>
        <w:t>in the overburden</w:t>
      </w:r>
      <w:r w:rsidR="006B1DD1" w:rsidRPr="00CB251B">
        <w:rPr>
          <w:sz w:val="22"/>
          <w:szCs w:val="22"/>
        </w:rPr>
        <w:t xml:space="preserve"> is</w:t>
      </w:r>
      <w:r w:rsidR="00CB251B" w:rsidRPr="00CB251B">
        <w:rPr>
          <w:sz w:val="22"/>
          <w:szCs w:val="22"/>
        </w:rPr>
        <w:t xml:space="preserve"> </w:t>
      </w:r>
      <w:r w:rsidRPr="00CB251B">
        <w:rPr>
          <w:sz w:val="22"/>
          <w:szCs w:val="22"/>
        </w:rPr>
        <w:t xml:space="preserve">used to calculate </w:t>
      </w:r>
      <w:r w:rsidR="006B1DD1" w:rsidRPr="00CB251B">
        <w:rPr>
          <w:sz w:val="22"/>
          <w:szCs w:val="22"/>
        </w:rPr>
        <w:t>the</w:t>
      </w:r>
      <w:r w:rsidR="006C00A0" w:rsidRPr="00CB251B">
        <w:rPr>
          <w:sz w:val="22"/>
          <w:szCs w:val="22"/>
        </w:rPr>
        <w:t xml:space="preserve"> </w:t>
      </w:r>
      <w:r w:rsidR="006B1DD1" w:rsidRPr="00CB251B">
        <w:rPr>
          <w:sz w:val="22"/>
          <w:szCs w:val="22"/>
        </w:rPr>
        <w:t>aquifer</w:t>
      </w:r>
      <w:r w:rsidRPr="00CB251B">
        <w:rPr>
          <w:sz w:val="22"/>
          <w:szCs w:val="22"/>
        </w:rPr>
        <w:t xml:space="preserve"> transmissivity and to estimate the long-term yield of a well at that location.</w:t>
      </w:r>
      <w:r w:rsidR="001535E1" w:rsidRPr="00CB251B">
        <w:rPr>
          <w:sz w:val="22"/>
          <w:szCs w:val="22"/>
        </w:rPr>
        <w:t xml:space="preserve"> </w:t>
      </w:r>
      <w:r w:rsidRPr="00CB251B">
        <w:rPr>
          <w:sz w:val="22"/>
          <w:szCs w:val="22"/>
        </w:rPr>
        <w:t xml:space="preserve">The </w:t>
      </w:r>
      <w:r w:rsidR="004C55F7" w:rsidRPr="00CB251B">
        <w:rPr>
          <w:sz w:val="22"/>
          <w:szCs w:val="22"/>
        </w:rPr>
        <w:t>Commissioner</w:t>
      </w:r>
      <w:r w:rsidRPr="00CB251B">
        <w:rPr>
          <w:sz w:val="22"/>
          <w:szCs w:val="22"/>
        </w:rPr>
        <w:t xml:space="preserve"> </w:t>
      </w:r>
      <w:r w:rsidR="00E47BC8" w:rsidRPr="00CB251B">
        <w:rPr>
          <w:sz w:val="22"/>
          <w:szCs w:val="22"/>
        </w:rPr>
        <w:t>may consider other methods of aquifer evaluation</w:t>
      </w:r>
      <w:r w:rsidR="00ED7BB4" w:rsidRPr="00CB251B">
        <w:rPr>
          <w:sz w:val="22"/>
          <w:szCs w:val="22"/>
        </w:rPr>
        <w:t xml:space="preserve"> based on the available hydrogeologic data of the aquifer if the data is considered to be applicable to the site under consideration</w:t>
      </w:r>
      <w:r w:rsidR="00CB251B" w:rsidRPr="00CB251B">
        <w:rPr>
          <w:sz w:val="22"/>
          <w:szCs w:val="22"/>
        </w:rPr>
        <w:t>.</w:t>
      </w:r>
    </w:p>
    <w:p w14:paraId="125E350B" w14:textId="77777777" w:rsidR="00D80D98" w:rsidRPr="001662B5" w:rsidRDefault="00D80D98" w:rsidP="002F3CBC">
      <w:pPr>
        <w:pStyle w:val="BodyTextIndent"/>
        <w:ind w:left="0"/>
        <w:rPr>
          <w:sz w:val="22"/>
          <w:szCs w:val="22"/>
        </w:rPr>
      </w:pPr>
    </w:p>
    <w:p w14:paraId="43259CA5" w14:textId="77777777" w:rsidR="00CA637F" w:rsidRPr="001662B5" w:rsidRDefault="00CA637F" w:rsidP="002F3CBC">
      <w:pPr>
        <w:pStyle w:val="BodyTextIndent"/>
        <w:pBdr>
          <w:top w:val="single" w:sz="4" w:space="1" w:color="auto"/>
          <w:bottom w:val="single" w:sz="4" w:space="1" w:color="auto"/>
        </w:pBdr>
        <w:ind w:left="0"/>
        <w:rPr>
          <w:sz w:val="22"/>
          <w:szCs w:val="22"/>
          <w:u w:val="single"/>
        </w:rPr>
      </w:pPr>
      <w:r w:rsidRPr="001662B5">
        <w:rPr>
          <w:sz w:val="22"/>
          <w:szCs w:val="22"/>
        </w:rPr>
        <w:t>NOTE:</w:t>
      </w:r>
      <w:r w:rsidR="001535E1" w:rsidRPr="001662B5">
        <w:rPr>
          <w:sz w:val="22"/>
          <w:szCs w:val="22"/>
        </w:rPr>
        <w:t xml:space="preserve"> </w:t>
      </w:r>
      <w:r w:rsidRPr="001662B5">
        <w:rPr>
          <w:sz w:val="22"/>
          <w:szCs w:val="22"/>
        </w:rPr>
        <w:t>Copies of the above referenced technical document are available from the Department or the Maine Geological Survey</w:t>
      </w:r>
      <w:r w:rsidR="00BA61B2" w:rsidRPr="00CB251B">
        <w:rPr>
          <w:sz w:val="22"/>
          <w:szCs w:val="22"/>
        </w:rPr>
        <w:t>.</w:t>
      </w:r>
    </w:p>
    <w:p w14:paraId="14F741E2" w14:textId="77777777" w:rsidR="00CA637F" w:rsidRPr="001662B5" w:rsidRDefault="00CA637F" w:rsidP="002F3CBC">
      <w:pPr>
        <w:rPr>
          <w:sz w:val="22"/>
          <w:szCs w:val="22"/>
        </w:rPr>
      </w:pPr>
    </w:p>
    <w:p w14:paraId="6CA729B4" w14:textId="77777777" w:rsidR="001535E1" w:rsidRPr="001662B5" w:rsidRDefault="001535E1" w:rsidP="002F3CBC">
      <w:pPr>
        <w:rPr>
          <w:sz w:val="22"/>
          <w:szCs w:val="22"/>
        </w:rPr>
      </w:pPr>
    </w:p>
    <w:p w14:paraId="63F7DDD7" w14:textId="77777777" w:rsidR="00273EFF" w:rsidRDefault="001535E1" w:rsidP="00273EFF">
      <w:pPr>
        <w:tabs>
          <w:tab w:val="left" w:pos="720"/>
        </w:tabs>
        <w:ind w:left="2880" w:hanging="2880"/>
        <w:rPr>
          <w:sz w:val="22"/>
          <w:szCs w:val="22"/>
        </w:rPr>
      </w:pPr>
      <w:r w:rsidRPr="001662B5">
        <w:rPr>
          <w:sz w:val="22"/>
          <w:szCs w:val="22"/>
        </w:rPr>
        <w:t>STATUTORY AUTHORITY:</w:t>
      </w:r>
    </w:p>
    <w:p w14:paraId="37068042" w14:textId="77777777" w:rsidR="001535E1" w:rsidRPr="001662B5" w:rsidRDefault="00E70FA0" w:rsidP="00273EFF">
      <w:pPr>
        <w:tabs>
          <w:tab w:val="left" w:pos="720"/>
        </w:tabs>
        <w:ind w:left="720" w:hanging="720"/>
        <w:rPr>
          <w:sz w:val="22"/>
          <w:szCs w:val="22"/>
        </w:rPr>
      </w:pPr>
      <w:r w:rsidRPr="001662B5">
        <w:rPr>
          <w:sz w:val="22"/>
          <w:szCs w:val="22"/>
        </w:rPr>
        <w:tab/>
      </w:r>
      <w:r w:rsidR="00461E42" w:rsidRPr="001662B5">
        <w:rPr>
          <w:sz w:val="22"/>
          <w:szCs w:val="22"/>
        </w:rPr>
        <w:t>38</w:t>
      </w:r>
      <w:r w:rsidR="001535E1" w:rsidRPr="001662B5">
        <w:rPr>
          <w:sz w:val="22"/>
          <w:szCs w:val="22"/>
        </w:rPr>
        <w:t xml:space="preserve"> </w:t>
      </w:r>
      <w:r w:rsidRPr="001662B5">
        <w:rPr>
          <w:sz w:val="22"/>
          <w:szCs w:val="22"/>
        </w:rPr>
        <w:t>M.R.S.</w:t>
      </w:r>
      <w:r w:rsidR="001535E1" w:rsidRPr="001662B5">
        <w:rPr>
          <w:sz w:val="22"/>
          <w:szCs w:val="22"/>
        </w:rPr>
        <w:t xml:space="preserve"> §</w:t>
      </w:r>
      <w:r w:rsidR="00994CB7" w:rsidRPr="00CB251B">
        <w:rPr>
          <w:sz w:val="22"/>
          <w:szCs w:val="22"/>
        </w:rPr>
        <w:t>§</w:t>
      </w:r>
      <w:r w:rsidR="00994CB7" w:rsidRPr="001662B5">
        <w:rPr>
          <w:sz w:val="22"/>
          <w:szCs w:val="22"/>
        </w:rPr>
        <w:t xml:space="preserve"> </w:t>
      </w:r>
      <w:r w:rsidR="001535E1" w:rsidRPr="001662B5">
        <w:rPr>
          <w:sz w:val="22"/>
          <w:szCs w:val="22"/>
        </w:rPr>
        <w:t>341-</w:t>
      </w:r>
      <w:r w:rsidR="00461E42" w:rsidRPr="001662B5">
        <w:rPr>
          <w:sz w:val="22"/>
          <w:szCs w:val="22"/>
        </w:rPr>
        <w:t>H</w:t>
      </w:r>
      <w:r w:rsidR="00994CB7" w:rsidRPr="001662B5">
        <w:rPr>
          <w:sz w:val="22"/>
          <w:szCs w:val="22"/>
        </w:rPr>
        <w:t xml:space="preserve"> </w:t>
      </w:r>
      <w:r w:rsidR="00994CB7" w:rsidRPr="00CB251B">
        <w:rPr>
          <w:sz w:val="22"/>
          <w:szCs w:val="22"/>
        </w:rPr>
        <w:t>and</w:t>
      </w:r>
      <w:r w:rsidR="00CD0D58" w:rsidRPr="00CB251B">
        <w:rPr>
          <w:sz w:val="22"/>
          <w:szCs w:val="22"/>
        </w:rPr>
        <w:t xml:space="preserve"> 1400</w:t>
      </w:r>
      <w:r w:rsidR="001535E1" w:rsidRPr="001662B5">
        <w:rPr>
          <w:sz w:val="22"/>
          <w:szCs w:val="22"/>
        </w:rPr>
        <w:t>;</w:t>
      </w:r>
      <w:r w:rsidR="00461E42" w:rsidRPr="001662B5">
        <w:rPr>
          <w:sz w:val="22"/>
          <w:szCs w:val="22"/>
        </w:rPr>
        <w:t xml:space="preserve"> </w:t>
      </w:r>
      <w:r w:rsidR="001535E1" w:rsidRPr="001662B5">
        <w:rPr>
          <w:sz w:val="22"/>
          <w:szCs w:val="22"/>
        </w:rPr>
        <w:t>P</w:t>
      </w:r>
      <w:r w:rsidR="00461E42" w:rsidRPr="001662B5">
        <w:rPr>
          <w:sz w:val="22"/>
          <w:szCs w:val="22"/>
        </w:rPr>
        <w:t xml:space="preserve">ublic </w:t>
      </w:r>
      <w:r w:rsidR="001535E1" w:rsidRPr="001662B5">
        <w:rPr>
          <w:sz w:val="22"/>
          <w:szCs w:val="22"/>
        </w:rPr>
        <w:t>L</w:t>
      </w:r>
      <w:r w:rsidR="00461E42" w:rsidRPr="001662B5">
        <w:rPr>
          <w:sz w:val="22"/>
          <w:szCs w:val="22"/>
        </w:rPr>
        <w:t>aws</w:t>
      </w:r>
      <w:r w:rsidR="001535E1" w:rsidRPr="001662B5">
        <w:rPr>
          <w:sz w:val="22"/>
          <w:szCs w:val="22"/>
        </w:rPr>
        <w:t xml:space="preserve"> 2007, c</w:t>
      </w:r>
      <w:r w:rsidR="00461E42" w:rsidRPr="001662B5">
        <w:rPr>
          <w:sz w:val="22"/>
          <w:szCs w:val="22"/>
        </w:rPr>
        <w:t>hapter</w:t>
      </w:r>
      <w:r w:rsidR="001535E1" w:rsidRPr="001662B5">
        <w:rPr>
          <w:sz w:val="22"/>
          <w:szCs w:val="22"/>
        </w:rPr>
        <w:t xml:space="preserve"> 569, </w:t>
      </w:r>
      <w:r w:rsidR="00F0133C">
        <w:rPr>
          <w:sz w:val="22"/>
          <w:szCs w:val="22"/>
        </w:rPr>
        <w:t>§</w:t>
      </w:r>
      <w:r w:rsidR="001535E1" w:rsidRPr="001662B5">
        <w:rPr>
          <w:sz w:val="22"/>
          <w:szCs w:val="22"/>
        </w:rPr>
        <w:t>7</w:t>
      </w:r>
      <w:r w:rsidR="00461E42" w:rsidRPr="001662B5">
        <w:rPr>
          <w:sz w:val="22"/>
          <w:szCs w:val="22"/>
        </w:rPr>
        <w:t>; Res</w:t>
      </w:r>
      <w:r w:rsidR="00273EFF">
        <w:rPr>
          <w:sz w:val="22"/>
          <w:szCs w:val="22"/>
        </w:rPr>
        <w:t>olves 2011, chapters 26 and 149</w:t>
      </w:r>
    </w:p>
    <w:p w14:paraId="0F73472F" w14:textId="77777777" w:rsidR="002457C9" w:rsidRPr="001662B5" w:rsidRDefault="002457C9" w:rsidP="00273EFF">
      <w:pPr>
        <w:tabs>
          <w:tab w:val="left" w:pos="720"/>
        </w:tabs>
        <w:rPr>
          <w:sz w:val="22"/>
          <w:szCs w:val="22"/>
        </w:rPr>
      </w:pPr>
    </w:p>
    <w:p w14:paraId="547E9C6E" w14:textId="77777777" w:rsidR="00273EFF" w:rsidRDefault="002457C9" w:rsidP="00273EFF">
      <w:pPr>
        <w:tabs>
          <w:tab w:val="left" w:pos="720"/>
        </w:tabs>
        <w:rPr>
          <w:sz w:val="22"/>
          <w:szCs w:val="22"/>
        </w:rPr>
      </w:pPr>
      <w:r w:rsidRPr="001662B5">
        <w:rPr>
          <w:sz w:val="22"/>
          <w:szCs w:val="22"/>
        </w:rPr>
        <w:t>EFFECTIVE DATE:</w:t>
      </w:r>
    </w:p>
    <w:p w14:paraId="1844174F" w14:textId="77777777" w:rsidR="002457C9" w:rsidRPr="001662B5" w:rsidRDefault="00CB251B" w:rsidP="00273EFF">
      <w:pPr>
        <w:tabs>
          <w:tab w:val="left" w:pos="720"/>
        </w:tabs>
        <w:rPr>
          <w:sz w:val="22"/>
          <w:szCs w:val="22"/>
        </w:rPr>
      </w:pPr>
      <w:r>
        <w:rPr>
          <w:sz w:val="22"/>
          <w:szCs w:val="22"/>
        </w:rPr>
        <w:tab/>
      </w:r>
      <w:r w:rsidR="002457C9" w:rsidRPr="001662B5">
        <w:rPr>
          <w:sz w:val="22"/>
          <w:szCs w:val="22"/>
        </w:rPr>
        <w:t>April 24, 2010 – filing 2010-104</w:t>
      </w:r>
    </w:p>
    <w:p w14:paraId="073EE208" w14:textId="77777777" w:rsidR="002457C9" w:rsidRPr="001662B5" w:rsidRDefault="002457C9" w:rsidP="00273EFF">
      <w:pPr>
        <w:tabs>
          <w:tab w:val="left" w:pos="720"/>
        </w:tabs>
        <w:rPr>
          <w:sz w:val="22"/>
          <w:szCs w:val="22"/>
        </w:rPr>
      </w:pPr>
      <w:r w:rsidRPr="001662B5">
        <w:rPr>
          <w:sz w:val="22"/>
          <w:szCs w:val="22"/>
        </w:rPr>
        <w:tab/>
        <w:t>April 24, 2012 – filing 2012-109 (EMERGENCY)</w:t>
      </w:r>
    </w:p>
    <w:p w14:paraId="12720674" w14:textId="77777777" w:rsidR="00461E42" w:rsidRDefault="00E70FA0" w:rsidP="00273EFF">
      <w:pPr>
        <w:tabs>
          <w:tab w:val="left" w:pos="720"/>
        </w:tabs>
        <w:rPr>
          <w:sz w:val="22"/>
          <w:szCs w:val="22"/>
        </w:rPr>
      </w:pPr>
      <w:r w:rsidRPr="001662B5">
        <w:rPr>
          <w:sz w:val="22"/>
          <w:szCs w:val="22"/>
        </w:rPr>
        <w:tab/>
        <w:t>July 23, 2012 – filing 2012-206</w:t>
      </w:r>
    </w:p>
    <w:p w14:paraId="3B6E56CC" w14:textId="77777777" w:rsidR="00273EFF" w:rsidRDefault="00273EFF" w:rsidP="00273EFF">
      <w:pPr>
        <w:tabs>
          <w:tab w:val="left" w:pos="720"/>
        </w:tabs>
        <w:rPr>
          <w:sz w:val="22"/>
          <w:szCs w:val="22"/>
        </w:rPr>
      </w:pPr>
      <w:r>
        <w:rPr>
          <w:sz w:val="22"/>
          <w:szCs w:val="22"/>
        </w:rPr>
        <w:tab/>
        <w:t>August 7, 2019 – filing 2019-116</w:t>
      </w:r>
    </w:p>
    <w:p w14:paraId="1304B4F7" w14:textId="77777777" w:rsidR="00273EFF" w:rsidRDefault="00273EFF" w:rsidP="00273EFF">
      <w:pPr>
        <w:tabs>
          <w:tab w:val="left" w:pos="720"/>
        </w:tabs>
        <w:rPr>
          <w:sz w:val="22"/>
          <w:szCs w:val="22"/>
        </w:rPr>
      </w:pPr>
    </w:p>
    <w:p w14:paraId="1E22B1ED" w14:textId="38EB33AC" w:rsidR="00542442" w:rsidRPr="00B4544C" w:rsidRDefault="00542442" w:rsidP="00273EFF">
      <w:pPr>
        <w:tabs>
          <w:tab w:val="left" w:pos="720"/>
        </w:tabs>
        <w:rPr>
          <w:sz w:val="22"/>
          <w:szCs w:val="22"/>
        </w:rPr>
      </w:pPr>
      <w:r>
        <w:rPr>
          <w:sz w:val="22"/>
          <w:szCs w:val="22"/>
        </w:rPr>
        <w:t>APAO WORD VERSION CONVERSION (IF NEEDED) AND ACCESSIBILITY CHECK: July 16, 2025</w:t>
      </w:r>
    </w:p>
    <w:sectPr w:rsidR="00542442" w:rsidRPr="00B4544C" w:rsidSect="007C65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67AE" w14:textId="77777777" w:rsidR="00B24D84" w:rsidRDefault="00B24D84">
      <w:r>
        <w:separator/>
      </w:r>
    </w:p>
  </w:endnote>
  <w:endnote w:type="continuationSeparator" w:id="0">
    <w:p w14:paraId="5331A29A" w14:textId="77777777" w:rsidR="00B24D84" w:rsidRDefault="00B2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423F" w14:textId="77777777" w:rsidR="00B937E0" w:rsidRDefault="00B937E0" w:rsidP="001D29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95C8E" w14:textId="77777777" w:rsidR="00B937E0" w:rsidRDefault="00B93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5E25" w14:textId="77777777" w:rsidR="00B937E0" w:rsidRDefault="00B937E0" w:rsidP="00450240">
    <w:pPr>
      <w:pStyle w:val="Footer"/>
      <w:pBdr>
        <w:top w:val="single" w:sz="4" w:space="1" w:color="auto"/>
      </w:pBdr>
      <w:tabs>
        <w:tab w:val="clear" w:pos="8640"/>
      </w:tabs>
      <w:spacing w:before="100" w:beforeAutospacing="1" w:after="120"/>
      <w:jc w:val="center"/>
    </w:pPr>
    <w:r>
      <w:t>Chapter 692, Siting of Oil Storage Facilities</w:t>
    </w:r>
  </w:p>
  <w:p w14:paraId="225683B7" w14:textId="77777777" w:rsidR="00B937E0" w:rsidRDefault="00B937E0" w:rsidP="00450240">
    <w:pPr>
      <w:pStyle w:val="Footer"/>
      <w:pBdr>
        <w:top w:val="single" w:sz="4" w:space="1" w:color="auto"/>
      </w:pBdr>
      <w:tabs>
        <w:tab w:val="clear" w:pos="8640"/>
      </w:tabs>
      <w:jc w:val="center"/>
    </w:pPr>
  </w:p>
  <w:p w14:paraId="6C07C7E3" w14:textId="77777777" w:rsidR="00B937E0" w:rsidRDefault="00B937E0" w:rsidP="00450240">
    <w:pPr>
      <w:pStyle w:val="Footer"/>
      <w:pBdr>
        <w:top w:val="single" w:sz="4" w:space="1" w:color="auto"/>
      </w:pBdr>
      <w:tabs>
        <w:tab w:val="clear" w:pos="8640"/>
      </w:tabs>
      <w:jc w:val="center"/>
    </w:pPr>
    <w:r>
      <w:fldChar w:fldCharType="begin"/>
    </w:r>
    <w:r>
      <w:instrText xml:space="preserve"> PAGE   \* MERGEFORMAT </w:instrText>
    </w:r>
    <w:r>
      <w:fldChar w:fldCharType="separate"/>
    </w:r>
    <w:r w:rsidR="004B046F">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6CA7" w14:textId="77777777" w:rsidR="00B937E0" w:rsidRDefault="00B937E0" w:rsidP="00450240">
    <w:pPr>
      <w:pStyle w:val="Footer"/>
      <w:pBdr>
        <w:top w:val="single" w:sz="4" w:space="1" w:color="auto"/>
      </w:pBdr>
      <w:spacing w:before="100" w:beforeAutospacing="1" w:after="120"/>
      <w:jc w:val="center"/>
    </w:pPr>
    <w:r>
      <w:t>Chapter 692, Siting of Oil Storage Facilities</w:t>
    </w:r>
  </w:p>
  <w:p w14:paraId="0663FEC4" w14:textId="77777777" w:rsidR="00B937E0" w:rsidRDefault="00B937E0" w:rsidP="00450240">
    <w:pPr>
      <w:pStyle w:val="Footer"/>
      <w:pBdr>
        <w:top w:val="single" w:sz="4" w:space="1" w:color="auto"/>
      </w:pBdr>
      <w:spacing w:before="100" w:beforeAutospacing="1" w:after="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3199" w14:textId="77777777" w:rsidR="00B24D84" w:rsidRDefault="00B24D84">
      <w:r>
        <w:separator/>
      </w:r>
    </w:p>
  </w:footnote>
  <w:footnote w:type="continuationSeparator" w:id="0">
    <w:p w14:paraId="55BF7E53" w14:textId="77777777" w:rsidR="00B24D84" w:rsidRDefault="00B2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2E4D" w14:textId="77777777" w:rsidR="00B937E0" w:rsidRDefault="00B93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21B3" w14:textId="77777777" w:rsidR="00B937E0" w:rsidRDefault="00B937E0">
    <w:pPr>
      <w:pStyle w:val="Header"/>
    </w:pPr>
    <w:r>
      <w:t>06-096</w:t>
    </w:r>
    <w:r>
      <w:tab/>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8F86" w14:textId="77777777" w:rsidR="00B937E0" w:rsidRDefault="00B937E0" w:rsidP="00450240">
    <w:pPr>
      <w:pStyle w:val="Header"/>
      <w:tabs>
        <w:tab w:val="left" w:pos="1800"/>
      </w:tabs>
    </w:pPr>
    <w:r>
      <w:t>06-096</w:t>
    </w:r>
    <w:r>
      <w:tab/>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59D"/>
    <w:multiLevelType w:val="hybridMultilevel"/>
    <w:tmpl w:val="EB048582"/>
    <w:lvl w:ilvl="0" w:tplc="5B0A0F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D6714B"/>
    <w:multiLevelType w:val="hybridMultilevel"/>
    <w:tmpl w:val="6DCA748A"/>
    <w:lvl w:ilvl="0" w:tplc="995033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54BF"/>
    <w:multiLevelType w:val="hybridMultilevel"/>
    <w:tmpl w:val="B05E9CDA"/>
    <w:lvl w:ilvl="0" w:tplc="E78441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55184"/>
    <w:multiLevelType w:val="singleLevel"/>
    <w:tmpl w:val="EB7239B6"/>
    <w:lvl w:ilvl="0">
      <w:start w:val="1"/>
      <w:numFmt w:val="upperRoman"/>
      <w:lvlText w:val="%1."/>
      <w:lvlJc w:val="left"/>
      <w:pPr>
        <w:tabs>
          <w:tab w:val="num" w:pos="1080"/>
        </w:tabs>
        <w:ind w:left="1080" w:hanging="720"/>
      </w:pPr>
      <w:rPr>
        <w:rFonts w:hint="default"/>
        <w:b/>
      </w:rPr>
    </w:lvl>
  </w:abstractNum>
  <w:abstractNum w:abstractNumId="4" w15:restartNumberingAfterBreak="0">
    <w:nsid w:val="0C956D6E"/>
    <w:multiLevelType w:val="singleLevel"/>
    <w:tmpl w:val="A4FA7C72"/>
    <w:lvl w:ilvl="0">
      <w:start w:val="11"/>
      <w:numFmt w:val="upperLetter"/>
      <w:lvlText w:val="%1."/>
      <w:lvlJc w:val="left"/>
      <w:pPr>
        <w:tabs>
          <w:tab w:val="num" w:pos="360"/>
        </w:tabs>
        <w:ind w:left="360" w:hanging="360"/>
      </w:pPr>
    </w:lvl>
  </w:abstractNum>
  <w:abstractNum w:abstractNumId="5" w15:restartNumberingAfterBreak="0">
    <w:nsid w:val="13AF64BB"/>
    <w:multiLevelType w:val="hybridMultilevel"/>
    <w:tmpl w:val="2CAAEC32"/>
    <w:lvl w:ilvl="0" w:tplc="045CC13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97B05"/>
    <w:multiLevelType w:val="hybridMultilevel"/>
    <w:tmpl w:val="537412AC"/>
    <w:lvl w:ilvl="0" w:tplc="48DA4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B979C4"/>
    <w:multiLevelType w:val="hybridMultilevel"/>
    <w:tmpl w:val="2E8C1D9E"/>
    <w:lvl w:ilvl="0" w:tplc="581A3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C16DD9"/>
    <w:multiLevelType w:val="hybridMultilevel"/>
    <w:tmpl w:val="7E32DE6E"/>
    <w:lvl w:ilvl="0" w:tplc="C03090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523AC5"/>
    <w:multiLevelType w:val="singleLevel"/>
    <w:tmpl w:val="D362FCD4"/>
    <w:lvl w:ilvl="0">
      <w:start w:val="2"/>
      <w:numFmt w:val="decimal"/>
      <w:lvlText w:val="(%1)"/>
      <w:lvlJc w:val="left"/>
      <w:pPr>
        <w:tabs>
          <w:tab w:val="num" w:pos="1080"/>
        </w:tabs>
        <w:ind w:left="1080" w:hanging="360"/>
      </w:pPr>
      <w:rPr>
        <w:rFonts w:hint="default"/>
      </w:rPr>
    </w:lvl>
  </w:abstractNum>
  <w:abstractNum w:abstractNumId="10" w15:restartNumberingAfterBreak="0">
    <w:nsid w:val="21381A05"/>
    <w:multiLevelType w:val="hybridMultilevel"/>
    <w:tmpl w:val="B2DE8C3C"/>
    <w:lvl w:ilvl="0" w:tplc="A942B5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463DE4"/>
    <w:multiLevelType w:val="hybridMultilevel"/>
    <w:tmpl w:val="5F302CEE"/>
    <w:lvl w:ilvl="0" w:tplc="BBF2BD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F83137"/>
    <w:multiLevelType w:val="hybridMultilevel"/>
    <w:tmpl w:val="D63EB402"/>
    <w:lvl w:ilvl="0" w:tplc="872C3962">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AF82693"/>
    <w:multiLevelType w:val="hybridMultilevel"/>
    <w:tmpl w:val="EC4230BE"/>
    <w:lvl w:ilvl="0" w:tplc="D0EA5CD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B2D05CF"/>
    <w:multiLevelType w:val="hybridMultilevel"/>
    <w:tmpl w:val="FF0056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B343633"/>
    <w:multiLevelType w:val="singleLevel"/>
    <w:tmpl w:val="021AEFB2"/>
    <w:lvl w:ilvl="0">
      <w:start w:val="1"/>
      <w:numFmt w:val="lowerRoman"/>
      <w:lvlText w:val="(%1)"/>
      <w:lvlJc w:val="left"/>
      <w:pPr>
        <w:tabs>
          <w:tab w:val="num" w:pos="2160"/>
        </w:tabs>
        <w:ind w:left="2160" w:hanging="720"/>
      </w:pPr>
      <w:rPr>
        <w:rFonts w:hint="default"/>
      </w:rPr>
    </w:lvl>
  </w:abstractNum>
  <w:abstractNum w:abstractNumId="16" w15:restartNumberingAfterBreak="0">
    <w:nsid w:val="2EBE796A"/>
    <w:multiLevelType w:val="hybridMultilevel"/>
    <w:tmpl w:val="CD6AED6E"/>
    <w:lvl w:ilvl="0" w:tplc="568816E8">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C12DF6"/>
    <w:multiLevelType w:val="hybridMultilevel"/>
    <w:tmpl w:val="F4D67F6E"/>
    <w:lvl w:ilvl="0" w:tplc="CAF0D16A">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751CA"/>
    <w:multiLevelType w:val="hybridMultilevel"/>
    <w:tmpl w:val="2326B4B6"/>
    <w:lvl w:ilvl="0" w:tplc="37BA683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0D50B06"/>
    <w:multiLevelType w:val="singleLevel"/>
    <w:tmpl w:val="0BE015C8"/>
    <w:lvl w:ilvl="0">
      <w:start w:val="2"/>
      <w:numFmt w:val="lowerLetter"/>
      <w:lvlText w:val="(%1)"/>
      <w:lvlJc w:val="left"/>
      <w:pPr>
        <w:tabs>
          <w:tab w:val="num" w:pos="1440"/>
        </w:tabs>
        <w:ind w:left="1440" w:hanging="360"/>
      </w:pPr>
      <w:rPr>
        <w:rFonts w:hint="default"/>
      </w:rPr>
    </w:lvl>
  </w:abstractNum>
  <w:abstractNum w:abstractNumId="20" w15:restartNumberingAfterBreak="0">
    <w:nsid w:val="323D17BA"/>
    <w:multiLevelType w:val="hybridMultilevel"/>
    <w:tmpl w:val="7CB47B60"/>
    <w:lvl w:ilvl="0" w:tplc="7A44EA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202D47"/>
    <w:multiLevelType w:val="hybridMultilevel"/>
    <w:tmpl w:val="CB3695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D346F9"/>
    <w:multiLevelType w:val="hybridMultilevel"/>
    <w:tmpl w:val="22E2B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1D11E0"/>
    <w:multiLevelType w:val="hybridMultilevel"/>
    <w:tmpl w:val="00B6AB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DC871B8"/>
    <w:multiLevelType w:val="hybridMultilevel"/>
    <w:tmpl w:val="A52E3F3C"/>
    <w:lvl w:ilvl="0" w:tplc="0040F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09235F"/>
    <w:multiLevelType w:val="hybridMultilevel"/>
    <w:tmpl w:val="38C2B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2233FB"/>
    <w:multiLevelType w:val="hybridMultilevel"/>
    <w:tmpl w:val="B6623F1E"/>
    <w:lvl w:ilvl="0" w:tplc="0366E1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F655396"/>
    <w:multiLevelType w:val="hybridMultilevel"/>
    <w:tmpl w:val="A6DCB506"/>
    <w:lvl w:ilvl="0" w:tplc="23B072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C0701B"/>
    <w:multiLevelType w:val="hybridMultilevel"/>
    <w:tmpl w:val="1938D61C"/>
    <w:lvl w:ilvl="0" w:tplc="ABC885EC">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014DE8"/>
    <w:multiLevelType w:val="hybridMultilevel"/>
    <w:tmpl w:val="E96A4116"/>
    <w:lvl w:ilvl="0" w:tplc="A100E9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57F4A01"/>
    <w:multiLevelType w:val="hybridMultilevel"/>
    <w:tmpl w:val="DEAAA07E"/>
    <w:lvl w:ilvl="0" w:tplc="9CBC544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7B7FF5"/>
    <w:multiLevelType w:val="singleLevel"/>
    <w:tmpl w:val="61FEB4DE"/>
    <w:lvl w:ilvl="0">
      <w:start w:val="41"/>
      <w:numFmt w:val="upperLetter"/>
      <w:lvlText w:val="%1."/>
      <w:lvlJc w:val="left"/>
      <w:pPr>
        <w:tabs>
          <w:tab w:val="num" w:pos="840"/>
        </w:tabs>
        <w:ind w:left="840" w:hanging="540"/>
      </w:pPr>
      <w:rPr>
        <w:rFonts w:hint="default"/>
        <w:b/>
      </w:rPr>
    </w:lvl>
  </w:abstractNum>
  <w:abstractNum w:abstractNumId="32" w15:restartNumberingAfterBreak="0">
    <w:nsid w:val="4DF32F4F"/>
    <w:multiLevelType w:val="hybridMultilevel"/>
    <w:tmpl w:val="84FE9B28"/>
    <w:lvl w:ilvl="0" w:tplc="5C5A85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636D52"/>
    <w:multiLevelType w:val="hybridMultilevel"/>
    <w:tmpl w:val="74B01A4E"/>
    <w:lvl w:ilvl="0" w:tplc="FE2A3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942ED7"/>
    <w:multiLevelType w:val="hybridMultilevel"/>
    <w:tmpl w:val="C63ECE9E"/>
    <w:lvl w:ilvl="0" w:tplc="BBF2BD8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29C04B6"/>
    <w:multiLevelType w:val="singleLevel"/>
    <w:tmpl w:val="BABEAFEA"/>
    <w:lvl w:ilvl="0">
      <w:start w:val="1"/>
      <w:numFmt w:val="lowerLetter"/>
      <w:lvlText w:val="(%1)"/>
      <w:lvlJc w:val="left"/>
      <w:pPr>
        <w:tabs>
          <w:tab w:val="num" w:pos="1440"/>
        </w:tabs>
        <w:ind w:left="1440" w:hanging="360"/>
      </w:pPr>
      <w:rPr>
        <w:rFonts w:hint="default"/>
      </w:rPr>
    </w:lvl>
  </w:abstractNum>
  <w:abstractNum w:abstractNumId="36" w15:restartNumberingAfterBreak="0">
    <w:nsid w:val="55EC05C4"/>
    <w:multiLevelType w:val="singleLevel"/>
    <w:tmpl w:val="B27238E0"/>
    <w:lvl w:ilvl="0">
      <w:start w:val="6"/>
      <w:numFmt w:val="decimal"/>
      <w:lvlText w:val="(%1)"/>
      <w:lvlJc w:val="left"/>
      <w:pPr>
        <w:tabs>
          <w:tab w:val="num" w:pos="1440"/>
        </w:tabs>
        <w:ind w:left="1440" w:hanging="360"/>
      </w:pPr>
      <w:rPr>
        <w:rFonts w:hint="default"/>
      </w:rPr>
    </w:lvl>
  </w:abstractNum>
  <w:abstractNum w:abstractNumId="37" w15:restartNumberingAfterBreak="0">
    <w:nsid w:val="5C667A25"/>
    <w:multiLevelType w:val="singleLevel"/>
    <w:tmpl w:val="635E869C"/>
    <w:lvl w:ilvl="0">
      <w:start w:val="51"/>
      <w:numFmt w:val="upperLetter"/>
      <w:lvlText w:val="%1."/>
      <w:lvlJc w:val="left"/>
      <w:pPr>
        <w:tabs>
          <w:tab w:val="num" w:pos="885"/>
        </w:tabs>
        <w:ind w:left="885" w:hanging="525"/>
      </w:pPr>
      <w:rPr>
        <w:rFonts w:hint="default"/>
        <w:b/>
      </w:rPr>
    </w:lvl>
  </w:abstractNum>
  <w:abstractNum w:abstractNumId="38" w15:restartNumberingAfterBreak="0">
    <w:nsid w:val="5D166E46"/>
    <w:multiLevelType w:val="hybridMultilevel"/>
    <w:tmpl w:val="353A6D86"/>
    <w:lvl w:ilvl="0" w:tplc="46AE09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7407DB"/>
    <w:multiLevelType w:val="hybridMultilevel"/>
    <w:tmpl w:val="96EA2CCE"/>
    <w:lvl w:ilvl="0" w:tplc="BBF2BD88">
      <w:start w:val="1"/>
      <w:numFmt w:val="decimal"/>
      <w:lvlText w:val="(%1)"/>
      <w:lvlJc w:val="left"/>
      <w:pPr>
        <w:ind w:left="2160" w:hanging="360"/>
      </w:pPr>
      <w:rPr>
        <w:rFonts w:hint="default"/>
      </w:rPr>
    </w:lvl>
    <w:lvl w:ilvl="1" w:tplc="265C19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9A16F8"/>
    <w:multiLevelType w:val="hybridMultilevel"/>
    <w:tmpl w:val="1E9EF486"/>
    <w:lvl w:ilvl="0" w:tplc="43E4F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5A6F0D"/>
    <w:multiLevelType w:val="singleLevel"/>
    <w:tmpl w:val="460A75DA"/>
    <w:lvl w:ilvl="0">
      <w:start w:val="1"/>
      <w:numFmt w:val="upperLetter"/>
      <w:lvlText w:val="%1."/>
      <w:lvlJc w:val="left"/>
      <w:pPr>
        <w:tabs>
          <w:tab w:val="num" w:pos="720"/>
        </w:tabs>
        <w:ind w:left="720" w:hanging="360"/>
      </w:pPr>
      <w:rPr>
        <w:rFonts w:hint="default"/>
        <w:b/>
      </w:rPr>
    </w:lvl>
  </w:abstractNum>
  <w:abstractNum w:abstractNumId="42" w15:restartNumberingAfterBreak="0">
    <w:nsid w:val="5F4A7742"/>
    <w:multiLevelType w:val="hybridMultilevel"/>
    <w:tmpl w:val="456CCEB0"/>
    <w:lvl w:ilvl="0" w:tplc="E730B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A736D4"/>
    <w:multiLevelType w:val="hybridMultilevel"/>
    <w:tmpl w:val="EB303C52"/>
    <w:lvl w:ilvl="0" w:tplc="85CC58E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2441D77"/>
    <w:multiLevelType w:val="hybridMultilevel"/>
    <w:tmpl w:val="1A94EBDC"/>
    <w:lvl w:ilvl="0" w:tplc="F14C9E0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5DE3C34"/>
    <w:multiLevelType w:val="hybridMultilevel"/>
    <w:tmpl w:val="00EE199E"/>
    <w:lvl w:ilvl="0" w:tplc="5B0A0F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6BA4BA4"/>
    <w:multiLevelType w:val="hybridMultilevel"/>
    <w:tmpl w:val="732E4BAC"/>
    <w:lvl w:ilvl="0" w:tplc="E474F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6F804CB"/>
    <w:multiLevelType w:val="hybridMultilevel"/>
    <w:tmpl w:val="C01C7B9C"/>
    <w:lvl w:ilvl="0" w:tplc="CE6C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8C774D7"/>
    <w:multiLevelType w:val="hybridMultilevel"/>
    <w:tmpl w:val="83A01D36"/>
    <w:lvl w:ilvl="0" w:tplc="23167D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A2D7D64"/>
    <w:multiLevelType w:val="hybridMultilevel"/>
    <w:tmpl w:val="ADD09308"/>
    <w:lvl w:ilvl="0" w:tplc="2A66FA6C">
      <w:start w:val="19"/>
      <w:numFmt w:val="upperLetter"/>
      <w:lvlText w:val="%1."/>
      <w:lvlJc w:val="left"/>
      <w:pPr>
        <w:tabs>
          <w:tab w:val="num" w:pos="2100"/>
        </w:tabs>
        <w:ind w:left="2100" w:hanging="360"/>
      </w:pPr>
      <w:rPr>
        <w:rFonts w:hint="default"/>
        <w:b/>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50" w15:restartNumberingAfterBreak="0">
    <w:nsid w:val="6B027236"/>
    <w:multiLevelType w:val="hybridMultilevel"/>
    <w:tmpl w:val="8D1A7F54"/>
    <w:lvl w:ilvl="0" w:tplc="4EC8D0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CEF6DAD"/>
    <w:multiLevelType w:val="hybridMultilevel"/>
    <w:tmpl w:val="EE8A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6F4D03"/>
    <w:multiLevelType w:val="hybridMultilevel"/>
    <w:tmpl w:val="4B9E5B1E"/>
    <w:lvl w:ilvl="0" w:tplc="E238F918">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53C5136"/>
    <w:multiLevelType w:val="hybridMultilevel"/>
    <w:tmpl w:val="7C58B214"/>
    <w:lvl w:ilvl="0" w:tplc="D0EA5CD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75AD3186"/>
    <w:multiLevelType w:val="hybridMultilevel"/>
    <w:tmpl w:val="45509EBE"/>
    <w:lvl w:ilvl="0" w:tplc="872C3962">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98B2F50"/>
    <w:multiLevelType w:val="singleLevel"/>
    <w:tmpl w:val="98DE2AB4"/>
    <w:lvl w:ilvl="0">
      <w:start w:val="1"/>
      <w:numFmt w:val="lowerLetter"/>
      <w:lvlText w:val="(%1)"/>
      <w:lvlJc w:val="left"/>
      <w:pPr>
        <w:tabs>
          <w:tab w:val="num" w:pos="1440"/>
        </w:tabs>
        <w:ind w:left="1440" w:hanging="360"/>
      </w:pPr>
      <w:rPr>
        <w:rFonts w:hint="default"/>
      </w:rPr>
    </w:lvl>
  </w:abstractNum>
  <w:abstractNum w:abstractNumId="56" w15:restartNumberingAfterBreak="0">
    <w:nsid w:val="7C6213BD"/>
    <w:multiLevelType w:val="multilevel"/>
    <w:tmpl w:val="E960C8CC"/>
    <w:lvl w:ilvl="0">
      <w:start w:val="6"/>
      <w:numFmt w:val="decimalZero"/>
      <w:lvlText w:val="%1"/>
      <w:lvlJc w:val="left"/>
      <w:pPr>
        <w:tabs>
          <w:tab w:val="num" w:pos="1965"/>
        </w:tabs>
        <w:ind w:left="1965" w:hanging="1965"/>
      </w:pPr>
      <w:rPr>
        <w:rFonts w:hint="default"/>
      </w:rPr>
    </w:lvl>
    <w:lvl w:ilvl="1">
      <w:start w:val="96"/>
      <w:numFmt w:val="decimalZero"/>
      <w:lvlText w:val="%1-%2"/>
      <w:lvlJc w:val="left"/>
      <w:pPr>
        <w:tabs>
          <w:tab w:val="num" w:pos="1965"/>
        </w:tabs>
        <w:ind w:left="1965" w:hanging="1965"/>
      </w:pPr>
      <w:rPr>
        <w:rFonts w:hint="default"/>
      </w:rPr>
    </w:lvl>
    <w:lvl w:ilvl="2">
      <w:start w:val="1"/>
      <w:numFmt w:val="decimal"/>
      <w:lvlText w:val="%1-%2.%3"/>
      <w:lvlJc w:val="left"/>
      <w:pPr>
        <w:tabs>
          <w:tab w:val="num" w:pos="1965"/>
        </w:tabs>
        <w:ind w:left="1965" w:hanging="1965"/>
      </w:pPr>
      <w:rPr>
        <w:rFonts w:hint="default"/>
      </w:rPr>
    </w:lvl>
    <w:lvl w:ilvl="3">
      <w:start w:val="1"/>
      <w:numFmt w:val="decimal"/>
      <w:lvlText w:val="%1-%2.%3.%4"/>
      <w:lvlJc w:val="left"/>
      <w:pPr>
        <w:tabs>
          <w:tab w:val="num" w:pos="1965"/>
        </w:tabs>
        <w:ind w:left="1965" w:hanging="1965"/>
      </w:pPr>
      <w:rPr>
        <w:rFonts w:hint="default"/>
      </w:rPr>
    </w:lvl>
    <w:lvl w:ilvl="4">
      <w:start w:val="1"/>
      <w:numFmt w:val="decimal"/>
      <w:lvlText w:val="%1-%2.%3.%4.%5"/>
      <w:lvlJc w:val="left"/>
      <w:pPr>
        <w:tabs>
          <w:tab w:val="num" w:pos="1965"/>
        </w:tabs>
        <w:ind w:left="1965" w:hanging="1965"/>
      </w:pPr>
      <w:rPr>
        <w:rFonts w:hint="default"/>
      </w:rPr>
    </w:lvl>
    <w:lvl w:ilvl="5">
      <w:start w:val="1"/>
      <w:numFmt w:val="decimal"/>
      <w:lvlText w:val="%1-%2.%3.%4.%5.%6"/>
      <w:lvlJc w:val="left"/>
      <w:pPr>
        <w:tabs>
          <w:tab w:val="num" w:pos="1965"/>
        </w:tabs>
        <w:ind w:left="1965" w:hanging="1965"/>
      </w:pPr>
      <w:rPr>
        <w:rFonts w:hint="default"/>
      </w:rPr>
    </w:lvl>
    <w:lvl w:ilvl="6">
      <w:start w:val="1"/>
      <w:numFmt w:val="decimal"/>
      <w:lvlText w:val="%1-%2.%3.%4.%5.%6.%7"/>
      <w:lvlJc w:val="left"/>
      <w:pPr>
        <w:tabs>
          <w:tab w:val="num" w:pos="1965"/>
        </w:tabs>
        <w:ind w:left="1965" w:hanging="1965"/>
      </w:pPr>
      <w:rPr>
        <w:rFonts w:hint="default"/>
      </w:rPr>
    </w:lvl>
    <w:lvl w:ilvl="7">
      <w:start w:val="1"/>
      <w:numFmt w:val="decimal"/>
      <w:lvlText w:val="%1-%2.%3.%4.%5.%6.%7.%8"/>
      <w:lvlJc w:val="left"/>
      <w:pPr>
        <w:tabs>
          <w:tab w:val="num" w:pos="1965"/>
        </w:tabs>
        <w:ind w:left="1965" w:hanging="1965"/>
      </w:pPr>
      <w:rPr>
        <w:rFonts w:hint="default"/>
      </w:rPr>
    </w:lvl>
    <w:lvl w:ilvl="8">
      <w:start w:val="1"/>
      <w:numFmt w:val="decimal"/>
      <w:lvlText w:val="%1-%2.%3.%4.%5.%6.%7.%8.%9"/>
      <w:lvlJc w:val="left"/>
      <w:pPr>
        <w:tabs>
          <w:tab w:val="num" w:pos="1965"/>
        </w:tabs>
        <w:ind w:left="1965" w:hanging="1965"/>
      </w:pPr>
      <w:rPr>
        <w:rFonts w:hint="default"/>
      </w:rPr>
    </w:lvl>
  </w:abstractNum>
  <w:num w:numId="1" w16cid:durableId="925188036">
    <w:abstractNumId w:val="19"/>
  </w:num>
  <w:num w:numId="2" w16cid:durableId="74860301">
    <w:abstractNumId w:val="41"/>
  </w:num>
  <w:num w:numId="3" w16cid:durableId="1809853431">
    <w:abstractNumId w:val="9"/>
  </w:num>
  <w:num w:numId="4" w16cid:durableId="966819117">
    <w:abstractNumId w:val="55"/>
  </w:num>
  <w:num w:numId="5" w16cid:durableId="1617983672">
    <w:abstractNumId w:val="35"/>
  </w:num>
  <w:num w:numId="6" w16cid:durableId="343747830">
    <w:abstractNumId w:val="15"/>
  </w:num>
  <w:num w:numId="7" w16cid:durableId="1809469660">
    <w:abstractNumId w:val="36"/>
  </w:num>
  <w:num w:numId="8" w16cid:durableId="1278488066">
    <w:abstractNumId w:val="4"/>
  </w:num>
  <w:num w:numId="9" w16cid:durableId="246502454">
    <w:abstractNumId w:val="3"/>
  </w:num>
  <w:num w:numId="10" w16cid:durableId="1200751312">
    <w:abstractNumId w:val="31"/>
  </w:num>
  <w:num w:numId="11" w16cid:durableId="1225289894">
    <w:abstractNumId w:val="37"/>
  </w:num>
  <w:num w:numId="12" w16cid:durableId="27537712">
    <w:abstractNumId w:val="49"/>
  </w:num>
  <w:num w:numId="13" w16cid:durableId="210312338">
    <w:abstractNumId w:val="25"/>
  </w:num>
  <w:num w:numId="14" w16cid:durableId="173541225">
    <w:abstractNumId w:val="12"/>
  </w:num>
  <w:num w:numId="15" w16cid:durableId="74937874">
    <w:abstractNumId w:val="54"/>
  </w:num>
  <w:num w:numId="16" w16cid:durableId="1975402048">
    <w:abstractNumId w:val="28"/>
  </w:num>
  <w:num w:numId="17" w16cid:durableId="1051808235">
    <w:abstractNumId w:val="14"/>
  </w:num>
  <w:num w:numId="18" w16cid:durableId="1602448834">
    <w:abstractNumId w:val="23"/>
  </w:num>
  <w:num w:numId="19" w16cid:durableId="585189139">
    <w:abstractNumId w:val="21"/>
  </w:num>
  <w:num w:numId="20" w16cid:durableId="1065640579">
    <w:abstractNumId w:val="56"/>
  </w:num>
  <w:num w:numId="21" w16cid:durableId="684988521">
    <w:abstractNumId w:val="22"/>
  </w:num>
  <w:num w:numId="22" w16cid:durableId="844172621">
    <w:abstractNumId w:val="39"/>
  </w:num>
  <w:num w:numId="23" w16cid:durableId="409936147">
    <w:abstractNumId w:val="40"/>
  </w:num>
  <w:num w:numId="24" w16cid:durableId="1970739051">
    <w:abstractNumId w:val="10"/>
  </w:num>
  <w:num w:numId="25" w16cid:durableId="443042898">
    <w:abstractNumId w:val="45"/>
  </w:num>
  <w:num w:numId="26" w16cid:durableId="447743935">
    <w:abstractNumId w:val="0"/>
  </w:num>
  <w:num w:numId="27" w16cid:durableId="1623072943">
    <w:abstractNumId w:val="2"/>
  </w:num>
  <w:num w:numId="28" w16cid:durableId="1365325751">
    <w:abstractNumId w:val="52"/>
  </w:num>
  <w:num w:numId="29" w16cid:durableId="1855999066">
    <w:abstractNumId w:val="16"/>
  </w:num>
  <w:num w:numId="30" w16cid:durableId="149560056">
    <w:abstractNumId w:val="1"/>
  </w:num>
  <w:num w:numId="31" w16cid:durableId="210575775">
    <w:abstractNumId w:val="6"/>
  </w:num>
  <w:num w:numId="32" w16cid:durableId="225259587">
    <w:abstractNumId w:val="20"/>
  </w:num>
  <w:num w:numId="33" w16cid:durableId="1914731174">
    <w:abstractNumId w:val="7"/>
  </w:num>
  <w:num w:numId="34" w16cid:durableId="1471828804">
    <w:abstractNumId w:val="38"/>
  </w:num>
  <w:num w:numId="35" w16cid:durableId="727649762">
    <w:abstractNumId w:val="46"/>
  </w:num>
  <w:num w:numId="36" w16cid:durableId="26294342">
    <w:abstractNumId w:val="29"/>
  </w:num>
  <w:num w:numId="37" w16cid:durableId="2040087230">
    <w:abstractNumId w:val="42"/>
  </w:num>
  <w:num w:numId="38" w16cid:durableId="1897626222">
    <w:abstractNumId w:val="8"/>
  </w:num>
  <w:num w:numId="39" w16cid:durableId="1091855010">
    <w:abstractNumId w:val="26"/>
  </w:num>
  <w:num w:numId="40" w16cid:durableId="1960993291">
    <w:abstractNumId w:val="32"/>
  </w:num>
  <w:num w:numId="41" w16cid:durableId="480736286">
    <w:abstractNumId w:val="48"/>
  </w:num>
  <w:num w:numId="42" w16cid:durableId="967973347">
    <w:abstractNumId w:val="27"/>
  </w:num>
  <w:num w:numId="43" w16cid:durableId="2135173307">
    <w:abstractNumId w:val="47"/>
  </w:num>
  <w:num w:numId="44" w16cid:durableId="992875969">
    <w:abstractNumId w:val="24"/>
  </w:num>
  <w:num w:numId="45" w16cid:durableId="160321561">
    <w:abstractNumId w:val="43"/>
  </w:num>
  <w:num w:numId="46" w16cid:durableId="536897145">
    <w:abstractNumId w:val="5"/>
  </w:num>
  <w:num w:numId="47" w16cid:durableId="77797878">
    <w:abstractNumId w:val="33"/>
  </w:num>
  <w:num w:numId="48" w16cid:durableId="416362819">
    <w:abstractNumId w:val="17"/>
  </w:num>
  <w:num w:numId="49" w16cid:durableId="1640067755">
    <w:abstractNumId w:val="30"/>
  </w:num>
  <w:num w:numId="50" w16cid:durableId="904607753">
    <w:abstractNumId w:val="18"/>
  </w:num>
  <w:num w:numId="51" w16cid:durableId="1681663007">
    <w:abstractNumId w:val="13"/>
  </w:num>
  <w:num w:numId="52" w16cid:durableId="842015819">
    <w:abstractNumId w:val="53"/>
  </w:num>
  <w:num w:numId="53" w16cid:durableId="638926663">
    <w:abstractNumId w:val="11"/>
  </w:num>
  <w:num w:numId="54" w16cid:durableId="87240989">
    <w:abstractNumId w:val="50"/>
  </w:num>
  <w:num w:numId="55" w16cid:durableId="695814065">
    <w:abstractNumId w:val="34"/>
  </w:num>
  <w:num w:numId="56" w16cid:durableId="1267956075">
    <w:abstractNumId w:val="44"/>
  </w:num>
  <w:num w:numId="57" w16cid:durableId="653604363">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81F"/>
    <w:rsid w:val="000008D6"/>
    <w:rsid w:val="00005698"/>
    <w:rsid w:val="00010A9E"/>
    <w:rsid w:val="0001571F"/>
    <w:rsid w:val="00017143"/>
    <w:rsid w:val="00017EF1"/>
    <w:rsid w:val="000203AF"/>
    <w:rsid w:val="00021C6E"/>
    <w:rsid w:val="000332D2"/>
    <w:rsid w:val="000338CD"/>
    <w:rsid w:val="000343A4"/>
    <w:rsid w:val="000415B1"/>
    <w:rsid w:val="00042255"/>
    <w:rsid w:val="0004352C"/>
    <w:rsid w:val="00044856"/>
    <w:rsid w:val="00045651"/>
    <w:rsid w:val="00047F03"/>
    <w:rsid w:val="00052162"/>
    <w:rsid w:val="000541C9"/>
    <w:rsid w:val="000552F4"/>
    <w:rsid w:val="00057067"/>
    <w:rsid w:val="00062EF0"/>
    <w:rsid w:val="00063842"/>
    <w:rsid w:val="00071B28"/>
    <w:rsid w:val="00076481"/>
    <w:rsid w:val="00080945"/>
    <w:rsid w:val="00084ABA"/>
    <w:rsid w:val="00084E1C"/>
    <w:rsid w:val="00086968"/>
    <w:rsid w:val="00087265"/>
    <w:rsid w:val="0009053E"/>
    <w:rsid w:val="00091710"/>
    <w:rsid w:val="000A186C"/>
    <w:rsid w:val="000A4242"/>
    <w:rsid w:val="000A49A1"/>
    <w:rsid w:val="000A4A00"/>
    <w:rsid w:val="000A5250"/>
    <w:rsid w:val="000A7CFD"/>
    <w:rsid w:val="000B4020"/>
    <w:rsid w:val="000B56C7"/>
    <w:rsid w:val="000C1DBE"/>
    <w:rsid w:val="000C4784"/>
    <w:rsid w:val="000C72B1"/>
    <w:rsid w:val="000D0666"/>
    <w:rsid w:val="000D0DFA"/>
    <w:rsid w:val="000D437A"/>
    <w:rsid w:val="000D6872"/>
    <w:rsid w:val="000D7117"/>
    <w:rsid w:val="000D7151"/>
    <w:rsid w:val="000E4335"/>
    <w:rsid w:val="000E4D08"/>
    <w:rsid w:val="000E4EEB"/>
    <w:rsid w:val="000E5064"/>
    <w:rsid w:val="000E6A85"/>
    <w:rsid w:val="000F4839"/>
    <w:rsid w:val="000F7BFF"/>
    <w:rsid w:val="00103853"/>
    <w:rsid w:val="001048EF"/>
    <w:rsid w:val="00107E63"/>
    <w:rsid w:val="0011027F"/>
    <w:rsid w:val="00110F85"/>
    <w:rsid w:val="001111D9"/>
    <w:rsid w:val="00123813"/>
    <w:rsid w:val="00126499"/>
    <w:rsid w:val="0013033B"/>
    <w:rsid w:val="00131713"/>
    <w:rsid w:val="00132613"/>
    <w:rsid w:val="00132741"/>
    <w:rsid w:val="00135411"/>
    <w:rsid w:val="00136E04"/>
    <w:rsid w:val="0013701D"/>
    <w:rsid w:val="00140573"/>
    <w:rsid w:val="00140FC7"/>
    <w:rsid w:val="00141F02"/>
    <w:rsid w:val="001535E1"/>
    <w:rsid w:val="001662B5"/>
    <w:rsid w:val="001664A1"/>
    <w:rsid w:val="00166898"/>
    <w:rsid w:val="00167298"/>
    <w:rsid w:val="001706A5"/>
    <w:rsid w:val="00173D7E"/>
    <w:rsid w:val="001744FD"/>
    <w:rsid w:val="00176BE5"/>
    <w:rsid w:val="00184DE5"/>
    <w:rsid w:val="00185469"/>
    <w:rsid w:val="00185888"/>
    <w:rsid w:val="00190210"/>
    <w:rsid w:val="00194E93"/>
    <w:rsid w:val="00197A88"/>
    <w:rsid w:val="001A53F7"/>
    <w:rsid w:val="001B0AF8"/>
    <w:rsid w:val="001B25B2"/>
    <w:rsid w:val="001B293F"/>
    <w:rsid w:val="001B4B41"/>
    <w:rsid w:val="001C7268"/>
    <w:rsid w:val="001D29B0"/>
    <w:rsid w:val="001D3C91"/>
    <w:rsid w:val="001D4DD7"/>
    <w:rsid w:val="001E0FB3"/>
    <w:rsid w:val="001E2FC9"/>
    <w:rsid w:val="001E685D"/>
    <w:rsid w:val="001F053C"/>
    <w:rsid w:val="001F3765"/>
    <w:rsid w:val="001F436D"/>
    <w:rsid w:val="0020017E"/>
    <w:rsid w:val="002011D4"/>
    <w:rsid w:val="00203879"/>
    <w:rsid w:val="002164D5"/>
    <w:rsid w:val="002164E6"/>
    <w:rsid w:val="002172CF"/>
    <w:rsid w:val="00217A05"/>
    <w:rsid w:val="00231841"/>
    <w:rsid w:val="0023449D"/>
    <w:rsid w:val="00240C32"/>
    <w:rsid w:val="002457C9"/>
    <w:rsid w:val="00245B02"/>
    <w:rsid w:val="00247CFE"/>
    <w:rsid w:val="00252088"/>
    <w:rsid w:val="0025318B"/>
    <w:rsid w:val="0026007C"/>
    <w:rsid w:val="00262639"/>
    <w:rsid w:val="00262B45"/>
    <w:rsid w:val="002649EB"/>
    <w:rsid w:val="00265BFB"/>
    <w:rsid w:val="00265DCC"/>
    <w:rsid w:val="00266EEE"/>
    <w:rsid w:val="00273CA6"/>
    <w:rsid w:val="00273EFF"/>
    <w:rsid w:val="00274D20"/>
    <w:rsid w:val="002756C6"/>
    <w:rsid w:val="0027615A"/>
    <w:rsid w:val="0027667E"/>
    <w:rsid w:val="00277B94"/>
    <w:rsid w:val="00283382"/>
    <w:rsid w:val="00291BCE"/>
    <w:rsid w:val="00294DC6"/>
    <w:rsid w:val="002967C5"/>
    <w:rsid w:val="0029718B"/>
    <w:rsid w:val="002A0156"/>
    <w:rsid w:val="002A0850"/>
    <w:rsid w:val="002A5CE4"/>
    <w:rsid w:val="002A5E2B"/>
    <w:rsid w:val="002A6EC2"/>
    <w:rsid w:val="002B3E2C"/>
    <w:rsid w:val="002B5284"/>
    <w:rsid w:val="002C344C"/>
    <w:rsid w:val="002C4A8D"/>
    <w:rsid w:val="002D06D2"/>
    <w:rsid w:val="002D06D6"/>
    <w:rsid w:val="002D2C2B"/>
    <w:rsid w:val="002D4709"/>
    <w:rsid w:val="002D507A"/>
    <w:rsid w:val="002E6E8E"/>
    <w:rsid w:val="002F3CBC"/>
    <w:rsid w:val="002F7672"/>
    <w:rsid w:val="003010BE"/>
    <w:rsid w:val="00304610"/>
    <w:rsid w:val="00307BEC"/>
    <w:rsid w:val="003113D5"/>
    <w:rsid w:val="0031415A"/>
    <w:rsid w:val="003168D8"/>
    <w:rsid w:val="00317017"/>
    <w:rsid w:val="00317A3E"/>
    <w:rsid w:val="003200E1"/>
    <w:rsid w:val="00322554"/>
    <w:rsid w:val="00325518"/>
    <w:rsid w:val="003255E8"/>
    <w:rsid w:val="00325941"/>
    <w:rsid w:val="00325DCE"/>
    <w:rsid w:val="00335160"/>
    <w:rsid w:val="00340822"/>
    <w:rsid w:val="003412E1"/>
    <w:rsid w:val="00343776"/>
    <w:rsid w:val="003528D9"/>
    <w:rsid w:val="00354245"/>
    <w:rsid w:val="003555C6"/>
    <w:rsid w:val="0036077B"/>
    <w:rsid w:val="00367A25"/>
    <w:rsid w:val="00370736"/>
    <w:rsid w:val="00371CFC"/>
    <w:rsid w:val="003722B7"/>
    <w:rsid w:val="00375959"/>
    <w:rsid w:val="003774B5"/>
    <w:rsid w:val="003831A1"/>
    <w:rsid w:val="00387289"/>
    <w:rsid w:val="00387AE7"/>
    <w:rsid w:val="00387C2D"/>
    <w:rsid w:val="0039006E"/>
    <w:rsid w:val="00394271"/>
    <w:rsid w:val="003A24D3"/>
    <w:rsid w:val="003A2F82"/>
    <w:rsid w:val="003A3838"/>
    <w:rsid w:val="003A4E78"/>
    <w:rsid w:val="003B03DB"/>
    <w:rsid w:val="003B157D"/>
    <w:rsid w:val="003B1888"/>
    <w:rsid w:val="003C5793"/>
    <w:rsid w:val="003D20E6"/>
    <w:rsid w:val="003D32DF"/>
    <w:rsid w:val="003D50E5"/>
    <w:rsid w:val="003E3C22"/>
    <w:rsid w:val="003E5DD9"/>
    <w:rsid w:val="003E60B7"/>
    <w:rsid w:val="003E6704"/>
    <w:rsid w:val="003F1D7E"/>
    <w:rsid w:val="003F394A"/>
    <w:rsid w:val="003F4136"/>
    <w:rsid w:val="003F5E08"/>
    <w:rsid w:val="004002AB"/>
    <w:rsid w:val="00400569"/>
    <w:rsid w:val="0040741C"/>
    <w:rsid w:val="00410E3B"/>
    <w:rsid w:val="00412C8E"/>
    <w:rsid w:val="004146AD"/>
    <w:rsid w:val="00416D72"/>
    <w:rsid w:val="00422786"/>
    <w:rsid w:val="00423CE1"/>
    <w:rsid w:val="00424690"/>
    <w:rsid w:val="00426C58"/>
    <w:rsid w:val="00426E83"/>
    <w:rsid w:val="00430636"/>
    <w:rsid w:val="00433AFF"/>
    <w:rsid w:val="0043610C"/>
    <w:rsid w:val="0044092C"/>
    <w:rsid w:val="00444860"/>
    <w:rsid w:val="00445280"/>
    <w:rsid w:val="00446F91"/>
    <w:rsid w:val="00450240"/>
    <w:rsid w:val="00457BA2"/>
    <w:rsid w:val="00460299"/>
    <w:rsid w:val="00461E42"/>
    <w:rsid w:val="00462ABE"/>
    <w:rsid w:val="004707A6"/>
    <w:rsid w:val="00472FAF"/>
    <w:rsid w:val="004736FF"/>
    <w:rsid w:val="00480783"/>
    <w:rsid w:val="00483A7D"/>
    <w:rsid w:val="00490502"/>
    <w:rsid w:val="00492070"/>
    <w:rsid w:val="00494293"/>
    <w:rsid w:val="004972A3"/>
    <w:rsid w:val="004B041A"/>
    <w:rsid w:val="004B046F"/>
    <w:rsid w:val="004C2067"/>
    <w:rsid w:val="004C4877"/>
    <w:rsid w:val="004C55F7"/>
    <w:rsid w:val="004C79DC"/>
    <w:rsid w:val="004D0001"/>
    <w:rsid w:val="004D017B"/>
    <w:rsid w:val="004D0DC4"/>
    <w:rsid w:val="004D456C"/>
    <w:rsid w:val="004D7245"/>
    <w:rsid w:val="004E1837"/>
    <w:rsid w:val="004E6DE3"/>
    <w:rsid w:val="004F4640"/>
    <w:rsid w:val="004F7260"/>
    <w:rsid w:val="004F748D"/>
    <w:rsid w:val="004F78D5"/>
    <w:rsid w:val="005052E0"/>
    <w:rsid w:val="00505C63"/>
    <w:rsid w:val="00507B89"/>
    <w:rsid w:val="0051154A"/>
    <w:rsid w:val="005149ED"/>
    <w:rsid w:val="00521B49"/>
    <w:rsid w:val="00522BA7"/>
    <w:rsid w:val="00523944"/>
    <w:rsid w:val="005270DE"/>
    <w:rsid w:val="0052758A"/>
    <w:rsid w:val="00530134"/>
    <w:rsid w:val="005307A6"/>
    <w:rsid w:val="0053143C"/>
    <w:rsid w:val="00540416"/>
    <w:rsid w:val="00540620"/>
    <w:rsid w:val="005421FA"/>
    <w:rsid w:val="00542442"/>
    <w:rsid w:val="00542BC8"/>
    <w:rsid w:val="005444C8"/>
    <w:rsid w:val="00545556"/>
    <w:rsid w:val="0054564E"/>
    <w:rsid w:val="00546B8C"/>
    <w:rsid w:val="00547C33"/>
    <w:rsid w:val="00551667"/>
    <w:rsid w:val="00551BDC"/>
    <w:rsid w:val="00562D1D"/>
    <w:rsid w:val="00564A55"/>
    <w:rsid w:val="005677AB"/>
    <w:rsid w:val="005732B8"/>
    <w:rsid w:val="00574952"/>
    <w:rsid w:val="0058259A"/>
    <w:rsid w:val="00591D4C"/>
    <w:rsid w:val="00593FF5"/>
    <w:rsid w:val="00594F39"/>
    <w:rsid w:val="005A4ABB"/>
    <w:rsid w:val="005A4E26"/>
    <w:rsid w:val="005A611B"/>
    <w:rsid w:val="005B0A19"/>
    <w:rsid w:val="005B1186"/>
    <w:rsid w:val="005B20B1"/>
    <w:rsid w:val="005B45B1"/>
    <w:rsid w:val="005B67A9"/>
    <w:rsid w:val="005C0A03"/>
    <w:rsid w:val="005C5CAD"/>
    <w:rsid w:val="005C7AE8"/>
    <w:rsid w:val="005D0B24"/>
    <w:rsid w:val="005D46F1"/>
    <w:rsid w:val="005D4BC5"/>
    <w:rsid w:val="005D55B2"/>
    <w:rsid w:val="005E09E0"/>
    <w:rsid w:val="005E3D0B"/>
    <w:rsid w:val="005E7B87"/>
    <w:rsid w:val="005E7D0C"/>
    <w:rsid w:val="005F1CA3"/>
    <w:rsid w:val="005F40C9"/>
    <w:rsid w:val="005F4581"/>
    <w:rsid w:val="005F72B6"/>
    <w:rsid w:val="005F7C93"/>
    <w:rsid w:val="005F7EA2"/>
    <w:rsid w:val="00601E6E"/>
    <w:rsid w:val="00603B1C"/>
    <w:rsid w:val="006128D1"/>
    <w:rsid w:val="00613031"/>
    <w:rsid w:val="00615C0E"/>
    <w:rsid w:val="006179B8"/>
    <w:rsid w:val="006276E8"/>
    <w:rsid w:val="00635656"/>
    <w:rsid w:val="00636CBE"/>
    <w:rsid w:val="006402FF"/>
    <w:rsid w:val="00647799"/>
    <w:rsid w:val="00647C3C"/>
    <w:rsid w:val="006533BB"/>
    <w:rsid w:val="00657576"/>
    <w:rsid w:val="00661637"/>
    <w:rsid w:val="00663EA4"/>
    <w:rsid w:val="0066480C"/>
    <w:rsid w:val="00665D22"/>
    <w:rsid w:val="00666C14"/>
    <w:rsid w:val="006729E3"/>
    <w:rsid w:val="00682B41"/>
    <w:rsid w:val="006831FE"/>
    <w:rsid w:val="0068456F"/>
    <w:rsid w:val="00684DCF"/>
    <w:rsid w:val="00685B42"/>
    <w:rsid w:val="00690061"/>
    <w:rsid w:val="00690EDB"/>
    <w:rsid w:val="00690FDB"/>
    <w:rsid w:val="006924C0"/>
    <w:rsid w:val="00693A88"/>
    <w:rsid w:val="00695500"/>
    <w:rsid w:val="006962C9"/>
    <w:rsid w:val="006975CC"/>
    <w:rsid w:val="006A076A"/>
    <w:rsid w:val="006A0D77"/>
    <w:rsid w:val="006A21CC"/>
    <w:rsid w:val="006A2652"/>
    <w:rsid w:val="006A3A46"/>
    <w:rsid w:val="006A7206"/>
    <w:rsid w:val="006B149A"/>
    <w:rsid w:val="006B18A7"/>
    <w:rsid w:val="006B1DD1"/>
    <w:rsid w:val="006B2D9F"/>
    <w:rsid w:val="006C00A0"/>
    <w:rsid w:val="006C40EA"/>
    <w:rsid w:val="006C5236"/>
    <w:rsid w:val="006D3442"/>
    <w:rsid w:val="006D41A7"/>
    <w:rsid w:val="006D48B9"/>
    <w:rsid w:val="006E0B7B"/>
    <w:rsid w:val="006E241D"/>
    <w:rsid w:val="006E39A5"/>
    <w:rsid w:val="006E7024"/>
    <w:rsid w:val="006F0D34"/>
    <w:rsid w:val="006F70F1"/>
    <w:rsid w:val="00703077"/>
    <w:rsid w:val="0070634A"/>
    <w:rsid w:val="00707399"/>
    <w:rsid w:val="00710CA6"/>
    <w:rsid w:val="007205F9"/>
    <w:rsid w:val="0072234E"/>
    <w:rsid w:val="007236A9"/>
    <w:rsid w:val="007261B4"/>
    <w:rsid w:val="00732CB2"/>
    <w:rsid w:val="007334B1"/>
    <w:rsid w:val="007412C5"/>
    <w:rsid w:val="00750B7A"/>
    <w:rsid w:val="00754588"/>
    <w:rsid w:val="007549A6"/>
    <w:rsid w:val="007549A7"/>
    <w:rsid w:val="0075738F"/>
    <w:rsid w:val="00757BB1"/>
    <w:rsid w:val="00762682"/>
    <w:rsid w:val="007628D1"/>
    <w:rsid w:val="00762916"/>
    <w:rsid w:val="00762D8C"/>
    <w:rsid w:val="00764B68"/>
    <w:rsid w:val="00765987"/>
    <w:rsid w:val="007662A5"/>
    <w:rsid w:val="00772A0E"/>
    <w:rsid w:val="00783333"/>
    <w:rsid w:val="007847B9"/>
    <w:rsid w:val="007866B1"/>
    <w:rsid w:val="00790426"/>
    <w:rsid w:val="007905C2"/>
    <w:rsid w:val="00791D3F"/>
    <w:rsid w:val="007968D0"/>
    <w:rsid w:val="00796D61"/>
    <w:rsid w:val="00797F56"/>
    <w:rsid w:val="007A0B3A"/>
    <w:rsid w:val="007A1FD3"/>
    <w:rsid w:val="007A214E"/>
    <w:rsid w:val="007A3207"/>
    <w:rsid w:val="007A688C"/>
    <w:rsid w:val="007B2642"/>
    <w:rsid w:val="007B3B6C"/>
    <w:rsid w:val="007B69E6"/>
    <w:rsid w:val="007C13F0"/>
    <w:rsid w:val="007C3A0C"/>
    <w:rsid w:val="007C6543"/>
    <w:rsid w:val="007D0319"/>
    <w:rsid w:val="007D0FFF"/>
    <w:rsid w:val="007D22D4"/>
    <w:rsid w:val="007D6289"/>
    <w:rsid w:val="007D7081"/>
    <w:rsid w:val="007E1686"/>
    <w:rsid w:val="007E45D7"/>
    <w:rsid w:val="007E603E"/>
    <w:rsid w:val="007F056D"/>
    <w:rsid w:val="007F1EEA"/>
    <w:rsid w:val="007F6556"/>
    <w:rsid w:val="007F6B0D"/>
    <w:rsid w:val="00801277"/>
    <w:rsid w:val="008038C2"/>
    <w:rsid w:val="00804603"/>
    <w:rsid w:val="008047F8"/>
    <w:rsid w:val="00815E31"/>
    <w:rsid w:val="0082029F"/>
    <w:rsid w:val="00824F12"/>
    <w:rsid w:val="00826069"/>
    <w:rsid w:val="0083762D"/>
    <w:rsid w:val="008426A0"/>
    <w:rsid w:val="00842BE8"/>
    <w:rsid w:val="00850851"/>
    <w:rsid w:val="008537B4"/>
    <w:rsid w:val="0086013B"/>
    <w:rsid w:val="00861D0F"/>
    <w:rsid w:val="0086209C"/>
    <w:rsid w:val="00864C3E"/>
    <w:rsid w:val="00865101"/>
    <w:rsid w:val="008715DB"/>
    <w:rsid w:val="00883977"/>
    <w:rsid w:val="00883C57"/>
    <w:rsid w:val="00885686"/>
    <w:rsid w:val="00886DB6"/>
    <w:rsid w:val="00893917"/>
    <w:rsid w:val="00893E05"/>
    <w:rsid w:val="00894815"/>
    <w:rsid w:val="00897156"/>
    <w:rsid w:val="008A1A55"/>
    <w:rsid w:val="008A5984"/>
    <w:rsid w:val="008A5C77"/>
    <w:rsid w:val="008B010F"/>
    <w:rsid w:val="008C3505"/>
    <w:rsid w:val="008C4BD8"/>
    <w:rsid w:val="008D0385"/>
    <w:rsid w:val="008D38F2"/>
    <w:rsid w:val="008D5F5E"/>
    <w:rsid w:val="008D6995"/>
    <w:rsid w:val="008D7DE5"/>
    <w:rsid w:val="008E531C"/>
    <w:rsid w:val="008E5B1F"/>
    <w:rsid w:val="008F066E"/>
    <w:rsid w:val="008F6B51"/>
    <w:rsid w:val="0090155F"/>
    <w:rsid w:val="009021E6"/>
    <w:rsid w:val="00911664"/>
    <w:rsid w:val="0091380B"/>
    <w:rsid w:val="0091553F"/>
    <w:rsid w:val="00916D35"/>
    <w:rsid w:val="0092764B"/>
    <w:rsid w:val="00931A46"/>
    <w:rsid w:val="00936556"/>
    <w:rsid w:val="0094472F"/>
    <w:rsid w:val="0094531B"/>
    <w:rsid w:val="009472FC"/>
    <w:rsid w:val="00947F46"/>
    <w:rsid w:val="009535E5"/>
    <w:rsid w:val="00953BC8"/>
    <w:rsid w:val="009605D9"/>
    <w:rsid w:val="00960F5D"/>
    <w:rsid w:val="00961C19"/>
    <w:rsid w:val="009700AF"/>
    <w:rsid w:val="00973672"/>
    <w:rsid w:val="00980FFC"/>
    <w:rsid w:val="00984A2B"/>
    <w:rsid w:val="00994448"/>
    <w:rsid w:val="00994CB7"/>
    <w:rsid w:val="00995CB0"/>
    <w:rsid w:val="009A2C61"/>
    <w:rsid w:val="009A4075"/>
    <w:rsid w:val="009A63E1"/>
    <w:rsid w:val="009B0158"/>
    <w:rsid w:val="009B0E9C"/>
    <w:rsid w:val="009B1BDA"/>
    <w:rsid w:val="009C01DD"/>
    <w:rsid w:val="009C339F"/>
    <w:rsid w:val="009D22C4"/>
    <w:rsid w:val="009E07A5"/>
    <w:rsid w:val="009E10BE"/>
    <w:rsid w:val="009E4285"/>
    <w:rsid w:val="009E7068"/>
    <w:rsid w:val="009F0692"/>
    <w:rsid w:val="009F22E0"/>
    <w:rsid w:val="009F40FA"/>
    <w:rsid w:val="009F6610"/>
    <w:rsid w:val="009F7CDA"/>
    <w:rsid w:val="00A05D35"/>
    <w:rsid w:val="00A06DF7"/>
    <w:rsid w:val="00A10234"/>
    <w:rsid w:val="00A10303"/>
    <w:rsid w:val="00A10D4F"/>
    <w:rsid w:val="00A11824"/>
    <w:rsid w:val="00A13BFD"/>
    <w:rsid w:val="00A164B8"/>
    <w:rsid w:val="00A172DF"/>
    <w:rsid w:val="00A17C57"/>
    <w:rsid w:val="00A2025D"/>
    <w:rsid w:val="00A20826"/>
    <w:rsid w:val="00A31083"/>
    <w:rsid w:val="00A328BF"/>
    <w:rsid w:val="00A3441D"/>
    <w:rsid w:val="00A3674C"/>
    <w:rsid w:val="00A416F7"/>
    <w:rsid w:val="00A4241D"/>
    <w:rsid w:val="00A527C8"/>
    <w:rsid w:val="00A52A13"/>
    <w:rsid w:val="00A55A63"/>
    <w:rsid w:val="00A56E97"/>
    <w:rsid w:val="00A6081F"/>
    <w:rsid w:val="00A653A5"/>
    <w:rsid w:val="00A67992"/>
    <w:rsid w:val="00A7022D"/>
    <w:rsid w:val="00A758D7"/>
    <w:rsid w:val="00A8087A"/>
    <w:rsid w:val="00A913B5"/>
    <w:rsid w:val="00A9392B"/>
    <w:rsid w:val="00A94768"/>
    <w:rsid w:val="00AA05F0"/>
    <w:rsid w:val="00AA12DB"/>
    <w:rsid w:val="00AA155E"/>
    <w:rsid w:val="00AA18E2"/>
    <w:rsid w:val="00AA362C"/>
    <w:rsid w:val="00AA3B82"/>
    <w:rsid w:val="00AA6CE0"/>
    <w:rsid w:val="00AA776C"/>
    <w:rsid w:val="00AB1547"/>
    <w:rsid w:val="00AB432F"/>
    <w:rsid w:val="00AB5959"/>
    <w:rsid w:val="00AC2732"/>
    <w:rsid w:val="00AC43CD"/>
    <w:rsid w:val="00AC7F43"/>
    <w:rsid w:val="00AD0222"/>
    <w:rsid w:val="00AD1DA4"/>
    <w:rsid w:val="00AD3B49"/>
    <w:rsid w:val="00AD4737"/>
    <w:rsid w:val="00AE05A7"/>
    <w:rsid w:val="00AE1245"/>
    <w:rsid w:val="00AE144E"/>
    <w:rsid w:val="00AE2ECF"/>
    <w:rsid w:val="00AE592D"/>
    <w:rsid w:val="00AE62EA"/>
    <w:rsid w:val="00B00E4B"/>
    <w:rsid w:val="00B02DDF"/>
    <w:rsid w:val="00B03BE2"/>
    <w:rsid w:val="00B04A6B"/>
    <w:rsid w:val="00B04D11"/>
    <w:rsid w:val="00B0505F"/>
    <w:rsid w:val="00B055CF"/>
    <w:rsid w:val="00B06409"/>
    <w:rsid w:val="00B10A33"/>
    <w:rsid w:val="00B15266"/>
    <w:rsid w:val="00B159F2"/>
    <w:rsid w:val="00B16F68"/>
    <w:rsid w:val="00B24309"/>
    <w:rsid w:val="00B24D84"/>
    <w:rsid w:val="00B304B1"/>
    <w:rsid w:val="00B358D7"/>
    <w:rsid w:val="00B37496"/>
    <w:rsid w:val="00B37E22"/>
    <w:rsid w:val="00B43235"/>
    <w:rsid w:val="00B4544C"/>
    <w:rsid w:val="00B45FF4"/>
    <w:rsid w:val="00B4785E"/>
    <w:rsid w:val="00B47966"/>
    <w:rsid w:val="00B57DEF"/>
    <w:rsid w:val="00B62D25"/>
    <w:rsid w:val="00B63C02"/>
    <w:rsid w:val="00B655EB"/>
    <w:rsid w:val="00B712B3"/>
    <w:rsid w:val="00B715BA"/>
    <w:rsid w:val="00B71B61"/>
    <w:rsid w:val="00B72246"/>
    <w:rsid w:val="00B73D7F"/>
    <w:rsid w:val="00B76963"/>
    <w:rsid w:val="00B77EA2"/>
    <w:rsid w:val="00B809BD"/>
    <w:rsid w:val="00B86635"/>
    <w:rsid w:val="00B9284D"/>
    <w:rsid w:val="00B937E0"/>
    <w:rsid w:val="00B95585"/>
    <w:rsid w:val="00B9626D"/>
    <w:rsid w:val="00BA19DD"/>
    <w:rsid w:val="00BA20EF"/>
    <w:rsid w:val="00BA5A1A"/>
    <w:rsid w:val="00BA61B2"/>
    <w:rsid w:val="00BA79DB"/>
    <w:rsid w:val="00BB019B"/>
    <w:rsid w:val="00BB0C55"/>
    <w:rsid w:val="00BC0295"/>
    <w:rsid w:val="00BC0905"/>
    <w:rsid w:val="00BC2A03"/>
    <w:rsid w:val="00BC2ECA"/>
    <w:rsid w:val="00BC5135"/>
    <w:rsid w:val="00BC6D1E"/>
    <w:rsid w:val="00BD1001"/>
    <w:rsid w:val="00BD37E4"/>
    <w:rsid w:val="00BD5607"/>
    <w:rsid w:val="00BD5793"/>
    <w:rsid w:val="00BD64B0"/>
    <w:rsid w:val="00BD6CC1"/>
    <w:rsid w:val="00BE2547"/>
    <w:rsid w:val="00BE369F"/>
    <w:rsid w:val="00BF13FB"/>
    <w:rsid w:val="00BF18A6"/>
    <w:rsid w:val="00BF62FA"/>
    <w:rsid w:val="00BF7928"/>
    <w:rsid w:val="00C04544"/>
    <w:rsid w:val="00C07384"/>
    <w:rsid w:val="00C10FBA"/>
    <w:rsid w:val="00C141FC"/>
    <w:rsid w:val="00C152AB"/>
    <w:rsid w:val="00C20348"/>
    <w:rsid w:val="00C220D5"/>
    <w:rsid w:val="00C2495A"/>
    <w:rsid w:val="00C24C90"/>
    <w:rsid w:val="00C32661"/>
    <w:rsid w:val="00C34029"/>
    <w:rsid w:val="00C37E20"/>
    <w:rsid w:val="00C42783"/>
    <w:rsid w:val="00C44047"/>
    <w:rsid w:val="00C4602C"/>
    <w:rsid w:val="00C51CE4"/>
    <w:rsid w:val="00C51F84"/>
    <w:rsid w:val="00C5212A"/>
    <w:rsid w:val="00C53075"/>
    <w:rsid w:val="00C53C7F"/>
    <w:rsid w:val="00C62730"/>
    <w:rsid w:val="00C63532"/>
    <w:rsid w:val="00C642FC"/>
    <w:rsid w:val="00C64837"/>
    <w:rsid w:val="00C67277"/>
    <w:rsid w:val="00C67BF4"/>
    <w:rsid w:val="00C8350D"/>
    <w:rsid w:val="00C83CAA"/>
    <w:rsid w:val="00C906EA"/>
    <w:rsid w:val="00C95D57"/>
    <w:rsid w:val="00C967FB"/>
    <w:rsid w:val="00CA02E1"/>
    <w:rsid w:val="00CA05CA"/>
    <w:rsid w:val="00CA637F"/>
    <w:rsid w:val="00CA6C8E"/>
    <w:rsid w:val="00CB052C"/>
    <w:rsid w:val="00CB104E"/>
    <w:rsid w:val="00CB251B"/>
    <w:rsid w:val="00CB28C1"/>
    <w:rsid w:val="00CB3F06"/>
    <w:rsid w:val="00CB4457"/>
    <w:rsid w:val="00CC08AD"/>
    <w:rsid w:val="00CC1A2A"/>
    <w:rsid w:val="00CC2EF7"/>
    <w:rsid w:val="00CC58D5"/>
    <w:rsid w:val="00CC645D"/>
    <w:rsid w:val="00CD08B5"/>
    <w:rsid w:val="00CD0D58"/>
    <w:rsid w:val="00CD1017"/>
    <w:rsid w:val="00CD4EAD"/>
    <w:rsid w:val="00CE0937"/>
    <w:rsid w:val="00CE6740"/>
    <w:rsid w:val="00CF034E"/>
    <w:rsid w:val="00CF1DEA"/>
    <w:rsid w:val="00CF4EB9"/>
    <w:rsid w:val="00CF772D"/>
    <w:rsid w:val="00D02C0B"/>
    <w:rsid w:val="00D13BC7"/>
    <w:rsid w:val="00D1532A"/>
    <w:rsid w:val="00D161CF"/>
    <w:rsid w:val="00D20823"/>
    <w:rsid w:val="00D20F9A"/>
    <w:rsid w:val="00D213C9"/>
    <w:rsid w:val="00D22674"/>
    <w:rsid w:val="00D24A5D"/>
    <w:rsid w:val="00D32175"/>
    <w:rsid w:val="00D409AF"/>
    <w:rsid w:val="00D42BFB"/>
    <w:rsid w:val="00D45B3C"/>
    <w:rsid w:val="00D46048"/>
    <w:rsid w:val="00D56066"/>
    <w:rsid w:val="00D639DB"/>
    <w:rsid w:val="00D63F6C"/>
    <w:rsid w:val="00D677F2"/>
    <w:rsid w:val="00D72547"/>
    <w:rsid w:val="00D80D98"/>
    <w:rsid w:val="00D81287"/>
    <w:rsid w:val="00D836BA"/>
    <w:rsid w:val="00D87863"/>
    <w:rsid w:val="00D9054F"/>
    <w:rsid w:val="00DA19ED"/>
    <w:rsid w:val="00DA2818"/>
    <w:rsid w:val="00DA3BE8"/>
    <w:rsid w:val="00DB1E71"/>
    <w:rsid w:val="00DB245E"/>
    <w:rsid w:val="00DB3D0B"/>
    <w:rsid w:val="00DB56EA"/>
    <w:rsid w:val="00DC19BB"/>
    <w:rsid w:val="00DC5808"/>
    <w:rsid w:val="00DD783E"/>
    <w:rsid w:val="00DD7990"/>
    <w:rsid w:val="00DE5CA5"/>
    <w:rsid w:val="00DE77A6"/>
    <w:rsid w:val="00DF067A"/>
    <w:rsid w:val="00DF2039"/>
    <w:rsid w:val="00DF27EB"/>
    <w:rsid w:val="00DF51B3"/>
    <w:rsid w:val="00DF53D8"/>
    <w:rsid w:val="00DF56F4"/>
    <w:rsid w:val="00DF71C0"/>
    <w:rsid w:val="00E01BAA"/>
    <w:rsid w:val="00E0265B"/>
    <w:rsid w:val="00E0455D"/>
    <w:rsid w:val="00E13A73"/>
    <w:rsid w:val="00E153A9"/>
    <w:rsid w:val="00E17FF5"/>
    <w:rsid w:val="00E258A7"/>
    <w:rsid w:val="00E30280"/>
    <w:rsid w:val="00E31D47"/>
    <w:rsid w:val="00E32097"/>
    <w:rsid w:val="00E34655"/>
    <w:rsid w:val="00E34BA0"/>
    <w:rsid w:val="00E34BC5"/>
    <w:rsid w:val="00E35EBA"/>
    <w:rsid w:val="00E3606C"/>
    <w:rsid w:val="00E4470C"/>
    <w:rsid w:val="00E47BC8"/>
    <w:rsid w:val="00E5192C"/>
    <w:rsid w:val="00E535FC"/>
    <w:rsid w:val="00E63A39"/>
    <w:rsid w:val="00E6571B"/>
    <w:rsid w:val="00E65774"/>
    <w:rsid w:val="00E66166"/>
    <w:rsid w:val="00E6761A"/>
    <w:rsid w:val="00E70FA0"/>
    <w:rsid w:val="00E7543C"/>
    <w:rsid w:val="00E7683C"/>
    <w:rsid w:val="00E8295A"/>
    <w:rsid w:val="00E83074"/>
    <w:rsid w:val="00E866B4"/>
    <w:rsid w:val="00E8797E"/>
    <w:rsid w:val="00E87E1A"/>
    <w:rsid w:val="00E90B83"/>
    <w:rsid w:val="00E90BAC"/>
    <w:rsid w:val="00E911D1"/>
    <w:rsid w:val="00E94259"/>
    <w:rsid w:val="00E962D6"/>
    <w:rsid w:val="00E974AC"/>
    <w:rsid w:val="00E974FA"/>
    <w:rsid w:val="00EA479F"/>
    <w:rsid w:val="00EB5A46"/>
    <w:rsid w:val="00EC28C2"/>
    <w:rsid w:val="00EC411A"/>
    <w:rsid w:val="00ED1668"/>
    <w:rsid w:val="00ED3A0A"/>
    <w:rsid w:val="00ED53A1"/>
    <w:rsid w:val="00ED5940"/>
    <w:rsid w:val="00ED61B3"/>
    <w:rsid w:val="00ED73FD"/>
    <w:rsid w:val="00ED7BB4"/>
    <w:rsid w:val="00EE47FD"/>
    <w:rsid w:val="00EF05D6"/>
    <w:rsid w:val="00EF0C59"/>
    <w:rsid w:val="00EF2674"/>
    <w:rsid w:val="00EF4D55"/>
    <w:rsid w:val="00F00F43"/>
    <w:rsid w:val="00F0133C"/>
    <w:rsid w:val="00F0224E"/>
    <w:rsid w:val="00F13C89"/>
    <w:rsid w:val="00F14BAE"/>
    <w:rsid w:val="00F14C40"/>
    <w:rsid w:val="00F234E5"/>
    <w:rsid w:val="00F30820"/>
    <w:rsid w:val="00F32B72"/>
    <w:rsid w:val="00F36D64"/>
    <w:rsid w:val="00F37987"/>
    <w:rsid w:val="00F5263A"/>
    <w:rsid w:val="00F54027"/>
    <w:rsid w:val="00F614EF"/>
    <w:rsid w:val="00F64CC9"/>
    <w:rsid w:val="00F651AC"/>
    <w:rsid w:val="00F6556E"/>
    <w:rsid w:val="00F73DDB"/>
    <w:rsid w:val="00F7682F"/>
    <w:rsid w:val="00F76961"/>
    <w:rsid w:val="00F76AAE"/>
    <w:rsid w:val="00F76F9F"/>
    <w:rsid w:val="00F82621"/>
    <w:rsid w:val="00F8759E"/>
    <w:rsid w:val="00F91E89"/>
    <w:rsid w:val="00F942F8"/>
    <w:rsid w:val="00F946DE"/>
    <w:rsid w:val="00F9754E"/>
    <w:rsid w:val="00FB2FF2"/>
    <w:rsid w:val="00FB5B37"/>
    <w:rsid w:val="00FC0756"/>
    <w:rsid w:val="00FC5A7C"/>
    <w:rsid w:val="00FD56AF"/>
    <w:rsid w:val="00FE0CA0"/>
    <w:rsid w:val="00FF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59E557"/>
  <w15:docId w15:val="{DFE908DF-3004-4AA4-898A-C8D009A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85E"/>
  </w:style>
  <w:style w:type="paragraph" w:styleId="Heading1">
    <w:name w:val="heading 1"/>
    <w:basedOn w:val="Normal"/>
    <w:next w:val="Normal"/>
    <w:qFormat/>
    <w:rsid w:val="00A6081F"/>
    <w:pPr>
      <w:spacing w:before="240"/>
      <w:outlineLvl w:val="0"/>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6081F"/>
    <w:pPr>
      <w:spacing w:line="480" w:lineRule="auto"/>
    </w:pPr>
    <w:rPr>
      <w:sz w:val="24"/>
    </w:rPr>
  </w:style>
  <w:style w:type="paragraph" w:styleId="BodyTextIndent2">
    <w:name w:val="Body Text Indent 2"/>
    <w:basedOn w:val="Normal"/>
    <w:rsid w:val="00A6081F"/>
    <w:pPr>
      <w:spacing w:line="480" w:lineRule="auto"/>
      <w:ind w:left="1440" w:hanging="360"/>
    </w:pPr>
    <w:rPr>
      <w:sz w:val="24"/>
    </w:rPr>
  </w:style>
  <w:style w:type="paragraph" w:styleId="BodyTextIndent3">
    <w:name w:val="Body Text Indent 3"/>
    <w:basedOn w:val="Normal"/>
    <w:rsid w:val="00A6081F"/>
    <w:pPr>
      <w:spacing w:line="480" w:lineRule="auto"/>
      <w:ind w:left="1080" w:hanging="360"/>
    </w:pPr>
    <w:rPr>
      <w:sz w:val="24"/>
    </w:rPr>
  </w:style>
  <w:style w:type="paragraph" w:styleId="BodyTextIndent">
    <w:name w:val="Body Text Indent"/>
    <w:basedOn w:val="Normal"/>
    <w:rsid w:val="00A6081F"/>
    <w:pPr>
      <w:ind w:left="720"/>
    </w:pPr>
    <w:rPr>
      <w:sz w:val="24"/>
    </w:rPr>
  </w:style>
  <w:style w:type="paragraph" w:styleId="BodyText">
    <w:name w:val="Body Text"/>
    <w:basedOn w:val="Normal"/>
    <w:rsid w:val="00A6081F"/>
    <w:pPr>
      <w:spacing w:line="480" w:lineRule="auto"/>
    </w:pPr>
    <w:rPr>
      <w:b/>
      <w:sz w:val="24"/>
    </w:rPr>
  </w:style>
  <w:style w:type="paragraph" w:customStyle="1" w:styleId="RulesChapterTitle">
    <w:name w:val="Rules: Chapter Title"/>
    <w:basedOn w:val="Normal"/>
    <w:rsid w:val="00A6081F"/>
    <w:pPr>
      <w:ind w:left="2160" w:hanging="2160"/>
      <w:jc w:val="both"/>
    </w:pPr>
    <w:rPr>
      <w:b/>
      <w:sz w:val="22"/>
    </w:rPr>
  </w:style>
  <w:style w:type="paragraph" w:customStyle="1" w:styleId="RulesSummary">
    <w:name w:val="Rules: Summary"/>
    <w:basedOn w:val="Normal"/>
    <w:rsid w:val="00A6081F"/>
    <w:pPr>
      <w:ind w:left="2160"/>
      <w:jc w:val="both"/>
    </w:pPr>
    <w:rPr>
      <w:sz w:val="22"/>
    </w:rPr>
  </w:style>
  <w:style w:type="paragraph" w:customStyle="1" w:styleId="RulesSection">
    <w:name w:val="Rules: Section"/>
    <w:basedOn w:val="Normal"/>
    <w:rsid w:val="00A6081F"/>
    <w:pPr>
      <w:ind w:left="360" w:hanging="360"/>
      <w:jc w:val="both"/>
    </w:pPr>
    <w:rPr>
      <w:sz w:val="22"/>
    </w:rPr>
  </w:style>
  <w:style w:type="paragraph" w:customStyle="1" w:styleId="RulesSub-section">
    <w:name w:val="Rules: Sub-section"/>
    <w:basedOn w:val="Normal"/>
    <w:rsid w:val="00A6081F"/>
    <w:pPr>
      <w:ind w:left="720" w:hanging="360"/>
      <w:jc w:val="both"/>
    </w:pPr>
    <w:rPr>
      <w:sz w:val="22"/>
    </w:rPr>
  </w:style>
  <w:style w:type="paragraph" w:customStyle="1" w:styleId="RulesParagraph">
    <w:name w:val="Rules: Paragraph"/>
    <w:basedOn w:val="Normal"/>
    <w:rsid w:val="00A6081F"/>
    <w:pPr>
      <w:ind w:left="1080" w:hanging="360"/>
      <w:jc w:val="both"/>
    </w:pPr>
    <w:rPr>
      <w:sz w:val="22"/>
    </w:rPr>
  </w:style>
  <w:style w:type="paragraph" w:customStyle="1" w:styleId="RulesNotesub">
    <w:name w:val="Rules: Note (sub §)"/>
    <w:basedOn w:val="Normal"/>
    <w:rsid w:val="00A6081F"/>
    <w:pPr>
      <w:ind w:left="1080" w:hanging="720"/>
      <w:jc w:val="both"/>
    </w:pPr>
    <w:rPr>
      <w:sz w:val="22"/>
    </w:rPr>
  </w:style>
  <w:style w:type="paragraph" w:customStyle="1" w:styleId="Indent1">
    <w:name w:val="Indent1"/>
    <w:basedOn w:val="Normal"/>
    <w:link w:val="Indent1Char"/>
    <w:rsid w:val="008A5984"/>
    <w:pPr>
      <w:spacing w:after="200"/>
      <w:ind w:left="720" w:hanging="360"/>
    </w:pPr>
    <w:rPr>
      <w:rFonts w:ascii="Arial" w:hAnsi="Arial" w:cs="Arial"/>
    </w:rPr>
  </w:style>
  <w:style w:type="character" w:customStyle="1" w:styleId="Indent1Char">
    <w:name w:val="Indent1 Char"/>
    <w:link w:val="Indent1"/>
    <w:rsid w:val="008A5984"/>
    <w:rPr>
      <w:rFonts w:ascii="Arial" w:hAnsi="Arial" w:cs="Arial"/>
      <w:lang w:val="en-US" w:eastAsia="en-US" w:bidi="ar-SA"/>
    </w:rPr>
  </w:style>
  <w:style w:type="paragraph" w:styleId="Header">
    <w:name w:val="header"/>
    <w:basedOn w:val="Normal"/>
    <w:link w:val="HeaderChar"/>
    <w:uiPriority w:val="99"/>
    <w:rsid w:val="000C1DBE"/>
    <w:pPr>
      <w:tabs>
        <w:tab w:val="center" w:pos="4320"/>
        <w:tab w:val="right" w:pos="8640"/>
      </w:tabs>
    </w:pPr>
  </w:style>
  <w:style w:type="paragraph" w:styleId="Footer">
    <w:name w:val="footer"/>
    <w:basedOn w:val="Normal"/>
    <w:link w:val="FooterChar"/>
    <w:uiPriority w:val="99"/>
    <w:rsid w:val="000C1DBE"/>
    <w:pPr>
      <w:tabs>
        <w:tab w:val="center" w:pos="4320"/>
        <w:tab w:val="right" w:pos="8640"/>
      </w:tabs>
    </w:pPr>
  </w:style>
  <w:style w:type="character" w:customStyle="1" w:styleId="HeaderChar">
    <w:name w:val="Header Char"/>
    <w:link w:val="Header"/>
    <w:uiPriority w:val="99"/>
    <w:rsid w:val="00EC28C2"/>
    <w:rPr>
      <w:lang w:val="en-US" w:eastAsia="en-US" w:bidi="ar-SA"/>
    </w:rPr>
  </w:style>
  <w:style w:type="character" w:styleId="Hyperlink">
    <w:name w:val="Hyperlink"/>
    <w:rsid w:val="007334B1"/>
    <w:rPr>
      <w:color w:val="0000FF"/>
      <w:u w:val="single"/>
    </w:rPr>
  </w:style>
  <w:style w:type="paragraph" w:styleId="BalloonText">
    <w:name w:val="Balloon Text"/>
    <w:basedOn w:val="Normal"/>
    <w:semiHidden/>
    <w:rsid w:val="00CB052C"/>
    <w:rPr>
      <w:rFonts w:ascii="Tahoma" w:hAnsi="Tahoma" w:cs="Tahoma"/>
      <w:sz w:val="16"/>
      <w:szCs w:val="16"/>
    </w:rPr>
  </w:style>
  <w:style w:type="character" w:styleId="PageNumber">
    <w:name w:val="page number"/>
    <w:basedOn w:val="DefaultParagraphFont"/>
    <w:rsid w:val="001B25B2"/>
  </w:style>
  <w:style w:type="character" w:styleId="CommentReference">
    <w:name w:val="annotation reference"/>
    <w:semiHidden/>
    <w:rsid w:val="00A17C57"/>
    <w:rPr>
      <w:sz w:val="16"/>
      <w:szCs w:val="16"/>
    </w:rPr>
  </w:style>
  <w:style w:type="paragraph" w:styleId="CommentText">
    <w:name w:val="annotation text"/>
    <w:basedOn w:val="Normal"/>
    <w:semiHidden/>
    <w:rsid w:val="00A17C57"/>
  </w:style>
  <w:style w:type="paragraph" w:styleId="CommentSubject">
    <w:name w:val="annotation subject"/>
    <w:basedOn w:val="CommentText"/>
    <w:next w:val="CommentText"/>
    <w:semiHidden/>
    <w:rsid w:val="00A17C57"/>
    <w:rPr>
      <w:b/>
      <w:bCs/>
    </w:rPr>
  </w:style>
  <w:style w:type="paragraph" w:customStyle="1" w:styleId="IndentA">
    <w:name w:val="IndentA"/>
    <w:basedOn w:val="Index1"/>
    <w:link w:val="IndentAChar"/>
    <w:rsid w:val="00DD783E"/>
    <w:pPr>
      <w:spacing w:after="200"/>
      <w:ind w:left="1080" w:hanging="360"/>
    </w:pPr>
    <w:rPr>
      <w:rFonts w:ascii="Arial" w:hAnsi="Arial"/>
    </w:rPr>
  </w:style>
  <w:style w:type="character" w:customStyle="1" w:styleId="IndentAChar">
    <w:name w:val="IndentA Char"/>
    <w:link w:val="IndentA"/>
    <w:rsid w:val="00DD783E"/>
    <w:rPr>
      <w:rFonts w:ascii="Arial" w:hAnsi="Arial"/>
    </w:rPr>
  </w:style>
  <w:style w:type="paragraph" w:styleId="Index1">
    <w:name w:val="index 1"/>
    <w:basedOn w:val="Normal"/>
    <w:next w:val="Normal"/>
    <w:autoRedefine/>
    <w:rsid w:val="00DD783E"/>
    <w:pPr>
      <w:ind w:left="200" w:hanging="200"/>
    </w:pPr>
  </w:style>
  <w:style w:type="character" w:styleId="FollowedHyperlink">
    <w:name w:val="FollowedHyperlink"/>
    <w:rsid w:val="006A2652"/>
    <w:rPr>
      <w:color w:val="800080"/>
      <w:u w:val="single"/>
    </w:rPr>
  </w:style>
  <w:style w:type="character" w:customStyle="1" w:styleId="FooterChar">
    <w:name w:val="Footer Char"/>
    <w:basedOn w:val="DefaultParagraphFont"/>
    <w:link w:val="Footer"/>
    <w:uiPriority w:val="99"/>
    <w:rsid w:val="005E3D0B"/>
  </w:style>
  <w:style w:type="paragraph" w:styleId="ListParagraph">
    <w:name w:val="List Paragraph"/>
    <w:basedOn w:val="Normal"/>
    <w:uiPriority w:val="34"/>
    <w:qFormat/>
    <w:rsid w:val="0029718B"/>
    <w:pPr>
      <w:ind w:left="720"/>
      <w:contextualSpacing/>
    </w:pPr>
  </w:style>
  <w:style w:type="character" w:customStyle="1" w:styleId="UnresolvedMention1">
    <w:name w:val="Unresolved Mention1"/>
    <w:basedOn w:val="DefaultParagraphFont"/>
    <w:uiPriority w:val="99"/>
    <w:semiHidden/>
    <w:unhideWhenUsed/>
    <w:rsid w:val="009A2C61"/>
    <w:rPr>
      <w:color w:val="808080"/>
      <w:shd w:val="clear" w:color="auto" w:fill="E6E6E6"/>
    </w:rPr>
  </w:style>
  <w:style w:type="paragraph" w:styleId="Revision">
    <w:name w:val="Revision"/>
    <w:hidden/>
    <w:uiPriority w:val="99"/>
    <w:semiHidden/>
    <w:rsid w:val="00E9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1653">
      <w:bodyDiv w:val="1"/>
      <w:marLeft w:val="0"/>
      <w:marRight w:val="0"/>
      <w:marTop w:val="0"/>
      <w:marBottom w:val="0"/>
      <w:divBdr>
        <w:top w:val="none" w:sz="0" w:space="0" w:color="auto"/>
        <w:left w:val="none" w:sz="0" w:space="0" w:color="auto"/>
        <w:bottom w:val="none" w:sz="0" w:space="0" w:color="auto"/>
        <w:right w:val="none" w:sz="0" w:space="0" w:color="auto"/>
      </w:divBdr>
    </w:div>
    <w:div w:id="1218708015">
      <w:bodyDiv w:val="1"/>
      <w:marLeft w:val="0"/>
      <w:marRight w:val="0"/>
      <w:marTop w:val="0"/>
      <w:marBottom w:val="0"/>
      <w:divBdr>
        <w:top w:val="none" w:sz="0" w:space="0" w:color="auto"/>
        <w:left w:val="none" w:sz="0" w:space="0" w:color="auto"/>
        <w:bottom w:val="none" w:sz="0" w:space="0" w:color="auto"/>
        <w:right w:val="none" w:sz="0" w:space="0" w:color="auto"/>
      </w:divBdr>
    </w:div>
    <w:div w:id="12371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F3673-50F0-4C74-AF8D-AC2554E6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5559</Words>
  <Characters>31691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06-096 CMR Ch. 692</vt:lpstr>
    </vt:vector>
  </TitlesOfParts>
  <Company>State of Maine, DAFS</Company>
  <LinksUpToDate>false</LinksUpToDate>
  <CharactersWithSpaces>37176</CharactersWithSpaces>
  <SharedDoc>false</SharedDoc>
  <HLinks>
    <vt:vector size="6" baseType="variant">
      <vt:variant>
        <vt:i4>2228325</vt:i4>
      </vt:variant>
      <vt:variant>
        <vt:i4>0</vt:i4>
      </vt:variant>
      <vt:variant>
        <vt:i4>0</vt:i4>
      </vt:variant>
      <vt:variant>
        <vt:i4>5</vt:i4>
      </vt:variant>
      <vt:variant>
        <vt:lpwstr>http://megis.maine.gov/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06-096 CMR Ch. 692</dc:title>
  <dc:creator>John James</dc:creator>
  <cp:lastModifiedBy>Parr, J.Chris</cp:lastModifiedBy>
  <cp:revision>2</cp:revision>
  <cp:lastPrinted>2019-06-03T12:52:00Z</cp:lastPrinted>
  <dcterms:created xsi:type="dcterms:W3CDTF">2025-07-16T10:51:00Z</dcterms:created>
  <dcterms:modified xsi:type="dcterms:W3CDTF">2025-07-16T10:51:00Z</dcterms:modified>
</cp:coreProperties>
</file>