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42D9" w14:textId="77777777" w:rsidR="006C470B" w:rsidRPr="00F11FC5" w:rsidRDefault="006C470B" w:rsidP="0042443E">
      <w:pPr>
        <w:pStyle w:val="Heading1"/>
        <w:spacing w:line="240" w:lineRule="auto"/>
        <w:ind w:left="2160" w:hanging="2160"/>
        <w:rPr>
          <w:sz w:val="24"/>
          <w:szCs w:val="24"/>
        </w:rPr>
      </w:pPr>
      <w:r w:rsidRPr="00F11FC5">
        <w:rPr>
          <w:sz w:val="24"/>
          <w:szCs w:val="24"/>
        </w:rPr>
        <w:t>Chapter</w:t>
      </w:r>
      <w:r w:rsidR="00957E12" w:rsidRPr="00F11FC5">
        <w:rPr>
          <w:sz w:val="24"/>
          <w:szCs w:val="24"/>
        </w:rPr>
        <w:t xml:space="preserve"> 165</w:t>
      </w:r>
      <w:r w:rsidRPr="00F11FC5">
        <w:rPr>
          <w:sz w:val="24"/>
          <w:szCs w:val="24"/>
        </w:rPr>
        <w:t>:</w:t>
      </w:r>
      <w:r w:rsidRPr="00F11FC5">
        <w:rPr>
          <w:sz w:val="24"/>
          <w:szCs w:val="24"/>
        </w:rPr>
        <w:tab/>
      </w:r>
      <w:r w:rsidRPr="00F11FC5">
        <w:rPr>
          <w:sz w:val="24"/>
          <w:szCs w:val="24"/>
        </w:rPr>
        <w:tab/>
      </w:r>
      <w:r w:rsidRPr="00F11FC5">
        <w:rPr>
          <w:sz w:val="24"/>
          <w:szCs w:val="24"/>
        </w:rPr>
        <w:tab/>
        <w:t xml:space="preserve">GENERAL PERMIT FOR </w:t>
      </w:r>
      <w:r w:rsidR="00957E12" w:rsidRPr="00F11FC5">
        <w:rPr>
          <w:sz w:val="24"/>
          <w:szCs w:val="24"/>
        </w:rPr>
        <w:t>CLASS IV-A INCINERATORS</w:t>
      </w:r>
    </w:p>
    <w:p w14:paraId="734C5E23" w14:textId="77777777" w:rsidR="006C470B" w:rsidRPr="00F11FC5" w:rsidRDefault="006C470B" w:rsidP="0042443E">
      <w:pPr>
        <w:rPr>
          <w:rFonts w:ascii="Times New Roman" w:hAnsi="Times New Roman"/>
          <w:szCs w:val="24"/>
        </w:rPr>
      </w:pPr>
    </w:p>
    <w:p w14:paraId="53C466B7" w14:textId="4780B400" w:rsidR="006C470B" w:rsidRPr="00F11FC5" w:rsidRDefault="006C470B" w:rsidP="0042443E">
      <w:pPr>
        <w:pStyle w:val="BodyTextIndent"/>
        <w:spacing w:line="240" w:lineRule="auto"/>
        <w:jc w:val="left"/>
        <w:rPr>
          <w:sz w:val="24"/>
          <w:szCs w:val="24"/>
        </w:rPr>
      </w:pPr>
      <w:r w:rsidRPr="00F11FC5">
        <w:rPr>
          <w:sz w:val="24"/>
          <w:szCs w:val="24"/>
        </w:rPr>
        <w:t xml:space="preserve">SUMMARY: </w:t>
      </w:r>
      <w:r w:rsidR="00AA7515">
        <w:rPr>
          <w:sz w:val="24"/>
          <w:szCs w:val="24"/>
        </w:rPr>
        <w:t>Through this Chapter, the Department of Environmental Protection (Department)</w:t>
      </w:r>
      <w:r w:rsidR="00A8783A" w:rsidRPr="00F11FC5">
        <w:rPr>
          <w:sz w:val="24"/>
          <w:szCs w:val="24"/>
        </w:rPr>
        <w:t xml:space="preserve"> regulates air emissions from </w:t>
      </w:r>
      <w:r w:rsidR="00957E12" w:rsidRPr="00F11FC5">
        <w:rPr>
          <w:sz w:val="24"/>
          <w:szCs w:val="24"/>
        </w:rPr>
        <w:t>Class IV-A</w:t>
      </w:r>
      <w:r w:rsidR="00AA7515">
        <w:rPr>
          <w:sz w:val="24"/>
          <w:szCs w:val="24"/>
        </w:rPr>
        <w:t xml:space="preserve"> incinerators, including</w:t>
      </w:r>
      <w:r w:rsidR="00957E12" w:rsidRPr="00F11FC5">
        <w:rPr>
          <w:sz w:val="24"/>
          <w:szCs w:val="24"/>
        </w:rPr>
        <w:t xml:space="preserve"> </w:t>
      </w:r>
      <w:r w:rsidR="00AA7515">
        <w:rPr>
          <w:sz w:val="24"/>
          <w:szCs w:val="24"/>
        </w:rPr>
        <w:t>v</w:t>
      </w:r>
      <w:r w:rsidR="009C50ED" w:rsidRPr="00F11FC5">
        <w:rPr>
          <w:sz w:val="24"/>
          <w:szCs w:val="24"/>
        </w:rPr>
        <w:t xml:space="preserve">eterinary </w:t>
      </w:r>
      <w:r w:rsidR="00AA7515">
        <w:rPr>
          <w:sz w:val="24"/>
          <w:szCs w:val="24"/>
        </w:rPr>
        <w:t>i</w:t>
      </w:r>
      <w:r w:rsidR="009C50ED" w:rsidRPr="00F11FC5">
        <w:rPr>
          <w:sz w:val="24"/>
          <w:szCs w:val="24"/>
        </w:rPr>
        <w:t xml:space="preserve">ncinerators and </w:t>
      </w:r>
      <w:r w:rsidR="00AA7515">
        <w:rPr>
          <w:sz w:val="24"/>
          <w:szCs w:val="24"/>
        </w:rPr>
        <w:t>h</w:t>
      </w:r>
      <w:r w:rsidR="00957E12" w:rsidRPr="00F11FC5">
        <w:rPr>
          <w:sz w:val="24"/>
          <w:szCs w:val="24"/>
        </w:rPr>
        <w:t xml:space="preserve">uman </w:t>
      </w:r>
      <w:r w:rsidR="00AA7515">
        <w:rPr>
          <w:sz w:val="24"/>
          <w:szCs w:val="24"/>
        </w:rPr>
        <w:t>c</w:t>
      </w:r>
      <w:r w:rsidR="00957E12" w:rsidRPr="00F11FC5">
        <w:rPr>
          <w:sz w:val="24"/>
          <w:szCs w:val="24"/>
        </w:rPr>
        <w:t>rematory</w:t>
      </w:r>
      <w:r w:rsidR="00AD2C3D" w:rsidRPr="00F11FC5">
        <w:rPr>
          <w:sz w:val="24"/>
          <w:szCs w:val="24"/>
        </w:rPr>
        <w:t xml:space="preserve"> </w:t>
      </w:r>
      <w:r w:rsidR="00AA7515">
        <w:rPr>
          <w:sz w:val="24"/>
          <w:szCs w:val="24"/>
        </w:rPr>
        <w:t>i</w:t>
      </w:r>
      <w:r w:rsidR="00AD2C3D" w:rsidRPr="00F11FC5">
        <w:rPr>
          <w:sz w:val="24"/>
          <w:szCs w:val="24"/>
        </w:rPr>
        <w:t>ncinerators</w:t>
      </w:r>
      <w:r w:rsidR="00957E12" w:rsidRPr="00F11FC5">
        <w:rPr>
          <w:sz w:val="24"/>
          <w:szCs w:val="24"/>
        </w:rPr>
        <w:t>. Owner</w:t>
      </w:r>
      <w:r w:rsidR="00AA7515">
        <w:rPr>
          <w:sz w:val="24"/>
          <w:szCs w:val="24"/>
        </w:rPr>
        <w:t xml:space="preserve">s </w:t>
      </w:r>
      <w:r w:rsidR="008A3520">
        <w:rPr>
          <w:sz w:val="24"/>
          <w:szCs w:val="24"/>
        </w:rPr>
        <w:t xml:space="preserve">or </w:t>
      </w:r>
      <w:r w:rsidRPr="00F11FC5">
        <w:rPr>
          <w:sz w:val="24"/>
          <w:szCs w:val="24"/>
        </w:rPr>
        <w:t xml:space="preserve">operators of </w:t>
      </w:r>
      <w:r w:rsidR="00672749">
        <w:rPr>
          <w:sz w:val="24"/>
          <w:szCs w:val="24"/>
        </w:rPr>
        <w:t xml:space="preserve">eligible </w:t>
      </w:r>
      <w:r w:rsidR="00957E12" w:rsidRPr="00F11FC5">
        <w:rPr>
          <w:sz w:val="24"/>
          <w:szCs w:val="24"/>
        </w:rPr>
        <w:t xml:space="preserve">Class IV-A </w:t>
      </w:r>
      <w:r w:rsidR="00AA7515">
        <w:rPr>
          <w:sz w:val="24"/>
          <w:szCs w:val="24"/>
        </w:rPr>
        <w:t>i</w:t>
      </w:r>
      <w:r w:rsidR="00AD2C3D" w:rsidRPr="00F11FC5">
        <w:rPr>
          <w:sz w:val="24"/>
          <w:szCs w:val="24"/>
        </w:rPr>
        <w:t>ncinerators</w:t>
      </w:r>
      <w:r w:rsidRPr="00F11FC5">
        <w:rPr>
          <w:sz w:val="24"/>
          <w:szCs w:val="24"/>
        </w:rPr>
        <w:t xml:space="preserve"> may obtain specific</w:t>
      </w:r>
      <w:r w:rsidR="00672749">
        <w:rPr>
          <w:sz w:val="24"/>
          <w:szCs w:val="24"/>
        </w:rPr>
        <w:t xml:space="preserve"> streamlined</w:t>
      </w:r>
      <w:r w:rsidRPr="00F11FC5">
        <w:rPr>
          <w:sz w:val="24"/>
          <w:szCs w:val="24"/>
        </w:rPr>
        <w:t xml:space="preserve"> regulatory coverage under this </w:t>
      </w:r>
      <w:r w:rsidR="004A44D8">
        <w:rPr>
          <w:sz w:val="24"/>
          <w:szCs w:val="24"/>
        </w:rPr>
        <w:t xml:space="preserve">permit by rule </w:t>
      </w:r>
      <w:r w:rsidR="00807F2C">
        <w:rPr>
          <w:sz w:val="24"/>
          <w:szCs w:val="24"/>
        </w:rPr>
        <w:t xml:space="preserve">(also referred to as a general permit) </w:t>
      </w:r>
      <w:r w:rsidR="004A44D8">
        <w:rPr>
          <w:sz w:val="24"/>
          <w:szCs w:val="24"/>
        </w:rPr>
        <w:t>pursuant to 38 Maine Revised Statutes (M.R.S.) § 344</w:t>
      </w:r>
      <w:r w:rsidR="00856218">
        <w:rPr>
          <w:sz w:val="24"/>
          <w:szCs w:val="24"/>
        </w:rPr>
        <w:t>(</w:t>
      </w:r>
      <w:r w:rsidR="004A44D8">
        <w:rPr>
          <w:sz w:val="24"/>
          <w:szCs w:val="24"/>
        </w:rPr>
        <w:t>7</w:t>
      </w:r>
      <w:r w:rsidR="00856218">
        <w:rPr>
          <w:sz w:val="24"/>
          <w:szCs w:val="24"/>
        </w:rPr>
        <w:t>)</w:t>
      </w:r>
      <w:r w:rsidRPr="00F11FC5">
        <w:rPr>
          <w:sz w:val="24"/>
          <w:szCs w:val="24"/>
        </w:rPr>
        <w:t xml:space="preserve"> in lieu of an air emission license</w:t>
      </w:r>
      <w:r w:rsidR="009C50ED" w:rsidRPr="00F11FC5">
        <w:rPr>
          <w:sz w:val="24"/>
          <w:szCs w:val="24"/>
        </w:rPr>
        <w:t xml:space="preserve"> </w:t>
      </w:r>
      <w:r w:rsidR="00AA7515" w:rsidRPr="00A97422">
        <w:rPr>
          <w:sz w:val="24"/>
          <w:szCs w:val="24"/>
        </w:rPr>
        <w:t xml:space="preserve">issued pursuant to </w:t>
      </w:r>
      <w:r w:rsidR="00AA7515" w:rsidRPr="00A97422">
        <w:rPr>
          <w:i/>
          <w:iCs/>
          <w:sz w:val="24"/>
          <w:szCs w:val="24"/>
        </w:rPr>
        <w:t>Major and Minor Source Air Emission License Regulation</w:t>
      </w:r>
      <w:r w:rsidR="00AA7515" w:rsidRPr="00A97422">
        <w:rPr>
          <w:sz w:val="24"/>
          <w:szCs w:val="24"/>
        </w:rPr>
        <w:t>, 06</w:t>
      </w:r>
      <w:r w:rsidR="00807F2C">
        <w:rPr>
          <w:sz w:val="24"/>
          <w:szCs w:val="24"/>
        </w:rPr>
        <w:noBreakHyphen/>
      </w:r>
      <w:r w:rsidR="00AA7515" w:rsidRPr="00A97422">
        <w:rPr>
          <w:sz w:val="24"/>
          <w:szCs w:val="24"/>
        </w:rPr>
        <w:t>096 Code of Maine Rules (C.M.R.) ch. 115</w:t>
      </w:r>
      <w:r w:rsidR="009C50ED" w:rsidRPr="00F11FC5">
        <w:rPr>
          <w:sz w:val="24"/>
          <w:szCs w:val="24"/>
        </w:rPr>
        <w:t>.</w:t>
      </w:r>
      <w:r w:rsidRPr="00F11FC5">
        <w:rPr>
          <w:sz w:val="24"/>
          <w:szCs w:val="24"/>
        </w:rPr>
        <w:t xml:space="preserve"> Such parties </w:t>
      </w:r>
      <w:r w:rsidR="004728B7">
        <w:rPr>
          <w:sz w:val="24"/>
          <w:szCs w:val="24"/>
        </w:rPr>
        <w:t>must</w:t>
      </w:r>
      <w:r w:rsidRPr="00F11FC5">
        <w:rPr>
          <w:sz w:val="24"/>
          <w:szCs w:val="24"/>
        </w:rPr>
        <w:t xml:space="preserve"> do so by obtaining a </w:t>
      </w:r>
      <w:r w:rsidR="00957E12" w:rsidRPr="00F11FC5">
        <w:rPr>
          <w:sz w:val="24"/>
          <w:szCs w:val="24"/>
        </w:rPr>
        <w:t xml:space="preserve">Class IV-A </w:t>
      </w:r>
      <w:r w:rsidR="00AA7515">
        <w:rPr>
          <w:sz w:val="24"/>
          <w:szCs w:val="24"/>
        </w:rPr>
        <w:t>i</w:t>
      </w:r>
      <w:r w:rsidR="00AB072C" w:rsidRPr="00F11FC5">
        <w:rPr>
          <w:sz w:val="24"/>
          <w:szCs w:val="24"/>
        </w:rPr>
        <w:t>ncinerator</w:t>
      </w:r>
      <w:r w:rsidRPr="00F11FC5">
        <w:rPr>
          <w:sz w:val="24"/>
          <w:szCs w:val="24"/>
        </w:rPr>
        <w:t xml:space="preserve"> </w:t>
      </w:r>
      <w:r w:rsidR="009C50ED" w:rsidRPr="00F11FC5">
        <w:rPr>
          <w:sz w:val="24"/>
          <w:szCs w:val="24"/>
        </w:rPr>
        <w:t>General Permit</w:t>
      </w:r>
      <w:r w:rsidR="00683BA7">
        <w:rPr>
          <w:sz w:val="24"/>
          <w:szCs w:val="24"/>
        </w:rPr>
        <w:t xml:space="preserve"> Number</w:t>
      </w:r>
      <w:r w:rsidR="009C50ED" w:rsidRPr="00F11FC5">
        <w:rPr>
          <w:sz w:val="24"/>
          <w:szCs w:val="24"/>
        </w:rPr>
        <w:t xml:space="preserve"> </w:t>
      </w:r>
      <w:r w:rsidR="00380058" w:rsidRPr="00F11FC5">
        <w:rPr>
          <w:sz w:val="24"/>
          <w:szCs w:val="24"/>
        </w:rPr>
        <w:t>(GP</w:t>
      </w:r>
      <w:r w:rsidR="00683BA7">
        <w:rPr>
          <w:sz w:val="24"/>
          <w:szCs w:val="24"/>
        </w:rPr>
        <w:t>N</w:t>
      </w:r>
      <w:r w:rsidRPr="00F11FC5">
        <w:rPr>
          <w:sz w:val="24"/>
          <w:szCs w:val="24"/>
        </w:rPr>
        <w:t xml:space="preserve">) for each </w:t>
      </w:r>
      <w:r w:rsidR="009C50ED" w:rsidRPr="00F11FC5">
        <w:rPr>
          <w:sz w:val="24"/>
          <w:szCs w:val="24"/>
        </w:rPr>
        <w:t xml:space="preserve">Class IV-A </w:t>
      </w:r>
      <w:r w:rsidR="00AA7515">
        <w:rPr>
          <w:sz w:val="24"/>
          <w:szCs w:val="24"/>
        </w:rPr>
        <w:t>i</w:t>
      </w:r>
      <w:r w:rsidR="00E6692C" w:rsidRPr="00F11FC5">
        <w:rPr>
          <w:sz w:val="24"/>
          <w:szCs w:val="24"/>
        </w:rPr>
        <w:t>ncinerator</w:t>
      </w:r>
      <w:r w:rsidRPr="00F11FC5">
        <w:rPr>
          <w:sz w:val="24"/>
          <w:szCs w:val="24"/>
        </w:rPr>
        <w:t xml:space="preserve"> </w:t>
      </w:r>
      <w:r w:rsidR="00D575CC" w:rsidRPr="00F11FC5">
        <w:rPr>
          <w:sz w:val="24"/>
          <w:szCs w:val="24"/>
        </w:rPr>
        <w:t>unit</w:t>
      </w:r>
      <w:r w:rsidR="00E6692C" w:rsidRPr="00F11FC5">
        <w:rPr>
          <w:sz w:val="24"/>
          <w:szCs w:val="24"/>
        </w:rPr>
        <w:t xml:space="preserve"> </w:t>
      </w:r>
      <w:r w:rsidR="00AB072C" w:rsidRPr="00F11FC5">
        <w:rPr>
          <w:sz w:val="24"/>
          <w:szCs w:val="24"/>
        </w:rPr>
        <w:t xml:space="preserve">by </w:t>
      </w:r>
      <w:r w:rsidRPr="00F11FC5">
        <w:rPr>
          <w:sz w:val="24"/>
          <w:szCs w:val="24"/>
        </w:rPr>
        <w:t>submitting a</w:t>
      </w:r>
      <w:r w:rsidR="004A44D8">
        <w:rPr>
          <w:sz w:val="24"/>
          <w:szCs w:val="24"/>
        </w:rPr>
        <w:t xml:space="preserve"> registration </w:t>
      </w:r>
      <w:r w:rsidR="00AA7515">
        <w:rPr>
          <w:sz w:val="24"/>
          <w:szCs w:val="24"/>
        </w:rPr>
        <w:t>attesting</w:t>
      </w:r>
      <w:r w:rsidRPr="00F11FC5">
        <w:rPr>
          <w:sz w:val="24"/>
          <w:szCs w:val="24"/>
        </w:rPr>
        <w:t xml:space="preserve"> to formal agreement to abide by a</w:t>
      </w:r>
      <w:r w:rsidR="00957E12" w:rsidRPr="00F11FC5">
        <w:rPr>
          <w:sz w:val="24"/>
          <w:szCs w:val="24"/>
        </w:rPr>
        <w:t xml:space="preserve">ll conditions </w:t>
      </w:r>
      <w:r w:rsidR="008A3520">
        <w:rPr>
          <w:sz w:val="24"/>
          <w:szCs w:val="24"/>
        </w:rPr>
        <w:t>of this Chapter</w:t>
      </w:r>
      <w:r w:rsidR="00957E12" w:rsidRPr="00F11FC5">
        <w:rPr>
          <w:sz w:val="24"/>
          <w:szCs w:val="24"/>
        </w:rPr>
        <w:t>.</w:t>
      </w:r>
      <w:r w:rsidRPr="00F11FC5">
        <w:rPr>
          <w:sz w:val="24"/>
          <w:szCs w:val="24"/>
        </w:rPr>
        <w:t xml:space="preserve"> If the construction, modification, or operation of a </w:t>
      </w:r>
      <w:r w:rsidR="00957E12" w:rsidRPr="00F11FC5">
        <w:rPr>
          <w:sz w:val="24"/>
          <w:szCs w:val="24"/>
        </w:rPr>
        <w:t xml:space="preserve">Class IV-A </w:t>
      </w:r>
      <w:r w:rsidR="008A3520">
        <w:rPr>
          <w:sz w:val="24"/>
          <w:szCs w:val="24"/>
        </w:rPr>
        <w:t>i</w:t>
      </w:r>
      <w:r w:rsidR="00957E12" w:rsidRPr="00F11FC5">
        <w:rPr>
          <w:sz w:val="24"/>
          <w:szCs w:val="24"/>
        </w:rPr>
        <w:t>ncinerator</w:t>
      </w:r>
      <w:r w:rsidRPr="00F11FC5">
        <w:rPr>
          <w:sz w:val="24"/>
          <w:szCs w:val="24"/>
        </w:rPr>
        <w:t xml:space="preserve"> by the </w:t>
      </w:r>
      <w:r w:rsidR="009C50ED" w:rsidRPr="00F11FC5">
        <w:rPr>
          <w:sz w:val="24"/>
          <w:szCs w:val="24"/>
        </w:rPr>
        <w:t>owner</w:t>
      </w:r>
      <w:r w:rsidR="008A3520">
        <w:rPr>
          <w:sz w:val="24"/>
          <w:szCs w:val="24"/>
        </w:rPr>
        <w:t xml:space="preserve"> or </w:t>
      </w:r>
      <w:r w:rsidRPr="00F11FC5">
        <w:rPr>
          <w:sz w:val="24"/>
          <w:szCs w:val="24"/>
        </w:rPr>
        <w:t xml:space="preserve">operator would not comply with all </w:t>
      </w:r>
      <w:r w:rsidR="00C22E7B">
        <w:rPr>
          <w:sz w:val="24"/>
          <w:szCs w:val="24"/>
        </w:rPr>
        <w:t>requirements</w:t>
      </w:r>
      <w:r w:rsidR="00C22E7B" w:rsidRPr="00F11FC5">
        <w:rPr>
          <w:sz w:val="24"/>
          <w:szCs w:val="24"/>
        </w:rPr>
        <w:t xml:space="preserve"> </w:t>
      </w:r>
      <w:r w:rsidRPr="00F11FC5">
        <w:rPr>
          <w:sz w:val="24"/>
          <w:szCs w:val="24"/>
        </w:rPr>
        <w:t xml:space="preserve">of this </w:t>
      </w:r>
      <w:r w:rsidR="008A3520">
        <w:rPr>
          <w:sz w:val="24"/>
          <w:szCs w:val="24"/>
        </w:rPr>
        <w:t>Chapter</w:t>
      </w:r>
      <w:r w:rsidRPr="00F11FC5">
        <w:rPr>
          <w:sz w:val="24"/>
          <w:szCs w:val="24"/>
        </w:rPr>
        <w:t xml:space="preserve">, the </w:t>
      </w:r>
      <w:r w:rsidR="00AB072C" w:rsidRPr="00F11FC5">
        <w:rPr>
          <w:sz w:val="24"/>
          <w:szCs w:val="24"/>
        </w:rPr>
        <w:t>owner</w:t>
      </w:r>
      <w:r w:rsidR="008A3520">
        <w:rPr>
          <w:sz w:val="24"/>
          <w:szCs w:val="24"/>
        </w:rPr>
        <w:t xml:space="preserve"> or </w:t>
      </w:r>
      <w:r w:rsidRPr="00F11FC5">
        <w:rPr>
          <w:sz w:val="24"/>
          <w:szCs w:val="24"/>
        </w:rPr>
        <w:t>operator must apply for and obtain an air emission license</w:t>
      </w:r>
      <w:r w:rsidR="008A3520">
        <w:rPr>
          <w:sz w:val="24"/>
          <w:szCs w:val="24"/>
        </w:rPr>
        <w:t xml:space="preserve"> pursuant to 06-096 C.M.R. ch. 115</w:t>
      </w:r>
      <w:r w:rsidRPr="00F11FC5">
        <w:rPr>
          <w:sz w:val="24"/>
          <w:szCs w:val="24"/>
        </w:rPr>
        <w:t xml:space="preserve"> before beginning the actual construction, modification, or operation of the source.</w:t>
      </w:r>
    </w:p>
    <w:p w14:paraId="30A55A04" w14:textId="77777777" w:rsidR="006C470B" w:rsidRPr="00F11FC5" w:rsidRDefault="006C470B" w:rsidP="0042443E">
      <w:pPr>
        <w:rPr>
          <w:rFonts w:ascii="Times New Roman" w:hAnsi="Times New Roman"/>
          <w:szCs w:val="24"/>
        </w:rPr>
      </w:pPr>
    </w:p>
    <w:p w14:paraId="527B15A2" w14:textId="77777777" w:rsidR="006C470B" w:rsidRPr="005A54FF" w:rsidRDefault="006C470B" w:rsidP="008D4FC9">
      <w:pPr>
        <w:pStyle w:val="RuleLevel1"/>
      </w:pPr>
      <w:r w:rsidRPr="005A54FF">
        <w:t>Applicability</w:t>
      </w:r>
    </w:p>
    <w:p w14:paraId="56F9BAF2" w14:textId="77777777" w:rsidR="006C470B" w:rsidRPr="00F11FC5" w:rsidRDefault="006C470B" w:rsidP="0042443E">
      <w:pPr>
        <w:pStyle w:val="RulesSection"/>
        <w:jc w:val="left"/>
        <w:rPr>
          <w:sz w:val="24"/>
          <w:szCs w:val="24"/>
        </w:rPr>
      </w:pPr>
    </w:p>
    <w:p w14:paraId="4585C09D" w14:textId="12D59F16" w:rsidR="006C470B" w:rsidRPr="00F11FC5" w:rsidRDefault="006C470B" w:rsidP="0042443E">
      <w:pPr>
        <w:pStyle w:val="RulesSection"/>
        <w:numPr>
          <w:ilvl w:val="0"/>
          <w:numId w:val="2"/>
        </w:numPr>
        <w:jc w:val="left"/>
        <w:rPr>
          <w:sz w:val="24"/>
          <w:szCs w:val="24"/>
        </w:rPr>
      </w:pPr>
      <w:r w:rsidRPr="00F11FC5">
        <w:rPr>
          <w:sz w:val="24"/>
          <w:szCs w:val="24"/>
        </w:rPr>
        <w:t xml:space="preserve">This </w:t>
      </w:r>
      <w:r w:rsidR="008A3520">
        <w:rPr>
          <w:sz w:val="24"/>
          <w:szCs w:val="24"/>
        </w:rPr>
        <w:t>Chapter</w:t>
      </w:r>
      <w:r w:rsidR="008A3520" w:rsidRPr="00F11FC5">
        <w:rPr>
          <w:sz w:val="24"/>
          <w:szCs w:val="24"/>
        </w:rPr>
        <w:t xml:space="preserve"> </w:t>
      </w:r>
      <w:r w:rsidRPr="00F11FC5">
        <w:rPr>
          <w:sz w:val="24"/>
          <w:szCs w:val="24"/>
        </w:rPr>
        <w:t>applies statewide.</w:t>
      </w:r>
    </w:p>
    <w:p w14:paraId="373B13B0" w14:textId="77777777" w:rsidR="006C470B" w:rsidRPr="00F11FC5" w:rsidRDefault="006C470B" w:rsidP="0042443E">
      <w:pPr>
        <w:pStyle w:val="RulesSection"/>
        <w:ind w:left="330" w:firstLine="0"/>
        <w:jc w:val="left"/>
        <w:rPr>
          <w:sz w:val="24"/>
          <w:szCs w:val="24"/>
        </w:rPr>
      </w:pPr>
    </w:p>
    <w:p w14:paraId="706F19CE" w14:textId="1D2CB20A" w:rsidR="006C470B" w:rsidRPr="00F11FC5" w:rsidRDefault="004A44D8" w:rsidP="0042443E">
      <w:pPr>
        <w:pStyle w:val="RulesSection"/>
        <w:numPr>
          <w:ilvl w:val="0"/>
          <w:numId w:val="2"/>
        </w:numPr>
        <w:jc w:val="left"/>
        <w:rPr>
          <w:sz w:val="24"/>
          <w:szCs w:val="24"/>
        </w:rPr>
      </w:pPr>
      <w:r>
        <w:rPr>
          <w:sz w:val="24"/>
          <w:szCs w:val="24"/>
        </w:rPr>
        <w:t xml:space="preserve">The registrations and notifications required to comply with this general permit are exempt from </w:t>
      </w:r>
      <w:r w:rsidR="006C470B" w:rsidRPr="00F11FC5">
        <w:rPr>
          <w:i/>
          <w:sz w:val="24"/>
          <w:szCs w:val="24"/>
        </w:rPr>
        <w:t>Processing of Applications and Other Administrative Matters,</w:t>
      </w:r>
      <w:r w:rsidR="009C50ED" w:rsidRPr="00F11FC5">
        <w:rPr>
          <w:sz w:val="24"/>
          <w:szCs w:val="24"/>
        </w:rPr>
        <w:t xml:space="preserve"> 06-096 C</w:t>
      </w:r>
      <w:r w:rsidR="008A3520">
        <w:rPr>
          <w:sz w:val="24"/>
          <w:szCs w:val="24"/>
        </w:rPr>
        <w:t>.</w:t>
      </w:r>
      <w:r w:rsidR="009C50ED" w:rsidRPr="00F11FC5">
        <w:rPr>
          <w:sz w:val="24"/>
          <w:szCs w:val="24"/>
        </w:rPr>
        <w:t>M</w:t>
      </w:r>
      <w:r w:rsidR="008A3520">
        <w:rPr>
          <w:sz w:val="24"/>
          <w:szCs w:val="24"/>
        </w:rPr>
        <w:t>.</w:t>
      </w:r>
      <w:r w:rsidR="009C50ED" w:rsidRPr="00F11FC5">
        <w:rPr>
          <w:sz w:val="24"/>
          <w:szCs w:val="24"/>
        </w:rPr>
        <w:t>R</w:t>
      </w:r>
      <w:r w:rsidR="008A3520">
        <w:rPr>
          <w:sz w:val="24"/>
          <w:szCs w:val="24"/>
        </w:rPr>
        <w:t>.</w:t>
      </w:r>
      <w:r w:rsidR="009C50ED" w:rsidRPr="00F11FC5">
        <w:rPr>
          <w:sz w:val="24"/>
          <w:szCs w:val="24"/>
        </w:rPr>
        <w:t xml:space="preserve"> </w:t>
      </w:r>
      <w:r w:rsidR="008A3520">
        <w:rPr>
          <w:sz w:val="24"/>
          <w:szCs w:val="24"/>
        </w:rPr>
        <w:t xml:space="preserve">ch. </w:t>
      </w:r>
      <w:r w:rsidR="009C50ED" w:rsidRPr="00F11FC5">
        <w:rPr>
          <w:sz w:val="24"/>
          <w:szCs w:val="24"/>
        </w:rPr>
        <w:t>2</w:t>
      </w:r>
      <w:r>
        <w:rPr>
          <w:sz w:val="24"/>
          <w:szCs w:val="24"/>
        </w:rPr>
        <w:t xml:space="preserve"> pursuant to section 2(B) of that rule</w:t>
      </w:r>
      <w:r w:rsidR="006C470B" w:rsidRPr="00F11FC5">
        <w:rPr>
          <w:sz w:val="24"/>
          <w:szCs w:val="24"/>
        </w:rPr>
        <w:t>.</w:t>
      </w:r>
    </w:p>
    <w:p w14:paraId="713DEFFD" w14:textId="77777777" w:rsidR="006C470B" w:rsidRPr="00F11FC5" w:rsidRDefault="006C470B" w:rsidP="0042443E">
      <w:pPr>
        <w:pStyle w:val="RulesSection"/>
        <w:ind w:left="330" w:firstLine="0"/>
        <w:jc w:val="left"/>
        <w:rPr>
          <w:sz w:val="24"/>
          <w:szCs w:val="24"/>
        </w:rPr>
      </w:pPr>
    </w:p>
    <w:p w14:paraId="702CBC5C" w14:textId="3EFC0F7E" w:rsidR="006C470B" w:rsidRDefault="006C470B" w:rsidP="0042443E">
      <w:pPr>
        <w:pStyle w:val="RulesSection"/>
        <w:numPr>
          <w:ilvl w:val="0"/>
          <w:numId w:val="2"/>
        </w:numPr>
        <w:jc w:val="left"/>
        <w:rPr>
          <w:sz w:val="24"/>
          <w:szCs w:val="24"/>
        </w:rPr>
      </w:pPr>
      <w:r w:rsidRPr="00F11FC5">
        <w:rPr>
          <w:sz w:val="24"/>
          <w:szCs w:val="24"/>
        </w:rPr>
        <w:t xml:space="preserve">This </w:t>
      </w:r>
      <w:r w:rsidR="008A3520">
        <w:rPr>
          <w:sz w:val="24"/>
          <w:szCs w:val="24"/>
        </w:rPr>
        <w:t>Chapter</w:t>
      </w:r>
      <w:r w:rsidR="008A3520" w:rsidRPr="00F11FC5">
        <w:rPr>
          <w:sz w:val="24"/>
          <w:szCs w:val="24"/>
        </w:rPr>
        <w:t xml:space="preserve"> </w:t>
      </w:r>
      <w:r w:rsidRPr="00F11FC5">
        <w:rPr>
          <w:sz w:val="24"/>
          <w:szCs w:val="24"/>
        </w:rPr>
        <w:t xml:space="preserve">applies to all </w:t>
      </w:r>
      <w:r w:rsidR="007A5E63" w:rsidRPr="00F11FC5">
        <w:rPr>
          <w:sz w:val="24"/>
          <w:szCs w:val="24"/>
        </w:rPr>
        <w:t xml:space="preserve">Class IV-A </w:t>
      </w:r>
      <w:r w:rsidR="008A3520">
        <w:rPr>
          <w:sz w:val="24"/>
          <w:szCs w:val="24"/>
        </w:rPr>
        <w:t>v</w:t>
      </w:r>
      <w:r w:rsidR="009C50ED" w:rsidRPr="00F11FC5">
        <w:rPr>
          <w:sz w:val="24"/>
          <w:szCs w:val="24"/>
        </w:rPr>
        <w:t xml:space="preserve">eterinary </w:t>
      </w:r>
      <w:r w:rsidR="008A3520">
        <w:rPr>
          <w:sz w:val="24"/>
          <w:szCs w:val="24"/>
        </w:rPr>
        <w:t>i</w:t>
      </w:r>
      <w:r w:rsidR="009C50ED" w:rsidRPr="00F11FC5">
        <w:rPr>
          <w:sz w:val="24"/>
          <w:szCs w:val="24"/>
        </w:rPr>
        <w:t xml:space="preserve">ncinerators and </w:t>
      </w:r>
      <w:r w:rsidR="008A3520">
        <w:rPr>
          <w:sz w:val="24"/>
          <w:szCs w:val="24"/>
        </w:rPr>
        <w:t>c</w:t>
      </w:r>
      <w:r w:rsidR="007A5E63" w:rsidRPr="00F11FC5">
        <w:rPr>
          <w:sz w:val="24"/>
          <w:szCs w:val="24"/>
        </w:rPr>
        <w:t>rematory</w:t>
      </w:r>
      <w:r w:rsidR="00AD2C3D" w:rsidRPr="00F11FC5">
        <w:rPr>
          <w:sz w:val="24"/>
          <w:szCs w:val="24"/>
        </w:rPr>
        <w:t xml:space="preserve"> </w:t>
      </w:r>
      <w:r w:rsidR="008A3520">
        <w:rPr>
          <w:sz w:val="24"/>
          <w:szCs w:val="24"/>
        </w:rPr>
        <w:t>i</w:t>
      </w:r>
      <w:r w:rsidR="00AD2C3D" w:rsidRPr="00F11FC5">
        <w:rPr>
          <w:sz w:val="24"/>
          <w:szCs w:val="24"/>
        </w:rPr>
        <w:t>ncinerators</w:t>
      </w:r>
      <w:r w:rsidRPr="00F11FC5">
        <w:rPr>
          <w:sz w:val="24"/>
          <w:szCs w:val="24"/>
        </w:rPr>
        <w:t xml:space="preserve"> unless the </w:t>
      </w:r>
      <w:r w:rsidR="009C50ED" w:rsidRPr="00F11FC5">
        <w:rPr>
          <w:sz w:val="24"/>
          <w:szCs w:val="24"/>
        </w:rPr>
        <w:t>unit</w:t>
      </w:r>
      <w:r w:rsidRPr="00F11FC5">
        <w:rPr>
          <w:sz w:val="24"/>
          <w:szCs w:val="24"/>
        </w:rPr>
        <w:t xml:space="preserve"> </w:t>
      </w:r>
      <w:r w:rsidR="00EC7363" w:rsidRPr="00F11FC5">
        <w:rPr>
          <w:sz w:val="24"/>
          <w:szCs w:val="24"/>
        </w:rPr>
        <w:t xml:space="preserve">would be required to be </w:t>
      </w:r>
      <w:r w:rsidR="008A3520">
        <w:rPr>
          <w:sz w:val="24"/>
          <w:szCs w:val="24"/>
        </w:rPr>
        <w:t>included in an</w:t>
      </w:r>
      <w:r w:rsidRPr="00F11FC5">
        <w:rPr>
          <w:sz w:val="24"/>
          <w:szCs w:val="24"/>
        </w:rPr>
        <w:t xml:space="preserve"> air emission license</w:t>
      </w:r>
      <w:r w:rsidR="008A3520">
        <w:rPr>
          <w:sz w:val="24"/>
          <w:szCs w:val="24"/>
        </w:rPr>
        <w:t xml:space="preserve"> issued pursuant to 06-096 C.M.R. ch. 115</w:t>
      </w:r>
      <w:r w:rsidRPr="00F11FC5">
        <w:rPr>
          <w:sz w:val="24"/>
          <w:szCs w:val="24"/>
        </w:rPr>
        <w:t>.</w:t>
      </w:r>
    </w:p>
    <w:p w14:paraId="00275095" w14:textId="77777777" w:rsidR="00672749" w:rsidRDefault="00672749" w:rsidP="008D4FC9">
      <w:pPr>
        <w:pStyle w:val="ListParagraph"/>
        <w:rPr>
          <w:szCs w:val="24"/>
        </w:rPr>
      </w:pPr>
    </w:p>
    <w:p w14:paraId="17CBCA94" w14:textId="5DD2674B" w:rsidR="00672749" w:rsidRPr="00F11FC5" w:rsidRDefault="00672749" w:rsidP="00CE6539">
      <w:pPr>
        <w:pStyle w:val="RulesSection"/>
        <w:numPr>
          <w:ilvl w:val="0"/>
          <w:numId w:val="2"/>
        </w:numPr>
        <w:tabs>
          <w:tab w:val="clear" w:pos="720"/>
        </w:tabs>
        <w:jc w:val="left"/>
        <w:rPr>
          <w:sz w:val="24"/>
          <w:szCs w:val="24"/>
        </w:rPr>
      </w:pPr>
      <w:r>
        <w:rPr>
          <w:sz w:val="24"/>
          <w:szCs w:val="24"/>
        </w:rPr>
        <w:t>The Owner must obtain a GPN pursuant to section 3 of this Chapter for each individual Class IV-A Incinerator.</w:t>
      </w:r>
    </w:p>
    <w:p w14:paraId="7F431492" w14:textId="77777777" w:rsidR="006C470B" w:rsidRPr="00F11FC5" w:rsidRDefault="006C470B" w:rsidP="00CE6539">
      <w:pPr>
        <w:pStyle w:val="RulesSection"/>
        <w:ind w:left="720" w:hanging="390"/>
        <w:jc w:val="left"/>
        <w:rPr>
          <w:sz w:val="24"/>
          <w:szCs w:val="24"/>
        </w:rPr>
      </w:pPr>
    </w:p>
    <w:p w14:paraId="4B792EAF" w14:textId="7BF18DF6" w:rsidR="00412EEB" w:rsidRDefault="001C5C33" w:rsidP="00CE6539">
      <w:pPr>
        <w:pStyle w:val="RulesSection"/>
        <w:numPr>
          <w:ilvl w:val="0"/>
          <w:numId w:val="2"/>
        </w:numPr>
        <w:tabs>
          <w:tab w:val="clear" w:pos="720"/>
        </w:tabs>
        <w:jc w:val="left"/>
        <w:rPr>
          <w:sz w:val="24"/>
          <w:szCs w:val="24"/>
        </w:rPr>
      </w:pPr>
      <w:r w:rsidRPr="00F11FC5">
        <w:rPr>
          <w:sz w:val="24"/>
          <w:szCs w:val="24"/>
        </w:rPr>
        <w:t xml:space="preserve">This </w:t>
      </w:r>
      <w:r w:rsidR="008A3520">
        <w:rPr>
          <w:sz w:val="24"/>
          <w:szCs w:val="24"/>
        </w:rPr>
        <w:t>Chapter</w:t>
      </w:r>
      <w:r w:rsidR="008A3520" w:rsidRPr="00F11FC5">
        <w:rPr>
          <w:sz w:val="24"/>
          <w:szCs w:val="24"/>
        </w:rPr>
        <w:t xml:space="preserve"> </w:t>
      </w:r>
      <w:r w:rsidRPr="00F11FC5">
        <w:rPr>
          <w:sz w:val="24"/>
          <w:szCs w:val="24"/>
        </w:rPr>
        <w:t>does not exempt a source from any applicable state or federal requirements including</w:t>
      </w:r>
      <w:r w:rsidR="008A3520">
        <w:rPr>
          <w:sz w:val="24"/>
          <w:szCs w:val="24"/>
        </w:rPr>
        <w:t xml:space="preserve">, but not limited to, those </w:t>
      </w:r>
      <w:r w:rsidR="008A3520" w:rsidRPr="0006396A">
        <w:rPr>
          <w:sz w:val="24"/>
          <w:szCs w:val="24"/>
        </w:rPr>
        <w:t>included in</w:t>
      </w:r>
      <w:r w:rsidR="0006396A" w:rsidRPr="0006396A">
        <w:rPr>
          <w:sz w:val="24"/>
          <w:szCs w:val="24"/>
        </w:rPr>
        <w:t xml:space="preserve"> 40</w:t>
      </w:r>
      <w:r w:rsidR="0006396A" w:rsidRPr="008D4FC9">
        <w:rPr>
          <w:sz w:val="24"/>
          <w:szCs w:val="24"/>
        </w:rPr>
        <w:t xml:space="preserve"> Code of Federal Regulations</w:t>
      </w:r>
      <w:r w:rsidR="0006396A">
        <w:rPr>
          <w:sz w:val="24"/>
          <w:szCs w:val="24"/>
        </w:rPr>
        <w:t xml:space="preserve"> (C.F.R.) Part 60 and 40 C.F.R. Part 63.</w:t>
      </w:r>
    </w:p>
    <w:p w14:paraId="5A5D410F" w14:textId="77777777" w:rsidR="00856218" w:rsidRDefault="00856218" w:rsidP="00CE6539">
      <w:pPr>
        <w:pStyle w:val="ListParagraph"/>
        <w:ind w:hanging="390"/>
        <w:rPr>
          <w:szCs w:val="24"/>
        </w:rPr>
      </w:pPr>
    </w:p>
    <w:p w14:paraId="589800A3" w14:textId="7C809920" w:rsidR="00856218" w:rsidRPr="00856218" w:rsidRDefault="00856218" w:rsidP="00CE6539">
      <w:pPr>
        <w:pStyle w:val="RulesSection"/>
        <w:numPr>
          <w:ilvl w:val="0"/>
          <w:numId w:val="2"/>
        </w:numPr>
        <w:tabs>
          <w:tab w:val="clear" w:pos="720"/>
        </w:tabs>
        <w:jc w:val="left"/>
        <w:rPr>
          <w:sz w:val="24"/>
          <w:szCs w:val="24"/>
        </w:rPr>
      </w:pPr>
      <w:r w:rsidRPr="008D4FC9">
        <w:rPr>
          <w:sz w:val="24"/>
          <w:szCs w:val="24"/>
        </w:rPr>
        <w:t>Notwithstanding an activity being listed above, if upon review of a registration filed pursuant to this Chapter the Department determines the proposed activity may result in significant impact on the environment, the Department may require an owner or operator to obtain an air emission license for the activity pursuant to 06</w:t>
      </w:r>
      <w:r>
        <w:rPr>
          <w:sz w:val="24"/>
          <w:szCs w:val="24"/>
        </w:rPr>
        <w:noBreakHyphen/>
      </w:r>
      <w:r w:rsidRPr="008D4FC9">
        <w:rPr>
          <w:sz w:val="24"/>
          <w:szCs w:val="24"/>
        </w:rPr>
        <w:t>096</w:t>
      </w:r>
      <w:r>
        <w:rPr>
          <w:sz w:val="24"/>
          <w:szCs w:val="24"/>
        </w:rPr>
        <w:t> </w:t>
      </w:r>
      <w:r w:rsidRPr="008D4FC9">
        <w:rPr>
          <w:sz w:val="24"/>
          <w:szCs w:val="24"/>
        </w:rPr>
        <w:t>C.M.R. ch. 115.</w:t>
      </w:r>
    </w:p>
    <w:p w14:paraId="0300BCFB" w14:textId="77777777" w:rsidR="00EC7363" w:rsidRPr="00F11FC5" w:rsidRDefault="00EC7363" w:rsidP="0042443E">
      <w:pPr>
        <w:pStyle w:val="RulesSub-section"/>
        <w:ind w:left="330" w:firstLine="0"/>
        <w:jc w:val="left"/>
        <w:rPr>
          <w:b/>
          <w:sz w:val="24"/>
          <w:szCs w:val="24"/>
        </w:rPr>
      </w:pPr>
    </w:p>
    <w:p w14:paraId="62A96173" w14:textId="77777777" w:rsidR="008D4FC9" w:rsidRDefault="008D4FC9">
      <w:pPr>
        <w:rPr>
          <w:rFonts w:ascii="Times New Roman" w:hAnsi="Times New Roman"/>
          <w:b/>
          <w:szCs w:val="24"/>
        </w:rPr>
      </w:pPr>
      <w:r>
        <w:rPr>
          <w:b/>
          <w:szCs w:val="24"/>
        </w:rPr>
        <w:br w:type="page"/>
      </w:r>
    </w:p>
    <w:p w14:paraId="552DDE1A" w14:textId="7BB8267C" w:rsidR="007A5E63" w:rsidRPr="00F11FC5" w:rsidRDefault="007A5E63" w:rsidP="008D4FC9">
      <w:pPr>
        <w:pStyle w:val="RulesSub-section"/>
        <w:numPr>
          <w:ilvl w:val="0"/>
          <w:numId w:val="2"/>
        </w:numPr>
        <w:tabs>
          <w:tab w:val="clear" w:pos="720"/>
          <w:tab w:val="num" w:pos="900"/>
        </w:tabs>
        <w:jc w:val="left"/>
        <w:rPr>
          <w:sz w:val="24"/>
          <w:szCs w:val="24"/>
        </w:rPr>
      </w:pPr>
      <w:r w:rsidRPr="00F11FC5">
        <w:rPr>
          <w:b/>
          <w:sz w:val="24"/>
          <w:szCs w:val="24"/>
        </w:rPr>
        <w:lastRenderedPageBreak/>
        <w:t>Exclusions</w:t>
      </w:r>
      <w:r w:rsidRPr="00F11FC5">
        <w:rPr>
          <w:sz w:val="24"/>
          <w:szCs w:val="24"/>
        </w:rPr>
        <w:t xml:space="preserve">. A </w:t>
      </w:r>
      <w:r w:rsidR="001302FA" w:rsidRPr="00F11FC5">
        <w:rPr>
          <w:sz w:val="24"/>
          <w:szCs w:val="24"/>
        </w:rPr>
        <w:t xml:space="preserve">Class IV-A </w:t>
      </w:r>
      <w:r w:rsidR="001302FA">
        <w:rPr>
          <w:sz w:val="24"/>
          <w:szCs w:val="24"/>
        </w:rPr>
        <w:t>i</w:t>
      </w:r>
      <w:r w:rsidR="001302FA" w:rsidRPr="00F11FC5">
        <w:rPr>
          <w:sz w:val="24"/>
          <w:szCs w:val="24"/>
        </w:rPr>
        <w:t xml:space="preserve">ncinerator </w:t>
      </w:r>
      <w:r w:rsidR="001302FA">
        <w:rPr>
          <w:sz w:val="24"/>
          <w:szCs w:val="24"/>
        </w:rPr>
        <w:t xml:space="preserve">is not eligible for </w:t>
      </w:r>
      <w:r w:rsidRPr="00F11FC5">
        <w:rPr>
          <w:sz w:val="24"/>
          <w:szCs w:val="24"/>
        </w:rPr>
        <w:t xml:space="preserve">a </w:t>
      </w:r>
      <w:r w:rsidR="009C50ED" w:rsidRPr="00F11FC5">
        <w:rPr>
          <w:sz w:val="24"/>
          <w:szCs w:val="24"/>
        </w:rPr>
        <w:t>GP</w:t>
      </w:r>
      <w:r w:rsidR="00683BA7">
        <w:rPr>
          <w:sz w:val="24"/>
          <w:szCs w:val="24"/>
        </w:rPr>
        <w:t>N</w:t>
      </w:r>
      <w:r w:rsidRPr="00F11FC5">
        <w:rPr>
          <w:sz w:val="24"/>
          <w:szCs w:val="24"/>
        </w:rPr>
        <w:t xml:space="preserve"> </w:t>
      </w:r>
      <w:r w:rsidR="001302FA">
        <w:rPr>
          <w:sz w:val="24"/>
          <w:szCs w:val="24"/>
        </w:rPr>
        <w:t xml:space="preserve">pursuant to this Chapter and the owner or operator must instead obtain </w:t>
      </w:r>
      <w:r w:rsidR="001302FA" w:rsidRPr="00A97422">
        <w:rPr>
          <w:sz w:val="24"/>
          <w:szCs w:val="24"/>
        </w:rPr>
        <w:t>an air emission license pursuant to 06</w:t>
      </w:r>
      <w:r w:rsidR="008D4FC9">
        <w:rPr>
          <w:sz w:val="24"/>
          <w:szCs w:val="24"/>
        </w:rPr>
        <w:noBreakHyphen/>
      </w:r>
      <w:r w:rsidR="001302FA" w:rsidRPr="00A97422">
        <w:rPr>
          <w:sz w:val="24"/>
          <w:szCs w:val="24"/>
        </w:rPr>
        <w:t>096</w:t>
      </w:r>
      <w:r w:rsidR="008D4FC9">
        <w:rPr>
          <w:sz w:val="24"/>
          <w:szCs w:val="24"/>
        </w:rPr>
        <w:t> </w:t>
      </w:r>
      <w:r w:rsidR="001302FA" w:rsidRPr="00A97422">
        <w:rPr>
          <w:sz w:val="24"/>
          <w:szCs w:val="24"/>
        </w:rPr>
        <w:t xml:space="preserve">C.M.R. ch. 115 </w:t>
      </w:r>
      <w:r w:rsidRPr="00F11FC5">
        <w:rPr>
          <w:sz w:val="24"/>
          <w:szCs w:val="24"/>
        </w:rPr>
        <w:t>if</w:t>
      </w:r>
      <w:r w:rsidR="00F43832">
        <w:rPr>
          <w:sz w:val="24"/>
          <w:szCs w:val="24"/>
        </w:rPr>
        <w:t xml:space="preserve"> any of the following circumstances apply</w:t>
      </w:r>
      <w:r w:rsidRPr="00F11FC5">
        <w:rPr>
          <w:sz w:val="24"/>
          <w:szCs w:val="24"/>
        </w:rPr>
        <w:t>:</w:t>
      </w:r>
    </w:p>
    <w:p w14:paraId="5BAE6848" w14:textId="77777777" w:rsidR="007A5E63" w:rsidRPr="00F11FC5" w:rsidRDefault="007A5E63" w:rsidP="0042443E">
      <w:pPr>
        <w:pStyle w:val="RulesSub-section"/>
        <w:keepNext/>
        <w:keepLines/>
        <w:ind w:left="0" w:firstLine="0"/>
        <w:jc w:val="left"/>
        <w:rPr>
          <w:b/>
          <w:sz w:val="24"/>
          <w:szCs w:val="24"/>
        </w:rPr>
      </w:pPr>
    </w:p>
    <w:p w14:paraId="2289C606" w14:textId="3D82EA66" w:rsidR="001302FA" w:rsidRPr="001302FA" w:rsidRDefault="008C7910" w:rsidP="0042443E">
      <w:pPr>
        <w:pStyle w:val="RulesSub-section"/>
        <w:keepNext/>
        <w:keepLines/>
        <w:numPr>
          <w:ilvl w:val="0"/>
          <w:numId w:val="27"/>
        </w:numPr>
        <w:ind w:left="1080"/>
        <w:jc w:val="left"/>
        <w:rPr>
          <w:b/>
          <w:sz w:val="24"/>
          <w:szCs w:val="24"/>
        </w:rPr>
      </w:pPr>
      <w:r>
        <w:rPr>
          <w:sz w:val="24"/>
          <w:szCs w:val="24"/>
        </w:rPr>
        <w:t>The</w:t>
      </w:r>
      <w:r w:rsidR="007A5E63" w:rsidRPr="001302FA">
        <w:rPr>
          <w:sz w:val="24"/>
          <w:szCs w:val="24"/>
        </w:rPr>
        <w:t xml:space="preserve"> Department</w:t>
      </w:r>
      <w:r>
        <w:rPr>
          <w:sz w:val="24"/>
          <w:szCs w:val="24"/>
        </w:rPr>
        <w:t xml:space="preserve"> determines</w:t>
      </w:r>
      <w:r w:rsidR="007A5E63" w:rsidRPr="001302FA">
        <w:rPr>
          <w:sz w:val="24"/>
          <w:szCs w:val="24"/>
        </w:rPr>
        <w:t xml:space="preserve"> that the </w:t>
      </w:r>
      <w:r w:rsidR="00C33796">
        <w:rPr>
          <w:sz w:val="24"/>
          <w:szCs w:val="24"/>
        </w:rPr>
        <w:t>owner or operator</w:t>
      </w:r>
      <w:r w:rsidR="00C33796" w:rsidRPr="001302FA">
        <w:rPr>
          <w:sz w:val="24"/>
          <w:szCs w:val="24"/>
        </w:rPr>
        <w:t xml:space="preserve"> </w:t>
      </w:r>
      <w:r w:rsidR="007A5E63" w:rsidRPr="001302FA">
        <w:rPr>
          <w:sz w:val="24"/>
          <w:szCs w:val="24"/>
        </w:rPr>
        <w:t xml:space="preserve">cannot comply with the </w:t>
      </w:r>
      <w:r w:rsidR="00C22E7B">
        <w:rPr>
          <w:sz w:val="24"/>
          <w:szCs w:val="24"/>
        </w:rPr>
        <w:t>requirements</w:t>
      </w:r>
      <w:r w:rsidR="007A5E63" w:rsidRPr="001302FA">
        <w:rPr>
          <w:sz w:val="24"/>
          <w:szCs w:val="24"/>
        </w:rPr>
        <w:t xml:space="preserve"> of this </w:t>
      </w:r>
      <w:r w:rsidR="00C33796">
        <w:rPr>
          <w:sz w:val="24"/>
          <w:szCs w:val="24"/>
        </w:rPr>
        <w:t>Chapter</w:t>
      </w:r>
      <w:r w:rsidR="007A5E63" w:rsidRPr="001302FA">
        <w:rPr>
          <w:sz w:val="24"/>
          <w:szCs w:val="24"/>
        </w:rPr>
        <w:t>;</w:t>
      </w:r>
    </w:p>
    <w:p w14:paraId="4AE9BDF8" w14:textId="77777777" w:rsidR="001302FA" w:rsidRPr="001302FA" w:rsidRDefault="001302FA" w:rsidP="0042443E">
      <w:pPr>
        <w:pStyle w:val="RulesSub-section"/>
        <w:keepNext/>
        <w:keepLines/>
        <w:ind w:left="1080"/>
        <w:jc w:val="left"/>
        <w:rPr>
          <w:b/>
          <w:sz w:val="24"/>
          <w:szCs w:val="24"/>
        </w:rPr>
      </w:pPr>
    </w:p>
    <w:p w14:paraId="44F47098" w14:textId="5B1E4E3C" w:rsidR="00C33796" w:rsidRPr="00415097" w:rsidRDefault="00C33796" w:rsidP="0042443E">
      <w:pPr>
        <w:pStyle w:val="RulesSub-section"/>
        <w:keepNext/>
        <w:keepLines/>
        <w:numPr>
          <w:ilvl w:val="0"/>
          <w:numId w:val="27"/>
        </w:numPr>
        <w:tabs>
          <w:tab w:val="num" w:pos="1080"/>
        </w:tabs>
        <w:ind w:left="1080"/>
        <w:jc w:val="left"/>
        <w:rPr>
          <w:sz w:val="24"/>
          <w:szCs w:val="24"/>
        </w:rPr>
      </w:pPr>
      <w:r w:rsidRPr="00415097">
        <w:rPr>
          <w:sz w:val="24"/>
          <w:szCs w:val="24"/>
        </w:rPr>
        <w:t xml:space="preserve">The </w:t>
      </w:r>
      <w:r w:rsidRPr="008D4FC9">
        <w:rPr>
          <w:sz w:val="24"/>
          <w:szCs w:val="24"/>
        </w:rPr>
        <w:t>Class IV-A incinerator has a maximum heat input</w:t>
      </w:r>
      <w:r w:rsidR="00A06500" w:rsidRPr="008D4FC9">
        <w:rPr>
          <w:sz w:val="24"/>
          <w:szCs w:val="24"/>
        </w:rPr>
        <w:t xml:space="preserve"> (all burners combined)</w:t>
      </w:r>
      <w:r w:rsidRPr="008D4FC9">
        <w:rPr>
          <w:sz w:val="24"/>
          <w:szCs w:val="24"/>
        </w:rPr>
        <w:t xml:space="preserve"> equal to or greater than 10.0 million British thermal units per hour (MMBtu/hr);</w:t>
      </w:r>
    </w:p>
    <w:p w14:paraId="7661F0F9" w14:textId="77777777" w:rsidR="001302FA" w:rsidRDefault="001302FA" w:rsidP="0042443E">
      <w:pPr>
        <w:pStyle w:val="ListParagraph"/>
        <w:ind w:left="1080" w:hanging="360"/>
        <w:rPr>
          <w:szCs w:val="24"/>
        </w:rPr>
      </w:pPr>
    </w:p>
    <w:p w14:paraId="13FB554B" w14:textId="137C917F" w:rsidR="00AD1AA4" w:rsidRPr="00AD1AA4" w:rsidRDefault="007635B3" w:rsidP="0042443E">
      <w:pPr>
        <w:pStyle w:val="RulesSub-section"/>
        <w:keepNext/>
        <w:keepLines/>
        <w:numPr>
          <w:ilvl w:val="0"/>
          <w:numId w:val="27"/>
        </w:numPr>
        <w:tabs>
          <w:tab w:val="num" w:pos="1080"/>
        </w:tabs>
        <w:ind w:left="1080"/>
        <w:jc w:val="left"/>
        <w:rPr>
          <w:sz w:val="24"/>
          <w:szCs w:val="24"/>
        </w:rPr>
      </w:pPr>
      <w:r w:rsidRPr="00AD1AA4">
        <w:rPr>
          <w:sz w:val="24"/>
          <w:szCs w:val="24"/>
        </w:rPr>
        <w:t>The owner</w:t>
      </w:r>
      <w:r w:rsidR="00C33796">
        <w:rPr>
          <w:sz w:val="24"/>
          <w:szCs w:val="24"/>
        </w:rPr>
        <w:t xml:space="preserve"> or </w:t>
      </w:r>
      <w:r w:rsidRPr="00AD1AA4">
        <w:rPr>
          <w:sz w:val="24"/>
          <w:szCs w:val="24"/>
        </w:rPr>
        <w:t xml:space="preserve">operator </w:t>
      </w:r>
      <w:r w:rsidR="006E0E21" w:rsidRPr="00AD1AA4">
        <w:rPr>
          <w:sz w:val="24"/>
          <w:szCs w:val="24"/>
        </w:rPr>
        <w:t xml:space="preserve">owes </w:t>
      </w:r>
      <w:r w:rsidR="00C33796">
        <w:rPr>
          <w:sz w:val="24"/>
          <w:szCs w:val="24"/>
        </w:rPr>
        <w:t xml:space="preserve">any </w:t>
      </w:r>
      <w:r w:rsidRPr="00AD1AA4">
        <w:rPr>
          <w:sz w:val="24"/>
          <w:szCs w:val="24"/>
        </w:rPr>
        <w:t xml:space="preserve">past due fees </w:t>
      </w:r>
      <w:r w:rsidR="006E0E21" w:rsidRPr="00AD1AA4">
        <w:rPr>
          <w:sz w:val="24"/>
          <w:szCs w:val="24"/>
        </w:rPr>
        <w:t xml:space="preserve">or civil penalties </w:t>
      </w:r>
      <w:r w:rsidRPr="00AD1AA4">
        <w:rPr>
          <w:sz w:val="24"/>
          <w:szCs w:val="24"/>
        </w:rPr>
        <w:t>to the Department from previous</w:t>
      </w:r>
      <w:r w:rsidR="00C33796">
        <w:rPr>
          <w:sz w:val="24"/>
          <w:szCs w:val="24"/>
        </w:rPr>
        <w:t xml:space="preserve"> emission</w:t>
      </w:r>
      <w:r w:rsidRPr="00AD1AA4">
        <w:rPr>
          <w:sz w:val="24"/>
          <w:szCs w:val="24"/>
        </w:rPr>
        <w:t xml:space="preserve"> licenses, permits</w:t>
      </w:r>
      <w:r w:rsidR="0041346B">
        <w:rPr>
          <w:sz w:val="24"/>
          <w:szCs w:val="24"/>
        </w:rPr>
        <w:t>,</w:t>
      </w:r>
      <w:r w:rsidRPr="00AD1AA4">
        <w:rPr>
          <w:sz w:val="24"/>
          <w:szCs w:val="24"/>
        </w:rPr>
        <w:t xml:space="preserve"> or consent agreements</w:t>
      </w:r>
      <w:r w:rsidR="00C33796">
        <w:rPr>
          <w:sz w:val="24"/>
          <w:szCs w:val="24"/>
        </w:rPr>
        <w:t xml:space="preserve"> related to air emissions;</w:t>
      </w:r>
    </w:p>
    <w:p w14:paraId="181302B7" w14:textId="77777777" w:rsidR="00412EEB" w:rsidRDefault="00412EEB" w:rsidP="0042443E">
      <w:pPr>
        <w:pStyle w:val="RulesSection"/>
        <w:ind w:left="1140" w:hanging="399"/>
        <w:jc w:val="left"/>
        <w:rPr>
          <w:sz w:val="24"/>
          <w:szCs w:val="24"/>
        </w:rPr>
      </w:pPr>
    </w:p>
    <w:p w14:paraId="065EA287" w14:textId="77777777" w:rsidR="00C33796" w:rsidRPr="008D4FC9" w:rsidRDefault="00C33796" w:rsidP="0042443E">
      <w:pPr>
        <w:pStyle w:val="RulesSub-section"/>
        <w:numPr>
          <w:ilvl w:val="0"/>
          <w:numId w:val="27"/>
        </w:numPr>
        <w:tabs>
          <w:tab w:val="left" w:pos="720"/>
          <w:tab w:val="left" w:pos="1080"/>
        </w:tabs>
        <w:jc w:val="left"/>
        <w:rPr>
          <w:b/>
          <w:sz w:val="24"/>
          <w:szCs w:val="24"/>
        </w:rPr>
      </w:pPr>
      <w:r w:rsidRPr="00A97422">
        <w:rPr>
          <w:sz w:val="24"/>
          <w:szCs w:val="24"/>
        </w:rPr>
        <w:t>The Department has reasonable cause to believe that emissions from the proposed, modified, or relocated source will violate the control strategy or interfere with attainment or maintenance of a national ambient air quality standard in Maine or in a neighboring state; or</w:t>
      </w:r>
    </w:p>
    <w:p w14:paraId="18C2892D" w14:textId="77777777" w:rsidR="00C33796" w:rsidRDefault="00C33796" w:rsidP="008D4FC9">
      <w:pPr>
        <w:pStyle w:val="ListParagraph"/>
        <w:rPr>
          <w:b/>
          <w:szCs w:val="24"/>
        </w:rPr>
      </w:pPr>
    </w:p>
    <w:p w14:paraId="778DDA20" w14:textId="3AE22F03" w:rsidR="00C33796" w:rsidRPr="00415097" w:rsidRDefault="00C33796" w:rsidP="008D4FC9">
      <w:pPr>
        <w:pStyle w:val="RulesSub-section"/>
        <w:numPr>
          <w:ilvl w:val="0"/>
          <w:numId w:val="27"/>
        </w:numPr>
        <w:tabs>
          <w:tab w:val="left" w:pos="720"/>
          <w:tab w:val="left" w:pos="1080"/>
        </w:tabs>
        <w:jc w:val="left"/>
        <w:rPr>
          <w:b/>
          <w:szCs w:val="24"/>
        </w:rPr>
      </w:pPr>
      <w:r w:rsidRPr="008D4FC9">
        <w:rPr>
          <w:bCs/>
          <w:sz w:val="24"/>
          <w:szCs w:val="24"/>
        </w:rPr>
        <w:t xml:space="preserve">The </w:t>
      </w:r>
      <w:r w:rsidRPr="008D4FC9">
        <w:rPr>
          <w:sz w:val="24"/>
          <w:szCs w:val="24"/>
        </w:rPr>
        <w:t>Class IV-A incinerator is to be operated at a major source</w:t>
      </w:r>
      <w:r w:rsidR="00923486" w:rsidRPr="008D4FC9">
        <w:rPr>
          <w:sz w:val="24"/>
          <w:szCs w:val="24"/>
        </w:rPr>
        <w:t>,</w:t>
      </w:r>
      <w:r w:rsidRPr="008D4FC9">
        <w:rPr>
          <w:sz w:val="24"/>
          <w:szCs w:val="24"/>
        </w:rPr>
        <w:t xml:space="preserve"> and the Class IV-A incinerator and major source will be under common control. </w:t>
      </w:r>
    </w:p>
    <w:p w14:paraId="1763B648" w14:textId="77777777" w:rsidR="00C33796" w:rsidRPr="00F11FC5" w:rsidRDefault="00C33796" w:rsidP="0042443E">
      <w:pPr>
        <w:pStyle w:val="RulesSection"/>
        <w:ind w:left="1140" w:hanging="399"/>
        <w:jc w:val="left"/>
        <w:rPr>
          <w:sz w:val="24"/>
          <w:szCs w:val="24"/>
        </w:rPr>
      </w:pPr>
    </w:p>
    <w:p w14:paraId="2C5BE08D" w14:textId="77777777" w:rsidR="006C470B" w:rsidRPr="00F11FC5" w:rsidRDefault="006C470B" w:rsidP="008D4FC9">
      <w:pPr>
        <w:pStyle w:val="RuleLevel1"/>
      </w:pPr>
      <w:r w:rsidRPr="00F11FC5">
        <w:t>Definitions</w:t>
      </w:r>
    </w:p>
    <w:p w14:paraId="5BC2524B" w14:textId="77777777" w:rsidR="006C470B" w:rsidRPr="00F11FC5" w:rsidRDefault="006C470B" w:rsidP="0042443E">
      <w:pPr>
        <w:pStyle w:val="RulesSub-section"/>
        <w:jc w:val="left"/>
        <w:rPr>
          <w:b/>
          <w:sz w:val="24"/>
          <w:szCs w:val="24"/>
        </w:rPr>
      </w:pPr>
    </w:p>
    <w:p w14:paraId="48DBF59E" w14:textId="77777777" w:rsidR="006C470B" w:rsidRPr="00F11FC5" w:rsidRDefault="006C470B" w:rsidP="0042443E">
      <w:pPr>
        <w:pStyle w:val="RulesSub-section"/>
        <w:jc w:val="left"/>
        <w:rPr>
          <w:sz w:val="24"/>
          <w:szCs w:val="24"/>
        </w:rPr>
      </w:pPr>
      <w:r w:rsidRPr="00F11FC5">
        <w:rPr>
          <w:sz w:val="24"/>
          <w:szCs w:val="24"/>
        </w:rPr>
        <w:t>The following terms, as used in this Chapter, have the following meanings:</w:t>
      </w:r>
    </w:p>
    <w:p w14:paraId="396A773B" w14:textId="77777777" w:rsidR="006C470B" w:rsidRPr="00F11FC5" w:rsidRDefault="006C470B" w:rsidP="0042443E">
      <w:pPr>
        <w:pStyle w:val="RulesSub-section"/>
        <w:tabs>
          <w:tab w:val="left" w:pos="855"/>
        </w:tabs>
        <w:ind w:left="855" w:hanging="495"/>
        <w:jc w:val="left"/>
        <w:rPr>
          <w:sz w:val="24"/>
          <w:szCs w:val="24"/>
        </w:rPr>
      </w:pPr>
    </w:p>
    <w:p w14:paraId="24D18DB8" w14:textId="5142AC9E" w:rsidR="006C470B" w:rsidRPr="00F11FC5" w:rsidRDefault="00622C56" w:rsidP="0042443E">
      <w:pPr>
        <w:pStyle w:val="RulesSub-section"/>
        <w:numPr>
          <w:ilvl w:val="0"/>
          <w:numId w:val="11"/>
        </w:numPr>
        <w:tabs>
          <w:tab w:val="clear" w:pos="1080"/>
          <w:tab w:val="left" w:pos="741"/>
          <w:tab w:val="left" w:pos="855"/>
        </w:tabs>
        <w:ind w:left="741" w:hanging="381"/>
        <w:jc w:val="left"/>
        <w:rPr>
          <w:sz w:val="24"/>
          <w:szCs w:val="24"/>
        </w:rPr>
      </w:pPr>
      <w:r w:rsidRPr="00F11FC5">
        <w:rPr>
          <w:b/>
          <w:sz w:val="24"/>
          <w:szCs w:val="24"/>
        </w:rPr>
        <w:t xml:space="preserve">Class IV-A </w:t>
      </w:r>
      <w:r w:rsidR="00CF57AA">
        <w:rPr>
          <w:b/>
          <w:sz w:val="24"/>
          <w:szCs w:val="24"/>
        </w:rPr>
        <w:t>h</w:t>
      </w:r>
      <w:r w:rsidRPr="00F11FC5">
        <w:rPr>
          <w:b/>
          <w:sz w:val="24"/>
          <w:szCs w:val="24"/>
        </w:rPr>
        <w:t xml:space="preserve">uman </w:t>
      </w:r>
      <w:r w:rsidR="00CF57AA">
        <w:rPr>
          <w:b/>
          <w:sz w:val="24"/>
          <w:szCs w:val="24"/>
        </w:rPr>
        <w:t>c</w:t>
      </w:r>
      <w:r w:rsidRPr="00F11FC5">
        <w:rPr>
          <w:b/>
          <w:sz w:val="24"/>
          <w:szCs w:val="24"/>
        </w:rPr>
        <w:t xml:space="preserve">rematory </w:t>
      </w:r>
      <w:r w:rsidR="00CF57AA">
        <w:rPr>
          <w:b/>
          <w:sz w:val="24"/>
          <w:szCs w:val="24"/>
        </w:rPr>
        <w:t>i</w:t>
      </w:r>
      <w:r w:rsidRPr="00F11FC5">
        <w:rPr>
          <w:b/>
          <w:sz w:val="24"/>
          <w:szCs w:val="24"/>
        </w:rPr>
        <w:t>ncinerator</w:t>
      </w:r>
      <w:r w:rsidR="00D575CC" w:rsidRPr="00F11FC5">
        <w:rPr>
          <w:b/>
          <w:sz w:val="24"/>
          <w:szCs w:val="24"/>
        </w:rPr>
        <w:t>.</w:t>
      </w:r>
      <w:r w:rsidR="00412EEB" w:rsidRPr="00F11FC5">
        <w:rPr>
          <w:b/>
          <w:sz w:val="24"/>
          <w:szCs w:val="24"/>
        </w:rPr>
        <w:t xml:space="preserve"> </w:t>
      </w:r>
      <w:r w:rsidR="00D575CC" w:rsidRPr="008D4FC9">
        <w:rPr>
          <w:bCs/>
          <w:sz w:val="24"/>
          <w:szCs w:val="24"/>
        </w:rPr>
        <w:t>“</w:t>
      </w:r>
      <w:r w:rsidRPr="00F11FC5">
        <w:rPr>
          <w:sz w:val="24"/>
          <w:szCs w:val="24"/>
        </w:rPr>
        <w:t xml:space="preserve">Class IV-A </w:t>
      </w:r>
      <w:r w:rsidR="00CF57AA">
        <w:rPr>
          <w:sz w:val="24"/>
          <w:szCs w:val="24"/>
        </w:rPr>
        <w:t>h</w:t>
      </w:r>
      <w:r w:rsidRPr="00F11FC5">
        <w:rPr>
          <w:sz w:val="24"/>
          <w:szCs w:val="24"/>
        </w:rPr>
        <w:t xml:space="preserve">uman </w:t>
      </w:r>
      <w:r w:rsidR="00CF57AA">
        <w:rPr>
          <w:sz w:val="24"/>
          <w:szCs w:val="24"/>
        </w:rPr>
        <w:t>c</w:t>
      </w:r>
      <w:r w:rsidRPr="00F11FC5">
        <w:rPr>
          <w:sz w:val="24"/>
          <w:szCs w:val="24"/>
        </w:rPr>
        <w:t xml:space="preserve">rematory </w:t>
      </w:r>
      <w:r w:rsidR="00CF57AA">
        <w:rPr>
          <w:sz w:val="24"/>
          <w:szCs w:val="24"/>
        </w:rPr>
        <w:t>i</w:t>
      </w:r>
      <w:r w:rsidRPr="00F11FC5">
        <w:rPr>
          <w:sz w:val="24"/>
          <w:szCs w:val="24"/>
        </w:rPr>
        <w:t>ncinerator</w:t>
      </w:r>
      <w:r w:rsidR="00F43832">
        <w:rPr>
          <w:sz w:val="24"/>
          <w:szCs w:val="24"/>
        </w:rPr>
        <w:t>”</w:t>
      </w:r>
      <w:r w:rsidR="00CF57AA">
        <w:rPr>
          <w:sz w:val="24"/>
          <w:szCs w:val="24"/>
        </w:rPr>
        <w:t xml:space="preserve"> </w:t>
      </w:r>
      <w:r w:rsidR="00F43832">
        <w:rPr>
          <w:sz w:val="24"/>
          <w:szCs w:val="24"/>
        </w:rPr>
        <w:t>or “</w:t>
      </w:r>
      <w:r w:rsidR="00923486">
        <w:rPr>
          <w:sz w:val="24"/>
          <w:szCs w:val="24"/>
        </w:rPr>
        <w:t>crematory incinerator</w:t>
      </w:r>
      <w:r w:rsidR="00D575CC" w:rsidRPr="00F11FC5">
        <w:rPr>
          <w:sz w:val="24"/>
          <w:szCs w:val="24"/>
        </w:rPr>
        <w:t xml:space="preserve">” means </w:t>
      </w:r>
      <w:r w:rsidR="00923486">
        <w:rPr>
          <w:sz w:val="24"/>
          <w:szCs w:val="24"/>
        </w:rPr>
        <w:t xml:space="preserve">any </w:t>
      </w:r>
      <w:r w:rsidR="00D575CC" w:rsidRPr="00F11FC5">
        <w:rPr>
          <w:sz w:val="24"/>
          <w:szCs w:val="24"/>
        </w:rPr>
        <w:t>c</w:t>
      </w:r>
      <w:r w:rsidR="002A7C37" w:rsidRPr="00F11FC5">
        <w:rPr>
          <w:sz w:val="24"/>
          <w:szCs w:val="24"/>
        </w:rPr>
        <w:t xml:space="preserve">rematory and pathological incinerators suitable for </w:t>
      </w:r>
      <w:r w:rsidR="00AD2C3D" w:rsidRPr="00F11FC5">
        <w:rPr>
          <w:sz w:val="24"/>
          <w:szCs w:val="24"/>
        </w:rPr>
        <w:t>human</w:t>
      </w:r>
      <w:r w:rsidR="002A7C37" w:rsidRPr="00F11FC5">
        <w:rPr>
          <w:sz w:val="24"/>
          <w:szCs w:val="24"/>
        </w:rPr>
        <w:t xml:space="preserve"> remains such as </w:t>
      </w:r>
      <w:r w:rsidR="00A37B41" w:rsidRPr="00F11FC5">
        <w:rPr>
          <w:sz w:val="24"/>
          <w:szCs w:val="24"/>
        </w:rPr>
        <w:t>bodies</w:t>
      </w:r>
      <w:r w:rsidR="002A7C37" w:rsidRPr="00F11FC5">
        <w:rPr>
          <w:sz w:val="24"/>
          <w:szCs w:val="24"/>
        </w:rPr>
        <w:t>, organs, and solid organic wastes</w:t>
      </w:r>
      <w:r w:rsidR="00A37B41" w:rsidRPr="00F11FC5">
        <w:rPr>
          <w:sz w:val="24"/>
          <w:szCs w:val="24"/>
        </w:rPr>
        <w:t xml:space="preserve"> from hospitals, laboratories and similar sources</w:t>
      </w:r>
      <w:r w:rsidR="002A7C37" w:rsidRPr="00F11FC5">
        <w:rPr>
          <w:sz w:val="24"/>
          <w:szCs w:val="24"/>
        </w:rPr>
        <w:t xml:space="preserve"> consisting of up to 85% moisture, </w:t>
      </w:r>
      <w:r w:rsidR="008C7910">
        <w:rPr>
          <w:sz w:val="24"/>
          <w:szCs w:val="24"/>
        </w:rPr>
        <w:t xml:space="preserve">up to </w:t>
      </w:r>
      <w:r w:rsidR="002A7C37" w:rsidRPr="00F11FC5">
        <w:rPr>
          <w:sz w:val="24"/>
          <w:szCs w:val="24"/>
        </w:rPr>
        <w:t>5%</w:t>
      </w:r>
      <w:r w:rsidR="008D4FC9">
        <w:rPr>
          <w:sz w:val="24"/>
          <w:szCs w:val="24"/>
        </w:rPr>
        <w:t> </w:t>
      </w:r>
      <w:r w:rsidR="002A7C37" w:rsidRPr="00F11FC5">
        <w:rPr>
          <w:sz w:val="24"/>
          <w:szCs w:val="24"/>
        </w:rPr>
        <w:t>incombustible solids, and a heating value of approximately 1</w:t>
      </w:r>
      <w:r w:rsidR="00CF57AA">
        <w:rPr>
          <w:sz w:val="24"/>
          <w:szCs w:val="24"/>
        </w:rPr>
        <w:t>,</w:t>
      </w:r>
      <w:r w:rsidR="002A7C37" w:rsidRPr="00F11FC5">
        <w:rPr>
          <w:sz w:val="24"/>
          <w:szCs w:val="24"/>
        </w:rPr>
        <w:t>000</w:t>
      </w:r>
      <w:r w:rsidR="00CF57AA">
        <w:rPr>
          <w:sz w:val="24"/>
          <w:szCs w:val="24"/>
        </w:rPr>
        <w:t xml:space="preserve"> British thermal units per pound</w:t>
      </w:r>
      <w:r w:rsidR="00A37B41" w:rsidRPr="00F11FC5">
        <w:rPr>
          <w:sz w:val="24"/>
          <w:szCs w:val="24"/>
        </w:rPr>
        <w:t xml:space="preserve"> </w:t>
      </w:r>
      <w:r w:rsidR="00CF57AA">
        <w:rPr>
          <w:sz w:val="24"/>
          <w:szCs w:val="24"/>
        </w:rPr>
        <w:t>(</w:t>
      </w:r>
      <w:r w:rsidR="002A7C37" w:rsidRPr="00F11FC5">
        <w:rPr>
          <w:sz w:val="24"/>
          <w:szCs w:val="24"/>
        </w:rPr>
        <w:t>BTU/lb</w:t>
      </w:r>
      <w:r w:rsidR="00CF57AA">
        <w:rPr>
          <w:sz w:val="24"/>
          <w:szCs w:val="24"/>
        </w:rPr>
        <w:t>)</w:t>
      </w:r>
      <w:r w:rsidR="002A7C37" w:rsidRPr="00F11FC5">
        <w:rPr>
          <w:sz w:val="24"/>
          <w:szCs w:val="24"/>
        </w:rPr>
        <w:t xml:space="preserve"> as fired</w:t>
      </w:r>
      <w:r w:rsidR="004339DF" w:rsidRPr="00F11FC5">
        <w:rPr>
          <w:sz w:val="24"/>
          <w:szCs w:val="24"/>
        </w:rPr>
        <w:t>.</w:t>
      </w:r>
    </w:p>
    <w:p w14:paraId="16368325" w14:textId="77777777" w:rsidR="0093667A" w:rsidRPr="00F11FC5" w:rsidRDefault="0093667A" w:rsidP="0042443E">
      <w:pPr>
        <w:pStyle w:val="RulesSub-section"/>
        <w:tabs>
          <w:tab w:val="left" w:pos="741"/>
          <w:tab w:val="left" w:pos="855"/>
        </w:tabs>
        <w:ind w:left="741" w:hanging="381"/>
        <w:jc w:val="left"/>
        <w:rPr>
          <w:sz w:val="24"/>
          <w:szCs w:val="24"/>
        </w:rPr>
      </w:pPr>
    </w:p>
    <w:p w14:paraId="4451D7DE" w14:textId="071B4DF0" w:rsidR="00DF4C7F" w:rsidRPr="00F11FC5" w:rsidRDefault="00DF4C7F" w:rsidP="0042443E">
      <w:pPr>
        <w:pStyle w:val="RulesSub-section"/>
        <w:numPr>
          <w:ilvl w:val="0"/>
          <w:numId w:val="11"/>
        </w:numPr>
        <w:tabs>
          <w:tab w:val="clear" w:pos="1080"/>
          <w:tab w:val="left" w:pos="741"/>
          <w:tab w:val="left" w:pos="855"/>
        </w:tabs>
        <w:ind w:left="741" w:hanging="381"/>
        <w:jc w:val="left"/>
        <w:rPr>
          <w:b/>
          <w:sz w:val="24"/>
          <w:szCs w:val="24"/>
        </w:rPr>
      </w:pPr>
      <w:r w:rsidRPr="00F11FC5">
        <w:rPr>
          <w:b/>
          <w:sz w:val="24"/>
          <w:szCs w:val="24"/>
        </w:rPr>
        <w:t xml:space="preserve">Class IV-A </w:t>
      </w:r>
      <w:r w:rsidR="00CF57AA">
        <w:rPr>
          <w:b/>
          <w:sz w:val="24"/>
          <w:szCs w:val="24"/>
        </w:rPr>
        <w:t>v</w:t>
      </w:r>
      <w:r w:rsidRPr="00F11FC5">
        <w:rPr>
          <w:b/>
          <w:sz w:val="24"/>
          <w:szCs w:val="24"/>
        </w:rPr>
        <w:t xml:space="preserve">eterinary </w:t>
      </w:r>
      <w:r w:rsidR="00CF57AA">
        <w:rPr>
          <w:b/>
          <w:sz w:val="24"/>
          <w:szCs w:val="24"/>
        </w:rPr>
        <w:t>i</w:t>
      </w:r>
      <w:r w:rsidRPr="00F11FC5">
        <w:rPr>
          <w:b/>
          <w:sz w:val="24"/>
          <w:szCs w:val="24"/>
        </w:rPr>
        <w:t>ncinerator</w:t>
      </w:r>
      <w:r w:rsidR="00622C56" w:rsidRPr="00F11FC5">
        <w:rPr>
          <w:b/>
          <w:sz w:val="24"/>
          <w:szCs w:val="24"/>
        </w:rPr>
        <w:t>.</w:t>
      </w:r>
      <w:r w:rsidR="00412EEB" w:rsidRPr="00F11FC5">
        <w:rPr>
          <w:b/>
          <w:sz w:val="24"/>
          <w:szCs w:val="24"/>
        </w:rPr>
        <w:t xml:space="preserve"> </w:t>
      </w:r>
      <w:r w:rsidR="00622C56" w:rsidRPr="00F11FC5">
        <w:rPr>
          <w:sz w:val="24"/>
          <w:szCs w:val="24"/>
        </w:rPr>
        <w:t xml:space="preserve">“Class IV-A </w:t>
      </w:r>
      <w:r w:rsidR="00CF57AA">
        <w:rPr>
          <w:sz w:val="24"/>
          <w:szCs w:val="24"/>
        </w:rPr>
        <w:t>v</w:t>
      </w:r>
      <w:r w:rsidR="00622C56" w:rsidRPr="00F11FC5">
        <w:rPr>
          <w:sz w:val="24"/>
          <w:szCs w:val="24"/>
        </w:rPr>
        <w:t xml:space="preserve">eterinary </w:t>
      </w:r>
      <w:r w:rsidR="00CF57AA">
        <w:rPr>
          <w:sz w:val="24"/>
          <w:szCs w:val="24"/>
        </w:rPr>
        <w:t>i</w:t>
      </w:r>
      <w:r w:rsidR="00622C56" w:rsidRPr="00F11FC5">
        <w:rPr>
          <w:sz w:val="24"/>
          <w:szCs w:val="24"/>
        </w:rPr>
        <w:t>ncinerator”</w:t>
      </w:r>
      <w:r w:rsidR="00923486">
        <w:rPr>
          <w:sz w:val="24"/>
          <w:szCs w:val="24"/>
        </w:rPr>
        <w:t xml:space="preserve"> or “veterinary incinerator”</w:t>
      </w:r>
      <w:r w:rsidR="00622C56" w:rsidRPr="00F11FC5">
        <w:rPr>
          <w:sz w:val="24"/>
          <w:szCs w:val="24"/>
        </w:rPr>
        <w:t xml:space="preserve"> means any </w:t>
      </w:r>
      <w:r w:rsidR="00622C56" w:rsidRPr="008D4FC9">
        <w:rPr>
          <w:bCs/>
          <w:sz w:val="24"/>
          <w:szCs w:val="24"/>
        </w:rPr>
        <w:t>c</w:t>
      </w:r>
      <w:r w:rsidR="00622C56" w:rsidRPr="00F11FC5">
        <w:rPr>
          <w:sz w:val="24"/>
          <w:szCs w:val="24"/>
        </w:rPr>
        <w:t xml:space="preserve">rematory or pathological incinerators suitable for the cremation of animal remains such as carcasses, organs, and solid organic wastes consisting of up to 85% moisture, </w:t>
      </w:r>
      <w:r w:rsidR="008C7910">
        <w:rPr>
          <w:sz w:val="24"/>
          <w:szCs w:val="24"/>
        </w:rPr>
        <w:t xml:space="preserve">up to </w:t>
      </w:r>
      <w:r w:rsidR="00622C56" w:rsidRPr="00F11FC5">
        <w:rPr>
          <w:sz w:val="24"/>
          <w:szCs w:val="24"/>
        </w:rPr>
        <w:t>5% incombustible solids, and a heating value of approximately 1</w:t>
      </w:r>
      <w:r w:rsidR="00CF57AA">
        <w:rPr>
          <w:sz w:val="24"/>
          <w:szCs w:val="24"/>
        </w:rPr>
        <w:t>,</w:t>
      </w:r>
      <w:r w:rsidR="00622C56" w:rsidRPr="00F11FC5">
        <w:rPr>
          <w:sz w:val="24"/>
          <w:szCs w:val="24"/>
        </w:rPr>
        <w:t>000 BTU/lb as fired.</w:t>
      </w:r>
    </w:p>
    <w:p w14:paraId="12D326AF" w14:textId="77777777" w:rsidR="00DF4C7F" w:rsidRPr="00F11FC5" w:rsidRDefault="00DF4C7F" w:rsidP="0042443E">
      <w:pPr>
        <w:pStyle w:val="RulesSub-section"/>
        <w:tabs>
          <w:tab w:val="left" w:pos="741"/>
          <w:tab w:val="left" w:pos="855"/>
        </w:tabs>
        <w:ind w:left="741" w:hanging="381"/>
        <w:jc w:val="left"/>
        <w:rPr>
          <w:b/>
          <w:sz w:val="24"/>
          <w:szCs w:val="24"/>
        </w:rPr>
      </w:pPr>
    </w:p>
    <w:p w14:paraId="497FC28B" w14:textId="296A8213" w:rsidR="00685108" w:rsidRPr="00F11FC5" w:rsidRDefault="00685108" w:rsidP="0042443E">
      <w:pPr>
        <w:pStyle w:val="RulesSub-section"/>
        <w:numPr>
          <w:ilvl w:val="0"/>
          <w:numId w:val="11"/>
        </w:numPr>
        <w:tabs>
          <w:tab w:val="clear" w:pos="1080"/>
          <w:tab w:val="left" w:pos="741"/>
          <w:tab w:val="left" w:pos="855"/>
        </w:tabs>
        <w:ind w:left="741" w:hanging="381"/>
        <w:jc w:val="left"/>
        <w:rPr>
          <w:b/>
          <w:sz w:val="24"/>
          <w:szCs w:val="24"/>
        </w:rPr>
      </w:pPr>
      <w:r w:rsidRPr="00F11FC5">
        <w:rPr>
          <w:b/>
          <w:sz w:val="24"/>
          <w:szCs w:val="24"/>
        </w:rPr>
        <w:t xml:space="preserve">Incinerator </w:t>
      </w:r>
      <w:r w:rsidR="00CF57AA">
        <w:rPr>
          <w:b/>
          <w:sz w:val="24"/>
          <w:szCs w:val="24"/>
        </w:rPr>
        <w:t>o</w:t>
      </w:r>
      <w:r w:rsidRPr="00F11FC5">
        <w:rPr>
          <w:b/>
          <w:sz w:val="24"/>
          <w:szCs w:val="24"/>
        </w:rPr>
        <w:t xml:space="preserve">perator. </w:t>
      </w:r>
      <w:r w:rsidRPr="00F11FC5">
        <w:rPr>
          <w:sz w:val="24"/>
          <w:szCs w:val="24"/>
        </w:rPr>
        <w:t xml:space="preserve">“Incinerator </w:t>
      </w:r>
      <w:r w:rsidR="00CF57AA">
        <w:rPr>
          <w:sz w:val="24"/>
          <w:szCs w:val="24"/>
        </w:rPr>
        <w:t>o</w:t>
      </w:r>
      <w:r w:rsidRPr="00F11FC5">
        <w:rPr>
          <w:sz w:val="24"/>
          <w:szCs w:val="24"/>
        </w:rPr>
        <w:t>perator” means any per</w:t>
      </w:r>
      <w:r w:rsidR="00C95792" w:rsidRPr="00F11FC5">
        <w:rPr>
          <w:sz w:val="24"/>
          <w:szCs w:val="24"/>
        </w:rPr>
        <w:t xml:space="preserve">son </w:t>
      </w:r>
      <w:r w:rsidR="000908C9" w:rsidRPr="00F11FC5">
        <w:rPr>
          <w:sz w:val="24"/>
          <w:szCs w:val="24"/>
        </w:rPr>
        <w:t xml:space="preserve">designated </w:t>
      </w:r>
      <w:r w:rsidR="00C95792" w:rsidRPr="00F11FC5">
        <w:rPr>
          <w:sz w:val="24"/>
          <w:szCs w:val="24"/>
        </w:rPr>
        <w:t>to operate a</w:t>
      </w:r>
      <w:r w:rsidRPr="00F11FC5">
        <w:rPr>
          <w:sz w:val="24"/>
          <w:szCs w:val="24"/>
        </w:rPr>
        <w:t xml:space="preserve"> </w:t>
      </w:r>
      <w:r w:rsidR="00923486">
        <w:rPr>
          <w:sz w:val="24"/>
          <w:szCs w:val="24"/>
        </w:rPr>
        <w:t>v</w:t>
      </w:r>
      <w:r w:rsidR="00101DDA" w:rsidRPr="00F11FC5">
        <w:rPr>
          <w:sz w:val="24"/>
          <w:szCs w:val="24"/>
        </w:rPr>
        <w:t xml:space="preserve">eterinary </w:t>
      </w:r>
      <w:r w:rsidR="00923486">
        <w:rPr>
          <w:sz w:val="24"/>
          <w:szCs w:val="24"/>
        </w:rPr>
        <w:t>i</w:t>
      </w:r>
      <w:r w:rsidR="00101DDA" w:rsidRPr="00F11FC5">
        <w:rPr>
          <w:sz w:val="24"/>
          <w:szCs w:val="24"/>
        </w:rPr>
        <w:t xml:space="preserve">ncinerator or a </w:t>
      </w:r>
      <w:r w:rsidR="00923486">
        <w:rPr>
          <w:sz w:val="24"/>
          <w:szCs w:val="24"/>
        </w:rPr>
        <w:t>c</w:t>
      </w:r>
      <w:r w:rsidR="00C95792" w:rsidRPr="00F11FC5">
        <w:rPr>
          <w:sz w:val="24"/>
          <w:szCs w:val="24"/>
        </w:rPr>
        <w:t xml:space="preserve">rematory </w:t>
      </w:r>
      <w:r w:rsidR="00923486">
        <w:rPr>
          <w:sz w:val="24"/>
          <w:szCs w:val="24"/>
        </w:rPr>
        <w:t>i</w:t>
      </w:r>
      <w:r w:rsidRPr="00F11FC5">
        <w:rPr>
          <w:sz w:val="24"/>
          <w:szCs w:val="24"/>
        </w:rPr>
        <w:t>ncinerator unit in accordance with the manufacturer</w:t>
      </w:r>
      <w:r w:rsidR="00923486">
        <w:rPr>
          <w:sz w:val="24"/>
          <w:szCs w:val="24"/>
        </w:rPr>
        <w:t>’</w:t>
      </w:r>
      <w:r w:rsidRPr="00F11FC5">
        <w:rPr>
          <w:sz w:val="24"/>
          <w:szCs w:val="24"/>
        </w:rPr>
        <w:t xml:space="preserve">s operating guidelines under the supervision of an </w:t>
      </w:r>
      <w:r w:rsidR="004728B7">
        <w:rPr>
          <w:sz w:val="24"/>
          <w:szCs w:val="24"/>
        </w:rPr>
        <w:t>o</w:t>
      </w:r>
      <w:r w:rsidRPr="00F11FC5">
        <w:rPr>
          <w:sz w:val="24"/>
          <w:szCs w:val="24"/>
        </w:rPr>
        <w:t>wner</w:t>
      </w:r>
      <w:r w:rsidR="004728B7">
        <w:rPr>
          <w:sz w:val="24"/>
          <w:szCs w:val="24"/>
        </w:rPr>
        <w:t xml:space="preserve"> or o</w:t>
      </w:r>
      <w:r w:rsidRPr="00F11FC5">
        <w:rPr>
          <w:sz w:val="24"/>
          <w:szCs w:val="24"/>
        </w:rPr>
        <w:t>perator.</w:t>
      </w:r>
    </w:p>
    <w:p w14:paraId="45572676" w14:textId="77777777" w:rsidR="00685108" w:rsidRPr="00F11FC5" w:rsidRDefault="00685108" w:rsidP="0042443E">
      <w:pPr>
        <w:pStyle w:val="RulesSub-section"/>
        <w:tabs>
          <w:tab w:val="left" w:pos="741"/>
          <w:tab w:val="left" w:pos="855"/>
        </w:tabs>
        <w:ind w:left="741" w:hanging="381"/>
        <w:jc w:val="left"/>
        <w:rPr>
          <w:b/>
          <w:sz w:val="24"/>
          <w:szCs w:val="24"/>
        </w:rPr>
      </w:pPr>
    </w:p>
    <w:p w14:paraId="3B6B6026" w14:textId="21B520D0" w:rsidR="00685108" w:rsidRPr="00F11FC5" w:rsidRDefault="00685108" w:rsidP="0042443E">
      <w:pPr>
        <w:pStyle w:val="RulesSub-section"/>
        <w:numPr>
          <w:ilvl w:val="0"/>
          <w:numId w:val="11"/>
        </w:numPr>
        <w:tabs>
          <w:tab w:val="clear" w:pos="1080"/>
          <w:tab w:val="left" w:pos="741"/>
          <w:tab w:val="left" w:pos="855"/>
        </w:tabs>
        <w:ind w:left="741" w:hanging="381"/>
        <w:jc w:val="left"/>
        <w:rPr>
          <w:sz w:val="24"/>
          <w:szCs w:val="24"/>
        </w:rPr>
      </w:pPr>
      <w:r w:rsidRPr="00F11FC5">
        <w:rPr>
          <w:b/>
          <w:sz w:val="24"/>
          <w:szCs w:val="24"/>
        </w:rPr>
        <w:t>Owner</w:t>
      </w:r>
      <w:r w:rsidR="004728B7">
        <w:rPr>
          <w:b/>
          <w:sz w:val="24"/>
          <w:szCs w:val="24"/>
        </w:rPr>
        <w:t xml:space="preserve"> or o</w:t>
      </w:r>
      <w:r w:rsidRPr="00F11FC5">
        <w:rPr>
          <w:b/>
          <w:sz w:val="24"/>
          <w:szCs w:val="24"/>
        </w:rPr>
        <w:t xml:space="preserve">perator. </w:t>
      </w:r>
      <w:r w:rsidRPr="00F11FC5">
        <w:rPr>
          <w:sz w:val="24"/>
          <w:szCs w:val="24"/>
        </w:rPr>
        <w:t>“Owner</w:t>
      </w:r>
      <w:r w:rsidR="004728B7">
        <w:rPr>
          <w:sz w:val="24"/>
          <w:szCs w:val="24"/>
        </w:rPr>
        <w:t xml:space="preserve"> or o</w:t>
      </w:r>
      <w:r w:rsidRPr="00F11FC5">
        <w:rPr>
          <w:sz w:val="24"/>
          <w:szCs w:val="24"/>
        </w:rPr>
        <w:t xml:space="preserve">perator” means any person who owns or has direct control or supervision over a </w:t>
      </w:r>
      <w:r w:rsidR="00923486">
        <w:rPr>
          <w:sz w:val="24"/>
          <w:szCs w:val="24"/>
        </w:rPr>
        <w:t>v</w:t>
      </w:r>
      <w:r w:rsidR="00622C56" w:rsidRPr="00F11FC5">
        <w:rPr>
          <w:sz w:val="24"/>
          <w:szCs w:val="24"/>
        </w:rPr>
        <w:t xml:space="preserve">eterinary </w:t>
      </w:r>
      <w:r w:rsidR="00923486">
        <w:rPr>
          <w:sz w:val="24"/>
          <w:szCs w:val="24"/>
        </w:rPr>
        <w:t>i</w:t>
      </w:r>
      <w:r w:rsidR="00622C56" w:rsidRPr="00F11FC5">
        <w:rPr>
          <w:sz w:val="24"/>
          <w:szCs w:val="24"/>
        </w:rPr>
        <w:t xml:space="preserve">ncinerator or </w:t>
      </w:r>
      <w:r w:rsidR="00923486">
        <w:rPr>
          <w:sz w:val="24"/>
          <w:szCs w:val="24"/>
        </w:rPr>
        <w:t>c</w:t>
      </w:r>
      <w:r w:rsidR="00C95792" w:rsidRPr="00F11FC5">
        <w:rPr>
          <w:sz w:val="24"/>
          <w:szCs w:val="24"/>
        </w:rPr>
        <w:t>rematory</w:t>
      </w:r>
      <w:r w:rsidRPr="00F11FC5">
        <w:rPr>
          <w:sz w:val="24"/>
          <w:szCs w:val="24"/>
        </w:rPr>
        <w:t xml:space="preserve"> </w:t>
      </w:r>
      <w:r w:rsidR="00923486">
        <w:rPr>
          <w:sz w:val="24"/>
          <w:szCs w:val="24"/>
        </w:rPr>
        <w:t>i</w:t>
      </w:r>
      <w:r w:rsidRPr="00F11FC5">
        <w:rPr>
          <w:sz w:val="24"/>
          <w:szCs w:val="24"/>
        </w:rPr>
        <w:t xml:space="preserve">ncinerator and who receives a </w:t>
      </w:r>
      <w:r w:rsidR="004728B7">
        <w:rPr>
          <w:sz w:val="24"/>
          <w:szCs w:val="24"/>
        </w:rPr>
        <w:t>GP</w:t>
      </w:r>
      <w:r w:rsidR="00683BA7">
        <w:rPr>
          <w:sz w:val="24"/>
          <w:szCs w:val="24"/>
        </w:rPr>
        <w:t>N</w:t>
      </w:r>
      <w:r w:rsidRPr="00F11FC5">
        <w:rPr>
          <w:sz w:val="24"/>
          <w:szCs w:val="24"/>
        </w:rPr>
        <w:t xml:space="preserve"> under the terms of this </w:t>
      </w:r>
      <w:r w:rsidR="004728B7">
        <w:rPr>
          <w:sz w:val="24"/>
          <w:szCs w:val="24"/>
        </w:rPr>
        <w:t>Chapter</w:t>
      </w:r>
      <w:r w:rsidRPr="00F11FC5">
        <w:rPr>
          <w:sz w:val="24"/>
          <w:szCs w:val="24"/>
        </w:rPr>
        <w:t>.</w:t>
      </w:r>
    </w:p>
    <w:p w14:paraId="21545F22" w14:textId="77777777" w:rsidR="006C470B" w:rsidRPr="00F11FC5" w:rsidRDefault="006C470B" w:rsidP="0042443E">
      <w:pPr>
        <w:pStyle w:val="RulesSub-section"/>
        <w:tabs>
          <w:tab w:val="left" w:pos="741"/>
          <w:tab w:val="left" w:pos="855"/>
        </w:tabs>
        <w:ind w:left="741" w:hanging="381"/>
        <w:jc w:val="left"/>
        <w:rPr>
          <w:sz w:val="24"/>
          <w:szCs w:val="24"/>
        </w:rPr>
      </w:pPr>
    </w:p>
    <w:p w14:paraId="3CD26036" w14:textId="42F0A4D3" w:rsidR="006C470B" w:rsidRPr="00F11FC5" w:rsidRDefault="006C470B" w:rsidP="0042443E">
      <w:pPr>
        <w:pStyle w:val="RulesSub-section"/>
        <w:numPr>
          <w:ilvl w:val="0"/>
          <w:numId w:val="11"/>
        </w:numPr>
        <w:tabs>
          <w:tab w:val="clear" w:pos="1080"/>
          <w:tab w:val="left" w:pos="741"/>
          <w:tab w:val="left" w:pos="855"/>
        </w:tabs>
        <w:ind w:left="741" w:hanging="381"/>
        <w:jc w:val="left"/>
        <w:rPr>
          <w:sz w:val="24"/>
          <w:szCs w:val="24"/>
        </w:rPr>
      </w:pPr>
      <w:r w:rsidRPr="00F11FC5">
        <w:rPr>
          <w:b/>
          <w:sz w:val="24"/>
          <w:szCs w:val="24"/>
        </w:rPr>
        <w:t xml:space="preserve">Safe </w:t>
      </w:r>
      <w:r w:rsidR="00516825">
        <w:rPr>
          <w:b/>
          <w:sz w:val="24"/>
          <w:szCs w:val="24"/>
        </w:rPr>
        <w:t>a</w:t>
      </w:r>
      <w:r w:rsidRPr="00F11FC5">
        <w:rPr>
          <w:b/>
          <w:sz w:val="24"/>
          <w:szCs w:val="24"/>
        </w:rPr>
        <w:t xml:space="preserve">ccess. </w:t>
      </w:r>
      <w:r w:rsidRPr="00F11FC5">
        <w:rPr>
          <w:sz w:val="24"/>
          <w:szCs w:val="24"/>
        </w:rPr>
        <w:t xml:space="preserve">“Safe </w:t>
      </w:r>
      <w:r w:rsidR="00516825">
        <w:rPr>
          <w:sz w:val="24"/>
          <w:szCs w:val="24"/>
        </w:rPr>
        <w:t>a</w:t>
      </w:r>
      <w:r w:rsidRPr="00F11FC5">
        <w:rPr>
          <w:sz w:val="24"/>
          <w:szCs w:val="24"/>
        </w:rPr>
        <w:t xml:space="preserve">ccess” means reasonable access to the regulated </w:t>
      </w:r>
      <w:r w:rsidR="001302FA">
        <w:rPr>
          <w:sz w:val="24"/>
          <w:szCs w:val="24"/>
        </w:rPr>
        <w:t>source</w:t>
      </w:r>
      <w:r w:rsidR="001302FA" w:rsidRPr="00F11FC5">
        <w:rPr>
          <w:sz w:val="24"/>
          <w:szCs w:val="24"/>
        </w:rPr>
        <w:t xml:space="preserve"> </w:t>
      </w:r>
      <w:r w:rsidR="00611B35">
        <w:rPr>
          <w:sz w:val="24"/>
          <w:szCs w:val="24"/>
        </w:rPr>
        <w:t>in compliance</w:t>
      </w:r>
      <w:r w:rsidRPr="00F11FC5">
        <w:rPr>
          <w:sz w:val="24"/>
          <w:szCs w:val="24"/>
        </w:rPr>
        <w:t xml:space="preserve"> with</w:t>
      </w:r>
      <w:r w:rsidR="00611B35">
        <w:rPr>
          <w:sz w:val="24"/>
          <w:szCs w:val="24"/>
        </w:rPr>
        <w:t xml:space="preserve"> applicable</w:t>
      </w:r>
      <w:r w:rsidRPr="00F11FC5">
        <w:rPr>
          <w:sz w:val="24"/>
          <w:szCs w:val="24"/>
        </w:rPr>
        <w:t xml:space="preserve"> safety requirements of any local, state, or federal regulating authority</w:t>
      </w:r>
      <w:r w:rsidR="00611B35">
        <w:rPr>
          <w:sz w:val="24"/>
          <w:szCs w:val="24"/>
        </w:rPr>
        <w:t xml:space="preserve"> as well as the written safety standard operating procedures for that source</w:t>
      </w:r>
      <w:r w:rsidRPr="00F11FC5">
        <w:rPr>
          <w:sz w:val="24"/>
          <w:szCs w:val="24"/>
        </w:rPr>
        <w:t>.</w:t>
      </w:r>
    </w:p>
    <w:p w14:paraId="6DC1CEAE" w14:textId="77777777" w:rsidR="006C470B" w:rsidRPr="00F11FC5" w:rsidRDefault="006C470B" w:rsidP="0042443E">
      <w:pPr>
        <w:pStyle w:val="RulesSub-section"/>
        <w:tabs>
          <w:tab w:val="left" w:pos="855"/>
        </w:tabs>
        <w:ind w:left="855" w:hanging="495"/>
        <w:jc w:val="left"/>
        <w:rPr>
          <w:b/>
          <w:sz w:val="24"/>
          <w:szCs w:val="24"/>
        </w:rPr>
      </w:pPr>
    </w:p>
    <w:p w14:paraId="3F22EBF6" w14:textId="757954F8" w:rsidR="006C470B" w:rsidRPr="00F11FC5" w:rsidRDefault="00611B35" w:rsidP="008D4FC9">
      <w:pPr>
        <w:pStyle w:val="RuleLevel1"/>
      </w:pPr>
      <w:r>
        <w:t xml:space="preserve">General </w:t>
      </w:r>
      <w:r w:rsidR="006C470B" w:rsidRPr="00F11FC5">
        <w:t>Terms</w:t>
      </w:r>
      <w:r w:rsidR="00DC2E8E" w:rsidRPr="00F11FC5">
        <w:t xml:space="preserve"> and</w:t>
      </w:r>
      <w:r w:rsidR="00FC7DAD" w:rsidRPr="00F11FC5">
        <w:t xml:space="preserve"> </w:t>
      </w:r>
      <w:r w:rsidR="006C470B" w:rsidRPr="00F11FC5">
        <w:t xml:space="preserve">Conditions </w:t>
      </w:r>
      <w:r w:rsidR="00DC2E8E" w:rsidRPr="00F11FC5">
        <w:t>for</w:t>
      </w:r>
      <w:r w:rsidR="00FC7DAD" w:rsidRPr="00F11FC5">
        <w:t xml:space="preserve"> </w:t>
      </w:r>
      <w:r w:rsidR="004A44D8">
        <w:t>Registration</w:t>
      </w:r>
    </w:p>
    <w:p w14:paraId="39C314DC" w14:textId="77777777" w:rsidR="006C470B" w:rsidRPr="00F11FC5" w:rsidRDefault="006C470B" w:rsidP="0042443E">
      <w:pPr>
        <w:pStyle w:val="RulesSub-section"/>
        <w:ind w:left="0" w:firstLine="0"/>
        <w:jc w:val="left"/>
        <w:rPr>
          <w:b/>
          <w:sz w:val="24"/>
          <w:szCs w:val="24"/>
        </w:rPr>
      </w:pPr>
    </w:p>
    <w:p w14:paraId="0C040342" w14:textId="108F7D87" w:rsidR="006C470B" w:rsidRPr="00A13B0D" w:rsidRDefault="006C470B" w:rsidP="0042443E">
      <w:pPr>
        <w:pStyle w:val="RulesSub-section"/>
        <w:numPr>
          <w:ilvl w:val="0"/>
          <w:numId w:val="3"/>
        </w:numPr>
        <w:jc w:val="left"/>
        <w:rPr>
          <w:b/>
          <w:sz w:val="24"/>
          <w:szCs w:val="24"/>
        </w:rPr>
      </w:pPr>
      <w:r w:rsidRPr="00A13B0D">
        <w:rPr>
          <w:b/>
          <w:sz w:val="24"/>
          <w:szCs w:val="24"/>
        </w:rPr>
        <w:t xml:space="preserve">Registration of </w:t>
      </w:r>
      <w:r w:rsidR="00611B35" w:rsidRPr="00A13B0D">
        <w:rPr>
          <w:b/>
          <w:sz w:val="24"/>
          <w:szCs w:val="24"/>
        </w:rPr>
        <w:t>o</w:t>
      </w:r>
      <w:r w:rsidRPr="00A13B0D">
        <w:rPr>
          <w:b/>
          <w:sz w:val="24"/>
          <w:szCs w:val="24"/>
        </w:rPr>
        <w:t>wner</w:t>
      </w:r>
      <w:r w:rsidR="00611B35" w:rsidRPr="00A13B0D">
        <w:rPr>
          <w:b/>
          <w:sz w:val="24"/>
          <w:szCs w:val="24"/>
        </w:rPr>
        <w:t xml:space="preserve"> or operator</w:t>
      </w:r>
      <w:r w:rsidRPr="00A13B0D">
        <w:rPr>
          <w:b/>
          <w:sz w:val="24"/>
          <w:szCs w:val="24"/>
        </w:rPr>
        <w:t xml:space="preserve">. </w:t>
      </w:r>
      <w:r w:rsidRPr="00A13B0D">
        <w:rPr>
          <w:sz w:val="24"/>
          <w:szCs w:val="24"/>
        </w:rPr>
        <w:t xml:space="preserve">Prior to the </w:t>
      </w:r>
      <w:r w:rsidR="00C25E94" w:rsidRPr="00A13B0D">
        <w:rPr>
          <w:sz w:val="24"/>
          <w:szCs w:val="24"/>
        </w:rPr>
        <w:t>construction, modification</w:t>
      </w:r>
      <w:r w:rsidR="0041346B" w:rsidRPr="00A13B0D">
        <w:rPr>
          <w:sz w:val="24"/>
          <w:szCs w:val="24"/>
        </w:rPr>
        <w:t>,</w:t>
      </w:r>
      <w:r w:rsidR="00C25E94" w:rsidRPr="00A13B0D">
        <w:rPr>
          <w:sz w:val="24"/>
          <w:szCs w:val="24"/>
        </w:rPr>
        <w:t xml:space="preserve"> or </w:t>
      </w:r>
      <w:r w:rsidRPr="00A13B0D">
        <w:rPr>
          <w:sz w:val="24"/>
          <w:szCs w:val="24"/>
        </w:rPr>
        <w:t>operation of a</w:t>
      </w:r>
      <w:r w:rsidR="00D575CC" w:rsidRPr="00A13B0D">
        <w:rPr>
          <w:sz w:val="24"/>
          <w:szCs w:val="24"/>
        </w:rPr>
        <w:t xml:space="preserve"> </w:t>
      </w:r>
      <w:r w:rsidR="00923486" w:rsidRPr="00A13B0D">
        <w:rPr>
          <w:sz w:val="24"/>
          <w:szCs w:val="24"/>
        </w:rPr>
        <w:t>v</w:t>
      </w:r>
      <w:r w:rsidR="00FC7DAD" w:rsidRPr="00A13B0D">
        <w:rPr>
          <w:sz w:val="24"/>
          <w:szCs w:val="24"/>
        </w:rPr>
        <w:t xml:space="preserve">eterinary </w:t>
      </w:r>
      <w:r w:rsidR="00923486" w:rsidRPr="00A13B0D">
        <w:rPr>
          <w:sz w:val="24"/>
          <w:szCs w:val="24"/>
        </w:rPr>
        <w:t>i</w:t>
      </w:r>
      <w:r w:rsidR="00FC7DAD" w:rsidRPr="00A13B0D">
        <w:rPr>
          <w:sz w:val="24"/>
          <w:szCs w:val="24"/>
        </w:rPr>
        <w:t xml:space="preserve">ncinerator or </w:t>
      </w:r>
      <w:r w:rsidR="00923486" w:rsidRPr="00A13B0D">
        <w:rPr>
          <w:sz w:val="24"/>
          <w:szCs w:val="24"/>
        </w:rPr>
        <w:t>c</w:t>
      </w:r>
      <w:r w:rsidR="00D575CC" w:rsidRPr="00A13B0D">
        <w:rPr>
          <w:sz w:val="24"/>
          <w:szCs w:val="24"/>
        </w:rPr>
        <w:t>remator</w:t>
      </w:r>
      <w:r w:rsidR="008C7910" w:rsidRPr="00A13B0D">
        <w:rPr>
          <w:sz w:val="24"/>
          <w:szCs w:val="24"/>
        </w:rPr>
        <w:t>y</w:t>
      </w:r>
      <w:r w:rsidR="00D575CC" w:rsidRPr="00A13B0D">
        <w:rPr>
          <w:sz w:val="24"/>
          <w:szCs w:val="24"/>
        </w:rPr>
        <w:t xml:space="preserve"> </w:t>
      </w:r>
      <w:r w:rsidR="00923486" w:rsidRPr="00A13B0D">
        <w:rPr>
          <w:sz w:val="24"/>
          <w:szCs w:val="24"/>
        </w:rPr>
        <w:t>i</w:t>
      </w:r>
      <w:r w:rsidR="00D575CC" w:rsidRPr="00A13B0D">
        <w:rPr>
          <w:sz w:val="24"/>
          <w:szCs w:val="24"/>
        </w:rPr>
        <w:t>ncinerator</w:t>
      </w:r>
      <w:r w:rsidR="004F2C0A" w:rsidRPr="00A13B0D">
        <w:rPr>
          <w:sz w:val="24"/>
          <w:szCs w:val="24"/>
        </w:rPr>
        <w:t>,</w:t>
      </w:r>
      <w:r w:rsidRPr="00A13B0D">
        <w:rPr>
          <w:sz w:val="24"/>
          <w:szCs w:val="24"/>
        </w:rPr>
        <w:t xml:space="preserve"> the owner </w:t>
      </w:r>
      <w:r w:rsidR="00611B35" w:rsidRPr="00A13B0D">
        <w:rPr>
          <w:sz w:val="24"/>
          <w:szCs w:val="24"/>
        </w:rPr>
        <w:t xml:space="preserve">or operator </w:t>
      </w:r>
      <w:r w:rsidR="004728B7" w:rsidRPr="00A13B0D">
        <w:rPr>
          <w:sz w:val="24"/>
          <w:szCs w:val="24"/>
        </w:rPr>
        <w:t>must</w:t>
      </w:r>
      <w:r w:rsidRPr="00A13B0D">
        <w:rPr>
          <w:sz w:val="24"/>
          <w:szCs w:val="24"/>
        </w:rPr>
        <w:t xml:space="preserve"> either obtain an air emission license p</w:t>
      </w:r>
      <w:r w:rsidR="004F2C0A" w:rsidRPr="00A13B0D">
        <w:rPr>
          <w:sz w:val="24"/>
          <w:szCs w:val="24"/>
        </w:rPr>
        <w:t>ursuant to</w:t>
      </w:r>
      <w:r w:rsidRPr="00A13B0D">
        <w:rPr>
          <w:sz w:val="24"/>
          <w:szCs w:val="24"/>
        </w:rPr>
        <w:t xml:space="preserve"> the requirements of 06-096 C</w:t>
      </w:r>
      <w:r w:rsidR="00611B35" w:rsidRPr="00A13B0D">
        <w:rPr>
          <w:sz w:val="24"/>
          <w:szCs w:val="24"/>
        </w:rPr>
        <w:t>.</w:t>
      </w:r>
      <w:r w:rsidRPr="00A13B0D">
        <w:rPr>
          <w:sz w:val="24"/>
          <w:szCs w:val="24"/>
        </w:rPr>
        <w:t>M</w:t>
      </w:r>
      <w:r w:rsidR="00611B35" w:rsidRPr="00A13B0D">
        <w:rPr>
          <w:sz w:val="24"/>
          <w:szCs w:val="24"/>
        </w:rPr>
        <w:t>.</w:t>
      </w:r>
      <w:r w:rsidRPr="00A13B0D">
        <w:rPr>
          <w:sz w:val="24"/>
          <w:szCs w:val="24"/>
        </w:rPr>
        <w:t>R</w:t>
      </w:r>
      <w:r w:rsidR="00611B35" w:rsidRPr="00A13B0D">
        <w:rPr>
          <w:sz w:val="24"/>
          <w:szCs w:val="24"/>
        </w:rPr>
        <w:t>. ch.</w:t>
      </w:r>
      <w:r w:rsidRPr="00A13B0D">
        <w:rPr>
          <w:sz w:val="24"/>
          <w:szCs w:val="24"/>
        </w:rPr>
        <w:t xml:space="preserve"> 115</w:t>
      </w:r>
      <w:r w:rsidR="00EE04F5" w:rsidRPr="00A13B0D">
        <w:rPr>
          <w:sz w:val="24"/>
          <w:szCs w:val="24"/>
        </w:rPr>
        <w:t xml:space="preserve"> </w:t>
      </w:r>
      <w:r w:rsidRPr="00A13B0D">
        <w:rPr>
          <w:sz w:val="24"/>
          <w:szCs w:val="24"/>
        </w:rPr>
        <w:t xml:space="preserve">or register the equipment with the Department </w:t>
      </w:r>
      <w:r w:rsidR="0008018B" w:rsidRPr="00A13B0D">
        <w:rPr>
          <w:sz w:val="24"/>
          <w:szCs w:val="24"/>
        </w:rPr>
        <w:t>to obtain</w:t>
      </w:r>
      <w:r w:rsidRPr="00A13B0D">
        <w:rPr>
          <w:sz w:val="24"/>
          <w:szCs w:val="24"/>
        </w:rPr>
        <w:t xml:space="preserve"> a </w:t>
      </w:r>
      <w:r w:rsidR="00380058" w:rsidRPr="00A13B0D">
        <w:rPr>
          <w:sz w:val="24"/>
          <w:szCs w:val="24"/>
        </w:rPr>
        <w:t>GP</w:t>
      </w:r>
      <w:r w:rsidR="00683BA7" w:rsidRPr="00A13B0D">
        <w:rPr>
          <w:sz w:val="24"/>
          <w:szCs w:val="24"/>
        </w:rPr>
        <w:t>N</w:t>
      </w:r>
      <w:r w:rsidR="00D575CC" w:rsidRPr="00A13B0D">
        <w:rPr>
          <w:sz w:val="24"/>
          <w:szCs w:val="24"/>
        </w:rPr>
        <w:t xml:space="preserve"> </w:t>
      </w:r>
      <w:r w:rsidRPr="00A13B0D">
        <w:rPr>
          <w:sz w:val="24"/>
          <w:szCs w:val="24"/>
        </w:rPr>
        <w:t xml:space="preserve">for each </w:t>
      </w:r>
      <w:r w:rsidR="00EE04F5" w:rsidRPr="00A13B0D">
        <w:rPr>
          <w:sz w:val="24"/>
          <w:szCs w:val="24"/>
        </w:rPr>
        <w:t>unit</w:t>
      </w:r>
      <w:r w:rsidRPr="00A13B0D">
        <w:rPr>
          <w:sz w:val="24"/>
          <w:szCs w:val="24"/>
        </w:rPr>
        <w:t xml:space="preserve"> to be operated. </w:t>
      </w:r>
      <w:r w:rsidR="00A13B0D" w:rsidRPr="008D4FC9">
        <w:rPr>
          <w:sz w:val="24"/>
          <w:szCs w:val="24"/>
        </w:rPr>
        <w:t xml:space="preserve"> Provided the owner or operator meets the applicability requirements of this Chapter, the registration and NOITC will be considered to be in effect upon submittal to the Department</w:t>
      </w:r>
      <w:r w:rsidR="00A13B0D">
        <w:rPr>
          <w:sz w:val="24"/>
          <w:szCs w:val="24"/>
        </w:rPr>
        <w:t>.</w:t>
      </w:r>
    </w:p>
    <w:p w14:paraId="10FDAB75" w14:textId="77777777" w:rsidR="006C470B" w:rsidRPr="00F11FC5" w:rsidRDefault="006C470B" w:rsidP="0042443E">
      <w:pPr>
        <w:pStyle w:val="RulesSub-section"/>
        <w:ind w:left="360" w:firstLine="0"/>
        <w:jc w:val="left"/>
        <w:rPr>
          <w:b/>
          <w:sz w:val="24"/>
          <w:szCs w:val="24"/>
        </w:rPr>
      </w:pPr>
    </w:p>
    <w:p w14:paraId="6EA76EFC" w14:textId="6C20BC6E" w:rsidR="006C470B" w:rsidRPr="00F11FC5" w:rsidRDefault="006C470B" w:rsidP="0042443E">
      <w:pPr>
        <w:pStyle w:val="RulesSub-section"/>
        <w:numPr>
          <w:ilvl w:val="0"/>
          <w:numId w:val="3"/>
        </w:numPr>
        <w:jc w:val="left"/>
        <w:rPr>
          <w:sz w:val="24"/>
          <w:szCs w:val="24"/>
        </w:rPr>
      </w:pPr>
      <w:r w:rsidRPr="00F11FC5">
        <w:rPr>
          <w:b/>
          <w:sz w:val="24"/>
          <w:szCs w:val="24"/>
        </w:rPr>
        <w:t xml:space="preserve">Required </w:t>
      </w:r>
      <w:r w:rsidR="00EC7363" w:rsidRPr="00F11FC5">
        <w:rPr>
          <w:b/>
          <w:sz w:val="24"/>
          <w:szCs w:val="24"/>
        </w:rPr>
        <w:t>GP</w:t>
      </w:r>
      <w:r w:rsidR="00683BA7">
        <w:rPr>
          <w:b/>
          <w:sz w:val="24"/>
          <w:szCs w:val="24"/>
        </w:rPr>
        <w:t>N</w:t>
      </w:r>
      <w:r w:rsidRPr="00F11FC5">
        <w:rPr>
          <w:b/>
          <w:sz w:val="24"/>
          <w:szCs w:val="24"/>
        </w:rPr>
        <w:t xml:space="preserve"> </w:t>
      </w:r>
      <w:r w:rsidR="004A44D8">
        <w:rPr>
          <w:b/>
          <w:sz w:val="24"/>
          <w:szCs w:val="24"/>
        </w:rPr>
        <w:t>registration</w:t>
      </w:r>
      <w:r w:rsidRPr="00F11FC5">
        <w:rPr>
          <w:b/>
          <w:sz w:val="24"/>
          <w:szCs w:val="24"/>
        </w:rPr>
        <w:t xml:space="preserve"> </w:t>
      </w:r>
      <w:r w:rsidR="00611B35">
        <w:rPr>
          <w:b/>
          <w:sz w:val="24"/>
          <w:szCs w:val="24"/>
        </w:rPr>
        <w:t>f</w:t>
      </w:r>
      <w:r w:rsidRPr="00F11FC5">
        <w:rPr>
          <w:b/>
          <w:sz w:val="24"/>
          <w:szCs w:val="24"/>
        </w:rPr>
        <w:t xml:space="preserve">orm and </w:t>
      </w:r>
      <w:r w:rsidR="00611B35">
        <w:rPr>
          <w:b/>
          <w:sz w:val="24"/>
          <w:szCs w:val="24"/>
        </w:rPr>
        <w:t>a</w:t>
      </w:r>
      <w:r w:rsidRPr="00F11FC5">
        <w:rPr>
          <w:b/>
          <w:sz w:val="24"/>
          <w:szCs w:val="24"/>
        </w:rPr>
        <w:t xml:space="preserve">dditional </w:t>
      </w:r>
      <w:r w:rsidR="00611B35">
        <w:rPr>
          <w:b/>
          <w:sz w:val="24"/>
          <w:szCs w:val="24"/>
        </w:rPr>
        <w:t>i</w:t>
      </w:r>
      <w:r w:rsidRPr="00F11FC5">
        <w:rPr>
          <w:b/>
          <w:sz w:val="24"/>
          <w:szCs w:val="24"/>
        </w:rPr>
        <w:t xml:space="preserve">nformation. </w:t>
      </w:r>
      <w:r w:rsidRPr="00F11FC5">
        <w:rPr>
          <w:sz w:val="24"/>
          <w:szCs w:val="24"/>
        </w:rPr>
        <w:t>The</w:t>
      </w:r>
      <w:r w:rsidR="00611B35">
        <w:rPr>
          <w:sz w:val="24"/>
          <w:szCs w:val="24"/>
        </w:rPr>
        <w:t xml:space="preserve"> owner or operator must submit to the Department the information listed below</w:t>
      </w:r>
      <w:r w:rsidR="00B32B89">
        <w:rPr>
          <w:sz w:val="24"/>
          <w:szCs w:val="24"/>
        </w:rPr>
        <w:t>,</w:t>
      </w:r>
      <w:r w:rsidR="00611B35">
        <w:rPr>
          <w:sz w:val="24"/>
          <w:szCs w:val="24"/>
        </w:rPr>
        <w:t xml:space="preserve"> unless otherwise specified by this Chapter</w:t>
      </w:r>
      <w:r w:rsidR="00B32B89">
        <w:rPr>
          <w:sz w:val="24"/>
          <w:szCs w:val="24"/>
        </w:rPr>
        <w:t>,</w:t>
      </w:r>
      <w:r w:rsidRPr="00F11FC5">
        <w:rPr>
          <w:sz w:val="24"/>
          <w:szCs w:val="24"/>
        </w:rPr>
        <w:t xml:space="preserve"> and any other additional information required by the Department. </w:t>
      </w:r>
      <w:r w:rsidR="008C7910">
        <w:rPr>
          <w:sz w:val="24"/>
          <w:szCs w:val="24"/>
        </w:rPr>
        <w:t>Failure to provide all</w:t>
      </w:r>
      <w:r w:rsidRPr="00F11FC5">
        <w:rPr>
          <w:sz w:val="24"/>
          <w:szCs w:val="24"/>
        </w:rPr>
        <w:t xml:space="preserve"> information </w:t>
      </w:r>
      <w:r w:rsidR="008C7910">
        <w:rPr>
          <w:sz w:val="24"/>
          <w:szCs w:val="24"/>
        </w:rPr>
        <w:t>required by the Department</w:t>
      </w:r>
      <w:r w:rsidR="008C7910" w:rsidRPr="00F11FC5">
        <w:rPr>
          <w:sz w:val="24"/>
          <w:szCs w:val="24"/>
        </w:rPr>
        <w:t xml:space="preserve"> </w:t>
      </w:r>
      <w:r w:rsidRPr="00F11FC5">
        <w:rPr>
          <w:sz w:val="24"/>
          <w:szCs w:val="24"/>
        </w:rPr>
        <w:t xml:space="preserve">to determine the applicability of this </w:t>
      </w:r>
      <w:r w:rsidR="00B32B89">
        <w:rPr>
          <w:sz w:val="24"/>
          <w:szCs w:val="24"/>
        </w:rPr>
        <w:t>Chapter</w:t>
      </w:r>
      <w:r w:rsidR="008C7910">
        <w:rPr>
          <w:sz w:val="24"/>
          <w:szCs w:val="24"/>
        </w:rPr>
        <w:t xml:space="preserve"> may result in rejection of the registration</w:t>
      </w:r>
      <w:r w:rsidRPr="00F11FC5">
        <w:rPr>
          <w:sz w:val="24"/>
          <w:szCs w:val="24"/>
        </w:rPr>
        <w:t>.</w:t>
      </w:r>
      <w:r w:rsidR="00B32B89">
        <w:rPr>
          <w:sz w:val="24"/>
          <w:szCs w:val="24"/>
        </w:rPr>
        <w:t xml:space="preserve"> </w:t>
      </w:r>
      <w:r w:rsidR="008C7910">
        <w:rPr>
          <w:sz w:val="24"/>
          <w:szCs w:val="24"/>
        </w:rPr>
        <w:t>I</w:t>
      </w:r>
      <w:r w:rsidR="00B32B89">
        <w:rPr>
          <w:sz w:val="24"/>
          <w:szCs w:val="24"/>
        </w:rPr>
        <w:t xml:space="preserve">nformation must be provided </w:t>
      </w:r>
      <w:r w:rsidR="008C7910">
        <w:rPr>
          <w:sz w:val="24"/>
          <w:szCs w:val="24"/>
        </w:rPr>
        <w:t>in</w:t>
      </w:r>
      <w:r w:rsidR="00B32B89">
        <w:rPr>
          <w:sz w:val="24"/>
          <w:szCs w:val="24"/>
        </w:rPr>
        <w:t xml:space="preserve"> a form prescribed by the Department.</w:t>
      </w:r>
    </w:p>
    <w:p w14:paraId="28599E54" w14:textId="77777777" w:rsidR="006C470B" w:rsidRPr="00F11FC5" w:rsidRDefault="006C470B" w:rsidP="0042443E">
      <w:pPr>
        <w:pStyle w:val="RulesSub-section"/>
        <w:ind w:left="360" w:firstLine="0"/>
        <w:jc w:val="left"/>
        <w:rPr>
          <w:b/>
          <w:sz w:val="24"/>
          <w:szCs w:val="24"/>
        </w:rPr>
      </w:pPr>
    </w:p>
    <w:p w14:paraId="111BBBD5" w14:textId="3EE9C338" w:rsidR="006C470B" w:rsidRPr="00F11FC5" w:rsidRDefault="006C470B" w:rsidP="0042443E">
      <w:pPr>
        <w:pStyle w:val="RulesSub-section"/>
        <w:numPr>
          <w:ilvl w:val="1"/>
          <w:numId w:val="3"/>
        </w:numPr>
        <w:tabs>
          <w:tab w:val="clear" w:pos="1080"/>
          <w:tab w:val="num" w:pos="1197"/>
        </w:tabs>
        <w:ind w:left="1197" w:hanging="477"/>
        <w:jc w:val="left"/>
        <w:rPr>
          <w:sz w:val="24"/>
          <w:szCs w:val="24"/>
        </w:rPr>
      </w:pPr>
      <w:r w:rsidRPr="00F11FC5">
        <w:rPr>
          <w:sz w:val="24"/>
          <w:szCs w:val="24"/>
        </w:rPr>
        <w:t>Identifying information, includi</w:t>
      </w:r>
      <w:r w:rsidR="00EE04F5" w:rsidRPr="00F11FC5">
        <w:rPr>
          <w:sz w:val="24"/>
          <w:szCs w:val="24"/>
        </w:rPr>
        <w:t>ng</w:t>
      </w:r>
      <w:r w:rsidR="00651B1F">
        <w:rPr>
          <w:sz w:val="24"/>
          <w:szCs w:val="24"/>
        </w:rPr>
        <w:t xml:space="preserve"> the Class IV-A incinerator location and</w:t>
      </w:r>
      <w:r w:rsidR="00EE04F5" w:rsidRPr="00F11FC5">
        <w:rPr>
          <w:sz w:val="24"/>
          <w:szCs w:val="24"/>
        </w:rPr>
        <w:t xml:space="preserve"> contact information for the o</w:t>
      </w:r>
      <w:r w:rsidRPr="00F11FC5">
        <w:rPr>
          <w:sz w:val="24"/>
          <w:szCs w:val="24"/>
        </w:rPr>
        <w:t>wner</w:t>
      </w:r>
      <w:r w:rsidR="00B32B89">
        <w:rPr>
          <w:sz w:val="24"/>
          <w:szCs w:val="24"/>
        </w:rPr>
        <w:t xml:space="preserve"> or </w:t>
      </w:r>
      <w:r w:rsidR="00EE04F5" w:rsidRPr="00F11FC5">
        <w:rPr>
          <w:sz w:val="24"/>
          <w:szCs w:val="24"/>
        </w:rPr>
        <w:t>operator</w:t>
      </w:r>
      <w:r w:rsidRPr="00F11FC5">
        <w:rPr>
          <w:sz w:val="24"/>
          <w:szCs w:val="24"/>
        </w:rPr>
        <w:t>;</w:t>
      </w:r>
    </w:p>
    <w:p w14:paraId="7001A082" w14:textId="77777777" w:rsidR="006C470B" w:rsidRPr="00F11FC5" w:rsidRDefault="006C470B" w:rsidP="0042443E">
      <w:pPr>
        <w:pStyle w:val="RulesSub-section"/>
        <w:tabs>
          <w:tab w:val="num" w:pos="1197"/>
        </w:tabs>
        <w:ind w:left="1197" w:hanging="477"/>
        <w:jc w:val="left"/>
        <w:rPr>
          <w:sz w:val="24"/>
          <w:szCs w:val="24"/>
        </w:rPr>
      </w:pPr>
    </w:p>
    <w:p w14:paraId="09779C08" w14:textId="65C8742E" w:rsidR="006C470B" w:rsidRPr="00F11FC5" w:rsidRDefault="006C470B" w:rsidP="0042443E">
      <w:pPr>
        <w:pStyle w:val="RulesSub-section"/>
        <w:numPr>
          <w:ilvl w:val="1"/>
          <w:numId w:val="3"/>
        </w:numPr>
        <w:tabs>
          <w:tab w:val="clear" w:pos="1080"/>
          <w:tab w:val="num" w:pos="1197"/>
        </w:tabs>
        <w:ind w:left="1197" w:hanging="477"/>
        <w:jc w:val="left"/>
        <w:rPr>
          <w:sz w:val="24"/>
          <w:szCs w:val="24"/>
        </w:rPr>
      </w:pPr>
      <w:r w:rsidRPr="00F11FC5">
        <w:rPr>
          <w:sz w:val="24"/>
          <w:szCs w:val="24"/>
        </w:rPr>
        <w:t xml:space="preserve">The </w:t>
      </w:r>
      <w:r w:rsidR="00EE04F5" w:rsidRPr="00F11FC5">
        <w:rPr>
          <w:sz w:val="24"/>
          <w:szCs w:val="24"/>
        </w:rPr>
        <w:t>manufacturer, model, date(s) of manufacture and installation</w:t>
      </w:r>
      <w:r w:rsidRPr="00F11FC5">
        <w:rPr>
          <w:sz w:val="24"/>
          <w:szCs w:val="24"/>
        </w:rPr>
        <w:t>,</w:t>
      </w:r>
      <w:r w:rsidR="00A451DC">
        <w:rPr>
          <w:sz w:val="24"/>
          <w:szCs w:val="24"/>
        </w:rPr>
        <w:t xml:space="preserve"> maximum heat input,</w:t>
      </w:r>
      <w:r w:rsidRPr="00F11FC5">
        <w:rPr>
          <w:sz w:val="24"/>
          <w:szCs w:val="24"/>
        </w:rPr>
        <w:t xml:space="preserve"> and maximum </w:t>
      </w:r>
      <w:r w:rsidR="00A434BE" w:rsidRPr="00F11FC5">
        <w:rPr>
          <w:sz w:val="24"/>
          <w:szCs w:val="24"/>
        </w:rPr>
        <w:t>charging</w:t>
      </w:r>
      <w:r w:rsidRPr="00F11FC5">
        <w:rPr>
          <w:sz w:val="24"/>
          <w:szCs w:val="24"/>
        </w:rPr>
        <w:t xml:space="preserve"> rate of the</w:t>
      </w:r>
      <w:r w:rsidR="00B32B89">
        <w:rPr>
          <w:sz w:val="24"/>
          <w:szCs w:val="24"/>
        </w:rPr>
        <w:t xml:space="preserve"> Class IV-A</w:t>
      </w:r>
      <w:r w:rsidRPr="00F11FC5">
        <w:rPr>
          <w:sz w:val="24"/>
          <w:szCs w:val="24"/>
        </w:rPr>
        <w:t xml:space="preserve"> </w:t>
      </w:r>
      <w:r w:rsidR="00A434BE" w:rsidRPr="00F11FC5">
        <w:rPr>
          <w:sz w:val="24"/>
          <w:szCs w:val="24"/>
        </w:rPr>
        <w:t>incinerator</w:t>
      </w:r>
      <w:r w:rsidRPr="00F11FC5">
        <w:rPr>
          <w:sz w:val="24"/>
          <w:szCs w:val="24"/>
        </w:rPr>
        <w:t xml:space="preserve"> to be issued a </w:t>
      </w:r>
      <w:r w:rsidR="00380058" w:rsidRPr="00F11FC5">
        <w:rPr>
          <w:sz w:val="24"/>
          <w:szCs w:val="24"/>
        </w:rPr>
        <w:t>GP</w:t>
      </w:r>
      <w:r w:rsidR="00683BA7">
        <w:rPr>
          <w:sz w:val="24"/>
          <w:szCs w:val="24"/>
        </w:rPr>
        <w:t>N</w:t>
      </w:r>
      <w:r w:rsidRPr="00F11FC5">
        <w:rPr>
          <w:sz w:val="24"/>
          <w:szCs w:val="24"/>
        </w:rPr>
        <w:t>;</w:t>
      </w:r>
    </w:p>
    <w:p w14:paraId="4CA99BAC" w14:textId="77777777" w:rsidR="006C470B" w:rsidRPr="00F11FC5" w:rsidRDefault="006C470B" w:rsidP="0042443E">
      <w:pPr>
        <w:pStyle w:val="RulesSub-section"/>
        <w:tabs>
          <w:tab w:val="num" w:pos="1197"/>
        </w:tabs>
        <w:ind w:left="1197" w:hanging="477"/>
        <w:jc w:val="left"/>
        <w:rPr>
          <w:sz w:val="24"/>
          <w:szCs w:val="24"/>
        </w:rPr>
      </w:pPr>
    </w:p>
    <w:p w14:paraId="21C5FB3D" w14:textId="3C56B0EE" w:rsidR="006C470B" w:rsidRPr="00B32B89" w:rsidRDefault="006C470B" w:rsidP="0042443E">
      <w:pPr>
        <w:pStyle w:val="RulesSub-section"/>
        <w:numPr>
          <w:ilvl w:val="1"/>
          <w:numId w:val="3"/>
        </w:numPr>
        <w:tabs>
          <w:tab w:val="clear" w:pos="1080"/>
          <w:tab w:val="num" w:pos="1197"/>
        </w:tabs>
        <w:ind w:left="1197" w:hanging="477"/>
        <w:jc w:val="left"/>
        <w:rPr>
          <w:sz w:val="24"/>
          <w:szCs w:val="24"/>
        </w:rPr>
      </w:pPr>
      <w:r w:rsidRPr="00B32B89">
        <w:rPr>
          <w:sz w:val="24"/>
          <w:szCs w:val="24"/>
        </w:rPr>
        <w:t xml:space="preserve">A unique identifier, such as a serial number, associated with </w:t>
      </w:r>
      <w:r w:rsidR="00B32B89" w:rsidRPr="00B32B89">
        <w:rPr>
          <w:sz w:val="24"/>
          <w:szCs w:val="24"/>
        </w:rPr>
        <w:t xml:space="preserve">the </w:t>
      </w:r>
      <w:r w:rsidR="00B32B89" w:rsidRPr="008D4FC9">
        <w:rPr>
          <w:sz w:val="24"/>
          <w:szCs w:val="24"/>
        </w:rPr>
        <w:t>Class IV</w:t>
      </w:r>
      <w:r w:rsidR="00B32B89" w:rsidRPr="008D4FC9">
        <w:rPr>
          <w:sz w:val="24"/>
          <w:szCs w:val="24"/>
        </w:rPr>
        <w:noBreakHyphen/>
        <w:t>A incinerator</w:t>
      </w:r>
      <w:r w:rsidRPr="00B32B89">
        <w:rPr>
          <w:sz w:val="24"/>
          <w:szCs w:val="24"/>
        </w:rPr>
        <w:t>;</w:t>
      </w:r>
    </w:p>
    <w:p w14:paraId="43442043" w14:textId="77777777" w:rsidR="006C470B" w:rsidRPr="00F11FC5" w:rsidRDefault="006C470B" w:rsidP="0042443E">
      <w:pPr>
        <w:pStyle w:val="RulesSub-section"/>
        <w:tabs>
          <w:tab w:val="num" w:pos="1197"/>
        </w:tabs>
        <w:ind w:left="1197" w:hanging="477"/>
        <w:jc w:val="left"/>
        <w:rPr>
          <w:sz w:val="24"/>
          <w:szCs w:val="24"/>
        </w:rPr>
      </w:pPr>
    </w:p>
    <w:p w14:paraId="279680A9" w14:textId="46286D0F" w:rsidR="006C470B" w:rsidRPr="00F11FC5" w:rsidRDefault="006C470B" w:rsidP="0042443E">
      <w:pPr>
        <w:pStyle w:val="RulesSub-section"/>
        <w:numPr>
          <w:ilvl w:val="1"/>
          <w:numId w:val="3"/>
        </w:numPr>
        <w:tabs>
          <w:tab w:val="clear" w:pos="1080"/>
          <w:tab w:val="num" w:pos="1197"/>
        </w:tabs>
        <w:ind w:left="1197" w:hanging="477"/>
        <w:jc w:val="left"/>
        <w:rPr>
          <w:b/>
          <w:sz w:val="24"/>
          <w:szCs w:val="24"/>
        </w:rPr>
      </w:pPr>
      <w:r w:rsidRPr="00F11FC5">
        <w:rPr>
          <w:sz w:val="24"/>
          <w:szCs w:val="24"/>
        </w:rPr>
        <w:t>Any other information that may be necessary to implement and enforce any</w:t>
      </w:r>
      <w:r w:rsidR="007F5DDC">
        <w:rPr>
          <w:sz w:val="24"/>
          <w:szCs w:val="24"/>
        </w:rPr>
        <w:t xml:space="preserve"> applicable</w:t>
      </w:r>
      <w:r w:rsidRPr="00F11FC5">
        <w:rPr>
          <w:sz w:val="24"/>
          <w:szCs w:val="24"/>
        </w:rPr>
        <w:t xml:space="preserve"> </w:t>
      </w:r>
      <w:r w:rsidR="00EC7363" w:rsidRPr="00F11FC5">
        <w:rPr>
          <w:sz w:val="24"/>
          <w:szCs w:val="24"/>
        </w:rPr>
        <w:t>state or federal</w:t>
      </w:r>
      <w:r w:rsidR="007F5DDC">
        <w:rPr>
          <w:sz w:val="24"/>
          <w:szCs w:val="24"/>
        </w:rPr>
        <w:t xml:space="preserve"> requirements for</w:t>
      </w:r>
      <w:r w:rsidR="00EC7363" w:rsidRPr="00F11FC5">
        <w:rPr>
          <w:sz w:val="24"/>
          <w:szCs w:val="24"/>
        </w:rPr>
        <w:t xml:space="preserve"> air emission</w:t>
      </w:r>
      <w:r w:rsidR="007F5DDC">
        <w:rPr>
          <w:sz w:val="24"/>
          <w:szCs w:val="24"/>
        </w:rPr>
        <w:t>s</w:t>
      </w:r>
      <w:r w:rsidRPr="00F11FC5">
        <w:rPr>
          <w:sz w:val="24"/>
          <w:szCs w:val="24"/>
        </w:rPr>
        <w:t>;</w:t>
      </w:r>
    </w:p>
    <w:p w14:paraId="53D29076" w14:textId="77777777" w:rsidR="006C470B" w:rsidRPr="00F11FC5" w:rsidRDefault="006C470B" w:rsidP="0042443E">
      <w:pPr>
        <w:pStyle w:val="RulesSub-section"/>
        <w:tabs>
          <w:tab w:val="num" w:pos="1197"/>
        </w:tabs>
        <w:ind w:left="1197" w:hanging="477"/>
        <w:jc w:val="left"/>
        <w:rPr>
          <w:sz w:val="24"/>
          <w:szCs w:val="24"/>
        </w:rPr>
      </w:pPr>
    </w:p>
    <w:p w14:paraId="4FFCDA21" w14:textId="17ECBA15" w:rsidR="006C470B" w:rsidRPr="00F11FC5" w:rsidRDefault="006C470B" w:rsidP="0042443E">
      <w:pPr>
        <w:pStyle w:val="RulesSub-section"/>
        <w:numPr>
          <w:ilvl w:val="1"/>
          <w:numId w:val="3"/>
        </w:numPr>
        <w:tabs>
          <w:tab w:val="clear" w:pos="1080"/>
          <w:tab w:val="num" w:pos="1197"/>
        </w:tabs>
        <w:ind w:left="1197" w:hanging="477"/>
        <w:jc w:val="left"/>
        <w:rPr>
          <w:sz w:val="24"/>
          <w:szCs w:val="24"/>
        </w:rPr>
      </w:pPr>
      <w:r w:rsidRPr="00F11FC5">
        <w:rPr>
          <w:sz w:val="24"/>
          <w:szCs w:val="24"/>
        </w:rPr>
        <w:t>If required by the Department, proposed monitoring, testing, recordkeeping and reporting protocols, and results of pre</w:t>
      </w:r>
      <w:r w:rsidR="00654D87" w:rsidRPr="00F11FC5">
        <w:rPr>
          <w:sz w:val="24"/>
          <w:szCs w:val="24"/>
        </w:rPr>
        <w:t>vi</w:t>
      </w:r>
      <w:r w:rsidRPr="00F11FC5">
        <w:rPr>
          <w:sz w:val="24"/>
          <w:szCs w:val="24"/>
        </w:rPr>
        <w:t>ously performed performance tests;</w:t>
      </w:r>
    </w:p>
    <w:p w14:paraId="324906F8" w14:textId="77777777" w:rsidR="006C470B" w:rsidRPr="00F11FC5" w:rsidRDefault="006C470B" w:rsidP="0042443E">
      <w:pPr>
        <w:pStyle w:val="RulesSub-section"/>
        <w:tabs>
          <w:tab w:val="num" w:pos="1197"/>
        </w:tabs>
        <w:ind w:left="1197" w:hanging="477"/>
        <w:jc w:val="left"/>
        <w:rPr>
          <w:b/>
          <w:sz w:val="24"/>
          <w:szCs w:val="24"/>
        </w:rPr>
      </w:pPr>
    </w:p>
    <w:p w14:paraId="369D2FE9" w14:textId="6FAB851A" w:rsidR="006C470B" w:rsidRPr="00F11FC5" w:rsidRDefault="006C470B" w:rsidP="0042443E">
      <w:pPr>
        <w:pStyle w:val="RulesSub-section"/>
        <w:numPr>
          <w:ilvl w:val="1"/>
          <w:numId w:val="3"/>
        </w:numPr>
        <w:tabs>
          <w:tab w:val="clear" w:pos="1080"/>
          <w:tab w:val="num" w:pos="1197"/>
        </w:tabs>
        <w:ind w:left="1197" w:hanging="477"/>
        <w:jc w:val="left"/>
        <w:rPr>
          <w:b/>
          <w:sz w:val="24"/>
          <w:szCs w:val="24"/>
        </w:rPr>
      </w:pPr>
      <w:r w:rsidRPr="00F11FC5">
        <w:rPr>
          <w:sz w:val="24"/>
          <w:szCs w:val="24"/>
        </w:rPr>
        <w:t>A certification state</w:t>
      </w:r>
      <w:r w:rsidR="00EC7363" w:rsidRPr="00F11FC5">
        <w:rPr>
          <w:sz w:val="24"/>
          <w:szCs w:val="24"/>
        </w:rPr>
        <w:t xml:space="preserve">ment as set forth in </w:t>
      </w:r>
      <w:r w:rsidR="00B32B89">
        <w:rPr>
          <w:sz w:val="24"/>
          <w:szCs w:val="24"/>
        </w:rPr>
        <w:t>section 3(</w:t>
      </w:r>
      <w:r w:rsidR="00D76620">
        <w:rPr>
          <w:sz w:val="24"/>
          <w:szCs w:val="24"/>
        </w:rPr>
        <w:t>D</w:t>
      </w:r>
      <w:r w:rsidR="00B32B89">
        <w:rPr>
          <w:sz w:val="24"/>
          <w:szCs w:val="24"/>
        </w:rPr>
        <w:t>) of this Chapter</w:t>
      </w:r>
      <w:r w:rsidR="00CC5854" w:rsidRPr="00F11FC5">
        <w:rPr>
          <w:sz w:val="24"/>
          <w:szCs w:val="24"/>
        </w:rPr>
        <w:t>; and</w:t>
      </w:r>
    </w:p>
    <w:p w14:paraId="4743D2FD" w14:textId="77777777" w:rsidR="00487B75" w:rsidRPr="00F11FC5" w:rsidRDefault="00487B75" w:rsidP="0042443E">
      <w:pPr>
        <w:pStyle w:val="RulesSub-section"/>
        <w:tabs>
          <w:tab w:val="num" w:pos="1197"/>
        </w:tabs>
        <w:ind w:left="1197" w:hanging="477"/>
        <w:jc w:val="left"/>
        <w:rPr>
          <w:b/>
          <w:sz w:val="24"/>
          <w:szCs w:val="24"/>
        </w:rPr>
      </w:pPr>
    </w:p>
    <w:p w14:paraId="1002097B" w14:textId="2688F3AD" w:rsidR="00487B75" w:rsidRPr="00F11FC5" w:rsidRDefault="00B32B89" w:rsidP="0042443E">
      <w:pPr>
        <w:pStyle w:val="RulesSub-section"/>
        <w:numPr>
          <w:ilvl w:val="1"/>
          <w:numId w:val="3"/>
        </w:numPr>
        <w:tabs>
          <w:tab w:val="clear" w:pos="1080"/>
          <w:tab w:val="num" w:pos="1197"/>
        </w:tabs>
        <w:ind w:left="1197" w:hanging="477"/>
        <w:jc w:val="left"/>
        <w:rPr>
          <w:b/>
          <w:sz w:val="24"/>
          <w:szCs w:val="24"/>
        </w:rPr>
      </w:pPr>
      <w:r>
        <w:rPr>
          <w:sz w:val="24"/>
          <w:szCs w:val="24"/>
        </w:rPr>
        <w:t>Proof of publication</w:t>
      </w:r>
      <w:r w:rsidR="00487B75" w:rsidRPr="00F11FC5">
        <w:rPr>
          <w:sz w:val="24"/>
          <w:szCs w:val="24"/>
        </w:rPr>
        <w:t xml:space="preserve"> of the public notice </w:t>
      </w:r>
      <w:r>
        <w:rPr>
          <w:sz w:val="24"/>
          <w:szCs w:val="24"/>
        </w:rPr>
        <w:t>of intent to file required by section 3(</w:t>
      </w:r>
      <w:r w:rsidR="00D76620">
        <w:rPr>
          <w:sz w:val="24"/>
          <w:szCs w:val="24"/>
        </w:rPr>
        <w:t>E</w:t>
      </w:r>
      <w:r>
        <w:rPr>
          <w:sz w:val="24"/>
          <w:szCs w:val="24"/>
        </w:rPr>
        <w:t>) of this Chapter</w:t>
      </w:r>
      <w:r w:rsidR="00487B75" w:rsidRPr="00F11FC5">
        <w:rPr>
          <w:sz w:val="24"/>
          <w:szCs w:val="24"/>
        </w:rPr>
        <w:t>.</w:t>
      </w:r>
    </w:p>
    <w:p w14:paraId="393277CB" w14:textId="77777777" w:rsidR="006C470B" w:rsidRPr="00F11FC5" w:rsidRDefault="006C470B" w:rsidP="0042443E">
      <w:pPr>
        <w:pStyle w:val="RulesSub-section"/>
        <w:ind w:left="0" w:firstLine="0"/>
        <w:jc w:val="left"/>
        <w:rPr>
          <w:b/>
          <w:sz w:val="24"/>
          <w:szCs w:val="24"/>
        </w:rPr>
      </w:pPr>
    </w:p>
    <w:p w14:paraId="3FC5354C" w14:textId="77777777" w:rsidR="008D4FC9" w:rsidRDefault="008D4FC9">
      <w:pPr>
        <w:rPr>
          <w:rFonts w:ascii="Times New Roman" w:hAnsi="Times New Roman"/>
          <w:b/>
          <w:szCs w:val="24"/>
        </w:rPr>
      </w:pPr>
      <w:r>
        <w:rPr>
          <w:b/>
          <w:szCs w:val="24"/>
        </w:rPr>
        <w:br w:type="page"/>
      </w:r>
    </w:p>
    <w:p w14:paraId="602A84DB" w14:textId="102F7A11" w:rsidR="00E61848" w:rsidRPr="00F11FC5" w:rsidRDefault="006C470B" w:rsidP="0042443E">
      <w:pPr>
        <w:pStyle w:val="RulesSub-section"/>
        <w:numPr>
          <w:ilvl w:val="0"/>
          <w:numId w:val="3"/>
        </w:numPr>
        <w:tabs>
          <w:tab w:val="num" w:pos="1197"/>
        </w:tabs>
        <w:jc w:val="left"/>
        <w:rPr>
          <w:b/>
          <w:sz w:val="24"/>
          <w:szCs w:val="24"/>
        </w:rPr>
      </w:pPr>
      <w:r w:rsidRPr="00F11FC5">
        <w:rPr>
          <w:b/>
          <w:sz w:val="24"/>
          <w:szCs w:val="24"/>
        </w:rPr>
        <w:lastRenderedPageBreak/>
        <w:t>Equipment</w:t>
      </w:r>
      <w:r w:rsidR="0008018B" w:rsidRPr="00F11FC5">
        <w:rPr>
          <w:b/>
          <w:sz w:val="24"/>
          <w:szCs w:val="24"/>
        </w:rPr>
        <w:t xml:space="preserve"> </w:t>
      </w:r>
      <w:r w:rsidR="00B32B89">
        <w:rPr>
          <w:b/>
          <w:sz w:val="24"/>
          <w:szCs w:val="24"/>
        </w:rPr>
        <w:t>i</w:t>
      </w:r>
      <w:r w:rsidR="0008018B" w:rsidRPr="00F11FC5">
        <w:rPr>
          <w:b/>
          <w:sz w:val="24"/>
          <w:szCs w:val="24"/>
        </w:rPr>
        <w:t>dentification.</w:t>
      </w:r>
      <w:r w:rsidRPr="00F11FC5">
        <w:rPr>
          <w:sz w:val="24"/>
          <w:szCs w:val="24"/>
        </w:rPr>
        <w:t xml:space="preserve"> Once </w:t>
      </w:r>
      <w:r w:rsidR="004A44D8">
        <w:rPr>
          <w:sz w:val="24"/>
          <w:szCs w:val="24"/>
        </w:rPr>
        <w:t>registration</w:t>
      </w:r>
      <w:r w:rsidR="00EE04F5" w:rsidRPr="00F11FC5">
        <w:rPr>
          <w:sz w:val="24"/>
          <w:szCs w:val="24"/>
        </w:rPr>
        <w:t xml:space="preserve"> has been received</w:t>
      </w:r>
      <w:r w:rsidRPr="00F11FC5">
        <w:rPr>
          <w:sz w:val="24"/>
          <w:szCs w:val="24"/>
        </w:rPr>
        <w:t xml:space="preserve">, the Department will assign a unique </w:t>
      </w:r>
      <w:r w:rsidR="009C50ED" w:rsidRPr="00F11FC5">
        <w:rPr>
          <w:sz w:val="24"/>
          <w:szCs w:val="24"/>
        </w:rPr>
        <w:t>GPN</w:t>
      </w:r>
      <w:r w:rsidR="00304A2D" w:rsidRPr="00F11FC5">
        <w:rPr>
          <w:sz w:val="24"/>
          <w:szCs w:val="24"/>
        </w:rPr>
        <w:t xml:space="preserve"> f</w:t>
      </w:r>
      <w:r w:rsidRPr="00F11FC5">
        <w:rPr>
          <w:sz w:val="24"/>
          <w:szCs w:val="24"/>
        </w:rPr>
        <w:t>o</w:t>
      </w:r>
      <w:r w:rsidR="00304A2D" w:rsidRPr="00F11FC5">
        <w:rPr>
          <w:sz w:val="24"/>
          <w:szCs w:val="24"/>
        </w:rPr>
        <w:t>r</w:t>
      </w:r>
      <w:r w:rsidRPr="00F11FC5">
        <w:rPr>
          <w:sz w:val="24"/>
          <w:szCs w:val="24"/>
        </w:rPr>
        <w:t xml:space="preserve"> each </w:t>
      </w:r>
      <w:r w:rsidR="00667356">
        <w:rPr>
          <w:sz w:val="24"/>
          <w:szCs w:val="24"/>
        </w:rPr>
        <w:t>v</w:t>
      </w:r>
      <w:r w:rsidR="00622C56" w:rsidRPr="00F11FC5">
        <w:rPr>
          <w:sz w:val="24"/>
          <w:szCs w:val="24"/>
        </w:rPr>
        <w:t xml:space="preserve">eterinary </w:t>
      </w:r>
      <w:r w:rsidR="00667356">
        <w:rPr>
          <w:sz w:val="24"/>
          <w:szCs w:val="24"/>
        </w:rPr>
        <w:t>i</w:t>
      </w:r>
      <w:r w:rsidR="00622C56" w:rsidRPr="00F11FC5">
        <w:rPr>
          <w:sz w:val="24"/>
          <w:szCs w:val="24"/>
        </w:rPr>
        <w:t xml:space="preserve">ncinerator or </w:t>
      </w:r>
      <w:r w:rsidR="00667356">
        <w:rPr>
          <w:sz w:val="24"/>
          <w:szCs w:val="24"/>
        </w:rPr>
        <w:t>c</w:t>
      </w:r>
      <w:r w:rsidR="00622C56" w:rsidRPr="00F11FC5">
        <w:rPr>
          <w:sz w:val="24"/>
          <w:szCs w:val="24"/>
        </w:rPr>
        <w:t xml:space="preserve">rematory </w:t>
      </w:r>
      <w:r w:rsidR="00667356">
        <w:rPr>
          <w:sz w:val="24"/>
          <w:szCs w:val="24"/>
        </w:rPr>
        <w:t>i</w:t>
      </w:r>
      <w:r w:rsidR="00622C56" w:rsidRPr="00F11FC5">
        <w:rPr>
          <w:sz w:val="24"/>
          <w:szCs w:val="24"/>
        </w:rPr>
        <w:t>ncinerator</w:t>
      </w:r>
      <w:r w:rsidRPr="00F11FC5">
        <w:rPr>
          <w:sz w:val="24"/>
          <w:szCs w:val="24"/>
        </w:rPr>
        <w:t>.</w:t>
      </w:r>
      <w:r w:rsidR="00412EEB" w:rsidRPr="00F11FC5">
        <w:rPr>
          <w:sz w:val="24"/>
          <w:szCs w:val="24"/>
        </w:rPr>
        <w:t xml:space="preserve"> </w:t>
      </w:r>
      <w:r w:rsidRPr="00F11FC5">
        <w:rPr>
          <w:sz w:val="24"/>
          <w:szCs w:val="24"/>
        </w:rPr>
        <w:t xml:space="preserve">The </w:t>
      </w:r>
      <w:r w:rsidR="00622C56" w:rsidRPr="00F11FC5">
        <w:rPr>
          <w:sz w:val="24"/>
          <w:szCs w:val="24"/>
        </w:rPr>
        <w:t xml:space="preserve">Class IV-A </w:t>
      </w:r>
      <w:r w:rsidR="00667356">
        <w:rPr>
          <w:sz w:val="24"/>
          <w:szCs w:val="24"/>
        </w:rPr>
        <w:t>i</w:t>
      </w:r>
      <w:r w:rsidR="00622C56" w:rsidRPr="00F11FC5">
        <w:rPr>
          <w:sz w:val="24"/>
          <w:szCs w:val="24"/>
        </w:rPr>
        <w:t>ncinerator</w:t>
      </w:r>
      <w:r w:rsidRPr="00F11FC5">
        <w:rPr>
          <w:sz w:val="24"/>
          <w:szCs w:val="24"/>
        </w:rPr>
        <w:t xml:space="preserve"> associated with the </w:t>
      </w:r>
      <w:r w:rsidR="009C50ED" w:rsidRPr="00F11FC5">
        <w:rPr>
          <w:sz w:val="24"/>
          <w:szCs w:val="24"/>
        </w:rPr>
        <w:t>GPN</w:t>
      </w:r>
      <w:r w:rsidRPr="00F11FC5">
        <w:rPr>
          <w:sz w:val="24"/>
          <w:szCs w:val="24"/>
        </w:rPr>
        <w:t xml:space="preserve"> </w:t>
      </w:r>
      <w:r w:rsidR="004728B7">
        <w:rPr>
          <w:sz w:val="24"/>
          <w:szCs w:val="24"/>
        </w:rPr>
        <w:t>must</w:t>
      </w:r>
      <w:r w:rsidRPr="00F11FC5">
        <w:rPr>
          <w:sz w:val="24"/>
          <w:szCs w:val="24"/>
        </w:rPr>
        <w:t xml:space="preserve"> be clearly marked (engraved, stenciled, etched, or otherwise permanently affixed) with one of the following:</w:t>
      </w:r>
    </w:p>
    <w:p w14:paraId="5A37A4CB" w14:textId="77777777" w:rsidR="00E61848" w:rsidRPr="00F11FC5" w:rsidRDefault="00E61848" w:rsidP="0042443E">
      <w:pPr>
        <w:pStyle w:val="RulesSub-section"/>
        <w:tabs>
          <w:tab w:val="num" w:pos="1197"/>
        </w:tabs>
        <w:ind w:left="360" w:firstLine="0"/>
        <w:jc w:val="left"/>
        <w:rPr>
          <w:b/>
          <w:sz w:val="24"/>
          <w:szCs w:val="24"/>
        </w:rPr>
      </w:pPr>
    </w:p>
    <w:p w14:paraId="23B9D46B" w14:textId="43392945" w:rsidR="00412EEB" w:rsidRPr="00F11FC5" w:rsidRDefault="006C470B" w:rsidP="0042443E">
      <w:pPr>
        <w:pStyle w:val="RulesSub-section"/>
        <w:numPr>
          <w:ilvl w:val="1"/>
          <w:numId w:val="3"/>
        </w:numPr>
        <w:tabs>
          <w:tab w:val="clear" w:pos="1080"/>
          <w:tab w:val="num" w:pos="1197"/>
        </w:tabs>
        <w:jc w:val="left"/>
        <w:rPr>
          <w:sz w:val="24"/>
          <w:szCs w:val="24"/>
        </w:rPr>
      </w:pPr>
      <w:r w:rsidRPr="00F11FC5">
        <w:rPr>
          <w:sz w:val="24"/>
          <w:szCs w:val="24"/>
        </w:rPr>
        <w:t xml:space="preserve">The </w:t>
      </w:r>
      <w:r w:rsidR="009C50ED" w:rsidRPr="00F11FC5">
        <w:rPr>
          <w:sz w:val="24"/>
          <w:szCs w:val="24"/>
        </w:rPr>
        <w:t>GPN</w:t>
      </w:r>
      <w:r w:rsidRPr="00F11FC5">
        <w:rPr>
          <w:sz w:val="24"/>
          <w:szCs w:val="24"/>
        </w:rPr>
        <w:t xml:space="preserve"> number, or</w:t>
      </w:r>
    </w:p>
    <w:p w14:paraId="2B16CA17" w14:textId="77777777" w:rsidR="00E61848" w:rsidRPr="00F11FC5" w:rsidRDefault="00E61848" w:rsidP="0042443E">
      <w:pPr>
        <w:pStyle w:val="RulesSub-section"/>
        <w:ind w:firstLine="0"/>
        <w:jc w:val="left"/>
        <w:rPr>
          <w:b/>
          <w:sz w:val="24"/>
          <w:szCs w:val="24"/>
        </w:rPr>
      </w:pPr>
    </w:p>
    <w:p w14:paraId="24539732" w14:textId="73195706" w:rsidR="006C470B" w:rsidRPr="00F11FC5" w:rsidRDefault="006C470B" w:rsidP="008D4FC9">
      <w:pPr>
        <w:pStyle w:val="RulesSub-section"/>
        <w:numPr>
          <w:ilvl w:val="1"/>
          <w:numId w:val="3"/>
        </w:numPr>
        <w:tabs>
          <w:tab w:val="clear" w:pos="1080"/>
        </w:tabs>
        <w:jc w:val="left"/>
        <w:rPr>
          <w:b/>
          <w:sz w:val="24"/>
          <w:szCs w:val="24"/>
        </w:rPr>
      </w:pPr>
      <w:r w:rsidRPr="00F11FC5">
        <w:rPr>
          <w:sz w:val="24"/>
          <w:szCs w:val="24"/>
        </w:rPr>
        <w:t xml:space="preserve">A serial number or other unique equipment number that is also listed in the </w:t>
      </w:r>
      <w:r w:rsidR="009C50ED" w:rsidRPr="00F11FC5">
        <w:rPr>
          <w:sz w:val="24"/>
          <w:szCs w:val="24"/>
        </w:rPr>
        <w:t>GPN</w:t>
      </w:r>
      <w:r w:rsidR="004A44D8">
        <w:rPr>
          <w:sz w:val="24"/>
          <w:szCs w:val="24"/>
        </w:rPr>
        <w:t xml:space="preserve"> registration</w:t>
      </w:r>
      <w:r w:rsidR="004A44D8" w:rsidRPr="004A44D8">
        <w:rPr>
          <w:sz w:val="24"/>
          <w:szCs w:val="24"/>
        </w:rPr>
        <w:t xml:space="preserve"> </w:t>
      </w:r>
      <w:r w:rsidR="004A44D8">
        <w:rPr>
          <w:sz w:val="24"/>
          <w:szCs w:val="24"/>
        </w:rPr>
        <w:t>described in section 3(B) of this Chapter</w:t>
      </w:r>
      <w:r w:rsidRPr="00F11FC5">
        <w:rPr>
          <w:sz w:val="24"/>
          <w:szCs w:val="24"/>
        </w:rPr>
        <w:t>.</w:t>
      </w:r>
    </w:p>
    <w:p w14:paraId="6BB68F2D" w14:textId="77777777" w:rsidR="0008018B" w:rsidRPr="00F11FC5" w:rsidRDefault="0008018B" w:rsidP="0042443E">
      <w:pPr>
        <w:pStyle w:val="RulesSub-section"/>
        <w:tabs>
          <w:tab w:val="num" w:pos="741"/>
        </w:tabs>
        <w:ind w:left="0" w:firstLine="0"/>
        <w:jc w:val="left"/>
        <w:rPr>
          <w:b/>
          <w:sz w:val="24"/>
          <w:szCs w:val="24"/>
        </w:rPr>
      </w:pPr>
    </w:p>
    <w:p w14:paraId="559F9035" w14:textId="3104F250" w:rsidR="006C470B" w:rsidRPr="00F11FC5" w:rsidRDefault="006C470B" w:rsidP="008D4FC9">
      <w:pPr>
        <w:pStyle w:val="RulesSub-section"/>
        <w:numPr>
          <w:ilvl w:val="0"/>
          <w:numId w:val="3"/>
        </w:numPr>
        <w:tabs>
          <w:tab w:val="clear" w:pos="720"/>
          <w:tab w:val="left" w:pos="810"/>
        </w:tabs>
        <w:jc w:val="left"/>
        <w:rPr>
          <w:sz w:val="24"/>
          <w:szCs w:val="24"/>
        </w:rPr>
      </w:pPr>
      <w:r w:rsidRPr="00F11FC5">
        <w:rPr>
          <w:b/>
          <w:sz w:val="24"/>
          <w:szCs w:val="24"/>
        </w:rPr>
        <w:t>Certification</w:t>
      </w:r>
      <w:r w:rsidR="009D0B4A" w:rsidRPr="00F11FC5">
        <w:rPr>
          <w:b/>
          <w:sz w:val="24"/>
          <w:szCs w:val="24"/>
        </w:rPr>
        <w:t xml:space="preserve">. </w:t>
      </w:r>
      <w:r w:rsidR="008A73F8" w:rsidRPr="00F11FC5">
        <w:rPr>
          <w:sz w:val="24"/>
          <w:szCs w:val="24"/>
        </w:rPr>
        <w:t xml:space="preserve">All </w:t>
      </w:r>
      <w:r w:rsidR="00F03AAC">
        <w:rPr>
          <w:sz w:val="24"/>
          <w:szCs w:val="24"/>
        </w:rPr>
        <w:t>GPN</w:t>
      </w:r>
      <w:r w:rsidR="009D0B4A" w:rsidRPr="00F11FC5">
        <w:rPr>
          <w:sz w:val="24"/>
          <w:szCs w:val="24"/>
        </w:rPr>
        <w:t xml:space="preserve"> </w:t>
      </w:r>
      <w:r w:rsidR="004A44D8">
        <w:rPr>
          <w:sz w:val="24"/>
          <w:szCs w:val="24"/>
        </w:rPr>
        <w:t>registrations</w:t>
      </w:r>
      <w:r w:rsidR="004A44D8" w:rsidRPr="00F11FC5">
        <w:rPr>
          <w:sz w:val="24"/>
          <w:szCs w:val="24"/>
        </w:rPr>
        <w:t xml:space="preserve"> </w:t>
      </w:r>
      <w:r w:rsidR="009D0B4A" w:rsidRPr="00F11FC5">
        <w:rPr>
          <w:sz w:val="24"/>
          <w:szCs w:val="24"/>
        </w:rPr>
        <w:t xml:space="preserve">submitted to the Department in accordance with this </w:t>
      </w:r>
      <w:r w:rsidR="00651B1F">
        <w:rPr>
          <w:sz w:val="24"/>
          <w:szCs w:val="24"/>
        </w:rPr>
        <w:t>C</w:t>
      </w:r>
      <w:r w:rsidR="009D0B4A" w:rsidRPr="00F11FC5">
        <w:rPr>
          <w:sz w:val="24"/>
          <w:szCs w:val="24"/>
        </w:rPr>
        <w:t xml:space="preserve">hapter </w:t>
      </w:r>
      <w:r w:rsidR="004728B7">
        <w:rPr>
          <w:sz w:val="24"/>
          <w:szCs w:val="24"/>
        </w:rPr>
        <w:t>must</w:t>
      </w:r>
      <w:r w:rsidR="009D0B4A" w:rsidRPr="00F11FC5">
        <w:rPr>
          <w:sz w:val="24"/>
          <w:szCs w:val="24"/>
        </w:rPr>
        <w:t xml:space="preserve"> contain </w:t>
      </w:r>
      <w:r w:rsidR="00651B1F">
        <w:rPr>
          <w:sz w:val="24"/>
          <w:szCs w:val="24"/>
        </w:rPr>
        <w:t>a</w:t>
      </w:r>
      <w:r w:rsidR="009D0B4A" w:rsidRPr="00F11FC5">
        <w:rPr>
          <w:sz w:val="24"/>
          <w:szCs w:val="24"/>
        </w:rPr>
        <w:t xml:space="preserve"> certification of truth, accuracy, and completeness with the signature and printed name of the responsible official as defined in </w:t>
      </w:r>
      <w:r w:rsidR="006765A5">
        <w:rPr>
          <w:i/>
          <w:iCs/>
          <w:sz w:val="24"/>
          <w:szCs w:val="24"/>
        </w:rPr>
        <w:t xml:space="preserve">Definitions </w:t>
      </w:r>
      <w:r w:rsidR="006765A5" w:rsidRPr="00296182">
        <w:rPr>
          <w:i/>
          <w:iCs/>
          <w:sz w:val="24"/>
          <w:szCs w:val="24"/>
        </w:rPr>
        <w:t>Regulation</w:t>
      </w:r>
      <w:r w:rsidR="006765A5">
        <w:rPr>
          <w:sz w:val="24"/>
          <w:szCs w:val="24"/>
        </w:rPr>
        <w:t xml:space="preserve">, </w:t>
      </w:r>
      <w:r w:rsidR="00651B1F" w:rsidRPr="006765A5">
        <w:rPr>
          <w:sz w:val="24"/>
          <w:szCs w:val="24"/>
        </w:rPr>
        <w:t>06</w:t>
      </w:r>
      <w:r w:rsidR="00651B1F">
        <w:rPr>
          <w:sz w:val="24"/>
          <w:szCs w:val="24"/>
        </w:rPr>
        <w:t>-096 C.M.R. ch. 100</w:t>
      </w:r>
      <w:r w:rsidR="009D0B4A" w:rsidRPr="00F11FC5">
        <w:rPr>
          <w:sz w:val="24"/>
          <w:szCs w:val="24"/>
        </w:rPr>
        <w:t>.</w:t>
      </w:r>
      <w:r w:rsidR="00651B1F" w:rsidRPr="00651B1F">
        <w:rPr>
          <w:sz w:val="24"/>
          <w:szCs w:val="24"/>
        </w:rPr>
        <w:t xml:space="preserve"> </w:t>
      </w:r>
      <w:r w:rsidR="00651B1F" w:rsidRPr="00DC5133">
        <w:rPr>
          <w:sz w:val="24"/>
          <w:szCs w:val="24"/>
        </w:rPr>
        <w:t xml:space="preserve">The signature must either be an original wet-ink signature or an electronic signature </w:t>
      </w:r>
      <w:r w:rsidR="00296182">
        <w:rPr>
          <w:sz w:val="24"/>
          <w:szCs w:val="24"/>
        </w:rPr>
        <w:t>submitted through a licensing system provided by the Department</w:t>
      </w:r>
      <w:r w:rsidR="00651B1F">
        <w:rPr>
          <w:sz w:val="24"/>
          <w:szCs w:val="24"/>
        </w:rPr>
        <w:t>. The certification must state</w:t>
      </w:r>
      <w:r w:rsidR="009D0B4A" w:rsidRPr="00F11FC5">
        <w:rPr>
          <w:sz w:val="24"/>
          <w:szCs w:val="24"/>
        </w:rPr>
        <w:t>:</w:t>
      </w:r>
    </w:p>
    <w:p w14:paraId="656C1998" w14:textId="77777777" w:rsidR="009D0B4A" w:rsidRPr="00F11FC5" w:rsidRDefault="009D0B4A" w:rsidP="0042443E">
      <w:pPr>
        <w:pStyle w:val="RulesSub-section"/>
        <w:tabs>
          <w:tab w:val="num" w:pos="741"/>
        </w:tabs>
        <w:ind w:left="360" w:firstLine="0"/>
        <w:jc w:val="left"/>
        <w:rPr>
          <w:sz w:val="24"/>
          <w:szCs w:val="24"/>
        </w:rPr>
      </w:pPr>
    </w:p>
    <w:p w14:paraId="7F1EBBF9" w14:textId="7DF476EC" w:rsidR="00412EEB" w:rsidRPr="00F11FC5" w:rsidRDefault="00296182" w:rsidP="008D4FC9">
      <w:pPr>
        <w:pStyle w:val="RulesSub-section"/>
        <w:tabs>
          <w:tab w:val="num" w:pos="741"/>
        </w:tabs>
        <w:ind w:firstLine="0"/>
        <w:jc w:val="left"/>
        <w:rPr>
          <w:sz w:val="24"/>
          <w:szCs w:val="24"/>
        </w:rPr>
      </w:pPr>
      <w:r>
        <w:rPr>
          <w:sz w:val="24"/>
          <w:szCs w:val="24"/>
        </w:rPr>
        <w:t>“</w:t>
      </w:r>
      <w:r w:rsidR="002F68E3" w:rsidRPr="00F11FC5">
        <w:rPr>
          <w:sz w:val="24"/>
          <w:szCs w:val="24"/>
        </w:rPr>
        <w:t xml:space="preserve">I certify that the equipment listed in this </w:t>
      </w:r>
      <w:r w:rsidR="004A44D8">
        <w:rPr>
          <w:sz w:val="24"/>
          <w:szCs w:val="24"/>
        </w:rPr>
        <w:t>registration</w:t>
      </w:r>
      <w:r w:rsidR="004A44D8" w:rsidRPr="00F11FC5">
        <w:rPr>
          <w:sz w:val="24"/>
          <w:szCs w:val="24"/>
        </w:rPr>
        <w:t xml:space="preserve"> </w:t>
      </w:r>
      <w:r w:rsidR="00651B1F">
        <w:rPr>
          <w:sz w:val="24"/>
          <w:szCs w:val="24"/>
        </w:rPr>
        <w:t>will</w:t>
      </w:r>
      <w:r w:rsidR="002F68E3" w:rsidRPr="00F11FC5">
        <w:rPr>
          <w:sz w:val="24"/>
          <w:szCs w:val="24"/>
        </w:rPr>
        <w:t xml:space="preserve"> be operated in compliance with the terms and conditions of </w:t>
      </w:r>
      <w:r w:rsidR="002F68E3" w:rsidRPr="008D4FC9">
        <w:rPr>
          <w:i/>
          <w:iCs/>
          <w:sz w:val="24"/>
          <w:szCs w:val="24"/>
        </w:rPr>
        <w:t>General Permit for Class IV-A Incinerators</w:t>
      </w:r>
      <w:r w:rsidR="00651B1F">
        <w:rPr>
          <w:sz w:val="24"/>
          <w:szCs w:val="24"/>
        </w:rPr>
        <w:t>, 06-096 C.M.R. ch. 165,</w:t>
      </w:r>
      <w:r w:rsidR="002F68E3" w:rsidRPr="00F11FC5">
        <w:rPr>
          <w:sz w:val="24"/>
          <w:szCs w:val="24"/>
        </w:rPr>
        <w:t xml:space="preserve"> and any other </w:t>
      </w:r>
      <w:r w:rsidR="00D76620">
        <w:rPr>
          <w:sz w:val="24"/>
          <w:szCs w:val="24"/>
        </w:rPr>
        <w:t xml:space="preserve">applicable </w:t>
      </w:r>
      <w:r w:rsidR="002F68E3" w:rsidRPr="00F11FC5">
        <w:rPr>
          <w:sz w:val="24"/>
          <w:szCs w:val="24"/>
        </w:rPr>
        <w:t>state or federal air emission</w:t>
      </w:r>
      <w:r w:rsidR="002B07C6">
        <w:rPr>
          <w:sz w:val="24"/>
          <w:szCs w:val="24"/>
        </w:rPr>
        <w:t xml:space="preserve"> </w:t>
      </w:r>
      <w:r w:rsidR="002F68E3" w:rsidRPr="00F11FC5">
        <w:rPr>
          <w:sz w:val="24"/>
          <w:szCs w:val="24"/>
        </w:rPr>
        <w:t>regulations.</w:t>
      </w:r>
      <w:r w:rsidR="00412EEB" w:rsidRPr="00F11FC5">
        <w:rPr>
          <w:sz w:val="24"/>
          <w:szCs w:val="24"/>
        </w:rPr>
        <w:t xml:space="preserve"> </w:t>
      </w:r>
      <w:r w:rsidR="006C470B" w:rsidRPr="00F11FC5">
        <w:rPr>
          <w:sz w:val="24"/>
          <w:szCs w:val="24"/>
        </w:rPr>
        <w:t>I certify under penalty of law that I have personally examined the information submitted in the document and all attachments thereto</w:t>
      </w:r>
      <w:r w:rsidR="002B07C6">
        <w:rPr>
          <w:sz w:val="24"/>
          <w:szCs w:val="24"/>
        </w:rPr>
        <w:t>,</w:t>
      </w:r>
      <w:r w:rsidR="006C470B" w:rsidRPr="00F11FC5">
        <w:rPr>
          <w:sz w:val="24"/>
          <w:szCs w:val="24"/>
        </w:rPr>
        <w:t xml:space="preserve"> and that, based on my inquiry of those indi</w:t>
      </w:r>
      <w:r w:rsidR="00B76D1F" w:rsidRPr="00F11FC5">
        <w:rPr>
          <w:sz w:val="24"/>
          <w:szCs w:val="24"/>
        </w:rPr>
        <w:t>vi</w:t>
      </w:r>
      <w:r w:rsidR="006C470B" w:rsidRPr="00F11FC5">
        <w:rPr>
          <w:sz w:val="24"/>
          <w:szCs w:val="24"/>
        </w:rPr>
        <w:t xml:space="preserve">duals immediately responsible for obtaining the information, I believe the information is true, accurate, and complete. I authorize the Department to enter the property that is the subject of this </w:t>
      </w:r>
      <w:r w:rsidR="004A44D8">
        <w:rPr>
          <w:sz w:val="24"/>
          <w:szCs w:val="24"/>
        </w:rPr>
        <w:t>registration</w:t>
      </w:r>
      <w:r w:rsidR="006C470B" w:rsidRPr="00F11FC5">
        <w:rPr>
          <w:sz w:val="24"/>
          <w:szCs w:val="24"/>
        </w:rPr>
        <w:t xml:space="preserve"> at reasonable hours, including buildings, structures</w:t>
      </w:r>
      <w:r w:rsidR="002B07C6">
        <w:rPr>
          <w:sz w:val="24"/>
          <w:szCs w:val="24"/>
        </w:rPr>
        <w:t>,</w:t>
      </w:r>
      <w:r w:rsidR="006C470B" w:rsidRPr="00F11FC5">
        <w:rPr>
          <w:sz w:val="24"/>
          <w:szCs w:val="24"/>
        </w:rPr>
        <w:t xml:space="preserve"> or conveyances on the property, to determine the accuracy of any information pro</w:t>
      </w:r>
      <w:r w:rsidR="00B76D1F" w:rsidRPr="00F11FC5">
        <w:rPr>
          <w:sz w:val="24"/>
          <w:szCs w:val="24"/>
        </w:rPr>
        <w:t>vi</w:t>
      </w:r>
      <w:r w:rsidR="006C470B" w:rsidRPr="00F11FC5">
        <w:rPr>
          <w:sz w:val="24"/>
          <w:szCs w:val="24"/>
        </w:rPr>
        <w:t>ded herein. I am aware there are significant c</w:t>
      </w:r>
      <w:r w:rsidR="00B76D1F" w:rsidRPr="00F11FC5">
        <w:rPr>
          <w:sz w:val="24"/>
          <w:szCs w:val="24"/>
        </w:rPr>
        <w:t>ivi</w:t>
      </w:r>
      <w:r w:rsidR="006C470B" w:rsidRPr="00F11FC5">
        <w:rPr>
          <w:sz w:val="24"/>
          <w:szCs w:val="24"/>
        </w:rPr>
        <w:t>l and criminal penalties for submitting false information, including the possibility of fine and imprisonment.</w:t>
      </w:r>
      <w:r w:rsidR="002F68E3" w:rsidRPr="00F11FC5">
        <w:rPr>
          <w:sz w:val="24"/>
          <w:szCs w:val="24"/>
        </w:rPr>
        <w:t>”</w:t>
      </w:r>
    </w:p>
    <w:p w14:paraId="591E44E7" w14:textId="77777777" w:rsidR="002F68E3" w:rsidRPr="00F11FC5" w:rsidRDefault="002F68E3" w:rsidP="0042443E">
      <w:pPr>
        <w:pStyle w:val="RulesSub-section"/>
        <w:tabs>
          <w:tab w:val="num" w:pos="741"/>
        </w:tabs>
        <w:ind w:left="741" w:hanging="381"/>
        <w:jc w:val="left"/>
        <w:rPr>
          <w:sz w:val="24"/>
          <w:szCs w:val="24"/>
        </w:rPr>
      </w:pPr>
    </w:p>
    <w:p w14:paraId="79463F16" w14:textId="7AA58B44" w:rsidR="00412EEB" w:rsidRPr="00F11FC5" w:rsidRDefault="006C470B" w:rsidP="0042443E">
      <w:pPr>
        <w:pStyle w:val="RulesSub-section"/>
        <w:tabs>
          <w:tab w:val="num" w:pos="741"/>
        </w:tabs>
        <w:jc w:val="left"/>
        <w:rPr>
          <w:sz w:val="24"/>
          <w:szCs w:val="24"/>
        </w:rPr>
      </w:pPr>
      <w:r w:rsidRPr="00F11FC5">
        <w:rPr>
          <w:sz w:val="24"/>
          <w:szCs w:val="24"/>
        </w:rPr>
        <w:tab/>
      </w:r>
      <w:r w:rsidR="00D76620">
        <w:rPr>
          <w:sz w:val="24"/>
          <w:szCs w:val="24"/>
        </w:rPr>
        <w:t>Upon</w:t>
      </w:r>
      <w:r w:rsidRPr="00F11FC5">
        <w:rPr>
          <w:sz w:val="24"/>
          <w:szCs w:val="24"/>
        </w:rPr>
        <w:t xml:space="preserve"> becoming aware that </w:t>
      </w:r>
      <w:r w:rsidR="00D76620">
        <w:rPr>
          <w:sz w:val="24"/>
          <w:szCs w:val="24"/>
        </w:rPr>
        <w:t xml:space="preserve">incomplete or </w:t>
      </w:r>
      <w:r w:rsidRPr="00F11FC5">
        <w:rPr>
          <w:sz w:val="24"/>
          <w:szCs w:val="24"/>
        </w:rPr>
        <w:t xml:space="preserve">incorrect information </w:t>
      </w:r>
      <w:r w:rsidR="007F5DDC">
        <w:rPr>
          <w:sz w:val="24"/>
          <w:szCs w:val="24"/>
        </w:rPr>
        <w:t>has been</w:t>
      </w:r>
      <w:r w:rsidR="007F5DDC" w:rsidRPr="00F11FC5">
        <w:rPr>
          <w:sz w:val="24"/>
          <w:szCs w:val="24"/>
        </w:rPr>
        <w:t xml:space="preserve"> </w:t>
      </w:r>
      <w:r w:rsidRPr="00F11FC5">
        <w:rPr>
          <w:sz w:val="24"/>
          <w:szCs w:val="24"/>
        </w:rPr>
        <w:t xml:space="preserve">submitted, the </w:t>
      </w:r>
      <w:r w:rsidR="00296182">
        <w:rPr>
          <w:sz w:val="24"/>
          <w:szCs w:val="24"/>
        </w:rPr>
        <w:t>owner or operator</w:t>
      </w:r>
      <w:r w:rsidRPr="00F11FC5">
        <w:rPr>
          <w:sz w:val="24"/>
          <w:szCs w:val="24"/>
        </w:rPr>
        <w:t xml:space="preserve"> must pro</w:t>
      </w:r>
      <w:r w:rsidR="00B76D1F" w:rsidRPr="00F11FC5">
        <w:rPr>
          <w:sz w:val="24"/>
          <w:szCs w:val="24"/>
        </w:rPr>
        <w:t>vi</w:t>
      </w:r>
      <w:r w:rsidRPr="00F11FC5">
        <w:rPr>
          <w:sz w:val="24"/>
          <w:szCs w:val="24"/>
        </w:rPr>
        <w:t>de the Department with the supplementary facts or corrected information.</w:t>
      </w:r>
    </w:p>
    <w:p w14:paraId="16EF21C9" w14:textId="77777777" w:rsidR="0008018B" w:rsidRPr="00F11FC5" w:rsidRDefault="0008018B" w:rsidP="0042443E">
      <w:pPr>
        <w:pStyle w:val="RulesSub-section"/>
        <w:tabs>
          <w:tab w:val="num" w:pos="741"/>
        </w:tabs>
        <w:jc w:val="left"/>
        <w:rPr>
          <w:sz w:val="24"/>
          <w:szCs w:val="24"/>
        </w:rPr>
      </w:pPr>
    </w:p>
    <w:p w14:paraId="6EEFD9FC" w14:textId="4F507955" w:rsidR="006C470B" w:rsidRPr="00F11FC5" w:rsidRDefault="006C470B" w:rsidP="0042443E">
      <w:pPr>
        <w:pStyle w:val="RulesSub-section"/>
        <w:numPr>
          <w:ilvl w:val="0"/>
          <w:numId w:val="3"/>
        </w:numPr>
        <w:tabs>
          <w:tab w:val="clear" w:pos="720"/>
          <w:tab w:val="num" w:pos="900"/>
        </w:tabs>
        <w:jc w:val="left"/>
        <w:rPr>
          <w:sz w:val="24"/>
          <w:szCs w:val="24"/>
        </w:rPr>
      </w:pPr>
      <w:r w:rsidRPr="00F11FC5">
        <w:rPr>
          <w:b/>
          <w:sz w:val="24"/>
          <w:szCs w:val="24"/>
        </w:rPr>
        <w:t xml:space="preserve">Public </w:t>
      </w:r>
      <w:r w:rsidR="00D76620">
        <w:rPr>
          <w:b/>
          <w:sz w:val="24"/>
          <w:szCs w:val="24"/>
        </w:rPr>
        <w:t>n</w:t>
      </w:r>
      <w:r w:rsidRPr="00F11FC5">
        <w:rPr>
          <w:b/>
          <w:sz w:val="24"/>
          <w:szCs w:val="24"/>
        </w:rPr>
        <w:t xml:space="preserve">otice of </w:t>
      </w:r>
      <w:r w:rsidR="00D76620">
        <w:rPr>
          <w:b/>
          <w:sz w:val="24"/>
          <w:szCs w:val="24"/>
        </w:rPr>
        <w:t>i</w:t>
      </w:r>
      <w:r w:rsidRPr="00F11FC5">
        <w:rPr>
          <w:b/>
          <w:sz w:val="24"/>
          <w:szCs w:val="24"/>
        </w:rPr>
        <w:t xml:space="preserve">ntent to </w:t>
      </w:r>
      <w:r w:rsidR="00D76620">
        <w:rPr>
          <w:b/>
          <w:sz w:val="24"/>
          <w:szCs w:val="24"/>
        </w:rPr>
        <w:t>f</w:t>
      </w:r>
      <w:r w:rsidRPr="00F11FC5">
        <w:rPr>
          <w:b/>
          <w:sz w:val="24"/>
          <w:szCs w:val="24"/>
        </w:rPr>
        <w:t xml:space="preserve">ile. </w:t>
      </w:r>
      <w:bookmarkStart w:id="0" w:name="OLE_LINK1"/>
      <w:r w:rsidR="00D76620">
        <w:rPr>
          <w:bCs/>
          <w:sz w:val="24"/>
          <w:szCs w:val="24"/>
        </w:rPr>
        <w:t xml:space="preserve">The owner or operator must give public notice of intent to file </w:t>
      </w:r>
      <w:r w:rsidR="00296182">
        <w:rPr>
          <w:bCs/>
          <w:sz w:val="24"/>
          <w:szCs w:val="24"/>
        </w:rPr>
        <w:t>as described in</w:t>
      </w:r>
      <w:r w:rsidR="000827BA">
        <w:rPr>
          <w:bCs/>
          <w:sz w:val="24"/>
          <w:szCs w:val="24"/>
        </w:rPr>
        <w:t xml:space="preserve"> 06-096 C.M.R. ch. 115, § 2(D).</w:t>
      </w:r>
      <w:bookmarkEnd w:id="0"/>
    </w:p>
    <w:p w14:paraId="028A7AB5" w14:textId="77777777" w:rsidR="006C470B" w:rsidRPr="00F11FC5" w:rsidRDefault="006C470B" w:rsidP="0042443E">
      <w:pPr>
        <w:pStyle w:val="RulesSub-section"/>
        <w:tabs>
          <w:tab w:val="num" w:pos="741"/>
        </w:tabs>
        <w:ind w:left="360" w:firstLine="0"/>
        <w:jc w:val="left"/>
        <w:rPr>
          <w:sz w:val="24"/>
          <w:szCs w:val="24"/>
        </w:rPr>
      </w:pPr>
    </w:p>
    <w:p w14:paraId="1592236F" w14:textId="499FD7AF" w:rsidR="006C470B" w:rsidRPr="00F11FC5" w:rsidRDefault="006C470B" w:rsidP="0042443E">
      <w:pPr>
        <w:pStyle w:val="RulesSub-section"/>
        <w:numPr>
          <w:ilvl w:val="0"/>
          <w:numId w:val="3"/>
        </w:numPr>
        <w:tabs>
          <w:tab w:val="clear" w:pos="720"/>
          <w:tab w:val="num" w:pos="900"/>
        </w:tabs>
        <w:ind w:right="354"/>
        <w:jc w:val="left"/>
        <w:rPr>
          <w:sz w:val="24"/>
          <w:szCs w:val="24"/>
        </w:rPr>
      </w:pPr>
      <w:r w:rsidRPr="00F11FC5">
        <w:rPr>
          <w:b/>
          <w:sz w:val="24"/>
          <w:szCs w:val="24"/>
        </w:rPr>
        <w:t>Fees.</w:t>
      </w:r>
      <w:r w:rsidRPr="00F11FC5">
        <w:rPr>
          <w:sz w:val="24"/>
          <w:szCs w:val="24"/>
        </w:rPr>
        <w:t xml:space="preserve"> The owner</w:t>
      </w:r>
      <w:r w:rsidR="000827BA">
        <w:rPr>
          <w:sz w:val="24"/>
          <w:szCs w:val="24"/>
        </w:rPr>
        <w:t xml:space="preserve"> or </w:t>
      </w:r>
      <w:r w:rsidR="008A73F8" w:rsidRPr="00F11FC5">
        <w:rPr>
          <w:sz w:val="24"/>
          <w:szCs w:val="24"/>
        </w:rPr>
        <w:t>operator</w:t>
      </w:r>
      <w:r w:rsidRPr="00F11FC5">
        <w:rPr>
          <w:sz w:val="24"/>
          <w:szCs w:val="24"/>
        </w:rPr>
        <w:t xml:space="preserve"> </w:t>
      </w:r>
      <w:r w:rsidR="004728B7">
        <w:rPr>
          <w:sz w:val="24"/>
          <w:szCs w:val="24"/>
        </w:rPr>
        <w:t>must</w:t>
      </w:r>
      <w:r w:rsidRPr="00F11FC5">
        <w:rPr>
          <w:sz w:val="24"/>
          <w:szCs w:val="24"/>
        </w:rPr>
        <w:t xml:space="preserve"> pay an </w:t>
      </w:r>
      <w:r w:rsidR="00D575CC" w:rsidRPr="00F11FC5">
        <w:rPr>
          <w:sz w:val="24"/>
          <w:szCs w:val="24"/>
        </w:rPr>
        <w:t>annual fee to the Department pursuant to</w:t>
      </w:r>
      <w:r w:rsidR="00937432" w:rsidRPr="00F11FC5">
        <w:rPr>
          <w:sz w:val="24"/>
          <w:szCs w:val="24"/>
        </w:rPr>
        <w:t xml:space="preserve"> 38 M</w:t>
      </w:r>
      <w:r w:rsidR="000827BA">
        <w:rPr>
          <w:sz w:val="24"/>
          <w:szCs w:val="24"/>
        </w:rPr>
        <w:t>.</w:t>
      </w:r>
      <w:r w:rsidR="00937432" w:rsidRPr="00F11FC5">
        <w:rPr>
          <w:sz w:val="24"/>
          <w:szCs w:val="24"/>
        </w:rPr>
        <w:t>R</w:t>
      </w:r>
      <w:r w:rsidR="000827BA">
        <w:rPr>
          <w:sz w:val="24"/>
          <w:szCs w:val="24"/>
        </w:rPr>
        <w:t>.</w:t>
      </w:r>
      <w:r w:rsidR="00937432" w:rsidRPr="00F11FC5">
        <w:rPr>
          <w:sz w:val="24"/>
          <w:szCs w:val="24"/>
        </w:rPr>
        <w:t>S</w:t>
      </w:r>
      <w:r w:rsidR="000827BA">
        <w:rPr>
          <w:sz w:val="24"/>
          <w:szCs w:val="24"/>
        </w:rPr>
        <w:t>.</w:t>
      </w:r>
      <w:r w:rsidR="006E0E21" w:rsidRPr="00F11FC5">
        <w:rPr>
          <w:sz w:val="24"/>
          <w:szCs w:val="24"/>
        </w:rPr>
        <w:t xml:space="preserve"> §</w:t>
      </w:r>
      <w:r w:rsidR="000827BA">
        <w:rPr>
          <w:sz w:val="24"/>
          <w:szCs w:val="24"/>
        </w:rPr>
        <w:t xml:space="preserve"> </w:t>
      </w:r>
      <w:r w:rsidR="00937432" w:rsidRPr="00F11FC5">
        <w:rPr>
          <w:sz w:val="24"/>
          <w:szCs w:val="24"/>
        </w:rPr>
        <w:t>353-A</w:t>
      </w:r>
      <w:r w:rsidR="000827BA">
        <w:rPr>
          <w:sz w:val="24"/>
          <w:szCs w:val="24"/>
        </w:rPr>
        <w:t>(10)</w:t>
      </w:r>
      <w:r w:rsidRPr="00F11FC5">
        <w:rPr>
          <w:sz w:val="24"/>
          <w:szCs w:val="24"/>
        </w:rPr>
        <w:t>.</w:t>
      </w:r>
      <w:r w:rsidR="00412EEB" w:rsidRPr="00F11FC5">
        <w:rPr>
          <w:snapToGrid w:val="0"/>
          <w:sz w:val="24"/>
          <w:szCs w:val="24"/>
        </w:rPr>
        <w:t xml:space="preserve"> </w:t>
      </w:r>
      <w:r w:rsidRPr="00F11FC5">
        <w:rPr>
          <w:sz w:val="24"/>
          <w:szCs w:val="24"/>
        </w:rPr>
        <w:t xml:space="preserve">The first year’s fee is due with the </w:t>
      </w:r>
      <w:r w:rsidR="009C50ED" w:rsidRPr="00F11FC5">
        <w:rPr>
          <w:sz w:val="24"/>
          <w:szCs w:val="24"/>
        </w:rPr>
        <w:t>GPN</w:t>
      </w:r>
      <w:r w:rsidRPr="00F11FC5">
        <w:rPr>
          <w:sz w:val="24"/>
          <w:szCs w:val="24"/>
        </w:rPr>
        <w:t xml:space="preserve"> </w:t>
      </w:r>
      <w:r w:rsidR="004A44D8">
        <w:rPr>
          <w:sz w:val="24"/>
          <w:szCs w:val="24"/>
        </w:rPr>
        <w:t xml:space="preserve">registration </w:t>
      </w:r>
      <w:r w:rsidR="000827BA">
        <w:rPr>
          <w:sz w:val="24"/>
          <w:szCs w:val="24"/>
        </w:rPr>
        <w:t>and covers the time period from the issuance of the GPN until January 1</w:t>
      </w:r>
      <w:r w:rsidR="000827BA" w:rsidRPr="008D4FC9">
        <w:rPr>
          <w:sz w:val="24"/>
          <w:szCs w:val="24"/>
          <w:vertAlign w:val="superscript"/>
        </w:rPr>
        <w:t>st</w:t>
      </w:r>
      <w:r w:rsidR="000827BA">
        <w:rPr>
          <w:sz w:val="24"/>
          <w:szCs w:val="24"/>
        </w:rPr>
        <w:t xml:space="preserve"> of the following year.</w:t>
      </w:r>
    </w:p>
    <w:p w14:paraId="22661D37" w14:textId="77777777" w:rsidR="00412EEB" w:rsidRPr="00F11FC5" w:rsidRDefault="00412EEB" w:rsidP="0042443E">
      <w:pPr>
        <w:pStyle w:val="RulesParagraph"/>
        <w:tabs>
          <w:tab w:val="num" w:pos="741"/>
        </w:tabs>
        <w:jc w:val="left"/>
        <w:rPr>
          <w:sz w:val="24"/>
          <w:szCs w:val="24"/>
        </w:rPr>
      </w:pPr>
    </w:p>
    <w:p w14:paraId="427B80D3" w14:textId="7EAF38B9" w:rsidR="00412EEB" w:rsidRPr="00F11FC5" w:rsidRDefault="006C470B" w:rsidP="0042443E">
      <w:pPr>
        <w:pStyle w:val="RulesSub-section"/>
        <w:numPr>
          <w:ilvl w:val="0"/>
          <w:numId w:val="3"/>
        </w:numPr>
        <w:tabs>
          <w:tab w:val="clear" w:pos="720"/>
          <w:tab w:val="num" w:pos="900"/>
        </w:tabs>
        <w:jc w:val="left"/>
        <w:rPr>
          <w:sz w:val="24"/>
          <w:szCs w:val="24"/>
        </w:rPr>
      </w:pPr>
      <w:r w:rsidRPr="00F11FC5">
        <w:rPr>
          <w:b/>
          <w:sz w:val="24"/>
          <w:szCs w:val="24"/>
        </w:rPr>
        <w:t>Submittal</w:t>
      </w:r>
      <w:r w:rsidR="000827BA">
        <w:rPr>
          <w:b/>
          <w:sz w:val="24"/>
          <w:szCs w:val="24"/>
        </w:rPr>
        <w:t xml:space="preserve"> address</w:t>
      </w:r>
      <w:r w:rsidRPr="00F11FC5">
        <w:rPr>
          <w:b/>
          <w:sz w:val="24"/>
          <w:szCs w:val="24"/>
        </w:rPr>
        <w:t xml:space="preserve">. </w:t>
      </w:r>
      <w:r w:rsidR="00296182">
        <w:rPr>
          <w:sz w:val="24"/>
          <w:szCs w:val="24"/>
        </w:rPr>
        <w:t xml:space="preserve">The </w:t>
      </w:r>
      <w:r w:rsidR="000827BA">
        <w:rPr>
          <w:sz w:val="24"/>
          <w:szCs w:val="24"/>
        </w:rPr>
        <w:t>GPN</w:t>
      </w:r>
      <w:r w:rsidR="00296182">
        <w:rPr>
          <w:sz w:val="24"/>
          <w:szCs w:val="24"/>
        </w:rPr>
        <w:t xml:space="preserve"> registration</w:t>
      </w:r>
      <w:r w:rsidRPr="00F11FC5">
        <w:rPr>
          <w:sz w:val="24"/>
          <w:szCs w:val="24"/>
        </w:rPr>
        <w:t xml:space="preserve"> must be filed with the Department of En</w:t>
      </w:r>
      <w:r w:rsidR="00E43A7D" w:rsidRPr="00F11FC5">
        <w:rPr>
          <w:sz w:val="24"/>
          <w:szCs w:val="24"/>
        </w:rPr>
        <w:t>vi</w:t>
      </w:r>
      <w:r w:rsidRPr="00F11FC5">
        <w:rPr>
          <w:sz w:val="24"/>
          <w:szCs w:val="24"/>
        </w:rPr>
        <w:t>ronmental Protection</w:t>
      </w:r>
      <w:r w:rsidR="000827BA">
        <w:rPr>
          <w:sz w:val="24"/>
          <w:szCs w:val="24"/>
        </w:rPr>
        <w:t>, Bureau of Air Quality, 17 State House Station, Augusta, ME 04333-0017</w:t>
      </w:r>
      <w:r w:rsidRPr="00F11FC5">
        <w:rPr>
          <w:sz w:val="24"/>
          <w:szCs w:val="24"/>
        </w:rPr>
        <w:t>.</w:t>
      </w:r>
      <w:r w:rsidR="000827BA" w:rsidRPr="000827BA">
        <w:rPr>
          <w:sz w:val="24"/>
          <w:szCs w:val="24"/>
        </w:rPr>
        <w:t xml:space="preserve"> </w:t>
      </w:r>
      <w:r w:rsidR="000827BA" w:rsidRPr="00ED3213">
        <w:rPr>
          <w:sz w:val="24"/>
          <w:szCs w:val="24"/>
        </w:rPr>
        <w:t>Submittal may be made electronically through a licensing system provided by the Department, if available</w:t>
      </w:r>
      <w:r w:rsidR="00296182">
        <w:rPr>
          <w:sz w:val="24"/>
          <w:szCs w:val="24"/>
        </w:rPr>
        <w:t>.</w:t>
      </w:r>
    </w:p>
    <w:p w14:paraId="170A0130" w14:textId="77777777" w:rsidR="006C470B" w:rsidRPr="00F11FC5" w:rsidRDefault="006C470B" w:rsidP="0042443E">
      <w:pPr>
        <w:pStyle w:val="RulesSub-section"/>
        <w:tabs>
          <w:tab w:val="num" w:pos="741"/>
        </w:tabs>
        <w:jc w:val="left"/>
        <w:rPr>
          <w:sz w:val="24"/>
          <w:szCs w:val="24"/>
        </w:rPr>
      </w:pPr>
    </w:p>
    <w:p w14:paraId="75DC3C71" w14:textId="0F509E25" w:rsidR="006C470B" w:rsidRPr="00F11FC5" w:rsidRDefault="006C470B" w:rsidP="0042443E">
      <w:pPr>
        <w:pStyle w:val="RulesSub-section"/>
        <w:numPr>
          <w:ilvl w:val="0"/>
          <w:numId w:val="3"/>
        </w:numPr>
        <w:tabs>
          <w:tab w:val="clear" w:pos="720"/>
          <w:tab w:val="num" w:pos="900"/>
        </w:tabs>
        <w:jc w:val="left"/>
        <w:rPr>
          <w:sz w:val="24"/>
          <w:szCs w:val="24"/>
        </w:rPr>
      </w:pPr>
      <w:r w:rsidRPr="00F11FC5">
        <w:rPr>
          <w:b/>
          <w:sz w:val="24"/>
          <w:szCs w:val="24"/>
        </w:rPr>
        <w:lastRenderedPageBreak/>
        <w:t xml:space="preserve">Source obligation. </w:t>
      </w:r>
      <w:r w:rsidR="000827BA">
        <w:rPr>
          <w:sz w:val="24"/>
          <w:szCs w:val="24"/>
        </w:rPr>
        <w:t>A GPN does not</w:t>
      </w:r>
      <w:r w:rsidRPr="00F11FC5">
        <w:rPr>
          <w:sz w:val="24"/>
          <w:szCs w:val="24"/>
        </w:rPr>
        <w:t xml:space="preserve"> relie</w:t>
      </w:r>
      <w:r w:rsidR="00062426" w:rsidRPr="00F11FC5">
        <w:rPr>
          <w:sz w:val="24"/>
          <w:szCs w:val="24"/>
        </w:rPr>
        <w:t>ve any owner</w:t>
      </w:r>
      <w:r w:rsidR="000827BA">
        <w:rPr>
          <w:sz w:val="24"/>
          <w:szCs w:val="24"/>
        </w:rPr>
        <w:t xml:space="preserve"> or </w:t>
      </w:r>
      <w:r w:rsidRPr="00F11FC5">
        <w:rPr>
          <w:sz w:val="24"/>
          <w:szCs w:val="24"/>
        </w:rPr>
        <w:t xml:space="preserve">operator of a source from the responsibility to </w:t>
      </w:r>
      <w:r w:rsidR="00937432" w:rsidRPr="00F11FC5">
        <w:rPr>
          <w:sz w:val="24"/>
          <w:szCs w:val="24"/>
        </w:rPr>
        <w:t xml:space="preserve">comply </w:t>
      </w:r>
      <w:r w:rsidRPr="00F11FC5">
        <w:rPr>
          <w:sz w:val="24"/>
          <w:szCs w:val="24"/>
        </w:rPr>
        <w:t>with any other requirements applicable to the source.</w:t>
      </w:r>
    </w:p>
    <w:p w14:paraId="1D07A91F" w14:textId="77777777" w:rsidR="006C470B" w:rsidRPr="00F11FC5" w:rsidRDefault="006C470B" w:rsidP="0042443E">
      <w:pPr>
        <w:pStyle w:val="RulesSub-section"/>
        <w:tabs>
          <w:tab w:val="num" w:pos="741"/>
        </w:tabs>
        <w:ind w:left="0" w:firstLine="0"/>
        <w:jc w:val="left"/>
        <w:rPr>
          <w:sz w:val="24"/>
          <w:szCs w:val="24"/>
        </w:rPr>
      </w:pPr>
    </w:p>
    <w:p w14:paraId="49EFDDA8" w14:textId="3DB5F8B2" w:rsidR="006C470B" w:rsidRPr="00F11FC5" w:rsidRDefault="006C470B" w:rsidP="0042443E">
      <w:pPr>
        <w:pStyle w:val="RulesSub-section"/>
        <w:numPr>
          <w:ilvl w:val="0"/>
          <w:numId w:val="3"/>
        </w:numPr>
        <w:tabs>
          <w:tab w:val="clear" w:pos="720"/>
          <w:tab w:val="num" w:pos="900"/>
        </w:tabs>
        <w:jc w:val="left"/>
        <w:rPr>
          <w:sz w:val="24"/>
          <w:szCs w:val="24"/>
        </w:rPr>
      </w:pPr>
      <w:r w:rsidRPr="00F11FC5">
        <w:rPr>
          <w:b/>
          <w:sz w:val="24"/>
          <w:szCs w:val="24"/>
        </w:rPr>
        <w:t xml:space="preserve">Public access to information and confidentiality. </w:t>
      </w:r>
      <w:r w:rsidRPr="00F11FC5">
        <w:rPr>
          <w:sz w:val="24"/>
          <w:szCs w:val="24"/>
        </w:rPr>
        <w:t xml:space="preserve">All information and data submitted to the Department </w:t>
      </w:r>
      <w:r w:rsidR="00667356">
        <w:rPr>
          <w:sz w:val="24"/>
          <w:szCs w:val="24"/>
        </w:rPr>
        <w:t>is</w:t>
      </w:r>
      <w:r w:rsidRPr="00F11FC5">
        <w:rPr>
          <w:sz w:val="24"/>
          <w:szCs w:val="24"/>
        </w:rPr>
        <w:t xml:space="preserve"> subject to the pro</w:t>
      </w:r>
      <w:r w:rsidR="00E43A7D" w:rsidRPr="00F11FC5">
        <w:rPr>
          <w:sz w:val="24"/>
          <w:szCs w:val="24"/>
        </w:rPr>
        <w:t>vi</w:t>
      </w:r>
      <w:r w:rsidRPr="00F11FC5">
        <w:rPr>
          <w:sz w:val="24"/>
          <w:szCs w:val="24"/>
        </w:rPr>
        <w:t xml:space="preserve">sions of the </w:t>
      </w:r>
      <w:r w:rsidRPr="008D4FC9">
        <w:rPr>
          <w:i/>
          <w:iCs/>
          <w:sz w:val="24"/>
          <w:szCs w:val="24"/>
        </w:rPr>
        <w:t>Freedom of Access Law</w:t>
      </w:r>
      <w:r w:rsidRPr="00F11FC5">
        <w:rPr>
          <w:sz w:val="24"/>
          <w:szCs w:val="24"/>
        </w:rPr>
        <w:t>, 1 M</w:t>
      </w:r>
      <w:r w:rsidR="000827BA">
        <w:rPr>
          <w:sz w:val="24"/>
          <w:szCs w:val="24"/>
        </w:rPr>
        <w:t>.</w:t>
      </w:r>
      <w:r w:rsidRPr="00F11FC5">
        <w:rPr>
          <w:sz w:val="24"/>
          <w:szCs w:val="24"/>
        </w:rPr>
        <w:t>R</w:t>
      </w:r>
      <w:r w:rsidR="000827BA">
        <w:rPr>
          <w:sz w:val="24"/>
          <w:szCs w:val="24"/>
        </w:rPr>
        <w:t>.</w:t>
      </w:r>
      <w:r w:rsidRPr="00F11FC5">
        <w:rPr>
          <w:sz w:val="24"/>
          <w:szCs w:val="24"/>
        </w:rPr>
        <w:t>S</w:t>
      </w:r>
      <w:r w:rsidR="000827BA">
        <w:rPr>
          <w:sz w:val="24"/>
          <w:szCs w:val="24"/>
        </w:rPr>
        <w:t>.</w:t>
      </w:r>
      <w:r w:rsidRPr="00F11FC5">
        <w:rPr>
          <w:sz w:val="24"/>
          <w:szCs w:val="24"/>
        </w:rPr>
        <w:t xml:space="preserve"> §</w:t>
      </w:r>
      <w:r w:rsidR="008D4FC9">
        <w:rPr>
          <w:sz w:val="24"/>
          <w:szCs w:val="24"/>
        </w:rPr>
        <w:t> </w:t>
      </w:r>
      <w:r w:rsidRPr="00F11FC5">
        <w:rPr>
          <w:sz w:val="24"/>
          <w:szCs w:val="24"/>
        </w:rPr>
        <w:t xml:space="preserve">401 </w:t>
      </w:r>
      <w:r w:rsidRPr="00F11FC5">
        <w:rPr>
          <w:i/>
          <w:sz w:val="24"/>
          <w:szCs w:val="24"/>
        </w:rPr>
        <w:t>et seq</w:t>
      </w:r>
      <w:r w:rsidRPr="00F11FC5">
        <w:rPr>
          <w:sz w:val="24"/>
          <w:szCs w:val="24"/>
        </w:rPr>
        <w:t>., as amended.</w:t>
      </w:r>
      <w:r w:rsidR="00412EEB" w:rsidRPr="00F11FC5">
        <w:rPr>
          <w:sz w:val="24"/>
          <w:szCs w:val="24"/>
        </w:rPr>
        <w:t xml:space="preserve"> </w:t>
      </w:r>
      <w:r w:rsidRPr="00F11FC5">
        <w:rPr>
          <w:sz w:val="24"/>
          <w:szCs w:val="24"/>
        </w:rPr>
        <w:t>Docume</w:t>
      </w:r>
      <w:r w:rsidR="007D17FC" w:rsidRPr="00F11FC5">
        <w:rPr>
          <w:sz w:val="24"/>
          <w:szCs w:val="24"/>
        </w:rPr>
        <w:t xml:space="preserve">nts which the </w:t>
      </w:r>
      <w:r w:rsidR="008C7910">
        <w:rPr>
          <w:sz w:val="24"/>
          <w:szCs w:val="24"/>
        </w:rPr>
        <w:t>owner or operator</w:t>
      </w:r>
      <w:r w:rsidR="008C7910" w:rsidRPr="00F11FC5">
        <w:rPr>
          <w:sz w:val="24"/>
          <w:szCs w:val="24"/>
        </w:rPr>
        <w:t xml:space="preserve"> </w:t>
      </w:r>
      <w:r w:rsidR="007D17FC" w:rsidRPr="00F11FC5">
        <w:rPr>
          <w:sz w:val="24"/>
          <w:szCs w:val="24"/>
        </w:rPr>
        <w:t>believes</w:t>
      </w:r>
      <w:r w:rsidRPr="00F11FC5">
        <w:rPr>
          <w:sz w:val="24"/>
          <w:szCs w:val="24"/>
        </w:rPr>
        <w:t xml:space="preserve"> may not be subject to disclosure under the Freedom of Access Law should be clearly marked as “claimed confidential” at the time of submission. Such a claim of confidentiality does not</w:t>
      </w:r>
      <w:r w:rsidR="00667356">
        <w:rPr>
          <w:sz w:val="24"/>
          <w:szCs w:val="24"/>
        </w:rPr>
        <w:t xml:space="preserve"> in and of</w:t>
      </w:r>
      <w:r w:rsidRPr="00F11FC5">
        <w:rPr>
          <w:sz w:val="24"/>
          <w:szCs w:val="24"/>
        </w:rPr>
        <w:t xml:space="preserve"> itself protect the documents from disclosure but alerts the Department to the </w:t>
      </w:r>
      <w:r w:rsidR="008C7910">
        <w:rPr>
          <w:sz w:val="24"/>
          <w:szCs w:val="24"/>
        </w:rPr>
        <w:t>owner or operator’s</w:t>
      </w:r>
      <w:r w:rsidR="008C7910" w:rsidRPr="00F11FC5">
        <w:rPr>
          <w:sz w:val="24"/>
          <w:szCs w:val="24"/>
        </w:rPr>
        <w:t xml:space="preserve"> </w:t>
      </w:r>
      <w:r w:rsidRPr="00F11FC5">
        <w:rPr>
          <w:sz w:val="24"/>
          <w:szCs w:val="24"/>
        </w:rPr>
        <w:t>position that the documents may not be subject to disclosure.</w:t>
      </w:r>
    </w:p>
    <w:p w14:paraId="4D46BF1F" w14:textId="77777777" w:rsidR="006C470B" w:rsidRPr="00F11FC5" w:rsidRDefault="006C470B" w:rsidP="0042443E">
      <w:pPr>
        <w:pStyle w:val="RulesParagraph"/>
        <w:jc w:val="left"/>
        <w:rPr>
          <w:sz w:val="24"/>
          <w:szCs w:val="24"/>
        </w:rPr>
      </w:pPr>
    </w:p>
    <w:p w14:paraId="2E1EE181" w14:textId="0A96D5ED" w:rsidR="006C470B" w:rsidRPr="00F11FC5" w:rsidRDefault="00DC2E8E" w:rsidP="008D4FC9">
      <w:pPr>
        <w:pStyle w:val="RuleLevel1"/>
      </w:pPr>
      <w:r w:rsidRPr="00F11FC5">
        <w:t xml:space="preserve">Class IV-A Incinerator General </w:t>
      </w:r>
      <w:r w:rsidR="006C470B" w:rsidRPr="00F11FC5">
        <w:t xml:space="preserve">Permit </w:t>
      </w:r>
      <w:r w:rsidR="001E3310" w:rsidRPr="00F11FC5">
        <w:t>and Emission Control Requirements</w:t>
      </w:r>
    </w:p>
    <w:p w14:paraId="71BDD226" w14:textId="77777777" w:rsidR="004404C8" w:rsidRPr="00F11FC5" w:rsidRDefault="004404C8" w:rsidP="0042443E">
      <w:pPr>
        <w:pStyle w:val="RulesSub-section"/>
        <w:ind w:left="0" w:firstLine="0"/>
        <w:jc w:val="left"/>
        <w:rPr>
          <w:sz w:val="24"/>
          <w:szCs w:val="24"/>
        </w:rPr>
      </w:pPr>
    </w:p>
    <w:p w14:paraId="1A33F62A" w14:textId="7470A920" w:rsidR="00F922A4" w:rsidRPr="0042443E" w:rsidRDefault="006C470B" w:rsidP="0042443E">
      <w:pPr>
        <w:numPr>
          <w:ilvl w:val="0"/>
          <w:numId w:val="13"/>
        </w:numPr>
        <w:rPr>
          <w:rFonts w:ascii="Times New Roman" w:hAnsi="Times New Roman"/>
          <w:szCs w:val="24"/>
        </w:rPr>
      </w:pPr>
      <w:r w:rsidRPr="0042443E">
        <w:rPr>
          <w:rFonts w:ascii="Times New Roman" w:hAnsi="Times New Roman"/>
          <w:b/>
          <w:szCs w:val="24"/>
        </w:rPr>
        <w:t>General Conditions</w:t>
      </w:r>
    </w:p>
    <w:p w14:paraId="5677748F" w14:textId="77777777" w:rsidR="00F922A4" w:rsidRPr="00F11FC5" w:rsidRDefault="00F922A4" w:rsidP="0042443E">
      <w:pPr>
        <w:ind w:left="360"/>
        <w:rPr>
          <w:rFonts w:ascii="Times New Roman" w:hAnsi="Times New Roman"/>
          <w:szCs w:val="24"/>
        </w:rPr>
      </w:pPr>
    </w:p>
    <w:p w14:paraId="3FBF80D8" w14:textId="2C1D29AB" w:rsidR="006C470B" w:rsidRDefault="00296182" w:rsidP="0042443E">
      <w:pPr>
        <w:numPr>
          <w:ilvl w:val="0"/>
          <w:numId w:val="6"/>
        </w:numPr>
        <w:ind w:right="-180"/>
        <w:rPr>
          <w:rFonts w:ascii="Times New Roman" w:hAnsi="Times New Roman"/>
          <w:szCs w:val="24"/>
        </w:rPr>
      </w:pPr>
      <w:bookmarkStart w:id="1" w:name="_Hlk201908328"/>
      <w:r w:rsidRPr="00B67098">
        <w:rPr>
          <w:rFonts w:ascii="Times New Roman" w:hAnsi="Times New Roman"/>
          <w:szCs w:val="24"/>
        </w:rPr>
        <w:t xml:space="preserve">Employees and </w:t>
      </w:r>
      <w:r w:rsidR="00B267A1">
        <w:rPr>
          <w:rFonts w:ascii="Times New Roman" w:hAnsi="Times New Roman"/>
          <w:szCs w:val="24"/>
        </w:rPr>
        <w:t xml:space="preserve">authorized </w:t>
      </w:r>
      <w:r w:rsidRPr="00B67098">
        <w:rPr>
          <w:rFonts w:ascii="Times New Roman" w:hAnsi="Times New Roman"/>
          <w:szCs w:val="24"/>
        </w:rPr>
        <w:t>agents of the Department may enter and inspect the operator’s business premises pursuant to 38 M.R.S. § 347-C</w:t>
      </w:r>
      <w:r>
        <w:rPr>
          <w:rFonts w:ascii="Times New Roman" w:hAnsi="Times New Roman"/>
          <w:szCs w:val="24"/>
        </w:rPr>
        <w:t>.</w:t>
      </w:r>
      <w:r w:rsidRPr="00F11FC5">
        <w:rPr>
          <w:rFonts w:ascii="Times New Roman" w:hAnsi="Times New Roman"/>
          <w:szCs w:val="24"/>
        </w:rPr>
        <w:t xml:space="preserve"> </w:t>
      </w:r>
      <w:bookmarkEnd w:id="1"/>
      <w:r w:rsidR="00245D80" w:rsidRPr="00F11FC5">
        <w:rPr>
          <w:rFonts w:ascii="Times New Roman" w:hAnsi="Times New Roman"/>
          <w:szCs w:val="24"/>
        </w:rPr>
        <w:t>The owner</w:t>
      </w:r>
      <w:r w:rsidR="00EA38AD">
        <w:rPr>
          <w:rFonts w:ascii="Times New Roman" w:hAnsi="Times New Roman"/>
          <w:szCs w:val="24"/>
        </w:rPr>
        <w:t xml:space="preserve"> or </w:t>
      </w:r>
      <w:r w:rsidR="00245D80" w:rsidRPr="00F11FC5">
        <w:rPr>
          <w:rFonts w:ascii="Times New Roman" w:hAnsi="Times New Roman"/>
          <w:szCs w:val="24"/>
        </w:rPr>
        <w:t>operator</w:t>
      </w:r>
      <w:r w:rsidR="00EA38AD">
        <w:rPr>
          <w:rFonts w:ascii="Times New Roman" w:hAnsi="Times New Roman"/>
          <w:szCs w:val="24"/>
        </w:rPr>
        <w:t>, or</w:t>
      </w:r>
      <w:r w:rsidR="000C2AB5">
        <w:rPr>
          <w:rFonts w:ascii="Times New Roman" w:hAnsi="Times New Roman"/>
          <w:szCs w:val="24"/>
        </w:rPr>
        <w:t xml:space="preserve"> a</w:t>
      </w:r>
      <w:r w:rsidR="00EA38AD">
        <w:rPr>
          <w:rFonts w:ascii="Times New Roman" w:hAnsi="Times New Roman"/>
          <w:szCs w:val="24"/>
        </w:rPr>
        <w:t xml:space="preserve"> designee,</w:t>
      </w:r>
      <w:r w:rsidR="006C470B" w:rsidRPr="00F11FC5">
        <w:rPr>
          <w:rFonts w:ascii="Times New Roman" w:hAnsi="Times New Roman"/>
          <w:szCs w:val="24"/>
        </w:rPr>
        <w:t xml:space="preserve"> </w:t>
      </w:r>
      <w:r w:rsidR="004728B7">
        <w:rPr>
          <w:rFonts w:ascii="Times New Roman" w:hAnsi="Times New Roman"/>
          <w:szCs w:val="24"/>
        </w:rPr>
        <w:t>must</w:t>
      </w:r>
      <w:r w:rsidR="006C470B" w:rsidRPr="00F11FC5">
        <w:rPr>
          <w:rFonts w:ascii="Times New Roman" w:hAnsi="Times New Roman"/>
          <w:szCs w:val="24"/>
        </w:rPr>
        <w:t xml:space="preserve"> pro</w:t>
      </w:r>
      <w:r w:rsidR="00E43A7D" w:rsidRPr="00F11FC5">
        <w:rPr>
          <w:rFonts w:ascii="Times New Roman" w:hAnsi="Times New Roman"/>
          <w:szCs w:val="24"/>
        </w:rPr>
        <w:t>vi</w:t>
      </w:r>
      <w:r w:rsidR="006C470B" w:rsidRPr="00F11FC5">
        <w:rPr>
          <w:rFonts w:ascii="Times New Roman" w:hAnsi="Times New Roman"/>
          <w:szCs w:val="24"/>
        </w:rPr>
        <w:t xml:space="preserve">de safe access </w:t>
      </w:r>
      <w:r w:rsidR="00EA38AD">
        <w:rPr>
          <w:rFonts w:ascii="Times New Roman" w:hAnsi="Times New Roman"/>
          <w:szCs w:val="24"/>
        </w:rPr>
        <w:t xml:space="preserve">in compliance </w:t>
      </w:r>
      <w:r w:rsidR="006C470B" w:rsidRPr="00F11FC5">
        <w:rPr>
          <w:rFonts w:ascii="Times New Roman" w:hAnsi="Times New Roman"/>
          <w:szCs w:val="24"/>
        </w:rPr>
        <w:t xml:space="preserve">with safety requirements of </w:t>
      </w:r>
      <w:r w:rsidR="00EA38AD">
        <w:rPr>
          <w:rFonts w:ascii="Times New Roman" w:hAnsi="Times New Roman"/>
          <w:szCs w:val="24"/>
        </w:rPr>
        <w:t>all</w:t>
      </w:r>
      <w:r w:rsidR="00EA38AD" w:rsidRPr="00F11FC5">
        <w:rPr>
          <w:rFonts w:ascii="Times New Roman" w:hAnsi="Times New Roman"/>
          <w:szCs w:val="24"/>
        </w:rPr>
        <w:t xml:space="preserve"> </w:t>
      </w:r>
      <w:r w:rsidR="006C470B" w:rsidRPr="00F11FC5">
        <w:rPr>
          <w:rFonts w:ascii="Times New Roman" w:hAnsi="Times New Roman"/>
          <w:szCs w:val="24"/>
        </w:rPr>
        <w:t xml:space="preserve">local, state, or federal regulating </w:t>
      </w:r>
      <w:r w:rsidR="00EA38AD">
        <w:rPr>
          <w:rFonts w:ascii="Times New Roman" w:hAnsi="Times New Roman"/>
          <w:szCs w:val="24"/>
        </w:rPr>
        <w:t>authorities as well as all written safety standard operating procedures for that source</w:t>
      </w:r>
      <w:r w:rsidR="006C470B" w:rsidRPr="00F11FC5">
        <w:rPr>
          <w:rFonts w:ascii="Times New Roman" w:hAnsi="Times New Roman"/>
          <w:szCs w:val="24"/>
        </w:rPr>
        <w:t>.</w:t>
      </w:r>
    </w:p>
    <w:p w14:paraId="6DEF566A" w14:textId="77777777" w:rsidR="00EA38AD" w:rsidRDefault="00EA38AD" w:rsidP="008D4FC9">
      <w:pPr>
        <w:ind w:left="1080" w:right="-180"/>
        <w:rPr>
          <w:rFonts w:ascii="Times New Roman" w:hAnsi="Times New Roman"/>
          <w:szCs w:val="24"/>
        </w:rPr>
      </w:pPr>
    </w:p>
    <w:p w14:paraId="2CD56018" w14:textId="3FDBA823" w:rsidR="00EA38AD" w:rsidRPr="00F11FC5" w:rsidRDefault="00EA38AD" w:rsidP="0042443E">
      <w:pPr>
        <w:numPr>
          <w:ilvl w:val="0"/>
          <w:numId w:val="6"/>
        </w:numPr>
        <w:ind w:right="-180"/>
        <w:rPr>
          <w:rFonts w:ascii="Times New Roman" w:hAnsi="Times New Roman"/>
          <w:szCs w:val="24"/>
        </w:rPr>
      </w:pPr>
      <w:r w:rsidRPr="00A97422">
        <w:rPr>
          <w:rFonts w:ascii="Times New Roman" w:hAnsi="Times New Roman"/>
          <w:szCs w:val="24"/>
        </w:rPr>
        <w:t>The owner</w:t>
      </w:r>
      <w:r>
        <w:rPr>
          <w:rFonts w:ascii="Times New Roman" w:hAnsi="Times New Roman"/>
          <w:szCs w:val="24"/>
        </w:rPr>
        <w:t xml:space="preserve"> or operator</w:t>
      </w:r>
      <w:r w:rsidRPr="00A97422">
        <w:rPr>
          <w:rFonts w:ascii="Times New Roman" w:hAnsi="Times New Roman"/>
          <w:szCs w:val="24"/>
        </w:rPr>
        <w:t xml:space="preserve"> must pay the annual air emissions general permit fee to the Department, pursuant to 38 M.R.S. §</w:t>
      </w:r>
      <w:r>
        <w:rPr>
          <w:rFonts w:ascii="Times New Roman" w:hAnsi="Times New Roman"/>
          <w:szCs w:val="24"/>
        </w:rPr>
        <w:t xml:space="preserve"> </w:t>
      </w:r>
      <w:r w:rsidRPr="00A97422">
        <w:rPr>
          <w:rFonts w:ascii="Times New Roman" w:hAnsi="Times New Roman"/>
          <w:szCs w:val="24"/>
        </w:rPr>
        <w:t>353-A</w:t>
      </w:r>
      <w:r>
        <w:rPr>
          <w:rFonts w:ascii="Times New Roman" w:hAnsi="Times New Roman"/>
          <w:szCs w:val="24"/>
        </w:rPr>
        <w:t>(</w:t>
      </w:r>
      <w:r w:rsidRPr="00A97422">
        <w:rPr>
          <w:rFonts w:ascii="Times New Roman" w:hAnsi="Times New Roman"/>
          <w:szCs w:val="24"/>
        </w:rPr>
        <w:t>10</w:t>
      </w:r>
      <w:r>
        <w:rPr>
          <w:rFonts w:ascii="Times New Roman" w:hAnsi="Times New Roman"/>
          <w:szCs w:val="24"/>
        </w:rPr>
        <w:t>).</w:t>
      </w:r>
    </w:p>
    <w:p w14:paraId="30BEB1B7" w14:textId="77777777" w:rsidR="006C470B" w:rsidRPr="00F11FC5" w:rsidRDefault="006C470B" w:rsidP="0042443E">
      <w:pPr>
        <w:rPr>
          <w:rFonts w:ascii="Times New Roman" w:hAnsi="Times New Roman"/>
          <w:szCs w:val="24"/>
        </w:rPr>
      </w:pPr>
    </w:p>
    <w:p w14:paraId="1EB48BC1" w14:textId="18235FB4" w:rsidR="006C470B" w:rsidRPr="00F11FC5" w:rsidRDefault="006C470B" w:rsidP="0042443E">
      <w:pPr>
        <w:numPr>
          <w:ilvl w:val="0"/>
          <w:numId w:val="6"/>
        </w:numPr>
        <w:rPr>
          <w:rFonts w:ascii="Times New Roman" w:hAnsi="Times New Roman"/>
          <w:szCs w:val="24"/>
        </w:rPr>
      </w:pPr>
      <w:r w:rsidRPr="00F11FC5">
        <w:rPr>
          <w:rFonts w:ascii="Times New Roman" w:hAnsi="Times New Roman"/>
          <w:szCs w:val="24"/>
        </w:rPr>
        <w:t xml:space="preserve">The </w:t>
      </w:r>
      <w:r w:rsidR="00EA38AD">
        <w:rPr>
          <w:rFonts w:ascii="Times New Roman" w:hAnsi="Times New Roman"/>
          <w:szCs w:val="24"/>
        </w:rPr>
        <w:t>GPN</w:t>
      </w:r>
      <w:r w:rsidRPr="00F11FC5">
        <w:rPr>
          <w:rFonts w:ascii="Times New Roman" w:hAnsi="Times New Roman"/>
          <w:szCs w:val="24"/>
        </w:rPr>
        <w:t xml:space="preserve"> does not convey any property rights of any sort or any exclusive pri</w:t>
      </w:r>
      <w:r w:rsidR="00E43A7D" w:rsidRPr="00F11FC5">
        <w:rPr>
          <w:rFonts w:ascii="Times New Roman" w:hAnsi="Times New Roman"/>
          <w:szCs w:val="24"/>
        </w:rPr>
        <w:t>vi</w:t>
      </w:r>
      <w:r w:rsidRPr="00F11FC5">
        <w:rPr>
          <w:rFonts w:ascii="Times New Roman" w:hAnsi="Times New Roman"/>
          <w:szCs w:val="24"/>
        </w:rPr>
        <w:t>lege.</w:t>
      </w:r>
    </w:p>
    <w:p w14:paraId="7A4687B8" w14:textId="77777777" w:rsidR="006C470B" w:rsidRPr="00F11FC5" w:rsidRDefault="006C470B" w:rsidP="0042443E">
      <w:pPr>
        <w:rPr>
          <w:rFonts w:ascii="Times New Roman" w:hAnsi="Times New Roman"/>
          <w:szCs w:val="24"/>
        </w:rPr>
      </w:pPr>
    </w:p>
    <w:p w14:paraId="7ED19A5F" w14:textId="29EA5174" w:rsidR="006C470B" w:rsidRPr="00F11FC5" w:rsidRDefault="006C470B" w:rsidP="0042443E">
      <w:pPr>
        <w:numPr>
          <w:ilvl w:val="0"/>
          <w:numId w:val="6"/>
        </w:numPr>
        <w:rPr>
          <w:rFonts w:ascii="Times New Roman" w:hAnsi="Times New Roman"/>
          <w:szCs w:val="24"/>
        </w:rPr>
      </w:pPr>
      <w:r w:rsidRPr="00F11FC5">
        <w:rPr>
          <w:rFonts w:ascii="Times New Roman" w:hAnsi="Times New Roman"/>
          <w:szCs w:val="24"/>
        </w:rPr>
        <w:t>The owner</w:t>
      </w:r>
      <w:r w:rsidR="00667356">
        <w:rPr>
          <w:rFonts w:ascii="Times New Roman" w:hAnsi="Times New Roman"/>
          <w:szCs w:val="24"/>
        </w:rPr>
        <w:t xml:space="preserve"> or </w:t>
      </w:r>
      <w:r w:rsidR="00245D80" w:rsidRPr="00F11FC5">
        <w:rPr>
          <w:rFonts w:ascii="Times New Roman" w:hAnsi="Times New Roman"/>
          <w:szCs w:val="24"/>
        </w:rPr>
        <w:t>operator</w:t>
      </w:r>
      <w:r w:rsidRPr="00F11FC5">
        <w:rPr>
          <w:rFonts w:ascii="Times New Roman" w:hAnsi="Times New Roman"/>
          <w:szCs w:val="24"/>
        </w:rPr>
        <w:t xml:space="preserve"> </w:t>
      </w:r>
      <w:r w:rsidR="004728B7">
        <w:rPr>
          <w:rFonts w:ascii="Times New Roman" w:hAnsi="Times New Roman"/>
          <w:szCs w:val="24"/>
        </w:rPr>
        <w:t>must</w:t>
      </w:r>
      <w:r w:rsidRPr="00F11FC5">
        <w:rPr>
          <w:rFonts w:ascii="Times New Roman" w:hAnsi="Times New Roman"/>
          <w:szCs w:val="24"/>
        </w:rPr>
        <w:t xml:space="preserve"> comply with all applicable terms and conditions of this general permit. The notification of planned changes or anticipated noncompliance, or the</w:t>
      </w:r>
      <w:r w:rsidR="00245D80" w:rsidRPr="00F11FC5">
        <w:rPr>
          <w:rFonts w:ascii="Times New Roman" w:hAnsi="Times New Roman"/>
          <w:szCs w:val="24"/>
        </w:rPr>
        <w:t xml:space="preserve"> filing of an application for an air emissions </w:t>
      </w:r>
      <w:r w:rsidRPr="00F11FC5">
        <w:rPr>
          <w:rFonts w:ascii="Times New Roman" w:hAnsi="Times New Roman"/>
          <w:szCs w:val="24"/>
        </w:rPr>
        <w:t xml:space="preserve">license </w:t>
      </w:r>
      <w:r w:rsidR="00277684" w:rsidRPr="00F11FC5">
        <w:rPr>
          <w:rFonts w:ascii="Times New Roman" w:hAnsi="Times New Roman"/>
          <w:szCs w:val="24"/>
        </w:rPr>
        <w:t>pursuant to</w:t>
      </w:r>
      <w:r w:rsidR="00245D80" w:rsidRPr="00F11FC5">
        <w:rPr>
          <w:rFonts w:ascii="Times New Roman" w:hAnsi="Times New Roman"/>
          <w:szCs w:val="24"/>
        </w:rPr>
        <w:t xml:space="preserve"> 06-096 C</w:t>
      </w:r>
      <w:r w:rsidR="0042443E">
        <w:rPr>
          <w:rFonts w:ascii="Times New Roman" w:hAnsi="Times New Roman"/>
          <w:szCs w:val="24"/>
        </w:rPr>
        <w:t>.</w:t>
      </w:r>
      <w:r w:rsidR="00245D80" w:rsidRPr="00F11FC5">
        <w:rPr>
          <w:rFonts w:ascii="Times New Roman" w:hAnsi="Times New Roman"/>
          <w:szCs w:val="24"/>
        </w:rPr>
        <w:t>M</w:t>
      </w:r>
      <w:r w:rsidR="0042443E">
        <w:rPr>
          <w:rFonts w:ascii="Times New Roman" w:hAnsi="Times New Roman"/>
          <w:szCs w:val="24"/>
        </w:rPr>
        <w:t>.</w:t>
      </w:r>
      <w:r w:rsidR="00245D80" w:rsidRPr="00F11FC5">
        <w:rPr>
          <w:rFonts w:ascii="Times New Roman" w:hAnsi="Times New Roman"/>
          <w:szCs w:val="24"/>
        </w:rPr>
        <w:t>R</w:t>
      </w:r>
      <w:r w:rsidR="0042443E">
        <w:rPr>
          <w:rFonts w:ascii="Times New Roman" w:hAnsi="Times New Roman"/>
          <w:szCs w:val="24"/>
        </w:rPr>
        <w:t>.</w:t>
      </w:r>
      <w:r w:rsidR="00245D80" w:rsidRPr="00F11FC5">
        <w:rPr>
          <w:rFonts w:ascii="Times New Roman" w:hAnsi="Times New Roman"/>
          <w:szCs w:val="24"/>
        </w:rPr>
        <w:t xml:space="preserve"> </w:t>
      </w:r>
      <w:r w:rsidR="0042443E">
        <w:rPr>
          <w:rFonts w:ascii="Times New Roman" w:hAnsi="Times New Roman"/>
          <w:szCs w:val="24"/>
        </w:rPr>
        <w:t>ch.</w:t>
      </w:r>
      <w:r w:rsidR="008D4FC9">
        <w:rPr>
          <w:rFonts w:ascii="Times New Roman" w:hAnsi="Times New Roman"/>
          <w:szCs w:val="24"/>
        </w:rPr>
        <w:t> </w:t>
      </w:r>
      <w:r w:rsidR="00245D80" w:rsidRPr="00F11FC5">
        <w:rPr>
          <w:rFonts w:ascii="Times New Roman" w:hAnsi="Times New Roman"/>
          <w:szCs w:val="24"/>
        </w:rPr>
        <w:t xml:space="preserve">115 </w:t>
      </w:r>
      <w:r w:rsidR="0042443E">
        <w:rPr>
          <w:rFonts w:ascii="Times New Roman" w:hAnsi="Times New Roman"/>
          <w:szCs w:val="24"/>
        </w:rPr>
        <w:t>does</w:t>
      </w:r>
      <w:r w:rsidRPr="00F11FC5">
        <w:rPr>
          <w:rFonts w:ascii="Times New Roman" w:hAnsi="Times New Roman"/>
          <w:szCs w:val="24"/>
        </w:rPr>
        <w:t xml:space="preserve"> not </w:t>
      </w:r>
      <w:r w:rsidR="00245D80" w:rsidRPr="00F11FC5">
        <w:rPr>
          <w:rFonts w:ascii="Times New Roman" w:hAnsi="Times New Roman"/>
          <w:szCs w:val="24"/>
        </w:rPr>
        <w:t>override</w:t>
      </w:r>
      <w:r w:rsidRPr="00F11FC5">
        <w:rPr>
          <w:rFonts w:ascii="Times New Roman" w:hAnsi="Times New Roman"/>
          <w:szCs w:val="24"/>
        </w:rPr>
        <w:t xml:space="preserve"> any condition of this general permit.</w:t>
      </w:r>
    </w:p>
    <w:p w14:paraId="4A1C2A85" w14:textId="77777777" w:rsidR="006C470B" w:rsidRPr="00F11FC5" w:rsidRDefault="006C470B" w:rsidP="0042443E">
      <w:pPr>
        <w:rPr>
          <w:rFonts w:ascii="Times New Roman" w:hAnsi="Times New Roman"/>
          <w:szCs w:val="24"/>
        </w:rPr>
      </w:pPr>
    </w:p>
    <w:p w14:paraId="3597FB78" w14:textId="638732B9" w:rsidR="006C470B" w:rsidRPr="00F11FC5" w:rsidRDefault="006C470B" w:rsidP="0042443E">
      <w:pPr>
        <w:numPr>
          <w:ilvl w:val="0"/>
          <w:numId w:val="6"/>
        </w:numPr>
        <w:rPr>
          <w:rFonts w:ascii="Times New Roman" w:hAnsi="Times New Roman"/>
          <w:szCs w:val="24"/>
        </w:rPr>
      </w:pPr>
      <w:r w:rsidRPr="00F11FC5">
        <w:rPr>
          <w:rFonts w:ascii="Times New Roman" w:hAnsi="Times New Roman"/>
          <w:szCs w:val="24"/>
        </w:rPr>
        <w:t>The owner</w:t>
      </w:r>
      <w:r w:rsidR="00667356">
        <w:rPr>
          <w:rFonts w:ascii="Times New Roman" w:hAnsi="Times New Roman"/>
          <w:szCs w:val="24"/>
        </w:rPr>
        <w:t xml:space="preserve"> or </w:t>
      </w:r>
      <w:r w:rsidR="00245D80" w:rsidRPr="00F11FC5">
        <w:rPr>
          <w:rFonts w:ascii="Times New Roman" w:hAnsi="Times New Roman"/>
          <w:szCs w:val="24"/>
        </w:rPr>
        <w:t>operator</w:t>
      </w:r>
      <w:r w:rsidRPr="00F11FC5">
        <w:rPr>
          <w:rFonts w:ascii="Times New Roman" w:hAnsi="Times New Roman"/>
          <w:szCs w:val="24"/>
        </w:rPr>
        <w:t xml:space="preserve"> </w:t>
      </w:r>
      <w:r w:rsidR="0042443E">
        <w:rPr>
          <w:rFonts w:ascii="Times New Roman" w:hAnsi="Times New Roman"/>
          <w:szCs w:val="24"/>
        </w:rPr>
        <w:t>may</w:t>
      </w:r>
      <w:r w:rsidRPr="00F11FC5">
        <w:rPr>
          <w:rFonts w:ascii="Times New Roman" w:hAnsi="Times New Roman"/>
          <w:szCs w:val="24"/>
        </w:rPr>
        <w:t xml:space="preserve"> not use as a defense in an enforcement action that the disruption, cessation, or reduction of operations would have been necessary in order to maintain compliance with the conditions of the general permit.</w:t>
      </w:r>
    </w:p>
    <w:p w14:paraId="22970B8E" w14:textId="77777777" w:rsidR="006C470B" w:rsidRPr="00F11FC5" w:rsidRDefault="006C470B" w:rsidP="0042443E">
      <w:pPr>
        <w:rPr>
          <w:rFonts w:ascii="Times New Roman" w:hAnsi="Times New Roman"/>
          <w:szCs w:val="24"/>
        </w:rPr>
      </w:pPr>
    </w:p>
    <w:p w14:paraId="17A2FBB6" w14:textId="75D457EA" w:rsidR="00B34F22" w:rsidRPr="00F11FC5" w:rsidRDefault="00B34F22" w:rsidP="0042443E">
      <w:pPr>
        <w:numPr>
          <w:ilvl w:val="0"/>
          <w:numId w:val="6"/>
        </w:numPr>
        <w:tabs>
          <w:tab w:val="clear" w:pos="1080"/>
          <w:tab w:val="num" w:pos="1083"/>
        </w:tabs>
        <w:ind w:left="1083" w:hanging="363"/>
        <w:rPr>
          <w:rFonts w:ascii="Times New Roman" w:hAnsi="Times New Roman"/>
          <w:szCs w:val="24"/>
        </w:rPr>
      </w:pPr>
      <w:r w:rsidRPr="00F11FC5">
        <w:rPr>
          <w:rFonts w:ascii="Times New Roman" w:hAnsi="Times New Roman"/>
          <w:szCs w:val="24"/>
        </w:rPr>
        <w:t>Notwithstanding any other provisions in the State Implementation Plan approved by the</w:t>
      </w:r>
      <w:r w:rsidR="0042443E">
        <w:rPr>
          <w:rFonts w:ascii="Times New Roman" w:hAnsi="Times New Roman"/>
          <w:szCs w:val="24"/>
        </w:rPr>
        <w:t xml:space="preserve"> U.S. Environmental Protection Agency</w:t>
      </w:r>
      <w:r w:rsidRPr="00F11FC5">
        <w:rPr>
          <w:rFonts w:ascii="Times New Roman" w:hAnsi="Times New Roman"/>
          <w:szCs w:val="24"/>
        </w:rPr>
        <w:t xml:space="preserve"> </w:t>
      </w:r>
      <w:r w:rsidR="0042443E">
        <w:rPr>
          <w:rFonts w:ascii="Times New Roman" w:hAnsi="Times New Roman"/>
          <w:szCs w:val="24"/>
        </w:rPr>
        <w:t>(</w:t>
      </w:r>
      <w:r w:rsidRPr="00F11FC5">
        <w:rPr>
          <w:rFonts w:ascii="Times New Roman" w:hAnsi="Times New Roman"/>
          <w:szCs w:val="24"/>
        </w:rPr>
        <w:t>EPA</w:t>
      </w:r>
      <w:r w:rsidR="0042443E">
        <w:rPr>
          <w:rFonts w:ascii="Times New Roman" w:hAnsi="Times New Roman"/>
          <w:szCs w:val="24"/>
        </w:rPr>
        <w:t>)</w:t>
      </w:r>
      <w:r w:rsidRPr="00F11FC5">
        <w:rPr>
          <w:rFonts w:ascii="Times New Roman" w:hAnsi="Times New Roman"/>
          <w:szCs w:val="24"/>
        </w:rPr>
        <w:t xml:space="preserve"> or Section 114(a) of the</w:t>
      </w:r>
      <w:r w:rsidR="0042443E">
        <w:rPr>
          <w:rFonts w:ascii="Times New Roman" w:hAnsi="Times New Roman"/>
          <w:szCs w:val="24"/>
        </w:rPr>
        <w:t xml:space="preserve"> Clean Air Act</w:t>
      </w:r>
      <w:r w:rsidRPr="00F11FC5">
        <w:rPr>
          <w:rFonts w:ascii="Times New Roman" w:hAnsi="Times New Roman"/>
          <w:szCs w:val="24"/>
        </w:rPr>
        <w:t xml:space="preserve"> </w:t>
      </w:r>
      <w:r w:rsidR="0042443E">
        <w:rPr>
          <w:rFonts w:ascii="Times New Roman" w:hAnsi="Times New Roman"/>
          <w:szCs w:val="24"/>
        </w:rPr>
        <w:t>(</w:t>
      </w:r>
      <w:r w:rsidRPr="00F11FC5">
        <w:rPr>
          <w:rFonts w:ascii="Times New Roman" w:hAnsi="Times New Roman"/>
          <w:szCs w:val="24"/>
        </w:rPr>
        <w:t>CAA</w:t>
      </w:r>
      <w:r w:rsidR="0042443E">
        <w:rPr>
          <w:rFonts w:ascii="Times New Roman" w:hAnsi="Times New Roman"/>
          <w:szCs w:val="24"/>
        </w:rPr>
        <w:t>)</w:t>
      </w:r>
      <w:r w:rsidRPr="00F11FC5">
        <w:rPr>
          <w:rFonts w:ascii="Times New Roman" w:hAnsi="Times New Roman"/>
          <w:szCs w:val="24"/>
        </w:rPr>
        <w:t xml:space="preserve">, any credible evidence may be used for the purpose of establishing whether a person has violated or is in violation of any statute, regulation, or </w:t>
      </w:r>
      <w:r w:rsidR="0042443E">
        <w:rPr>
          <w:rFonts w:ascii="Times New Roman" w:hAnsi="Times New Roman"/>
          <w:szCs w:val="24"/>
        </w:rPr>
        <w:t>requirement pursuant to this Chapter</w:t>
      </w:r>
      <w:r w:rsidRPr="00F11FC5">
        <w:rPr>
          <w:rFonts w:ascii="Times New Roman" w:hAnsi="Times New Roman"/>
          <w:szCs w:val="24"/>
        </w:rPr>
        <w:t>.</w:t>
      </w:r>
    </w:p>
    <w:p w14:paraId="629F46A3" w14:textId="77777777" w:rsidR="00B34F22" w:rsidRPr="00F11FC5" w:rsidRDefault="00B34F22" w:rsidP="0042443E">
      <w:pPr>
        <w:rPr>
          <w:rFonts w:ascii="Times New Roman" w:hAnsi="Times New Roman"/>
          <w:szCs w:val="24"/>
        </w:rPr>
      </w:pPr>
    </w:p>
    <w:p w14:paraId="1365CD09" w14:textId="4E4D2616" w:rsidR="00B34F22" w:rsidRPr="00F11FC5" w:rsidRDefault="00B34F22" w:rsidP="0042443E">
      <w:pPr>
        <w:numPr>
          <w:ilvl w:val="0"/>
          <w:numId w:val="6"/>
        </w:numPr>
        <w:tabs>
          <w:tab w:val="clear" w:pos="1080"/>
          <w:tab w:val="num" w:pos="1083"/>
        </w:tabs>
        <w:ind w:left="1083" w:hanging="363"/>
        <w:rPr>
          <w:rFonts w:ascii="Times New Roman" w:hAnsi="Times New Roman"/>
          <w:szCs w:val="24"/>
        </w:rPr>
      </w:pPr>
      <w:r w:rsidRPr="00F11FC5">
        <w:rPr>
          <w:rFonts w:ascii="Times New Roman" w:hAnsi="Times New Roman"/>
          <w:szCs w:val="24"/>
        </w:rPr>
        <w:t>Upon written request from the Department, the owner</w:t>
      </w:r>
      <w:r w:rsidR="0042443E">
        <w:rPr>
          <w:rFonts w:ascii="Times New Roman" w:hAnsi="Times New Roman"/>
          <w:szCs w:val="24"/>
        </w:rPr>
        <w:t xml:space="preserve"> or operator</w:t>
      </w:r>
      <w:r w:rsidRPr="00F11FC5">
        <w:rPr>
          <w:rFonts w:ascii="Times New Roman" w:hAnsi="Times New Roman"/>
          <w:szCs w:val="24"/>
        </w:rPr>
        <w:t xml:space="preserve"> </w:t>
      </w:r>
      <w:r w:rsidR="004728B7">
        <w:rPr>
          <w:rFonts w:ascii="Times New Roman" w:hAnsi="Times New Roman"/>
          <w:szCs w:val="24"/>
        </w:rPr>
        <w:t>must</w:t>
      </w:r>
      <w:r w:rsidRPr="00F11FC5">
        <w:rPr>
          <w:rFonts w:ascii="Times New Roman" w:hAnsi="Times New Roman"/>
          <w:szCs w:val="24"/>
        </w:rPr>
        <w:t xml:space="preserve"> establish and maintain such records</w:t>
      </w:r>
      <w:r w:rsidR="0042443E">
        <w:rPr>
          <w:rFonts w:ascii="Times New Roman" w:hAnsi="Times New Roman"/>
          <w:szCs w:val="24"/>
        </w:rPr>
        <w:t>;</w:t>
      </w:r>
      <w:r w:rsidRPr="00F11FC5">
        <w:rPr>
          <w:rFonts w:ascii="Times New Roman" w:hAnsi="Times New Roman"/>
          <w:szCs w:val="24"/>
        </w:rPr>
        <w:t xml:space="preserve"> make such reports</w:t>
      </w:r>
      <w:r w:rsidR="0042443E">
        <w:rPr>
          <w:rFonts w:ascii="Times New Roman" w:hAnsi="Times New Roman"/>
          <w:szCs w:val="24"/>
        </w:rPr>
        <w:t>;</w:t>
      </w:r>
      <w:r w:rsidRPr="00F11FC5">
        <w:rPr>
          <w:rFonts w:ascii="Times New Roman" w:hAnsi="Times New Roman"/>
          <w:szCs w:val="24"/>
        </w:rPr>
        <w:t xml:space="preserve"> install, use</w:t>
      </w:r>
      <w:r w:rsidR="002B07C6">
        <w:rPr>
          <w:rFonts w:ascii="Times New Roman" w:hAnsi="Times New Roman"/>
          <w:szCs w:val="24"/>
        </w:rPr>
        <w:t>,</w:t>
      </w:r>
      <w:r w:rsidRPr="00F11FC5">
        <w:rPr>
          <w:rFonts w:ascii="Times New Roman" w:hAnsi="Times New Roman"/>
          <w:szCs w:val="24"/>
        </w:rPr>
        <w:t xml:space="preserve"> and maintain such monitoring equipment</w:t>
      </w:r>
      <w:r w:rsidR="0042443E">
        <w:rPr>
          <w:rFonts w:ascii="Times New Roman" w:hAnsi="Times New Roman"/>
          <w:szCs w:val="24"/>
        </w:rPr>
        <w:t>;</w:t>
      </w:r>
      <w:r w:rsidRPr="00F11FC5">
        <w:rPr>
          <w:rFonts w:ascii="Times New Roman" w:hAnsi="Times New Roman"/>
          <w:szCs w:val="24"/>
        </w:rPr>
        <w:t xml:space="preserve"> sample such emissions in accordance with such methods, at such locations, at such intervals, and in such a manner as the Department prescribe</w:t>
      </w:r>
      <w:r w:rsidR="0042443E">
        <w:rPr>
          <w:rFonts w:ascii="Times New Roman" w:hAnsi="Times New Roman"/>
          <w:szCs w:val="24"/>
        </w:rPr>
        <w:t>s;</w:t>
      </w:r>
      <w:r w:rsidRPr="00F11FC5">
        <w:rPr>
          <w:rFonts w:ascii="Times New Roman" w:hAnsi="Times New Roman"/>
          <w:szCs w:val="24"/>
        </w:rPr>
        <w:t xml:space="preserve"> and </w:t>
      </w:r>
      <w:r w:rsidRPr="00F11FC5">
        <w:rPr>
          <w:rFonts w:ascii="Times New Roman" w:hAnsi="Times New Roman"/>
          <w:szCs w:val="24"/>
        </w:rPr>
        <w:lastRenderedPageBreak/>
        <w:t>provide other information as the Department may reasonably require to determine compliance status.</w:t>
      </w:r>
    </w:p>
    <w:p w14:paraId="2E8AF5C3" w14:textId="77777777" w:rsidR="00B34F22" w:rsidRPr="00F11FC5" w:rsidRDefault="00B34F22" w:rsidP="0042443E">
      <w:pPr>
        <w:tabs>
          <w:tab w:val="num" w:pos="1197"/>
        </w:tabs>
        <w:ind w:left="1197" w:hanging="477"/>
        <w:rPr>
          <w:rFonts w:ascii="Times New Roman" w:hAnsi="Times New Roman"/>
          <w:szCs w:val="24"/>
        </w:rPr>
      </w:pPr>
    </w:p>
    <w:p w14:paraId="2402F735" w14:textId="7D036A5C" w:rsidR="00B34F22" w:rsidRDefault="00B34F22" w:rsidP="0042443E">
      <w:pPr>
        <w:numPr>
          <w:ilvl w:val="0"/>
          <w:numId w:val="6"/>
        </w:numPr>
        <w:tabs>
          <w:tab w:val="clear" w:pos="1080"/>
          <w:tab w:val="num" w:pos="1083"/>
        </w:tabs>
        <w:ind w:left="1083" w:hanging="363"/>
        <w:rPr>
          <w:rFonts w:ascii="Times New Roman" w:hAnsi="Times New Roman"/>
          <w:szCs w:val="24"/>
        </w:rPr>
      </w:pPr>
      <w:r w:rsidRPr="00F11FC5">
        <w:rPr>
          <w:rFonts w:ascii="Times New Roman" w:hAnsi="Times New Roman"/>
          <w:szCs w:val="24"/>
        </w:rPr>
        <w:t>The owner</w:t>
      </w:r>
      <w:r w:rsidR="0042443E">
        <w:rPr>
          <w:rFonts w:ascii="Times New Roman" w:hAnsi="Times New Roman"/>
          <w:szCs w:val="24"/>
        </w:rPr>
        <w:t xml:space="preserve"> or </w:t>
      </w:r>
      <w:r w:rsidRPr="00F11FC5">
        <w:rPr>
          <w:rFonts w:ascii="Times New Roman" w:hAnsi="Times New Roman"/>
          <w:szCs w:val="24"/>
        </w:rPr>
        <w:t xml:space="preserve">operator </w:t>
      </w:r>
      <w:r w:rsidR="004728B7">
        <w:rPr>
          <w:rFonts w:ascii="Times New Roman" w:hAnsi="Times New Roman"/>
          <w:szCs w:val="24"/>
        </w:rPr>
        <w:t>must</w:t>
      </w:r>
      <w:r w:rsidRPr="00F11FC5">
        <w:rPr>
          <w:rFonts w:ascii="Times New Roman" w:hAnsi="Times New Roman"/>
          <w:szCs w:val="24"/>
        </w:rPr>
        <w:t xml:space="preserve"> </w:t>
      </w:r>
      <w:r w:rsidR="0042443E">
        <w:rPr>
          <w:rFonts w:ascii="Times New Roman" w:hAnsi="Times New Roman"/>
          <w:szCs w:val="24"/>
        </w:rPr>
        <w:t>ensure</w:t>
      </w:r>
      <w:r w:rsidR="0042443E" w:rsidRPr="00F11FC5">
        <w:rPr>
          <w:rFonts w:ascii="Times New Roman" w:hAnsi="Times New Roman"/>
          <w:szCs w:val="24"/>
        </w:rPr>
        <w:t xml:space="preserve"> </w:t>
      </w:r>
      <w:r w:rsidR="000908C9" w:rsidRPr="00F11FC5">
        <w:rPr>
          <w:rFonts w:ascii="Times New Roman" w:hAnsi="Times New Roman"/>
          <w:szCs w:val="24"/>
        </w:rPr>
        <w:t xml:space="preserve">that </w:t>
      </w:r>
      <w:r w:rsidR="0042443E">
        <w:rPr>
          <w:rFonts w:ascii="Times New Roman" w:hAnsi="Times New Roman"/>
          <w:szCs w:val="24"/>
        </w:rPr>
        <w:t>the</w:t>
      </w:r>
      <w:r w:rsidRPr="00F11FC5">
        <w:rPr>
          <w:rFonts w:ascii="Times New Roman" w:hAnsi="Times New Roman"/>
          <w:szCs w:val="24"/>
        </w:rPr>
        <w:t xml:space="preserve"> </w:t>
      </w:r>
      <w:r w:rsidR="00277684" w:rsidRPr="00F11FC5">
        <w:rPr>
          <w:rFonts w:ascii="Times New Roman" w:hAnsi="Times New Roman"/>
          <w:szCs w:val="24"/>
        </w:rPr>
        <w:t xml:space="preserve">incinerator </w:t>
      </w:r>
      <w:r w:rsidRPr="00F11FC5">
        <w:rPr>
          <w:rFonts w:ascii="Times New Roman" w:hAnsi="Times New Roman"/>
          <w:szCs w:val="24"/>
        </w:rPr>
        <w:t xml:space="preserve">operator(s) </w:t>
      </w:r>
      <w:r w:rsidR="0042443E">
        <w:rPr>
          <w:rFonts w:ascii="Times New Roman" w:hAnsi="Times New Roman"/>
          <w:szCs w:val="24"/>
        </w:rPr>
        <w:t>are</w:t>
      </w:r>
      <w:r w:rsidR="0042443E" w:rsidRPr="00F11FC5">
        <w:rPr>
          <w:rFonts w:ascii="Times New Roman" w:hAnsi="Times New Roman"/>
          <w:szCs w:val="24"/>
        </w:rPr>
        <w:t xml:space="preserve"> </w:t>
      </w:r>
      <w:r w:rsidRPr="00F11FC5">
        <w:rPr>
          <w:rFonts w:ascii="Times New Roman" w:hAnsi="Times New Roman"/>
          <w:szCs w:val="24"/>
        </w:rPr>
        <w:t>familiar with the terms and conditions of this general permit.</w:t>
      </w:r>
    </w:p>
    <w:p w14:paraId="2D983FF9" w14:textId="77777777" w:rsidR="0042443E" w:rsidRDefault="0042443E" w:rsidP="008D4FC9">
      <w:pPr>
        <w:pStyle w:val="ListParagraph"/>
        <w:rPr>
          <w:rFonts w:ascii="Times New Roman" w:hAnsi="Times New Roman"/>
          <w:szCs w:val="24"/>
        </w:rPr>
      </w:pPr>
    </w:p>
    <w:p w14:paraId="161137D9" w14:textId="526FCE66" w:rsidR="0042443E" w:rsidRPr="00F11FC5" w:rsidRDefault="0042443E" w:rsidP="0042443E">
      <w:pPr>
        <w:numPr>
          <w:ilvl w:val="0"/>
          <w:numId w:val="6"/>
        </w:numPr>
        <w:tabs>
          <w:tab w:val="clear" w:pos="1080"/>
          <w:tab w:val="num" w:pos="1083"/>
        </w:tabs>
        <w:ind w:left="1083" w:hanging="363"/>
        <w:rPr>
          <w:rFonts w:ascii="Times New Roman" w:hAnsi="Times New Roman"/>
          <w:szCs w:val="24"/>
        </w:rPr>
      </w:pPr>
      <w:r w:rsidRPr="00A97422">
        <w:rPr>
          <w:rFonts w:ascii="Times New Roman" w:hAnsi="Times New Roman"/>
          <w:szCs w:val="24"/>
        </w:rPr>
        <w:t xml:space="preserve">Notwithstanding any part of this </w:t>
      </w:r>
      <w:r>
        <w:rPr>
          <w:rFonts w:ascii="Times New Roman" w:hAnsi="Times New Roman"/>
          <w:szCs w:val="24"/>
        </w:rPr>
        <w:t>Chapter</w:t>
      </w:r>
      <w:r w:rsidRPr="00A97422">
        <w:rPr>
          <w:rFonts w:ascii="Times New Roman" w:hAnsi="Times New Roman"/>
          <w:szCs w:val="24"/>
        </w:rPr>
        <w:t xml:space="preserve">, the </w:t>
      </w:r>
      <w:r>
        <w:rPr>
          <w:rFonts w:ascii="Times New Roman" w:hAnsi="Times New Roman"/>
          <w:szCs w:val="24"/>
        </w:rPr>
        <w:t xml:space="preserve">owner or </w:t>
      </w:r>
      <w:r w:rsidRPr="00A97422">
        <w:rPr>
          <w:rFonts w:ascii="Times New Roman" w:hAnsi="Times New Roman"/>
          <w:szCs w:val="24"/>
        </w:rPr>
        <w:t xml:space="preserve">operator is subject to the applicable </w:t>
      </w:r>
      <w:r>
        <w:rPr>
          <w:rFonts w:ascii="Times New Roman" w:hAnsi="Times New Roman"/>
          <w:szCs w:val="24"/>
        </w:rPr>
        <w:t>requirements</w:t>
      </w:r>
      <w:r w:rsidRPr="00A97422">
        <w:rPr>
          <w:rFonts w:ascii="Times New Roman" w:hAnsi="Times New Roman"/>
          <w:szCs w:val="24"/>
        </w:rPr>
        <w:t xml:space="preserve"> of</w:t>
      </w:r>
      <w:r>
        <w:rPr>
          <w:rFonts w:ascii="Times New Roman" w:hAnsi="Times New Roman"/>
          <w:szCs w:val="24"/>
        </w:rPr>
        <w:t xml:space="preserve"> </w:t>
      </w:r>
      <w:r>
        <w:rPr>
          <w:rFonts w:ascii="Times New Roman" w:hAnsi="Times New Roman"/>
          <w:i/>
          <w:iCs/>
          <w:szCs w:val="24"/>
        </w:rPr>
        <w:t>Visible Emissions</w:t>
      </w:r>
      <w:r w:rsidR="00296182">
        <w:rPr>
          <w:rFonts w:ascii="Times New Roman" w:hAnsi="Times New Roman"/>
          <w:i/>
          <w:iCs/>
          <w:szCs w:val="24"/>
        </w:rPr>
        <w:t xml:space="preserve"> Regulation</w:t>
      </w:r>
      <w:r>
        <w:rPr>
          <w:rFonts w:ascii="Times New Roman" w:hAnsi="Times New Roman"/>
          <w:i/>
          <w:iCs/>
          <w:szCs w:val="24"/>
        </w:rPr>
        <w:t>,</w:t>
      </w:r>
      <w:r w:rsidRPr="00A97422">
        <w:rPr>
          <w:rFonts w:ascii="Times New Roman" w:hAnsi="Times New Roman"/>
          <w:szCs w:val="24"/>
        </w:rPr>
        <w:t xml:space="preserve"> 06-096 C</w:t>
      </w:r>
      <w:r>
        <w:rPr>
          <w:rFonts w:ascii="Times New Roman" w:hAnsi="Times New Roman"/>
          <w:szCs w:val="24"/>
        </w:rPr>
        <w:t>.</w:t>
      </w:r>
      <w:r w:rsidRPr="00A97422">
        <w:rPr>
          <w:rFonts w:ascii="Times New Roman" w:hAnsi="Times New Roman"/>
          <w:szCs w:val="24"/>
        </w:rPr>
        <w:t>M</w:t>
      </w:r>
      <w:r>
        <w:rPr>
          <w:rFonts w:ascii="Times New Roman" w:hAnsi="Times New Roman"/>
          <w:szCs w:val="24"/>
        </w:rPr>
        <w:t>.</w:t>
      </w:r>
      <w:r w:rsidRPr="00A97422">
        <w:rPr>
          <w:rFonts w:ascii="Times New Roman" w:hAnsi="Times New Roman"/>
          <w:szCs w:val="24"/>
        </w:rPr>
        <w:t>R</w:t>
      </w:r>
      <w:r>
        <w:rPr>
          <w:rFonts w:ascii="Times New Roman" w:hAnsi="Times New Roman"/>
          <w:szCs w:val="24"/>
        </w:rPr>
        <w:t>.</w:t>
      </w:r>
      <w:r w:rsidRPr="00A97422">
        <w:rPr>
          <w:rFonts w:ascii="Times New Roman" w:hAnsi="Times New Roman"/>
          <w:szCs w:val="24"/>
        </w:rPr>
        <w:t xml:space="preserve"> </w:t>
      </w:r>
      <w:r>
        <w:rPr>
          <w:rFonts w:ascii="Times New Roman" w:hAnsi="Times New Roman"/>
          <w:szCs w:val="24"/>
        </w:rPr>
        <w:t>c</w:t>
      </w:r>
      <w:r w:rsidRPr="00A97422">
        <w:rPr>
          <w:rFonts w:ascii="Times New Roman" w:hAnsi="Times New Roman"/>
          <w:szCs w:val="24"/>
        </w:rPr>
        <w:t>h. 101</w:t>
      </w:r>
      <w:r>
        <w:rPr>
          <w:rFonts w:ascii="Times New Roman" w:hAnsi="Times New Roman"/>
          <w:iCs/>
          <w:szCs w:val="24"/>
        </w:rPr>
        <w:t>, including limits on fugitive emissions</w:t>
      </w:r>
      <w:r w:rsidR="00296182">
        <w:rPr>
          <w:rFonts w:ascii="Times New Roman" w:hAnsi="Times New Roman"/>
          <w:iCs/>
          <w:szCs w:val="24"/>
        </w:rPr>
        <w:t>,</w:t>
      </w:r>
      <w:r>
        <w:rPr>
          <w:rFonts w:ascii="Times New Roman" w:hAnsi="Times New Roman"/>
          <w:iCs/>
          <w:szCs w:val="24"/>
        </w:rPr>
        <w:t xml:space="preserve"> and must comply with such</w:t>
      </w:r>
      <w:r w:rsidR="00690B46">
        <w:rPr>
          <w:rFonts w:ascii="Times New Roman" w:hAnsi="Times New Roman"/>
          <w:iCs/>
          <w:szCs w:val="24"/>
        </w:rPr>
        <w:t xml:space="preserve"> requirements</w:t>
      </w:r>
      <w:r>
        <w:rPr>
          <w:rFonts w:ascii="Times New Roman" w:hAnsi="Times New Roman"/>
          <w:iCs/>
          <w:szCs w:val="24"/>
        </w:rPr>
        <w:t>.</w:t>
      </w:r>
    </w:p>
    <w:p w14:paraId="20D27D07" w14:textId="77777777" w:rsidR="0006288B" w:rsidRPr="00F11FC5" w:rsidRDefault="0006288B" w:rsidP="0042443E">
      <w:pPr>
        <w:rPr>
          <w:rFonts w:ascii="Times New Roman" w:hAnsi="Times New Roman"/>
          <w:szCs w:val="24"/>
        </w:rPr>
      </w:pPr>
    </w:p>
    <w:p w14:paraId="4613480A" w14:textId="5325DEC9" w:rsidR="0006288B" w:rsidRPr="00F11FC5" w:rsidRDefault="00FC7DAD" w:rsidP="0042443E">
      <w:pPr>
        <w:numPr>
          <w:ilvl w:val="0"/>
          <w:numId w:val="13"/>
        </w:numPr>
        <w:rPr>
          <w:rFonts w:ascii="Times New Roman" w:hAnsi="Times New Roman"/>
          <w:szCs w:val="24"/>
        </w:rPr>
      </w:pPr>
      <w:r w:rsidRPr="00F11FC5">
        <w:rPr>
          <w:rFonts w:ascii="Times New Roman" w:hAnsi="Times New Roman"/>
          <w:b/>
          <w:szCs w:val="24"/>
        </w:rPr>
        <w:t>Class IV-A Incinerator</w:t>
      </w:r>
      <w:r w:rsidR="0006288B" w:rsidRPr="00F11FC5">
        <w:rPr>
          <w:rFonts w:ascii="Times New Roman" w:hAnsi="Times New Roman"/>
          <w:b/>
          <w:szCs w:val="24"/>
        </w:rPr>
        <w:t xml:space="preserve"> </w:t>
      </w:r>
      <w:r w:rsidR="00C546FC" w:rsidRPr="00F11FC5">
        <w:rPr>
          <w:rFonts w:ascii="Times New Roman" w:hAnsi="Times New Roman"/>
          <w:b/>
          <w:szCs w:val="24"/>
        </w:rPr>
        <w:t>Operation</w:t>
      </w:r>
      <w:r w:rsidR="00F51995" w:rsidRPr="00F11FC5">
        <w:rPr>
          <w:rFonts w:ascii="Times New Roman" w:hAnsi="Times New Roman"/>
          <w:b/>
          <w:szCs w:val="24"/>
        </w:rPr>
        <w:t xml:space="preserve"> and</w:t>
      </w:r>
      <w:r w:rsidR="0006288B" w:rsidRPr="00F11FC5">
        <w:rPr>
          <w:rFonts w:ascii="Times New Roman" w:hAnsi="Times New Roman"/>
          <w:b/>
          <w:szCs w:val="24"/>
        </w:rPr>
        <w:t xml:space="preserve"> Emission Control Requirements</w:t>
      </w:r>
    </w:p>
    <w:p w14:paraId="6CBF80F2" w14:textId="77777777" w:rsidR="00F922A4" w:rsidRPr="00F11FC5" w:rsidRDefault="00F922A4" w:rsidP="0042443E">
      <w:pPr>
        <w:ind w:hanging="18"/>
        <w:rPr>
          <w:rFonts w:ascii="Times New Roman" w:hAnsi="Times New Roman"/>
          <w:szCs w:val="24"/>
        </w:rPr>
      </w:pPr>
      <w:bookmarkStart w:id="2" w:name="_Hlk196722943"/>
    </w:p>
    <w:p w14:paraId="558DD6E7" w14:textId="3D951B8F" w:rsidR="00193CE6" w:rsidRDefault="00F922A4" w:rsidP="00193CE6">
      <w:pPr>
        <w:pStyle w:val="ListParagraph"/>
        <w:numPr>
          <w:ilvl w:val="0"/>
          <w:numId w:val="33"/>
        </w:numPr>
        <w:rPr>
          <w:rFonts w:ascii="Times New Roman" w:hAnsi="Times New Roman"/>
          <w:szCs w:val="24"/>
        </w:rPr>
      </w:pPr>
      <w:r w:rsidRPr="00193CE6">
        <w:rPr>
          <w:rFonts w:ascii="Times New Roman" w:hAnsi="Times New Roman"/>
          <w:szCs w:val="24"/>
        </w:rPr>
        <w:t>The owner</w:t>
      </w:r>
      <w:r w:rsidR="00193CE6">
        <w:rPr>
          <w:rFonts w:ascii="Times New Roman" w:hAnsi="Times New Roman"/>
          <w:szCs w:val="24"/>
        </w:rPr>
        <w:t xml:space="preserve"> or </w:t>
      </w:r>
      <w:r w:rsidRPr="00193CE6">
        <w:rPr>
          <w:rFonts w:ascii="Times New Roman" w:hAnsi="Times New Roman"/>
          <w:szCs w:val="24"/>
        </w:rPr>
        <w:t xml:space="preserve">operator </w:t>
      </w:r>
      <w:r w:rsidR="00193CE6">
        <w:rPr>
          <w:rFonts w:ascii="Times New Roman" w:hAnsi="Times New Roman"/>
          <w:szCs w:val="24"/>
        </w:rPr>
        <w:t>must</w:t>
      </w:r>
      <w:r w:rsidR="00193CE6" w:rsidRPr="00193CE6">
        <w:rPr>
          <w:rFonts w:ascii="Times New Roman" w:hAnsi="Times New Roman"/>
          <w:szCs w:val="24"/>
        </w:rPr>
        <w:t xml:space="preserve"> </w:t>
      </w:r>
      <w:r w:rsidRPr="00193CE6">
        <w:rPr>
          <w:rFonts w:ascii="Times New Roman" w:hAnsi="Times New Roman"/>
          <w:szCs w:val="24"/>
        </w:rPr>
        <w:t>establish and maintain a continuing program of best management practices for suppression of fugitive particulate matter</w:t>
      </w:r>
      <w:r w:rsidR="000C2AB5">
        <w:rPr>
          <w:rFonts w:ascii="Times New Roman" w:hAnsi="Times New Roman"/>
          <w:szCs w:val="24"/>
        </w:rPr>
        <w:t xml:space="preserve"> emissions</w:t>
      </w:r>
      <w:r w:rsidRPr="00193CE6">
        <w:rPr>
          <w:rFonts w:ascii="Times New Roman" w:hAnsi="Times New Roman"/>
          <w:szCs w:val="24"/>
        </w:rPr>
        <w:t xml:space="preserve"> during any period of</w:t>
      </w:r>
      <w:r w:rsidR="00193CE6">
        <w:rPr>
          <w:rFonts w:ascii="Times New Roman" w:hAnsi="Times New Roman"/>
          <w:szCs w:val="24"/>
        </w:rPr>
        <w:t xml:space="preserve"> construction, reconstruction, or</w:t>
      </w:r>
      <w:r w:rsidRPr="00193CE6">
        <w:rPr>
          <w:rFonts w:ascii="Times New Roman" w:hAnsi="Times New Roman"/>
          <w:szCs w:val="24"/>
        </w:rPr>
        <w:t xml:space="preserve"> operation which may result in fugitive </w:t>
      </w:r>
      <w:r w:rsidR="002B07C6">
        <w:rPr>
          <w:rFonts w:ascii="Times New Roman" w:hAnsi="Times New Roman"/>
          <w:szCs w:val="24"/>
        </w:rPr>
        <w:t>dust</w:t>
      </w:r>
      <w:r w:rsidRPr="00193CE6">
        <w:rPr>
          <w:rFonts w:ascii="Times New Roman" w:hAnsi="Times New Roman"/>
          <w:szCs w:val="24"/>
        </w:rPr>
        <w:t xml:space="preserve"> and </w:t>
      </w:r>
      <w:r w:rsidR="00193CE6">
        <w:rPr>
          <w:rFonts w:ascii="Times New Roman" w:hAnsi="Times New Roman"/>
          <w:szCs w:val="24"/>
        </w:rPr>
        <w:t>must</w:t>
      </w:r>
      <w:r w:rsidR="00193CE6" w:rsidRPr="00193CE6">
        <w:rPr>
          <w:rFonts w:ascii="Times New Roman" w:hAnsi="Times New Roman"/>
          <w:szCs w:val="24"/>
        </w:rPr>
        <w:t xml:space="preserve"> </w:t>
      </w:r>
      <w:r w:rsidRPr="00193CE6">
        <w:rPr>
          <w:rFonts w:ascii="Times New Roman" w:hAnsi="Times New Roman"/>
          <w:szCs w:val="24"/>
        </w:rPr>
        <w:t>submit a description of the program to the Department upon request.</w:t>
      </w:r>
    </w:p>
    <w:p w14:paraId="635189B2" w14:textId="77777777" w:rsidR="00193CE6" w:rsidRDefault="00193CE6" w:rsidP="00193CE6">
      <w:pPr>
        <w:pStyle w:val="ListParagraph"/>
        <w:ind w:left="1101"/>
        <w:rPr>
          <w:rFonts w:ascii="Times New Roman" w:hAnsi="Times New Roman"/>
          <w:szCs w:val="24"/>
        </w:rPr>
      </w:pPr>
    </w:p>
    <w:p w14:paraId="639EC2B8" w14:textId="6A14F2CC" w:rsidR="00193CE6" w:rsidRDefault="00F922A4" w:rsidP="00193CE6">
      <w:pPr>
        <w:pStyle w:val="ListParagraph"/>
        <w:numPr>
          <w:ilvl w:val="0"/>
          <w:numId w:val="33"/>
        </w:numPr>
        <w:rPr>
          <w:rFonts w:ascii="Times New Roman" w:hAnsi="Times New Roman"/>
          <w:szCs w:val="24"/>
        </w:rPr>
      </w:pPr>
      <w:r w:rsidRPr="00193CE6">
        <w:rPr>
          <w:rFonts w:ascii="Times New Roman" w:hAnsi="Times New Roman"/>
          <w:szCs w:val="24"/>
        </w:rPr>
        <w:t xml:space="preserve">The incinerator </w:t>
      </w:r>
      <w:r w:rsidR="00193CE6">
        <w:rPr>
          <w:rFonts w:ascii="Times New Roman" w:hAnsi="Times New Roman"/>
          <w:szCs w:val="24"/>
        </w:rPr>
        <w:t>must only</w:t>
      </w:r>
      <w:r w:rsidR="00193CE6" w:rsidRPr="00193CE6">
        <w:rPr>
          <w:rFonts w:ascii="Times New Roman" w:hAnsi="Times New Roman"/>
          <w:szCs w:val="24"/>
        </w:rPr>
        <w:t xml:space="preserve"> </w:t>
      </w:r>
      <w:r w:rsidRPr="00193CE6">
        <w:rPr>
          <w:rFonts w:ascii="Times New Roman" w:hAnsi="Times New Roman"/>
          <w:szCs w:val="24"/>
        </w:rPr>
        <w:t xml:space="preserve">be used for the disposal of </w:t>
      </w:r>
      <w:r w:rsidR="00193CE6">
        <w:rPr>
          <w:rFonts w:ascii="Times New Roman" w:hAnsi="Times New Roman"/>
          <w:szCs w:val="24"/>
        </w:rPr>
        <w:t>t</w:t>
      </w:r>
      <w:r w:rsidR="00387908" w:rsidRPr="00193CE6">
        <w:rPr>
          <w:rFonts w:ascii="Times New Roman" w:hAnsi="Times New Roman"/>
          <w:szCs w:val="24"/>
        </w:rPr>
        <w:t>ype 4</w:t>
      </w:r>
      <w:r w:rsidR="0054748D" w:rsidRPr="00193CE6">
        <w:rPr>
          <w:rFonts w:ascii="Times New Roman" w:hAnsi="Times New Roman"/>
          <w:szCs w:val="24"/>
        </w:rPr>
        <w:t xml:space="preserve"> </w:t>
      </w:r>
      <w:r w:rsidR="00193CE6">
        <w:rPr>
          <w:rFonts w:ascii="Times New Roman" w:hAnsi="Times New Roman"/>
          <w:szCs w:val="24"/>
        </w:rPr>
        <w:t>w</w:t>
      </w:r>
      <w:r w:rsidR="0054748D" w:rsidRPr="00193CE6">
        <w:rPr>
          <w:rFonts w:ascii="Times New Roman" w:hAnsi="Times New Roman"/>
          <w:szCs w:val="24"/>
        </w:rPr>
        <w:t>aste</w:t>
      </w:r>
      <w:r w:rsidRPr="00193CE6">
        <w:rPr>
          <w:rFonts w:ascii="Times New Roman" w:hAnsi="Times New Roman"/>
          <w:szCs w:val="24"/>
        </w:rPr>
        <w:t xml:space="preserve"> as defined in </w:t>
      </w:r>
      <w:r w:rsidR="0054748D" w:rsidRPr="00193CE6">
        <w:rPr>
          <w:rFonts w:ascii="Times New Roman" w:hAnsi="Times New Roman"/>
          <w:szCs w:val="24"/>
        </w:rPr>
        <w:t>06-096 C</w:t>
      </w:r>
      <w:r w:rsidR="00193CE6">
        <w:rPr>
          <w:rFonts w:ascii="Times New Roman" w:hAnsi="Times New Roman"/>
          <w:szCs w:val="24"/>
        </w:rPr>
        <w:t>.</w:t>
      </w:r>
      <w:r w:rsidR="0054748D" w:rsidRPr="00193CE6">
        <w:rPr>
          <w:rFonts w:ascii="Times New Roman" w:hAnsi="Times New Roman"/>
          <w:szCs w:val="24"/>
        </w:rPr>
        <w:t>M</w:t>
      </w:r>
      <w:r w:rsidR="00193CE6">
        <w:rPr>
          <w:rFonts w:ascii="Times New Roman" w:hAnsi="Times New Roman"/>
          <w:szCs w:val="24"/>
        </w:rPr>
        <w:t>.</w:t>
      </w:r>
      <w:r w:rsidR="0054748D" w:rsidRPr="00193CE6">
        <w:rPr>
          <w:rFonts w:ascii="Times New Roman" w:hAnsi="Times New Roman"/>
          <w:szCs w:val="24"/>
        </w:rPr>
        <w:t>R</w:t>
      </w:r>
      <w:r w:rsidR="00193CE6">
        <w:rPr>
          <w:rFonts w:ascii="Times New Roman" w:hAnsi="Times New Roman"/>
          <w:szCs w:val="24"/>
        </w:rPr>
        <w:t>. ch.</w:t>
      </w:r>
      <w:r w:rsidR="0054748D" w:rsidRPr="00193CE6">
        <w:rPr>
          <w:rFonts w:ascii="Times New Roman" w:hAnsi="Times New Roman"/>
          <w:szCs w:val="24"/>
        </w:rPr>
        <w:t xml:space="preserve"> </w:t>
      </w:r>
      <w:r w:rsidR="00990EC2" w:rsidRPr="00193CE6">
        <w:rPr>
          <w:rFonts w:ascii="Times New Roman" w:hAnsi="Times New Roman"/>
          <w:szCs w:val="24"/>
        </w:rPr>
        <w:t>100</w:t>
      </w:r>
      <w:r w:rsidR="00387908" w:rsidRPr="00193CE6">
        <w:rPr>
          <w:rFonts w:ascii="Times New Roman" w:hAnsi="Times New Roman"/>
          <w:szCs w:val="24"/>
        </w:rPr>
        <w:t>.</w:t>
      </w:r>
      <w:r w:rsidR="00412EEB" w:rsidRPr="00193CE6">
        <w:rPr>
          <w:rFonts w:ascii="Times New Roman" w:hAnsi="Times New Roman"/>
          <w:szCs w:val="24"/>
        </w:rPr>
        <w:t xml:space="preserve"> </w:t>
      </w:r>
      <w:r w:rsidR="00193CE6">
        <w:rPr>
          <w:rFonts w:ascii="Times New Roman" w:hAnsi="Times New Roman"/>
          <w:szCs w:val="24"/>
        </w:rPr>
        <w:t>The incinerator must</w:t>
      </w:r>
      <w:r w:rsidRPr="00193CE6">
        <w:rPr>
          <w:rFonts w:ascii="Times New Roman" w:hAnsi="Times New Roman"/>
          <w:szCs w:val="24"/>
        </w:rPr>
        <w:t xml:space="preserve"> not be used for the disposal of plastics, cytotoxic (antineoplastic) drugs</w:t>
      </w:r>
      <w:r w:rsidR="00AB117A">
        <w:rPr>
          <w:rFonts w:ascii="Times New Roman" w:hAnsi="Times New Roman"/>
          <w:szCs w:val="24"/>
        </w:rPr>
        <w:t>,</w:t>
      </w:r>
      <w:r w:rsidRPr="00193CE6">
        <w:rPr>
          <w:rFonts w:ascii="Times New Roman" w:hAnsi="Times New Roman"/>
          <w:szCs w:val="24"/>
        </w:rPr>
        <w:t xml:space="preserve"> or any radioactive wastes and </w:t>
      </w:r>
      <w:r w:rsidR="00193CE6">
        <w:rPr>
          <w:rFonts w:ascii="Times New Roman" w:hAnsi="Times New Roman"/>
          <w:szCs w:val="24"/>
        </w:rPr>
        <w:t>must</w:t>
      </w:r>
      <w:r w:rsidR="00193CE6" w:rsidRPr="00193CE6">
        <w:rPr>
          <w:rFonts w:ascii="Times New Roman" w:hAnsi="Times New Roman"/>
          <w:szCs w:val="24"/>
        </w:rPr>
        <w:t xml:space="preserve"> </w:t>
      </w:r>
      <w:r w:rsidRPr="00193CE6">
        <w:rPr>
          <w:rFonts w:ascii="Times New Roman" w:hAnsi="Times New Roman"/>
          <w:szCs w:val="24"/>
        </w:rPr>
        <w:t xml:space="preserve">not be used to dispose of any medical waste classified as </w:t>
      </w:r>
      <w:r w:rsidR="00193CE6">
        <w:rPr>
          <w:rFonts w:ascii="Times New Roman" w:hAnsi="Times New Roman"/>
          <w:szCs w:val="24"/>
        </w:rPr>
        <w:t>t</w:t>
      </w:r>
      <w:r w:rsidRPr="00193CE6">
        <w:rPr>
          <w:rFonts w:ascii="Times New Roman" w:hAnsi="Times New Roman"/>
          <w:szCs w:val="24"/>
        </w:rPr>
        <w:t>ype 7 waste, as defined in 06-096 C</w:t>
      </w:r>
      <w:r w:rsidR="00193CE6">
        <w:rPr>
          <w:rFonts w:ascii="Times New Roman" w:hAnsi="Times New Roman"/>
          <w:szCs w:val="24"/>
        </w:rPr>
        <w:t>.</w:t>
      </w:r>
      <w:r w:rsidRPr="00193CE6">
        <w:rPr>
          <w:rFonts w:ascii="Times New Roman" w:hAnsi="Times New Roman"/>
          <w:szCs w:val="24"/>
        </w:rPr>
        <w:t>M</w:t>
      </w:r>
      <w:r w:rsidR="00193CE6">
        <w:rPr>
          <w:rFonts w:ascii="Times New Roman" w:hAnsi="Times New Roman"/>
          <w:szCs w:val="24"/>
        </w:rPr>
        <w:t>.</w:t>
      </w:r>
      <w:r w:rsidRPr="00193CE6">
        <w:rPr>
          <w:rFonts w:ascii="Times New Roman" w:hAnsi="Times New Roman"/>
          <w:szCs w:val="24"/>
        </w:rPr>
        <w:t>R</w:t>
      </w:r>
      <w:r w:rsidR="00193CE6">
        <w:rPr>
          <w:rFonts w:ascii="Times New Roman" w:hAnsi="Times New Roman"/>
          <w:szCs w:val="24"/>
        </w:rPr>
        <w:t>.</w:t>
      </w:r>
      <w:r w:rsidRPr="00193CE6">
        <w:rPr>
          <w:rFonts w:ascii="Times New Roman" w:hAnsi="Times New Roman"/>
          <w:szCs w:val="24"/>
        </w:rPr>
        <w:t xml:space="preserve"> </w:t>
      </w:r>
      <w:r w:rsidR="00193CE6">
        <w:rPr>
          <w:rFonts w:ascii="Times New Roman" w:hAnsi="Times New Roman"/>
          <w:szCs w:val="24"/>
        </w:rPr>
        <w:t xml:space="preserve">ch. </w:t>
      </w:r>
      <w:r w:rsidRPr="00193CE6">
        <w:rPr>
          <w:rFonts w:ascii="Times New Roman" w:hAnsi="Times New Roman"/>
          <w:szCs w:val="24"/>
        </w:rPr>
        <w:t>100.</w:t>
      </w:r>
      <w:r w:rsidR="00412EEB" w:rsidRPr="00193CE6">
        <w:rPr>
          <w:rFonts w:ascii="Times New Roman" w:hAnsi="Times New Roman"/>
          <w:szCs w:val="24"/>
        </w:rPr>
        <w:t xml:space="preserve"> </w:t>
      </w:r>
      <w:r w:rsidR="00D04FCF" w:rsidRPr="00193CE6">
        <w:rPr>
          <w:rFonts w:ascii="Times New Roman" w:hAnsi="Times New Roman"/>
          <w:szCs w:val="24"/>
        </w:rPr>
        <w:t>However, t</w:t>
      </w:r>
      <w:r w:rsidR="00D9239C" w:rsidRPr="00193CE6">
        <w:rPr>
          <w:rFonts w:ascii="Times New Roman" w:hAnsi="Times New Roman"/>
          <w:szCs w:val="24"/>
        </w:rPr>
        <w:t xml:space="preserve">he incidental </w:t>
      </w:r>
      <w:r w:rsidR="00667356">
        <w:rPr>
          <w:rFonts w:ascii="Times New Roman" w:hAnsi="Times New Roman"/>
          <w:szCs w:val="24"/>
        </w:rPr>
        <w:t>incineration</w:t>
      </w:r>
      <w:r w:rsidR="00667356" w:rsidRPr="00193CE6">
        <w:rPr>
          <w:rFonts w:ascii="Times New Roman" w:hAnsi="Times New Roman"/>
          <w:szCs w:val="24"/>
        </w:rPr>
        <w:t xml:space="preserve"> </w:t>
      </w:r>
      <w:r w:rsidR="00D9239C" w:rsidRPr="00193CE6">
        <w:rPr>
          <w:rFonts w:ascii="Times New Roman" w:hAnsi="Times New Roman"/>
          <w:szCs w:val="24"/>
        </w:rPr>
        <w:t xml:space="preserve">of plastics used in wrapping animal carcasses for </w:t>
      </w:r>
      <w:r w:rsidR="00C70274" w:rsidRPr="00193CE6">
        <w:rPr>
          <w:rFonts w:ascii="Times New Roman" w:hAnsi="Times New Roman"/>
          <w:szCs w:val="24"/>
        </w:rPr>
        <w:t xml:space="preserve">handling and </w:t>
      </w:r>
      <w:r w:rsidR="00D9239C" w:rsidRPr="00193CE6">
        <w:rPr>
          <w:rFonts w:ascii="Times New Roman" w:hAnsi="Times New Roman"/>
          <w:szCs w:val="24"/>
        </w:rPr>
        <w:t>storage purposes is allowed.</w:t>
      </w:r>
    </w:p>
    <w:p w14:paraId="5CA10AB9" w14:textId="77777777" w:rsidR="00193CE6" w:rsidRDefault="00193CE6" w:rsidP="00193CE6">
      <w:pPr>
        <w:pStyle w:val="ListParagraph"/>
      </w:pPr>
    </w:p>
    <w:p w14:paraId="0558DEB2" w14:textId="40B37DF6" w:rsidR="00193CE6" w:rsidRPr="008D4FC9" w:rsidRDefault="00F922A4" w:rsidP="00193CE6">
      <w:pPr>
        <w:pStyle w:val="ListParagraph"/>
        <w:numPr>
          <w:ilvl w:val="0"/>
          <w:numId w:val="33"/>
        </w:numPr>
        <w:rPr>
          <w:rFonts w:ascii="Times New Roman" w:hAnsi="Times New Roman"/>
          <w:szCs w:val="24"/>
        </w:rPr>
      </w:pPr>
      <w:r w:rsidRPr="00193CE6">
        <w:t xml:space="preserve">The incinerator </w:t>
      </w:r>
      <w:r w:rsidR="00193CE6">
        <w:t>must</w:t>
      </w:r>
      <w:r w:rsidR="00193CE6" w:rsidRPr="00193CE6">
        <w:t xml:space="preserve"> </w:t>
      </w:r>
      <w:r w:rsidRPr="00193CE6">
        <w:t>not exceed it</w:t>
      </w:r>
      <w:r w:rsidR="00B44F7D" w:rsidRPr="00193CE6">
        <w:t>s</w:t>
      </w:r>
      <w:r w:rsidRPr="00193CE6">
        <w:t xml:space="preserve"> maximum design charging rate. </w:t>
      </w:r>
    </w:p>
    <w:p w14:paraId="3D640C96" w14:textId="77777777" w:rsidR="00193CE6" w:rsidRDefault="00193CE6" w:rsidP="008D4FC9">
      <w:pPr>
        <w:pStyle w:val="ListParagraph"/>
      </w:pPr>
    </w:p>
    <w:p w14:paraId="4134C41A" w14:textId="16621DCB" w:rsidR="00193CE6" w:rsidRPr="00193CE6" w:rsidRDefault="00193CE6" w:rsidP="00193CE6">
      <w:pPr>
        <w:pStyle w:val="ListParagraph"/>
        <w:numPr>
          <w:ilvl w:val="0"/>
          <w:numId w:val="33"/>
        </w:numPr>
        <w:rPr>
          <w:rFonts w:ascii="Times New Roman" w:hAnsi="Times New Roman"/>
          <w:szCs w:val="24"/>
        </w:rPr>
      </w:pPr>
      <w:r>
        <w:t>The incinerator must fire only propane, natural gas, or distillate fuel</w:t>
      </w:r>
      <w:r w:rsidR="00667356">
        <w:t xml:space="preserve"> with a sulfur content not to exceed 15 parts per million (ppm)</w:t>
      </w:r>
      <w:r>
        <w:t xml:space="preserve"> as auxiliary fuel in the unit’s </w:t>
      </w:r>
      <w:r w:rsidR="00F922A4" w:rsidRPr="00193CE6">
        <w:t>primary and secondary chamber.</w:t>
      </w:r>
      <w:bookmarkStart w:id="3" w:name="_Hlk196722828"/>
    </w:p>
    <w:p w14:paraId="2053E5CD" w14:textId="77777777" w:rsidR="00193CE6" w:rsidRDefault="00193CE6" w:rsidP="00193CE6">
      <w:pPr>
        <w:pStyle w:val="ListParagraph"/>
      </w:pPr>
    </w:p>
    <w:p w14:paraId="5D234F22" w14:textId="1F828583" w:rsidR="00193CE6" w:rsidRPr="00193CE6" w:rsidRDefault="00F922A4" w:rsidP="00193CE6">
      <w:pPr>
        <w:pStyle w:val="ListParagraph"/>
        <w:numPr>
          <w:ilvl w:val="0"/>
          <w:numId w:val="33"/>
        </w:numPr>
        <w:rPr>
          <w:rFonts w:ascii="Times New Roman" w:hAnsi="Times New Roman"/>
          <w:szCs w:val="24"/>
        </w:rPr>
      </w:pPr>
      <w:r w:rsidRPr="00193CE6">
        <w:t xml:space="preserve">The incinerator combustion gases </w:t>
      </w:r>
      <w:r w:rsidR="00193CE6">
        <w:t>must</w:t>
      </w:r>
      <w:r w:rsidR="00193CE6" w:rsidRPr="00193CE6">
        <w:t xml:space="preserve"> </w:t>
      </w:r>
      <w:r w:rsidRPr="00193CE6">
        <w:t xml:space="preserve">vent to a stack </w:t>
      </w:r>
      <w:r w:rsidR="004C359F">
        <w:t>that</w:t>
      </w:r>
      <w:r w:rsidR="004C359F" w:rsidRPr="00193CE6">
        <w:t xml:space="preserve"> </w:t>
      </w:r>
      <w:r w:rsidR="00990EC2" w:rsidRPr="00193CE6">
        <w:t>has a height of</w:t>
      </w:r>
      <w:r w:rsidRPr="00193CE6">
        <w:t xml:space="preserve"> at least 60</w:t>
      </w:r>
      <w:r w:rsidR="00193CE6">
        <w:t xml:space="preserve">% </w:t>
      </w:r>
      <w:r w:rsidRPr="00193CE6">
        <w:t>of Good Engineering Practice (GEP).</w:t>
      </w:r>
      <w:bookmarkEnd w:id="3"/>
      <w:r w:rsidR="00193CE6">
        <w:t xml:space="preserve"> For purposes of this chapter, 100% GEP stack height is determined through use of the following formula:</w:t>
      </w:r>
    </w:p>
    <w:p w14:paraId="2BE27471" w14:textId="77777777" w:rsidR="00193CE6" w:rsidRPr="00193CE6" w:rsidRDefault="00193CE6" w:rsidP="00193CE6">
      <w:pPr>
        <w:pStyle w:val="ListParagraph"/>
        <w:rPr>
          <w:rFonts w:ascii="Times New Roman" w:hAnsi="Times New Roman"/>
          <w:szCs w:val="24"/>
        </w:rPr>
      </w:pPr>
    </w:p>
    <w:p w14:paraId="4A9BB474" w14:textId="77777777" w:rsidR="00193CE6" w:rsidRPr="008D4FC9" w:rsidRDefault="00193CE6" w:rsidP="008D4FC9">
      <w:pPr>
        <w:pStyle w:val="RulesSub-section"/>
        <w:spacing w:line="240" w:lineRule="atLeast"/>
        <w:ind w:left="1080" w:firstLine="0"/>
        <w:jc w:val="left"/>
        <w:rPr>
          <w:sz w:val="24"/>
          <w:szCs w:val="24"/>
        </w:rPr>
      </w:pPr>
      <w:r w:rsidRPr="008D4FC9">
        <w:rPr>
          <w:sz w:val="24"/>
          <w:szCs w:val="24"/>
        </w:rPr>
        <w:t xml:space="preserve">Hg = H + 1.5L </w:t>
      </w:r>
    </w:p>
    <w:p w14:paraId="5266A706" w14:textId="77777777" w:rsidR="00193CE6" w:rsidRPr="008D4FC9" w:rsidRDefault="00193CE6" w:rsidP="008D4FC9">
      <w:pPr>
        <w:pStyle w:val="RulesSub-section"/>
        <w:spacing w:line="240" w:lineRule="atLeast"/>
        <w:ind w:left="1080" w:firstLine="0"/>
        <w:jc w:val="left"/>
        <w:rPr>
          <w:sz w:val="24"/>
          <w:szCs w:val="24"/>
        </w:rPr>
      </w:pPr>
    </w:p>
    <w:p w14:paraId="472265B3" w14:textId="77777777" w:rsidR="00193CE6" w:rsidRPr="008D4FC9" w:rsidRDefault="00193CE6" w:rsidP="008D4FC9">
      <w:pPr>
        <w:pStyle w:val="RulesSub-section"/>
        <w:spacing w:line="240" w:lineRule="atLeast"/>
        <w:ind w:left="1080" w:firstLine="0"/>
        <w:jc w:val="left"/>
        <w:rPr>
          <w:sz w:val="24"/>
          <w:szCs w:val="24"/>
        </w:rPr>
      </w:pPr>
      <w:r w:rsidRPr="008D4FC9">
        <w:rPr>
          <w:sz w:val="24"/>
          <w:szCs w:val="24"/>
        </w:rPr>
        <w:t xml:space="preserve">where Hg = full </w:t>
      </w:r>
      <w:r>
        <w:rPr>
          <w:sz w:val="24"/>
          <w:szCs w:val="24"/>
        </w:rPr>
        <w:t xml:space="preserve">(100%) </w:t>
      </w:r>
      <w:r w:rsidRPr="008D4FC9">
        <w:rPr>
          <w:sz w:val="24"/>
          <w:szCs w:val="24"/>
        </w:rPr>
        <w:t xml:space="preserve">GEP stack height </w:t>
      </w:r>
    </w:p>
    <w:p w14:paraId="0DA459AC" w14:textId="77777777" w:rsidR="00193CE6" w:rsidRPr="008D4FC9" w:rsidRDefault="00193CE6" w:rsidP="008D4FC9">
      <w:pPr>
        <w:pStyle w:val="RulesSub-section"/>
        <w:spacing w:line="240" w:lineRule="atLeast"/>
        <w:ind w:left="1710" w:firstLine="0"/>
        <w:jc w:val="left"/>
        <w:rPr>
          <w:sz w:val="24"/>
          <w:szCs w:val="24"/>
        </w:rPr>
      </w:pPr>
      <w:r w:rsidRPr="008D4FC9">
        <w:rPr>
          <w:sz w:val="24"/>
          <w:szCs w:val="24"/>
        </w:rPr>
        <w:t>H = height of the overall controlling structure as measured from the ground-level elevation at the base of the stack</w:t>
      </w:r>
    </w:p>
    <w:p w14:paraId="7510E68F" w14:textId="77777777" w:rsidR="00193CE6" w:rsidRPr="008D4FC9" w:rsidRDefault="00193CE6" w:rsidP="008D4FC9">
      <w:pPr>
        <w:pStyle w:val="RulesSub-section"/>
        <w:spacing w:line="240" w:lineRule="atLeast"/>
        <w:ind w:left="1710" w:firstLine="0"/>
        <w:jc w:val="left"/>
        <w:rPr>
          <w:sz w:val="24"/>
          <w:szCs w:val="24"/>
        </w:rPr>
      </w:pPr>
      <w:r w:rsidRPr="008D4FC9">
        <w:rPr>
          <w:sz w:val="24"/>
          <w:szCs w:val="24"/>
        </w:rPr>
        <w:t xml:space="preserve">L = the lesser dimension of height or projected width of the same structure. </w:t>
      </w:r>
    </w:p>
    <w:p w14:paraId="2469FC4E" w14:textId="77777777" w:rsidR="00193CE6" w:rsidRPr="008D4FC9" w:rsidRDefault="00193CE6" w:rsidP="008D4FC9">
      <w:pPr>
        <w:pStyle w:val="RulesSub-section"/>
        <w:spacing w:line="240" w:lineRule="atLeast"/>
        <w:ind w:left="1710" w:firstLine="0"/>
        <w:jc w:val="left"/>
        <w:rPr>
          <w:sz w:val="24"/>
          <w:szCs w:val="24"/>
        </w:rPr>
      </w:pPr>
    </w:p>
    <w:p w14:paraId="6FCD23C7" w14:textId="2DCA245D" w:rsidR="00193CE6" w:rsidRPr="008D4FC9" w:rsidRDefault="00193CE6" w:rsidP="008D4FC9">
      <w:pPr>
        <w:pStyle w:val="ListParagraph"/>
        <w:ind w:left="1197"/>
        <w:rPr>
          <w:rFonts w:ascii="Times New Roman" w:hAnsi="Times New Roman"/>
          <w:szCs w:val="24"/>
        </w:rPr>
      </w:pPr>
      <w:r w:rsidRPr="008D4FC9">
        <w:rPr>
          <w:rFonts w:ascii="Times New Roman" w:hAnsi="Times New Roman"/>
          <w:szCs w:val="24"/>
        </w:rPr>
        <w:t>All structures within 5L of the proposed stack shall be considered when determining the overall controlling structure</w:t>
      </w:r>
      <w:r>
        <w:rPr>
          <w:rFonts w:ascii="Times New Roman" w:hAnsi="Times New Roman"/>
          <w:szCs w:val="24"/>
        </w:rPr>
        <w:t>.</w:t>
      </w:r>
    </w:p>
    <w:bookmarkEnd w:id="2"/>
    <w:p w14:paraId="69CF04B7" w14:textId="77777777" w:rsidR="00193CE6" w:rsidRPr="00193CE6" w:rsidRDefault="00193CE6" w:rsidP="00193CE6">
      <w:pPr>
        <w:pStyle w:val="ListParagraph"/>
        <w:rPr>
          <w:rFonts w:ascii="Times New Roman" w:hAnsi="Times New Roman"/>
          <w:szCs w:val="24"/>
        </w:rPr>
      </w:pPr>
    </w:p>
    <w:p w14:paraId="09976C3F" w14:textId="06D0F410" w:rsidR="00193CE6" w:rsidRDefault="00F922A4" w:rsidP="00193CE6">
      <w:pPr>
        <w:pStyle w:val="ListParagraph"/>
        <w:numPr>
          <w:ilvl w:val="0"/>
          <w:numId w:val="33"/>
        </w:numPr>
        <w:rPr>
          <w:rFonts w:ascii="Times New Roman" w:hAnsi="Times New Roman"/>
          <w:szCs w:val="24"/>
        </w:rPr>
      </w:pPr>
      <w:r w:rsidRPr="00193CE6">
        <w:rPr>
          <w:rFonts w:ascii="Times New Roman" w:hAnsi="Times New Roman"/>
          <w:szCs w:val="24"/>
        </w:rPr>
        <w:lastRenderedPageBreak/>
        <w:t xml:space="preserve">The secondary chamber of the </w:t>
      </w:r>
      <w:r w:rsidR="00617A68" w:rsidRPr="00193CE6">
        <w:rPr>
          <w:rFonts w:ascii="Times New Roman" w:hAnsi="Times New Roman"/>
          <w:szCs w:val="24"/>
        </w:rPr>
        <w:t xml:space="preserve">Class IV-A </w:t>
      </w:r>
      <w:r w:rsidRPr="00193CE6">
        <w:rPr>
          <w:rFonts w:ascii="Times New Roman" w:hAnsi="Times New Roman"/>
          <w:szCs w:val="24"/>
        </w:rPr>
        <w:t xml:space="preserve">incinerator </w:t>
      </w:r>
      <w:r w:rsidR="004728B7" w:rsidRPr="00193CE6">
        <w:rPr>
          <w:rFonts w:ascii="Times New Roman" w:hAnsi="Times New Roman"/>
          <w:szCs w:val="24"/>
        </w:rPr>
        <w:t>must</w:t>
      </w:r>
      <w:r w:rsidRPr="00193CE6">
        <w:rPr>
          <w:rFonts w:ascii="Times New Roman" w:hAnsi="Times New Roman"/>
          <w:szCs w:val="24"/>
        </w:rPr>
        <w:t xml:space="preserve"> be</w:t>
      </w:r>
      <w:r w:rsidR="00617A68" w:rsidRPr="00193CE6">
        <w:rPr>
          <w:rFonts w:ascii="Times New Roman" w:hAnsi="Times New Roman"/>
          <w:szCs w:val="24"/>
        </w:rPr>
        <w:t xml:space="preserve"> preheated as specified by the manufacturer to a minimum of </w:t>
      </w:r>
      <w:r w:rsidRPr="00193CE6">
        <w:rPr>
          <w:rFonts w:ascii="Times New Roman" w:hAnsi="Times New Roman"/>
          <w:szCs w:val="24"/>
        </w:rPr>
        <w:t>1</w:t>
      </w:r>
      <w:r w:rsidR="00617A68" w:rsidRPr="00193CE6">
        <w:rPr>
          <w:rFonts w:ascii="Times New Roman" w:hAnsi="Times New Roman"/>
          <w:szCs w:val="24"/>
        </w:rPr>
        <w:t>,</w:t>
      </w:r>
      <w:r w:rsidRPr="00193CE6">
        <w:rPr>
          <w:rFonts w:ascii="Times New Roman" w:hAnsi="Times New Roman"/>
          <w:szCs w:val="24"/>
        </w:rPr>
        <w:t>600</w:t>
      </w:r>
      <w:r w:rsidR="00617A68" w:rsidRPr="00193CE6">
        <w:rPr>
          <w:rFonts w:ascii="Times New Roman" w:hAnsi="Times New Roman"/>
          <w:szCs w:val="24"/>
        </w:rPr>
        <w:t xml:space="preserve"> </w:t>
      </w:r>
      <w:r w:rsidR="00617A68" w:rsidRPr="00617A68">
        <w:sym w:font="Symbol" w:char="F0B0"/>
      </w:r>
      <w:r w:rsidRPr="00193CE6">
        <w:rPr>
          <w:rFonts w:ascii="Times New Roman" w:hAnsi="Times New Roman"/>
          <w:szCs w:val="24"/>
        </w:rPr>
        <w:t xml:space="preserve">F prior to </w:t>
      </w:r>
      <w:r w:rsidR="00617A68" w:rsidRPr="00193CE6">
        <w:rPr>
          <w:rFonts w:ascii="Times New Roman" w:hAnsi="Times New Roman"/>
          <w:szCs w:val="24"/>
        </w:rPr>
        <w:t>combusting waste</w:t>
      </w:r>
      <w:r w:rsidRPr="00193CE6">
        <w:rPr>
          <w:rFonts w:ascii="Times New Roman" w:hAnsi="Times New Roman"/>
          <w:szCs w:val="24"/>
        </w:rPr>
        <w:t xml:space="preserve"> and </w:t>
      </w:r>
      <w:r w:rsidR="004728B7" w:rsidRPr="00193CE6">
        <w:rPr>
          <w:rFonts w:ascii="Times New Roman" w:hAnsi="Times New Roman"/>
          <w:szCs w:val="24"/>
        </w:rPr>
        <w:t>must</w:t>
      </w:r>
      <w:r w:rsidRPr="00193CE6">
        <w:rPr>
          <w:rFonts w:ascii="Times New Roman" w:hAnsi="Times New Roman"/>
          <w:szCs w:val="24"/>
        </w:rPr>
        <w:t xml:space="preserve"> be maintained at or above 1</w:t>
      </w:r>
      <w:r w:rsidR="00617A68" w:rsidRPr="00193CE6">
        <w:rPr>
          <w:rFonts w:ascii="Times New Roman" w:hAnsi="Times New Roman"/>
          <w:szCs w:val="24"/>
        </w:rPr>
        <w:t>,</w:t>
      </w:r>
      <w:r w:rsidRPr="00193CE6">
        <w:rPr>
          <w:rFonts w:ascii="Times New Roman" w:hAnsi="Times New Roman"/>
          <w:szCs w:val="24"/>
        </w:rPr>
        <w:t>600</w:t>
      </w:r>
      <w:r w:rsidR="00617A68" w:rsidRPr="00193CE6">
        <w:rPr>
          <w:rFonts w:ascii="Times New Roman" w:hAnsi="Times New Roman"/>
          <w:szCs w:val="24"/>
        </w:rPr>
        <w:t xml:space="preserve"> </w:t>
      </w:r>
      <w:r w:rsidR="00617A68" w:rsidRPr="00617A68">
        <w:sym w:font="Symbol" w:char="F0B0"/>
      </w:r>
      <w:r w:rsidR="00617A68" w:rsidRPr="00193CE6">
        <w:rPr>
          <w:rFonts w:ascii="Times New Roman" w:hAnsi="Times New Roman"/>
          <w:szCs w:val="24"/>
        </w:rPr>
        <w:t>F</w:t>
      </w:r>
      <w:r w:rsidRPr="00193CE6">
        <w:rPr>
          <w:rFonts w:ascii="Times New Roman" w:hAnsi="Times New Roman"/>
          <w:szCs w:val="24"/>
        </w:rPr>
        <w:t xml:space="preserve"> throughout the duration of the burn.</w:t>
      </w:r>
    </w:p>
    <w:p w14:paraId="1120726C" w14:textId="77777777" w:rsidR="00193CE6" w:rsidRPr="00193CE6" w:rsidRDefault="00193CE6" w:rsidP="00193CE6">
      <w:pPr>
        <w:pStyle w:val="ListParagraph"/>
        <w:rPr>
          <w:rFonts w:ascii="Times New Roman" w:hAnsi="Times New Roman"/>
          <w:szCs w:val="24"/>
        </w:rPr>
      </w:pPr>
    </w:p>
    <w:p w14:paraId="4F5F2FE6" w14:textId="58F060DF" w:rsidR="00193CE6" w:rsidRDefault="00F922A4" w:rsidP="00193CE6">
      <w:pPr>
        <w:pStyle w:val="ListParagraph"/>
        <w:numPr>
          <w:ilvl w:val="0"/>
          <w:numId w:val="33"/>
        </w:numPr>
        <w:rPr>
          <w:rFonts w:ascii="Times New Roman" w:hAnsi="Times New Roman"/>
          <w:szCs w:val="24"/>
        </w:rPr>
      </w:pPr>
      <w:r w:rsidRPr="00193CE6">
        <w:rPr>
          <w:rFonts w:ascii="Times New Roman" w:hAnsi="Times New Roman"/>
          <w:szCs w:val="24"/>
        </w:rPr>
        <w:t>Once the burn cycle has commenced by introduction of primary chamber combustion, the</w:t>
      </w:r>
      <w:r w:rsidR="00617A68" w:rsidRPr="00193CE6">
        <w:rPr>
          <w:rFonts w:ascii="Times New Roman" w:hAnsi="Times New Roman"/>
          <w:szCs w:val="24"/>
        </w:rPr>
        <w:t xml:space="preserve"> Class IV-A</w:t>
      </w:r>
      <w:r w:rsidRPr="00193CE6">
        <w:rPr>
          <w:rFonts w:ascii="Times New Roman" w:hAnsi="Times New Roman"/>
          <w:szCs w:val="24"/>
        </w:rPr>
        <w:t xml:space="preserve"> incinerator </w:t>
      </w:r>
      <w:r w:rsidR="004728B7" w:rsidRPr="00193CE6">
        <w:rPr>
          <w:rFonts w:ascii="Times New Roman" w:hAnsi="Times New Roman"/>
          <w:szCs w:val="24"/>
        </w:rPr>
        <w:t>must</w:t>
      </w:r>
      <w:r w:rsidRPr="00193CE6">
        <w:rPr>
          <w:rFonts w:ascii="Times New Roman" w:hAnsi="Times New Roman"/>
          <w:szCs w:val="24"/>
        </w:rPr>
        <w:t xml:space="preserve"> be operated in an efficient manner and as specified by the manufacturer for the period of time between </w:t>
      </w:r>
      <w:r w:rsidR="00667356">
        <w:rPr>
          <w:rFonts w:ascii="Times New Roman" w:hAnsi="Times New Roman"/>
          <w:szCs w:val="24"/>
        </w:rPr>
        <w:t xml:space="preserve">initiation of </w:t>
      </w:r>
      <w:r w:rsidRPr="00193CE6">
        <w:rPr>
          <w:rFonts w:ascii="Times New Roman" w:hAnsi="Times New Roman"/>
          <w:szCs w:val="24"/>
        </w:rPr>
        <w:t>preheat</w:t>
      </w:r>
      <w:r w:rsidR="00667356">
        <w:rPr>
          <w:rFonts w:ascii="Times New Roman" w:hAnsi="Times New Roman"/>
          <w:szCs w:val="24"/>
        </w:rPr>
        <w:t>ing</w:t>
      </w:r>
      <w:r w:rsidRPr="00193CE6">
        <w:rPr>
          <w:rFonts w:ascii="Times New Roman" w:hAnsi="Times New Roman"/>
          <w:szCs w:val="24"/>
        </w:rPr>
        <w:t xml:space="preserve"> and reaching the set operational temperature of 1</w:t>
      </w:r>
      <w:r w:rsidR="00617A68" w:rsidRPr="00193CE6">
        <w:rPr>
          <w:rFonts w:ascii="Times New Roman" w:hAnsi="Times New Roman"/>
          <w:szCs w:val="24"/>
        </w:rPr>
        <w:t>,</w:t>
      </w:r>
      <w:r w:rsidRPr="00193CE6">
        <w:rPr>
          <w:rFonts w:ascii="Times New Roman" w:hAnsi="Times New Roman"/>
          <w:szCs w:val="24"/>
        </w:rPr>
        <w:t>600</w:t>
      </w:r>
      <w:r w:rsidR="00617A68" w:rsidRPr="00193CE6">
        <w:rPr>
          <w:rFonts w:ascii="Times New Roman" w:hAnsi="Times New Roman"/>
          <w:szCs w:val="24"/>
        </w:rPr>
        <w:t xml:space="preserve"> </w:t>
      </w:r>
      <w:r w:rsidR="00617A68" w:rsidRPr="00617A68">
        <w:sym w:font="Symbol" w:char="F0B0"/>
      </w:r>
      <w:r w:rsidR="00617A68" w:rsidRPr="00193CE6">
        <w:rPr>
          <w:rFonts w:ascii="Times New Roman" w:hAnsi="Times New Roman"/>
          <w:szCs w:val="24"/>
        </w:rPr>
        <w:t>F</w:t>
      </w:r>
      <w:r w:rsidRPr="00193CE6">
        <w:rPr>
          <w:rFonts w:ascii="Times New Roman" w:hAnsi="Times New Roman"/>
          <w:szCs w:val="24"/>
        </w:rPr>
        <w:t xml:space="preserve"> in the secondary chamber.</w:t>
      </w:r>
    </w:p>
    <w:p w14:paraId="11BD5C74" w14:textId="77777777" w:rsidR="00193CE6" w:rsidRPr="00193CE6" w:rsidRDefault="00193CE6" w:rsidP="00193CE6">
      <w:pPr>
        <w:pStyle w:val="ListParagraph"/>
        <w:rPr>
          <w:rFonts w:ascii="Times New Roman" w:hAnsi="Times New Roman"/>
          <w:szCs w:val="24"/>
        </w:rPr>
      </w:pPr>
    </w:p>
    <w:p w14:paraId="232D5687" w14:textId="782D8D6D" w:rsidR="00193CE6" w:rsidRDefault="00F922A4" w:rsidP="00193CE6">
      <w:pPr>
        <w:pStyle w:val="ListParagraph"/>
        <w:numPr>
          <w:ilvl w:val="0"/>
          <w:numId w:val="33"/>
        </w:numPr>
        <w:rPr>
          <w:rFonts w:ascii="Times New Roman" w:hAnsi="Times New Roman"/>
          <w:szCs w:val="24"/>
        </w:rPr>
      </w:pPr>
      <w:r w:rsidRPr="00193CE6">
        <w:rPr>
          <w:rFonts w:ascii="Times New Roman" w:hAnsi="Times New Roman"/>
          <w:szCs w:val="24"/>
        </w:rPr>
        <w:t>A pyrometer and ¼</w:t>
      </w:r>
      <w:r w:rsidR="00667356">
        <w:rPr>
          <w:rFonts w:ascii="Times New Roman" w:hAnsi="Times New Roman"/>
          <w:szCs w:val="24"/>
        </w:rPr>
        <w:t>-</w:t>
      </w:r>
      <w:r w:rsidRPr="00193CE6">
        <w:rPr>
          <w:rFonts w:ascii="Times New Roman" w:hAnsi="Times New Roman"/>
          <w:szCs w:val="24"/>
        </w:rPr>
        <w:t xml:space="preserve">inch test port </w:t>
      </w:r>
      <w:r w:rsidR="004728B7" w:rsidRPr="00193CE6">
        <w:rPr>
          <w:rFonts w:ascii="Times New Roman" w:hAnsi="Times New Roman"/>
          <w:szCs w:val="24"/>
        </w:rPr>
        <w:t>must</w:t>
      </w:r>
      <w:r w:rsidRPr="00193CE6">
        <w:rPr>
          <w:rFonts w:ascii="Times New Roman" w:hAnsi="Times New Roman"/>
          <w:szCs w:val="24"/>
        </w:rPr>
        <w:t xml:space="preserve"> be</w:t>
      </w:r>
      <w:r w:rsidR="00617A68" w:rsidRPr="00193CE6">
        <w:rPr>
          <w:rFonts w:ascii="Times New Roman" w:hAnsi="Times New Roman"/>
          <w:szCs w:val="24"/>
        </w:rPr>
        <w:t xml:space="preserve"> operated and</w:t>
      </w:r>
      <w:r w:rsidRPr="00193CE6">
        <w:rPr>
          <w:rFonts w:ascii="Times New Roman" w:hAnsi="Times New Roman"/>
          <w:szCs w:val="24"/>
        </w:rPr>
        <w:t xml:space="preserve"> maintained at </w:t>
      </w:r>
      <w:r w:rsidR="00667356">
        <w:rPr>
          <w:rFonts w:ascii="Times New Roman" w:hAnsi="Times New Roman"/>
          <w:szCs w:val="24"/>
        </w:rPr>
        <w:t>the</w:t>
      </w:r>
      <w:r w:rsidR="00667356" w:rsidRPr="00193CE6">
        <w:rPr>
          <w:rFonts w:ascii="Times New Roman" w:hAnsi="Times New Roman"/>
          <w:szCs w:val="24"/>
        </w:rPr>
        <w:t xml:space="preserve"> </w:t>
      </w:r>
      <w:r w:rsidRPr="00193CE6">
        <w:rPr>
          <w:rFonts w:ascii="Times New Roman" w:hAnsi="Times New Roman"/>
          <w:szCs w:val="24"/>
        </w:rPr>
        <w:t xml:space="preserve">location </w:t>
      </w:r>
      <w:r w:rsidR="00667356">
        <w:rPr>
          <w:rFonts w:ascii="Times New Roman" w:hAnsi="Times New Roman"/>
          <w:szCs w:val="24"/>
        </w:rPr>
        <w:t>on</w:t>
      </w:r>
      <w:r w:rsidR="00667356" w:rsidRPr="00193CE6">
        <w:rPr>
          <w:rFonts w:ascii="Times New Roman" w:hAnsi="Times New Roman"/>
          <w:szCs w:val="24"/>
        </w:rPr>
        <w:t xml:space="preserve"> </w:t>
      </w:r>
      <w:r w:rsidRPr="00193CE6">
        <w:rPr>
          <w:rFonts w:ascii="Times New Roman" w:hAnsi="Times New Roman"/>
          <w:szCs w:val="24"/>
        </w:rPr>
        <w:t xml:space="preserve">the incinerator or refractory lined stack </w:t>
      </w:r>
      <w:r w:rsidR="004C359F">
        <w:rPr>
          <w:rFonts w:ascii="Times New Roman" w:hAnsi="Times New Roman"/>
          <w:szCs w:val="24"/>
        </w:rPr>
        <w:t>that</w:t>
      </w:r>
      <w:r w:rsidR="004C359F" w:rsidRPr="00193CE6">
        <w:rPr>
          <w:rFonts w:ascii="Times New Roman" w:hAnsi="Times New Roman"/>
          <w:szCs w:val="24"/>
        </w:rPr>
        <w:t xml:space="preserve"> </w:t>
      </w:r>
      <w:r w:rsidRPr="00193CE6">
        <w:rPr>
          <w:rFonts w:ascii="Times New Roman" w:hAnsi="Times New Roman"/>
          <w:szCs w:val="24"/>
        </w:rPr>
        <w:t xml:space="preserve">provides sufficient volume to </w:t>
      </w:r>
      <w:r w:rsidR="00667356">
        <w:rPr>
          <w:rFonts w:ascii="Times New Roman" w:hAnsi="Times New Roman"/>
          <w:szCs w:val="24"/>
        </w:rPr>
        <w:t>ensure</w:t>
      </w:r>
      <w:r w:rsidR="00667356" w:rsidRPr="00193CE6">
        <w:rPr>
          <w:rFonts w:ascii="Times New Roman" w:hAnsi="Times New Roman"/>
          <w:szCs w:val="24"/>
        </w:rPr>
        <w:t xml:space="preserve"> </w:t>
      </w:r>
      <w:r w:rsidRPr="00193CE6">
        <w:rPr>
          <w:rFonts w:ascii="Times New Roman" w:hAnsi="Times New Roman"/>
          <w:szCs w:val="24"/>
        </w:rPr>
        <w:t>a flue gas retention time of not less than 1.0 seconds at</w:t>
      </w:r>
      <w:r w:rsidR="00617A68" w:rsidRPr="00193CE6">
        <w:rPr>
          <w:rFonts w:ascii="Times New Roman" w:hAnsi="Times New Roman"/>
          <w:szCs w:val="24"/>
        </w:rPr>
        <w:t xml:space="preserve"> the</w:t>
      </w:r>
      <w:r w:rsidRPr="00193CE6">
        <w:rPr>
          <w:rFonts w:ascii="Times New Roman" w:hAnsi="Times New Roman"/>
          <w:szCs w:val="24"/>
        </w:rPr>
        <w:t xml:space="preserve"> minimum temperature of 1</w:t>
      </w:r>
      <w:r w:rsidR="00617A68" w:rsidRPr="00193CE6">
        <w:rPr>
          <w:rFonts w:ascii="Times New Roman" w:hAnsi="Times New Roman"/>
          <w:szCs w:val="24"/>
        </w:rPr>
        <w:t>,</w:t>
      </w:r>
      <w:r w:rsidRPr="00193CE6">
        <w:rPr>
          <w:rFonts w:ascii="Times New Roman" w:hAnsi="Times New Roman"/>
          <w:szCs w:val="24"/>
        </w:rPr>
        <w:t>600</w:t>
      </w:r>
      <w:r w:rsidR="00617A68" w:rsidRPr="00193CE6">
        <w:rPr>
          <w:rFonts w:ascii="Times New Roman" w:hAnsi="Times New Roman"/>
          <w:szCs w:val="24"/>
        </w:rPr>
        <w:t xml:space="preserve"> </w:t>
      </w:r>
      <w:r w:rsidR="00617A68" w:rsidRPr="00617A68">
        <w:sym w:font="Symbol" w:char="F0B0"/>
      </w:r>
      <w:r w:rsidR="00617A68" w:rsidRPr="00193CE6">
        <w:rPr>
          <w:rFonts w:ascii="Times New Roman" w:hAnsi="Times New Roman"/>
          <w:szCs w:val="24"/>
        </w:rPr>
        <w:t>F</w:t>
      </w:r>
      <w:r w:rsidRPr="00193CE6">
        <w:rPr>
          <w:rFonts w:ascii="Times New Roman" w:hAnsi="Times New Roman"/>
          <w:szCs w:val="24"/>
        </w:rPr>
        <w:t>.</w:t>
      </w:r>
    </w:p>
    <w:p w14:paraId="1D5D3C2E" w14:textId="77777777" w:rsidR="00193CE6" w:rsidRPr="00193CE6" w:rsidRDefault="00193CE6" w:rsidP="00193CE6">
      <w:pPr>
        <w:pStyle w:val="ListParagraph"/>
        <w:rPr>
          <w:rFonts w:ascii="Times New Roman" w:hAnsi="Times New Roman"/>
          <w:szCs w:val="24"/>
        </w:rPr>
      </w:pPr>
    </w:p>
    <w:p w14:paraId="3B327D44" w14:textId="6DF967CC" w:rsidR="00193CE6" w:rsidRDefault="00F922A4" w:rsidP="00193CE6">
      <w:pPr>
        <w:pStyle w:val="ListParagraph"/>
        <w:numPr>
          <w:ilvl w:val="0"/>
          <w:numId w:val="33"/>
        </w:numPr>
        <w:rPr>
          <w:rFonts w:ascii="Times New Roman" w:hAnsi="Times New Roman"/>
          <w:szCs w:val="24"/>
        </w:rPr>
      </w:pPr>
      <w:r w:rsidRPr="00193CE6">
        <w:rPr>
          <w:rFonts w:ascii="Times New Roman" w:hAnsi="Times New Roman"/>
          <w:szCs w:val="24"/>
        </w:rPr>
        <w:t xml:space="preserve">The </w:t>
      </w:r>
      <w:r w:rsidR="00617A68" w:rsidRPr="00193CE6">
        <w:rPr>
          <w:rFonts w:ascii="Times New Roman" w:hAnsi="Times New Roman"/>
          <w:szCs w:val="24"/>
        </w:rPr>
        <w:t>Class IV-A incinerator</w:t>
      </w:r>
      <w:r w:rsidRPr="00193CE6">
        <w:rPr>
          <w:rFonts w:ascii="Times New Roman" w:hAnsi="Times New Roman"/>
          <w:szCs w:val="24"/>
        </w:rPr>
        <w:t xml:space="preserve"> </w:t>
      </w:r>
      <w:r w:rsidR="004728B7" w:rsidRPr="00193CE6">
        <w:rPr>
          <w:rFonts w:ascii="Times New Roman" w:hAnsi="Times New Roman"/>
          <w:szCs w:val="24"/>
        </w:rPr>
        <w:t>must</w:t>
      </w:r>
      <w:r w:rsidRPr="00193CE6">
        <w:rPr>
          <w:rFonts w:ascii="Times New Roman" w:hAnsi="Times New Roman"/>
          <w:szCs w:val="24"/>
        </w:rPr>
        <w:t xml:space="preserve"> not exceed a particulate matter emission limit of 0.12 </w:t>
      </w:r>
      <w:r w:rsidR="00533FCD" w:rsidRPr="00193CE6">
        <w:rPr>
          <w:rFonts w:ascii="Times New Roman" w:hAnsi="Times New Roman"/>
          <w:szCs w:val="24"/>
        </w:rPr>
        <w:t>grains per dry standard cubic foot</w:t>
      </w:r>
      <w:r w:rsidR="00617A68" w:rsidRPr="00193CE6">
        <w:rPr>
          <w:rFonts w:ascii="Times New Roman" w:hAnsi="Times New Roman"/>
          <w:szCs w:val="24"/>
        </w:rPr>
        <w:t xml:space="preserve"> (gr/dscf)</w:t>
      </w:r>
      <w:r w:rsidR="00533FCD" w:rsidRPr="00193CE6">
        <w:rPr>
          <w:rFonts w:ascii="Times New Roman" w:hAnsi="Times New Roman"/>
          <w:szCs w:val="24"/>
        </w:rPr>
        <w:t xml:space="preserve"> </w:t>
      </w:r>
      <w:r w:rsidRPr="00193CE6">
        <w:rPr>
          <w:rFonts w:ascii="Times New Roman" w:hAnsi="Times New Roman"/>
          <w:szCs w:val="24"/>
        </w:rPr>
        <w:t>corrected to 12</w:t>
      </w:r>
      <w:r w:rsidR="00617A68" w:rsidRPr="00193CE6">
        <w:rPr>
          <w:rFonts w:ascii="Times New Roman" w:hAnsi="Times New Roman"/>
          <w:szCs w:val="24"/>
        </w:rPr>
        <w:t>%</w:t>
      </w:r>
      <w:r w:rsidRPr="00193CE6">
        <w:rPr>
          <w:rFonts w:ascii="Times New Roman" w:hAnsi="Times New Roman"/>
          <w:szCs w:val="24"/>
        </w:rPr>
        <w:t xml:space="preserve"> </w:t>
      </w:r>
      <w:r w:rsidR="00617A68" w:rsidRPr="00193CE6">
        <w:rPr>
          <w:rFonts w:ascii="Times New Roman" w:hAnsi="Times New Roman"/>
          <w:szCs w:val="24"/>
        </w:rPr>
        <w:t>carbon dioxide (</w:t>
      </w:r>
      <w:r w:rsidRPr="00193CE6">
        <w:rPr>
          <w:rFonts w:ascii="Times New Roman" w:hAnsi="Times New Roman"/>
          <w:szCs w:val="24"/>
        </w:rPr>
        <w:t>CO</w:t>
      </w:r>
      <w:r w:rsidRPr="00193CE6">
        <w:rPr>
          <w:rFonts w:ascii="Times New Roman" w:hAnsi="Times New Roman"/>
          <w:szCs w:val="24"/>
          <w:vertAlign w:val="subscript"/>
        </w:rPr>
        <w:t>2</w:t>
      </w:r>
      <w:r w:rsidR="00617A68" w:rsidRPr="00193CE6">
        <w:rPr>
          <w:rFonts w:ascii="Times New Roman" w:hAnsi="Times New Roman"/>
          <w:szCs w:val="24"/>
        </w:rPr>
        <w:t>)</w:t>
      </w:r>
      <w:r w:rsidRPr="00193CE6">
        <w:rPr>
          <w:rFonts w:ascii="Times New Roman" w:hAnsi="Times New Roman"/>
          <w:szCs w:val="24"/>
        </w:rPr>
        <w:t xml:space="preserve"> from the auxiliary fuel.</w:t>
      </w:r>
    </w:p>
    <w:p w14:paraId="1AFC7F3C" w14:textId="77777777" w:rsidR="00193CE6" w:rsidRPr="00193CE6" w:rsidRDefault="00193CE6" w:rsidP="00193CE6">
      <w:pPr>
        <w:pStyle w:val="ListParagraph"/>
        <w:rPr>
          <w:rFonts w:ascii="Times New Roman" w:hAnsi="Times New Roman"/>
          <w:szCs w:val="24"/>
        </w:rPr>
      </w:pPr>
    </w:p>
    <w:p w14:paraId="30AA88ED" w14:textId="31932216" w:rsidR="00193CE6" w:rsidRDefault="00F922A4" w:rsidP="008D4FC9">
      <w:pPr>
        <w:pStyle w:val="ListParagraph"/>
        <w:numPr>
          <w:ilvl w:val="0"/>
          <w:numId w:val="33"/>
        </w:numPr>
        <w:ind w:left="1170" w:hanging="429"/>
        <w:rPr>
          <w:rFonts w:ascii="Times New Roman" w:hAnsi="Times New Roman"/>
          <w:szCs w:val="24"/>
        </w:rPr>
      </w:pPr>
      <w:r w:rsidRPr="00193CE6">
        <w:rPr>
          <w:rFonts w:ascii="Times New Roman" w:hAnsi="Times New Roman"/>
          <w:szCs w:val="24"/>
        </w:rPr>
        <w:t>Visible emissions from the</w:t>
      </w:r>
      <w:r w:rsidR="00617A68" w:rsidRPr="00193CE6">
        <w:rPr>
          <w:rFonts w:ascii="Times New Roman" w:hAnsi="Times New Roman"/>
          <w:szCs w:val="24"/>
        </w:rPr>
        <w:t xml:space="preserve"> Class IV-A</w:t>
      </w:r>
      <w:r w:rsidRPr="00193CE6">
        <w:rPr>
          <w:rFonts w:ascii="Times New Roman" w:hAnsi="Times New Roman"/>
          <w:szCs w:val="24"/>
        </w:rPr>
        <w:t xml:space="preserve"> incinerator </w:t>
      </w:r>
      <w:r w:rsidR="004728B7" w:rsidRPr="00193CE6">
        <w:rPr>
          <w:rFonts w:ascii="Times New Roman" w:hAnsi="Times New Roman"/>
          <w:szCs w:val="24"/>
        </w:rPr>
        <w:t>must</w:t>
      </w:r>
      <w:r w:rsidRPr="00193CE6">
        <w:rPr>
          <w:rFonts w:ascii="Times New Roman" w:hAnsi="Times New Roman"/>
          <w:szCs w:val="24"/>
        </w:rPr>
        <w:t xml:space="preserve"> not exceed 10</w:t>
      </w:r>
      <w:r w:rsidR="001967A0" w:rsidRPr="00193CE6">
        <w:rPr>
          <w:rFonts w:ascii="Times New Roman" w:hAnsi="Times New Roman"/>
          <w:szCs w:val="24"/>
        </w:rPr>
        <w:t xml:space="preserve">% opacity </w:t>
      </w:r>
      <w:r w:rsidRPr="00193CE6">
        <w:rPr>
          <w:rFonts w:ascii="Times New Roman" w:hAnsi="Times New Roman"/>
          <w:szCs w:val="24"/>
        </w:rPr>
        <w:t>on a six minute block average basis.</w:t>
      </w:r>
    </w:p>
    <w:p w14:paraId="1953A9FE" w14:textId="77777777" w:rsidR="00193CE6" w:rsidRPr="00193CE6" w:rsidRDefault="00193CE6" w:rsidP="00193CE6">
      <w:pPr>
        <w:pStyle w:val="ListParagraph"/>
        <w:rPr>
          <w:rFonts w:ascii="Times New Roman" w:hAnsi="Times New Roman"/>
          <w:szCs w:val="24"/>
        </w:rPr>
      </w:pPr>
    </w:p>
    <w:p w14:paraId="24F63583" w14:textId="0E6025C6" w:rsidR="00412EEB" w:rsidRPr="00193CE6" w:rsidRDefault="001967A0" w:rsidP="008D4FC9">
      <w:pPr>
        <w:pStyle w:val="ListParagraph"/>
        <w:numPr>
          <w:ilvl w:val="0"/>
          <w:numId w:val="33"/>
        </w:numPr>
        <w:ind w:left="1170" w:hanging="429"/>
        <w:rPr>
          <w:rFonts w:ascii="Times New Roman" w:hAnsi="Times New Roman"/>
          <w:szCs w:val="24"/>
        </w:rPr>
      </w:pPr>
      <w:r w:rsidRPr="00193CE6">
        <w:rPr>
          <w:rFonts w:ascii="Times New Roman" w:hAnsi="Times New Roman"/>
          <w:szCs w:val="24"/>
        </w:rPr>
        <w:t>The owner or operator must ensure that a</w:t>
      </w:r>
      <w:r w:rsidR="000908C9" w:rsidRPr="00193CE6">
        <w:rPr>
          <w:rFonts w:ascii="Times New Roman" w:hAnsi="Times New Roman"/>
          <w:szCs w:val="24"/>
        </w:rPr>
        <w:t>ll persons designated as</w:t>
      </w:r>
      <w:r w:rsidR="00F922A4" w:rsidRPr="00193CE6">
        <w:rPr>
          <w:rFonts w:ascii="Times New Roman" w:hAnsi="Times New Roman"/>
          <w:szCs w:val="24"/>
        </w:rPr>
        <w:t xml:space="preserve"> incinerator operator(s) receive adequate training to operate the incinerator in accordance with the manufacturer’s specifications and </w:t>
      </w:r>
      <w:r w:rsidR="00A63691">
        <w:rPr>
          <w:rFonts w:ascii="Times New Roman" w:hAnsi="Times New Roman"/>
          <w:szCs w:val="24"/>
        </w:rPr>
        <w:t>are</w:t>
      </w:r>
      <w:r w:rsidR="00F922A4" w:rsidRPr="00193CE6">
        <w:rPr>
          <w:rFonts w:ascii="Times New Roman" w:hAnsi="Times New Roman"/>
          <w:szCs w:val="24"/>
        </w:rPr>
        <w:t xml:space="preserve"> familiar with the terms of the </w:t>
      </w:r>
      <w:r w:rsidRPr="00193CE6">
        <w:rPr>
          <w:rFonts w:ascii="Times New Roman" w:hAnsi="Times New Roman"/>
          <w:szCs w:val="24"/>
        </w:rPr>
        <w:t>g</w:t>
      </w:r>
      <w:r w:rsidR="00F922A4" w:rsidRPr="00193CE6">
        <w:rPr>
          <w:rFonts w:ascii="Times New Roman" w:hAnsi="Times New Roman"/>
          <w:szCs w:val="24"/>
        </w:rPr>
        <w:t xml:space="preserve">eneral </w:t>
      </w:r>
      <w:r w:rsidRPr="00193CE6">
        <w:rPr>
          <w:rFonts w:ascii="Times New Roman" w:hAnsi="Times New Roman"/>
          <w:szCs w:val="24"/>
        </w:rPr>
        <w:t>p</w:t>
      </w:r>
      <w:r w:rsidR="00F922A4" w:rsidRPr="00193CE6">
        <w:rPr>
          <w:rFonts w:ascii="Times New Roman" w:hAnsi="Times New Roman"/>
          <w:szCs w:val="24"/>
        </w:rPr>
        <w:t>ermit as it pertains to the operation of the incinerator.</w:t>
      </w:r>
    </w:p>
    <w:p w14:paraId="146FB7F0" w14:textId="77777777" w:rsidR="006C470B" w:rsidRPr="00F11FC5" w:rsidRDefault="006C470B" w:rsidP="0042443E">
      <w:pPr>
        <w:rPr>
          <w:rFonts w:ascii="Times New Roman" w:hAnsi="Times New Roman"/>
          <w:b/>
          <w:szCs w:val="24"/>
        </w:rPr>
      </w:pPr>
    </w:p>
    <w:p w14:paraId="1CF03866" w14:textId="240FAFF4" w:rsidR="00412EEB" w:rsidRPr="00F11FC5" w:rsidRDefault="00F922A4" w:rsidP="008D4FC9">
      <w:pPr>
        <w:pStyle w:val="RuleLevel1"/>
      </w:pPr>
      <w:r w:rsidRPr="00F11FC5">
        <w:t xml:space="preserve">Class IV-A Incinerator </w:t>
      </w:r>
      <w:r w:rsidR="00A63691">
        <w:t xml:space="preserve">General Permit </w:t>
      </w:r>
      <w:r w:rsidR="00F51995" w:rsidRPr="00F11FC5">
        <w:t>Record</w:t>
      </w:r>
      <w:r w:rsidR="004C359F">
        <w:t>k</w:t>
      </w:r>
      <w:r w:rsidR="00F51995" w:rsidRPr="00F11FC5">
        <w:t xml:space="preserve">eeping, </w:t>
      </w:r>
      <w:r w:rsidR="0006288B" w:rsidRPr="00F11FC5">
        <w:t>Testing</w:t>
      </w:r>
      <w:r w:rsidR="00A63691">
        <w:t>,</w:t>
      </w:r>
      <w:r w:rsidR="0006288B" w:rsidRPr="00F11FC5">
        <w:t xml:space="preserve"> and Reporting Requirements</w:t>
      </w:r>
    </w:p>
    <w:p w14:paraId="46B05C19" w14:textId="77777777" w:rsidR="00146BDD" w:rsidRPr="00F11FC5" w:rsidRDefault="00146BDD" w:rsidP="0042443E">
      <w:pPr>
        <w:rPr>
          <w:rFonts w:ascii="Times New Roman" w:hAnsi="Times New Roman"/>
          <w:szCs w:val="24"/>
        </w:rPr>
      </w:pPr>
    </w:p>
    <w:p w14:paraId="76CA0A03" w14:textId="08DDF431" w:rsidR="00412EEB" w:rsidRPr="00F11FC5" w:rsidRDefault="005552BB" w:rsidP="0042443E">
      <w:pPr>
        <w:ind w:left="684" w:hanging="342"/>
        <w:rPr>
          <w:rFonts w:ascii="Times New Roman" w:hAnsi="Times New Roman"/>
          <w:b/>
          <w:szCs w:val="24"/>
        </w:rPr>
      </w:pPr>
      <w:r w:rsidRPr="00F11FC5">
        <w:rPr>
          <w:rFonts w:ascii="Times New Roman" w:hAnsi="Times New Roman"/>
          <w:b/>
          <w:szCs w:val="24"/>
        </w:rPr>
        <w:t>A.</w:t>
      </w:r>
      <w:r w:rsidR="00412EEB" w:rsidRPr="00F11FC5">
        <w:rPr>
          <w:rFonts w:ascii="Times New Roman" w:hAnsi="Times New Roman"/>
          <w:b/>
          <w:szCs w:val="24"/>
        </w:rPr>
        <w:tab/>
      </w:r>
      <w:r w:rsidR="00F51995" w:rsidRPr="00F11FC5">
        <w:rPr>
          <w:rFonts w:ascii="Times New Roman" w:hAnsi="Times New Roman"/>
          <w:b/>
          <w:szCs w:val="24"/>
        </w:rPr>
        <w:t>Record</w:t>
      </w:r>
      <w:r w:rsidR="004C359F">
        <w:rPr>
          <w:rFonts w:ascii="Times New Roman" w:hAnsi="Times New Roman"/>
          <w:b/>
          <w:szCs w:val="24"/>
        </w:rPr>
        <w:t>k</w:t>
      </w:r>
      <w:r w:rsidR="00F51995" w:rsidRPr="00F11FC5">
        <w:rPr>
          <w:rFonts w:ascii="Times New Roman" w:hAnsi="Times New Roman"/>
          <w:b/>
          <w:szCs w:val="24"/>
        </w:rPr>
        <w:t>eeping Requirements</w:t>
      </w:r>
    </w:p>
    <w:p w14:paraId="3FEF1A9D" w14:textId="77777777" w:rsidR="00F51995" w:rsidRPr="00F11FC5" w:rsidRDefault="00F51995" w:rsidP="0042443E">
      <w:pPr>
        <w:rPr>
          <w:rFonts w:ascii="Times New Roman" w:hAnsi="Times New Roman"/>
          <w:szCs w:val="24"/>
        </w:rPr>
      </w:pPr>
    </w:p>
    <w:p w14:paraId="0F87767F" w14:textId="0C178B7B" w:rsidR="00A16128" w:rsidRDefault="002100FE" w:rsidP="0042443E">
      <w:pPr>
        <w:pStyle w:val="ListParagraph"/>
        <w:numPr>
          <w:ilvl w:val="3"/>
          <w:numId w:val="5"/>
        </w:numPr>
        <w:tabs>
          <w:tab w:val="clear" w:pos="2880"/>
          <w:tab w:val="num" w:pos="1197"/>
        </w:tabs>
        <w:ind w:left="1197" w:right="-360" w:hanging="456"/>
        <w:rPr>
          <w:rFonts w:ascii="Times New Roman" w:hAnsi="Times New Roman"/>
          <w:szCs w:val="24"/>
        </w:rPr>
      </w:pPr>
      <w:r w:rsidRPr="00A16128">
        <w:rPr>
          <w:rFonts w:ascii="Times New Roman" w:hAnsi="Times New Roman"/>
          <w:szCs w:val="24"/>
        </w:rPr>
        <w:t>The owner</w:t>
      </w:r>
      <w:r w:rsidR="001967A0" w:rsidRPr="00A16128">
        <w:rPr>
          <w:rFonts w:ascii="Times New Roman" w:hAnsi="Times New Roman"/>
          <w:szCs w:val="24"/>
        </w:rPr>
        <w:t xml:space="preserve"> or </w:t>
      </w:r>
      <w:r w:rsidRPr="00A16128">
        <w:rPr>
          <w:rFonts w:ascii="Times New Roman" w:hAnsi="Times New Roman"/>
          <w:szCs w:val="24"/>
        </w:rPr>
        <w:t xml:space="preserve">operator </w:t>
      </w:r>
      <w:r w:rsidR="004728B7" w:rsidRPr="00A16128">
        <w:rPr>
          <w:rFonts w:ascii="Times New Roman" w:hAnsi="Times New Roman"/>
          <w:szCs w:val="24"/>
        </w:rPr>
        <w:t>must</w:t>
      </w:r>
      <w:r w:rsidRPr="00A16128">
        <w:rPr>
          <w:rFonts w:ascii="Times New Roman" w:hAnsi="Times New Roman"/>
          <w:szCs w:val="24"/>
        </w:rPr>
        <w:t xml:space="preserve"> maintain sufficient records to accurately document compliance with emission standards and general permit conditions and </w:t>
      </w:r>
      <w:r w:rsidR="004728B7" w:rsidRPr="00A16128">
        <w:rPr>
          <w:rFonts w:ascii="Times New Roman" w:hAnsi="Times New Roman"/>
          <w:szCs w:val="24"/>
        </w:rPr>
        <w:t>must</w:t>
      </w:r>
      <w:r w:rsidRPr="00A16128">
        <w:rPr>
          <w:rFonts w:ascii="Times New Roman" w:hAnsi="Times New Roman"/>
          <w:szCs w:val="24"/>
        </w:rPr>
        <w:t xml:space="preserve"> maintain such records for a minimum of six years.</w:t>
      </w:r>
      <w:r w:rsidR="00DF3D1B" w:rsidRPr="00A16128">
        <w:rPr>
          <w:rFonts w:ascii="Times New Roman" w:hAnsi="Times New Roman"/>
          <w:szCs w:val="24"/>
        </w:rPr>
        <w:t xml:space="preserve"> The records must include a copy of the manufacturer’s operating instructions for the incinerator.</w:t>
      </w:r>
      <w:r w:rsidRPr="00A16128">
        <w:rPr>
          <w:rFonts w:ascii="Times New Roman" w:hAnsi="Times New Roman"/>
          <w:szCs w:val="24"/>
        </w:rPr>
        <w:t xml:space="preserve"> The records </w:t>
      </w:r>
      <w:r w:rsidR="004728B7" w:rsidRPr="00A16128">
        <w:rPr>
          <w:rFonts w:ascii="Times New Roman" w:hAnsi="Times New Roman"/>
          <w:szCs w:val="24"/>
        </w:rPr>
        <w:t>must</w:t>
      </w:r>
      <w:r w:rsidRPr="00A16128">
        <w:rPr>
          <w:rFonts w:ascii="Times New Roman" w:hAnsi="Times New Roman"/>
          <w:szCs w:val="24"/>
        </w:rPr>
        <w:t xml:space="preserve"> be submitted to the Department upon written request.</w:t>
      </w:r>
    </w:p>
    <w:p w14:paraId="6A56C69F" w14:textId="77777777" w:rsidR="00A16128" w:rsidRDefault="00A16128" w:rsidP="008D4FC9">
      <w:pPr>
        <w:pStyle w:val="ListParagraph"/>
        <w:ind w:left="1197" w:right="-360"/>
        <w:rPr>
          <w:rFonts w:ascii="Times New Roman" w:hAnsi="Times New Roman"/>
          <w:szCs w:val="24"/>
        </w:rPr>
      </w:pPr>
    </w:p>
    <w:p w14:paraId="3603503E" w14:textId="2095815B" w:rsidR="00412EEB" w:rsidRPr="00A16128" w:rsidRDefault="00F51995" w:rsidP="0042443E">
      <w:pPr>
        <w:pStyle w:val="ListParagraph"/>
        <w:numPr>
          <w:ilvl w:val="3"/>
          <w:numId w:val="5"/>
        </w:numPr>
        <w:tabs>
          <w:tab w:val="clear" w:pos="2880"/>
          <w:tab w:val="num" w:pos="1197"/>
        </w:tabs>
        <w:ind w:left="1197" w:right="-360" w:hanging="456"/>
        <w:rPr>
          <w:rFonts w:ascii="Times New Roman" w:hAnsi="Times New Roman"/>
          <w:szCs w:val="24"/>
        </w:rPr>
      </w:pPr>
      <w:r w:rsidRPr="00A16128">
        <w:rPr>
          <w:rFonts w:ascii="Times New Roman" w:hAnsi="Times New Roman"/>
          <w:szCs w:val="24"/>
        </w:rPr>
        <w:t>The owner</w:t>
      </w:r>
      <w:r w:rsidR="001967A0" w:rsidRPr="00A16128">
        <w:rPr>
          <w:rFonts w:ascii="Times New Roman" w:hAnsi="Times New Roman"/>
          <w:szCs w:val="24"/>
        </w:rPr>
        <w:t xml:space="preserve"> or </w:t>
      </w:r>
      <w:r w:rsidRPr="00A16128">
        <w:rPr>
          <w:rFonts w:ascii="Times New Roman" w:hAnsi="Times New Roman"/>
          <w:szCs w:val="24"/>
        </w:rPr>
        <w:t xml:space="preserve">operator </w:t>
      </w:r>
      <w:r w:rsidR="004728B7" w:rsidRPr="00A16128">
        <w:rPr>
          <w:rFonts w:ascii="Times New Roman" w:hAnsi="Times New Roman"/>
          <w:szCs w:val="24"/>
        </w:rPr>
        <w:t>must</w:t>
      </w:r>
      <w:r w:rsidR="00B44F7D" w:rsidRPr="00A16128">
        <w:rPr>
          <w:rFonts w:ascii="Times New Roman" w:hAnsi="Times New Roman"/>
          <w:szCs w:val="24"/>
        </w:rPr>
        <w:t xml:space="preserve"> maintain a log detailing </w:t>
      </w:r>
      <w:r w:rsidRPr="00A16128">
        <w:rPr>
          <w:rFonts w:ascii="Times New Roman" w:hAnsi="Times New Roman"/>
          <w:szCs w:val="24"/>
        </w:rPr>
        <w:t xml:space="preserve">and quantifying the hours of operation on a daily basis for </w:t>
      </w:r>
      <w:r w:rsidR="001967A0" w:rsidRPr="00A16128">
        <w:rPr>
          <w:rFonts w:ascii="Times New Roman" w:hAnsi="Times New Roman"/>
          <w:szCs w:val="24"/>
        </w:rPr>
        <w:t xml:space="preserve">the </w:t>
      </w:r>
      <w:r w:rsidRPr="00A16128">
        <w:rPr>
          <w:rFonts w:ascii="Times New Roman" w:hAnsi="Times New Roman"/>
          <w:szCs w:val="24"/>
        </w:rPr>
        <w:t xml:space="preserve">Class IV-A </w:t>
      </w:r>
      <w:r w:rsidR="001967A0" w:rsidRPr="00A16128">
        <w:rPr>
          <w:rFonts w:ascii="Times New Roman" w:hAnsi="Times New Roman"/>
          <w:szCs w:val="24"/>
        </w:rPr>
        <w:t>i</w:t>
      </w:r>
      <w:r w:rsidRPr="00A16128">
        <w:rPr>
          <w:rFonts w:ascii="Times New Roman" w:hAnsi="Times New Roman"/>
          <w:szCs w:val="24"/>
        </w:rPr>
        <w:t xml:space="preserve">ncinerator. </w:t>
      </w:r>
      <w:r w:rsidR="002100FE" w:rsidRPr="00A16128">
        <w:rPr>
          <w:rFonts w:ascii="Times New Roman" w:hAnsi="Times New Roman"/>
          <w:szCs w:val="24"/>
        </w:rPr>
        <w:t xml:space="preserve">The </w:t>
      </w:r>
      <w:r w:rsidR="005E0851" w:rsidRPr="00A16128">
        <w:rPr>
          <w:rFonts w:ascii="Times New Roman" w:hAnsi="Times New Roman"/>
          <w:szCs w:val="24"/>
        </w:rPr>
        <w:t xml:space="preserve">log </w:t>
      </w:r>
      <w:r w:rsidR="004728B7" w:rsidRPr="00A16128">
        <w:rPr>
          <w:rFonts w:ascii="Times New Roman" w:hAnsi="Times New Roman"/>
          <w:szCs w:val="24"/>
        </w:rPr>
        <w:t>must</w:t>
      </w:r>
      <w:r w:rsidR="005E0851" w:rsidRPr="00A16128">
        <w:rPr>
          <w:rFonts w:ascii="Times New Roman" w:hAnsi="Times New Roman"/>
          <w:szCs w:val="24"/>
        </w:rPr>
        <w:t xml:space="preserve"> </w:t>
      </w:r>
      <w:r w:rsidR="002100FE" w:rsidRPr="00A16128">
        <w:rPr>
          <w:rFonts w:ascii="Times New Roman" w:hAnsi="Times New Roman"/>
          <w:szCs w:val="24"/>
        </w:rPr>
        <w:t>record</w:t>
      </w:r>
      <w:r w:rsidR="005E0851" w:rsidRPr="00A16128">
        <w:rPr>
          <w:rFonts w:ascii="Times New Roman" w:hAnsi="Times New Roman"/>
          <w:szCs w:val="24"/>
        </w:rPr>
        <w:t xml:space="preserve"> the weight of each charge to the incinerator, preheat</w:t>
      </w:r>
      <w:r w:rsidR="001967A0" w:rsidRPr="00A16128">
        <w:rPr>
          <w:rFonts w:ascii="Times New Roman" w:hAnsi="Times New Roman"/>
          <w:szCs w:val="24"/>
        </w:rPr>
        <w:t>ing</w:t>
      </w:r>
      <w:r w:rsidR="005E0851" w:rsidRPr="00A16128">
        <w:rPr>
          <w:rFonts w:ascii="Times New Roman" w:hAnsi="Times New Roman"/>
          <w:szCs w:val="24"/>
        </w:rPr>
        <w:t xml:space="preserve"> temperature, preheating time, charging time, </w:t>
      </w:r>
      <w:r w:rsidR="00A63691" w:rsidRPr="00A16128">
        <w:rPr>
          <w:rFonts w:ascii="Times New Roman" w:hAnsi="Times New Roman"/>
          <w:szCs w:val="24"/>
        </w:rPr>
        <w:t xml:space="preserve">and </w:t>
      </w:r>
      <w:r w:rsidR="005E0851" w:rsidRPr="00A16128">
        <w:rPr>
          <w:rFonts w:ascii="Times New Roman" w:hAnsi="Times New Roman"/>
          <w:szCs w:val="24"/>
        </w:rPr>
        <w:t>afterburner temperature directly after charging and every 60 minutes after startup until and including final shutdown time.</w:t>
      </w:r>
      <w:r w:rsidR="001967A0" w:rsidRPr="00A16128">
        <w:rPr>
          <w:rFonts w:ascii="Times New Roman" w:hAnsi="Times New Roman"/>
          <w:szCs w:val="24"/>
        </w:rPr>
        <w:t xml:space="preserve"> The source may make use of a temperature chart recorder on the incinerator unit to record the start time, date, and weight of remains charged.</w:t>
      </w:r>
      <w:r w:rsidR="00412EEB" w:rsidRPr="00A16128">
        <w:rPr>
          <w:rFonts w:ascii="Times New Roman" w:hAnsi="Times New Roman"/>
          <w:szCs w:val="24"/>
        </w:rPr>
        <w:t xml:space="preserve"> </w:t>
      </w:r>
      <w:r w:rsidRPr="00A16128">
        <w:rPr>
          <w:rFonts w:ascii="Times New Roman" w:hAnsi="Times New Roman"/>
          <w:szCs w:val="24"/>
        </w:rPr>
        <w:t xml:space="preserve">The operation log </w:t>
      </w:r>
      <w:r w:rsidR="004728B7" w:rsidRPr="00A16128">
        <w:rPr>
          <w:rFonts w:ascii="Times New Roman" w:hAnsi="Times New Roman"/>
          <w:szCs w:val="24"/>
        </w:rPr>
        <w:t>must</w:t>
      </w:r>
      <w:r w:rsidRPr="00A16128">
        <w:rPr>
          <w:rFonts w:ascii="Times New Roman" w:hAnsi="Times New Roman"/>
          <w:szCs w:val="24"/>
        </w:rPr>
        <w:t xml:space="preserve"> be kept on</w:t>
      </w:r>
      <w:r w:rsidR="00A63691" w:rsidRPr="00A16128">
        <w:rPr>
          <w:rFonts w:ascii="Times New Roman" w:hAnsi="Times New Roman"/>
          <w:szCs w:val="24"/>
        </w:rPr>
        <w:t xml:space="preserve"> </w:t>
      </w:r>
      <w:r w:rsidRPr="00A16128">
        <w:rPr>
          <w:rFonts w:ascii="Times New Roman" w:hAnsi="Times New Roman"/>
          <w:szCs w:val="24"/>
        </w:rPr>
        <w:t>site at the incinerator location.</w:t>
      </w:r>
    </w:p>
    <w:p w14:paraId="382A399C" w14:textId="77777777" w:rsidR="00F51995" w:rsidRPr="00F11FC5" w:rsidRDefault="00F51995" w:rsidP="0042443E">
      <w:pPr>
        <w:tabs>
          <w:tab w:val="num" w:pos="1197"/>
        </w:tabs>
        <w:ind w:left="1197" w:hanging="456"/>
        <w:rPr>
          <w:rFonts w:ascii="Times New Roman" w:hAnsi="Times New Roman"/>
          <w:szCs w:val="24"/>
        </w:rPr>
      </w:pPr>
    </w:p>
    <w:p w14:paraId="46F0DC67" w14:textId="55CA58A7" w:rsidR="00412EEB" w:rsidRPr="00F11FC5" w:rsidRDefault="00F51995" w:rsidP="0042443E">
      <w:pPr>
        <w:numPr>
          <w:ilvl w:val="3"/>
          <w:numId w:val="5"/>
        </w:numPr>
        <w:tabs>
          <w:tab w:val="clear" w:pos="2880"/>
          <w:tab w:val="num" w:pos="1197"/>
        </w:tabs>
        <w:ind w:left="1197" w:hanging="456"/>
        <w:rPr>
          <w:rFonts w:ascii="Times New Roman" w:hAnsi="Times New Roman"/>
          <w:szCs w:val="24"/>
        </w:rPr>
      </w:pPr>
      <w:r w:rsidRPr="00F11FC5">
        <w:rPr>
          <w:rFonts w:ascii="Times New Roman" w:hAnsi="Times New Roman"/>
          <w:szCs w:val="24"/>
        </w:rPr>
        <w:t>The owner</w:t>
      </w:r>
      <w:r w:rsidR="0016692F">
        <w:rPr>
          <w:rFonts w:ascii="Times New Roman" w:hAnsi="Times New Roman"/>
          <w:szCs w:val="24"/>
        </w:rPr>
        <w:t xml:space="preserve"> or </w:t>
      </w:r>
      <w:r w:rsidRPr="00F11FC5">
        <w:rPr>
          <w:rFonts w:ascii="Times New Roman" w:hAnsi="Times New Roman"/>
          <w:szCs w:val="24"/>
        </w:rPr>
        <w:t xml:space="preserve">operator </w:t>
      </w:r>
      <w:r w:rsidR="004728B7">
        <w:rPr>
          <w:rFonts w:ascii="Times New Roman" w:hAnsi="Times New Roman"/>
          <w:szCs w:val="24"/>
        </w:rPr>
        <w:t>must</w:t>
      </w:r>
      <w:r w:rsidRPr="00F11FC5">
        <w:rPr>
          <w:rFonts w:ascii="Times New Roman" w:hAnsi="Times New Roman"/>
          <w:szCs w:val="24"/>
        </w:rPr>
        <w:t xml:space="preserve"> maintain a log detailing the maintenance</w:t>
      </w:r>
      <w:r w:rsidR="000C2AB5">
        <w:rPr>
          <w:rFonts w:ascii="Times New Roman" w:hAnsi="Times New Roman"/>
          <w:szCs w:val="24"/>
        </w:rPr>
        <w:t xml:space="preserve"> performed on</w:t>
      </w:r>
      <w:r w:rsidRPr="00F11FC5">
        <w:rPr>
          <w:rFonts w:ascii="Times New Roman" w:hAnsi="Times New Roman"/>
          <w:szCs w:val="24"/>
        </w:rPr>
        <w:t xml:space="preserve"> emission control equipment. Records of the date of each inspection and any corrective action required </w:t>
      </w:r>
      <w:r w:rsidR="0016692F">
        <w:rPr>
          <w:rFonts w:ascii="Times New Roman" w:hAnsi="Times New Roman"/>
          <w:szCs w:val="24"/>
        </w:rPr>
        <w:t>must</w:t>
      </w:r>
      <w:r w:rsidR="0016692F" w:rsidRPr="00F11FC5">
        <w:rPr>
          <w:rFonts w:ascii="Times New Roman" w:hAnsi="Times New Roman"/>
          <w:szCs w:val="24"/>
        </w:rPr>
        <w:t xml:space="preserve"> </w:t>
      </w:r>
      <w:r w:rsidRPr="00F11FC5">
        <w:rPr>
          <w:rFonts w:ascii="Times New Roman" w:hAnsi="Times New Roman"/>
          <w:szCs w:val="24"/>
        </w:rPr>
        <w:t xml:space="preserve">be included in the maintenance log. The maintenance log </w:t>
      </w:r>
      <w:r w:rsidR="004728B7">
        <w:rPr>
          <w:rFonts w:ascii="Times New Roman" w:hAnsi="Times New Roman"/>
          <w:szCs w:val="24"/>
        </w:rPr>
        <w:t>must</w:t>
      </w:r>
      <w:r w:rsidRPr="00F11FC5">
        <w:rPr>
          <w:rFonts w:ascii="Times New Roman" w:hAnsi="Times New Roman"/>
          <w:szCs w:val="24"/>
        </w:rPr>
        <w:t xml:space="preserve"> be kept on-site at the incinerator location.</w:t>
      </w:r>
    </w:p>
    <w:p w14:paraId="2144473E" w14:textId="77777777" w:rsidR="00F51995" w:rsidRPr="00F11FC5" w:rsidRDefault="00F51995" w:rsidP="0042443E">
      <w:pPr>
        <w:rPr>
          <w:rFonts w:ascii="Times New Roman" w:hAnsi="Times New Roman"/>
          <w:szCs w:val="24"/>
        </w:rPr>
      </w:pPr>
    </w:p>
    <w:p w14:paraId="536DD79C" w14:textId="015AFDFA" w:rsidR="002100FE" w:rsidRPr="00F11FC5" w:rsidRDefault="002100FE" w:rsidP="0042443E">
      <w:pPr>
        <w:numPr>
          <w:ilvl w:val="3"/>
          <w:numId w:val="5"/>
        </w:numPr>
        <w:tabs>
          <w:tab w:val="clear" w:pos="2880"/>
          <w:tab w:val="num" w:pos="1197"/>
        </w:tabs>
        <w:ind w:left="1197" w:hanging="456"/>
        <w:rPr>
          <w:rFonts w:ascii="Times New Roman" w:hAnsi="Times New Roman"/>
          <w:szCs w:val="24"/>
        </w:rPr>
      </w:pPr>
      <w:r w:rsidRPr="00F11FC5">
        <w:rPr>
          <w:rFonts w:ascii="Times New Roman" w:hAnsi="Times New Roman"/>
          <w:szCs w:val="24"/>
        </w:rPr>
        <w:t>The owner</w:t>
      </w:r>
      <w:r w:rsidR="0016692F">
        <w:rPr>
          <w:rFonts w:ascii="Times New Roman" w:hAnsi="Times New Roman"/>
          <w:szCs w:val="24"/>
        </w:rPr>
        <w:t xml:space="preserve"> or </w:t>
      </w:r>
      <w:r w:rsidRPr="00F11FC5">
        <w:rPr>
          <w:rFonts w:ascii="Times New Roman" w:hAnsi="Times New Roman"/>
          <w:szCs w:val="24"/>
        </w:rPr>
        <w:t xml:space="preserve">operator </w:t>
      </w:r>
      <w:r w:rsidR="004728B7">
        <w:rPr>
          <w:rFonts w:ascii="Times New Roman" w:hAnsi="Times New Roman"/>
          <w:szCs w:val="24"/>
        </w:rPr>
        <w:t>must</w:t>
      </w:r>
      <w:r w:rsidRPr="00F11FC5">
        <w:rPr>
          <w:rFonts w:ascii="Times New Roman" w:hAnsi="Times New Roman"/>
          <w:szCs w:val="24"/>
        </w:rPr>
        <w:t xml:space="preserve"> maintain records of malfunctions, failures, downtime, and any other similar change in operation of air pollution control systems or the emissions unit itself that would affect emissions and that is not consistent with the terms and conditions of this general permit.</w:t>
      </w:r>
    </w:p>
    <w:p w14:paraId="37F55D74" w14:textId="77777777" w:rsidR="002100FE" w:rsidRPr="00F11FC5" w:rsidRDefault="002100FE" w:rsidP="0042443E">
      <w:pPr>
        <w:rPr>
          <w:rFonts w:ascii="Times New Roman" w:hAnsi="Times New Roman"/>
          <w:szCs w:val="24"/>
        </w:rPr>
      </w:pPr>
    </w:p>
    <w:p w14:paraId="5B0F068D" w14:textId="71DB1A91" w:rsidR="00F51995" w:rsidRPr="00F11FC5" w:rsidRDefault="00990EC2" w:rsidP="0042443E">
      <w:pPr>
        <w:numPr>
          <w:ilvl w:val="3"/>
          <w:numId w:val="5"/>
        </w:numPr>
        <w:tabs>
          <w:tab w:val="clear" w:pos="2880"/>
          <w:tab w:val="num" w:pos="1197"/>
        </w:tabs>
        <w:ind w:left="1197" w:hanging="456"/>
        <w:rPr>
          <w:rFonts w:ascii="Times New Roman" w:hAnsi="Times New Roman"/>
          <w:szCs w:val="24"/>
        </w:rPr>
      </w:pPr>
      <w:r w:rsidRPr="00F11FC5">
        <w:rPr>
          <w:rFonts w:ascii="Times New Roman" w:hAnsi="Times New Roman"/>
          <w:szCs w:val="24"/>
        </w:rPr>
        <w:t>If</w:t>
      </w:r>
      <w:r w:rsidR="00F51995" w:rsidRPr="00F11FC5">
        <w:rPr>
          <w:rFonts w:ascii="Times New Roman" w:hAnsi="Times New Roman"/>
          <w:szCs w:val="24"/>
        </w:rPr>
        <w:t xml:space="preserve"> the </w:t>
      </w:r>
      <w:r w:rsidRPr="00F11FC5">
        <w:rPr>
          <w:rFonts w:ascii="Times New Roman" w:hAnsi="Times New Roman"/>
          <w:szCs w:val="24"/>
        </w:rPr>
        <w:t>Department determines</w:t>
      </w:r>
      <w:r w:rsidR="00F51995" w:rsidRPr="00F11FC5">
        <w:rPr>
          <w:rFonts w:ascii="Times New Roman" w:hAnsi="Times New Roman"/>
          <w:szCs w:val="24"/>
        </w:rPr>
        <w:t xml:space="preserve"> that continuous recording devices are necessary, the </w:t>
      </w:r>
      <w:r w:rsidR="0016692F">
        <w:rPr>
          <w:rFonts w:ascii="Times New Roman" w:hAnsi="Times New Roman"/>
          <w:szCs w:val="24"/>
        </w:rPr>
        <w:t>owner or operator must install and begin operation of such continuous recording devices</w:t>
      </w:r>
      <w:r w:rsidR="00F51995" w:rsidRPr="00F11FC5">
        <w:rPr>
          <w:rFonts w:ascii="Times New Roman" w:hAnsi="Times New Roman"/>
          <w:szCs w:val="24"/>
        </w:rPr>
        <w:t xml:space="preserve"> within 120 days</w:t>
      </w:r>
      <w:r w:rsidR="0016692F">
        <w:rPr>
          <w:rFonts w:ascii="Times New Roman" w:hAnsi="Times New Roman"/>
          <w:szCs w:val="24"/>
        </w:rPr>
        <w:t xml:space="preserve"> of written notification by the Department</w:t>
      </w:r>
      <w:r w:rsidR="00F51995" w:rsidRPr="00F11FC5">
        <w:rPr>
          <w:rFonts w:ascii="Times New Roman" w:hAnsi="Times New Roman"/>
          <w:szCs w:val="24"/>
        </w:rPr>
        <w:t>.</w:t>
      </w:r>
    </w:p>
    <w:p w14:paraId="6A7B4023" w14:textId="77777777" w:rsidR="00F51995" w:rsidRPr="00F11FC5" w:rsidRDefault="00F51995" w:rsidP="0042443E">
      <w:pPr>
        <w:rPr>
          <w:rFonts w:ascii="Times New Roman" w:hAnsi="Times New Roman"/>
          <w:szCs w:val="24"/>
        </w:rPr>
      </w:pPr>
    </w:p>
    <w:p w14:paraId="155874A8" w14:textId="77777777" w:rsidR="00412EEB" w:rsidRPr="00F11FC5" w:rsidRDefault="00412EEB" w:rsidP="0042443E">
      <w:pPr>
        <w:ind w:firstLine="342"/>
        <w:rPr>
          <w:rFonts w:ascii="Times New Roman" w:hAnsi="Times New Roman"/>
          <w:szCs w:val="24"/>
        </w:rPr>
      </w:pPr>
      <w:r w:rsidRPr="00F11FC5">
        <w:rPr>
          <w:rFonts w:ascii="Times New Roman" w:hAnsi="Times New Roman"/>
          <w:b/>
          <w:szCs w:val="24"/>
        </w:rPr>
        <w:t>B.</w:t>
      </w:r>
      <w:r w:rsidRPr="00F11FC5">
        <w:rPr>
          <w:rFonts w:ascii="Times New Roman" w:hAnsi="Times New Roman"/>
          <w:b/>
          <w:szCs w:val="24"/>
        </w:rPr>
        <w:tab/>
      </w:r>
      <w:r w:rsidR="00F51995" w:rsidRPr="00F11FC5">
        <w:rPr>
          <w:rFonts w:ascii="Times New Roman" w:hAnsi="Times New Roman"/>
          <w:b/>
          <w:szCs w:val="24"/>
        </w:rPr>
        <w:t>Testing and Reporting Requirements</w:t>
      </w:r>
    </w:p>
    <w:p w14:paraId="7D8000C2" w14:textId="77777777" w:rsidR="00F51995" w:rsidRPr="00F11FC5" w:rsidRDefault="00F51995" w:rsidP="0042443E">
      <w:pPr>
        <w:rPr>
          <w:rFonts w:ascii="Times New Roman" w:hAnsi="Times New Roman"/>
          <w:szCs w:val="24"/>
        </w:rPr>
      </w:pPr>
    </w:p>
    <w:p w14:paraId="32AA075E" w14:textId="0DF1F05C" w:rsidR="00412EEB" w:rsidRPr="00F11FC5" w:rsidRDefault="002100FE" w:rsidP="0042443E">
      <w:pPr>
        <w:ind w:left="1140" w:hanging="420"/>
        <w:rPr>
          <w:rFonts w:ascii="Times New Roman" w:hAnsi="Times New Roman"/>
          <w:szCs w:val="24"/>
        </w:rPr>
      </w:pPr>
      <w:r w:rsidRPr="00F11FC5">
        <w:rPr>
          <w:rFonts w:ascii="Times New Roman" w:hAnsi="Times New Roman"/>
          <w:szCs w:val="24"/>
        </w:rPr>
        <w:t>(1</w:t>
      </w:r>
      <w:r w:rsidR="00D2530D" w:rsidRPr="00F11FC5">
        <w:rPr>
          <w:rFonts w:ascii="Times New Roman" w:hAnsi="Times New Roman"/>
          <w:szCs w:val="24"/>
        </w:rPr>
        <w:t>)</w:t>
      </w:r>
      <w:r w:rsidR="00412EEB" w:rsidRPr="00F11FC5">
        <w:rPr>
          <w:rFonts w:ascii="Times New Roman" w:hAnsi="Times New Roman"/>
          <w:szCs w:val="24"/>
        </w:rPr>
        <w:tab/>
      </w:r>
      <w:r w:rsidR="00A054FB" w:rsidRPr="00F11FC5">
        <w:rPr>
          <w:rFonts w:ascii="Times New Roman" w:hAnsi="Times New Roman"/>
          <w:szCs w:val="24"/>
        </w:rPr>
        <w:t xml:space="preserve">In accordance with </w:t>
      </w:r>
      <w:r w:rsidR="005552BB" w:rsidRPr="00F11FC5">
        <w:rPr>
          <w:rFonts w:ascii="Times New Roman" w:hAnsi="Times New Roman"/>
          <w:szCs w:val="24"/>
        </w:rPr>
        <w:t>the Department’s air emission compliance test protocol</w:t>
      </w:r>
      <w:r w:rsidR="0054748D" w:rsidRPr="00F11FC5">
        <w:rPr>
          <w:rFonts w:ascii="Times New Roman" w:hAnsi="Times New Roman"/>
          <w:szCs w:val="24"/>
        </w:rPr>
        <w:t xml:space="preserve"> </w:t>
      </w:r>
      <w:r w:rsidR="005552BB" w:rsidRPr="00F11FC5">
        <w:rPr>
          <w:rFonts w:ascii="Times New Roman" w:hAnsi="Times New Roman"/>
          <w:szCs w:val="24"/>
        </w:rPr>
        <w:t>and 40</w:t>
      </w:r>
      <w:r w:rsidR="0016692F">
        <w:rPr>
          <w:rFonts w:ascii="Times New Roman" w:hAnsi="Times New Roman"/>
          <w:szCs w:val="24"/>
        </w:rPr>
        <w:t> </w:t>
      </w:r>
      <w:r w:rsidR="005552BB" w:rsidRPr="00F11FC5">
        <w:rPr>
          <w:rFonts w:ascii="Times New Roman" w:hAnsi="Times New Roman"/>
          <w:szCs w:val="24"/>
        </w:rPr>
        <w:t>C</w:t>
      </w:r>
      <w:r w:rsidR="0016692F">
        <w:rPr>
          <w:rFonts w:ascii="Times New Roman" w:hAnsi="Times New Roman"/>
          <w:szCs w:val="24"/>
        </w:rPr>
        <w:t>.</w:t>
      </w:r>
      <w:r w:rsidR="005552BB" w:rsidRPr="00F11FC5">
        <w:rPr>
          <w:rFonts w:ascii="Times New Roman" w:hAnsi="Times New Roman"/>
          <w:szCs w:val="24"/>
        </w:rPr>
        <w:t>F</w:t>
      </w:r>
      <w:r w:rsidR="0016692F">
        <w:rPr>
          <w:rFonts w:ascii="Times New Roman" w:hAnsi="Times New Roman"/>
          <w:szCs w:val="24"/>
        </w:rPr>
        <w:t>.</w:t>
      </w:r>
      <w:r w:rsidR="005552BB" w:rsidRPr="00F11FC5">
        <w:rPr>
          <w:rFonts w:ascii="Times New Roman" w:hAnsi="Times New Roman"/>
          <w:szCs w:val="24"/>
        </w:rPr>
        <w:t>R</w:t>
      </w:r>
      <w:r w:rsidR="0016692F">
        <w:rPr>
          <w:rFonts w:ascii="Times New Roman" w:hAnsi="Times New Roman"/>
          <w:szCs w:val="24"/>
        </w:rPr>
        <w:t>.</w:t>
      </w:r>
      <w:r w:rsidR="005552BB" w:rsidRPr="00F11FC5">
        <w:rPr>
          <w:rFonts w:ascii="Times New Roman" w:hAnsi="Times New Roman"/>
          <w:szCs w:val="24"/>
        </w:rPr>
        <w:t xml:space="preserve"> Part 60</w:t>
      </w:r>
      <w:r w:rsidR="0016692F">
        <w:rPr>
          <w:rFonts w:ascii="Times New Roman" w:hAnsi="Times New Roman"/>
          <w:szCs w:val="24"/>
        </w:rPr>
        <w:t>, Appendix A,</w:t>
      </w:r>
      <w:r w:rsidR="005552BB" w:rsidRPr="00F11FC5">
        <w:rPr>
          <w:rFonts w:ascii="Times New Roman" w:hAnsi="Times New Roman"/>
          <w:szCs w:val="24"/>
        </w:rPr>
        <w:t xml:space="preserve"> or other approved </w:t>
      </w:r>
      <w:r w:rsidR="00990EC2" w:rsidRPr="00F11FC5">
        <w:rPr>
          <w:rFonts w:ascii="Times New Roman" w:hAnsi="Times New Roman"/>
          <w:szCs w:val="24"/>
        </w:rPr>
        <w:t>method</w:t>
      </w:r>
      <w:r w:rsidR="00A51B39" w:rsidRPr="00F11FC5">
        <w:rPr>
          <w:rFonts w:ascii="Times New Roman" w:hAnsi="Times New Roman"/>
          <w:szCs w:val="24"/>
        </w:rPr>
        <w:t xml:space="preserve"> as</w:t>
      </w:r>
      <w:r w:rsidR="005552BB" w:rsidRPr="00F11FC5">
        <w:rPr>
          <w:rFonts w:ascii="Times New Roman" w:hAnsi="Times New Roman"/>
          <w:szCs w:val="24"/>
        </w:rPr>
        <w:t xml:space="preserve"> required by the Department, the </w:t>
      </w:r>
      <w:r w:rsidR="00062426" w:rsidRPr="00F11FC5">
        <w:rPr>
          <w:rFonts w:ascii="Times New Roman" w:hAnsi="Times New Roman"/>
          <w:szCs w:val="24"/>
        </w:rPr>
        <w:t>owner</w:t>
      </w:r>
      <w:r w:rsidR="00A63691">
        <w:rPr>
          <w:rFonts w:ascii="Times New Roman" w:hAnsi="Times New Roman"/>
          <w:szCs w:val="24"/>
        </w:rPr>
        <w:t xml:space="preserve"> or </w:t>
      </w:r>
      <w:r w:rsidR="005552BB" w:rsidRPr="00F11FC5">
        <w:rPr>
          <w:rFonts w:ascii="Times New Roman" w:hAnsi="Times New Roman"/>
          <w:szCs w:val="24"/>
        </w:rPr>
        <w:t xml:space="preserve">operator </w:t>
      </w:r>
      <w:r w:rsidR="004728B7">
        <w:rPr>
          <w:rFonts w:ascii="Times New Roman" w:hAnsi="Times New Roman"/>
          <w:szCs w:val="24"/>
        </w:rPr>
        <w:t>must</w:t>
      </w:r>
      <w:r w:rsidR="00AF228E" w:rsidRPr="00F11FC5">
        <w:rPr>
          <w:rFonts w:ascii="Times New Roman" w:hAnsi="Times New Roman"/>
          <w:szCs w:val="24"/>
        </w:rPr>
        <w:t>:</w:t>
      </w:r>
    </w:p>
    <w:p w14:paraId="3FE96269" w14:textId="77777777" w:rsidR="005552BB" w:rsidRPr="00F11FC5" w:rsidRDefault="005552BB" w:rsidP="0042443E">
      <w:pPr>
        <w:ind w:left="1083" w:hanging="399"/>
        <w:rPr>
          <w:rFonts w:ascii="Times New Roman" w:hAnsi="Times New Roman"/>
          <w:szCs w:val="24"/>
        </w:rPr>
      </w:pPr>
    </w:p>
    <w:p w14:paraId="4E3D9E70" w14:textId="297F87A4" w:rsidR="0016692F" w:rsidRDefault="005552BB" w:rsidP="0042443E">
      <w:pPr>
        <w:ind w:left="1425" w:hanging="342"/>
        <w:rPr>
          <w:rFonts w:ascii="Times New Roman" w:hAnsi="Times New Roman"/>
          <w:szCs w:val="24"/>
        </w:rPr>
      </w:pPr>
      <w:r w:rsidRPr="00F11FC5">
        <w:rPr>
          <w:rFonts w:ascii="Times New Roman" w:hAnsi="Times New Roman"/>
          <w:szCs w:val="24"/>
        </w:rPr>
        <w:t>(a)</w:t>
      </w:r>
      <w:r w:rsidR="00412EEB" w:rsidRPr="00F11FC5">
        <w:rPr>
          <w:rFonts w:ascii="Times New Roman" w:hAnsi="Times New Roman"/>
          <w:szCs w:val="24"/>
        </w:rPr>
        <w:tab/>
      </w:r>
      <w:r w:rsidR="003F7845">
        <w:rPr>
          <w:rFonts w:ascii="Times New Roman" w:hAnsi="Times New Roman"/>
          <w:szCs w:val="24"/>
        </w:rPr>
        <w:t>P</w:t>
      </w:r>
      <w:r w:rsidRPr="00F11FC5">
        <w:rPr>
          <w:rFonts w:ascii="Times New Roman" w:hAnsi="Times New Roman"/>
          <w:szCs w:val="24"/>
        </w:rPr>
        <w:t xml:space="preserve">erform testing to demonstrate compliance with applicable emission standards under circumstances representative of the </w:t>
      </w:r>
      <w:r w:rsidR="001302FA">
        <w:rPr>
          <w:rFonts w:ascii="Times New Roman" w:hAnsi="Times New Roman"/>
          <w:szCs w:val="24"/>
        </w:rPr>
        <w:t>source</w:t>
      </w:r>
      <w:r w:rsidR="001302FA" w:rsidRPr="00F11FC5">
        <w:rPr>
          <w:rFonts w:ascii="Times New Roman" w:hAnsi="Times New Roman"/>
          <w:szCs w:val="24"/>
        </w:rPr>
        <w:t xml:space="preserve">’s </w:t>
      </w:r>
      <w:r w:rsidRPr="00F11FC5">
        <w:rPr>
          <w:rFonts w:ascii="Times New Roman" w:hAnsi="Times New Roman"/>
          <w:szCs w:val="24"/>
        </w:rPr>
        <w:t>normal process and operating conditions</w:t>
      </w:r>
      <w:r w:rsidR="0016692F">
        <w:rPr>
          <w:rFonts w:ascii="Times New Roman" w:hAnsi="Times New Roman"/>
          <w:szCs w:val="24"/>
        </w:rPr>
        <w:t>:</w:t>
      </w:r>
      <w:r w:rsidR="00412EEB" w:rsidRPr="00F11FC5">
        <w:rPr>
          <w:rFonts w:ascii="Times New Roman" w:hAnsi="Times New Roman"/>
          <w:szCs w:val="24"/>
        </w:rPr>
        <w:t xml:space="preserve"> </w:t>
      </w:r>
    </w:p>
    <w:p w14:paraId="6D6C27B8" w14:textId="77777777" w:rsidR="00825857" w:rsidRDefault="00825857" w:rsidP="0042443E">
      <w:pPr>
        <w:ind w:left="1425" w:hanging="342"/>
        <w:rPr>
          <w:rFonts w:ascii="Times New Roman" w:hAnsi="Times New Roman"/>
          <w:szCs w:val="24"/>
        </w:rPr>
      </w:pPr>
    </w:p>
    <w:p w14:paraId="777137FF" w14:textId="0A293C92" w:rsidR="00412EEB" w:rsidRDefault="003F7845" w:rsidP="00825857">
      <w:pPr>
        <w:pStyle w:val="ListParagraph"/>
        <w:numPr>
          <w:ilvl w:val="0"/>
          <w:numId w:val="34"/>
        </w:numPr>
        <w:rPr>
          <w:rFonts w:ascii="Times New Roman" w:hAnsi="Times New Roman"/>
          <w:szCs w:val="24"/>
        </w:rPr>
      </w:pPr>
      <w:r>
        <w:rPr>
          <w:rFonts w:ascii="Times New Roman" w:hAnsi="Times New Roman"/>
          <w:szCs w:val="24"/>
        </w:rPr>
        <w:t>W</w:t>
      </w:r>
      <w:r w:rsidR="005552BB" w:rsidRPr="008D4FC9">
        <w:rPr>
          <w:rFonts w:ascii="Times New Roman" w:hAnsi="Times New Roman"/>
          <w:szCs w:val="24"/>
        </w:rPr>
        <w:t xml:space="preserve">ithin 60 calendar days of receipt of a notification to test from the Department or </w:t>
      </w:r>
      <w:r w:rsidR="00825857">
        <w:rPr>
          <w:rFonts w:ascii="Times New Roman" w:hAnsi="Times New Roman"/>
          <w:szCs w:val="24"/>
        </w:rPr>
        <w:t xml:space="preserve">the </w:t>
      </w:r>
      <w:r w:rsidR="005552BB" w:rsidRPr="008D4FC9">
        <w:rPr>
          <w:rFonts w:ascii="Times New Roman" w:hAnsi="Times New Roman"/>
          <w:szCs w:val="24"/>
        </w:rPr>
        <w:t>EPA, if visible emissions, equipment operating parameters, staff inspection, air monitoring</w:t>
      </w:r>
      <w:r w:rsidR="00702AAB">
        <w:rPr>
          <w:rFonts w:ascii="Times New Roman" w:hAnsi="Times New Roman"/>
          <w:szCs w:val="24"/>
        </w:rPr>
        <w:t>,</w:t>
      </w:r>
      <w:r w:rsidR="005552BB" w:rsidRPr="008D4FC9">
        <w:rPr>
          <w:rFonts w:ascii="Times New Roman" w:hAnsi="Times New Roman"/>
          <w:szCs w:val="24"/>
        </w:rPr>
        <w:t xml:space="preserve"> or other cause indicate that equipment may be operating out of compliance with emission standards or </w:t>
      </w:r>
      <w:r w:rsidR="00825857">
        <w:rPr>
          <w:rFonts w:ascii="Times New Roman" w:hAnsi="Times New Roman"/>
          <w:szCs w:val="24"/>
        </w:rPr>
        <w:t>requirements of this Chapter</w:t>
      </w:r>
      <w:r w:rsidR="005552BB" w:rsidRPr="008D4FC9">
        <w:rPr>
          <w:rFonts w:ascii="Times New Roman" w:hAnsi="Times New Roman"/>
          <w:szCs w:val="24"/>
        </w:rPr>
        <w:t>;</w:t>
      </w:r>
    </w:p>
    <w:p w14:paraId="1691249D" w14:textId="77777777" w:rsidR="00825857" w:rsidRDefault="00825857" w:rsidP="008D4FC9">
      <w:pPr>
        <w:pStyle w:val="ListParagraph"/>
        <w:ind w:left="1803"/>
        <w:rPr>
          <w:rFonts w:ascii="Times New Roman" w:hAnsi="Times New Roman"/>
          <w:szCs w:val="24"/>
        </w:rPr>
      </w:pPr>
    </w:p>
    <w:p w14:paraId="73FD1D0F" w14:textId="200FF0A7" w:rsidR="00825857" w:rsidRPr="008D4FC9" w:rsidRDefault="003F7845" w:rsidP="008D4FC9">
      <w:pPr>
        <w:pStyle w:val="ListParagraph"/>
        <w:numPr>
          <w:ilvl w:val="0"/>
          <w:numId w:val="34"/>
        </w:numPr>
        <w:rPr>
          <w:rFonts w:ascii="Times New Roman" w:hAnsi="Times New Roman"/>
          <w:szCs w:val="24"/>
        </w:rPr>
      </w:pPr>
      <w:r>
        <w:rPr>
          <w:rFonts w:ascii="Times New Roman" w:hAnsi="Times New Roman"/>
          <w:szCs w:val="24"/>
        </w:rPr>
        <w:t>P</w:t>
      </w:r>
      <w:r w:rsidR="00825857">
        <w:rPr>
          <w:rFonts w:ascii="Times New Roman" w:hAnsi="Times New Roman"/>
          <w:szCs w:val="24"/>
        </w:rPr>
        <w:t>ursuant to any other requirement of this general permit to perform testing.</w:t>
      </w:r>
    </w:p>
    <w:p w14:paraId="4D7E3A61" w14:textId="77777777" w:rsidR="005552BB" w:rsidRPr="00F11FC5" w:rsidRDefault="005552BB" w:rsidP="0042443E">
      <w:pPr>
        <w:tabs>
          <w:tab w:val="num" w:pos="1425"/>
        </w:tabs>
        <w:ind w:left="1425" w:hanging="342"/>
        <w:rPr>
          <w:rFonts w:ascii="Times New Roman" w:hAnsi="Times New Roman"/>
          <w:szCs w:val="24"/>
        </w:rPr>
      </w:pPr>
    </w:p>
    <w:p w14:paraId="7E92881B" w14:textId="6B055ABE" w:rsidR="005552BB" w:rsidRPr="00F11FC5" w:rsidRDefault="005552BB" w:rsidP="0042443E">
      <w:pPr>
        <w:ind w:left="1425" w:hanging="342"/>
        <w:rPr>
          <w:rFonts w:ascii="Times New Roman" w:hAnsi="Times New Roman"/>
          <w:szCs w:val="24"/>
        </w:rPr>
      </w:pPr>
      <w:r w:rsidRPr="00F11FC5">
        <w:rPr>
          <w:rFonts w:ascii="Times New Roman" w:hAnsi="Times New Roman"/>
          <w:szCs w:val="24"/>
        </w:rPr>
        <w:t>(b)</w:t>
      </w:r>
      <w:r w:rsidR="00412EEB" w:rsidRPr="00F11FC5">
        <w:rPr>
          <w:rFonts w:ascii="Times New Roman" w:hAnsi="Times New Roman"/>
          <w:szCs w:val="24"/>
        </w:rPr>
        <w:tab/>
      </w:r>
      <w:r w:rsidR="003F7845">
        <w:rPr>
          <w:rFonts w:ascii="Times New Roman" w:hAnsi="Times New Roman"/>
          <w:szCs w:val="24"/>
        </w:rPr>
        <w:t>I</w:t>
      </w:r>
      <w:r w:rsidRPr="00F11FC5">
        <w:rPr>
          <w:rFonts w:ascii="Times New Roman" w:hAnsi="Times New Roman"/>
          <w:szCs w:val="24"/>
        </w:rPr>
        <w:t>nstall or make provisions to install test ports that meet the criteria of 40 C</w:t>
      </w:r>
      <w:r w:rsidR="00DF3D1B">
        <w:rPr>
          <w:rFonts w:ascii="Times New Roman" w:hAnsi="Times New Roman"/>
          <w:szCs w:val="24"/>
        </w:rPr>
        <w:t>.</w:t>
      </w:r>
      <w:r w:rsidRPr="00F11FC5">
        <w:rPr>
          <w:rFonts w:ascii="Times New Roman" w:hAnsi="Times New Roman"/>
          <w:szCs w:val="24"/>
        </w:rPr>
        <w:t>F</w:t>
      </w:r>
      <w:r w:rsidR="00DF3D1B">
        <w:rPr>
          <w:rFonts w:ascii="Times New Roman" w:hAnsi="Times New Roman"/>
          <w:szCs w:val="24"/>
        </w:rPr>
        <w:t>.</w:t>
      </w:r>
      <w:r w:rsidRPr="00F11FC5">
        <w:rPr>
          <w:rFonts w:ascii="Times New Roman" w:hAnsi="Times New Roman"/>
          <w:szCs w:val="24"/>
        </w:rPr>
        <w:t>R</w:t>
      </w:r>
      <w:r w:rsidR="00DF3D1B">
        <w:rPr>
          <w:rFonts w:ascii="Times New Roman" w:hAnsi="Times New Roman"/>
          <w:szCs w:val="24"/>
        </w:rPr>
        <w:t>.</w:t>
      </w:r>
      <w:r w:rsidRPr="00F11FC5">
        <w:rPr>
          <w:rFonts w:ascii="Times New Roman" w:hAnsi="Times New Roman"/>
          <w:szCs w:val="24"/>
        </w:rPr>
        <w:t xml:space="preserve"> Part 60, Appendix A, and test platforms, if necessary, and other accommodations necessary to allow emission testing; and</w:t>
      </w:r>
    </w:p>
    <w:p w14:paraId="567C7116" w14:textId="77777777" w:rsidR="005552BB" w:rsidRPr="00F11FC5" w:rsidRDefault="005552BB" w:rsidP="0042443E">
      <w:pPr>
        <w:tabs>
          <w:tab w:val="num" w:pos="1425"/>
        </w:tabs>
        <w:ind w:left="1083" w:hanging="399"/>
        <w:rPr>
          <w:rFonts w:ascii="Times New Roman" w:hAnsi="Times New Roman"/>
          <w:szCs w:val="24"/>
        </w:rPr>
      </w:pPr>
    </w:p>
    <w:p w14:paraId="7F0B4DCD" w14:textId="5F89FE6F" w:rsidR="00A054FB" w:rsidRPr="00F11FC5" w:rsidRDefault="005552BB" w:rsidP="0042443E">
      <w:pPr>
        <w:ind w:left="1425" w:hanging="342"/>
        <w:rPr>
          <w:rFonts w:ascii="Times New Roman" w:hAnsi="Times New Roman"/>
          <w:szCs w:val="24"/>
        </w:rPr>
      </w:pPr>
      <w:r w:rsidRPr="00F11FC5">
        <w:rPr>
          <w:rFonts w:ascii="Times New Roman" w:hAnsi="Times New Roman"/>
          <w:szCs w:val="24"/>
        </w:rPr>
        <w:t>(c)</w:t>
      </w:r>
      <w:r w:rsidR="00412EEB" w:rsidRPr="00F11FC5">
        <w:rPr>
          <w:rFonts w:ascii="Times New Roman" w:hAnsi="Times New Roman"/>
          <w:szCs w:val="24"/>
        </w:rPr>
        <w:tab/>
      </w:r>
      <w:r w:rsidR="003F7845">
        <w:rPr>
          <w:rFonts w:ascii="Times New Roman" w:hAnsi="Times New Roman"/>
          <w:szCs w:val="24"/>
        </w:rPr>
        <w:t>S</w:t>
      </w:r>
      <w:r w:rsidRPr="00F11FC5">
        <w:rPr>
          <w:rFonts w:ascii="Times New Roman" w:hAnsi="Times New Roman"/>
          <w:szCs w:val="24"/>
        </w:rPr>
        <w:t>ubmit a written report of test results to the Department within 30 days from</w:t>
      </w:r>
      <w:r w:rsidR="004C359F">
        <w:rPr>
          <w:rFonts w:ascii="Times New Roman" w:hAnsi="Times New Roman"/>
          <w:szCs w:val="24"/>
        </w:rPr>
        <w:t xml:space="preserve"> the</w:t>
      </w:r>
      <w:r w:rsidRPr="00F11FC5">
        <w:rPr>
          <w:rFonts w:ascii="Times New Roman" w:hAnsi="Times New Roman"/>
          <w:szCs w:val="24"/>
        </w:rPr>
        <w:t xml:space="preserve"> date of test completion.</w:t>
      </w:r>
    </w:p>
    <w:p w14:paraId="6FB4B87E" w14:textId="77777777" w:rsidR="00A054FB" w:rsidRPr="00F11FC5" w:rsidRDefault="00A054FB" w:rsidP="0042443E">
      <w:pPr>
        <w:ind w:left="1425" w:hanging="342"/>
        <w:rPr>
          <w:rFonts w:ascii="Times New Roman" w:hAnsi="Times New Roman"/>
          <w:szCs w:val="24"/>
        </w:rPr>
      </w:pPr>
    </w:p>
    <w:p w14:paraId="03169FE8" w14:textId="4BF2D8F1" w:rsidR="005552BB" w:rsidRPr="00F11FC5" w:rsidRDefault="0015670D" w:rsidP="0042443E">
      <w:pPr>
        <w:ind w:left="1083" w:hanging="363"/>
        <w:rPr>
          <w:rFonts w:ascii="Times New Roman" w:hAnsi="Times New Roman"/>
          <w:szCs w:val="24"/>
        </w:rPr>
      </w:pPr>
      <w:r w:rsidRPr="00F11FC5">
        <w:rPr>
          <w:rFonts w:ascii="Times New Roman" w:hAnsi="Times New Roman"/>
          <w:szCs w:val="24"/>
        </w:rPr>
        <w:t>(3</w:t>
      </w:r>
      <w:r w:rsidR="00A054FB" w:rsidRPr="00F11FC5">
        <w:rPr>
          <w:rFonts w:ascii="Times New Roman" w:hAnsi="Times New Roman"/>
          <w:szCs w:val="24"/>
        </w:rPr>
        <w:t>)</w:t>
      </w:r>
      <w:r w:rsidR="00412EEB" w:rsidRPr="00F11FC5">
        <w:rPr>
          <w:rFonts w:ascii="Times New Roman" w:hAnsi="Times New Roman"/>
          <w:szCs w:val="24"/>
        </w:rPr>
        <w:tab/>
      </w:r>
      <w:r w:rsidR="005552BB" w:rsidRPr="00F11FC5">
        <w:rPr>
          <w:rFonts w:ascii="Times New Roman" w:hAnsi="Times New Roman"/>
          <w:szCs w:val="24"/>
        </w:rPr>
        <w:t xml:space="preserve">If the results of a test performed under circumstances representative of the </w:t>
      </w:r>
      <w:r w:rsidR="001302FA">
        <w:rPr>
          <w:rFonts w:ascii="Times New Roman" w:hAnsi="Times New Roman"/>
          <w:szCs w:val="24"/>
        </w:rPr>
        <w:t>source</w:t>
      </w:r>
      <w:r w:rsidR="001302FA" w:rsidRPr="00F11FC5">
        <w:rPr>
          <w:rFonts w:ascii="Times New Roman" w:hAnsi="Times New Roman"/>
          <w:szCs w:val="24"/>
        </w:rPr>
        <w:t xml:space="preserve">’s </w:t>
      </w:r>
      <w:r w:rsidR="005552BB" w:rsidRPr="00F11FC5">
        <w:rPr>
          <w:rFonts w:ascii="Times New Roman" w:hAnsi="Times New Roman"/>
          <w:szCs w:val="24"/>
        </w:rPr>
        <w:t>normal process and operating conditions indicate emissions in excess of the applicable standards, then:</w:t>
      </w:r>
    </w:p>
    <w:p w14:paraId="16012A93" w14:textId="77777777" w:rsidR="005552BB" w:rsidRPr="00F11FC5" w:rsidRDefault="005552BB" w:rsidP="0042443E">
      <w:pPr>
        <w:tabs>
          <w:tab w:val="num" w:pos="1425"/>
        </w:tabs>
        <w:ind w:left="1083" w:hanging="399"/>
        <w:rPr>
          <w:rFonts w:ascii="Times New Roman" w:hAnsi="Times New Roman"/>
          <w:szCs w:val="24"/>
        </w:rPr>
      </w:pPr>
    </w:p>
    <w:p w14:paraId="45CB1216" w14:textId="70682937" w:rsidR="005552BB" w:rsidRPr="00F11FC5" w:rsidRDefault="005552BB" w:rsidP="0042443E">
      <w:pPr>
        <w:ind w:left="1425" w:hanging="342"/>
        <w:rPr>
          <w:rFonts w:ascii="Times New Roman" w:hAnsi="Times New Roman"/>
          <w:szCs w:val="24"/>
        </w:rPr>
      </w:pPr>
      <w:r w:rsidRPr="00F11FC5">
        <w:rPr>
          <w:rFonts w:ascii="Times New Roman" w:hAnsi="Times New Roman"/>
          <w:szCs w:val="24"/>
        </w:rPr>
        <w:t>(a)</w:t>
      </w:r>
      <w:r w:rsidR="00412EEB" w:rsidRPr="00F11FC5">
        <w:rPr>
          <w:rFonts w:ascii="Times New Roman" w:hAnsi="Times New Roman"/>
          <w:szCs w:val="24"/>
        </w:rPr>
        <w:tab/>
      </w:r>
      <w:r w:rsidR="003F7845">
        <w:rPr>
          <w:rFonts w:ascii="Times New Roman" w:hAnsi="Times New Roman"/>
          <w:szCs w:val="24"/>
        </w:rPr>
        <w:t>W</w:t>
      </w:r>
      <w:r w:rsidRPr="00F11FC5">
        <w:rPr>
          <w:rFonts w:ascii="Times New Roman" w:hAnsi="Times New Roman"/>
          <w:szCs w:val="24"/>
        </w:rPr>
        <w:t xml:space="preserve">ithin 30 days following receipt of such test results, the </w:t>
      </w:r>
      <w:r w:rsidR="00062426" w:rsidRPr="00F11FC5">
        <w:rPr>
          <w:rFonts w:ascii="Times New Roman" w:hAnsi="Times New Roman"/>
          <w:szCs w:val="24"/>
        </w:rPr>
        <w:t>owner</w:t>
      </w:r>
      <w:r w:rsidR="00DF3D1B">
        <w:rPr>
          <w:rFonts w:ascii="Times New Roman" w:hAnsi="Times New Roman"/>
          <w:szCs w:val="24"/>
        </w:rPr>
        <w:t xml:space="preserve"> or </w:t>
      </w:r>
      <w:r w:rsidRPr="00F11FC5">
        <w:rPr>
          <w:rFonts w:ascii="Times New Roman" w:hAnsi="Times New Roman"/>
          <w:szCs w:val="24"/>
        </w:rPr>
        <w:t xml:space="preserve">operator </w:t>
      </w:r>
      <w:r w:rsidR="004728B7">
        <w:rPr>
          <w:rFonts w:ascii="Times New Roman" w:hAnsi="Times New Roman"/>
          <w:szCs w:val="24"/>
        </w:rPr>
        <w:t>must</w:t>
      </w:r>
      <w:r w:rsidRPr="00F11FC5">
        <w:rPr>
          <w:rFonts w:ascii="Times New Roman" w:hAnsi="Times New Roman"/>
          <w:szCs w:val="24"/>
        </w:rPr>
        <w:t xml:space="preserve"> correct malfunctions in the system and </w:t>
      </w:r>
      <w:r w:rsidR="004728B7">
        <w:rPr>
          <w:rFonts w:ascii="Times New Roman" w:hAnsi="Times New Roman"/>
          <w:szCs w:val="24"/>
        </w:rPr>
        <w:t>must</w:t>
      </w:r>
      <w:r w:rsidRPr="00F11FC5">
        <w:rPr>
          <w:rFonts w:ascii="Times New Roman" w:hAnsi="Times New Roman"/>
          <w:szCs w:val="24"/>
        </w:rPr>
        <w:t xml:space="preserve"> re-test the non-complying emission </w:t>
      </w:r>
      <w:r w:rsidRPr="00F11FC5">
        <w:rPr>
          <w:rFonts w:ascii="Times New Roman" w:hAnsi="Times New Roman"/>
          <w:szCs w:val="24"/>
        </w:rPr>
        <w:lastRenderedPageBreak/>
        <w:t xml:space="preserve">source under circumstances representative of the </w:t>
      </w:r>
      <w:r w:rsidR="001302FA">
        <w:rPr>
          <w:rFonts w:ascii="Times New Roman" w:hAnsi="Times New Roman"/>
          <w:szCs w:val="24"/>
        </w:rPr>
        <w:t>source</w:t>
      </w:r>
      <w:r w:rsidR="001302FA" w:rsidRPr="00F11FC5">
        <w:rPr>
          <w:rFonts w:ascii="Times New Roman" w:hAnsi="Times New Roman"/>
          <w:szCs w:val="24"/>
        </w:rPr>
        <w:t xml:space="preserve">’s </w:t>
      </w:r>
      <w:r w:rsidRPr="00F11FC5">
        <w:rPr>
          <w:rFonts w:ascii="Times New Roman" w:hAnsi="Times New Roman"/>
          <w:szCs w:val="24"/>
        </w:rPr>
        <w:t>normal process and operating conditions and in accordance with the Department’s air emission compliance test protocol and 40 C</w:t>
      </w:r>
      <w:r w:rsidR="00DF3D1B">
        <w:rPr>
          <w:rFonts w:ascii="Times New Roman" w:hAnsi="Times New Roman"/>
          <w:szCs w:val="24"/>
        </w:rPr>
        <w:t>.</w:t>
      </w:r>
      <w:r w:rsidRPr="00F11FC5">
        <w:rPr>
          <w:rFonts w:ascii="Times New Roman" w:hAnsi="Times New Roman"/>
          <w:szCs w:val="24"/>
        </w:rPr>
        <w:t>F</w:t>
      </w:r>
      <w:r w:rsidR="00DF3D1B">
        <w:rPr>
          <w:rFonts w:ascii="Times New Roman" w:hAnsi="Times New Roman"/>
          <w:szCs w:val="24"/>
        </w:rPr>
        <w:t>.</w:t>
      </w:r>
      <w:r w:rsidRPr="00F11FC5">
        <w:rPr>
          <w:rFonts w:ascii="Times New Roman" w:hAnsi="Times New Roman"/>
          <w:szCs w:val="24"/>
        </w:rPr>
        <w:t>R</w:t>
      </w:r>
      <w:r w:rsidR="00DF3D1B">
        <w:rPr>
          <w:rFonts w:ascii="Times New Roman" w:hAnsi="Times New Roman"/>
          <w:szCs w:val="24"/>
        </w:rPr>
        <w:t>.</w:t>
      </w:r>
      <w:r w:rsidRPr="00F11FC5">
        <w:rPr>
          <w:rFonts w:ascii="Times New Roman" w:hAnsi="Times New Roman"/>
          <w:szCs w:val="24"/>
        </w:rPr>
        <w:t xml:space="preserve"> Part 60 or other method approved or required by the Department;</w:t>
      </w:r>
    </w:p>
    <w:p w14:paraId="1A81A7D1" w14:textId="77777777" w:rsidR="005552BB" w:rsidRPr="00F11FC5" w:rsidRDefault="005552BB" w:rsidP="0042443E">
      <w:pPr>
        <w:ind w:left="1425" w:hanging="342"/>
        <w:rPr>
          <w:rFonts w:ascii="Times New Roman" w:hAnsi="Times New Roman"/>
          <w:szCs w:val="24"/>
        </w:rPr>
      </w:pPr>
    </w:p>
    <w:p w14:paraId="7B0FBDE3" w14:textId="4EEC9D44" w:rsidR="00666B1C" w:rsidRPr="00F11FC5" w:rsidRDefault="005552BB" w:rsidP="0042443E">
      <w:pPr>
        <w:ind w:left="1425" w:hanging="342"/>
        <w:rPr>
          <w:rFonts w:ascii="Times New Roman" w:hAnsi="Times New Roman"/>
          <w:szCs w:val="24"/>
        </w:rPr>
      </w:pPr>
      <w:r w:rsidRPr="00F11FC5">
        <w:rPr>
          <w:rFonts w:ascii="Times New Roman" w:hAnsi="Times New Roman"/>
          <w:szCs w:val="24"/>
        </w:rPr>
        <w:t>(b)</w:t>
      </w:r>
      <w:r w:rsidR="00412EEB" w:rsidRPr="00F11FC5">
        <w:rPr>
          <w:rFonts w:ascii="Times New Roman" w:hAnsi="Times New Roman"/>
          <w:szCs w:val="24"/>
        </w:rPr>
        <w:tab/>
      </w:r>
      <w:r w:rsidR="003F7845">
        <w:rPr>
          <w:rFonts w:ascii="Times New Roman" w:hAnsi="Times New Roman"/>
          <w:szCs w:val="24"/>
        </w:rPr>
        <w:t>T</w:t>
      </w:r>
      <w:r w:rsidRPr="00F11FC5">
        <w:rPr>
          <w:rFonts w:ascii="Times New Roman" w:hAnsi="Times New Roman"/>
          <w:szCs w:val="24"/>
        </w:rPr>
        <w:t xml:space="preserve">he days of violation include the </w:t>
      </w:r>
      <w:r w:rsidR="00DF3D1B">
        <w:rPr>
          <w:rFonts w:ascii="Times New Roman" w:hAnsi="Times New Roman"/>
          <w:szCs w:val="24"/>
        </w:rPr>
        <w:t>day</w:t>
      </w:r>
      <w:r w:rsidR="00DF3D1B" w:rsidRPr="00F11FC5">
        <w:rPr>
          <w:rFonts w:ascii="Times New Roman" w:hAnsi="Times New Roman"/>
          <w:szCs w:val="24"/>
        </w:rPr>
        <w:t xml:space="preserve"> </w:t>
      </w:r>
      <w:r w:rsidRPr="00F11FC5">
        <w:rPr>
          <w:rFonts w:ascii="Times New Roman" w:hAnsi="Times New Roman"/>
          <w:szCs w:val="24"/>
        </w:rPr>
        <w:t xml:space="preserve">of </w:t>
      </w:r>
      <w:r w:rsidR="00DF3D1B">
        <w:rPr>
          <w:rFonts w:ascii="Times New Roman" w:hAnsi="Times New Roman"/>
          <w:szCs w:val="24"/>
        </w:rPr>
        <w:t xml:space="preserve">the </w:t>
      </w:r>
      <w:r w:rsidRPr="00F11FC5">
        <w:rPr>
          <w:rFonts w:ascii="Times New Roman" w:hAnsi="Times New Roman"/>
          <w:szCs w:val="24"/>
        </w:rPr>
        <w:t>test</w:t>
      </w:r>
      <w:r w:rsidR="00DF3D1B">
        <w:rPr>
          <w:rFonts w:ascii="Times New Roman" w:hAnsi="Times New Roman"/>
          <w:szCs w:val="24"/>
        </w:rPr>
        <w:t xml:space="preserve"> showing noncompliance</w:t>
      </w:r>
      <w:r w:rsidRPr="00F11FC5">
        <w:rPr>
          <w:rFonts w:ascii="Times New Roman" w:hAnsi="Times New Roman"/>
          <w:szCs w:val="24"/>
        </w:rPr>
        <w:t xml:space="preserve"> and each and every day of operation thereafter until compliance is demonstrated under normal and representative process and operating conditions, except to the extent that the </w:t>
      </w:r>
      <w:r w:rsidR="00A63691">
        <w:rPr>
          <w:rFonts w:ascii="Times New Roman" w:hAnsi="Times New Roman"/>
          <w:szCs w:val="24"/>
        </w:rPr>
        <w:t>owner or operator</w:t>
      </w:r>
      <w:r w:rsidR="001302FA" w:rsidRPr="00F11FC5">
        <w:rPr>
          <w:rFonts w:ascii="Times New Roman" w:hAnsi="Times New Roman"/>
          <w:szCs w:val="24"/>
        </w:rPr>
        <w:t xml:space="preserve"> </w:t>
      </w:r>
      <w:r w:rsidRPr="00F11FC5">
        <w:rPr>
          <w:rFonts w:ascii="Times New Roman" w:hAnsi="Times New Roman"/>
          <w:szCs w:val="24"/>
        </w:rPr>
        <w:t>can prove to the satisfaction of the Department that there were intervening days during which no violation occurred or that the violation was not continuing in nature; and</w:t>
      </w:r>
    </w:p>
    <w:p w14:paraId="25F499D0" w14:textId="77777777" w:rsidR="00666B1C" w:rsidRPr="00F11FC5" w:rsidRDefault="00666B1C" w:rsidP="0042443E">
      <w:pPr>
        <w:ind w:left="1425" w:hanging="342"/>
        <w:rPr>
          <w:rFonts w:ascii="Times New Roman" w:hAnsi="Times New Roman"/>
          <w:szCs w:val="24"/>
        </w:rPr>
      </w:pPr>
    </w:p>
    <w:p w14:paraId="33BD8D37" w14:textId="2B1F30FA" w:rsidR="00666B1C" w:rsidRPr="00F11FC5" w:rsidRDefault="00666B1C" w:rsidP="0042443E">
      <w:pPr>
        <w:ind w:left="1425" w:hanging="342"/>
        <w:rPr>
          <w:rFonts w:ascii="Times New Roman" w:hAnsi="Times New Roman"/>
          <w:szCs w:val="24"/>
        </w:rPr>
      </w:pPr>
      <w:r w:rsidRPr="00F11FC5">
        <w:rPr>
          <w:rFonts w:ascii="Times New Roman" w:hAnsi="Times New Roman"/>
          <w:szCs w:val="24"/>
        </w:rPr>
        <w:t>(c)</w:t>
      </w:r>
      <w:r w:rsidR="00412EEB" w:rsidRPr="00F11FC5">
        <w:rPr>
          <w:rFonts w:ascii="Times New Roman" w:hAnsi="Times New Roman"/>
          <w:szCs w:val="24"/>
        </w:rPr>
        <w:tab/>
      </w:r>
      <w:r w:rsidR="003F7845">
        <w:rPr>
          <w:rFonts w:ascii="Times New Roman" w:hAnsi="Times New Roman"/>
          <w:szCs w:val="24"/>
        </w:rPr>
        <w:t>T</w:t>
      </w:r>
      <w:r w:rsidR="005552BB" w:rsidRPr="00F11FC5">
        <w:rPr>
          <w:rFonts w:ascii="Times New Roman" w:hAnsi="Times New Roman"/>
          <w:szCs w:val="24"/>
        </w:rPr>
        <w:t xml:space="preserve">he </w:t>
      </w:r>
      <w:r w:rsidRPr="00F11FC5">
        <w:rPr>
          <w:rFonts w:ascii="Times New Roman" w:hAnsi="Times New Roman"/>
          <w:szCs w:val="24"/>
        </w:rPr>
        <w:t>owner</w:t>
      </w:r>
      <w:r w:rsidR="00DF3D1B">
        <w:rPr>
          <w:rFonts w:ascii="Times New Roman" w:hAnsi="Times New Roman"/>
          <w:szCs w:val="24"/>
        </w:rPr>
        <w:t xml:space="preserve"> or </w:t>
      </w:r>
      <w:r w:rsidR="005552BB" w:rsidRPr="00F11FC5">
        <w:rPr>
          <w:rFonts w:ascii="Times New Roman" w:hAnsi="Times New Roman"/>
          <w:szCs w:val="24"/>
        </w:rPr>
        <w:t>operator may, upon the approval of the Department following the successful demonstration of compliance at alternative load conditions, operate under such alternative load conditions on an interim basis prior to a demonstration of compliance under normal and representative process and operating conditions.</w:t>
      </w:r>
    </w:p>
    <w:p w14:paraId="09DF49DB" w14:textId="77777777" w:rsidR="00666B1C" w:rsidRPr="00F11FC5" w:rsidRDefault="00666B1C" w:rsidP="0042443E">
      <w:pPr>
        <w:ind w:left="1980"/>
        <w:rPr>
          <w:rFonts w:ascii="Times New Roman" w:hAnsi="Times New Roman"/>
          <w:szCs w:val="24"/>
        </w:rPr>
      </w:pPr>
    </w:p>
    <w:p w14:paraId="562105FD" w14:textId="7F34EE1E" w:rsidR="005552BB" w:rsidRPr="00F11FC5" w:rsidRDefault="0015670D" w:rsidP="0042443E">
      <w:pPr>
        <w:ind w:left="1083" w:hanging="363"/>
        <w:rPr>
          <w:rFonts w:ascii="Times New Roman" w:hAnsi="Times New Roman"/>
          <w:szCs w:val="24"/>
        </w:rPr>
      </w:pPr>
      <w:r w:rsidRPr="00F11FC5">
        <w:rPr>
          <w:rFonts w:ascii="Times New Roman" w:hAnsi="Times New Roman"/>
          <w:szCs w:val="24"/>
        </w:rPr>
        <w:t>(4</w:t>
      </w:r>
      <w:r w:rsidR="00666B1C" w:rsidRPr="00F11FC5">
        <w:rPr>
          <w:rFonts w:ascii="Times New Roman" w:hAnsi="Times New Roman"/>
          <w:szCs w:val="24"/>
        </w:rPr>
        <w:t>)</w:t>
      </w:r>
      <w:r w:rsidR="00412EEB" w:rsidRPr="00F11FC5">
        <w:rPr>
          <w:rFonts w:ascii="Times New Roman" w:hAnsi="Times New Roman"/>
          <w:szCs w:val="24"/>
        </w:rPr>
        <w:tab/>
      </w:r>
      <w:r w:rsidR="005552BB" w:rsidRPr="00F11FC5">
        <w:rPr>
          <w:rFonts w:ascii="Times New Roman" w:hAnsi="Times New Roman"/>
          <w:szCs w:val="24"/>
        </w:rPr>
        <w:t>The owner</w:t>
      </w:r>
      <w:r w:rsidR="00DF3D1B">
        <w:rPr>
          <w:rFonts w:ascii="Times New Roman" w:hAnsi="Times New Roman"/>
          <w:szCs w:val="24"/>
        </w:rPr>
        <w:t xml:space="preserve"> or </w:t>
      </w:r>
      <w:r w:rsidR="005552BB" w:rsidRPr="00F11FC5">
        <w:rPr>
          <w:rFonts w:ascii="Times New Roman" w:hAnsi="Times New Roman"/>
          <w:szCs w:val="24"/>
        </w:rPr>
        <w:t xml:space="preserve">operator </w:t>
      </w:r>
      <w:r w:rsidR="004728B7">
        <w:rPr>
          <w:rFonts w:ascii="Times New Roman" w:hAnsi="Times New Roman"/>
          <w:szCs w:val="24"/>
        </w:rPr>
        <w:t>must</w:t>
      </w:r>
      <w:r w:rsidR="005552BB" w:rsidRPr="00F11FC5">
        <w:rPr>
          <w:rFonts w:ascii="Times New Roman" w:hAnsi="Times New Roman"/>
          <w:szCs w:val="24"/>
        </w:rPr>
        <w:t xml:space="preserve"> notify the Department within two days or</w:t>
      </w:r>
      <w:r w:rsidR="00DF3D1B">
        <w:rPr>
          <w:rFonts w:ascii="Times New Roman" w:hAnsi="Times New Roman"/>
          <w:szCs w:val="24"/>
        </w:rPr>
        <w:t xml:space="preserve"> by</w:t>
      </w:r>
      <w:r w:rsidR="005552BB" w:rsidRPr="00F11FC5">
        <w:rPr>
          <w:rFonts w:ascii="Times New Roman" w:hAnsi="Times New Roman"/>
          <w:szCs w:val="24"/>
        </w:rPr>
        <w:t xml:space="preserve"> the next state working day, whichever is later, of occasions where </w:t>
      </w:r>
      <w:r w:rsidR="002100FE" w:rsidRPr="00F11FC5">
        <w:rPr>
          <w:rFonts w:ascii="Times New Roman" w:hAnsi="Times New Roman"/>
          <w:szCs w:val="24"/>
        </w:rPr>
        <w:t xml:space="preserve">malfunctions, failures, downtime, and any other similar change in operation of air pollution control systems or the emissions unit that </w:t>
      </w:r>
      <w:r w:rsidR="005552BB" w:rsidRPr="00F11FC5">
        <w:rPr>
          <w:rFonts w:ascii="Times New Roman" w:hAnsi="Times New Roman"/>
          <w:szCs w:val="24"/>
        </w:rPr>
        <w:t>result in an increase of emissions. The owner</w:t>
      </w:r>
      <w:r w:rsidR="00DF3D1B">
        <w:rPr>
          <w:rFonts w:ascii="Times New Roman" w:hAnsi="Times New Roman"/>
          <w:szCs w:val="24"/>
        </w:rPr>
        <w:t xml:space="preserve"> or </w:t>
      </w:r>
      <w:r w:rsidR="005552BB" w:rsidRPr="00F11FC5">
        <w:rPr>
          <w:rFonts w:ascii="Times New Roman" w:hAnsi="Times New Roman"/>
          <w:szCs w:val="24"/>
        </w:rPr>
        <w:t xml:space="preserve">operator </w:t>
      </w:r>
      <w:r w:rsidR="004728B7">
        <w:rPr>
          <w:rFonts w:ascii="Times New Roman" w:hAnsi="Times New Roman"/>
          <w:szCs w:val="24"/>
        </w:rPr>
        <w:t>must</w:t>
      </w:r>
      <w:r w:rsidR="005552BB" w:rsidRPr="00F11FC5">
        <w:rPr>
          <w:rFonts w:ascii="Times New Roman" w:hAnsi="Times New Roman"/>
          <w:szCs w:val="24"/>
        </w:rPr>
        <w:t xml:space="preserve"> report all excess emissions in the units of the applicable emission limitation.</w:t>
      </w:r>
    </w:p>
    <w:p w14:paraId="05E6A553" w14:textId="77777777" w:rsidR="00683BA7" w:rsidRPr="00683BA7" w:rsidRDefault="00683BA7" w:rsidP="0042443E">
      <w:pPr>
        <w:pStyle w:val="RulesSub-section"/>
        <w:ind w:left="0" w:firstLine="0"/>
        <w:jc w:val="left"/>
        <w:rPr>
          <w:b/>
          <w:sz w:val="24"/>
          <w:szCs w:val="24"/>
        </w:rPr>
      </w:pPr>
    </w:p>
    <w:p w14:paraId="7C611932" w14:textId="77777777" w:rsidR="00683BA7" w:rsidRPr="008D4FC9" w:rsidRDefault="00683BA7" w:rsidP="0042443E">
      <w:pPr>
        <w:pStyle w:val="RuleHeading2"/>
        <w:numPr>
          <w:ilvl w:val="0"/>
          <w:numId w:val="5"/>
        </w:numPr>
        <w:rPr>
          <w:rFonts w:ascii="Times New Roman" w:hAnsi="Times New Roman" w:cs="Times New Roman"/>
          <w:b w:val="0"/>
          <w:bCs/>
          <w:color w:val="auto"/>
          <w:sz w:val="24"/>
          <w:szCs w:val="24"/>
        </w:rPr>
      </w:pPr>
      <w:r w:rsidRPr="008D4FC9">
        <w:rPr>
          <w:rFonts w:ascii="Times New Roman" w:hAnsi="Times New Roman" w:cs="Times New Roman"/>
          <w:color w:val="auto"/>
          <w:sz w:val="24"/>
          <w:szCs w:val="24"/>
        </w:rPr>
        <w:t xml:space="preserve">Severability. </w:t>
      </w:r>
      <w:r w:rsidRPr="008D4FC9">
        <w:rPr>
          <w:rFonts w:ascii="Times New Roman" w:hAnsi="Times New Roman" w:cs="Times New Roman"/>
          <w:b w:val="0"/>
          <w:bCs/>
          <w:color w:val="auto"/>
          <w:sz w:val="24"/>
          <w:szCs w:val="24"/>
        </w:rPr>
        <w:t>Each part of this Chapter is severable, and in the event that any part of this Chapter is held to be invalid, the remainder of the Chapter will continue in full force and effect.</w:t>
      </w:r>
    </w:p>
    <w:p w14:paraId="34108E46" w14:textId="77777777" w:rsidR="00683BA7" w:rsidRPr="008D4FC9" w:rsidRDefault="00683BA7" w:rsidP="0042443E">
      <w:pPr>
        <w:rPr>
          <w:rFonts w:ascii="Times New Roman" w:hAnsi="Times New Roman"/>
          <w:szCs w:val="24"/>
        </w:rPr>
      </w:pPr>
    </w:p>
    <w:p w14:paraId="7A2ED7B0" w14:textId="239A7ED7" w:rsidR="00683BA7" w:rsidRPr="00F03AAC" w:rsidRDefault="004C359F" w:rsidP="008D4FC9">
      <w:pPr>
        <w:pStyle w:val="RuleLevel1"/>
        <w:tabs>
          <w:tab w:val="clear" w:pos="360"/>
        </w:tabs>
        <w:rPr>
          <w:rFonts w:cs="Times New Roman"/>
          <w:b w:val="0"/>
          <w:bCs/>
        </w:rPr>
      </w:pPr>
      <w:bookmarkStart w:id="4" w:name="_Hlk201910013"/>
      <w:r>
        <w:rPr>
          <w:rFonts w:cs="Times New Roman"/>
        </w:rPr>
        <w:t>Voluntary Surrender</w:t>
      </w:r>
      <w:r w:rsidR="00683BA7" w:rsidRPr="00F03AAC">
        <w:rPr>
          <w:rFonts w:cs="Times New Roman"/>
        </w:rPr>
        <w:t>.</w:t>
      </w:r>
      <w:r w:rsidR="00683BA7" w:rsidRPr="00F03AAC">
        <w:rPr>
          <w:rFonts w:cs="Times New Roman"/>
          <w:b w:val="0"/>
        </w:rPr>
        <w:t xml:space="preserve"> </w:t>
      </w:r>
      <w:r>
        <w:rPr>
          <w:rFonts w:cs="Times New Roman"/>
          <w:b w:val="0"/>
        </w:rPr>
        <w:t>I</w:t>
      </w:r>
      <w:r w:rsidR="00683BA7" w:rsidRPr="00F03AAC">
        <w:rPr>
          <w:rFonts w:cs="Times New Roman"/>
          <w:b w:val="0"/>
        </w:rPr>
        <w:t xml:space="preserve">f the annual fee required by section </w:t>
      </w:r>
      <w:r w:rsidR="00350662">
        <w:rPr>
          <w:rFonts w:cs="Times New Roman"/>
          <w:b w:val="0"/>
        </w:rPr>
        <w:t>4(A</w:t>
      </w:r>
      <w:r w:rsidR="00683BA7" w:rsidRPr="00F03AAC">
        <w:rPr>
          <w:rFonts w:cs="Times New Roman"/>
          <w:b w:val="0"/>
        </w:rPr>
        <w:t>)</w:t>
      </w:r>
      <w:r w:rsidR="00350662">
        <w:rPr>
          <w:rFonts w:cs="Times New Roman"/>
          <w:b w:val="0"/>
        </w:rPr>
        <w:t>(2)</w:t>
      </w:r>
      <w:r w:rsidR="00683BA7" w:rsidRPr="00F03AAC">
        <w:rPr>
          <w:rFonts w:cs="Times New Roman"/>
          <w:b w:val="0"/>
        </w:rPr>
        <w:t xml:space="preserve"> of this Chapter is not paid in full by July 31</w:t>
      </w:r>
      <w:r w:rsidR="00683BA7" w:rsidRPr="00F03AAC">
        <w:rPr>
          <w:rFonts w:cs="Times New Roman"/>
          <w:b w:val="0"/>
          <w:vertAlign w:val="superscript"/>
        </w:rPr>
        <w:t>st</w:t>
      </w:r>
      <w:r w:rsidR="00683BA7" w:rsidRPr="00F03AAC">
        <w:rPr>
          <w:rFonts w:cs="Times New Roman"/>
          <w:b w:val="0"/>
        </w:rPr>
        <w:t xml:space="preserve"> of each year</w:t>
      </w:r>
      <w:r>
        <w:rPr>
          <w:rFonts w:cs="Times New Roman"/>
          <w:b w:val="0"/>
        </w:rPr>
        <w:t>, the Department will consider the owner or operator to have voluntarily surrendered the GPN pursuant to 38 M.R.S. § 344</w:t>
      </w:r>
      <w:r w:rsidR="00856218">
        <w:rPr>
          <w:rFonts w:cs="Times New Roman"/>
          <w:b w:val="0"/>
        </w:rPr>
        <w:t>(</w:t>
      </w:r>
      <w:r>
        <w:rPr>
          <w:rFonts w:cs="Times New Roman"/>
          <w:b w:val="0"/>
        </w:rPr>
        <w:t>10</w:t>
      </w:r>
      <w:r w:rsidR="00856218">
        <w:rPr>
          <w:rFonts w:cs="Times New Roman"/>
          <w:b w:val="0"/>
        </w:rPr>
        <w:t>)</w:t>
      </w:r>
      <w:r>
        <w:rPr>
          <w:rFonts w:cs="Times New Roman"/>
          <w:b w:val="0"/>
        </w:rPr>
        <w:t xml:space="preserve">, and </w:t>
      </w:r>
      <w:r w:rsidR="00683BA7" w:rsidRPr="00F03AAC">
        <w:rPr>
          <w:rFonts w:cs="Times New Roman"/>
          <w:b w:val="0"/>
        </w:rPr>
        <w:t xml:space="preserve">the owner or operator </w:t>
      </w:r>
      <w:r w:rsidR="00132B9A">
        <w:rPr>
          <w:rFonts w:cs="Times New Roman"/>
          <w:b w:val="0"/>
        </w:rPr>
        <w:t>register for a</w:t>
      </w:r>
      <w:r w:rsidR="00683BA7" w:rsidRPr="00F03AAC">
        <w:rPr>
          <w:rFonts w:cs="Times New Roman"/>
          <w:b w:val="0"/>
        </w:rPr>
        <w:t xml:space="preserve"> new GPN before resuming operation of the Class IV-A incinerator</w:t>
      </w:r>
      <w:bookmarkEnd w:id="4"/>
      <w:r w:rsidR="00683BA7" w:rsidRPr="00F03AAC">
        <w:rPr>
          <w:rFonts w:cs="Times New Roman"/>
          <w:b w:val="0"/>
        </w:rPr>
        <w:t>.</w:t>
      </w:r>
    </w:p>
    <w:p w14:paraId="721566FB" w14:textId="77777777" w:rsidR="00683BA7" w:rsidRPr="008D4FC9" w:rsidRDefault="00683BA7" w:rsidP="0042443E">
      <w:pPr>
        <w:pStyle w:val="ListParagraph"/>
        <w:rPr>
          <w:rFonts w:ascii="Times New Roman" w:hAnsi="Times New Roman"/>
          <w:b/>
          <w:bCs/>
          <w:szCs w:val="24"/>
        </w:rPr>
      </w:pPr>
    </w:p>
    <w:p w14:paraId="3A1CA8B0" w14:textId="548E3BD3" w:rsidR="00683BA7" w:rsidRPr="00F03AAC" w:rsidRDefault="00683BA7" w:rsidP="008D4FC9">
      <w:pPr>
        <w:pStyle w:val="RuleLevel1"/>
        <w:tabs>
          <w:tab w:val="clear" w:pos="360"/>
        </w:tabs>
        <w:rPr>
          <w:rFonts w:cs="Times New Roman"/>
          <w:b w:val="0"/>
          <w:bCs/>
        </w:rPr>
      </w:pPr>
      <w:r w:rsidRPr="00F03AAC">
        <w:rPr>
          <w:rFonts w:cs="Times New Roman"/>
          <w:b w:val="0"/>
        </w:rPr>
        <w:t xml:space="preserve"> </w:t>
      </w:r>
      <w:r w:rsidRPr="00F03AAC">
        <w:rPr>
          <w:rFonts w:cs="Times New Roman"/>
        </w:rPr>
        <w:t>Transfer.</w:t>
      </w:r>
      <w:r w:rsidRPr="00F03AAC">
        <w:rPr>
          <w:rFonts w:cs="Times New Roman"/>
          <w:b w:val="0"/>
        </w:rPr>
        <w:t xml:space="preserve"> The following outlines the procedure for transferring a GPN to a new owner or operator.</w:t>
      </w:r>
    </w:p>
    <w:p w14:paraId="78804B5D" w14:textId="77777777" w:rsidR="00683BA7" w:rsidRPr="008D4FC9" w:rsidRDefault="00683BA7" w:rsidP="0042443E">
      <w:pPr>
        <w:pStyle w:val="ListParagraph"/>
        <w:ind w:left="0"/>
        <w:rPr>
          <w:rFonts w:ascii="Times New Roman" w:hAnsi="Times New Roman"/>
          <w:b/>
          <w:bCs/>
          <w:szCs w:val="24"/>
        </w:rPr>
      </w:pPr>
    </w:p>
    <w:p w14:paraId="6CD83069" w14:textId="2E4256B7" w:rsidR="00683BA7" w:rsidRPr="008D4FC9" w:rsidRDefault="00683BA7" w:rsidP="0042443E">
      <w:pPr>
        <w:pStyle w:val="ListParagraph"/>
        <w:numPr>
          <w:ilvl w:val="0"/>
          <w:numId w:val="30"/>
        </w:numPr>
        <w:tabs>
          <w:tab w:val="left" w:pos="720"/>
        </w:tabs>
        <w:contextualSpacing w:val="0"/>
        <w:rPr>
          <w:rFonts w:ascii="Times New Roman" w:hAnsi="Times New Roman"/>
          <w:b/>
          <w:bCs/>
          <w:szCs w:val="24"/>
        </w:rPr>
      </w:pPr>
      <w:r w:rsidRPr="008D4FC9">
        <w:rPr>
          <w:rFonts w:ascii="Times New Roman" w:hAnsi="Times New Roman"/>
          <w:b/>
          <w:bCs/>
          <w:szCs w:val="24"/>
        </w:rPr>
        <w:t>Applicability.</w:t>
      </w:r>
      <w:r w:rsidRPr="008D4FC9">
        <w:rPr>
          <w:rFonts w:ascii="Times New Roman" w:hAnsi="Times New Roman"/>
          <w:szCs w:val="24"/>
        </w:rPr>
        <w:t xml:space="preserve"> A GPN may be transferred to a new owner</w:t>
      </w:r>
      <w:r w:rsidRPr="00F03AAC">
        <w:rPr>
          <w:rFonts w:ascii="Times New Roman" w:hAnsi="Times New Roman"/>
          <w:szCs w:val="24"/>
        </w:rPr>
        <w:t xml:space="preserve"> or operator</w:t>
      </w:r>
      <w:r w:rsidRPr="008D4FC9">
        <w:rPr>
          <w:rFonts w:ascii="Times New Roman" w:hAnsi="Times New Roman"/>
          <w:szCs w:val="24"/>
        </w:rPr>
        <w:t xml:space="preserve"> if the GPN has not expired.</w:t>
      </w:r>
    </w:p>
    <w:p w14:paraId="3CC60F46" w14:textId="77777777" w:rsidR="00683BA7" w:rsidRPr="008D4FC9" w:rsidRDefault="00683BA7" w:rsidP="0042443E">
      <w:pPr>
        <w:pStyle w:val="ListParagraph"/>
        <w:tabs>
          <w:tab w:val="left" w:pos="720"/>
        </w:tabs>
        <w:rPr>
          <w:rFonts w:ascii="Times New Roman" w:hAnsi="Times New Roman"/>
          <w:b/>
          <w:bCs/>
          <w:szCs w:val="24"/>
        </w:rPr>
      </w:pPr>
    </w:p>
    <w:p w14:paraId="1544D643" w14:textId="261D5FA3" w:rsidR="00683BA7" w:rsidRPr="008D4FC9" w:rsidRDefault="00683BA7" w:rsidP="0042443E">
      <w:pPr>
        <w:pStyle w:val="ListParagraph"/>
        <w:numPr>
          <w:ilvl w:val="0"/>
          <w:numId w:val="30"/>
        </w:numPr>
        <w:tabs>
          <w:tab w:val="left" w:pos="720"/>
        </w:tabs>
        <w:contextualSpacing w:val="0"/>
        <w:rPr>
          <w:rFonts w:ascii="Times New Roman" w:hAnsi="Times New Roman"/>
          <w:b/>
          <w:bCs/>
          <w:szCs w:val="24"/>
        </w:rPr>
      </w:pPr>
      <w:r w:rsidRPr="008D4FC9">
        <w:rPr>
          <w:rFonts w:ascii="Times New Roman" w:hAnsi="Times New Roman"/>
          <w:b/>
          <w:bCs/>
          <w:szCs w:val="24"/>
        </w:rPr>
        <w:t>Required information.</w:t>
      </w:r>
      <w:r w:rsidRPr="008D4FC9">
        <w:rPr>
          <w:rFonts w:ascii="Times New Roman" w:hAnsi="Times New Roman"/>
          <w:szCs w:val="24"/>
        </w:rPr>
        <w:t xml:space="preserve"> The transferee </w:t>
      </w:r>
      <w:r w:rsidR="00703496">
        <w:rPr>
          <w:rFonts w:ascii="Times New Roman" w:hAnsi="Times New Roman"/>
          <w:szCs w:val="24"/>
        </w:rPr>
        <w:t>must</w:t>
      </w:r>
      <w:r w:rsidRPr="008D4FC9">
        <w:rPr>
          <w:rFonts w:ascii="Times New Roman" w:hAnsi="Times New Roman"/>
          <w:szCs w:val="24"/>
        </w:rPr>
        <w:t xml:space="preserve"> submit:</w:t>
      </w:r>
    </w:p>
    <w:p w14:paraId="0CDC760D" w14:textId="77777777" w:rsidR="00683BA7" w:rsidRPr="008D4FC9" w:rsidRDefault="00683BA7" w:rsidP="0042443E">
      <w:pPr>
        <w:pStyle w:val="ListParagraph"/>
        <w:rPr>
          <w:rFonts w:ascii="Times New Roman" w:hAnsi="Times New Roman"/>
          <w:b/>
          <w:bCs/>
          <w:szCs w:val="24"/>
        </w:rPr>
      </w:pPr>
    </w:p>
    <w:p w14:paraId="00A97C8F" w14:textId="55FE7CAB" w:rsidR="00683BA7" w:rsidRPr="008D4FC9" w:rsidRDefault="00683BA7" w:rsidP="0042443E">
      <w:pPr>
        <w:pStyle w:val="ListParagraph"/>
        <w:numPr>
          <w:ilvl w:val="0"/>
          <w:numId w:val="31"/>
        </w:numPr>
        <w:tabs>
          <w:tab w:val="left" w:pos="1080"/>
        </w:tabs>
        <w:contextualSpacing w:val="0"/>
        <w:rPr>
          <w:rFonts w:ascii="Times New Roman" w:hAnsi="Times New Roman"/>
          <w:b/>
          <w:bCs/>
          <w:szCs w:val="24"/>
        </w:rPr>
      </w:pPr>
      <w:r w:rsidRPr="008D4FC9">
        <w:rPr>
          <w:rFonts w:ascii="Times New Roman" w:hAnsi="Times New Roman"/>
          <w:szCs w:val="24"/>
        </w:rPr>
        <w:t xml:space="preserve">The GPN </w:t>
      </w:r>
      <w:r w:rsidR="008C7910">
        <w:rPr>
          <w:rFonts w:ascii="Times New Roman" w:hAnsi="Times New Roman"/>
          <w:szCs w:val="24"/>
        </w:rPr>
        <w:t>registration</w:t>
      </w:r>
      <w:r w:rsidRPr="008D4FC9">
        <w:rPr>
          <w:rFonts w:ascii="Times New Roman" w:hAnsi="Times New Roman"/>
          <w:szCs w:val="24"/>
        </w:rPr>
        <w:t xml:space="preserve"> form as specified in section 3(B) of this Chapter identifying the GPN associated with the </w:t>
      </w:r>
      <w:r w:rsidRPr="008D4FC9">
        <w:rPr>
          <w:rFonts w:ascii="Times New Roman" w:hAnsi="Times New Roman"/>
        </w:rPr>
        <w:t>Class IV-A incinerator</w:t>
      </w:r>
      <w:r w:rsidRPr="00F03AAC">
        <w:rPr>
          <w:rFonts w:ascii="Times New Roman" w:hAnsi="Times New Roman"/>
          <w:szCs w:val="24"/>
        </w:rPr>
        <w:t xml:space="preserve"> </w:t>
      </w:r>
      <w:r w:rsidRPr="008D4FC9">
        <w:rPr>
          <w:rFonts w:ascii="Times New Roman" w:hAnsi="Times New Roman"/>
          <w:szCs w:val="24"/>
        </w:rPr>
        <w:t>and the new owner</w:t>
      </w:r>
      <w:r w:rsidRPr="00F03AAC">
        <w:rPr>
          <w:rFonts w:ascii="Times New Roman" w:hAnsi="Times New Roman"/>
          <w:szCs w:val="24"/>
        </w:rPr>
        <w:t xml:space="preserve"> or operator</w:t>
      </w:r>
      <w:r w:rsidRPr="008D4FC9">
        <w:rPr>
          <w:rFonts w:ascii="Times New Roman" w:hAnsi="Times New Roman"/>
          <w:szCs w:val="24"/>
        </w:rPr>
        <w:t>;</w:t>
      </w:r>
    </w:p>
    <w:p w14:paraId="7B212BA3" w14:textId="77777777" w:rsidR="00683BA7" w:rsidRPr="008D4FC9" w:rsidRDefault="00683BA7" w:rsidP="008D4FC9">
      <w:pPr>
        <w:pStyle w:val="ListParagraph"/>
        <w:rPr>
          <w:rFonts w:ascii="Times New Roman" w:hAnsi="Times New Roman"/>
          <w:szCs w:val="24"/>
        </w:rPr>
      </w:pPr>
    </w:p>
    <w:p w14:paraId="3285CF12" w14:textId="7CDF680A" w:rsidR="00683BA7" w:rsidRPr="008D4FC9" w:rsidRDefault="00683BA7" w:rsidP="0042443E">
      <w:pPr>
        <w:pStyle w:val="ListParagraph"/>
        <w:numPr>
          <w:ilvl w:val="0"/>
          <w:numId w:val="31"/>
        </w:numPr>
        <w:tabs>
          <w:tab w:val="left" w:pos="1080"/>
        </w:tabs>
        <w:contextualSpacing w:val="0"/>
        <w:rPr>
          <w:rFonts w:ascii="Times New Roman" w:hAnsi="Times New Roman"/>
          <w:b/>
          <w:bCs/>
          <w:szCs w:val="24"/>
        </w:rPr>
      </w:pPr>
      <w:r w:rsidRPr="00F03AAC">
        <w:rPr>
          <w:rFonts w:ascii="Times New Roman" w:hAnsi="Times New Roman"/>
          <w:szCs w:val="24"/>
        </w:rPr>
        <w:t xml:space="preserve">Proof of publication of the public notice of intent to file as specified in section </w:t>
      </w:r>
      <w:r w:rsidR="00F03AAC" w:rsidRPr="00F03AAC">
        <w:rPr>
          <w:rFonts w:ascii="Times New Roman" w:hAnsi="Times New Roman"/>
          <w:szCs w:val="24"/>
        </w:rPr>
        <w:t>3(</w:t>
      </w:r>
      <w:r w:rsidR="00D76620">
        <w:rPr>
          <w:rFonts w:ascii="Times New Roman" w:hAnsi="Times New Roman"/>
          <w:szCs w:val="24"/>
        </w:rPr>
        <w:t>E</w:t>
      </w:r>
      <w:r w:rsidR="00F03AAC" w:rsidRPr="00F03AAC">
        <w:rPr>
          <w:rFonts w:ascii="Times New Roman" w:hAnsi="Times New Roman"/>
          <w:szCs w:val="24"/>
        </w:rPr>
        <w:t>) of this Chapter;</w:t>
      </w:r>
      <w:r w:rsidRPr="008D4FC9">
        <w:rPr>
          <w:rFonts w:ascii="Times New Roman" w:hAnsi="Times New Roman"/>
          <w:szCs w:val="24"/>
        </w:rPr>
        <w:t xml:space="preserve"> </w:t>
      </w:r>
    </w:p>
    <w:p w14:paraId="5265BF6A" w14:textId="77777777" w:rsidR="00683BA7" w:rsidRPr="008D4FC9" w:rsidRDefault="00683BA7" w:rsidP="0042443E">
      <w:pPr>
        <w:pStyle w:val="ListParagraph"/>
        <w:tabs>
          <w:tab w:val="left" w:pos="1080"/>
        </w:tabs>
        <w:rPr>
          <w:rFonts w:ascii="Times New Roman" w:hAnsi="Times New Roman"/>
          <w:b/>
          <w:bCs/>
          <w:szCs w:val="24"/>
        </w:rPr>
      </w:pPr>
    </w:p>
    <w:p w14:paraId="246D16D8" w14:textId="15301C86" w:rsidR="00683BA7" w:rsidRPr="008D4FC9" w:rsidRDefault="00703496" w:rsidP="0042443E">
      <w:pPr>
        <w:pStyle w:val="ListParagraph"/>
        <w:numPr>
          <w:ilvl w:val="0"/>
          <w:numId w:val="31"/>
        </w:numPr>
        <w:tabs>
          <w:tab w:val="left" w:pos="1080"/>
        </w:tabs>
        <w:contextualSpacing w:val="0"/>
        <w:rPr>
          <w:rFonts w:ascii="Times New Roman" w:hAnsi="Times New Roman"/>
          <w:b/>
          <w:bCs/>
          <w:szCs w:val="24"/>
        </w:rPr>
      </w:pPr>
      <w:r>
        <w:rPr>
          <w:rFonts w:ascii="Times New Roman" w:hAnsi="Times New Roman"/>
          <w:szCs w:val="24"/>
        </w:rPr>
        <w:lastRenderedPageBreak/>
        <w:t>Written statement</w:t>
      </w:r>
      <w:r w:rsidR="00683BA7" w:rsidRPr="008D4FC9">
        <w:rPr>
          <w:rFonts w:ascii="Times New Roman" w:hAnsi="Times New Roman"/>
          <w:szCs w:val="24"/>
        </w:rPr>
        <w:t xml:space="preserve"> from the previous owner</w:t>
      </w:r>
      <w:r w:rsidR="00A63691">
        <w:rPr>
          <w:rFonts w:ascii="Times New Roman" w:hAnsi="Times New Roman"/>
          <w:szCs w:val="24"/>
        </w:rPr>
        <w:t xml:space="preserve"> or operator</w:t>
      </w:r>
      <w:r>
        <w:rPr>
          <w:rFonts w:ascii="Times New Roman" w:hAnsi="Times New Roman"/>
          <w:szCs w:val="24"/>
        </w:rPr>
        <w:t xml:space="preserve"> acknowledging that they are</w:t>
      </w:r>
      <w:r w:rsidR="00683BA7" w:rsidRPr="008D4FC9">
        <w:rPr>
          <w:rFonts w:ascii="Times New Roman" w:hAnsi="Times New Roman"/>
          <w:szCs w:val="24"/>
        </w:rPr>
        <w:t xml:space="preserve"> relinquishing the GPN</w:t>
      </w:r>
      <w:r w:rsidR="009C72A0">
        <w:rPr>
          <w:rFonts w:ascii="Times New Roman" w:hAnsi="Times New Roman"/>
          <w:szCs w:val="24"/>
        </w:rPr>
        <w:t>; and</w:t>
      </w:r>
    </w:p>
    <w:p w14:paraId="0A7BB599" w14:textId="77777777" w:rsidR="009C72A0" w:rsidRPr="008D4FC9" w:rsidRDefault="009C72A0" w:rsidP="008D4FC9">
      <w:pPr>
        <w:pStyle w:val="ListParagraph"/>
        <w:rPr>
          <w:rFonts w:ascii="Times New Roman" w:hAnsi="Times New Roman"/>
          <w:b/>
          <w:bCs/>
          <w:szCs w:val="24"/>
        </w:rPr>
      </w:pPr>
    </w:p>
    <w:p w14:paraId="45C3FADC" w14:textId="369BE481" w:rsidR="009C72A0" w:rsidRPr="008D4FC9" w:rsidRDefault="009C72A0" w:rsidP="0042443E">
      <w:pPr>
        <w:pStyle w:val="ListParagraph"/>
        <w:numPr>
          <w:ilvl w:val="0"/>
          <w:numId w:val="31"/>
        </w:numPr>
        <w:tabs>
          <w:tab w:val="left" w:pos="1080"/>
        </w:tabs>
        <w:contextualSpacing w:val="0"/>
        <w:rPr>
          <w:rFonts w:ascii="Times New Roman" w:hAnsi="Times New Roman"/>
          <w:b/>
          <w:bCs/>
          <w:szCs w:val="24"/>
        </w:rPr>
      </w:pPr>
      <w:r>
        <w:rPr>
          <w:rFonts w:ascii="Times New Roman" w:hAnsi="Times New Roman"/>
          <w:szCs w:val="24"/>
        </w:rPr>
        <w:t>Payment in full of any past-due fees associated with the GPN.</w:t>
      </w:r>
    </w:p>
    <w:p w14:paraId="081229A6" w14:textId="77777777" w:rsidR="00683BA7" w:rsidRPr="008D4FC9" w:rsidRDefault="00683BA7" w:rsidP="0042443E">
      <w:pPr>
        <w:pStyle w:val="ListParagraph"/>
        <w:rPr>
          <w:rFonts w:ascii="Times New Roman" w:hAnsi="Times New Roman"/>
          <w:b/>
          <w:bCs/>
          <w:szCs w:val="24"/>
        </w:rPr>
      </w:pPr>
    </w:p>
    <w:p w14:paraId="3BD47C3A" w14:textId="1BE9EEA9" w:rsidR="00683BA7" w:rsidRPr="008D4FC9" w:rsidRDefault="00683BA7" w:rsidP="0042443E">
      <w:pPr>
        <w:pStyle w:val="ListParagraph"/>
        <w:numPr>
          <w:ilvl w:val="0"/>
          <w:numId w:val="30"/>
        </w:numPr>
        <w:tabs>
          <w:tab w:val="left" w:pos="720"/>
        </w:tabs>
        <w:contextualSpacing w:val="0"/>
        <w:rPr>
          <w:rFonts w:ascii="Times New Roman" w:hAnsi="Times New Roman"/>
          <w:b/>
          <w:bCs/>
          <w:szCs w:val="24"/>
        </w:rPr>
      </w:pPr>
      <w:r w:rsidRPr="008D4FC9">
        <w:rPr>
          <w:rFonts w:ascii="Times New Roman" w:hAnsi="Times New Roman"/>
          <w:b/>
          <w:bCs/>
          <w:szCs w:val="24"/>
        </w:rPr>
        <w:t>Criteria for transfer approval.</w:t>
      </w:r>
      <w:r w:rsidRPr="008D4FC9">
        <w:rPr>
          <w:rFonts w:ascii="Times New Roman" w:hAnsi="Times New Roman"/>
          <w:szCs w:val="24"/>
        </w:rPr>
        <w:t xml:space="preserve"> Approval of the GPN transfer will be based on the acceptability of the information required in the </w:t>
      </w:r>
      <w:r w:rsidR="008C7910">
        <w:rPr>
          <w:rFonts w:ascii="Times New Roman" w:hAnsi="Times New Roman"/>
          <w:szCs w:val="24"/>
        </w:rPr>
        <w:t>transfer</w:t>
      </w:r>
      <w:r w:rsidRPr="008D4FC9">
        <w:rPr>
          <w:rFonts w:ascii="Times New Roman" w:hAnsi="Times New Roman"/>
          <w:szCs w:val="24"/>
        </w:rPr>
        <w:t xml:space="preserve"> submittal.</w:t>
      </w:r>
    </w:p>
    <w:p w14:paraId="61AE9C61" w14:textId="77777777" w:rsidR="00683BA7" w:rsidRPr="008D4FC9" w:rsidRDefault="00683BA7" w:rsidP="0042443E">
      <w:pPr>
        <w:rPr>
          <w:rFonts w:ascii="Times New Roman" w:hAnsi="Times New Roman"/>
        </w:rPr>
      </w:pPr>
    </w:p>
    <w:p w14:paraId="6AA1CBD3" w14:textId="77777777" w:rsidR="00683BA7" w:rsidRPr="00F11FC5" w:rsidRDefault="00683BA7" w:rsidP="0042443E">
      <w:pPr>
        <w:pStyle w:val="RulesSub-section"/>
        <w:ind w:left="684" w:hanging="324"/>
        <w:jc w:val="left"/>
        <w:rPr>
          <w:b/>
          <w:sz w:val="24"/>
          <w:szCs w:val="24"/>
        </w:rPr>
      </w:pPr>
    </w:p>
    <w:p w14:paraId="32DCBE64" w14:textId="5C7590D8" w:rsidR="006C470B" w:rsidRPr="00F11FC5" w:rsidRDefault="006C470B" w:rsidP="0042443E">
      <w:pPr>
        <w:pStyle w:val="RulesSub-section"/>
        <w:ind w:right="2070" w:firstLine="1620"/>
        <w:jc w:val="left"/>
        <w:rPr>
          <w:b/>
          <w:sz w:val="24"/>
          <w:szCs w:val="24"/>
        </w:rPr>
      </w:pPr>
      <w:r w:rsidRPr="00F11FC5">
        <w:rPr>
          <w:b/>
          <w:sz w:val="24"/>
          <w:szCs w:val="24"/>
        </w:rPr>
        <w:t>_________________________________________</w:t>
      </w:r>
    </w:p>
    <w:p w14:paraId="5980CAC8" w14:textId="77777777" w:rsidR="006C470B" w:rsidRPr="00F11FC5" w:rsidRDefault="006C470B" w:rsidP="0042443E">
      <w:pPr>
        <w:pStyle w:val="RulesSub-section"/>
        <w:jc w:val="left"/>
        <w:rPr>
          <w:b/>
          <w:sz w:val="24"/>
          <w:szCs w:val="24"/>
        </w:rPr>
      </w:pPr>
    </w:p>
    <w:p w14:paraId="3CF04D4C" w14:textId="2F864987" w:rsidR="006C470B" w:rsidRPr="00F11FC5" w:rsidRDefault="006C470B" w:rsidP="0042443E">
      <w:pPr>
        <w:pStyle w:val="RulesAuthorityEffec"/>
        <w:tabs>
          <w:tab w:val="left" w:pos="2340"/>
        </w:tabs>
        <w:ind w:left="2340" w:firstLine="0"/>
        <w:jc w:val="left"/>
        <w:rPr>
          <w:sz w:val="24"/>
          <w:szCs w:val="24"/>
        </w:rPr>
      </w:pPr>
      <w:r w:rsidRPr="00F11FC5">
        <w:rPr>
          <w:sz w:val="24"/>
          <w:szCs w:val="24"/>
        </w:rPr>
        <w:t>AUTHORITY: 38 M.R.S. §</w:t>
      </w:r>
      <w:r w:rsidR="00A13B0D">
        <w:rPr>
          <w:sz w:val="24"/>
          <w:szCs w:val="24"/>
        </w:rPr>
        <w:t xml:space="preserve">§ 344(7) and </w:t>
      </w:r>
      <w:r w:rsidRPr="00F11FC5">
        <w:rPr>
          <w:sz w:val="24"/>
          <w:szCs w:val="24"/>
        </w:rPr>
        <w:t>585-A</w:t>
      </w:r>
    </w:p>
    <w:p w14:paraId="69D23300" w14:textId="77777777" w:rsidR="006C470B" w:rsidRPr="00F11FC5" w:rsidRDefault="006C470B" w:rsidP="0042443E">
      <w:pPr>
        <w:pStyle w:val="RulesAuthorityEffec"/>
        <w:tabs>
          <w:tab w:val="left" w:pos="2340"/>
        </w:tabs>
        <w:ind w:left="2340" w:firstLine="0"/>
        <w:jc w:val="left"/>
        <w:rPr>
          <w:sz w:val="24"/>
          <w:szCs w:val="24"/>
        </w:rPr>
      </w:pPr>
    </w:p>
    <w:p w14:paraId="3FFB7166" w14:textId="77777777" w:rsidR="00412EEB" w:rsidRDefault="006C470B" w:rsidP="0042443E">
      <w:pPr>
        <w:pStyle w:val="RulesAuthorityEffec"/>
        <w:tabs>
          <w:tab w:val="left" w:pos="2340"/>
        </w:tabs>
        <w:ind w:left="2340" w:firstLine="0"/>
        <w:jc w:val="left"/>
        <w:rPr>
          <w:sz w:val="24"/>
          <w:szCs w:val="24"/>
        </w:rPr>
      </w:pPr>
      <w:r w:rsidRPr="00F11FC5">
        <w:rPr>
          <w:sz w:val="24"/>
          <w:szCs w:val="24"/>
        </w:rPr>
        <w:t>EFFECTIVE DATE:</w:t>
      </w:r>
      <w:r w:rsidR="00412EEB" w:rsidRPr="00F11FC5">
        <w:rPr>
          <w:sz w:val="24"/>
          <w:szCs w:val="24"/>
        </w:rPr>
        <w:t xml:space="preserve"> May 6, 2012 – filing 2012-136</w:t>
      </w:r>
    </w:p>
    <w:p w14:paraId="6AADD124" w14:textId="77777777" w:rsidR="00703496" w:rsidRDefault="00703496" w:rsidP="0042443E">
      <w:pPr>
        <w:pStyle w:val="RulesAuthorityEffec"/>
        <w:tabs>
          <w:tab w:val="left" w:pos="2340"/>
        </w:tabs>
        <w:ind w:left="2340" w:firstLine="0"/>
        <w:jc w:val="left"/>
        <w:rPr>
          <w:sz w:val="24"/>
          <w:szCs w:val="24"/>
        </w:rPr>
      </w:pPr>
    </w:p>
    <w:p w14:paraId="4FD09070" w14:textId="0F50182E" w:rsidR="00703496" w:rsidRDefault="00703496" w:rsidP="0042443E">
      <w:pPr>
        <w:pStyle w:val="RulesAuthorityEffec"/>
        <w:tabs>
          <w:tab w:val="left" w:pos="2340"/>
        </w:tabs>
        <w:ind w:left="2340" w:firstLine="0"/>
        <w:jc w:val="left"/>
        <w:rPr>
          <w:sz w:val="24"/>
          <w:szCs w:val="24"/>
        </w:rPr>
      </w:pPr>
      <w:r>
        <w:rPr>
          <w:sz w:val="24"/>
          <w:szCs w:val="24"/>
        </w:rPr>
        <w:t>AMENDED:</w:t>
      </w:r>
    </w:p>
    <w:p w14:paraId="70742E93" w14:textId="4B93CB22" w:rsidR="00FC6853" w:rsidRDefault="00FC6853" w:rsidP="0042443E">
      <w:pPr>
        <w:pStyle w:val="RulesAuthorityEffec"/>
        <w:tabs>
          <w:tab w:val="left" w:pos="2340"/>
        </w:tabs>
        <w:ind w:left="2340" w:firstLine="0"/>
        <w:jc w:val="left"/>
        <w:rPr>
          <w:sz w:val="24"/>
          <w:szCs w:val="24"/>
        </w:rPr>
      </w:pPr>
      <w:r>
        <w:rPr>
          <w:sz w:val="24"/>
          <w:szCs w:val="24"/>
        </w:rPr>
        <w:tab/>
        <w:t>December 1, 2025 – filing 2025-237</w:t>
      </w:r>
    </w:p>
    <w:p w14:paraId="4A7BBB46" w14:textId="77777777" w:rsidR="00FC6853" w:rsidRDefault="00FC6853" w:rsidP="0042443E">
      <w:pPr>
        <w:pStyle w:val="RulesAuthorityEffec"/>
        <w:tabs>
          <w:tab w:val="left" w:pos="2340"/>
        </w:tabs>
        <w:ind w:left="2340" w:firstLine="0"/>
        <w:jc w:val="left"/>
        <w:rPr>
          <w:sz w:val="24"/>
          <w:szCs w:val="24"/>
        </w:rPr>
      </w:pPr>
    </w:p>
    <w:p w14:paraId="1E49C732" w14:textId="751CAA08" w:rsidR="00FC6853" w:rsidRPr="00F11FC5" w:rsidRDefault="00FC6853" w:rsidP="0042443E">
      <w:pPr>
        <w:pStyle w:val="RulesAuthorityEffec"/>
        <w:tabs>
          <w:tab w:val="left" w:pos="2340"/>
        </w:tabs>
        <w:ind w:left="2340" w:firstLine="0"/>
        <w:jc w:val="left"/>
        <w:rPr>
          <w:sz w:val="24"/>
          <w:szCs w:val="24"/>
        </w:rPr>
      </w:pPr>
      <w:r>
        <w:rPr>
          <w:sz w:val="24"/>
          <w:szCs w:val="24"/>
        </w:rPr>
        <w:t>APAO ACCESSIBILITY CHECK: December 4, 2025 (no issues detected)</w:t>
      </w:r>
    </w:p>
    <w:p w14:paraId="2C3A2D33" w14:textId="77777777" w:rsidR="008A3A74" w:rsidRPr="00F11FC5" w:rsidRDefault="008A3A74" w:rsidP="0042443E">
      <w:pPr>
        <w:pStyle w:val="RulesBasisStatement"/>
        <w:jc w:val="left"/>
        <w:rPr>
          <w:rFonts w:ascii="Times New Roman" w:hAnsi="Times New Roman"/>
          <w:sz w:val="24"/>
          <w:szCs w:val="24"/>
        </w:rPr>
      </w:pPr>
    </w:p>
    <w:sectPr w:rsidR="008A3A74" w:rsidRPr="00F11FC5" w:rsidSect="006C470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C00C" w14:textId="77777777" w:rsidR="00EB2B08" w:rsidRDefault="00EB2B08">
      <w:r>
        <w:separator/>
      </w:r>
    </w:p>
  </w:endnote>
  <w:endnote w:type="continuationSeparator" w:id="0">
    <w:p w14:paraId="4B98CAB9" w14:textId="77777777" w:rsidR="00EB2B08" w:rsidRDefault="00EB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5C4A" w14:textId="77777777" w:rsidR="00280D59" w:rsidRDefault="00280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F273F3" w14:textId="77777777" w:rsidR="00280D59" w:rsidRDefault="00280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293B" w14:textId="61EDD25E" w:rsidR="00280D59" w:rsidRPr="00F11FC5" w:rsidRDefault="00280D59">
    <w:pPr>
      <w:pStyle w:val="RulesFootertext"/>
      <w:pBdr>
        <w:top w:val="single" w:sz="6" w:space="2" w:color="auto"/>
      </w:pBdr>
      <w:rPr>
        <w:sz w:val="24"/>
        <w:szCs w:val="24"/>
      </w:rPr>
    </w:pPr>
    <w:r w:rsidRPr="00F11FC5">
      <w:rPr>
        <w:sz w:val="24"/>
        <w:szCs w:val="24"/>
      </w:rPr>
      <w:t>Chapter 165: General Permit for Class IV-A Incinerators</w:t>
    </w:r>
    <w:r w:rsidR="00F11FC5">
      <w:rPr>
        <w:sz w:val="24"/>
        <w:szCs w:val="24"/>
      </w:rPr>
      <w:t xml:space="preserve"> </w:t>
    </w:r>
  </w:p>
  <w:p w14:paraId="253DB226" w14:textId="77777777" w:rsidR="00280D59" w:rsidRPr="00330FB3" w:rsidRDefault="00280D59">
    <w:pPr>
      <w:pStyle w:val="RulesFootertext"/>
      <w:rPr>
        <w:sz w:val="24"/>
      </w:rPr>
    </w:pPr>
    <w:r w:rsidRPr="00330FB3">
      <w:rPr>
        <w:sz w:val="24"/>
      </w:rPr>
      <w:t xml:space="preserve">- </w:t>
    </w:r>
    <w:r w:rsidRPr="00330FB3">
      <w:rPr>
        <w:sz w:val="24"/>
      </w:rPr>
      <w:fldChar w:fldCharType="begin"/>
    </w:r>
    <w:r w:rsidRPr="00330FB3">
      <w:rPr>
        <w:sz w:val="24"/>
      </w:rPr>
      <w:instrText xml:space="preserve">page </w:instrText>
    </w:r>
    <w:r w:rsidRPr="00330FB3">
      <w:rPr>
        <w:sz w:val="24"/>
      </w:rPr>
      <w:fldChar w:fldCharType="separate"/>
    </w:r>
    <w:r>
      <w:rPr>
        <w:noProof/>
        <w:sz w:val="24"/>
      </w:rPr>
      <w:t>9</w:t>
    </w:r>
    <w:r w:rsidRPr="00330FB3">
      <w:rPr>
        <w:sz w:val="24"/>
      </w:rPr>
      <w:fldChar w:fldCharType="end"/>
    </w:r>
    <w:r w:rsidRPr="00330FB3">
      <w:rPr>
        <w:sz w:val="24"/>
      </w:rPr>
      <w:t xml:space="preserve"> -</w:t>
    </w:r>
  </w:p>
  <w:p w14:paraId="4AE81D11" w14:textId="77777777" w:rsidR="00280D59" w:rsidRDefault="00280D59">
    <w:pPr>
      <w:pStyle w:val="RulesHeader"/>
      <w:framePr w:wrap="around" w:vAnchor="text" w:hAnchor="margin" w:xAlign="center" w:y="1"/>
      <w:jc w:val="left"/>
    </w:pPr>
  </w:p>
  <w:p w14:paraId="45AFF708" w14:textId="77777777" w:rsidR="00280D59" w:rsidRPr="007234A0" w:rsidRDefault="00280D59" w:rsidP="006C47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0291" w14:textId="77777777" w:rsidR="00280D59" w:rsidRPr="008A3A74" w:rsidRDefault="00280D59">
    <w:pPr>
      <w:pStyle w:val="RulesFootertext"/>
      <w:pBdr>
        <w:top w:val="single" w:sz="6" w:space="2" w:color="auto"/>
      </w:pBdr>
      <w:rPr>
        <w:lang w:val="fr-FR"/>
      </w:rPr>
    </w:pPr>
    <w:r w:rsidRPr="008A3A74">
      <w:rPr>
        <w:lang w:val="fr-FR"/>
      </w:rPr>
      <w:t>Chapter 155: Portable Fuel Container Spillage Control</w:t>
    </w:r>
  </w:p>
  <w:p w14:paraId="293B5A0E" w14:textId="77777777" w:rsidR="00280D59" w:rsidRPr="008A3A74" w:rsidRDefault="00280D59">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4549D" w14:textId="77777777" w:rsidR="00EB2B08" w:rsidRDefault="00EB2B08">
      <w:r>
        <w:separator/>
      </w:r>
    </w:p>
  </w:footnote>
  <w:footnote w:type="continuationSeparator" w:id="0">
    <w:p w14:paraId="1D9C4260" w14:textId="77777777" w:rsidR="00EB2B08" w:rsidRDefault="00EB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D601" w14:textId="77777777" w:rsidR="00280D59" w:rsidRDefault="00280D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03CCB3E" w14:textId="77777777" w:rsidR="00280D59" w:rsidRDefault="00280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40AD" w14:textId="77777777" w:rsidR="00280D59" w:rsidRPr="00F11FC5" w:rsidRDefault="00280D59" w:rsidP="006F02F4">
    <w:pPr>
      <w:pStyle w:val="RulesHeader"/>
      <w:framePr w:h="451" w:hRule="exact" w:wrap="around" w:vAnchor="text" w:hAnchor="margin" w:xAlign="center" w:y="1"/>
      <w:numPr>
        <w:ilvl w:val="1"/>
        <w:numId w:val="24"/>
      </w:numPr>
      <w:tabs>
        <w:tab w:val="clear" w:pos="2160"/>
      </w:tabs>
      <w:jc w:val="left"/>
      <w:rPr>
        <w:sz w:val="24"/>
        <w:szCs w:val="24"/>
      </w:rPr>
    </w:pPr>
    <w:r w:rsidRPr="00F11FC5">
      <w:rPr>
        <w:sz w:val="24"/>
        <w:szCs w:val="24"/>
      </w:rPr>
      <w:t>DEPARTMENT OF ENVIRONMENTAL PROTECTION</w:t>
    </w:r>
  </w:p>
  <w:p w14:paraId="0EB015E7" w14:textId="77777777" w:rsidR="00280D59" w:rsidRDefault="00280D59" w:rsidP="006F02F4">
    <w:pPr>
      <w:pStyle w:val="RulesHeader"/>
      <w:framePr w:h="451" w:hRule="exact" w:wrap="around" w:vAnchor="text" w:hAnchor="margin" w:xAlign="center" w:y="1"/>
      <w:tabs>
        <w:tab w:val="clear" w:pos="2160"/>
      </w:tabs>
      <w:ind w:left="0" w:firstLine="0"/>
      <w:jc w:val="left"/>
      <w:rPr>
        <w:sz w:val="20"/>
      </w:rPr>
    </w:pPr>
  </w:p>
  <w:p w14:paraId="1444E55C" w14:textId="77777777" w:rsidR="00280D59" w:rsidRDefault="00280D59" w:rsidP="006F02F4">
    <w:pPr>
      <w:pStyle w:val="Header"/>
      <w:framePr w:h="451" w:hRule="exact" w:wrap="around" w:vAnchor="text" w:hAnchor="margin" w:xAlign="center" w:y="1"/>
      <w:rPr>
        <w:rStyle w:val="PageNumber"/>
      </w:rPr>
    </w:pPr>
  </w:p>
  <w:p w14:paraId="321FB4DE" w14:textId="77777777" w:rsidR="00280D59" w:rsidRDefault="00280D59" w:rsidP="006F02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6D50" w14:textId="77777777" w:rsidR="00280D59" w:rsidRDefault="00280D59">
    <w:pPr>
      <w:pStyle w:val="RulesHeader"/>
      <w:jc w:val="left"/>
    </w:pPr>
    <w:r>
      <w:t>06-096</w:t>
    </w:r>
    <w:r>
      <w:tab/>
    </w:r>
    <w:r>
      <w:tab/>
    </w:r>
    <w:r>
      <w:tab/>
    </w:r>
    <w:r>
      <w:tab/>
    </w:r>
    <w:r>
      <w:tab/>
      <w:t>DEPARTMENT OF ENHCIRONMENTAL PROTECTION</w:t>
    </w:r>
  </w:p>
  <w:p w14:paraId="36898C60" w14:textId="77777777" w:rsidR="00280D59" w:rsidRDefault="00280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295"/>
    <w:multiLevelType w:val="hybridMultilevel"/>
    <w:tmpl w:val="07B624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05CC6"/>
    <w:multiLevelType w:val="hybridMultilevel"/>
    <w:tmpl w:val="DBC83F64"/>
    <w:lvl w:ilvl="0" w:tplc="D1B22280">
      <w:start w:val="1"/>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433BB7"/>
    <w:multiLevelType w:val="hybridMultilevel"/>
    <w:tmpl w:val="729C6072"/>
    <w:lvl w:ilvl="0" w:tplc="8110EA96">
      <w:start w:val="10"/>
      <w:numFmt w:val="upperLetter"/>
      <w:lvlText w:val="%1."/>
      <w:lvlJc w:val="left"/>
      <w:pPr>
        <w:tabs>
          <w:tab w:val="num" w:pos="690"/>
        </w:tabs>
        <w:ind w:left="690" w:hanging="360"/>
      </w:pPr>
      <w:rPr>
        <w:rFonts w:hint="default"/>
        <w:b/>
      </w:rPr>
    </w:lvl>
    <w:lvl w:ilvl="1" w:tplc="1152D51C">
      <w:start w:val="1"/>
      <w:numFmt w:val="lowerLetter"/>
      <w:lvlText w:val="%2."/>
      <w:lvlJc w:val="left"/>
      <w:pPr>
        <w:tabs>
          <w:tab w:val="num" w:pos="1410"/>
        </w:tabs>
        <w:ind w:left="1410" w:hanging="360"/>
      </w:pPr>
      <w:rPr>
        <w:b w:val="0"/>
      </w:rPr>
    </w:lvl>
    <w:lvl w:ilvl="2" w:tplc="74229DD8">
      <w:start w:val="6"/>
      <w:numFmt w:val="decimal"/>
      <w:lvlText w:val="(%3)"/>
      <w:lvlJc w:val="left"/>
      <w:pPr>
        <w:tabs>
          <w:tab w:val="num" w:pos="1443"/>
        </w:tabs>
        <w:ind w:left="1443" w:hanging="360"/>
      </w:pPr>
      <w:rPr>
        <w:rFonts w:hint="default"/>
        <w:b w:val="0"/>
      </w:r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3" w15:restartNumberingAfterBreak="0">
    <w:nsid w:val="104A0C33"/>
    <w:multiLevelType w:val="hybridMultilevel"/>
    <w:tmpl w:val="F70AF3C2"/>
    <w:lvl w:ilvl="0" w:tplc="6194D058">
      <w:start w:val="3"/>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B63212"/>
    <w:multiLevelType w:val="multilevel"/>
    <w:tmpl w:val="32FE9D96"/>
    <w:lvl w:ilvl="0">
      <w:start w:val="6"/>
      <w:numFmt w:val="decimalZero"/>
      <w:lvlText w:val="%1"/>
      <w:lvlJc w:val="left"/>
      <w:pPr>
        <w:tabs>
          <w:tab w:val="num" w:pos="2160"/>
        </w:tabs>
        <w:ind w:left="2160" w:hanging="2160"/>
      </w:pPr>
      <w:rPr>
        <w:rFonts w:hint="default"/>
      </w:rPr>
    </w:lvl>
    <w:lvl w:ilvl="1">
      <w:start w:val="96"/>
      <w:numFmt w:val="decimalZero"/>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714058F"/>
    <w:multiLevelType w:val="hybridMultilevel"/>
    <w:tmpl w:val="BB6472F4"/>
    <w:lvl w:ilvl="0" w:tplc="A0F0A7B2">
      <w:start w:val="1"/>
      <w:numFmt w:val="decimal"/>
      <w:lvlText w:val="(%1)"/>
      <w:lvlJc w:val="left"/>
      <w:pPr>
        <w:tabs>
          <w:tab w:val="num" w:pos="1080"/>
        </w:tabs>
        <w:ind w:left="1080" w:hanging="360"/>
      </w:pPr>
      <w:rPr>
        <w:rFonts w:ascii="Times New Roman" w:hAnsi="Times New Roman" w:hint="default"/>
        <w:b w:val="0"/>
        <w:i w:val="0"/>
        <w:sz w:val="24"/>
        <w:szCs w:val="24"/>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6" w15:restartNumberingAfterBreak="0">
    <w:nsid w:val="190460B7"/>
    <w:multiLevelType w:val="hybridMultilevel"/>
    <w:tmpl w:val="2A100A26"/>
    <w:lvl w:ilvl="0" w:tplc="72BAC698">
      <w:start w:val="1"/>
      <w:numFmt w:val="decimal"/>
      <w:lvlText w:val="(%1)"/>
      <w:lvlJc w:val="left"/>
      <w:pPr>
        <w:ind w:left="1461" w:hanging="360"/>
      </w:pPr>
      <w:rPr>
        <w:rFonts w:hint="default"/>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7" w15:restartNumberingAfterBreak="0">
    <w:nsid w:val="195C192F"/>
    <w:multiLevelType w:val="hybridMultilevel"/>
    <w:tmpl w:val="00ECB1E4"/>
    <w:lvl w:ilvl="0" w:tplc="480C6770">
      <w:start w:val="1"/>
      <w:numFmt w:val="lowerLetter"/>
      <w:lvlText w:val="(%1)"/>
      <w:lvlJc w:val="left"/>
      <w:pPr>
        <w:tabs>
          <w:tab w:val="num" w:pos="1440"/>
        </w:tabs>
        <w:ind w:left="144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EE3560"/>
    <w:multiLevelType w:val="hybridMultilevel"/>
    <w:tmpl w:val="1AA2FC9A"/>
    <w:lvl w:ilvl="0" w:tplc="D1B22280">
      <w:start w:val="1"/>
      <w:numFmt w:val="decimal"/>
      <w:lvlText w:val="(%1)"/>
      <w:lvlJc w:val="left"/>
      <w:pPr>
        <w:tabs>
          <w:tab w:val="num" w:pos="1080"/>
        </w:tabs>
        <w:ind w:left="1080" w:hanging="360"/>
      </w:pPr>
      <w:rPr>
        <w:rFonts w:hint="default"/>
        <w:b w:val="0"/>
        <w:i w:val="0"/>
        <w:u w:val="none"/>
      </w:rPr>
    </w:lvl>
    <w:lvl w:ilvl="1" w:tplc="3148FCF0">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FE6294"/>
    <w:multiLevelType w:val="hybridMultilevel"/>
    <w:tmpl w:val="1A184A0E"/>
    <w:lvl w:ilvl="0" w:tplc="59CC4330">
      <w:start w:val="1"/>
      <w:numFmt w:val="decimal"/>
      <w:lvlText w:val="(%1)"/>
      <w:lvlJc w:val="left"/>
      <w:pPr>
        <w:tabs>
          <w:tab w:val="num" w:pos="1080"/>
        </w:tabs>
        <w:ind w:left="1080" w:hanging="360"/>
      </w:pPr>
      <w:rPr>
        <w:rFonts w:hint="default"/>
        <w:b w:val="0"/>
        <w:i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657606"/>
    <w:multiLevelType w:val="hybridMultilevel"/>
    <w:tmpl w:val="24588FDC"/>
    <w:lvl w:ilvl="0" w:tplc="A0F0A7B2">
      <w:start w:val="1"/>
      <w:numFmt w:val="decimal"/>
      <w:lvlText w:val="(%1)"/>
      <w:lvlJc w:val="left"/>
      <w:pPr>
        <w:ind w:left="1920" w:hanging="360"/>
      </w:pPr>
      <w:rPr>
        <w:rFonts w:ascii="Times New Roman" w:hAnsi="Times New Roman" w:hint="default"/>
        <w:b w:val="0"/>
        <w:i w:val="0"/>
        <w:sz w:val="24"/>
        <w:szCs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15:restartNumberingAfterBreak="0">
    <w:nsid w:val="22850A12"/>
    <w:multiLevelType w:val="multilevel"/>
    <w:tmpl w:val="FDD09F32"/>
    <w:lvl w:ilvl="0">
      <w:start w:val="6"/>
      <w:numFmt w:val="decimalZero"/>
      <w:lvlText w:val="%1"/>
      <w:lvlJc w:val="left"/>
      <w:pPr>
        <w:tabs>
          <w:tab w:val="num" w:pos="660"/>
        </w:tabs>
        <w:ind w:left="660" w:hanging="660"/>
      </w:pPr>
      <w:rPr>
        <w:rFonts w:hint="default"/>
      </w:rPr>
    </w:lvl>
    <w:lvl w:ilvl="1">
      <w:start w:val="96"/>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8F047F"/>
    <w:multiLevelType w:val="hybridMultilevel"/>
    <w:tmpl w:val="630C2ACC"/>
    <w:lvl w:ilvl="0" w:tplc="A62A2614">
      <w:start w:val="9"/>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672006"/>
    <w:multiLevelType w:val="hybridMultilevel"/>
    <w:tmpl w:val="D1E028EA"/>
    <w:lvl w:ilvl="0" w:tplc="D3F02C98">
      <w:start w:val="1"/>
      <w:numFmt w:val="upperLetter"/>
      <w:lvlText w:val="%1."/>
      <w:lvlJc w:val="left"/>
      <w:pPr>
        <w:tabs>
          <w:tab w:val="num" w:pos="720"/>
        </w:tabs>
        <w:ind w:left="720" w:hanging="360"/>
      </w:pPr>
      <w:rPr>
        <w:rFonts w:hint="default"/>
        <w:b/>
        <w:i w:val="0"/>
      </w:rPr>
    </w:lvl>
    <w:lvl w:ilvl="1" w:tplc="A0E020AA">
      <w:start w:val="17"/>
      <w:numFmt w:val="decimal"/>
      <w:lvlText w:val="(%2)"/>
      <w:lvlJc w:val="left"/>
      <w:pPr>
        <w:tabs>
          <w:tab w:val="num" w:pos="1800"/>
        </w:tabs>
        <w:ind w:left="1800" w:hanging="720"/>
      </w:pPr>
      <w:rPr>
        <w:rFonts w:ascii="Times New Roman" w:hAnsi="Times New Roman"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586374"/>
    <w:multiLevelType w:val="hybridMultilevel"/>
    <w:tmpl w:val="870C5C18"/>
    <w:lvl w:ilvl="0" w:tplc="452617D6">
      <w:start w:val="1"/>
      <w:numFmt w:val="upperLetter"/>
      <w:lvlText w:val="%1."/>
      <w:lvlJc w:val="left"/>
      <w:pPr>
        <w:tabs>
          <w:tab w:val="num" w:pos="720"/>
        </w:tabs>
        <w:ind w:left="720" w:hanging="360"/>
      </w:pPr>
      <w:rPr>
        <w:rFonts w:hint="default"/>
        <w:b/>
        <w:i w:val="0"/>
        <w:u w:val="none"/>
      </w:rPr>
    </w:lvl>
    <w:lvl w:ilvl="1" w:tplc="59CC4330">
      <w:start w:val="1"/>
      <w:numFmt w:val="decimal"/>
      <w:lvlText w:val="(%2)"/>
      <w:lvlJc w:val="left"/>
      <w:pPr>
        <w:tabs>
          <w:tab w:val="num" w:pos="1080"/>
        </w:tabs>
        <w:ind w:left="1080" w:hanging="360"/>
      </w:pPr>
      <w:rPr>
        <w:rFonts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5C03C2"/>
    <w:multiLevelType w:val="hybridMultilevel"/>
    <w:tmpl w:val="3CC4A7BC"/>
    <w:lvl w:ilvl="0" w:tplc="61BC06B4">
      <w:start w:val="1"/>
      <w:numFmt w:val="decimal"/>
      <w:lvlText w:val="%1."/>
      <w:lvlJc w:val="left"/>
      <w:pPr>
        <w:tabs>
          <w:tab w:val="num" w:pos="1080"/>
        </w:tabs>
        <w:ind w:left="1080" w:hanging="360"/>
      </w:pPr>
      <w:rPr>
        <w:rFonts w:hint="default"/>
        <w:b w:val="0"/>
        <w:i w:val="0"/>
      </w:rPr>
    </w:lvl>
    <w:lvl w:ilvl="1" w:tplc="480C6770">
      <w:start w:val="1"/>
      <w:numFmt w:val="lowerLetter"/>
      <w:lvlText w:val="(%2)"/>
      <w:lvlJc w:val="left"/>
      <w:pPr>
        <w:tabs>
          <w:tab w:val="num" w:pos="1440"/>
        </w:tabs>
        <w:ind w:left="1440" w:hanging="360"/>
      </w:pPr>
      <w:rPr>
        <w:rFonts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6B24F8"/>
    <w:multiLevelType w:val="hybridMultilevel"/>
    <w:tmpl w:val="F6F4AF8C"/>
    <w:lvl w:ilvl="0" w:tplc="D1B22280">
      <w:start w:val="1"/>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1559A2"/>
    <w:multiLevelType w:val="multilevel"/>
    <w:tmpl w:val="FDD09F32"/>
    <w:lvl w:ilvl="0">
      <w:start w:val="6"/>
      <w:numFmt w:val="decimalZero"/>
      <w:lvlText w:val="%1"/>
      <w:lvlJc w:val="left"/>
      <w:pPr>
        <w:tabs>
          <w:tab w:val="num" w:pos="660"/>
        </w:tabs>
        <w:ind w:left="660" w:hanging="660"/>
      </w:pPr>
      <w:rPr>
        <w:rFonts w:hint="default"/>
      </w:rPr>
    </w:lvl>
    <w:lvl w:ilvl="1">
      <w:start w:val="96"/>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C7D55B9"/>
    <w:multiLevelType w:val="hybridMultilevel"/>
    <w:tmpl w:val="B848384C"/>
    <w:lvl w:ilvl="0" w:tplc="59CC4330">
      <w:start w:val="1"/>
      <w:numFmt w:val="decimal"/>
      <w:lvlText w:val="(%1)"/>
      <w:lvlJc w:val="left"/>
      <w:pPr>
        <w:ind w:left="1101" w:hanging="360"/>
      </w:pPr>
      <w:rPr>
        <w:rFonts w:hint="default"/>
        <w:b w:val="0"/>
        <w:i w:val="0"/>
        <w:u w:val="none"/>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19" w15:restartNumberingAfterBreak="0">
    <w:nsid w:val="448A202D"/>
    <w:multiLevelType w:val="hybridMultilevel"/>
    <w:tmpl w:val="50D68A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95042"/>
    <w:multiLevelType w:val="singleLevel"/>
    <w:tmpl w:val="59CC4330"/>
    <w:lvl w:ilvl="0">
      <w:start w:val="1"/>
      <w:numFmt w:val="decimal"/>
      <w:lvlText w:val="(%1)"/>
      <w:lvlJc w:val="left"/>
      <w:pPr>
        <w:tabs>
          <w:tab w:val="num" w:pos="1080"/>
        </w:tabs>
        <w:ind w:left="1080" w:hanging="360"/>
      </w:pPr>
      <w:rPr>
        <w:rFonts w:hint="default"/>
        <w:b w:val="0"/>
        <w:i w:val="0"/>
        <w:u w:val="none"/>
      </w:rPr>
    </w:lvl>
  </w:abstractNum>
  <w:abstractNum w:abstractNumId="21" w15:restartNumberingAfterBreak="0">
    <w:nsid w:val="4B0717E2"/>
    <w:multiLevelType w:val="singleLevel"/>
    <w:tmpl w:val="70FCFDBE"/>
    <w:lvl w:ilvl="0">
      <w:start w:val="1"/>
      <w:numFmt w:val="lowerRoman"/>
      <w:lvlText w:val="(%1)"/>
      <w:lvlJc w:val="left"/>
      <w:pPr>
        <w:tabs>
          <w:tab w:val="num" w:pos="1800"/>
        </w:tabs>
        <w:ind w:left="1800" w:hanging="360"/>
      </w:pPr>
      <w:rPr>
        <w:rFonts w:hint="default"/>
      </w:rPr>
    </w:lvl>
  </w:abstractNum>
  <w:abstractNum w:abstractNumId="22" w15:restartNumberingAfterBreak="0">
    <w:nsid w:val="4C714170"/>
    <w:multiLevelType w:val="hybridMultilevel"/>
    <w:tmpl w:val="544098A0"/>
    <w:lvl w:ilvl="0" w:tplc="B650CBFA">
      <w:start w:val="1"/>
      <w:numFmt w:val="decimal"/>
      <w:lvlText w:val="(%1)"/>
      <w:lvlJc w:val="left"/>
      <w:pPr>
        <w:ind w:left="1101" w:hanging="360"/>
      </w:pPr>
      <w:rPr>
        <w:rFonts w:hint="default"/>
        <w:b w:val="0"/>
        <w:bCs/>
        <w:sz w:val="24"/>
        <w:szCs w:val="24"/>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23" w15:restartNumberingAfterBreak="0">
    <w:nsid w:val="4CFE6FA5"/>
    <w:multiLevelType w:val="singleLevel"/>
    <w:tmpl w:val="480C6770"/>
    <w:lvl w:ilvl="0">
      <w:start w:val="1"/>
      <w:numFmt w:val="lowerLetter"/>
      <w:lvlText w:val="(%1)"/>
      <w:lvlJc w:val="left"/>
      <w:pPr>
        <w:tabs>
          <w:tab w:val="num" w:pos="1440"/>
        </w:tabs>
        <w:ind w:left="1440" w:hanging="360"/>
      </w:pPr>
      <w:rPr>
        <w:rFonts w:hint="default"/>
        <w:b w:val="0"/>
        <w:i w:val="0"/>
        <w:u w:val="none"/>
      </w:rPr>
    </w:lvl>
  </w:abstractNum>
  <w:abstractNum w:abstractNumId="24" w15:restartNumberingAfterBreak="0">
    <w:nsid w:val="54BE4351"/>
    <w:multiLevelType w:val="hybridMultilevel"/>
    <w:tmpl w:val="29A4E65A"/>
    <w:lvl w:ilvl="0" w:tplc="A6C8B65E">
      <w:start w:val="1"/>
      <w:numFmt w:val="upperLetter"/>
      <w:lvlText w:val="%1."/>
      <w:lvlJc w:val="left"/>
      <w:pPr>
        <w:tabs>
          <w:tab w:val="num" w:pos="1080"/>
        </w:tabs>
        <w:ind w:left="1080" w:hanging="360"/>
      </w:pPr>
      <w:rPr>
        <w:rFonts w:hint="default"/>
        <w:b/>
        <w:i w:val="0"/>
      </w:rPr>
    </w:lvl>
    <w:lvl w:ilvl="1" w:tplc="96B4E026">
      <w:start w:val="1"/>
      <w:numFmt w:val="decimal"/>
      <w:lvlText w:val="%2."/>
      <w:lvlJc w:val="left"/>
      <w:pPr>
        <w:tabs>
          <w:tab w:val="num" w:pos="1440"/>
        </w:tabs>
        <w:ind w:left="1440" w:hanging="360"/>
      </w:pPr>
      <w:rPr>
        <w:rFonts w:hint="default"/>
        <w:b w:val="0"/>
        <w:i w:val="0"/>
      </w:rPr>
    </w:lvl>
    <w:lvl w:ilvl="2" w:tplc="E72C23D0">
      <w:start w:val="1"/>
      <w:numFmt w:val="decimal"/>
      <w:lvlText w:val="%3."/>
      <w:lvlJc w:val="left"/>
      <w:pPr>
        <w:tabs>
          <w:tab w:val="num" w:pos="1440"/>
        </w:tabs>
        <w:ind w:left="1440" w:hanging="360"/>
      </w:pPr>
      <w:rPr>
        <w:rFonts w:hint="default"/>
        <w:b w:val="0"/>
        <w:i w:val="0"/>
        <w:u w:val="none"/>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94D1B6B"/>
    <w:multiLevelType w:val="hybridMultilevel"/>
    <w:tmpl w:val="8186697E"/>
    <w:lvl w:ilvl="0" w:tplc="59CC4330">
      <w:start w:val="1"/>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F0C0794"/>
    <w:multiLevelType w:val="hybridMultilevel"/>
    <w:tmpl w:val="10CCC902"/>
    <w:lvl w:ilvl="0" w:tplc="EC84012A">
      <w:start w:val="5"/>
      <w:numFmt w:val="upperLetter"/>
      <w:lvlText w:val="%1."/>
      <w:lvlJc w:val="left"/>
      <w:pPr>
        <w:tabs>
          <w:tab w:val="num" w:pos="690"/>
        </w:tabs>
        <w:ind w:left="690" w:hanging="360"/>
      </w:pPr>
      <w:rPr>
        <w:rFonts w:hint="default"/>
        <w:b/>
      </w:rPr>
    </w:lvl>
    <w:lvl w:ilvl="1" w:tplc="04090019">
      <w:start w:val="1"/>
      <w:numFmt w:val="lowerLetter"/>
      <w:lvlText w:val="%2."/>
      <w:lvlJc w:val="left"/>
      <w:pPr>
        <w:tabs>
          <w:tab w:val="num" w:pos="1410"/>
        </w:tabs>
        <w:ind w:left="1410" w:hanging="360"/>
      </w:pPr>
    </w:lvl>
    <w:lvl w:ilvl="2" w:tplc="E8CEDC3C">
      <w:start w:val="1"/>
      <w:numFmt w:val="decimal"/>
      <w:lvlText w:val="(%3)"/>
      <w:lvlJc w:val="left"/>
      <w:pPr>
        <w:tabs>
          <w:tab w:val="num" w:pos="2310"/>
        </w:tabs>
        <w:ind w:left="2310" w:hanging="360"/>
      </w:pPr>
      <w:rPr>
        <w:rFonts w:hint="default"/>
        <w:b w:val="0"/>
      </w:r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7" w15:restartNumberingAfterBreak="0">
    <w:nsid w:val="602940E7"/>
    <w:multiLevelType w:val="hybridMultilevel"/>
    <w:tmpl w:val="259886EA"/>
    <w:lvl w:ilvl="0" w:tplc="04090015">
      <w:start w:val="1"/>
      <w:numFmt w:val="upperLetter"/>
      <w:lvlText w:val="%1."/>
      <w:lvlJc w:val="left"/>
      <w:pPr>
        <w:tabs>
          <w:tab w:val="num" w:pos="720"/>
        </w:tabs>
        <w:ind w:left="720" w:hanging="360"/>
      </w:pPr>
      <w:rPr>
        <w:rFonts w:hint="default"/>
        <w:b/>
        <w:i w:val="0"/>
        <w:u w:val="none"/>
      </w:rPr>
    </w:lvl>
    <w:lvl w:ilvl="1" w:tplc="59CC4330">
      <w:start w:val="1"/>
      <w:numFmt w:val="decimal"/>
      <w:lvlText w:val="(%2)"/>
      <w:lvlJc w:val="left"/>
      <w:pPr>
        <w:tabs>
          <w:tab w:val="num" w:pos="1080"/>
        </w:tabs>
        <w:ind w:left="1080" w:hanging="360"/>
      </w:pPr>
      <w:rPr>
        <w:rFonts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963664"/>
    <w:multiLevelType w:val="hybridMultilevel"/>
    <w:tmpl w:val="245E8CD6"/>
    <w:lvl w:ilvl="0" w:tplc="93302324">
      <w:start w:val="1"/>
      <w:numFmt w:val="decimal"/>
      <w:pStyle w:val="RuleLevel1"/>
      <w:lvlText w:val="%1."/>
      <w:lvlJc w:val="left"/>
      <w:pPr>
        <w:tabs>
          <w:tab w:val="num" w:pos="360"/>
        </w:tabs>
        <w:ind w:left="360" w:hanging="360"/>
      </w:pPr>
      <w:rPr>
        <w:rFonts w:hint="default"/>
        <w:b/>
        <w:i w:val="0"/>
      </w:rPr>
    </w:lvl>
    <w:lvl w:ilvl="1" w:tplc="E4C4E1BE">
      <w:start w:val="1"/>
      <w:numFmt w:val="upperLetter"/>
      <w:lvlText w:val="%2."/>
      <w:lvlJc w:val="left"/>
      <w:pPr>
        <w:tabs>
          <w:tab w:val="num" w:pos="720"/>
        </w:tabs>
        <w:ind w:left="720" w:hanging="360"/>
      </w:pPr>
      <w:rPr>
        <w:rFonts w:hint="default"/>
        <w:b w:val="0"/>
        <w:i w:val="0"/>
      </w:rPr>
    </w:lvl>
    <w:lvl w:ilvl="2" w:tplc="820C8AC6">
      <w:start w:val="1"/>
      <w:numFmt w:val="lowerLetter"/>
      <w:lvlText w:val="(%3)"/>
      <w:lvlJc w:val="left"/>
      <w:pPr>
        <w:tabs>
          <w:tab w:val="num" w:pos="2340"/>
        </w:tabs>
        <w:ind w:left="2340" w:hanging="360"/>
      </w:pPr>
      <w:rPr>
        <w:rFonts w:hint="default"/>
      </w:rPr>
    </w:lvl>
    <w:lvl w:ilvl="3" w:tplc="BB66E614">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E217A7"/>
    <w:multiLevelType w:val="hybridMultilevel"/>
    <w:tmpl w:val="3F589958"/>
    <w:lvl w:ilvl="0" w:tplc="C298CBCE">
      <w:start w:val="1"/>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5E055F"/>
    <w:multiLevelType w:val="multilevel"/>
    <w:tmpl w:val="FDD09F32"/>
    <w:lvl w:ilvl="0">
      <w:start w:val="6"/>
      <w:numFmt w:val="decimalZero"/>
      <w:lvlText w:val="%1"/>
      <w:lvlJc w:val="left"/>
      <w:pPr>
        <w:tabs>
          <w:tab w:val="num" w:pos="660"/>
        </w:tabs>
        <w:ind w:left="660" w:hanging="660"/>
      </w:pPr>
      <w:rPr>
        <w:rFonts w:hint="default"/>
      </w:rPr>
    </w:lvl>
    <w:lvl w:ilvl="1">
      <w:start w:val="96"/>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77E6F71"/>
    <w:multiLevelType w:val="hybridMultilevel"/>
    <w:tmpl w:val="23DCF0F4"/>
    <w:lvl w:ilvl="0" w:tplc="67A6B942">
      <w:start w:val="1"/>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90D3C54"/>
    <w:multiLevelType w:val="hybridMultilevel"/>
    <w:tmpl w:val="5C4E6E38"/>
    <w:lvl w:ilvl="0" w:tplc="076C00E8">
      <w:start w:val="1"/>
      <w:numFmt w:val="lowerRoman"/>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33" w15:restartNumberingAfterBreak="0">
    <w:nsid w:val="7A2F2DF2"/>
    <w:multiLevelType w:val="hybridMultilevel"/>
    <w:tmpl w:val="D16E0162"/>
    <w:lvl w:ilvl="0" w:tplc="59CC4330">
      <w:start w:val="1"/>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F53A76"/>
    <w:multiLevelType w:val="hybridMultilevel"/>
    <w:tmpl w:val="7A08FA04"/>
    <w:lvl w:ilvl="0" w:tplc="174AD31A">
      <w:start w:val="1"/>
      <w:numFmt w:val="upperLetter"/>
      <w:lvlText w:val="%1."/>
      <w:lvlJc w:val="left"/>
      <w:pPr>
        <w:tabs>
          <w:tab w:val="num" w:pos="720"/>
        </w:tabs>
        <w:ind w:left="720" w:hanging="390"/>
      </w:pPr>
      <w:rPr>
        <w:b/>
        <w:i w:val="0"/>
        <w:u w:val="none"/>
      </w:rPr>
    </w:lvl>
    <w:lvl w:ilvl="1" w:tplc="E632CBA2">
      <w:start w:val="1"/>
      <w:numFmt w:val="decimal"/>
      <w:lvlText w:val="%2."/>
      <w:lvlJc w:val="left"/>
      <w:pPr>
        <w:tabs>
          <w:tab w:val="num" w:pos="1440"/>
        </w:tabs>
        <w:ind w:left="1440" w:hanging="360"/>
      </w:pPr>
      <w:rPr>
        <w:rFonts w:hint="default"/>
        <w:b/>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7769049">
    <w:abstractNumId w:val="4"/>
  </w:num>
  <w:num w:numId="2" w16cid:durableId="566497006">
    <w:abstractNumId w:val="34"/>
  </w:num>
  <w:num w:numId="3" w16cid:durableId="1679380096">
    <w:abstractNumId w:val="27"/>
  </w:num>
  <w:num w:numId="4" w16cid:durableId="1442413115">
    <w:abstractNumId w:val="14"/>
  </w:num>
  <w:num w:numId="5" w16cid:durableId="120610714">
    <w:abstractNumId w:val="28"/>
  </w:num>
  <w:num w:numId="6" w16cid:durableId="1901869361">
    <w:abstractNumId w:val="20"/>
  </w:num>
  <w:num w:numId="7" w16cid:durableId="1081176012">
    <w:abstractNumId w:val="23"/>
  </w:num>
  <w:num w:numId="8" w16cid:durableId="663167527">
    <w:abstractNumId w:val="21"/>
  </w:num>
  <w:num w:numId="9" w16cid:durableId="1646199683">
    <w:abstractNumId w:val="7"/>
  </w:num>
  <w:num w:numId="10" w16cid:durableId="1456800663">
    <w:abstractNumId w:val="15"/>
  </w:num>
  <w:num w:numId="11" w16cid:durableId="1717850178">
    <w:abstractNumId w:val="31"/>
  </w:num>
  <w:num w:numId="12" w16cid:durableId="923957980">
    <w:abstractNumId w:val="24"/>
  </w:num>
  <w:num w:numId="13" w16cid:durableId="542864744">
    <w:abstractNumId w:val="13"/>
  </w:num>
  <w:num w:numId="14" w16cid:durableId="1550024213">
    <w:abstractNumId w:val="25"/>
  </w:num>
  <w:num w:numId="15" w16cid:durableId="1243182794">
    <w:abstractNumId w:val="9"/>
  </w:num>
  <w:num w:numId="16" w16cid:durableId="1785073634">
    <w:abstractNumId w:val="33"/>
  </w:num>
  <w:num w:numId="17" w16cid:durableId="1995640268">
    <w:abstractNumId w:val="12"/>
  </w:num>
  <w:num w:numId="18" w16cid:durableId="1827241139">
    <w:abstractNumId w:val="8"/>
  </w:num>
  <w:num w:numId="19" w16cid:durableId="665325804">
    <w:abstractNumId w:val="16"/>
  </w:num>
  <w:num w:numId="20" w16cid:durableId="1772775925">
    <w:abstractNumId w:val="1"/>
  </w:num>
  <w:num w:numId="21" w16cid:durableId="730923873">
    <w:abstractNumId w:val="29"/>
  </w:num>
  <w:num w:numId="22" w16cid:durableId="1492452931">
    <w:abstractNumId w:val="26"/>
  </w:num>
  <w:num w:numId="23" w16cid:durableId="1459952047">
    <w:abstractNumId w:val="2"/>
  </w:num>
  <w:num w:numId="24" w16cid:durableId="2046709587">
    <w:abstractNumId w:val="11"/>
  </w:num>
  <w:num w:numId="25" w16cid:durableId="1817643853">
    <w:abstractNumId w:val="17"/>
  </w:num>
  <w:num w:numId="26" w16cid:durableId="741827958">
    <w:abstractNumId w:val="30"/>
  </w:num>
  <w:num w:numId="27" w16cid:durableId="577404577">
    <w:abstractNumId w:val="22"/>
  </w:num>
  <w:num w:numId="28" w16cid:durableId="1269238624">
    <w:abstractNumId w:val="6"/>
  </w:num>
  <w:num w:numId="29" w16cid:durableId="315954787">
    <w:abstractNumId w:val="3"/>
  </w:num>
  <w:num w:numId="30" w16cid:durableId="1453137164">
    <w:abstractNumId w:val="19"/>
  </w:num>
  <w:num w:numId="31" w16cid:durableId="104932178">
    <w:abstractNumId w:val="5"/>
  </w:num>
  <w:num w:numId="32" w16cid:durableId="284392933">
    <w:abstractNumId w:val="0"/>
  </w:num>
  <w:num w:numId="33" w16cid:durableId="2011056440">
    <w:abstractNumId w:val="18"/>
  </w:num>
  <w:num w:numId="34" w16cid:durableId="1785808810">
    <w:abstractNumId w:val="32"/>
  </w:num>
  <w:num w:numId="35" w16cid:durableId="10638732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0B"/>
    <w:rsid w:val="00012B25"/>
    <w:rsid w:val="000130A9"/>
    <w:rsid w:val="00022E17"/>
    <w:rsid w:val="000346ED"/>
    <w:rsid w:val="00041A50"/>
    <w:rsid w:val="0004405F"/>
    <w:rsid w:val="000458D6"/>
    <w:rsid w:val="00055349"/>
    <w:rsid w:val="00062426"/>
    <w:rsid w:val="0006288B"/>
    <w:rsid w:val="0006396A"/>
    <w:rsid w:val="0008018B"/>
    <w:rsid w:val="000827BA"/>
    <w:rsid w:val="000908C9"/>
    <w:rsid w:val="00090BF8"/>
    <w:rsid w:val="00096B32"/>
    <w:rsid w:val="000A01DB"/>
    <w:rsid w:val="000C2AB5"/>
    <w:rsid w:val="000D376D"/>
    <w:rsid w:val="000D4E3D"/>
    <w:rsid w:val="000E0A28"/>
    <w:rsid w:val="000E6F8A"/>
    <w:rsid w:val="000F4FAD"/>
    <w:rsid w:val="00101DDA"/>
    <w:rsid w:val="001069F9"/>
    <w:rsid w:val="00113DC0"/>
    <w:rsid w:val="001302FA"/>
    <w:rsid w:val="00132B9A"/>
    <w:rsid w:val="00134B4C"/>
    <w:rsid w:val="00137FD6"/>
    <w:rsid w:val="00146BDD"/>
    <w:rsid w:val="0015670D"/>
    <w:rsid w:val="0016692F"/>
    <w:rsid w:val="00170484"/>
    <w:rsid w:val="00193CE6"/>
    <w:rsid w:val="00194E22"/>
    <w:rsid w:val="001967A0"/>
    <w:rsid w:val="001B30CC"/>
    <w:rsid w:val="001B7B96"/>
    <w:rsid w:val="001C5C33"/>
    <w:rsid w:val="001D14C9"/>
    <w:rsid w:val="001E3310"/>
    <w:rsid w:val="001E5F4B"/>
    <w:rsid w:val="001F1A64"/>
    <w:rsid w:val="001F32B6"/>
    <w:rsid w:val="001F5E36"/>
    <w:rsid w:val="002100FE"/>
    <w:rsid w:val="00222903"/>
    <w:rsid w:val="002240D0"/>
    <w:rsid w:val="00245D80"/>
    <w:rsid w:val="002474A8"/>
    <w:rsid w:val="00265D6B"/>
    <w:rsid w:val="0027426F"/>
    <w:rsid w:val="00277684"/>
    <w:rsid w:val="00280D59"/>
    <w:rsid w:val="002852D7"/>
    <w:rsid w:val="00296182"/>
    <w:rsid w:val="002A7C37"/>
    <w:rsid w:val="002B07C6"/>
    <w:rsid w:val="002B0FB3"/>
    <w:rsid w:val="002B6D18"/>
    <w:rsid w:val="002C3FEF"/>
    <w:rsid w:val="002C7C5C"/>
    <w:rsid w:val="002E3ACD"/>
    <w:rsid w:val="002F68E3"/>
    <w:rsid w:val="003014C2"/>
    <w:rsid w:val="00304A2D"/>
    <w:rsid w:val="00330FB3"/>
    <w:rsid w:val="00350662"/>
    <w:rsid w:val="00357AE0"/>
    <w:rsid w:val="003615BD"/>
    <w:rsid w:val="00380058"/>
    <w:rsid w:val="003832A5"/>
    <w:rsid w:val="00386D64"/>
    <w:rsid w:val="00387908"/>
    <w:rsid w:val="003936A0"/>
    <w:rsid w:val="003A4945"/>
    <w:rsid w:val="003B6D0E"/>
    <w:rsid w:val="003C534D"/>
    <w:rsid w:val="003E3C6C"/>
    <w:rsid w:val="003E5E52"/>
    <w:rsid w:val="003F7845"/>
    <w:rsid w:val="003F7D52"/>
    <w:rsid w:val="00412EEB"/>
    <w:rsid w:val="00412EF8"/>
    <w:rsid w:val="0041346B"/>
    <w:rsid w:val="00415097"/>
    <w:rsid w:val="0042443E"/>
    <w:rsid w:val="004339DF"/>
    <w:rsid w:val="004404C8"/>
    <w:rsid w:val="00460EB8"/>
    <w:rsid w:val="004657AD"/>
    <w:rsid w:val="004728B7"/>
    <w:rsid w:val="00482E83"/>
    <w:rsid w:val="00487B75"/>
    <w:rsid w:val="004A44D8"/>
    <w:rsid w:val="004A62E7"/>
    <w:rsid w:val="004C305E"/>
    <w:rsid w:val="004C359F"/>
    <w:rsid w:val="004F0862"/>
    <w:rsid w:val="004F2C0A"/>
    <w:rsid w:val="004F511E"/>
    <w:rsid w:val="004F5256"/>
    <w:rsid w:val="00512A37"/>
    <w:rsid w:val="00516825"/>
    <w:rsid w:val="00533FCD"/>
    <w:rsid w:val="0054748D"/>
    <w:rsid w:val="005552BB"/>
    <w:rsid w:val="00570597"/>
    <w:rsid w:val="00587403"/>
    <w:rsid w:val="005A1DF3"/>
    <w:rsid w:val="005A4327"/>
    <w:rsid w:val="005A54FF"/>
    <w:rsid w:val="005B2A50"/>
    <w:rsid w:val="005E0851"/>
    <w:rsid w:val="00601034"/>
    <w:rsid w:val="00601080"/>
    <w:rsid w:val="00611B35"/>
    <w:rsid w:val="006138E4"/>
    <w:rsid w:val="00617A68"/>
    <w:rsid w:val="00622C56"/>
    <w:rsid w:val="006436EA"/>
    <w:rsid w:val="00651B1F"/>
    <w:rsid w:val="00654D87"/>
    <w:rsid w:val="00666B1C"/>
    <w:rsid w:val="00667356"/>
    <w:rsid w:val="00672749"/>
    <w:rsid w:val="006765A5"/>
    <w:rsid w:val="00683BA7"/>
    <w:rsid w:val="00685108"/>
    <w:rsid w:val="00690B46"/>
    <w:rsid w:val="006A5FC9"/>
    <w:rsid w:val="006C470B"/>
    <w:rsid w:val="006E0E21"/>
    <w:rsid w:val="006F02F4"/>
    <w:rsid w:val="006F3B89"/>
    <w:rsid w:val="00702AAB"/>
    <w:rsid w:val="00703496"/>
    <w:rsid w:val="00703ECC"/>
    <w:rsid w:val="00706C5E"/>
    <w:rsid w:val="00726E3E"/>
    <w:rsid w:val="00735D08"/>
    <w:rsid w:val="007368FD"/>
    <w:rsid w:val="007635B3"/>
    <w:rsid w:val="0078077F"/>
    <w:rsid w:val="00784E0E"/>
    <w:rsid w:val="00797DC7"/>
    <w:rsid w:val="007A0FDD"/>
    <w:rsid w:val="007A5E63"/>
    <w:rsid w:val="007C15AF"/>
    <w:rsid w:val="007D17FC"/>
    <w:rsid w:val="007D3784"/>
    <w:rsid w:val="007F5DDC"/>
    <w:rsid w:val="0080100C"/>
    <w:rsid w:val="00807F2C"/>
    <w:rsid w:val="00811D44"/>
    <w:rsid w:val="00812DB0"/>
    <w:rsid w:val="00825857"/>
    <w:rsid w:val="0084372C"/>
    <w:rsid w:val="00856218"/>
    <w:rsid w:val="00865BF3"/>
    <w:rsid w:val="00873CE8"/>
    <w:rsid w:val="0088018B"/>
    <w:rsid w:val="008841AE"/>
    <w:rsid w:val="008A0F2D"/>
    <w:rsid w:val="008A3520"/>
    <w:rsid w:val="008A3A74"/>
    <w:rsid w:val="008A63E6"/>
    <w:rsid w:val="008A73F1"/>
    <w:rsid w:val="008A73F8"/>
    <w:rsid w:val="008C7910"/>
    <w:rsid w:val="008D309B"/>
    <w:rsid w:val="008D4FC9"/>
    <w:rsid w:val="0090312A"/>
    <w:rsid w:val="00921CFE"/>
    <w:rsid w:val="00923486"/>
    <w:rsid w:val="0093667A"/>
    <w:rsid w:val="00937432"/>
    <w:rsid w:val="009422CE"/>
    <w:rsid w:val="00956685"/>
    <w:rsid w:val="00957E12"/>
    <w:rsid w:val="00961C08"/>
    <w:rsid w:val="00972CED"/>
    <w:rsid w:val="00990EC2"/>
    <w:rsid w:val="009A2415"/>
    <w:rsid w:val="009C50ED"/>
    <w:rsid w:val="009C72A0"/>
    <w:rsid w:val="009D0B4A"/>
    <w:rsid w:val="009D13AE"/>
    <w:rsid w:val="00A02A72"/>
    <w:rsid w:val="00A054FB"/>
    <w:rsid w:val="00A05FB0"/>
    <w:rsid w:val="00A06500"/>
    <w:rsid w:val="00A06DED"/>
    <w:rsid w:val="00A10F21"/>
    <w:rsid w:val="00A13B0D"/>
    <w:rsid w:val="00A16128"/>
    <w:rsid w:val="00A2076A"/>
    <w:rsid w:val="00A37B41"/>
    <w:rsid w:val="00A434BE"/>
    <w:rsid w:val="00A451DC"/>
    <w:rsid w:val="00A51B39"/>
    <w:rsid w:val="00A6276E"/>
    <w:rsid w:val="00A62BF8"/>
    <w:rsid w:val="00A63691"/>
    <w:rsid w:val="00A8783A"/>
    <w:rsid w:val="00A91F71"/>
    <w:rsid w:val="00A94427"/>
    <w:rsid w:val="00A965DD"/>
    <w:rsid w:val="00A975BA"/>
    <w:rsid w:val="00AA7515"/>
    <w:rsid w:val="00AB072C"/>
    <w:rsid w:val="00AB0EE6"/>
    <w:rsid w:val="00AB117A"/>
    <w:rsid w:val="00AC1142"/>
    <w:rsid w:val="00AD1AA4"/>
    <w:rsid w:val="00AD2C3D"/>
    <w:rsid w:val="00AF014A"/>
    <w:rsid w:val="00AF228E"/>
    <w:rsid w:val="00AF40FE"/>
    <w:rsid w:val="00B02E7F"/>
    <w:rsid w:val="00B02F35"/>
    <w:rsid w:val="00B267A1"/>
    <w:rsid w:val="00B32B89"/>
    <w:rsid w:val="00B34F22"/>
    <w:rsid w:val="00B44F7D"/>
    <w:rsid w:val="00B76D1F"/>
    <w:rsid w:val="00B81E7C"/>
    <w:rsid w:val="00B866F8"/>
    <w:rsid w:val="00B87696"/>
    <w:rsid w:val="00B9020F"/>
    <w:rsid w:val="00BA09C3"/>
    <w:rsid w:val="00BB634F"/>
    <w:rsid w:val="00BC796E"/>
    <w:rsid w:val="00BD7B81"/>
    <w:rsid w:val="00BE25EC"/>
    <w:rsid w:val="00BE4B61"/>
    <w:rsid w:val="00BF7759"/>
    <w:rsid w:val="00BF7D5D"/>
    <w:rsid w:val="00C016E6"/>
    <w:rsid w:val="00C11D82"/>
    <w:rsid w:val="00C22E7B"/>
    <w:rsid w:val="00C25E94"/>
    <w:rsid w:val="00C33796"/>
    <w:rsid w:val="00C503DE"/>
    <w:rsid w:val="00C546FC"/>
    <w:rsid w:val="00C64A2E"/>
    <w:rsid w:val="00C70274"/>
    <w:rsid w:val="00C922BE"/>
    <w:rsid w:val="00C95792"/>
    <w:rsid w:val="00CB213F"/>
    <w:rsid w:val="00CC15A4"/>
    <w:rsid w:val="00CC5854"/>
    <w:rsid w:val="00CE6539"/>
    <w:rsid w:val="00CF2C0B"/>
    <w:rsid w:val="00CF57AA"/>
    <w:rsid w:val="00D04FCF"/>
    <w:rsid w:val="00D135BE"/>
    <w:rsid w:val="00D2530D"/>
    <w:rsid w:val="00D416B6"/>
    <w:rsid w:val="00D41C7A"/>
    <w:rsid w:val="00D51CCA"/>
    <w:rsid w:val="00D575CC"/>
    <w:rsid w:val="00D72E7A"/>
    <w:rsid w:val="00D75858"/>
    <w:rsid w:val="00D76620"/>
    <w:rsid w:val="00D9239C"/>
    <w:rsid w:val="00DA0CF7"/>
    <w:rsid w:val="00DB5925"/>
    <w:rsid w:val="00DC2E8E"/>
    <w:rsid w:val="00DC5983"/>
    <w:rsid w:val="00DE576B"/>
    <w:rsid w:val="00DF3D1B"/>
    <w:rsid w:val="00DF3FD9"/>
    <w:rsid w:val="00DF4C7F"/>
    <w:rsid w:val="00E21547"/>
    <w:rsid w:val="00E24058"/>
    <w:rsid w:val="00E26132"/>
    <w:rsid w:val="00E3069D"/>
    <w:rsid w:val="00E43A7D"/>
    <w:rsid w:val="00E441F8"/>
    <w:rsid w:val="00E61848"/>
    <w:rsid w:val="00E61D9D"/>
    <w:rsid w:val="00E6692C"/>
    <w:rsid w:val="00E95726"/>
    <w:rsid w:val="00E96643"/>
    <w:rsid w:val="00EA38AD"/>
    <w:rsid w:val="00EB2B08"/>
    <w:rsid w:val="00EB4EDB"/>
    <w:rsid w:val="00EC7363"/>
    <w:rsid w:val="00ED62DF"/>
    <w:rsid w:val="00EE04F5"/>
    <w:rsid w:val="00F03AAC"/>
    <w:rsid w:val="00F045AE"/>
    <w:rsid w:val="00F10BF9"/>
    <w:rsid w:val="00F11FC5"/>
    <w:rsid w:val="00F415D2"/>
    <w:rsid w:val="00F43832"/>
    <w:rsid w:val="00F51995"/>
    <w:rsid w:val="00F53E10"/>
    <w:rsid w:val="00F55D35"/>
    <w:rsid w:val="00F655E9"/>
    <w:rsid w:val="00F72154"/>
    <w:rsid w:val="00F73399"/>
    <w:rsid w:val="00F922A4"/>
    <w:rsid w:val="00F92AB3"/>
    <w:rsid w:val="00F942C0"/>
    <w:rsid w:val="00F953A3"/>
    <w:rsid w:val="00F95E0E"/>
    <w:rsid w:val="00FC6853"/>
    <w:rsid w:val="00FC7DAD"/>
    <w:rsid w:val="00FD5AFA"/>
    <w:rsid w:val="00FE4ACA"/>
    <w:rsid w:val="00FF4257"/>
    <w:rsid w:val="00FF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5981371"/>
  <w15:chartTrackingRefBased/>
  <w15:docId w15:val="{D1882F6B-158E-4B01-92A2-454AE188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70B"/>
    <w:rPr>
      <w:rFonts w:ascii="CG Times (WN)" w:hAnsi="CG Times (WN)"/>
      <w:sz w:val="24"/>
    </w:rPr>
  </w:style>
  <w:style w:type="paragraph" w:styleId="Heading1">
    <w:name w:val="heading 1"/>
    <w:basedOn w:val="Normal"/>
    <w:next w:val="Normal"/>
    <w:qFormat/>
    <w:rsid w:val="006C470B"/>
    <w:pPr>
      <w:keepNext/>
      <w:tabs>
        <w:tab w:val="left" w:pos="360"/>
        <w:tab w:val="left" w:pos="720"/>
        <w:tab w:val="left" w:pos="1080"/>
        <w:tab w:val="left" w:pos="1440"/>
        <w:tab w:val="left" w:pos="1800"/>
        <w:tab w:val="left" w:pos="2160"/>
        <w:tab w:val="left" w:pos="2520"/>
      </w:tabs>
      <w:spacing w:line="240" w:lineRule="atLeast"/>
      <w:outlineLvl w:val="0"/>
    </w:pPr>
    <w:rPr>
      <w:rFonts w:ascii="Times New Roman" w:hAnsi="Times New Roman"/>
      <w:b/>
      <w:sz w:val="22"/>
    </w:rPr>
  </w:style>
  <w:style w:type="paragraph" w:styleId="Heading2">
    <w:name w:val="heading 2"/>
    <w:basedOn w:val="Normal"/>
    <w:next w:val="Normal"/>
    <w:link w:val="Heading2Char"/>
    <w:semiHidden/>
    <w:unhideWhenUsed/>
    <w:qFormat/>
    <w:rsid w:val="005A54FF"/>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C470B"/>
    <w:pPr>
      <w:tabs>
        <w:tab w:val="center" w:pos="4320"/>
        <w:tab w:val="right" w:pos="8640"/>
      </w:tabs>
    </w:pPr>
  </w:style>
  <w:style w:type="paragraph" w:styleId="Header">
    <w:name w:val="header"/>
    <w:basedOn w:val="Normal"/>
    <w:rsid w:val="006C470B"/>
    <w:pPr>
      <w:tabs>
        <w:tab w:val="center" w:pos="4320"/>
        <w:tab w:val="right" w:pos="8640"/>
      </w:tabs>
    </w:pPr>
  </w:style>
  <w:style w:type="paragraph" w:customStyle="1" w:styleId="RulesSub-section">
    <w:name w:val="Rules: Sub-section"/>
    <w:basedOn w:val="Normal"/>
    <w:rsid w:val="006C470B"/>
    <w:pPr>
      <w:ind w:left="720" w:hanging="360"/>
      <w:jc w:val="both"/>
    </w:pPr>
    <w:rPr>
      <w:rFonts w:ascii="Times New Roman" w:hAnsi="Times New Roman"/>
      <w:sz w:val="22"/>
    </w:rPr>
  </w:style>
  <w:style w:type="paragraph" w:customStyle="1" w:styleId="RulesParagraph">
    <w:name w:val="Rules: Paragraph"/>
    <w:basedOn w:val="Normal"/>
    <w:rsid w:val="006C470B"/>
    <w:pPr>
      <w:ind w:left="1080" w:hanging="360"/>
      <w:jc w:val="both"/>
    </w:pPr>
    <w:rPr>
      <w:rFonts w:ascii="Times New Roman" w:hAnsi="Times New Roman"/>
      <w:sz w:val="22"/>
    </w:rPr>
  </w:style>
  <w:style w:type="paragraph" w:customStyle="1" w:styleId="RulesSection">
    <w:name w:val="Rules: Section"/>
    <w:basedOn w:val="Normal"/>
    <w:rsid w:val="006C470B"/>
    <w:pPr>
      <w:ind w:left="360" w:hanging="360"/>
      <w:jc w:val="both"/>
    </w:pPr>
    <w:rPr>
      <w:rFonts w:ascii="Times New Roman" w:hAnsi="Times New Roman"/>
      <w:sz w:val="22"/>
    </w:rPr>
  </w:style>
  <w:style w:type="character" w:styleId="PageNumber">
    <w:name w:val="page number"/>
    <w:basedOn w:val="DefaultParagraphFont"/>
    <w:rsid w:val="006C470B"/>
  </w:style>
  <w:style w:type="paragraph" w:styleId="BodyTextIndent">
    <w:name w:val="Body Text Indent"/>
    <w:basedOn w:val="Normal"/>
    <w:rsid w:val="006C470B"/>
    <w:pPr>
      <w:spacing w:line="240" w:lineRule="atLeast"/>
      <w:ind w:left="2160"/>
      <w:jc w:val="both"/>
    </w:pPr>
    <w:rPr>
      <w:rFonts w:ascii="Times New Roman" w:hAnsi="Times New Roman"/>
      <w:sz w:val="22"/>
    </w:rPr>
  </w:style>
  <w:style w:type="paragraph" w:customStyle="1" w:styleId="RulesHeader">
    <w:name w:val="Rules: Header"/>
    <w:basedOn w:val="Normal"/>
    <w:rsid w:val="006C470B"/>
    <w:pPr>
      <w:tabs>
        <w:tab w:val="left" w:pos="360"/>
        <w:tab w:val="left" w:pos="720"/>
        <w:tab w:val="left" w:pos="1080"/>
        <w:tab w:val="left" w:pos="1440"/>
        <w:tab w:val="left" w:pos="1800"/>
        <w:tab w:val="left" w:pos="2160"/>
      </w:tabs>
      <w:spacing w:line="240" w:lineRule="atLeast"/>
      <w:ind w:left="2160" w:hanging="2160"/>
      <w:jc w:val="both"/>
    </w:pPr>
    <w:rPr>
      <w:rFonts w:ascii="Times New Roman" w:hAnsi="Times New Roman"/>
      <w:sz w:val="22"/>
    </w:rPr>
  </w:style>
  <w:style w:type="paragraph" w:customStyle="1" w:styleId="RulesFootertext">
    <w:name w:val="Rules: Footer text"/>
    <w:basedOn w:val="Normal"/>
    <w:rsid w:val="006C470B"/>
    <w:pPr>
      <w:tabs>
        <w:tab w:val="left" w:pos="360"/>
        <w:tab w:val="left" w:pos="720"/>
        <w:tab w:val="left" w:pos="1080"/>
        <w:tab w:val="left" w:pos="1440"/>
        <w:tab w:val="left" w:pos="1800"/>
        <w:tab w:val="left" w:pos="2160"/>
      </w:tabs>
      <w:spacing w:line="240" w:lineRule="atLeast"/>
      <w:jc w:val="center"/>
    </w:pPr>
    <w:rPr>
      <w:rFonts w:ascii="Times New Roman" w:hAnsi="Times New Roman"/>
      <w:sz w:val="22"/>
    </w:rPr>
  </w:style>
  <w:style w:type="paragraph" w:customStyle="1" w:styleId="RulesAuthorityEffec">
    <w:name w:val="Rules: Authority &amp; Effec"/>
    <w:basedOn w:val="Normal"/>
    <w:rsid w:val="006C470B"/>
    <w:pPr>
      <w:ind w:left="4320" w:hanging="2160"/>
      <w:jc w:val="both"/>
    </w:pPr>
    <w:rPr>
      <w:rFonts w:ascii="Times New Roman" w:hAnsi="Times New Roman"/>
      <w:sz w:val="22"/>
    </w:rPr>
  </w:style>
  <w:style w:type="character" w:styleId="Hyperlink">
    <w:name w:val="Hyperlink"/>
    <w:rsid w:val="006C470B"/>
    <w:rPr>
      <w:color w:val="0000FF"/>
      <w:u w:val="single"/>
    </w:rPr>
  </w:style>
  <w:style w:type="paragraph" w:styleId="BalloonText">
    <w:name w:val="Balloon Text"/>
    <w:basedOn w:val="Normal"/>
    <w:semiHidden/>
    <w:rsid w:val="00D51CCA"/>
    <w:rPr>
      <w:rFonts w:ascii="Tahoma" w:hAnsi="Tahoma" w:cs="Tahoma"/>
      <w:sz w:val="16"/>
      <w:szCs w:val="16"/>
    </w:rPr>
  </w:style>
  <w:style w:type="character" w:styleId="CommentReference">
    <w:name w:val="annotation reference"/>
    <w:semiHidden/>
    <w:rsid w:val="003C534D"/>
    <w:rPr>
      <w:sz w:val="16"/>
      <w:szCs w:val="16"/>
    </w:rPr>
  </w:style>
  <w:style w:type="paragraph" w:styleId="CommentText">
    <w:name w:val="annotation text"/>
    <w:basedOn w:val="Normal"/>
    <w:link w:val="CommentTextChar"/>
    <w:semiHidden/>
    <w:rsid w:val="003C534D"/>
    <w:rPr>
      <w:sz w:val="20"/>
    </w:rPr>
  </w:style>
  <w:style w:type="paragraph" w:styleId="CommentSubject">
    <w:name w:val="annotation subject"/>
    <w:basedOn w:val="CommentText"/>
    <w:next w:val="CommentText"/>
    <w:semiHidden/>
    <w:rsid w:val="003C534D"/>
    <w:rPr>
      <w:b/>
      <w:bCs/>
    </w:rPr>
  </w:style>
  <w:style w:type="paragraph" w:customStyle="1" w:styleId="RulesBasisStatement">
    <w:name w:val="Rules: Basis Statement"/>
    <w:basedOn w:val="Normal"/>
    <w:rsid w:val="00022E17"/>
    <w:pPr>
      <w:jc w:val="both"/>
    </w:pPr>
    <w:rPr>
      <w:rFonts w:ascii="CG Times" w:hAnsi="CG Times"/>
      <w:sz w:val="22"/>
    </w:rPr>
  </w:style>
  <w:style w:type="paragraph" w:styleId="BodyText">
    <w:name w:val="Body Text"/>
    <w:basedOn w:val="Normal"/>
    <w:rsid w:val="00022E17"/>
    <w:pPr>
      <w:spacing w:after="120"/>
    </w:pPr>
  </w:style>
  <w:style w:type="paragraph" w:styleId="Revision">
    <w:name w:val="Revision"/>
    <w:hidden/>
    <w:uiPriority w:val="99"/>
    <w:semiHidden/>
    <w:rsid w:val="00AA7515"/>
    <w:rPr>
      <w:rFonts w:ascii="CG Times (WN)" w:hAnsi="CG Times (WN)"/>
      <w:sz w:val="24"/>
    </w:rPr>
  </w:style>
  <w:style w:type="paragraph" w:styleId="ListParagraph">
    <w:name w:val="List Paragraph"/>
    <w:basedOn w:val="Normal"/>
    <w:uiPriority w:val="34"/>
    <w:qFormat/>
    <w:rsid w:val="001302FA"/>
    <w:pPr>
      <w:ind w:left="720"/>
      <w:contextualSpacing/>
    </w:pPr>
  </w:style>
  <w:style w:type="paragraph" w:customStyle="1" w:styleId="RuleLevel1">
    <w:name w:val="Rule Level 1"/>
    <w:basedOn w:val="Heading2"/>
    <w:link w:val="RuleLevel1Char"/>
    <w:qFormat/>
    <w:rsid w:val="005A54FF"/>
    <w:pPr>
      <w:numPr>
        <w:numId w:val="5"/>
      </w:numPr>
      <w:spacing w:before="0"/>
    </w:pPr>
    <w:rPr>
      <w:rFonts w:ascii="Times New Roman" w:hAnsi="Times New Roman"/>
      <w:b/>
      <w:color w:val="auto"/>
      <w:sz w:val="24"/>
      <w:szCs w:val="24"/>
    </w:rPr>
  </w:style>
  <w:style w:type="character" w:customStyle="1" w:styleId="Heading2Char">
    <w:name w:val="Heading 2 Char"/>
    <w:basedOn w:val="DefaultParagraphFont"/>
    <w:link w:val="Heading2"/>
    <w:semiHidden/>
    <w:rsid w:val="005A54FF"/>
    <w:rPr>
      <w:rFonts w:asciiTheme="majorHAnsi" w:eastAsiaTheme="majorEastAsia" w:hAnsiTheme="majorHAnsi" w:cstheme="majorBidi"/>
      <w:color w:val="0F4761" w:themeColor="accent1" w:themeShade="BF"/>
      <w:sz w:val="26"/>
      <w:szCs w:val="26"/>
    </w:rPr>
  </w:style>
  <w:style w:type="character" w:customStyle="1" w:styleId="RuleLevel1Char">
    <w:name w:val="Rule Level 1 Char"/>
    <w:basedOn w:val="Heading2Char"/>
    <w:link w:val="RuleLevel1"/>
    <w:rsid w:val="005A54FF"/>
    <w:rPr>
      <w:rFonts w:asciiTheme="majorHAnsi" w:eastAsiaTheme="majorEastAsia" w:hAnsiTheme="majorHAnsi" w:cstheme="majorBidi"/>
      <w:b/>
      <w:color w:val="0F4761" w:themeColor="accent1" w:themeShade="BF"/>
      <w:sz w:val="24"/>
      <w:szCs w:val="24"/>
    </w:rPr>
  </w:style>
  <w:style w:type="paragraph" w:customStyle="1" w:styleId="RuleHeading2">
    <w:name w:val="Rule Heading 2"/>
    <w:basedOn w:val="Heading2"/>
    <w:link w:val="RuleHeading2Char"/>
    <w:qFormat/>
    <w:rsid w:val="00683BA7"/>
    <w:pPr>
      <w:tabs>
        <w:tab w:val="num" w:pos="360"/>
      </w:tabs>
      <w:spacing w:before="0"/>
      <w:ind w:left="360" w:hanging="360"/>
    </w:pPr>
    <w:rPr>
      <w:b/>
      <w:sz w:val="22"/>
      <w:szCs w:val="22"/>
    </w:rPr>
  </w:style>
  <w:style w:type="character" w:customStyle="1" w:styleId="RuleHeading2Char">
    <w:name w:val="Rule Heading 2 Char"/>
    <w:basedOn w:val="Heading2Char"/>
    <w:link w:val="RuleHeading2"/>
    <w:rsid w:val="00683BA7"/>
    <w:rPr>
      <w:rFonts w:asciiTheme="majorHAnsi" w:eastAsiaTheme="majorEastAsia" w:hAnsiTheme="majorHAnsi" w:cstheme="majorBidi"/>
      <w:b/>
      <w:color w:val="0F4761" w:themeColor="accent1" w:themeShade="BF"/>
      <w:sz w:val="22"/>
      <w:szCs w:val="22"/>
    </w:rPr>
  </w:style>
  <w:style w:type="character" w:customStyle="1" w:styleId="CommentTextChar">
    <w:name w:val="Comment Text Char"/>
    <w:basedOn w:val="DefaultParagraphFont"/>
    <w:link w:val="CommentText"/>
    <w:semiHidden/>
    <w:rsid w:val="00856218"/>
    <w:rPr>
      <w:rFonts w:ascii="CG Times (WN)" w:hAnsi="CG Times (W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E63BAA1434E54981B46BDE8F808C4C" ma:contentTypeVersion="9" ma:contentTypeDescription="Create a new document." ma:contentTypeScope="" ma:versionID="3e184c08a8240652f4c537ce2c6b81cf">
  <xsd:schema xmlns:xsd="http://www.w3.org/2001/XMLSchema" xmlns:xs="http://www.w3.org/2001/XMLSchema" xmlns:p="http://schemas.microsoft.com/office/2006/metadata/properties" xmlns:ns3="3f13a62e-f332-4dbf-b98d-2d9909485505" targetNamespace="http://schemas.microsoft.com/office/2006/metadata/properties" ma:root="true" ma:fieldsID="1b2c582b8ec7a69c4d98b34b15d08083" ns3:_="">
    <xsd:import namespace="3f13a62e-f332-4dbf-b98d-2d99094855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3a62e-f332-4dbf-b98d-2d9909485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F76490-BC4E-43B4-96C9-AD8A44BD99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D2266B-E765-4FC3-A333-421C24431749}">
  <ds:schemaRefs>
    <ds:schemaRef ds:uri="http://schemas.microsoft.com/sharepoint/v3/contenttype/forms"/>
  </ds:schemaRefs>
</ds:datastoreItem>
</file>

<file path=customXml/itemProps3.xml><?xml version="1.0" encoding="utf-8"?>
<ds:datastoreItem xmlns:ds="http://schemas.openxmlformats.org/officeDocument/2006/customXml" ds:itemID="{D2EB5994-AFC8-4602-8F33-D88537E49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3a62e-f332-4dbf-b98d-2d9909485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3562</Words>
  <Characters>19032</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Chapter 149:</vt:lpstr>
    </vt:vector>
  </TitlesOfParts>
  <Company>Dept. of Health and Human Services</Company>
  <LinksUpToDate>false</LinksUpToDate>
  <CharactersWithSpaces>22549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149:</dc:title>
  <dc:subject/>
  <dc:creator>OIT</dc:creator>
  <cp:keywords/>
  <dc:description/>
  <cp:lastModifiedBy>Parr, J.Chris</cp:lastModifiedBy>
  <cp:revision>4</cp:revision>
  <cp:lastPrinted>2025-05-15T11:35:00Z</cp:lastPrinted>
  <dcterms:created xsi:type="dcterms:W3CDTF">2025-10-15T15:42:00Z</dcterms:created>
  <dcterms:modified xsi:type="dcterms:W3CDTF">2025-12-04T17:56:00Z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0x010100EBE63BAA1434E54981B46BDE8F808C4C</vt:lpwstr>
  </property>
</Properties>
</file>