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408B" w14:textId="77777777" w:rsidR="00A43625" w:rsidRPr="00574F21" w:rsidRDefault="00A43625" w:rsidP="00574F21">
      <w:pPr>
        <w:pStyle w:val="Heading1"/>
        <w:rPr>
          <w:rFonts w:ascii="Times New Roman" w:hAnsi="Times New Roman"/>
          <w:b/>
          <w:bCs/>
          <w:sz w:val="24"/>
          <w:szCs w:val="32"/>
        </w:rPr>
      </w:pPr>
      <w:r w:rsidRPr="00574F21">
        <w:rPr>
          <w:rFonts w:ascii="Times New Roman" w:hAnsi="Times New Roman"/>
          <w:b/>
          <w:bCs/>
          <w:sz w:val="24"/>
          <w:szCs w:val="32"/>
        </w:rPr>
        <w:t>Chapter 127:</w:t>
      </w:r>
      <w:r w:rsidRPr="00574F21">
        <w:rPr>
          <w:rFonts w:ascii="Times New Roman" w:hAnsi="Times New Roman"/>
          <w:b/>
          <w:bCs/>
          <w:sz w:val="24"/>
          <w:szCs w:val="32"/>
        </w:rPr>
        <w:tab/>
        <w:t>NEW MOTOR VEHICLE EMISSION STANDARDS</w:t>
      </w:r>
    </w:p>
    <w:p w14:paraId="1A270A23"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66BC9AEF" w14:textId="77777777" w:rsidR="00A43625" w:rsidRDefault="00A43625" w:rsidP="00A245E0">
      <w:pPr>
        <w:pStyle w:val="RulesSummary"/>
        <w:jc w:val="left"/>
      </w:pPr>
      <w:r w:rsidRPr="004329B2">
        <w:rPr>
          <w:b/>
        </w:rPr>
        <w:t>SUMMARY</w:t>
      </w:r>
      <w:r>
        <w:t>:</w:t>
      </w:r>
      <w:r w:rsidR="00355A4F">
        <w:t xml:space="preserve"> </w:t>
      </w:r>
      <w:r>
        <w:t>This regulation establishes motor vehicle emission standards for new passenger cars, light duty trucks, medium duty vehicles, and heavy-duty diesel vehicles.</w:t>
      </w:r>
    </w:p>
    <w:p w14:paraId="6C90A1D5"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039D4E83"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44D99AE2" w14:textId="77777777" w:rsidR="00355A4F" w:rsidRDefault="00A43625">
      <w:pPr>
        <w:pStyle w:val="RulesSection"/>
        <w:numPr>
          <w:ilvl w:val="0"/>
          <w:numId w:val="1"/>
        </w:numPr>
        <w:rPr>
          <w:b/>
        </w:rPr>
      </w:pPr>
      <w:r>
        <w:rPr>
          <w:b/>
        </w:rPr>
        <w:t>Scope</w:t>
      </w:r>
      <w:r w:rsidRPr="001467CA">
        <w:t>/</w:t>
      </w:r>
      <w:r>
        <w:rPr>
          <w:b/>
        </w:rPr>
        <w:t>Applicability</w:t>
      </w:r>
    </w:p>
    <w:p w14:paraId="6B1798C8" w14:textId="77777777" w:rsidR="00A43625" w:rsidRDefault="00A43625">
      <w:pPr>
        <w:pStyle w:val="RulesSection"/>
        <w:ind w:left="0" w:firstLine="0"/>
      </w:pPr>
    </w:p>
    <w:p w14:paraId="034D11D8" w14:textId="77777777" w:rsidR="00A43625" w:rsidRDefault="00A43625" w:rsidP="00A245E0">
      <w:pPr>
        <w:pStyle w:val="RulesSection"/>
        <w:numPr>
          <w:ilvl w:val="0"/>
          <w:numId w:val="5"/>
        </w:numPr>
        <w:jc w:val="left"/>
      </w:pPr>
      <w:r>
        <w:t>This regulation applies statewide.</w:t>
      </w:r>
    </w:p>
    <w:p w14:paraId="3EB22F36" w14:textId="77777777" w:rsidR="00A43625" w:rsidRDefault="00A43625" w:rsidP="00A245E0">
      <w:pPr>
        <w:pStyle w:val="RulesSection"/>
        <w:jc w:val="left"/>
      </w:pPr>
    </w:p>
    <w:p w14:paraId="54C9F6BF" w14:textId="77777777" w:rsidR="00A43625" w:rsidRDefault="00A43625" w:rsidP="00A245E0">
      <w:pPr>
        <w:pStyle w:val="RulesSection"/>
        <w:numPr>
          <w:ilvl w:val="0"/>
          <w:numId w:val="5"/>
        </w:numPr>
        <w:jc w:val="left"/>
      </w:pPr>
      <w:r>
        <w:t>This regulation applies to:</w:t>
      </w:r>
    </w:p>
    <w:p w14:paraId="630BDCD8" w14:textId="77777777" w:rsidR="00A43625" w:rsidRDefault="00A43625" w:rsidP="00A245E0">
      <w:pPr>
        <w:pStyle w:val="RulesSection"/>
        <w:ind w:left="0" w:firstLine="0"/>
        <w:jc w:val="left"/>
      </w:pPr>
    </w:p>
    <w:p w14:paraId="5924340B" w14:textId="77777777" w:rsidR="00A43625" w:rsidRDefault="00A43625" w:rsidP="00A245E0">
      <w:pPr>
        <w:pStyle w:val="RulesSection"/>
        <w:numPr>
          <w:ilvl w:val="0"/>
          <w:numId w:val="25"/>
        </w:numPr>
        <w:jc w:val="left"/>
        <w:rPr>
          <w:color w:val="000000"/>
        </w:rPr>
      </w:pPr>
      <w:r>
        <w:rPr>
          <w:color w:val="000000"/>
        </w:rPr>
        <w:t>Any 2001 and subsequent model-year passenger cars, light duty trucks or 2003 and subsequent model-year medium-duty vehicles, and 2005 and 2006 model-year heavy-duty diesel engines and vehicles.</w:t>
      </w:r>
    </w:p>
    <w:p w14:paraId="5CED6136" w14:textId="77777777" w:rsidR="00A43625" w:rsidRDefault="00A43625" w:rsidP="00A245E0">
      <w:pPr>
        <w:pStyle w:val="RulesSection"/>
        <w:ind w:left="720" w:hanging="720"/>
        <w:jc w:val="left"/>
        <w:rPr>
          <w:color w:val="000000"/>
        </w:rPr>
      </w:pPr>
    </w:p>
    <w:p w14:paraId="19B73EF1" w14:textId="77777777" w:rsidR="00A43625" w:rsidRDefault="00A43625" w:rsidP="00A245E0">
      <w:pPr>
        <w:pStyle w:val="RulesSection"/>
        <w:numPr>
          <w:ilvl w:val="0"/>
          <w:numId w:val="25"/>
        </w:numPr>
        <w:jc w:val="left"/>
        <w:rPr>
          <w:color w:val="000000"/>
        </w:rPr>
      </w:pPr>
      <w:r>
        <w:rPr>
          <w:color w:val="000000"/>
        </w:rPr>
        <w:t>All 2008 and subsequent model</w:t>
      </w:r>
      <w:r w:rsidR="0025605A">
        <w:rPr>
          <w:color w:val="000000"/>
        </w:rPr>
        <w:t xml:space="preserve"> </w:t>
      </w:r>
      <w:r>
        <w:rPr>
          <w:color w:val="000000"/>
        </w:rPr>
        <w:t>year</w:t>
      </w:r>
      <w:r>
        <w:rPr>
          <w:rFonts w:ascii="CG Times" w:hAnsi="CG Times"/>
        </w:rPr>
        <w:t xml:space="preserve"> heavy duty diesel engines</w:t>
      </w:r>
      <w:r w:rsidR="0086431A" w:rsidRPr="0086431A">
        <w:rPr>
          <w:rFonts w:ascii="CG Times" w:hAnsi="CG Times"/>
        </w:rPr>
        <w:t xml:space="preserve"> </w:t>
      </w:r>
      <w:r w:rsidR="0086431A">
        <w:rPr>
          <w:rFonts w:ascii="CG Times" w:hAnsi="CG Times"/>
        </w:rPr>
        <w:t>and vehicles</w:t>
      </w:r>
      <w:r>
        <w:rPr>
          <w:rFonts w:ascii="CG Times" w:hAnsi="CG Times"/>
        </w:rPr>
        <w:t>.</w:t>
      </w:r>
    </w:p>
    <w:p w14:paraId="25F673BA" w14:textId="77777777" w:rsidR="00A43625" w:rsidRDefault="00A43625" w:rsidP="00A245E0">
      <w:pPr>
        <w:pStyle w:val="RulesSection"/>
        <w:jc w:val="left"/>
        <w:rPr>
          <w:color w:val="000000"/>
        </w:rPr>
      </w:pPr>
    </w:p>
    <w:p w14:paraId="7AC267AE" w14:textId="77777777" w:rsidR="00A43625" w:rsidRDefault="00A43625" w:rsidP="00A245E0">
      <w:pPr>
        <w:pStyle w:val="RulesSection"/>
        <w:numPr>
          <w:ilvl w:val="0"/>
          <w:numId w:val="25"/>
        </w:numPr>
        <w:jc w:val="left"/>
        <w:rPr>
          <w:color w:val="000000"/>
        </w:rPr>
      </w:pPr>
      <w:r>
        <w:rPr>
          <w:rFonts w:ascii="CG Times" w:hAnsi="CG Times"/>
        </w:rPr>
        <w:t>Beginning with Model Year 2009, manufacturers must meet the Zero Emissions Vehicle sales requirement</w:t>
      </w:r>
      <w:r>
        <w:rPr>
          <w:color w:val="000000"/>
        </w:rPr>
        <w:t>.</w:t>
      </w:r>
    </w:p>
    <w:p w14:paraId="0F10787F" w14:textId="77777777" w:rsidR="00636DA3" w:rsidRDefault="00636DA3" w:rsidP="00A245E0">
      <w:pPr>
        <w:pStyle w:val="RulesSection"/>
        <w:ind w:left="0" w:firstLine="0"/>
        <w:jc w:val="left"/>
        <w:rPr>
          <w:color w:val="000000"/>
        </w:rPr>
      </w:pPr>
    </w:p>
    <w:p w14:paraId="05EB6466" w14:textId="77777777" w:rsidR="00636DA3" w:rsidRDefault="00636DA3" w:rsidP="00A245E0">
      <w:pPr>
        <w:pStyle w:val="RulesSection"/>
        <w:numPr>
          <w:ilvl w:val="0"/>
          <w:numId w:val="25"/>
        </w:numPr>
        <w:jc w:val="left"/>
        <w:rPr>
          <w:color w:val="000000"/>
        </w:rPr>
      </w:pPr>
      <w:r>
        <w:rPr>
          <w:rFonts w:ascii="CG Times" w:hAnsi="CG Times"/>
        </w:rPr>
        <w:t xml:space="preserve">Beginning with Model Year 2009, manufacturers must meet the </w:t>
      </w:r>
      <w:r w:rsidR="005D20B4">
        <w:rPr>
          <w:rFonts w:ascii="CG Times" w:hAnsi="CG Times"/>
        </w:rPr>
        <w:t>g</w:t>
      </w:r>
      <w:r>
        <w:rPr>
          <w:rFonts w:ascii="CG Times" w:hAnsi="CG Times"/>
        </w:rPr>
        <w:t>reen</w:t>
      </w:r>
      <w:r w:rsidR="008E6D8A">
        <w:rPr>
          <w:rFonts w:ascii="CG Times" w:hAnsi="CG Times"/>
        </w:rPr>
        <w:t>h</w:t>
      </w:r>
      <w:r>
        <w:rPr>
          <w:rFonts w:ascii="CG Times" w:hAnsi="CG Times"/>
        </w:rPr>
        <w:t>ouse gas emission standards</w:t>
      </w:r>
      <w:r w:rsidR="0086431A">
        <w:rPr>
          <w:rFonts w:ascii="CG Times" w:hAnsi="CG Times"/>
        </w:rPr>
        <w:t xml:space="preserve"> </w:t>
      </w:r>
      <w:r w:rsidR="0086431A" w:rsidRPr="00DB67FD">
        <w:rPr>
          <w:rFonts w:ascii="CG Times" w:hAnsi="CG Times"/>
        </w:rPr>
        <w:t xml:space="preserve">for passenger cars, light-duty and medium duty </w:t>
      </w:r>
      <w:r w:rsidR="004B517D" w:rsidRPr="00DB67FD">
        <w:rPr>
          <w:rFonts w:ascii="CG Times" w:hAnsi="CG Times"/>
        </w:rPr>
        <w:t xml:space="preserve">passenger </w:t>
      </w:r>
      <w:r w:rsidR="0086431A" w:rsidRPr="00DB67FD">
        <w:rPr>
          <w:rFonts w:ascii="CG Times" w:hAnsi="CG Times"/>
        </w:rPr>
        <w:t>vehicles</w:t>
      </w:r>
      <w:r w:rsidR="0086431A">
        <w:rPr>
          <w:rFonts w:ascii="CG Times" w:hAnsi="CG Times"/>
        </w:rPr>
        <w:t>.</w:t>
      </w:r>
    </w:p>
    <w:p w14:paraId="327762BD" w14:textId="77777777" w:rsidR="00A43625" w:rsidRDefault="00A43625" w:rsidP="00A245E0">
      <w:pPr>
        <w:pStyle w:val="RulesSection"/>
        <w:ind w:left="0" w:firstLine="0"/>
        <w:jc w:val="left"/>
      </w:pPr>
    </w:p>
    <w:p w14:paraId="2913C3A7" w14:textId="77777777" w:rsidR="00A43625" w:rsidRDefault="00747E11">
      <w:pPr>
        <w:pStyle w:val="RulesSection"/>
        <w:rPr>
          <w:b/>
        </w:rPr>
      </w:pPr>
      <w:r>
        <w:rPr>
          <w:b/>
        </w:rPr>
        <w:t>2.</w:t>
      </w:r>
      <w:r>
        <w:rPr>
          <w:b/>
        </w:rPr>
        <w:tab/>
        <w:t>Definitions</w:t>
      </w:r>
    </w:p>
    <w:p w14:paraId="7645B315" w14:textId="77777777" w:rsidR="00636DA3" w:rsidRPr="00DB67FD" w:rsidRDefault="00636DA3" w:rsidP="00636DA3">
      <w:pPr>
        <w:pStyle w:val="RulesSub-section"/>
        <w:ind w:left="780" w:firstLine="0"/>
      </w:pPr>
    </w:p>
    <w:p w14:paraId="6AF42F87" w14:textId="77777777" w:rsidR="00A43625" w:rsidRDefault="0082425E" w:rsidP="0029676C">
      <w:pPr>
        <w:pStyle w:val="RulesSub-section"/>
        <w:numPr>
          <w:ilvl w:val="0"/>
          <w:numId w:val="11"/>
        </w:numPr>
        <w:jc w:val="left"/>
      </w:pPr>
      <w:r w:rsidRPr="00DB67FD">
        <w:rPr>
          <w:b/>
        </w:rPr>
        <w:t>Add-</w:t>
      </w:r>
      <w:r w:rsidR="0086431A" w:rsidRPr="00DB67FD">
        <w:rPr>
          <w:b/>
        </w:rPr>
        <w:t>o</w:t>
      </w:r>
      <w:r w:rsidRPr="00DB67FD">
        <w:rPr>
          <w:b/>
        </w:rPr>
        <w:t xml:space="preserve">n </w:t>
      </w:r>
      <w:r w:rsidR="0086431A" w:rsidRPr="00DB67FD">
        <w:rPr>
          <w:b/>
        </w:rPr>
        <w:t>p</w:t>
      </w:r>
      <w:r w:rsidRPr="00DB67FD">
        <w:rPr>
          <w:b/>
        </w:rPr>
        <w:t>art.</w:t>
      </w:r>
      <w:r w:rsidR="00355A4F">
        <w:rPr>
          <w:b/>
        </w:rPr>
        <w:t xml:space="preserve"> </w:t>
      </w:r>
      <w:r w:rsidRPr="00DB67FD">
        <w:rPr>
          <w:b/>
        </w:rPr>
        <w:t>“</w:t>
      </w:r>
      <w:r w:rsidRPr="0014393A">
        <w:t>Add-on part</w:t>
      </w:r>
      <w:r>
        <w:rPr>
          <w:b/>
        </w:rPr>
        <w:t xml:space="preserve">” </w:t>
      </w:r>
      <w:r>
        <w:t>means any aftermarket part which is not a modified part or a replacement part</w:t>
      </w:r>
      <w:r w:rsidR="00A43625">
        <w:t>.</w:t>
      </w:r>
    </w:p>
    <w:p w14:paraId="34D03479" w14:textId="77777777" w:rsidR="0082425E" w:rsidRDefault="0082425E" w:rsidP="0029676C">
      <w:pPr>
        <w:pStyle w:val="RulesSub-section"/>
        <w:ind w:left="780" w:firstLine="0"/>
        <w:jc w:val="left"/>
      </w:pPr>
    </w:p>
    <w:p w14:paraId="3279C51F" w14:textId="77777777" w:rsidR="0082425E" w:rsidRDefault="0082425E" w:rsidP="0029676C">
      <w:pPr>
        <w:pStyle w:val="RulesSub-section"/>
        <w:numPr>
          <w:ilvl w:val="0"/>
          <w:numId w:val="11"/>
        </w:numPr>
        <w:jc w:val="left"/>
      </w:pPr>
      <w:r w:rsidRPr="00DB67FD">
        <w:rPr>
          <w:b/>
        </w:rPr>
        <w:t xml:space="preserve">Aftermarket </w:t>
      </w:r>
      <w:r w:rsidR="004B517D" w:rsidRPr="00DB67FD">
        <w:rPr>
          <w:b/>
        </w:rPr>
        <w:t>p</w:t>
      </w:r>
      <w:r w:rsidRPr="00DB67FD">
        <w:rPr>
          <w:b/>
        </w:rPr>
        <w:t>art</w:t>
      </w:r>
      <w:r>
        <w:rPr>
          <w:b/>
        </w:rPr>
        <w:t>.</w:t>
      </w:r>
      <w:r w:rsidR="00355A4F">
        <w:rPr>
          <w:b/>
        </w:rPr>
        <w:t xml:space="preserve"> </w:t>
      </w:r>
      <w:r>
        <w:t>“Aftermarket part” means any part of a motor vehicle emission control system sold for installation on a vehicle after the original retail sale of the vehicle.</w:t>
      </w:r>
    </w:p>
    <w:p w14:paraId="048C14D3" w14:textId="77777777" w:rsidR="00157FFD" w:rsidRDefault="00157FFD" w:rsidP="0029676C">
      <w:pPr>
        <w:pStyle w:val="RulesSub-section"/>
        <w:ind w:left="0" w:firstLine="0"/>
        <w:jc w:val="left"/>
      </w:pPr>
    </w:p>
    <w:p w14:paraId="0D079EF9" w14:textId="77777777" w:rsidR="00157FFD" w:rsidRDefault="00157FFD" w:rsidP="0029676C">
      <w:pPr>
        <w:pStyle w:val="RulesSub-section"/>
        <w:numPr>
          <w:ilvl w:val="0"/>
          <w:numId w:val="11"/>
        </w:numPr>
        <w:jc w:val="left"/>
      </w:pPr>
      <w:r>
        <w:rPr>
          <w:b/>
        </w:rPr>
        <w:t>Auxiliary Power System.</w:t>
      </w:r>
      <w:r>
        <w:t xml:space="preserve"> “Auxiliary Power System” or APS means any device that is permanently dedicated to the vehicle on which it is installed and provides electrical, mechanical, or thermal energy to the primary diesel engine, truck cab and/or sleeper berth</w:t>
      </w:r>
      <w:r w:rsidR="007409CC">
        <w:t>, bus’s passenger compartment or any other commercial vehicle’s cab, as an alternative to idling th</w:t>
      </w:r>
      <w:r w:rsidR="00BD240D">
        <w:t>e</w:t>
      </w:r>
      <w:r w:rsidR="007409CC">
        <w:t xml:space="preserve"> primary diesel engine.</w:t>
      </w:r>
    </w:p>
    <w:p w14:paraId="786A7266" w14:textId="77777777" w:rsidR="00A43625" w:rsidRDefault="00A43625" w:rsidP="0029676C">
      <w:pPr>
        <w:pStyle w:val="RulesSub-section"/>
        <w:tabs>
          <w:tab w:val="num" w:pos="720"/>
        </w:tabs>
        <w:jc w:val="left"/>
      </w:pPr>
    </w:p>
    <w:p w14:paraId="26B398E2" w14:textId="77777777" w:rsidR="00A43625" w:rsidRDefault="00A43625" w:rsidP="0029676C">
      <w:pPr>
        <w:pStyle w:val="RulesSub-section"/>
        <w:numPr>
          <w:ilvl w:val="0"/>
          <w:numId w:val="11"/>
        </w:numPr>
        <w:jc w:val="left"/>
      </w:pPr>
      <w:r>
        <w:rPr>
          <w:b/>
        </w:rPr>
        <w:t>California-certified.</w:t>
      </w:r>
      <w:r w:rsidR="00355A4F">
        <w:t xml:space="preserve"> </w:t>
      </w:r>
      <w:r>
        <w:t xml:space="preserve">“California-certified” means having a valid executive order and approved by CARB for sale in </w:t>
      </w:r>
      <w:smartTag w:uri="urn:schemas-microsoft-com:office:smarttags" w:element="State">
        <w:smartTag w:uri="urn:schemas-microsoft-com:office:smarttags" w:element="place">
          <w:r>
            <w:t>California</w:t>
          </w:r>
        </w:smartTag>
      </w:smartTag>
      <w:r>
        <w:t>.</w:t>
      </w:r>
    </w:p>
    <w:p w14:paraId="52FCEA3F" w14:textId="77777777" w:rsidR="00A43625" w:rsidRDefault="00A43625" w:rsidP="0029676C">
      <w:pPr>
        <w:pStyle w:val="RulesSub-section"/>
        <w:tabs>
          <w:tab w:val="num" w:pos="720"/>
        </w:tabs>
        <w:jc w:val="left"/>
      </w:pPr>
    </w:p>
    <w:p w14:paraId="4BB34C0D" w14:textId="77777777" w:rsidR="00A43625" w:rsidRDefault="00A43625" w:rsidP="0029676C">
      <w:pPr>
        <w:pStyle w:val="RulesSub-section"/>
        <w:numPr>
          <w:ilvl w:val="0"/>
          <w:numId w:val="11"/>
        </w:numPr>
        <w:jc w:val="left"/>
      </w:pPr>
      <w:r>
        <w:rPr>
          <w:b/>
        </w:rPr>
        <w:t>CARB.</w:t>
      </w:r>
      <w:r w:rsidR="00355A4F">
        <w:t xml:space="preserve"> </w:t>
      </w:r>
      <w:r>
        <w:t>“CARB” means the California Air Resources Board.</w:t>
      </w:r>
    </w:p>
    <w:p w14:paraId="38796E68" w14:textId="77777777" w:rsidR="00595D01" w:rsidRDefault="00595D01" w:rsidP="0029676C">
      <w:pPr>
        <w:pStyle w:val="RulesSub-section"/>
        <w:ind w:left="0" w:firstLine="0"/>
        <w:jc w:val="left"/>
      </w:pPr>
    </w:p>
    <w:p w14:paraId="258D63E6" w14:textId="77777777" w:rsidR="00595D01" w:rsidRDefault="00595D01" w:rsidP="0029676C">
      <w:pPr>
        <w:pStyle w:val="RulesSub-section"/>
        <w:numPr>
          <w:ilvl w:val="0"/>
          <w:numId w:val="11"/>
        </w:numPr>
        <w:jc w:val="left"/>
      </w:pPr>
      <w:r>
        <w:rPr>
          <w:b/>
        </w:rPr>
        <w:t>Consolidated part.</w:t>
      </w:r>
      <w:r w:rsidR="00355A4F">
        <w:t xml:space="preserve"> </w:t>
      </w:r>
      <w:r>
        <w:t>“Consolidated part” means a part which is designed to replace a group of original equipment parts.</w:t>
      </w:r>
    </w:p>
    <w:p w14:paraId="3C3E3969" w14:textId="77777777" w:rsidR="00A43625" w:rsidRDefault="00A43625" w:rsidP="0029676C">
      <w:pPr>
        <w:pStyle w:val="RulesSub-section"/>
        <w:tabs>
          <w:tab w:val="num" w:pos="720"/>
        </w:tabs>
        <w:jc w:val="left"/>
      </w:pPr>
    </w:p>
    <w:p w14:paraId="3A2D363B" w14:textId="77777777" w:rsidR="00355A4F" w:rsidRDefault="00A43625" w:rsidP="0029676C">
      <w:pPr>
        <w:pStyle w:val="RulesSub-section"/>
        <w:numPr>
          <w:ilvl w:val="0"/>
          <w:numId w:val="11"/>
        </w:numPr>
        <w:jc w:val="left"/>
      </w:pPr>
      <w:r>
        <w:rPr>
          <w:b/>
        </w:rPr>
        <w:t>Dealer</w:t>
      </w:r>
      <w:r w:rsidRPr="002413CD">
        <w:rPr>
          <w:b/>
        </w:rPr>
        <w:t>.</w:t>
      </w:r>
      <w:r w:rsidR="00355A4F">
        <w:rPr>
          <w:i/>
        </w:rPr>
        <w:t xml:space="preserve"> </w:t>
      </w:r>
      <w:r>
        <w:rPr>
          <w:i/>
        </w:rPr>
        <w:t>“</w:t>
      </w:r>
      <w:r>
        <w:t>Dealer”</w:t>
      </w:r>
      <w:r>
        <w:rPr>
          <w:i/>
        </w:rPr>
        <w:t xml:space="preserve"> </w:t>
      </w:r>
      <w:r>
        <w:t>means any person engaged in the business of selling, offering to sell, soliciting or advertising the sale of new vehicles who holds a valid sales and service agreement, franchise or contract, granted by the manufacturer or distributor for the retail sale of said manufacturer’s or distributor’s new vehicles.</w:t>
      </w:r>
    </w:p>
    <w:p w14:paraId="73863B0A" w14:textId="77777777" w:rsidR="00A43625" w:rsidRDefault="00A43625" w:rsidP="0029676C">
      <w:pPr>
        <w:pStyle w:val="RulesSub-section"/>
        <w:tabs>
          <w:tab w:val="num" w:pos="720"/>
        </w:tabs>
        <w:jc w:val="left"/>
      </w:pPr>
    </w:p>
    <w:p w14:paraId="7F93E504" w14:textId="77777777" w:rsidR="00A43625" w:rsidRDefault="008B4C9B" w:rsidP="0029676C">
      <w:pPr>
        <w:pStyle w:val="RulesSub-section"/>
        <w:numPr>
          <w:ilvl w:val="0"/>
          <w:numId w:val="11"/>
        </w:numPr>
        <w:jc w:val="left"/>
      </w:pPr>
      <w:r>
        <w:rPr>
          <w:b/>
        </w:rPr>
        <w:t>Delivered for s</w:t>
      </w:r>
      <w:r w:rsidR="00A43625">
        <w:rPr>
          <w:b/>
        </w:rPr>
        <w:t>ale.</w:t>
      </w:r>
      <w:r w:rsidR="00355A4F">
        <w:t xml:space="preserve"> </w:t>
      </w:r>
      <w:r w:rsidR="00A43625">
        <w:t xml:space="preserve">“Delivered for sale” means delivered for sale or for lease in </w:t>
      </w:r>
      <w:smartTag w:uri="urn:schemas-microsoft-com:office:smarttags" w:element="State">
        <w:smartTag w:uri="urn:schemas-microsoft-com:office:smarttags" w:element="place">
          <w:r w:rsidR="00A43625">
            <w:t>Maine</w:t>
          </w:r>
        </w:smartTag>
      </w:smartTag>
      <w:r w:rsidR="00A43625">
        <w:t>.</w:t>
      </w:r>
    </w:p>
    <w:p w14:paraId="67C5CA5B" w14:textId="77777777" w:rsidR="00A43625" w:rsidRDefault="00A43625" w:rsidP="0029676C">
      <w:pPr>
        <w:pStyle w:val="RulesSub-section"/>
        <w:tabs>
          <w:tab w:val="num" w:pos="720"/>
        </w:tabs>
        <w:jc w:val="left"/>
      </w:pPr>
    </w:p>
    <w:p w14:paraId="29F0E14C" w14:textId="77777777" w:rsidR="00A43625" w:rsidRDefault="008B4C9B" w:rsidP="0029676C">
      <w:pPr>
        <w:pStyle w:val="RulesSub-section"/>
        <w:numPr>
          <w:ilvl w:val="0"/>
          <w:numId w:val="11"/>
        </w:numPr>
        <w:jc w:val="left"/>
      </w:pPr>
      <w:r>
        <w:rPr>
          <w:b/>
        </w:rPr>
        <w:t>Emergency v</w:t>
      </w:r>
      <w:r w:rsidR="00A43625">
        <w:rPr>
          <w:b/>
        </w:rPr>
        <w:t>ehicle.</w:t>
      </w:r>
      <w:r w:rsidR="00355A4F">
        <w:t xml:space="preserve"> </w:t>
      </w:r>
      <w:r w:rsidR="00A43625">
        <w:t>“Emergency vehicle” means any authorized vehicle publicly owned and operated that is used by a peace officer, used for fighting fires or responding to emergency fire calls, used by emergency medical technicians or paramedics, used for towing or servicing other vehicles, used for repairing damaged lighting or electrical equipment.</w:t>
      </w:r>
    </w:p>
    <w:p w14:paraId="18FFEB17" w14:textId="77777777" w:rsidR="00A43625" w:rsidRDefault="00A43625" w:rsidP="0029676C">
      <w:pPr>
        <w:pStyle w:val="RulesSub-section"/>
        <w:tabs>
          <w:tab w:val="num" w:pos="720"/>
        </w:tabs>
        <w:jc w:val="left"/>
      </w:pPr>
    </w:p>
    <w:p w14:paraId="2CEA99F6" w14:textId="77777777" w:rsidR="00A43625" w:rsidRDefault="00A43625" w:rsidP="0029676C">
      <w:pPr>
        <w:pStyle w:val="RulesSub-section"/>
        <w:numPr>
          <w:ilvl w:val="0"/>
          <w:numId w:val="11"/>
        </w:numPr>
        <w:jc w:val="left"/>
      </w:pPr>
      <w:r>
        <w:rPr>
          <w:b/>
        </w:rPr>
        <w:t xml:space="preserve">Emission </w:t>
      </w:r>
      <w:r w:rsidR="008B4C9B">
        <w:rPr>
          <w:b/>
        </w:rPr>
        <w:t>Con</w:t>
      </w:r>
      <w:r>
        <w:rPr>
          <w:b/>
        </w:rPr>
        <w:t xml:space="preserve">trol </w:t>
      </w:r>
      <w:r w:rsidR="008B4C9B">
        <w:rPr>
          <w:b/>
        </w:rPr>
        <w:t>L</w:t>
      </w:r>
      <w:r>
        <w:rPr>
          <w:b/>
        </w:rPr>
        <w:t>abels.</w:t>
      </w:r>
      <w:r w:rsidR="00355A4F">
        <w:t xml:space="preserve"> </w:t>
      </w:r>
      <w:r w:rsidR="008B4C9B">
        <w:t>“Emission Control L</w:t>
      </w:r>
      <w:r>
        <w:t xml:space="preserve">abels” means a paper, plastic, metal or other permanent material, welded, riveted or otherwise permanently attached to an area within the engine compartment (if any) or to the engine in such a way that it will be visible to the average person after installation of the engine in all new vehicles certified for sale in California, in accordance with Title 13, </w:t>
      </w:r>
      <w:r w:rsidR="00604DD5" w:rsidRPr="00604DD5">
        <w:rPr>
          <w:i/>
        </w:rPr>
        <w:t>California Code of Regulations</w:t>
      </w:r>
      <w:r w:rsidR="00E476E4">
        <w:t>,</w:t>
      </w:r>
      <w:r>
        <w:t xml:space="preserve"> Section 1965.</w:t>
      </w:r>
    </w:p>
    <w:p w14:paraId="3F214C95" w14:textId="77777777" w:rsidR="00C53892" w:rsidRDefault="00C53892" w:rsidP="0029676C">
      <w:pPr>
        <w:pStyle w:val="RulesSub-section"/>
        <w:ind w:left="0" w:firstLine="0"/>
        <w:jc w:val="left"/>
      </w:pPr>
    </w:p>
    <w:p w14:paraId="7B83BE47" w14:textId="77777777" w:rsidR="00C53892" w:rsidRDefault="00C53892" w:rsidP="0029676C">
      <w:pPr>
        <w:pStyle w:val="RulesSub-section"/>
        <w:numPr>
          <w:ilvl w:val="0"/>
          <w:numId w:val="11"/>
        </w:numPr>
        <w:jc w:val="left"/>
      </w:pPr>
      <w:r>
        <w:rPr>
          <w:b/>
        </w:rPr>
        <w:t>Environmental Performance Label.</w:t>
      </w:r>
      <w:r>
        <w:t xml:space="preserve"> “Environmental Performance Label” means a paper o</w:t>
      </w:r>
      <w:r w:rsidR="009A5DF8">
        <w:t>r</w:t>
      </w:r>
      <w:r>
        <w:t xml:space="preserve"> plastic decal securely affixed by the manufacturer to a window of all passenger cars, light-duty trucks, and </w:t>
      </w:r>
      <w:r w:rsidR="0025605A">
        <w:t>medium-duty passenger vehicles which disclose</w:t>
      </w:r>
      <w:r>
        <w:t xml:space="preserve"> the global warming an</w:t>
      </w:r>
      <w:r w:rsidR="00BD240D">
        <w:t>d</w:t>
      </w:r>
      <w:r>
        <w:t xml:space="preserve"> smog score for the vehicle in accordance with Title 13, </w:t>
      </w:r>
      <w:r w:rsidR="00604DD5" w:rsidRPr="00604DD5">
        <w:rPr>
          <w:i/>
        </w:rPr>
        <w:t>California Code of Regulations</w:t>
      </w:r>
      <w:r w:rsidR="00E476E4">
        <w:t>,</w:t>
      </w:r>
      <w:r>
        <w:t xml:space="preserve"> Section 1965.</w:t>
      </w:r>
    </w:p>
    <w:p w14:paraId="082794F2" w14:textId="77777777" w:rsidR="00595D01" w:rsidRDefault="00595D01" w:rsidP="0029676C">
      <w:pPr>
        <w:pStyle w:val="RulesSub-section"/>
        <w:ind w:left="0" w:firstLine="0"/>
        <w:jc w:val="left"/>
      </w:pPr>
    </w:p>
    <w:p w14:paraId="7189B1CC" w14:textId="77777777" w:rsidR="00595D01" w:rsidRDefault="00595D01" w:rsidP="0029676C">
      <w:pPr>
        <w:pStyle w:val="RulesSub-section"/>
        <w:numPr>
          <w:ilvl w:val="0"/>
          <w:numId w:val="11"/>
        </w:numPr>
        <w:jc w:val="left"/>
      </w:pPr>
      <w:r w:rsidRPr="00DB67FD">
        <w:rPr>
          <w:b/>
        </w:rPr>
        <w:t>Emissions-</w:t>
      </w:r>
      <w:r w:rsidR="008B4C9B" w:rsidRPr="00DB67FD">
        <w:rPr>
          <w:b/>
        </w:rPr>
        <w:t>r</w:t>
      </w:r>
      <w:r w:rsidRPr="00DB67FD">
        <w:rPr>
          <w:b/>
        </w:rPr>
        <w:t xml:space="preserve">elated </w:t>
      </w:r>
      <w:r w:rsidR="008B4C9B" w:rsidRPr="00DB67FD">
        <w:rPr>
          <w:b/>
        </w:rPr>
        <w:t>p</w:t>
      </w:r>
      <w:r w:rsidRPr="00DB67FD">
        <w:rPr>
          <w:b/>
        </w:rPr>
        <w:t>art</w:t>
      </w:r>
      <w:r>
        <w:rPr>
          <w:b/>
        </w:rPr>
        <w:t>.</w:t>
      </w:r>
      <w:r w:rsidR="00355A4F">
        <w:rPr>
          <w:b/>
        </w:rPr>
        <w:t xml:space="preserve"> </w:t>
      </w:r>
      <w:r>
        <w:t xml:space="preserve">“Emissions-related part” means any automotive part, which affects any regulated emissions from a motor vehicle which is subject to </w:t>
      </w:r>
      <w:smartTag w:uri="urn:schemas-microsoft-com:office:smarttags" w:element="State">
        <w:smartTag w:uri="urn:schemas-microsoft-com:office:smarttags" w:element="place">
          <w:r>
            <w:t>California</w:t>
          </w:r>
        </w:smartTag>
      </w:smartTag>
      <w:r>
        <w:t xml:space="preserve"> or federal emission standards.</w:t>
      </w:r>
      <w:r w:rsidR="005C64E2">
        <w:t xml:space="preserve"> </w:t>
      </w:r>
      <w:r>
        <w:t>This includes, at a minimum those parts specified in the “Emissions-Related Parts List,” adopted by the California Air Resources Board.</w:t>
      </w:r>
    </w:p>
    <w:p w14:paraId="4A76CD8E" w14:textId="77777777" w:rsidR="00124706" w:rsidRDefault="00124706" w:rsidP="0029676C">
      <w:pPr>
        <w:pStyle w:val="RulesSub-section"/>
        <w:ind w:left="0" w:firstLine="0"/>
        <w:jc w:val="left"/>
      </w:pPr>
    </w:p>
    <w:p w14:paraId="4AB89089" w14:textId="77777777" w:rsidR="00913969" w:rsidRPr="00E476E4" w:rsidRDefault="00542BC7" w:rsidP="00330C7C">
      <w:pPr>
        <w:pStyle w:val="RulesSub-section"/>
        <w:numPr>
          <w:ilvl w:val="0"/>
          <w:numId w:val="11"/>
        </w:numPr>
        <w:jc w:val="left"/>
        <w:rPr>
          <w:szCs w:val="22"/>
        </w:rPr>
      </w:pPr>
      <w:r w:rsidRPr="00330C7C">
        <w:rPr>
          <w:b/>
        </w:rPr>
        <w:t>Federal Fuel</w:t>
      </w:r>
      <w:r w:rsidR="00913969" w:rsidRPr="00330C7C">
        <w:rPr>
          <w:b/>
          <w:szCs w:val="22"/>
        </w:rPr>
        <w:t xml:space="preserve"> </w:t>
      </w:r>
      <w:r w:rsidRPr="00330C7C">
        <w:rPr>
          <w:b/>
          <w:szCs w:val="22"/>
        </w:rPr>
        <w:t>Economy and Environmental Label</w:t>
      </w:r>
      <w:r w:rsidR="002910B9">
        <w:rPr>
          <w:b/>
          <w:szCs w:val="22"/>
        </w:rPr>
        <w:t>.</w:t>
      </w:r>
      <w:r w:rsidR="00913969" w:rsidRPr="000F600C">
        <w:rPr>
          <w:szCs w:val="22"/>
        </w:rPr>
        <w:t xml:space="preserve"> </w:t>
      </w:r>
      <w:r>
        <w:rPr>
          <w:szCs w:val="22"/>
        </w:rPr>
        <w:t xml:space="preserve">“Federal Fuel Economy and Environmental Label” </w:t>
      </w:r>
      <w:r w:rsidR="00913969" w:rsidRPr="000F600C">
        <w:rPr>
          <w:szCs w:val="22"/>
        </w:rPr>
        <w:t xml:space="preserve">means a Federal Label that is affixed by the manufacturer to a window on all 2013 </w:t>
      </w:r>
      <w:r w:rsidR="00305EA4">
        <w:rPr>
          <w:szCs w:val="22"/>
        </w:rPr>
        <w:t xml:space="preserve">(optionally in 2012) </w:t>
      </w:r>
      <w:r w:rsidR="00913969" w:rsidRPr="000F600C">
        <w:rPr>
          <w:szCs w:val="22"/>
        </w:rPr>
        <w:t xml:space="preserve">and subsequent model year passenger cars, light-duty trucks, and medium-duty passenger vehicles and </w:t>
      </w:r>
      <w:r w:rsidR="00305EA4">
        <w:rPr>
          <w:szCs w:val="22"/>
        </w:rPr>
        <w:t xml:space="preserve">is </w:t>
      </w:r>
      <w:r w:rsidR="00913969" w:rsidRPr="00AE7A1E">
        <w:rPr>
          <w:szCs w:val="22"/>
        </w:rPr>
        <w:t xml:space="preserve">compliant with the federal </w:t>
      </w:r>
      <w:r w:rsidR="00C26972">
        <w:rPr>
          <w:szCs w:val="22"/>
        </w:rPr>
        <w:t>“</w:t>
      </w:r>
      <w:r w:rsidR="00305EA4">
        <w:rPr>
          <w:szCs w:val="22"/>
        </w:rPr>
        <w:t xml:space="preserve">Fuel </w:t>
      </w:r>
      <w:r w:rsidR="00913969" w:rsidRPr="00AE7A1E">
        <w:rPr>
          <w:szCs w:val="22"/>
        </w:rPr>
        <w:t>Economy and Environmental Label</w:t>
      </w:r>
      <w:r w:rsidR="00C26972">
        <w:rPr>
          <w:szCs w:val="22"/>
        </w:rPr>
        <w:t>”</w:t>
      </w:r>
      <w:r w:rsidR="00913969" w:rsidRPr="00AE7A1E">
        <w:rPr>
          <w:szCs w:val="22"/>
        </w:rPr>
        <w:t xml:space="preserve"> published in 40 CFR Parts 85, 86 and 600 as promulgated on July 6, 2011</w:t>
      </w:r>
      <w:r w:rsidR="00305EA4">
        <w:rPr>
          <w:szCs w:val="22"/>
        </w:rPr>
        <w:t>.</w:t>
      </w:r>
      <w:r w:rsidR="00913969" w:rsidRPr="00E476E4">
        <w:rPr>
          <w:szCs w:val="22"/>
        </w:rPr>
        <w:t>"</w:t>
      </w:r>
    </w:p>
    <w:p w14:paraId="258DAA58" w14:textId="77777777" w:rsidR="00A43625" w:rsidRDefault="00A43625" w:rsidP="0029676C">
      <w:pPr>
        <w:pStyle w:val="RulesSub-section"/>
        <w:tabs>
          <w:tab w:val="num" w:pos="720"/>
        </w:tabs>
        <w:jc w:val="left"/>
        <w:rPr>
          <w:b/>
        </w:rPr>
      </w:pPr>
    </w:p>
    <w:p w14:paraId="46CCABE3" w14:textId="77777777" w:rsidR="00A43625" w:rsidRDefault="007B0946" w:rsidP="0029676C">
      <w:pPr>
        <w:pStyle w:val="RulesSub-section"/>
        <w:numPr>
          <w:ilvl w:val="0"/>
          <w:numId w:val="11"/>
        </w:numPr>
        <w:jc w:val="left"/>
      </w:pPr>
      <w:r w:rsidRPr="00C92A06">
        <w:rPr>
          <w:b/>
          <w:szCs w:val="22"/>
        </w:rPr>
        <w:t>Fleet average emission.</w:t>
      </w:r>
      <w:r w:rsidRPr="00C92A06">
        <w:rPr>
          <w:szCs w:val="22"/>
        </w:rPr>
        <w:t xml:space="preserve"> “Fleet average emission” means a vehicle manufacturer's average vehicle emissions of all greenhouse gases, non-methane organic gases (NMOG), or NMOG plus oxides of nitrogen (NOx), as applicable, from all new vehicles delivered for sale or lease to Maine in any applicable model-year based on the calculation in Title 13 </w:t>
      </w:r>
      <w:r w:rsidR="00604DD5" w:rsidRPr="00604DD5">
        <w:rPr>
          <w:i/>
          <w:szCs w:val="22"/>
        </w:rPr>
        <w:t>California Code of Regulations</w:t>
      </w:r>
      <w:r w:rsidR="00E476E4">
        <w:rPr>
          <w:szCs w:val="22"/>
        </w:rPr>
        <w:t>, Sections</w:t>
      </w:r>
      <w:r w:rsidRPr="00C92A06">
        <w:rPr>
          <w:szCs w:val="22"/>
        </w:rPr>
        <w:t xml:space="preserve"> 1960.1(g)(2)</w:t>
      </w:r>
      <w:r w:rsidRPr="00C92A06">
        <w:rPr>
          <w:color w:val="000000"/>
          <w:szCs w:val="22"/>
        </w:rPr>
        <w:t>,</w:t>
      </w:r>
      <w:r w:rsidRPr="007B0946">
        <w:rPr>
          <w:szCs w:val="22"/>
        </w:rPr>
        <w:t xml:space="preserve"> 1961, </w:t>
      </w:r>
      <w:r w:rsidRPr="00C92A06">
        <w:rPr>
          <w:szCs w:val="22"/>
        </w:rPr>
        <w:t>1961.1, or 1961.3</w:t>
      </w:r>
    </w:p>
    <w:p w14:paraId="34EB0CF7" w14:textId="77777777" w:rsidR="00A43625" w:rsidRPr="00DB67FD" w:rsidRDefault="00A43625" w:rsidP="0029676C">
      <w:pPr>
        <w:pStyle w:val="RulesSub-section"/>
        <w:tabs>
          <w:tab w:val="num" w:pos="720"/>
        </w:tabs>
        <w:jc w:val="left"/>
        <w:rPr>
          <w:b/>
        </w:rPr>
      </w:pPr>
    </w:p>
    <w:p w14:paraId="385D2FFB" w14:textId="77777777" w:rsidR="002D3305" w:rsidRPr="00DB67FD" w:rsidRDefault="002D3305" w:rsidP="0029676C">
      <w:pPr>
        <w:pStyle w:val="RulesSub-section"/>
        <w:numPr>
          <w:ilvl w:val="0"/>
          <w:numId w:val="11"/>
        </w:numPr>
        <w:jc w:val="left"/>
      </w:pPr>
      <w:r w:rsidRPr="00DB67FD">
        <w:rPr>
          <w:b/>
        </w:rPr>
        <w:t>Green</w:t>
      </w:r>
      <w:r w:rsidR="008E6D8A" w:rsidRPr="00DB67FD">
        <w:rPr>
          <w:b/>
        </w:rPr>
        <w:t>h</w:t>
      </w:r>
      <w:r w:rsidRPr="00DB67FD">
        <w:rPr>
          <w:b/>
        </w:rPr>
        <w:t xml:space="preserve">ouse </w:t>
      </w:r>
      <w:r w:rsidR="008B4C9B" w:rsidRPr="00DB67FD">
        <w:rPr>
          <w:b/>
        </w:rPr>
        <w:t>g</w:t>
      </w:r>
      <w:r w:rsidRPr="00DB67FD">
        <w:rPr>
          <w:b/>
        </w:rPr>
        <w:t>as.</w:t>
      </w:r>
      <w:r w:rsidR="00355A4F">
        <w:t xml:space="preserve"> </w:t>
      </w:r>
      <w:r w:rsidRPr="00DB67FD">
        <w:t>“Greenhouse gas” means the following gases:</w:t>
      </w:r>
      <w:r w:rsidR="00355A4F">
        <w:t xml:space="preserve"> </w:t>
      </w:r>
      <w:r w:rsidRPr="00DB67FD">
        <w:t xml:space="preserve">carbon dioxide, methane, nitrous oxide and </w:t>
      </w:r>
      <w:r w:rsidR="00D51F00">
        <w:t>hydrof</w:t>
      </w:r>
      <w:r w:rsidR="00EF2A8F" w:rsidRPr="00DB67FD">
        <w:t>luorocarbons</w:t>
      </w:r>
      <w:r w:rsidRPr="00DB67FD">
        <w:t>.</w:t>
      </w:r>
    </w:p>
    <w:p w14:paraId="6A067843" w14:textId="77777777" w:rsidR="00636DA3" w:rsidRPr="00DB67FD" w:rsidRDefault="00636DA3" w:rsidP="0029676C">
      <w:pPr>
        <w:pStyle w:val="RulesSub-section"/>
        <w:ind w:left="0" w:firstLine="0"/>
        <w:jc w:val="left"/>
      </w:pPr>
    </w:p>
    <w:p w14:paraId="15409881" w14:textId="77777777" w:rsidR="00636DA3" w:rsidRPr="00DB67FD" w:rsidRDefault="00636DA3" w:rsidP="0029676C">
      <w:pPr>
        <w:pStyle w:val="RulesSub-section"/>
        <w:numPr>
          <w:ilvl w:val="0"/>
          <w:numId w:val="11"/>
        </w:numPr>
        <w:jc w:val="left"/>
      </w:pPr>
      <w:r w:rsidRPr="00DB67FD">
        <w:rPr>
          <w:b/>
        </w:rPr>
        <w:t>Green</w:t>
      </w:r>
      <w:r w:rsidR="008E6D8A" w:rsidRPr="00DB67FD">
        <w:rPr>
          <w:b/>
        </w:rPr>
        <w:t>h</w:t>
      </w:r>
      <w:r w:rsidRPr="00DB67FD">
        <w:rPr>
          <w:b/>
        </w:rPr>
        <w:t>ouse gas vehicle test group.</w:t>
      </w:r>
      <w:r w:rsidR="00355A4F">
        <w:t xml:space="preserve"> </w:t>
      </w:r>
      <w:r w:rsidRPr="00DB67FD">
        <w:t xml:space="preserve">“Greenhouse gas vehicle test group” means </w:t>
      </w:r>
      <w:r w:rsidR="007B0946">
        <w:t xml:space="preserve">vehicles that have an identical test group, vehicle make and model, transmission class and driveline, aspiration method (e.g., naturally aspirated, turbocharged), camshaft configuration, valvetrain configuration, and inertia weight class </w:t>
      </w:r>
      <w:r w:rsidR="00991B33" w:rsidRPr="00DB67FD">
        <w:t xml:space="preserve">as defined in </w:t>
      </w:r>
      <w:r w:rsidR="00E476E4" w:rsidRPr="00DB67FD">
        <w:t>Title 13</w:t>
      </w:r>
      <w:r w:rsidR="00E476E4">
        <w:t xml:space="preserve"> </w:t>
      </w:r>
      <w:r w:rsidR="00604DD5" w:rsidRPr="00604DD5">
        <w:rPr>
          <w:i/>
        </w:rPr>
        <w:t>California Code of Regulations</w:t>
      </w:r>
      <w:r w:rsidR="00991B33" w:rsidRPr="00DB67FD">
        <w:t xml:space="preserve">, </w:t>
      </w:r>
      <w:r w:rsidR="00E51E46">
        <w:t>S</w:t>
      </w:r>
      <w:r w:rsidR="00991B33" w:rsidRPr="00DB67FD">
        <w:t>ection 1</w:t>
      </w:r>
      <w:r w:rsidR="001526C6" w:rsidRPr="00DB67FD">
        <w:t>9</w:t>
      </w:r>
      <w:r w:rsidR="00991B33" w:rsidRPr="00DB67FD">
        <w:t>61.1.</w:t>
      </w:r>
    </w:p>
    <w:p w14:paraId="6A27517F" w14:textId="77777777" w:rsidR="002D3305" w:rsidRPr="00DB67FD" w:rsidRDefault="002D3305" w:rsidP="0029676C">
      <w:pPr>
        <w:pStyle w:val="RulesSub-section"/>
        <w:ind w:left="0" w:firstLine="0"/>
        <w:jc w:val="left"/>
        <w:rPr>
          <w:b/>
        </w:rPr>
      </w:pPr>
    </w:p>
    <w:p w14:paraId="016E5DAA" w14:textId="77777777" w:rsidR="00A43625" w:rsidRPr="00DB67FD" w:rsidRDefault="008B4C9B" w:rsidP="0029676C">
      <w:pPr>
        <w:pStyle w:val="RulesSub-section"/>
        <w:numPr>
          <w:ilvl w:val="0"/>
          <w:numId w:val="11"/>
        </w:numPr>
        <w:jc w:val="left"/>
      </w:pPr>
      <w:r w:rsidRPr="00DB67FD">
        <w:rPr>
          <w:b/>
        </w:rPr>
        <w:t>Heavy-duty e</w:t>
      </w:r>
      <w:r w:rsidR="00A43625" w:rsidRPr="00DB67FD">
        <w:rPr>
          <w:b/>
        </w:rPr>
        <w:t>ngine.</w:t>
      </w:r>
      <w:r w:rsidR="00355A4F">
        <w:t xml:space="preserve"> </w:t>
      </w:r>
      <w:r w:rsidR="00A43625" w:rsidRPr="00DB67FD">
        <w:t>“Heavy-duty engine” means a</w:t>
      </w:r>
      <w:r w:rsidR="004F291E">
        <w:t>n</w:t>
      </w:r>
      <w:r w:rsidR="00A43625" w:rsidRPr="00DB67FD">
        <w:t xml:space="preserve"> engine that is used to </w:t>
      </w:r>
      <w:r w:rsidR="00286B04" w:rsidRPr="00DB67FD">
        <w:t xml:space="preserve">propel a </w:t>
      </w:r>
      <w:r w:rsidR="005C64E2">
        <w:t>heavy-duty vehicle.</w:t>
      </w:r>
    </w:p>
    <w:p w14:paraId="020C0526" w14:textId="77777777" w:rsidR="00512FE8" w:rsidRPr="00DB67FD" w:rsidRDefault="008B4C9B" w:rsidP="0029676C">
      <w:pPr>
        <w:numPr>
          <w:ilvl w:val="0"/>
          <w:numId w:val="11"/>
        </w:numPr>
        <w:spacing w:before="120" w:after="120"/>
        <w:rPr>
          <w:sz w:val="22"/>
        </w:rPr>
      </w:pPr>
      <w:r w:rsidRPr="00DB67FD">
        <w:rPr>
          <w:b/>
          <w:sz w:val="22"/>
        </w:rPr>
        <w:t>Heavy–duty m</w:t>
      </w:r>
      <w:r w:rsidR="00A43625" w:rsidRPr="00DB67FD">
        <w:rPr>
          <w:b/>
          <w:sz w:val="22"/>
        </w:rPr>
        <w:t>otor</w:t>
      </w:r>
      <w:r w:rsidRPr="00DB67FD">
        <w:rPr>
          <w:b/>
          <w:sz w:val="22"/>
        </w:rPr>
        <w:t xml:space="preserve"> v</w:t>
      </w:r>
      <w:r w:rsidR="00A43625" w:rsidRPr="00DB67FD">
        <w:rPr>
          <w:b/>
          <w:sz w:val="22"/>
        </w:rPr>
        <w:t>ehicle.</w:t>
      </w:r>
      <w:r w:rsidR="00355A4F">
        <w:rPr>
          <w:sz w:val="22"/>
        </w:rPr>
        <w:t xml:space="preserve"> </w:t>
      </w:r>
      <w:r w:rsidR="00A43625" w:rsidRPr="00DB67FD">
        <w:rPr>
          <w:sz w:val="22"/>
        </w:rPr>
        <w:t xml:space="preserve">“Heavy-duty motor vehicle” means a motor vehicle with a </w:t>
      </w:r>
      <w:r w:rsidR="00EA634D">
        <w:rPr>
          <w:sz w:val="22"/>
        </w:rPr>
        <w:t>g</w:t>
      </w:r>
      <w:r w:rsidR="00EA634D" w:rsidRPr="00DB67FD">
        <w:rPr>
          <w:sz w:val="22"/>
        </w:rPr>
        <w:t xml:space="preserve">ross </w:t>
      </w:r>
      <w:r w:rsidR="00EA634D">
        <w:rPr>
          <w:sz w:val="22"/>
        </w:rPr>
        <w:t>v</w:t>
      </w:r>
      <w:r w:rsidR="00EA634D" w:rsidRPr="00DB67FD">
        <w:rPr>
          <w:sz w:val="22"/>
        </w:rPr>
        <w:t xml:space="preserve">ehicle </w:t>
      </w:r>
      <w:r w:rsidR="00EA634D">
        <w:rPr>
          <w:sz w:val="22"/>
        </w:rPr>
        <w:t>w</w:t>
      </w:r>
      <w:r w:rsidR="00EA634D" w:rsidRPr="00DB67FD">
        <w:rPr>
          <w:sz w:val="22"/>
        </w:rPr>
        <w:t xml:space="preserve">eight </w:t>
      </w:r>
      <w:r w:rsidR="00EA634D">
        <w:rPr>
          <w:sz w:val="22"/>
        </w:rPr>
        <w:t>r</w:t>
      </w:r>
      <w:r w:rsidR="00EA634D" w:rsidRPr="00DB67FD">
        <w:rPr>
          <w:sz w:val="22"/>
        </w:rPr>
        <w:t xml:space="preserve">ating </w:t>
      </w:r>
      <w:r w:rsidR="004F291E">
        <w:rPr>
          <w:sz w:val="22"/>
        </w:rPr>
        <w:t>greater than6,000</w:t>
      </w:r>
      <w:r w:rsidR="00A43625" w:rsidRPr="00DB67FD">
        <w:rPr>
          <w:sz w:val="22"/>
        </w:rPr>
        <w:t xml:space="preserve"> pounds</w:t>
      </w:r>
      <w:r w:rsidR="004F291E">
        <w:rPr>
          <w:sz w:val="22"/>
        </w:rPr>
        <w:t>, except passenger cars.</w:t>
      </w:r>
      <w:r w:rsidR="00A43625" w:rsidRPr="00DB67FD">
        <w:rPr>
          <w:sz w:val="22"/>
        </w:rPr>
        <w:t xml:space="preserve"> </w:t>
      </w:r>
    </w:p>
    <w:p w14:paraId="222E33BC" w14:textId="77777777" w:rsidR="0036007D" w:rsidRPr="00F77212" w:rsidRDefault="0036007D" w:rsidP="0029676C">
      <w:pPr>
        <w:numPr>
          <w:ilvl w:val="0"/>
          <w:numId w:val="11"/>
        </w:numPr>
        <w:spacing w:before="120" w:after="120"/>
        <w:rPr>
          <w:sz w:val="22"/>
        </w:rPr>
      </w:pPr>
      <w:r w:rsidRPr="00DB67FD">
        <w:rPr>
          <w:b/>
          <w:sz w:val="22"/>
          <w:szCs w:val="22"/>
        </w:rPr>
        <w:t xml:space="preserve">Independent </w:t>
      </w:r>
      <w:r w:rsidR="008B4C9B" w:rsidRPr="00DB67FD">
        <w:rPr>
          <w:b/>
          <w:sz w:val="22"/>
          <w:szCs w:val="22"/>
        </w:rPr>
        <w:t>l</w:t>
      </w:r>
      <w:r w:rsidRPr="00DB67FD">
        <w:rPr>
          <w:b/>
          <w:sz w:val="22"/>
          <w:szCs w:val="22"/>
        </w:rPr>
        <w:t xml:space="preserve">ow </w:t>
      </w:r>
      <w:r w:rsidR="008B4C9B" w:rsidRPr="00DB67FD">
        <w:rPr>
          <w:b/>
          <w:sz w:val="22"/>
          <w:szCs w:val="22"/>
        </w:rPr>
        <w:t>v</w:t>
      </w:r>
      <w:r w:rsidRPr="00DB67FD">
        <w:rPr>
          <w:b/>
          <w:sz w:val="22"/>
          <w:szCs w:val="22"/>
        </w:rPr>
        <w:t xml:space="preserve">olume </w:t>
      </w:r>
      <w:r w:rsidR="008B4C9B" w:rsidRPr="00DB67FD">
        <w:rPr>
          <w:b/>
          <w:sz w:val="22"/>
          <w:szCs w:val="22"/>
        </w:rPr>
        <w:t>m</w:t>
      </w:r>
      <w:r w:rsidRPr="00DB67FD">
        <w:rPr>
          <w:b/>
          <w:sz w:val="22"/>
          <w:szCs w:val="22"/>
        </w:rPr>
        <w:t>anufacturer.</w:t>
      </w:r>
      <w:r w:rsidR="00355A4F">
        <w:rPr>
          <w:b/>
          <w:sz w:val="22"/>
          <w:szCs w:val="22"/>
        </w:rPr>
        <w:t xml:space="preserve"> </w:t>
      </w:r>
      <w:r w:rsidRPr="00DB67FD">
        <w:rPr>
          <w:sz w:val="22"/>
          <w:szCs w:val="22"/>
        </w:rPr>
        <w:t xml:space="preserve">“Independent </w:t>
      </w:r>
      <w:r w:rsidR="008B4C9B" w:rsidRPr="00DB67FD">
        <w:rPr>
          <w:sz w:val="22"/>
          <w:szCs w:val="22"/>
        </w:rPr>
        <w:t>l</w:t>
      </w:r>
      <w:r w:rsidRPr="00DB67FD">
        <w:rPr>
          <w:sz w:val="22"/>
          <w:szCs w:val="22"/>
        </w:rPr>
        <w:t xml:space="preserve">ow </w:t>
      </w:r>
      <w:r w:rsidR="008B4C9B" w:rsidRPr="00DB67FD">
        <w:rPr>
          <w:sz w:val="22"/>
          <w:szCs w:val="22"/>
        </w:rPr>
        <w:t>v</w:t>
      </w:r>
      <w:r w:rsidRPr="00DB67FD">
        <w:rPr>
          <w:sz w:val="22"/>
          <w:szCs w:val="22"/>
        </w:rPr>
        <w:t xml:space="preserve">olume </w:t>
      </w:r>
      <w:r w:rsidR="008B4C9B" w:rsidRPr="00DB67FD">
        <w:rPr>
          <w:sz w:val="22"/>
          <w:szCs w:val="22"/>
        </w:rPr>
        <w:t>m</w:t>
      </w:r>
      <w:r w:rsidRPr="00DB67FD">
        <w:rPr>
          <w:sz w:val="22"/>
          <w:szCs w:val="22"/>
        </w:rPr>
        <w:t xml:space="preserve">anufacturer” means </w:t>
      </w:r>
      <w:r w:rsidR="007B0946" w:rsidRPr="00330C7C">
        <w:rPr>
          <w:sz w:val="22"/>
          <w:szCs w:val="22"/>
        </w:rPr>
        <w:t>a manufacturer with California annual sales of less than 10,000 new passenger cars, light-duty trucks and medium-duty vehicles following aggregation of sales</w:t>
      </w:r>
      <w:r w:rsidR="007B0946">
        <w:t xml:space="preserve"> </w:t>
      </w:r>
      <w:r w:rsidRPr="00DB67FD">
        <w:rPr>
          <w:sz w:val="22"/>
          <w:szCs w:val="22"/>
        </w:rPr>
        <w:t xml:space="preserve">as defined in </w:t>
      </w:r>
      <w:r w:rsidR="00E476E4" w:rsidRPr="00DB67FD">
        <w:rPr>
          <w:sz w:val="22"/>
          <w:szCs w:val="22"/>
        </w:rPr>
        <w:t>Title 13</w:t>
      </w:r>
      <w:r w:rsidR="00E476E4">
        <w:rPr>
          <w:sz w:val="22"/>
          <w:szCs w:val="22"/>
        </w:rPr>
        <w:t xml:space="preserve"> </w:t>
      </w:r>
      <w:r w:rsidR="00604DD5" w:rsidRPr="00604DD5">
        <w:rPr>
          <w:i/>
          <w:sz w:val="22"/>
          <w:szCs w:val="22"/>
        </w:rPr>
        <w:t>California Code of Regulations</w:t>
      </w:r>
      <w:r w:rsidRPr="00DB67FD">
        <w:rPr>
          <w:sz w:val="22"/>
          <w:szCs w:val="22"/>
        </w:rPr>
        <w:t xml:space="preserve">, </w:t>
      </w:r>
      <w:r w:rsidR="008B4C9B" w:rsidRPr="00DB67FD">
        <w:rPr>
          <w:sz w:val="22"/>
          <w:szCs w:val="22"/>
        </w:rPr>
        <w:t>S</w:t>
      </w:r>
      <w:r w:rsidRPr="00DB67FD">
        <w:rPr>
          <w:sz w:val="22"/>
          <w:szCs w:val="22"/>
        </w:rPr>
        <w:t>ection 1900</w:t>
      </w:r>
      <w:r w:rsidR="007B0946">
        <w:rPr>
          <w:sz w:val="22"/>
          <w:szCs w:val="22"/>
        </w:rPr>
        <w:t xml:space="preserve"> (b)(8)</w:t>
      </w:r>
      <w:r w:rsidRPr="00DB67FD">
        <w:rPr>
          <w:sz w:val="22"/>
          <w:szCs w:val="22"/>
        </w:rPr>
        <w:t>.</w:t>
      </w:r>
    </w:p>
    <w:p w14:paraId="618389B9" w14:textId="77777777" w:rsidR="00F77212" w:rsidRPr="004F291E" w:rsidRDefault="00F77212" w:rsidP="0029676C">
      <w:pPr>
        <w:numPr>
          <w:ilvl w:val="0"/>
          <w:numId w:val="11"/>
        </w:numPr>
        <w:spacing w:before="120" w:after="120"/>
        <w:rPr>
          <w:sz w:val="22"/>
          <w:szCs w:val="22"/>
        </w:rPr>
      </w:pPr>
      <w:r>
        <w:rPr>
          <w:b/>
          <w:sz w:val="22"/>
          <w:szCs w:val="22"/>
        </w:rPr>
        <w:t>Intermediate volume manufacturer.</w:t>
      </w:r>
      <w:r>
        <w:rPr>
          <w:sz w:val="22"/>
        </w:rPr>
        <w:t xml:space="preserve"> “</w:t>
      </w:r>
      <w:r w:rsidRPr="004F291E">
        <w:rPr>
          <w:sz w:val="22"/>
          <w:szCs w:val="22"/>
        </w:rPr>
        <w:t xml:space="preserve">Intermediate volume manufacturer” </w:t>
      </w:r>
      <w:r w:rsidR="004F291E" w:rsidRPr="00330C7C">
        <w:rPr>
          <w:color w:val="000000"/>
          <w:sz w:val="22"/>
          <w:szCs w:val="22"/>
        </w:rPr>
        <w:t xml:space="preserve">means </w:t>
      </w:r>
      <w:r w:rsidR="004F291E" w:rsidRPr="00330C7C">
        <w:rPr>
          <w:sz w:val="22"/>
          <w:szCs w:val="22"/>
        </w:rPr>
        <w:t>any pre-2001 model year manufacturer with California sales between 3,001 and 60,000 new light- and medium-duty vehicles per model year based on the average number of vehicles sold by the manufacturer each model year from 1989 to 1993; any 2001 through 2002 model year manufacturer with California sales between 4,501 and 60,000 new light- and medium-duty vehicles per model year based on the average number of vehicles sold by the manufacturer each model year from 1989 to 1993;</w:t>
      </w:r>
      <w:r w:rsidR="005C64E2">
        <w:rPr>
          <w:sz w:val="22"/>
          <w:szCs w:val="22"/>
        </w:rPr>
        <w:t xml:space="preserve"> </w:t>
      </w:r>
      <w:r w:rsidR="004F291E" w:rsidRPr="00330C7C">
        <w:rPr>
          <w:sz w:val="22"/>
          <w:szCs w:val="22"/>
        </w:rPr>
        <w:t>any 2003 through 2017 model year manufacturer with California sales between 4,501 and 60,000 new light- and medium-duty vehicles based on the average number of vehicles sold for the three previous consecutive model years for which a manufacturer seeks certification; and any 2018 and subsequent model year manufacturer with California sales between 4,501 and 20,000 new light- and medium-duty vehicles based on the average number of vehicles sold for the three previous consecutive model years for which a manufacturer seeks certification</w:t>
      </w:r>
      <w:r w:rsidR="004F291E">
        <w:rPr>
          <w:sz w:val="22"/>
          <w:szCs w:val="22"/>
        </w:rPr>
        <w:t xml:space="preserve"> </w:t>
      </w:r>
      <w:r w:rsidR="00744BB9" w:rsidRPr="004F291E">
        <w:rPr>
          <w:sz w:val="22"/>
          <w:szCs w:val="22"/>
        </w:rPr>
        <w:t xml:space="preserve">as defined in </w:t>
      </w:r>
      <w:r w:rsidR="00456267">
        <w:rPr>
          <w:sz w:val="22"/>
          <w:szCs w:val="22"/>
        </w:rPr>
        <w:t>Title</w:t>
      </w:r>
      <w:r w:rsidR="00C26972">
        <w:rPr>
          <w:sz w:val="22"/>
          <w:szCs w:val="22"/>
        </w:rPr>
        <w:t> </w:t>
      </w:r>
      <w:r w:rsidR="00456267">
        <w:rPr>
          <w:sz w:val="22"/>
          <w:szCs w:val="22"/>
        </w:rPr>
        <w:t xml:space="preserve">13, </w:t>
      </w:r>
      <w:r w:rsidR="00604DD5" w:rsidRPr="00604DD5">
        <w:rPr>
          <w:i/>
          <w:sz w:val="22"/>
          <w:szCs w:val="22"/>
        </w:rPr>
        <w:t>California Code of Regulations</w:t>
      </w:r>
      <w:r w:rsidR="00744BB9" w:rsidRPr="004F291E">
        <w:rPr>
          <w:sz w:val="22"/>
          <w:szCs w:val="22"/>
        </w:rPr>
        <w:t>, Section 1900.</w:t>
      </w:r>
    </w:p>
    <w:p w14:paraId="0E476845" w14:textId="77777777" w:rsidR="00A0664C" w:rsidRDefault="004F291E" w:rsidP="0029676C">
      <w:pPr>
        <w:numPr>
          <w:ilvl w:val="0"/>
          <w:numId w:val="11"/>
        </w:numPr>
        <w:spacing w:before="120" w:after="120"/>
        <w:rPr>
          <w:sz w:val="22"/>
        </w:rPr>
      </w:pPr>
      <w:r w:rsidRPr="00DB67FD">
        <w:rPr>
          <w:b/>
          <w:sz w:val="22"/>
          <w:szCs w:val="22"/>
        </w:rPr>
        <w:t>Large volume manufacturer.</w:t>
      </w:r>
      <w:r>
        <w:rPr>
          <w:sz w:val="22"/>
        </w:rPr>
        <w:t xml:space="preserve"> </w:t>
      </w:r>
      <w:r w:rsidRPr="00DB67FD">
        <w:rPr>
          <w:sz w:val="22"/>
        </w:rPr>
        <w:t>“</w:t>
      </w:r>
      <w:r w:rsidRPr="004F291E">
        <w:rPr>
          <w:sz w:val="22"/>
          <w:szCs w:val="22"/>
        </w:rPr>
        <w:t>Large volume manufacturer” means “</w:t>
      </w:r>
      <w:r w:rsidRPr="00330C7C">
        <w:rPr>
          <w:sz w:val="22"/>
          <w:szCs w:val="22"/>
        </w:rPr>
        <w:t>any 2000 and subsequent model year manufacturer that is not a small volume manufacturer, or an independent low volume manufacturer, or an intermediate volume manufacturer.</w:t>
      </w:r>
    </w:p>
    <w:p w14:paraId="6477E9FE" w14:textId="77777777" w:rsidR="00A43625" w:rsidRDefault="008B4C9B" w:rsidP="00C26972">
      <w:pPr>
        <w:pStyle w:val="RulesSub-section"/>
        <w:numPr>
          <w:ilvl w:val="0"/>
          <w:numId w:val="11"/>
        </w:numPr>
        <w:ind w:right="180"/>
        <w:jc w:val="left"/>
      </w:pPr>
      <w:r>
        <w:rPr>
          <w:b/>
        </w:rPr>
        <w:t>Light-d</w:t>
      </w:r>
      <w:r w:rsidR="00367625">
        <w:rPr>
          <w:b/>
        </w:rPr>
        <w:t>uty t</w:t>
      </w:r>
      <w:r w:rsidR="00A43625">
        <w:rPr>
          <w:b/>
        </w:rPr>
        <w:t>ruck.</w:t>
      </w:r>
      <w:r w:rsidR="00355A4F">
        <w:t xml:space="preserve"> </w:t>
      </w:r>
      <w:r w:rsidR="00A43625">
        <w:t xml:space="preserve">“Light-duty truck” means any 2000 and subsequent model vehicle certified to standards in Title 13, </w:t>
      </w:r>
      <w:r w:rsidR="00604DD5" w:rsidRPr="00604DD5">
        <w:rPr>
          <w:i/>
        </w:rPr>
        <w:t>California Code of Regulations</w:t>
      </w:r>
      <w:r w:rsidR="00A43625">
        <w:t xml:space="preserve"> Section 1961(a</w:t>
      </w:r>
      <w:r w:rsidR="009B4348">
        <w:t>) (</w:t>
      </w:r>
      <w:r w:rsidR="00A43625">
        <w:t>1) rated at 8500 pounds gross vehicle weight or less, and any other vehicle rated at 6000 pounds gross vehicle weight or less, which is designed primarily for purposes of transportation of property or is a derivative of such a vehicle, or is available with special features enabling off-street or off-highway operation and use.</w:t>
      </w:r>
    </w:p>
    <w:p w14:paraId="6758A7B0" w14:textId="77777777" w:rsidR="00A43625" w:rsidRDefault="00A43625" w:rsidP="0029676C">
      <w:pPr>
        <w:pStyle w:val="RulesSub-section"/>
        <w:tabs>
          <w:tab w:val="num" w:pos="720"/>
        </w:tabs>
        <w:jc w:val="left"/>
      </w:pPr>
    </w:p>
    <w:p w14:paraId="4F25F2CA" w14:textId="77777777" w:rsidR="00A43625" w:rsidRDefault="00A43625" w:rsidP="0029676C">
      <w:pPr>
        <w:pStyle w:val="RulesSub-section"/>
        <w:numPr>
          <w:ilvl w:val="0"/>
          <w:numId w:val="11"/>
        </w:numPr>
        <w:jc w:val="left"/>
      </w:pPr>
      <w:r>
        <w:rPr>
          <w:b/>
        </w:rPr>
        <w:t>Lease.</w:t>
      </w:r>
      <w:r w:rsidR="00355A4F">
        <w:t xml:space="preserve"> </w:t>
      </w:r>
      <w:r>
        <w:t xml:space="preserve">“Lease” means any commercial transaction recognized under the laws of this State as </w:t>
      </w:r>
      <w:r w:rsidR="009B4348">
        <w:t>a means</w:t>
      </w:r>
      <w:r>
        <w:t xml:space="preserve"> of creating a right to use a good and includes renting.</w:t>
      </w:r>
      <w:r w:rsidR="00355A4F">
        <w:t xml:space="preserve"> </w:t>
      </w:r>
      <w:r>
        <w:t>It also includes offering to rent or</w:t>
      </w:r>
      <w:r w:rsidR="00C26972">
        <w:t> </w:t>
      </w:r>
      <w:r>
        <w:t>lease.</w:t>
      </w:r>
    </w:p>
    <w:p w14:paraId="7DDFFFC7" w14:textId="77777777" w:rsidR="00A43625" w:rsidRDefault="00A43625" w:rsidP="0029676C">
      <w:pPr>
        <w:pStyle w:val="RulesSub-section"/>
        <w:tabs>
          <w:tab w:val="num" w:pos="720"/>
        </w:tabs>
        <w:jc w:val="left"/>
      </w:pPr>
    </w:p>
    <w:p w14:paraId="156471AD" w14:textId="77777777" w:rsidR="00A43625" w:rsidRDefault="00A43625" w:rsidP="00C26972">
      <w:pPr>
        <w:pStyle w:val="RulesSub-section"/>
        <w:numPr>
          <w:ilvl w:val="0"/>
          <w:numId w:val="11"/>
        </w:numPr>
        <w:ind w:right="-90"/>
        <w:jc w:val="left"/>
      </w:pPr>
      <w:r>
        <w:rPr>
          <w:b/>
        </w:rPr>
        <w:t>Manufacturer.</w:t>
      </w:r>
      <w:r w:rsidR="00355A4F">
        <w:t xml:space="preserve"> </w:t>
      </w:r>
      <w:r>
        <w:t xml:space="preserve">“Manufacturer” means any small, </w:t>
      </w:r>
      <w:r w:rsidR="00342465">
        <w:t xml:space="preserve">independent low volume, </w:t>
      </w:r>
      <w:r>
        <w:t xml:space="preserve">intermediate or large volume vehicle manufacturer as defined in Title 13, </w:t>
      </w:r>
      <w:r w:rsidR="00604DD5" w:rsidRPr="00604DD5">
        <w:rPr>
          <w:i/>
        </w:rPr>
        <w:t>California Code of Regulations</w:t>
      </w:r>
      <w:r>
        <w:t xml:space="preserve"> Section 1900.</w:t>
      </w:r>
    </w:p>
    <w:p w14:paraId="4969C167" w14:textId="77777777" w:rsidR="00107116" w:rsidRDefault="00107116" w:rsidP="00330C7C">
      <w:pPr>
        <w:pStyle w:val="ListParagraph"/>
      </w:pPr>
    </w:p>
    <w:p w14:paraId="792D7829" w14:textId="77777777" w:rsidR="00107116" w:rsidRDefault="00107116" w:rsidP="0029676C">
      <w:pPr>
        <w:pStyle w:val="RulesSub-section"/>
        <w:numPr>
          <w:ilvl w:val="0"/>
          <w:numId w:val="11"/>
        </w:numPr>
        <w:jc w:val="left"/>
      </w:pPr>
      <w:r w:rsidRPr="00DB67FD">
        <w:rPr>
          <w:b/>
        </w:rPr>
        <w:t>Medium duty passenger vehicle</w:t>
      </w:r>
      <w:r>
        <w:rPr>
          <w:b/>
          <w:color w:val="000000"/>
        </w:rPr>
        <w:t>.</w:t>
      </w:r>
      <w:r>
        <w:rPr>
          <w:color w:val="000000"/>
        </w:rPr>
        <w:t xml:space="preserve"> “Medium duty passenger vehicle” means any medium-duty vehicle with a gross vehicle weight rating of less than 10,000 pounds that is designed primarily for the transportation of persons.</w:t>
      </w:r>
      <w:r w:rsidR="005C64E2">
        <w:rPr>
          <w:color w:val="000000"/>
        </w:rPr>
        <w:t xml:space="preserve"> </w:t>
      </w:r>
      <w:r>
        <w:rPr>
          <w:color w:val="000000"/>
        </w:rPr>
        <w:t>The medium-duty passenger vehicle definition does not include any vehicle which: (1) is an “incomplete truck”, i.e., a truck that does not have the primary load carrying device or container attached; or (2) has a seating capacity of more than 12 persons; or (3)</w:t>
      </w:r>
      <w:r w:rsidR="00C26972">
        <w:rPr>
          <w:color w:val="000000"/>
        </w:rPr>
        <w:t> </w:t>
      </w:r>
      <w:r>
        <w:rPr>
          <w:color w:val="000000"/>
        </w:rPr>
        <w:t>is designed for more tha</w:t>
      </w:r>
      <w:r w:rsidR="00EA634D">
        <w:rPr>
          <w:color w:val="000000"/>
        </w:rPr>
        <w:t>n</w:t>
      </w:r>
      <w:r>
        <w:rPr>
          <w:color w:val="000000"/>
        </w:rPr>
        <w:t xml:space="preserve"> 9 persons in seating rearward of the driver’s seat; or (4) is equipped with an open cargo area of 72.0 inches in interior length or more.</w:t>
      </w:r>
      <w:r w:rsidR="005C64E2">
        <w:rPr>
          <w:color w:val="000000"/>
        </w:rPr>
        <w:t xml:space="preserve"> </w:t>
      </w:r>
      <w:r>
        <w:rPr>
          <w:color w:val="000000"/>
        </w:rPr>
        <w:t>A covered box not readily accessible from the passenger compartment will be considered an open cargo area, for purposes of this definition</w:t>
      </w:r>
      <w:r w:rsidR="002925FC">
        <w:rPr>
          <w:color w:val="000000"/>
        </w:rPr>
        <w:t>.</w:t>
      </w:r>
    </w:p>
    <w:p w14:paraId="6067C4BD" w14:textId="77777777" w:rsidR="00BF3034" w:rsidRPr="00DB67FD" w:rsidRDefault="00BF3034" w:rsidP="0029676C">
      <w:pPr>
        <w:pStyle w:val="RulesSub-section"/>
        <w:ind w:left="0" w:firstLine="0"/>
        <w:jc w:val="left"/>
        <w:rPr>
          <w:b/>
        </w:rPr>
      </w:pPr>
    </w:p>
    <w:p w14:paraId="07F36CA4" w14:textId="77777777" w:rsidR="00A43625" w:rsidRPr="00EA634D" w:rsidRDefault="00107116" w:rsidP="00330C7C">
      <w:pPr>
        <w:pStyle w:val="RulesSub-section"/>
        <w:numPr>
          <w:ilvl w:val="0"/>
          <w:numId w:val="11"/>
        </w:numPr>
        <w:tabs>
          <w:tab w:val="left" w:pos="450"/>
          <w:tab w:val="left" w:pos="540"/>
          <w:tab w:val="left" w:pos="630"/>
          <w:tab w:val="left" w:pos="720"/>
          <w:tab w:val="num" w:pos="810"/>
        </w:tabs>
        <w:ind w:hanging="270"/>
        <w:jc w:val="left"/>
        <w:rPr>
          <w:color w:val="000000"/>
        </w:rPr>
      </w:pPr>
      <w:r w:rsidRPr="00EA634D">
        <w:rPr>
          <w:b/>
          <w:color w:val="000000"/>
        </w:rPr>
        <w:t>Medium-duty vehicle.</w:t>
      </w:r>
      <w:r w:rsidRPr="00EA634D">
        <w:rPr>
          <w:color w:val="000000"/>
        </w:rPr>
        <w:t xml:space="preserve"> “Medium-duty vehicle” means </w:t>
      </w:r>
      <w:r w:rsidR="00EA634D">
        <w:rPr>
          <w:color w:val="000000"/>
        </w:rPr>
        <w:t xml:space="preserve">any </w:t>
      </w:r>
      <w:r w:rsidR="00EA634D">
        <w:t xml:space="preserve">2003 through 2006 model year heavy-duty low-emission, ultra-low-emission, super-ultra-low-emission or zero-emission vehicle certified to the standards in Title 13 </w:t>
      </w:r>
      <w:r w:rsidR="00604DD5" w:rsidRPr="00604DD5">
        <w:rPr>
          <w:i/>
        </w:rPr>
        <w:t>California Code of Regulations</w:t>
      </w:r>
      <w:r w:rsidR="00456267">
        <w:t>, Sections</w:t>
      </w:r>
      <w:r w:rsidR="00EA634D">
        <w:t xml:space="preserve"> 1956.8(g) or (h) or 1960.1(h)(2), having a manufacturer's gross vehicle weight rating of 14,000 lbs. or less; any 2003 heavy-duty vehicle certified to the standards in Title 13 </w:t>
      </w:r>
      <w:r w:rsidR="00604DD5" w:rsidRPr="00604DD5">
        <w:rPr>
          <w:i/>
        </w:rPr>
        <w:t>California Code of Regulations</w:t>
      </w:r>
      <w:r w:rsidR="00456267">
        <w:t xml:space="preserve">, Sections </w:t>
      </w:r>
      <w:r w:rsidR="00EA634D">
        <w:t xml:space="preserve">1960.1(h)(1), 1956.8(g) or (h) having a manufacturer's gross vehicle weight rating of 14,000 lbs. or less; and any 2003 and subsequent model heavy-duty low-emission, ultra-low-emission, super-ultra-low-emission or zero-emission vehicle certified to the standards in Title 13 </w:t>
      </w:r>
      <w:r w:rsidR="00604DD5" w:rsidRPr="00604DD5">
        <w:rPr>
          <w:i/>
        </w:rPr>
        <w:t>California Code of Regulations</w:t>
      </w:r>
      <w:r w:rsidR="00456267">
        <w:t xml:space="preserve">, Sections </w:t>
      </w:r>
      <w:r w:rsidR="00EA634D">
        <w:t>1956.8 (c), (g) or (h), 1961(a)(1)</w:t>
      </w:r>
      <w:r w:rsidR="002925FC">
        <w:t>, 1962,</w:t>
      </w:r>
      <w:r w:rsidR="00EA634D">
        <w:t xml:space="preserve"> or 1962</w:t>
      </w:r>
      <w:r w:rsidR="002925FC">
        <w:t>.1</w:t>
      </w:r>
      <w:r w:rsidR="00EA634D">
        <w:t xml:space="preserve"> having a manufacturer's gross vehicle weight rating between 8,501 and 14,000 lbs.</w:t>
      </w:r>
    </w:p>
    <w:p w14:paraId="209B8B39" w14:textId="77777777" w:rsidR="00A43625" w:rsidRDefault="00A43625" w:rsidP="00456267">
      <w:pPr>
        <w:pStyle w:val="RulesSub-section"/>
        <w:tabs>
          <w:tab w:val="num" w:pos="720"/>
        </w:tabs>
        <w:jc w:val="left"/>
        <w:rPr>
          <w:color w:val="000000"/>
        </w:rPr>
      </w:pPr>
    </w:p>
    <w:p w14:paraId="0A38D3AA" w14:textId="77777777" w:rsidR="00A43625" w:rsidRDefault="00A43625" w:rsidP="00330C7C">
      <w:pPr>
        <w:pStyle w:val="RulesSub-section"/>
        <w:numPr>
          <w:ilvl w:val="0"/>
          <w:numId w:val="11"/>
        </w:numPr>
        <w:tabs>
          <w:tab w:val="clear" w:pos="720"/>
        </w:tabs>
        <w:ind w:left="810" w:hanging="540"/>
        <w:jc w:val="left"/>
      </w:pPr>
      <w:r>
        <w:rPr>
          <w:b/>
        </w:rPr>
        <w:t>Model-year.</w:t>
      </w:r>
      <w:r w:rsidR="00355A4F">
        <w:t xml:space="preserve"> </w:t>
      </w:r>
      <w:r>
        <w:t>"Model-year" means the manufacturer's annual production period for each engine family which includes January 1 of a calendar year or, if the manufacturer has no annual production period, the calendar year.</w:t>
      </w:r>
      <w:r w:rsidR="00355A4F">
        <w:t xml:space="preserve"> </w:t>
      </w:r>
      <w:r>
        <w:t>In the case of any motor vehicle manufactured in two or more stages, the time of manufacture shall be the date of completion of the chassis.</w:t>
      </w:r>
    </w:p>
    <w:p w14:paraId="411CDEF3" w14:textId="77777777" w:rsidR="00595D01" w:rsidRDefault="00595D01" w:rsidP="00221774">
      <w:pPr>
        <w:pStyle w:val="RulesSub-section"/>
        <w:tabs>
          <w:tab w:val="num" w:pos="810"/>
        </w:tabs>
        <w:ind w:hanging="432"/>
        <w:jc w:val="left"/>
      </w:pPr>
    </w:p>
    <w:p w14:paraId="0BA1E0FB" w14:textId="77777777" w:rsidR="00595D01" w:rsidRDefault="00DC55DB" w:rsidP="00330C7C">
      <w:pPr>
        <w:pStyle w:val="RulesSub-section"/>
        <w:numPr>
          <w:ilvl w:val="0"/>
          <w:numId w:val="11"/>
        </w:numPr>
        <w:tabs>
          <w:tab w:val="clear" w:pos="720"/>
        </w:tabs>
        <w:ind w:hanging="432"/>
        <w:jc w:val="left"/>
      </w:pPr>
      <w:r>
        <w:rPr>
          <w:b/>
        </w:rPr>
        <w:t>M</w:t>
      </w:r>
      <w:r w:rsidR="00595D01" w:rsidRPr="00DB67FD">
        <w:rPr>
          <w:b/>
        </w:rPr>
        <w:t xml:space="preserve">odified </w:t>
      </w:r>
      <w:r w:rsidR="00367625" w:rsidRPr="00DB67FD">
        <w:rPr>
          <w:b/>
        </w:rPr>
        <w:t>p</w:t>
      </w:r>
      <w:r w:rsidR="00595D01" w:rsidRPr="00DB67FD">
        <w:rPr>
          <w:b/>
        </w:rPr>
        <w:t>art.</w:t>
      </w:r>
      <w:r w:rsidR="00355A4F">
        <w:t xml:space="preserve"> </w:t>
      </w:r>
      <w:r w:rsidR="00595D01" w:rsidRPr="00DB67FD">
        <w:t>“Modified part”</w:t>
      </w:r>
      <w:r w:rsidR="00595D01">
        <w:t xml:space="preserve"> means any aftermarket part intended to replace an original equipment emissions-related part and which is not functionally identical to the original equipment part in all respects which in any way affect emissions, excluding a consolidated part.</w:t>
      </w:r>
    </w:p>
    <w:p w14:paraId="5C40A259" w14:textId="77777777" w:rsidR="00A43625" w:rsidRDefault="00A43625" w:rsidP="00330C7C">
      <w:pPr>
        <w:pStyle w:val="RulesSub-section"/>
        <w:tabs>
          <w:tab w:val="num" w:pos="810"/>
        </w:tabs>
        <w:ind w:hanging="432"/>
        <w:jc w:val="left"/>
        <w:rPr>
          <w:b/>
          <w:color w:val="000000"/>
        </w:rPr>
      </w:pPr>
    </w:p>
    <w:p w14:paraId="36A10DC5" w14:textId="77777777" w:rsidR="00A43625" w:rsidRPr="00BE30B2" w:rsidRDefault="00367625" w:rsidP="00330C7C">
      <w:pPr>
        <w:pStyle w:val="RulesSub-section"/>
        <w:numPr>
          <w:ilvl w:val="0"/>
          <w:numId w:val="11"/>
        </w:numPr>
        <w:tabs>
          <w:tab w:val="clear" w:pos="720"/>
        </w:tabs>
        <w:ind w:hanging="432"/>
        <w:jc w:val="left"/>
      </w:pPr>
      <w:r>
        <w:rPr>
          <w:b/>
          <w:color w:val="000000"/>
        </w:rPr>
        <w:t>New motor v</w:t>
      </w:r>
      <w:r w:rsidR="00A43625">
        <w:rPr>
          <w:b/>
          <w:color w:val="000000"/>
        </w:rPr>
        <w:t>ehicle</w:t>
      </w:r>
      <w:r w:rsidR="00A43625">
        <w:rPr>
          <w:b/>
        </w:rPr>
        <w:t>.</w:t>
      </w:r>
      <w:r w:rsidR="00355A4F">
        <w:t xml:space="preserve"> </w:t>
      </w:r>
      <w:r w:rsidR="00A43625">
        <w:t xml:space="preserve">“New Motor Vehicle” </w:t>
      </w:r>
      <w:r w:rsidR="00A43625">
        <w:rPr>
          <w:color w:val="000000"/>
        </w:rPr>
        <w:t>means any passenger car, light</w:t>
      </w:r>
      <w:r w:rsidR="00A43625">
        <w:rPr>
          <w:color w:val="000000"/>
        </w:rPr>
        <w:noBreakHyphen/>
        <w:t>duty truck or 2003 and subsequent model-year medium</w:t>
      </w:r>
      <w:r w:rsidR="00A43625">
        <w:rPr>
          <w:color w:val="000000"/>
        </w:rPr>
        <w:noBreakHyphen/>
        <w:t>duty vehicle and 2005 and subsequent model-year heavy-duty engines and vehicles with 7,500 miles or fewer on its odometer</w:t>
      </w:r>
      <w:r w:rsidR="00425ED4">
        <w:rPr>
          <w:color w:val="000000"/>
        </w:rPr>
        <w:t>.</w:t>
      </w:r>
    </w:p>
    <w:p w14:paraId="5B9A0572" w14:textId="77777777" w:rsidR="00A43625" w:rsidRDefault="00A43625" w:rsidP="00330C7C">
      <w:pPr>
        <w:pStyle w:val="RulesSub-section"/>
        <w:tabs>
          <w:tab w:val="num" w:pos="810"/>
        </w:tabs>
        <w:ind w:hanging="432"/>
        <w:jc w:val="left"/>
      </w:pPr>
    </w:p>
    <w:p w14:paraId="3ECFE02C" w14:textId="77777777" w:rsidR="00A43625" w:rsidRDefault="00367625" w:rsidP="00C26972">
      <w:pPr>
        <w:pStyle w:val="RulesSub-section"/>
        <w:numPr>
          <w:ilvl w:val="0"/>
          <w:numId w:val="11"/>
        </w:numPr>
        <w:tabs>
          <w:tab w:val="clear" w:pos="720"/>
          <w:tab w:val="num" w:pos="810"/>
        </w:tabs>
        <w:ind w:right="-90" w:hanging="432"/>
        <w:jc w:val="left"/>
      </w:pPr>
      <w:r>
        <w:rPr>
          <w:b/>
        </w:rPr>
        <w:t>New motor vehicle e</w:t>
      </w:r>
      <w:r w:rsidR="00A43625">
        <w:rPr>
          <w:b/>
        </w:rPr>
        <w:t>ngine.</w:t>
      </w:r>
      <w:r w:rsidR="00355A4F">
        <w:t xml:space="preserve"> </w:t>
      </w:r>
      <w:r w:rsidR="00A43625">
        <w:t>“New motor vehicle engine” means a new engine in a motor vehicle.</w:t>
      </w:r>
    </w:p>
    <w:p w14:paraId="47D7D831" w14:textId="77777777" w:rsidR="00A43625" w:rsidRDefault="00A43625" w:rsidP="00221774">
      <w:pPr>
        <w:pStyle w:val="RulesSub-section"/>
        <w:tabs>
          <w:tab w:val="num" w:pos="810"/>
        </w:tabs>
        <w:ind w:hanging="432"/>
        <w:jc w:val="left"/>
      </w:pPr>
    </w:p>
    <w:p w14:paraId="3E8DB255" w14:textId="77777777" w:rsidR="00542BC7" w:rsidRDefault="00542BC7" w:rsidP="00221774">
      <w:pPr>
        <w:pStyle w:val="RulesSub-section"/>
        <w:numPr>
          <w:ilvl w:val="0"/>
          <w:numId w:val="11"/>
        </w:numPr>
        <w:tabs>
          <w:tab w:val="clear" w:pos="720"/>
          <w:tab w:val="num" w:pos="810"/>
        </w:tabs>
        <w:ind w:hanging="432"/>
        <w:jc w:val="left"/>
      </w:pPr>
      <w:r>
        <w:rPr>
          <w:b/>
        </w:rPr>
        <w:t>Passenger car.</w:t>
      </w:r>
      <w:r>
        <w:t xml:space="preserve"> "Passenger car" means any motor vehicle designed with a capability for transportation of human beings and having a design capacity of twelve individuals or less.</w:t>
      </w:r>
    </w:p>
    <w:p w14:paraId="5CFF3B3F" w14:textId="77777777" w:rsidR="00A43625" w:rsidRPr="00F36535" w:rsidRDefault="00A43625" w:rsidP="00221774">
      <w:pPr>
        <w:pStyle w:val="RulesSub-section"/>
        <w:tabs>
          <w:tab w:val="num" w:pos="810"/>
        </w:tabs>
        <w:ind w:hanging="432"/>
        <w:jc w:val="left"/>
      </w:pPr>
    </w:p>
    <w:p w14:paraId="4690CDF5" w14:textId="77777777" w:rsidR="00E50A78" w:rsidRDefault="00A43625" w:rsidP="00330C7C">
      <w:pPr>
        <w:pStyle w:val="RulesSub-section"/>
        <w:numPr>
          <w:ilvl w:val="0"/>
          <w:numId w:val="11"/>
        </w:numPr>
        <w:tabs>
          <w:tab w:val="clear" w:pos="720"/>
          <w:tab w:val="num" w:pos="810"/>
        </w:tabs>
        <w:ind w:hanging="432"/>
        <w:jc w:val="left"/>
      </w:pPr>
      <w:r>
        <w:rPr>
          <w:b/>
        </w:rPr>
        <w:t>Recall.</w:t>
      </w:r>
      <w:r w:rsidR="00355A4F">
        <w:t xml:space="preserve"> </w:t>
      </w:r>
      <w:r>
        <w:t>"Recall" means:</w:t>
      </w:r>
    </w:p>
    <w:p w14:paraId="3C3A0353" w14:textId="77777777" w:rsidR="00E50A78" w:rsidRDefault="00E50A78" w:rsidP="00221774">
      <w:pPr>
        <w:pStyle w:val="RulesSub-section"/>
        <w:ind w:hanging="432"/>
        <w:jc w:val="left"/>
      </w:pPr>
    </w:p>
    <w:p w14:paraId="189E6065" w14:textId="77777777" w:rsidR="00A43625" w:rsidRDefault="00A43625" w:rsidP="0029676C">
      <w:pPr>
        <w:pStyle w:val="RulesSub-section"/>
        <w:numPr>
          <w:ilvl w:val="0"/>
          <w:numId w:val="37"/>
        </w:numPr>
        <w:tabs>
          <w:tab w:val="clear" w:pos="702"/>
        </w:tabs>
        <w:ind w:left="1092"/>
        <w:jc w:val="left"/>
      </w:pPr>
      <w:r>
        <w:t>A manufacturer's issuing of notices directly to consumers that vehicles in their possession or control should be corrected; and/or</w:t>
      </w:r>
    </w:p>
    <w:p w14:paraId="0EE4C2FC" w14:textId="77777777" w:rsidR="00411A55" w:rsidRDefault="00411A55" w:rsidP="0029676C">
      <w:pPr>
        <w:pStyle w:val="RulesSub-section"/>
        <w:ind w:left="702" w:hanging="708"/>
        <w:jc w:val="left"/>
      </w:pPr>
    </w:p>
    <w:p w14:paraId="7918EB2D" w14:textId="77777777" w:rsidR="00A43625" w:rsidRDefault="00411A55" w:rsidP="0029676C">
      <w:pPr>
        <w:pStyle w:val="RulesParagraph"/>
        <w:numPr>
          <w:ilvl w:val="0"/>
          <w:numId w:val="37"/>
        </w:numPr>
        <w:tabs>
          <w:tab w:val="clear" w:pos="702"/>
        </w:tabs>
        <w:ind w:left="1092"/>
        <w:jc w:val="left"/>
      </w:pPr>
      <w:r>
        <w:t xml:space="preserve">A </w:t>
      </w:r>
      <w:r w:rsidR="00D909DB">
        <w:t>m</w:t>
      </w:r>
      <w:r>
        <w:t>anufacturer's efforts to actively locate and correct vehicles in the possession or control of consumers.</w:t>
      </w:r>
    </w:p>
    <w:p w14:paraId="4C030EF0" w14:textId="77777777" w:rsidR="00A43625" w:rsidRDefault="00A43625" w:rsidP="0029676C">
      <w:pPr>
        <w:pStyle w:val="RulesParagraph"/>
        <w:tabs>
          <w:tab w:val="num" w:pos="720"/>
        </w:tabs>
        <w:ind w:left="702" w:hanging="708"/>
        <w:jc w:val="left"/>
      </w:pPr>
    </w:p>
    <w:p w14:paraId="2C60F51D" w14:textId="77777777" w:rsidR="00595D01" w:rsidRPr="003073E4" w:rsidRDefault="00A024CD" w:rsidP="00330C7C">
      <w:pPr>
        <w:pStyle w:val="RulesParagraph"/>
        <w:numPr>
          <w:ilvl w:val="0"/>
          <w:numId w:val="11"/>
        </w:numPr>
        <w:tabs>
          <w:tab w:val="clear" w:pos="720"/>
        </w:tabs>
        <w:ind w:left="810" w:hanging="522"/>
        <w:jc w:val="left"/>
        <w:rPr>
          <w:b/>
        </w:rPr>
      </w:pPr>
      <w:r>
        <w:rPr>
          <w:b/>
        </w:rPr>
        <w:t xml:space="preserve"> </w:t>
      </w:r>
      <w:r w:rsidR="003073E4" w:rsidRPr="00C470D9">
        <w:rPr>
          <w:b/>
        </w:rPr>
        <w:t>Re</w:t>
      </w:r>
      <w:r w:rsidR="003073E4">
        <w:rPr>
          <w:b/>
        </w:rPr>
        <w:t xml:space="preserve">placement </w:t>
      </w:r>
      <w:r w:rsidR="00A622FF">
        <w:rPr>
          <w:b/>
        </w:rPr>
        <w:t>p</w:t>
      </w:r>
      <w:r w:rsidR="003073E4">
        <w:rPr>
          <w:b/>
        </w:rPr>
        <w:t>art.</w:t>
      </w:r>
      <w:r w:rsidR="00355A4F">
        <w:rPr>
          <w:b/>
        </w:rPr>
        <w:t xml:space="preserve"> </w:t>
      </w:r>
      <w:r w:rsidR="003073E4" w:rsidRPr="003073E4">
        <w:t>“R</w:t>
      </w:r>
      <w:r w:rsidR="003073E4">
        <w:t>eplacement part” means any aftermarket part which is intended to replace an original equipment emissions-related part and which is functionally identical to the original equipment part in all respects which in any way affect emissions (including durability), or a consolidated part.</w:t>
      </w:r>
    </w:p>
    <w:p w14:paraId="1EA830E7" w14:textId="77777777" w:rsidR="003073E4" w:rsidRDefault="003073E4" w:rsidP="00A024CD">
      <w:pPr>
        <w:pStyle w:val="RulesParagraph"/>
        <w:ind w:left="702" w:hanging="342"/>
        <w:jc w:val="left"/>
        <w:rPr>
          <w:b/>
        </w:rPr>
      </w:pPr>
    </w:p>
    <w:p w14:paraId="3568DFD1" w14:textId="77777777" w:rsidR="00A43625" w:rsidRPr="00336E6D" w:rsidRDefault="00A43625" w:rsidP="00C26972">
      <w:pPr>
        <w:pStyle w:val="RulesParagraph"/>
        <w:numPr>
          <w:ilvl w:val="0"/>
          <w:numId w:val="11"/>
        </w:numPr>
        <w:tabs>
          <w:tab w:val="left" w:pos="810"/>
        </w:tabs>
        <w:ind w:left="810" w:right="-90" w:hanging="432"/>
        <w:jc w:val="left"/>
        <w:rPr>
          <w:b/>
        </w:rPr>
      </w:pPr>
      <w:r>
        <w:rPr>
          <w:b/>
        </w:rPr>
        <w:t>Sell.</w:t>
      </w:r>
      <w:r w:rsidR="00355A4F">
        <w:rPr>
          <w:b/>
        </w:rPr>
        <w:t xml:space="preserve"> </w:t>
      </w:r>
      <w:r>
        <w:t>“Sell” means any commercial vehicles transaction recognized under the laws of this State as a means of transferring ownership of a good and includes barter.</w:t>
      </w:r>
      <w:r w:rsidR="005C64E2">
        <w:t xml:space="preserve"> </w:t>
      </w:r>
      <w:r>
        <w:t>It also includes offering for sale.</w:t>
      </w:r>
    </w:p>
    <w:p w14:paraId="135F1CDC" w14:textId="77777777" w:rsidR="00875C3C" w:rsidRPr="005161DD" w:rsidRDefault="00875C3C" w:rsidP="00221774">
      <w:pPr>
        <w:tabs>
          <w:tab w:val="left" w:pos="720"/>
        </w:tabs>
        <w:autoSpaceDE w:val="0"/>
        <w:autoSpaceDN w:val="0"/>
        <w:adjustRightInd w:val="0"/>
        <w:ind w:left="702" w:hanging="540"/>
        <w:rPr>
          <w:sz w:val="22"/>
          <w:szCs w:val="22"/>
        </w:rPr>
      </w:pPr>
    </w:p>
    <w:p w14:paraId="42E2E5C9" w14:textId="77777777" w:rsidR="00BF2A51" w:rsidRPr="00DB67FD" w:rsidRDefault="00221774" w:rsidP="00330C7C">
      <w:pPr>
        <w:pStyle w:val="RulesParagraph"/>
        <w:tabs>
          <w:tab w:val="left" w:pos="810"/>
        </w:tabs>
        <w:ind w:left="720"/>
        <w:jc w:val="left"/>
        <w:rPr>
          <w:b/>
        </w:rPr>
      </w:pPr>
      <w:r>
        <w:rPr>
          <w:b/>
          <w:szCs w:val="22"/>
        </w:rPr>
        <w:t>II</w:t>
      </w:r>
      <w:r w:rsidR="00BF2A51">
        <w:rPr>
          <w:b/>
          <w:szCs w:val="22"/>
        </w:rPr>
        <w:t>.</w:t>
      </w:r>
      <w:r w:rsidR="00BF2A51">
        <w:rPr>
          <w:b/>
          <w:szCs w:val="22"/>
        </w:rPr>
        <w:tab/>
      </w:r>
      <w:r w:rsidR="005161DD" w:rsidRPr="00DB67FD">
        <w:rPr>
          <w:b/>
          <w:szCs w:val="22"/>
        </w:rPr>
        <w:t xml:space="preserve">Small </w:t>
      </w:r>
      <w:r w:rsidR="00A622FF" w:rsidRPr="00DB67FD">
        <w:rPr>
          <w:b/>
          <w:szCs w:val="22"/>
        </w:rPr>
        <w:t>v</w:t>
      </w:r>
      <w:r w:rsidR="005161DD" w:rsidRPr="00DB67FD">
        <w:rPr>
          <w:b/>
          <w:szCs w:val="22"/>
        </w:rPr>
        <w:t xml:space="preserve">olume </w:t>
      </w:r>
      <w:r w:rsidR="00A622FF" w:rsidRPr="00DB67FD">
        <w:rPr>
          <w:b/>
          <w:szCs w:val="22"/>
        </w:rPr>
        <w:t>m</w:t>
      </w:r>
      <w:r w:rsidR="005161DD" w:rsidRPr="00DB67FD">
        <w:rPr>
          <w:b/>
          <w:szCs w:val="22"/>
        </w:rPr>
        <w:t>anufacturer.</w:t>
      </w:r>
      <w:r w:rsidR="00355A4F">
        <w:rPr>
          <w:b/>
          <w:szCs w:val="22"/>
        </w:rPr>
        <w:t xml:space="preserve"> </w:t>
      </w:r>
      <w:r w:rsidR="005161DD" w:rsidRPr="00DB67FD">
        <w:rPr>
          <w:szCs w:val="22"/>
        </w:rPr>
        <w:t>“Small volume manufacturer” means</w:t>
      </w:r>
      <w:r w:rsidR="005161DD" w:rsidRPr="00DB67FD">
        <w:rPr>
          <w:b/>
          <w:szCs w:val="22"/>
        </w:rPr>
        <w:t xml:space="preserve"> </w:t>
      </w:r>
      <w:r w:rsidR="0036007D" w:rsidRPr="00DB67FD">
        <w:rPr>
          <w:szCs w:val="22"/>
        </w:rPr>
        <w:t>“</w:t>
      </w:r>
      <w:r w:rsidR="007A5E83">
        <w:t>with respect to the 2001 and subsequent model-years, a manufacturer with California sales less than 4,500 new passenger cars, light-duty trucks, medium-duty vehicles, heavy-duty vehicles and heavy-duty engines based on the average number of vehicles sold for the three previous consecutive model years for which a manufacturer seeks certification as a small volume manufacturer</w:t>
      </w:r>
      <w:r w:rsidR="00BF2A51">
        <w:t xml:space="preserve"> as defined </w:t>
      </w:r>
      <w:r w:rsidR="00BF2A51" w:rsidRPr="00DB67FD">
        <w:rPr>
          <w:szCs w:val="22"/>
        </w:rPr>
        <w:t xml:space="preserve">in </w:t>
      </w:r>
      <w:r w:rsidR="00456267">
        <w:rPr>
          <w:szCs w:val="22"/>
        </w:rPr>
        <w:t xml:space="preserve">Title 13, </w:t>
      </w:r>
      <w:r w:rsidR="00604DD5" w:rsidRPr="00604DD5">
        <w:rPr>
          <w:i/>
          <w:szCs w:val="22"/>
        </w:rPr>
        <w:t>California Code of Regulations</w:t>
      </w:r>
      <w:r w:rsidR="00BF2A51" w:rsidRPr="00DB67FD">
        <w:rPr>
          <w:szCs w:val="22"/>
        </w:rPr>
        <w:t>, Section 1900.</w:t>
      </w:r>
    </w:p>
    <w:p w14:paraId="15961CE6" w14:textId="77777777" w:rsidR="007A5E83" w:rsidRPr="00BF2A51" w:rsidRDefault="007A5E83" w:rsidP="005F76B3">
      <w:pPr>
        <w:pStyle w:val="RulesParagraph"/>
        <w:tabs>
          <w:tab w:val="left" w:pos="720"/>
        </w:tabs>
        <w:ind w:left="0"/>
        <w:jc w:val="left"/>
        <w:rPr>
          <w:b/>
        </w:rPr>
      </w:pPr>
    </w:p>
    <w:p w14:paraId="3ADF64F8" w14:textId="77777777" w:rsidR="00A43625" w:rsidRDefault="00A024CD" w:rsidP="00330C7C">
      <w:pPr>
        <w:pStyle w:val="RulesParagraph"/>
        <w:tabs>
          <w:tab w:val="left" w:pos="630"/>
          <w:tab w:val="left" w:pos="720"/>
        </w:tabs>
        <w:ind w:left="720"/>
        <w:jc w:val="left"/>
      </w:pPr>
      <w:r>
        <w:rPr>
          <w:b/>
        </w:rPr>
        <w:t>JJ</w:t>
      </w:r>
      <w:r w:rsidR="00BF2A51">
        <w:rPr>
          <w:b/>
        </w:rPr>
        <w:t>.</w:t>
      </w:r>
      <w:r w:rsidR="00BF2A51">
        <w:rPr>
          <w:b/>
        </w:rPr>
        <w:tab/>
      </w:r>
      <w:r w:rsidR="00A43625">
        <w:rPr>
          <w:b/>
        </w:rPr>
        <w:t>Smog Index Label.</w:t>
      </w:r>
      <w:r w:rsidR="005C64E2">
        <w:rPr>
          <w:b/>
        </w:rPr>
        <w:t xml:space="preserve"> </w:t>
      </w:r>
      <w:r w:rsidR="00A622FF">
        <w:t>“Smog Index L</w:t>
      </w:r>
      <w:r w:rsidR="00A43625">
        <w:t>abel” means a decal securely affixed by the manufacturer to a window of all passenger cars and light-duty trucks</w:t>
      </w:r>
      <w:r w:rsidR="00A43625">
        <w:rPr>
          <w:i/>
        </w:rPr>
        <w:t xml:space="preserve"> </w:t>
      </w:r>
      <w:r w:rsidR="00A43625">
        <w:t xml:space="preserve">which discloses the smog </w:t>
      </w:r>
      <w:r w:rsidR="00A43625">
        <w:rPr>
          <w:rStyle w:val="QuickFormat5"/>
          <w:rFonts w:ascii="Times New Roman" w:hAnsi="Times New Roman"/>
          <w:sz w:val="24"/>
        </w:rPr>
        <w:t xml:space="preserve">index </w:t>
      </w:r>
      <w:r w:rsidR="00A43625">
        <w:t xml:space="preserve">for the vehicle in accordance with Title 13, </w:t>
      </w:r>
      <w:r w:rsidR="00604DD5" w:rsidRPr="00604DD5">
        <w:rPr>
          <w:i/>
        </w:rPr>
        <w:t>California Code of Regulations</w:t>
      </w:r>
      <w:r w:rsidR="00A43625">
        <w:t xml:space="preserve"> Section 1965.</w:t>
      </w:r>
    </w:p>
    <w:p w14:paraId="27314786" w14:textId="77777777" w:rsidR="005B46A1" w:rsidRDefault="005B46A1" w:rsidP="00107116">
      <w:pPr>
        <w:pStyle w:val="RulesSub-section"/>
        <w:ind w:firstLine="0"/>
        <w:jc w:val="left"/>
      </w:pPr>
    </w:p>
    <w:p w14:paraId="2891B9D2" w14:textId="77777777" w:rsidR="005B46A1" w:rsidRDefault="00A024CD" w:rsidP="00330C7C">
      <w:pPr>
        <w:pStyle w:val="RulesSub-section"/>
        <w:ind w:hanging="432"/>
        <w:jc w:val="left"/>
      </w:pPr>
      <w:r>
        <w:rPr>
          <w:b/>
        </w:rPr>
        <w:t>KK</w:t>
      </w:r>
      <w:r w:rsidR="00BF2A51">
        <w:rPr>
          <w:b/>
        </w:rPr>
        <w:t>.</w:t>
      </w:r>
      <w:r w:rsidR="00BF2A51">
        <w:rPr>
          <w:b/>
        </w:rPr>
        <w:tab/>
      </w:r>
      <w:r w:rsidR="005B46A1">
        <w:rPr>
          <w:b/>
        </w:rPr>
        <w:t>Type 0, I, I.5, II, III, IV, and V ZEVs</w:t>
      </w:r>
      <w:r w:rsidR="005B46A1">
        <w:t>.</w:t>
      </w:r>
      <w:r w:rsidR="005C64E2">
        <w:t xml:space="preserve"> </w:t>
      </w:r>
      <w:r w:rsidR="005B46A1">
        <w:t xml:space="preserve">“Type 0. I, I.5, II, III, IV, and V ZEVs” means “Type 0. I, I.5, II, III, IV, and V </w:t>
      </w:r>
      <w:r w:rsidR="00AE0065">
        <w:t>zero emission fuel cell or battery electric vehicles</w:t>
      </w:r>
      <w:r w:rsidR="005B46A1">
        <w:t xml:space="preserve"> as defined in </w:t>
      </w:r>
      <w:r w:rsidR="00456267">
        <w:t xml:space="preserve">Title 13, </w:t>
      </w:r>
      <w:r w:rsidR="00604DD5" w:rsidRPr="00604DD5">
        <w:rPr>
          <w:i/>
        </w:rPr>
        <w:t>California Code of Regulations</w:t>
      </w:r>
      <w:r w:rsidR="005B46A1">
        <w:t>, Section 1962.1(d)(5)(A).</w:t>
      </w:r>
    </w:p>
    <w:p w14:paraId="79927478" w14:textId="77777777" w:rsidR="00A43625" w:rsidRDefault="00A43625" w:rsidP="00107116">
      <w:pPr>
        <w:pStyle w:val="RulesSub-section"/>
        <w:tabs>
          <w:tab w:val="num" w:pos="720"/>
        </w:tabs>
        <w:jc w:val="left"/>
      </w:pPr>
    </w:p>
    <w:p w14:paraId="028B0EDE" w14:textId="77777777" w:rsidR="00B65244" w:rsidRDefault="0014393A" w:rsidP="00330C7C">
      <w:pPr>
        <w:pStyle w:val="RulesSection"/>
        <w:numPr>
          <w:ilvl w:val="0"/>
          <w:numId w:val="52"/>
        </w:numPr>
        <w:tabs>
          <w:tab w:val="left" w:pos="900"/>
        </w:tabs>
        <w:ind w:left="738" w:hanging="378"/>
        <w:jc w:val="left"/>
      </w:pPr>
      <w:r>
        <w:rPr>
          <w:b/>
        </w:rPr>
        <w:t>V</w:t>
      </w:r>
      <w:r w:rsidR="00B65244">
        <w:rPr>
          <w:b/>
        </w:rPr>
        <w:t>ECs.</w:t>
      </w:r>
      <w:r w:rsidR="00355A4F">
        <w:rPr>
          <w:b/>
        </w:rPr>
        <w:t xml:space="preserve"> </w:t>
      </w:r>
      <w:r w:rsidR="00B65244">
        <w:t>“VECs” means vehicle equivalent credits.</w:t>
      </w:r>
    </w:p>
    <w:p w14:paraId="2BC60416" w14:textId="77777777" w:rsidR="00B65244" w:rsidRDefault="00B65244" w:rsidP="00107116">
      <w:pPr>
        <w:pStyle w:val="RulesSection"/>
        <w:tabs>
          <w:tab w:val="num" w:pos="720"/>
        </w:tabs>
        <w:ind w:left="720" w:firstLine="0"/>
        <w:jc w:val="left"/>
      </w:pPr>
    </w:p>
    <w:p w14:paraId="669784A0" w14:textId="77777777" w:rsidR="00A43625" w:rsidRPr="00330C7C" w:rsidRDefault="00B82A80" w:rsidP="00330C7C">
      <w:pPr>
        <w:pStyle w:val="RulesSection"/>
        <w:numPr>
          <w:ilvl w:val="0"/>
          <w:numId w:val="50"/>
        </w:numPr>
        <w:tabs>
          <w:tab w:val="left" w:pos="677"/>
          <w:tab w:val="left" w:pos="780"/>
          <w:tab w:val="left" w:pos="858"/>
        </w:tabs>
        <w:ind w:left="858" w:hanging="498"/>
        <w:jc w:val="left"/>
        <w:rPr>
          <w:b/>
        </w:rPr>
      </w:pPr>
      <w:r w:rsidRPr="00B82A80">
        <w:rPr>
          <w:b/>
        </w:rPr>
        <w:t>ZEV--Zero-Emission Vehicle</w:t>
      </w:r>
      <w:r w:rsidRPr="000328CE">
        <w:t>.</w:t>
      </w:r>
      <w:r>
        <w:t xml:space="preserve"> </w:t>
      </w:r>
      <w:r w:rsidRPr="000328CE">
        <w:t>“Zero emission vehicle” means</w:t>
      </w:r>
      <w:r>
        <w:t xml:space="preserve"> any motor vehicle any passenger car, light</w:t>
      </w:r>
      <w:r>
        <w:noBreakHyphen/>
        <w:t>duty truck,</w:t>
      </w:r>
      <w:r w:rsidR="005C64E2">
        <w:t xml:space="preserve"> </w:t>
      </w:r>
      <w:r>
        <w:t>or medium duty vehicle certified to the zero emission vehicle standards in Title 13 CCR 1962, 1962.1, and 1962.2.</w:t>
      </w:r>
    </w:p>
    <w:p w14:paraId="5DC7EDA7" w14:textId="77777777" w:rsidR="00B82A80" w:rsidRPr="00B82A80" w:rsidRDefault="00B82A80" w:rsidP="00330C7C">
      <w:pPr>
        <w:pStyle w:val="RulesSection"/>
        <w:tabs>
          <w:tab w:val="left" w:pos="677"/>
          <w:tab w:val="left" w:pos="780"/>
          <w:tab w:val="left" w:pos="858"/>
        </w:tabs>
        <w:ind w:left="858" w:firstLine="0"/>
        <w:jc w:val="left"/>
        <w:rPr>
          <w:b/>
        </w:rPr>
      </w:pPr>
    </w:p>
    <w:p w14:paraId="59F4FF5A" w14:textId="77777777" w:rsidR="00A43625" w:rsidRDefault="00A43625">
      <w:pPr>
        <w:pStyle w:val="RulesSection"/>
        <w:rPr>
          <w:b/>
        </w:rPr>
      </w:pPr>
      <w:r>
        <w:rPr>
          <w:b/>
        </w:rPr>
        <w:t>3.</w:t>
      </w:r>
      <w:r>
        <w:rPr>
          <w:b/>
        </w:rPr>
        <w:tab/>
        <w:t xml:space="preserve">Incorporation </w:t>
      </w:r>
      <w:r w:rsidR="00B65244">
        <w:rPr>
          <w:b/>
        </w:rPr>
        <w:t>b</w:t>
      </w:r>
      <w:r w:rsidR="00747E11">
        <w:rPr>
          <w:b/>
        </w:rPr>
        <w:t>y Reference</w:t>
      </w:r>
    </w:p>
    <w:p w14:paraId="26F4F7D0" w14:textId="77777777" w:rsidR="00A43625" w:rsidRDefault="00A43625">
      <w:pPr>
        <w:pStyle w:val="RulesSection"/>
      </w:pPr>
    </w:p>
    <w:p w14:paraId="1ED3B16B" w14:textId="77777777" w:rsidR="00B82A80" w:rsidRDefault="00A43625" w:rsidP="0029676C">
      <w:pPr>
        <w:pStyle w:val="RulesSection"/>
        <w:ind w:left="780" w:firstLine="0"/>
        <w:jc w:val="left"/>
      </w:pPr>
      <w:r>
        <w:t xml:space="preserve">This chapter incorporates by reference certain sections of Title 13, </w:t>
      </w:r>
      <w:r w:rsidR="00604DD5" w:rsidRPr="00604DD5">
        <w:rPr>
          <w:i/>
        </w:rPr>
        <w:t>California Code of Regulations</w:t>
      </w:r>
      <w:r>
        <w:t>.</w:t>
      </w:r>
      <w:r w:rsidR="005C64E2">
        <w:t xml:space="preserve"> </w:t>
      </w:r>
      <w:r>
        <w:t xml:space="preserve">Appendix A lists the sections of Title 13, </w:t>
      </w:r>
      <w:r w:rsidR="00604DD5" w:rsidRPr="00604DD5">
        <w:rPr>
          <w:i/>
        </w:rPr>
        <w:t>California Code of Regulations</w:t>
      </w:r>
      <w:r>
        <w:t xml:space="preserve"> incorporated by reference and the respective amended date for each section.</w:t>
      </w:r>
      <w:r w:rsidR="005C64E2">
        <w:t xml:space="preserve"> </w:t>
      </w:r>
      <w:r>
        <w:t>The sections of Title</w:t>
      </w:r>
      <w:r w:rsidR="00C26972">
        <w:t> </w:t>
      </w:r>
      <w:r>
        <w:t xml:space="preserve">13, </w:t>
      </w:r>
      <w:r w:rsidR="00604DD5" w:rsidRPr="00604DD5">
        <w:rPr>
          <w:i/>
        </w:rPr>
        <w:t>California Code of Regulations</w:t>
      </w:r>
      <w:r>
        <w:t xml:space="preserve"> incorporated by reference in this chapter are the version of the section </w:t>
      </w:r>
      <w:r w:rsidR="00B82A80">
        <w:t xml:space="preserve">adopted </w:t>
      </w:r>
      <w:r>
        <w:t>as of the amended date in Appendix A.</w:t>
      </w:r>
      <w:r w:rsidR="005C64E2">
        <w:t xml:space="preserve"> </w:t>
      </w:r>
      <w:r w:rsidR="00B82A80">
        <w:t xml:space="preserve">For purposes of applying the incorporated sections of the </w:t>
      </w:r>
      <w:r w:rsidR="00604DD5" w:rsidRPr="00604DD5">
        <w:rPr>
          <w:i/>
        </w:rPr>
        <w:t>California Code of Regulations</w:t>
      </w:r>
      <w:r w:rsidR="00B82A80">
        <w:t>, unless clearly inappropriate, “California” shall mean “Maine”.</w:t>
      </w:r>
      <w:r w:rsidR="005C64E2">
        <w:t xml:space="preserve"> </w:t>
      </w:r>
      <w:r w:rsidR="00AE7A1E">
        <w:t>Copies of the incorporated material are available from the Department by calling 207-287-2437.</w:t>
      </w:r>
    </w:p>
    <w:p w14:paraId="3A4A1AF5" w14:textId="77777777" w:rsidR="00A43625" w:rsidRDefault="00A43625" w:rsidP="0029676C">
      <w:pPr>
        <w:pStyle w:val="RulesSection"/>
        <w:jc w:val="left"/>
        <w:rPr>
          <w:b/>
        </w:rPr>
      </w:pPr>
    </w:p>
    <w:p w14:paraId="47F8EE9D" w14:textId="77777777" w:rsidR="00A43625" w:rsidRDefault="00747E11" w:rsidP="0029676C">
      <w:pPr>
        <w:pStyle w:val="RulesSection"/>
        <w:jc w:val="left"/>
        <w:rPr>
          <w:b/>
        </w:rPr>
      </w:pPr>
      <w:r>
        <w:rPr>
          <w:b/>
        </w:rPr>
        <w:t>4.</w:t>
      </w:r>
      <w:r>
        <w:rPr>
          <w:b/>
        </w:rPr>
        <w:tab/>
        <w:t>Prohibitions</w:t>
      </w:r>
    </w:p>
    <w:p w14:paraId="33E6CD0F" w14:textId="77777777" w:rsidR="00A43625" w:rsidRDefault="00A43625" w:rsidP="0029676C">
      <w:pPr>
        <w:pStyle w:val="RulesSub-section"/>
        <w:jc w:val="left"/>
      </w:pPr>
    </w:p>
    <w:p w14:paraId="385591FD" w14:textId="77777777" w:rsidR="00A43625" w:rsidRDefault="00A43625" w:rsidP="0029676C">
      <w:pPr>
        <w:pStyle w:val="RulesSub-section"/>
        <w:jc w:val="left"/>
      </w:pPr>
      <w:r w:rsidRPr="00A33539">
        <w:rPr>
          <w:b/>
        </w:rPr>
        <w:t>A.</w:t>
      </w:r>
      <w:r>
        <w:rPr>
          <w:b/>
        </w:rPr>
        <w:tab/>
        <w:t>New Vehicle Emission Requirements.</w:t>
      </w:r>
      <w:r w:rsidR="00355A4F">
        <w:t xml:space="preserve"> </w:t>
      </w:r>
      <w:r>
        <w:t xml:space="preserve">No person, including a manufacturer or dealer, shall deliver for sale or lease, offer for sale or lease, sell or lease, import, or rent a new vehicle that is a 2001 </w:t>
      </w:r>
      <w:r w:rsidR="00A23F37">
        <w:t xml:space="preserve">and </w:t>
      </w:r>
      <w:r>
        <w:t xml:space="preserve">subsequent model-year passenger car or light-duty truck or 2003 </w:t>
      </w:r>
      <w:r w:rsidR="009F171B">
        <w:t xml:space="preserve">and </w:t>
      </w:r>
      <w:r>
        <w:t>subsequent model-year medium-duty vehicle,</w:t>
      </w:r>
      <w:r w:rsidR="009F171B">
        <w:t xml:space="preserve"> </w:t>
      </w:r>
      <w:r>
        <w:t>unless the vehicle</w:t>
      </w:r>
      <w:r w:rsidR="008C44BD">
        <w:t xml:space="preserve"> or engine</w:t>
      </w:r>
      <w:r>
        <w:rPr>
          <w:i/>
        </w:rPr>
        <w:t xml:space="preserve"> </w:t>
      </w:r>
      <w:r>
        <w:t>is California-certified</w:t>
      </w:r>
      <w:r>
        <w:rPr>
          <w:i/>
        </w:rPr>
        <w:t xml:space="preserve"> </w:t>
      </w:r>
      <w:r>
        <w:t>and complies with the following criteria:</w:t>
      </w:r>
    </w:p>
    <w:p w14:paraId="45CE7312" w14:textId="77777777" w:rsidR="00A43625" w:rsidRDefault="00A43625" w:rsidP="0029676C">
      <w:pPr>
        <w:pStyle w:val="RulesSub-section"/>
        <w:ind w:left="1080"/>
        <w:jc w:val="left"/>
      </w:pPr>
    </w:p>
    <w:p w14:paraId="1C21636A" w14:textId="77777777" w:rsidR="00A43625" w:rsidRDefault="00B65244" w:rsidP="0029676C">
      <w:pPr>
        <w:pStyle w:val="RulesSub-section"/>
        <w:ind w:left="1080"/>
        <w:jc w:val="left"/>
      </w:pPr>
      <w:r>
        <w:t>(1)</w:t>
      </w:r>
      <w:r>
        <w:tab/>
        <w:t>T</w:t>
      </w:r>
      <w:r w:rsidR="00A43625">
        <w:t xml:space="preserve">he exhaust emissions standards in Title 13, </w:t>
      </w:r>
      <w:r w:rsidR="00604DD5" w:rsidRPr="00604DD5">
        <w:rPr>
          <w:i/>
        </w:rPr>
        <w:t>California Code of Regulations</w:t>
      </w:r>
      <w:r w:rsidR="00A43625">
        <w:t xml:space="preserve"> Sections 1956.8</w:t>
      </w:r>
      <w:r w:rsidR="00F15A89">
        <w:t xml:space="preserve"> (c),</w:t>
      </w:r>
      <w:r w:rsidR="00A43625">
        <w:t>(g) or (h), 1960.1, 1961</w:t>
      </w:r>
      <w:r w:rsidR="00F15A89">
        <w:t xml:space="preserve">1961.1, </w:t>
      </w:r>
      <w:r w:rsidR="00907543">
        <w:t>1961.2</w:t>
      </w:r>
      <w:r w:rsidR="00F15A89">
        <w:t>,</w:t>
      </w:r>
      <w:r w:rsidR="004829F3">
        <w:t xml:space="preserve"> </w:t>
      </w:r>
      <w:r w:rsidR="00F15A89">
        <w:t xml:space="preserve">1961.3, </w:t>
      </w:r>
      <w:r w:rsidR="00A43625">
        <w:t>1962</w:t>
      </w:r>
      <w:r w:rsidR="00F15A89">
        <w:t>,</w:t>
      </w:r>
      <w:r w:rsidR="008A7A44">
        <w:t xml:space="preserve"> 1962.1</w:t>
      </w:r>
      <w:r w:rsidR="00F15A89">
        <w:t xml:space="preserve"> or 1962.2</w:t>
      </w:r>
      <w:r w:rsidR="00A43625">
        <w:t>;</w:t>
      </w:r>
      <w:r w:rsidR="00F15A89">
        <w:t xml:space="preserve"> and</w:t>
      </w:r>
    </w:p>
    <w:p w14:paraId="47EFA63C" w14:textId="77777777" w:rsidR="00A43625" w:rsidRDefault="00A43625" w:rsidP="0029676C">
      <w:pPr>
        <w:pStyle w:val="RulesSub-section"/>
        <w:ind w:left="1080"/>
        <w:jc w:val="left"/>
      </w:pPr>
    </w:p>
    <w:p w14:paraId="4FC925A3" w14:textId="77777777" w:rsidR="00A43625" w:rsidRDefault="00B65244" w:rsidP="0029676C">
      <w:pPr>
        <w:pStyle w:val="RulesSub-section"/>
        <w:ind w:left="1080"/>
        <w:jc w:val="left"/>
      </w:pPr>
      <w:r>
        <w:t>(2) T</w:t>
      </w:r>
      <w:r w:rsidR="00A43625">
        <w:t xml:space="preserve">he emission control label </w:t>
      </w:r>
      <w:r w:rsidR="008C44BD">
        <w:t xml:space="preserve">requirements, the smog index label requirements </w:t>
      </w:r>
      <w:r w:rsidR="00A43625">
        <w:t xml:space="preserve">for 2002 </w:t>
      </w:r>
      <w:r w:rsidR="008C44BD">
        <w:t xml:space="preserve">through 2009 model-years, and the </w:t>
      </w:r>
      <w:r w:rsidR="00C26972">
        <w:t>“</w:t>
      </w:r>
      <w:r w:rsidR="00FB37E2">
        <w:t>Environmental Performance Label</w:t>
      </w:r>
      <w:r w:rsidR="00C26972">
        <w:t>”</w:t>
      </w:r>
      <w:r w:rsidR="00FB37E2">
        <w:t xml:space="preserve"> or a </w:t>
      </w:r>
      <w:r w:rsidR="00C26972">
        <w:t>“</w:t>
      </w:r>
      <w:r w:rsidR="00FB37E2">
        <w:t>Federal Fuel Economy and Environmental Label</w:t>
      </w:r>
      <w:r w:rsidR="00C26972">
        <w:t>”</w:t>
      </w:r>
      <w:r w:rsidR="00FB37E2">
        <w:t xml:space="preserve"> securely affixed to a window of the vehicle </w:t>
      </w:r>
      <w:r w:rsidR="008C44BD">
        <w:t xml:space="preserve">for 2010 and </w:t>
      </w:r>
      <w:r w:rsidR="00A43625">
        <w:t xml:space="preserve">subsequent model-years in accordance with Title 13, </w:t>
      </w:r>
      <w:r w:rsidR="00604DD5" w:rsidRPr="00604DD5">
        <w:rPr>
          <w:i/>
        </w:rPr>
        <w:t>California Code of Regulations</w:t>
      </w:r>
      <w:r w:rsidR="00A43625">
        <w:t xml:space="preserve"> Section 1965</w:t>
      </w:r>
      <w:r w:rsidR="00BA51DD">
        <w:t>.</w:t>
      </w:r>
      <w:r w:rsidR="005C64E2">
        <w:t xml:space="preserve"> </w:t>
      </w:r>
      <w:r w:rsidR="00FB37E2">
        <w:t xml:space="preserve">No motor vehicle dealer in Maine shall remove or cause removal of an </w:t>
      </w:r>
      <w:r w:rsidR="00C26972">
        <w:t>“</w:t>
      </w:r>
      <w:r w:rsidR="00FB37E2">
        <w:t>Environmental Performance Label</w:t>
      </w:r>
      <w:r w:rsidR="00C26972">
        <w:t>”</w:t>
      </w:r>
      <w:r w:rsidR="00FB37E2">
        <w:t xml:space="preserve"> or a </w:t>
      </w:r>
      <w:r w:rsidR="00C26972">
        <w:t>“</w:t>
      </w:r>
      <w:r w:rsidR="00FB37E2">
        <w:t>Federal Fuel Economy and Environmental Label</w:t>
      </w:r>
      <w:r w:rsidR="00C26972">
        <w:t>”</w:t>
      </w:r>
      <w:r w:rsidR="00FB37E2">
        <w:t xml:space="preserve"> affixed to any motor vehicle subject prior to the sale or lease of the vehicle.</w:t>
      </w:r>
    </w:p>
    <w:p w14:paraId="72B5AFE2" w14:textId="77777777" w:rsidR="00A43625" w:rsidRDefault="00A43625" w:rsidP="0029676C">
      <w:pPr>
        <w:pStyle w:val="RulesSub-section"/>
        <w:ind w:left="1080"/>
        <w:jc w:val="left"/>
      </w:pPr>
    </w:p>
    <w:p w14:paraId="3F2970DB" w14:textId="77777777" w:rsidR="00A43625" w:rsidRDefault="00B65244" w:rsidP="00413B1D">
      <w:pPr>
        <w:pStyle w:val="RulesSub-section"/>
        <w:ind w:left="1080" w:right="-90"/>
        <w:jc w:val="left"/>
      </w:pPr>
      <w:r>
        <w:t>(3)</w:t>
      </w:r>
      <w:r w:rsidR="005738A7">
        <w:tab/>
      </w:r>
      <w:r>
        <w:t>T</w:t>
      </w:r>
      <w:r w:rsidR="00A43625">
        <w:t xml:space="preserve">he evaporative emissions standards in Title 13, </w:t>
      </w:r>
      <w:r w:rsidR="00604DD5" w:rsidRPr="00604DD5">
        <w:rPr>
          <w:i/>
        </w:rPr>
        <w:t>California Code of Regulations</w:t>
      </w:r>
      <w:r w:rsidR="00A43625">
        <w:t xml:space="preserve"> Section 1976;</w:t>
      </w:r>
    </w:p>
    <w:p w14:paraId="33DB4FDC" w14:textId="77777777" w:rsidR="00A43625" w:rsidRDefault="00A43625" w:rsidP="0029676C">
      <w:pPr>
        <w:pStyle w:val="RulesSub-section"/>
        <w:ind w:left="1080"/>
        <w:jc w:val="left"/>
      </w:pPr>
    </w:p>
    <w:p w14:paraId="7F937DA4" w14:textId="77777777" w:rsidR="00A43625" w:rsidRDefault="00B65244" w:rsidP="0029676C">
      <w:pPr>
        <w:pStyle w:val="RulesSub-section"/>
        <w:ind w:left="1080"/>
        <w:jc w:val="left"/>
      </w:pPr>
      <w:r>
        <w:t>(4)</w:t>
      </w:r>
      <w:r>
        <w:tab/>
        <w:t>T</w:t>
      </w:r>
      <w:r w:rsidR="00A43625">
        <w:t xml:space="preserve">he refueling emissions standards in Title 13, </w:t>
      </w:r>
      <w:r w:rsidR="00604DD5" w:rsidRPr="00604DD5">
        <w:rPr>
          <w:i/>
        </w:rPr>
        <w:t>California Code of Regulations</w:t>
      </w:r>
      <w:r w:rsidR="00A43625">
        <w:t xml:space="preserve"> Section 1978;</w:t>
      </w:r>
      <w:r w:rsidR="00FB37E2">
        <w:t xml:space="preserve"> </w:t>
      </w:r>
    </w:p>
    <w:p w14:paraId="5847EACC" w14:textId="77777777" w:rsidR="00A43625" w:rsidRDefault="00A43625" w:rsidP="0029676C">
      <w:pPr>
        <w:pStyle w:val="RulesSub-section"/>
        <w:ind w:left="1080"/>
        <w:jc w:val="left"/>
      </w:pPr>
    </w:p>
    <w:p w14:paraId="5A077571" w14:textId="77777777" w:rsidR="00A43625" w:rsidRDefault="00B65244" w:rsidP="0029676C">
      <w:pPr>
        <w:pStyle w:val="RulesSub-section"/>
        <w:ind w:left="1080"/>
        <w:jc w:val="left"/>
      </w:pPr>
      <w:r>
        <w:t>(5)</w:t>
      </w:r>
      <w:r>
        <w:tab/>
        <w:t>T</w:t>
      </w:r>
      <w:r w:rsidR="00A43625">
        <w:t xml:space="preserve">he malfunction and diagnostic system requirements in Title 13, </w:t>
      </w:r>
      <w:r w:rsidR="00604DD5" w:rsidRPr="00604DD5">
        <w:rPr>
          <w:i/>
        </w:rPr>
        <w:t>California Code of Regulations</w:t>
      </w:r>
      <w:r w:rsidR="00A43625">
        <w:t xml:space="preserve"> Section 1968.1;</w:t>
      </w:r>
      <w:r w:rsidR="00FB37E2">
        <w:t xml:space="preserve"> </w:t>
      </w:r>
    </w:p>
    <w:p w14:paraId="6B314804" w14:textId="77777777" w:rsidR="00A43625" w:rsidRDefault="00A43625" w:rsidP="0029676C">
      <w:pPr>
        <w:pStyle w:val="RulesSub-section"/>
        <w:ind w:left="1080"/>
        <w:jc w:val="left"/>
      </w:pPr>
    </w:p>
    <w:p w14:paraId="5CA4A4BB" w14:textId="77777777" w:rsidR="00A43625" w:rsidRDefault="00A43625" w:rsidP="0029676C">
      <w:pPr>
        <w:pStyle w:val="RulesSub-section"/>
        <w:ind w:left="1080"/>
        <w:jc w:val="left"/>
      </w:pPr>
      <w:r>
        <w:t xml:space="preserve">(6) </w:t>
      </w:r>
      <w:r w:rsidR="00B65244">
        <w:t>T</w:t>
      </w:r>
      <w:r>
        <w:t>he assembly-line testing</w:t>
      </w:r>
      <w:r>
        <w:rPr>
          <w:i/>
        </w:rPr>
        <w:t xml:space="preserve"> </w:t>
      </w:r>
      <w:r>
        <w:t xml:space="preserve">procedure requirements in Title 13, </w:t>
      </w:r>
      <w:r w:rsidR="00604DD5" w:rsidRPr="00604DD5">
        <w:rPr>
          <w:i/>
        </w:rPr>
        <w:t>California Code of Regulations</w:t>
      </w:r>
      <w:r>
        <w:t xml:space="preserve"> Section 2062; and</w:t>
      </w:r>
    </w:p>
    <w:p w14:paraId="33508DB3" w14:textId="77777777" w:rsidR="00A43625" w:rsidRDefault="00A43625" w:rsidP="0029676C">
      <w:pPr>
        <w:pStyle w:val="RulesSub-section"/>
        <w:ind w:left="1080"/>
        <w:jc w:val="left"/>
      </w:pPr>
    </w:p>
    <w:p w14:paraId="3458D7DB" w14:textId="77777777" w:rsidR="00A43625" w:rsidRDefault="00B65244" w:rsidP="0029676C">
      <w:pPr>
        <w:pStyle w:val="RulesSub-section"/>
        <w:ind w:left="1080"/>
        <w:jc w:val="left"/>
      </w:pPr>
      <w:r>
        <w:t>(7)</w:t>
      </w:r>
      <w:r>
        <w:tab/>
        <w:t>T</w:t>
      </w:r>
      <w:r w:rsidR="00A43625">
        <w:t xml:space="preserve">he specifications for fill pipes and openings of motor vehicle fuel tanks in Title 13, </w:t>
      </w:r>
      <w:r w:rsidR="00604DD5" w:rsidRPr="00604DD5">
        <w:rPr>
          <w:i/>
        </w:rPr>
        <w:t>California Code of Regulations</w:t>
      </w:r>
      <w:r w:rsidR="00A43625">
        <w:t xml:space="preserve"> Section 2235</w:t>
      </w:r>
      <w:r w:rsidR="00AC623F">
        <w:t>.</w:t>
      </w:r>
    </w:p>
    <w:p w14:paraId="4F5DBF81" w14:textId="77777777" w:rsidR="00A43625" w:rsidRDefault="00A43625" w:rsidP="0029676C">
      <w:pPr>
        <w:pStyle w:val="RulesSub-section"/>
        <w:jc w:val="left"/>
      </w:pPr>
    </w:p>
    <w:p w14:paraId="5A8894A0" w14:textId="77777777" w:rsidR="00A43625" w:rsidRDefault="00A43625" w:rsidP="0029676C">
      <w:pPr>
        <w:pStyle w:val="RulesSub-section"/>
        <w:jc w:val="left"/>
      </w:pPr>
      <w:r w:rsidRPr="00A33539">
        <w:rPr>
          <w:b/>
        </w:rPr>
        <w:t>B.</w:t>
      </w:r>
      <w:r>
        <w:rPr>
          <w:b/>
        </w:rPr>
        <w:tab/>
        <w:t>New Heavy-Duty Diesel Vehicle Requirements.</w:t>
      </w:r>
      <w:r w:rsidR="00355A4F">
        <w:rPr>
          <w:b/>
        </w:rPr>
        <w:t xml:space="preserve"> </w:t>
      </w:r>
      <w:r>
        <w:t>No person, including a manufacturer or dealer, shall deliver for sale or lease, offer for sale or lease, sell or lease, import, or rent a 2005 or 2006 and 2008 and subsequent model-year heavy-duty diesel engine, a new motor vehicle equipped with a 2005 or 2006 and 2008 and subsequent model-year heavy-duty diesel engine, or a motor vehicle with a new 2005 or 2006 and 2008 and subsequent model-year heavy-duty diesel engine, unless the vehicle</w:t>
      </w:r>
      <w:r w:rsidR="0013551E">
        <w:t xml:space="preserve"> and engine</w:t>
      </w:r>
      <w:r>
        <w:rPr>
          <w:i/>
        </w:rPr>
        <w:t xml:space="preserve"> </w:t>
      </w:r>
      <w:r w:rsidR="0013551E">
        <w:t xml:space="preserve">are </w:t>
      </w:r>
      <w:r>
        <w:t>California-certified</w:t>
      </w:r>
      <w:r>
        <w:rPr>
          <w:i/>
        </w:rPr>
        <w:t xml:space="preserve"> </w:t>
      </w:r>
      <w:r>
        <w:t>and complies with the following criteria:</w:t>
      </w:r>
    </w:p>
    <w:p w14:paraId="44BA9305" w14:textId="77777777" w:rsidR="00A43625" w:rsidRDefault="00A43625" w:rsidP="0029676C">
      <w:pPr>
        <w:pStyle w:val="RulesSub-section"/>
        <w:jc w:val="left"/>
      </w:pPr>
    </w:p>
    <w:p w14:paraId="44A6F8F0" w14:textId="77777777" w:rsidR="00A43625" w:rsidRDefault="00B65244" w:rsidP="0029676C">
      <w:pPr>
        <w:pStyle w:val="RulesSub-section"/>
        <w:numPr>
          <w:ilvl w:val="0"/>
          <w:numId w:val="19"/>
        </w:numPr>
        <w:tabs>
          <w:tab w:val="num" w:pos="1080"/>
        </w:tabs>
        <w:ind w:left="1080"/>
        <w:jc w:val="left"/>
      </w:pPr>
      <w:r>
        <w:t>T</w:t>
      </w:r>
      <w:r w:rsidR="00A43625">
        <w:t xml:space="preserve">he exhaust emissions standards in Title 13, </w:t>
      </w:r>
      <w:r w:rsidR="00604DD5" w:rsidRPr="00604DD5">
        <w:rPr>
          <w:i/>
        </w:rPr>
        <w:t>California Code of Regulations</w:t>
      </w:r>
      <w:r w:rsidR="00A43625">
        <w:t xml:space="preserve"> Section 1956.8.</w:t>
      </w:r>
    </w:p>
    <w:p w14:paraId="54A8EC06" w14:textId="77777777" w:rsidR="00BD240D" w:rsidRDefault="00BD240D" w:rsidP="0029676C">
      <w:pPr>
        <w:pStyle w:val="RulesSub-section"/>
        <w:ind w:firstLine="0"/>
        <w:jc w:val="left"/>
      </w:pPr>
    </w:p>
    <w:p w14:paraId="6F737E0A" w14:textId="77777777" w:rsidR="002A4BB1" w:rsidRDefault="002A4BB1" w:rsidP="002A4BB1">
      <w:pPr>
        <w:pStyle w:val="RulesSub-section"/>
        <w:ind w:left="1014" w:hanging="294"/>
        <w:jc w:val="left"/>
      </w:pPr>
      <w:r>
        <w:t>(2)</w:t>
      </w:r>
      <w:r>
        <w:tab/>
        <w:t xml:space="preserve">Any diesel fueled auxiliary power system installed on a vehicle certified with a 2007 and subsequent model year heavy duty diesel engine must be California certified and comply with the requirements specified in Title 13 </w:t>
      </w:r>
      <w:r w:rsidR="00604DD5" w:rsidRPr="00604DD5">
        <w:rPr>
          <w:i/>
        </w:rPr>
        <w:t>California Code of Regulations</w:t>
      </w:r>
      <w:r>
        <w:t xml:space="preserve"> Section </w:t>
      </w:r>
      <w:r w:rsidR="003D567A">
        <w:t>2485</w:t>
      </w:r>
      <w:r>
        <w:t>(c)(3)</w:t>
      </w:r>
      <w:r w:rsidR="004F59DA">
        <w:t xml:space="preserve"> </w:t>
      </w:r>
      <w:r>
        <w:t xml:space="preserve">or meet EPA’s Tier </w:t>
      </w:r>
      <w:r w:rsidR="00A709F9">
        <w:t>4</w:t>
      </w:r>
      <w:r>
        <w:t xml:space="preserve"> standard</w:t>
      </w:r>
      <w:r w:rsidR="00A709F9">
        <w:t>s</w:t>
      </w:r>
      <w:r w:rsidR="002C39C4">
        <w:t xml:space="preserve"> pursuant to 40 CFR Part 1039 (</w:t>
      </w:r>
      <w:r w:rsidR="00B60443">
        <w:t xml:space="preserve">last </w:t>
      </w:r>
      <w:r w:rsidR="002C39C4">
        <w:t>amended July 13, 2005)</w:t>
      </w:r>
      <w:r>
        <w:t>.</w:t>
      </w:r>
    </w:p>
    <w:p w14:paraId="3CB739FF" w14:textId="77777777" w:rsidR="002A4BB1" w:rsidRDefault="002A4BB1" w:rsidP="0029676C">
      <w:pPr>
        <w:pStyle w:val="RulesSub-section"/>
        <w:ind w:firstLine="0"/>
        <w:jc w:val="left"/>
      </w:pPr>
    </w:p>
    <w:p w14:paraId="5C38C8EC" w14:textId="77777777" w:rsidR="00A43625" w:rsidRDefault="00A43625" w:rsidP="00C26972">
      <w:pPr>
        <w:pStyle w:val="RulesSub-section"/>
        <w:numPr>
          <w:ilvl w:val="0"/>
          <w:numId w:val="9"/>
        </w:numPr>
        <w:ind w:right="90"/>
        <w:jc w:val="left"/>
      </w:pPr>
      <w:r>
        <w:rPr>
          <w:b/>
        </w:rPr>
        <w:t xml:space="preserve">Zero Emission Vehicle </w:t>
      </w:r>
      <w:r w:rsidR="0047520E">
        <w:rPr>
          <w:b/>
        </w:rPr>
        <w:t>Requirements</w:t>
      </w:r>
      <w:r>
        <w:rPr>
          <w:b/>
        </w:rPr>
        <w:t>.</w:t>
      </w:r>
      <w:r w:rsidR="003F4926">
        <w:t xml:space="preserve"> </w:t>
      </w:r>
      <w:r>
        <w:t>Beginning with the 2009 model year, each manufacturer’s sales fleet of passenger cars</w:t>
      </w:r>
      <w:r w:rsidR="00CA45F3">
        <w:t xml:space="preserve"> (PCs)</w:t>
      </w:r>
      <w:r w:rsidR="00831E02">
        <w:t>,</w:t>
      </w:r>
      <w:r>
        <w:t xml:space="preserve"> light</w:t>
      </w:r>
      <w:r w:rsidR="005A32DC">
        <w:t>-</w:t>
      </w:r>
      <w:r>
        <w:t>duty truck</w:t>
      </w:r>
      <w:r w:rsidR="002244D7">
        <w:t xml:space="preserve"> 1</w:t>
      </w:r>
      <w:r w:rsidR="00831E02">
        <w:t xml:space="preserve"> (LDT1)</w:t>
      </w:r>
      <w:r w:rsidR="00CF6976">
        <w:t xml:space="preserve">, and light-duty truck </w:t>
      </w:r>
      <w:r w:rsidR="002244D7">
        <w:t>2</w:t>
      </w:r>
      <w:r w:rsidR="00831E02">
        <w:t xml:space="preserve"> (LDT2)</w:t>
      </w:r>
      <w:r w:rsidR="002244D7">
        <w:t xml:space="preserve"> </w:t>
      </w:r>
      <w:r w:rsidR="00EE4328">
        <w:t xml:space="preserve">vehicles </w:t>
      </w:r>
      <w:r w:rsidR="00CF6976">
        <w:t>as applicable</w:t>
      </w:r>
      <w:r w:rsidR="005F0005">
        <w:t>,</w:t>
      </w:r>
      <w:r>
        <w:t xml:space="preserve"> produced and delivered for sale in the State of Maine shall contain at least the same percentage of ZEVs subject to the requirements, including credit and banking provisions, set forth in the </w:t>
      </w:r>
      <w:r w:rsidR="00811AD5">
        <w:t xml:space="preserve">Title 13 </w:t>
      </w:r>
      <w:r w:rsidR="00604DD5" w:rsidRPr="00604DD5">
        <w:rPr>
          <w:i/>
        </w:rPr>
        <w:t>California Code of Regulations</w:t>
      </w:r>
      <w:r>
        <w:t xml:space="preserve">, </w:t>
      </w:r>
      <w:r w:rsidR="00881BD4">
        <w:t xml:space="preserve">Section </w:t>
      </w:r>
      <w:r>
        <w:t>1962</w:t>
      </w:r>
      <w:r w:rsidR="00A23F37">
        <w:t>.1</w:t>
      </w:r>
      <w:r>
        <w:t xml:space="preserve"> </w:t>
      </w:r>
      <w:r w:rsidR="00305EA4">
        <w:t xml:space="preserve">and 1962.2 </w:t>
      </w:r>
      <w:r>
        <w:t>using Maine specific vehicle numbers.</w:t>
      </w:r>
    </w:p>
    <w:p w14:paraId="0980E50C" w14:textId="77777777" w:rsidR="00A43625" w:rsidRDefault="00A43625" w:rsidP="0029676C">
      <w:pPr>
        <w:pStyle w:val="RulesSub-section"/>
        <w:ind w:left="0" w:firstLine="0"/>
        <w:jc w:val="left"/>
      </w:pPr>
    </w:p>
    <w:p w14:paraId="30DFB2A2" w14:textId="77777777" w:rsidR="00A43625" w:rsidRDefault="00A43625" w:rsidP="0029676C">
      <w:pPr>
        <w:pStyle w:val="RulesSub-section"/>
        <w:jc w:val="left"/>
      </w:pPr>
      <w:r w:rsidRPr="00A33539">
        <w:rPr>
          <w:b/>
        </w:rPr>
        <w:t>D.</w:t>
      </w:r>
      <w:r w:rsidRPr="00E2073C">
        <w:tab/>
      </w:r>
      <w:r w:rsidRPr="00E2073C">
        <w:rPr>
          <w:b/>
        </w:rPr>
        <w:t>Alternative Zero Emission Vehicle Compliance.</w:t>
      </w:r>
      <w:r w:rsidR="00355A4F" w:rsidRPr="00E2073C">
        <w:t xml:space="preserve"> </w:t>
      </w:r>
      <w:r>
        <w:t>As an alternative means of compliance with the requirements of Section 4(C), an automobile manufacturer may instead opt to utilize the following alternative compliance mechanisms.</w:t>
      </w:r>
      <w:r w:rsidR="00355A4F">
        <w:t xml:space="preserve"> </w:t>
      </w:r>
      <w:r>
        <w:t xml:space="preserve">If a manufacturer opts to utilize the alternative compliance mechanisms, such manufacturer shall notify the commissioner in writing by </w:t>
      </w:r>
      <w:r w:rsidR="00B555C2">
        <w:t>October</w:t>
      </w:r>
      <w:r w:rsidR="00413B1D">
        <w:t> </w:t>
      </w:r>
      <w:r>
        <w:t>1, 2005.</w:t>
      </w:r>
    </w:p>
    <w:p w14:paraId="10D4D050" w14:textId="77777777" w:rsidR="00A43625" w:rsidRDefault="00A43625" w:rsidP="0029676C">
      <w:pPr>
        <w:pStyle w:val="RulesSub-section"/>
        <w:jc w:val="left"/>
      </w:pPr>
    </w:p>
    <w:p w14:paraId="4F485046" w14:textId="77777777" w:rsidR="00A43625" w:rsidRDefault="00A43625" w:rsidP="0029676C">
      <w:pPr>
        <w:pStyle w:val="RulesSub-section"/>
        <w:ind w:left="1080"/>
        <w:jc w:val="left"/>
      </w:pPr>
      <w:r>
        <w:t>(1)</w:t>
      </w:r>
      <w:r>
        <w:tab/>
        <w:t>A manufacturer may earn Maine ZEV credits for the introduction into Maine of PZEVs, AT PZEVs, and ZEVs beginning with 2004 model year provided that:</w:t>
      </w:r>
    </w:p>
    <w:p w14:paraId="243C64A6" w14:textId="77777777" w:rsidR="00A43625" w:rsidRDefault="00A43625" w:rsidP="0029676C">
      <w:pPr>
        <w:pStyle w:val="RulesSub-section"/>
        <w:ind w:left="1080"/>
        <w:jc w:val="left"/>
      </w:pPr>
    </w:p>
    <w:p w14:paraId="3BEDF844" w14:textId="77777777" w:rsidR="00A43625" w:rsidRDefault="00A43625" w:rsidP="0029676C">
      <w:pPr>
        <w:pStyle w:val="RulesSub-section"/>
        <w:numPr>
          <w:ilvl w:val="0"/>
          <w:numId w:val="10"/>
        </w:numPr>
        <w:jc w:val="left"/>
      </w:pPr>
      <w:r>
        <w:t xml:space="preserve">The vehicle credit values for this alternative compliance path shall be the same as the </w:t>
      </w:r>
      <w:r w:rsidR="00811AD5">
        <w:t xml:space="preserve">Title 13 </w:t>
      </w:r>
      <w:r w:rsidR="00604DD5" w:rsidRPr="00604DD5">
        <w:rPr>
          <w:i/>
        </w:rPr>
        <w:t>California Code of Regulations</w:t>
      </w:r>
      <w:r>
        <w:t xml:space="preserve">, </w:t>
      </w:r>
      <w:r w:rsidR="005F0005">
        <w:t xml:space="preserve">Section </w:t>
      </w:r>
      <w:r w:rsidR="00BD240D">
        <w:t>1962</w:t>
      </w:r>
      <w:r>
        <w:t>.</w:t>
      </w:r>
    </w:p>
    <w:p w14:paraId="335A18E1" w14:textId="77777777" w:rsidR="003E4CE8" w:rsidRDefault="003E4CE8" w:rsidP="0029676C">
      <w:pPr>
        <w:pStyle w:val="RulesSub-section"/>
        <w:ind w:left="1080" w:firstLine="0"/>
        <w:jc w:val="left"/>
      </w:pPr>
    </w:p>
    <w:p w14:paraId="227930DA" w14:textId="77777777" w:rsidR="00413B1D" w:rsidRDefault="003E4CE8" w:rsidP="0029676C">
      <w:pPr>
        <w:pStyle w:val="RulesSub-section"/>
        <w:ind w:left="1482" w:hanging="390"/>
        <w:jc w:val="left"/>
      </w:pPr>
      <w:r>
        <w:t>(b)</w:t>
      </w:r>
      <w:r>
        <w:tab/>
      </w:r>
      <w:r w:rsidR="00A43625">
        <w:t xml:space="preserve">After the credit value for a </w:t>
      </w:r>
      <w:r w:rsidR="00A242A4">
        <w:t xml:space="preserve">2004 through 2008 model year </w:t>
      </w:r>
      <w:r w:rsidR="00A43625">
        <w:t xml:space="preserve">vehicle is established by CARB pursuant to </w:t>
      </w:r>
      <w:r w:rsidR="00811AD5">
        <w:t xml:space="preserve">Title 13 </w:t>
      </w:r>
      <w:r w:rsidR="00604DD5" w:rsidRPr="00604DD5">
        <w:rPr>
          <w:i/>
        </w:rPr>
        <w:t>California Code of Regulations</w:t>
      </w:r>
      <w:r w:rsidR="00A43625">
        <w:t xml:space="preserve">, </w:t>
      </w:r>
      <w:r w:rsidR="00881BD4">
        <w:t xml:space="preserve">Section </w:t>
      </w:r>
      <w:r w:rsidR="00A43625">
        <w:t>1962, a Maine multiplier will be applied to such credit value for that vehicle in accordance with Table</w:t>
      </w:r>
      <w:r w:rsidR="00C26972">
        <w:t> </w:t>
      </w:r>
      <w:r w:rsidR="00A43625">
        <w:t>1.</w:t>
      </w:r>
      <w:r w:rsidR="005C64E2">
        <w:t xml:space="preserve"> </w:t>
      </w:r>
      <w:r w:rsidR="00A242A4">
        <w:t xml:space="preserve">The Maine </w:t>
      </w:r>
      <w:r w:rsidR="00AE0065">
        <w:t xml:space="preserve">multiplier shall not be applied </w:t>
      </w:r>
      <w:r w:rsidR="00AE0065" w:rsidRPr="00383AE1">
        <w:t xml:space="preserve">to </w:t>
      </w:r>
      <w:r w:rsidR="00002CA4" w:rsidRPr="00383AE1">
        <w:t xml:space="preserve">all </w:t>
      </w:r>
      <w:r w:rsidR="00A242A4" w:rsidRPr="00383AE1">
        <w:t>ZEV</w:t>
      </w:r>
      <w:r w:rsidR="00D07A8C" w:rsidRPr="00383AE1">
        <w:t xml:space="preserve"> </w:t>
      </w:r>
      <w:r w:rsidR="0026203A" w:rsidRPr="00383AE1">
        <w:t>T</w:t>
      </w:r>
      <w:r w:rsidR="00002CA4" w:rsidRPr="00383AE1">
        <w:t>ypes</w:t>
      </w:r>
      <w:r w:rsidR="00A242A4" w:rsidRPr="00383AE1">
        <w:t xml:space="preserve"> </w:t>
      </w:r>
      <w:r w:rsidR="00002CA4" w:rsidRPr="00383AE1">
        <w:t xml:space="preserve">that qualify for the travel provision </w:t>
      </w:r>
      <w:r w:rsidR="00A242A4" w:rsidRPr="00383AE1">
        <w:t xml:space="preserve">as identified in the </w:t>
      </w:r>
      <w:r w:rsidR="00811AD5" w:rsidRPr="00383AE1">
        <w:t>Title 13</w:t>
      </w:r>
      <w:r w:rsidR="00811AD5">
        <w:t xml:space="preserve"> </w:t>
      </w:r>
      <w:r w:rsidR="00604DD5" w:rsidRPr="00604DD5">
        <w:rPr>
          <w:i/>
        </w:rPr>
        <w:t>California Code of Regulations</w:t>
      </w:r>
      <w:r w:rsidR="00A242A4" w:rsidRPr="00383AE1">
        <w:t>, Section 1962(d)(5)(D)</w:t>
      </w:r>
      <w:r w:rsidR="00D07A8C">
        <w:t>.</w:t>
      </w:r>
    </w:p>
    <w:p w14:paraId="1E53EF1E" w14:textId="77777777" w:rsidR="00A43625" w:rsidRDefault="00413B1D" w:rsidP="0029676C">
      <w:pPr>
        <w:pStyle w:val="RulesSub-section"/>
        <w:ind w:left="1482" w:hanging="390"/>
        <w:jc w:val="left"/>
      </w:pPr>
      <w:r>
        <w:br w:type="page"/>
      </w:r>
    </w:p>
    <w:p w14:paraId="15091629" w14:textId="77777777" w:rsidR="00A43625" w:rsidRDefault="00A43625">
      <w:pPr>
        <w:pStyle w:val="RulesSub-section"/>
        <w:ind w:left="2880" w:firstLine="720"/>
      </w:pPr>
      <w:r>
        <w:t xml:space="preserve">Table 1, </w:t>
      </w:r>
      <w:smartTag w:uri="urn:schemas-microsoft-com:office:smarttags" w:element="State">
        <w:smartTag w:uri="urn:schemas-microsoft-com:office:smarttags" w:element="place">
          <w:r>
            <w:t>Maine</w:t>
          </w:r>
        </w:smartTag>
      </w:smartTag>
      <w:r>
        <w:t xml:space="preserve"> Multiplier</w:t>
      </w:r>
    </w:p>
    <w:p w14:paraId="18A3E895" w14:textId="77777777" w:rsidR="00A43625" w:rsidRDefault="00A43625">
      <w:pPr>
        <w:pStyle w:val="RulesSub-section"/>
        <w:ind w:left="0" w:firstLine="0"/>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070"/>
        <w:gridCol w:w="1350"/>
        <w:gridCol w:w="1350"/>
        <w:gridCol w:w="1260"/>
      </w:tblGrid>
      <w:tr w:rsidR="003E4CE8" w14:paraId="1A0D8D0F" w14:textId="77777777" w:rsidTr="00C26972">
        <w:tc>
          <w:tcPr>
            <w:tcW w:w="990" w:type="dxa"/>
            <w:vAlign w:val="center"/>
          </w:tcPr>
          <w:p w14:paraId="631E4CC1" w14:textId="77777777" w:rsidR="003E4CE8" w:rsidRPr="00C26972" w:rsidRDefault="003E4CE8" w:rsidP="00C26972">
            <w:pPr>
              <w:pStyle w:val="RulesSub-section"/>
              <w:ind w:left="0" w:firstLine="0"/>
              <w:jc w:val="left"/>
              <w:rPr>
                <w:b/>
              </w:rPr>
            </w:pPr>
            <w:r w:rsidRPr="00C26972">
              <w:rPr>
                <w:b/>
              </w:rPr>
              <w:t>Model Year</w:t>
            </w:r>
          </w:p>
        </w:tc>
        <w:tc>
          <w:tcPr>
            <w:tcW w:w="2070" w:type="dxa"/>
            <w:vAlign w:val="center"/>
          </w:tcPr>
          <w:p w14:paraId="1C7383E6" w14:textId="77777777" w:rsidR="003E4CE8" w:rsidRPr="00C26972" w:rsidRDefault="003E4CE8" w:rsidP="00C26972">
            <w:pPr>
              <w:pStyle w:val="RulesSub-section"/>
              <w:ind w:left="0" w:firstLine="0"/>
              <w:jc w:val="left"/>
              <w:rPr>
                <w:b/>
              </w:rPr>
            </w:pPr>
            <w:r w:rsidRPr="00C26972">
              <w:rPr>
                <w:b/>
              </w:rPr>
              <w:t>Requirement</w:t>
            </w:r>
          </w:p>
        </w:tc>
        <w:tc>
          <w:tcPr>
            <w:tcW w:w="1350" w:type="dxa"/>
            <w:vAlign w:val="center"/>
          </w:tcPr>
          <w:p w14:paraId="1697C4BB" w14:textId="77777777" w:rsidR="003E4CE8" w:rsidRPr="00C26972" w:rsidRDefault="003E4CE8" w:rsidP="00C26972">
            <w:pPr>
              <w:pStyle w:val="RulesSub-section"/>
              <w:ind w:left="0" w:firstLine="0"/>
              <w:jc w:val="left"/>
              <w:rPr>
                <w:b/>
              </w:rPr>
            </w:pPr>
            <w:r w:rsidRPr="00C26972">
              <w:rPr>
                <w:b/>
              </w:rPr>
              <w:t>PZEV Credit Multiplier</w:t>
            </w:r>
          </w:p>
        </w:tc>
        <w:tc>
          <w:tcPr>
            <w:tcW w:w="1350" w:type="dxa"/>
            <w:vAlign w:val="center"/>
          </w:tcPr>
          <w:p w14:paraId="5762F9EC" w14:textId="77777777" w:rsidR="003E4CE8" w:rsidRPr="00C26972" w:rsidRDefault="003E4CE8" w:rsidP="00C26972">
            <w:pPr>
              <w:pStyle w:val="RulesSub-section"/>
              <w:ind w:left="0" w:firstLine="0"/>
              <w:jc w:val="left"/>
              <w:rPr>
                <w:b/>
              </w:rPr>
            </w:pPr>
            <w:r w:rsidRPr="00C26972">
              <w:rPr>
                <w:b/>
              </w:rPr>
              <w:t>AT PZEV Credit Multiplier</w:t>
            </w:r>
          </w:p>
        </w:tc>
        <w:tc>
          <w:tcPr>
            <w:tcW w:w="1260" w:type="dxa"/>
            <w:vAlign w:val="center"/>
          </w:tcPr>
          <w:p w14:paraId="0B1AB139" w14:textId="77777777" w:rsidR="003E4CE8" w:rsidRPr="00C26972" w:rsidRDefault="003E4CE8" w:rsidP="00C26972">
            <w:pPr>
              <w:pStyle w:val="RulesSub-section"/>
              <w:ind w:left="0" w:firstLine="0"/>
              <w:jc w:val="left"/>
              <w:rPr>
                <w:b/>
              </w:rPr>
            </w:pPr>
            <w:r w:rsidRPr="00C26972">
              <w:rPr>
                <w:b/>
              </w:rPr>
              <w:t>ZEV Credit Multiplier</w:t>
            </w:r>
          </w:p>
        </w:tc>
      </w:tr>
      <w:tr w:rsidR="003E4CE8" w14:paraId="00AD93B3" w14:textId="77777777" w:rsidTr="0004596D">
        <w:tc>
          <w:tcPr>
            <w:tcW w:w="990" w:type="dxa"/>
            <w:vAlign w:val="center"/>
          </w:tcPr>
          <w:p w14:paraId="14E93884" w14:textId="77777777" w:rsidR="003E4CE8" w:rsidRDefault="003E4CE8" w:rsidP="00183A83">
            <w:pPr>
              <w:pStyle w:val="RulesSub-section"/>
              <w:ind w:left="0" w:firstLine="0"/>
              <w:jc w:val="center"/>
            </w:pPr>
            <w:r>
              <w:t>2004</w:t>
            </w:r>
          </w:p>
        </w:tc>
        <w:tc>
          <w:tcPr>
            <w:tcW w:w="2070" w:type="dxa"/>
          </w:tcPr>
          <w:p w14:paraId="5229DF0B" w14:textId="77777777" w:rsidR="003E4CE8" w:rsidRDefault="003E4CE8">
            <w:pPr>
              <w:pStyle w:val="RulesSub-section"/>
              <w:ind w:left="0" w:firstLine="0"/>
              <w:jc w:val="left"/>
            </w:pPr>
            <w:r>
              <w:t>Voluntary Early Introduction</w:t>
            </w:r>
          </w:p>
        </w:tc>
        <w:tc>
          <w:tcPr>
            <w:tcW w:w="1350" w:type="dxa"/>
            <w:vAlign w:val="center"/>
          </w:tcPr>
          <w:p w14:paraId="2B5E8097" w14:textId="77777777" w:rsidR="003E4CE8" w:rsidRDefault="003E4CE8" w:rsidP="00183A83">
            <w:pPr>
              <w:pStyle w:val="RulesSub-section"/>
              <w:ind w:left="0" w:firstLine="0"/>
              <w:jc w:val="center"/>
            </w:pPr>
            <w:r>
              <w:t>1.5</w:t>
            </w:r>
          </w:p>
        </w:tc>
        <w:tc>
          <w:tcPr>
            <w:tcW w:w="1350" w:type="dxa"/>
            <w:vAlign w:val="center"/>
          </w:tcPr>
          <w:p w14:paraId="6377E14B" w14:textId="77777777" w:rsidR="003E4CE8" w:rsidRDefault="003E4CE8" w:rsidP="00183A83">
            <w:pPr>
              <w:pStyle w:val="RulesSub-section"/>
              <w:ind w:left="0" w:firstLine="0"/>
              <w:jc w:val="center"/>
            </w:pPr>
            <w:r>
              <w:t>2.25</w:t>
            </w:r>
          </w:p>
        </w:tc>
        <w:tc>
          <w:tcPr>
            <w:tcW w:w="1260" w:type="dxa"/>
            <w:vAlign w:val="center"/>
          </w:tcPr>
          <w:p w14:paraId="090ADC2E" w14:textId="77777777" w:rsidR="003E4CE8" w:rsidRDefault="003E4CE8" w:rsidP="00183A83">
            <w:pPr>
              <w:pStyle w:val="RulesSub-section"/>
              <w:ind w:left="0" w:firstLine="0"/>
              <w:jc w:val="center"/>
            </w:pPr>
            <w:r>
              <w:t>3</w:t>
            </w:r>
          </w:p>
        </w:tc>
      </w:tr>
      <w:tr w:rsidR="003E4CE8" w14:paraId="6523F83E" w14:textId="77777777" w:rsidTr="0004596D">
        <w:tc>
          <w:tcPr>
            <w:tcW w:w="990" w:type="dxa"/>
            <w:vAlign w:val="center"/>
          </w:tcPr>
          <w:p w14:paraId="1E07FC57" w14:textId="77777777" w:rsidR="003E4CE8" w:rsidRDefault="003E4CE8" w:rsidP="00183A83">
            <w:pPr>
              <w:pStyle w:val="RulesSub-section"/>
              <w:ind w:left="0" w:firstLine="0"/>
              <w:jc w:val="center"/>
            </w:pPr>
            <w:r>
              <w:t>2005</w:t>
            </w:r>
          </w:p>
        </w:tc>
        <w:tc>
          <w:tcPr>
            <w:tcW w:w="2070" w:type="dxa"/>
          </w:tcPr>
          <w:p w14:paraId="336865EE" w14:textId="77777777" w:rsidR="003E4CE8" w:rsidRDefault="003E4CE8">
            <w:pPr>
              <w:pStyle w:val="RulesSub-section"/>
              <w:ind w:left="0" w:firstLine="0"/>
              <w:jc w:val="left"/>
            </w:pPr>
            <w:r>
              <w:t>Voluntary Early Introduction</w:t>
            </w:r>
          </w:p>
        </w:tc>
        <w:tc>
          <w:tcPr>
            <w:tcW w:w="1350" w:type="dxa"/>
            <w:vAlign w:val="center"/>
          </w:tcPr>
          <w:p w14:paraId="471B3603" w14:textId="77777777" w:rsidR="003E4CE8" w:rsidRDefault="003E4CE8" w:rsidP="00183A83">
            <w:pPr>
              <w:pStyle w:val="RulesSub-section"/>
              <w:ind w:left="0" w:firstLine="0"/>
              <w:jc w:val="center"/>
            </w:pPr>
            <w:r>
              <w:t>1.5</w:t>
            </w:r>
          </w:p>
        </w:tc>
        <w:tc>
          <w:tcPr>
            <w:tcW w:w="1350" w:type="dxa"/>
            <w:vAlign w:val="center"/>
          </w:tcPr>
          <w:p w14:paraId="79F3EB6A" w14:textId="77777777" w:rsidR="003E4CE8" w:rsidRDefault="003E4CE8" w:rsidP="00183A83">
            <w:pPr>
              <w:pStyle w:val="RulesSub-section"/>
              <w:ind w:left="0" w:firstLine="0"/>
              <w:jc w:val="center"/>
            </w:pPr>
            <w:r>
              <w:t>2.25</w:t>
            </w:r>
          </w:p>
        </w:tc>
        <w:tc>
          <w:tcPr>
            <w:tcW w:w="1260" w:type="dxa"/>
            <w:vAlign w:val="center"/>
          </w:tcPr>
          <w:p w14:paraId="1D9B2D42" w14:textId="77777777" w:rsidR="003E4CE8" w:rsidRDefault="003E4CE8" w:rsidP="00183A83">
            <w:pPr>
              <w:pStyle w:val="RulesSub-section"/>
              <w:ind w:left="0" w:firstLine="0"/>
              <w:jc w:val="center"/>
            </w:pPr>
            <w:r>
              <w:t>3</w:t>
            </w:r>
          </w:p>
        </w:tc>
      </w:tr>
      <w:tr w:rsidR="003E4CE8" w14:paraId="1C65D3A4" w14:textId="77777777" w:rsidTr="0004596D">
        <w:tc>
          <w:tcPr>
            <w:tcW w:w="990" w:type="dxa"/>
            <w:vAlign w:val="center"/>
          </w:tcPr>
          <w:p w14:paraId="2FF7565D" w14:textId="77777777" w:rsidR="003E4CE8" w:rsidRDefault="003E4CE8" w:rsidP="00183A83">
            <w:pPr>
              <w:pStyle w:val="RulesSub-section"/>
              <w:ind w:left="0" w:firstLine="0"/>
              <w:jc w:val="center"/>
            </w:pPr>
            <w:r>
              <w:t>2006</w:t>
            </w:r>
          </w:p>
        </w:tc>
        <w:tc>
          <w:tcPr>
            <w:tcW w:w="2070" w:type="dxa"/>
          </w:tcPr>
          <w:p w14:paraId="3EB90095" w14:textId="77777777" w:rsidR="003E4CE8" w:rsidRDefault="003E4CE8">
            <w:pPr>
              <w:pStyle w:val="RulesSub-section"/>
              <w:ind w:left="0" w:firstLine="0"/>
              <w:jc w:val="left"/>
            </w:pPr>
            <w:r>
              <w:t>Voluntary Early Introduction</w:t>
            </w:r>
          </w:p>
        </w:tc>
        <w:tc>
          <w:tcPr>
            <w:tcW w:w="1350" w:type="dxa"/>
            <w:vAlign w:val="center"/>
          </w:tcPr>
          <w:p w14:paraId="5A5822F4" w14:textId="77777777" w:rsidR="003E4CE8" w:rsidRDefault="003E4CE8" w:rsidP="00183A83">
            <w:pPr>
              <w:pStyle w:val="RulesSub-section"/>
              <w:ind w:left="0" w:firstLine="0"/>
              <w:jc w:val="center"/>
            </w:pPr>
            <w:r>
              <w:t>1.3</w:t>
            </w:r>
          </w:p>
        </w:tc>
        <w:tc>
          <w:tcPr>
            <w:tcW w:w="1350" w:type="dxa"/>
            <w:vAlign w:val="center"/>
          </w:tcPr>
          <w:p w14:paraId="0241C7C8" w14:textId="77777777" w:rsidR="003E4CE8" w:rsidRDefault="003E4CE8" w:rsidP="00183A83">
            <w:pPr>
              <w:pStyle w:val="RulesSub-section"/>
              <w:ind w:left="0" w:firstLine="0"/>
              <w:jc w:val="center"/>
            </w:pPr>
            <w:r>
              <w:t>1.7</w:t>
            </w:r>
          </w:p>
        </w:tc>
        <w:tc>
          <w:tcPr>
            <w:tcW w:w="1260" w:type="dxa"/>
            <w:vAlign w:val="center"/>
          </w:tcPr>
          <w:p w14:paraId="3099EEAB" w14:textId="77777777" w:rsidR="003E4CE8" w:rsidRDefault="003E4CE8" w:rsidP="00183A83">
            <w:pPr>
              <w:pStyle w:val="RulesSub-section"/>
              <w:ind w:left="0" w:firstLine="0"/>
              <w:jc w:val="center"/>
            </w:pPr>
            <w:r>
              <w:t>2</w:t>
            </w:r>
          </w:p>
        </w:tc>
      </w:tr>
      <w:tr w:rsidR="003E4CE8" w14:paraId="0D8BD92A" w14:textId="77777777" w:rsidTr="0004596D">
        <w:tc>
          <w:tcPr>
            <w:tcW w:w="990" w:type="dxa"/>
            <w:vAlign w:val="center"/>
          </w:tcPr>
          <w:p w14:paraId="097509EE" w14:textId="77777777" w:rsidR="003E4CE8" w:rsidRDefault="003E4CE8" w:rsidP="00183A83">
            <w:pPr>
              <w:pStyle w:val="RulesSub-section"/>
              <w:ind w:left="0" w:firstLine="0"/>
              <w:jc w:val="center"/>
            </w:pPr>
            <w:r>
              <w:t>2007</w:t>
            </w:r>
          </w:p>
        </w:tc>
        <w:tc>
          <w:tcPr>
            <w:tcW w:w="2070" w:type="dxa"/>
          </w:tcPr>
          <w:p w14:paraId="6A0AB0A5" w14:textId="77777777" w:rsidR="003E4CE8" w:rsidRDefault="003E4CE8">
            <w:pPr>
              <w:pStyle w:val="RulesSub-section"/>
              <w:ind w:left="0" w:firstLine="0"/>
              <w:jc w:val="left"/>
            </w:pPr>
            <w:r>
              <w:t>Voluntary Early Introduction</w:t>
            </w:r>
          </w:p>
        </w:tc>
        <w:tc>
          <w:tcPr>
            <w:tcW w:w="1350" w:type="dxa"/>
            <w:vAlign w:val="center"/>
          </w:tcPr>
          <w:p w14:paraId="3727AB32" w14:textId="77777777" w:rsidR="003E4CE8" w:rsidRDefault="003E4CE8" w:rsidP="00183A83">
            <w:pPr>
              <w:pStyle w:val="RulesSub-section"/>
              <w:ind w:left="0" w:firstLine="0"/>
              <w:jc w:val="center"/>
            </w:pPr>
            <w:r>
              <w:t>1.15</w:t>
            </w:r>
          </w:p>
        </w:tc>
        <w:tc>
          <w:tcPr>
            <w:tcW w:w="1350" w:type="dxa"/>
            <w:vAlign w:val="center"/>
          </w:tcPr>
          <w:p w14:paraId="07DF5D4E" w14:textId="77777777" w:rsidR="003E4CE8" w:rsidRDefault="003E4CE8" w:rsidP="00183A83">
            <w:pPr>
              <w:pStyle w:val="RulesSub-section"/>
              <w:ind w:left="0" w:firstLine="0"/>
              <w:jc w:val="center"/>
            </w:pPr>
            <w:r>
              <w:t>1.3</w:t>
            </w:r>
          </w:p>
        </w:tc>
        <w:tc>
          <w:tcPr>
            <w:tcW w:w="1260" w:type="dxa"/>
            <w:vAlign w:val="center"/>
          </w:tcPr>
          <w:p w14:paraId="1F0B3F65" w14:textId="77777777" w:rsidR="003E4CE8" w:rsidRDefault="003E4CE8" w:rsidP="00183A83">
            <w:pPr>
              <w:pStyle w:val="RulesSub-section"/>
              <w:ind w:left="0" w:firstLine="0"/>
              <w:jc w:val="center"/>
            </w:pPr>
            <w:r>
              <w:t>1.5</w:t>
            </w:r>
          </w:p>
        </w:tc>
      </w:tr>
      <w:tr w:rsidR="003E4CE8" w14:paraId="47DE8F66" w14:textId="77777777" w:rsidTr="0004596D">
        <w:tc>
          <w:tcPr>
            <w:tcW w:w="990" w:type="dxa"/>
            <w:vAlign w:val="center"/>
          </w:tcPr>
          <w:p w14:paraId="4916E112" w14:textId="77777777" w:rsidR="003E4CE8" w:rsidRDefault="003E4CE8" w:rsidP="00183A83">
            <w:pPr>
              <w:pStyle w:val="RulesSub-section"/>
              <w:ind w:left="0" w:firstLine="0"/>
              <w:jc w:val="center"/>
            </w:pPr>
            <w:r>
              <w:t>2008</w:t>
            </w:r>
          </w:p>
        </w:tc>
        <w:tc>
          <w:tcPr>
            <w:tcW w:w="2070" w:type="dxa"/>
          </w:tcPr>
          <w:p w14:paraId="0DC54DF4" w14:textId="77777777" w:rsidR="003E4CE8" w:rsidRDefault="003E4CE8">
            <w:pPr>
              <w:pStyle w:val="RulesSub-section"/>
              <w:ind w:left="0" w:firstLine="0"/>
              <w:jc w:val="left"/>
            </w:pPr>
            <w:r>
              <w:t>Voluntary Early Introduction</w:t>
            </w:r>
          </w:p>
        </w:tc>
        <w:tc>
          <w:tcPr>
            <w:tcW w:w="1350" w:type="dxa"/>
            <w:vAlign w:val="center"/>
          </w:tcPr>
          <w:p w14:paraId="654C3805" w14:textId="77777777" w:rsidR="003E4CE8" w:rsidRDefault="003E4CE8" w:rsidP="00183A83">
            <w:pPr>
              <w:pStyle w:val="RulesSub-section"/>
              <w:ind w:left="0" w:firstLine="0"/>
              <w:jc w:val="center"/>
            </w:pPr>
            <w:r>
              <w:t>1.15</w:t>
            </w:r>
          </w:p>
        </w:tc>
        <w:tc>
          <w:tcPr>
            <w:tcW w:w="1350" w:type="dxa"/>
            <w:vAlign w:val="center"/>
          </w:tcPr>
          <w:p w14:paraId="380E025E" w14:textId="77777777" w:rsidR="003E4CE8" w:rsidRDefault="003E4CE8" w:rsidP="00183A83">
            <w:pPr>
              <w:pStyle w:val="RulesSub-section"/>
              <w:ind w:left="0" w:firstLine="0"/>
              <w:jc w:val="center"/>
            </w:pPr>
            <w:r>
              <w:t>1.3</w:t>
            </w:r>
          </w:p>
        </w:tc>
        <w:tc>
          <w:tcPr>
            <w:tcW w:w="1260" w:type="dxa"/>
            <w:vAlign w:val="center"/>
          </w:tcPr>
          <w:p w14:paraId="0C7D8EDE" w14:textId="77777777" w:rsidR="003E4CE8" w:rsidRDefault="003E4CE8" w:rsidP="00183A83">
            <w:pPr>
              <w:pStyle w:val="RulesSub-section"/>
              <w:ind w:left="0" w:firstLine="0"/>
              <w:jc w:val="center"/>
            </w:pPr>
            <w:r>
              <w:t>1.5</w:t>
            </w:r>
          </w:p>
        </w:tc>
      </w:tr>
      <w:tr w:rsidR="003E4CE8" w14:paraId="0709AC00" w14:textId="77777777" w:rsidTr="0004596D">
        <w:tc>
          <w:tcPr>
            <w:tcW w:w="990" w:type="dxa"/>
            <w:vAlign w:val="center"/>
          </w:tcPr>
          <w:p w14:paraId="40301119" w14:textId="77777777" w:rsidR="003E4CE8" w:rsidRDefault="003E4CE8" w:rsidP="00183A83">
            <w:pPr>
              <w:pStyle w:val="RulesSub-section"/>
              <w:ind w:left="0" w:firstLine="0"/>
              <w:jc w:val="center"/>
            </w:pPr>
            <w:r>
              <w:t>2009</w:t>
            </w:r>
          </w:p>
        </w:tc>
        <w:tc>
          <w:tcPr>
            <w:tcW w:w="2070" w:type="dxa"/>
          </w:tcPr>
          <w:p w14:paraId="0F0CCC25" w14:textId="77777777" w:rsidR="003E4CE8" w:rsidRDefault="003E4CE8">
            <w:pPr>
              <w:pStyle w:val="RulesSub-section"/>
              <w:ind w:left="0" w:firstLine="0"/>
              <w:jc w:val="left"/>
            </w:pPr>
            <w:r>
              <w:t xml:space="preserve">Equivalency with </w:t>
            </w:r>
            <w:smartTag w:uri="urn:schemas-microsoft-com:office:smarttags" w:element="State">
              <w:smartTag w:uri="urn:schemas-microsoft-com:office:smarttags" w:element="place">
                <w:r>
                  <w:t>California</w:t>
                </w:r>
              </w:smartTag>
            </w:smartTag>
            <w:r>
              <w:t xml:space="preserve"> Program</w:t>
            </w:r>
          </w:p>
        </w:tc>
        <w:tc>
          <w:tcPr>
            <w:tcW w:w="1350" w:type="dxa"/>
            <w:vAlign w:val="center"/>
          </w:tcPr>
          <w:p w14:paraId="790055AB" w14:textId="77777777" w:rsidR="003E4CE8" w:rsidRDefault="003E4CE8" w:rsidP="00183A83">
            <w:pPr>
              <w:pStyle w:val="RulesSub-section"/>
              <w:ind w:left="0" w:firstLine="0"/>
              <w:jc w:val="center"/>
            </w:pPr>
            <w:r>
              <w:t>1</w:t>
            </w:r>
          </w:p>
        </w:tc>
        <w:tc>
          <w:tcPr>
            <w:tcW w:w="1350" w:type="dxa"/>
            <w:vAlign w:val="center"/>
          </w:tcPr>
          <w:p w14:paraId="1CE38419" w14:textId="77777777" w:rsidR="003E4CE8" w:rsidRDefault="003E4CE8" w:rsidP="00183A83">
            <w:pPr>
              <w:pStyle w:val="RulesSub-section"/>
              <w:ind w:left="0" w:firstLine="0"/>
              <w:jc w:val="center"/>
            </w:pPr>
            <w:r>
              <w:t>1</w:t>
            </w:r>
          </w:p>
        </w:tc>
        <w:tc>
          <w:tcPr>
            <w:tcW w:w="1260" w:type="dxa"/>
            <w:vAlign w:val="center"/>
          </w:tcPr>
          <w:p w14:paraId="5F4F7A0A" w14:textId="77777777" w:rsidR="003E4CE8" w:rsidRDefault="003E4CE8" w:rsidP="00183A83">
            <w:pPr>
              <w:pStyle w:val="RulesSub-section"/>
              <w:ind w:left="0" w:firstLine="0"/>
              <w:jc w:val="center"/>
            </w:pPr>
            <w:r>
              <w:t>1</w:t>
            </w:r>
          </w:p>
        </w:tc>
      </w:tr>
    </w:tbl>
    <w:p w14:paraId="191831BA" w14:textId="77777777" w:rsidR="00A43625" w:rsidRDefault="00A43625">
      <w:pPr>
        <w:pStyle w:val="RulesSub-section"/>
        <w:ind w:left="1080" w:firstLine="0"/>
      </w:pPr>
    </w:p>
    <w:p w14:paraId="5038691D" w14:textId="77777777" w:rsidR="00A43625" w:rsidRDefault="003E4CE8" w:rsidP="0029676C">
      <w:pPr>
        <w:pStyle w:val="RulesSub-section"/>
        <w:ind w:left="1482" w:hanging="390"/>
        <w:jc w:val="left"/>
      </w:pPr>
      <w:r>
        <w:t>(c)</w:t>
      </w:r>
      <w:r>
        <w:tab/>
      </w:r>
      <w:r w:rsidR="00A43625">
        <w:t xml:space="preserve">Maine ZEV credit use, life, banking and trading will be calculated as per </w:t>
      </w:r>
      <w:r w:rsidR="00604DD5" w:rsidRPr="00604DD5">
        <w:rPr>
          <w:i/>
        </w:rPr>
        <w:t>California Code of Regulations</w:t>
      </w:r>
      <w:r w:rsidR="00A43625">
        <w:t xml:space="preserve">, Title 13, </w:t>
      </w:r>
      <w:r w:rsidR="00881BD4">
        <w:t xml:space="preserve">Sections </w:t>
      </w:r>
      <w:r w:rsidR="00A43625">
        <w:t>1962</w:t>
      </w:r>
      <w:r w:rsidR="00811AD5">
        <w:t xml:space="preserve"> </w:t>
      </w:r>
      <w:r w:rsidR="00881BD4">
        <w:t>or</w:t>
      </w:r>
      <w:r w:rsidR="001D569B">
        <w:t xml:space="preserve"> 1962.1</w:t>
      </w:r>
      <w:r w:rsidR="00A43625">
        <w:t>.</w:t>
      </w:r>
    </w:p>
    <w:p w14:paraId="1F254E63" w14:textId="77777777" w:rsidR="009C6BF1" w:rsidRPr="009C6BF1" w:rsidRDefault="009C6BF1" w:rsidP="0029676C">
      <w:pPr>
        <w:autoSpaceDE w:val="0"/>
        <w:autoSpaceDN w:val="0"/>
        <w:adjustRightInd w:val="0"/>
        <w:ind w:left="1092"/>
        <w:rPr>
          <w:sz w:val="22"/>
          <w:szCs w:val="22"/>
        </w:rPr>
      </w:pPr>
    </w:p>
    <w:p w14:paraId="753CDF10" w14:textId="77777777" w:rsidR="00A43625" w:rsidRDefault="00EB149D" w:rsidP="0029676C">
      <w:pPr>
        <w:pStyle w:val="RulesSub-section"/>
        <w:ind w:left="1482" w:hanging="390"/>
        <w:jc w:val="left"/>
      </w:pPr>
      <w:r w:rsidRPr="005A32DC">
        <w:t>(</w:t>
      </w:r>
      <w:r w:rsidR="00383AE1">
        <w:t>d</w:t>
      </w:r>
      <w:r w:rsidRPr="005A32DC">
        <w:t>)</w:t>
      </w:r>
      <w:r w:rsidRPr="005A32DC">
        <w:tab/>
      </w:r>
      <w:r w:rsidR="000A4157" w:rsidRPr="005A32DC">
        <w:t>The commissioner shall calculate the amount of credits earned based on the report</w:t>
      </w:r>
      <w:r w:rsidR="000A4157">
        <w:t xml:space="preserve"> received pursuant to </w:t>
      </w:r>
      <w:r w:rsidR="00AD2DEE">
        <w:t xml:space="preserve">Section </w:t>
      </w:r>
      <w:r w:rsidR="000A4157">
        <w:t>8(B</w:t>
      </w:r>
      <w:r w:rsidR="00C26972">
        <w:t>)</w:t>
      </w:r>
      <w:r w:rsidR="00EF2A8F">
        <w:t>(</w:t>
      </w:r>
      <w:r w:rsidR="00430CF0">
        <w:t>3</w:t>
      </w:r>
      <w:r w:rsidR="000A4157">
        <w:t>).</w:t>
      </w:r>
      <w:r w:rsidR="005C64E2">
        <w:t xml:space="preserve"> </w:t>
      </w:r>
      <w:r w:rsidR="000A4157">
        <w:t>The commissioner shall establish ZEV compliance accounts for each manufacturer and allocate the credits earned to such compliance accounts, including separate accounts for PZEV, AT-PZEV,</w:t>
      </w:r>
      <w:r w:rsidR="001D569B">
        <w:t xml:space="preserve"> Enhanced AT-PZEV,</w:t>
      </w:r>
      <w:r w:rsidR="000A4157">
        <w:t xml:space="preserve"> </w:t>
      </w:r>
      <w:smartTag w:uri="urn:schemas-microsoft-com:office:smarttags" w:element="place">
        <w:smartTag w:uri="urn:schemas-microsoft-com:office:smarttags" w:element="State">
          <w:r w:rsidR="000A4157">
            <w:t>NEV</w:t>
          </w:r>
        </w:smartTag>
      </w:smartTag>
      <w:r w:rsidR="000A4157">
        <w:t>, Type</w:t>
      </w:r>
      <w:r w:rsidR="00562CE7">
        <w:t>s</w:t>
      </w:r>
      <w:r w:rsidR="000A4157">
        <w:t xml:space="preserve"> 0</w:t>
      </w:r>
      <w:r w:rsidR="00562CE7">
        <w:t>,</w:t>
      </w:r>
      <w:r w:rsidR="000A4157">
        <w:t xml:space="preserve"> I, </w:t>
      </w:r>
      <w:r w:rsidR="00BA37F4">
        <w:t>I.5</w:t>
      </w:r>
      <w:r w:rsidR="009A5DF8">
        <w:t xml:space="preserve"> </w:t>
      </w:r>
      <w:r w:rsidR="000A4157">
        <w:t>II</w:t>
      </w:r>
      <w:r w:rsidR="00562CE7">
        <w:t>,</w:t>
      </w:r>
      <w:r w:rsidR="000A4157">
        <w:t xml:space="preserve"> III</w:t>
      </w:r>
      <w:r w:rsidR="00AD2DEE">
        <w:t>,</w:t>
      </w:r>
      <w:r w:rsidR="000A4157">
        <w:t xml:space="preserve"> </w:t>
      </w:r>
      <w:r w:rsidR="002244D7">
        <w:t xml:space="preserve">IV </w:t>
      </w:r>
      <w:r w:rsidR="00562CE7">
        <w:t>and</w:t>
      </w:r>
      <w:r w:rsidR="002244D7">
        <w:t xml:space="preserve"> V ZEVs, </w:t>
      </w:r>
      <w:r w:rsidR="000A4157">
        <w:t>transportation system</w:t>
      </w:r>
      <w:r w:rsidR="002244D7">
        <w:t>s</w:t>
      </w:r>
      <w:r w:rsidR="000A4157">
        <w:t>, and extended service.</w:t>
      </w:r>
      <w:r w:rsidR="005C64E2">
        <w:t xml:space="preserve"> </w:t>
      </w:r>
      <w:r w:rsidR="000A4157">
        <w:t>For each account, in the event that the number of credits earned pursuant to this subsection is less than the number of credits that would have been awarded to a manufacturer under Section 4(D)(2), the commissioner shall calculate the difference and apply a number of credits equal to such difference to such manufacturer’s compliance account</w:t>
      </w:r>
      <w:r w:rsidR="007905EF">
        <w:t>.</w:t>
      </w:r>
      <w:r w:rsidR="00AD2DEE" w:rsidRPr="007905EF">
        <w:t xml:space="preserve"> </w:t>
      </w:r>
    </w:p>
    <w:p w14:paraId="3B46645F" w14:textId="77777777" w:rsidR="000A4157" w:rsidRDefault="000A4157" w:rsidP="0029676C">
      <w:pPr>
        <w:pStyle w:val="RulesSub-section"/>
        <w:ind w:left="1482" w:hanging="390"/>
        <w:jc w:val="left"/>
      </w:pPr>
    </w:p>
    <w:p w14:paraId="16855839" w14:textId="77777777" w:rsidR="000A4157" w:rsidRDefault="000707E3" w:rsidP="0029676C">
      <w:pPr>
        <w:pStyle w:val="RulesSub-section"/>
        <w:ind w:left="1482" w:hanging="390"/>
        <w:jc w:val="left"/>
      </w:pPr>
      <w:r w:rsidRPr="000707E3">
        <w:t>(</w:t>
      </w:r>
      <w:r w:rsidR="00383AE1">
        <w:t>e</w:t>
      </w:r>
      <w:r w:rsidRPr="000707E3">
        <w:t>)</w:t>
      </w:r>
      <w:r w:rsidRPr="000707E3">
        <w:tab/>
      </w:r>
      <w:r w:rsidR="00411A0D" w:rsidRPr="00383AE1">
        <w:rPr>
          <w:szCs w:val="22"/>
        </w:rPr>
        <w:t xml:space="preserve">A manufacturer shall be entitled to the defined credits for all ZEV Types as specified in the travel provisions </w:t>
      </w:r>
      <w:r w:rsidR="007905EF" w:rsidRPr="00383AE1">
        <w:rPr>
          <w:szCs w:val="22"/>
        </w:rPr>
        <w:t>pursuant to</w:t>
      </w:r>
      <w:r w:rsidR="00411A0D" w:rsidRPr="00383AE1">
        <w:rPr>
          <w:szCs w:val="22"/>
        </w:rPr>
        <w:t xml:space="preserve"> the </w:t>
      </w:r>
      <w:r w:rsidR="00604DD5" w:rsidRPr="00604DD5">
        <w:rPr>
          <w:i/>
          <w:szCs w:val="22"/>
        </w:rPr>
        <w:t>California Code of Regulations</w:t>
      </w:r>
      <w:r w:rsidR="00411A0D" w:rsidRPr="00383AE1">
        <w:rPr>
          <w:szCs w:val="22"/>
        </w:rPr>
        <w:t xml:space="preserve">, Title 13, Sections 1962(d)(5)(D) </w:t>
      </w:r>
      <w:r w:rsidR="007905EF" w:rsidRPr="00383AE1">
        <w:t>or 1962.1(d)(5)(E).</w:t>
      </w:r>
      <w:r w:rsidR="005C64E2">
        <w:t xml:space="preserve"> </w:t>
      </w:r>
      <w:r w:rsidRPr="00383AE1">
        <w:rPr>
          <w:szCs w:val="22"/>
        </w:rPr>
        <w:t xml:space="preserve">Starting with 2010 and subsequent model years, qualifying ZEV Types placed in service in California or any Section 177 State may be counted towards compliance in California and in all Section 177 States provided that the credits are multiplied by the ratio of a LVM’s production volume in a Section 177 State for the same model year in California </w:t>
      </w:r>
      <w:r w:rsidR="00AD2DEE" w:rsidRPr="00383AE1">
        <w:rPr>
          <w:szCs w:val="22"/>
        </w:rPr>
        <w:t xml:space="preserve">as specified in </w:t>
      </w:r>
      <w:r w:rsidR="00811AD5" w:rsidRPr="00383AE1">
        <w:rPr>
          <w:szCs w:val="22"/>
        </w:rPr>
        <w:t>Title 13</w:t>
      </w:r>
      <w:r w:rsidR="00811AD5">
        <w:rPr>
          <w:szCs w:val="22"/>
        </w:rPr>
        <w:t xml:space="preserve"> </w:t>
      </w:r>
      <w:r w:rsidR="00604DD5" w:rsidRPr="00604DD5">
        <w:rPr>
          <w:i/>
          <w:szCs w:val="22"/>
        </w:rPr>
        <w:t>California Code of Regulations</w:t>
      </w:r>
      <w:r w:rsidR="00AD2DEE" w:rsidRPr="00383AE1">
        <w:rPr>
          <w:szCs w:val="22"/>
        </w:rPr>
        <w:t>, Sections 1962.1(d)(5)(E)</w:t>
      </w:r>
      <w:r w:rsidR="00CA0625">
        <w:rPr>
          <w:szCs w:val="22"/>
        </w:rPr>
        <w:t>.</w:t>
      </w:r>
      <w:r w:rsidRPr="005A32DC">
        <w:rPr>
          <w:szCs w:val="22"/>
        </w:rPr>
        <w:t xml:space="preserve"> </w:t>
      </w:r>
    </w:p>
    <w:p w14:paraId="14962FAB" w14:textId="77777777" w:rsidR="000A4157" w:rsidRDefault="000A4157" w:rsidP="0029676C">
      <w:pPr>
        <w:pStyle w:val="RulesSub-section"/>
        <w:jc w:val="left"/>
      </w:pPr>
    </w:p>
    <w:p w14:paraId="60AF65FF" w14:textId="77777777" w:rsidR="000A4157" w:rsidRDefault="000A4157" w:rsidP="0029676C">
      <w:pPr>
        <w:pStyle w:val="RulesSub-section"/>
        <w:ind w:left="1080"/>
        <w:jc w:val="left"/>
        <w:rPr>
          <w:szCs w:val="22"/>
        </w:rPr>
      </w:pPr>
      <w:r>
        <w:t>(2)</w:t>
      </w:r>
      <w:r>
        <w:tab/>
        <w:t>The commissioner shall set aside a number of Maine ZEV credits proportionally equivalent to the number of ZEV credits possessed by the requesting manufacturer</w:t>
      </w:r>
      <w:r w:rsidR="00014DB7">
        <w:t>,</w:t>
      </w:r>
      <w:r>
        <w:t xml:space="preserve"> for use in the State of </w:t>
      </w:r>
      <w:smartTag w:uri="urn:schemas-microsoft-com:office:smarttags" w:element="State">
        <w:smartTag w:uri="urn:schemas-microsoft-com:office:smarttags" w:element="place">
          <w:r>
            <w:t>California</w:t>
          </w:r>
        </w:smartTag>
      </w:smartTag>
      <w:r>
        <w:t xml:space="preserve"> at the beginning of the 2009 model year.</w:t>
      </w:r>
      <w:r w:rsidR="005C64E2">
        <w:t xml:space="preserve"> </w:t>
      </w:r>
      <w:r>
        <w:t xml:space="preserve">This transfer will be performed only after all credit obligations for model years 2008 and earlier have been </w:t>
      </w:r>
      <w:r w:rsidRPr="00006603">
        <w:rPr>
          <w:color w:val="000000"/>
        </w:rPr>
        <w:t>satisfied</w:t>
      </w:r>
      <w:r w:rsidRPr="00006603">
        <w:rPr>
          <w:color w:val="000000"/>
          <w:szCs w:val="22"/>
        </w:rPr>
        <w:t xml:space="preserve"> in </w:t>
      </w:r>
      <w:smartTag w:uri="urn:schemas-microsoft-com:office:smarttags" w:element="place">
        <w:smartTag w:uri="urn:schemas-microsoft-com:office:smarttags" w:element="State">
          <w:r>
            <w:rPr>
              <w:szCs w:val="22"/>
            </w:rPr>
            <w:t>California</w:t>
          </w:r>
        </w:smartTag>
      </w:smartTag>
      <w:r>
        <w:rPr>
          <w:szCs w:val="22"/>
        </w:rPr>
        <w:t>.</w:t>
      </w:r>
      <w:r w:rsidR="005C64E2">
        <w:rPr>
          <w:szCs w:val="22"/>
        </w:rPr>
        <w:t xml:space="preserve"> </w:t>
      </w:r>
      <w:r>
        <w:rPr>
          <w:szCs w:val="22"/>
        </w:rPr>
        <w:t>The manufacturer’s</w:t>
      </w:r>
      <w:r w:rsidR="00B96F61">
        <w:rPr>
          <w:szCs w:val="22"/>
        </w:rPr>
        <w:t xml:space="preserve"> California</w:t>
      </w:r>
      <w:r>
        <w:rPr>
          <w:szCs w:val="22"/>
        </w:rPr>
        <w:t xml:space="preserve"> credit balances shall be multiplied by the ratio of the </w:t>
      </w:r>
      <w:r w:rsidR="00B96F61">
        <w:rPr>
          <w:szCs w:val="22"/>
        </w:rPr>
        <w:t xml:space="preserve">average </w:t>
      </w:r>
      <w:r w:rsidR="00B96F61" w:rsidRPr="005A32DC">
        <w:rPr>
          <w:szCs w:val="22"/>
        </w:rPr>
        <w:t>number of PCs</w:t>
      </w:r>
      <w:r w:rsidR="00831E02" w:rsidRPr="005A32DC">
        <w:rPr>
          <w:szCs w:val="22"/>
        </w:rPr>
        <w:t>,</w:t>
      </w:r>
      <w:r w:rsidR="00B96F61" w:rsidRPr="005A32DC">
        <w:rPr>
          <w:szCs w:val="22"/>
        </w:rPr>
        <w:t>LDT1</w:t>
      </w:r>
      <w:r w:rsidR="00CF6976" w:rsidRPr="005A32DC">
        <w:rPr>
          <w:szCs w:val="22"/>
        </w:rPr>
        <w:t>, and LDT2</w:t>
      </w:r>
      <w:r w:rsidR="00831E02" w:rsidRPr="005A32DC">
        <w:rPr>
          <w:szCs w:val="22"/>
        </w:rPr>
        <w:t xml:space="preserve"> vehicle</w:t>
      </w:r>
      <w:r w:rsidR="00C43574" w:rsidRPr="005A32DC">
        <w:rPr>
          <w:szCs w:val="22"/>
        </w:rPr>
        <w:t>s</w:t>
      </w:r>
      <w:r w:rsidR="00CF6976" w:rsidRPr="005A32DC">
        <w:rPr>
          <w:szCs w:val="22"/>
        </w:rPr>
        <w:t xml:space="preserve"> as applicable, </w:t>
      </w:r>
      <w:r w:rsidR="00B96F61" w:rsidRPr="005A32DC">
        <w:rPr>
          <w:szCs w:val="22"/>
        </w:rPr>
        <w:t xml:space="preserve">produced and delivered for sale in Maine to the combined </w:t>
      </w:r>
      <w:r w:rsidRPr="005A32DC">
        <w:rPr>
          <w:szCs w:val="22"/>
        </w:rPr>
        <w:t>average number of PCs</w:t>
      </w:r>
      <w:r w:rsidR="00831E02" w:rsidRPr="005A32DC">
        <w:rPr>
          <w:szCs w:val="22"/>
        </w:rPr>
        <w:t>,</w:t>
      </w:r>
      <w:r w:rsidRPr="005A32DC">
        <w:rPr>
          <w:szCs w:val="22"/>
        </w:rPr>
        <w:t>LDT1</w:t>
      </w:r>
      <w:r w:rsidR="00CF6976" w:rsidRPr="005A32DC">
        <w:rPr>
          <w:szCs w:val="22"/>
        </w:rPr>
        <w:t>, and LDT2</w:t>
      </w:r>
      <w:r w:rsidR="00831E02" w:rsidRPr="005A32DC">
        <w:rPr>
          <w:szCs w:val="22"/>
        </w:rPr>
        <w:t xml:space="preserve"> vehicle</w:t>
      </w:r>
      <w:r w:rsidR="00C43574" w:rsidRPr="005A32DC">
        <w:rPr>
          <w:szCs w:val="22"/>
        </w:rPr>
        <w:t>s</w:t>
      </w:r>
      <w:r w:rsidR="00CF6976" w:rsidRPr="005A32DC">
        <w:rPr>
          <w:szCs w:val="22"/>
        </w:rPr>
        <w:t xml:space="preserve"> as</w:t>
      </w:r>
      <w:r w:rsidR="00CF6976">
        <w:rPr>
          <w:szCs w:val="22"/>
        </w:rPr>
        <w:t xml:space="preserve"> applicable</w:t>
      </w:r>
      <w:r>
        <w:rPr>
          <w:szCs w:val="22"/>
        </w:rPr>
        <w:t xml:space="preserve"> produced and delivered for sale in California in model years 2003 through 2005 or, alternatively, by the ratio of PCs</w:t>
      </w:r>
      <w:r w:rsidR="00831E02">
        <w:rPr>
          <w:szCs w:val="22"/>
        </w:rPr>
        <w:t>,</w:t>
      </w:r>
      <w:r>
        <w:rPr>
          <w:szCs w:val="22"/>
        </w:rPr>
        <w:t xml:space="preserve"> LDT1</w:t>
      </w:r>
      <w:r w:rsidR="00831E02">
        <w:rPr>
          <w:szCs w:val="22"/>
        </w:rPr>
        <w:t>,</w:t>
      </w:r>
      <w:r>
        <w:rPr>
          <w:szCs w:val="22"/>
        </w:rPr>
        <w:t xml:space="preserve"> </w:t>
      </w:r>
      <w:r w:rsidR="00BA37F4">
        <w:rPr>
          <w:szCs w:val="22"/>
        </w:rPr>
        <w:t>and LD2</w:t>
      </w:r>
      <w:r w:rsidR="00831E02">
        <w:rPr>
          <w:szCs w:val="22"/>
        </w:rPr>
        <w:t xml:space="preserve"> vehicles </w:t>
      </w:r>
      <w:r>
        <w:rPr>
          <w:szCs w:val="22"/>
        </w:rPr>
        <w:t xml:space="preserve">produced </w:t>
      </w:r>
      <w:r w:rsidR="00982820">
        <w:rPr>
          <w:szCs w:val="22"/>
        </w:rPr>
        <w:t xml:space="preserve">and delivered </w:t>
      </w:r>
      <w:r>
        <w:rPr>
          <w:szCs w:val="22"/>
        </w:rPr>
        <w:t>for sale in Maine to the combined number of PCs</w:t>
      </w:r>
      <w:r w:rsidR="00831E02">
        <w:rPr>
          <w:szCs w:val="22"/>
        </w:rPr>
        <w:t>,</w:t>
      </w:r>
      <w:r>
        <w:rPr>
          <w:szCs w:val="22"/>
        </w:rPr>
        <w:t xml:space="preserve"> LDT1s</w:t>
      </w:r>
      <w:r w:rsidR="002244D7">
        <w:rPr>
          <w:szCs w:val="22"/>
        </w:rPr>
        <w:t>, and LDT2</w:t>
      </w:r>
      <w:r w:rsidR="00831E02">
        <w:rPr>
          <w:szCs w:val="22"/>
        </w:rPr>
        <w:t xml:space="preserve"> vehicle</w:t>
      </w:r>
      <w:r w:rsidR="002244D7">
        <w:rPr>
          <w:szCs w:val="22"/>
        </w:rPr>
        <w:t>s as applicable,</w:t>
      </w:r>
      <w:r>
        <w:rPr>
          <w:szCs w:val="22"/>
        </w:rPr>
        <w:t xml:space="preserve"> produced and delivered for sale in California in model year 2009.</w:t>
      </w:r>
      <w:r w:rsidR="005C64E2">
        <w:rPr>
          <w:szCs w:val="22"/>
        </w:rPr>
        <w:t xml:space="preserve"> </w:t>
      </w:r>
      <w:r>
        <w:rPr>
          <w:szCs w:val="22"/>
        </w:rPr>
        <w:t xml:space="preserve">In either case, the time period used to determine the credit transfer ratio will also be used to determine model year 2009 ZEV sales requirements in </w:t>
      </w:r>
      <w:smartTag w:uri="urn:schemas-microsoft-com:office:smarttags" w:element="place">
        <w:smartTag w:uri="urn:schemas-microsoft-com:office:smarttags" w:element="State">
          <w:r>
            <w:rPr>
              <w:szCs w:val="22"/>
            </w:rPr>
            <w:t>Maine</w:t>
          </w:r>
        </w:smartTag>
      </w:smartTag>
      <w:r>
        <w:rPr>
          <w:szCs w:val="22"/>
        </w:rPr>
        <w:t>.</w:t>
      </w:r>
    </w:p>
    <w:p w14:paraId="43E8CE4A" w14:textId="77777777" w:rsidR="000A4157" w:rsidRDefault="000A4157" w:rsidP="0029676C">
      <w:pPr>
        <w:pStyle w:val="RulesSub-section"/>
        <w:ind w:left="1080"/>
        <w:jc w:val="left"/>
        <w:rPr>
          <w:szCs w:val="22"/>
        </w:rPr>
      </w:pPr>
    </w:p>
    <w:p w14:paraId="553EC0E0" w14:textId="77777777" w:rsidR="000A4157" w:rsidRDefault="000A4157" w:rsidP="0029676C">
      <w:pPr>
        <w:pStyle w:val="RulesSub-section"/>
        <w:ind w:left="1080" w:firstLine="0"/>
        <w:jc w:val="left"/>
      </w:pPr>
      <w:r>
        <w:rPr>
          <w:szCs w:val="22"/>
        </w:rPr>
        <w:t xml:space="preserve">The commissioner shall establish ZEV compliance accounts for each manufacturer and allocate the credits calculated under this section 4(D)(2) to such compliance accounts, including separate accounts for PZEV, AT-PZEV, </w:t>
      </w:r>
      <w:r w:rsidR="00014DB7">
        <w:rPr>
          <w:szCs w:val="22"/>
        </w:rPr>
        <w:t xml:space="preserve">Enhanced ATPZEV, </w:t>
      </w:r>
      <w:r>
        <w:rPr>
          <w:szCs w:val="22"/>
        </w:rPr>
        <w:t xml:space="preserve">NEV, Type 0 ZEVs, Type I ZEVs, </w:t>
      </w:r>
      <w:r w:rsidR="00BA37F4">
        <w:rPr>
          <w:szCs w:val="22"/>
        </w:rPr>
        <w:t>Type I.5</w:t>
      </w:r>
      <w:r w:rsidR="009A5DF8">
        <w:rPr>
          <w:szCs w:val="22"/>
        </w:rPr>
        <w:t xml:space="preserve"> ZEVs</w:t>
      </w:r>
      <w:r w:rsidR="00BA37F4">
        <w:rPr>
          <w:szCs w:val="22"/>
        </w:rPr>
        <w:t xml:space="preserve">, </w:t>
      </w:r>
      <w:r>
        <w:rPr>
          <w:szCs w:val="22"/>
        </w:rPr>
        <w:t xml:space="preserve">Type II ZEVs, Type III ZEVs, </w:t>
      </w:r>
      <w:r w:rsidR="00CB68FE">
        <w:rPr>
          <w:szCs w:val="22"/>
        </w:rPr>
        <w:t xml:space="preserve">Type IV ZEVs, Type V ZEVs, </w:t>
      </w:r>
      <w:r>
        <w:rPr>
          <w:szCs w:val="22"/>
        </w:rPr>
        <w:t>transportation system</w:t>
      </w:r>
      <w:r w:rsidR="00CB68FE">
        <w:rPr>
          <w:szCs w:val="22"/>
        </w:rPr>
        <w:t>s</w:t>
      </w:r>
      <w:r>
        <w:rPr>
          <w:szCs w:val="22"/>
        </w:rPr>
        <w:t>, and extended service.</w:t>
      </w:r>
      <w:r w:rsidR="005C64E2">
        <w:t xml:space="preserve"> </w:t>
      </w:r>
      <w:r w:rsidRPr="005C5FF4">
        <w:t>The</w:t>
      </w:r>
      <w:r>
        <w:t xml:space="preserve"> commissioner shall notify such manufacturer of the number of ZEV credits available for use by July 31, 2009 and annually thereafter.</w:t>
      </w:r>
      <w:r w:rsidR="005C64E2">
        <w:t xml:space="preserve"> </w:t>
      </w:r>
      <w:r>
        <w:t xml:space="preserve">Credits issued pursuant to this subsection may only be used in Maine for compliance with the ZEV provisions of section 4(C) subject to the same requirements and limitations on credit use set forth in the </w:t>
      </w:r>
      <w:r w:rsidR="00811AD5">
        <w:t xml:space="preserve">Title 13 </w:t>
      </w:r>
      <w:r w:rsidR="00604DD5" w:rsidRPr="00604DD5">
        <w:rPr>
          <w:i/>
        </w:rPr>
        <w:t>California Code of Regulations</w:t>
      </w:r>
      <w:r>
        <w:t xml:space="preserve">, </w:t>
      </w:r>
      <w:r w:rsidR="00881BD4">
        <w:t xml:space="preserve">Section </w:t>
      </w:r>
      <w:r>
        <w:t>1962</w:t>
      </w:r>
      <w:r w:rsidR="00397F9C">
        <w:t>.1</w:t>
      </w:r>
      <w:r>
        <w:t xml:space="preserve"> adjusted for Maine specific vehicle numbers.</w:t>
      </w:r>
    </w:p>
    <w:p w14:paraId="637A42F7" w14:textId="77777777" w:rsidR="000A4157" w:rsidRDefault="000A4157" w:rsidP="0029676C">
      <w:pPr>
        <w:pStyle w:val="RulesSub-section"/>
        <w:jc w:val="left"/>
      </w:pPr>
    </w:p>
    <w:p w14:paraId="6467E5A7" w14:textId="77777777" w:rsidR="000A4157" w:rsidRDefault="00C43574" w:rsidP="0029676C">
      <w:pPr>
        <w:pStyle w:val="RulesSub-section"/>
        <w:ind w:left="1080" w:firstLine="0"/>
        <w:jc w:val="left"/>
      </w:pPr>
      <w:r w:rsidRPr="00383AE1">
        <w:rPr>
          <w:szCs w:val="22"/>
        </w:rPr>
        <w:t xml:space="preserve">A manufacturer shall be entitled to the defined credits for all ZEV Types as specified in the travel provisions </w:t>
      </w:r>
      <w:r w:rsidR="00805383" w:rsidRPr="00383AE1">
        <w:rPr>
          <w:szCs w:val="22"/>
        </w:rPr>
        <w:t>pursuant to</w:t>
      </w:r>
      <w:r w:rsidRPr="00383AE1">
        <w:rPr>
          <w:szCs w:val="22"/>
        </w:rPr>
        <w:t xml:space="preserve"> the </w:t>
      </w:r>
      <w:r w:rsidR="00604DD5" w:rsidRPr="00604DD5">
        <w:rPr>
          <w:i/>
          <w:szCs w:val="22"/>
        </w:rPr>
        <w:t>California Code of Regulations</w:t>
      </w:r>
      <w:r w:rsidRPr="00383AE1">
        <w:rPr>
          <w:szCs w:val="22"/>
        </w:rPr>
        <w:t>, Title 13, Sections 1962(d)(5)(D)</w:t>
      </w:r>
      <w:r w:rsidR="00354E30" w:rsidRPr="00383AE1">
        <w:rPr>
          <w:szCs w:val="22"/>
        </w:rPr>
        <w:t xml:space="preserve"> or</w:t>
      </w:r>
      <w:r w:rsidRPr="00383AE1">
        <w:rPr>
          <w:szCs w:val="22"/>
        </w:rPr>
        <w:t xml:space="preserve"> 1962.1(d)(5)(E).</w:t>
      </w:r>
      <w:r w:rsidR="005C64E2">
        <w:rPr>
          <w:szCs w:val="22"/>
        </w:rPr>
        <w:t xml:space="preserve"> </w:t>
      </w:r>
      <w:r w:rsidR="000A4157">
        <w:t>Furthermore, each manufacturer operating under this compliance path shall:</w:t>
      </w:r>
    </w:p>
    <w:p w14:paraId="00E23567" w14:textId="77777777" w:rsidR="000A4157" w:rsidRDefault="000A4157" w:rsidP="0029676C">
      <w:pPr>
        <w:pStyle w:val="RulesSub-section"/>
        <w:ind w:left="1080"/>
        <w:jc w:val="left"/>
      </w:pPr>
    </w:p>
    <w:p w14:paraId="01275BF5" w14:textId="77777777" w:rsidR="000A4157" w:rsidRDefault="000A4157" w:rsidP="0029676C">
      <w:pPr>
        <w:pStyle w:val="RulesSub-section"/>
        <w:ind w:left="1440"/>
        <w:jc w:val="left"/>
      </w:pPr>
      <w:r>
        <w:t>(a)</w:t>
      </w:r>
      <w:r>
        <w:tab/>
        <w:t>By May 1, 2009, provide the commissioner with the total number of PC</w:t>
      </w:r>
      <w:r w:rsidR="00CF6976">
        <w:t>s</w:t>
      </w:r>
      <w:r w:rsidR="00831E02">
        <w:t>,</w:t>
      </w:r>
      <w:r>
        <w:t xml:space="preserve"> LDT1</w:t>
      </w:r>
      <w:r w:rsidR="00CF6976">
        <w:t xml:space="preserve">, and LDT2 </w:t>
      </w:r>
      <w:r w:rsidR="00831E02">
        <w:t xml:space="preserve">vehicles </w:t>
      </w:r>
      <w:r w:rsidR="00CF6976">
        <w:t>as applicable,</w:t>
      </w:r>
      <w:r>
        <w:t xml:space="preserve"> produced and delivered for sale in </w:t>
      </w:r>
      <w:smartTag w:uri="urn:schemas-microsoft-com:office:smarttags" w:element="State">
        <w:r>
          <w:t>Maine</w:t>
        </w:r>
      </w:smartTag>
      <w:r>
        <w:t xml:space="preserve"> and </w:t>
      </w:r>
      <w:smartTag w:uri="urn:schemas-microsoft-com:office:smarttags" w:element="place">
        <w:smartTag w:uri="urn:schemas-microsoft-com:office:smarttags" w:element="State">
          <w:r>
            <w:t>California</w:t>
          </w:r>
        </w:smartTag>
      </w:smartTag>
      <w:r>
        <w:t xml:space="preserve"> for 2003 through 2005 model years.</w:t>
      </w:r>
    </w:p>
    <w:p w14:paraId="5DFF6792" w14:textId="77777777" w:rsidR="000A4157" w:rsidRDefault="000A4157" w:rsidP="0029676C">
      <w:pPr>
        <w:pStyle w:val="RulesSub-section"/>
        <w:ind w:left="1440"/>
        <w:jc w:val="left"/>
      </w:pPr>
    </w:p>
    <w:p w14:paraId="2A353FC4" w14:textId="77777777" w:rsidR="000A4157" w:rsidRDefault="000A4157" w:rsidP="00413B1D">
      <w:pPr>
        <w:pStyle w:val="RulesSub-section"/>
        <w:tabs>
          <w:tab w:val="left" w:pos="2262"/>
        </w:tabs>
        <w:ind w:left="1404" w:right="-90" w:firstLine="0"/>
        <w:jc w:val="left"/>
      </w:pPr>
      <w:r>
        <w:t>Alternatively, by May 1, 2009, provide the commissioner with the total projected number of PC</w:t>
      </w:r>
      <w:r w:rsidR="00831E02">
        <w:t>s,</w:t>
      </w:r>
      <w:r>
        <w:t xml:space="preserve"> LDT1 </w:t>
      </w:r>
      <w:r w:rsidR="00831E02">
        <w:t xml:space="preserve">and LDT2 </w:t>
      </w:r>
      <w:r>
        <w:t xml:space="preserve">vehicles to be produced and delivered for sale in </w:t>
      </w:r>
      <w:smartTag w:uri="urn:schemas-microsoft-com:office:smarttags" w:element="State">
        <w:r>
          <w:t>Maine</w:t>
        </w:r>
      </w:smartTag>
      <w:r>
        <w:t xml:space="preserve"> and </w:t>
      </w:r>
      <w:smartTag w:uri="urn:schemas-microsoft-com:office:smarttags" w:element="State">
        <w:smartTag w:uri="urn:schemas-microsoft-com:office:smarttags" w:element="place">
          <w:r w:rsidRPr="00A051B8">
            <w:t>California</w:t>
          </w:r>
        </w:smartTag>
      </w:smartTag>
      <w:r w:rsidRPr="00874DD7">
        <w:t xml:space="preserve"> </w:t>
      </w:r>
      <w:r>
        <w:t>in model year 2009.</w:t>
      </w:r>
      <w:r w:rsidR="005C64E2">
        <w:t xml:space="preserve"> </w:t>
      </w:r>
      <w:r>
        <w:t>By March 1, 2010, provide the commissioner with actual 2009 model year PC</w:t>
      </w:r>
      <w:r w:rsidR="00831E02">
        <w:t>s,</w:t>
      </w:r>
      <w:r>
        <w:t xml:space="preserve"> LDT1 </w:t>
      </w:r>
      <w:r w:rsidR="00831E02">
        <w:t xml:space="preserve">and LDT2 </w:t>
      </w:r>
      <w:r>
        <w:t xml:space="preserve">vehicles produced and delivered for sale in </w:t>
      </w:r>
      <w:smartTag w:uri="urn:schemas-microsoft-com:office:smarttags" w:element="State">
        <w:r>
          <w:t>Maine</w:t>
        </w:r>
      </w:smartTag>
      <w:r>
        <w:t xml:space="preserve"> and </w:t>
      </w:r>
      <w:smartTag w:uri="urn:schemas-microsoft-com:office:smarttags" w:element="State">
        <w:smartTag w:uri="urn:schemas-microsoft-com:office:smarttags" w:element="place">
          <w:r w:rsidRPr="00045FC6">
            <w:t>California</w:t>
          </w:r>
        </w:smartTag>
      </w:smartTag>
      <w:r>
        <w:t>.</w:t>
      </w:r>
      <w:r w:rsidR="005C64E2">
        <w:t xml:space="preserve"> </w:t>
      </w:r>
      <w:r>
        <w:t xml:space="preserve">The commissioner shall adjust and notify such manufacturer </w:t>
      </w:r>
      <w:r w:rsidRPr="008E3390">
        <w:t>of</w:t>
      </w:r>
      <w:r>
        <w:t xml:space="preserve"> the number of ZEV credits established based on actual 2009 model year data by May 31, 2010.</w:t>
      </w:r>
    </w:p>
    <w:p w14:paraId="57DC06C3" w14:textId="77777777" w:rsidR="000A4157" w:rsidRDefault="000A4157" w:rsidP="0029676C">
      <w:pPr>
        <w:pStyle w:val="RulesSub-section"/>
        <w:ind w:left="1440"/>
        <w:jc w:val="left"/>
      </w:pPr>
    </w:p>
    <w:p w14:paraId="2EFC4866" w14:textId="77777777" w:rsidR="000A4157" w:rsidRDefault="000A4157" w:rsidP="0029676C">
      <w:pPr>
        <w:pStyle w:val="RulesSub-section"/>
        <w:ind w:left="1440"/>
        <w:jc w:val="left"/>
      </w:pPr>
      <w:r>
        <w:t>(b)</w:t>
      </w:r>
      <w:r>
        <w:tab/>
        <w:t xml:space="preserve">By </w:t>
      </w:r>
      <w:smartTag w:uri="urn:schemas-microsoft-com:office:smarttags" w:element="date">
        <w:smartTagPr>
          <w:attr w:name="Month" w:val="5"/>
          <w:attr w:name="Day" w:val="1"/>
          <w:attr w:name="Year" w:val="2009"/>
        </w:smartTagPr>
        <w:r>
          <w:t>May 1, 2009</w:t>
        </w:r>
      </w:smartTag>
      <w:r>
        <w:t xml:space="preserve">, provide the commissioner with the total number of banked </w:t>
      </w:r>
      <w:smartTag w:uri="urn:schemas-microsoft-com:office:smarttags" w:element="State">
        <w:smartTag w:uri="urn:schemas-microsoft-com:office:smarttags" w:element="place">
          <w:r w:rsidRPr="00A051B8">
            <w:t>California</w:t>
          </w:r>
        </w:smartTag>
      </w:smartTag>
      <w:r>
        <w:t xml:space="preserve"> credits after all 2008 model year and earlier obligations have been met.</w:t>
      </w:r>
    </w:p>
    <w:p w14:paraId="1F723791" w14:textId="77777777" w:rsidR="000A4157" w:rsidRDefault="000A4157" w:rsidP="0029676C">
      <w:pPr>
        <w:pStyle w:val="RulesSub-section"/>
        <w:ind w:left="1440"/>
        <w:jc w:val="left"/>
      </w:pPr>
    </w:p>
    <w:p w14:paraId="7BCA663A" w14:textId="77777777" w:rsidR="00305EA4" w:rsidRDefault="00383AE1" w:rsidP="0029676C">
      <w:pPr>
        <w:pStyle w:val="RulesSub-section"/>
        <w:ind w:left="1404" w:hanging="312"/>
        <w:jc w:val="left"/>
      </w:pPr>
      <w:r>
        <w:t>(c)</w:t>
      </w:r>
      <w:r>
        <w:tab/>
      </w:r>
      <w:r w:rsidR="00A005FF">
        <w:t>Starting with model year 2009</w:t>
      </w:r>
      <w:r w:rsidR="00354E30" w:rsidRPr="00383AE1">
        <w:t>-2011</w:t>
      </w:r>
      <w:r w:rsidR="00A005FF">
        <w:t>, m</w:t>
      </w:r>
      <w:r w:rsidR="000A4157">
        <w:t xml:space="preserve">ake available for purchase or lease in Maine any PZEV, AT-PZEV, </w:t>
      </w:r>
      <w:r w:rsidR="00014DB7">
        <w:t xml:space="preserve">Enhanced ATPZEV, </w:t>
      </w:r>
      <w:r w:rsidR="000A4157">
        <w:t xml:space="preserve">and ZEV models, </w:t>
      </w:r>
      <w:r w:rsidR="000A4157" w:rsidRPr="00383AE1">
        <w:t xml:space="preserve">except </w:t>
      </w:r>
      <w:r w:rsidR="00C55441" w:rsidRPr="00383AE1">
        <w:t>all ZEV</w:t>
      </w:r>
      <w:r w:rsidR="008F4DEF">
        <w:t>s</w:t>
      </w:r>
      <w:r w:rsidR="00C55441" w:rsidRPr="00383AE1">
        <w:t xml:space="preserve"> that qualify for the travel provision </w:t>
      </w:r>
      <w:r w:rsidR="00805383" w:rsidRPr="00383AE1">
        <w:t>pursuant to</w:t>
      </w:r>
      <w:r w:rsidR="00C55441" w:rsidRPr="00383AE1">
        <w:t xml:space="preserve"> </w:t>
      </w:r>
      <w:r w:rsidR="00811AD5" w:rsidRPr="00383AE1">
        <w:t>Title 13</w:t>
      </w:r>
      <w:r w:rsidR="00811AD5">
        <w:t xml:space="preserve"> </w:t>
      </w:r>
      <w:r w:rsidR="00604DD5" w:rsidRPr="00604DD5">
        <w:rPr>
          <w:i/>
        </w:rPr>
        <w:t>California Code of Regulations</w:t>
      </w:r>
      <w:r w:rsidR="000A4157" w:rsidRPr="00383AE1">
        <w:t xml:space="preserve">, </w:t>
      </w:r>
      <w:r w:rsidR="00805383" w:rsidRPr="00383AE1">
        <w:t>Section</w:t>
      </w:r>
      <w:r w:rsidR="00C55441" w:rsidRPr="00383AE1">
        <w:t xml:space="preserve"> </w:t>
      </w:r>
      <w:r w:rsidR="00C55441" w:rsidRPr="00383AE1">
        <w:rPr>
          <w:szCs w:val="22"/>
        </w:rPr>
        <w:t>1962.</w:t>
      </w:r>
      <w:r w:rsidR="00BB1E4D">
        <w:rPr>
          <w:szCs w:val="22"/>
        </w:rPr>
        <w:t xml:space="preserve"> </w:t>
      </w:r>
    </w:p>
    <w:p w14:paraId="1EC0B3E3" w14:textId="77777777" w:rsidR="00305EA4" w:rsidRDefault="00305EA4" w:rsidP="0029676C">
      <w:pPr>
        <w:pStyle w:val="RulesSub-section"/>
        <w:ind w:left="1080"/>
        <w:jc w:val="left"/>
      </w:pPr>
    </w:p>
    <w:p w14:paraId="61C1C5D5" w14:textId="77777777" w:rsidR="00A43625" w:rsidRDefault="00A43625" w:rsidP="00413B1D">
      <w:pPr>
        <w:pStyle w:val="RulesSub-section"/>
        <w:ind w:left="1080" w:right="-450"/>
        <w:jc w:val="left"/>
      </w:pPr>
      <w:r>
        <w:t>(</w:t>
      </w:r>
      <w:r w:rsidR="00B555C2">
        <w:t>3</w:t>
      </w:r>
      <w:r>
        <w:t>)</w:t>
      </w:r>
      <w:r>
        <w:tab/>
        <w:t>Any manufacturer who fails to meet the requirements of its respective alternative compliance path shall be subject to full compliance with the ZEV mandate provisions set forth in Section 4(C).</w:t>
      </w:r>
    </w:p>
    <w:p w14:paraId="61CF6953" w14:textId="77777777" w:rsidR="00790D26" w:rsidRDefault="00790D26" w:rsidP="0029676C">
      <w:pPr>
        <w:pStyle w:val="RulesSub-section"/>
        <w:ind w:left="1080"/>
        <w:jc w:val="left"/>
      </w:pPr>
    </w:p>
    <w:p w14:paraId="6D087309" w14:textId="77777777" w:rsidR="00E476E4" w:rsidRDefault="00790D26" w:rsidP="00330C7C">
      <w:pPr>
        <w:pStyle w:val="RulesSub-section"/>
      </w:pPr>
      <w:r w:rsidRPr="00330C7C">
        <w:rPr>
          <w:b/>
        </w:rPr>
        <w:t>E.</w:t>
      </w:r>
      <w:r w:rsidRPr="00330C7C">
        <w:rPr>
          <w:b/>
        </w:rPr>
        <w:tab/>
      </w:r>
      <w:r w:rsidR="00890793" w:rsidRPr="000F600C">
        <w:rPr>
          <w:b/>
        </w:rPr>
        <w:t>New Vehicle Greenhouse Gas Emission Requirements.</w:t>
      </w:r>
      <w:r w:rsidR="005C64E2">
        <w:rPr>
          <w:b/>
        </w:rPr>
        <w:t xml:space="preserve"> </w:t>
      </w:r>
      <w:r w:rsidR="00890793" w:rsidRPr="000F600C">
        <w:t>No person, including a manufacturer or dealer, shall deliver for sale or lease, offer for sale or lease, sell or leas</w:t>
      </w:r>
      <w:r w:rsidR="007B4FF0" w:rsidRPr="00AE7A1E">
        <w:t xml:space="preserve">e, import or rent a new </w:t>
      </w:r>
      <w:r w:rsidR="00E476E4">
        <w:t>passenger car, medium duty passenger vehicle or light-duty truck,</w:t>
      </w:r>
      <w:r w:rsidR="00890793" w:rsidRPr="00E476E4">
        <w:t xml:space="preserve"> </w:t>
      </w:r>
      <w:r w:rsidR="00E476E4" w:rsidRPr="00AE7A1E">
        <w:t>unless that new vehicle complies</w:t>
      </w:r>
      <w:r w:rsidR="00E476E4">
        <w:t>:</w:t>
      </w:r>
    </w:p>
    <w:p w14:paraId="783210F5" w14:textId="77777777" w:rsidR="00E476E4" w:rsidRPr="000F600C" w:rsidRDefault="00E476E4" w:rsidP="00330C7C">
      <w:pPr>
        <w:ind w:left="720"/>
        <w:rPr>
          <w:sz w:val="22"/>
        </w:rPr>
      </w:pPr>
    </w:p>
    <w:p w14:paraId="33C18E67" w14:textId="77777777" w:rsidR="00890793" w:rsidRDefault="00E476E4" w:rsidP="00E476E4">
      <w:pPr>
        <w:numPr>
          <w:ilvl w:val="1"/>
          <w:numId w:val="25"/>
        </w:numPr>
        <w:rPr>
          <w:sz w:val="22"/>
        </w:rPr>
      </w:pPr>
      <w:r>
        <w:rPr>
          <w:sz w:val="22"/>
        </w:rPr>
        <w:t>Effective with</w:t>
      </w:r>
      <w:r w:rsidR="00890793">
        <w:rPr>
          <w:sz w:val="22"/>
        </w:rPr>
        <w:t xml:space="preserve"> 2009 </w:t>
      </w:r>
      <w:r w:rsidR="004829F3">
        <w:rPr>
          <w:sz w:val="22"/>
        </w:rPr>
        <w:t xml:space="preserve">through 2016 </w:t>
      </w:r>
      <w:r w:rsidR="00890793">
        <w:rPr>
          <w:sz w:val="22"/>
        </w:rPr>
        <w:t xml:space="preserve">with the greenhouse gas emission limits set for the in the </w:t>
      </w:r>
      <w:r>
        <w:rPr>
          <w:sz w:val="22"/>
        </w:rPr>
        <w:t xml:space="preserve">Title 13 </w:t>
      </w:r>
      <w:r w:rsidR="00604DD5" w:rsidRPr="00604DD5">
        <w:rPr>
          <w:i/>
          <w:sz w:val="22"/>
        </w:rPr>
        <w:t>California Code of Regulations</w:t>
      </w:r>
      <w:r w:rsidR="00890793">
        <w:rPr>
          <w:sz w:val="22"/>
        </w:rPr>
        <w:t xml:space="preserve">, </w:t>
      </w:r>
      <w:r w:rsidR="00881BD4">
        <w:rPr>
          <w:sz w:val="22"/>
        </w:rPr>
        <w:t xml:space="preserve">Section </w:t>
      </w:r>
      <w:r w:rsidR="00890793">
        <w:rPr>
          <w:sz w:val="22"/>
        </w:rPr>
        <w:t>1961.1, as incorporated in Appendix A.</w:t>
      </w:r>
    </w:p>
    <w:p w14:paraId="2380C196" w14:textId="77777777" w:rsidR="005F76B3" w:rsidRPr="00330C7C" w:rsidRDefault="005F76B3" w:rsidP="00330C7C">
      <w:pPr>
        <w:ind w:left="720"/>
        <w:rPr>
          <w:sz w:val="22"/>
        </w:rPr>
      </w:pPr>
    </w:p>
    <w:p w14:paraId="1D8F6BDD" w14:textId="77777777" w:rsidR="005F76B3" w:rsidRPr="00D45E98" w:rsidRDefault="00FB6B41" w:rsidP="00330C7C">
      <w:pPr>
        <w:numPr>
          <w:ilvl w:val="1"/>
          <w:numId w:val="25"/>
        </w:numPr>
        <w:rPr>
          <w:b/>
          <w:sz w:val="22"/>
        </w:rPr>
      </w:pPr>
      <w:r w:rsidRPr="00330C7C">
        <w:rPr>
          <w:sz w:val="22"/>
        </w:rPr>
        <w:t>Effective for 2017 and subsequent model years</w:t>
      </w:r>
      <w:r w:rsidR="00E476E4">
        <w:rPr>
          <w:b/>
          <w:sz w:val="22"/>
        </w:rPr>
        <w:t xml:space="preserve"> </w:t>
      </w:r>
      <w:r>
        <w:rPr>
          <w:sz w:val="22"/>
        </w:rPr>
        <w:t xml:space="preserve">with the greenhouse gas emission limits set in the </w:t>
      </w:r>
      <w:r w:rsidR="00811AD5">
        <w:rPr>
          <w:sz w:val="22"/>
        </w:rPr>
        <w:t>T</w:t>
      </w:r>
      <w:r w:rsidR="00E476E4">
        <w:rPr>
          <w:sz w:val="22"/>
        </w:rPr>
        <w:t xml:space="preserve">itle 13 </w:t>
      </w:r>
      <w:r w:rsidR="00604DD5" w:rsidRPr="00604DD5">
        <w:rPr>
          <w:i/>
          <w:sz w:val="22"/>
        </w:rPr>
        <w:t>California Code of Regulations</w:t>
      </w:r>
      <w:r>
        <w:rPr>
          <w:sz w:val="22"/>
        </w:rPr>
        <w:t>, Section 1961.3.</w:t>
      </w:r>
    </w:p>
    <w:p w14:paraId="2229C4FE" w14:textId="77777777" w:rsidR="00890793" w:rsidRDefault="00890793" w:rsidP="0029676C">
      <w:pPr>
        <w:pStyle w:val="RulesSub-section"/>
        <w:jc w:val="left"/>
      </w:pPr>
    </w:p>
    <w:p w14:paraId="37771798" w14:textId="77777777" w:rsidR="00A43625" w:rsidRDefault="00890793" w:rsidP="0029676C">
      <w:pPr>
        <w:pStyle w:val="RulesSub-section"/>
        <w:ind w:left="360" w:firstLine="0"/>
        <w:jc w:val="left"/>
      </w:pPr>
      <w:r w:rsidRPr="00A33539">
        <w:rPr>
          <w:b/>
        </w:rPr>
        <w:t>F</w:t>
      </w:r>
      <w:r w:rsidR="00A43625" w:rsidRPr="00A33539">
        <w:rPr>
          <w:b/>
        </w:rPr>
        <w:t>.</w:t>
      </w:r>
      <w:r w:rsidR="00BA3678">
        <w:rPr>
          <w:b/>
        </w:rPr>
        <w:tab/>
      </w:r>
      <w:r w:rsidR="00A43625">
        <w:rPr>
          <w:b/>
        </w:rPr>
        <w:t>Exemptions.</w:t>
      </w:r>
      <w:r w:rsidR="00355A4F">
        <w:t xml:space="preserve"> </w:t>
      </w:r>
      <w:r w:rsidR="00F456EC">
        <w:t xml:space="preserve">The following </w:t>
      </w:r>
      <w:r w:rsidR="00A43625">
        <w:t>new vehicle</w:t>
      </w:r>
      <w:r w:rsidR="00F456EC">
        <w:t>s shall not be subject to this Chapter</w:t>
      </w:r>
      <w:r w:rsidR="00A43625">
        <w:t>:</w:t>
      </w:r>
    </w:p>
    <w:p w14:paraId="6ED0FB75" w14:textId="77777777" w:rsidR="00A43625" w:rsidRDefault="00A43625" w:rsidP="0029676C">
      <w:pPr>
        <w:pStyle w:val="RulesSub-section"/>
        <w:jc w:val="left"/>
      </w:pPr>
    </w:p>
    <w:p w14:paraId="624B9E27" w14:textId="77777777" w:rsidR="00A43625" w:rsidRDefault="00A43625" w:rsidP="0029676C">
      <w:pPr>
        <w:pStyle w:val="RulesSub-section"/>
        <w:ind w:left="1080"/>
        <w:jc w:val="left"/>
      </w:pPr>
      <w:r>
        <w:t xml:space="preserve">(1) </w:t>
      </w:r>
      <w:r w:rsidR="00EF2A8F">
        <w:t>An</w:t>
      </w:r>
      <w:r>
        <w:t xml:space="preserve"> emergency vehicle;</w:t>
      </w:r>
    </w:p>
    <w:p w14:paraId="09FF38AE" w14:textId="77777777" w:rsidR="00A43625" w:rsidRDefault="00A43625" w:rsidP="0029676C">
      <w:pPr>
        <w:pStyle w:val="RulesSub-section"/>
        <w:ind w:left="1080"/>
        <w:jc w:val="left"/>
      </w:pPr>
    </w:p>
    <w:p w14:paraId="1F2E1E04" w14:textId="77777777" w:rsidR="00A43625" w:rsidRDefault="00A43625" w:rsidP="0029676C">
      <w:pPr>
        <w:pStyle w:val="RulesSub-section"/>
        <w:ind w:left="1080"/>
        <w:jc w:val="left"/>
      </w:pPr>
      <w:r>
        <w:t xml:space="preserve">(2) </w:t>
      </w:r>
      <w:r w:rsidR="00EF2A8F">
        <w:t>A</w:t>
      </w:r>
      <w:r w:rsidR="00F934B2">
        <w:t xml:space="preserve"> vehicle </w:t>
      </w:r>
      <w:r>
        <w:t>with a right-hand drive configuration that is not available in a California-certified model, purchased by a rural route postal carrier and used primarily for work;</w:t>
      </w:r>
    </w:p>
    <w:p w14:paraId="474238C6" w14:textId="77777777" w:rsidR="00A43625" w:rsidRDefault="00A43625" w:rsidP="0029676C">
      <w:pPr>
        <w:pStyle w:val="RulesSub-section"/>
        <w:ind w:left="1080"/>
        <w:jc w:val="left"/>
      </w:pPr>
    </w:p>
    <w:p w14:paraId="5288DC0B" w14:textId="77777777" w:rsidR="00355A4F" w:rsidRDefault="00A43625" w:rsidP="0029676C">
      <w:pPr>
        <w:pStyle w:val="RulesSub-section"/>
        <w:ind w:left="1080"/>
        <w:jc w:val="left"/>
      </w:pPr>
      <w:r>
        <w:rPr>
          <w:color w:val="000000"/>
        </w:rPr>
        <w:t xml:space="preserve">(3) </w:t>
      </w:r>
      <w:r w:rsidR="00EF2A8F">
        <w:rPr>
          <w:color w:val="000000"/>
        </w:rPr>
        <w:t>A</w:t>
      </w:r>
      <w:r w:rsidR="00F934B2">
        <w:rPr>
          <w:color w:val="000000"/>
        </w:rPr>
        <w:t xml:space="preserve"> vehicle </w:t>
      </w:r>
      <w:r>
        <w:rPr>
          <w:color w:val="000000"/>
        </w:rPr>
        <w:t>designed exclusively for off-road use</w:t>
      </w:r>
      <w:r>
        <w:t>;</w:t>
      </w:r>
    </w:p>
    <w:p w14:paraId="676E8336" w14:textId="77777777" w:rsidR="00A43625" w:rsidRDefault="00A43625" w:rsidP="0029676C">
      <w:pPr>
        <w:pStyle w:val="RulesSub-section"/>
        <w:ind w:left="1080"/>
        <w:jc w:val="left"/>
      </w:pPr>
    </w:p>
    <w:p w14:paraId="15AC9A11" w14:textId="77777777" w:rsidR="00A43625" w:rsidRDefault="00A43625" w:rsidP="0029676C">
      <w:pPr>
        <w:pStyle w:val="RulesSub-section"/>
        <w:ind w:left="1080"/>
        <w:jc w:val="left"/>
        <w:rPr>
          <w:rStyle w:val="QuickFormat3"/>
          <w:rFonts w:ascii="Times New Roman" w:hAnsi="Times New Roman"/>
          <w:sz w:val="22"/>
        </w:rPr>
      </w:pPr>
      <w:r>
        <w:rPr>
          <w:rStyle w:val="QuickFormat3"/>
          <w:rFonts w:ascii="Times New Roman" w:hAnsi="Times New Roman"/>
          <w:sz w:val="22"/>
        </w:rPr>
        <w:t>(4)</w:t>
      </w:r>
      <w:r w:rsidR="00F1268D">
        <w:rPr>
          <w:rStyle w:val="QuickFormat3"/>
          <w:rFonts w:ascii="Times New Roman" w:hAnsi="Times New Roman"/>
          <w:sz w:val="22"/>
        </w:rPr>
        <w:t xml:space="preserve"> </w:t>
      </w:r>
      <w:r w:rsidR="001A72D1">
        <w:rPr>
          <w:rStyle w:val="QuickFormat3"/>
          <w:rFonts w:ascii="Times New Roman" w:hAnsi="Times New Roman"/>
          <w:sz w:val="22"/>
        </w:rPr>
        <w:t>A</w:t>
      </w:r>
      <w:r w:rsidR="00F934B2">
        <w:rPr>
          <w:rStyle w:val="QuickFormat3"/>
          <w:rFonts w:ascii="Times New Roman" w:hAnsi="Times New Roman"/>
          <w:sz w:val="22"/>
        </w:rPr>
        <w:t xml:space="preserve"> vehicle </w:t>
      </w:r>
      <w:r>
        <w:rPr>
          <w:rStyle w:val="QuickFormat3"/>
          <w:rFonts w:ascii="Times New Roman" w:hAnsi="Times New Roman"/>
          <w:sz w:val="22"/>
        </w:rPr>
        <w:t>certified to standards promulgated pursuant to the authority contained in 42 U.S.C. Section 7521 and which is in the possession of a rental agency in Maine and is next rented with a final destination outside of Maine;</w:t>
      </w:r>
    </w:p>
    <w:p w14:paraId="199F43C9" w14:textId="77777777" w:rsidR="00A43625" w:rsidRDefault="00A43625" w:rsidP="0029676C">
      <w:pPr>
        <w:pStyle w:val="RulesSub-section"/>
        <w:ind w:left="1080"/>
        <w:jc w:val="left"/>
        <w:rPr>
          <w:rStyle w:val="QuickFormat3"/>
          <w:rFonts w:ascii="Times New Roman" w:hAnsi="Times New Roman"/>
          <w:sz w:val="22"/>
        </w:rPr>
      </w:pPr>
    </w:p>
    <w:p w14:paraId="0DF8460C" w14:textId="77777777" w:rsidR="00A43625" w:rsidRDefault="00A43625" w:rsidP="00C26972">
      <w:pPr>
        <w:ind w:left="1080" w:right="180" w:hanging="360"/>
        <w:rPr>
          <w:sz w:val="22"/>
        </w:rPr>
      </w:pPr>
      <w:r>
        <w:rPr>
          <w:sz w:val="22"/>
        </w:rPr>
        <w:t xml:space="preserve">(5) </w:t>
      </w:r>
      <w:r w:rsidR="00EF2A8F">
        <w:rPr>
          <w:sz w:val="22"/>
        </w:rPr>
        <w:t>A</w:t>
      </w:r>
      <w:r w:rsidR="00F934B2">
        <w:rPr>
          <w:sz w:val="22"/>
        </w:rPr>
        <w:t xml:space="preserve"> vehicle </w:t>
      </w:r>
      <w:r>
        <w:rPr>
          <w:sz w:val="22"/>
        </w:rPr>
        <w:t xml:space="preserve">which is a 2005 or 2006 </w:t>
      </w:r>
      <w:r w:rsidRPr="00105B82">
        <w:rPr>
          <w:sz w:val="22"/>
          <w:szCs w:val="22"/>
        </w:rPr>
        <w:t>and 2008 and subsequent model-year heavy-duty</w:t>
      </w:r>
      <w:r>
        <w:rPr>
          <w:sz w:val="22"/>
        </w:rPr>
        <w:t xml:space="preserve"> diesel</w:t>
      </w:r>
      <w:r w:rsidR="005C64E2">
        <w:rPr>
          <w:sz w:val="22"/>
        </w:rPr>
        <w:t xml:space="preserve"> </w:t>
      </w:r>
      <w:r w:rsidR="006F7AE9">
        <w:rPr>
          <w:sz w:val="22"/>
        </w:rPr>
        <w:t xml:space="preserve">as defined </w:t>
      </w:r>
      <w:r w:rsidR="00874DD7">
        <w:rPr>
          <w:sz w:val="22"/>
        </w:rPr>
        <w:t xml:space="preserve">under exempt vehicles </w:t>
      </w:r>
      <w:r w:rsidR="006F7AE9">
        <w:rPr>
          <w:sz w:val="22"/>
        </w:rPr>
        <w:t xml:space="preserve">in </w:t>
      </w:r>
      <w:r w:rsidR="00D51F00">
        <w:rPr>
          <w:sz w:val="22"/>
        </w:rPr>
        <w:t xml:space="preserve">Title 13, </w:t>
      </w:r>
      <w:r w:rsidR="00604DD5" w:rsidRPr="00604DD5">
        <w:rPr>
          <w:i/>
          <w:sz w:val="22"/>
        </w:rPr>
        <w:t>California Code of Regulations</w:t>
      </w:r>
      <w:r w:rsidR="006F7AE9">
        <w:rPr>
          <w:sz w:val="22"/>
        </w:rPr>
        <w:t>, Section 1956.8</w:t>
      </w:r>
      <w:r w:rsidR="00874DD7">
        <w:rPr>
          <w:sz w:val="22"/>
        </w:rPr>
        <w:t>(a)(6)(B)</w:t>
      </w:r>
      <w:r>
        <w:rPr>
          <w:sz w:val="22"/>
        </w:rPr>
        <w:t>;</w:t>
      </w:r>
    </w:p>
    <w:p w14:paraId="08A3ED8A" w14:textId="77777777" w:rsidR="00A43625" w:rsidRDefault="00A43625" w:rsidP="0029676C">
      <w:pPr>
        <w:ind w:left="1080" w:hanging="360"/>
        <w:rPr>
          <w:sz w:val="22"/>
        </w:rPr>
      </w:pPr>
    </w:p>
    <w:p w14:paraId="13DC7CEF" w14:textId="77777777" w:rsidR="00A43625" w:rsidRDefault="00A43625" w:rsidP="0029676C">
      <w:pPr>
        <w:ind w:left="1080" w:hanging="360"/>
        <w:rPr>
          <w:sz w:val="22"/>
        </w:rPr>
      </w:pPr>
      <w:r>
        <w:rPr>
          <w:sz w:val="22"/>
        </w:rPr>
        <w:t xml:space="preserve">(6) </w:t>
      </w:r>
      <w:r w:rsidR="001A72D1">
        <w:rPr>
          <w:sz w:val="22"/>
        </w:rPr>
        <w:t>A</w:t>
      </w:r>
      <w:r w:rsidR="00F934B2">
        <w:rPr>
          <w:sz w:val="22"/>
        </w:rPr>
        <w:t xml:space="preserve"> vehicle </w:t>
      </w:r>
      <w:r>
        <w:rPr>
          <w:sz w:val="22"/>
        </w:rPr>
        <w:t>with an engine that the California Air Resources Board determines, following a technology review, is inappropriate to require compliance for heavy-duty diesel engines of that particular model-year and engine family; or</w:t>
      </w:r>
    </w:p>
    <w:p w14:paraId="0CB1A057" w14:textId="77777777" w:rsidR="00A43625" w:rsidRDefault="00A43625" w:rsidP="0029676C">
      <w:pPr>
        <w:ind w:left="1080" w:hanging="360"/>
        <w:rPr>
          <w:sz w:val="22"/>
        </w:rPr>
      </w:pPr>
    </w:p>
    <w:p w14:paraId="1560CFF9" w14:textId="77777777" w:rsidR="00A43625" w:rsidRDefault="00A43625" w:rsidP="0029676C">
      <w:pPr>
        <w:ind w:left="1080" w:hanging="360"/>
        <w:rPr>
          <w:sz w:val="22"/>
        </w:rPr>
      </w:pPr>
      <w:r>
        <w:rPr>
          <w:sz w:val="22"/>
        </w:rPr>
        <w:t xml:space="preserve">(7) </w:t>
      </w:r>
      <w:r w:rsidR="00EF2A8F">
        <w:rPr>
          <w:sz w:val="22"/>
        </w:rPr>
        <w:t>A</w:t>
      </w:r>
      <w:r w:rsidR="00F934B2">
        <w:rPr>
          <w:sz w:val="22"/>
        </w:rPr>
        <w:t xml:space="preserve"> vehicle </w:t>
      </w:r>
      <w:r>
        <w:rPr>
          <w:sz w:val="22"/>
        </w:rPr>
        <w:t>which is a military tactical vehicle or equipment.</w:t>
      </w:r>
    </w:p>
    <w:p w14:paraId="3E1736EF" w14:textId="77777777" w:rsidR="00A43625" w:rsidRDefault="00A43625" w:rsidP="0029676C">
      <w:pPr>
        <w:ind w:left="1080" w:hanging="360"/>
        <w:rPr>
          <w:sz w:val="22"/>
        </w:rPr>
      </w:pPr>
    </w:p>
    <w:p w14:paraId="1BA34080" w14:textId="77777777" w:rsidR="00A43625" w:rsidRDefault="00747E11" w:rsidP="007B4FF0">
      <w:pPr>
        <w:pStyle w:val="RulesSection"/>
        <w:tabs>
          <w:tab w:val="left" w:pos="702"/>
        </w:tabs>
        <w:rPr>
          <w:b/>
        </w:rPr>
      </w:pPr>
      <w:r>
        <w:rPr>
          <w:b/>
        </w:rPr>
        <w:t>5.</w:t>
      </w:r>
      <w:r>
        <w:rPr>
          <w:b/>
        </w:rPr>
        <w:tab/>
        <w:t>Warranty</w:t>
      </w:r>
    </w:p>
    <w:p w14:paraId="60EE2186" w14:textId="77777777" w:rsidR="00A43625" w:rsidRDefault="00A43625" w:rsidP="0029676C">
      <w:pPr>
        <w:pStyle w:val="RulesSub-section"/>
        <w:jc w:val="left"/>
      </w:pPr>
    </w:p>
    <w:p w14:paraId="2A890645" w14:textId="77777777" w:rsidR="00A43625" w:rsidRDefault="00A43625" w:rsidP="0029676C">
      <w:pPr>
        <w:pStyle w:val="RulesSub-section"/>
        <w:ind w:left="360" w:firstLine="0"/>
        <w:jc w:val="left"/>
      </w:pPr>
      <w:r>
        <w:t>For all 2004 and subsequent model-year California-certified vehicles delivered for sale to Maine</w:t>
      </w:r>
      <w:r>
        <w:rPr>
          <w:i/>
        </w:rPr>
        <w:t>,</w:t>
      </w:r>
      <w:r>
        <w:t xml:space="preserve"> each manufacturer shall provide a warranty for the ultimate purchaser and each subsequent purchaser that complies with the requirements of Title 13, </w:t>
      </w:r>
      <w:r w:rsidR="00604DD5" w:rsidRPr="00604DD5">
        <w:rPr>
          <w:i/>
        </w:rPr>
        <w:t>California Code of Regulations</w:t>
      </w:r>
      <w:r w:rsidR="00811AD5">
        <w:t>,</w:t>
      </w:r>
      <w:r>
        <w:t xml:space="preserve"> Sections 2035 through 2040 and 2046.</w:t>
      </w:r>
    </w:p>
    <w:p w14:paraId="65C250D1" w14:textId="77777777" w:rsidR="00A43625" w:rsidRDefault="00A43625">
      <w:pPr>
        <w:rPr>
          <w:sz w:val="22"/>
        </w:rPr>
      </w:pPr>
    </w:p>
    <w:p w14:paraId="6AA35444" w14:textId="77777777" w:rsidR="00A43625" w:rsidRDefault="00747E11">
      <w:pPr>
        <w:pStyle w:val="RulesSection"/>
        <w:rPr>
          <w:b/>
        </w:rPr>
      </w:pPr>
      <w:r>
        <w:rPr>
          <w:b/>
        </w:rPr>
        <w:t>6.</w:t>
      </w:r>
      <w:r>
        <w:rPr>
          <w:b/>
        </w:rPr>
        <w:tab/>
        <w:t>Recall</w:t>
      </w:r>
    </w:p>
    <w:p w14:paraId="16E49597" w14:textId="77777777" w:rsidR="00A43625" w:rsidRDefault="00A43625">
      <w:pPr>
        <w:pStyle w:val="RulesSub-section"/>
      </w:pPr>
    </w:p>
    <w:p w14:paraId="5A4B7003" w14:textId="77777777" w:rsidR="00A43625" w:rsidRDefault="00A43625" w:rsidP="0029676C">
      <w:pPr>
        <w:pStyle w:val="RulesSub-section"/>
        <w:ind w:left="360" w:firstLine="0"/>
        <w:jc w:val="left"/>
      </w:pPr>
      <w:r>
        <w:t>For all 2001 and subsequent model-year California-certified vehicles registered in Maine, each manufacturer shall undertake an action equivalent to that which is required by any order or enforcement action taken by CARB, or any voluntary or influenced emission related recall</w:t>
      </w:r>
      <w:r>
        <w:rPr>
          <w:i/>
        </w:rPr>
        <w:t xml:space="preserve"> </w:t>
      </w:r>
      <w:r>
        <w:t>initiated by any manufacturer pursuant to</w:t>
      </w:r>
      <w:r>
        <w:rPr>
          <w:i/>
        </w:rPr>
        <w:t xml:space="preserve"> </w:t>
      </w:r>
      <w:r>
        <w:t xml:space="preserve">Title 13, </w:t>
      </w:r>
      <w:r w:rsidR="00604DD5" w:rsidRPr="00604DD5">
        <w:rPr>
          <w:i/>
        </w:rPr>
        <w:t>California Code of Regulations</w:t>
      </w:r>
      <w:r>
        <w:t xml:space="preserve"> Sections 2109 through 2133, and 2135 through 2149, unless within 10 days of CARB approval of said recall, the manufacturer demonstrates to the Department that such recall is not applicable to vehicles registered in Maine.</w:t>
      </w:r>
      <w:r w:rsidR="00355A4F">
        <w:t xml:space="preserve"> </w:t>
      </w:r>
      <w:r>
        <w:t xml:space="preserve">Each manufacturer must send to owners of Maine registered California-certified vehicles the same notice that is used for California owners required by Title 13, </w:t>
      </w:r>
      <w:r w:rsidR="00604DD5" w:rsidRPr="00604DD5">
        <w:rPr>
          <w:i/>
        </w:rPr>
        <w:t>California Code of Regulations</w:t>
      </w:r>
      <w:r>
        <w:t xml:space="preserve"> Sections 2118 or 2127.</w:t>
      </w:r>
    </w:p>
    <w:p w14:paraId="1B14F8BC"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0E970F61" w14:textId="77777777" w:rsidR="00A43625" w:rsidRDefault="00A43625">
      <w:pPr>
        <w:pStyle w:val="RulesSection"/>
        <w:rPr>
          <w:b/>
        </w:rPr>
      </w:pPr>
      <w:r>
        <w:rPr>
          <w:b/>
        </w:rPr>
        <w:t>7.</w:t>
      </w:r>
      <w:r>
        <w:rPr>
          <w:b/>
        </w:rPr>
        <w:tab/>
      </w:r>
      <w:r w:rsidR="00747E11">
        <w:rPr>
          <w:b/>
        </w:rPr>
        <w:t>Manufacturer Fleet Requirements</w:t>
      </w:r>
    </w:p>
    <w:p w14:paraId="5435AFDD"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2AA890E5" w14:textId="77777777" w:rsidR="00A43625" w:rsidRDefault="00A43625" w:rsidP="0029676C">
      <w:pPr>
        <w:pStyle w:val="RulesSub-section"/>
        <w:jc w:val="left"/>
      </w:pPr>
      <w:r w:rsidRPr="00A33539">
        <w:rPr>
          <w:b/>
        </w:rPr>
        <w:t>A.</w:t>
      </w:r>
      <w:r>
        <w:tab/>
        <w:t>Each manufacturer shall meet the following fleet requirements for the number of vehicles delivered for sale</w:t>
      </w:r>
      <w:r w:rsidR="008E3390">
        <w:t xml:space="preserve"> </w:t>
      </w:r>
      <w:r w:rsidR="0013551E" w:rsidRPr="008E3390">
        <w:t>or</w:t>
      </w:r>
      <w:r w:rsidR="0013551E">
        <w:t xml:space="preserve"> lease in</w:t>
      </w:r>
      <w:r>
        <w:t xml:space="preserve"> </w:t>
      </w:r>
      <w:smartTag w:uri="urn:schemas-microsoft-com:office:smarttags" w:element="State">
        <w:smartTag w:uri="urn:schemas-microsoft-com:office:smarttags" w:element="place">
          <w:r>
            <w:t>Maine</w:t>
          </w:r>
        </w:smartTag>
      </w:smartTag>
      <w:r>
        <w:t>.</w:t>
      </w:r>
    </w:p>
    <w:p w14:paraId="1FCB7257" w14:textId="77777777" w:rsidR="00A43625" w:rsidRDefault="00A43625" w:rsidP="0029676C">
      <w:pPr>
        <w:pStyle w:val="RulesSub-section"/>
        <w:jc w:val="left"/>
      </w:pPr>
    </w:p>
    <w:p w14:paraId="5AEE4294" w14:textId="77777777" w:rsidR="00A43625" w:rsidRDefault="00A43625" w:rsidP="0029676C">
      <w:pPr>
        <w:pStyle w:val="RulesSub-section"/>
        <w:ind w:left="1080"/>
        <w:jc w:val="left"/>
      </w:pPr>
      <w:r>
        <w:t xml:space="preserve">(1) Effective for </w:t>
      </w:r>
      <w:r>
        <w:rPr>
          <w:color w:val="000000"/>
        </w:rPr>
        <w:t xml:space="preserve">2004 and </w:t>
      </w:r>
      <w:r w:rsidR="00633351">
        <w:rPr>
          <w:color w:val="000000"/>
        </w:rPr>
        <w:t xml:space="preserve">through 2014 </w:t>
      </w:r>
      <w:r>
        <w:rPr>
          <w:color w:val="000000"/>
        </w:rPr>
        <w:t>model</w:t>
      </w:r>
      <w:r w:rsidR="00D51F00">
        <w:rPr>
          <w:color w:val="000000"/>
        </w:rPr>
        <w:t xml:space="preserve"> </w:t>
      </w:r>
      <w:r>
        <w:rPr>
          <w:color w:val="000000"/>
        </w:rPr>
        <w:t>years</w:t>
      </w:r>
      <w:r>
        <w:rPr>
          <w:i/>
        </w:rPr>
        <w:t>,</w:t>
      </w:r>
      <w:r>
        <w:t xml:space="preserve"> each manufacturer</w:t>
      </w:r>
      <w:r>
        <w:rPr>
          <w:i/>
        </w:rPr>
        <w:t xml:space="preserve"> </w:t>
      </w:r>
      <w:r>
        <w:t xml:space="preserve">shall comply with the fleet average </w:t>
      </w:r>
      <w:r w:rsidR="00633351">
        <w:t xml:space="preserve">NMOG </w:t>
      </w:r>
      <w:r>
        <w:t>emission requirements and</w:t>
      </w:r>
      <w:r w:rsidR="00633351">
        <w:t xml:space="preserve"> LEV II phase-in requirements for passenger cars and light-duty trucks and</w:t>
      </w:r>
      <w:r>
        <w:t xml:space="preserve">, for </w:t>
      </w:r>
      <w:r>
        <w:rPr>
          <w:color w:val="000000"/>
        </w:rPr>
        <w:t>2001 and subsequent model-years,</w:t>
      </w:r>
      <w:r>
        <w:t xml:space="preserve"> may earn and bank NMOG credits, both in accordance with Title 13, </w:t>
      </w:r>
      <w:r w:rsidR="00604DD5" w:rsidRPr="00604DD5">
        <w:rPr>
          <w:i/>
        </w:rPr>
        <w:t>California Code of Regulations</w:t>
      </w:r>
      <w:r>
        <w:t xml:space="preserve"> Section 1961, except NMOG credits earned prior to </w:t>
      </w:r>
      <w:r>
        <w:rPr>
          <w:color w:val="000000"/>
        </w:rPr>
        <w:t>model-year 2003</w:t>
      </w:r>
      <w:r>
        <w:t xml:space="preserve"> shall be treated as though they were earned in model-year 2003.</w:t>
      </w:r>
    </w:p>
    <w:p w14:paraId="017D12D8" w14:textId="77777777" w:rsidR="00A43625" w:rsidRDefault="00A43625" w:rsidP="0029676C">
      <w:pPr>
        <w:pStyle w:val="RulesSub-section"/>
        <w:jc w:val="left"/>
      </w:pPr>
    </w:p>
    <w:p w14:paraId="36488B3D" w14:textId="77777777" w:rsidR="00A43625" w:rsidRDefault="00A43625" w:rsidP="0029676C">
      <w:pPr>
        <w:pStyle w:val="RulesSub-section"/>
        <w:ind w:left="1080"/>
        <w:jc w:val="left"/>
      </w:pPr>
      <w:r>
        <w:t xml:space="preserve">(2) Effective for </w:t>
      </w:r>
      <w:r>
        <w:rPr>
          <w:color w:val="000000"/>
        </w:rPr>
        <w:t xml:space="preserve">2005 </w:t>
      </w:r>
      <w:r w:rsidR="00633351">
        <w:rPr>
          <w:color w:val="000000"/>
        </w:rPr>
        <w:t>through 2014</w:t>
      </w:r>
      <w:r>
        <w:rPr>
          <w:color w:val="000000"/>
        </w:rPr>
        <w:t xml:space="preserve"> model</w:t>
      </w:r>
      <w:r w:rsidR="00D51F00">
        <w:rPr>
          <w:color w:val="000000"/>
        </w:rPr>
        <w:t xml:space="preserve"> </w:t>
      </w:r>
      <w:r>
        <w:rPr>
          <w:color w:val="000000"/>
        </w:rPr>
        <w:t>years</w:t>
      </w:r>
      <w:r>
        <w:rPr>
          <w:i/>
        </w:rPr>
        <w:t>,</w:t>
      </w:r>
      <w:r>
        <w:t xml:space="preserve"> each manufacturer shall comply with the </w:t>
      </w:r>
      <w:r w:rsidR="00633351">
        <w:t xml:space="preserve">LEV II </w:t>
      </w:r>
      <w:r>
        <w:t xml:space="preserve">medium-duty vehicle phase-in requirements and, for </w:t>
      </w:r>
      <w:r>
        <w:rPr>
          <w:color w:val="000000"/>
        </w:rPr>
        <w:t xml:space="preserve">2003 </w:t>
      </w:r>
      <w:r w:rsidR="00072317">
        <w:rPr>
          <w:color w:val="000000"/>
        </w:rPr>
        <w:t xml:space="preserve">through 2014 </w:t>
      </w:r>
      <w:r>
        <w:rPr>
          <w:color w:val="000000"/>
        </w:rPr>
        <w:t>model-</w:t>
      </w:r>
      <w:r w:rsidR="00185328">
        <w:rPr>
          <w:color w:val="000000"/>
        </w:rPr>
        <w:t>years</w:t>
      </w:r>
      <w:r>
        <w:t xml:space="preserve"> may earn and bank VECs, both in accordance with Title 13, </w:t>
      </w:r>
      <w:r w:rsidR="00604DD5" w:rsidRPr="00604DD5">
        <w:rPr>
          <w:i/>
        </w:rPr>
        <w:t>California Code of Regulations</w:t>
      </w:r>
      <w:r>
        <w:t xml:space="preserve"> Section 1961, except VECs earned </w:t>
      </w:r>
      <w:r>
        <w:rPr>
          <w:color w:val="000000"/>
        </w:rPr>
        <w:t>prior to model-year 2005</w:t>
      </w:r>
      <w:r>
        <w:t xml:space="preserve"> shall be treated as though they were earned in model-year 2005.</w:t>
      </w:r>
    </w:p>
    <w:p w14:paraId="1812616E" w14:textId="77777777" w:rsidR="0025605A" w:rsidRDefault="0025605A" w:rsidP="0029676C">
      <w:pPr>
        <w:pStyle w:val="RulesSub-section"/>
        <w:ind w:left="1080"/>
        <w:jc w:val="left"/>
      </w:pPr>
    </w:p>
    <w:p w14:paraId="143075BB" w14:textId="77777777" w:rsidR="00A43625" w:rsidRDefault="0025605A" w:rsidP="0029676C">
      <w:pPr>
        <w:pStyle w:val="RulesSub-section"/>
        <w:ind w:left="1080"/>
        <w:jc w:val="left"/>
      </w:pPr>
      <w:r>
        <w:t>(3) Effectiv</w:t>
      </w:r>
      <w:r w:rsidR="00D51F00">
        <w:t xml:space="preserve">e for 2015 and subsequent model </w:t>
      </w:r>
      <w:r>
        <w:t>years</w:t>
      </w:r>
      <w:r w:rsidR="00305EA4">
        <w:t xml:space="preserve"> (or 2014, for manufacturers choosing early compliance with the fleet average requirements in Section 1961.2)</w:t>
      </w:r>
      <w:r w:rsidR="00D51F00">
        <w:t xml:space="preserve">, each manufacturer shall comply with the fleet average NMOG + NOx emission requirements and the LEV III phase-in requirements for passenger cars, light-duty trucks, and medium-duty vehicles, and may earn and bank NMOG + NOx credits or VECS as applicable, all in accordance with Title 13, </w:t>
      </w:r>
      <w:r w:rsidR="00604DD5" w:rsidRPr="00604DD5">
        <w:rPr>
          <w:i/>
        </w:rPr>
        <w:t>California Code of Regulations</w:t>
      </w:r>
      <w:r w:rsidR="00811AD5">
        <w:t>,</w:t>
      </w:r>
      <w:r w:rsidR="00D51F00">
        <w:t xml:space="preserve"> Section 1961.2.</w:t>
      </w:r>
    </w:p>
    <w:p w14:paraId="22214653" w14:textId="77777777" w:rsidR="00B05238" w:rsidRDefault="00B05238" w:rsidP="0029676C">
      <w:pPr>
        <w:pStyle w:val="RulesSub-section"/>
        <w:ind w:left="1080"/>
        <w:jc w:val="left"/>
      </w:pPr>
    </w:p>
    <w:p w14:paraId="7193AB40" w14:textId="77777777" w:rsidR="00A43625" w:rsidRDefault="007B4FF0" w:rsidP="0029676C">
      <w:pPr>
        <w:pStyle w:val="RulesSub-section"/>
        <w:ind w:left="1014" w:hanging="294"/>
        <w:jc w:val="left"/>
      </w:pPr>
      <w:r>
        <w:t>(</w:t>
      </w:r>
      <w:r w:rsidR="00B05238">
        <w:t>4</w:t>
      </w:r>
      <w:r>
        <w:t xml:space="preserve">) </w:t>
      </w:r>
      <w:r w:rsidR="0013551E">
        <w:t>Effective for</w:t>
      </w:r>
      <w:r w:rsidR="00A43625">
        <w:t xml:space="preserve"> the 2009 </w:t>
      </w:r>
      <w:r w:rsidR="00B05238">
        <w:t xml:space="preserve">through 2017 </w:t>
      </w:r>
      <w:r w:rsidR="00A43625">
        <w:t>model year</w:t>
      </w:r>
      <w:r w:rsidR="00B05238">
        <w:t>s</w:t>
      </w:r>
      <w:r w:rsidR="00A43625">
        <w:t xml:space="preserve">, each manufacturer’s sales fleet of passenger cars and light duty trucks produced and delivered for sale </w:t>
      </w:r>
      <w:r w:rsidR="0013551E">
        <w:t xml:space="preserve">or lease in </w:t>
      </w:r>
      <w:r w:rsidR="00A43625">
        <w:t xml:space="preserve">the State of Maine shall contain at least the same percentage of ZEVs subject to the requirements, including credit and banking provisions, set forth in the </w:t>
      </w:r>
      <w:r w:rsidR="00811AD5">
        <w:t xml:space="preserve">Title 13 </w:t>
      </w:r>
      <w:r w:rsidR="00604DD5" w:rsidRPr="00604DD5">
        <w:rPr>
          <w:i/>
        </w:rPr>
        <w:t>California Code of Regulations</w:t>
      </w:r>
      <w:r w:rsidR="00A43625">
        <w:t xml:space="preserve">, </w:t>
      </w:r>
      <w:r w:rsidR="00881BD4">
        <w:t xml:space="preserve">Section </w:t>
      </w:r>
      <w:r w:rsidR="00A43625">
        <w:t>1962</w:t>
      </w:r>
      <w:r w:rsidR="00A27394">
        <w:t>.1</w:t>
      </w:r>
      <w:r w:rsidR="00A43625">
        <w:t xml:space="preserve"> using Maine specific vehicle numbers.</w:t>
      </w:r>
    </w:p>
    <w:p w14:paraId="491DB2EE" w14:textId="77777777" w:rsidR="00B05238" w:rsidRDefault="00B05238" w:rsidP="0029676C">
      <w:pPr>
        <w:pStyle w:val="RulesSub-section"/>
        <w:ind w:left="1014" w:hanging="294"/>
        <w:jc w:val="left"/>
      </w:pPr>
    </w:p>
    <w:p w14:paraId="136637E5" w14:textId="77777777" w:rsidR="00B05238" w:rsidRDefault="00B05238" w:rsidP="00330C7C">
      <w:pPr>
        <w:pStyle w:val="RulesSub-section"/>
        <w:ind w:left="1014" w:firstLine="0"/>
        <w:jc w:val="left"/>
      </w:pPr>
      <w:r w:rsidRPr="00B05238">
        <w:t xml:space="preserve">Effective for 2018 and subsequent model years, each manufacturer shall comply with the California general percentage ZEV requirement based on the number of </w:t>
      </w:r>
      <w:r w:rsidR="00C4495B">
        <w:t>passenger cars and light-duty trucks</w:t>
      </w:r>
      <w:r w:rsidRPr="00B05238">
        <w:t xml:space="preserve"> to the extent required by Title 13</w:t>
      </w:r>
      <w:r>
        <w:t>,</w:t>
      </w:r>
      <w:r w:rsidRPr="00B05238">
        <w:t xml:space="preserve"> </w:t>
      </w:r>
      <w:r w:rsidR="00604DD5" w:rsidRPr="00604DD5">
        <w:rPr>
          <w:i/>
        </w:rPr>
        <w:t>California Code of Regulations</w:t>
      </w:r>
      <w:r>
        <w:t>, Section</w:t>
      </w:r>
      <w:r w:rsidRPr="00B05238">
        <w:t xml:space="preserve"> 1962.2(b), produced by the manufacturer and delivered for sale in </w:t>
      </w:r>
      <w:r>
        <w:t>Maine</w:t>
      </w:r>
      <w:r w:rsidRPr="00B05238">
        <w:t xml:space="preserve"> in accordance with the requirements and procedures in Title 13</w:t>
      </w:r>
      <w:r>
        <w:t>,</w:t>
      </w:r>
      <w:r w:rsidRPr="00B05238">
        <w:t xml:space="preserve"> </w:t>
      </w:r>
      <w:r w:rsidR="00604DD5" w:rsidRPr="00604DD5">
        <w:rPr>
          <w:i/>
        </w:rPr>
        <w:t>California Code of Regulations</w:t>
      </w:r>
      <w:r>
        <w:t>, Section</w:t>
      </w:r>
      <w:r w:rsidRPr="00B05238">
        <w:t xml:space="preserve"> 1962.2</w:t>
      </w:r>
      <w:r>
        <w:t>.</w:t>
      </w:r>
    </w:p>
    <w:p w14:paraId="537B0117" w14:textId="77777777" w:rsidR="00432113" w:rsidRDefault="00432113" w:rsidP="0029676C">
      <w:pPr>
        <w:pStyle w:val="RulesSub-section"/>
        <w:jc w:val="left"/>
      </w:pPr>
    </w:p>
    <w:p w14:paraId="30E5B256" w14:textId="77777777" w:rsidR="00162669" w:rsidRDefault="00FC56A8" w:rsidP="0029676C">
      <w:pPr>
        <w:pStyle w:val="RulesSub-section"/>
        <w:ind w:left="1014" w:hanging="312"/>
        <w:jc w:val="left"/>
      </w:pPr>
      <w:r>
        <w:t>(</w:t>
      </w:r>
      <w:r w:rsidR="00430CF0">
        <w:t>5</w:t>
      </w:r>
      <w:r>
        <w:t xml:space="preserve">) </w:t>
      </w:r>
      <w:r w:rsidR="00D45E98">
        <w:t>Manufacturers shall comply with fleet average greenhouse gas emission requirements as follows:</w:t>
      </w:r>
    </w:p>
    <w:p w14:paraId="76F7650E" w14:textId="77777777" w:rsidR="00907ABB" w:rsidRDefault="00907ABB" w:rsidP="0029676C">
      <w:pPr>
        <w:pStyle w:val="RulesSub-section"/>
        <w:ind w:left="0" w:firstLine="0"/>
        <w:jc w:val="left"/>
      </w:pPr>
    </w:p>
    <w:p w14:paraId="0BECC5CC" w14:textId="77777777" w:rsidR="00907ABB" w:rsidRDefault="001E3D25" w:rsidP="0029676C">
      <w:pPr>
        <w:pStyle w:val="RulesSub-section"/>
        <w:numPr>
          <w:ilvl w:val="0"/>
          <w:numId w:val="23"/>
        </w:numPr>
        <w:tabs>
          <w:tab w:val="clear" w:pos="1080"/>
        </w:tabs>
        <w:ind w:left="1404"/>
        <w:jc w:val="left"/>
      </w:pPr>
      <w:r>
        <w:rPr>
          <w:color w:val="000000"/>
        </w:rPr>
        <w:t xml:space="preserve">Effective for 2009 through 2016 model years, each manufacturer shall comply with the fleet average greenhouse gas emission levels from passenger cars, light-duty trucks and medium–duty passenger vehicles, including but not limited to the generation and use of credits, in accordance with Title 13, </w:t>
      </w:r>
      <w:r w:rsidR="00604DD5" w:rsidRPr="00604DD5">
        <w:rPr>
          <w:i/>
          <w:color w:val="000000"/>
        </w:rPr>
        <w:t>California Code of Regulations</w:t>
      </w:r>
      <w:r>
        <w:rPr>
          <w:color w:val="000000"/>
        </w:rPr>
        <w:t xml:space="preserve"> 1961.1</w:t>
      </w:r>
    </w:p>
    <w:p w14:paraId="156CD264" w14:textId="77777777" w:rsidR="00907ABB" w:rsidRDefault="00907ABB" w:rsidP="0029676C">
      <w:pPr>
        <w:pStyle w:val="RulesSub-section"/>
        <w:ind w:left="1044" w:firstLine="0"/>
        <w:jc w:val="left"/>
      </w:pPr>
    </w:p>
    <w:p w14:paraId="0AD01169" w14:textId="77777777" w:rsidR="00907ABB" w:rsidRDefault="001E3D25" w:rsidP="0029676C">
      <w:pPr>
        <w:pStyle w:val="RulesSub-section"/>
        <w:numPr>
          <w:ilvl w:val="0"/>
          <w:numId w:val="23"/>
        </w:numPr>
        <w:tabs>
          <w:tab w:val="clear" w:pos="1080"/>
        </w:tabs>
        <w:ind w:left="1404"/>
        <w:jc w:val="left"/>
      </w:pPr>
      <w:r>
        <w:rPr>
          <w:color w:val="000000"/>
        </w:rPr>
        <w:t>Effective for 2017 and subsequent model years, each manufacturer shall comply with the fleet average greenhouse gas emission levels based on the sales-weighted average of the calculated CO</w:t>
      </w:r>
      <w:r w:rsidRPr="00E71131">
        <w:rPr>
          <w:color w:val="000000"/>
          <w:vertAlign w:val="subscript"/>
        </w:rPr>
        <w:t>2</w:t>
      </w:r>
      <w:r>
        <w:rPr>
          <w:color w:val="000000"/>
        </w:rPr>
        <w:t xml:space="preserve"> exhaust mass emission target values for passenger cars, light-duty trucks and medium–duty passenger vehicles from each manufacturer, including but not limited to the generation and use of credits, in accordance with Title 13, </w:t>
      </w:r>
      <w:r w:rsidR="00604DD5" w:rsidRPr="00604DD5">
        <w:rPr>
          <w:i/>
          <w:color w:val="000000"/>
        </w:rPr>
        <w:t>California Code of Regulations</w:t>
      </w:r>
      <w:r>
        <w:rPr>
          <w:color w:val="000000"/>
        </w:rPr>
        <w:t>, Section 1961.3.</w:t>
      </w:r>
    </w:p>
    <w:p w14:paraId="6B389CC5" w14:textId="77777777" w:rsidR="00907ABB" w:rsidRDefault="00907ABB" w:rsidP="0029676C">
      <w:pPr>
        <w:pStyle w:val="RulesSub-section"/>
        <w:ind w:left="1044" w:firstLine="0"/>
        <w:jc w:val="left"/>
      </w:pPr>
    </w:p>
    <w:p w14:paraId="75E3112C" w14:textId="77777777" w:rsidR="00907ABB" w:rsidRDefault="00907ABB" w:rsidP="0029676C">
      <w:pPr>
        <w:pStyle w:val="RulesSub-section"/>
        <w:numPr>
          <w:ilvl w:val="0"/>
          <w:numId w:val="23"/>
        </w:numPr>
        <w:tabs>
          <w:tab w:val="clear" w:pos="1080"/>
        </w:tabs>
        <w:ind w:left="1404"/>
        <w:jc w:val="left"/>
      </w:pPr>
      <w:r>
        <w:t>Greenhouse gas credits and debits may be accrued and used based on each manufacturer’s sale of vehicles subject to the greenhouse gas provisions of this section in the State of M</w:t>
      </w:r>
      <w:r w:rsidR="00BB01A1">
        <w:t>a</w:t>
      </w:r>
      <w:r>
        <w:t xml:space="preserve">ine in accordance with the provisions set forth in </w:t>
      </w:r>
      <w:r w:rsidR="00B90055">
        <w:t xml:space="preserve">Title 13, </w:t>
      </w:r>
      <w:r>
        <w:t xml:space="preserve">California Code of Regulation, </w:t>
      </w:r>
      <w:r w:rsidR="00881BD4">
        <w:t xml:space="preserve">Section </w:t>
      </w:r>
      <w:r>
        <w:t>1961.1</w:t>
      </w:r>
      <w:r w:rsidR="00B90055">
        <w:t xml:space="preserve"> and 1961</w:t>
      </w:r>
      <w:r w:rsidR="00DC0A4B">
        <w:t>.3</w:t>
      </w:r>
      <w:r>
        <w:t>.</w:t>
      </w:r>
    </w:p>
    <w:p w14:paraId="2316BC7F" w14:textId="77777777" w:rsidR="00E6111A" w:rsidRPr="00E6111A" w:rsidRDefault="00E6111A" w:rsidP="0029676C">
      <w:pPr>
        <w:pStyle w:val="RulesSub-section"/>
        <w:ind w:left="0" w:firstLine="0"/>
        <w:jc w:val="left"/>
      </w:pPr>
    </w:p>
    <w:p w14:paraId="3A4A2330" w14:textId="77777777" w:rsidR="00A43625" w:rsidRDefault="00A43625">
      <w:pPr>
        <w:pStyle w:val="RulesSection"/>
        <w:rPr>
          <w:b/>
        </w:rPr>
      </w:pPr>
      <w:r>
        <w:rPr>
          <w:b/>
        </w:rPr>
        <w:t>8.</w:t>
      </w:r>
      <w:r>
        <w:rPr>
          <w:b/>
        </w:rPr>
        <w:tab/>
        <w:t>Manu</w:t>
      </w:r>
      <w:r w:rsidR="00747E11">
        <w:rPr>
          <w:b/>
        </w:rPr>
        <w:t>facturer Reporting Requirements</w:t>
      </w:r>
    </w:p>
    <w:p w14:paraId="4934B41D" w14:textId="77777777" w:rsidR="00A43625" w:rsidRDefault="00A43625">
      <w:pPr>
        <w:tabs>
          <w:tab w:val="left" w:pos="360"/>
          <w:tab w:val="left" w:pos="720"/>
          <w:tab w:val="left" w:pos="1080"/>
          <w:tab w:val="left" w:pos="1440"/>
          <w:tab w:val="left" w:pos="1800"/>
          <w:tab w:val="left" w:pos="2160"/>
        </w:tabs>
        <w:spacing w:line="240" w:lineRule="atLeast"/>
        <w:rPr>
          <w:sz w:val="22"/>
        </w:rPr>
      </w:pPr>
    </w:p>
    <w:p w14:paraId="05EEA7E9" w14:textId="77777777" w:rsidR="00A43625" w:rsidRDefault="00A43625" w:rsidP="0029676C">
      <w:pPr>
        <w:pStyle w:val="RulesSub-section"/>
        <w:numPr>
          <w:ilvl w:val="0"/>
          <w:numId w:val="2"/>
        </w:numPr>
        <w:jc w:val="left"/>
      </w:pPr>
      <w:r>
        <w:rPr>
          <w:b/>
        </w:rPr>
        <w:t>Delivery Reporting.</w:t>
      </w:r>
      <w:r w:rsidR="00355A4F">
        <w:t xml:space="preserve"> </w:t>
      </w:r>
      <w:r>
        <w:t>Commencing with the 2001 model-year for passenger cars and light-duty trucks and the 2003 model</w:t>
      </w:r>
      <w:r w:rsidR="00430CF0">
        <w:t xml:space="preserve"> </w:t>
      </w:r>
      <w:r>
        <w:t xml:space="preserve">year for medium-duty vehicles, each manufacturer shall submit annually, to the Department, by March 1 following the end of each model-year, a report, itemized by test group, documenting total new vehicles delivered for sale </w:t>
      </w:r>
      <w:r w:rsidR="0013551E">
        <w:t xml:space="preserve">or lease in </w:t>
      </w:r>
      <w:r>
        <w:t>Maine.</w:t>
      </w:r>
    </w:p>
    <w:p w14:paraId="2FAC5449" w14:textId="77777777" w:rsidR="00A43625" w:rsidRDefault="00A43625" w:rsidP="0029676C">
      <w:pPr>
        <w:pStyle w:val="RulesSub-section"/>
        <w:ind w:left="360" w:firstLine="0"/>
        <w:jc w:val="left"/>
      </w:pPr>
    </w:p>
    <w:p w14:paraId="012A48AB" w14:textId="77777777" w:rsidR="00A43625" w:rsidRDefault="00A43625">
      <w:pPr>
        <w:pStyle w:val="RulesSub-section"/>
        <w:numPr>
          <w:ilvl w:val="0"/>
          <w:numId w:val="2"/>
        </w:numPr>
        <w:rPr>
          <w:b/>
        </w:rPr>
      </w:pPr>
      <w:r>
        <w:rPr>
          <w:b/>
        </w:rPr>
        <w:t>Fleet Reporting</w:t>
      </w:r>
    </w:p>
    <w:p w14:paraId="4E327AEC" w14:textId="77777777" w:rsidR="00A43625" w:rsidRDefault="00A43625">
      <w:pPr>
        <w:pStyle w:val="RulesSub-section"/>
        <w:ind w:left="0" w:firstLine="0"/>
      </w:pPr>
    </w:p>
    <w:p w14:paraId="01A28F6C" w14:textId="77777777" w:rsidR="00355A4F" w:rsidRDefault="00A43625" w:rsidP="0029676C">
      <w:pPr>
        <w:pStyle w:val="RulesSub-section"/>
        <w:ind w:left="1080"/>
        <w:jc w:val="left"/>
      </w:pPr>
      <w:r>
        <w:t>(1)</w:t>
      </w:r>
      <w:r w:rsidR="00C26972">
        <w:tab/>
      </w:r>
      <w:r>
        <w:t xml:space="preserve">Each manufacturer shall submit annually to the Department, by March 1 </w:t>
      </w:r>
      <w:r w:rsidR="00B82BBF">
        <w:t xml:space="preserve">(or May 1 for GHG reporting) </w:t>
      </w:r>
      <w:r>
        <w:t>following the end of each model-year, a report that demonstrates that the manufacturer has met the fleet requirements of Section 7 in Maine.</w:t>
      </w:r>
    </w:p>
    <w:p w14:paraId="5464DF73" w14:textId="77777777" w:rsidR="00A43625" w:rsidRDefault="00A43625" w:rsidP="0029676C">
      <w:pPr>
        <w:pStyle w:val="RulesSub-section"/>
        <w:jc w:val="left"/>
      </w:pPr>
    </w:p>
    <w:p w14:paraId="3CDD27FA" w14:textId="77777777" w:rsidR="00355A4F" w:rsidRDefault="00A43625" w:rsidP="0029676C">
      <w:pPr>
        <w:pStyle w:val="RulesSub-section"/>
        <w:ind w:left="1080"/>
        <w:jc w:val="left"/>
      </w:pPr>
      <w:r>
        <w:t>(</w:t>
      </w:r>
      <w:r w:rsidR="00383AE1">
        <w:t>2</w:t>
      </w:r>
      <w:r>
        <w:t>)</w:t>
      </w:r>
      <w:r w:rsidR="00C26972">
        <w:tab/>
      </w:r>
      <w:r>
        <w:t>If a manufacturer wants to bank VECs</w:t>
      </w:r>
      <w:r w:rsidR="009A36C0">
        <w:t xml:space="preserve">, </w:t>
      </w:r>
      <w:r>
        <w:t>NMOG</w:t>
      </w:r>
      <w:r w:rsidR="000E0550">
        <w:t>, or NMOG + NOx</w:t>
      </w:r>
      <w:r>
        <w:t xml:space="preserve"> credits, the manufacturer shall submit annually, by March 1</w:t>
      </w:r>
      <w:r w:rsidR="00B82BBF">
        <w:t>or May 1 for GHG reporting,</w:t>
      </w:r>
      <w:r>
        <w:t xml:space="preserve"> following the end of the model-year, a report, which demonstrates that such manufacturer has earned VECs,</w:t>
      </w:r>
      <w:r w:rsidR="009A36C0">
        <w:t xml:space="preserve"> GHGs</w:t>
      </w:r>
      <w:r w:rsidR="000E0550">
        <w:t>,</w:t>
      </w:r>
      <w:r>
        <w:t xml:space="preserve"> NMOG</w:t>
      </w:r>
      <w:r w:rsidR="000E0550">
        <w:t>, or NMOG + NOx</w:t>
      </w:r>
      <w:r>
        <w:t xml:space="preserve"> credits in Maine.</w:t>
      </w:r>
      <w:r w:rsidR="005C64E2">
        <w:t xml:space="preserve"> </w:t>
      </w:r>
      <w:r w:rsidR="000E0550">
        <w:t>Credits are to be calculated in the same manner as required by CARB.</w:t>
      </w:r>
    </w:p>
    <w:p w14:paraId="0B538807" w14:textId="77777777" w:rsidR="00A43625" w:rsidRDefault="00A43625" w:rsidP="0029676C">
      <w:pPr>
        <w:pStyle w:val="RulesSub-section"/>
        <w:ind w:left="1080" w:firstLine="0"/>
        <w:jc w:val="left"/>
      </w:pPr>
    </w:p>
    <w:p w14:paraId="1E961EBB" w14:textId="77777777" w:rsidR="00A43625" w:rsidRDefault="00A43625" w:rsidP="00C26972">
      <w:pPr>
        <w:pStyle w:val="RulesSub-section"/>
        <w:ind w:left="1080" w:right="-90"/>
        <w:jc w:val="left"/>
      </w:pPr>
      <w:r>
        <w:t>(</w:t>
      </w:r>
      <w:r w:rsidR="00383AE1">
        <w:t>3</w:t>
      </w:r>
      <w:r>
        <w:t>)</w:t>
      </w:r>
      <w:r w:rsidR="00C26972">
        <w:tab/>
      </w:r>
      <w:r>
        <w:t xml:space="preserve">Each manufacturer shall submit a compliance report to the commissioner no later than </w:t>
      </w:r>
      <w:r w:rsidR="00982820">
        <w:t>May</w:t>
      </w:r>
      <w:r w:rsidR="00982820" w:rsidRPr="00982820">
        <w:t xml:space="preserve"> </w:t>
      </w:r>
      <w:r w:rsidRPr="00982820">
        <w:t>1</w:t>
      </w:r>
      <w:r w:rsidRPr="00982820">
        <w:rPr>
          <w:vertAlign w:val="superscript"/>
        </w:rPr>
        <w:t>st</w:t>
      </w:r>
      <w:r>
        <w:t xml:space="preserve"> following the completed model year demonstrating compliance with Sections 4(</w:t>
      </w:r>
      <w:r w:rsidR="00982820">
        <w:t>C</w:t>
      </w:r>
      <w:r>
        <w:t>) or 4(</w:t>
      </w:r>
      <w:r w:rsidR="00982820">
        <w:t>D</w:t>
      </w:r>
      <w:r>
        <w:t>).</w:t>
      </w:r>
      <w:r w:rsidR="00355A4F">
        <w:t xml:space="preserve"> </w:t>
      </w:r>
      <w:r>
        <w:t>The compliance report shall include vehicle sales organized by engine family and identify the number of Maine ZEV credits earned.</w:t>
      </w:r>
      <w:r w:rsidR="005C64E2">
        <w:t xml:space="preserve"> </w:t>
      </w:r>
      <w:r>
        <w:t>Such report may be amended based on late sales.</w:t>
      </w:r>
    </w:p>
    <w:p w14:paraId="0025A987" w14:textId="77777777" w:rsidR="00B204CB" w:rsidRDefault="00B204CB" w:rsidP="00120F4F">
      <w:pPr>
        <w:pStyle w:val="RulesSub-section"/>
        <w:ind w:left="1080"/>
      </w:pPr>
    </w:p>
    <w:p w14:paraId="3FE55F5C" w14:textId="77777777" w:rsidR="00A43625" w:rsidRDefault="00A43625">
      <w:pPr>
        <w:pStyle w:val="RulesSub-section"/>
        <w:rPr>
          <w:b/>
        </w:rPr>
      </w:pPr>
      <w:r w:rsidRPr="00A33539">
        <w:rPr>
          <w:b/>
        </w:rPr>
        <w:t>C</w:t>
      </w:r>
      <w:r w:rsidR="00747E11" w:rsidRPr="00A33539">
        <w:rPr>
          <w:b/>
        </w:rPr>
        <w:t>.</w:t>
      </w:r>
      <w:r w:rsidR="00747E11">
        <w:rPr>
          <w:b/>
        </w:rPr>
        <w:tab/>
        <w:t>Recall Reporting</w:t>
      </w:r>
    </w:p>
    <w:p w14:paraId="5D88128E" w14:textId="77777777" w:rsidR="00A43625" w:rsidRDefault="00A43625">
      <w:pPr>
        <w:pStyle w:val="RulesSub-section"/>
        <w:ind w:left="1080"/>
      </w:pPr>
    </w:p>
    <w:p w14:paraId="483CBA69" w14:textId="77777777" w:rsidR="00355A4F" w:rsidRDefault="00A43625" w:rsidP="0029676C">
      <w:pPr>
        <w:pStyle w:val="RulesSub-section"/>
        <w:ind w:left="1080"/>
        <w:jc w:val="left"/>
      </w:pPr>
      <w:r>
        <w:t>(1)</w:t>
      </w:r>
      <w:r w:rsidR="00C26972">
        <w:tab/>
      </w:r>
      <w:r>
        <w:t xml:space="preserve">Each manufacturer shall submit for 2001 and subsequent model-year vehicles, within 10 days of CARB approval, a copy of any CARB approved voluntary, influenced or ordered recall plan specified by Title 13, </w:t>
      </w:r>
      <w:r w:rsidR="00604DD5" w:rsidRPr="00604DD5">
        <w:rPr>
          <w:i/>
        </w:rPr>
        <w:t>California Code of Regulations</w:t>
      </w:r>
      <w:r>
        <w:t xml:space="preserve"> Sections 2114 and 2125, supplemented with the number of affected vehicles registered in Maine.</w:t>
      </w:r>
    </w:p>
    <w:p w14:paraId="5CC82C67" w14:textId="77777777" w:rsidR="00A43625" w:rsidRDefault="00A43625">
      <w:pPr>
        <w:pStyle w:val="RulesSub-section"/>
        <w:ind w:left="1080"/>
      </w:pPr>
    </w:p>
    <w:p w14:paraId="065C5898" w14:textId="77777777" w:rsidR="00355A4F" w:rsidRDefault="00A43625" w:rsidP="0029676C">
      <w:pPr>
        <w:pStyle w:val="RulesSub-section"/>
        <w:ind w:left="1080"/>
        <w:jc w:val="left"/>
      </w:pPr>
      <w:r>
        <w:t>(2)</w:t>
      </w:r>
      <w:r w:rsidR="00C26972">
        <w:tab/>
      </w:r>
      <w:r>
        <w:t xml:space="preserve">Each manufacturer shall submit recall campaign progress reports for vehicles registered in Maine, within the timelines of, and containing the information required by, Title 13, </w:t>
      </w:r>
      <w:r w:rsidR="00604DD5" w:rsidRPr="00604DD5">
        <w:rPr>
          <w:i/>
        </w:rPr>
        <w:t>California Code of Regulations</w:t>
      </w:r>
      <w:r>
        <w:t xml:space="preserve"> Sections 2119 and 2133.</w:t>
      </w:r>
      <w:r w:rsidR="00355A4F">
        <w:t xml:space="preserve"> </w:t>
      </w:r>
      <w:r>
        <w:t>Reports need not be submitted to the Department if the equivalent reports have been waived by CARB.</w:t>
      </w:r>
    </w:p>
    <w:p w14:paraId="1FBF6549" w14:textId="77777777" w:rsidR="00A43625" w:rsidRDefault="00A43625">
      <w:pPr>
        <w:pStyle w:val="RulesSub-section"/>
      </w:pPr>
    </w:p>
    <w:p w14:paraId="0C9D5F7D" w14:textId="77777777" w:rsidR="00355A4F" w:rsidRDefault="00A43625">
      <w:pPr>
        <w:pStyle w:val="RulesSub-section"/>
      </w:pPr>
      <w:r w:rsidRPr="00A33539">
        <w:rPr>
          <w:b/>
        </w:rPr>
        <w:t>D.</w:t>
      </w:r>
      <w:r>
        <w:rPr>
          <w:b/>
        </w:rPr>
        <w:tab/>
        <w:t>Documentation</w:t>
      </w:r>
    </w:p>
    <w:p w14:paraId="0C64FA35" w14:textId="77777777" w:rsidR="0047520E" w:rsidRDefault="0047520E" w:rsidP="0029676C">
      <w:pPr>
        <w:pStyle w:val="RulesSub-section"/>
        <w:jc w:val="left"/>
      </w:pPr>
    </w:p>
    <w:p w14:paraId="18DF74C9" w14:textId="77777777" w:rsidR="00A43625" w:rsidRDefault="00A43625" w:rsidP="0029676C">
      <w:pPr>
        <w:pStyle w:val="RulesSub-section"/>
        <w:ind w:firstLine="0"/>
        <w:jc w:val="left"/>
        <w:rPr>
          <w:b/>
        </w:rPr>
      </w:pPr>
      <w:r>
        <w:t>A manufacturer, a dealer or a transporter of new vehicles shall, upon request, provide to the Department any documentation, which the Department determines to be necessary for the effective administration and enforcement of this Chapter</w:t>
      </w:r>
      <w:r>
        <w:rPr>
          <w:b/>
        </w:rPr>
        <w:t>.</w:t>
      </w:r>
    </w:p>
    <w:p w14:paraId="4F8FF8F8" w14:textId="77777777" w:rsidR="00A43625" w:rsidRDefault="00A43625">
      <w:pPr>
        <w:pStyle w:val="RulesSub-section"/>
      </w:pPr>
    </w:p>
    <w:p w14:paraId="614F138A" w14:textId="77777777" w:rsidR="00A43625" w:rsidRDefault="00747E11">
      <w:pPr>
        <w:pStyle w:val="RulesSection"/>
        <w:rPr>
          <w:b/>
        </w:rPr>
      </w:pPr>
      <w:r>
        <w:rPr>
          <w:b/>
        </w:rPr>
        <w:t>9.</w:t>
      </w:r>
      <w:r>
        <w:rPr>
          <w:b/>
        </w:rPr>
        <w:tab/>
        <w:t>Regional Document Repository</w:t>
      </w:r>
    </w:p>
    <w:p w14:paraId="31AD7FFB" w14:textId="77777777" w:rsidR="00A43625" w:rsidRDefault="00A43625">
      <w:pPr>
        <w:pStyle w:val="RulesSub-section"/>
      </w:pPr>
    </w:p>
    <w:p w14:paraId="68139AC5" w14:textId="77777777" w:rsidR="00A43625" w:rsidRDefault="00A43625" w:rsidP="0029676C">
      <w:pPr>
        <w:pStyle w:val="RulesSub-section"/>
        <w:ind w:left="360" w:firstLine="0"/>
        <w:jc w:val="left"/>
      </w:pPr>
      <w:smartTag w:uri="urn:schemas-microsoft-com:office:smarttags" w:element="State">
        <w:smartTag w:uri="urn:schemas-microsoft-com:office:smarttags" w:element="place">
          <w:r>
            <w:t>Maine</w:t>
          </w:r>
        </w:smartTag>
      </w:smartTag>
      <w:r>
        <w:t xml:space="preserve"> may enter into an agreement with other states to establish a regional document repository.</w:t>
      </w:r>
    </w:p>
    <w:p w14:paraId="5325688F" w14:textId="77777777" w:rsidR="00A43625" w:rsidRDefault="00413B1D">
      <w:pPr>
        <w:pStyle w:val="RulesSub-section"/>
      </w:pPr>
      <w:r>
        <w:br w:type="page"/>
      </w:r>
    </w:p>
    <w:p w14:paraId="5D290C7D" w14:textId="77777777" w:rsidR="00A43625" w:rsidRDefault="00747E11">
      <w:pPr>
        <w:pStyle w:val="RulesSection"/>
        <w:rPr>
          <w:b/>
        </w:rPr>
      </w:pPr>
      <w:r>
        <w:rPr>
          <w:b/>
        </w:rPr>
        <w:t>10.</w:t>
      </w:r>
      <w:r>
        <w:rPr>
          <w:b/>
        </w:rPr>
        <w:tab/>
        <w:t>Dealer Inspection</w:t>
      </w:r>
    </w:p>
    <w:p w14:paraId="0AD10FC0" w14:textId="77777777" w:rsidR="00A43625" w:rsidRDefault="00A43625">
      <w:pPr>
        <w:pStyle w:val="RulesParagraph"/>
      </w:pPr>
    </w:p>
    <w:p w14:paraId="1155E14A" w14:textId="77777777" w:rsidR="00A43625" w:rsidRDefault="00A43625" w:rsidP="0029676C">
      <w:pPr>
        <w:pStyle w:val="RulesParagraph"/>
        <w:ind w:left="360" w:firstLine="0"/>
        <w:jc w:val="left"/>
      </w:pPr>
      <w:r>
        <w:t>The Department or its agents may conduct inspections on any premises owned, operated, used, leased, or rented by any dealer.</w:t>
      </w:r>
    </w:p>
    <w:p w14:paraId="26B091A0" w14:textId="77777777" w:rsidR="00CF2EC1" w:rsidRDefault="00CF2EC1" w:rsidP="0029676C">
      <w:pPr>
        <w:pStyle w:val="RulesParagraph"/>
        <w:ind w:left="360" w:firstLine="0"/>
        <w:jc w:val="left"/>
      </w:pPr>
    </w:p>
    <w:p w14:paraId="5ECF7460" w14:textId="77777777" w:rsidR="00A43625" w:rsidRPr="00597ECF" w:rsidRDefault="00CF2EC1" w:rsidP="00C26972">
      <w:pPr>
        <w:pStyle w:val="RulesSection"/>
        <w:ind w:right="630"/>
        <w:jc w:val="left"/>
      </w:pPr>
      <w:r w:rsidRPr="00597ECF">
        <w:rPr>
          <w:b/>
        </w:rPr>
        <w:t>11.</w:t>
      </w:r>
      <w:r w:rsidR="006A03CF" w:rsidRPr="00597ECF">
        <w:rPr>
          <w:b/>
        </w:rPr>
        <w:tab/>
      </w:r>
      <w:r w:rsidR="00392217" w:rsidRPr="00597ECF">
        <w:rPr>
          <w:b/>
        </w:rPr>
        <w:t>Add-On-Parts and Modified Parts.</w:t>
      </w:r>
      <w:r w:rsidR="005C64E2">
        <w:rPr>
          <w:b/>
        </w:rPr>
        <w:t xml:space="preserve"> </w:t>
      </w:r>
      <w:r w:rsidR="002D57A4" w:rsidRPr="00597ECF">
        <w:t xml:space="preserve">Title 13 </w:t>
      </w:r>
      <w:r w:rsidR="00604DD5" w:rsidRPr="00604DD5">
        <w:rPr>
          <w:i/>
        </w:rPr>
        <w:t>California Code of Regulations</w:t>
      </w:r>
      <w:r w:rsidR="00F01F0B" w:rsidRPr="00597ECF">
        <w:rPr>
          <w:b/>
        </w:rPr>
        <w:t xml:space="preserve">, </w:t>
      </w:r>
      <w:r w:rsidRPr="00597ECF">
        <w:t>Chapter 4, Article 2, Section 2222 Add-On-Parts and Modified Parts in Appendix A of this Chapter is effective June 1, 201</w:t>
      </w:r>
      <w:r w:rsidR="00AC5642">
        <w:t>8</w:t>
      </w:r>
      <w:r w:rsidRPr="00597ECF">
        <w:t>.</w:t>
      </w:r>
    </w:p>
    <w:p w14:paraId="57B06B21" w14:textId="77777777" w:rsidR="00CF2EC1" w:rsidRPr="00F61483" w:rsidRDefault="00CF2EC1" w:rsidP="006A03CF">
      <w:pPr>
        <w:pStyle w:val="RulesSection"/>
        <w:jc w:val="left"/>
        <w:rPr>
          <w:b/>
        </w:rPr>
      </w:pPr>
    </w:p>
    <w:p w14:paraId="260AAC2E" w14:textId="77777777" w:rsidR="00A43625" w:rsidRDefault="00CF2EC1">
      <w:pPr>
        <w:pStyle w:val="RulesSection"/>
        <w:rPr>
          <w:b/>
        </w:rPr>
      </w:pPr>
      <w:r w:rsidRPr="00597ECF">
        <w:rPr>
          <w:b/>
        </w:rPr>
        <w:t>12</w:t>
      </w:r>
      <w:r w:rsidR="00747E11" w:rsidRPr="00597ECF">
        <w:rPr>
          <w:b/>
        </w:rPr>
        <w:t>.</w:t>
      </w:r>
      <w:r w:rsidR="00747E11">
        <w:rPr>
          <w:b/>
        </w:rPr>
        <w:tab/>
        <w:t>Severability</w:t>
      </w:r>
    </w:p>
    <w:p w14:paraId="027C165D" w14:textId="77777777" w:rsidR="00A43625" w:rsidRDefault="00A43625">
      <w:pPr>
        <w:pStyle w:val="RulesSection"/>
        <w:ind w:left="0" w:firstLine="0"/>
      </w:pPr>
    </w:p>
    <w:p w14:paraId="6D72A35B" w14:textId="77777777" w:rsidR="00A43625" w:rsidRDefault="00A43625" w:rsidP="0029676C">
      <w:pPr>
        <w:pStyle w:val="RulesSection"/>
        <w:ind w:firstLine="0"/>
        <w:jc w:val="left"/>
      </w:pPr>
      <w:r>
        <w:t>Each Section of this Chapter shall be deemed severable, and in the event that any Section of this Chapter is held invalid, the remainder shall continue in full force and effect.</w:t>
      </w:r>
    </w:p>
    <w:p w14:paraId="61F1D564" w14:textId="77777777" w:rsidR="00A024CD" w:rsidRDefault="00A024CD" w:rsidP="00C26972">
      <w:pPr>
        <w:pStyle w:val="RulesSection"/>
        <w:pBdr>
          <w:bottom w:val="single" w:sz="4" w:space="1" w:color="auto"/>
        </w:pBdr>
        <w:ind w:left="0" w:firstLine="0"/>
        <w:jc w:val="left"/>
      </w:pPr>
    </w:p>
    <w:p w14:paraId="15944D80" w14:textId="77777777" w:rsidR="00A024CD" w:rsidRDefault="00A024CD" w:rsidP="0029676C">
      <w:pPr>
        <w:pStyle w:val="RulesSection"/>
        <w:ind w:firstLine="0"/>
        <w:jc w:val="left"/>
      </w:pPr>
    </w:p>
    <w:p w14:paraId="756DD7C0" w14:textId="77777777" w:rsidR="00C26972" w:rsidRDefault="00C26972" w:rsidP="0029676C">
      <w:pPr>
        <w:pStyle w:val="RulesSection"/>
        <w:ind w:firstLine="0"/>
        <w:jc w:val="left"/>
      </w:pPr>
    </w:p>
    <w:p w14:paraId="11FAE00E" w14:textId="77777777" w:rsidR="00290B56" w:rsidRDefault="00290B56" w:rsidP="00290B56">
      <w:pPr>
        <w:pStyle w:val="RulesAuthorityEffec"/>
      </w:pPr>
      <w:r>
        <w:t>AUTHORITY:</w:t>
      </w:r>
      <w:r>
        <w:tab/>
        <w:t>38 M.R.S.A., Sections 585, 585-A, 585-D</w:t>
      </w:r>
    </w:p>
    <w:p w14:paraId="607243F0" w14:textId="77777777" w:rsidR="00290B56" w:rsidRDefault="00290B56" w:rsidP="00290B56">
      <w:pPr>
        <w:pStyle w:val="RulesAuthorityEffec"/>
      </w:pPr>
      <w:r>
        <w:t>EFFECTIVE DATE:</w:t>
      </w:r>
      <w:r>
        <w:tab/>
        <w:t>February 17, 1993</w:t>
      </w:r>
    </w:p>
    <w:p w14:paraId="1AA539A3" w14:textId="77777777" w:rsidR="00290B56" w:rsidRDefault="00290B56" w:rsidP="00290B56">
      <w:pPr>
        <w:pStyle w:val="RulesAuthorityEffec"/>
      </w:pPr>
      <w:r>
        <w:tab/>
        <w:t xml:space="preserve">Amended: </w:t>
      </w:r>
      <w:smartTag w:uri="urn:schemas-microsoft-com:office:smarttags" w:element="date">
        <w:smartTagPr>
          <w:attr w:name="Month" w:val="3"/>
          <w:attr w:name="Day" w:val="30"/>
          <w:attr w:name="Year" w:val="1994"/>
        </w:smartTagPr>
        <w:r>
          <w:t>March 30, 1994</w:t>
        </w:r>
      </w:smartTag>
    </w:p>
    <w:p w14:paraId="4FA0E7D3" w14:textId="77777777" w:rsidR="00290B56" w:rsidRDefault="00290B56" w:rsidP="00290B56">
      <w:pPr>
        <w:tabs>
          <w:tab w:val="left" w:pos="4320"/>
        </w:tabs>
        <w:spacing w:line="240" w:lineRule="atLeast"/>
        <w:ind w:left="2160"/>
        <w:rPr>
          <w:sz w:val="22"/>
          <w:szCs w:val="22"/>
        </w:rPr>
      </w:pPr>
      <w:r>
        <w:rPr>
          <w:sz w:val="22"/>
          <w:szCs w:val="22"/>
        </w:rPr>
        <w:tab/>
        <w:t xml:space="preserve">Electronic Conversion: </w:t>
      </w:r>
      <w:smartTag w:uri="urn:schemas-microsoft-com:office:smarttags" w:element="date">
        <w:smartTagPr>
          <w:attr w:name="Month" w:val="5"/>
          <w:attr w:name="Day" w:val="8"/>
          <w:attr w:name="Year" w:val="1996"/>
        </w:smartTagPr>
        <w:r>
          <w:rPr>
            <w:sz w:val="22"/>
            <w:szCs w:val="22"/>
          </w:rPr>
          <w:t>May 8, 1996</w:t>
        </w:r>
      </w:smartTag>
    </w:p>
    <w:p w14:paraId="6AEA59AC" w14:textId="77777777" w:rsidR="00290B56" w:rsidRDefault="00290B56" w:rsidP="00290B56">
      <w:pPr>
        <w:tabs>
          <w:tab w:val="left" w:pos="4320"/>
        </w:tabs>
        <w:spacing w:line="240" w:lineRule="atLeast"/>
        <w:ind w:left="4320"/>
        <w:rPr>
          <w:sz w:val="22"/>
          <w:szCs w:val="22"/>
        </w:rPr>
      </w:pPr>
      <w:r>
        <w:rPr>
          <w:sz w:val="22"/>
          <w:szCs w:val="22"/>
        </w:rPr>
        <w:t xml:space="preserve">Amended: </w:t>
      </w:r>
      <w:smartTag w:uri="urn:schemas-microsoft-com:office:smarttags" w:element="date">
        <w:smartTagPr>
          <w:attr w:name="Month" w:val="12"/>
          <w:attr w:name="Day" w:val="31"/>
          <w:attr w:name="Year" w:val="2000"/>
        </w:smartTagPr>
        <w:r>
          <w:rPr>
            <w:sz w:val="22"/>
            <w:szCs w:val="22"/>
          </w:rPr>
          <w:t>December 31, 2000</w:t>
        </w:r>
      </w:smartTag>
    </w:p>
    <w:p w14:paraId="3B7F1B63" w14:textId="77777777" w:rsidR="00290B56" w:rsidRDefault="00290B56" w:rsidP="00290B56">
      <w:pPr>
        <w:tabs>
          <w:tab w:val="left" w:pos="4320"/>
        </w:tabs>
        <w:spacing w:line="240" w:lineRule="atLeast"/>
        <w:ind w:left="4320"/>
        <w:rPr>
          <w:sz w:val="22"/>
          <w:szCs w:val="22"/>
        </w:rPr>
      </w:pPr>
      <w:r>
        <w:rPr>
          <w:sz w:val="22"/>
          <w:szCs w:val="22"/>
        </w:rPr>
        <w:t xml:space="preserve">Amended: </w:t>
      </w:r>
      <w:smartTag w:uri="urn:schemas-microsoft-com:office:smarttags" w:element="date">
        <w:smartTagPr>
          <w:attr w:name="Month" w:val="12"/>
          <w:attr w:name="Day" w:val="22"/>
          <w:attr w:name="Year" w:val="2001"/>
        </w:smartTagPr>
        <w:r>
          <w:rPr>
            <w:sz w:val="22"/>
            <w:szCs w:val="22"/>
          </w:rPr>
          <w:t>December 22, 2001</w:t>
        </w:r>
      </w:smartTag>
    </w:p>
    <w:p w14:paraId="164A8134" w14:textId="77777777" w:rsidR="00290B56" w:rsidRDefault="00290B56" w:rsidP="00290B56">
      <w:pPr>
        <w:tabs>
          <w:tab w:val="left" w:pos="4320"/>
        </w:tabs>
        <w:spacing w:line="240" w:lineRule="atLeast"/>
        <w:ind w:left="4320"/>
        <w:rPr>
          <w:sz w:val="22"/>
          <w:szCs w:val="22"/>
        </w:rPr>
      </w:pPr>
      <w:r>
        <w:rPr>
          <w:sz w:val="22"/>
          <w:szCs w:val="22"/>
        </w:rPr>
        <w:t xml:space="preserve">Amended: </w:t>
      </w:r>
      <w:smartTag w:uri="urn:schemas-microsoft-com:office:smarttags" w:element="date">
        <w:smartTagPr>
          <w:attr w:name="Month" w:val="12"/>
          <w:attr w:name="Day" w:val="28"/>
          <w:attr w:name="Year" w:val="2004"/>
        </w:smartTagPr>
        <w:r>
          <w:rPr>
            <w:sz w:val="22"/>
            <w:szCs w:val="22"/>
          </w:rPr>
          <w:t>December 28, 2004</w:t>
        </w:r>
      </w:smartTag>
      <w:r w:rsidR="00872176">
        <w:rPr>
          <w:sz w:val="22"/>
          <w:szCs w:val="22"/>
        </w:rPr>
        <w:t>, filing 2004-598</w:t>
      </w:r>
      <w:r w:rsidR="00872176">
        <w:rPr>
          <w:sz w:val="22"/>
          <w:szCs w:val="22"/>
        </w:rPr>
        <w:cr/>
        <w:t>Amended</w:t>
      </w:r>
      <w:r>
        <w:rPr>
          <w:sz w:val="22"/>
          <w:szCs w:val="22"/>
        </w:rPr>
        <w:t>: September 4, 2005, filing 2005-318</w:t>
      </w:r>
    </w:p>
    <w:p w14:paraId="434B725F" w14:textId="77777777" w:rsidR="00290B56" w:rsidRDefault="00290B56" w:rsidP="00290B56">
      <w:pPr>
        <w:tabs>
          <w:tab w:val="left" w:pos="4320"/>
        </w:tabs>
        <w:spacing w:line="240" w:lineRule="atLeast"/>
        <w:ind w:left="4320"/>
        <w:rPr>
          <w:sz w:val="22"/>
          <w:szCs w:val="22"/>
        </w:rPr>
      </w:pPr>
      <w:r>
        <w:rPr>
          <w:sz w:val="22"/>
          <w:szCs w:val="22"/>
        </w:rPr>
        <w:t xml:space="preserve">Amended: </w:t>
      </w:r>
      <w:smartTag w:uri="urn:schemas-microsoft-com:office:smarttags" w:element="date">
        <w:smartTagPr>
          <w:attr w:name="Month" w:val="12"/>
          <w:attr w:name="Day" w:val="19"/>
          <w:attr w:name="Year" w:val="2005"/>
        </w:smartTagPr>
        <w:r>
          <w:rPr>
            <w:sz w:val="22"/>
            <w:szCs w:val="22"/>
          </w:rPr>
          <w:t>December 19, 2005</w:t>
        </w:r>
      </w:smartTag>
      <w:r>
        <w:rPr>
          <w:sz w:val="22"/>
          <w:szCs w:val="22"/>
        </w:rPr>
        <w:t>, filing 2005-498</w:t>
      </w:r>
    </w:p>
    <w:p w14:paraId="406F6F1E" w14:textId="77777777" w:rsidR="00290B56" w:rsidRDefault="00290B56" w:rsidP="00290B56">
      <w:pPr>
        <w:tabs>
          <w:tab w:val="left" w:pos="4320"/>
        </w:tabs>
        <w:spacing w:line="240" w:lineRule="atLeast"/>
        <w:ind w:left="4320"/>
        <w:rPr>
          <w:sz w:val="22"/>
          <w:szCs w:val="22"/>
        </w:rPr>
      </w:pPr>
      <w:r>
        <w:rPr>
          <w:sz w:val="22"/>
          <w:szCs w:val="22"/>
        </w:rPr>
        <w:t xml:space="preserve">Amended: </w:t>
      </w:r>
      <w:smartTag w:uri="urn:schemas-microsoft-com:office:smarttags" w:element="date">
        <w:smartTagPr>
          <w:attr w:name="Month" w:val="5"/>
          <w:attr w:name="Day" w:val="20"/>
          <w:attr w:name="Year" w:val="2009"/>
        </w:smartTagPr>
        <w:r>
          <w:rPr>
            <w:sz w:val="22"/>
            <w:szCs w:val="22"/>
          </w:rPr>
          <w:t>May 20, 2009</w:t>
        </w:r>
      </w:smartTag>
      <w:r>
        <w:rPr>
          <w:sz w:val="22"/>
          <w:szCs w:val="22"/>
        </w:rPr>
        <w:t>, filing 2009-195</w:t>
      </w:r>
    </w:p>
    <w:p w14:paraId="0E06AC1E" w14:textId="77777777" w:rsidR="00290B56" w:rsidRDefault="00290B56" w:rsidP="00290B56">
      <w:pPr>
        <w:tabs>
          <w:tab w:val="left" w:pos="4320"/>
        </w:tabs>
        <w:spacing w:line="240" w:lineRule="atLeast"/>
        <w:ind w:left="4320"/>
        <w:rPr>
          <w:sz w:val="22"/>
          <w:szCs w:val="22"/>
        </w:rPr>
      </w:pPr>
      <w:r>
        <w:rPr>
          <w:sz w:val="22"/>
          <w:szCs w:val="22"/>
        </w:rPr>
        <w:t>Amended: July 29, 2012, filing 2012-209</w:t>
      </w:r>
    </w:p>
    <w:p w14:paraId="3105A2B0" w14:textId="77777777" w:rsidR="00290B56" w:rsidRDefault="00290B56" w:rsidP="00290B56">
      <w:pPr>
        <w:tabs>
          <w:tab w:val="left" w:pos="4320"/>
        </w:tabs>
        <w:spacing w:line="240" w:lineRule="atLeast"/>
        <w:ind w:left="4320"/>
        <w:rPr>
          <w:sz w:val="22"/>
          <w:szCs w:val="22"/>
        </w:rPr>
      </w:pPr>
      <w:r>
        <w:rPr>
          <w:sz w:val="22"/>
          <w:szCs w:val="22"/>
        </w:rPr>
        <w:t>Amended: December 12, 2012 – filing 2012-340</w:t>
      </w:r>
    </w:p>
    <w:p w14:paraId="403EFEB9" w14:textId="77777777" w:rsidR="00290B56" w:rsidRDefault="00290B56" w:rsidP="00290B56">
      <w:pPr>
        <w:tabs>
          <w:tab w:val="left" w:pos="4320"/>
        </w:tabs>
        <w:spacing w:line="240" w:lineRule="atLeast"/>
        <w:ind w:left="4320"/>
        <w:rPr>
          <w:sz w:val="22"/>
          <w:szCs w:val="22"/>
        </w:rPr>
      </w:pPr>
      <w:r>
        <w:rPr>
          <w:sz w:val="22"/>
          <w:szCs w:val="22"/>
        </w:rPr>
        <w:t>Amended: September 3, 2013 – filing 2013-214</w:t>
      </w:r>
    </w:p>
    <w:p w14:paraId="4BBECF4E" w14:textId="77777777" w:rsidR="00AC5642" w:rsidRDefault="00AC5642" w:rsidP="00290B56">
      <w:pPr>
        <w:tabs>
          <w:tab w:val="left" w:pos="4320"/>
        </w:tabs>
        <w:spacing w:line="240" w:lineRule="atLeast"/>
        <w:ind w:left="4320"/>
        <w:rPr>
          <w:sz w:val="22"/>
          <w:szCs w:val="22"/>
        </w:rPr>
      </w:pPr>
      <w:r>
        <w:rPr>
          <w:sz w:val="22"/>
          <w:szCs w:val="22"/>
        </w:rPr>
        <w:t>Amended: May 19, 2015 – filing 2015-093</w:t>
      </w:r>
    </w:p>
    <w:p w14:paraId="7223C3D7" w14:textId="77777777" w:rsidR="00AC5642" w:rsidRDefault="00AC5642" w:rsidP="00290B56">
      <w:pPr>
        <w:tabs>
          <w:tab w:val="left" w:pos="4320"/>
        </w:tabs>
        <w:spacing w:line="240" w:lineRule="atLeast"/>
        <w:ind w:left="4320"/>
        <w:rPr>
          <w:sz w:val="22"/>
          <w:szCs w:val="22"/>
        </w:rPr>
      </w:pPr>
    </w:p>
    <w:p w14:paraId="4FCC7308" w14:textId="7E64E441" w:rsidR="00574F21" w:rsidRDefault="00574F21" w:rsidP="00290B56">
      <w:pPr>
        <w:tabs>
          <w:tab w:val="left" w:pos="4320"/>
        </w:tabs>
        <w:spacing w:line="240" w:lineRule="atLeast"/>
        <w:ind w:left="4320"/>
        <w:rPr>
          <w:sz w:val="22"/>
          <w:szCs w:val="22"/>
        </w:rPr>
      </w:pPr>
      <w:r>
        <w:rPr>
          <w:sz w:val="22"/>
          <w:szCs w:val="22"/>
        </w:rPr>
        <w:t>APAO WORD VERSION CONVERSION (IF NEEDED) AND ACCESSIBILITY CHECK: July 15, 2025</w:t>
      </w:r>
    </w:p>
    <w:p w14:paraId="611D0D82" w14:textId="77777777" w:rsidR="00494FFA" w:rsidRDefault="0040673B" w:rsidP="0040673B">
      <w:pPr>
        <w:pStyle w:val="RulesBasisStatement"/>
        <w:ind w:left="2184"/>
        <w:jc w:val="left"/>
      </w:pPr>
      <w:r>
        <w:t>___________________________________________________________</w:t>
      </w:r>
    </w:p>
    <w:p w14:paraId="329C1E8D" w14:textId="77777777" w:rsidR="00A43625" w:rsidRDefault="00A43625">
      <w:pPr>
        <w:jc w:val="center"/>
        <w:rPr>
          <w:b/>
          <w:sz w:val="24"/>
        </w:rPr>
      </w:pPr>
      <w:r>
        <w:br w:type="page"/>
      </w:r>
      <w:r>
        <w:rPr>
          <w:b/>
          <w:sz w:val="24"/>
        </w:rPr>
        <w:t>Appendix A</w:t>
      </w:r>
    </w:p>
    <w:p w14:paraId="2A4CD766" w14:textId="77777777" w:rsidR="00A43625" w:rsidRDefault="00A43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0F0252A" w14:textId="77777777" w:rsidR="00083D88" w:rsidRDefault="0008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bl>
      <w:tblPr>
        <w:tblW w:w="8189" w:type="dxa"/>
        <w:tblInd w:w="12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800"/>
        <w:gridCol w:w="4856"/>
        <w:gridCol w:w="1533"/>
      </w:tblGrid>
      <w:tr w:rsidR="00A43625" w14:paraId="092B39C3" w14:textId="77777777" w:rsidTr="006E6368">
        <w:tc>
          <w:tcPr>
            <w:tcW w:w="1800" w:type="dxa"/>
            <w:tcBorders>
              <w:top w:val="double" w:sz="4" w:space="0" w:color="auto"/>
              <w:bottom w:val="single" w:sz="4" w:space="0" w:color="auto"/>
              <w:right w:val="single" w:sz="6" w:space="0" w:color="auto"/>
            </w:tcBorders>
            <w:vAlign w:val="center"/>
          </w:tcPr>
          <w:p w14:paraId="77CEB68A" w14:textId="77777777" w:rsidR="00A43625" w:rsidRPr="004405F7" w:rsidRDefault="00A43625" w:rsidP="00183A83">
            <w:pPr>
              <w:pStyle w:val="Heading1"/>
              <w:jc w:val="center"/>
              <w:rPr>
                <w:rFonts w:ascii="Times New Roman" w:hAnsi="Times New Roman"/>
                <w:b/>
                <w:sz w:val="22"/>
              </w:rPr>
            </w:pPr>
            <w:r w:rsidRPr="004405F7">
              <w:rPr>
                <w:rFonts w:ascii="Times New Roman" w:hAnsi="Times New Roman"/>
                <w:b/>
                <w:sz w:val="22"/>
              </w:rPr>
              <w:t>Title 13 CCR</w:t>
            </w:r>
          </w:p>
        </w:tc>
        <w:tc>
          <w:tcPr>
            <w:tcW w:w="4856" w:type="dxa"/>
            <w:tcBorders>
              <w:top w:val="double" w:sz="4" w:space="0" w:color="auto"/>
              <w:left w:val="single" w:sz="6" w:space="0" w:color="auto"/>
              <w:bottom w:val="single" w:sz="4" w:space="0" w:color="auto"/>
              <w:right w:val="single" w:sz="6" w:space="0" w:color="auto"/>
            </w:tcBorders>
            <w:vAlign w:val="center"/>
          </w:tcPr>
          <w:p w14:paraId="503DB6C1" w14:textId="77777777" w:rsidR="00A43625" w:rsidRPr="004405F7" w:rsidRDefault="00A43625" w:rsidP="00183A83">
            <w:pPr>
              <w:pStyle w:val="Heading2"/>
              <w:rPr>
                <w:rFonts w:ascii="Times New Roman" w:hAnsi="Times New Roman"/>
                <w:b/>
                <w:sz w:val="22"/>
              </w:rPr>
            </w:pPr>
            <w:r w:rsidRPr="004405F7">
              <w:rPr>
                <w:rFonts w:ascii="Times New Roman" w:hAnsi="Times New Roman"/>
                <w:b/>
                <w:sz w:val="22"/>
              </w:rPr>
              <w:t>Title</w:t>
            </w:r>
          </w:p>
        </w:tc>
        <w:tc>
          <w:tcPr>
            <w:tcW w:w="1533" w:type="dxa"/>
            <w:tcBorders>
              <w:top w:val="double" w:sz="4" w:space="0" w:color="auto"/>
              <w:left w:val="single" w:sz="6" w:space="0" w:color="auto"/>
              <w:bottom w:val="single" w:sz="4" w:space="0" w:color="auto"/>
            </w:tcBorders>
          </w:tcPr>
          <w:p w14:paraId="6A98F63C" w14:textId="77777777" w:rsidR="00A43625" w:rsidRPr="004405F7" w:rsidRDefault="00A43625" w:rsidP="00083D88">
            <w:pPr>
              <w:pStyle w:val="Heading2"/>
              <w:rPr>
                <w:rFonts w:ascii="Times New Roman" w:hAnsi="Times New Roman"/>
                <w:b/>
                <w:sz w:val="22"/>
                <w:szCs w:val="22"/>
              </w:rPr>
            </w:pPr>
            <w:r w:rsidRPr="004405F7">
              <w:rPr>
                <w:rFonts w:ascii="Times New Roman" w:hAnsi="Times New Roman"/>
                <w:b/>
                <w:sz w:val="22"/>
                <w:szCs w:val="22"/>
              </w:rPr>
              <w:t xml:space="preserve">Section </w:t>
            </w:r>
            <w:r w:rsidR="00416A12" w:rsidRPr="004405F7">
              <w:rPr>
                <w:rFonts w:ascii="Times New Roman" w:hAnsi="Times New Roman"/>
                <w:b/>
                <w:sz w:val="22"/>
                <w:szCs w:val="22"/>
              </w:rPr>
              <w:t xml:space="preserve">Effective </w:t>
            </w:r>
            <w:r w:rsidRPr="004405F7">
              <w:rPr>
                <w:rFonts w:ascii="Times New Roman" w:hAnsi="Times New Roman"/>
                <w:b/>
                <w:sz w:val="22"/>
                <w:szCs w:val="22"/>
              </w:rPr>
              <w:t>Date</w:t>
            </w:r>
          </w:p>
        </w:tc>
      </w:tr>
      <w:tr w:rsidR="00A43625" w14:paraId="399DF311" w14:textId="77777777" w:rsidTr="006E6368">
        <w:tc>
          <w:tcPr>
            <w:tcW w:w="1800" w:type="dxa"/>
            <w:tcBorders>
              <w:top w:val="single" w:sz="4" w:space="0" w:color="auto"/>
              <w:bottom w:val="single" w:sz="4" w:space="0" w:color="auto"/>
              <w:right w:val="single" w:sz="4" w:space="0" w:color="auto"/>
            </w:tcBorders>
          </w:tcPr>
          <w:p w14:paraId="5A5398C6" w14:textId="77777777" w:rsidR="00A43625" w:rsidRDefault="00A43625" w:rsidP="00416A12">
            <w:pPr>
              <w:pStyle w:val="Heading1"/>
              <w:jc w:val="center"/>
              <w:rPr>
                <w:rFonts w:ascii="Times New Roman" w:hAnsi="Times New Roman"/>
                <w:sz w:val="22"/>
              </w:rPr>
            </w:pPr>
            <w:r>
              <w:rPr>
                <w:rFonts w:ascii="Times New Roman" w:hAnsi="Times New Roman"/>
                <w:sz w:val="22"/>
              </w:rPr>
              <w:t>Chapter 1</w:t>
            </w:r>
          </w:p>
        </w:tc>
        <w:tc>
          <w:tcPr>
            <w:tcW w:w="4856" w:type="dxa"/>
            <w:tcBorders>
              <w:top w:val="single" w:sz="4" w:space="0" w:color="auto"/>
              <w:left w:val="single" w:sz="4" w:space="0" w:color="auto"/>
              <w:bottom w:val="single" w:sz="4" w:space="0" w:color="auto"/>
              <w:right w:val="single" w:sz="4" w:space="0" w:color="auto"/>
            </w:tcBorders>
          </w:tcPr>
          <w:p w14:paraId="5418C0D7" w14:textId="77777777" w:rsidR="00A43625" w:rsidRDefault="00A43625">
            <w:pPr>
              <w:pStyle w:val="Heading2"/>
              <w:jc w:val="left"/>
              <w:rPr>
                <w:rFonts w:ascii="Times New Roman" w:hAnsi="Times New Roman"/>
                <w:sz w:val="22"/>
              </w:rPr>
            </w:pPr>
            <w:r>
              <w:rPr>
                <w:rFonts w:ascii="Times New Roman" w:hAnsi="Times New Roman"/>
                <w:sz w:val="22"/>
              </w:rPr>
              <w:t xml:space="preserve">Motor Vehicle Pollution Control Devices. </w:t>
            </w:r>
          </w:p>
        </w:tc>
        <w:tc>
          <w:tcPr>
            <w:tcW w:w="1533" w:type="dxa"/>
            <w:tcBorders>
              <w:top w:val="single" w:sz="4" w:space="0" w:color="auto"/>
              <w:left w:val="single" w:sz="4" w:space="0" w:color="auto"/>
              <w:bottom w:val="single" w:sz="4" w:space="0" w:color="auto"/>
            </w:tcBorders>
          </w:tcPr>
          <w:p w14:paraId="54AADAEF" w14:textId="77777777" w:rsidR="00A43625" w:rsidRPr="00083D88" w:rsidRDefault="00A43625" w:rsidP="00083D88">
            <w:pPr>
              <w:pStyle w:val="Heading2"/>
              <w:rPr>
                <w:rFonts w:ascii="Times New Roman" w:hAnsi="Times New Roman"/>
                <w:sz w:val="22"/>
                <w:szCs w:val="22"/>
              </w:rPr>
            </w:pPr>
          </w:p>
        </w:tc>
      </w:tr>
      <w:tr w:rsidR="00A43625" w14:paraId="461966D1" w14:textId="77777777" w:rsidTr="006E6368">
        <w:tc>
          <w:tcPr>
            <w:tcW w:w="1800" w:type="dxa"/>
            <w:tcBorders>
              <w:top w:val="single" w:sz="4" w:space="0" w:color="auto"/>
              <w:bottom w:val="single" w:sz="4" w:space="0" w:color="auto"/>
              <w:right w:val="single" w:sz="4" w:space="0" w:color="auto"/>
            </w:tcBorders>
          </w:tcPr>
          <w:p w14:paraId="7B82B0C2" w14:textId="77777777" w:rsidR="00A43625" w:rsidRDefault="00A43625">
            <w:pPr>
              <w:pStyle w:val="Heading1"/>
              <w:jc w:val="center"/>
              <w:rPr>
                <w:rFonts w:ascii="Times New Roman" w:hAnsi="Times New Roman"/>
                <w:sz w:val="22"/>
              </w:rPr>
            </w:pPr>
            <w:r>
              <w:rPr>
                <w:rFonts w:ascii="Times New Roman" w:hAnsi="Times New Roman"/>
                <w:sz w:val="22"/>
              </w:rPr>
              <w:t>Article 1</w:t>
            </w:r>
          </w:p>
        </w:tc>
        <w:tc>
          <w:tcPr>
            <w:tcW w:w="4856" w:type="dxa"/>
            <w:tcBorders>
              <w:top w:val="single" w:sz="4" w:space="0" w:color="auto"/>
              <w:left w:val="single" w:sz="4" w:space="0" w:color="auto"/>
              <w:bottom w:val="single" w:sz="4" w:space="0" w:color="auto"/>
              <w:right w:val="single" w:sz="4" w:space="0" w:color="auto"/>
            </w:tcBorders>
          </w:tcPr>
          <w:p w14:paraId="5FC3FDA8" w14:textId="77777777" w:rsidR="00A43625" w:rsidRDefault="00A43625">
            <w:pPr>
              <w:pStyle w:val="Heading2"/>
              <w:jc w:val="left"/>
              <w:rPr>
                <w:rFonts w:ascii="Times New Roman" w:hAnsi="Times New Roman"/>
                <w:sz w:val="22"/>
              </w:rPr>
            </w:pPr>
            <w:r>
              <w:rPr>
                <w:rFonts w:ascii="Times New Roman" w:hAnsi="Times New Roman"/>
                <w:sz w:val="22"/>
              </w:rPr>
              <w:t xml:space="preserve">General Provisions. </w:t>
            </w:r>
          </w:p>
        </w:tc>
        <w:tc>
          <w:tcPr>
            <w:tcW w:w="1533" w:type="dxa"/>
            <w:tcBorders>
              <w:top w:val="single" w:sz="4" w:space="0" w:color="auto"/>
              <w:left w:val="single" w:sz="4" w:space="0" w:color="auto"/>
              <w:bottom w:val="single" w:sz="4" w:space="0" w:color="auto"/>
            </w:tcBorders>
          </w:tcPr>
          <w:p w14:paraId="7CE7078B" w14:textId="77777777" w:rsidR="00A43625" w:rsidRPr="00083D88" w:rsidRDefault="00A43625" w:rsidP="00083D88">
            <w:pPr>
              <w:pStyle w:val="Heading2"/>
              <w:rPr>
                <w:rFonts w:ascii="Times New Roman" w:hAnsi="Times New Roman"/>
                <w:sz w:val="22"/>
                <w:szCs w:val="22"/>
              </w:rPr>
            </w:pPr>
          </w:p>
        </w:tc>
      </w:tr>
      <w:tr w:rsidR="00A43625" w14:paraId="4F026470" w14:textId="77777777" w:rsidTr="006E6368">
        <w:tc>
          <w:tcPr>
            <w:tcW w:w="1800" w:type="dxa"/>
            <w:tcBorders>
              <w:top w:val="single" w:sz="4" w:space="0" w:color="auto"/>
              <w:bottom w:val="single" w:sz="4" w:space="0" w:color="auto"/>
              <w:right w:val="single" w:sz="4" w:space="0" w:color="auto"/>
            </w:tcBorders>
          </w:tcPr>
          <w:p w14:paraId="578A3B90" w14:textId="77777777" w:rsidR="00A43625" w:rsidRDefault="00A43625">
            <w:pPr>
              <w:pStyle w:val="Heading1"/>
              <w:jc w:val="center"/>
              <w:rPr>
                <w:rFonts w:ascii="Times New Roman" w:hAnsi="Times New Roman"/>
                <w:sz w:val="22"/>
              </w:rPr>
            </w:pPr>
            <w:r>
              <w:rPr>
                <w:rFonts w:ascii="Times New Roman" w:hAnsi="Times New Roman"/>
                <w:sz w:val="22"/>
              </w:rPr>
              <w:t>1900</w:t>
            </w:r>
          </w:p>
        </w:tc>
        <w:tc>
          <w:tcPr>
            <w:tcW w:w="4856" w:type="dxa"/>
            <w:tcBorders>
              <w:top w:val="single" w:sz="4" w:space="0" w:color="auto"/>
              <w:left w:val="single" w:sz="4" w:space="0" w:color="auto"/>
              <w:bottom w:val="single" w:sz="4" w:space="0" w:color="auto"/>
              <w:right w:val="single" w:sz="4" w:space="0" w:color="auto"/>
            </w:tcBorders>
          </w:tcPr>
          <w:p w14:paraId="6D1BE2C5" w14:textId="77777777" w:rsidR="00A43625" w:rsidRDefault="00A43625">
            <w:pPr>
              <w:rPr>
                <w:sz w:val="22"/>
              </w:rPr>
            </w:pPr>
            <w:r>
              <w:rPr>
                <w:sz w:val="22"/>
              </w:rPr>
              <w:t>Definitions.</w:t>
            </w:r>
          </w:p>
        </w:tc>
        <w:tc>
          <w:tcPr>
            <w:tcW w:w="1533" w:type="dxa"/>
            <w:tcBorders>
              <w:top w:val="single" w:sz="4" w:space="0" w:color="auto"/>
              <w:left w:val="single" w:sz="4" w:space="0" w:color="auto"/>
              <w:bottom w:val="single" w:sz="4" w:space="0" w:color="auto"/>
            </w:tcBorders>
          </w:tcPr>
          <w:p w14:paraId="61D78923" w14:textId="77777777" w:rsidR="00A43625" w:rsidRPr="00083D88" w:rsidRDefault="00A43625" w:rsidP="00083D88">
            <w:pPr>
              <w:pStyle w:val="Heading2"/>
              <w:rPr>
                <w:rFonts w:ascii="Times New Roman" w:hAnsi="Times New Roman"/>
                <w:sz w:val="22"/>
                <w:szCs w:val="22"/>
              </w:rPr>
            </w:pPr>
          </w:p>
          <w:p w14:paraId="24B5015F" w14:textId="77777777" w:rsidR="00692730" w:rsidRPr="00083D88" w:rsidRDefault="007A0BE8" w:rsidP="00083D88">
            <w:pPr>
              <w:jc w:val="center"/>
              <w:rPr>
                <w:sz w:val="22"/>
                <w:szCs w:val="22"/>
              </w:rPr>
            </w:pPr>
            <w:r w:rsidRPr="00083D88">
              <w:rPr>
                <w:sz w:val="22"/>
                <w:szCs w:val="22"/>
              </w:rPr>
              <w:t>8/7/12</w:t>
            </w:r>
          </w:p>
        </w:tc>
      </w:tr>
      <w:tr w:rsidR="00A43625" w14:paraId="7EF646BE" w14:textId="77777777" w:rsidTr="00E45722">
        <w:tc>
          <w:tcPr>
            <w:tcW w:w="1800" w:type="dxa"/>
            <w:tcBorders>
              <w:top w:val="single" w:sz="4" w:space="0" w:color="auto"/>
              <w:bottom w:val="single" w:sz="4" w:space="0" w:color="auto"/>
              <w:right w:val="single" w:sz="4" w:space="0" w:color="auto"/>
            </w:tcBorders>
            <w:vAlign w:val="center"/>
          </w:tcPr>
          <w:p w14:paraId="29D40F1B" w14:textId="77777777" w:rsidR="00A43625" w:rsidRDefault="00A43625" w:rsidP="00183A83">
            <w:pPr>
              <w:pStyle w:val="Heading1"/>
              <w:jc w:val="center"/>
              <w:rPr>
                <w:rFonts w:ascii="Times New Roman" w:hAnsi="Times New Roman"/>
                <w:sz w:val="22"/>
              </w:rPr>
            </w:pPr>
            <w:r>
              <w:rPr>
                <w:rFonts w:ascii="Times New Roman" w:hAnsi="Times New Roman"/>
                <w:sz w:val="22"/>
              </w:rPr>
              <w:t>Article 2</w:t>
            </w:r>
          </w:p>
        </w:tc>
        <w:tc>
          <w:tcPr>
            <w:tcW w:w="4856" w:type="dxa"/>
            <w:tcBorders>
              <w:top w:val="single" w:sz="4" w:space="0" w:color="auto"/>
              <w:left w:val="single" w:sz="4" w:space="0" w:color="auto"/>
              <w:bottom w:val="single" w:sz="4" w:space="0" w:color="auto"/>
              <w:right w:val="single" w:sz="4" w:space="0" w:color="auto"/>
            </w:tcBorders>
          </w:tcPr>
          <w:p w14:paraId="4754404C" w14:textId="77777777" w:rsidR="00A43625" w:rsidRDefault="00A43625">
            <w:pPr>
              <w:rPr>
                <w:sz w:val="22"/>
              </w:rPr>
            </w:pPr>
            <w:r>
              <w:rPr>
                <w:sz w:val="22"/>
              </w:rPr>
              <w:t>Approval of Motor Vehicle Pollution Control Devices (New Vehicles).</w:t>
            </w:r>
          </w:p>
        </w:tc>
        <w:tc>
          <w:tcPr>
            <w:tcW w:w="1533" w:type="dxa"/>
            <w:tcBorders>
              <w:top w:val="single" w:sz="4" w:space="0" w:color="auto"/>
              <w:left w:val="single" w:sz="4" w:space="0" w:color="auto"/>
              <w:bottom w:val="single" w:sz="4" w:space="0" w:color="auto"/>
            </w:tcBorders>
          </w:tcPr>
          <w:p w14:paraId="06337403" w14:textId="77777777" w:rsidR="00A43625" w:rsidRPr="00083D88" w:rsidRDefault="00A43625" w:rsidP="00083D88">
            <w:pPr>
              <w:pStyle w:val="Heading2"/>
              <w:rPr>
                <w:rFonts w:ascii="Times New Roman" w:hAnsi="Times New Roman"/>
                <w:sz w:val="22"/>
                <w:szCs w:val="22"/>
              </w:rPr>
            </w:pPr>
          </w:p>
        </w:tc>
      </w:tr>
      <w:tr w:rsidR="00A43625" w14:paraId="2E430826" w14:textId="77777777" w:rsidTr="00E45722">
        <w:tc>
          <w:tcPr>
            <w:tcW w:w="1800" w:type="dxa"/>
            <w:tcBorders>
              <w:top w:val="single" w:sz="4" w:space="0" w:color="auto"/>
              <w:bottom w:val="single" w:sz="4" w:space="0" w:color="auto"/>
              <w:right w:val="single" w:sz="4" w:space="0" w:color="auto"/>
            </w:tcBorders>
            <w:vAlign w:val="center"/>
          </w:tcPr>
          <w:p w14:paraId="4904D4F1" w14:textId="77777777" w:rsidR="00A43625" w:rsidRDefault="00A43625" w:rsidP="00183A83">
            <w:pPr>
              <w:pStyle w:val="Heading1"/>
              <w:jc w:val="center"/>
              <w:rPr>
                <w:rFonts w:ascii="Times New Roman" w:hAnsi="Times New Roman"/>
                <w:sz w:val="22"/>
              </w:rPr>
            </w:pPr>
            <w:r>
              <w:rPr>
                <w:rFonts w:ascii="Times New Roman" w:hAnsi="Times New Roman"/>
                <w:sz w:val="22"/>
              </w:rPr>
              <w:t>1956.8</w:t>
            </w:r>
          </w:p>
        </w:tc>
        <w:tc>
          <w:tcPr>
            <w:tcW w:w="4856" w:type="dxa"/>
            <w:tcBorders>
              <w:top w:val="single" w:sz="4" w:space="0" w:color="auto"/>
              <w:left w:val="single" w:sz="4" w:space="0" w:color="auto"/>
              <w:bottom w:val="single" w:sz="4" w:space="0" w:color="auto"/>
              <w:right w:val="single" w:sz="4" w:space="0" w:color="auto"/>
            </w:tcBorders>
          </w:tcPr>
          <w:p w14:paraId="596A0D5F" w14:textId="77777777" w:rsidR="00A43625" w:rsidRDefault="00A43625">
            <w:pPr>
              <w:rPr>
                <w:sz w:val="22"/>
              </w:rPr>
            </w:pPr>
            <w:r>
              <w:rPr>
                <w:sz w:val="22"/>
              </w:rPr>
              <w:t>Exhaust Emissions Standards and Test Procedures — 1985 and Subsequent Model Heavy-Duty Engines and Vehicles.</w:t>
            </w:r>
          </w:p>
        </w:tc>
        <w:tc>
          <w:tcPr>
            <w:tcW w:w="1533" w:type="dxa"/>
            <w:tcBorders>
              <w:top w:val="single" w:sz="4" w:space="0" w:color="auto"/>
              <w:left w:val="single" w:sz="4" w:space="0" w:color="auto"/>
              <w:bottom w:val="single" w:sz="4" w:space="0" w:color="auto"/>
            </w:tcBorders>
            <w:vAlign w:val="center"/>
          </w:tcPr>
          <w:p w14:paraId="548FDDF6" w14:textId="77777777" w:rsidR="00A43625" w:rsidRPr="00083D88" w:rsidRDefault="00BC0DF9" w:rsidP="00083D88">
            <w:pPr>
              <w:pStyle w:val="Heading2"/>
              <w:rPr>
                <w:rFonts w:ascii="Times New Roman" w:hAnsi="Times New Roman"/>
                <w:sz w:val="22"/>
                <w:szCs w:val="22"/>
              </w:rPr>
            </w:pPr>
            <w:r w:rsidRPr="00083D88">
              <w:rPr>
                <w:rFonts w:ascii="Times New Roman" w:hAnsi="Times New Roman"/>
                <w:sz w:val="22"/>
                <w:szCs w:val="22"/>
              </w:rPr>
              <w:t>8/7/12</w:t>
            </w:r>
          </w:p>
        </w:tc>
      </w:tr>
      <w:tr w:rsidR="00A43625" w14:paraId="78ED85E4" w14:textId="77777777" w:rsidTr="00E45722">
        <w:tc>
          <w:tcPr>
            <w:tcW w:w="1800" w:type="dxa"/>
            <w:tcBorders>
              <w:top w:val="single" w:sz="4" w:space="0" w:color="auto"/>
              <w:bottom w:val="single" w:sz="4" w:space="0" w:color="auto"/>
              <w:right w:val="single" w:sz="4" w:space="0" w:color="auto"/>
            </w:tcBorders>
            <w:vAlign w:val="center"/>
          </w:tcPr>
          <w:p w14:paraId="5C9C7537" w14:textId="77777777" w:rsidR="00A43625" w:rsidRDefault="00A43625" w:rsidP="00183A83">
            <w:pPr>
              <w:pStyle w:val="Heading1"/>
              <w:jc w:val="center"/>
              <w:rPr>
                <w:rFonts w:ascii="Times New Roman" w:hAnsi="Times New Roman"/>
                <w:sz w:val="22"/>
              </w:rPr>
            </w:pPr>
            <w:r>
              <w:rPr>
                <w:rFonts w:ascii="Times New Roman" w:hAnsi="Times New Roman"/>
                <w:sz w:val="22"/>
              </w:rPr>
              <w:t>1960.1</w:t>
            </w:r>
          </w:p>
        </w:tc>
        <w:tc>
          <w:tcPr>
            <w:tcW w:w="4856" w:type="dxa"/>
            <w:tcBorders>
              <w:top w:val="single" w:sz="4" w:space="0" w:color="auto"/>
              <w:left w:val="single" w:sz="4" w:space="0" w:color="auto"/>
              <w:bottom w:val="single" w:sz="4" w:space="0" w:color="auto"/>
              <w:right w:val="single" w:sz="4" w:space="0" w:color="auto"/>
            </w:tcBorders>
          </w:tcPr>
          <w:p w14:paraId="7949AFE5" w14:textId="77777777" w:rsidR="00A43625" w:rsidRDefault="00A43625">
            <w:pPr>
              <w:rPr>
                <w:sz w:val="22"/>
              </w:rPr>
            </w:pPr>
            <w:r>
              <w:rPr>
                <w:sz w:val="22"/>
              </w:rPr>
              <w:t>Exhaust Emissions Standards and Test Procedures — 1981 and through 2006 Model Passenger Cars, Light-Duty and Medium-Duty Vehicles.</w:t>
            </w:r>
          </w:p>
        </w:tc>
        <w:tc>
          <w:tcPr>
            <w:tcW w:w="1533" w:type="dxa"/>
            <w:tcBorders>
              <w:top w:val="single" w:sz="4" w:space="0" w:color="auto"/>
              <w:left w:val="single" w:sz="4" w:space="0" w:color="auto"/>
              <w:bottom w:val="single" w:sz="4" w:space="0" w:color="auto"/>
            </w:tcBorders>
            <w:vAlign w:val="center"/>
          </w:tcPr>
          <w:p w14:paraId="1AEDDA22" w14:textId="77777777" w:rsidR="00AB2E03" w:rsidRPr="00083D88" w:rsidRDefault="00AB2E03" w:rsidP="00083D88">
            <w:pPr>
              <w:pStyle w:val="Heading2"/>
              <w:rPr>
                <w:rFonts w:ascii="Times New Roman" w:hAnsi="Times New Roman"/>
                <w:sz w:val="22"/>
                <w:szCs w:val="22"/>
              </w:rPr>
            </w:pPr>
          </w:p>
          <w:p w14:paraId="31D5FA3B" w14:textId="77777777" w:rsidR="00A43625" w:rsidRPr="00083D88" w:rsidRDefault="00BC0DF9" w:rsidP="00083D88">
            <w:pPr>
              <w:pStyle w:val="Heading2"/>
              <w:rPr>
                <w:rFonts w:ascii="Times New Roman" w:hAnsi="Times New Roman"/>
                <w:sz w:val="22"/>
                <w:szCs w:val="22"/>
              </w:rPr>
            </w:pPr>
            <w:r w:rsidRPr="00083D88">
              <w:rPr>
                <w:rFonts w:ascii="Times New Roman" w:hAnsi="Times New Roman"/>
                <w:sz w:val="22"/>
                <w:szCs w:val="22"/>
              </w:rPr>
              <w:t>8/7/12</w:t>
            </w:r>
          </w:p>
        </w:tc>
      </w:tr>
      <w:tr w:rsidR="00A17E8E" w14:paraId="5C1180A6" w14:textId="77777777" w:rsidTr="00E45722">
        <w:tc>
          <w:tcPr>
            <w:tcW w:w="1800" w:type="dxa"/>
            <w:tcBorders>
              <w:top w:val="single" w:sz="4" w:space="0" w:color="auto"/>
              <w:bottom w:val="single" w:sz="4" w:space="0" w:color="auto"/>
              <w:right w:val="single" w:sz="4" w:space="0" w:color="auto"/>
            </w:tcBorders>
            <w:vAlign w:val="center"/>
          </w:tcPr>
          <w:p w14:paraId="4B368193" w14:textId="77777777" w:rsidR="00A17E8E" w:rsidRDefault="00A17E8E" w:rsidP="00183A83">
            <w:pPr>
              <w:pStyle w:val="Heading1"/>
              <w:jc w:val="center"/>
              <w:rPr>
                <w:rFonts w:ascii="Times New Roman" w:hAnsi="Times New Roman"/>
                <w:sz w:val="22"/>
              </w:rPr>
            </w:pPr>
            <w:r>
              <w:rPr>
                <w:rFonts w:ascii="Times New Roman" w:hAnsi="Times New Roman"/>
                <w:sz w:val="22"/>
              </w:rPr>
              <w:t>1960.5</w:t>
            </w:r>
          </w:p>
        </w:tc>
        <w:tc>
          <w:tcPr>
            <w:tcW w:w="4856" w:type="dxa"/>
            <w:tcBorders>
              <w:top w:val="single" w:sz="4" w:space="0" w:color="auto"/>
              <w:left w:val="single" w:sz="4" w:space="0" w:color="auto"/>
              <w:bottom w:val="single" w:sz="4" w:space="0" w:color="auto"/>
              <w:right w:val="single" w:sz="4" w:space="0" w:color="auto"/>
            </w:tcBorders>
          </w:tcPr>
          <w:p w14:paraId="0515C716" w14:textId="77777777" w:rsidR="00A17E8E" w:rsidRDefault="00A17E8E">
            <w:pPr>
              <w:rPr>
                <w:sz w:val="22"/>
              </w:rPr>
            </w:pPr>
            <w:r>
              <w:rPr>
                <w:sz w:val="22"/>
              </w:rPr>
              <w:t xml:space="preserve">Certification of 1983 and Subsequent Model-Year Federally Certified Light-Duty Motor Vehicles for sale in </w:t>
            </w:r>
            <w:smartTag w:uri="urn:schemas-microsoft-com:office:smarttags" w:element="State">
              <w:smartTag w:uri="urn:schemas-microsoft-com:office:smarttags" w:element="place">
                <w:r>
                  <w:rPr>
                    <w:sz w:val="22"/>
                  </w:rPr>
                  <w:t>California</w:t>
                </w:r>
              </w:smartTag>
            </w:smartTag>
            <w:r>
              <w:rPr>
                <w:sz w:val="22"/>
              </w:rPr>
              <w:t>.</w:t>
            </w:r>
          </w:p>
        </w:tc>
        <w:tc>
          <w:tcPr>
            <w:tcW w:w="1533" w:type="dxa"/>
            <w:tcBorders>
              <w:top w:val="single" w:sz="4" w:space="0" w:color="auto"/>
              <w:left w:val="single" w:sz="4" w:space="0" w:color="auto"/>
              <w:bottom w:val="single" w:sz="4" w:space="0" w:color="auto"/>
            </w:tcBorders>
            <w:vAlign w:val="center"/>
          </w:tcPr>
          <w:p w14:paraId="2F8352F0" w14:textId="77777777" w:rsidR="00A17E8E" w:rsidRPr="00083D88" w:rsidRDefault="00AB2E03" w:rsidP="00083D88">
            <w:pPr>
              <w:pStyle w:val="Heading2"/>
              <w:rPr>
                <w:rFonts w:ascii="Times New Roman" w:hAnsi="Times New Roman"/>
                <w:sz w:val="22"/>
                <w:szCs w:val="22"/>
              </w:rPr>
            </w:pPr>
            <w:r w:rsidRPr="00083D88">
              <w:rPr>
                <w:rFonts w:ascii="Times New Roman" w:hAnsi="Times New Roman"/>
                <w:sz w:val="22"/>
                <w:szCs w:val="22"/>
              </w:rPr>
              <w:t>10/16/02</w:t>
            </w:r>
          </w:p>
        </w:tc>
      </w:tr>
      <w:tr w:rsidR="00A43625" w14:paraId="20A79F7F" w14:textId="77777777" w:rsidTr="00E45722">
        <w:tc>
          <w:tcPr>
            <w:tcW w:w="1800" w:type="dxa"/>
            <w:tcBorders>
              <w:top w:val="single" w:sz="4" w:space="0" w:color="auto"/>
              <w:bottom w:val="single" w:sz="4" w:space="0" w:color="auto"/>
              <w:right w:val="single" w:sz="4" w:space="0" w:color="auto"/>
            </w:tcBorders>
            <w:vAlign w:val="center"/>
          </w:tcPr>
          <w:p w14:paraId="26815ABD" w14:textId="77777777" w:rsidR="00A43625" w:rsidRDefault="00A43625" w:rsidP="00183A83">
            <w:pPr>
              <w:pStyle w:val="Heading1"/>
              <w:jc w:val="center"/>
              <w:rPr>
                <w:rFonts w:ascii="Times New Roman" w:hAnsi="Times New Roman"/>
                <w:sz w:val="22"/>
              </w:rPr>
            </w:pPr>
            <w:r>
              <w:rPr>
                <w:rFonts w:ascii="Times New Roman" w:hAnsi="Times New Roman"/>
                <w:sz w:val="22"/>
              </w:rPr>
              <w:t>1961</w:t>
            </w:r>
          </w:p>
        </w:tc>
        <w:tc>
          <w:tcPr>
            <w:tcW w:w="4856" w:type="dxa"/>
            <w:tcBorders>
              <w:top w:val="single" w:sz="4" w:space="0" w:color="auto"/>
              <w:left w:val="single" w:sz="4" w:space="0" w:color="auto"/>
              <w:bottom w:val="single" w:sz="4" w:space="0" w:color="auto"/>
              <w:right w:val="single" w:sz="4" w:space="0" w:color="auto"/>
            </w:tcBorders>
          </w:tcPr>
          <w:p w14:paraId="4B82D6DB" w14:textId="77777777" w:rsidR="00A43625" w:rsidRDefault="00A43625" w:rsidP="00924CC7">
            <w:pPr>
              <w:rPr>
                <w:sz w:val="22"/>
              </w:rPr>
            </w:pPr>
            <w:r>
              <w:rPr>
                <w:sz w:val="22"/>
              </w:rPr>
              <w:t xml:space="preserve">Exhaust Emission Standards and Test Procedures – 2004 </w:t>
            </w:r>
            <w:r w:rsidR="00E12DDD">
              <w:rPr>
                <w:sz w:val="22"/>
              </w:rPr>
              <w:t xml:space="preserve">through 2019 </w:t>
            </w:r>
            <w:r>
              <w:rPr>
                <w:sz w:val="22"/>
              </w:rPr>
              <w:t>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7579735C" w14:textId="77777777" w:rsidR="00A43625" w:rsidRPr="00083D88" w:rsidRDefault="00A43625" w:rsidP="00083D88">
            <w:pPr>
              <w:pStyle w:val="Heading2"/>
              <w:rPr>
                <w:rFonts w:ascii="Times New Roman" w:hAnsi="Times New Roman"/>
                <w:sz w:val="22"/>
                <w:szCs w:val="22"/>
              </w:rPr>
            </w:pPr>
          </w:p>
          <w:p w14:paraId="4F4B8E87" w14:textId="77777777" w:rsidR="00692730" w:rsidRPr="00083D88" w:rsidRDefault="00BC0DF9" w:rsidP="00083D88">
            <w:pPr>
              <w:jc w:val="center"/>
              <w:rPr>
                <w:sz w:val="22"/>
                <w:szCs w:val="22"/>
              </w:rPr>
            </w:pPr>
            <w:r w:rsidRPr="00083D88">
              <w:rPr>
                <w:sz w:val="22"/>
                <w:szCs w:val="22"/>
              </w:rPr>
              <w:t>8/7/12</w:t>
            </w:r>
          </w:p>
        </w:tc>
      </w:tr>
      <w:tr w:rsidR="008536FB" w14:paraId="4CB7DF1E" w14:textId="77777777" w:rsidTr="00E45722">
        <w:tc>
          <w:tcPr>
            <w:tcW w:w="1800" w:type="dxa"/>
            <w:tcBorders>
              <w:top w:val="single" w:sz="4" w:space="0" w:color="auto"/>
              <w:bottom w:val="single" w:sz="4" w:space="0" w:color="auto"/>
              <w:right w:val="single" w:sz="4" w:space="0" w:color="auto"/>
            </w:tcBorders>
            <w:vAlign w:val="center"/>
          </w:tcPr>
          <w:p w14:paraId="599E856E" w14:textId="77777777" w:rsidR="008536FB" w:rsidRDefault="008536FB" w:rsidP="00183A83">
            <w:pPr>
              <w:pStyle w:val="Heading1"/>
              <w:jc w:val="center"/>
              <w:rPr>
                <w:rFonts w:ascii="Times New Roman" w:hAnsi="Times New Roman"/>
                <w:sz w:val="22"/>
              </w:rPr>
            </w:pPr>
            <w:r>
              <w:rPr>
                <w:rFonts w:ascii="Times New Roman" w:hAnsi="Times New Roman"/>
                <w:sz w:val="22"/>
              </w:rPr>
              <w:t>1961.1</w:t>
            </w:r>
          </w:p>
        </w:tc>
        <w:tc>
          <w:tcPr>
            <w:tcW w:w="4856" w:type="dxa"/>
            <w:tcBorders>
              <w:top w:val="single" w:sz="4" w:space="0" w:color="auto"/>
              <w:left w:val="single" w:sz="4" w:space="0" w:color="auto"/>
              <w:bottom w:val="single" w:sz="4" w:space="0" w:color="auto"/>
              <w:right w:val="single" w:sz="4" w:space="0" w:color="auto"/>
            </w:tcBorders>
          </w:tcPr>
          <w:p w14:paraId="3171B2F1" w14:textId="77777777" w:rsidR="008536FB" w:rsidRDefault="008536FB" w:rsidP="00E12DDD">
            <w:pPr>
              <w:rPr>
                <w:sz w:val="22"/>
              </w:rPr>
            </w:pPr>
            <w:r>
              <w:rPr>
                <w:sz w:val="22"/>
              </w:rPr>
              <w:t xml:space="preserve">Greenhouse Gas Exhaust Emission Standards and Test Procedures – 2009 </w:t>
            </w:r>
            <w:r w:rsidR="00E12DDD">
              <w:rPr>
                <w:sz w:val="22"/>
              </w:rPr>
              <w:t>through 2016</w:t>
            </w:r>
            <w:r w:rsidR="005C64E2">
              <w:rPr>
                <w:sz w:val="22"/>
              </w:rPr>
              <w:t xml:space="preserve"> </w:t>
            </w:r>
            <w:r>
              <w:rPr>
                <w:sz w:val="22"/>
              </w:rPr>
              <w:t>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71EA8331" w14:textId="77777777" w:rsidR="008536FB" w:rsidRPr="00083D88" w:rsidRDefault="00BC0DF9" w:rsidP="00083D88">
            <w:pPr>
              <w:jc w:val="center"/>
              <w:rPr>
                <w:sz w:val="22"/>
                <w:szCs w:val="22"/>
              </w:rPr>
            </w:pPr>
            <w:r w:rsidRPr="00083D88">
              <w:rPr>
                <w:sz w:val="22"/>
                <w:szCs w:val="22"/>
              </w:rPr>
              <w:t>8/7/12</w:t>
            </w:r>
          </w:p>
        </w:tc>
      </w:tr>
      <w:tr w:rsidR="00BC0DF9" w14:paraId="4261CB7D" w14:textId="77777777" w:rsidTr="00E45722">
        <w:tc>
          <w:tcPr>
            <w:tcW w:w="1800" w:type="dxa"/>
            <w:tcBorders>
              <w:top w:val="single" w:sz="4" w:space="0" w:color="auto"/>
              <w:bottom w:val="single" w:sz="4" w:space="0" w:color="auto"/>
              <w:right w:val="single" w:sz="4" w:space="0" w:color="auto"/>
            </w:tcBorders>
            <w:vAlign w:val="center"/>
          </w:tcPr>
          <w:p w14:paraId="44F76687" w14:textId="77777777" w:rsidR="00BC0DF9" w:rsidRDefault="00BC0DF9" w:rsidP="00183A83">
            <w:pPr>
              <w:pStyle w:val="Heading1"/>
              <w:jc w:val="center"/>
              <w:rPr>
                <w:rFonts w:ascii="Times New Roman" w:hAnsi="Times New Roman"/>
                <w:sz w:val="22"/>
              </w:rPr>
            </w:pPr>
            <w:r>
              <w:rPr>
                <w:rFonts w:ascii="Times New Roman" w:hAnsi="Times New Roman"/>
                <w:sz w:val="22"/>
              </w:rPr>
              <w:t>1961.2</w:t>
            </w:r>
          </w:p>
        </w:tc>
        <w:tc>
          <w:tcPr>
            <w:tcW w:w="4856" w:type="dxa"/>
            <w:tcBorders>
              <w:top w:val="single" w:sz="4" w:space="0" w:color="auto"/>
              <w:left w:val="single" w:sz="4" w:space="0" w:color="auto"/>
              <w:bottom w:val="single" w:sz="4" w:space="0" w:color="auto"/>
              <w:right w:val="single" w:sz="4" w:space="0" w:color="auto"/>
            </w:tcBorders>
          </w:tcPr>
          <w:p w14:paraId="622520B5" w14:textId="77777777" w:rsidR="00BC0DF9" w:rsidRDefault="00BC0DF9">
            <w:pPr>
              <w:rPr>
                <w:sz w:val="22"/>
              </w:rPr>
            </w:pPr>
            <w:r w:rsidRPr="00BC0DF9">
              <w:rPr>
                <w:sz w:val="22"/>
              </w:rPr>
              <w:t>Exhaust Emission Standards and Test Procedures - 2015 and Subsequent Model 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4564AD86" w14:textId="77777777" w:rsidR="00BC0DF9" w:rsidRPr="00083D88" w:rsidRDefault="00BC0DF9" w:rsidP="00083D88">
            <w:pPr>
              <w:jc w:val="center"/>
              <w:rPr>
                <w:sz w:val="22"/>
                <w:szCs w:val="22"/>
              </w:rPr>
            </w:pPr>
            <w:r w:rsidRPr="00083D88">
              <w:rPr>
                <w:sz w:val="22"/>
                <w:szCs w:val="22"/>
              </w:rPr>
              <w:t>8/7/12</w:t>
            </w:r>
          </w:p>
        </w:tc>
      </w:tr>
      <w:tr w:rsidR="00BC0DF9" w14:paraId="33DB4BEA" w14:textId="77777777" w:rsidTr="00E45722">
        <w:tc>
          <w:tcPr>
            <w:tcW w:w="1800" w:type="dxa"/>
            <w:tcBorders>
              <w:top w:val="single" w:sz="4" w:space="0" w:color="auto"/>
              <w:bottom w:val="single" w:sz="4" w:space="0" w:color="auto"/>
              <w:right w:val="single" w:sz="4" w:space="0" w:color="auto"/>
            </w:tcBorders>
            <w:vAlign w:val="center"/>
          </w:tcPr>
          <w:p w14:paraId="3CC86422" w14:textId="77777777" w:rsidR="00BC0DF9" w:rsidRDefault="00BC0DF9" w:rsidP="00183A83">
            <w:pPr>
              <w:pStyle w:val="Heading1"/>
              <w:jc w:val="center"/>
              <w:rPr>
                <w:rFonts w:ascii="Times New Roman" w:hAnsi="Times New Roman"/>
                <w:sz w:val="22"/>
              </w:rPr>
            </w:pPr>
            <w:r>
              <w:rPr>
                <w:rFonts w:ascii="Times New Roman" w:hAnsi="Times New Roman"/>
                <w:sz w:val="22"/>
              </w:rPr>
              <w:t>1961.3</w:t>
            </w:r>
          </w:p>
        </w:tc>
        <w:tc>
          <w:tcPr>
            <w:tcW w:w="4856" w:type="dxa"/>
            <w:tcBorders>
              <w:top w:val="single" w:sz="4" w:space="0" w:color="auto"/>
              <w:left w:val="single" w:sz="4" w:space="0" w:color="auto"/>
              <w:bottom w:val="single" w:sz="4" w:space="0" w:color="auto"/>
              <w:right w:val="single" w:sz="4" w:space="0" w:color="auto"/>
            </w:tcBorders>
          </w:tcPr>
          <w:p w14:paraId="6EB65181" w14:textId="77777777" w:rsidR="00BC0DF9" w:rsidRDefault="00BC0DF9">
            <w:pPr>
              <w:rPr>
                <w:sz w:val="22"/>
              </w:rPr>
            </w:pPr>
            <w:r w:rsidRPr="00BC0DF9">
              <w:rPr>
                <w:sz w:val="22"/>
              </w:rPr>
              <w:t>Greenhouse Gas Exhaust Emission Standards and Test Procedures - 2017 and Subsequent Model 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6361A3F1" w14:textId="77777777" w:rsidR="00BC0DF9" w:rsidRPr="00083D88" w:rsidRDefault="00BC0DF9" w:rsidP="00083D88">
            <w:pPr>
              <w:jc w:val="center"/>
              <w:rPr>
                <w:sz w:val="22"/>
                <w:szCs w:val="22"/>
              </w:rPr>
            </w:pPr>
            <w:r w:rsidRPr="00083D88">
              <w:rPr>
                <w:sz w:val="22"/>
                <w:szCs w:val="22"/>
              </w:rPr>
              <w:t>8/8/12</w:t>
            </w:r>
          </w:p>
        </w:tc>
      </w:tr>
      <w:tr w:rsidR="00A43625" w14:paraId="1CF8BA9D" w14:textId="77777777" w:rsidTr="00E45722">
        <w:tc>
          <w:tcPr>
            <w:tcW w:w="1800" w:type="dxa"/>
            <w:tcBorders>
              <w:top w:val="single" w:sz="4" w:space="0" w:color="auto"/>
              <w:bottom w:val="single" w:sz="4" w:space="0" w:color="auto"/>
              <w:right w:val="single" w:sz="4" w:space="0" w:color="auto"/>
            </w:tcBorders>
            <w:vAlign w:val="center"/>
          </w:tcPr>
          <w:p w14:paraId="7EFC110B" w14:textId="77777777" w:rsidR="00A43625" w:rsidRDefault="00A43625" w:rsidP="00183A83">
            <w:pPr>
              <w:pStyle w:val="Heading1"/>
              <w:jc w:val="center"/>
              <w:rPr>
                <w:rFonts w:ascii="Times New Roman" w:hAnsi="Times New Roman"/>
                <w:sz w:val="22"/>
              </w:rPr>
            </w:pPr>
            <w:r>
              <w:rPr>
                <w:rFonts w:ascii="Times New Roman" w:hAnsi="Times New Roman"/>
                <w:sz w:val="22"/>
              </w:rPr>
              <w:t>1962</w:t>
            </w:r>
          </w:p>
        </w:tc>
        <w:tc>
          <w:tcPr>
            <w:tcW w:w="4856" w:type="dxa"/>
            <w:tcBorders>
              <w:top w:val="single" w:sz="4" w:space="0" w:color="auto"/>
              <w:left w:val="single" w:sz="4" w:space="0" w:color="auto"/>
              <w:bottom w:val="single" w:sz="4" w:space="0" w:color="auto"/>
              <w:right w:val="single" w:sz="4" w:space="0" w:color="auto"/>
            </w:tcBorders>
          </w:tcPr>
          <w:p w14:paraId="2726C650" w14:textId="77777777" w:rsidR="00A43625" w:rsidRDefault="00A43625" w:rsidP="00E12DDD">
            <w:pPr>
              <w:rPr>
                <w:sz w:val="22"/>
              </w:rPr>
            </w:pPr>
            <w:r>
              <w:rPr>
                <w:sz w:val="22"/>
              </w:rPr>
              <w:t xml:space="preserve">Zero Emission Vehicle Standards for </w:t>
            </w:r>
            <w:r w:rsidRPr="00012CF1">
              <w:rPr>
                <w:sz w:val="22"/>
              </w:rPr>
              <w:t xml:space="preserve">2005 </w:t>
            </w:r>
            <w:r w:rsidR="00E12DDD">
              <w:rPr>
                <w:sz w:val="22"/>
              </w:rPr>
              <w:t>through 2008 Model Year</w:t>
            </w:r>
            <w:r>
              <w:rPr>
                <w:sz w:val="22"/>
              </w:rPr>
              <w:t xml:space="preserve"> 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1592B385" w14:textId="77777777" w:rsidR="00692730" w:rsidRPr="00083D88" w:rsidRDefault="00692730" w:rsidP="00083D88">
            <w:pPr>
              <w:jc w:val="center"/>
              <w:rPr>
                <w:sz w:val="22"/>
                <w:szCs w:val="22"/>
              </w:rPr>
            </w:pPr>
          </w:p>
          <w:p w14:paraId="37FDC198" w14:textId="77777777" w:rsidR="00A43625" w:rsidRPr="00083D88" w:rsidRDefault="00BC0DF9" w:rsidP="00083D88">
            <w:pPr>
              <w:jc w:val="center"/>
              <w:rPr>
                <w:sz w:val="22"/>
                <w:szCs w:val="22"/>
              </w:rPr>
            </w:pPr>
            <w:r w:rsidRPr="00083D88">
              <w:rPr>
                <w:sz w:val="22"/>
                <w:szCs w:val="22"/>
              </w:rPr>
              <w:t>2/13/10</w:t>
            </w:r>
          </w:p>
        </w:tc>
      </w:tr>
      <w:tr w:rsidR="00AB2E03" w14:paraId="5C58CEF8" w14:textId="77777777" w:rsidTr="00E45722">
        <w:tc>
          <w:tcPr>
            <w:tcW w:w="1800" w:type="dxa"/>
            <w:tcBorders>
              <w:top w:val="single" w:sz="4" w:space="0" w:color="auto"/>
              <w:bottom w:val="single" w:sz="4" w:space="0" w:color="auto"/>
              <w:right w:val="single" w:sz="4" w:space="0" w:color="auto"/>
            </w:tcBorders>
            <w:vAlign w:val="center"/>
          </w:tcPr>
          <w:p w14:paraId="0D1BDD13" w14:textId="77777777" w:rsidR="00AB2E03" w:rsidRDefault="00AB2E03" w:rsidP="00183A83">
            <w:pPr>
              <w:pStyle w:val="Heading1"/>
              <w:jc w:val="center"/>
              <w:rPr>
                <w:rFonts w:ascii="Times New Roman" w:hAnsi="Times New Roman"/>
                <w:sz w:val="22"/>
              </w:rPr>
            </w:pPr>
            <w:r>
              <w:rPr>
                <w:rFonts w:ascii="Times New Roman" w:hAnsi="Times New Roman"/>
                <w:sz w:val="22"/>
              </w:rPr>
              <w:t>1962.1</w:t>
            </w:r>
          </w:p>
        </w:tc>
        <w:tc>
          <w:tcPr>
            <w:tcW w:w="4856" w:type="dxa"/>
            <w:tcBorders>
              <w:top w:val="single" w:sz="4" w:space="0" w:color="auto"/>
              <w:left w:val="single" w:sz="4" w:space="0" w:color="auto"/>
              <w:bottom w:val="single" w:sz="4" w:space="0" w:color="auto"/>
              <w:right w:val="single" w:sz="4" w:space="0" w:color="auto"/>
            </w:tcBorders>
          </w:tcPr>
          <w:p w14:paraId="00FCD2AF" w14:textId="77777777" w:rsidR="00AB2E03" w:rsidRDefault="00AB2E03" w:rsidP="00AD71CE">
            <w:pPr>
              <w:rPr>
                <w:sz w:val="22"/>
              </w:rPr>
            </w:pPr>
            <w:r>
              <w:rPr>
                <w:sz w:val="22"/>
              </w:rPr>
              <w:t xml:space="preserve">Zero-Emission Vehicle Standards for 2009 </w:t>
            </w:r>
            <w:r w:rsidR="00AD71CE">
              <w:rPr>
                <w:sz w:val="22"/>
              </w:rPr>
              <w:t>through 2017</w:t>
            </w:r>
            <w:r>
              <w:rPr>
                <w:sz w:val="22"/>
              </w:rPr>
              <w:t xml:space="preserve"> Model Year 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7E2B4090" w14:textId="77777777" w:rsidR="00AB2E03" w:rsidRPr="00083D88" w:rsidRDefault="00BC0DF9" w:rsidP="00083D88">
            <w:pPr>
              <w:jc w:val="center"/>
              <w:rPr>
                <w:sz w:val="22"/>
                <w:szCs w:val="22"/>
              </w:rPr>
            </w:pPr>
            <w:r w:rsidRPr="00083D88">
              <w:rPr>
                <w:sz w:val="22"/>
                <w:szCs w:val="22"/>
              </w:rPr>
              <w:t>8/7/12</w:t>
            </w:r>
          </w:p>
        </w:tc>
      </w:tr>
      <w:tr w:rsidR="00BC0DF9" w14:paraId="09913897" w14:textId="77777777" w:rsidTr="00E45722">
        <w:tc>
          <w:tcPr>
            <w:tcW w:w="1800" w:type="dxa"/>
            <w:tcBorders>
              <w:top w:val="single" w:sz="4" w:space="0" w:color="auto"/>
              <w:bottom w:val="single" w:sz="4" w:space="0" w:color="auto"/>
              <w:right w:val="single" w:sz="4" w:space="0" w:color="auto"/>
            </w:tcBorders>
            <w:vAlign w:val="center"/>
          </w:tcPr>
          <w:p w14:paraId="5608F2CF" w14:textId="77777777" w:rsidR="00BC0DF9" w:rsidRDefault="00BC0DF9" w:rsidP="00183A83">
            <w:pPr>
              <w:pStyle w:val="Heading1"/>
              <w:jc w:val="center"/>
              <w:rPr>
                <w:rFonts w:ascii="Times New Roman" w:hAnsi="Times New Roman"/>
                <w:sz w:val="22"/>
              </w:rPr>
            </w:pPr>
            <w:r>
              <w:rPr>
                <w:rFonts w:ascii="Times New Roman" w:hAnsi="Times New Roman"/>
                <w:sz w:val="22"/>
              </w:rPr>
              <w:t>1962.2</w:t>
            </w:r>
          </w:p>
        </w:tc>
        <w:tc>
          <w:tcPr>
            <w:tcW w:w="4856" w:type="dxa"/>
            <w:tcBorders>
              <w:top w:val="single" w:sz="4" w:space="0" w:color="auto"/>
              <w:left w:val="single" w:sz="4" w:space="0" w:color="auto"/>
              <w:bottom w:val="single" w:sz="4" w:space="0" w:color="auto"/>
              <w:right w:val="single" w:sz="4" w:space="0" w:color="auto"/>
            </w:tcBorders>
          </w:tcPr>
          <w:p w14:paraId="3057CC90" w14:textId="77777777" w:rsidR="00BC0DF9" w:rsidRDefault="00997F65">
            <w:pPr>
              <w:rPr>
                <w:sz w:val="22"/>
              </w:rPr>
            </w:pPr>
            <w:r w:rsidRPr="00997F65">
              <w:rPr>
                <w:sz w:val="22"/>
              </w:rPr>
              <w:t>Zero-Emission Vehicle Standards for 2018 and Subsequent Model Year Passenger Cars, Light-Duty Trucks, and Medium-Duty Vehicles.</w:t>
            </w:r>
          </w:p>
        </w:tc>
        <w:tc>
          <w:tcPr>
            <w:tcW w:w="1533" w:type="dxa"/>
            <w:tcBorders>
              <w:top w:val="single" w:sz="4" w:space="0" w:color="auto"/>
              <w:left w:val="single" w:sz="4" w:space="0" w:color="auto"/>
              <w:bottom w:val="single" w:sz="4" w:space="0" w:color="auto"/>
            </w:tcBorders>
            <w:vAlign w:val="center"/>
          </w:tcPr>
          <w:p w14:paraId="334F703A" w14:textId="77777777" w:rsidR="00BC0DF9" w:rsidRPr="00083D88" w:rsidRDefault="00997F65" w:rsidP="00083D88">
            <w:pPr>
              <w:jc w:val="center"/>
              <w:rPr>
                <w:sz w:val="22"/>
                <w:szCs w:val="22"/>
              </w:rPr>
            </w:pPr>
            <w:r w:rsidRPr="00083D88">
              <w:rPr>
                <w:sz w:val="22"/>
                <w:szCs w:val="22"/>
              </w:rPr>
              <w:t>8/7/12</w:t>
            </w:r>
          </w:p>
        </w:tc>
      </w:tr>
      <w:tr w:rsidR="00AD71CE" w:rsidRPr="005B3572" w14:paraId="3ABF117B" w14:textId="77777777" w:rsidTr="00E45722">
        <w:tc>
          <w:tcPr>
            <w:tcW w:w="1800" w:type="dxa"/>
            <w:tcBorders>
              <w:top w:val="single" w:sz="4" w:space="0" w:color="auto"/>
              <w:bottom w:val="single" w:sz="4" w:space="0" w:color="auto"/>
              <w:right w:val="single" w:sz="4" w:space="0" w:color="auto"/>
            </w:tcBorders>
            <w:vAlign w:val="center"/>
          </w:tcPr>
          <w:p w14:paraId="2334B254" w14:textId="77777777" w:rsidR="00AD71CE" w:rsidRPr="005B3572" w:rsidRDefault="00AD71CE" w:rsidP="00183A83">
            <w:pPr>
              <w:pStyle w:val="Heading1"/>
              <w:jc w:val="center"/>
              <w:rPr>
                <w:rFonts w:ascii="Times New Roman" w:hAnsi="Times New Roman"/>
                <w:sz w:val="22"/>
              </w:rPr>
            </w:pPr>
            <w:r w:rsidRPr="005B3572">
              <w:rPr>
                <w:rFonts w:ascii="Times New Roman" w:hAnsi="Times New Roman"/>
                <w:sz w:val="22"/>
              </w:rPr>
              <w:t>1962.3</w:t>
            </w:r>
          </w:p>
        </w:tc>
        <w:tc>
          <w:tcPr>
            <w:tcW w:w="4856" w:type="dxa"/>
            <w:tcBorders>
              <w:top w:val="single" w:sz="4" w:space="0" w:color="auto"/>
              <w:left w:val="single" w:sz="4" w:space="0" w:color="auto"/>
              <w:bottom w:val="single" w:sz="4" w:space="0" w:color="auto"/>
              <w:right w:val="single" w:sz="4" w:space="0" w:color="auto"/>
            </w:tcBorders>
          </w:tcPr>
          <w:p w14:paraId="37AA0035" w14:textId="77777777" w:rsidR="00AD71CE" w:rsidRPr="005B3572" w:rsidRDefault="00AD71CE">
            <w:pPr>
              <w:rPr>
                <w:sz w:val="22"/>
              </w:rPr>
            </w:pPr>
            <w:r w:rsidRPr="005B3572">
              <w:rPr>
                <w:bCs/>
                <w:sz w:val="22"/>
              </w:rPr>
              <w:t>Electric Vehicle Charging Requirements</w:t>
            </w:r>
          </w:p>
        </w:tc>
        <w:tc>
          <w:tcPr>
            <w:tcW w:w="1533" w:type="dxa"/>
            <w:tcBorders>
              <w:top w:val="single" w:sz="4" w:space="0" w:color="auto"/>
              <w:left w:val="single" w:sz="4" w:space="0" w:color="auto"/>
              <w:bottom w:val="single" w:sz="4" w:space="0" w:color="auto"/>
            </w:tcBorders>
            <w:vAlign w:val="center"/>
          </w:tcPr>
          <w:p w14:paraId="0FD6B3DE" w14:textId="77777777" w:rsidR="00AD71CE" w:rsidRPr="005B3572" w:rsidRDefault="00AD71CE" w:rsidP="00083D88">
            <w:pPr>
              <w:jc w:val="center"/>
              <w:rPr>
                <w:sz w:val="22"/>
                <w:szCs w:val="22"/>
              </w:rPr>
            </w:pPr>
            <w:r w:rsidRPr="005B3572">
              <w:rPr>
                <w:sz w:val="22"/>
                <w:szCs w:val="22"/>
              </w:rPr>
              <w:t>8/7/12</w:t>
            </w:r>
          </w:p>
        </w:tc>
      </w:tr>
      <w:tr w:rsidR="00A43625" w14:paraId="552A8D94" w14:textId="77777777" w:rsidTr="00E45722">
        <w:tc>
          <w:tcPr>
            <w:tcW w:w="1800" w:type="dxa"/>
            <w:tcBorders>
              <w:top w:val="single" w:sz="4" w:space="0" w:color="auto"/>
              <w:bottom w:val="single" w:sz="4" w:space="0" w:color="auto"/>
              <w:right w:val="single" w:sz="4" w:space="0" w:color="auto"/>
            </w:tcBorders>
            <w:vAlign w:val="center"/>
          </w:tcPr>
          <w:p w14:paraId="4F0E809D" w14:textId="77777777" w:rsidR="00A43625" w:rsidRDefault="00A43625" w:rsidP="00183A83">
            <w:pPr>
              <w:pStyle w:val="Heading1"/>
              <w:jc w:val="center"/>
              <w:rPr>
                <w:rFonts w:ascii="Times New Roman" w:hAnsi="Times New Roman"/>
                <w:sz w:val="22"/>
              </w:rPr>
            </w:pPr>
            <w:r>
              <w:rPr>
                <w:rFonts w:ascii="Times New Roman" w:hAnsi="Times New Roman"/>
                <w:sz w:val="22"/>
              </w:rPr>
              <w:t>1965</w:t>
            </w:r>
          </w:p>
        </w:tc>
        <w:tc>
          <w:tcPr>
            <w:tcW w:w="4856" w:type="dxa"/>
            <w:tcBorders>
              <w:top w:val="single" w:sz="4" w:space="0" w:color="auto"/>
              <w:left w:val="single" w:sz="4" w:space="0" w:color="auto"/>
              <w:bottom w:val="single" w:sz="4" w:space="0" w:color="auto"/>
              <w:right w:val="single" w:sz="4" w:space="0" w:color="auto"/>
            </w:tcBorders>
          </w:tcPr>
          <w:p w14:paraId="7A68D435" w14:textId="77777777" w:rsidR="00A43625" w:rsidRDefault="00A43625">
            <w:pPr>
              <w:rPr>
                <w:sz w:val="22"/>
              </w:rPr>
            </w:pPr>
            <w:r>
              <w:rPr>
                <w:sz w:val="22"/>
              </w:rPr>
              <w:t>Emission Control and Smog Index</w:t>
            </w:r>
            <w:r w:rsidR="00AB2E03">
              <w:rPr>
                <w:sz w:val="22"/>
              </w:rPr>
              <w:t>, and Environmental Performance</w:t>
            </w:r>
            <w:r>
              <w:rPr>
                <w:sz w:val="22"/>
              </w:rPr>
              <w:t xml:space="preserve"> Labels — 1979 and Subsequent Model-Year Motor Vehicles.</w:t>
            </w:r>
          </w:p>
        </w:tc>
        <w:tc>
          <w:tcPr>
            <w:tcW w:w="1533" w:type="dxa"/>
            <w:tcBorders>
              <w:top w:val="single" w:sz="4" w:space="0" w:color="auto"/>
              <w:left w:val="single" w:sz="4" w:space="0" w:color="auto"/>
              <w:bottom w:val="single" w:sz="4" w:space="0" w:color="auto"/>
            </w:tcBorders>
            <w:vAlign w:val="center"/>
          </w:tcPr>
          <w:p w14:paraId="22A1F8E8" w14:textId="77777777" w:rsidR="00AB2E03" w:rsidRPr="00083D88" w:rsidRDefault="00AB2E03" w:rsidP="00083D88">
            <w:pPr>
              <w:jc w:val="center"/>
              <w:rPr>
                <w:sz w:val="22"/>
                <w:szCs w:val="22"/>
              </w:rPr>
            </w:pPr>
          </w:p>
          <w:p w14:paraId="3AD6954D" w14:textId="77777777" w:rsidR="00A43625" w:rsidRPr="00083D88" w:rsidRDefault="00997F65" w:rsidP="00083D88">
            <w:pPr>
              <w:jc w:val="center"/>
              <w:rPr>
                <w:sz w:val="22"/>
                <w:szCs w:val="22"/>
              </w:rPr>
            </w:pPr>
            <w:r w:rsidRPr="00083D88">
              <w:rPr>
                <w:sz w:val="22"/>
                <w:szCs w:val="22"/>
              </w:rPr>
              <w:t>8/7/12</w:t>
            </w:r>
          </w:p>
        </w:tc>
      </w:tr>
      <w:tr w:rsidR="00A43625" w14:paraId="4CFCDAAF" w14:textId="77777777" w:rsidTr="00E45722">
        <w:tc>
          <w:tcPr>
            <w:tcW w:w="1800" w:type="dxa"/>
            <w:tcBorders>
              <w:top w:val="single" w:sz="4" w:space="0" w:color="auto"/>
              <w:bottom w:val="single" w:sz="4" w:space="0" w:color="auto"/>
              <w:right w:val="single" w:sz="4" w:space="0" w:color="auto"/>
            </w:tcBorders>
            <w:vAlign w:val="center"/>
          </w:tcPr>
          <w:p w14:paraId="5C86421A" w14:textId="77777777" w:rsidR="00A43625" w:rsidRDefault="00A43625" w:rsidP="00183A83">
            <w:pPr>
              <w:pStyle w:val="Heading1"/>
              <w:jc w:val="center"/>
              <w:rPr>
                <w:rFonts w:ascii="Times New Roman" w:hAnsi="Times New Roman"/>
                <w:sz w:val="22"/>
              </w:rPr>
            </w:pPr>
            <w:r>
              <w:rPr>
                <w:rFonts w:ascii="Times New Roman" w:hAnsi="Times New Roman"/>
                <w:sz w:val="22"/>
              </w:rPr>
              <w:t>1968.1</w:t>
            </w:r>
          </w:p>
        </w:tc>
        <w:tc>
          <w:tcPr>
            <w:tcW w:w="4856" w:type="dxa"/>
            <w:tcBorders>
              <w:top w:val="single" w:sz="4" w:space="0" w:color="auto"/>
              <w:left w:val="single" w:sz="4" w:space="0" w:color="auto"/>
              <w:bottom w:val="single" w:sz="4" w:space="0" w:color="auto"/>
              <w:right w:val="single" w:sz="4" w:space="0" w:color="auto"/>
            </w:tcBorders>
          </w:tcPr>
          <w:p w14:paraId="25A2C965" w14:textId="77777777" w:rsidR="00A43625" w:rsidRDefault="00A43625">
            <w:pPr>
              <w:rPr>
                <w:sz w:val="22"/>
              </w:rPr>
            </w:pPr>
            <w:r>
              <w:rPr>
                <w:sz w:val="22"/>
              </w:rPr>
              <w:t>Malfunction and Diagnostic System Requirements — 1994 and Subsequent Model-Year Passenger Cars, Light-Duty Trucks and Medium-Duty Vehicles and Engines.</w:t>
            </w:r>
          </w:p>
        </w:tc>
        <w:tc>
          <w:tcPr>
            <w:tcW w:w="1533" w:type="dxa"/>
            <w:tcBorders>
              <w:top w:val="single" w:sz="4" w:space="0" w:color="auto"/>
              <w:left w:val="single" w:sz="4" w:space="0" w:color="auto"/>
              <w:bottom w:val="single" w:sz="4" w:space="0" w:color="auto"/>
            </w:tcBorders>
            <w:vAlign w:val="center"/>
          </w:tcPr>
          <w:p w14:paraId="7114FB62" w14:textId="77777777" w:rsidR="00A43625" w:rsidRPr="00083D88" w:rsidRDefault="00A43625" w:rsidP="00083D88">
            <w:pPr>
              <w:pStyle w:val="RulesFootertext"/>
              <w:rPr>
                <w:sz w:val="22"/>
                <w:szCs w:val="22"/>
              </w:rPr>
            </w:pPr>
            <w:r w:rsidRPr="00083D88">
              <w:rPr>
                <w:sz w:val="22"/>
                <w:szCs w:val="22"/>
              </w:rPr>
              <w:t>11/27/99</w:t>
            </w:r>
          </w:p>
        </w:tc>
      </w:tr>
      <w:tr w:rsidR="00AB2E03" w14:paraId="5C9CD195" w14:textId="77777777" w:rsidTr="00E45722">
        <w:tc>
          <w:tcPr>
            <w:tcW w:w="1800" w:type="dxa"/>
            <w:tcBorders>
              <w:top w:val="single" w:sz="4" w:space="0" w:color="auto"/>
              <w:bottom w:val="single" w:sz="4" w:space="0" w:color="auto"/>
              <w:right w:val="single" w:sz="4" w:space="0" w:color="auto"/>
            </w:tcBorders>
            <w:vAlign w:val="center"/>
          </w:tcPr>
          <w:p w14:paraId="1B5E3DA0" w14:textId="77777777" w:rsidR="00AB2E03" w:rsidRDefault="00AB2E03" w:rsidP="00183A83">
            <w:pPr>
              <w:pStyle w:val="Heading1"/>
              <w:jc w:val="center"/>
              <w:rPr>
                <w:rFonts w:ascii="Times New Roman" w:hAnsi="Times New Roman"/>
                <w:sz w:val="22"/>
              </w:rPr>
            </w:pPr>
            <w:r>
              <w:rPr>
                <w:rFonts w:ascii="Times New Roman" w:hAnsi="Times New Roman"/>
                <w:sz w:val="22"/>
              </w:rPr>
              <w:t>1968.2</w:t>
            </w:r>
          </w:p>
        </w:tc>
        <w:tc>
          <w:tcPr>
            <w:tcW w:w="4856" w:type="dxa"/>
            <w:tcBorders>
              <w:top w:val="single" w:sz="4" w:space="0" w:color="auto"/>
              <w:left w:val="single" w:sz="4" w:space="0" w:color="auto"/>
              <w:bottom w:val="single" w:sz="4" w:space="0" w:color="auto"/>
              <w:right w:val="single" w:sz="4" w:space="0" w:color="auto"/>
            </w:tcBorders>
          </w:tcPr>
          <w:p w14:paraId="096ED2A2" w14:textId="77777777" w:rsidR="00AB2E03" w:rsidRDefault="00AB2E03">
            <w:pPr>
              <w:rPr>
                <w:sz w:val="22"/>
              </w:rPr>
            </w:pPr>
            <w:r>
              <w:rPr>
                <w:sz w:val="22"/>
              </w:rPr>
              <w:t>Malfunction and Diagnostic System Requirements – 2004 and Subsequent Model-Year</w:t>
            </w:r>
            <w:r w:rsidR="004A385B">
              <w:rPr>
                <w:sz w:val="22"/>
              </w:rPr>
              <w:t xml:space="preserve"> Passenger Cars, Light-Duty Trucks and Medium Duty Vehicles and Engines.</w:t>
            </w:r>
          </w:p>
        </w:tc>
        <w:tc>
          <w:tcPr>
            <w:tcW w:w="1533" w:type="dxa"/>
            <w:tcBorders>
              <w:top w:val="single" w:sz="4" w:space="0" w:color="auto"/>
              <w:left w:val="single" w:sz="4" w:space="0" w:color="auto"/>
              <w:bottom w:val="single" w:sz="4" w:space="0" w:color="auto"/>
            </w:tcBorders>
            <w:vAlign w:val="center"/>
          </w:tcPr>
          <w:p w14:paraId="7B934A78" w14:textId="77777777" w:rsidR="00AB2E03" w:rsidRPr="00083D88" w:rsidRDefault="00997F65" w:rsidP="00083D88">
            <w:pPr>
              <w:pStyle w:val="RulesFootertext"/>
              <w:rPr>
                <w:sz w:val="22"/>
                <w:szCs w:val="22"/>
              </w:rPr>
            </w:pPr>
            <w:r w:rsidRPr="00083D88">
              <w:rPr>
                <w:sz w:val="22"/>
                <w:szCs w:val="22"/>
              </w:rPr>
              <w:t>8/7/12</w:t>
            </w:r>
          </w:p>
        </w:tc>
      </w:tr>
      <w:tr w:rsidR="00A43625" w14:paraId="60B95519" w14:textId="77777777" w:rsidTr="006E6368">
        <w:tc>
          <w:tcPr>
            <w:tcW w:w="1800" w:type="dxa"/>
            <w:tcBorders>
              <w:top w:val="single" w:sz="4" w:space="0" w:color="auto"/>
              <w:bottom w:val="single" w:sz="4" w:space="0" w:color="auto"/>
              <w:right w:val="single" w:sz="4" w:space="0" w:color="auto"/>
            </w:tcBorders>
            <w:vAlign w:val="center"/>
          </w:tcPr>
          <w:p w14:paraId="072121DD" w14:textId="77777777" w:rsidR="00A43625" w:rsidRDefault="00A43625" w:rsidP="00183A83">
            <w:pPr>
              <w:pStyle w:val="Heading1"/>
              <w:jc w:val="center"/>
              <w:rPr>
                <w:rFonts w:ascii="Times New Roman" w:hAnsi="Times New Roman"/>
                <w:sz w:val="22"/>
              </w:rPr>
            </w:pPr>
            <w:r>
              <w:rPr>
                <w:rFonts w:ascii="Times New Roman" w:hAnsi="Times New Roman"/>
                <w:sz w:val="22"/>
              </w:rPr>
              <w:t>1976</w:t>
            </w:r>
          </w:p>
        </w:tc>
        <w:tc>
          <w:tcPr>
            <w:tcW w:w="4856" w:type="dxa"/>
            <w:tcBorders>
              <w:top w:val="single" w:sz="4" w:space="0" w:color="auto"/>
              <w:left w:val="single" w:sz="4" w:space="0" w:color="auto"/>
              <w:bottom w:val="single" w:sz="4" w:space="0" w:color="auto"/>
              <w:right w:val="single" w:sz="4" w:space="0" w:color="auto"/>
            </w:tcBorders>
          </w:tcPr>
          <w:p w14:paraId="1D1CE1DF" w14:textId="77777777" w:rsidR="00A43625" w:rsidRDefault="00A43625">
            <w:pPr>
              <w:rPr>
                <w:sz w:val="22"/>
              </w:rPr>
            </w:pPr>
            <w:r>
              <w:rPr>
                <w:sz w:val="22"/>
              </w:rPr>
              <w:t>Standards and Test Procedures for Motor Vehicle Fuel Evaporative Emissions.</w:t>
            </w:r>
          </w:p>
        </w:tc>
        <w:tc>
          <w:tcPr>
            <w:tcW w:w="1533" w:type="dxa"/>
            <w:tcBorders>
              <w:top w:val="single" w:sz="4" w:space="0" w:color="auto"/>
              <w:left w:val="single" w:sz="4" w:space="0" w:color="auto"/>
              <w:bottom w:val="single" w:sz="4" w:space="0" w:color="auto"/>
            </w:tcBorders>
            <w:vAlign w:val="center"/>
          </w:tcPr>
          <w:p w14:paraId="7811DF88" w14:textId="77777777" w:rsidR="00A43625" w:rsidRPr="00083D88" w:rsidRDefault="00997F65" w:rsidP="00083D88">
            <w:pPr>
              <w:pStyle w:val="RulesFootertext"/>
              <w:rPr>
                <w:sz w:val="22"/>
                <w:szCs w:val="22"/>
              </w:rPr>
            </w:pPr>
            <w:r w:rsidRPr="00083D88">
              <w:rPr>
                <w:sz w:val="22"/>
                <w:szCs w:val="22"/>
              </w:rPr>
              <w:t>8/7/12</w:t>
            </w:r>
          </w:p>
        </w:tc>
      </w:tr>
      <w:tr w:rsidR="00A43625" w14:paraId="549C10AD" w14:textId="77777777" w:rsidTr="006E6368">
        <w:tc>
          <w:tcPr>
            <w:tcW w:w="1800" w:type="dxa"/>
            <w:tcBorders>
              <w:top w:val="single" w:sz="4" w:space="0" w:color="auto"/>
              <w:bottom w:val="double" w:sz="4" w:space="0" w:color="auto"/>
              <w:right w:val="single" w:sz="4" w:space="0" w:color="auto"/>
            </w:tcBorders>
            <w:vAlign w:val="center"/>
          </w:tcPr>
          <w:p w14:paraId="4102811D" w14:textId="77777777" w:rsidR="00A43625" w:rsidRDefault="00A43625" w:rsidP="00183A83">
            <w:pPr>
              <w:pStyle w:val="Heading1"/>
              <w:jc w:val="center"/>
              <w:rPr>
                <w:rFonts w:ascii="Times New Roman" w:hAnsi="Times New Roman"/>
                <w:sz w:val="22"/>
              </w:rPr>
            </w:pPr>
            <w:r>
              <w:rPr>
                <w:rFonts w:ascii="Times New Roman" w:hAnsi="Times New Roman"/>
                <w:sz w:val="22"/>
              </w:rPr>
              <w:t>1978</w:t>
            </w:r>
          </w:p>
        </w:tc>
        <w:tc>
          <w:tcPr>
            <w:tcW w:w="4856" w:type="dxa"/>
            <w:tcBorders>
              <w:top w:val="single" w:sz="4" w:space="0" w:color="auto"/>
              <w:left w:val="single" w:sz="4" w:space="0" w:color="auto"/>
              <w:bottom w:val="double" w:sz="4" w:space="0" w:color="auto"/>
              <w:right w:val="single" w:sz="4" w:space="0" w:color="auto"/>
            </w:tcBorders>
          </w:tcPr>
          <w:p w14:paraId="182017FE" w14:textId="77777777" w:rsidR="00A43625" w:rsidRDefault="00A43625">
            <w:pPr>
              <w:rPr>
                <w:sz w:val="22"/>
              </w:rPr>
            </w:pPr>
            <w:r>
              <w:rPr>
                <w:sz w:val="22"/>
              </w:rPr>
              <w:t>Standards and Test Procedures for Vehicle Refueling Emissions.</w:t>
            </w:r>
          </w:p>
        </w:tc>
        <w:tc>
          <w:tcPr>
            <w:tcW w:w="1533" w:type="dxa"/>
            <w:tcBorders>
              <w:top w:val="single" w:sz="4" w:space="0" w:color="auto"/>
              <w:left w:val="single" w:sz="4" w:space="0" w:color="auto"/>
              <w:bottom w:val="double" w:sz="4" w:space="0" w:color="auto"/>
            </w:tcBorders>
            <w:vAlign w:val="center"/>
          </w:tcPr>
          <w:p w14:paraId="224538AD" w14:textId="77777777" w:rsidR="00A43625" w:rsidRPr="00083D88" w:rsidRDefault="00997F65" w:rsidP="00083D88">
            <w:pPr>
              <w:pStyle w:val="RulesFootertext"/>
              <w:rPr>
                <w:sz w:val="22"/>
                <w:szCs w:val="22"/>
              </w:rPr>
            </w:pPr>
            <w:r w:rsidRPr="00083D88">
              <w:rPr>
                <w:sz w:val="22"/>
                <w:szCs w:val="22"/>
              </w:rPr>
              <w:t>8/7/12</w:t>
            </w:r>
          </w:p>
        </w:tc>
      </w:tr>
    </w:tbl>
    <w:p w14:paraId="02388FCC" w14:textId="77777777" w:rsidR="00050490" w:rsidRDefault="00050490">
      <w:pPr>
        <w:rPr>
          <w:sz w:val="22"/>
        </w:rPr>
      </w:pPr>
    </w:p>
    <w:p w14:paraId="4EF13B82" w14:textId="77777777" w:rsidR="00E31AC2" w:rsidRDefault="00E31AC2">
      <w:pPr>
        <w:rPr>
          <w:sz w:val="22"/>
        </w:rPr>
      </w:pPr>
    </w:p>
    <w:tbl>
      <w:tblPr>
        <w:tblW w:w="8201" w:type="dxa"/>
        <w:tblInd w:w="1263"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2"/>
        <w:gridCol w:w="1800"/>
        <w:gridCol w:w="4856"/>
        <w:gridCol w:w="1533"/>
      </w:tblGrid>
      <w:tr w:rsidR="00A43625" w14:paraId="4FB9A6FC" w14:textId="77777777" w:rsidTr="006E6368">
        <w:trPr>
          <w:gridBefore w:val="1"/>
          <w:wBefore w:w="12" w:type="dxa"/>
        </w:trPr>
        <w:tc>
          <w:tcPr>
            <w:tcW w:w="1800" w:type="dxa"/>
            <w:tcBorders>
              <w:top w:val="double" w:sz="4" w:space="0" w:color="auto"/>
              <w:left w:val="double" w:sz="4" w:space="0" w:color="auto"/>
              <w:bottom w:val="single" w:sz="4" w:space="0" w:color="auto"/>
              <w:right w:val="single" w:sz="6" w:space="0" w:color="auto"/>
            </w:tcBorders>
            <w:vAlign w:val="center"/>
          </w:tcPr>
          <w:p w14:paraId="1784BF20" w14:textId="77777777" w:rsidR="00A43625" w:rsidRPr="00F4041E" w:rsidRDefault="00A43625" w:rsidP="00183A83">
            <w:pPr>
              <w:pStyle w:val="Heading1"/>
              <w:jc w:val="center"/>
              <w:rPr>
                <w:rFonts w:ascii="Times New Roman" w:hAnsi="Times New Roman"/>
                <w:b/>
                <w:sz w:val="22"/>
              </w:rPr>
            </w:pPr>
            <w:r w:rsidRPr="00F4041E">
              <w:rPr>
                <w:rFonts w:ascii="Times New Roman" w:hAnsi="Times New Roman"/>
                <w:b/>
                <w:sz w:val="22"/>
              </w:rPr>
              <w:t>Title 13 CCR</w:t>
            </w:r>
          </w:p>
        </w:tc>
        <w:tc>
          <w:tcPr>
            <w:tcW w:w="4856" w:type="dxa"/>
            <w:tcBorders>
              <w:top w:val="double" w:sz="4" w:space="0" w:color="auto"/>
              <w:left w:val="single" w:sz="6" w:space="0" w:color="auto"/>
              <w:bottom w:val="single" w:sz="4" w:space="0" w:color="auto"/>
              <w:right w:val="single" w:sz="6" w:space="0" w:color="auto"/>
            </w:tcBorders>
            <w:vAlign w:val="center"/>
          </w:tcPr>
          <w:p w14:paraId="5AA4F163" w14:textId="77777777" w:rsidR="00A43625" w:rsidRPr="00F4041E" w:rsidRDefault="00A43625" w:rsidP="00183A83">
            <w:pPr>
              <w:pStyle w:val="Heading2"/>
              <w:rPr>
                <w:rFonts w:ascii="Times New Roman" w:hAnsi="Times New Roman"/>
                <w:b/>
                <w:sz w:val="22"/>
              </w:rPr>
            </w:pPr>
            <w:r w:rsidRPr="00F4041E">
              <w:rPr>
                <w:rFonts w:ascii="Times New Roman" w:hAnsi="Times New Roman"/>
                <w:b/>
                <w:sz w:val="22"/>
              </w:rPr>
              <w:t>Title</w:t>
            </w:r>
          </w:p>
        </w:tc>
        <w:tc>
          <w:tcPr>
            <w:tcW w:w="1533" w:type="dxa"/>
            <w:tcBorders>
              <w:top w:val="double" w:sz="4" w:space="0" w:color="auto"/>
              <w:left w:val="single" w:sz="6" w:space="0" w:color="auto"/>
              <w:bottom w:val="single" w:sz="4" w:space="0" w:color="auto"/>
            </w:tcBorders>
          </w:tcPr>
          <w:p w14:paraId="04CD36BD" w14:textId="77777777" w:rsidR="00A43625" w:rsidRPr="00F4041E" w:rsidRDefault="00A43625">
            <w:pPr>
              <w:pStyle w:val="Heading2"/>
              <w:rPr>
                <w:rFonts w:ascii="Times New Roman" w:hAnsi="Times New Roman"/>
                <w:b/>
                <w:sz w:val="22"/>
                <w:szCs w:val="22"/>
              </w:rPr>
            </w:pPr>
            <w:r w:rsidRPr="00F4041E">
              <w:rPr>
                <w:rFonts w:ascii="Times New Roman" w:hAnsi="Times New Roman"/>
                <w:b/>
                <w:sz w:val="22"/>
                <w:szCs w:val="22"/>
              </w:rPr>
              <w:t>Section Amended Date</w:t>
            </w:r>
          </w:p>
        </w:tc>
      </w:tr>
      <w:tr w:rsidR="00E45722" w14:paraId="41AD5C4C"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2047DF79" w14:textId="77777777" w:rsidR="00E45722" w:rsidRDefault="00E45722" w:rsidP="004C17FD">
            <w:pPr>
              <w:pStyle w:val="Heading1"/>
              <w:jc w:val="center"/>
              <w:rPr>
                <w:rFonts w:ascii="Times New Roman" w:hAnsi="Times New Roman"/>
                <w:sz w:val="22"/>
              </w:rPr>
            </w:pPr>
            <w:r>
              <w:rPr>
                <w:rFonts w:ascii="Times New Roman" w:hAnsi="Times New Roman"/>
                <w:sz w:val="22"/>
              </w:rPr>
              <w:t>Article 6</w:t>
            </w:r>
          </w:p>
        </w:tc>
        <w:tc>
          <w:tcPr>
            <w:tcW w:w="4856" w:type="dxa"/>
            <w:tcBorders>
              <w:top w:val="single" w:sz="4" w:space="0" w:color="auto"/>
              <w:left w:val="single" w:sz="4" w:space="0" w:color="auto"/>
              <w:bottom w:val="single" w:sz="4" w:space="0" w:color="auto"/>
              <w:right w:val="single" w:sz="4" w:space="0" w:color="auto"/>
            </w:tcBorders>
          </w:tcPr>
          <w:p w14:paraId="0054FB34" w14:textId="77777777" w:rsidR="00E45722" w:rsidRDefault="00E45722" w:rsidP="004C17FD">
            <w:pPr>
              <w:rPr>
                <w:sz w:val="22"/>
              </w:rPr>
            </w:pPr>
            <w:r>
              <w:rPr>
                <w:sz w:val="22"/>
              </w:rPr>
              <w:t>Emission Control System Warranty.</w:t>
            </w:r>
          </w:p>
        </w:tc>
        <w:tc>
          <w:tcPr>
            <w:tcW w:w="1533" w:type="dxa"/>
            <w:tcBorders>
              <w:top w:val="single" w:sz="4" w:space="0" w:color="auto"/>
              <w:left w:val="single" w:sz="4" w:space="0" w:color="auto"/>
              <w:bottom w:val="single" w:sz="4" w:space="0" w:color="auto"/>
              <w:right w:val="double" w:sz="4" w:space="0" w:color="auto"/>
            </w:tcBorders>
            <w:vAlign w:val="center"/>
          </w:tcPr>
          <w:p w14:paraId="5735AFFD" w14:textId="77777777" w:rsidR="00E45722" w:rsidRPr="00083D88" w:rsidRDefault="00E45722" w:rsidP="004C17FD">
            <w:pPr>
              <w:pStyle w:val="Heading2"/>
              <w:rPr>
                <w:rFonts w:ascii="Times New Roman" w:hAnsi="Times New Roman"/>
                <w:sz w:val="22"/>
                <w:szCs w:val="22"/>
              </w:rPr>
            </w:pPr>
          </w:p>
        </w:tc>
      </w:tr>
      <w:tr w:rsidR="00E45722" w14:paraId="1879C9B0" w14:textId="77777777" w:rsidTr="00E45722">
        <w:trPr>
          <w:gridBefore w:val="1"/>
          <w:wBefore w:w="12" w:type="dxa"/>
        </w:trPr>
        <w:tc>
          <w:tcPr>
            <w:tcW w:w="1800" w:type="dxa"/>
            <w:tcBorders>
              <w:top w:val="single" w:sz="4" w:space="0" w:color="auto"/>
              <w:bottom w:val="nil"/>
              <w:right w:val="single" w:sz="4" w:space="0" w:color="auto"/>
            </w:tcBorders>
            <w:vAlign w:val="center"/>
          </w:tcPr>
          <w:p w14:paraId="32BA9A3D" w14:textId="77777777" w:rsidR="00E45722" w:rsidRDefault="00E45722" w:rsidP="004C17FD">
            <w:pPr>
              <w:pStyle w:val="Heading1"/>
              <w:jc w:val="center"/>
              <w:rPr>
                <w:rFonts w:ascii="Times New Roman" w:hAnsi="Times New Roman"/>
                <w:sz w:val="22"/>
              </w:rPr>
            </w:pPr>
            <w:r>
              <w:rPr>
                <w:rFonts w:ascii="Times New Roman" w:hAnsi="Times New Roman"/>
                <w:sz w:val="22"/>
              </w:rPr>
              <w:t>2035</w:t>
            </w:r>
          </w:p>
        </w:tc>
        <w:tc>
          <w:tcPr>
            <w:tcW w:w="4856" w:type="dxa"/>
            <w:tcBorders>
              <w:top w:val="single" w:sz="4" w:space="0" w:color="auto"/>
              <w:left w:val="single" w:sz="4" w:space="0" w:color="auto"/>
              <w:bottom w:val="nil"/>
              <w:right w:val="single" w:sz="4" w:space="0" w:color="auto"/>
            </w:tcBorders>
          </w:tcPr>
          <w:p w14:paraId="3BBBECB4" w14:textId="77777777" w:rsidR="00E45722" w:rsidRDefault="00E45722" w:rsidP="004C17FD">
            <w:pPr>
              <w:rPr>
                <w:sz w:val="22"/>
              </w:rPr>
            </w:pPr>
            <w:r>
              <w:rPr>
                <w:sz w:val="22"/>
              </w:rPr>
              <w:t>Purpose, Applicability, and Definitions.</w:t>
            </w:r>
          </w:p>
        </w:tc>
        <w:tc>
          <w:tcPr>
            <w:tcW w:w="1533" w:type="dxa"/>
            <w:tcBorders>
              <w:top w:val="single" w:sz="4" w:space="0" w:color="auto"/>
              <w:left w:val="single" w:sz="4" w:space="0" w:color="auto"/>
              <w:bottom w:val="nil"/>
            </w:tcBorders>
            <w:vAlign w:val="center"/>
          </w:tcPr>
          <w:p w14:paraId="3374875D"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11/09/07</w:t>
            </w:r>
          </w:p>
        </w:tc>
      </w:tr>
      <w:tr w:rsidR="00E45722" w14:paraId="3C9C7173" w14:textId="77777777" w:rsidTr="00E45722">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133B22AE" w14:textId="77777777" w:rsidR="00E45722" w:rsidRDefault="00E45722" w:rsidP="004C17FD">
            <w:pPr>
              <w:pStyle w:val="Heading1"/>
              <w:jc w:val="center"/>
              <w:rPr>
                <w:rFonts w:ascii="Times New Roman" w:hAnsi="Times New Roman"/>
                <w:sz w:val="22"/>
              </w:rPr>
            </w:pPr>
            <w:r>
              <w:rPr>
                <w:rFonts w:ascii="Times New Roman" w:hAnsi="Times New Roman"/>
                <w:sz w:val="22"/>
              </w:rPr>
              <w:t>2036</w:t>
            </w:r>
          </w:p>
        </w:tc>
        <w:tc>
          <w:tcPr>
            <w:tcW w:w="4856" w:type="dxa"/>
            <w:tcBorders>
              <w:top w:val="single" w:sz="4" w:space="0" w:color="auto"/>
              <w:left w:val="single" w:sz="4" w:space="0" w:color="auto"/>
              <w:bottom w:val="single" w:sz="4" w:space="0" w:color="auto"/>
              <w:right w:val="single" w:sz="4" w:space="0" w:color="auto"/>
            </w:tcBorders>
          </w:tcPr>
          <w:p w14:paraId="5EAE3A76" w14:textId="77777777" w:rsidR="00E45722" w:rsidRDefault="00E45722" w:rsidP="004C17FD">
            <w:pPr>
              <w:rPr>
                <w:sz w:val="22"/>
              </w:rPr>
            </w:pPr>
            <w:r>
              <w:rPr>
                <w:sz w:val="22"/>
              </w:rPr>
              <w:t>Defects Warranty Requirements for 1979 Through 1989 Model Passenger Cars, Light-Duty Trucks, and Medium-Duty Vehicles; 1979 and Subsequent Model Motorcycles and Heavy-Duty Vehicles; and Motor Vehicle Engines Used in Such Vehicles.</w:t>
            </w:r>
          </w:p>
        </w:tc>
        <w:tc>
          <w:tcPr>
            <w:tcW w:w="1533" w:type="dxa"/>
            <w:tcBorders>
              <w:top w:val="single" w:sz="4" w:space="0" w:color="auto"/>
              <w:left w:val="single" w:sz="4" w:space="0" w:color="auto"/>
              <w:bottom w:val="single" w:sz="4" w:space="0" w:color="auto"/>
            </w:tcBorders>
            <w:vAlign w:val="center"/>
          </w:tcPr>
          <w:p w14:paraId="5D05A51F"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5/15/99</w:t>
            </w:r>
          </w:p>
        </w:tc>
      </w:tr>
      <w:tr w:rsidR="00E45722" w14:paraId="04B56E92" w14:textId="77777777" w:rsidTr="00E31AC2">
        <w:tc>
          <w:tcPr>
            <w:tcW w:w="1812" w:type="dxa"/>
            <w:gridSpan w:val="2"/>
            <w:tcBorders>
              <w:top w:val="single" w:sz="4" w:space="0" w:color="auto"/>
              <w:left w:val="double" w:sz="4" w:space="0" w:color="auto"/>
              <w:bottom w:val="single" w:sz="4" w:space="0" w:color="auto"/>
              <w:right w:val="single" w:sz="4" w:space="0" w:color="auto"/>
            </w:tcBorders>
            <w:vAlign w:val="center"/>
          </w:tcPr>
          <w:p w14:paraId="58B924CA" w14:textId="77777777" w:rsidR="00E45722" w:rsidRDefault="00E45722" w:rsidP="004C17FD">
            <w:pPr>
              <w:pStyle w:val="Heading1"/>
              <w:jc w:val="center"/>
              <w:rPr>
                <w:rFonts w:ascii="Times New Roman" w:hAnsi="Times New Roman"/>
                <w:sz w:val="22"/>
              </w:rPr>
            </w:pPr>
            <w:r>
              <w:rPr>
                <w:rFonts w:ascii="Times New Roman" w:hAnsi="Times New Roman"/>
                <w:sz w:val="22"/>
              </w:rPr>
              <w:t>2037</w:t>
            </w:r>
          </w:p>
        </w:tc>
        <w:tc>
          <w:tcPr>
            <w:tcW w:w="4856" w:type="dxa"/>
            <w:tcBorders>
              <w:top w:val="single" w:sz="4" w:space="0" w:color="auto"/>
              <w:left w:val="single" w:sz="4" w:space="0" w:color="auto"/>
              <w:bottom w:val="single" w:sz="4" w:space="0" w:color="auto"/>
              <w:right w:val="single" w:sz="4" w:space="0" w:color="auto"/>
            </w:tcBorders>
          </w:tcPr>
          <w:p w14:paraId="51C53552" w14:textId="77777777" w:rsidR="00E45722" w:rsidRDefault="00E45722" w:rsidP="004C17FD">
            <w:pPr>
              <w:rPr>
                <w:sz w:val="22"/>
              </w:rPr>
            </w:pPr>
            <w:r>
              <w:rPr>
                <w:sz w:val="22"/>
              </w:rPr>
              <w:t>Defects Warranty Requirements for 1990 and Subsequent Model Passenger Cars, Light-Duty Trucks, and Medium-Duty Vehicles, and Motor Vehicle Engines Used in Such Vehicles.</w:t>
            </w:r>
          </w:p>
        </w:tc>
        <w:tc>
          <w:tcPr>
            <w:tcW w:w="1533" w:type="dxa"/>
            <w:tcBorders>
              <w:top w:val="single" w:sz="4" w:space="0" w:color="auto"/>
              <w:left w:val="single" w:sz="4" w:space="0" w:color="auto"/>
              <w:bottom w:val="single" w:sz="4" w:space="0" w:color="auto"/>
            </w:tcBorders>
            <w:vAlign w:val="center"/>
          </w:tcPr>
          <w:p w14:paraId="159B5FC3" w14:textId="77777777" w:rsidR="00E45722" w:rsidRPr="00083D88" w:rsidRDefault="00997F65" w:rsidP="004C17FD">
            <w:pPr>
              <w:pStyle w:val="RulesFootertext"/>
              <w:rPr>
                <w:sz w:val="22"/>
                <w:szCs w:val="22"/>
              </w:rPr>
            </w:pPr>
            <w:r w:rsidRPr="00083D88">
              <w:rPr>
                <w:sz w:val="22"/>
                <w:szCs w:val="22"/>
              </w:rPr>
              <w:t>8/7/12</w:t>
            </w:r>
          </w:p>
        </w:tc>
      </w:tr>
      <w:tr w:rsidR="004D0AF0" w14:paraId="60955D23" w14:textId="77777777" w:rsidTr="00E45722">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3F5F8964" w14:textId="77777777" w:rsidR="004D0AF0" w:rsidRDefault="004D0AF0" w:rsidP="00183A83">
            <w:pPr>
              <w:pStyle w:val="Heading1"/>
              <w:jc w:val="center"/>
              <w:rPr>
                <w:rFonts w:ascii="Times New Roman" w:hAnsi="Times New Roman"/>
                <w:sz w:val="22"/>
              </w:rPr>
            </w:pPr>
            <w:r>
              <w:rPr>
                <w:rFonts w:ascii="Times New Roman" w:hAnsi="Times New Roman"/>
                <w:sz w:val="22"/>
              </w:rPr>
              <w:t>2038</w:t>
            </w:r>
          </w:p>
        </w:tc>
        <w:tc>
          <w:tcPr>
            <w:tcW w:w="4856" w:type="dxa"/>
            <w:tcBorders>
              <w:top w:val="single" w:sz="4" w:space="0" w:color="auto"/>
              <w:left w:val="single" w:sz="4" w:space="0" w:color="auto"/>
              <w:bottom w:val="single" w:sz="4" w:space="0" w:color="auto"/>
              <w:right w:val="single" w:sz="4" w:space="0" w:color="auto"/>
            </w:tcBorders>
          </w:tcPr>
          <w:p w14:paraId="4F269D90" w14:textId="77777777" w:rsidR="004D0AF0" w:rsidRDefault="004D0AF0">
            <w:pPr>
              <w:pStyle w:val="Header"/>
              <w:tabs>
                <w:tab w:val="clear" w:pos="4320"/>
                <w:tab w:val="clear" w:pos="8640"/>
              </w:tabs>
              <w:rPr>
                <w:sz w:val="22"/>
              </w:rPr>
            </w:pPr>
            <w:r w:rsidRPr="00050490">
              <w:rPr>
                <w:sz w:val="22"/>
              </w:rPr>
              <w:t>Performance Warranty for 1990 and Subsequent Model Passenger Cars, Light-Duty Trucks, Medium-Duty Vehicles and Motor Vehicle Engines Used in Such Vehicles.</w:t>
            </w:r>
          </w:p>
        </w:tc>
        <w:tc>
          <w:tcPr>
            <w:tcW w:w="1533" w:type="dxa"/>
            <w:tcBorders>
              <w:top w:val="single" w:sz="4" w:space="0" w:color="auto"/>
              <w:left w:val="single" w:sz="4" w:space="0" w:color="auto"/>
              <w:bottom w:val="single" w:sz="4" w:space="0" w:color="auto"/>
            </w:tcBorders>
            <w:vAlign w:val="center"/>
          </w:tcPr>
          <w:p w14:paraId="17778E28" w14:textId="77777777" w:rsidR="004D0AF0" w:rsidRPr="00083D88" w:rsidRDefault="00997F65" w:rsidP="00183A83">
            <w:pPr>
              <w:pStyle w:val="Heading2"/>
              <w:rPr>
                <w:rFonts w:ascii="Times New Roman" w:hAnsi="Times New Roman"/>
                <w:sz w:val="22"/>
                <w:szCs w:val="22"/>
              </w:rPr>
            </w:pPr>
            <w:r w:rsidRPr="00083D88">
              <w:rPr>
                <w:rFonts w:ascii="Times New Roman" w:hAnsi="Times New Roman"/>
                <w:sz w:val="22"/>
                <w:szCs w:val="22"/>
              </w:rPr>
              <w:t>8/7/12</w:t>
            </w:r>
          </w:p>
        </w:tc>
      </w:tr>
      <w:tr w:rsidR="004D0AF0" w14:paraId="089A2464" w14:textId="77777777" w:rsidTr="00E45722">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5D22E1ED" w14:textId="77777777" w:rsidR="004D0AF0" w:rsidRDefault="004D0AF0" w:rsidP="00183A83">
            <w:pPr>
              <w:pStyle w:val="Heading1"/>
              <w:jc w:val="center"/>
              <w:rPr>
                <w:rFonts w:ascii="Times New Roman" w:hAnsi="Times New Roman"/>
                <w:sz w:val="22"/>
              </w:rPr>
            </w:pPr>
            <w:r>
              <w:rPr>
                <w:rFonts w:ascii="Times New Roman" w:hAnsi="Times New Roman"/>
                <w:sz w:val="22"/>
              </w:rPr>
              <w:t>2039</w:t>
            </w:r>
          </w:p>
        </w:tc>
        <w:tc>
          <w:tcPr>
            <w:tcW w:w="4856" w:type="dxa"/>
            <w:tcBorders>
              <w:top w:val="single" w:sz="4" w:space="0" w:color="auto"/>
              <w:left w:val="single" w:sz="4" w:space="0" w:color="auto"/>
              <w:bottom w:val="single" w:sz="4" w:space="0" w:color="auto"/>
              <w:right w:val="single" w:sz="4" w:space="0" w:color="auto"/>
            </w:tcBorders>
          </w:tcPr>
          <w:p w14:paraId="1E42359D" w14:textId="77777777" w:rsidR="004D0AF0" w:rsidRDefault="004D0AF0">
            <w:pPr>
              <w:pStyle w:val="Header"/>
              <w:tabs>
                <w:tab w:val="clear" w:pos="4320"/>
                <w:tab w:val="clear" w:pos="8640"/>
              </w:tabs>
              <w:rPr>
                <w:sz w:val="22"/>
              </w:rPr>
            </w:pPr>
            <w:r>
              <w:rPr>
                <w:sz w:val="22"/>
              </w:rPr>
              <w:t xml:space="preserve">Emissions Control System Warranty Statement. </w:t>
            </w:r>
          </w:p>
        </w:tc>
        <w:tc>
          <w:tcPr>
            <w:tcW w:w="1533" w:type="dxa"/>
            <w:tcBorders>
              <w:top w:val="single" w:sz="4" w:space="0" w:color="auto"/>
              <w:left w:val="single" w:sz="4" w:space="0" w:color="auto"/>
              <w:bottom w:val="single" w:sz="4" w:space="0" w:color="auto"/>
            </w:tcBorders>
            <w:vAlign w:val="center"/>
          </w:tcPr>
          <w:p w14:paraId="6D0F8CD1"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12/26/90</w:t>
            </w:r>
          </w:p>
        </w:tc>
      </w:tr>
      <w:tr w:rsidR="004D0AF0" w14:paraId="410230F3" w14:textId="77777777" w:rsidTr="00E45722">
        <w:trPr>
          <w:gridBefore w:val="1"/>
          <w:wBefore w:w="12" w:type="dxa"/>
        </w:trPr>
        <w:tc>
          <w:tcPr>
            <w:tcW w:w="1800" w:type="dxa"/>
            <w:tcBorders>
              <w:top w:val="single" w:sz="4" w:space="0" w:color="auto"/>
              <w:left w:val="double" w:sz="4" w:space="0" w:color="auto"/>
              <w:bottom w:val="nil"/>
              <w:right w:val="single" w:sz="4" w:space="0" w:color="auto"/>
            </w:tcBorders>
            <w:vAlign w:val="center"/>
          </w:tcPr>
          <w:p w14:paraId="1C72CA8D" w14:textId="77777777" w:rsidR="004D0AF0" w:rsidRDefault="004D0AF0" w:rsidP="00183A83">
            <w:pPr>
              <w:pStyle w:val="Heading1"/>
              <w:jc w:val="center"/>
              <w:rPr>
                <w:rFonts w:ascii="Times New Roman" w:hAnsi="Times New Roman"/>
                <w:sz w:val="22"/>
              </w:rPr>
            </w:pPr>
            <w:r>
              <w:rPr>
                <w:rFonts w:ascii="Times New Roman" w:hAnsi="Times New Roman"/>
                <w:sz w:val="22"/>
              </w:rPr>
              <w:t>2040</w:t>
            </w:r>
          </w:p>
        </w:tc>
        <w:tc>
          <w:tcPr>
            <w:tcW w:w="4856" w:type="dxa"/>
            <w:tcBorders>
              <w:top w:val="single" w:sz="4" w:space="0" w:color="auto"/>
              <w:left w:val="single" w:sz="4" w:space="0" w:color="auto"/>
              <w:bottom w:val="nil"/>
              <w:right w:val="single" w:sz="4" w:space="0" w:color="auto"/>
            </w:tcBorders>
          </w:tcPr>
          <w:p w14:paraId="7AD13BDD" w14:textId="77777777" w:rsidR="004D0AF0" w:rsidRDefault="004D0AF0">
            <w:pPr>
              <w:rPr>
                <w:sz w:val="22"/>
              </w:rPr>
            </w:pPr>
            <w:r>
              <w:rPr>
                <w:sz w:val="22"/>
              </w:rPr>
              <w:t xml:space="preserve">Vehicle Owner Obligations. </w:t>
            </w:r>
          </w:p>
        </w:tc>
        <w:tc>
          <w:tcPr>
            <w:tcW w:w="1533" w:type="dxa"/>
            <w:tcBorders>
              <w:top w:val="single" w:sz="4" w:space="0" w:color="auto"/>
              <w:left w:val="single" w:sz="4" w:space="0" w:color="auto"/>
              <w:bottom w:val="nil"/>
            </w:tcBorders>
            <w:vAlign w:val="center"/>
          </w:tcPr>
          <w:p w14:paraId="47F299C7"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12/26/90</w:t>
            </w:r>
          </w:p>
        </w:tc>
      </w:tr>
      <w:tr w:rsidR="004D0AF0" w14:paraId="68EA71C0"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0C1CA2F6" w14:textId="77777777" w:rsidR="004D0AF0" w:rsidRDefault="004D0AF0" w:rsidP="00183A83">
            <w:pPr>
              <w:pStyle w:val="Heading1"/>
              <w:jc w:val="center"/>
              <w:rPr>
                <w:rFonts w:ascii="Times New Roman" w:hAnsi="Times New Roman"/>
                <w:sz w:val="22"/>
              </w:rPr>
            </w:pPr>
            <w:r>
              <w:rPr>
                <w:rFonts w:ascii="Times New Roman" w:hAnsi="Times New Roman"/>
                <w:sz w:val="22"/>
              </w:rPr>
              <w:t>2046</w:t>
            </w:r>
          </w:p>
        </w:tc>
        <w:tc>
          <w:tcPr>
            <w:tcW w:w="4856" w:type="dxa"/>
            <w:tcBorders>
              <w:top w:val="single" w:sz="4" w:space="0" w:color="auto"/>
              <w:left w:val="single" w:sz="4" w:space="0" w:color="auto"/>
              <w:bottom w:val="single" w:sz="4" w:space="0" w:color="auto"/>
              <w:right w:val="single" w:sz="4" w:space="0" w:color="auto"/>
            </w:tcBorders>
          </w:tcPr>
          <w:p w14:paraId="41A47230" w14:textId="77777777" w:rsidR="004D0AF0" w:rsidRDefault="004D0AF0">
            <w:pPr>
              <w:rPr>
                <w:sz w:val="22"/>
              </w:rPr>
            </w:pPr>
            <w:r>
              <w:rPr>
                <w:sz w:val="22"/>
              </w:rPr>
              <w:t>Defective Catalyst.</w:t>
            </w:r>
          </w:p>
        </w:tc>
        <w:tc>
          <w:tcPr>
            <w:tcW w:w="1533" w:type="dxa"/>
            <w:tcBorders>
              <w:top w:val="single" w:sz="4" w:space="0" w:color="auto"/>
              <w:left w:val="single" w:sz="4" w:space="0" w:color="auto"/>
              <w:bottom w:val="single" w:sz="4" w:space="0" w:color="auto"/>
            </w:tcBorders>
            <w:vAlign w:val="center"/>
          </w:tcPr>
          <w:p w14:paraId="5CBD6577"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1/16/79</w:t>
            </w:r>
          </w:p>
        </w:tc>
      </w:tr>
      <w:tr w:rsidR="004D0AF0" w14:paraId="6BDA8679" w14:textId="77777777" w:rsidTr="006E6368">
        <w:trPr>
          <w:gridBefore w:val="1"/>
          <w:wBefore w:w="12" w:type="dxa"/>
        </w:trPr>
        <w:tc>
          <w:tcPr>
            <w:tcW w:w="1800" w:type="dxa"/>
            <w:tcBorders>
              <w:top w:val="nil"/>
              <w:left w:val="double" w:sz="4" w:space="0" w:color="auto"/>
              <w:bottom w:val="nil"/>
              <w:right w:val="single" w:sz="4" w:space="0" w:color="auto"/>
            </w:tcBorders>
            <w:vAlign w:val="center"/>
          </w:tcPr>
          <w:p w14:paraId="051AC5B2" w14:textId="77777777" w:rsidR="004D0AF0" w:rsidRDefault="004D0AF0" w:rsidP="00183A83">
            <w:pPr>
              <w:pStyle w:val="Heading1"/>
              <w:jc w:val="center"/>
              <w:rPr>
                <w:rFonts w:ascii="Times New Roman" w:hAnsi="Times New Roman"/>
                <w:sz w:val="22"/>
              </w:rPr>
            </w:pPr>
            <w:r>
              <w:rPr>
                <w:rFonts w:ascii="Times New Roman" w:hAnsi="Times New Roman"/>
                <w:sz w:val="22"/>
              </w:rPr>
              <w:t>Article 7.</w:t>
            </w:r>
          </w:p>
        </w:tc>
        <w:tc>
          <w:tcPr>
            <w:tcW w:w="4856" w:type="dxa"/>
            <w:tcBorders>
              <w:top w:val="single" w:sz="4" w:space="0" w:color="auto"/>
              <w:left w:val="single" w:sz="4" w:space="0" w:color="auto"/>
              <w:bottom w:val="single" w:sz="4" w:space="0" w:color="auto"/>
              <w:right w:val="single" w:sz="4" w:space="0" w:color="auto"/>
            </w:tcBorders>
          </w:tcPr>
          <w:p w14:paraId="6F1EE333" w14:textId="77777777" w:rsidR="004D0AF0" w:rsidRDefault="004D0AF0">
            <w:pPr>
              <w:rPr>
                <w:sz w:val="22"/>
              </w:rPr>
            </w:pPr>
            <w:r>
              <w:rPr>
                <w:sz w:val="22"/>
              </w:rPr>
              <w:t>Procedures for Certifying Used Modifier-Certified Motor Vehicles and Licensing Requirements for Vehicle Emission Test Laboratories.</w:t>
            </w:r>
          </w:p>
        </w:tc>
        <w:tc>
          <w:tcPr>
            <w:tcW w:w="1533" w:type="dxa"/>
            <w:tcBorders>
              <w:top w:val="single" w:sz="4" w:space="0" w:color="auto"/>
              <w:left w:val="single" w:sz="4" w:space="0" w:color="auto"/>
              <w:bottom w:val="single" w:sz="4" w:space="0" w:color="auto"/>
            </w:tcBorders>
            <w:vAlign w:val="center"/>
          </w:tcPr>
          <w:p w14:paraId="0EFF1BCF" w14:textId="77777777" w:rsidR="004D0AF0" w:rsidRPr="00083D88" w:rsidRDefault="004D0AF0" w:rsidP="00183A83">
            <w:pPr>
              <w:pStyle w:val="Heading2"/>
              <w:rPr>
                <w:rFonts w:ascii="Times New Roman" w:hAnsi="Times New Roman"/>
                <w:sz w:val="22"/>
                <w:szCs w:val="22"/>
              </w:rPr>
            </w:pPr>
          </w:p>
        </w:tc>
      </w:tr>
      <w:tr w:rsidR="004D0AF0" w14:paraId="10F30BD1"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3965CB97" w14:textId="77777777" w:rsidR="004D0AF0" w:rsidRDefault="004D0AF0" w:rsidP="00183A83">
            <w:pPr>
              <w:pStyle w:val="Heading1"/>
              <w:jc w:val="center"/>
              <w:rPr>
                <w:rFonts w:ascii="Times New Roman" w:hAnsi="Times New Roman"/>
                <w:sz w:val="22"/>
              </w:rPr>
            </w:pPr>
            <w:r>
              <w:rPr>
                <w:rFonts w:ascii="Times New Roman" w:hAnsi="Times New Roman"/>
                <w:sz w:val="22"/>
              </w:rPr>
              <w:t>2047</w:t>
            </w:r>
          </w:p>
        </w:tc>
        <w:tc>
          <w:tcPr>
            <w:tcW w:w="4856" w:type="dxa"/>
            <w:tcBorders>
              <w:top w:val="single" w:sz="4" w:space="0" w:color="auto"/>
              <w:left w:val="single" w:sz="4" w:space="0" w:color="auto"/>
              <w:bottom w:val="single" w:sz="4" w:space="0" w:color="auto"/>
              <w:right w:val="single" w:sz="4" w:space="0" w:color="auto"/>
            </w:tcBorders>
          </w:tcPr>
          <w:p w14:paraId="11402E9C" w14:textId="77777777" w:rsidR="004D0AF0" w:rsidRDefault="004D0AF0">
            <w:pPr>
              <w:rPr>
                <w:sz w:val="22"/>
              </w:rPr>
            </w:pPr>
            <w:r>
              <w:rPr>
                <w:sz w:val="22"/>
              </w:rPr>
              <w:t>Certification Procedures for Used Modifier-Certified Motor Vehicles.</w:t>
            </w:r>
          </w:p>
        </w:tc>
        <w:tc>
          <w:tcPr>
            <w:tcW w:w="1533" w:type="dxa"/>
            <w:tcBorders>
              <w:top w:val="single" w:sz="4" w:space="0" w:color="auto"/>
              <w:left w:val="single" w:sz="4" w:space="0" w:color="auto"/>
              <w:bottom w:val="single" w:sz="4" w:space="0" w:color="auto"/>
            </w:tcBorders>
            <w:vAlign w:val="center"/>
          </w:tcPr>
          <w:p w14:paraId="6648C679" w14:textId="77777777" w:rsidR="004D0AF0" w:rsidRPr="00083D88" w:rsidRDefault="005F68F9" w:rsidP="00183A83">
            <w:pPr>
              <w:pStyle w:val="Heading2"/>
              <w:rPr>
                <w:rFonts w:ascii="Times New Roman" w:hAnsi="Times New Roman"/>
                <w:sz w:val="22"/>
                <w:szCs w:val="22"/>
              </w:rPr>
            </w:pPr>
            <w:r w:rsidRPr="00083D88">
              <w:rPr>
                <w:rFonts w:ascii="Times New Roman" w:hAnsi="Times New Roman"/>
                <w:sz w:val="22"/>
                <w:szCs w:val="22"/>
              </w:rPr>
              <w:t>5/31/88</w:t>
            </w:r>
          </w:p>
        </w:tc>
      </w:tr>
      <w:tr w:rsidR="004D0AF0" w14:paraId="0BF89E22"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57190E11" w14:textId="77777777" w:rsidR="004D0AF0" w:rsidRDefault="004D0AF0" w:rsidP="00183A83">
            <w:pPr>
              <w:pStyle w:val="Heading1"/>
              <w:jc w:val="center"/>
              <w:rPr>
                <w:rFonts w:ascii="Times New Roman" w:hAnsi="Times New Roman"/>
                <w:sz w:val="22"/>
              </w:rPr>
            </w:pPr>
            <w:r>
              <w:rPr>
                <w:rFonts w:ascii="Times New Roman" w:hAnsi="Times New Roman"/>
                <w:sz w:val="22"/>
              </w:rPr>
              <w:t>Chapter 2</w:t>
            </w:r>
          </w:p>
        </w:tc>
        <w:tc>
          <w:tcPr>
            <w:tcW w:w="4856" w:type="dxa"/>
            <w:tcBorders>
              <w:top w:val="single" w:sz="4" w:space="0" w:color="auto"/>
              <w:left w:val="single" w:sz="4" w:space="0" w:color="auto"/>
              <w:bottom w:val="single" w:sz="4" w:space="0" w:color="auto"/>
              <w:right w:val="single" w:sz="4" w:space="0" w:color="auto"/>
            </w:tcBorders>
          </w:tcPr>
          <w:p w14:paraId="773D8467" w14:textId="77777777" w:rsidR="004D0AF0" w:rsidRDefault="004D0AF0">
            <w:pPr>
              <w:rPr>
                <w:sz w:val="22"/>
              </w:rPr>
            </w:pPr>
            <w:r>
              <w:rPr>
                <w:sz w:val="22"/>
              </w:rPr>
              <w:t>Enforcement of Vehicle Emission Standards and Surveillance Testing.</w:t>
            </w:r>
          </w:p>
        </w:tc>
        <w:tc>
          <w:tcPr>
            <w:tcW w:w="1533" w:type="dxa"/>
            <w:tcBorders>
              <w:top w:val="single" w:sz="4" w:space="0" w:color="auto"/>
              <w:left w:val="single" w:sz="4" w:space="0" w:color="auto"/>
              <w:bottom w:val="single" w:sz="4" w:space="0" w:color="auto"/>
            </w:tcBorders>
            <w:vAlign w:val="center"/>
          </w:tcPr>
          <w:p w14:paraId="0E0D68A5" w14:textId="77777777" w:rsidR="004D0AF0" w:rsidRPr="00083D88" w:rsidRDefault="004D0AF0" w:rsidP="00183A83">
            <w:pPr>
              <w:pStyle w:val="Heading2"/>
              <w:rPr>
                <w:rFonts w:ascii="Times New Roman" w:hAnsi="Times New Roman"/>
                <w:sz w:val="22"/>
                <w:szCs w:val="22"/>
              </w:rPr>
            </w:pPr>
          </w:p>
          <w:p w14:paraId="337433EB" w14:textId="77777777" w:rsidR="004D0AF0" w:rsidRPr="00083D88" w:rsidRDefault="004D0AF0" w:rsidP="00183A83">
            <w:pPr>
              <w:pStyle w:val="Heading2"/>
              <w:rPr>
                <w:rFonts w:ascii="Times New Roman" w:hAnsi="Times New Roman"/>
                <w:sz w:val="22"/>
                <w:szCs w:val="22"/>
              </w:rPr>
            </w:pPr>
          </w:p>
        </w:tc>
      </w:tr>
      <w:tr w:rsidR="004D0AF0" w14:paraId="28E8C2F0" w14:textId="77777777" w:rsidTr="006E6368">
        <w:trPr>
          <w:gridBefore w:val="1"/>
          <w:wBefore w:w="12" w:type="dxa"/>
        </w:trPr>
        <w:tc>
          <w:tcPr>
            <w:tcW w:w="1800" w:type="dxa"/>
            <w:tcBorders>
              <w:top w:val="single" w:sz="4" w:space="0" w:color="auto"/>
              <w:left w:val="double" w:sz="4" w:space="0" w:color="auto"/>
              <w:bottom w:val="nil"/>
            </w:tcBorders>
            <w:vAlign w:val="center"/>
          </w:tcPr>
          <w:p w14:paraId="5BD73712" w14:textId="77777777" w:rsidR="004D0AF0" w:rsidRDefault="004D0AF0" w:rsidP="00183A83">
            <w:pPr>
              <w:pStyle w:val="Heading1"/>
              <w:jc w:val="center"/>
              <w:rPr>
                <w:rFonts w:ascii="Times New Roman" w:hAnsi="Times New Roman"/>
                <w:sz w:val="22"/>
              </w:rPr>
            </w:pPr>
            <w:r>
              <w:rPr>
                <w:rFonts w:ascii="Times New Roman" w:hAnsi="Times New Roman"/>
                <w:sz w:val="22"/>
              </w:rPr>
              <w:t>Article 1</w:t>
            </w:r>
          </w:p>
        </w:tc>
        <w:tc>
          <w:tcPr>
            <w:tcW w:w="4856" w:type="dxa"/>
            <w:tcBorders>
              <w:top w:val="single" w:sz="4" w:space="0" w:color="auto"/>
              <w:bottom w:val="nil"/>
            </w:tcBorders>
          </w:tcPr>
          <w:p w14:paraId="6A689AA2" w14:textId="77777777" w:rsidR="004D0AF0" w:rsidRDefault="004D0AF0">
            <w:pPr>
              <w:rPr>
                <w:sz w:val="22"/>
              </w:rPr>
            </w:pPr>
            <w:r>
              <w:rPr>
                <w:sz w:val="22"/>
              </w:rPr>
              <w:t>Assembly-Line Testing.</w:t>
            </w:r>
          </w:p>
        </w:tc>
        <w:tc>
          <w:tcPr>
            <w:tcW w:w="1533" w:type="dxa"/>
            <w:tcBorders>
              <w:top w:val="single" w:sz="4" w:space="0" w:color="auto"/>
              <w:bottom w:val="nil"/>
            </w:tcBorders>
            <w:vAlign w:val="center"/>
          </w:tcPr>
          <w:p w14:paraId="4A0124AC" w14:textId="77777777" w:rsidR="004D0AF0" w:rsidRPr="00083D88" w:rsidRDefault="004D0AF0" w:rsidP="00183A83">
            <w:pPr>
              <w:pStyle w:val="Heading2"/>
              <w:rPr>
                <w:rFonts w:ascii="Times New Roman" w:hAnsi="Times New Roman"/>
                <w:sz w:val="22"/>
                <w:szCs w:val="22"/>
              </w:rPr>
            </w:pPr>
          </w:p>
        </w:tc>
      </w:tr>
      <w:tr w:rsidR="004D0AF0" w14:paraId="2F40F86A"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048B2C9C" w14:textId="77777777" w:rsidR="004D0AF0" w:rsidRDefault="004D0AF0" w:rsidP="00183A83">
            <w:pPr>
              <w:pStyle w:val="Heading1"/>
              <w:jc w:val="center"/>
              <w:rPr>
                <w:rFonts w:ascii="Times New Roman" w:hAnsi="Times New Roman"/>
                <w:sz w:val="22"/>
              </w:rPr>
            </w:pPr>
            <w:r>
              <w:rPr>
                <w:rFonts w:ascii="Times New Roman" w:hAnsi="Times New Roman"/>
                <w:sz w:val="22"/>
              </w:rPr>
              <w:t>2062</w:t>
            </w:r>
          </w:p>
        </w:tc>
        <w:tc>
          <w:tcPr>
            <w:tcW w:w="4856" w:type="dxa"/>
            <w:tcBorders>
              <w:top w:val="single" w:sz="4" w:space="0" w:color="auto"/>
              <w:left w:val="single" w:sz="4" w:space="0" w:color="auto"/>
              <w:bottom w:val="single" w:sz="4" w:space="0" w:color="auto"/>
              <w:right w:val="single" w:sz="4" w:space="0" w:color="auto"/>
            </w:tcBorders>
          </w:tcPr>
          <w:p w14:paraId="6A3B11B8" w14:textId="77777777" w:rsidR="004D0AF0" w:rsidRDefault="004D0AF0">
            <w:pPr>
              <w:pStyle w:val="Header"/>
              <w:tabs>
                <w:tab w:val="clear" w:pos="4320"/>
                <w:tab w:val="clear" w:pos="8640"/>
              </w:tabs>
              <w:rPr>
                <w:sz w:val="22"/>
              </w:rPr>
            </w:pPr>
            <w:r>
              <w:rPr>
                <w:sz w:val="22"/>
              </w:rPr>
              <w:t>Assembly-Line Test Procedures - 1998 and Subsequent Model-years.</w:t>
            </w:r>
          </w:p>
        </w:tc>
        <w:tc>
          <w:tcPr>
            <w:tcW w:w="1533" w:type="dxa"/>
            <w:tcBorders>
              <w:top w:val="single" w:sz="4" w:space="0" w:color="auto"/>
              <w:left w:val="single" w:sz="4" w:space="0" w:color="auto"/>
              <w:bottom w:val="single" w:sz="4" w:space="0" w:color="auto"/>
              <w:right w:val="double" w:sz="4" w:space="0" w:color="auto"/>
            </w:tcBorders>
            <w:vAlign w:val="center"/>
          </w:tcPr>
          <w:p w14:paraId="7723B0C2" w14:textId="77777777" w:rsidR="004D0AF0" w:rsidRPr="00083D88" w:rsidRDefault="00260879" w:rsidP="00183A83">
            <w:pPr>
              <w:pStyle w:val="RulesFootertext"/>
              <w:rPr>
                <w:sz w:val="22"/>
                <w:szCs w:val="22"/>
              </w:rPr>
            </w:pPr>
            <w:r w:rsidRPr="00083D88">
              <w:rPr>
                <w:sz w:val="22"/>
                <w:szCs w:val="22"/>
              </w:rPr>
              <w:t>8/7/12</w:t>
            </w:r>
          </w:p>
        </w:tc>
      </w:tr>
      <w:tr w:rsidR="004D0AF0" w14:paraId="53C0DF9B" w14:textId="77777777" w:rsidTr="006E6368">
        <w:trPr>
          <w:gridBefore w:val="1"/>
          <w:wBefore w:w="12" w:type="dxa"/>
        </w:trPr>
        <w:tc>
          <w:tcPr>
            <w:tcW w:w="1800" w:type="dxa"/>
            <w:tcBorders>
              <w:top w:val="single" w:sz="4" w:space="0" w:color="auto"/>
              <w:left w:val="double" w:sz="4" w:space="0" w:color="auto"/>
              <w:bottom w:val="single" w:sz="4" w:space="0" w:color="auto"/>
              <w:right w:val="single" w:sz="4" w:space="0" w:color="auto"/>
            </w:tcBorders>
            <w:vAlign w:val="center"/>
          </w:tcPr>
          <w:p w14:paraId="6A86D0BF" w14:textId="77777777" w:rsidR="004D0AF0" w:rsidRDefault="004D0AF0" w:rsidP="00183A83">
            <w:pPr>
              <w:pStyle w:val="Heading1"/>
              <w:jc w:val="center"/>
              <w:rPr>
                <w:rFonts w:ascii="Times New Roman" w:hAnsi="Times New Roman"/>
                <w:sz w:val="22"/>
              </w:rPr>
            </w:pPr>
            <w:r>
              <w:rPr>
                <w:rFonts w:ascii="Times New Roman" w:hAnsi="Times New Roman"/>
                <w:sz w:val="22"/>
              </w:rPr>
              <w:t>Article 1.5</w:t>
            </w:r>
          </w:p>
        </w:tc>
        <w:tc>
          <w:tcPr>
            <w:tcW w:w="4856" w:type="dxa"/>
            <w:tcBorders>
              <w:top w:val="single" w:sz="4" w:space="0" w:color="auto"/>
              <w:left w:val="single" w:sz="4" w:space="0" w:color="auto"/>
              <w:bottom w:val="single" w:sz="4" w:space="0" w:color="auto"/>
              <w:right w:val="single" w:sz="4" w:space="0" w:color="auto"/>
            </w:tcBorders>
          </w:tcPr>
          <w:p w14:paraId="51033236" w14:textId="77777777" w:rsidR="004D0AF0" w:rsidRDefault="004D0AF0" w:rsidP="00965323">
            <w:pPr>
              <w:rPr>
                <w:sz w:val="22"/>
              </w:rPr>
            </w:pPr>
            <w:r>
              <w:rPr>
                <w:sz w:val="22"/>
              </w:rPr>
              <w:t xml:space="preserve">Enforcement of Vehicle Emission Standards and Surveillance Testing for 2005 and </w:t>
            </w:r>
            <w:r w:rsidR="00965323">
              <w:rPr>
                <w:sz w:val="22"/>
              </w:rPr>
              <w:t xml:space="preserve">Subsequent </w:t>
            </w:r>
            <w:r>
              <w:rPr>
                <w:sz w:val="22"/>
              </w:rPr>
              <w:t>Model-year Heavy-Duty Engines and Vehicles.</w:t>
            </w:r>
          </w:p>
        </w:tc>
        <w:tc>
          <w:tcPr>
            <w:tcW w:w="1533" w:type="dxa"/>
            <w:tcBorders>
              <w:top w:val="single" w:sz="4" w:space="0" w:color="auto"/>
              <w:left w:val="single" w:sz="4" w:space="0" w:color="auto"/>
              <w:bottom w:val="single" w:sz="4" w:space="0" w:color="auto"/>
            </w:tcBorders>
            <w:vAlign w:val="center"/>
          </w:tcPr>
          <w:p w14:paraId="02AA2101" w14:textId="77777777" w:rsidR="004D0AF0" w:rsidRPr="00083D88" w:rsidRDefault="004D0AF0" w:rsidP="00183A83">
            <w:pPr>
              <w:pStyle w:val="Heading2"/>
              <w:rPr>
                <w:rFonts w:ascii="Times New Roman" w:hAnsi="Times New Roman"/>
                <w:sz w:val="22"/>
                <w:szCs w:val="22"/>
              </w:rPr>
            </w:pPr>
          </w:p>
        </w:tc>
      </w:tr>
      <w:tr w:rsidR="004D0AF0" w14:paraId="4B879FD5" w14:textId="77777777" w:rsidTr="006E6368">
        <w:trPr>
          <w:gridBefore w:val="1"/>
          <w:wBefore w:w="12" w:type="dxa"/>
        </w:trPr>
        <w:tc>
          <w:tcPr>
            <w:tcW w:w="1800" w:type="dxa"/>
            <w:tcBorders>
              <w:top w:val="single" w:sz="4" w:space="0" w:color="auto"/>
              <w:left w:val="double" w:sz="4" w:space="0" w:color="auto"/>
              <w:bottom w:val="double" w:sz="4" w:space="0" w:color="auto"/>
            </w:tcBorders>
            <w:vAlign w:val="center"/>
          </w:tcPr>
          <w:p w14:paraId="294F18A6" w14:textId="77777777" w:rsidR="004D0AF0" w:rsidRDefault="004D0AF0" w:rsidP="00183A83">
            <w:pPr>
              <w:pStyle w:val="Heading1"/>
              <w:jc w:val="center"/>
              <w:rPr>
                <w:rFonts w:ascii="Times New Roman" w:hAnsi="Times New Roman"/>
                <w:sz w:val="22"/>
              </w:rPr>
            </w:pPr>
            <w:r>
              <w:rPr>
                <w:rFonts w:ascii="Times New Roman" w:hAnsi="Times New Roman"/>
                <w:sz w:val="22"/>
              </w:rPr>
              <w:t>2065</w:t>
            </w:r>
          </w:p>
        </w:tc>
        <w:tc>
          <w:tcPr>
            <w:tcW w:w="4856" w:type="dxa"/>
            <w:tcBorders>
              <w:top w:val="single" w:sz="4" w:space="0" w:color="auto"/>
              <w:bottom w:val="double" w:sz="4" w:space="0" w:color="auto"/>
              <w:right w:val="single" w:sz="4" w:space="0" w:color="auto"/>
            </w:tcBorders>
          </w:tcPr>
          <w:p w14:paraId="5A7172E4" w14:textId="77777777" w:rsidR="004D0AF0" w:rsidRDefault="004D0AF0" w:rsidP="00965323">
            <w:pPr>
              <w:rPr>
                <w:sz w:val="22"/>
              </w:rPr>
            </w:pPr>
            <w:r>
              <w:rPr>
                <w:sz w:val="22"/>
              </w:rPr>
              <w:t xml:space="preserve">Applicability of Chapter 2 to 2005 and </w:t>
            </w:r>
            <w:r w:rsidR="00965323">
              <w:rPr>
                <w:sz w:val="22"/>
              </w:rPr>
              <w:t xml:space="preserve">Subsequent </w:t>
            </w:r>
            <w:r>
              <w:rPr>
                <w:sz w:val="22"/>
              </w:rPr>
              <w:t>Model-year Heavy-Duty Engines and Vehicles.</w:t>
            </w:r>
          </w:p>
        </w:tc>
        <w:tc>
          <w:tcPr>
            <w:tcW w:w="1533" w:type="dxa"/>
            <w:tcBorders>
              <w:top w:val="single" w:sz="4" w:space="0" w:color="auto"/>
              <w:left w:val="single" w:sz="4" w:space="0" w:color="auto"/>
              <w:bottom w:val="double" w:sz="4" w:space="0" w:color="auto"/>
            </w:tcBorders>
            <w:vAlign w:val="center"/>
          </w:tcPr>
          <w:p w14:paraId="4D5185D2" w14:textId="77777777" w:rsidR="004D0AF0" w:rsidRPr="00083D88" w:rsidRDefault="00260879" w:rsidP="00183A83">
            <w:pPr>
              <w:pStyle w:val="Heading2"/>
              <w:rPr>
                <w:rFonts w:ascii="Times New Roman" w:hAnsi="Times New Roman"/>
                <w:sz w:val="22"/>
                <w:szCs w:val="22"/>
              </w:rPr>
            </w:pPr>
            <w:r w:rsidRPr="00083D88">
              <w:rPr>
                <w:rFonts w:ascii="Times New Roman" w:hAnsi="Times New Roman"/>
                <w:sz w:val="22"/>
                <w:szCs w:val="22"/>
              </w:rPr>
              <w:t>12/4/03</w:t>
            </w:r>
          </w:p>
        </w:tc>
      </w:tr>
    </w:tbl>
    <w:p w14:paraId="2D0B805A" w14:textId="77777777" w:rsidR="00A43625" w:rsidRDefault="00A43625">
      <w:pPr>
        <w:rPr>
          <w:sz w:val="22"/>
        </w:rPr>
      </w:pPr>
    </w:p>
    <w:p w14:paraId="2D47CB99" w14:textId="77777777" w:rsidR="00E31AC2" w:rsidRDefault="00E31AC2">
      <w:pPr>
        <w:rPr>
          <w:sz w:val="22"/>
        </w:rPr>
      </w:pPr>
    </w:p>
    <w:p w14:paraId="365A6A53" w14:textId="77777777" w:rsidR="00E31AC2" w:rsidRDefault="00E31AC2">
      <w:pPr>
        <w:rPr>
          <w:sz w:val="22"/>
        </w:rPr>
      </w:pPr>
    </w:p>
    <w:p w14:paraId="45ADBF67" w14:textId="77777777" w:rsidR="00E31AC2" w:rsidRDefault="00E31AC2">
      <w:pPr>
        <w:rPr>
          <w:sz w:val="22"/>
        </w:rPr>
      </w:pPr>
    </w:p>
    <w:p w14:paraId="3594B6AC" w14:textId="77777777" w:rsidR="00E31AC2" w:rsidRDefault="00E31AC2">
      <w:pPr>
        <w:rPr>
          <w:sz w:val="22"/>
        </w:rPr>
      </w:pPr>
    </w:p>
    <w:p w14:paraId="2530BFAD" w14:textId="77777777" w:rsidR="00E31AC2" w:rsidRDefault="00E31AC2">
      <w:pPr>
        <w:rPr>
          <w:sz w:val="22"/>
        </w:rPr>
      </w:pPr>
    </w:p>
    <w:p w14:paraId="5A36057F" w14:textId="77777777" w:rsidR="00E31AC2" w:rsidRDefault="00E31AC2">
      <w:pPr>
        <w:rPr>
          <w:sz w:val="22"/>
        </w:rPr>
      </w:pPr>
    </w:p>
    <w:p w14:paraId="657DB512" w14:textId="77777777" w:rsidR="00E31AC2" w:rsidRDefault="00E31AC2">
      <w:pPr>
        <w:rPr>
          <w:sz w:val="22"/>
        </w:rPr>
      </w:pPr>
    </w:p>
    <w:tbl>
      <w:tblPr>
        <w:tblW w:w="8189" w:type="dxa"/>
        <w:tblInd w:w="12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800"/>
        <w:gridCol w:w="4856"/>
        <w:gridCol w:w="1533"/>
      </w:tblGrid>
      <w:tr w:rsidR="00A43625" w14:paraId="14CD9122" w14:textId="77777777" w:rsidTr="006E6368">
        <w:tc>
          <w:tcPr>
            <w:tcW w:w="1800" w:type="dxa"/>
            <w:tcBorders>
              <w:top w:val="double" w:sz="4" w:space="0" w:color="auto"/>
              <w:bottom w:val="single" w:sz="6" w:space="0" w:color="auto"/>
              <w:right w:val="single" w:sz="6" w:space="0" w:color="auto"/>
            </w:tcBorders>
            <w:vAlign w:val="center"/>
          </w:tcPr>
          <w:p w14:paraId="22986EE0" w14:textId="77777777" w:rsidR="00A43625" w:rsidRPr="00F4041E" w:rsidRDefault="00A43625" w:rsidP="00183A83">
            <w:pPr>
              <w:pStyle w:val="Heading1"/>
              <w:jc w:val="center"/>
              <w:rPr>
                <w:rFonts w:ascii="Times New Roman" w:hAnsi="Times New Roman"/>
                <w:b/>
                <w:sz w:val="22"/>
              </w:rPr>
            </w:pPr>
            <w:r w:rsidRPr="00F4041E">
              <w:rPr>
                <w:rFonts w:ascii="Times New Roman" w:hAnsi="Times New Roman"/>
                <w:b/>
                <w:sz w:val="22"/>
              </w:rPr>
              <w:t>Title 13 CCR</w:t>
            </w:r>
          </w:p>
        </w:tc>
        <w:tc>
          <w:tcPr>
            <w:tcW w:w="4856" w:type="dxa"/>
            <w:tcBorders>
              <w:top w:val="double" w:sz="4" w:space="0" w:color="auto"/>
              <w:left w:val="single" w:sz="6" w:space="0" w:color="auto"/>
              <w:bottom w:val="single" w:sz="6" w:space="0" w:color="auto"/>
              <w:right w:val="single" w:sz="6" w:space="0" w:color="auto"/>
            </w:tcBorders>
            <w:vAlign w:val="center"/>
          </w:tcPr>
          <w:p w14:paraId="4CE23A1A" w14:textId="77777777" w:rsidR="00A43625" w:rsidRPr="00F4041E" w:rsidRDefault="00A43625" w:rsidP="00183A83">
            <w:pPr>
              <w:pStyle w:val="Heading2"/>
              <w:rPr>
                <w:rFonts w:ascii="Times New Roman" w:hAnsi="Times New Roman"/>
                <w:b/>
                <w:sz w:val="22"/>
              </w:rPr>
            </w:pPr>
            <w:r w:rsidRPr="00F4041E">
              <w:rPr>
                <w:rFonts w:ascii="Times New Roman" w:hAnsi="Times New Roman"/>
                <w:b/>
                <w:sz w:val="22"/>
              </w:rPr>
              <w:t>Title</w:t>
            </w:r>
          </w:p>
        </w:tc>
        <w:tc>
          <w:tcPr>
            <w:tcW w:w="1533" w:type="dxa"/>
            <w:tcBorders>
              <w:top w:val="double" w:sz="4" w:space="0" w:color="auto"/>
              <w:left w:val="single" w:sz="6" w:space="0" w:color="auto"/>
              <w:bottom w:val="single" w:sz="6" w:space="0" w:color="auto"/>
            </w:tcBorders>
          </w:tcPr>
          <w:p w14:paraId="1DDBD02A" w14:textId="77777777" w:rsidR="00A43625" w:rsidRPr="00F4041E" w:rsidRDefault="00A43625">
            <w:pPr>
              <w:pStyle w:val="Heading2"/>
              <w:rPr>
                <w:rFonts w:ascii="Times New Roman" w:hAnsi="Times New Roman"/>
                <w:b/>
                <w:sz w:val="22"/>
                <w:szCs w:val="22"/>
              </w:rPr>
            </w:pPr>
            <w:r w:rsidRPr="00F4041E">
              <w:rPr>
                <w:rFonts w:ascii="Times New Roman" w:hAnsi="Times New Roman"/>
                <w:b/>
                <w:sz w:val="22"/>
                <w:szCs w:val="22"/>
              </w:rPr>
              <w:t>Section Amended Date</w:t>
            </w:r>
          </w:p>
        </w:tc>
      </w:tr>
      <w:tr w:rsidR="00E45722" w14:paraId="7A2E65FD" w14:textId="77777777" w:rsidTr="006E6368">
        <w:tc>
          <w:tcPr>
            <w:tcW w:w="1800" w:type="dxa"/>
            <w:tcBorders>
              <w:top w:val="single" w:sz="6" w:space="0" w:color="auto"/>
              <w:left w:val="double" w:sz="4" w:space="0" w:color="auto"/>
              <w:bottom w:val="single" w:sz="4" w:space="0" w:color="auto"/>
              <w:right w:val="single" w:sz="4" w:space="0" w:color="auto"/>
            </w:tcBorders>
            <w:vAlign w:val="center"/>
          </w:tcPr>
          <w:p w14:paraId="2D458FD5" w14:textId="77777777" w:rsidR="00E45722" w:rsidRDefault="00E45722" w:rsidP="004C17FD">
            <w:pPr>
              <w:pStyle w:val="Heading1"/>
              <w:jc w:val="center"/>
              <w:rPr>
                <w:rFonts w:ascii="Times New Roman" w:hAnsi="Times New Roman"/>
                <w:sz w:val="22"/>
              </w:rPr>
            </w:pPr>
            <w:r>
              <w:rPr>
                <w:rFonts w:ascii="Times New Roman" w:hAnsi="Times New Roman"/>
                <w:sz w:val="22"/>
              </w:rPr>
              <w:t>Article 2</w:t>
            </w:r>
          </w:p>
        </w:tc>
        <w:tc>
          <w:tcPr>
            <w:tcW w:w="4856" w:type="dxa"/>
            <w:tcBorders>
              <w:top w:val="single" w:sz="6" w:space="0" w:color="auto"/>
              <w:left w:val="single" w:sz="4" w:space="0" w:color="auto"/>
              <w:bottom w:val="single" w:sz="4" w:space="0" w:color="auto"/>
              <w:right w:val="single" w:sz="4" w:space="0" w:color="auto"/>
            </w:tcBorders>
          </w:tcPr>
          <w:p w14:paraId="60ABA6FC" w14:textId="77777777" w:rsidR="00E45722" w:rsidRDefault="00E45722" w:rsidP="004C17FD">
            <w:pPr>
              <w:rPr>
                <w:sz w:val="22"/>
              </w:rPr>
            </w:pPr>
            <w:r>
              <w:rPr>
                <w:sz w:val="22"/>
              </w:rPr>
              <w:t>Enforcement of New and In-Use Vehicle Standards.</w:t>
            </w:r>
          </w:p>
        </w:tc>
        <w:tc>
          <w:tcPr>
            <w:tcW w:w="1533" w:type="dxa"/>
            <w:tcBorders>
              <w:top w:val="single" w:sz="6" w:space="0" w:color="auto"/>
              <w:left w:val="single" w:sz="4" w:space="0" w:color="auto"/>
              <w:bottom w:val="single" w:sz="4" w:space="0" w:color="auto"/>
            </w:tcBorders>
            <w:vAlign w:val="center"/>
          </w:tcPr>
          <w:p w14:paraId="3431EBC3" w14:textId="77777777" w:rsidR="00E45722" w:rsidRPr="00083D88" w:rsidRDefault="00E45722" w:rsidP="004C17FD">
            <w:pPr>
              <w:pStyle w:val="Heading2"/>
              <w:rPr>
                <w:rFonts w:ascii="Times New Roman" w:hAnsi="Times New Roman"/>
                <w:sz w:val="22"/>
                <w:szCs w:val="22"/>
              </w:rPr>
            </w:pPr>
          </w:p>
        </w:tc>
      </w:tr>
      <w:tr w:rsidR="00E45722" w14:paraId="3F45B5F9" w14:textId="77777777" w:rsidTr="006E6368">
        <w:trPr>
          <w:cantSplit/>
          <w:trHeight w:val="403"/>
        </w:trPr>
        <w:tc>
          <w:tcPr>
            <w:tcW w:w="1800" w:type="dxa"/>
            <w:tcBorders>
              <w:top w:val="single" w:sz="4" w:space="0" w:color="auto"/>
              <w:left w:val="double" w:sz="4" w:space="0" w:color="auto"/>
              <w:bottom w:val="single" w:sz="4" w:space="0" w:color="auto"/>
              <w:right w:val="single" w:sz="4" w:space="0" w:color="auto"/>
            </w:tcBorders>
            <w:vAlign w:val="center"/>
          </w:tcPr>
          <w:p w14:paraId="610B860E" w14:textId="77777777" w:rsidR="00E45722" w:rsidRDefault="00E45722" w:rsidP="004C17FD">
            <w:pPr>
              <w:jc w:val="center"/>
              <w:rPr>
                <w:sz w:val="22"/>
              </w:rPr>
            </w:pPr>
            <w:r>
              <w:rPr>
                <w:sz w:val="22"/>
              </w:rPr>
              <w:t>2101</w:t>
            </w:r>
          </w:p>
        </w:tc>
        <w:tc>
          <w:tcPr>
            <w:tcW w:w="4856" w:type="dxa"/>
            <w:tcBorders>
              <w:top w:val="single" w:sz="4" w:space="0" w:color="auto"/>
              <w:left w:val="single" w:sz="4" w:space="0" w:color="auto"/>
              <w:bottom w:val="single" w:sz="4" w:space="0" w:color="auto"/>
              <w:right w:val="single" w:sz="4" w:space="0" w:color="auto"/>
            </w:tcBorders>
          </w:tcPr>
          <w:p w14:paraId="1222BDB3" w14:textId="77777777" w:rsidR="00E45722" w:rsidRDefault="00E45722" w:rsidP="004C17FD">
            <w:pPr>
              <w:rPr>
                <w:sz w:val="22"/>
              </w:rPr>
            </w:pPr>
            <w:r>
              <w:rPr>
                <w:sz w:val="22"/>
              </w:rPr>
              <w:t>Compliance Testing and Inspection — New Vehicle Selection, Evaluation and Enforcement Action.</w:t>
            </w:r>
          </w:p>
        </w:tc>
        <w:tc>
          <w:tcPr>
            <w:tcW w:w="1533" w:type="dxa"/>
            <w:tcBorders>
              <w:top w:val="single" w:sz="4" w:space="0" w:color="auto"/>
              <w:left w:val="single" w:sz="4" w:space="0" w:color="auto"/>
              <w:bottom w:val="single" w:sz="4" w:space="0" w:color="auto"/>
            </w:tcBorders>
            <w:vAlign w:val="center"/>
          </w:tcPr>
          <w:p w14:paraId="59D4441B" w14:textId="77777777" w:rsidR="00E45722" w:rsidRPr="00083D88" w:rsidRDefault="00E45722" w:rsidP="004C17FD">
            <w:pPr>
              <w:jc w:val="center"/>
              <w:rPr>
                <w:sz w:val="22"/>
                <w:szCs w:val="22"/>
              </w:rPr>
            </w:pPr>
            <w:r w:rsidRPr="00083D88">
              <w:rPr>
                <w:sz w:val="22"/>
                <w:szCs w:val="22"/>
              </w:rPr>
              <w:t>11/27/99</w:t>
            </w:r>
          </w:p>
        </w:tc>
      </w:tr>
      <w:tr w:rsidR="00E45722" w14:paraId="2A396A93" w14:textId="77777777" w:rsidTr="00E45722">
        <w:tc>
          <w:tcPr>
            <w:tcW w:w="1800" w:type="dxa"/>
            <w:tcBorders>
              <w:top w:val="single" w:sz="4" w:space="0" w:color="auto"/>
              <w:left w:val="double" w:sz="4" w:space="0" w:color="auto"/>
              <w:bottom w:val="single" w:sz="4" w:space="0" w:color="auto"/>
              <w:right w:val="single" w:sz="4" w:space="0" w:color="auto"/>
            </w:tcBorders>
            <w:vAlign w:val="center"/>
          </w:tcPr>
          <w:p w14:paraId="7062D617" w14:textId="77777777" w:rsidR="00E45722" w:rsidRDefault="00E45722" w:rsidP="004C17FD">
            <w:pPr>
              <w:pStyle w:val="Heading1"/>
              <w:jc w:val="center"/>
              <w:rPr>
                <w:rFonts w:ascii="Times New Roman" w:hAnsi="Times New Roman"/>
                <w:sz w:val="22"/>
              </w:rPr>
            </w:pPr>
            <w:r>
              <w:rPr>
                <w:rFonts w:ascii="Times New Roman" w:hAnsi="Times New Roman"/>
                <w:sz w:val="22"/>
              </w:rPr>
              <w:t>2109</w:t>
            </w:r>
          </w:p>
        </w:tc>
        <w:tc>
          <w:tcPr>
            <w:tcW w:w="4856" w:type="dxa"/>
            <w:tcBorders>
              <w:top w:val="single" w:sz="4" w:space="0" w:color="auto"/>
              <w:left w:val="single" w:sz="4" w:space="0" w:color="auto"/>
              <w:bottom w:val="single" w:sz="4" w:space="0" w:color="auto"/>
              <w:right w:val="single" w:sz="4" w:space="0" w:color="auto"/>
            </w:tcBorders>
          </w:tcPr>
          <w:p w14:paraId="1ABC18E2" w14:textId="77777777" w:rsidR="00E45722" w:rsidRDefault="00E45722" w:rsidP="004C17FD">
            <w:pPr>
              <w:rPr>
                <w:sz w:val="22"/>
              </w:rPr>
            </w:pPr>
            <w:r>
              <w:rPr>
                <w:sz w:val="22"/>
              </w:rPr>
              <w:t>New Vehicle Recall Provisions.</w:t>
            </w:r>
          </w:p>
        </w:tc>
        <w:tc>
          <w:tcPr>
            <w:tcW w:w="1533" w:type="dxa"/>
            <w:tcBorders>
              <w:top w:val="single" w:sz="4" w:space="0" w:color="auto"/>
              <w:left w:val="single" w:sz="4" w:space="0" w:color="auto"/>
              <w:bottom w:val="single" w:sz="4" w:space="0" w:color="auto"/>
            </w:tcBorders>
            <w:vAlign w:val="center"/>
          </w:tcPr>
          <w:p w14:paraId="3D135890"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11/30/83</w:t>
            </w:r>
          </w:p>
        </w:tc>
      </w:tr>
      <w:tr w:rsidR="00E45722" w14:paraId="38BC084F" w14:textId="77777777" w:rsidTr="006E6368">
        <w:tc>
          <w:tcPr>
            <w:tcW w:w="1800" w:type="dxa"/>
            <w:tcBorders>
              <w:top w:val="single" w:sz="4" w:space="0" w:color="auto"/>
              <w:left w:val="double" w:sz="4" w:space="0" w:color="auto"/>
              <w:bottom w:val="single" w:sz="6" w:space="0" w:color="auto"/>
              <w:right w:val="single" w:sz="4" w:space="0" w:color="auto"/>
            </w:tcBorders>
            <w:vAlign w:val="center"/>
          </w:tcPr>
          <w:p w14:paraId="77BA5035" w14:textId="77777777" w:rsidR="00E45722" w:rsidRDefault="00E45722" w:rsidP="004C17FD">
            <w:pPr>
              <w:pStyle w:val="Heading1"/>
              <w:jc w:val="center"/>
              <w:rPr>
                <w:rFonts w:ascii="Times New Roman" w:hAnsi="Times New Roman"/>
                <w:sz w:val="22"/>
              </w:rPr>
            </w:pPr>
            <w:r>
              <w:rPr>
                <w:rFonts w:ascii="Times New Roman" w:hAnsi="Times New Roman"/>
                <w:sz w:val="22"/>
              </w:rPr>
              <w:t>2110</w:t>
            </w:r>
          </w:p>
        </w:tc>
        <w:tc>
          <w:tcPr>
            <w:tcW w:w="4856" w:type="dxa"/>
            <w:tcBorders>
              <w:top w:val="single" w:sz="4" w:space="0" w:color="auto"/>
              <w:left w:val="single" w:sz="4" w:space="0" w:color="auto"/>
              <w:bottom w:val="single" w:sz="6" w:space="0" w:color="auto"/>
              <w:right w:val="single" w:sz="4" w:space="0" w:color="auto"/>
            </w:tcBorders>
          </w:tcPr>
          <w:p w14:paraId="41A3F40B" w14:textId="77777777" w:rsidR="00E45722" w:rsidRDefault="00E45722" w:rsidP="004C17FD">
            <w:pPr>
              <w:rPr>
                <w:sz w:val="22"/>
              </w:rPr>
            </w:pPr>
            <w:r>
              <w:rPr>
                <w:sz w:val="22"/>
              </w:rPr>
              <w:t>Remedial Action for Assembly-Line Quality Audit Testing of Less Than a Full Calendar Quarter of Production Prior to the 2001 Model-year.</w:t>
            </w:r>
          </w:p>
        </w:tc>
        <w:tc>
          <w:tcPr>
            <w:tcW w:w="1533" w:type="dxa"/>
            <w:tcBorders>
              <w:top w:val="single" w:sz="4" w:space="0" w:color="auto"/>
              <w:left w:val="single" w:sz="4" w:space="0" w:color="auto"/>
              <w:bottom w:val="single" w:sz="6" w:space="0" w:color="auto"/>
            </w:tcBorders>
            <w:vAlign w:val="center"/>
          </w:tcPr>
          <w:p w14:paraId="49D62E53" w14:textId="77777777" w:rsidR="00E45722" w:rsidRPr="00083D88" w:rsidRDefault="00E45722" w:rsidP="004C17FD">
            <w:pPr>
              <w:pStyle w:val="RulesFootertext"/>
              <w:rPr>
                <w:sz w:val="22"/>
                <w:szCs w:val="22"/>
              </w:rPr>
            </w:pPr>
            <w:r w:rsidRPr="00083D88">
              <w:rPr>
                <w:sz w:val="22"/>
                <w:szCs w:val="22"/>
              </w:rPr>
              <w:t>11/27/99</w:t>
            </w:r>
          </w:p>
        </w:tc>
      </w:tr>
      <w:tr w:rsidR="00E45722" w14:paraId="444CE119" w14:textId="77777777" w:rsidTr="006E6368">
        <w:tc>
          <w:tcPr>
            <w:tcW w:w="1800" w:type="dxa"/>
            <w:tcBorders>
              <w:top w:val="single" w:sz="6" w:space="0" w:color="auto"/>
              <w:left w:val="double" w:sz="4" w:space="0" w:color="auto"/>
              <w:bottom w:val="single" w:sz="6" w:space="0" w:color="auto"/>
              <w:right w:val="single" w:sz="6" w:space="0" w:color="auto"/>
            </w:tcBorders>
            <w:vAlign w:val="center"/>
          </w:tcPr>
          <w:p w14:paraId="20979698" w14:textId="77777777" w:rsidR="00E45722" w:rsidRDefault="00E45722" w:rsidP="004C17FD">
            <w:pPr>
              <w:pStyle w:val="Heading1"/>
              <w:jc w:val="center"/>
              <w:rPr>
                <w:rFonts w:ascii="Times New Roman" w:hAnsi="Times New Roman"/>
                <w:sz w:val="22"/>
              </w:rPr>
            </w:pPr>
            <w:r>
              <w:rPr>
                <w:rFonts w:ascii="Times New Roman" w:hAnsi="Times New Roman"/>
                <w:sz w:val="22"/>
              </w:rPr>
              <w:t>Article 2.1</w:t>
            </w:r>
          </w:p>
        </w:tc>
        <w:tc>
          <w:tcPr>
            <w:tcW w:w="4856" w:type="dxa"/>
            <w:tcBorders>
              <w:top w:val="single" w:sz="6" w:space="0" w:color="auto"/>
              <w:left w:val="single" w:sz="6" w:space="0" w:color="auto"/>
              <w:bottom w:val="single" w:sz="6" w:space="0" w:color="auto"/>
              <w:right w:val="single" w:sz="6" w:space="0" w:color="auto"/>
            </w:tcBorders>
          </w:tcPr>
          <w:p w14:paraId="7278FB2A" w14:textId="77777777" w:rsidR="00E45722" w:rsidRDefault="00E45722" w:rsidP="004C17FD">
            <w:pPr>
              <w:rPr>
                <w:sz w:val="22"/>
              </w:rPr>
            </w:pPr>
            <w:r>
              <w:rPr>
                <w:sz w:val="22"/>
              </w:rPr>
              <w:t>Procedures for In-Use Vehicle Voluntary and Influenced Recalls.</w:t>
            </w:r>
          </w:p>
        </w:tc>
        <w:tc>
          <w:tcPr>
            <w:tcW w:w="1533" w:type="dxa"/>
            <w:tcBorders>
              <w:top w:val="single" w:sz="6" w:space="0" w:color="auto"/>
              <w:left w:val="single" w:sz="6" w:space="0" w:color="auto"/>
              <w:bottom w:val="single" w:sz="6" w:space="0" w:color="auto"/>
            </w:tcBorders>
            <w:vAlign w:val="center"/>
          </w:tcPr>
          <w:p w14:paraId="26487212" w14:textId="77777777" w:rsidR="00E45722" w:rsidRPr="00083D88" w:rsidRDefault="00E45722" w:rsidP="004C17FD">
            <w:pPr>
              <w:pStyle w:val="Heading2"/>
              <w:rPr>
                <w:rFonts w:ascii="Times New Roman" w:hAnsi="Times New Roman"/>
                <w:sz w:val="22"/>
                <w:szCs w:val="22"/>
              </w:rPr>
            </w:pPr>
          </w:p>
        </w:tc>
      </w:tr>
      <w:tr w:rsidR="00E45722" w14:paraId="147B8E19" w14:textId="77777777" w:rsidTr="00E45722">
        <w:tc>
          <w:tcPr>
            <w:tcW w:w="1800" w:type="dxa"/>
            <w:tcBorders>
              <w:top w:val="nil"/>
              <w:left w:val="double" w:sz="4" w:space="0" w:color="auto"/>
              <w:bottom w:val="single" w:sz="6" w:space="0" w:color="auto"/>
              <w:right w:val="single" w:sz="6" w:space="0" w:color="auto"/>
            </w:tcBorders>
            <w:vAlign w:val="center"/>
          </w:tcPr>
          <w:p w14:paraId="54645DA3" w14:textId="77777777" w:rsidR="00E45722" w:rsidRDefault="00E45722" w:rsidP="004C17FD">
            <w:pPr>
              <w:pStyle w:val="Heading1"/>
              <w:jc w:val="center"/>
              <w:rPr>
                <w:rFonts w:ascii="Times New Roman" w:hAnsi="Times New Roman"/>
                <w:sz w:val="22"/>
              </w:rPr>
            </w:pPr>
            <w:r>
              <w:rPr>
                <w:rFonts w:ascii="Times New Roman" w:hAnsi="Times New Roman"/>
                <w:sz w:val="22"/>
              </w:rPr>
              <w:t>2111</w:t>
            </w:r>
          </w:p>
        </w:tc>
        <w:tc>
          <w:tcPr>
            <w:tcW w:w="4856" w:type="dxa"/>
            <w:tcBorders>
              <w:top w:val="nil"/>
              <w:left w:val="single" w:sz="6" w:space="0" w:color="auto"/>
              <w:bottom w:val="single" w:sz="6" w:space="0" w:color="auto"/>
              <w:right w:val="single" w:sz="6" w:space="0" w:color="auto"/>
            </w:tcBorders>
          </w:tcPr>
          <w:p w14:paraId="29692316" w14:textId="77777777" w:rsidR="00E45722" w:rsidRDefault="00E45722" w:rsidP="004C17FD">
            <w:pPr>
              <w:rPr>
                <w:sz w:val="22"/>
              </w:rPr>
            </w:pPr>
            <w:r>
              <w:rPr>
                <w:sz w:val="22"/>
              </w:rPr>
              <w:t>Applicability.</w:t>
            </w:r>
          </w:p>
        </w:tc>
        <w:tc>
          <w:tcPr>
            <w:tcW w:w="1533" w:type="dxa"/>
            <w:tcBorders>
              <w:top w:val="nil"/>
              <w:left w:val="single" w:sz="6" w:space="0" w:color="auto"/>
              <w:bottom w:val="single" w:sz="6" w:space="0" w:color="auto"/>
            </w:tcBorders>
            <w:vAlign w:val="center"/>
          </w:tcPr>
          <w:p w14:paraId="4173D9E9" w14:textId="77777777" w:rsidR="00E45722" w:rsidRPr="00083D88" w:rsidRDefault="00260879" w:rsidP="004C17FD">
            <w:pPr>
              <w:pStyle w:val="Heading2"/>
              <w:rPr>
                <w:rFonts w:ascii="Times New Roman" w:hAnsi="Times New Roman"/>
                <w:sz w:val="22"/>
                <w:szCs w:val="22"/>
              </w:rPr>
            </w:pPr>
            <w:r w:rsidRPr="00083D88">
              <w:rPr>
                <w:rFonts w:ascii="Times New Roman" w:hAnsi="Times New Roman"/>
                <w:sz w:val="22"/>
                <w:szCs w:val="22"/>
              </w:rPr>
              <w:t>12/8/10</w:t>
            </w:r>
          </w:p>
        </w:tc>
      </w:tr>
      <w:tr w:rsidR="00E45722" w14:paraId="31FDA0D9"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63070F60" w14:textId="77777777" w:rsidR="00E45722" w:rsidRDefault="00E45722" w:rsidP="004C17FD">
            <w:pPr>
              <w:pStyle w:val="Heading1"/>
              <w:jc w:val="center"/>
              <w:rPr>
                <w:rFonts w:ascii="Times New Roman" w:hAnsi="Times New Roman"/>
                <w:sz w:val="22"/>
              </w:rPr>
            </w:pPr>
            <w:r>
              <w:rPr>
                <w:rFonts w:ascii="Times New Roman" w:hAnsi="Times New Roman"/>
                <w:sz w:val="22"/>
              </w:rPr>
              <w:t>2112</w:t>
            </w:r>
          </w:p>
        </w:tc>
        <w:tc>
          <w:tcPr>
            <w:tcW w:w="4856" w:type="dxa"/>
            <w:tcBorders>
              <w:top w:val="single" w:sz="6" w:space="0" w:color="auto"/>
              <w:left w:val="single" w:sz="6" w:space="0" w:color="auto"/>
              <w:bottom w:val="single" w:sz="6" w:space="0" w:color="auto"/>
              <w:right w:val="single" w:sz="6" w:space="0" w:color="auto"/>
            </w:tcBorders>
          </w:tcPr>
          <w:p w14:paraId="20E5BBDB" w14:textId="77777777" w:rsidR="00E45722" w:rsidRDefault="00E45722" w:rsidP="004C17FD">
            <w:pPr>
              <w:rPr>
                <w:sz w:val="22"/>
              </w:rPr>
            </w:pPr>
            <w:r>
              <w:rPr>
                <w:sz w:val="22"/>
              </w:rPr>
              <w:t>Definitions.</w:t>
            </w:r>
          </w:p>
        </w:tc>
        <w:tc>
          <w:tcPr>
            <w:tcW w:w="1533" w:type="dxa"/>
            <w:tcBorders>
              <w:top w:val="single" w:sz="6" w:space="0" w:color="auto"/>
              <w:left w:val="single" w:sz="6" w:space="0" w:color="auto"/>
              <w:bottom w:val="single" w:sz="6" w:space="0" w:color="auto"/>
            </w:tcBorders>
            <w:vAlign w:val="center"/>
          </w:tcPr>
          <w:p w14:paraId="28647C34" w14:textId="77777777" w:rsidR="00E45722" w:rsidRPr="00083D88" w:rsidRDefault="00260879" w:rsidP="004C17FD">
            <w:pPr>
              <w:pStyle w:val="RulesFootertext"/>
              <w:rPr>
                <w:sz w:val="22"/>
                <w:szCs w:val="22"/>
              </w:rPr>
            </w:pPr>
            <w:r w:rsidRPr="00083D88">
              <w:rPr>
                <w:sz w:val="22"/>
                <w:szCs w:val="22"/>
              </w:rPr>
              <w:t>8/7/12</w:t>
            </w:r>
          </w:p>
        </w:tc>
      </w:tr>
      <w:tr w:rsidR="00E45722" w14:paraId="023A7A25"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6A106305" w14:textId="77777777" w:rsidR="00E45722" w:rsidRDefault="00E45722" w:rsidP="004C17FD">
            <w:pPr>
              <w:pStyle w:val="Heading1"/>
              <w:jc w:val="center"/>
              <w:rPr>
                <w:rFonts w:ascii="Times New Roman" w:hAnsi="Times New Roman"/>
                <w:sz w:val="22"/>
              </w:rPr>
            </w:pPr>
          </w:p>
        </w:tc>
        <w:tc>
          <w:tcPr>
            <w:tcW w:w="4856" w:type="dxa"/>
            <w:tcBorders>
              <w:top w:val="single" w:sz="6" w:space="0" w:color="auto"/>
              <w:left w:val="single" w:sz="6" w:space="0" w:color="auto"/>
              <w:bottom w:val="single" w:sz="6" w:space="0" w:color="auto"/>
              <w:right w:val="single" w:sz="6" w:space="0" w:color="auto"/>
            </w:tcBorders>
          </w:tcPr>
          <w:p w14:paraId="11B3ADE1" w14:textId="77777777" w:rsidR="00E45722" w:rsidRDefault="00E45722" w:rsidP="00965323">
            <w:pPr>
              <w:rPr>
                <w:sz w:val="22"/>
              </w:rPr>
            </w:pPr>
            <w:r>
              <w:rPr>
                <w:sz w:val="22"/>
              </w:rPr>
              <w:t>Appendix A to Article 2.1.</w:t>
            </w:r>
            <w:r w:rsidR="00965323">
              <w:rPr>
                <w:sz w:val="22"/>
              </w:rPr>
              <w:t xml:space="preserve"> (located under 2112)</w:t>
            </w:r>
          </w:p>
        </w:tc>
        <w:tc>
          <w:tcPr>
            <w:tcW w:w="1533" w:type="dxa"/>
            <w:tcBorders>
              <w:top w:val="single" w:sz="6" w:space="0" w:color="auto"/>
              <w:left w:val="single" w:sz="6" w:space="0" w:color="auto"/>
              <w:bottom w:val="single" w:sz="6" w:space="0" w:color="auto"/>
            </w:tcBorders>
            <w:vAlign w:val="center"/>
          </w:tcPr>
          <w:p w14:paraId="35225C44" w14:textId="77777777" w:rsidR="00E45722" w:rsidRPr="00083D88" w:rsidRDefault="00965323" w:rsidP="004C17FD">
            <w:pPr>
              <w:pStyle w:val="RulesFootertext"/>
              <w:rPr>
                <w:sz w:val="22"/>
                <w:szCs w:val="22"/>
              </w:rPr>
            </w:pPr>
            <w:r w:rsidRPr="00083D88">
              <w:rPr>
                <w:sz w:val="22"/>
                <w:szCs w:val="22"/>
              </w:rPr>
              <w:t>8/7/12</w:t>
            </w:r>
          </w:p>
        </w:tc>
      </w:tr>
      <w:tr w:rsidR="00E45722" w14:paraId="583BDD30"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186C7DF7" w14:textId="77777777" w:rsidR="00E45722" w:rsidRDefault="00E45722" w:rsidP="004C17FD">
            <w:pPr>
              <w:pStyle w:val="Heading1"/>
              <w:jc w:val="center"/>
              <w:rPr>
                <w:rFonts w:ascii="Times New Roman" w:hAnsi="Times New Roman"/>
                <w:sz w:val="22"/>
              </w:rPr>
            </w:pPr>
            <w:r>
              <w:rPr>
                <w:rFonts w:ascii="Times New Roman" w:hAnsi="Times New Roman"/>
                <w:sz w:val="22"/>
              </w:rPr>
              <w:t>2113</w:t>
            </w:r>
          </w:p>
        </w:tc>
        <w:tc>
          <w:tcPr>
            <w:tcW w:w="4856" w:type="dxa"/>
            <w:tcBorders>
              <w:top w:val="single" w:sz="6" w:space="0" w:color="auto"/>
              <w:left w:val="single" w:sz="6" w:space="0" w:color="auto"/>
              <w:bottom w:val="single" w:sz="6" w:space="0" w:color="auto"/>
              <w:right w:val="single" w:sz="6" w:space="0" w:color="auto"/>
            </w:tcBorders>
          </w:tcPr>
          <w:p w14:paraId="152919C5" w14:textId="77777777" w:rsidR="00E45722" w:rsidRDefault="00E45722" w:rsidP="004C17FD">
            <w:pPr>
              <w:rPr>
                <w:sz w:val="22"/>
              </w:rPr>
            </w:pPr>
            <w:r>
              <w:rPr>
                <w:sz w:val="22"/>
              </w:rPr>
              <w:t>Initiation and Approval of Voluntary and Influenced Emission-Related Recalls.</w:t>
            </w:r>
          </w:p>
        </w:tc>
        <w:tc>
          <w:tcPr>
            <w:tcW w:w="1533" w:type="dxa"/>
            <w:tcBorders>
              <w:top w:val="single" w:sz="6" w:space="0" w:color="auto"/>
              <w:left w:val="single" w:sz="6" w:space="0" w:color="auto"/>
              <w:bottom w:val="single" w:sz="6" w:space="0" w:color="auto"/>
            </w:tcBorders>
            <w:vAlign w:val="center"/>
          </w:tcPr>
          <w:p w14:paraId="64CE450D"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1/26/95</w:t>
            </w:r>
          </w:p>
        </w:tc>
      </w:tr>
      <w:tr w:rsidR="00E45722" w14:paraId="1834EC6B"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0BA14FA2" w14:textId="77777777" w:rsidR="00E45722" w:rsidRDefault="00E45722" w:rsidP="004C17FD">
            <w:pPr>
              <w:pStyle w:val="Heading1"/>
              <w:jc w:val="center"/>
              <w:rPr>
                <w:rFonts w:ascii="Times New Roman" w:hAnsi="Times New Roman"/>
                <w:sz w:val="22"/>
              </w:rPr>
            </w:pPr>
            <w:r>
              <w:rPr>
                <w:rFonts w:ascii="Times New Roman" w:hAnsi="Times New Roman"/>
                <w:sz w:val="22"/>
              </w:rPr>
              <w:t>2114</w:t>
            </w:r>
          </w:p>
        </w:tc>
        <w:tc>
          <w:tcPr>
            <w:tcW w:w="4856" w:type="dxa"/>
            <w:tcBorders>
              <w:top w:val="single" w:sz="6" w:space="0" w:color="auto"/>
              <w:left w:val="single" w:sz="6" w:space="0" w:color="auto"/>
              <w:bottom w:val="single" w:sz="6" w:space="0" w:color="auto"/>
              <w:right w:val="single" w:sz="6" w:space="0" w:color="auto"/>
            </w:tcBorders>
          </w:tcPr>
          <w:p w14:paraId="4678C17C" w14:textId="77777777" w:rsidR="00E45722" w:rsidRDefault="00E45722" w:rsidP="004C17FD">
            <w:pPr>
              <w:rPr>
                <w:sz w:val="22"/>
              </w:rPr>
            </w:pPr>
            <w:r>
              <w:rPr>
                <w:sz w:val="22"/>
              </w:rPr>
              <w:t>Voluntary and Influenced Recall Plans.</w:t>
            </w:r>
          </w:p>
        </w:tc>
        <w:tc>
          <w:tcPr>
            <w:tcW w:w="1533" w:type="dxa"/>
            <w:tcBorders>
              <w:top w:val="single" w:sz="6" w:space="0" w:color="auto"/>
              <w:left w:val="single" w:sz="6" w:space="0" w:color="auto"/>
              <w:bottom w:val="single" w:sz="6" w:space="0" w:color="auto"/>
            </w:tcBorders>
            <w:vAlign w:val="center"/>
          </w:tcPr>
          <w:p w14:paraId="21A37E67" w14:textId="77777777" w:rsidR="00E45722" w:rsidRPr="00083D88" w:rsidRDefault="00E45722" w:rsidP="004C17FD">
            <w:pPr>
              <w:pStyle w:val="RulesFootertext"/>
              <w:rPr>
                <w:sz w:val="22"/>
                <w:szCs w:val="22"/>
              </w:rPr>
            </w:pPr>
            <w:r w:rsidRPr="00083D88">
              <w:rPr>
                <w:sz w:val="22"/>
                <w:szCs w:val="22"/>
              </w:rPr>
              <w:t>11/27/99</w:t>
            </w:r>
          </w:p>
        </w:tc>
      </w:tr>
      <w:tr w:rsidR="00E45722" w14:paraId="6BE21EFF"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415E84C9" w14:textId="77777777" w:rsidR="00E45722" w:rsidRDefault="00E45722" w:rsidP="004C17FD">
            <w:pPr>
              <w:pStyle w:val="Heading1"/>
              <w:jc w:val="center"/>
              <w:rPr>
                <w:rFonts w:ascii="Times New Roman" w:hAnsi="Times New Roman"/>
                <w:sz w:val="22"/>
              </w:rPr>
            </w:pPr>
            <w:r>
              <w:rPr>
                <w:rFonts w:ascii="Times New Roman" w:hAnsi="Times New Roman"/>
                <w:sz w:val="22"/>
              </w:rPr>
              <w:t>2115</w:t>
            </w:r>
          </w:p>
        </w:tc>
        <w:tc>
          <w:tcPr>
            <w:tcW w:w="4856" w:type="dxa"/>
            <w:tcBorders>
              <w:top w:val="single" w:sz="6" w:space="0" w:color="auto"/>
              <w:left w:val="single" w:sz="6" w:space="0" w:color="auto"/>
              <w:bottom w:val="single" w:sz="6" w:space="0" w:color="auto"/>
              <w:right w:val="single" w:sz="6" w:space="0" w:color="auto"/>
            </w:tcBorders>
          </w:tcPr>
          <w:p w14:paraId="6218EA89" w14:textId="77777777" w:rsidR="00E45722" w:rsidRDefault="00E45722" w:rsidP="004C17FD">
            <w:pPr>
              <w:rPr>
                <w:sz w:val="22"/>
              </w:rPr>
            </w:pPr>
            <w:r>
              <w:rPr>
                <w:sz w:val="22"/>
              </w:rPr>
              <w:t>Eligibility for Repair.</w:t>
            </w:r>
          </w:p>
        </w:tc>
        <w:tc>
          <w:tcPr>
            <w:tcW w:w="1533" w:type="dxa"/>
            <w:tcBorders>
              <w:top w:val="single" w:sz="6" w:space="0" w:color="auto"/>
              <w:left w:val="single" w:sz="6" w:space="0" w:color="auto"/>
              <w:bottom w:val="single" w:sz="6" w:space="0" w:color="auto"/>
            </w:tcBorders>
            <w:vAlign w:val="center"/>
          </w:tcPr>
          <w:p w14:paraId="70EA699A"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1/26/95</w:t>
            </w:r>
          </w:p>
        </w:tc>
      </w:tr>
      <w:tr w:rsidR="00E45722" w14:paraId="6C5CAF3C" w14:textId="77777777" w:rsidTr="00E45722">
        <w:tc>
          <w:tcPr>
            <w:tcW w:w="1800" w:type="dxa"/>
            <w:tcBorders>
              <w:top w:val="single" w:sz="6" w:space="0" w:color="auto"/>
              <w:left w:val="double" w:sz="4" w:space="0" w:color="auto"/>
              <w:bottom w:val="single" w:sz="6" w:space="0" w:color="auto"/>
              <w:right w:val="single" w:sz="6" w:space="0" w:color="auto"/>
            </w:tcBorders>
            <w:vAlign w:val="center"/>
          </w:tcPr>
          <w:p w14:paraId="5CCC05C2" w14:textId="77777777" w:rsidR="00E45722" w:rsidRDefault="00E45722" w:rsidP="004C17FD">
            <w:pPr>
              <w:pStyle w:val="Heading1"/>
              <w:jc w:val="center"/>
              <w:rPr>
                <w:rFonts w:ascii="Times New Roman" w:hAnsi="Times New Roman"/>
                <w:sz w:val="22"/>
              </w:rPr>
            </w:pPr>
            <w:r>
              <w:rPr>
                <w:rFonts w:ascii="Times New Roman" w:hAnsi="Times New Roman"/>
                <w:sz w:val="22"/>
              </w:rPr>
              <w:t>2116</w:t>
            </w:r>
          </w:p>
        </w:tc>
        <w:tc>
          <w:tcPr>
            <w:tcW w:w="4856" w:type="dxa"/>
            <w:tcBorders>
              <w:top w:val="single" w:sz="6" w:space="0" w:color="auto"/>
              <w:left w:val="single" w:sz="6" w:space="0" w:color="auto"/>
              <w:bottom w:val="single" w:sz="6" w:space="0" w:color="auto"/>
              <w:right w:val="single" w:sz="6" w:space="0" w:color="auto"/>
            </w:tcBorders>
          </w:tcPr>
          <w:p w14:paraId="1A05DDB0" w14:textId="77777777" w:rsidR="00E45722" w:rsidRDefault="00E45722" w:rsidP="004C17FD">
            <w:pPr>
              <w:rPr>
                <w:sz w:val="22"/>
              </w:rPr>
            </w:pPr>
            <w:r>
              <w:rPr>
                <w:sz w:val="22"/>
              </w:rPr>
              <w:t>Repair Label.</w:t>
            </w:r>
          </w:p>
        </w:tc>
        <w:tc>
          <w:tcPr>
            <w:tcW w:w="1533" w:type="dxa"/>
            <w:tcBorders>
              <w:top w:val="single" w:sz="6" w:space="0" w:color="auto"/>
              <w:left w:val="single" w:sz="6" w:space="0" w:color="auto"/>
              <w:bottom w:val="single" w:sz="6" w:space="0" w:color="auto"/>
            </w:tcBorders>
            <w:vAlign w:val="center"/>
          </w:tcPr>
          <w:p w14:paraId="6E16663A"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1/26/95</w:t>
            </w:r>
          </w:p>
        </w:tc>
      </w:tr>
      <w:tr w:rsidR="00E45722" w14:paraId="6BE051F9" w14:textId="77777777" w:rsidTr="00E45722">
        <w:tc>
          <w:tcPr>
            <w:tcW w:w="1800" w:type="dxa"/>
            <w:tcBorders>
              <w:top w:val="single" w:sz="6" w:space="0" w:color="auto"/>
              <w:left w:val="double" w:sz="4" w:space="0" w:color="auto"/>
              <w:bottom w:val="single" w:sz="6" w:space="0" w:color="auto"/>
              <w:right w:val="single" w:sz="6" w:space="0" w:color="auto"/>
            </w:tcBorders>
          </w:tcPr>
          <w:p w14:paraId="3ABB8DDA" w14:textId="77777777" w:rsidR="00E45722" w:rsidRDefault="00E45722" w:rsidP="004C17FD">
            <w:pPr>
              <w:pStyle w:val="Heading1"/>
              <w:jc w:val="center"/>
              <w:rPr>
                <w:rFonts w:ascii="Times New Roman" w:hAnsi="Times New Roman"/>
                <w:sz w:val="22"/>
              </w:rPr>
            </w:pPr>
            <w:r>
              <w:rPr>
                <w:rFonts w:ascii="Times New Roman" w:hAnsi="Times New Roman"/>
                <w:sz w:val="22"/>
              </w:rPr>
              <w:t>2117</w:t>
            </w:r>
          </w:p>
        </w:tc>
        <w:tc>
          <w:tcPr>
            <w:tcW w:w="4856" w:type="dxa"/>
            <w:tcBorders>
              <w:top w:val="single" w:sz="6" w:space="0" w:color="auto"/>
              <w:left w:val="single" w:sz="6" w:space="0" w:color="auto"/>
              <w:bottom w:val="single" w:sz="6" w:space="0" w:color="auto"/>
              <w:right w:val="single" w:sz="6" w:space="0" w:color="auto"/>
            </w:tcBorders>
          </w:tcPr>
          <w:p w14:paraId="483DC42E" w14:textId="77777777" w:rsidR="00E45722" w:rsidRDefault="00E45722" w:rsidP="004C17FD">
            <w:pPr>
              <w:rPr>
                <w:sz w:val="22"/>
              </w:rPr>
            </w:pPr>
            <w:r>
              <w:rPr>
                <w:sz w:val="22"/>
              </w:rPr>
              <w:t>Proof of Correction Certificate.</w:t>
            </w:r>
          </w:p>
        </w:tc>
        <w:tc>
          <w:tcPr>
            <w:tcW w:w="1533" w:type="dxa"/>
            <w:tcBorders>
              <w:top w:val="single" w:sz="6" w:space="0" w:color="auto"/>
              <w:left w:val="single" w:sz="6" w:space="0" w:color="auto"/>
              <w:bottom w:val="single" w:sz="6" w:space="0" w:color="auto"/>
            </w:tcBorders>
          </w:tcPr>
          <w:p w14:paraId="049BE657"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1/26/95</w:t>
            </w:r>
          </w:p>
        </w:tc>
      </w:tr>
      <w:tr w:rsidR="00E45722" w14:paraId="14214793" w14:textId="77777777" w:rsidTr="00E31AC2">
        <w:tc>
          <w:tcPr>
            <w:tcW w:w="1800" w:type="dxa"/>
            <w:tcBorders>
              <w:top w:val="single" w:sz="6" w:space="0" w:color="auto"/>
              <w:left w:val="double" w:sz="4" w:space="0" w:color="auto"/>
              <w:bottom w:val="single" w:sz="6" w:space="0" w:color="auto"/>
              <w:right w:val="single" w:sz="6" w:space="0" w:color="auto"/>
            </w:tcBorders>
          </w:tcPr>
          <w:p w14:paraId="17B5AA68" w14:textId="77777777" w:rsidR="00E45722" w:rsidRDefault="00E45722" w:rsidP="004C17FD">
            <w:pPr>
              <w:pStyle w:val="Heading1"/>
              <w:jc w:val="center"/>
              <w:rPr>
                <w:rFonts w:ascii="Times New Roman" w:hAnsi="Times New Roman"/>
                <w:sz w:val="22"/>
              </w:rPr>
            </w:pPr>
            <w:r>
              <w:rPr>
                <w:rFonts w:ascii="Times New Roman" w:hAnsi="Times New Roman"/>
                <w:sz w:val="22"/>
              </w:rPr>
              <w:t>2118</w:t>
            </w:r>
          </w:p>
        </w:tc>
        <w:tc>
          <w:tcPr>
            <w:tcW w:w="4856" w:type="dxa"/>
            <w:tcBorders>
              <w:top w:val="single" w:sz="6" w:space="0" w:color="auto"/>
              <w:left w:val="single" w:sz="6" w:space="0" w:color="auto"/>
              <w:bottom w:val="single" w:sz="6" w:space="0" w:color="auto"/>
              <w:right w:val="single" w:sz="6" w:space="0" w:color="auto"/>
            </w:tcBorders>
          </w:tcPr>
          <w:p w14:paraId="2F570F74" w14:textId="77777777" w:rsidR="00E45722" w:rsidRDefault="00E45722" w:rsidP="004C17FD">
            <w:pPr>
              <w:rPr>
                <w:sz w:val="22"/>
              </w:rPr>
            </w:pPr>
            <w:r>
              <w:rPr>
                <w:sz w:val="22"/>
              </w:rPr>
              <w:t xml:space="preserve">Notification. </w:t>
            </w:r>
          </w:p>
        </w:tc>
        <w:tc>
          <w:tcPr>
            <w:tcW w:w="1533" w:type="dxa"/>
            <w:tcBorders>
              <w:top w:val="single" w:sz="6" w:space="0" w:color="auto"/>
              <w:left w:val="single" w:sz="6" w:space="0" w:color="auto"/>
              <w:bottom w:val="single" w:sz="6" w:space="0" w:color="auto"/>
            </w:tcBorders>
          </w:tcPr>
          <w:p w14:paraId="39F8AD68" w14:textId="77777777" w:rsidR="00E45722" w:rsidRPr="00083D88" w:rsidRDefault="00E45722" w:rsidP="004C17FD">
            <w:pPr>
              <w:pStyle w:val="Heading2"/>
              <w:rPr>
                <w:rFonts w:ascii="Times New Roman" w:hAnsi="Times New Roman"/>
                <w:sz w:val="22"/>
                <w:szCs w:val="22"/>
              </w:rPr>
            </w:pPr>
            <w:r w:rsidRPr="00083D88">
              <w:rPr>
                <w:rFonts w:ascii="Times New Roman" w:hAnsi="Times New Roman"/>
                <w:sz w:val="22"/>
                <w:szCs w:val="22"/>
              </w:rPr>
              <w:t>1/26/95</w:t>
            </w:r>
          </w:p>
        </w:tc>
      </w:tr>
      <w:tr w:rsidR="00E45722" w14:paraId="624CCA7D" w14:textId="77777777" w:rsidTr="00E31AC2">
        <w:tc>
          <w:tcPr>
            <w:tcW w:w="1800" w:type="dxa"/>
            <w:tcBorders>
              <w:top w:val="single" w:sz="6" w:space="0" w:color="auto"/>
              <w:left w:val="double" w:sz="4" w:space="0" w:color="auto"/>
              <w:bottom w:val="single" w:sz="6" w:space="0" w:color="auto"/>
              <w:right w:val="single" w:sz="6" w:space="0" w:color="auto"/>
            </w:tcBorders>
          </w:tcPr>
          <w:p w14:paraId="5BC38F3E" w14:textId="77777777" w:rsidR="00E45722" w:rsidRDefault="00E45722" w:rsidP="004C17FD">
            <w:pPr>
              <w:pStyle w:val="Heading1"/>
              <w:jc w:val="center"/>
              <w:rPr>
                <w:rFonts w:ascii="Times New Roman" w:hAnsi="Times New Roman"/>
                <w:sz w:val="22"/>
              </w:rPr>
            </w:pPr>
            <w:r>
              <w:rPr>
                <w:rFonts w:ascii="Times New Roman" w:hAnsi="Times New Roman"/>
                <w:sz w:val="22"/>
              </w:rPr>
              <w:t>2119</w:t>
            </w:r>
          </w:p>
        </w:tc>
        <w:tc>
          <w:tcPr>
            <w:tcW w:w="4856" w:type="dxa"/>
            <w:tcBorders>
              <w:top w:val="single" w:sz="6" w:space="0" w:color="auto"/>
              <w:left w:val="single" w:sz="6" w:space="0" w:color="auto"/>
              <w:bottom w:val="single" w:sz="6" w:space="0" w:color="auto"/>
              <w:right w:val="single" w:sz="6" w:space="0" w:color="auto"/>
            </w:tcBorders>
          </w:tcPr>
          <w:p w14:paraId="785B2A3E" w14:textId="77777777" w:rsidR="00E45722" w:rsidRDefault="00E45722" w:rsidP="004C17FD">
            <w:pPr>
              <w:rPr>
                <w:sz w:val="22"/>
              </w:rPr>
            </w:pPr>
            <w:r>
              <w:rPr>
                <w:sz w:val="22"/>
              </w:rPr>
              <w:t>Recordkeeping and Reporting Requirements.</w:t>
            </w:r>
          </w:p>
        </w:tc>
        <w:tc>
          <w:tcPr>
            <w:tcW w:w="1533" w:type="dxa"/>
            <w:tcBorders>
              <w:top w:val="single" w:sz="6" w:space="0" w:color="auto"/>
              <w:left w:val="single" w:sz="6" w:space="0" w:color="auto"/>
              <w:bottom w:val="single" w:sz="6" w:space="0" w:color="auto"/>
            </w:tcBorders>
          </w:tcPr>
          <w:p w14:paraId="5C707BDE" w14:textId="77777777" w:rsidR="00E45722" w:rsidRPr="00083D88" w:rsidRDefault="00E45722" w:rsidP="004C17FD">
            <w:pPr>
              <w:pStyle w:val="RulesFootertext"/>
              <w:rPr>
                <w:sz w:val="22"/>
                <w:szCs w:val="22"/>
              </w:rPr>
            </w:pPr>
            <w:r w:rsidRPr="00083D88">
              <w:rPr>
                <w:sz w:val="22"/>
                <w:szCs w:val="22"/>
              </w:rPr>
              <w:t>11/27/99</w:t>
            </w:r>
          </w:p>
        </w:tc>
      </w:tr>
      <w:tr w:rsidR="001033EF" w14:paraId="64B3B5FD" w14:textId="77777777" w:rsidTr="00E31AC2">
        <w:tc>
          <w:tcPr>
            <w:tcW w:w="1800" w:type="dxa"/>
            <w:tcBorders>
              <w:top w:val="single" w:sz="6" w:space="0" w:color="auto"/>
              <w:left w:val="double" w:sz="4" w:space="0" w:color="auto"/>
              <w:bottom w:val="single" w:sz="6" w:space="0" w:color="auto"/>
              <w:right w:val="single" w:sz="6" w:space="0" w:color="auto"/>
            </w:tcBorders>
          </w:tcPr>
          <w:p w14:paraId="37010B42" w14:textId="77777777" w:rsidR="001033EF" w:rsidRDefault="001033EF" w:rsidP="00E67D8E">
            <w:pPr>
              <w:pStyle w:val="Heading1"/>
              <w:jc w:val="center"/>
              <w:rPr>
                <w:rFonts w:ascii="Times New Roman" w:hAnsi="Times New Roman"/>
                <w:sz w:val="22"/>
              </w:rPr>
            </w:pPr>
            <w:r>
              <w:rPr>
                <w:rFonts w:ascii="Times New Roman" w:hAnsi="Times New Roman"/>
                <w:sz w:val="22"/>
              </w:rPr>
              <w:t>2120</w:t>
            </w:r>
          </w:p>
        </w:tc>
        <w:tc>
          <w:tcPr>
            <w:tcW w:w="4856" w:type="dxa"/>
            <w:tcBorders>
              <w:top w:val="single" w:sz="6" w:space="0" w:color="auto"/>
              <w:left w:val="single" w:sz="6" w:space="0" w:color="auto"/>
              <w:bottom w:val="single" w:sz="6" w:space="0" w:color="auto"/>
              <w:right w:val="single" w:sz="6" w:space="0" w:color="auto"/>
            </w:tcBorders>
          </w:tcPr>
          <w:p w14:paraId="3E19A164" w14:textId="77777777" w:rsidR="001033EF" w:rsidRDefault="001033EF" w:rsidP="00E67D8E">
            <w:pPr>
              <w:rPr>
                <w:sz w:val="22"/>
              </w:rPr>
            </w:pPr>
            <w:r>
              <w:rPr>
                <w:sz w:val="22"/>
              </w:rPr>
              <w:t>Other Requirements Not Waived.</w:t>
            </w:r>
          </w:p>
        </w:tc>
        <w:tc>
          <w:tcPr>
            <w:tcW w:w="1533" w:type="dxa"/>
            <w:tcBorders>
              <w:top w:val="single" w:sz="6" w:space="0" w:color="auto"/>
              <w:left w:val="single" w:sz="6" w:space="0" w:color="auto"/>
              <w:bottom w:val="single" w:sz="6" w:space="0" w:color="auto"/>
            </w:tcBorders>
          </w:tcPr>
          <w:p w14:paraId="78515EEE" w14:textId="77777777" w:rsidR="001033EF" w:rsidRPr="00083D88" w:rsidRDefault="001033EF" w:rsidP="00E67D8E">
            <w:pPr>
              <w:pStyle w:val="Heading2"/>
              <w:rPr>
                <w:rFonts w:ascii="Times New Roman" w:hAnsi="Times New Roman"/>
                <w:sz w:val="22"/>
                <w:szCs w:val="22"/>
              </w:rPr>
            </w:pPr>
            <w:r w:rsidRPr="00083D88">
              <w:rPr>
                <w:rFonts w:ascii="Times New Roman" w:hAnsi="Times New Roman"/>
                <w:sz w:val="22"/>
                <w:szCs w:val="22"/>
              </w:rPr>
              <w:t>1/26/95</w:t>
            </w:r>
          </w:p>
        </w:tc>
      </w:tr>
      <w:tr w:rsidR="00260879" w14:paraId="55F6E054" w14:textId="77777777" w:rsidTr="00660E07">
        <w:tc>
          <w:tcPr>
            <w:tcW w:w="1800" w:type="dxa"/>
            <w:tcBorders>
              <w:top w:val="single" w:sz="6" w:space="0" w:color="auto"/>
              <w:left w:val="double" w:sz="4" w:space="0" w:color="auto"/>
              <w:bottom w:val="nil"/>
              <w:right w:val="single" w:sz="6" w:space="0" w:color="auto"/>
            </w:tcBorders>
          </w:tcPr>
          <w:p w14:paraId="5D59898B" w14:textId="77777777" w:rsidR="00260879" w:rsidRDefault="00260879" w:rsidP="00660E07">
            <w:pPr>
              <w:pStyle w:val="Heading1"/>
              <w:jc w:val="center"/>
              <w:rPr>
                <w:rFonts w:ascii="Times New Roman" w:hAnsi="Times New Roman"/>
                <w:sz w:val="22"/>
              </w:rPr>
            </w:pPr>
            <w:r>
              <w:rPr>
                <w:rFonts w:ascii="Times New Roman" w:hAnsi="Times New Roman"/>
                <w:sz w:val="22"/>
              </w:rPr>
              <w:t>2121</w:t>
            </w:r>
          </w:p>
        </w:tc>
        <w:tc>
          <w:tcPr>
            <w:tcW w:w="4856" w:type="dxa"/>
            <w:tcBorders>
              <w:top w:val="single" w:sz="6" w:space="0" w:color="auto"/>
              <w:left w:val="single" w:sz="6" w:space="0" w:color="auto"/>
              <w:bottom w:val="nil"/>
              <w:right w:val="single" w:sz="6" w:space="0" w:color="auto"/>
            </w:tcBorders>
          </w:tcPr>
          <w:p w14:paraId="4EFE8325" w14:textId="77777777" w:rsidR="00260879" w:rsidRDefault="00260879" w:rsidP="00660E07">
            <w:pPr>
              <w:rPr>
                <w:sz w:val="22"/>
              </w:rPr>
            </w:pPr>
            <w:r>
              <w:rPr>
                <w:sz w:val="22"/>
              </w:rPr>
              <w:t>Penalties.</w:t>
            </w:r>
          </w:p>
        </w:tc>
        <w:tc>
          <w:tcPr>
            <w:tcW w:w="1533" w:type="dxa"/>
            <w:tcBorders>
              <w:top w:val="single" w:sz="6" w:space="0" w:color="auto"/>
              <w:left w:val="single" w:sz="6" w:space="0" w:color="auto"/>
              <w:bottom w:val="nil"/>
            </w:tcBorders>
          </w:tcPr>
          <w:p w14:paraId="14FA00A1" w14:textId="77777777" w:rsidR="00260879" w:rsidRPr="00083D88" w:rsidRDefault="00260879" w:rsidP="00660E07">
            <w:pPr>
              <w:pStyle w:val="Heading2"/>
              <w:rPr>
                <w:rFonts w:ascii="Times New Roman" w:hAnsi="Times New Roman"/>
                <w:sz w:val="22"/>
                <w:szCs w:val="22"/>
              </w:rPr>
            </w:pPr>
            <w:r w:rsidRPr="00083D88">
              <w:rPr>
                <w:rFonts w:ascii="Times New Roman" w:hAnsi="Times New Roman"/>
                <w:sz w:val="22"/>
                <w:szCs w:val="22"/>
              </w:rPr>
              <w:t>1/26/95</w:t>
            </w:r>
          </w:p>
        </w:tc>
      </w:tr>
      <w:tr w:rsidR="001033EF" w14:paraId="06304BFB" w14:textId="77777777" w:rsidTr="00E45722">
        <w:tc>
          <w:tcPr>
            <w:tcW w:w="1800" w:type="dxa"/>
            <w:tcBorders>
              <w:top w:val="single" w:sz="6" w:space="0" w:color="auto"/>
              <w:bottom w:val="single" w:sz="6" w:space="0" w:color="auto"/>
              <w:right w:val="single" w:sz="6" w:space="0" w:color="auto"/>
            </w:tcBorders>
          </w:tcPr>
          <w:p w14:paraId="7B08C70F" w14:textId="77777777" w:rsidR="001033EF" w:rsidRDefault="001033EF">
            <w:pPr>
              <w:pStyle w:val="Heading1"/>
              <w:jc w:val="center"/>
              <w:rPr>
                <w:rFonts w:ascii="Times New Roman" w:hAnsi="Times New Roman"/>
                <w:sz w:val="22"/>
              </w:rPr>
            </w:pPr>
          </w:p>
        </w:tc>
        <w:tc>
          <w:tcPr>
            <w:tcW w:w="4856" w:type="dxa"/>
            <w:tcBorders>
              <w:top w:val="single" w:sz="6" w:space="0" w:color="auto"/>
              <w:left w:val="single" w:sz="6" w:space="0" w:color="auto"/>
              <w:bottom w:val="single" w:sz="6" w:space="0" w:color="auto"/>
              <w:right w:val="single" w:sz="6" w:space="0" w:color="auto"/>
            </w:tcBorders>
          </w:tcPr>
          <w:p w14:paraId="1AC994C5" w14:textId="77777777" w:rsidR="001033EF" w:rsidRDefault="001033EF">
            <w:pPr>
              <w:rPr>
                <w:sz w:val="22"/>
              </w:rPr>
            </w:pPr>
          </w:p>
        </w:tc>
        <w:tc>
          <w:tcPr>
            <w:tcW w:w="1533" w:type="dxa"/>
            <w:tcBorders>
              <w:top w:val="single" w:sz="6" w:space="0" w:color="auto"/>
              <w:left w:val="single" w:sz="6" w:space="0" w:color="auto"/>
              <w:bottom w:val="single" w:sz="6" w:space="0" w:color="auto"/>
            </w:tcBorders>
          </w:tcPr>
          <w:p w14:paraId="425D0908" w14:textId="77777777" w:rsidR="001033EF" w:rsidRPr="00083D88" w:rsidRDefault="001033EF">
            <w:pPr>
              <w:pStyle w:val="Heading2"/>
              <w:rPr>
                <w:rFonts w:ascii="Times New Roman" w:hAnsi="Times New Roman"/>
                <w:sz w:val="22"/>
                <w:szCs w:val="22"/>
              </w:rPr>
            </w:pPr>
          </w:p>
        </w:tc>
      </w:tr>
      <w:tr w:rsidR="004D0AF0" w14:paraId="1FAA1D4C" w14:textId="77777777" w:rsidTr="00E45722">
        <w:tc>
          <w:tcPr>
            <w:tcW w:w="1800" w:type="dxa"/>
            <w:tcBorders>
              <w:top w:val="single" w:sz="6" w:space="0" w:color="auto"/>
              <w:bottom w:val="single" w:sz="6" w:space="0" w:color="auto"/>
              <w:right w:val="single" w:sz="6" w:space="0" w:color="auto"/>
            </w:tcBorders>
          </w:tcPr>
          <w:p w14:paraId="05DF8805" w14:textId="77777777" w:rsidR="004D0AF0" w:rsidRDefault="004D0AF0">
            <w:pPr>
              <w:pStyle w:val="Heading1"/>
              <w:jc w:val="center"/>
              <w:rPr>
                <w:rFonts w:ascii="Times New Roman" w:hAnsi="Times New Roman"/>
                <w:sz w:val="22"/>
              </w:rPr>
            </w:pPr>
            <w:r>
              <w:rPr>
                <w:rFonts w:ascii="Times New Roman" w:hAnsi="Times New Roman"/>
                <w:sz w:val="22"/>
              </w:rPr>
              <w:t>Article 2.2</w:t>
            </w:r>
          </w:p>
        </w:tc>
        <w:tc>
          <w:tcPr>
            <w:tcW w:w="4856" w:type="dxa"/>
            <w:tcBorders>
              <w:top w:val="single" w:sz="6" w:space="0" w:color="auto"/>
              <w:left w:val="single" w:sz="6" w:space="0" w:color="auto"/>
              <w:bottom w:val="single" w:sz="6" w:space="0" w:color="auto"/>
              <w:right w:val="single" w:sz="6" w:space="0" w:color="auto"/>
            </w:tcBorders>
          </w:tcPr>
          <w:p w14:paraId="6B71E541" w14:textId="77777777" w:rsidR="004D0AF0" w:rsidRDefault="004D0AF0">
            <w:pPr>
              <w:rPr>
                <w:sz w:val="22"/>
              </w:rPr>
            </w:pPr>
            <w:r>
              <w:rPr>
                <w:sz w:val="22"/>
              </w:rPr>
              <w:t>Procedures for In-Use Vehicle Ordered Recalls.</w:t>
            </w:r>
          </w:p>
        </w:tc>
        <w:tc>
          <w:tcPr>
            <w:tcW w:w="1533" w:type="dxa"/>
            <w:tcBorders>
              <w:top w:val="single" w:sz="6" w:space="0" w:color="auto"/>
              <w:left w:val="single" w:sz="6" w:space="0" w:color="auto"/>
              <w:bottom w:val="single" w:sz="6" w:space="0" w:color="auto"/>
            </w:tcBorders>
          </w:tcPr>
          <w:p w14:paraId="0B74ECB9" w14:textId="77777777" w:rsidR="004D0AF0" w:rsidRPr="00083D88" w:rsidRDefault="004D0AF0">
            <w:pPr>
              <w:pStyle w:val="Heading2"/>
              <w:rPr>
                <w:rFonts w:ascii="Times New Roman" w:hAnsi="Times New Roman"/>
                <w:sz w:val="22"/>
                <w:szCs w:val="22"/>
              </w:rPr>
            </w:pPr>
          </w:p>
        </w:tc>
      </w:tr>
      <w:tr w:rsidR="004D0AF0" w14:paraId="567E0E7B" w14:textId="77777777" w:rsidTr="00E45722">
        <w:tc>
          <w:tcPr>
            <w:tcW w:w="1800" w:type="dxa"/>
            <w:tcBorders>
              <w:top w:val="single" w:sz="6" w:space="0" w:color="auto"/>
              <w:left w:val="double" w:sz="4" w:space="0" w:color="auto"/>
              <w:bottom w:val="nil"/>
              <w:right w:val="single" w:sz="6" w:space="0" w:color="auto"/>
            </w:tcBorders>
          </w:tcPr>
          <w:p w14:paraId="5C32A6E7" w14:textId="77777777" w:rsidR="004D0AF0" w:rsidRDefault="004D0AF0" w:rsidP="008B606A">
            <w:pPr>
              <w:pStyle w:val="Heading1"/>
              <w:jc w:val="center"/>
              <w:rPr>
                <w:rFonts w:ascii="Times New Roman" w:hAnsi="Times New Roman"/>
                <w:sz w:val="22"/>
              </w:rPr>
            </w:pPr>
            <w:r>
              <w:rPr>
                <w:rFonts w:ascii="Times New Roman" w:hAnsi="Times New Roman"/>
                <w:sz w:val="22"/>
              </w:rPr>
              <w:t>2122</w:t>
            </w:r>
          </w:p>
        </w:tc>
        <w:tc>
          <w:tcPr>
            <w:tcW w:w="4856" w:type="dxa"/>
            <w:tcBorders>
              <w:top w:val="single" w:sz="6" w:space="0" w:color="auto"/>
              <w:left w:val="single" w:sz="6" w:space="0" w:color="auto"/>
              <w:bottom w:val="nil"/>
              <w:right w:val="single" w:sz="6" w:space="0" w:color="auto"/>
            </w:tcBorders>
          </w:tcPr>
          <w:p w14:paraId="1E39D1E6" w14:textId="77777777" w:rsidR="004D0AF0" w:rsidRDefault="004D0AF0" w:rsidP="008B606A">
            <w:pPr>
              <w:rPr>
                <w:sz w:val="22"/>
              </w:rPr>
            </w:pPr>
            <w:r>
              <w:rPr>
                <w:sz w:val="22"/>
              </w:rPr>
              <w:t>General Provisions.</w:t>
            </w:r>
          </w:p>
        </w:tc>
        <w:tc>
          <w:tcPr>
            <w:tcW w:w="1533" w:type="dxa"/>
            <w:tcBorders>
              <w:top w:val="single" w:sz="6" w:space="0" w:color="auto"/>
              <w:left w:val="single" w:sz="6" w:space="0" w:color="auto"/>
              <w:bottom w:val="nil"/>
            </w:tcBorders>
          </w:tcPr>
          <w:p w14:paraId="2B362033" w14:textId="77777777" w:rsidR="004D0AF0" w:rsidRPr="00083D88" w:rsidRDefault="00260879" w:rsidP="008B606A">
            <w:pPr>
              <w:pStyle w:val="Heading2"/>
              <w:rPr>
                <w:rFonts w:ascii="Times New Roman" w:hAnsi="Times New Roman"/>
                <w:sz w:val="22"/>
                <w:szCs w:val="22"/>
              </w:rPr>
            </w:pPr>
            <w:r w:rsidRPr="00083D88">
              <w:rPr>
                <w:rFonts w:ascii="Times New Roman" w:hAnsi="Times New Roman"/>
                <w:sz w:val="22"/>
                <w:szCs w:val="22"/>
              </w:rPr>
              <w:t>12/8/10</w:t>
            </w:r>
          </w:p>
        </w:tc>
      </w:tr>
      <w:tr w:rsidR="004D0AF0" w14:paraId="49109136" w14:textId="77777777" w:rsidTr="00E45722">
        <w:tc>
          <w:tcPr>
            <w:tcW w:w="1800" w:type="dxa"/>
            <w:tcBorders>
              <w:top w:val="single" w:sz="6" w:space="0" w:color="auto"/>
              <w:bottom w:val="single" w:sz="6" w:space="0" w:color="auto"/>
              <w:right w:val="single" w:sz="6" w:space="0" w:color="auto"/>
            </w:tcBorders>
            <w:vAlign w:val="center"/>
          </w:tcPr>
          <w:p w14:paraId="3CFE693D" w14:textId="77777777" w:rsidR="004D0AF0" w:rsidRDefault="004D0AF0" w:rsidP="00183A83">
            <w:pPr>
              <w:pStyle w:val="Heading1"/>
              <w:jc w:val="center"/>
              <w:rPr>
                <w:rFonts w:ascii="Times New Roman" w:hAnsi="Times New Roman"/>
                <w:sz w:val="22"/>
              </w:rPr>
            </w:pPr>
            <w:r>
              <w:rPr>
                <w:rFonts w:ascii="Times New Roman" w:hAnsi="Times New Roman"/>
                <w:sz w:val="22"/>
              </w:rPr>
              <w:t>2123</w:t>
            </w:r>
          </w:p>
        </w:tc>
        <w:tc>
          <w:tcPr>
            <w:tcW w:w="4856" w:type="dxa"/>
            <w:tcBorders>
              <w:top w:val="single" w:sz="6" w:space="0" w:color="auto"/>
              <w:left w:val="single" w:sz="6" w:space="0" w:color="auto"/>
              <w:bottom w:val="single" w:sz="6" w:space="0" w:color="auto"/>
              <w:right w:val="single" w:sz="6" w:space="0" w:color="auto"/>
            </w:tcBorders>
          </w:tcPr>
          <w:p w14:paraId="071819DD" w14:textId="77777777" w:rsidR="004D0AF0" w:rsidRDefault="004D0AF0">
            <w:pPr>
              <w:rPr>
                <w:sz w:val="22"/>
              </w:rPr>
            </w:pPr>
            <w:r>
              <w:rPr>
                <w:sz w:val="22"/>
              </w:rPr>
              <w:t>Initiation and Notification of Ordered Emission-Related Recalls.</w:t>
            </w:r>
          </w:p>
        </w:tc>
        <w:tc>
          <w:tcPr>
            <w:tcW w:w="1533" w:type="dxa"/>
            <w:tcBorders>
              <w:top w:val="single" w:sz="6" w:space="0" w:color="auto"/>
              <w:left w:val="single" w:sz="6" w:space="0" w:color="auto"/>
              <w:bottom w:val="single" w:sz="6" w:space="0" w:color="auto"/>
            </w:tcBorders>
            <w:vAlign w:val="center"/>
          </w:tcPr>
          <w:p w14:paraId="42A4D873"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1/26/95</w:t>
            </w:r>
          </w:p>
        </w:tc>
      </w:tr>
      <w:tr w:rsidR="004D0AF0" w14:paraId="00BAE068" w14:textId="77777777" w:rsidTr="00E45722">
        <w:tc>
          <w:tcPr>
            <w:tcW w:w="1800" w:type="dxa"/>
            <w:tcBorders>
              <w:top w:val="single" w:sz="6" w:space="0" w:color="auto"/>
              <w:bottom w:val="single" w:sz="6" w:space="0" w:color="auto"/>
              <w:right w:val="single" w:sz="6" w:space="0" w:color="auto"/>
            </w:tcBorders>
            <w:vAlign w:val="center"/>
          </w:tcPr>
          <w:p w14:paraId="1B9FB1DD" w14:textId="77777777" w:rsidR="004D0AF0" w:rsidRDefault="004D0AF0" w:rsidP="00183A83">
            <w:pPr>
              <w:pStyle w:val="Heading1"/>
              <w:jc w:val="center"/>
              <w:rPr>
                <w:rFonts w:ascii="Times New Roman" w:hAnsi="Times New Roman"/>
                <w:sz w:val="22"/>
              </w:rPr>
            </w:pPr>
            <w:r>
              <w:rPr>
                <w:rFonts w:ascii="Times New Roman" w:hAnsi="Times New Roman"/>
                <w:sz w:val="22"/>
              </w:rPr>
              <w:t>2124</w:t>
            </w:r>
          </w:p>
        </w:tc>
        <w:tc>
          <w:tcPr>
            <w:tcW w:w="4856" w:type="dxa"/>
            <w:tcBorders>
              <w:top w:val="single" w:sz="6" w:space="0" w:color="auto"/>
              <w:left w:val="single" w:sz="6" w:space="0" w:color="auto"/>
              <w:bottom w:val="single" w:sz="6" w:space="0" w:color="auto"/>
              <w:right w:val="single" w:sz="6" w:space="0" w:color="auto"/>
            </w:tcBorders>
          </w:tcPr>
          <w:p w14:paraId="58773EAE" w14:textId="77777777" w:rsidR="004D0AF0" w:rsidRDefault="004D0AF0">
            <w:pPr>
              <w:rPr>
                <w:sz w:val="22"/>
              </w:rPr>
            </w:pPr>
            <w:r>
              <w:rPr>
                <w:sz w:val="22"/>
              </w:rPr>
              <w:t>Availability of Public Hearing.</w:t>
            </w:r>
          </w:p>
        </w:tc>
        <w:tc>
          <w:tcPr>
            <w:tcW w:w="1533" w:type="dxa"/>
            <w:tcBorders>
              <w:top w:val="single" w:sz="6" w:space="0" w:color="auto"/>
              <w:left w:val="single" w:sz="6" w:space="0" w:color="auto"/>
              <w:bottom w:val="single" w:sz="6" w:space="0" w:color="auto"/>
            </w:tcBorders>
            <w:vAlign w:val="center"/>
          </w:tcPr>
          <w:p w14:paraId="71AC796B"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1/26/95</w:t>
            </w:r>
          </w:p>
        </w:tc>
      </w:tr>
      <w:tr w:rsidR="004D0AF0" w14:paraId="4D4FC77A" w14:textId="77777777" w:rsidTr="00E45722">
        <w:tc>
          <w:tcPr>
            <w:tcW w:w="1800" w:type="dxa"/>
            <w:tcBorders>
              <w:top w:val="single" w:sz="6" w:space="0" w:color="auto"/>
              <w:bottom w:val="single" w:sz="6" w:space="0" w:color="auto"/>
              <w:right w:val="single" w:sz="6" w:space="0" w:color="auto"/>
            </w:tcBorders>
            <w:vAlign w:val="center"/>
          </w:tcPr>
          <w:p w14:paraId="1C3FA3DD" w14:textId="77777777" w:rsidR="004D0AF0" w:rsidRDefault="004D0AF0" w:rsidP="00183A83">
            <w:pPr>
              <w:pStyle w:val="Heading1"/>
              <w:jc w:val="center"/>
              <w:rPr>
                <w:rFonts w:ascii="Times New Roman" w:hAnsi="Times New Roman"/>
                <w:sz w:val="22"/>
              </w:rPr>
            </w:pPr>
            <w:r>
              <w:rPr>
                <w:rFonts w:ascii="Times New Roman" w:hAnsi="Times New Roman"/>
                <w:sz w:val="22"/>
              </w:rPr>
              <w:t>2125</w:t>
            </w:r>
          </w:p>
        </w:tc>
        <w:tc>
          <w:tcPr>
            <w:tcW w:w="4856" w:type="dxa"/>
            <w:tcBorders>
              <w:top w:val="single" w:sz="6" w:space="0" w:color="auto"/>
              <w:left w:val="single" w:sz="6" w:space="0" w:color="auto"/>
              <w:bottom w:val="single" w:sz="6" w:space="0" w:color="auto"/>
              <w:right w:val="single" w:sz="6" w:space="0" w:color="auto"/>
            </w:tcBorders>
          </w:tcPr>
          <w:p w14:paraId="507E23F6" w14:textId="77777777" w:rsidR="004D0AF0" w:rsidRDefault="004D0AF0">
            <w:pPr>
              <w:rPr>
                <w:sz w:val="22"/>
              </w:rPr>
            </w:pPr>
            <w:r>
              <w:rPr>
                <w:sz w:val="22"/>
              </w:rPr>
              <w:t>Ordered Recall Plan.</w:t>
            </w:r>
          </w:p>
        </w:tc>
        <w:tc>
          <w:tcPr>
            <w:tcW w:w="1533" w:type="dxa"/>
            <w:tcBorders>
              <w:top w:val="single" w:sz="6" w:space="0" w:color="auto"/>
              <w:left w:val="single" w:sz="6" w:space="0" w:color="auto"/>
              <w:bottom w:val="single" w:sz="6" w:space="0" w:color="auto"/>
            </w:tcBorders>
            <w:vAlign w:val="center"/>
          </w:tcPr>
          <w:p w14:paraId="12366F12" w14:textId="77777777" w:rsidR="004D0AF0" w:rsidRPr="00083D88" w:rsidRDefault="004D0AF0" w:rsidP="00183A83">
            <w:pPr>
              <w:pStyle w:val="Heading2"/>
              <w:rPr>
                <w:rFonts w:ascii="Times New Roman" w:hAnsi="Times New Roman"/>
                <w:sz w:val="22"/>
                <w:szCs w:val="22"/>
              </w:rPr>
            </w:pPr>
            <w:r w:rsidRPr="00083D88">
              <w:rPr>
                <w:rFonts w:ascii="Times New Roman" w:hAnsi="Times New Roman"/>
                <w:sz w:val="22"/>
                <w:szCs w:val="22"/>
              </w:rPr>
              <w:t>1/26/95</w:t>
            </w:r>
          </w:p>
        </w:tc>
      </w:tr>
      <w:tr w:rsidR="004D0AF0" w14:paraId="539D552E" w14:textId="77777777" w:rsidTr="00E45722">
        <w:tc>
          <w:tcPr>
            <w:tcW w:w="1800" w:type="dxa"/>
            <w:tcBorders>
              <w:top w:val="single" w:sz="6" w:space="0" w:color="auto"/>
              <w:bottom w:val="single" w:sz="6" w:space="0" w:color="auto"/>
              <w:right w:val="single" w:sz="6" w:space="0" w:color="auto"/>
            </w:tcBorders>
          </w:tcPr>
          <w:p w14:paraId="08A4672B" w14:textId="77777777" w:rsidR="004D0AF0" w:rsidRDefault="004D0AF0">
            <w:pPr>
              <w:pStyle w:val="Heading1"/>
              <w:jc w:val="center"/>
              <w:rPr>
                <w:rFonts w:ascii="Times New Roman" w:hAnsi="Times New Roman"/>
                <w:sz w:val="22"/>
              </w:rPr>
            </w:pPr>
            <w:r>
              <w:rPr>
                <w:rFonts w:ascii="Times New Roman" w:hAnsi="Times New Roman"/>
                <w:sz w:val="22"/>
              </w:rPr>
              <w:t>2126</w:t>
            </w:r>
          </w:p>
        </w:tc>
        <w:tc>
          <w:tcPr>
            <w:tcW w:w="4856" w:type="dxa"/>
            <w:tcBorders>
              <w:top w:val="single" w:sz="6" w:space="0" w:color="auto"/>
              <w:left w:val="single" w:sz="6" w:space="0" w:color="auto"/>
              <w:bottom w:val="single" w:sz="6" w:space="0" w:color="auto"/>
              <w:right w:val="single" w:sz="6" w:space="0" w:color="auto"/>
            </w:tcBorders>
          </w:tcPr>
          <w:p w14:paraId="261699EA" w14:textId="77777777" w:rsidR="004D0AF0" w:rsidRDefault="004D0AF0">
            <w:pPr>
              <w:rPr>
                <w:sz w:val="22"/>
              </w:rPr>
            </w:pPr>
            <w:r>
              <w:rPr>
                <w:sz w:val="22"/>
              </w:rPr>
              <w:t>Approval and Implementation of Recall Plan.</w:t>
            </w:r>
          </w:p>
        </w:tc>
        <w:tc>
          <w:tcPr>
            <w:tcW w:w="1533" w:type="dxa"/>
            <w:tcBorders>
              <w:top w:val="single" w:sz="6" w:space="0" w:color="auto"/>
              <w:left w:val="single" w:sz="6" w:space="0" w:color="auto"/>
              <w:bottom w:val="single" w:sz="6" w:space="0" w:color="auto"/>
            </w:tcBorders>
          </w:tcPr>
          <w:p w14:paraId="4C1B6FD0"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7DB6BEEB" w14:textId="77777777" w:rsidTr="00E45722">
        <w:tc>
          <w:tcPr>
            <w:tcW w:w="1800" w:type="dxa"/>
            <w:tcBorders>
              <w:top w:val="single" w:sz="6" w:space="0" w:color="auto"/>
              <w:bottom w:val="single" w:sz="6" w:space="0" w:color="auto"/>
              <w:right w:val="single" w:sz="6" w:space="0" w:color="auto"/>
            </w:tcBorders>
          </w:tcPr>
          <w:p w14:paraId="55D99EA6" w14:textId="77777777" w:rsidR="004D0AF0" w:rsidRDefault="004D0AF0">
            <w:pPr>
              <w:pStyle w:val="Heading1"/>
              <w:jc w:val="center"/>
              <w:rPr>
                <w:rFonts w:ascii="Times New Roman" w:hAnsi="Times New Roman"/>
                <w:sz w:val="22"/>
              </w:rPr>
            </w:pPr>
            <w:r>
              <w:rPr>
                <w:rFonts w:ascii="Times New Roman" w:hAnsi="Times New Roman"/>
                <w:sz w:val="22"/>
              </w:rPr>
              <w:t>2127</w:t>
            </w:r>
          </w:p>
        </w:tc>
        <w:tc>
          <w:tcPr>
            <w:tcW w:w="4856" w:type="dxa"/>
            <w:tcBorders>
              <w:top w:val="single" w:sz="6" w:space="0" w:color="auto"/>
              <w:left w:val="single" w:sz="6" w:space="0" w:color="auto"/>
              <w:bottom w:val="single" w:sz="6" w:space="0" w:color="auto"/>
              <w:right w:val="single" w:sz="6" w:space="0" w:color="auto"/>
            </w:tcBorders>
          </w:tcPr>
          <w:p w14:paraId="18A83773" w14:textId="77777777" w:rsidR="004D0AF0" w:rsidRDefault="004D0AF0">
            <w:pPr>
              <w:rPr>
                <w:sz w:val="22"/>
              </w:rPr>
            </w:pPr>
            <w:r>
              <w:rPr>
                <w:sz w:val="22"/>
              </w:rPr>
              <w:t>Notification of Owners.</w:t>
            </w:r>
          </w:p>
        </w:tc>
        <w:tc>
          <w:tcPr>
            <w:tcW w:w="1533" w:type="dxa"/>
            <w:tcBorders>
              <w:top w:val="single" w:sz="6" w:space="0" w:color="auto"/>
              <w:left w:val="single" w:sz="6" w:space="0" w:color="auto"/>
              <w:bottom w:val="single" w:sz="6" w:space="0" w:color="auto"/>
            </w:tcBorders>
          </w:tcPr>
          <w:p w14:paraId="0863F4E6"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521115CA" w14:textId="77777777" w:rsidTr="00E45722">
        <w:tc>
          <w:tcPr>
            <w:tcW w:w="1800" w:type="dxa"/>
            <w:tcBorders>
              <w:top w:val="single" w:sz="6" w:space="0" w:color="auto"/>
              <w:bottom w:val="single" w:sz="6" w:space="0" w:color="auto"/>
              <w:right w:val="single" w:sz="6" w:space="0" w:color="auto"/>
            </w:tcBorders>
          </w:tcPr>
          <w:p w14:paraId="66C73362" w14:textId="77777777" w:rsidR="004D0AF0" w:rsidRDefault="004D0AF0">
            <w:pPr>
              <w:pStyle w:val="Heading1"/>
              <w:jc w:val="center"/>
              <w:rPr>
                <w:rFonts w:ascii="Times New Roman" w:hAnsi="Times New Roman"/>
                <w:sz w:val="22"/>
              </w:rPr>
            </w:pPr>
            <w:r>
              <w:rPr>
                <w:rFonts w:ascii="Times New Roman" w:hAnsi="Times New Roman"/>
                <w:sz w:val="22"/>
              </w:rPr>
              <w:t>2128</w:t>
            </w:r>
          </w:p>
        </w:tc>
        <w:tc>
          <w:tcPr>
            <w:tcW w:w="4856" w:type="dxa"/>
            <w:tcBorders>
              <w:top w:val="single" w:sz="6" w:space="0" w:color="auto"/>
              <w:left w:val="single" w:sz="6" w:space="0" w:color="auto"/>
              <w:bottom w:val="single" w:sz="6" w:space="0" w:color="auto"/>
              <w:right w:val="single" w:sz="6" w:space="0" w:color="auto"/>
            </w:tcBorders>
          </w:tcPr>
          <w:p w14:paraId="030B13BE" w14:textId="77777777" w:rsidR="004D0AF0" w:rsidRDefault="004D0AF0">
            <w:pPr>
              <w:rPr>
                <w:sz w:val="22"/>
              </w:rPr>
            </w:pPr>
            <w:r>
              <w:rPr>
                <w:sz w:val="22"/>
              </w:rPr>
              <w:t>Repair Label.</w:t>
            </w:r>
          </w:p>
        </w:tc>
        <w:tc>
          <w:tcPr>
            <w:tcW w:w="1533" w:type="dxa"/>
            <w:tcBorders>
              <w:top w:val="single" w:sz="6" w:space="0" w:color="auto"/>
              <w:left w:val="single" w:sz="6" w:space="0" w:color="auto"/>
              <w:bottom w:val="single" w:sz="6" w:space="0" w:color="auto"/>
            </w:tcBorders>
          </w:tcPr>
          <w:p w14:paraId="5B010B08"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28136812" w14:textId="77777777" w:rsidTr="00E45722">
        <w:tc>
          <w:tcPr>
            <w:tcW w:w="1800" w:type="dxa"/>
            <w:tcBorders>
              <w:top w:val="single" w:sz="6" w:space="0" w:color="auto"/>
              <w:bottom w:val="single" w:sz="6" w:space="0" w:color="auto"/>
              <w:right w:val="single" w:sz="6" w:space="0" w:color="auto"/>
            </w:tcBorders>
          </w:tcPr>
          <w:p w14:paraId="747DB5BB" w14:textId="77777777" w:rsidR="004D0AF0" w:rsidRDefault="004D0AF0">
            <w:pPr>
              <w:pStyle w:val="Heading1"/>
              <w:jc w:val="center"/>
              <w:rPr>
                <w:rFonts w:ascii="Times New Roman" w:hAnsi="Times New Roman"/>
                <w:sz w:val="22"/>
              </w:rPr>
            </w:pPr>
            <w:r>
              <w:rPr>
                <w:rFonts w:ascii="Times New Roman" w:hAnsi="Times New Roman"/>
                <w:sz w:val="22"/>
              </w:rPr>
              <w:t>2129</w:t>
            </w:r>
          </w:p>
        </w:tc>
        <w:tc>
          <w:tcPr>
            <w:tcW w:w="4856" w:type="dxa"/>
            <w:tcBorders>
              <w:top w:val="single" w:sz="6" w:space="0" w:color="auto"/>
              <w:left w:val="single" w:sz="6" w:space="0" w:color="auto"/>
              <w:bottom w:val="single" w:sz="6" w:space="0" w:color="auto"/>
              <w:right w:val="single" w:sz="6" w:space="0" w:color="auto"/>
            </w:tcBorders>
          </w:tcPr>
          <w:p w14:paraId="15B1AE7D" w14:textId="77777777" w:rsidR="004D0AF0" w:rsidRDefault="004D0AF0">
            <w:pPr>
              <w:rPr>
                <w:sz w:val="22"/>
              </w:rPr>
            </w:pPr>
            <w:r>
              <w:rPr>
                <w:sz w:val="22"/>
              </w:rPr>
              <w:t>Proof of Correction Certificate.</w:t>
            </w:r>
          </w:p>
        </w:tc>
        <w:tc>
          <w:tcPr>
            <w:tcW w:w="1533" w:type="dxa"/>
            <w:tcBorders>
              <w:top w:val="single" w:sz="6" w:space="0" w:color="auto"/>
              <w:left w:val="single" w:sz="6" w:space="0" w:color="auto"/>
              <w:bottom w:val="single" w:sz="6" w:space="0" w:color="auto"/>
            </w:tcBorders>
          </w:tcPr>
          <w:p w14:paraId="5C7FA615"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784C7DA8" w14:textId="77777777" w:rsidTr="00E45722">
        <w:tc>
          <w:tcPr>
            <w:tcW w:w="1800" w:type="dxa"/>
            <w:tcBorders>
              <w:top w:val="single" w:sz="6" w:space="0" w:color="auto"/>
              <w:bottom w:val="single" w:sz="6" w:space="0" w:color="auto"/>
              <w:right w:val="single" w:sz="6" w:space="0" w:color="auto"/>
            </w:tcBorders>
          </w:tcPr>
          <w:p w14:paraId="0B8C385C" w14:textId="77777777" w:rsidR="004D0AF0" w:rsidRDefault="004D0AF0">
            <w:pPr>
              <w:pStyle w:val="Heading1"/>
              <w:jc w:val="center"/>
              <w:rPr>
                <w:rFonts w:ascii="Times New Roman" w:hAnsi="Times New Roman"/>
                <w:sz w:val="22"/>
              </w:rPr>
            </w:pPr>
            <w:r>
              <w:rPr>
                <w:rFonts w:ascii="Times New Roman" w:hAnsi="Times New Roman"/>
                <w:sz w:val="22"/>
              </w:rPr>
              <w:t>2130</w:t>
            </w:r>
          </w:p>
        </w:tc>
        <w:tc>
          <w:tcPr>
            <w:tcW w:w="4856" w:type="dxa"/>
            <w:tcBorders>
              <w:top w:val="single" w:sz="6" w:space="0" w:color="auto"/>
              <w:left w:val="single" w:sz="6" w:space="0" w:color="auto"/>
              <w:bottom w:val="single" w:sz="6" w:space="0" w:color="auto"/>
              <w:right w:val="single" w:sz="6" w:space="0" w:color="auto"/>
            </w:tcBorders>
          </w:tcPr>
          <w:p w14:paraId="1D5ACF48" w14:textId="77777777" w:rsidR="004D0AF0" w:rsidRDefault="004D0AF0">
            <w:pPr>
              <w:rPr>
                <w:sz w:val="22"/>
              </w:rPr>
            </w:pPr>
            <w:r>
              <w:rPr>
                <w:sz w:val="22"/>
              </w:rPr>
              <w:t>Capture Rates and Alternative Measures.</w:t>
            </w:r>
          </w:p>
        </w:tc>
        <w:tc>
          <w:tcPr>
            <w:tcW w:w="1533" w:type="dxa"/>
            <w:tcBorders>
              <w:top w:val="single" w:sz="6" w:space="0" w:color="auto"/>
              <w:left w:val="single" w:sz="6" w:space="0" w:color="auto"/>
              <w:bottom w:val="single" w:sz="6" w:space="0" w:color="auto"/>
            </w:tcBorders>
          </w:tcPr>
          <w:p w14:paraId="3FCEB6ED" w14:textId="77777777" w:rsidR="004D0AF0" w:rsidRPr="00083D88" w:rsidRDefault="004D0AF0">
            <w:pPr>
              <w:pStyle w:val="RulesFootertext"/>
              <w:rPr>
                <w:sz w:val="22"/>
                <w:szCs w:val="22"/>
              </w:rPr>
            </w:pPr>
            <w:r w:rsidRPr="00083D88">
              <w:rPr>
                <w:sz w:val="22"/>
                <w:szCs w:val="22"/>
              </w:rPr>
              <w:t>11/27/99</w:t>
            </w:r>
          </w:p>
        </w:tc>
      </w:tr>
      <w:tr w:rsidR="004D0AF0" w14:paraId="195CD104" w14:textId="77777777" w:rsidTr="00E45722">
        <w:tc>
          <w:tcPr>
            <w:tcW w:w="1800" w:type="dxa"/>
            <w:tcBorders>
              <w:top w:val="single" w:sz="6" w:space="0" w:color="auto"/>
              <w:bottom w:val="single" w:sz="6" w:space="0" w:color="auto"/>
              <w:right w:val="single" w:sz="6" w:space="0" w:color="auto"/>
            </w:tcBorders>
          </w:tcPr>
          <w:p w14:paraId="297D94E3" w14:textId="77777777" w:rsidR="004D0AF0" w:rsidRDefault="004D0AF0">
            <w:pPr>
              <w:pStyle w:val="Heading1"/>
              <w:jc w:val="center"/>
              <w:rPr>
                <w:rFonts w:ascii="Times New Roman" w:hAnsi="Times New Roman"/>
                <w:sz w:val="22"/>
              </w:rPr>
            </w:pPr>
            <w:r>
              <w:rPr>
                <w:rFonts w:ascii="Times New Roman" w:hAnsi="Times New Roman"/>
                <w:sz w:val="22"/>
              </w:rPr>
              <w:t>2131</w:t>
            </w:r>
          </w:p>
        </w:tc>
        <w:tc>
          <w:tcPr>
            <w:tcW w:w="4856" w:type="dxa"/>
            <w:tcBorders>
              <w:top w:val="single" w:sz="6" w:space="0" w:color="auto"/>
              <w:left w:val="single" w:sz="6" w:space="0" w:color="auto"/>
              <w:bottom w:val="single" w:sz="6" w:space="0" w:color="auto"/>
              <w:right w:val="single" w:sz="6" w:space="0" w:color="auto"/>
            </w:tcBorders>
          </w:tcPr>
          <w:p w14:paraId="51C58FDF" w14:textId="77777777" w:rsidR="004D0AF0" w:rsidRDefault="004D0AF0">
            <w:pPr>
              <w:rPr>
                <w:sz w:val="22"/>
              </w:rPr>
            </w:pPr>
            <w:r>
              <w:rPr>
                <w:sz w:val="22"/>
              </w:rPr>
              <w:t>Preliminary Tests.</w:t>
            </w:r>
          </w:p>
        </w:tc>
        <w:tc>
          <w:tcPr>
            <w:tcW w:w="1533" w:type="dxa"/>
            <w:tcBorders>
              <w:top w:val="single" w:sz="6" w:space="0" w:color="auto"/>
              <w:left w:val="single" w:sz="6" w:space="0" w:color="auto"/>
              <w:bottom w:val="single" w:sz="6" w:space="0" w:color="auto"/>
            </w:tcBorders>
          </w:tcPr>
          <w:p w14:paraId="232D3BD3"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70949BDD" w14:textId="77777777" w:rsidTr="00E45722">
        <w:tc>
          <w:tcPr>
            <w:tcW w:w="1800" w:type="dxa"/>
            <w:tcBorders>
              <w:top w:val="single" w:sz="6" w:space="0" w:color="auto"/>
              <w:bottom w:val="single" w:sz="6" w:space="0" w:color="auto"/>
              <w:right w:val="single" w:sz="6" w:space="0" w:color="auto"/>
            </w:tcBorders>
          </w:tcPr>
          <w:p w14:paraId="18CB453F" w14:textId="77777777" w:rsidR="004D0AF0" w:rsidRDefault="004D0AF0">
            <w:pPr>
              <w:pStyle w:val="Heading1"/>
              <w:jc w:val="center"/>
              <w:rPr>
                <w:rFonts w:ascii="Times New Roman" w:hAnsi="Times New Roman"/>
                <w:sz w:val="22"/>
              </w:rPr>
            </w:pPr>
            <w:r>
              <w:rPr>
                <w:rFonts w:ascii="Times New Roman" w:hAnsi="Times New Roman"/>
                <w:sz w:val="22"/>
              </w:rPr>
              <w:t>2132</w:t>
            </w:r>
          </w:p>
        </w:tc>
        <w:tc>
          <w:tcPr>
            <w:tcW w:w="4856" w:type="dxa"/>
            <w:tcBorders>
              <w:top w:val="single" w:sz="6" w:space="0" w:color="auto"/>
              <w:left w:val="single" w:sz="6" w:space="0" w:color="auto"/>
              <w:bottom w:val="single" w:sz="6" w:space="0" w:color="auto"/>
              <w:right w:val="single" w:sz="6" w:space="0" w:color="auto"/>
            </w:tcBorders>
          </w:tcPr>
          <w:p w14:paraId="492C3D9B" w14:textId="77777777" w:rsidR="004D0AF0" w:rsidRDefault="004D0AF0">
            <w:pPr>
              <w:rPr>
                <w:sz w:val="22"/>
              </w:rPr>
            </w:pPr>
            <w:r>
              <w:rPr>
                <w:sz w:val="22"/>
              </w:rPr>
              <w:t>Communication with Repair Personnel.</w:t>
            </w:r>
          </w:p>
        </w:tc>
        <w:tc>
          <w:tcPr>
            <w:tcW w:w="1533" w:type="dxa"/>
            <w:tcBorders>
              <w:top w:val="single" w:sz="6" w:space="0" w:color="auto"/>
              <w:left w:val="single" w:sz="6" w:space="0" w:color="auto"/>
              <w:bottom w:val="single" w:sz="6" w:space="0" w:color="auto"/>
            </w:tcBorders>
          </w:tcPr>
          <w:p w14:paraId="4144343B"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51483319" w14:textId="77777777" w:rsidTr="006E6368">
        <w:tc>
          <w:tcPr>
            <w:tcW w:w="1800" w:type="dxa"/>
            <w:tcBorders>
              <w:top w:val="single" w:sz="6" w:space="0" w:color="auto"/>
              <w:bottom w:val="single" w:sz="6" w:space="0" w:color="auto"/>
              <w:right w:val="single" w:sz="6" w:space="0" w:color="auto"/>
            </w:tcBorders>
          </w:tcPr>
          <w:p w14:paraId="102C64B9" w14:textId="77777777" w:rsidR="004D0AF0" w:rsidRDefault="004D0AF0">
            <w:pPr>
              <w:pStyle w:val="Heading1"/>
              <w:jc w:val="center"/>
              <w:rPr>
                <w:rFonts w:ascii="Times New Roman" w:hAnsi="Times New Roman"/>
                <w:sz w:val="22"/>
              </w:rPr>
            </w:pPr>
            <w:r>
              <w:rPr>
                <w:rFonts w:ascii="Times New Roman" w:hAnsi="Times New Roman"/>
                <w:sz w:val="22"/>
              </w:rPr>
              <w:t>2133</w:t>
            </w:r>
          </w:p>
        </w:tc>
        <w:tc>
          <w:tcPr>
            <w:tcW w:w="4856" w:type="dxa"/>
            <w:tcBorders>
              <w:top w:val="single" w:sz="6" w:space="0" w:color="auto"/>
              <w:left w:val="single" w:sz="6" w:space="0" w:color="auto"/>
              <w:bottom w:val="single" w:sz="6" w:space="0" w:color="auto"/>
              <w:right w:val="single" w:sz="6" w:space="0" w:color="auto"/>
            </w:tcBorders>
          </w:tcPr>
          <w:p w14:paraId="1220D55E" w14:textId="77777777" w:rsidR="004D0AF0" w:rsidRDefault="004D0AF0">
            <w:pPr>
              <w:rPr>
                <w:sz w:val="22"/>
              </w:rPr>
            </w:pPr>
            <w:r>
              <w:rPr>
                <w:sz w:val="22"/>
              </w:rPr>
              <w:t>Recordkeeping and Reporting Requirements.</w:t>
            </w:r>
          </w:p>
        </w:tc>
        <w:tc>
          <w:tcPr>
            <w:tcW w:w="1533" w:type="dxa"/>
            <w:tcBorders>
              <w:top w:val="single" w:sz="6" w:space="0" w:color="auto"/>
              <w:left w:val="single" w:sz="6" w:space="0" w:color="auto"/>
              <w:bottom w:val="single" w:sz="6" w:space="0" w:color="auto"/>
            </w:tcBorders>
          </w:tcPr>
          <w:p w14:paraId="10A6278E"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r w:rsidR="004D0AF0" w14:paraId="4EDE33F7" w14:textId="77777777" w:rsidTr="006E6368">
        <w:tc>
          <w:tcPr>
            <w:tcW w:w="1800" w:type="dxa"/>
            <w:tcBorders>
              <w:top w:val="single" w:sz="6" w:space="0" w:color="auto"/>
              <w:bottom w:val="double" w:sz="4" w:space="0" w:color="auto"/>
              <w:right w:val="single" w:sz="6" w:space="0" w:color="auto"/>
            </w:tcBorders>
          </w:tcPr>
          <w:p w14:paraId="59DD2EFB" w14:textId="77777777" w:rsidR="004D0AF0" w:rsidRDefault="004D0AF0">
            <w:pPr>
              <w:pStyle w:val="Heading1"/>
              <w:jc w:val="center"/>
              <w:rPr>
                <w:rFonts w:ascii="Times New Roman" w:hAnsi="Times New Roman"/>
                <w:sz w:val="22"/>
              </w:rPr>
            </w:pPr>
            <w:r>
              <w:rPr>
                <w:rFonts w:ascii="Times New Roman" w:hAnsi="Times New Roman"/>
                <w:sz w:val="22"/>
              </w:rPr>
              <w:t>2135</w:t>
            </w:r>
          </w:p>
        </w:tc>
        <w:tc>
          <w:tcPr>
            <w:tcW w:w="4856" w:type="dxa"/>
            <w:tcBorders>
              <w:top w:val="single" w:sz="6" w:space="0" w:color="auto"/>
              <w:left w:val="single" w:sz="6" w:space="0" w:color="auto"/>
              <w:bottom w:val="double" w:sz="4" w:space="0" w:color="auto"/>
              <w:right w:val="single" w:sz="6" w:space="0" w:color="auto"/>
            </w:tcBorders>
          </w:tcPr>
          <w:p w14:paraId="1560386A" w14:textId="77777777" w:rsidR="004D0AF0" w:rsidRDefault="004D0AF0">
            <w:pPr>
              <w:rPr>
                <w:sz w:val="22"/>
              </w:rPr>
            </w:pPr>
            <w:r>
              <w:rPr>
                <w:sz w:val="22"/>
              </w:rPr>
              <w:t>Extension of Time.</w:t>
            </w:r>
          </w:p>
        </w:tc>
        <w:tc>
          <w:tcPr>
            <w:tcW w:w="1533" w:type="dxa"/>
            <w:tcBorders>
              <w:top w:val="single" w:sz="6" w:space="0" w:color="auto"/>
              <w:left w:val="single" w:sz="6" w:space="0" w:color="auto"/>
              <w:bottom w:val="double" w:sz="4" w:space="0" w:color="auto"/>
            </w:tcBorders>
          </w:tcPr>
          <w:p w14:paraId="2760FD32" w14:textId="77777777" w:rsidR="004D0AF0" w:rsidRPr="00083D88" w:rsidRDefault="004D0AF0">
            <w:pPr>
              <w:pStyle w:val="Heading2"/>
              <w:rPr>
                <w:rFonts w:ascii="Times New Roman" w:hAnsi="Times New Roman"/>
                <w:sz w:val="22"/>
                <w:szCs w:val="22"/>
              </w:rPr>
            </w:pPr>
            <w:r w:rsidRPr="00083D88">
              <w:rPr>
                <w:rFonts w:ascii="Times New Roman" w:hAnsi="Times New Roman"/>
                <w:sz w:val="22"/>
                <w:szCs w:val="22"/>
              </w:rPr>
              <w:t>1/26/95</w:t>
            </w:r>
          </w:p>
        </w:tc>
      </w:tr>
    </w:tbl>
    <w:p w14:paraId="3D7C6B8A" w14:textId="77777777" w:rsidR="00E45722" w:rsidRDefault="00E45722"/>
    <w:p w14:paraId="69365AAE" w14:textId="77777777" w:rsidR="00E31AC2" w:rsidRDefault="00E31AC2"/>
    <w:p w14:paraId="6541C556" w14:textId="77777777" w:rsidR="00E31AC2" w:rsidRDefault="00E31AC2"/>
    <w:p w14:paraId="273C6550" w14:textId="77777777" w:rsidR="00E31AC2" w:rsidRDefault="00E31AC2"/>
    <w:p w14:paraId="53076535" w14:textId="77777777" w:rsidR="00E31AC2" w:rsidRDefault="00E31AC2"/>
    <w:p w14:paraId="5DC29677" w14:textId="77777777" w:rsidR="00E31AC2" w:rsidRDefault="00E31AC2"/>
    <w:p w14:paraId="0D1348DF" w14:textId="77777777" w:rsidR="00E31AC2" w:rsidRDefault="00E31AC2"/>
    <w:p w14:paraId="37DF4D3B" w14:textId="77777777" w:rsidR="00E31AC2" w:rsidRDefault="00E31AC2"/>
    <w:tbl>
      <w:tblPr>
        <w:tblW w:w="8189" w:type="dxa"/>
        <w:tblInd w:w="12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800"/>
        <w:gridCol w:w="4856"/>
        <w:gridCol w:w="1533"/>
      </w:tblGrid>
      <w:tr w:rsidR="00E6214C" w14:paraId="2DA4DCF6" w14:textId="77777777" w:rsidTr="004C17FD">
        <w:tc>
          <w:tcPr>
            <w:tcW w:w="1800" w:type="dxa"/>
            <w:tcBorders>
              <w:top w:val="double" w:sz="4" w:space="0" w:color="auto"/>
              <w:bottom w:val="single" w:sz="6" w:space="0" w:color="auto"/>
              <w:right w:val="single" w:sz="6" w:space="0" w:color="auto"/>
            </w:tcBorders>
            <w:vAlign w:val="center"/>
          </w:tcPr>
          <w:p w14:paraId="0CA2AF72" w14:textId="77777777" w:rsidR="00E6214C" w:rsidRPr="00F4041E" w:rsidRDefault="00E6214C" w:rsidP="004C17FD">
            <w:pPr>
              <w:pStyle w:val="Heading1"/>
              <w:jc w:val="center"/>
              <w:rPr>
                <w:rFonts w:ascii="Times New Roman" w:hAnsi="Times New Roman"/>
                <w:b/>
                <w:sz w:val="22"/>
              </w:rPr>
            </w:pPr>
            <w:r w:rsidRPr="00F4041E">
              <w:rPr>
                <w:rFonts w:ascii="Times New Roman" w:hAnsi="Times New Roman"/>
                <w:b/>
                <w:sz w:val="22"/>
              </w:rPr>
              <w:t>Title 13 CCR</w:t>
            </w:r>
          </w:p>
        </w:tc>
        <w:tc>
          <w:tcPr>
            <w:tcW w:w="4856" w:type="dxa"/>
            <w:tcBorders>
              <w:top w:val="double" w:sz="4" w:space="0" w:color="auto"/>
              <w:left w:val="single" w:sz="6" w:space="0" w:color="auto"/>
              <w:bottom w:val="single" w:sz="6" w:space="0" w:color="auto"/>
              <w:right w:val="single" w:sz="6" w:space="0" w:color="auto"/>
            </w:tcBorders>
            <w:vAlign w:val="center"/>
          </w:tcPr>
          <w:p w14:paraId="5831682D" w14:textId="77777777" w:rsidR="00E6214C" w:rsidRPr="00F4041E" w:rsidRDefault="00E6214C" w:rsidP="004C17FD">
            <w:pPr>
              <w:pStyle w:val="Heading2"/>
              <w:rPr>
                <w:rFonts w:ascii="Times New Roman" w:hAnsi="Times New Roman"/>
                <w:b/>
                <w:sz w:val="22"/>
              </w:rPr>
            </w:pPr>
            <w:r w:rsidRPr="00F4041E">
              <w:rPr>
                <w:rFonts w:ascii="Times New Roman" w:hAnsi="Times New Roman"/>
                <w:b/>
                <w:sz w:val="22"/>
              </w:rPr>
              <w:t>Title</w:t>
            </w:r>
          </w:p>
        </w:tc>
        <w:tc>
          <w:tcPr>
            <w:tcW w:w="1533" w:type="dxa"/>
            <w:tcBorders>
              <w:top w:val="double" w:sz="4" w:space="0" w:color="auto"/>
              <w:left w:val="single" w:sz="6" w:space="0" w:color="auto"/>
              <w:bottom w:val="single" w:sz="6" w:space="0" w:color="auto"/>
            </w:tcBorders>
          </w:tcPr>
          <w:p w14:paraId="7A76764A" w14:textId="77777777" w:rsidR="00E6214C" w:rsidRPr="00F4041E" w:rsidRDefault="00E6214C" w:rsidP="004C17FD">
            <w:pPr>
              <w:pStyle w:val="Heading2"/>
              <w:rPr>
                <w:rFonts w:ascii="Times New Roman" w:hAnsi="Times New Roman"/>
                <w:b/>
                <w:sz w:val="22"/>
                <w:szCs w:val="22"/>
              </w:rPr>
            </w:pPr>
            <w:r w:rsidRPr="00F4041E">
              <w:rPr>
                <w:rFonts w:ascii="Times New Roman" w:hAnsi="Times New Roman"/>
                <w:b/>
                <w:sz w:val="22"/>
                <w:szCs w:val="22"/>
              </w:rPr>
              <w:t>Section Amended Date</w:t>
            </w:r>
          </w:p>
        </w:tc>
      </w:tr>
      <w:tr w:rsidR="004D0AF0" w14:paraId="2D59AB0C" w14:textId="77777777" w:rsidTr="00E45722">
        <w:tc>
          <w:tcPr>
            <w:tcW w:w="1800" w:type="dxa"/>
            <w:tcBorders>
              <w:top w:val="nil"/>
              <w:bottom w:val="nil"/>
            </w:tcBorders>
          </w:tcPr>
          <w:p w14:paraId="28BD8862" w14:textId="77777777" w:rsidR="004D0AF0" w:rsidRDefault="004D0AF0">
            <w:pPr>
              <w:pStyle w:val="Heading1"/>
              <w:jc w:val="center"/>
              <w:rPr>
                <w:rFonts w:ascii="Times New Roman" w:hAnsi="Times New Roman"/>
                <w:sz w:val="22"/>
              </w:rPr>
            </w:pPr>
            <w:r>
              <w:rPr>
                <w:rFonts w:ascii="Times New Roman" w:hAnsi="Times New Roman"/>
                <w:sz w:val="22"/>
              </w:rPr>
              <w:t>Article 2.3.</w:t>
            </w:r>
          </w:p>
        </w:tc>
        <w:tc>
          <w:tcPr>
            <w:tcW w:w="4856" w:type="dxa"/>
            <w:tcBorders>
              <w:top w:val="nil"/>
              <w:bottom w:val="nil"/>
            </w:tcBorders>
          </w:tcPr>
          <w:p w14:paraId="0A25E83A" w14:textId="77777777" w:rsidR="004D0AF0" w:rsidRDefault="004D0AF0">
            <w:pPr>
              <w:rPr>
                <w:sz w:val="22"/>
              </w:rPr>
            </w:pPr>
            <w:r>
              <w:rPr>
                <w:sz w:val="22"/>
              </w:rPr>
              <w:t>In-Use Vehicle Enforcement Test Procedures.</w:t>
            </w:r>
          </w:p>
        </w:tc>
        <w:tc>
          <w:tcPr>
            <w:tcW w:w="1533" w:type="dxa"/>
            <w:tcBorders>
              <w:top w:val="nil"/>
              <w:bottom w:val="nil"/>
            </w:tcBorders>
          </w:tcPr>
          <w:p w14:paraId="6B4ABDA1" w14:textId="77777777" w:rsidR="004D0AF0" w:rsidRPr="00083D88" w:rsidRDefault="004D0AF0">
            <w:pPr>
              <w:pStyle w:val="Heading2"/>
              <w:rPr>
                <w:rFonts w:ascii="Times New Roman" w:hAnsi="Times New Roman"/>
                <w:sz w:val="22"/>
                <w:szCs w:val="22"/>
              </w:rPr>
            </w:pPr>
          </w:p>
        </w:tc>
      </w:tr>
      <w:tr w:rsidR="004D0AF0" w14:paraId="5D08B9C3" w14:textId="77777777" w:rsidTr="00E45722">
        <w:trPr>
          <w:trHeight w:val="237"/>
        </w:trPr>
        <w:tc>
          <w:tcPr>
            <w:tcW w:w="1800" w:type="dxa"/>
            <w:tcBorders>
              <w:top w:val="single" w:sz="6" w:space="0" w:color="auto"/>
              <w:bottom w:val="single" w:sz="6" w:space="0" w:color="auto"/>
              <w:right w:val="single" w:sz="6" w:space="0" w:color="auto"/>
            </w:tcBorders>
          </w:tcPr>
          <w:p w14:paraId="6403B204" w14:textId="77777777" w:rsidR="004D0AF0" w:rsidRDefault="004D0AF0">
            <w:pPr>
              <w:pStyle w:val="Heading1"/>
              <w:jc w:val="center"/>
              <w:rPr>
                <w:rFonts w:ascii="Times New Roman" w:hAnsi="Times New Roman"/>
                <w:sz w:val="22"/>
              </w:rPr>
            </w:pPr>
            <w:r>
              <w:rPr>
                <w:rFonts w:ascii="Times New Roman" w:hAnsi="Times New Roman"/>
                <w:sz w:val="22"/>
              </w:rPr>
              <w:t>2136</w:t>
            </w:r>
          </w:p>
        </w:tc>
        <w:tc>
          <w:tcPr>
            <w:tcW w:w="4856" w:type="dxa"/>
            <w:tcBorders>
              <w:top w:val="single" w:sz="6" w:space="0" w:color="auto"/>
              <w:left w:val="single" w:sz="6" w:space="0" w:color="auto"/>
              <w:bottom w:val="single" w:sz="6" w:space="0" w:color="auto"/>
              <w:right w:val="single" w:sz="6" w:space="0" w:color="auto"/>
            </w:tcBorders>
          </w:tcPr>
          <w:p w14:paraId="7CD1284E" w14:textId="77777777" w:rsidR="004D0AF0" w:rsidRDefault="004D0AF0">
            <w:pPr>
              <w:rPr>
                <w:sz w:val="22"/>
              </w:rPr>
            </w:pPr>
            <w:r>
              <w:rPr>
                <w:sz w:val="22"/>
              </w:rPr>
              <w:t>General Provisions.</w:t>
            </w:r>
          </w:p>
        </w:tc>
        <w:tc>
          <w:tcPr>
            <w:tcW w:w="1533" w:type="dxa"/>
            <w:tcBorders>
              <w:top w:val="single" w:sz="6" w:space="0" w:color="auto"/>
              <w:left w:val="single" w:sz="6" w:space="0" w:color="auto"/>
              <w:bottom w:val="single" w:sz="6" w:space="0" w:color="auto"/>
            </w:tcBorders>
          </w:tcPr>
          <w:p w14:paraId="7F0424E7" w14:textId="77777777" w:rsidR="004D0AF0" w:rsidRPr="00083D88" w:rsidRDefault="00E53BDC">
            <w:pPr>
              <w:pStyle w:val="Heading2"/>
              <w:rPr>
                <w:rFonts w:ascii="Times New Roman" w:hAnsi="Times New Roman"/>
                <w:sz w:val="22"/>
                <w:szCs w:val="22"/>
              </w:rPr>
            </w:pPr>
            <w:r w:rsidRPr="00083D88">
              <w:rPr>
                <w:rFonts w:ascii="Times New Roman" w:hAnsi="Times New Roman"/>
                <w:sz w:val="22"/>
                <w:szCs w:val="22"/>
              </w:rPr>
              <w:t>12/8/10</w:t>
            </w:r>
          </w:p>
        </w:tc>
      </w:tr>
      <w:tr w:rsidR="004D0AF0" w14:paraId="76DA52D8" w14:textId="77777777" w:rsidTr="00E45722">
        <w:tc>
          <w:tcPr>
            <w:tcW w:w="1800" w:type="dxa"/>
            <w:tcBorders>
              <w:top w:val="single" w:sz="6" w:space="0" w:color="auto"/>
              <w:bottom w:val="single" w:sz="6" w:space="0" w:color="auto"/>
              <w:right w:val="single" w:sz="6" w:space="0" w:color="auto"/>
            </w:tcBorders>
          </w:tcPr>
          <w:p w14:paraId="32CB53D2" w14:textId="77777777" w:rsidR="004D0AF0" w:rsidRDefault="004D0AF0">
            <w:pPr>
              <w:pStyle w:val="Heading1"/>
              <w:jc w:val="center"/>
              <w:rPr>
                <w:rFonts w:ascii="Times New Roman" w:hAnsi="Times New Roman"/>
                <w:sz w:val="22"/>
              </w:rPr>
            </w:pPr>
            <w:r>
              <w:rPr>
                <w:rFonts w:ascii="Times New Roman" w:hAnsi="Times New Roman"/>
                <w:sz w:val="22"/>
              </w:rPr>
              <w:t>2137</w:t>
            </w:r>
          </w:p>
        </w:tc>
        <w:tc>
          <w:tcPr>
            <w:tcW w:w="4856" w:type="dxa"/>
            <w:tcBorders>
              <w:top w:val="single" w:sz="6" w:space="0" w:color="auto"/>
              <w:left w:val="single" w:sz="6" w:space="0" w:color="auto"/>
              <w:bottom w:val="single" w:sz="6" w:space="0" w:color="auto"/>
              <w:right w:val="single" w:sz="6" w:space="0" w:color="auto"/>
            </w:tcBorders>
          </w:tcPr>
          <w:p w14:paraId="3D5B5AEF" w14:textId="77777777" w:rsidR="004D0AF0" w:rsidRDefault="004D0AF0">
            <w:pPr>
              <w:rPr>
                <w:sz w:val="22"/>
              </w:rPr>
            </w:pPr>
            <w:r>
              <w:rPr>
                <w:sz w:val="22"/>
              </w:rPr>
              <w:t>Vehicle Selection.</w:t>
            </w:r>
          </w:p>
        </w:tc>
        <w:tc>
          <w:tcPr>
            <w:tcW w:w="1533" w:type="dxa"/>
            <w:tcBorders>
              <w:top w:val="single" w:sz="6" w:space="0" w:color="auto"/>
              <w:left w:val="single" w:sz="6" w:space="0" w:color="auto"/>
              <w:bottom w:val="single" w:sz="6" w:space="0" w:color="auto"/>
            </w:tcBorders>
          </w:tcPr>
          <w:p w14:paraId="74BC4CC7" w14:textId="77777777" w:rsidR="004D0AF0" w:rsidRPr="00083D88" w:rsidRDefault="00491F4C">
            <w:pPr>
              <w:pStyle w:val="RulesFootertext"/>
              <w:rPr>
                <w:sz w:val="22"/>
                <w:szCs w:val="22"/>
              </w:rPr>
            </w:pPr>
            <w:r w:rsidRPr="00083D88">
              <w:rPr>
                <w:sz w:val="22"/>
                <w:szCs w:val="22"/>
              </w:rPr>
              <w:t>12/28/00</w:t>
            </w:r>
          </w:p>
        </w:tc>
      </w:tr>
      <w:tr w:rsidR="004D0AF0" w14:paraId="69863884" w14:textId="77777777" w:rsidTr="00E45722">
        <w:tc>
          <w:tcPr>
            <w:tcW w:w="1800" w:type="dxa"/>
            <w:tcBorders>
              <w:top w:val="single" w:sz="6" w:space="0" w:color="auto"/>
              <w:bottom w:val="single" w:sz="6" w:space="0" w:color="auto"/>
              <w:right w:val="single" w:sz="6" w:space="0" w:color="auto"/>
            </w:tcBorders>
          </w:tcPr>
          <w:p w14:paraId="30A91FAE" w14:textId="77777777" w:rsidR="004D0AF0" w:rsidRDefault="004D0AF0">
            <w:pPr>
              <w:pStyle w:val="Heading1"/>
              <w:jc w:val="center"/>
              <w:rPr>
                <w:rFonts w:ascii="Times New Roman" w:hAnsi="Times New Roman"/>
                <w:sz w:val="22"/>
              </w:rPr>
            </w:pPr>
            <w:r>
              <w:rPr>
                <w:rFonts w:ascii="Times New Roman" w:hAnsi="Times New Roman"/>
                <w:sz w:val="22"/>
              </w:rPr>
              <w:t>2138</w:t>
            </w:r>
          </w:p>
        </w:tc>
        <w:tc>
          <w:tcPr>
            <w:tcW w:w="4856" w:type="dxa"/>
            <w:tcBorders>
              <w:top w:val="single" w:sz="6" w:space="0" w:color="auto"/>
              <w:left w:val="single" w:sz="6" w:space="0" w:color="auto"/>
              <w:bottom w:val="single" w:sz="6" w:space="0" w:color="auto"/>
              <w:right w:val="single" w:sz="6" w:space="0" w:color="auto"/>
            </w:tcBorders>
          </w:tcPr>
          <w:p w14:paraId="63312FC0" w14:textId="77777777" w:rsidR="004D0AF0" w:rsidRDefault="004D0AF0">
            <w:pPr>
              <w:rPr>
                <w:sz w:val="22"/>
              </w:rPr>
            </w:pPr>
            <w:r>
              <w:rPr>
                <w:sz w:val="22"/>
              </w:rPr>
              <w:t xml:space="preserve">Restorative Maintenance. </w:t>
            </w:r>
          </w:p>
        </w:tc>
        <w:tc>
          <w:tcPr>
            <w:tcW w:w="1533" w:type="dxa"/>
            <w:tcBorders>
              <w:top w:val="single" w:sz="6" w:space="0" w:color="auto"/>
              <w:left w:val="single" w:sz="6" w:space="0" w:color="auto"/>
              <w:bottom w:val="single" w:sz="6" w:space="0" w:color="auto"/>
            </w:tcBorders>
          </w:tcPr>
          <w:p w14:paraId="7101B4E9" w14:textId="77777777" w:rsidR="004D0AF0" w:rsidRPr="00083D88" w:rsidRDefault="004D0AF0">
            <w:pPr>
              <w:pStyle w:val="RulesFootertext"/>
              <w:rPr>
                <w:sz w:val="22"/>
                <w:szCs w:val="22"/>
              </w:rPr>
            </w:pPr>
            <w:r w:rsidRPr="00083D88">
              <w:rPr>
                <w:sz w:val="22"/>
                <w:szCs w:val="22"/>
              </w:rPr>
              <w:t>11/27/99</w:t>
            </w:r>
          </w:p>
        </w:tc>
      </w:tr>
      <w:tr w:rsidR="004D0AF0" w14:paraId="3C65991A" w14:textId="77777777" w:rsidTr="00E45722">
        <w:tc>
          <w:tcPr>
            <w:tcW w:w="1800" w:type="dxa"/>
            <w:tcBorders>
              <w:top w:val="single" w:sz="6" w:space="0" w:color="auto"/>
              <w:bottom w:val="single" w:sz="6" w:space="0" w:color="auto"/>
              <w:right w:val="single" w:sz="6" w:space="0" w:color="auto"/>
            </w:tcBorders>
          </w:tcPr>
          <w:p w14:paraId="5D33131E" w14:textId="77777777" w:rsidR="004D0AF0" w:rsidRDefault="004D0AF0">
            <w:pPr>
              <w:pStyle w:val="Heading1"/>
              <w:jc w:val="center"/>
              <w:rPr>
                <w:rFonts w:ascii="Times New Roman" w:hAnsi="Times New Roman"/>
                <w:sz w:val="22"/>
              </w:rPr>
            </w:pPr>
            <w:r>
              <w:rPr>
                <w:rFonts w:ascii="Times New Roman" w:hAnsi="Times New Roman"/>
                <w:sz w:val="22"/>
              </w:rPr>
              <w:t>2139</w:t>
            </w:r>
          </w:p>
        </w:tc>
        <w:tc>
          <w:tcPr>
            <w:tcW w:w="4856" w:type="dxa"/>
            <w:tcBorders>
              <w:top w:val="single" w:sz="6" w:space="0" w:color="auto"/>
              <w:left w:val="single" w:sz="6" w:space="0" w:color="auto"/>
              <w:bottom w:val="single" w:sz="6" w:space="0" w:color="auto"/>
              <w:right w:val="single" w:sz="6" w:space="0" w:color="auto"/>
            </w:tcBorders>
          </w:tcPr>
          <w:p w14:paraId="0B7146B6" w14:textId="77777777" w:rsidR="004D0AF0" w:rsidRDefault="004D0AF0">
            <w:pPr>
              <w:rPr>
                <w:sz w:val="22"/>
              </w:rPr>
            </w:pPr>
            <w:r>
              <w:rPr>
                <w:sz w:val="22"/>
              </w:rPr>
              <w:t>Testing.</w:t>
            </w:r>
          </w:p>
        </w:tc>
        <w:tc>
          <w:tcPr>
            <w:tcW w:w="1533" w:type="dxa"/>
            <w:tcBorders>
              <w:top w:val="single" w:sz="6" w:space="0" w:color="auto"/>
              <w:left w:val="single" w:sz="6" w:space="0" w:color="auto"/>
              <w:bottom w:val="single" w:sz="6" w:space="0" w:color="auto"/>
            </w:tcBorders>
          </w:tcPr>
          <w:p w14:paraId="13B25B4F" w14:textId="77777777" w:rsidR="004D0AF0" w:rsidRPr="00083D88" w:rsidRDefault="00E53BDC">
            <w:pPr>
              <w:pStyle w:val="RulesFootertext"/>
              <w:rPr>
                <w:sz w:val="22"/>
                <w:szCs w:val="22"/>
              </w:rPr>
            </w:pPr>
            <w:r w:rsidRPr="00083D88">
              <w:rPr>
                <w:sz w:val="22"/>
                <w:szCs w:val="22"/>
              </w:rPr>
              <w:t>8/7/12</w:t>
            </w:r>
          </w:p>
        </w:tc>
      </w:tr>
      <w:tr w:rsidR="004D0AF0" w14:paraId="3D66A024" w14:textId="77777777" w:rsidTr="00E45722">
        <w:tc>
          <w:tcPr>
            <w:tcW w:w="1800" w:type="dxa"/>
            <w:tcBorders>
              <w:top w:val="single" w:sz="6" w:space="0" w:color="auto"/>
              <w:bottom w:val="single" w:sz="6" w:space="0" w:color="auto"/>
              <w:right w:val="single" w:sz="6" w:space="0" w:color="auto"/>
            </w:tcBorders>
          </w:tcPr>
          <w:p w14:paraId="20AF4527" w14:textId="77777777" w:rsidR="004D0AF0" w:rsidRDefault="004D0AF0">
            <w:pPr>
              <w:pStyle w:val="Heading1"/>
              <w:jc w:val="center"/>
              <w:rPr>
                <w:rFonts w:ascii="Times New Roman" w:hAnsi="Times New Roman"/>
                <w:sz w:val="22"/>
              </w:rPr>
            </w:pPr>
            <w:r>
              <w:rPr>
                <w:rFonts w:ascii="Times New Roman" w:hAnsi="Times New Roman"/>
                <w:sz w:val="22"/>
              </w:rPr>
              <w:t>2140</w:t>
            </w:r>
          </w:p>
        </w:tc>
        <w:tc>
          <w:tcPr>
            <w:tcW w:w="4856" w:type="dxa"/>
            <w:tcBorders>
              <w:top w:val="single" w:sz="6" w:space="0" w:color="auto"/>
              <w:left w:val="single" w:sz="6" w:space="0" w:color="auto"/>
              <w:bottom w:val="single" w:sz="6" w:space="0" w:color="auto"/>
              <w:right w:val="single" w:sz="6" w:space="0" w:color="auto"/>
            </w:tcBorders>
          </w:tcPr>
          <w:p w14:paraId="7EFCA050" w14:textId="77777777" w:rsidR="004D0AF0" w:rsidRDefault="004D0AF0">
            <w:pPr>
              <w:rPr>
                <w:sz w:val="22"/>
              </w:rPr>
            </w:pPr>
            <w:r>
              <w:rPr>
                <w:sz w:val="22"/>
              </w:rPr>
              <w:t>Notification and Use of Test Results.</w:t>
            </w:r>
          </w:p>
        </w:tc>
        <w:tc>
          <w:tcPr>
            <w:tcW w:w="1533" w:type="dxa"/>
            <w:tcBorders>
              <w:top w:val="single" w:sz="6" w:space="0" w:color="auto"/>
              <w:left w:val="single" w:sz="6" w:space="0" w:color="auto"/>
              <w:bottom w:val="single" w:sz="6" w:space="0" w:color="auto"/>
            </w:tcBorders>
          </w:tcPr>
          <w:p w14:paraId="3C9F1147" w14:textId="77777777" w:rsidR="004D0AF0" w:rsidRPr="00083D88" w:rsidRDefault="00E53BDC">
            <w:pPr>
              <w:pStyle w:val="RulesFootertext"/>
              <w:rPr>
                <w:sz w:val="22"/>
                <w:szCs w:val="22"/>
              </w:rPr>
            </w:pPr>
            <w:r w:rsidRPr="00083D88">
              <w:rPr>
                <w:sz w:val="22"/>
                <w:szCs w:val="22"/>
              </w:rPr>
              <w:t>8/7/12</w:t>
            </w:r>
          </w:p>
        </w:tc>
      </w:tr>
      <w:tr w:rsidR="004D0AF0" w14:paraId="4517034C" w14:textId="77777777" w:rsidTr="00E45722">
        <w:tc>
          <w:tcPr>
            <w:tcW w:w="1800" w:type="dxa"/>
            <w:tcBorders>
              <w:top w:val="nil"/>
              <w:bottom w:val="nil"/>
            </w:tcBorders>
            <w:vAlign w:val="center"/>
          </w:tcPr>
          <w:p w14:paraId="251A6CA2" w14:textId="77777777" w:rsidR="004D0AF0" w:rsidRDefault="004D0AF0" w:rsidP="00183A83">
            <w:pPr>
              <w:pStyle w:val="Heading1"/>
              <w:jc w:val="center"/>
              <w:rPr>
                <w:rFonts w:ascii="Times New Roman" w:hAnsi="Times New Roman"/>
                <w:sz w:val="22"/>
              </w:rPr>
            </w:pPr>
            <w:r>
              <w:rPr>
                <w:rFonts w:ascii="Times New Roman" w:hAnsi="Times New Roman"/>
                <w:sz w:val="22"/>
              </w:rPr>
              <w:t>Article 2.4</w:t>
            </w:r>
          </w:p>
        </w:tc>
        <w:tc>
          <w:tcPr>
            <w:tcW w:w="4856" w:type="dxa"/>
            <w:tcBorders>
              <w:top w:val="nil"/>
              <w:bottom w:val="nil"/>
            </w:tcBorders>
          </w:tcPr>
          <w:p w14:paraId="01C63761" w14:textId="77777777" w:rsidR="004D0AF0" w:rsidRDefault="004D0AF0">
            <w:pPr>
              <w:rPr>
                <w:sz w:val="22"/>
              </w:rPr>
            </w:pPr>
            <w:r>
              <w:rPr>
                <w:sz w:val="22"/>
              </w:rPr>
              <w:t>Procedures for Reporting Failure of Emission-Related Components.</w:t>
            </w:r>
          </w:p>
        </w:tc>
        <w:tc>
          <w:tcPr>
            <w:tcW w:w="1533" w:type="dxa"/>
            <w:tcBorders>
              <w:top w:val="nil"/>
              <w:bottom w:val="nil"/>
            </w:tcBorders>
          </w:tcPr>
          <w:p w14:paraId="2C474461" w14:textId="77777777" w:rsidR="004D0AF0" w:rsidRPr="00083D88" w:rsidRDefault="004D0AF0">
            <w:pPr>
              <w:pStyle w:val="Heading2"/>
              <w:rPr>
                <w:rFonts w:ascii="Times New Roman" w:hAnsi="Times New Roman"/>
                <w:sz w:val="22"/>
                <w:szCs w:val="22"/>
              </w:rPr>
            </w:pPr>
          </w:p>
        </w:tc>
      </w:tr>
      <w:tr w:rsidR="004D0AF0" w14:paraId="3D9D46DC" w14:textId="77777777" w:rsidTr="00E45722">
        <w:tc>
          <w:tcPr>
            <w:tcW w:w="1800" w:type="dxa"/>
            <w:tcBorders>
              <w:top w:val="single" w:sz="6" w:space="0" w:color="auto"/>
              <w:bottom w:val="single" w:sz="6" w:space="0" w:color="auto"/>
              <w:right w:val="single" w:sz="6" w:space="0" w:color="auto"/>
            </w:tcBorders>
            <w:vAlign w:val="center"/>
          </w:tcPr>
          <w:p w14:paraId="1EE66516" w14:textId="77777777" w:rsidR="004D0AF0" w:rsidRDefault="004D0AF0" w:rsidP="00183A83">
            <w:pPr>
              <w:pStyle w:val="Heading1"/>
              <w:jc w:val="center"/>
              <w:rPr>
                <w:rFonts w:ascii="Times New Roman" w:hAnsi="Times New Roman"/>
                <w:sz w:val="22"/>
              </w:rPr>
            </w:pPr>
            <w:r>
              <w:rPr>
                <w:rFonts w:ascii="Times New Roman" w:hAnsi="Times New Roman"/>
                <w:sz w:val="22"/>
              </w:rPr>
              <w:t>2141</w:t>
            </w:r>
          </w:p>
        </w:tc>
        <w:tc>
          <w:tcPr>
            <w:tcW w:w="4856" w:type="dxa"/>
            <w:tcBorders>
              <w:top w:val="single" w:sz="6" w:space="0" w:color="auto"/>
              <w:left w:val="single" w:sz="6" w:space="0" w:color="auto"/>
              <w:bottom w:val="single" w:sz="6" w:space="0" w:color="auto"/>
              <w:right w:val="single" w:sz="6" w:space="0" w:color="auto"/>
            </w:tcBorders>
          </w:tcPr>
          <w:p w14:paraId="07C0B4BE" w14:textId="77777777" w:rsidR="004D0AF0" w:rsidRDefault="004D0AF0">
            <w:pPr>
              <w:rPr>
                <w:sz w:val="22"/>
              </w:rPr>
            </w:pPr>
            <w:r>
              <w:rPr>
                <w:sz w:val="22"/>
              </w:rPr>
              <w:t>General Provisions.</w:t>
            </w:r>
          </w:p>
        </w:tc>
        <w:tc>
          <w:tcPr>
            <w:tcW w:w="1533" w:type="dxa"/>
            <w:tcBorders>
              <w:top w:val="single" w:sz="6" w:space="0" w:color="auto"/>
              <w:left w:val="single" w:sz="6" w:space="0" w:color="auto"/>
              <w:bottom w:val="single" w:sz="6" w:space="0" w:color="auto"/>
            </w:tcBorders>
          </w:tcPr>
          <w:p w14:paraId="06E295E6" w14:textId="77777777" w:rsidR="004D0AF0" w:rsidRPr="00083D88" w:rsidRDefault="00E53BDC">
            <w:pPr>
              <w:jc w:val="center"/>
              <w:rPr>
                <w:sz w:val="22"/>
                <w:szCs w:val="22"/>
              </w:rPr>
            </w:pPr>
            <w:r w:rsidRPr="00083D88">
              <w:rPr>
                <w:sz w:val="22"/>
                <w:szCs w:val="22"/>
              </w:rPr>
              <w:t>12/8/10</w:t>
            </w:r>
          </w:p>
        </w:tc>
      </w:tr>
      <w:tr w:rsidR="004D0AF0" w14:paraId="32FC8CC5" w14:textId="77777777" w:rsidTr="00E45722">
        <w:tc>
          <w:tcPr>
            <w:tcW w:w="1800" w:type="dxa"/>
            <w:tcBorders>
              <w:top w:val="single" w:sz="6" w:space="0" w:color="auto"/>
              <w:bottom w:val="single" w:sz="6" w:space="0" w:color="auto"/>
              <w:right w:val="single" w:sz="6" w:space="0" w:color="auto"/>
            </w:tcBorders>
          </w:tcPr>
          <w:p w14:paraId="55B44980" w14:textId="77777777" w:rsidR="004D0AF0" w:rsidRDefault="004D0AF0">
            <w:pPr>
              <w:pStyle w:val="Heading1"/>
              <w:jc w:val="center"/>
              <w:rPr>
                <w:rFonts w:ascii="Times New Roman" w:hAnsi="Times New Roman"/>
                <w:sz w:val="22"/>
              </w:rPr>
            </w:pPr>
            <w:r>
              <w:rPr>
                <w:rFonts w:ascii="Times New Roman" w:hAnsi="Times New Roman"/>
                <w:sz w:val="22"/>
              </w:rPr>
              <w:t>2142</w:t>
            </w:r>
          </w:p>
        </w:tc>
        <w:tc>
          <w:tcPr>
            <w:tcW w:w="4856" w:type="dxa"/>
            <w:tcBorders>
              <w:top w:val="single" w:sz="6" w:space="0" w:color="auto"/>
              <w:left w:val="single" w:sz="6" w:space="0" w:color="auto"/>
              <w:bottom w:val="single" w:sz="6" w:space="0" w:color="auto"/>
              <w:right w:val="single" w:sz="6" w:space="0" w:color="auto"/>
            </w:tcBorders>
          </w:tcPr>
          <w:p w14:paraId="00749CB4" w14:textId="77777777" w:rsidR="004D0AF0" w:rsidRDefault="004D0AF0">
            <w:pPr>
              <w:rPr>
                <w:sz w:val="22"/>
              </w:rPr>
            </w:pPr>
            <w:r>
              <w:rPr>
                <w:sz w:val="22"/>
              </w:rPr>
              <w:t>Alternative Procedures.</w:t>
            </w:r>
          </w:p>
        </w:tc>
        <w:tc>
          <w:tcPr>
            <w:tcW w:w="1533" w:type="dxa"/>
            <w:tcBorders>
              <w:top w:val="single" w:sz="6" w:space="0" w:color="auto"/>
              <w:left w:val="single" w:sz="6" w:space="0" w:color="auto"/>
              <w:bottom w:val="single" w:sz="6" w:space="0" w:color="auto"/>
            </w:tcBorders>
          </w:tcPr>
          <w:p w14:paraId="14AC59C5" w14:textId="77777777" w:rsidR="004D0AF0" w:rsidRPr="00083D88" w:rsidRDefault="00491F4C">
            <w:pPr>
              <w:pStyle w:val="RulesFootertext"/>
              <w:rPr>
                <w:sz w:val="22"/>
                <w:szCs w:val="22"/>
              </w:rPr>
            </w:pPr>
            <w:r w:rsidRPr="00083D88">
              <w:rPr>
                <w:sz w:val="22"/>
                <w:szCs w:val="22"/>
              </w:rPr>
              <w:t>0</w:t>
            </w:r>
            <w:r w:rsidR="004D0AF0" w:rsidRPr="00083D88">
              <w:rPr>
                <w:sz w:val="22"/>
                <w:szCs w:val="22"/>
              </w:rPr>
              <w:t>2/23/90</w:t>
            </w:r>
          </w:p>
        </w:tc>
      </w:tr>
      <w:tr w:rsidR="004D0AF0" w14:paraId="761E7C87" w14:textId="77777777" w:rsidTr="00E45722">
        <w:tc>
          <w:tcPr>
            <w:tcW w:w="1800" w:type="dxa"/>
            <w:tcBorders>
              <w:top w:val="single" w:sz="6" w:space="0" w:color="auto"/>
              <w:bottom w:val="single" w:sz="6" w:space="0" w:color="auto"/>
              <w:right w:val="single" w:sz="6" w:space="0" w:color="auto"/>
            </w:tcBorders>
          </w:tcPr>
          <w:p w14:paraId="1DB13B5F" w14:textId="77777777" w:rsidR="004D0AF0" w:rsidRDefault="004D0AF0">
            <w:pPr>
              <w:pStyle w:val="Heading1"/>
              <w:jc w:val="center"/>
              <w:rPr>
                <w:rFonts w:ascii="Times New Roman" w:hAnsi="Times New Roman"/>
                <w:sz w:val="22"/>
              </w:rPr>
            </w:pPr>
            <w:r>
              <w:rPr>
                <w:rFonts w:ascii="Times New Roman" w:hAnsi="Times New Roman"/>
                <w:sz w:val="22"/>
              </w:rPr>
              <w:t>2143</w:t>
            </w:r>
          </w:p>
        </w:tc>
        <w:tc>
          <w:tcPr>
            <w:tcW w:w="4856" w:type="dxa"/>
            <w:tcBorders>
              <w:top w:val="single" w:sz="6" w:space="0" w:color="auto"/>
              <w:left w:val="single" w:sz="6" w:space="0" w:color="auto"/>
              <w:bottom w:val="single" w:sz="6" w:space="0" w:color="auto"/>
              <w:right w:val="single" w:sz="6" w:space="0" w:color="auto"/>
            </w:tcBorders>
          </w:tcPr>
          <w:p w14:paraId="333F6685" w14:textId="77777777" w:rsidR="004D0AF0" w:rsidRDefault="004D0AF0">
            <w:pPr>
              <w:rPr>
                <w:sz w:val="22"/>
              </w:rPr>
            </w:pPr>
            <w:r>
              <w:rPr>
                <w:sz w:val="22"/>
              </w:rPr>
              <w:t>Failure Levels Triggering Recall.</w:t>
            </w:r>
          </w:p>
        </w:tc>
        <w:tc>
          <w:tcPr>
            <w:tcW w:w="1533" w:type="dxa"/>
            <w:tcBorders>
              <w:top w:val="single" w:sz="6" w:space="0" w:color="auto"/>
              <w:left w:val="single" w:sz="6" w:space="0" w:color="auto"/>
              <w:bottom w:val="single" w:sz="6" w:space="0" w:color="auto"/>
            </w:tcBorders>
          </w:tcPr>
          <w:p w14:paraId="224CC496" w14:textId="77777777" w:rsidR="004D0AF0" w:rsidRPr="00083D88" w:rsidRDefault="004D0AF0">
            <w:pPr>
              <w:pStyle w:val="RulesFootertext"/>
              <w:rPr>
                <w:sz w:val="22"/>
                <w:szCs w:val="22"/>
              </w:rPr>
            </w:pPr>
            <w:r w:rsidRPr="00083D88">
              <w:rPr>
                <w:sz w:val="22"/>
                <w:szCs w:val="22"/>
              </w:rPr>
              <w:t>11/27/99</w:t>
            </w:r>
          </w:p>
        </w:tc>
      </w:tr>
      <w:tr w:rsidR="004D0AF0" w14:paraId="16B0ED50" w14:textId="77777777" w:rsidTr="00E45722">
        <w:tc>
          <w:tcPr>
            <w:tcW w:w="1800" w:type="dxa"/>
            <w:tcBorders>
              <w:top w:val="single" w:sz="6" w:space="0" w:color="auto"/>
              <w:bottom w:val="single" w:sz="6" w:space="0" w:color="auto"/>
              <w:right w:val="single" w:sz="6" w:space="0" w:color="auto"/>
            </w:tcBorders>
          </w:tcPr>
          <w:p w14:paraId="0A9C3AEC" w14:textId="77777777" w:rsidR="004D0AF0" w:rsidRDefault="004D0AF0">
            <w:pPr>
              <w:pStyle w:val="Heading1"/>
              <w:jc w:val="center"/>
              <w:rPr>
                <w:rFonts w:ascii="Times New Roman" w:hAnsi="Times New Roman"/>
                <w:sz w:val="22"/>
              </w:rPr>
            </w:pPr>
            <w:r>
              <w:rPr>
                <w:rFonts w:ascii="Times New Roman" w:hAnsi="Times New Roman"/>
                <w:sz w:val="22"/>
              </w:rPr>
              <w:t>2144</w:t>
            </w:r>
          </w:p>
        </w:tc>
        <w:tc>
          <w:tcPr>
            <w:tcW w:w="4856" w:type="dxa"/>
            <w:tcBorders>
              <w:top w:val="single" w:sz="6" w:space="0" w:color="auto"/>
              <w:left w:val="single" w:sz="6" w:space="0" w:color="auto"/>
              <w:bottom w:val="single" w:sz="6" w:space="0" w:color="auto"/>
              <w:right w:val="single" w:sz="6" w:space="0" w:color="auto"/>
            </w:tcBorders>
          </w:tcPr>
          <w:p w14:paraId="268D32F2" w14:textId="77777777" w:rsidR="004D0AF0" w:rsidRDefault="004D0AF0">
            <w:pPr>
              <w:rPr>
                <w:sz w:val="22"/>
              </w:rPr>
            </w:pPr>
            <w:r>
              <w:rPr>
                <w:sz w:val="22"/>
              </w:rPr>
              <w:t>Emission Warranty Information Report.</w:t>
            </w:r>
          </w:p>
        </w:tc>
        <w:tc>
          <w:tcPr>
            <w:tcW w:w="1533" w:type="dxa"/>
            <w:tcBorders>
              <w:top w:val="single" w:sz="6" w:space="0" w:color="auto"/>
              <w:left w:val="single" w:sz="6" w:space="0" w:color="auto"/>
              <w:bottom w:val="single" w:sz="6" w:space="0" w:color="auto"/>
            </w:tcBorders>
          </w:tcPr>
          <w:p w14:paraId="11E84522" w14:textId="77777777" w:rsidR="004D0AF0" w:rsidRPr="00083D88" w:rsidRDefault="004D0AF0">
            <w:pPr>
              <w:pStyle w:val="RulesFootertext"/>
              <w:rPr>
                <w:sz w:val="22"/>
                <w:szCs w:val="22"/>
              </w:rPr>
            </w:pPr>
            <w:r w:rsidRPr="00083D88">
              <w:rPr>
                <w:sz w:val="22"/>
                <w:szCs w:val="22"/>
              </w:rPr>
              <w:t>11/27/99</w:t>
            </w:r>
          </w:p>
        </w:tc>
      </w:tr>
      <w:tr w:rsidR="004D0AF0" w:rsidRPr="00083D88" w14:paraId="664AF8F4" w14:textId="77777777" w:rsidTr="00E45722">
        <w:tc>
          <w:tcPr>
            <w:tcW w:w="1800" w:type="dxa"/>
            <w:tcBorders>
              <w:top w:val="single" w:sz="6" w:space="0" w:color="auto"/>
              <w:bottom w:val="single" w:sz="6" w:space="0" w:color="auto"/>
              <w:right w:val="single" w:sz="6" w:space="0" w:color="auto"/>
            </w:tcBorders>
          </w:tcPr>
          <w:p w14:paraId="1C8CE63D" w14:textId="77777777" w:rsidR="004D0AF0" w:rsidRDefault="004D0AF0">
            <w:pPr>
              <w:pStyle w:val="Heading1"/>
              <w:jc w:val="center"/>
              <w:rPr>
                <w:rFonts w:ascii="Times New Roman" w:hAnsi="Times New Roman"/>
                <w:sz w:val="22"/>
              </w:rPr>
            </w:pPr>
            <w:r>
              <w:rPr>
                <w:rFonts w:ascii="Times New Roman" w:hAnsi="Times New Roman"/>
                <w:sz w:val="22"/>
              </w:rPr>
              <w:t>2145</w:t>
            </w:r>
          </w:p>
        </w:tc>
        <w:tc>
          <w:tcPr>
            <w:tcW w:w="4856" w:type="dxa"/>
            <w:tcBorders>
              <w:top w:val="single" w:sz="6" w:space="0" w:color="auto"/>
              <w:left w:val="single" w:sz="6" w:space="0" w:color="auto"/>
              <w:bottom w:val="single" w:sz="6" w:space="0" w:color="auto"/>
              <w:right w:val="single" w:sz="6" w:space="0" w:color="auto"/>
            </w:tcBorders>
          </w:tcPr>
          <w:p w14:paraId="64697345" w14:textId="77777777" w:rsidR="004D0AF0" w:rsidRDefault="004D0AF0">
            <w:pPr>
              <w:rPr>
                <w:sz w:val="22"/>
              </w:rPr>
            </w:pPr>
            <w:r>
              <w:rPr>
                <w:sz w:val="22"/>
              </w:rPr>
              <w:t>Field Information Report.</w:t>
            </w:r>
          </w:p>
        </w:tc>
        <w:tc>
          <w:tcPr>
            <w:tcW w:w="1533" w:type="dxa"/>
            <w:tcBorders>
              <w:top w:val="single" w:sz="6" w:space="0" w:color="auto"/>
              <w:left w:val="single" w:sz="6" w:space="0" w:color="auto"/>
              <w:bottom w:val="single" w:sz="6" w:space="0" w:color="auto"/>
            </w:tcBorders>
          </w:tcPr>
          <w:p w14:paraId="3C78185A" w14:textId="77777777" w:rsidR="004D0AF0" w:rsidRPr="00083D88" w:rsidRDefault="00E53BDC">
            <w:pPr>
              <w:pStyle w:val="RulesFootertext"/>
              <w:rPr>
                <w:sz w:val="22"/>
                <w:szCs w:val="22"/>
              </w:rPr>
            </w:pPr>
            <w:r w:rsidRPr="00083D88">
              <w:rPr>
                <w:sz w:val="22"/>
                <w:szCs w:val="22"/>
              </w:rPr>
              <w:t>8/7/12</w:t>
            </w:r>
          </w:p>
        </w:tc>
      </w:tr>
      <w:tr w:rsidR="004D0AF0" w14:paraId="4F220146" w14:textId="77777777" w:rsidTr="00E45722">
        <w:tc>
          <w:tcPr>
            <w:tcW w:w="1800" w:type="dxa"/>
            <w:tcBorders>
              <w:top w:val="single" w:sz="6" w:space="0" w:color="auto"/>
              <w:bottom w:val="single" w:sz="6" w:space="0" w:color="auto"/>
              <w:right w:val="single" w:sz="6" w:space="0" w:color="auto"/>
            </w:tcBorders>
          </w:tcPr>
          <w:p w14:paraId="653D94AF" w14:textId="77777777" w:rsidR="004D0AF0" w:rsidRDefault="004D0AF0">
            <w:pPr>
              <w:pStyle w:val="Heading1"/>
              <w:jc w:val="center"/>
              <w:rPr>
                <w:rFonts w:ascii="Times New Roman" w:hAnsi="Times New Roman"/>
                <w:sz w:val="22"/>
              </w:rPr>
            </w:pPr>
            <w:r>
              <w:rPr>
                <w:rFonts w:ascii="Times New Roman" w:hAnsi="Times New Roman"/>
                <w:sz w:val="22"/>
              </w:rPr>
              <w:t>2146</w:t>
            </w:r>
          </w:p>
        </w:tc>
        <w:tc>
          <w:tcPr>
            <w:tcW w:w="4856" w:type="dxa"/>
            <w:tcBorders>
              <w:top w:val="single" w:sz="6" w:space="0" w:color="auto"/>
              <w:left w:val="single" w:sz="6" w:space="0" w:color="auto"/>
              <w:bottom w:val="single" w:sz="6" w:space="0" w:color="auto"/>
              <w:right w:val="single" w:sz="6" w:space="0" w:color="auto"/>
            </w:tcBorders>
          </w:tcPr>
          <w:p w14:paraId="067DFAEF" w14:textId="77777777" w:rsidR="004D0AF0" w:rsidRDefault="004D0AF0">
            <w:pPr>
              <w:rPr>
                <w:sz w:val="22"/>
              </w:rPr>
            </w:pPr>
            <w:r>
              <w:rPr>
                <w:sz w:val="22"/>
              </w:rPr>
              <w:t>Emissions Information Report.</w:t>
            </w:r>
          </w:p>
        </w:tc>
        <w:tc>
          <w:tcPr>
            <w:tcW w:w="1533" w:type="dxa"/>
            <w:tcBorders>
              <w:top w:val="single" w:sz="6" w:space="0" w:color="auto"/>
              <w:left w:val="single" w:sz="6" w:space="0" w:color="auto"/>
              <w:bottom w:val="single" w:sz="6" w:space="0" w:color="auto"/>
            </w:tcBorders>
          </w:tcPr>
          <w:p w14:paraId="2A1051E1" w14:textId="77777777" w:rsidR="004D0AF0" w:rsidRPr="00083D88" w:rsidRDefault="004D0AF0">
            <w:pPr>
              <w:pStyle w:val="RulesFootertext"/>
              <w:rPr>
                <w:sz w:val="22"/>
                <w:szCs w:val="22"/>
              </w:rPr>
            </w:pPr>
            <w:r w:rsidRPr="00083D88">
              <w:rPr>
                <w:sz w:val="22"/>
                <w:szCs w:val="22"/>
              </w:rPr>
              <w:t>11/27/99</w:t>
            </w:r>
          </w:p>
        </w:tc>
      </w:tr>
      <w:tr w:rsidR="004D0AF0" w14:paraId="53A0FACF" w14:textId="77777777" w:rsidTr="00E45722">
        <w:tc>
          <w:tcPr>
            <w:tcW w:w="1800" w:type="dxa"/>
            <w:tcBorders>
              <w:top w:val="single" w:sz="6" w:space="0" w:color="auto"/>
              <w:bottom w:val="single" w:sz="6" w:space="0" w:color="auto"/>
              <w:right w:val="single" w:sz="6" w:space="0" w:color="auto"/>
            </w:tcBorders>
            <w:vAlign w:val="center"/>
          </w:tcPr>
          <w:p w14:paraId="6697C0C8" w14:textId="77777777" w:rsidR="004D0AF0" w:rsidRDefault="004D0AF0" w:rsidP="00183A83">
            <w:pPr>
              <w:pStyle w:val="Heading1"/>
              <w:jc w:val="center"/>
              <w:rPr>
                <w:rFonts w:ascii="Times New Roman" w:hAnsi="Times New Roman"/>
                <w:sz w:val="22"/>
              </w:rPr>
            </w:pPr>
            <w:r>
              <w:rPr>
                <w:rFonts w:ascii="Times New Roman" w:hAnsi="Times New Roman"/>
                <w:sz w:val="22"/>
              </w:rPr>
              <w:t>2147</w:t>
            </w:r>
          </w:p>
        </w:tc>
        <w:tc>
          <w:tcPr>
            <w:tcW w:w="4856" w:type="dxa"/>
            <w:tcBorders>
              <w:top w:val="single" w:sz="6" w:space="0" w:color="auto"/>
              <w:left w:val="single" w:sz="6" w:space="0" w:color="auto"/>
              <w:bottom w:val="single" w:sz="6" w:space="0" w:color="auto"/>
              <w:right w:val="single" w:sz="6" w:space="0" w:color="auto"/>
            </w:tcBorders>
            <w:vAlign w:val="center"/>
          </w:tcPr>
          <w:p w14:paraId="66CB9724" w14:textId="77777777" w:rsidR="004D0AF0" w:rsidRDefault="004D0AF0" w:rsidP="00183A83">
            <w:pPr>
              <w:rPr>
                <w:sz w:val="22"/>
              </w:rPr>
            </w:pPr>
            <w:r>
              <w:rPr>
                <w:sz w:val="22"/>
              </w:rPr>
              <w:t>Demonstration of Compliance with Emission Standards.</w:t>
            </w:r>
          </w:p>
        </w:tc>
        <w:tc>
          <w:tcPr>
            <w:tcW w:w="1533" w:type="dxa"/>
            <w:tcBorders>
              <w:top w:val="single" w:sz="6" w:space="0" w:color="auto"/>
              <w:left w:val="single" w:sz="6" w:space="0" w:color="auto"/>
              <w:bottom w:val="single" w:sz="6" w:space="0" w:color="auto"/>
            </w:tcBorders>
            <w:vAlign w:val="center"/>
          </w:tcPr>
          <w:p w14:paraId="2B721BCB" w14:textId="77777777" w:rsidR="004D0AF0" w:rsidRPr="00083D88" w:rsidRDefault="00E53BDC" w:rsidP="00183A83">
            <w:pPr>
              <w:pStyle w:val="RulesFootertext"/>
              <w:rPr>
                <w:sz w:val="22"/>
                <w:szCs w:val="22"/>
              </w:rPr>
            </w:pPr>
            <w:r w:rsidRPr="00083D88">
              <w:rPr>
                <w:sz w:val="22"/>
                <w:szCs w:val="22"/>
              </w:rPr>
              <w:t>8/7/12</w:t>
            </w:r>
          </w:p>
        </w:tc>
      </w:tr>
      <w:tr w:rsidR="004D0AF0" w14:paraId="3BBD103A" w14:textId="77777777" w:rsidTr="00E45722">
        <w:tc>
          <w:tcPr>
            <w:tcW w:w="1800" w:type="dxa"/>
            <w:tcBorders>
              <w:top w:val="single" w:sz="6" w:space="0" w:color="auto"/>
              <w:bottom w:val="single" w:sz="6" w:space="0" w:color="auto"/>
              <w:right w:val="single" w:sz="6" w:space="0" w:color="auto"/>
            </w:tcBorders>
          </w:tcPr>
          <w:p w14:paraId="61C2BCA6" w14:textId="77777777" w:rsidR="004D0AF0" w:rsidRDefault="004D0AF0">
            <w:pPr>
              <w:pStyle w:val="Heading1"/>
              <w:jc w:val="center"/>
              <w:rPr>
                <w:rFonts w:ascii="Times New Roman" w:hAnsi="Times New Roman"/>
                <w:sz w:val="22"/>
              </w:rPr>
            </w:pPr>
            <w:r>
              <w:rPr>
                <w:rFonts w:ascii="Times New Roman" w:hAnsi="Times New Roman"/>
                <w:sz w:val="22"/>
              </w:rPr>
              <w:t>2148</w:t>
            </w:r>
          </w:p>
        </w:tc>
        <w:tc>
          <w:tcPr>
            <w:tcW w:w="4856" w:type="dxa"/>
            <w:tcBorders>
              <w:top w:val="single" w:sz="6" w:space="0" w:color="auto"/>
              <w:left w:val="single" w:sz="6" w:space="0" w:color="auto"/>
              <w:bottom w:val="single" w:sz="6" w:space="0" w:color="auto"/>
              <w:right w:val="single" w:sz="6" w:space="0" w:color="auto"/>
            </w:tcBorders>
          </w:tcPr>
          <w:p w14:paraId="06CC2A43" w14:textId="77777777" w:rsidR="004D0AF0" w:rsidRDefault="004D0AF0">
            <w:pPr>
              <w:rPr>
                <w:sz w:val="22"/>
              </w:rPr>
            </w:pPr>
            <w:r>
              <w:rPr>
                <w:sz w:val="22"/>
              </w:rPr>
              <w:t>Evaluation of Need for Recall.</w:t>
            </w:r>
          </w:p>
        </w:tc>
        <w:tc>
          <w:tcPr>
            <w:tcW w:w="1533" w:type="dxa"/>
            <w:tcBorders>
              <w:top w:val="single" w:sz="6" w:space="0" w:color="auto"/>
              <w:left w:val="single" w:sz="6" w:space="0" w:color="auto"/>
              <w:bottom w:val="single" w:sz="6" w:space="0" w:color="auto"/>
            </w:tcBorders>
          </w:tcPr>
          <w:p w14:paraId="617E0CC7" w14:textId="77777777" w:rsidR="004D0AF0" w:rsidRPr="00083D88" w:rsidRDefault="004D0AF0">
            <w:pPr>
              <w:pStyle w:val="RulesFootertext"/>
              <w:rPr>
                <w:sz w:val="22"/>
                <w:szCs w:val="22"/>
              </w:rPr>
            </w:pPr>
            <w:r w:rsidRPr="00083D88">
              <w:rPr>
                <w:sz w:val="22"/>
                <w:szCs w:val="22"/>
              </w:rPr>
              <w:t>11/27/99</w:t>
            </w:r>
          </w:p>
        </w:tc>
      </w:tr>
      <w:tr w:rsidR="00E6214C" w14:paraId="05087C50" w14:textId="77777777" w:rsidTr="004C17FD">
        <w:tc>
          <w:tcPr>
            <w:tcW w:w="1800" w:type="dxa"/>
            <w:tcBorders>
              <w:top w:val="single" w:sz="6" w:space="0" w:color="auto"/>
              <w:bottom w:val="single" w:sz="6" w:space="0" w:color="auto"/>
              <w:right w:val="single" w:sz="6" w:space="0" w:color="auto"/>
            </w:tcBorders>
          </w:tcPr>
          <w:p w14:paraId="5F24440E" w14:textId="77777777" w:rsidR="00E6214C" w:rsidRDefault="00E6214C" w:rsidP="004C17FD">
            <w:pPr>
              <w:pStyle w:val="Heading1"/>
              <w:jc w:val="center"/>
              <w:rPr>
                <w:rFonts w:ascii="Times New Roman" w:hAnsi="Times New Roman"/>
                <w:sz w:val="22"/>
              </w:rPr>
            </w:pPr>
            <w:r>
              <w:rPr>
                <w:rFonts w:ascii="Times New Roman" w:hAnsi="Times New Roman"/>
                <w:sz w:val="22"/>
              </w:rPr>
              <w:t>2149</w:t>
            </w:r>
          </w:p>
        </w:tc>
        <w:tc>
          <w:tcPr>
            <w:tcW w:w="4856" w:type="dxa"/>
            <w:tcBorders>
              <w:top w:val="single" w:sz="6" w:space="0" w:color="auto"/>
              <w:left w:val="single" w:sz="6" w:space="0" w:color="auto"/>
              <w:bottom w:val="single" w:sz="6" w:space="0" w:color="auto"/>
              <w:right w:val="single" w:sz="6" w:space="0" w:color="auto"/>
            </w:tcBorders>
          </w:tcPr>
          <w:p w14:paraId="0D53B5C4" w14:textId="77777777" w:rsidR="00E6214C" w:rsidRDefault="00E6214C" w:rsidP="004C17FD">
            <w:pPr>
              <w:rPr>
                <w:sz w:val="22"/>
              </w:rPr>
            </w:pPr>
            <w:r>
              <w:rPr>
                <w:sz w:val="22"/>
              </w:rPr>
              <w:t>Notification of Subsequent Action.</w:t>
            </w:r>
          </w:p>
        </w:tc>
        <w:tc>
          <w:tcPr>
            <w:tcW w:w="1533" w:type="dxa"/>
            <w:tcBorders>
              <w:top w:val="single" w:sz="6" w:space="0" w:color="auto"/>
              <w:left w:val="single" w:sz="6" w:space="0" w:color="auto"/>
              <w:bottom w:val="single" w:sz="6" w:space="0" w:color="auto"/>
            </w:tcBorders>
          </w:tcPr>
          <w:p w14:paraId="5F70CA29" w14:textId="77777777" w:rsidR="00E6214C" w:rsidRPr="00083D88" w:rsidRDefault="00E6214C" w:rsidP="004C17FD">
            <w:pPr>
              <w:pStyle w:val="RulesFootertext"/>
              <w:rPr>
                <w:sz w:val="22"/>
                <w:szCs w:val="22"/>
              </w:rPr>
            </w:pPr>
            <w:r w:rsidRPr="00083D88">
              <w:rPr>
                <w:sz w:val="22"/>
                <w:szCs w:val="22"/>
              </w:rPr>
              <w:t>2/23/90</w:t>
            </w:r>
          </w:p>
        </w:tc>
      </w:tr>
      <w:tr w:rsidR="00E6214C" w:rsidRPr="00012CF1" w14:paraId="37CC83F9" w14:textId="77777777" w:rsidTr="004C17FD">
        <w:tc>
          <w:tcPr>
            <w:tcW w:w="1800" w:type="dxa"/>
            <w:tcBorders>
              <w:top w:val="single" w:sz="4" w:space="0" w:color="auto"/>
              <w:bottom w:val="single" w:sz="4" w:space="0" w:color="auto"/>
              <w:right w:val="nil"/>
            </w:tcBorders>
            <w:vAlign w:val="center"/>
          </w:tcPr>
          <w:p w14:paraId="3195AE61"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Chapter 4</w:t>
            </w:r>
          </w:p>
        </w:tc>
        <w:tc>
          <w:tcPr>
            <w:tcW w:w="4856" w:type="dxa"/>
            <w:tcBorders>
              <w:top w:val="single" w:sz="4" w:space="0" w:color="auto"/>
              <w:left w:val="nil"/>
              <w:bottom w:val="single" w:sz="4" w:space="0" w:color="auto"/>
              <w:right w:val="nil"/>
            </w:tcBorders>
          </w:tcPr>
          <w:p w14:paraId="564F843F" w14:textId="77777777" w:rsidR="00E6214C" w:rsidRPr="00012CF1" w:rsidRDefault="00E6214C" w:rsidP="004C17FD">
            <w:pPr>
              <w:rPr>
                <w:sz w:val="22"/>
              </w:rPr>
            </w:pPr>
            <w:r w:rsidRPr="00012CF1">
              <w:rPr>
                <w:sz w:val="22"/>
              </w:rPr>
              <w:t>Criteria for the Evaluation of Motor Vehicle Pollution Control Devices and Fuel Additives</w:t>
            </w:r>
          </w:p>
        </w:tc>
        <w:tc>
          <w:tcPr>
            <w:tcW w:w="1533" w:type="dxa"/>
            <w:tcBorders>
              <w:top w:val="single" w:sz="4" w:space="0" w:color="auto"/>
              <w:left w:val="nil"/>
              <w:bottom w:val="single" w:sz="4" w:space="0" w:color="auto"/>
            </w:tcBorders>
          </w:tcPr>
          <w:p w14:paraId="439149E4" w14:textId="77777777" w:rsidR="00E6214C" w:rsidRPr="00083D88" w:rsidRDefault="00E6214C" w:rsidP="004C17FD">
            <w:pPr>
              <w:pStyle w:val="Heading2"/>
              <w:rPr>
                <w:rFonts w:ascii="Times New Roman" w:hAnsi="Times New Roman"/>
                <w:sz w:val="22"/>
                <w:szCs w:val="22"/>
              </w:rPr>
            </w:pPr>
          </w:p>
        </w:tc>
      </w:tr>
      <w:tr w:rsidR="00E6214C" w:rsidRPr="00012CF1" w14:paraId="14D49043" w14:textId="77777777" w:rsidTr="004C17FD">
        <w:tc>
          <w:tcPr>
            <w:tcW w:w="1800" w:type="dxa"/>
            <w:tcBorders>
              <w:top w:val="single" w:sz="4" w:space="0" w:color="auto"/>
              <w:bottom w:val="single" w:sz="4" w:space="0" w:color="auto"/>
              <w:right w:val="nil"/>
            </w:tcBorders>
            <w:vAlign w:val="center"/>
          </w:tcPr>
          <w:p w14:paraId="3BEFC09F"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Article 2</w:t>
            </w:r>
          </w:p>
        </w:tc>
        <w:tc>
          <w:tcPr>
            <w:tcW w:w="4856" w:type="dxa"/>
            <w:tcBorders>
              <w:top w:val="single" w:sz="4" w:space="0" w:color="auto"/>
              <w:left w:val="nil"/>
              <w:bottom w:val="single" w:sz="4" w:space="0" w:color="auto"/>
              <w:right w:val="nil"/>
            </w:tcBorders>
          </w:tcPr>
          <w:p w14:paraId="77BD7371" w14:textId="77777777" w:rsidR="00E6214C" w:rsidRPr="00012CF1" w:rsidRDefault="00E6214C" w:rsidP="004C17FD">
            <w:pPr>
              <w:rPr>
                <w:sz w:val="22"/>
              </w:rPr>
            </w:pPr>
            <w:r w:rsidRPr="00012CF1">
              <w:rPr>
                <w:sz w:val="22"/>
              </w:rPr>
              <w:t>Aftermarket Parts</w:t>
            </w:r>
          </w:p>
        </w:tc>
        <w:tc>
          <w:tcPr>
            <w:tcW w:w="1533" w:type="dxa"/>
            <w:tcBorders>
              <w:top w:val="single" w:sz="4" w:space="0" w:color="auto"/>
              <w:left w:val="nil"/>
              <w:bottom w:val="single" w:sz="4" w:space="0" w:color="auto"/>
            </w:tcBorders>
          </w:tcPr>
          <w:p w14:paraId="3A02B488" w14:textId="77777777" w:rsidR="00E6214C" w:rsidRPr="00083D88" w:rsidRDefault="00E6214C" w:rsidP="004C17FD">
            <w:pPr>
              <w:pStyle w:val="Heading2"/>
              <w:rPr>
                <w:rFonts w:ascii="Times New Roman" w:hAnsi="Times New Roman"/>
                <w:sz w:val="22"/>
                <w:szCs w:val="22"/>
              </w:rPr>
            </w:pPr>
          </w:p>
        </w:tc>
      </w:tr>
      <w:tr w:rsidR="00E6214C" w:rsidRPr="00012CF1" w14:paraId="6FB46854" w14:textId="77777777" w:rsidTr="004C17FD">
        <w:tc>
          <w:tcPr>
            <w:tcW w:w="1800" w:type="dxa"/>
            <w:tcBorders>
              <w:top w:val="single" w:sz="4" w:space="0" w:color="auto"/>
              <w:bottom w:val="single" w:sz="4" w:space="0" w:color="auto"/>
              <w:right w:val="nil"/>
            </w:tcBorders>
            <w:vAlign w:val="center"/>
          </w:tcPr>
          <w:p w14:paraId="39AF1F6D"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2221</w:t>
            </w:r>
          </w:p>
        </w:tc>
        <w:tc>
          <w:tcPr>
            <w:tcW w:w="4856" w:type="dxa"/>
            <w:tcBorders>
              <w:top w:val="single" w:sz="4" w:space="0" w:color="auto"/>
              <w:left w:val="nil"/>
              <w:bottom w:val="single" w:sz="4" w:space="0" w:color="auto"/>
              <w:right w:val="single" w:sz="4" w:space="0" w:color="auto"/>
            </w:tcBorders>
          </w:tcPr>
          <w:p w14:paraId="0E555E36" w14:textId="77777777" w:rsidR="00E6214C" w:rsidRPr="00012CF1" w:rsidRDefault="00E6214C" w:rsidP="004C17FD">
            <w:pPr>
              <w:rPr>
                <w:sz w:val="22"/>
              </w:rPr>
            </w:pPr>
            <w:r w:rsidRPr="00012CF1">
              <w:rPr>
                <w:sz w:val="22"/>
              </w:rPr>
              <w:t>Replacement Parts</w:t>
            </w:r>
          </w:p>
        </w:tc>
        <w:tc>
          <w:tcPr>
            <w:tcW w:w="1533" w:type="dxa"/>
            <w:tcBorders>
              <w:top w:val="single" w:sz="4" w:space="0" w:color="auto"/>
              <w:left w:val="single" w:sz="4" w:space="0" w:color="auto"/>
              <w:bottom w:val="single" w:sz="4" w:space="0" w:color="auto"/>
            </w:tcBorders>
          </w:tcPr>
          <w:p w14:paraId="7C0BE746" w14:textId="77777777" w:rsidR="00E6214C" w:rsidRPr="00083D88" w:rsidRDefault="00E6214C" w:rsidP="004C17FD">
            <w:pPr>
              <w:pStyle w:val="Heading2"/>
              <w:rPr>
                <w:rFonts w:ascii="Times New Roman" w:hAnsi="Times New Roman"/>
                <w:sz w:val="22"/>
                <w:szCs w:val="22"/>
              </w:rPr>
            </w:pPr>
            <w:r w:rsidRPr="00083D88">
              <w:rPr>
                <w:rFonts w:ascii="Times New Roman" w:hAnsi="Times New Roman"/>
                <w:sz w:val="22"/>
                <w:szCs w:val="22"/>
              </w:rPr>
              <w:t>11/30/83</w:t>
            </w:r>
          </w:p>
        </w:tc>
      </w:tr>
      <w:tr w:rsidR="00E6214C" w:rsidRPr="00012CF1" w14:paraId="55092571" w14:textId="77777777" w:rsidTr="004C17FD">
        <w:tc>
          <w:tcPr>
            <w:tcW w:w="1800" w:type="dxa"/>
            <w:tcBorders>
              <w:top w:val="single" w:sz="4" w:space="0" w:color="auto"/>
              <w:bottom w:val="single" w:sz="4" w:space="0" w:color="auto"/>
              <w:right w:val="nil"/>
            </w:tcBorders>
            <w:vAlign w:val="center"/>
          </w:tcPr>
          <w:p w14:paraId="7713611D"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2222</w:t>
            </w:r>
          </w:p>
        </w:tc>
        <w:tc>
          <w:tcPr>
            <w:tcW w:w="4856" w:type="dxa"/>
            <w:tcBorders>
              <w:top w:val="single" w:sz="4" w:space="0" w:color="auto"/>
              <w:left w:val="nil"/>
              <w:bottom w:val="single" w:sz="4" w:space="0" w:color="auto"/>
              <w:right w:val="single" w:sz="4" w:space="0" w:color="auto"/>
            </w:tcBorders>
          </w:tcPr>
          <w:p w14:paraId="3D818674" w14:textId="77777777" w:rsidR="00E6214C" w:rsidRPr="00012CF1" w:rsidRDefault="00E6214C" w:rsidP="004C17FD">
            <w:pPr>
              <w:rPr>
                <w:sz w:val="22"/>
              </w:rPr>
            </w:pPr>
            <w:r w:rsidRPr="00012CF1">
              <w:rPr>
                <w:sz w:val="22"/>
              </w:rPr>
              <w:t>Add-On Parts and Modified Parts</w:t>
            </w:r>
          </w:p>
        </w:tc>
        <w:tc>
          <w:tcPr>
            <w:tcW w:w="1533" w:type="dxa"/>
            <w:tcBorders>
              <w:top w:val="single" w:sz="4" w:space="0" w:color="auto"/>
              <w:left w:val="single" w:sz="4" w:space="0" w:color="auto"/>
              <w:bottom w:val="single" w:sz="4" w:space="0" w:color="auto"/>
            </w:tcBorders>
          </w:tcPr>
          <w:p w14:paraId="2D0FDFCA" w14:textId="77777777" w:rsidR="00E6214C" w:rsidRPr="00083D88" w:rsidRDefault="007A0BE8" w:rsidP="004C17FD">
            <w:pPr>
              <w:pStyle w:val="Heading2"/>
              <w:rPr>
                <w:rFonts w:ascii="Times New Roman" w:hAnsi="Times New Roman"/>
                <w:sz w:val="22"/>
                <w:szCs w:val="22"/>
              </w:rPr>
            </w:pPr>
            <w:r w:rsidRPr="00083D88">
              <w:rPr>
                <w:rFonts w:ascii="Times New Roman" w:hAnsi="Times New Roman"/>
                <w:sz w:val="22"/>
                <w:szCs w:val="22"/>
              </w:rPr>
              <w:t>10/1/09</w:t>
            </w:r>
          </w:p>
        </w:tc>
      </w:tr>
      <w:tr w:rsidR="00E6214C" w:rsidRPr="00012CF1" w14:paraId="12325B1A" w14:textId="77777777" w:rsidTr="004C17FD">
        <w:tc>
          <w:tcPr>
            <w:tcW w:w="1800" w:type="dxa"/>
            <w:tcBorders>
              <w:top w:val="single" w:sz="4" w:space="0" w:color="auto"/>
              <w:bottom w:val="single" w:sz="4" w:space="0" w:color="auto"/>
              <w:right w:val="nil"/>
            </w:tcBorders>
            <w:vAlign w:val="center"/>
          </w:tcPr>
          <w:p w14:paraId="5AEE50D1"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2224</w:t>
            </w:r>
          </w:p>
        </w:tc>
        <w:tc>
          <w:tcPr>
            <w:tcW w:w="4856" w:type="dxa"/>
            <w:tcBorders>
              <w:top w:val="single" w:sz="4" w:space="0" w:color="auto"/>
              <w:left w:val="nil"/>
              <w:bottom w:val="single" w:sz="4" w:space="0" w:color="auto"/>
              <w:right w:val="single" w:sz="4" w:space="0" w:color="auto"/>
            </w:tcBorders>
          </w:tcPr>
          <w:p w14:paraId="039F49EE" w14:textId="77777777" w:rsidR="00E6214C" w:rsidRPr="00012CF1" w:rsidRDefault="00E6214C" w:rsidP="004C17FD">
            <w:pPr>
              <w:rPr>
                <w:sz w:val="22"/>
              </w:rPr>
            </w:pPr>
            <w:r w:rsidRPr="00012CF1">
              <w:rPr>
                <w:sz w:val="22"/>
              </w:rPr>
              <w:t>Surveillance</w:t>
            </w:r>
          </w:p>
        </w:tc>
        <w:tc>
          <w:tcPr>
            <w:tcW w:w="1533" w:type="dxa"/>
            <w:tcBorders>
              <w:top w:val="single" w:sz="4" w:space="0" w:color="auto"/>
              <w:left w:val="single" w:sz="4" w:space="0" w:color="auto"/>
              <w:bottom w:val="single" w:sz="4" w:space="0" w:color="auto"/>
            </w:tcBorders>
          </w:tcPr>
          <w:p w14:paraId="10E3E770" w14:textId="77777777" w:rsidR="00E6214C" w:rsidRPr="00083D88" w:rsidRDefault="00E6214C" w:rsidP="004C17FD">
            <w:pPr>
              <w:pStyle w:val="Heading2"/>
              <w:rPr>
                <w:rFonts w:ascii="Times New Roman" w:hAnsi="Times New Roman"/>
                <w:sz w:val="22"/>
                <w:szCs w:val="22"/>
              </w:rPr>
            </w:pPr>
            <w:r w:rsidRPr="00083D88">
              <w:rPr>
                <w:rFonts w:ascii="Times New Roman" w:hAnsi="Times New Roman"/>
                <w:sz w:val="22"/>
                <w:szCs w:val="22"/>
              </w:rPr>
              <w:t>8/16/90</w:t>
            </w:r>
          </w:p>
        </w:tc>
      </w:tr>
      <w:tr w:rsidR="00E6214C" w:rsidRPr="00012CF1" w14:paraId="0214FB95" w14:textId="77777777" w:rsidTr="004C17FD">
        <w:tc>
          <w:tcPr>
            <w:tcW w:w="1800" w:type="dxa"/>
            <w:tcBorders>
              <w:top w:val="single" w:sz="4" w:space="0" w:color="auto"/>
              <w:bottom w:val="single" w:sz="4" w:space="0" w:color="auto"/>
              <w:right w:val="nil"/>
            </w:tcBorders>
            <w:vAlign w:val="center"/>
          </w:tcPr>
          <w:p w14:paraId="30DDBCC1"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Chapter 4.4</w:t>
            </w:r>
          </w:p>
        </w:tc>
        <w:tc>
          <w:tcPr>
            <w:tcW w:w="4856" w:type="dxa"/>
            <w:tcBorders>
              <w:top w:val="single" w:sz="4" w:space="0" w:color="auto"/>
              <w:left w:val="nil"/>
              <w:bottom w:val="single" w:sz="4" w:space="0" w:color="auto"/>
              <w:right w:val="nil"/>
            </w:tcBorders>
          </w:tcPr>
          <w:p w14:paraId="459EF674" w14:textId="77777777" w:rsidR="00E6214C" w:rsidRPr="00012CF1" w:rsidRDefault="00E6214C" w:rsidP="004C17FD">
            <w:pPr>
              <w:rPr>
                <w:sz w:val="22"/>
              </w:rPr>
            </w:pPr>
            <w:r w:rsidRPr="00012CF1">
              <w:rPr>
                <w:sz w:val="22"/>
              </w:rPr>
              <w:t>Specifications for Fill Pipes and Openings of Motor Vehicle Fuel Tanks</w:t>
            </w:r>
          </w:p>
        </w:tc>
        <w:tc>
          <w:tcPr>
            <w:tcW w:w="1533" w:type="dxa"/>
            <w:tcBorders>
              <w:top w:val="single" w:sz="4" w:space="0" w:color="auto"/>
              <w:left w:val="nil"/>
              <w:bottom w:val="single" w:sz="4" w:space="0" w:color="auto"/>
            </w:tcBorders>
          </w:tcPr>
          <w:p w14:paraId="7E619EC6" w14:textId="77777777" w:rsidR="00E6214C" w:rsidRPr="00083D88" w:rsidRDefault="00E6214C" w:rsidP="004C17FD">
            <w:pPr>
              <w:pStyle w:val="Heading2"/>
              <w:rPr>
                <w:rFonts w:ascii="Times New Roman" w:hAnsi="Times New Roman"/>
                <w:sz w:val="22"/>
                <w:szCs w:val="22"/>
              </w:rPr>
            </w:pPr>
          </w:p>
        </w:tc>
      </w:tr>
      <w:tr w:rsidR="00E6214C" w:rsidRPr="00012CF1" w14:paraId="120488F7" w14:textId="77777777" w:rsidTr="004C17FD">
        <w:tc>
          <w:tcPr>
            <w:tcW w:w="1800" w:type="dxa"/>
            <w:tcBorders>
              <w:top w:val="nil"/>
              <w:bottom w:val="nil"/>
              <w:right w:val="single" w:sz="6" w:space="0" w:color="auto"/>
            </w:tcBorders>
            <w:vAlign w:val="center"/>
          </w:tcPr>
          <w:p w14:paraId="7A043B19" w14:textId="77777777" w:rsidR="00E6214C" w:rsidRPr="00012CF1" w:rsidRDefault="00E6214C" w:rsidP="004C17FD">
            <w:pPr>
              <w:pStyle w:val="Heading1"/>
              <w:jc w:val="center"/>
              <w:rPr>
                <w:rFonts w:ascii="Times New Roman" w:hAnsi="Times New Roman"/>
                <w:sz w:val="22"/>
              </w:rPr>
            </w:pPr>
            <w:r w:rsidRPr="00012CF1">
              <w:rPr>
                <w:rFonts w:ascii="Times New Roman" w:hAnsi="Times New Roman"/>
                <w:sz w:val="22"/>
              </w:rPr>
              <w:t>2235</w:t>
            </w:r>
          </w:p>
        </w:tc>
        <w:tc>
          <w:tcPr>
            <w:tcW w:w="4856" w:type="dxa"/>
            <w:tcBorders>
              <w:top w:val="nil"/>
              <w:left w:val="single" w:sz="6" w:space="0" w:color="auto"/>
              <w:bottom w:val="nil"/>
              <w:right w:val="single" w:sz="6" w:space="0" w:color="auto"/>
            </w:tcBorders>
          </w:tcPr>
          <w:p w14:paraId="0F5C223A" w14:textId="77777777" w:rsidR="00E6214C" w:rsidRPr="00012CF1" w:rsidRDefault="00E6214C" w:rsidP="004C17FD">
            <w:pPr>
              <w:rPr>
                <w:sz w:val="22"/>
              </w:rPr>
            </w:pPr>
            <w:r w:rsidRPr="00012CF1">
              <w:rPr>
                <w:sz w:val="22"/>
              </w:rPr>
              <w:t>Requirements.</w:t>
            </w:r>
          </w:p>
        </w:tc>
        <w:tc>
          <w:tcPr>
            <w:tcW w:w="1533" w:type="dxa"/>
            <w:tcBorders>
              <w:top w:val="nil"/>
              <w:left w:val="single" w:sz="6" w:space="0" w:color="auto"/>
              <w:bottom w:val="nil"/>
            </w:tcBorders>
          </w:tcPr>
          <w:p w14:paraId="5C99C417" w14:textId="77777777" w:rsidR="00E6214C" w:rsidRPr="00083D88" w:rsidRDefault="007A0BE8" w:rsidP="004C17FD">
            <w:pPr>
              <w:pStyle w:val="Heading2"/>
              <w:rPr>
                <w:rFonts w:ascii="Times New Roman" w:hAnsi="Times New Roman"/>
                <w:sz w:val="22"/>
                <w:szCs w:val="22"/>
              </w:rPr>
            </w:pPr>
            <w:r w:rsidRPr="00083D88">
              <w:rPr>
                <w:rFonts w:ascii="Times New Roman" w:hAnsi="Times New Roman"/>
                <w:sz w:val="22"/>
                <w:szCs w:val="22"/>
              </w:rPr>
              <w:t>8/8/12</w:t>
            </w:r>
          </w:p>
        </w:tc>
      </w:tr>
      <w:tr w:rsidR="00E6214C" w14:paraId="7C5783B0" w14:textId="77777777" w:rsidTr="004C17FD">
        <w:tc>
          <w:tcPr>
            <w:tcW w:w="1800" w:type="dxa"/>
            <w:tcBorders>
              <w:top w:val="single" w:sz="6" w:space="0" w:color="auto"/>
              <w:bottom w:val="single" w:sz="6" w:space="0" w:color="auto"/>
              <w:right w:val="single" w:sz="6" w:space="0" w:color="auto"/>
            </w:tcBorders>
          </w:tcPr>
          <w:p w14:paraId="530720B4" w14:textId="77777777" w:rsidR="00E6214C" w:rsidRDefault="00E6214C" w:rsidP="004C17FD">
            <w:pPr>
              <w:pStyle w:val="Heading1"/>
              <w:jc w:val="center"/>
              <w:rPr>
                <w:rFonts w:ascii="Times New Roman" w:hAnsi="Times New Roman"/>
                <w:sz w:val="22"/>
              </w:rPr>
            </w:pPr>
            <w:r>
              <w:rPr>
                <w:rFonts w:ascii="Times New Roman" w:hAnsi="Times New Roman"/>
                <w:sz w:val="22"/>
              </w:rPr>
              <w:t>Chapter 10</w:t>
            </w:r>
          </w:p>
        </w:tc>
        <w:tc>
          <w:tcPr>
            <w:tcW w:w="4856" w:type="dxa"/>
            <w:tcBorders>
              <w:top w:val="single" w:sz="6" w:space="0" w:color="auto"/>
              <w:left w:val="single" w:sz="6" w:space="0" w:color="auto"/>
              <w:bottom w:val="single" w:sz="6" w:space="0" w:color="auto"/>
              <w:right w:val="single" w:sz="6" w:space="0" w:color="auto"/>
            </w:tcBorders>
          </w:tcPr>
          <w:p w14:paraId="537E8357" w14:textId="77777777" w:rsidR="00E6214C" w:rsidRDefault="00E6214C" w:rsidP="004C17FD">
            <w:pPr>
              <w:rPr>
                <w:sz w:val="22"/>
              </w:rPr>
            </w:pPr>
            <w:r>
              <w:rPr>
                <w:sz w:val="22"/>
              </w:rPr>
              <w:t>Mobile Source Operational Controls</w:t>
            </w:r>
          </w:p>
        </w:tc>
        <w:tc>
          <w:tcPr>
            <w:tcW w:w="1533" w:type="dxa"/>
            <w:tcBorders>
              <w:top w:val="single" w:sz="6" w:space="0" w:color="auto"/>
              <w:left w:val="single" w:sz="6" w:space="0" w:color="auto"/>
              <w:bottom w:val="single" w:sz="6" w:space="0" w:color="auto"/>
            </w:tcBorders>
          </w:tcPr>
          <w:p w14:paraId="3781744D" w14:textId="77777777" w:rsidR="00E6214C" w:rsidRPr="00083D88" w:rsidRDefault="00E6214C" w:rsidP="004C17FD">
            <w:pPr>
              <w:pStyle w:val="RulesFootertext"/>
              <w:rPr>
                <w:sz w:val="22"/>
                <w:szCs w:val="22"/>
              </w:rPr>
            </w:pPr>
          </w:p>
        </w:tc>
      </w:tr>
      <w:tr w:rsidR="00E6214C" w14:paraId="3F27041B" w14:textId="77777777" w:rsidTr="004C17FD">
        <w:tc>
          <w:tcPr>
            <w:tcW w:w="1800" w:type="dxa"/>
            <w:tcBorders>
              <w:top w:val="single" w:sz="6" w:space="0" w:color="auto"/>
              <w:bottom w:val="single" w:sz="6" w:space="0" w:color="auto"/>
              <w:right w:val="single" w:sz="6" w:space="0" w:color="auto"/>
            </w:tcBorders>
          </w:tcPr>
          <w:p w14:paraId="4463EF59" w14:textId="77777777" w:rsidR="00E6214C" w:rsidRDefault="00E6214C" w:rsidP="004C17FD">
            <w:pPr>
              <w:pStyle w:val="Heading1"/>
              <w:jc w:val="center"/>
              <w:rPr>
                <w:rFonts w:ascii="Times New Roman" w:hAnsi="Times New Roman"/>
                <w:sz w:val="22"/>
              </w:rPr>
            </w:pPr>
            <w:r>
              <w:rPr>
                <w:rFonts w:ascii="Times New Roman" w:hAnsi="Times New Roman"/>
                <w:sz w:val="22"/>
              </w:rPr>
              <w:t>Article 1</w:t>
            </w:r>
          </w:p>
        </w:tc>
        <w:tc>
          <w:tcPr>
            <w:tcW w:w="4856" w:type="dxa"/>
            <w:tcBorders>
              <w:top w:val="single" w:sz="6" w:space="0" w:color="auto"/>
              <w:left w:val="single" w:sz="6" w:space="0" w:color="auto"/>
              <w:bottom w:val="single" w:sz="6" w:space="0" w:color="auto"/>
              <w:right w:val="single" w:sz="6" w:space="0" w:color="auto"/>
            </w:tcBorders>
          </w:tcPr>
          <w:p w14:paraId="48E1FF46" w14:textId="77777777" w:rsidR="00E6214C" w:rsidRDefault="00E6214C" w:rsidP="004C17FD">
            <w:pPr>
              <w:rPr>
                <w:sz w:val="22"/>
              </w:rPr>
            </w:pPr>
            <w:r>
              <w:rPr>
                <w:sz w:val="22"/>
              </w:rPr>
              <w:t>Motor Vehicles</w:t>
            </w:r>
          </w:p>
        </w:tc>
        <w:tc>
          <w:tcPr>
            <w:tcW w:w="1533" w:type="dxa"/>
            <w:tcBorders>
              <w:top w:val="single" w:sz="6" w:space="0" w:color="auto"/>
              <w:left w:val="single" w:sz="6" w:space="0" w:color="auto"/>
              <w:bottom w:val="single" w:sz="6" w:space="0" w:color="auto"/>
            </w:tcBorders>
          </w:tcPr>
          <w:p w14:paraId="210B0762" w14:textId="77777777" w:rsidR="00E6214C" w:rsidRPr="00083D88" w:rsidRDefault="00E6214C" w:rsidP="004C17FD">
            <w:pPr>
              <w:pStyle w:val="RulesFootertext"/>
              <w:rPr>
                <w:sz w:val="22"/>
                <w:szCs w:val="22"/>
              </w:rPr>
            </w:pPr>
          </w:p>
        </w:tc>
      </w:tr>
      <w:tr w:rsidR="00E6214C" w14:paraId="221E0F83" w14:textId="77777777" w:rsidTr="004C17FD">
        <w:tc>
          <w:tcPr>
            <w:tcW w:w="1800" w:type="dxa"/>
            <w:tcBorders>
              <w:top w:val="single" w:sz="6" w:space="0" w:color="auto"/>
              <w:bottom w:val="double" w:sz="4" w:space="0" w:color="auto"/>
              <w:right w:val="single" w:sz="6" w:space="0" w:color="auto"/>
            </w:tcBorders>
          </w:tcPr>
          <w:p w14:paraId="56D560EA" w14:textId="77777777" w:rsidR="00E6214C" w:rsidRDefault="00E6214C" w:rsidP="004C17FD">
            <w:pPr>
              <w:pStyle w:val="Heading1"/>
              <w:jc w:val="center"/>
              <w:rPr>
                <w:rFonts w:ascii="Times New Roman" w:hAnsi="Times New Roman"/>
                <w:sz w:val="22"/>
              </w:rPr>
            </w:pPr>
            <w:r>
              <w:rPr>
                <w:rFonts w:ascii="Times New Roman" w:hAnsi="Times New Roman"/>
                <w:sz w:val="22"/>
              </w:rPr>
              <w:t>2485(c)(3)</w:t>
            </w:r>
          </w:p>
        </w:tc>
        <w:tc>
          <w:tcPr>
            <w:tcW w:w="4856" w:type="dxa"/>
            <w:tcBorders>
              <w:top w:val="single" w:sz="6" w:space="0" w:color="auto"/>
              <w:left w:val="single" w:sz="6" w:space="0" w:color="auto"/>
              <w:bottom w:val="double" w:sz="4" w:space="0" w:color="auto"/>
              <w:right w:val="single" w:sz="6" w:space="0" w:color="auto"/>
            </w:tcBorders>
          </w:tcPr>
          <w:p w14:paraId="52F3DA6E" w14:textId="77777777" w:rsidR="00E6214C" w:rsidRDefault="00E6214C" w:rsidP="004C17FD">
            <w:pPr>
              <w:rPr>
                <w:sz w:val="22"/>
              </w:rPr>
            </w:pPr>
            <w:r>
              <w:rPr>
                <w:sz w:val="22"/>
              </w:rPr>
              <w:t>Airborne Toxic Control Measure to Limit Diesel-Fueled Commercial Motor Vehicle Idling</w:t>
            </w:r>
          </w:p>
        </w:tc>
        <w:tc>
          <w:tcPr>
            <w:tcW w:w="1533" w:type="dxa"/>
            <w:tcBorders>
              <w:top w:val="single" w:sz="6" w:space="0" w:color="auto"/>
              <w:left w:val="single" w:sz="6" w:space="0" w:color="auto"/>
              <w:bottom w:val="double" w:sz="4" w:space="0" w:color="auto"/>
            </w:tcBorders>
            <w:vAlign w:val="center"/>
          </w:tcPr>
          <w:p w14:paraId="700F9D9A" w14:textId="77777777" w:rsidR="00E6214C" w:rsidRPr="00083D88" w:rsidRDefault="007A0BE8" w:rsidP="004C17FD">
            <w:pPr>
              <w:pStyle w:val="RulesFootertext"/>
              <w:rPr>
                <w:sz w:val="22"/>
                <w:szCs w:val="22"/>
              </w:rPr>
            </w:pPr>
            <w:r w:rsidRPr="00083D88">
              <w:rPr>
                <w:sz w:val="22"/>
                <w:szCs w:val="22"/>
              </w:rPr>
              <w:t>12/3/09</w:t>
            </w:r>
          </w:p>
        </w:tc>
      </w:tr>
    </w:tbl>
    <w:p w14:paraId="7645E416" w14:textId="77777777" w:rsidR="00A43625" w:rsidRDefault="00A43625">
      <w:pPr>
        <w:rPr>
          <w:sz w:val="22"/>
        </w:rPr>
      </w:pPr>
    </w:p>
    <w:sectPr w:rsidR="00A43625" w:rsidSect="00D271EC">
      <w:headerReference w:type="default" r:id="rId8"/>
      <w:footerReference w:type="default" r:id="rId9"/>
      <w:headerReference w:type="first" r:id="rId10"/>
      <w:pgSz w:w="12240" w:h="15840" w:code="1"/>
      <w:pgMar w:top="1440" w:right="1440" w:bottom="1440" w:left="1440" w:header="720" w:footer="720" w:gutter="0"/>
      <w:paperSrc w:first="15" w:other="15"/>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D5C5" w14:textId="77777777" w:rsidR="00A65E0C" w:rsidRDefault="00A65E0C">
      <w:r>
        <w:separator/>
      </w:r>
    </w:p>
  </w:endnote>
  <w:endnote w:type="continuationSeparator" w:id="0">
    <w:p w14:paraId="3463C1C8" w14:textId="77777777" w:rsidR="00A65E0C" w:rsidRDefault="00A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36A1" w14:textId="77777777" w:rsidR="004405F7" w:rsidRDefault="004405F7">
    <w:pPr>
      <w:pStyle w:val="RulesFootertext"/>
    </w:pPr>
  </w:p>
  <w:p w14:paraId="7F50B9D1" w14:textId="77777777" w:rsidR="004405F7" w:rsidRDefault="004405F7">
    <w:pPr>
      <w:pStyle w:val="RulesFootertext"/>
      <w:pBdr>
        <w:top w:val="single" w:sz="6" w:space="2" w:color="auto"/>
      </w:pBdr>
    </w:pPr>
    <w:r>
      <w:t>Chapter 127: New Motor Vehicle Emission Standards</w:t>
    </w:r>
  </w:p>
  <w:p w14:paraId="56F58661" w14:textId="77777777" w:rsidR="004405F7" w:rsidRDefault="004405F7">
    <w:pPr>
      <w:pStyle w:val="RulesFootertext"/>
    </w:pPr>
    <w:r>
      <w:t>-</w:t>
    </w:r>
    <w:r>
      <w:fldChar w:fldCharType="begin"/>
    </w:r>
    <w:r>
      <w:instrText xml:space="preserve">page </w:instrText>
    </w:r>
    <w:r>
      <w:fldChar w:fldCharType="separate"/>
    </w:r>
    <w:r w:rsidR="00B0745B">
      <w:rPr>
        <w:noProof/>
      </w:rPr>
      <w:t>16</w:t>
    </w:r>
    <w:r>
      <w:fldChar w:fldCharType="end"/>
    </w:r>
    <w:r>
      <w:t>-</w:t>
    </w:r>
  </w:p>
  <w:p w14:paraId="24311008" w14:textId="77777777" w:rsidR="004405F7" w:rsidRDefault="004405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E254" w14:textId="77777777" w:rsidR="00A65E0C" w:rsidRDefault="00A65E0C">
      <w:r>
        <w:separator/>
      </w:r>
    </w:p>
  </w:footnote>
  <w:footnote w:type="continuationSeparator" w:id="0">
    <w:p w14:paraId="1468FF88" w14:textId="77777777" w:rsidR="00A65E0C" w:rsidRDefault="00A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230" w14:textId="77777777" w:rsidR="004405F7" w:rsidRDefault="004405F7">
    <w:pPr>
      <w:pStyle w:val="RulesHeader"/>
    </w:pPr>
    <w:r>
      <w:t>06-096</w:t>
    </w:r>
    <w:r>
      <w:tab/>
      <w:t>DEPARTMENT OF ENVIRONMENTAL PROTECTION</w:t>
    </w:r>
  </w:p>
  <w:p w14:paraId="59D9D043" w14:textId="77777777" w:rsidR="004405F7" w:rsidRDefault="004405F7">
    <w:pPr>
      <w:pStyle w:val="Header"/>
      <w:jc w:val="center"/>
      <w:rPr>
        <w:rFonts w:ascii="Times" w:hAnsi="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EF1C" w14:textId="77777777" w:rsidR="004405F7" w:rsidRDefault="004405F7">
    <w:pPr>
      <w:pStyle w:val="RulesHeader"/>
    </w:pPr>
    <w:r>
      <w:t>06-096</w:t>
    </w:r>
    <w:r>
      <w:tab/>
      <w:t>DEPARTMENT OF ENVIRONMENTAL PROTECTION</w:t>
    </w:r>
  </w:p>
  <w:p w14:paraId="35C9CE27" w14:textId="77777777" w:rsidR="004405F7" w:rsidRDefault="0044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C6C"/>
    <w:multiLevelType w:val="hybridMultilevel"/>
    <w:tmpl w:val="73E81432"/>
    <w:lvl w:ilvl="0" w:tplc="EB3277BC">
      <w:start w:val="2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97F81"/>
    <w:multiLevelType w:val="multilevel"/>
    <w:tmpl w:val="A050BE3E"/>
    <w:lvl w:ilvl="0">
      <w:start w:val="14"/>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1773DA"/>
    <w:multiLevelType w:val="multilevel"/>
    <w:tmpl w:val="DD9E8A6A"/>
    <w:lvl w:ilvl="0">
      <w:start w:val="1"/>
      <w:numFmt w:val="decimal"/>
      <w:lvlText w:val="(%1)"/>
      <w:lvlJc w:val="left"/>
      <w:pPr>
        <w:tabs>
          <w:tab w:val="num" w:pos="702"/>
        </w:tabs>
        <w:ind w:left="702"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6422"/>
    <w:multiLevelType w:val="hybridMultilevel"/>
    <w:tmpl w:val="5A2018D8"/>
    <w:lvl w:ilvl="0" w:tplc="84EA9452">
      <w:start w:val="28"/>
      <w:numFmt w:val="upperLetter"/>
      <w:lvlText w:val="%1."/>
      <w:lvlJc w:val="left"/>
      <w:pPr>
        <w:tabs>
          <w:tab w:val="num" w:pos="780"/>
        </w:tabs>
        <w:ind w:left="780" w:hanging="390"/>
      </w:pPr>
      <w:rPr>
        <w:rFonts w:hint="default"/>
        <w:b w:val="0"/>
        <w:color w:val="00000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 w15:restartNumberingAfterBreak="0">
    <w:nsid w:val="0D0A6019"/>
    <w:multiLevelType w:val="multilevel"/>
    <w:tmpl w:val="9E9C6B32"/>
    <w:lvl w:ilvl="0">
      <w:start w:val="37"/>
      <w:numFmt w:val="upperLetter"/>
      <w:lvlText w:val="%1."/>
      <w:lvlJc w:val="left"/>
      <w:pPr>
        <w:tabs>
          <w:tab w:val="num" w:pos="672"/>
        </w:tabs>
        <w:ind w:left="672"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B92FC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0483F9B"/>
    <w:multiLevelType w:val="hybridMultilevel"/>
    <w:tmpl w:val="7868968E"/>
    <w:lvl w:ilvl="0" w:tplc="04CEC44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EE74B1"/>
    <w:multiLevelType w:val="hybridMultilevel"/>
    <w:tmpl w:val="DD9E8A6A"/>
    <w:lvl w:ilvl="0" w:tplc="3A4E2A5E">
      <w:start w:val="1"/>
      <w:numFmt w:val="decimal"/>
      <w:lvlText w:val="(%1)"/>
      <w:lvlJc w:val="left"/>
      <w:pPr>
        <w:tabs>
          <w:tab w:val="num" w:pos="702"/>
        </w:tabs>
        <w:ind w:left="702"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1F1360"/>
    <w:multiLevelType w:val="hybridMultilevel"/>
    <w:tmpl w:val="ACE8E744"/>
    <w:lvl w:ilvl="0" w:tplc="1F6859B4">
      <w:start w:val="37"/>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16777D24"/>
    <w:multiLevelType w:val="hybridMultilevel"/>
    <w:tmpl w:val="45E86C9E"/>
    <w:lvl w:ilvl="0" w:tplc="B3C084DA">
      <w:start w:val="38"/>
      <w:numFmt w:val="upperLetter"/>
      <w:lvlText w:val="%1."/>
      <w:lvlJc w:val="left"/>
      <w:pPr>
        <w:ind w:left="1098" w:hanging="360"/>
      </w:pPr>
      <w:rPr>
        <w:rFonts w:hint="default"/>
        <w:b/>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0" w15:restartNumberingAfterBreak="0">
    <w:nsid w:val="16905361"/>
    <w:multiLevelType w:val="hybridMultilevel"/>
    <w:tmpl w:val="08529186"/>
    <w:lvl w:ilvl="0" w:tplc="B6F69EB4">
      <w:start w:val="2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DB304F"/>
    <w:multiLevelType w:val="hybridMultilevel"/>
    <w:tmpl w:val="140EC24E"/>
    <w:lvl w:ilvl="0" w:tplc="E7B83D82">
      <w:start w:val="39"/>
      <w:numFmt w:val="upperLetter"/>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A6D51"/>
    <w:multiLevelType w:val="hybridMultilevel"/>
    <w:tmpl w:val="F670C6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B610AE"/>
    <w:multiLevelType w:val="multilevel"/>
    <w:tmpl w:val="96C44B1A"/>
    <w:lvl w:ilvl="0">
      <w:start w:val="1"/>
      <w:numFmt w:val="decimal"/>
      <w:lvlText w:val="%1."/>
      <w:lvlJc w:val="left"/>
      <w:pPr>
        <w:tabs>
          <w:tab w:val="num" w:pos="1062"/>
        </w:tabs>
        <w:ind w:left="1062" w:hanging="360"/>
      </w:pPr>
    </w:lvl>
    <w:lvl w:ilvl="1">
      <w:start w:val="1"/>
      <w:numFmt w:val="lowerLetter"/>
      <w:lvlText w:val="%2."/>
      <w:lvlJc w:val="left"/>
      <w:pPr>
        <w:tabs>
          <w:tab w:val="num" w:pos="1782"/>
        </w:tabs>
        <w:ind w:left="1782" w:hanging="360"/>
      </w:pPr>
    </w:lvl>
    <w:lvl w:ilvl="2">
      <w:start w:val="1"/>
      <w:numFmt w:val="lowerRoman"/>
      <w:lvlText w:val="%3."/>
      <w:lvlJc w:val="right"/>
      <w:pPr>
        <w:tabs>
          <w:tab w:val="num" w:pos="2502"/>
        </w:tabs>
        <w:ind w:left="2502" w:hanging="180"/>
      </w:pPr>
    </w:lvl>
    <w:lvl w:ilvl="3">
      <w:start w:val="1"/>
      <w:numFmt w:val="decimal"/>
      <w:lvlText w:val="%4."/>
      <w:lvlJc w:val="left"/>
      <w:pPr>
        <w:tabs>
          <w:tab w:val="num" w:pos="3222"/>
        </w:tabs>
        <w:ind w:left="3222" w:hanging="360"/>
      </w:pPr>
    </w:lvl>
    <w:lvl w:ilvl="4">
      <w:start w:val="1"/>
      <w:numFmt w:val="lowerLetter"/>
      <w:lvlText w:val="%5."/>
      <w:lvlJc w:val="left"/>
      <w:pPr>
        <w:tabs>
          <w:tab w:val="num" w:pos="3942"/>
        </w:tabs>
        <w:ind w:left="3942" w:hanging="360"/>
      </w:pPr>
    </w:lvl>
    <w:lvl w:ilvl="5">
      <w:start w:val="1"/>
      <w:numFmt w:val="lowerRoman"/>
      <w:lvlText w:val="%6."/>
      <w:lvlJc w:val="right"/>
      <w:pPr>
        <w:tabs>
          <w:tab w:val="num" w:pos="4662"/>
        </w:tabs>
        <w:ind w:left="4662" w:hanging="180"/>
      </w:pPr>
    </w:lvl>
    <w:lvl w:ilvl="6">
      <w:start w:val="1"/>
      <w:numFmt w:val="decimal"/>
      <w:lvlText w:val="%7."/>
      <w:lvlJc w:val="left"/>
      <w:pPr>
        <w:tabs>
          <w:tab w:val="num" w:pos="5382"/>
        </w:tabs>
        <w:ind w:left="5382" w:hanging="360"/>
      </w:pPr>
    </w:lvl>
    <w:lvl w:ilvl="7">
      <w:start w:val="1"/>
      <w:numFmt w:val="lowerLetter"/>
      <w:lvlText w:val="%8."/>
      <w:lvlJc w:val="left"/>
      <w:pPr>
        <w:tabs>
          <w:tab w:val="num" w:pos="6102"/>
        </w:tabs>
        <w:ind w:left="6102" w:hanging="360"/>
      </w:pPr>
    </w:lvl>
    <w:lvl w:ilvl="8">
      <w:start w:val="1"/>
      <w:numFmt w:val="lowerRoman"/>
      <w:lvlText w:val="%9."/>
      <w:lvlJc w:val="right"/>
      <w:pPr>
        <w:tabs>
          <w:tab w:val="num" w:pos="6822"/>
        </w:tabs>
        <w:ind w:left="6822" w:hanging="180"/>
      </w:pPr>
    </w:lvl>
  </w:abstractNum>
  <w:abstractNum w:abstractNumId="14" w15:restartNumberingAfterBreak="0">
    <w:nsid w:val="1E154B6D"/>
    <w:multiLevelType w:val="hybridMultilevel"/>
    <w:tmpl w:val="E59C28D4"/>
    <w:lvl w:ilvl="0" w:tplc="3D0EA680">
      <w:start w:val="39"/>
      <w:numFmt w:val="upperLetter"/>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5" w15:restartNumberingAfterBreak="0">
    <w:nsid w:val="21D47A4A"/>
    <w:multiLevelType w:val="hybridMultilevel"/>
    <w:tmpl w:val="3A145C4E"/>
    <w:lvl w:ilvl="0" w:tplc="4A644430">
      <w:start w:val="6"/>
      <w:numFmt w:val="upp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6" w15:restartNumberingAfterBreak="0">
    <w:nsid w:val="23DA0EF3"/>
    <w:multiLevelType w:val="multilevel"/>
    <w:tmpl w:val="32AC6B5C"/>
    <w:lvl w:ilvl="0">
      <w:start w:val="28"/>
      <w:numFmt w:val="upperLetter"/>
      <w:lvlText w:val="%1."/>
      <w:lvlJc w:val="left"/>
      <w:pPr>
        <w:tabs>
          <w:tab w:val="num" w:pos="1032"/>
        </w:tabs>
        <w:ind w:left="103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062E19"/>
    <w:multiLevelType w:val="hybridMultilevel"/>
    <w:tmpl w:val="48DC8700"/>
    <w:lvl w:ilvl="0" w:tplc="87FAF3C8">
      <w:start w:val="27"/>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8" w15:restartNumberingAfterBreak="0">
    <w:nsid w:val="25736A1D"/>
    <w:multiLevelType w:val="multilevel"/>
    <w:tmpl w:val="DD9E8A6A"/>
    <w:lvl w:ilvl="0">
      <w:start w:val="1"/>
      <w:numFmt w:val="decimal"/>
      <w:lvlText w:val="(%1)"/>
      <w:lvlJc w:val="left"/>
      <w:pPr>
        <w:tabs>
          <w:tab w:val="num" w:pos="702"/>
        </w:tabs>
        <w:ind w:left="702"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F05EE2"/>
    <w:multiLevelType w:val="singleLevel"/>
    <w:tmpl w:val="AF30304E"/>
    <w:lvl w:ilvl="0">
      <w:start w:val="1"/>
      <w:numFmt w:val="lowerLetter"/>
      <w:lvlText w:val="(%1)"/>
      <w:lvlJc w:val="left"/>
      <w:pPr>
        <w:tabs>
          <w:tab w:val="num" w:pos="1440"/>
        </w:tabs>
        <w:ind w:left="1440" w:hanging="360"/>
      </w:pPr>
      <w:rPr>
        <w:rFonts w:hint="default"/>
      </w:rPr>
    </w:lvl>
  </w:abstractNum>
  <w:abstractNum w:abstractNumId="20" w15:restartNumberingAfterBreak="0">
    <w:nsid w:val="2CF7475F"/>
    <w:multiLevelType w:val="hybridMultilevel"/>
    <w:tmpl w:val="B1AC908A"/>
    <w:lvl w:ilvl="0" w:tplc="A98617FE">
      <w:start w:val="40"/>
      <w:numFmt w:val="upperLetter"/>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1" w15:restartNumberingAfterBreak="0">
    <w:nsid w:val="2DB70A25"/>
    <w:multiLevelType w:val="hybridMultilevel"/>
    <w:tmpl w:val="F1DAD104"/>
    <w:lvl w:ilvl="0" w:tplc="B81A3288">
      <w:start w:val="1"/>
      <w:numFmt w:val="decimal"/>
      <w:lvlText w:val="(%1)"/>
      <w:lvlJc w:val="left"/>
      <w:pPr>
        <w:tabs>
          <w:tab w:val="num" w:pos="1080"/>
        </w:tabs>
        <w:ind w:left="1080" w:hanging="360"/>
      </w:pPr>
      <w:rPr>
        <w:rFonts w:hint="default"/>
      </w:rPr>
    </w:lvl>
    <w:lvl w:ilvl="1" w:tplc="0CAC6C7A">
      <w:start w:val="1"/>
      <w:numFmt w:val="decimal"/>
      <w:lvlText w:val="(%2)"/>
      <w:lvlJc w:val="left"/>
      <w:pPr>
        <w:tabs>
          <w:tab w:val="num" w:pos="1080"/>
        </w:tabs>
        <w:ind w:left="1080" w:hanging="360"/>
      </w:pPr>
      <w:rPr>
        <w:rFonts w:hint="default"/>
        <w:b w:val="0"/>
      </w:rPr>
    </w:lvl>
    <w:lvl w:ilvl="2" w:tplc="088EA910">
      <w:start w:val="40"/>
      <w:numFmt w:val="upperLetter"/>
      <w:lvlText w:val="%3."/>
      <w:lvlJc w:val="left"/>
      <w:pPr>
        <w:tabs>
          <w:tab w:val="num" w:pos="2730"/>
        </w:tabs>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A96B79"/>
    <w:multiLevelType w:val="hybridMultilevel"/>
    <w:tmpl w:val="B7DAD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E43387"/>
    <w:multiLevelType w:val="singleLevel"/>
    <w:tmpl w:val="90B4B02A"/>
    <w:lvl w:ilvl="0">
      <w:start w:val="2"/>
      <w:numFmt w:val="upperLetter"/>
      <w:lvlText w:val="%1."/>
      <w:lvlJc w:val="left"/>
      <w:pPr>
        <w:tabs>
          <w:tab w:val="num" w:pos="720"/>
        </w:tabs>
        <w:ind w:left="720" w:hanging="360"/>
      </w:pPr>
      <w:rPr>
        <w:rFonts w:hint="default"/>
        <w:b/>
      </w:rPr>
    </w:lvl>
  </w:abstractNum>
  <w:abstractNum w:abstractNumId="24" w15:restartNumberingAfterBreak="0">
    <w:nsid w:val="37E21176"/>
    <w:multiLevelType w:val="multilevel"/>
    <w:tmpl w:val="32AC6B5C"/>
    <w:lvl w:ilvl="0">
      <w:start w:val="28"/>
      <w:numFmt w:val="upperLetter"/>
      <w:lvlText w:val="%1."/>
      <w:lvlJc w:val="left"/>
      <w:pPr>
        <w:tabs>
          <w:tab w:val="num" w:pos="1032"/>
        </w:tabs>
        <w:ind w:left="103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7F26FFB"/>
    <w:multiLevelType w:val="multilevel"/>
    <w:tmpl w:val="BB42769A"/>
    <w:lvl w:ilvl="0">
      <w:start w:val="39"/>
      <w:numFmt w:val="upperLetter"/>
      <w:lvlText w:val="%1."/>
      <w:lvlJc w:val="left"/>
      <w:pPr>
        <w:tabs>
          <w:tab w:val="num" w:pos="672"/>
        </w:tabs>
        <w:ind w:left="672"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2466A3"/>
    <w:multiLevelType w:val="singleLevel"/>
    <w:tmpl w:val="A5342552"/>
    <w:lvl w:ilvl="0">
      <w:start w:val="1"/>
      <w:numFmt w:val="decimal"/>
      <w:lvlText w:val="(%1)"/>
      <w:lvlJc w:val="left"/>
      <w:pPr>
        <w:tabs>
          <w:tab w:val="num" w:pos="1080"/>
        </w:tabs>
        <w:ind w:left="1080" w:hanging="360"/>
      </w:pPr>
      <w:rPr>
        <w:rFonts w:hint="default"/>
      </w:rPr>
    </w:lvl>
  </w:abstractNum>
  <w:abstractNum w:abstractNumId="27" w15:restartNumberingAfterBreak="0">
    <w:nsid w:val="3CF42F6E"/>
    <w:multiLevelType w:val="multilevel"/>
    <w:tmpl w:val="BB42769A"/>
    <w:lvl w:ilvl="0">
      <w:start w:val="39"/>
      <w:numFmt w:val="upperLetter"/>
      <w:lvlText w:val="%1."/>
      <w:lvlJc w:val="left"/>
      <w:pPr>
        <w:tabs>
          <w:tab w:val="num" w:pos="672"/>
        </w:tabs>
        <w:ind w:left="672"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F1D7DCC"/>
    <w:multiLevelType w:val="hybridMultilevel"/>
    <w:tmpl w:val="D4B83386"/>
    <w:lvl w:ilvl="0" w:tplc="088EA910">
      <w:start w:val="40"/>
      <w:numFmt w:val="upperLetter"/>
      <w:lvlText w:val="%1."/>
      <w:lvlJc w:val="left"/>
      <w:pPr>
        <w:tabs>
          <w:tab w:val="num" w:pos="990"/>
        </w:tabs>
        <w:ind w:left="990" w:hanging="360"/>
      </w:pPr>
      <w:rPr>
        <w:rFonts w:hint="default"/>
        <w:b/>
      </w:r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29" w15:restartNumberingAfterBreak="0">
    <w:nsid w:val="40C90DFF"/>
    <w:multiLevelType w:val="singleLevel"/>
    <w:tmpl w:val="624453BC"/>
    <w:lvl w:ilvl="0">
      <w:start w:val="2"/>
      <w:numFmt w:val="decimal"/>
      <w:lvlText w:val="(%1)"/>
      <w:lvlJc w:val="left"/>
      <w:pPr>
        <w:tabs>
          <w:tab w:val="num" w:pos="1080"/>
        </w:tabs>
        <w:ind w:left="1080" w:hanging="360"/>
      </w:pPr>
      <w:rPr>
        <w:rFonts w:hint="default"/>
      </w:rPr>
    </w:lvl>
  </w:abstractNum>
  <w:abstractNum w:abstractNumId="30" w15:restartNumberingAfterBreak="0">
    <w:nsid w:val="41AC23B2"/>
    <w:multiLevelType w:val="hybridMultilevel"/>
    <w:tmpl w:val="4FF25276"/>
    <w:lvl w:ilvl="0" w:tplc="E876BACA">
      <w:start w:val="39"/>
      <w:numFmt w:val="upperLetter"/>
      <w:lvlText w:val="%1."/>
      <w:lvlJc w:val="left"/>
      <w:pPr>
        <w:ind w:left="6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D902D8"/>
    <w:multiLevelType w:val="multilevel"/>
    <w:tmpl w:val="72BCFD9A"/>
    <w:lvl w:ilvl="0">
      <w:start w:val="35"/>
      <w:numFmt w:val="upperLetter"/>
      <w:lvlText w:val="(%1)"/>
      <w:lvlJc w:val="left"/>
      <w:pPr>
        <w:tabs>
          <w:tab w:val="num" w:pos="702"/>
        </w:tabs>
        <w:ind w:left="702" w:hanging="3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435AE7"/>
    <w:multiLevelType w:val="hybridMultilevel"/>
    <w:tmpl w:val="AFC0FBD6"/>
    <w:lvl w:ilvl="0" w:tplc="5664A68A">
      <w:start w:val="2"/>
      <w:numFmt w:val="upperRoman"/>
      <w:lvlText w:val="%1."/>
      <w:lvlJc w:val="left"/>
      <w:pPr>
        <w:tabs>
          <w:tab w:val="num" w:pos="1110"/>
        </w:tabs>
        <w:ind w:left="1110" w:hanging="720"/>
      </w:pPr>
      <w:rPr>
        <w:rFonts w:hint="default"/>
        <w:b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3" w15:restartNumberingAfterBreak="0">
    <w:nsid w:val="51980D37"/>
    <w:multiLevelType w:val="hybridMultilevel"/>
    <w:tmpl w:val="E59C28D4"/>
    <w:lvl w:ilvl="0" w:tplc="3D0EA680">
      <w:start w:val="39"/>
      <w:numFmt w:val="upperLetter"/>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34" w15:restartNumberingAfterBreak="0">
    <w:nsid w:val="53F80A1A"/>
    <w:multiLevelType w:val="hybridMultilevel"/>
    <w:tmpl w:val="563E23A2"/>
    <w:lvl w:ilvl="0" w:tplc="A490CA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B86279"/>
    <w:multiLevelType w:val="multilevel"/>
    <w:tmpl w:val="32AC6B5C"/>
    <w:lvl w:ilvl="0">
      <w:start w:val="28"/>
      <w:numFmt w:val="upperLetter"/>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84230B0"/>
    <w:multiLevelType w:val="hybridMultilevel"/>
    <w:tmpl w:val="32AC6B5C"/>
    <w:lvl w:ilvl="0" w:tplc="241A584C">
      <w:start w:val="28"/>
      <w:numFmt w:val="upperLetter"/>
      <w:lvlText w:val="%1."/>
      <w:lvlJc w:val="left"/>
      <w:pPr>
        <w:tabs>
          <w:tab w:val="num" w:pos="672"/>
        </w:tabs>
        <w:ind w:left="6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427C4B"/>
    <w:multiLevelType w:val="multilevel"/>
    <w:tmpl w:val="48DC8700"/>
    <w:lvl w:ilvl="0">
      <w:start w:val="27"/>
      <w:numFmt w:val="upp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0"/>
        </w:tabs>
        <w:ind w:left="0" w:hanging="360"/>
      </w:pPr>
    </w:lvl>
    <w:lvl w:ilvl="4">
      <w:start w:val="1"/>
      <w:numFmt w:val="lowerLetter"/>
      <w:lvlText w:val="%5."/>
      <w:lvlJc w:val="left"/>
      <w:pPr>
        <w:tabs>
          <w:tab w:val="num" w:pos="720"/>
        </w:tabs>
        <w:ind w:left="720" w:hanging="360"/>
      </w:pPr>
    </w:lvl>
    <w:lvl w:ilvl="5">
      <w:start w:val="1"/>
      <w:numFmt w:val="lowerRoman"/>
      <w:lvlText w:val="%6."/>
      <w:lvlJc w:val="right"/>
      <w:pPr>
        <w:tabs>
          <w:tab w:val="num" w:pos="1440"/>
        </w:tabs>
        <w:ind w:left="144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880"/>
        </w:tabs>
        <w:ind w:left="2880" w:hanging="360"/>
      </w:pPr>
    </w:lvl>
    <w:lvl w:ilvl="8">
      <w:start w:val="1"/>
      <w:numFmt w:val="lowerRoman"/>
      <w:lvlText w:val="%9."/>
      <w:lvlJc w:val="right"/>
      <w:pPr>
        <w:tabs>
          <w:tab w:val="num" w:pos="3600"/>
        </w:tabs>
        <w:ind w:left="3600" w:hanging="180"/>
      </w:pPr>
    </w:lvl>
  </w:abstractNum>
  <w:abstractNum w:abstractNumId="38" w15:restartNumberingAfterBreak="0">
    <w:nsid w:val="614E480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1D042F4"/>
    <w:multiLevelType w:val="singleLevel"/>
    <w:tmpl w:val="BA583BFC"/>
    <w:lvl w:ilvl="0">
      <w:start w:val="3"/>
      <w:numFmt w:val="upperLetter"/>
      <w:lvlText w:val="%1."/>
      <w:lvlJc w:val="left"/>
      <w:pPr>
        <w:tabs>
          <w:tab w:val="num" w:pos="720"/>
        </w:tabs>
        <w:ind w:left="720" w:hanging="360"/>
      </w:pPr>
      <w:rPr>
        <w:rFonts w:hint="default"/>
        <w:b/>
      </w:rPr>
    </w:lvl>
  </w:abstractNum>
  <w:abstractNum w:abstractNumId="40" w15:restartNumberingAfterBreak="0">
    <w:nsid w:val="62470127"/>
    <w:multiLevelType w:val="hybridMultilevel"/>
    <w:tmpl w:val="A7F0252C"/>
    <w:lvl w:ilvl="0" w:tplc="476EBC6A">
      <w:start w:val="2"/>
      <w:numFmt w:val="lowerLetter"/>
      <w:lvlText w:val="(%1)"/>
      <w:lvlJc w:val="left"/>
      <w:pPr>
        <w:tabs>
          <w:tab w:val="num" w:pos="1452"/>
        </w:tabs>
        <w:ind w:left="1452" w:hanging="360"/>
      </w:pPr>
      <w:rPr>
        <w:rFonts w:hint="default"/>
      </w:r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abstractNum w:abstractNumId="41" w15:restartNumberingAfterBreak="0">
    <w:nsid w:val="64FD1253"/>
    <w:multiLevelType w:val="multilevel"/>
    <w:tmpl w:val="5A2018D8"/>
    <w:lvl w:ilvl="0">
      <w:start w:val="28"/>
      <w:numFmt w:val="upperLetter"/>
      <w:lvlText w:val="%1."/>
      <w:lvlJc w:val="left"/>
      <w:pPr>
        <w:tabs>
          <w:tab w:val="num" w:pos="780"/>
        </w:tabs>
        <w:ind w:left="780" w:hanging="390"/>
      </w:pPr>
      <w:rPr>
        <w:rFonts w:hint="default"/>
        <w:b w:val="0"/>
        <w:color w:val="000000"/>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42" w15:restartNumberingAfterBreak="0">
    <w:nsid w:val="650F310B"/>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A494B35"/>
    <w:multiLevelType w:val="multilevel"/>
    <w:tmpl w:val="32AC6B5C"/>
    <w:lvl w:ilvl="0">
      <w:start w:val="28"/>
      <w:numFmt w:val="upperLetter"/>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C861AC8"/>
    <w:multiLevelType w:val="multilevel"/>
    <w:tmpl w:val="F670C64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CA53EC8"/>
    <w:multiLevelType w:val="hybridMultilevel"/>
    <w:tmpl w:val="FA402EC0"/>
    <w:lvl w:ilvl="0" w:tplc="088EA910">
      <w:start w:val="4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657119"/>
    <w:multiLevelType w:val="multilevel"/>
    <w:tmpl w:val="32AC6B5C"/>
    <w:lvl w:ilvl="0">
      <w:start w:val="28"/>
      <w:numFmt w:val="upperLetter"/>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4193020"/>
    <w:multiLevelType w:val="singleLevel"/>
    <w:tmpl w:val="BB620DFE"/>
    <w:lvl w:ilvl="0">
      <w:start w:val="1"/>
      <w:numFmt w:val="upperLetter"/>
      <w:lvlText w:val="%1."/>
      <w:lvlJc w:val="left"/>
      <w:pPr>
        <w:tabs>
          <w:tab w:val="num" w:pos="720"/>
        </w:tabs>
        <w:ind w:left="720" w:hanging="360"/>
      </w:pPr>
      <w:rPr>
        <w:rFonts w:hint="default"/>
        <w:b/>
      </w:rPr>
    </w:lvl>
  </w:abstractNum>
  <w:abstractNum w:abstractNumId="48" w15:restartNumberingAfterBreak="0">
    <w:nsid w:val="772A5DD7"/>
    <w:multiLevelType w:val="singleLevel"/>
    <w:tmpl w:val="136ECFD4"/>
    <w:lvl w:ilvl="0">
      <w:start w:val="1"/>
      <w:numFmt w:val="upperLetter"/>
      <w:lvlText w:val="%1."/>
      <w:lvlJc w:val="left"/>
      <w:pPr>
        <w:tabs>
          <w:tab w:val="num" w:pos="720"/>
        </w:tabs>
        <w:ind w:left="720" w:hanging="360"/>
      </w:pPr>
      <w:rPr>
        <w:rFonts w:hint="default"/>
        <w:b/>
      </w:rPr>
    </w:lvl>
  </w:abstractNum>
  <w:abstractNum w:abstractNumId="49" w15:restartNumberingAfterBreak="0">
    <w:nsid w:val="79963A29"/>
    <w:multiLevelType w:val="singleLevel"/>
    <w:tmpl w:val="93AA6B58"/>
    <w:lvl w:ilvl="0">
      <w:start w:val="1"/>
      <w:numFmt w:val="upperLetter"/>
      <w:lvlText w:val="%1."/>
      <w:lvlJc w:val="left"/>
      <w:pPr>
        <w:tabs>
          <w:tab w:val="num" w:pos="720"/>
        </w:tabs>
        <w:ind w:left="720" w:hanging="360"/>
      </w:pPr>
      <w:rPr>
        <w:b/>
      </w:rPr>
    </w:lvl>
  </w:abstractNum>
  <w:abstractNum w:abstractNumId="50" w15:restartNumberingAfterBreak="0">
    <w:nsid w:val="79DD6145"/>
    <w:multiLevelType w:val="hybridMultilevel"/>
    <w:tmpl w:val="DABE4592"/>
    <w:lvl w:ilvl="0" w:tplc="87FAF3C8">
      <w:start w:val="27"/>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F4C4ADF"/>
    <w:multiLevelType w:val="hybridMultilevel"/>
    <w:tmpl w:val="732CEF8E"/>
    <w:lvl w:ilvl="0" w:tplc="F3CA42AE">
      <w:start w:val="4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5125537">
    <w:abstractNumId w:val="5"/>
  </w:num>
  <w:num w:numId="2" w16cid:durableId="2061662961">
    <w:abstractNumId w:val="47"/>
  </w:num>
  <w:num w:numId="3" w16cid:durableId="1416050772">
    <w:abstractNumId w:val="23"/>
  </w:num>
  <w:num w:numId="4" w16cid:durableId="804202974">
    <w:abstractNumId w:val="26"/>
  </w:num>
  <w:num w:numId="5" w16cid:durableId="1524244728">
    <w:abstractNumId w:val="48"/>
  </w:num>
  <w:num w:numId="6" w16cid:durableId="216285558">
    <w:abstractNumId w:val="1"/>
  </w:num>
  <w:num w:numId="7" w16cid:durableId="425155847">
    <w:abstractNumId w:val="29"/>
  </w:num>
  <w:num w:numId="8" w16cid:durableId="223489649">
    <w:abstractNumId w:val="42"/>
  </w:num>
  <w:num w:numId="9" w16cid:durableId="1410925527">
    <w:abstractNumId w:val="39"/>
  </w:num>
  <w:num w:numId="10" w16cid:durableId="226455291">
    <w:abstractNumId w:val="19"/>
  </w:num>
  <w:num w:numId="11" w16cid:durableId="1942175781">
    <w:abstractNumId w:val="49"/>
  </w:num>
  <w:num w:numId="12" w16cid:durableId="100492412">
    <w:abstractNumId w:val="0"/>
  </w:num>
  <w:num w:numId="13" w16cid:durableId="1200783044">
    <w:abstractNumId w:val="12"/>
  </w:num>
  <w:num w:numId="14" w16cid:durableId="1876430614">
    <w:abstractNumId w:val="44"/>
  </w:num>
  <w:num w:numId="15" w16cid:durableId="2036609887">
    <w:abstractNumId w:val="10"/>
  </w:num>
  <w:num w:numId="16" w16cid:durableId="2066634658">
    <w:abstractNumId w:val="50"/>
  </w:num>
  <w:num w:numId="17" w16cid:durableId="998460307">
    <w:abstractNumId w:val="17"/>
  </w:num>
  <w:num w:numId="18" w16cid:durableId="81610141">
    <w:abstractNumId w:val="37"/>
  </w:num>
  <w:num w:numId="19" w16cid:durableId="1579748321">
    <w:abstractNumId w:val="6"/>
  </w:num>
  <w:num w:numId="20" w16cid:durableId="1922905872">
    <w:abstractNumId w:val="38"/>
  </w:num>
  <w:num w:numId="21" w16cid:durableId="825511248">
    <w:abstractNumId w:val="15"/>
  </w:num>
  <w:num w:numId="22" w16cid:durableId="905073955">
    <w:abstractNumId w:val="13"/>
  </w:num>
  <w:num w:numId="23" w16cid:durableId="1990279595">
    <w:abstractNumId w:val="34"/>
  </w:num>
  <w:num w:numId="24" w16cid:durableId="251545090">
    <w:abstractNumId w:val="22"/>
  </w:num>
  <w:num w:numId="25" w16cid:durableId="1943490689">
    <w:abstractNumId w:val="21"/>
  </w:num>
  <w:num w:numId="26" w16cid:durableId="421805710">
    <w:abstractNumId w:val="20"/>
  </w:num>
  <w:num w:numId="27" w16cid:durableId="104422513">
    <w:abstractNumId w:val="40"/>
  </w:num>
  <w:num w:numId="28" w16cid:durableId="338234740">
    <w:abstractNumId w:val="3"/>
  </w:num>
  <w:num w:numId="29" w16cid:durableId="1328169283">
    <w:abstractNumId w:val="36"/>
  </w:num>
  <w:num w:numId="30" w16cid:durableId="1935744331">
    <w:abstractNumId w:val="41"/>
  </w:num>
  <w:num w:numId="31" w16cid:durableId="228730253">
    <w:abstractNumId w:val="32"/>
  </w:num>
  <w:num w:numId="32" w16cid:durableId="1458989118">
    <w:abstractNumId w:val="8"/>
  </w:num>
  <w:num w:numId="33" w16cid:durableId="1600605630">
    <w:abstractNumId w:val="24"/>
  </w:num>
  <w:num w:numId="34" w16cid:durableId="1136291447">
    <w:abstractNumId w:val="16"/>
  </w:num>
  <w:num w:numId="35" w16cid:durableId="318001571">
    <w:abstractNumId w:val="43"/>
  </w:num>
  <w:num w:numId="36" w16cid:durableId="381950025">
    <w:abstractNumId w:val="46"/>
  </w:num>
  <w:num w:numId="37" w16cid:durableId="1880630503">
    <w:abstractNumId w:val="7"/>
  </w:num>
  <w:num w:numId="38" w16cid:durableId="1717851214">
    <w:abstractNumId w:val="18"/>
  </w:num>
  <w:num w:numId="39" w16cid:durableId="2119595008">
    <w:abstractNumId w:val="2"/>
  </w:num>
  <w:num w:numId="40" w16cid:durableId="1687633569">
    <w:abstractNumId w:val="28"/>
  </w:num>
  <w:num w:numId="41" w16cid:durableId="1547449859">
    <w:abstractNumId w:val="35"/>
  </w:num>
  <w:num w:numId="42" w16cid:durableId="1431589169">
    <w:abstractNumId w:val="31"/>
  </w:num>
  <w:num w:numId="43" w16cid:durableId="2107261659">
    <w:abstractNumId w:val="4"/>
  </w:num>
  <w:num w:numId="44" w16cid:durableId="300696636">
    <w:abstractNumId w:val="27"/>
  </w:num>
  <w:num w:numId="45" w16cid:durableId="1711953795">
    <w:abstractNumId w:val="25"/>
  </w:num>
  <w:num w:numId="46" w16cid:durableId="328213057">
    <w:abstractNumId w:val="33"/>
  </w:num>
  <w:num w:numId="47" w16cid:durableId="1531916264">
    <w:abstractNumId w:val="14"/>
  </w:num>
  <w:num w:numId="48" w16cid:durableId="420610173">
    <w:abstractNumId w:val="51"/>
  </w:num>
  <w:num w:numId="49" w16cid:durableId="1979604538">
    <w:abstractNumId w:val="45"/>
  </w:num>
  <w:num w:numId="50" w16cid:durableId="496578020">
    <w:abstractNumId w:val="30"/>
  </w:num>
  <w:num w:numId="51" w16cid:durableId="848566586">
    <w:abstractNumId w:val="11"/>
  </w:num>
  <w:num w:numId="52" w16cid:durableId="8711621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EB"/>
    <w:rsid w:val="00002CA4"/>
    <w:rsid w:val="00006603"/>
    <w:rsid w:val="000067D0"/>
    <w:rsid w:val="000121F7"/>
    <w:rsid w:val="00012CF1"/>
    <w:rsid w:val="00014236"/>
    <w:rsid w:val="00014DB7"/>
    <w:rsid w:val="000166B9"/>
    <w:rsid w:val="000328CE"/>
    <w:rsid w:val="00032F7C"/>
    <w:rsid w:val="0004267A"/>
    <w:rsid w:val="00042CA4"/>
    <w:rsid w:val="0004596D"/>
    <w:rsid w:val="00045FC6"/>
    <w:rsid w:val="00050490"/>
    <w:rsid w:val="00050794"/>
    <w:rsid w:val="000528F8"/>
    <w:rsid w:val="000536E4"/>
    <w:rsid w:val="0007039C"/>
    <w:rsid w:val="000707E3"/>
    <w:rsid w:val="00072317"/>
    <w:rsid w:val="0007534D"/>
    <w:rsid w:val="00081D6B"/>
    <w:rsid w:val="00083D88"/>
    <w:rsid w:val="00084C33"/>
    <w:rsid w:val="00093E11"/>
    <w:rsid w:val="000A2043"/>
    <w:rsid w:val="000A4157"/>
    <w:rsid w:val="000B25BD"/>
    <w:rsid w:val="000B41E5"/>
    <w:rsid w:val="000C1F7C"/>
    <w:rsid w:val="000D1E9A"/>
    <w:rsid w:val="000D2553"/>
    <w:rsid w:val="000D2DD1"/>
    <w:rsid w:val="000D3703"/>
    <w:rsid w:val="000E0550"/>
    <w:rsid w:val="000E2827"/>
    <w:rsid w:val="000E5917"/>
    <w:rsid w:val="000F600C"/>
    <w:rsid w:val="00100B31"/>
    <w:rsid w:val="001033EF"/>
    <w:rsid w:val="00105B82"/>
    <w:rsid w:val="00107116"/>
    <w:rsid w:val="00120F4F"/>
    <w:rsid w:val="001225FA"/>
    <w:rsid w:val="00124706"/>
    <w:rsid w:val="00130D4C"/>
    <w:rsid w:val="001317AB"/>
    <w:rsid w:val="001324D5"/>
    <w:rsid w:val="0013551E"/>
    <w:rsid w:val="00135B0B"/>
    <w:rsid w:val="0014393A"/>
    <w:rsid w:val="001467CA"/>
    <w:rsid w:val="00146C07"/>
    <w:rsid w:val="001526C6"/>
    <w:rsid w:val="00157FFD"/>
    <w:rsid w:val="00160BC6"/>
    <w:rsid w:val="00162669"/>
    <w:rsid w:val="00166424"/>
    <w:rsid w:val="00173AF9"/>
    <w:rsid w:val="001816AB"/>
    <w:rsid w:val="00181928"/>
    <w:rsid w:val="00183A83"/>
    <w:rsid w:val="00183BC3"/>
    <w:rsid w:val="00185328"/>
    <w:rsid w:val="0018782E"/>
    <w:rsid w:val="00190A1C"/>
    <w:rsid w:val="001A72D1"/>
    <w:rsid w:val="001B07BC"/>
    <w:rsid w:val="001B6ECC"/>
    <w:rsid w:val="001C1538"/>
    <w:rsid w:val="001D3AD6"/>
    <w:rsid w:val="001D569B"/>
    <w:rsid w:val="001E3D25"/>
    <w:rsid w:val="001E73C9"/>
    <w:rsid w:val="001F0C05"/>
    <w:rsid w:val="002019BE"/>
    <w:rsid w:val="00202041"/>
    <w:rsid w:val="002036A7"/>
    <w:rsid w:val="00213295"/>
    <w:rsid w:val="002148F3"/>
    <w:rsid w:val="00221774"/>
    <w:rsid w:val="00221E42"/>
    <w:rsid w:val="002244D7"/>
    <w:rsid w:val="00226803"/>
    <w:rsid w:val="00227A45"/>
    <w:rsid w:val="00233558"/>
    <w:rsid w:val="00236F2C"/>
    <w:rsid w:val="002413CD"/>
    <w:rsid w:val="00241D1F"/>
    <w:rsid w:val="0024205D"/>
    <w:rsid w:val="00245E7C"/>
    <w:rsid w:val="0025605A"/>
    <w:rsid w:val="00257874"/>
    <w:rsid w:val="00260879"/>
    <w:rsid w:val="0026203A"/>
    <w:rsid w:val="0026345E"/>
    <w:rsid w:val="0028134D"/>
    <w:rsid w:val="00286B04"/>
    <w:rsid w:val="00290B56"/>
    <w:rsid w:val="002910B9"/>
    <w:rsid w:val="002925FC"/>
    <w:rsid w:val="0029676C"/>
    <w:rsid w:val="002A4BB1"/>
    <w:rsid w:val="002A606A"/>
    <w:rsid w:val="002B20C8"/>
    <w:rsid w:val="002B429D"/>
    <w:rsid w:val="002C39C4"/>
    <w:rsid w:val="002D0002"/>
    <w:rsid w:val="002D3305"/>
    <w:rsid w:val="002D57A4"/>
    <w:rsid w:val="002D5E00"/>
    <w:rsid w:val="002E401F"/>
    <w:rsid w:val="002E41C1"/>
    <w:rsid w:val="002E4E86"/>
    <w:rsid w:val="002E6460"/>
    <w:rsid w:val="002F61E1"/>
    <w:rsid w:val="003014F7"/>
    <w:rsid w:val="00305EA4"/>
    <w:rsid w:val="003073E4"/>
    <w:rsid w:val="003131BE"/>
    <w:rsid w:val="00321260"/>
    <w:rsid w:val="003239B3"/>
    <w:rsid w:val="003244E4"/>
    <w:rsid w:val="00330C7C"/>
    <w:rsid w:val="00336E6D"/>
    <w:rsid w:val="00342465"/>
    <w:rsid w:val="00352787"/>
    <w:rsid w:val="00354E30"/>
    <w:rsid w:val="00355609"/>
    <w:rsid w:val="00355A4F"/>
    <w:rsid w:val="0036007D"/>
    <w:rsid w:val="00361135"/>
    <w:rsid w:val="00367625"/>
    <w:rsid w:val="0038334F"/>
    <w:rsid w:val="00383AE1"/>
    <w:rsid w:val="00387081"/>
    <w:rsid w:val="00392217"/>
    <w:rsid w:val="00393821"/>
    <w:rsid w:val="00397F9C"/>
    <w:rsid w:val="003A396E"/>
    <w:rsid w:val="003A5F54"/>
    <w:rsid w:val="003B3071"/>
    <w:rsid w:val="003B543F"/>
    <w:rsid w:val="003B6EEF"/>
    <w:rsid w:val="003C1566"/>
    <w:rsid w:val="003C32EB"/>
    <w:rsid w:val="003C4D3C"/>
    <w:rsid w:val="003C4E56"/>
    <w:rsid w:val="003D5281"/>
    <w:rsid w:val="003D567A"/>
    <w:rsid w:val="003E4CE8"/>
    <w:rsid w:val="003F4926"/>
    <w:rsid w:val="003F76F6"/>
    <w:rsid w:val="003F7D3A"/>
    <w:rsid w:val="0040673B"/>
    <w:rsid w:val="00411A0D"/>
    <w:rsid w:val="00411A55"/>
    <w:rsid w:val="00413B1D"/>
    <w:rsid w:val="00416A12"/>
    <w:rsid w:val="00417317"/>
    <w:rsid w:val="00423C56"/>
    <w:rsid w:val="00425ED4"/>
    <w:rsid w:val="004305B4"/>
    <w:rsid w:val="00430CF0"/>
    <w:rsid w:val="00432113"/>
    <w:rsid w:val="004329B2"/>
    <w:rsid w:val="004405F7"/>
    <w:rsid w:val="00442C0A"/>
    <w:rsid w:val="0044543E"/>
    <w:rsid w:val="00456267"/>
    <w:rsid w:val="004566B1"/>
    <w:rsid w:val="0047047C"/>
    <w:rsid w:val="00471B31"/>
    <w:rsid w:val="0047520E"/>
    <w:rsid w:val="00475A20"/>
    <w:rsid w:val="004829F3"/>
    <w:rsid w:val="00491F4C"/>
    <w:rsid w:val="00492A19"/>
    <w:rsid w:val="00494FFA"/>
    <w:rsid w:val="004A385B"/>
    <w:rsid w:val="004A5FC0"/>
    <w:rsid w:val="004B22E3"/>
    <w:rsid w:val="004B517D"/>
    <w:rsid w:val="004B6BF4"/>
    <w:rsid w:val="004B7963"/>
    <w:rsid w:val="004C17FD"/>
    <w:rsid w:val="004C2DFC"/>
    <w:rsid w:val="004C7DC9"/>
    <w:rsid w:val="004D0AF0"/>
    <w:rsid w:val="004D1525"/>
    <w:rsid w:val="004E05C6"/>
    <w:rsid w:val="004E3126"/>
    <w:rsid w:val="004F291E"/>
    <w:rsid w:val="004F59DA"/>
    <w:rsid w:val="004F79E7"/>
    <w:rsid w:val="00500318"/>
    <w:rsid w:val="00512FE8"/>
    <w:rsid w:val="005161DD"/>
    <w:rsid w:val="005162B3"/>
    <w:rsid w:val="00523F16"/>
    <w:rsid w:val="00524AD4"/>
    <w:rsid w:val="005376ED"/>
    <w:rsid w:val="00542BC7"/>
    <w:rsid w:val="00546F6B"/>
    <w:rsid w:val="00547AD6"/>
    <w:rsid w:val="005511BC"/>
    <w:rsid w:val="005526C0"/>
    <w:rsid w:val="005551F7"/>
    <w:rsid w:val="00556CD9"/>
    <w:rsid w:val="0055763F"/>
    <w:rsid w:val="00562CE7"/>
    <w:rsid w:val="005738A7"/>
    <w:rsid w:val="005744A6"/>
    <w:rsid w:val="00574F21"/>
    <w:rsid w:val="005758EB"/>
    <w:rsid w:val="005777A3"/>
    <w:rsid w:val="00583FC9"/>
    <w:rsid w:val="00595D01"/>
    <w:rsid w:val="00596689"/>
    <w:rsid w:val="00597ECF"/>
    <w:rsid w:val="005A1F1B"/>
    <w:rsid w:val="005A2046"/>
    <w:rsid w:val="005A32DC"/>
    <w:rsid w:val="005A6490"/>
    <w:rsid w:val="005B12EB"/>
    <w:rsid w:val="005B1FFC"/>
    <w:rsid w:val="005B3572"/>
    <w:rsid w:val="005B440F"/>
    <w:rsid w:val="005B46A1"/>
    <w:rsid w:val="005C64E2"/>
    <w:rsid w:val="005D20B4"/>
    <w:rsid w:val="005D39D8"/>
    <w:rsid w:val="005D6375"/>
    <w:rsid w:val="005E041B"/>
    <w:rsid w:val="005E04D0"/>
    <w:rsid w:val="005E4095"/>
    <w:rsid w:val="005E522F"/>
    <w:rsid w:val="005F0005"/>
    <w:rsid w:val="005F68F9"/>
    <w:rsid w:val="005F6B59"/>
    <w:rsid w:val="005F6D74"/>
    <w:rsid w:val="005F76B3"/>
    <w:rsid w:val="005F7B88"/>
    <w:rsid w:val="00604DD5"/>
    <w:rsid w:val="00605E08"/>
    <w:rsid w:val="0060645C"/>
    <w:rsid w:val="00615A8D"/>
    <w:rsid w:val="00616CA2"/>
    <w:rsid w:val="0062478D"/>
    <w:rsid w:val="006253B9"/>
    <w:rsid w:val="0063289A"/>
    <w:rsid w:val="00633351"/>
    <w:rsid w:val="00634133"/>
    <w:rsid w:val="00636DA3"/>
    <w:rsid w:val="00654621"/>
    <w:rsid w:val="00656A3E"/>
    <w:rsid w:val="00657C31"/>
    <w:rsid w:val="00660E07"/>
    <w:rsid w:val="00673263"/>
    <w:rsid w:val="006802B0"/>
    <w:rsid w:val="00681AE8"/>
    <w:rsid w:val="00684CDF"/>
    <w:rsid w:val="006911F7"/>
    <w:rsid w:val="0069253C"/>
    <w:rsid w:val="00692730"/>
    <w:rsid w:val="006951A4"/>
    <w:rsid w:val="006A03CF"/>
    <w:rsid w:val="006A1EDE"/>
    <w:rsid w:val="006B0408"/>
    <w:rsid w:val="006B22FE"/>
    <w:rsid w:val="006B3239"/>
    <w:rsid w:val="006B366A"/>
    <w:rsid w:val="006B41D8"/>
    <w:rsid w:val="006D2091"/>
    <w:rsid w:val="006D2F11"/>
    <w:rsid w:val="006D79C7"/>
    <w:rsid w:val="006E043A"/>
    <w:rsid w:val="006E4BBA"/>
    <w:rsid w:val="006E6368"/>
    <w:rsid w:val="006E7CAE"/>
    <w:rsid w:val="006F7AE9"/>
    <w:rsid w:val="00710070"/>
    <w:rsid w:val="00713EAE"/>
    <w:rsid w:val="00714902"/>
    <w:rsid w:val="00717A6B"/>
    <w:rsid w:val="00724C79"/>
    <w:rsid w:val="007351C1"/>
    <w:rsid w:val="0073620D"/>
    <w:rsid w:val="00737E93"/>
    <w:rsid w:val="007409CC"/>
    <w:rsid w:val="007413D5"/>
    <w:rsid w:val="00744BB9"/>
    <w:rsid w:val="00747E11"/>
    <w:rsid w:val="00755BB3"/>
    <w:rsid w:val="00756B5D"/>
    <w:rsid w:val="00756E83"/>
    <w:rsid w:val="00771F9A"/>
    <w:rsid w:val="0077596B"/>
    <w:rsid w:val="007763A6"/>
    <w:rsid w:val="00785FEB"/>
    <w:rsid w:val="00787241"/>
    <w:rsid w:val="007905EF"/>
    <w:rsid w:val="00790D26"/>
    <w:rsid w:val="007A0BE8"/>
    <w:rsid w:val="007A5E83"/>
    <w:rsid w:val="007B0946"/>
    <w:rsid w:val="007B3A26"/>
    <w:rsid w:val="007B4FF0"/>
    <w:rsid w:val="007C00DA"/>
    <w:rsid w:val="007C117F"/>
    <w:rsid w:val="007C220B"/>
    <w:rsid w:val="007C7BA1"/>
    <w:rsid w:val="007D5D14"/>
    <w:rsid w:val="007D7288"/>
    <w:rsid w:val="007D7C12"/>
    <w:rsid w:val="007E0628"/>
    <w:rsid w:val="007E261A"/>
    <w:rsid w:val="007E27EB"/>
    <w:rsid w:val="007E2D98"/>
    <w:rsid w:val="007E3397"/>
    <w:rsid w:val="007E4C83"/>
    <w:rsid w:val="007E7FE9"/>
    <w:rsid w:val="007F5F0F"/>
    <w:rsid w:val="00801BBA"/>
    <w:rsid w:val="00801E0F"/>
    <w:rsid w:val="00805383"/>
    <w:rsid w:val="00811AD5"/>
    <w:rsid w:val="008178E4"/>
    <w:rsid w:val="0082425E"/>
    <w:rsid w:val="00831E02"/>
    <w:rsid w:val="00834F81"/>
    <w:rsid w:val="00841A58"/>
    <w:rsid w:val="008446BB"/>
    <w:rsid w:val="00845700"/>
    <w:rsid w:val="008471CB"/>
    <w:rsid w:val="008536FB"/>
    <w:rsid w:val="00853DA8"/>
    <w:rsid w:val="008561B7"/>
    <w:rsid w:val="00861398"/>
    <w:rsid w:val="0086431A"/>
    <w:rsid w:val="00867CA2"/>
    <w:rsid w:val="00870D08"/>
    <w:rsid w:val="00872176"/>
    <w:rsid w:val="00874DD7"/>
    <w:rsid w:val="00875C3C"/>
    <w:rsid w:val="00881BD4"/>
    <w:rsid w:val="00883094"/>
    <w:rsid w:val="00884677"/>
    <w:rsid w:val="00890793"/>
    <w:rsid w:val="00891D85"/>
    <w:rsid w:val="008A07EF"/>
    <w:rsid w:val="008A22AE"/>
    <w:rsid w:val="008A6283"/>
    <w:rsid w:val="008A7A44"/>
    <w:rsid w:val="008B0EE4"/>
    <w:rsid w:val="008B4C9B"/>
    <w:rsid w:val="008B606A"/>
    <w:rsid w:val="008C29FC"/>
    <w:rsid w:val="008C4215"/>
    <w:rsid w:val="008C44BD"/>
    <w:rsid w:val="008D1543"/>
    <w:rsid w:val="008D1B5B"/>
    <w:rsid w:val="008D1BE1"/>
    <w:rsid w:val="008D3599"/>
    <w:rsid w:val="008D5F36"/>
    <w:rsid w:val="008D628B"/>
    <w:rsid w:val="008D654B"/>
    <w:rsid w:val="008E3390"/>
    <w:rsid w:val="008E6ACB"/>
    <w:rsid w:val="008E6D8A"/>
    <w:rsid w:val="008F4DEF"/>
    <w:rsid w:val="00906BE7"/>
    <w:rsid w:val="00906C38"/>
    <w:rsid w:val="00907543"/>
    <w:rsid w:val="00907ABB"/>
    <w:rsid w:val="00912A2C"/>
    <w:rsid w:val="00913969"/>
    <w:rsid w:val="009145D6"/>
    <w:rsid w:val="00924CC7"/>
    <w:rsid w:val="00926B9D"/>
    <w:rsid w:val="00943983"/>
    <w:rsid w:val="009470EC"/>
    <w:rsid w:val="00951BCE"/>
    <w:rsid w:val="00960017"/>
    <w:rsid w:val="00962338"/>
    <w:rsid w:val="009651D8"/>
    <w:rsid w:val="00965323"/>
    <w:rsid w:val="0096560C"/>
    <w:rsid w:val="009813E0"/>
    <w:rsid w:val="00982820"/>
    <w:rsid w:val="0098507A"/>
    <w:rsid w:val="009866EC"/>
    <w:rsid w:val="00987562"/>
    <w:rsid w:val="009879B6"/>
    <w:rsid w:val="0099101C"/>
    <w:rsid w:val="00991B33"/>
    <w:rsid w:val="00992E16"/>
    <w:rsid w:val="00995054"/>
    <w:rsid w:val="00997F65"/>
    <w:rsid w:val="009A34F6"/>
    <w:rsid w:val="009A36C0"/>
    <w:rsid w:val="009A5C09"/>
    <w:rsid w:val="009A5DF8"/>
    <w:rsid w:val="009B0655"/>
    <w:rsid w:val="009B27D0"/>
    <w:rsid w:val="009B2D08"/>
    <w:rsid w:val="009B4348"/>
    <w:rsid w:val="009C6BF1"/>
    <w:rsid w:val="009C7D74"/>
    <w:rsid w:val="009E0476"/>
    <w:rsid w:val="009E1963"/>
    <w:rsid w:val="009E4AED"/>
    <w:rsid w:val="009E5C68"/>
    <w:rsid w:val="009F171B"/>
    <w:rsid w:val="009F6311"/>
    <w:rsid w:val="009F650B"/>
    <w:rsid w:val="00A004B7"/>
    <w:rsid w:val="00A005FF"/>
    <w:rsid w:val="00A024CD"/>
    <w:rsid w:val="00A051B8"/>
    <w:rsid w:val="00A0664C"/>
    <w:rsid w:val="00A07527"/>
    <w:rsid w:val="00A103CD"/>
    <w:rsid w:val="00A142BA"/>
    <w:rsid w:val="00A15495"/>
    <w:rsid w:val="00A17E8E"/>
    <w:rsid w:val="00A23F37"/>
    <w:rsid w:val="00A24028"/>
    <w:rsid w:val="00A242A4"/>
    <w:rsid w:val="00A245E0"/>
    <w:rsid w:val="00A27394"/>
    <w:rsid w:val="00A33539"/>
    <w:rsid w:val="00A42FEB"/>
    <w:rsid w:val="00A43625"/>
    <w:rsid w:val="00A46A34"/>
    <w:rsid w:val="00A61B5B"/>
    <w:rsid w:val="00A622FF"/>
    <w:rsid w:val="00A63909"/>
    <w:rsid w:val="00A65E0C"/>
    <w:rsid w:val="00A70074"/>
    <w:rsid w:val="00A709F9"/>
    <w:rsid w:val="00A831B9"/>
    <w:rsid w:val="00A864B4"/>
    <w:rsid w:val="00A92BBB"/>
    <w:rsid w:val="00A947CC"/>
    <w:rsid w:val="00AA027C"/>
    <w:rsid w:val="00AA7995"/>
    <w:rsid w:val="00AB1B27"/>
    <w:rsid w:val="00AB2E03"/>
    <w:rsid w:val="00AC1163"/>
    <w:rsid w:val="00AC293D"/>
    <w:rsid w:val="00AC5642"/>
    <w:rsid w:val="00AC623F"/>
    <w:rsid w:val="00AC6694"/>
    <w:rsid w:val="00AD146B"/>
    <w:rsid w:val="00AD2A40"/>
    <w:rsid w:val="00AD2DEE"/>
    <w:rsid w:val="00AD71CE"/>
    <w:rsid w:val="00AE0065"/>
    <w:rsid w:val="00AE3B47"/>
    <w:rsid w:val="00AE7A1E"/>
    <w:rsid w:val="00AF2E41"/>
    <w:rsid w:val="00B005AF"/>
    <w:rsid w:val="00B00F42"/>
    <w:rsid w:val="00B02A57"/>
    <w:rsid w:val="00B05238"/>
    <w:rsid w:val="00B068FF"/>
    <w:rsid w:val="00B0745B"/>
    <w:rsid w:val="00B204CB"/>
    <w:rsid w:val="00B22D20"/>
    <w:rsid w:val="00B36B5E"/>
    <w:rsid w:val="00B3713A"/>
    <w:rsid w:val="00B3783F"/>
    <w:rsid w:val="00B43E85"/>
    <w:rsid w:val="00B46077"/>
    <w:rsid w:val="00B5455A"/>
    <w:rsid w:val="00B555C2"/>
    <w:rsid w:val="00B60443"/>
    <w:rsid w:val="00B65244"/>
    <w:rsid w:val="00B73ABF"/>
    <w:rsid w:val="00B82A80"/>
    <w:rsid w:val="00B82BBF"/>
    <w:rsid w:val="00B90055"/>
    <w:rsid w:val="00B95AD9"/>
    <w:rsid w:val="00B96F61"/>
    <w:rsid w:val="00BA3678"/>
    <w:rsid w:val="00BA37F4"/>
    <w:rsid w:val="00BA51DD"/>
    <w:rsid w:val="00BB01A1"/>
    <w:rsid w:val="00BB11AE"/>
    <w:rsid w:val="00BB1E4D"/>
    <w:rsid w:val="00BB332F"/>
    <w:rsid w:val="00BC0DF9"/>
    <w:rsid w:val="00BD0D16"/>
    <w:rsid w:val="00BD240D"/>
    <w:rsid w:val="00BE30B2"/>
    <w:rsid w:val="00BE5F70"/>
    <w:rsid w:val="00BE71D8"/>
    <w:rsid w:val="00BE73F3"/>
    <w:rsid w:val="00BF2A51"/>
    <w:rsid w:val="00BF3034"/>
    <w:rsid w:val="00C018B8"/>
    <w:rsid w:val="00C142C3"/>
    <w:rsid w:val="00C26972"/>
    <w:rsid w:val="00C27AAE"/>
    <w:rsid w:val="00C34E9C"/>
    <w:rsid w:val="00C353A8"/>
    <w:rsid w:val="00C43574"/>
    <w:rsid w:val="00C43F80"/>
    <w:rsid w:val="00C4495B"/>
    <w:rsid w:val="00C470D9"/>
    <w:rsid w:val="00C47E08"/>
    <w:rsid w:val="00C52A98"/>
    <w:rsid w:val="00C53892"/>
    <w:rsid w:val="00C553FF"/>
    <w:rsid w:val="00C55441"/>
    <w:rsid w:val="00C63690"/>
    <w:rsid w:val="00C70700"/>
    <w:rsid w:val="00C74DC1"/>
    <w:rsid w:val="00C827F7"/>
    <w:rsid w:val="00C91386"/>
    <w:rsid w:val="00C96E06"/>
    <w:rsid w:val="00CA0625"/>
    <w:rsid w:val="00CA45F3"/>
    <w:rsid w:val="00CA762E"/>
    <w:rsid w:val="00CB2991"/>
    <w:rsid w:val="00CB4D23"/>
    <w:rsid w:val="00CB68FE"/>
    <w:rsid w:val="00CC09FD"/>
    <w:rsid w:val="00CD3BDA"/>
    <w:rsid w:val="00CE2831"/>
    <w:rsid w:val="00CE436D"/>
    <w:rsid w:val="00CE6B2B"/>
    <w:rsid w:val="00CF2139"/>
    <w:rsid w:val="00CF2EC1"/>
    <w:rsid w:val="00CF5A01"/>
    <w:rsid w:val="00CF6976"/>
    <w:rsid w:val="00D07A8C"/>
    <w:rsid w:val="00D20689"/>
    <w:rsid w:val="00D22607"/>
    <w:rsid w:val="00D271EC"/>
    <w:rsid w:val="00D34202"/>
    <w:rsid w:val="00D36216"/>
    <w:rsid w:val="00D41FB9"/>
    <w:rsid w:val="00D43970"/>
    <w:rsid w:val="00D45E98"/>
    <w:rsid w:val="00D50E89"/>
    <w:rsid w:val="00D51F00"/>
    <w:rsid w:val="00D60B2F"/>
    <w:rsid w:val="00D71CCB"/>
    <w:rsid w:val="00D7213C"/>
    <w:rsid w:val="00D83352"/>
    <w:rsid w:val="00D909DB"/>
    <w:rsid w:val="00D93857"/>
    <w:rsid w:val="00DA32D7"/>
    <w:rsid w:val="00DB1B0D"/>
    <w:rsid w:val="00DB61ED"/>
    <w:rsid w:val="00DB6776"/>
    <w:rsid w:val="00DB67FD"/>
    <w:rsid w:val="00DC0A4B"/>
    <w:rsid w:val="00DC0E43"/>
    <w:rsid w:val="00DC374F"/>
    <w:rsid w:val="00DC55DB"/>
    <w:rsid w:val="00DD013C"/>
    <w:rsid w:val="00DD1374"/>
    <w:rsid w:val="00DD65FA"/>
    <w:rsid w:val="00DF1D13"/>
    <w:rsid w:val="00DF543D"/>
    <w:rsid w:val="00E049E8"/>
    <w:rsid w:val="00E06DBE"/>
    <w:rsid w:val="00E11316"/>
    <w:rsid w:val="00E12DDD"/>
    <w:rsid w:val="00E13E1B"/>
    <w:rsid w:val="00E2073C"/>
    <w:rsid w:val="00E3066D"/>
    <w:rsid w:val="00E31AC2"/>
    <w:rsid w:val="00E32034"/>
    <w:rsid w:val="00E4225F"/>
    <w:rsid w:val="00E44DA3"/>
    <w:rsid w:val="00E45722"/>
    <w:rsid w:val="00E476E4"/>
    <w:rsid w:val="00E50A78"/>
    <w:rsid w:val="00E51E46"/>
    <w:rsid w:val="00E53BDC"/>
    <w:rsid w:val="00E54B40"/>
    <w:rsid w:val="00E6111A"/>
    <w:rsid w:val="00E6214C"/>
    <w:rsid w:val="00E67D8E"/>
    <w:rsid w:val="00E7784D"/>
    <w:rsid w:val="00E818A3"/>
    <w:rsid w:val="00E91246"/>
    <w:rsid w:val="00E931C6"/>
    <w:rsid w:val="00E96FFF"/>
    <w:rsid w:val="00EA038F"/>
    <w:rsid w:val="00EA634D"/>
    <w:rsid w:val="00EB0415"/>
    <w:rsid w:val="00EB149D"/>
    <w:rsid w:val="00EB3EF4"/>
    <w:rsid w:val="00EB4E5C"/>
    <w:rsid w:val="00EB6789"/>
    <w:rsid w:val="00EC070C"/>
    <w:rsid w:val="00EC7E9D"/>
    <w:rsid w:val="00ED7AFC"/>
    <w:rsid w:val="00EE0894"/>
    <w:rsid w:val="00EE4328"/>
    <w:rsid w:val="00EF2A8F"/>
    <w:rsid w:val="00EF6A44"/>
    <w:rsid w:val="00F01F0B"/>
    <w:rsid w:val="00F05CF2"/>
    <w:rsid w:val="00F1268D"/>
    <w:rsid w:val="00F140B3"/>
    <w:rsid w:val="00F15A89"/>
    <w:rsid w:val="00F20163"/>
    <w:rsid w:val="00F36535"/>
    <w:rsid w:val="00F4041E"/>
    <w:rsid w:val="00F456EC"/>
    <w:rsid w:val="00F516DF"/>
    <w:rsid w:val="00F61483"/>
    <w:rsid w:val="00F63FAC"/>
    <w:rsid w:val="00F675B6"/>
    <w:rsid w:val="00F72868"/>
    <w:rsid w:val="00F76E5B"/>
    <w:rsid w:val="00F77212"/>
    <w:rsid w:val="00F80A00"/>
    <w:rsid w:val="00F87F28"/>
    <w:rsid w:val="00F90022"/>
    <w:rsid w:val="00F90120"/>
    <w:rsid w:val="00F934B2"/>
    <w:rsid w:val="00F96C46"/>
    <w:rsid w:val="00FA2B3A"/>
    <w:rsid w:val="00FB37E2"/>
    <w:rsid w:val="00FB6B41"/>
    <w:rsid w:val="00FC46E1"/>
    <w:rsid w:val="00FC5514"/>
    <w:rsid w:val="00FC56A8"/>
    <w:rsid w:val="00FD6B58"/>
    <w:rsid w:val="00FE2461"/>
    <w:rsid w:val="00FE4C57"/>
    <w:rsid w:val="00FF0BAF"/>
    <w:rsid w:val="00FF2401"/>
    <w:rsid w:val="00FF5176"/>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19604B20"/>
  <w15:chartTrackingRefBased/>
  <w15:docId w15:val="{5F79D36E-EF20-4B3F-83E3-3A79AE9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outlineLvl w:val="0"/>
    </w:pPr>
    <w:rPr>
      <w:rFonts w:ascii="Arial" w:hAnsi="Arial"/>
      <w:snapToGrid w:val="0"/>
      <w:sz w:val="16"/>
    </w:rPr>
  </w:style>
  <w:style w:type="paragraph" w:styleId="Heading2">
    <w:name w:val="heading 2"/>
    <w:basedOn w:val="Normal"/>
    <w:next w:val="Normal"/>
    <w:qFormat/>
    <w:pPr>
      <w:jc w:val="center"/>
      <w:outlineLvl w:val="1"/>
    </w:pPr>
    <w:rPr>
      <w:rFonts w:ascii="Arial" w:hAnsi="Arial"/>
      <w:snapToGrid w:val="0"/>
      <w:sz w:val="16"/>
    </w:rPr>
  </w:style>
  <w:style w:type="paragraph" w:styleId="Heading3">
    <w:name w:val="heading 3"/>
    <w:basedOn w:val="Normal"/>
    <w:next w:val="Normal"/>
    <w:qFormat/>
    <w:pPr>
      <w:keepNext/>
      <w:jc w:val="center"/>
      <w:outlineLvl w:val="2"/>
    </w:pPr>
    <w:rPr>
      <w:sz w:val="24"/>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ection">
    <w:name w:val="Rules: Section"/>
    <w:basedOn w:val="Normal"/>
    <w:pPr>
      <w:ind w:left="360" w:hanging="360"/>
      <w:jc w:val="both"/>
    </w:pPr>
    <w:rPr>
      <w:sz w:val="22"/>
    </w:rPr>
  </w:style>
  <w:style w:type="paragraph" w:customStyle="1" w:styleId="1AutoList1">
    <w:name w:val="1AutoList1"/>
    <w:rPr>
      <w:rFonts w:ascii="Arial" w:hAnsi="Arial"/>
      <w:snapToGrid w:val="0"/>
      <w:sz w:val="24"/>
    </w:rPr>
  </w:style>
  <w:style w:type="character" w:customStyle="1" w:styleId="QuickFormat5">
    <w:name w:val="QuickFormat5"/>
    <w:rPr>
      <w:rFonts w:ascii="Courier New" w:hAnsi="Courier New"/>
      <w:sz w:val="20"/>
    </w:rPr>
  </w:style>
  <w:style w:type="paragraph" w:customStyle="1" w:styleId="RulesChapterTitle">
    <w:name w:val="Rules: Chapter Title"/>
    <w:basedOn w:val="Normal"/>
    <w:pPr>
      <w:ind w:left="2160" w:hanging="2160"/>
      <w:jc w:val="both"/>
    </w:pPr>
    <w:rPr>
      <w:b/>
      <w:sz w:val="22"/>
    </w:rPr>
  </w:style>
  <w:style w:type="paragraph" w:customStyle="1" w:styleId="RulesSummary">
    <w:name w:val="Rules: Summary"/>
    <w:basedOn w:val="Normal"/>
    <w:pPr>
      <w:ind w:left="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sub">
    <w:name w:val="Rules: Note (sub §)"/>
    <w:basedOn w:val="RulesNotesection"/>
    <w:pPr>
      <w:ind w:left="1080"/>
    </w:pPr>
  </w:style>
  <w:style w:type="paragraph" w:customStyle="1" w:styleId="RulesNotesection">
    <w:name w:val="Rules: Note (section)"/>
    <w:basedOn w:val="Normal"/>
    <w:pPr>
      <w:ind w:left="720" w:hanging="720"/>
      <w:jc w:val="both"/>
    </w:pPr>
    <w:rPr>
      <w:sz w:val="22"/>
    </w:rPr>
  </w:style>
  <w:style w:type="paragraph" w:customStyle="1" w:styleId="RulesSub-Paragraph">
    <w:name w:val="Rules: Sub-Paragraph"/>
    <w:basedOn w:val="Normal"/>
    <w:pPr>
      <w:ind w:left="1440" w:hanging="360"/>
      <w:jc w:val="both"/>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Notesub-div">
    <w:name w:val="Rules: Note (sub-div)"/>
    <w:basedOn w:val="RulesNotedivision"/>
    <w:pPr>
      <w:ind w:left="2520"/>
    </w:p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Noteparagraph">
    <w:name w:val="Rules: Note (paragraph)"/>
    <w:basedOn w:val="RulesNotesub"/>
    <w:pPr>
      <w:ind w:left="1440"/>
    </w:pPr>
  </w:style>
  <w:style w:type="paragraph" w:customStyle="1" w:styleId="RulesHeader">
    <w:name w:val="Rules: Header"/>
    <w:basedOn w:val="Normal"/>
    <w:pPr>
      <w:ind w:left="2160" w:hanging="2160"/>
      <w:jc w:val="both"/>
    </w:pPr>
    <w:rPr>
      <w:sz w:val="22"/>
    </w:rPr>
  </w:style>
  <w:style w:type="paragraph" w:styleId="Header">
    <w:name w:val="header"/>
    <w:basedOn w:val="Normal"/>
    <w:pPr>
      <w:tabs>
        <w:tab w:val="center" w:pos="4320"/>
        <w:tab w:val="right" w:pos="8640"/>
      </w:tabs>
    </w:pPr>
  </w:style>
  <w:style w:type="paragraph" w:customStyle="1" w:styleId="RulesFootertext">
    <w:name w:val="Rules: Footer text"/>
    <w:basedOn w:val="Normal"/>
    <w:pPr>
      <w:jc w:val="center"/>
    </w:pPr>
  </w:style>
  <w:style w:type="paragraph" w:styleId="Footer">
    <w:name w:val="footer"/>
    <w:basedOn w:val="Normal"/>
    <w:pPr>
      <w:tabs>
        <w:tab w:val="center" w:pos="4320"/>
        <w:tab w:val="right" w:pos="8640"/>
      </w:tabs>
    </w:pPr>
  </w:style>
  <w:style w:type="character" w:customStyle="1" w:styleId="QuickFormat3">
    <w:name w:val="QuickFormat3"/>
    <w:rPr>
      <w:rFonts w:ascii="Courier New" w:hAnsi="Courier New"/>
      <w:sz w:val="20"/>
    </w:rPr>
  </w:style>
  <w:style w:type="character" w:customStyle="1" w:styleId="QuickFormat4">
    <w:name w:val="QuickFormat4"/>
    <w:rPr>
      <w:rFonts w:ascii="Courier New" w:hAnsi="Courier New"/>
      <w:sz w:val="20"/>
    </w:rPr>
  </w:style>
  <w:style w:type="paragraph" w:styleId="BodyText2">
    <w:name w:val="Body Text 2"/>
    <w:basedOn w:val="Normal"/>
    <w:pPr>
      <w:ind w:right="720"/>
      <w:jc w:val="both"/>
    </w:pPr>
    <w:rPr>
      <w:rFonts w:ascii="CG Times (WN)" w:hAnsi="CG Times (WN)"/>
      <w:sz w:val="24"/>
    </w:rPr>
  </w:style>
  <w:style w:type="paragraph" w:styleId="BodyText">
    <w:name w:val="Body Text"/>
    <w:basedOn w:val="Normal"/>
    <w:rPr>
      <w:sz w:val="22"/>
    </w:rPr>
  </w:style>
  <w:style w:type="paragraph" w:styleId="BodyTextIndent">
    <w:name w:val="Body Text Indent"/>
    <w:basedOn w:val="Normal"/>
    <w:pPr>
      <w:spacing w:before="120" w:after="120"/>
      <w:ind w:left="360"/>
    </w:pPr>
    <w:rPr>
      <w:sz w:val="24"/>
      <w:u w:val="single"/>
    </w:rPr>
  </w:style>
  <w:style w:type="paragraph" w:styleId="BodyTextIndent2">
    <w:name w:val="Body Text Indent 2"/>
    <w:basedOn w:val="Normal"/>
    <w:pPr>
      <w:ind w:left="360"/>
    </w:pPr>
    <w:rPr>
      <w:b/>
      <w:sz w:val="24"/>
      <w:u w:val="single"/>
    </w:rPr>
  </w:style>
  <w:style w:type="paragraph" w:styleId="BodyTextIndent3">
    <w:name w:val="Body Text Indent 3"/>
    <w:basedOn w:val="Normal"/>
    <w:pPr>
      <w:ind w:left="1080" w:hanging="270"/>
    </w:pPr>
    <w:rPr>
      <w:b/>
      <w:sz w:val="24"/>
      <w:u w:val="single"/>
    </w:rPr>
  </w:style>
  <w:style w:type="paragraph" w:customStyle="1" w:styleId="Style0">
    <w:name w:val="Style0"/>
    <w:rPr>
      <w:rFonts w:ascii="Arial" w:hAnsi="Arial"/>
      <w:snapToGrid w:val="0"/>
      <w:sz w:val="24"/>
    </w:rPr>
  </w:style>
  <w:style w:type="paragraph" w:styleId="BodyText3">
    <w:name w:val="Body Text 3"/>
    <w:basedOn w:val="Normal"/>
    <w:rPr>
      <w:color w:val="000000"/>
      <w:sz w:val="22"/>
    </w:rPr>
  </w:style>
  <w:style w:type="paragraph" w:styleId="BalloonText">
    <w:name w:val="Balloon Text"/>
    <w:basedOn w:val="Normal"/>
    <w:semiHidden/>
    <w:rsid w:val="00F72868"/>
    <w:rPr>
      <w:rFonts w:ascii="Tahoma" w:hAnsi="Tahoma" w:cs="Tahoma"/>
      <w:sz w:val="16"/>
      <w:szCs w:val="16"/>
    </w:rPr>
  </w:style>
  <w:style w:type="paragraph" w:styleId="BlockText">
    <w:name w:val="Block Text"/>
    <w:basedOn w:val="Normal"/>
    <w:rsid w:val="00A70074"/>
    <w:pPr>
      <w:ind w:left="720" w:right="720"/>
      <w:jc w:val="both"/>
    </w:pPr>
    <w:rPr>
      <w:rFonts w:ascii="Times" w:hAnsi="Times"/>
      <w:sz w:val="22"/>
    </w:rPr>
  </w:style>
  <w:style w:type="paragraph" w:styleId="FootnoteText">
    <w:name w:val="footnote text"/>
    <w:basedOn w:val="Normal"/>
    <w:semiHidden/>
    <w:rsid w:val="003B6EEF"/>
  </w:style>
  <w:style w:type="character" w:styleId="FootnoteReference">
    <w:name w:val="footnote reference"/>
    <w:semiHidden/>
    <w:rsid w:val="003B6EEF"/>
    <w:rPr>
      <w:vertAlign w:val="superscript"/>
    </w:rPr>
  </w:style>
  <w:style w:type="paragraph" w:styleId="ListParagraph">
    <w:name w:val="List Paragraph"/>
    <w:basedOn w:val="Normal"/>
    <w:uiPriority w:val="34"/>
    <w:qFormat/>
    <w:rsid w:val="001071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03E4-05F0-4BC3-9A56-95829B2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6081</Words>
  <Characters>34634</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Chapter 127:</vt:lpstr>
    </vt:vector>
  </TitlesOfParts>
  <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127:</dc:title>
  <dc:subject/>
  <dc:creator>Parr, J.Chris</dc:creator>
  <cp:keywords/>
  <cp:lastModifiedBy>Parr, J.Chris</cp:lastModifiedBy>
  <cp:revision>2</cp:revision>
  <cp:lastPrinted>2009-03-25T18:55:00Z</cp:lastPrinted>
  <dcterms:created xsi:type="dcterms:W3CDTF">2025-07-15T15:44:00Z</dcterms:created>
  <dcterms:modified xsi:type="dcterms:W3CDTF">2025-07-15T15:44:00Z</dcterms:modified>
</cp:coreProperties>
</file>