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BB4B47D" w:rsidR="00592D4D" w:rsidRPr="00996AD9" w:rsidRDefault="00592D4D" w:rsidP="00432DF7">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B84AD4">
        <w:rPr>
          <w:rFonts w:ascii="Bookman Old Style" w:eastAsiaTheme="minorHAnsi" w:hAnsi="Bookman Old Style"/>
          <w:b/>
          <w:sz w:val="22"/>
          <w:szCs w:val="22"/>
        </w:rPr>
        <w:t xml:space="preserve">April </w:t>
      </w:r>
      <w:r w:rsidR="00023F98">
        <w:rPr>
          <w:rFonts w:ascii="Bookman Old Style" w:eastAsiaTheme="minorHAnsi" w:hAnsi="Bookman Old Style"/>
          <w:b/>
          <w:sz w:val="22"/>
          <w:szCs w:val="22"/>
        </w:rPr>
        <w:t>1</w:t>
      </w:r>
      <w:r w:rsidR="005B5B19">
        <w:rPr>
          <w:rFonts w:ascii="Bookman Old Style" w:eastAsiaTheme="minorHAnsi" w:hAnsi="Bookman Old Style"/>
          <w:b/>
          <w:sz w:val="22"/>
          <w:szCs w:val="22"/>
        </w:rPr>
        <w:t>7</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DF7">
      <w:pPr>
        <w:tabs>
          <w:tab w:val="left" w:pos="270"/>
        </w:tabs>
        <w:overflowPunct/>
        <w:autoSpaceDE/>
        <w:autoSpaceDN/>
        <w:adjustRightInd/>
        <w:textAlignment w:val="auto"/>
        <w:rPr>
          <w:rFonts w:ascii="Bookman Old Style" w:eastAsiaTheme="minorHAnsi" w:hAnsi="Bookman Old Style"/>
          <w:sz w:val="22"/>
          <w:szCs w:val="22"/>
        </w:rPr>
      </w:pPr>
    </w:p>
    <w:p w14:paraId="1CE06B18" w14:textId="74AE47E5"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DF7">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DF7">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DF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536AAA84" w14:textId="77777777" w:rsidR="009A1BEE" w:rsidRDefault="009A1BEE" w:rsidP="005B5B19">
      <w:pPr>
        <w:tabs>
          <w:tab w:val="left" w:pos="-1440"/>
          <w:tab w:val="left" w:pos="-720"/>
          <w:tab w:val="left" w:pos="4320"/>
          <w:tab w:val="left" w:pos="10440"/>
        </w:tabs>
        <w:ind w:right="360"/>
        <w:rPr>
          <w:rFonts w:ascii="Times New Roman" w:hAnsi="Times New Roman"/>
          <w:sz w:val="22"/>
          <w:szCs w:val="22"/>
        </w:rPr>
      </w:pPr>
    </w:p>
    <w:p w14:paraId="73904570" w14:textId="3BD590BC" w:rsidR="005B5B19" w:rsidRPr="00133CFA" w:rsidRDefault="005B5B19" w:rsidP="009A1BEE">
      <w:pPr>
        <w:tabs>
          <w:tab w:val="left" w:pos="-1440"/>
          <w:tab w:val="left" w:pos="-720"/>
          <w:tab w:val="left" w:pos="4320"/>
          <w:tab w:val="left" w:pos="10440"/>
        </w:tabs>
        <w:rPr>
          <w:rFonts w:ascii="Bookman Old Style" w:hAnsi="Bookman Old Style"/>
          <w:sz w:val="22"/>
          <w:szCs w:val="22"/>
        </w:rPr>
      </w:pPr>
      <w:r w:rsidRPr="00133CFA">
        <w:rPr>
          <w:rFonts w:ascii="Bookman Old Style" w:hAnsi="Bookman Old Style"/>
          <w:sz w:val="22"/>
          <w:szCs w:val="22"/>
        </w:rPr>
        <w:t xml:space="preserve">AGENCY:  </w:t>
      </w:r>
      <w:r w:rsidR="00133CFA" w:rsidRPr="00133CFA">
        <w:rPr>
          <w:rFonts w:ascii="Bookman Old Style" w:hAnsi="Bookman Old Style"/>
          <w:b/>
          <w:bCs/>
          <w:sz w:val="22"/>
          <w:szCs w:val="22"/>
        </w:rPr>
        <w:t xml:space="preserve">94-411 - </w:t>
      </w:r>
      <w:r w:rsidRPr="00133CFA">
        <w:rPr>
          <w:rFonts w:ascii="Bookman Old Style" w:hAnsi="Bookman Old Style"/>
          <w:b/>
          <w:bCs/>
          <w:sz w:val="22"/>
          <w:szCs w:val="22"/>
        </w:rPr>
        <w:t>Maine Public Employees Retirement System</w:t>
      </w:r>
    </w:p>
    <w:p w14:paraId="1A49B89E" w14:textId="17A2EFA0"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CHAPTER NUMBER AND TITLE:  </w:t>
      </w:r>
      <w:r w:rsidR="00133CFA" w:rsidRPr="00133CFA">
        <w:rPr>
          <w:rFonts w:ascii="Bookman Old Style" w:hAnsi="Bookman Old Style"/>
          <w:b/>
          <w:bCs/>
          <w:sz w:val="22"/>
          <w:szCs w:val="22"/>
        </w:rPr>
        <w:t xml:space="preserve">Ch. </w:t>
      </w:r>
      <w:r w:rsidRPr="00133CFA">
        <w:rPr>
          <w:rFonts w:ascii="Bookman Old Style" w:hAnsi="Bookman Old Style"/>
          <w:b/>
          <w:bCs/>
          <w:sz w:val="22"/>
          <w:szCs w:val="22"/>
        </w:rPr>
        <w:t>201</w:t>
      </w:r>
      <w:r w:rsidR="00133CFA" w:rsidRPr="00133CFA">
        <w:rPr>
          <w:rFonts w:ascii="Bookman Old Style" w:hAnsi="Bookman Old Style"/>
          <w:b/>
          <w:bCs/>
          <w:sz w:val="22"/>
          <w:szCs w:val="22"/>
        </w:rPr>
        <w:t>,</w:t>
      </w:r>
      <w:r w:rsidRPr="00133CFA">
        <w:rPr>
          <w:rFonts w:ascii="Bookman Old Style" w:hAnsi="Bookman Old Style"/>
          <w:sz w:val="22"/>
          <w:szCs w:val="22"/>
        </w:rPr>
        <w:t xml:space="preserve"> </w:t>
      </w:r>
      <w:r w:rsidR="00133CFA" w:rsidRPr="00133CFA">
        <w:rPr>
          <w:rFonts w:ascii="Bookman Old Style" w:hAnsi="Bookman Old Style"/>
          <w:sz w:val="22"/>
          <w:szCs w:val="22"/>
        </w:rPr>
        <w:t>Employer Reporting and Payments</w:t>
      </w:r>
    </w:p>
    <w:p w14:paraId="35C66D67" w14:textId="1927C226" w:rsidR="005B5B19" w:rsidRPr="00133CFA" w:rsidRDefault="005B5B19" w:rsidP="009A1BE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33CFA">
        <w:rPr>
          <w:rFonts w:ascii="Bookman Old Style" w:hAnsi="Bookman Old Style"/>
          <w:sz w:val="22"/>
          <w:szCs w:val="22"/>
        </w:rPr>
        <w:t>TYPE OF RULE:</w:t>
      </w:r>
      <w:r w:rsidR="00133CFA" w:rsidRPr="00133CFA">
        <w:rPr>
          <w:rFonts w:ascii="Bookman Old Style" w:hAnsi="Bookman Old Style"/>
          <w:sz w:val="22"/>
          <w:szCs w:val="22"/>
        </w:rPr>
        <w:t xml:space="preserve"> </w:t>
      </w:r>
      <w:r w:rsidRPr="00133CFA">
        <w:rPr>
          <w:rFonts w:ascii="Bookman Old Style" w:hAnsi="Bookman Old Style"/>
          <w:sz w:val="22"/>
          <w:szCs w:val="22"/>
        </w:rPr>
        <w:t>Routine Technical</w:t>
      </w:r>
    </w:p>
    <w:p w14:paraId="31D53B69" w14:textId="3582D7F9" w:rsidR="005B5B19" w:rsidRPr="00133CFA" w:rsidRDefault="005B5B19" w:rsidP="009A1BEE">
      <w:pPr>
        <w:tabs>
          <w:tab w:val="left" w:pos="-1440"/>
          <w:tab w:val="left" w:pos="-720"/>
          <w:tab w:val="left" w:pos="540"/>
          <w:tab w:val="left" w:pos="10440"/>
        </w:tabs>
        <w:rPr>
          <w:rFonts w:ascii="Bookman Old Style" w:hAnsi="Bookman Old Style"/>
          <w:b/>
          <w:bCs/>
          <w:sz w:val="22"/>
          <w:szCs w:val="22"/>
        </w:rPr>
      </w:pPr>
      <w:r w:rsidRPr="00133CFA">
        <w:rPr>
          <w:rFonts w:ascii="Bookman Old Style" w:hAnsi="Bookman Old Style"/>
          <w:sz w:val="22"/>
          <w:szCs w:val="22"/>
        </w:rPr>
        <w:t>PROPOSED RULE NUMBER:</w:t>
      </w:r>
      <w:r w:rsidR="00133CFA">
        <w:rPr>
          <w:rFonts w:ascii="Bookman Old Style" w:hAnsi="Bookman Old Style"/>
          <w:sz w:val="22"/>
          <w:szCs w:val="22"/>
        </w:rPr>
        <w:t xml:space="preserve"> </w:t>
      </w:r>
      <w:r w:rsidR="00133CFA">
        <w:rPr>
          <w:rFonts w:ascii="Bookman Old Style" w:hAnsi="Bookman Old Style"/>
          <w:b/>
          <w:bCs/>
          <w:sz w:val="22"/>
          <w:szCs w:val="22"/>
        </w:rPr>
        <w:t>2024-P116</w:t>
      </w:r>
    </w:p>
    <w:p w14:paraId="49A9C3F9" w14:textId="68D324B8"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BRIEF SUMMARY:</w:t>
      </w:r>
      <w:r w:rsidR="009A1BEE" w:rsidRPr="00133CFA">
        <w:rPr>
          <w:rFonts w:ascii="Bookman Old Style" w:hAnsi="Bookman Old Style"/>
          <w:sz w:val="22"/>
          <w:szCs w:val="22"/>
        </w:rPr>
        <w:t xml:space="preserve"> </w:t>
      </w:r>
      <w:r w:rsidRPr="00133CFA">
        <w:rPr>
          <w:rFonts w:ascii="Bookman Old Style" w:hAnsi="Bookman Old Style"/>
          <w:sz w:val="22"/>
          <w:szCs w:val="22"/>
        </w:rPr>
        <w:t>This rule governs payroll reporting by employers.  The current rule has not been amended since it was adopted in 1985.  The proposed rule repeals and replaces the current rule.  The new proposed rule would set expectations for payroll reporting, submission of contributions, and payment of Group Life Insurance premiums and provide for late fees and interest.</w:t>
      </w:r>
    </w:p>
    <w:p w14:paraId="153F0443" w14:textId="518C00B2"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PUBLIC HEARING:  May 9, 2024, 10:45 a.m., Maine Public Employees Retirement System, 139 Capitol Street, Augusta, Maine</w:t>
      </w:r>
    </w:p>
    <w:p w14:paraId="027515E7" w14:textId="77777777"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COMMENT DEADLINE:  May 20, 2024</w:t>
      </w:r>
    </w:p>
    <w:p w14:paraId="60D60174" w14:textId="78682D41"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EMAIL FOR PUBLIC TO SUBMIT COMMENTS:  </w:t>
      </w:r>
      <w:hyperlink r:id="rId10" w:history="1">
        <w:r w:rsidR="00133CFA" w:rsidRPr="00133CFA">
          <w:rPr>
            <w:rStyle w:val="Hyperlink"/>
            <w:rFonts w:ascii="Bookman Old Style" w:hAnsi="Bookman Old Style"/>
            <w:sz w:val="22"/>
            <w:szCs w:val="22"/>
          </w:rPr>
          <w:t>rulemaking@mainepers.org</w:t>
        </w:r>
      </w:hyperlink>
    </w:p>
    <w:p w14:paraId="17599B02" w14:textId="0A590115"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CONTACT PERSON FOR THIS FILING</w:t>
      </w:r>
      <w:r w:rsidR="009A1BEE" w:rsidRPr="00133CFA">
        <w:rPr>
          <w:rFonts w:ascii="Bookman Old Style" w:hAnsi="Bookman Old Style"/>
          <w:sz w:val="22"/>
          <w:szCs w:val="22"/>
        </w:rPr>
        <w:t>/SMALL BUSINESS IMPACT STATEMENT</w:t>
      </w:r>
      <w:r w:rsidRPr="00133CFA">
        <w:rPr>
          <w:rFonts w:ascii="Bookman Old Style" w:hAnsi="Bookman Old Style"/>
          <w:sz w:val="22"/>
          <w:szCs w:val="22"/>
        </w:rPr>
        <w:t>:</w:t>
      </w:r>
      <w:r w:rsidR="009A1BEE" w:rsidRPr="00133CFA">
        <w:rPr>
          <w:rFonts w:ascii="Bookman Old Style" w:hAnsi="Bookman Old Style"/>
          <w:sz w:val="22"/>
          <w:szCs w:val="22"/>
        </w:rPr>
        <w:t xml:space="preserve"> </w:t>
      </w:r>
      <w:r w:rsidRPr="00133CFA">
        <w:rPr>
          <w:rFonts w:ascii="Bookman Old Style" w:hAnsi="Bookman Old Style"/>
          <w:sz w:val="22"/>
          <w:szCs w:val="22"/>
        </w:rPr>
        <w:t>Kathy J. Morin, Director, Actuarial and Legislative Affairs</w:t>
      </w:r>
      <w:r w:rsidR="009A1BEE" w:rsidRPr="00133CFA">
        <w:rPr>
          <w:rFonts w:ascii="Bookman Old Style" w:hAnsi="Bookman Old Style"/>
          <w:sz w:val="22"/>
          <w:szCs w:val="22"/>
        </w:rPr>
        <w:t xml:space="preserve">, </w:t>
      </w:r>
      <w:r w:rsidRPr="00133CFA">
        <w:rPr>
          <w:rFonts w:ascii="Bookman Old Style" w:hAnsi="Bookman Old Style"/>
          <w:sz w:val="22"/>
          <w:szCs w:val="22"/>
        </w:rPr>
        <w:t>Maine Public Employees Retirement System</w:t>
      </w:r>
      <w:r w:rsidR="009A1BEE" w:rsidRPr="00133CFA">
        <w:rPr>
          <w:rFonts w:ascii="Bookman Old Style" w:hAnsi="Bookman Old Style"/>
          <w:sz w:val="22"/>
          <w:szCs w:val="22"/>
        </w:rPr>
        <w:t xml:space="preserve">, </w:t>
      </w:r>
      <w:r w:rsidRPr="00133CFA">
        <w:rPr>
          <w:rFonts w:ascii="Bookman Old Style" w:hAnsi="Bookman Old Style"/>
          <w:sz w:val="22"/>
          <w:szCs w:val="22"/>
        </w:rPr>
        <w:t>P.O. Box 349</w:t>
      </w:r>
      <w:r w:rsidR="009A1BEE" w:rsidRPr="00133CFA">
        <w:rPr>
          <w:rFonts w:ascii="Bookman Old Style" w:hAnsi="Bookman Old Style"/>
          <w:sz w:val="22"/>
          <w:szCs w:val="22"/>
        </w:rPr>
        <w:t xml:space="preserve">, </w:t>
      </w:r>
      <w:r w:rsidRPr="00133CFA">
        <w:rPr>
          <w:rFonts w:ascii="Bookman Old Style" w:hAnsi="Bookman Old Style"/>
          <w:sz w:val="22"/>
          <w:szCs w:val="22"/>
        </w:rPr>
        <w:t>Augusta, ME  04332-0349</w:t>
      </w:r>
      <w:r w:rsidR="009A1BEE" w:rsidRPr="00133CFA">
        <w:rPr>
          <w:rFonts w:ascii="Bookman Old Style" w:hAnsi="Bookman Old Style"/>
          <w:sz w:val="22"/>
          <w:szCs w:val="22"/>
        </w:rPr>
        <w:t xml:space="preserve">. Telephone: </w:t>
      </w:r>
      <w:r w:rsidRPr="00133CFA">
        <w:rPr>
          <w:rFonts w:ascii="Bookman Old Style" w:hAnsi="Bookman Old Style"/>
          <w:sz w:val="22"/>
          <w:szCs w:val="22"/>
        </w:rPr>
        <w:t>1-800-451-9800 or (207) 512-3190</w:t>
      </w:r>
      <w:r w:rsidR="009A1BEE" w:rsidRPr="00133CFA">
        <w:rPr>
          <w:rFonts w:ascii="Bookman Old Style" w:hAnsi="Bookman Old Style"/>
          <w:sz w:val="22"/>
          <w:szCs w:val="22"/>
        </w:rPr>
        <w:t xml:space="preserve">. Email: </w:t>
      </w:r>
      <w:hyperlink r:id="rId11" w:history="1">
        <w:r w:rsidR="00133CFA" w:rsidRPr="00133CFA">
          <w:rPr>
            <w:rStyle w:val="Hyperlink"/>
            <w:rFonts w:ascii="Bookman Old Style" w:hAnsi="Bookman Old Style"/>
            <w:sz w:val="22"/>
            <w:szCs w:val="22"/>
          </w:rPr>
          <w:t>Kathy.Morin@mainepers.org</w:t>
        </w:r>
      </w:hyperlink>
    </w:p>
    <w:p w14:paraId="40FE6A2E" w14:textId="77777777" w:rsidR="005B5B19" w:rsidRPr="00133CFA" w:rsidRDefault="005B5B19" w:rsidP="009A1BE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33CFA">
        <w:rPr>
          <w:rFonts w:ascii="Bookman Old Style" w:hAnsi="Bookman Old Style"/>
          <w:color w:val="000000"/>
          <w:sz w:val="22"/>
          <w:szCs w:val="22"/>
          <w:shd w:val="clear" w:color="auto" w:fill="FFFFFF"/>
        </w:rPr>
        <w:t xml:space="preserve">FINANCIAL IMPACT ON MUNICIPALITIES OR COUNTIES </w:t>
      </w:r>
      <w:r w:rsidRPr="00133CFA">
        <w:rPr>
          <w:rFonts w:ascii="Bookman Old Style" w:hAnsi="Bookman Old Style"/>
          <w:i/>
          <w:color w:val="000000"/>
          <w:sz w:val="22"/>
          <w:szCs w:val="22"/>
          <w:shd w:val="clear" w:color="auto" w:fill="FFFFFF"/>
        </w:rPr>
        <w:t>(if any)</w:t>
      </w:r>
      <w:r w:rsidRPr="00133CFA">
        <w:rPr>
          <w:rFonts w:ascii="Bookman Old Style" w:hAnsi="Bookman Old Style"/>
          <w:color w:val="000000"/>
          <w:sz w:val="22"/>
          <w:szCs w:val="22"/>
          <w:shd w:val="clear" w:color="auto" w:fill="FFFFFF"/>
        </w:rPr>
        <w:t>:</w:t>
      </w:r>
      <w:r w:rsidRPr="00133CFA">
        <w:rPr>
          <w:rStyle w:val="apple-converted-space"/>
          <w:rFonts w:ascii="Bookman Old Style" w:hAnsi="Bookman Old Style"/>
          <w:color w:val="000000"/>
          <w:sz w:val="22"/>
          <w:szCs w:val="22"/>
          <w:shd w:val="clear" w:color="auto" w:fill="FFFFFF"/>
        </w:rPr>
        <w:t> </w:t>
      </w:r>
      <w:r w:rsidRPr="00133CFA">
        <w:rPr>
          <w:rFonts w:ascii="Bookman Old Style" w:hAnsi="Bookman Old Style"/>
          <w:color w:val="000000"/>
          <w:sz w:val="22"/>
          <w:szCs w:val="22"/>
          <w:shd w:val="clear" w:color="auto" w:fill="FFFFFF"/>
        </w:rPr>
        <w:t>Costs to participating employers could result in terms of fees and interest, as established in the rule, if reporting deadlines are not met.</w:t>
      </w:r>
    </w:p>
    <w:p w14:paraId="525CC932" w14:textId="77777777"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STATUTORY AUTHORITY FOR THIS RULE:  3 M.R.S. § 731(2); 4 M.R.S. § 1231(2); 5 M.R.S. §§ 17103(4), 17203(1), 18053, 18653</w:t>
      </w:r>
    </w:p>
    <w:p w14:paraId="185E056F" w14:textId="2B51B16F"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SUBSTANTIVE STATE OR FEDERAL LAW BEING IMPLEMENTED </w:t>
      </w:r>
      <w:r w:rsidRPr="00133CFA">
        <w:rPr>
          <w:rFonts w:ascii="Bookman Old Style" w:hAnsi="Bookman Old Style"/>
          <w:i/>
          <w:sz w:val="22"/>
          <w:szCs w:val="22"/>
        </w:rPr>
        <w:t>(if different)</w:t>
      </w:r>
      <w:r w:rsidRPr="00133CFA">
        <w:rPr>
          <w:rFonts w:ascii="Bookman Old Style" w:hAnsi="Bookman Old Style"/>
          <w:sz w:val="22"/>
          <w:szCs w:val="22"/>
        </w:rPr>
        <w:t>:</w:t>
      </w:r>
      <w:r w:rsidR="00133CFA" w:rsidRPr="00133CFA">
        <w:rPr>
          <w:rFonts w:ascii="Bookman Old Style" w:hAnsi="Bookman Old Style"/>
          <w:sz w:val="22"/>
          <w:szCs w:val="22"/>
        </w:rPr>
        <w:t xml:space="preserve"> N/A</w:t>
      </w:r>
    </w:p>
    <w:p w14:paraId="19A32DBA" w14:textId="77777777" w:rsidR="005B5B19" w:rsidRPr="00133CFA"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lastRenderedPageBreak/>
        <w:t>AGENCY WEBSITE:   MainePERS.org</w:t>
      </w:r>
    </w:p>
    <w:p w14:paraId="2F4AE81D" w14:textId="6E324A78" w:rsidR="005B5B19" w:rsidRDefault="005B5B19" w:rsidP="009A1BEE">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EMAIL FOR OVERALL AGENCY RULEMAKING LIAISON:  </w:t>
      </w:r>
      <w:hyperlink r:id="rId12" w:history="1">
        <w:r w:rsidR="009B7B9D" w:rsidRPr="00DB5E2F">
          <w:rPr>
            <w:rStyle w:val="Hyperlink"/>
            <w:rFonts w:ascii="Bookman Old Style" w:hAnsi="Bookman Old Style"/>
            <w:sz w:val="22"/>
            <w:szCs w:val="22"/>
          </w:rPr>
          <w:t>Kathy.Morin@mainepers.org</w:t>
        </w:r>
      </w:hyperlink>
    </w:p>
    <w:p w14:paraId="75171942" w14:textId="77777777" w:rsidR="005811F8" w:rsidRDefault="005811F8" w:rsidP="005B5B19">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2BE07F6E" w14:textId="77777777" w:rsidR="005B5B19" w:rsidRDefault="005B5B19" w:rsidP="00AA371C">
      <w:pPr>
        <w:tabs>
          <w:tab w:val="left" w:pos="-1440"/>
          <w:tab w:val="left" w:pos="-720"/>
          <w:tab w:val="left" w:pos="4320"/>
          <w:tab w:val="left" w:pos="10440"/>
        </w:tabs>
        <w:ind w:right="360"/>
        <w:rPr>
          <w:rFonts w:ascii="Bookman Old Style" w:hAnsi="Bookman Old Style"/>
          <w:sz w:val="22"/>
          <w:szCs w:val="22"/>
        </w:rPr>
      </w:pPr>
    </w:p>
    <w:p w14:paraId="1B5CBFA4" w14:textId="56BD3875" w:rsidR="005B5B19" w:rsidRPr="00133CFA" w:rsidRDefault="005B5B19" w:rsidP="00133CFA">
      <w:pPr>
        <w:tabs>
          <w:tab w:val="left" w:pos="-1440"/>
          <w:tab w:val="left" w:pos="-720"/>
          <w:tab w:val="left" w:pos="4320"/>
          <w:tab w:val="left" w:pos="10440"/>
        </w:tabs>
        <w:rPr>
          <w:rFonts w:ascii="Bookman Old Style" w:hAnsi="Bookman Old Style"/>
          <w:sz w:val="22"/>
          <w:szCs w:val="22"/>
        </w:rPr>
      </w:pPr>
      <w:r w:rsidRPr="00133CFA">
        <w:rPr>
          <w:rFonts w:ascii="Bookman Old Style" w:hAnsi="Bookman Old Style"/>
          <w:sz w:val="22"/>
          <w:szCs w:val="22"/>
        </w:rPr>
        <w:t xml:space="preserve">AGENCY:  </w:t>
      </w:r>
      <w:r w:rsidRPr="00133CFA">
        <w:rPr>
          <w:rFonts w:ascii="Bookman Old Style" w:hAnsi="Bookman Old Style"/>
          <w:b/>
          <w:bCs/>
          <w:sz w:val="22"/>
          <w:szCs w:val="22"/>
        </w:rPr>
        <w:t>09-137</w:t>
      </w:r>
      <w:r w:rsidR="00133CFA" w:rsidRPr="00133CFA">
        <w:rPr>
          <w:rFonts w:ascii="Bookman Old Style" w:hAnsi="Bookman Old Style"/>
          <w:b/>
          <w:bCs/>
          <w:sz w:val="22"/>
          <w:szCs w:val="22"/>
        </w:rPr>
        <w:t xml:space="preserve"> - Department of </w:t>
      </w:r>
      <w:r w:rsidRPr="00133CFA">
        <w:rPr>
          <w:rFonts w:ascii="Bookman Old Style" w:hAnsi="Bookman Old Style"/>
          <w:b/>
          <w:bCs/>
          <w:sz w:val="22"/>
          <w:szCs w:val="22"/>
        </w:rPr>
        <w:t>Inland Fisheries and Wildlife</w:t>
      </w:r>
    </w:p>
    <w:p w14:paraId="7566135A" w14:textId="6A30AD2A"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CHAPTER NUMBER AND TITLE:  </w:t>
      </w:r>
      <w:r w:rsidRPr="00133CFA">
        <w:rPr>
          <w:rFonts w:ascii="Bookman Old Style" w:hAnsi="Bookman Old Style"/>
          <w:b/>
          <w:bCs/>
          <w:sz w:val="22"/>
          <w:szCs w:val="22"/>
        </w:rPr>
        <w:t>Ch</w:t>
      </w:r>
      <w:r w:rsidR="00133CFA" w:rsidRPr="00133CFA">
        <w:rPr>
          <w:rFonts w:ascii="Bookman Old Style" w:hAnsi="Bookman Old Style"/>
          <w:b/>
          <w:bCs/>
          <w:sz w:val="22"/>
          <w:szCs w:val="22"/>
        </w:rPr>
        <w:t>.</w:t>
      </w:r>
      <w:r w:rsidRPr="00133CFA">
        <w:rPr>
          <w:rFonts w:ascii="Bookman Old Style" w:hAnsi="Bookman Old Style"/>
          <w:b/>
          <w:bCs/>
          <w:sz w:val="22"/>
          <w:szCs w:val="22"/>
        </w:rPr>
        <w:t xml:space="preserve"> </w:t>
      </w:r>
      <w:r w:rsidR="00133CFA" w:rsidRPr="00133CFA">
        <w:rPr>
          <w:rFonts w:ascii="Bookman Old Style" w:hAnsi="Bookman Old Style"/>
          <w:b/>
          <w:bCs/>
          <w:sz w:val="22"/>
          <w:szCs w:val="22"/>
        </w:rPr>
        <w:t>16,</w:t>
      </w:r>
      <w:r w:rsidR="00133CFA" w:rsidRPr="00133CFA">
        <w:rPr>
          <w:rFonts w:ascii="Bookman Old Style" w:hAnsi="Bookman Old Style"/>
          <w:sz w:val="22"/>
          <w:szCs w:val="22"/>
        </w:rPr>
        <w:t xml:space="preserve"> Hunting: </w:t>
      </w:r>
      <w:r w:rsidRPr="00133CFA">
        <w:rPr>
          <w:rFonts w:ascii="Bookman Old Style" w:hAnsi="Bookman Old Style"/>
          <w:b/>
          <w:bCs/>
          <w:sz w:val="22"/>
          <w:szCs w:val="22"/>
        </w:rPr>
        <w:t>16.08</w:t>
      </w:r>
      <w:r w:rsidRPr="00133CFA">
        <w:rPr>
          <w:rFonts w:ascii="Bookman Old Style" w:hAnsi="Bookman Old Style"/>
          <w:sz w:val="22"/>
          <w:szCs w:val="22"/>
        </w:rPr>
        <w:t xml:space="preserve"> – Moose Hunting (depredation hunt) </w:t>
      </w:r>
    </w:p>
    <w:p w14:paraId="12B1DAC1" w14:textId="77777777" w:rsidR="005B5B19" w:rsidRPr="00133CFA" w:rsidRDefault="005B5B19" w:rsidP="00133CF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33CFA">
        <w:rPr>
          <w:rFonts w:ascii="Bookman Old Style" w:hAnsi="Bookman Old Style"/>
          <w:sz w:val="22"/>
          <w:szCs w:val="22"/>
        </w:rPr>
        <w:t>TYPE OF RULE: Routine Technical</w:t>
      </w:r>
    </w:p>
    <w:p w14:paraId="155183AF" w14:textId="1C628643"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PROPOSED RULE NUMBER:</w:t>
      </w:r>
      <w:r w:rsidR="00133CFA" w:rsidRPr="00133CFA">
        <w:rPr>
          <w:rFonts w:ascii="Bookman Old Style" w:hAnsi="Bookman Old Style"/>
          <w:sz w:val="22"/>
          <w:szCs w:val="22"/>
        </w:rPr>
        <w:t xml:space="preserve"> </w:t>
      </w:r>
      <w:r w:rsidR="00133CFA" w:rsidRPr="00133CFA">
        <w:rPr>
          <w:rFonts w:ascii="Bookman Old Style" w:hAnsi="Bookman Old Style"/>
          <w:b/>
          <w:bCs/>
          <w:sz w:val="22"/>
          <w:szCs w:val="22"/>
        </w:rPr>
        <w:t>2024-P117</w:t>
      </w:r>
    </w:p>
    <w:p w14:paraId="6AFD2B84" w14:textId="77777777" w:rsidR="005B5B19" w:rsidRPr="00133CFA" w:rsidRDefault="005B5B19" w:rsidP="00133CFA">
      <w:pPr>
        <w:tabs>
          <w:tab w:val="left" w:pos="-1440"/>
          <w:tab w:val="left" w:pos="-720"/>
          <w:tab w:val="left" w:pos="540"/>
        </w:tabs>
        <w:rPr>
          <w:rFonts w:ascii="Bookman Old Style" w:hAnsi="Bookman Old Style"/>
          <w:sz w:val="22"/>
          <w:szCs w:val="22"/>
        </w:rPr>
      </w:pPr>
      <w:r w:rsidRPr="00133CFA">
        <w:rPr>
          <w:rFonts w:ascii="Bookman Old Style" w:hAnsi="Bookman Old Style"/>
          <w:sz w:val="22"/>
          <w:szCs w:val="22"/>
        </w:rPr>
        <w:t xml:space="preserve">BRIEF SUMMARY:  The Department of Inland Fisheries and Wildlife is proposing amendments to Chapter 16 rules as they apply to the Depredation Hunt for moose. Currently, depredation hunt locations are limited to the ten (10) towns listed in the rule. </w:t>
      </w:r>
      <w:r w:rsidRPr="00133CFA">
        <w:rPr>
          <w:rFonts w:ascii="Bookman Old Style" w:hAnsi="Bookman Old Style"/>
          <w:bCs/>
          <w:sz w:val="22"/>
          <w:szCs w:val="22"/>
        </w:rPr>
        <w:t xml:space="preserve">Extending the locations to WMDs 3 and 6 will provide greater flexibility and increased ability to respond to immediate crop depredation by moose where it is happening outside the towns currently established in rule. </w:t>
      </w:r>
      <w:r w:rsidRPr="00133CFA">
        <w:rPr>
          <w:rFonts w:ascii="Bookman Old Style" w:hAnsi="Bookman Old Style"/>
          <w:sz w:val="22"/>
          <w:szCs w:val="22"/>
        </w:rPr>
        <w:t>Please contact the agency contact person for a complete copy of the rule proposal.</w:t>
      </w:r>
    </w:p>
    <w:p w14:paraId="508D8E29" w14:textId="77777777"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PUBLIC HEARING:  None scheduled.</w:t>
      </w:r>
    </w:p>
    <w:p w14:paraId="74E62BAA" w14:textId="77777777"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COMMENT DEADLINE:  May 17, 2024</w:t>
      </w:r>
    </w:p>
    <w:p w14:paraId="79DA8436" w14:textId="77777777"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CONTACT PERSON FOR THIS FILING:  Becky Orff, Inland Fisheries and Wildlife, 353 Water Street 41 SHS, Augusta, ME 04333; phone: 207-287-5202; fax: 207-287-6395; e-mail: </w:t>
      </w:r>
      <w:hyperlink r:id="rId13" w:history="1">
        <w:r w:rsidRPr="00133CFA">
          <w:rPr>
            <w:rStyle w:val="Hyperlink"/>
            <w:rFonts w:ascii="Bookman Old Style" w:hAnsi="Bookman Old Style"/>
            <w:sz w:val="22"/>
            <w:szCs w:val="22"/>
          </w:rPr>
          <w:t>Becky.Orff@maine.gov</w:t>
        </w:r>
      </w:hyperlink>
      <w:r w:rsidRPr="00133CFA">
        <w:rPr>
          <w:rFonts w:ascii="Bookman Old Style" w:hAnsi="Bookman Old Style"/>
          <w:sz w:val="22"/>
          <w:szCs w:val="22"/>
        </w:rPr>
        <w:t xml:space="preserve"> </w:t>
      </w:r>
    </w:p>
    <w:p w14:paraId="0E95F101" w14:textId="77777777" w:rsidR="005B5B19" w:rsidRPr="00133CFA" w:rsidRDefault="005B5B19" w:rsidP="00133CF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33CFA">
        <w:rPr>
          <w:rFonts w:ascii="Bookman Old Style" w:hAnsi="Bookman Old Style"/>
          <w:color w:val="000000"/>
          <w:sz w:val="22"/>
          <w:szCs w:val="22"/>
          <w:shd w:val="clear" w:color="auto" w:fill="FFFFFF"/>
        </w:rPr>
        <w:t xml:space="preserve">FINANCIAL IMPACT ON MUNICIPALITIES OR COUNTIES </w:t>
      </w:r>
      <w:r w:rsidRPr="00133CFA">
        <w:rPr>
          <w:rFonts w:ascii="Bookman Old Style" w:hAnsi="Bookman Old Style"/>
          <w:i/>
          <w:color w:val="000000"/>
          <w:sz w:val="22"/>
          <w:szCs w:val="22"/>
          <w:shd w:val="clear" w:color="auto" w:fill="FFFFFF"/>
        </w:rPr>
        <w:t>(if any)</w:t>
      </w:r>
      <w:r w:rsidRPr="00133CFA">
        <w:rPr>
          <w:rFonts w:ascii="Bookman Old Style" w:hAnsi="Bookman Old Style"/>
          <w:color w:val="000000"/>
          <w:sz w:val="22"/>
          <w:szCs w:val="22"/>
          <w:shd w:val="clear" w:color="auto" w:fill="FFFFFF"/>
        </w:rPr>
        <w:t>:</w:t>
      </w:r>
      <w:r w:rsidRPr="00133CFA">
        <w:rPr>
          <w:rStyle w:val="apple-converted-space"/>
          <w:rFonts w:ascii="Bookman Old Style" w:hAnsi="Bookman Old Style"/>
          <w:color w:val="000000"/>
          <w:sz w:val="22"/>
          <w:szCs w:val="22"/>
          <w:shd w:val="clear" w:color="auto" w:fill="FFFFFF"/>
        </w:rPr>
        <w:t> No fiscal impact anticipated.</w:t>
      </w:r>
    </w:p>
    <w:p w14:paraId="4C283E1D" w14:textId="77777777"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STATUTORY AUTHORITY FOR THIS RULE: 12 MRS 11551, 11552</w:t>
      </w:r>
    </w:p>
    <w:p w14:paraId="4297DBDD" w14:textId="77777777"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SUBSTANTIVE STATE OR FEDERAL LAW BEING IMPLEMENTED:</w:t>
      </w:r>
    </w:p>
    <w:p w14:paraId="2A78FBAD" w14:textId="3B372EAE"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AGENCY WEBSITE:  </w:t>
      </w:r>
      <w:hyperlink r:id="rId14" w:history="1">
        <w:r w:rsidRPr="00133CFA">
          <w:rPr>
            <w:rStyle w:val="Hyperlink"/>
            <w:rFonts w:ascii="Bookman Old Style" w:hAnsi="Bookman Old Style"/>
            <w:sz w:val="22"/>
            <w:szCs w:val="22"/>
          </w:rPr>
          <w:t>www.maine.gov/ifw</w:t>
        </w:r>
      </w:hyperlink>
    </w:p>
    <w:p w14:paraId="7E5BDCCF" w14:textId="77777777" w:rsidR="005B5B19" w:rsidRPr="00133CFA" w:rsidRDefault="005B5B19" w:rsidP="00133CFA">
      <w:pPr>
        <w:tabs>
          <w:tab w:val="left" w:pos="-1440"/>
          <w:tab w:val="left" w:pos="-720"/>
          <w:tab w:val="left" w:pos="540"/>
          <w:tab w:val="left" w:pos="10440"/>
        </w:tabs>
        <w:rPr>
          <w:rFonts w:ascii="Bookman Old Style" w:hAnsi="Bookman Old Style"/>
          <w:sz w:val="22"/>
          <w:szCs w:val="22"/>
        </w:rPr>
      </w:pPr>
      <w:r w:rsidRPr="00133CFA">
        <w:rPr>
          <w:rFonts w:ascii="Bookman Old Style" w:hAnsi="Bookman Old Style"/>
          <w:sz w:val="22"/>
          <w:szCs w:val="22"/>
        </w:rPr>
        <w:t xml:space="preserve">E-MAIL FOR OVERALL AGENCY RULE-MAKING LIAISON:  </w:t>
      </w:r>
      <w:hyperlink r:id="rId15" w:history="1">
        <w:r w:rsidRPr="00133CFA">
          <w:rPr>
            <w:rStyle w:val="Hyperlink"/>
            <w:rFonts w:ascii="Bookman Old Style" w:hAnsi="Bookman Old Style"/>
            <w:sz w:val="22"/>
            <w:szCs w:val="22"/>
          </w:rPr>
          <w:t>Becky.Orff@maine.gov</w:t>
        </w:r>
      </w:hyperlink>
      <w:r w:rsidRPr="00133CFA">
        <w:rPr>
          <w:rFonts w:ascii="Bookman Old Style" w:hAnsi="Bookman Old Style"/>
          <w:sz w:val="22"/>
          <w:szCs w:val="22"/>
        </w:rPr>
        <w:t xml:space="preserve"> </w:t>
      </w:r>
    </w:p>
    <w:p w14:paraId="1EB64BBC" w14:textId="77777777" w:rsidR="005B5B19" w:rsidRDefault="005B5B19" w:rsidP="005B5B19">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41B19F8F" w14:textId="77777777" w:rsidR="005B5B19" w:rsidRDefault="005B5B19" w:rsidP="00AA371C">
      <w:pPr>
        <w:tabs>
          <w:tab w:val="left" w:pos="-1440"/>
          <w:tab w:val="left" w:pos="-720"/>
          <w:tab w:val="left" w:pos="4320"/>
          <w:tab w:val="left" w:pos="10440"/>
        </w:tabs>
        <w:ind w:right="360"/>
        <w:rPr>
          <w:rFonts w:ascii="Bookman Old Style" w:hAnsi="Bookman Old Style"/>
          <w:sz w:val="22"/>
          <w:szCs w:val="22"/>
        </w:rPr>
      </w:pPr>
    </w:p>
    <w:p w14:paraId="2C1C323C" w14:textId="77777777" w:rsidR="005B5B19" w:rsidRPr="00784DD1" w:rsidRDefault="005B5B19" w:rsidP="005B5B19">
      <w:pPr>
        <w:tabs>
          <w:tab w:val="left" w:pos="-1440"/>
          <w:tab w:val="left" w:pos="-720"/>
          <w:tab w:val="left" w:pos="4320"/>
          <w:tab w:val="left" w:pos="10440"/>
        </w:tabs>
        <w:ind w:right="360"/>
        <w:rPr>
          <w:rFonts w:ascii="Bookman Old Style" w:hAnsi="Bookman Old Style"/>
          <w:sz w:val="22"/>
          <w:szCs w:val="22"/>
        </w:rPr>
      </w:pPr>
      <w:r w:rsidRPr="00784DD1">
        <w:rPr>
          <w:rFonts w:ascii="Bookman Old Style" w:hAnsi="Bookman Old Style"/>
          <w:sz w:val="22"/>
          <w:szCs w:val="22"/>
        </w:rPr>
        <w:t xml:space="preserve">AGENCY: </w:t>
      </w:r>
      <w:r w:rsidRPr="00784DD1">
        <w:rPr>
          <w:rFonts w:ascii="Bookman Old Style" w:hAnsi="Bookman Old Style"/>
          <w:b/>
          <w:bCs/>
          <w:sz w:val="22"/>
          <w:szCs w:val="22"/>
        </w:rPr>
        <w:t>12-179 – Department of Labor, Board of Occupational Safety and Health</w:t>
      </w:r>
    </w:p>
    <w:p w14:paraId="6DD860BE" w14:textId="4CA2D24B" w:rsidR="005B5B19" w:rsidRPr="00784DD1" w:rsidRDefault="005B5B19" w:rsidP="005B5B19">
      <w:pPr>
        <w:pStyle w:val="HTMLPreformatted"/>
        <w:rPr>
          <w:rFonts w:ascii="Bookman Old Style" w:hAnsi="Bookman Old Style"/>
          <w:color w:val="000000"/>
        </w:rPr>
      </w:pPr>
      <w:r w:rsidRPr="00784DD1">
        <w:rPr>
          <w:rFonts w:ascii="Bookman Old Style" w:hAnsi="Bookman Old Style"/>
          <w:sz w:val="22"/>
          <w:szCs w:val="22"/>
        </w:rPr>
        <w:t xml:space="preserve">CHAPTER NUMBER AND TITLE: </w:t>
      </w:r>
      <w:r w:rsidRPr="00784DD1">
        <w:rPr>
          <w:rFonts w:ascii="Bookman Old Style" w:hAnsi="Bookman Old Style"/>
          <w:b/>
          <w:bCs/>
          <w:sz w:val="22"/>
          <w:szCs w:val="22"/>
        </w:rPr>
        <w:t>Ch</w:t>
      </w:r>
      <w:r w:rsidR="00784DD1" w:rsidRPr="00784DD1">
        <w:rPr>
          <w:rFonts w:ascii="Bookman Old Style" w:hAnsi="Bookman Old Style"/>
          <w:b/>
          <w:bCs/>
          <w:sz w:val="22"/>
          <w:szCs w:val="22"/>
        </w:rPr>
        <w:t>.</w:t>
      </w:r>
      <w:r w:rsidRPr="00784DD1">
        <w:rPr>
          <w:rFonts w:ascii="Bookman Old Style" w:hAnsi="Bookman Old Style"/>
          <w:b/>
          <w:bCs/>
          <w:sz w:val="22"/>
          <w:szCs w:val="22"/>
        </w:rPr>
        <w:t xml:space="preserve"> 6,</w:t>
      </w:r>
      <w:r w:rsidRPr="00784DD1">
        <w:rPr>
          <w:rFonts w:ascii="Bookman Old Style" w:hAnsi="Bookman Old Style"/>
          <w:sz w:val="22"/>
          <w:szCs w:val="22"/>
        </w:rPr>
        <w:t xml:space="preserve"> </w:t>
      </w:r>
      <w:r w:rsidR="00C73067" w:rsidRPr="00784DD1">
        <w:rPr>
          <w:rFonts w:ascii="Bookman Old Style" w:hAnsi="Bookman Old Style"/>
          <w:bCs/>
          <w:sz w:val="22"/>
          <w:szCs w:val="22"/>
        </w:rPr>
        <w:t>Recording Occupational Injuries and Illnesses in the Public Sector</w:t>
      </w:r>
    </w:p>
    <w:p w14:paraId="3A8E759C" w14:textId="5E959DD9" w:rsidR="005B5B19" w:rsidRPr="00784DD1" w:rsidRDefault="005B5B19" w:rsidP="005B5B1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84DD1">
        <w:rPr>
          <w:rFonts w:ascii="Bookman Old Style" w:hAnsi="Bookman Old Style"/>
          <w:sz w:val="22"/>
          <w:szCs w:val="22"/>
        </w:rPr>
        <w:t>TYPE OF RULE: Routine Technical</w:t>
      </w:r>
    </w:p>
    <w:p w14:paraId="477CB525" w14:textId="7B01C2C7" w:rsidR="005B5B19" w:rsidRPr="00784DD1" w:rsidRDefault="005B5B19" w:rsidP="005B5B19">
      <w:pPr>
        <w:tabs>
          <w:tab w:val="left" w:pos="-1440"/>
          <w:tab w:val="left" w:pos="-720"/>
          <w:tab w:val="left" w:pos="540"/>
          <w:tab w:val="left" w:pos="10440"/>
        </w:tabs>
        <w:ind w:right="360"/>
        <w:rPr>
          <w:rFonts w:ascii="Bookman Old Style" w:hAnsi="Bookman Old Style"/>
          <w:sz w:val="22"/>
          <w:szCs w:val="22"/>
        </w:rPr>
      </w:pPr>
      <w:r w:rsidRPr="00784DD1">
        <w:rPr>
          <w:rFonts w:ascii="Bookman Old Style" w:hAnsi="Bookman Old Style"/>
          <w:sz w:val="22"/>
          <w:szCs w:val="22"/>
        </w:rPr>
        <w:t>PROPOSED RULE NUMBER:</w:t>
      </w:r>
      <w:r w:rsidR="00784DD1" w:rsidRPr="00784DD1">
        <w:rPr>
          <w:rFonts w:ascii="Bookman Old Style" w:hAnsi="Bookman Old Style"/>
          <w:sz w:val="22"/>
          <w:szCs w:val="22"/>
        </w:rPr>
        <w:t xml:space="preserve"> </w:t>
      </w:r>
      <w:r w:rsidR="00784DD1" w:rsidRPr="00784DD1">
        <w:rPr>
          <w:rFonts w:ascii="Bookman Old Style" w:hAnsi="Bookman Old Style"/>
          <w:b/>
          <w:bCs/>
          <w:sz w:val="22"/>
          <w:szCs w:val="22"/>
        </w:rPr>
        <w:t>2024-P118</w:t>
      </w:r>
    </w:p>
    <w:p w14:paraId="02F025D6" w14:textId="77777777" w:rsidR="000F6297" w:rsidRPr="000F6297" w:rsidRDefault="000F6297" w:rsidP="000F6297">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0F6297">
        <w:rPr>
          <w:rFonts w:ascii="Bookman Old Style" w:hAnsi="Bookman Old Style"/>
          <w:bCs/>
          <w:sz w:val="22"/>
          <w:szCs w:val="22"/>
        </w:rPr>
        <w:t>DETAILED SUMMARY:</w:t>
      </w:r>
    </w:p>
    <w:p w14:paraId="51E8291B"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The purpose of this chapter is to update this rule to reflect changes to the incorporated by reference rules governing the recording of occupational injuries and illnesses as promulgated by the Federal Occupational Safety and Health Administration at 29 CFR Part 1904, most recently amended on January 1, 2024 </w:t>
      </w:r>
    </w:p>
    <w:p w14:paraId="527DCAA6"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w:t>
      </w:r>
    </w:p>
    <w:p w14:paraId="3ED42AFB"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b/>
          <w:bCs/>
          <w:sz w:val="22"/>
          <w:u w:val="single"/>
        </w:rPr>
        <w:t>OSHA Recordkeeping changes effective January 1, 2024:</w:t>
      </w:r>
      <w:r w:rsidRPr="000F6297">
        <w:rPr>
          <w:rFonts w:ascii="Bookman Old Style" w:hAnsi="Bookman Old Style"/>
          <w:sz w:val="22"/>
        </w:rPr>
        <w:t> </w:t>
      </w:r>
    </w:p>
    <w:p w14:paraId="6C81AF81"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w:t>
      </w:r>
    </w:p>
    <w:p w14:paraId="4636DD47"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xml:space="preserve">OSHA has amended its occupational injury and illness recordkeeping regulation to require certain employers to electronically submit injury and illness information to OSHA that employers are already required to keep under the recordkeeping regulation. Specifically, OSHA amended its regulation to require establishments with 100 or more employees in certain designated industries </w:t>
      </w:r>
      <w:r w:rsidRPr="000F6297">
        <w:rPr>
          <w:rFonts w:ascii="Bookman Old Style" w:hAnsi="Bookman Old Style"/>
          <w:b/>
          <w:bCs/>
          <w:sz w:val="22"/>
        </w:rPr>
        <w:t>(Appendix B to Subpart E - new)</w:t>
      </w:r>
      <w:r w:rsidRPr="000F6297">
        <w:rPr>
          <w:rFonts w:ascii="Bookman Old Style" w:hAnsi="Bookman Old Style"/>
          <w:sz w:val="22"/>
        </w:rPr>
        <w:t xml:space="preserve"> to electronically submit information from their OSHA Forms 300 and 301 to OSHA once a year. OSHA will not collect employee names or addresses, names of health care professionals, or names and addresses of facilities where treatment was provided if treatment was provided away from the worksite from the Forms 300 and 301. Establishments with 20 to 249 employees in certain industries (</w:t>
      </w:r>
      <w:r w:rsidRPr="000F6297">
        <w:rPr>
          <w:rFonts w:ascii="Bookman Old Style" w:hAnsi="Bookman Old Style"/>
          <w:b/>
          <w:bCs/>
          <w:sz w:val="22"/>
        </w:rPr>
        <w:t>Appendix A to Subpart E- updated</w:t>
      </w:r>
      <w:r w:rsidRPr="000F6297">
        <w:rPr>
          <w:rFonts w:ascii="Bookman Old Style" w:hAnsi="Bookman Old Style"/>
          <w:sz w:val="22"/>
        </w:rPr>
        <w:t xml:space="preserve">) will continue to be required to electronically submit information from their OSHA Form 300A annual summary to OSHA once a year. All </w:t>
      </w:r>
      <w:r w:rsidRPr="000F6297">
        <w:rPr>
          <w:rFonts w:ascii="Bookman Old Style" w:hAnsi="Bookman Old Style"/>
          <w:sz w:val="22"/>
        </w:rPr>
        <w:lastRenderedPageBreak/>
        <w:t>establishments with 250 or more employees that are required to keep records under OSHA's injury and illness regulation will also continue to be required to electronically submit information from their Form 300A to OSHA on an annual basis.  </w:t>
      </w:r>
    </w:p>
    <w:p w14:paraId="41D3B88C"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w:t>
      </w:r>
    </w:p>
    <w:p w14:paraId="725B9ED5"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OSHA also updated the NAICS codes used in appendix A, which designates the industries required to submit their Form 300A data, and is adding appendix B, which designates the industries required to submit Form 300 and Form 301 data. In addition, establishments will be required to include their company name when making electronic submissions to OSHA. OSHA intends to post some of the data from the annual electronic submissions on a public website after identifying and removing information that could reasonably be expected to identify individuals directly, such as individuals' names and contact information. </w:t>
      </w:r>
    </w:p>
    <w:p w14:paraId="3FE958A0"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w:t>
      </w:r>
    </w:p>
    <w:p w14:paraId="75F9C6B7"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w:t>
      </w:r>
    </w:p>
    <w:tbl>
      <w:tblPr>
        <w:tblW w:w="10440" w:type="dxa"/>
        <w:tblInd w:w="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4410"/>
        <w:gridCol w:w="4770"/>
      </w:tblGrid>
      <w:tr w:rsidR="000F6297" w:rsidRPr="000F6297" w14:paraId="44B95085" w14:textId="77777777" w:rsidTr="000F629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495D75"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b/>
                <w:bCs/>
                <w:sz w:val="22"/>
              </w:rPr>
              <w:t>Size</w:t>
            </w:r>
            <w:r w:rsidRPr="000F6297">
              <w:rPr>
                <w:rFonts w:asciiTheme="minorHAnsi" w:hAnsiTheme="minorHAnsi" w:cstheme="minorHAnsi"/>
                <w:sz w:val="22"/>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3B931876"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b/>
                <w:bCs/>
                <w:sz w:val="22"/>
              </w:rPr>
              <w:t>Submission Requirements up to 12/31/2023</w:t>
            </w:r>
            <w:r w:rsidRPr="000F6297">
              <w:rPr>
                <w:rFonts w:asciiTheme="minorHAnsi" w:hAnsiTheme="minorHAnsi" w:cstheme="minorHAnsi"/>
                <w:sz w:val="22"/>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51E413C"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b/>
                <w:bCs/>
                <w:sz w:val="22"/>
              </w:rPr>
              <w:t>Submission Requirements as of 01/01/2024</w:t>
            </w:r>
            <w:r w:rsidRPr="000F6297">
              <w:rPr>
                <w:rFonts w:asciiTheme="minorHAnsi" w:hAnsiTheme="minorHAnsi" w:cstheme="minorHAnsi"/>
                <w:sz w:val="22"/>
              </w:rPr>
              <w:t> </w:t>
            </w:r>
          </w:p>
        </w:tc>
      </w:tr>
      <w:tr w:rsidR="000F6297" w:rsidRPr="000F6297" w14:paraId="0CB49CEB" w14:textId="77777777" w:rsidTr="000F629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452E13A"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1-19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A97188E"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Injury Tracking Application (ITA) does not apply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195D90D"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Injury Tracking Application (ITA) does not apply </w:t>
            </w:r>
          </w:p>
        </w:tc>
      </w:tr>
      <w:tr w:rsidR="000F6297" w:rsidRPr="000F6297" w14:paraId="0BD8FC63" w14:textId="77777777" w:rsidTr="000F629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F4AB02"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20-99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05111B7"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300A if NAICS in Appendix A to Subpart E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12176D7"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300A if NAICS in Appendix A to Subpart E </w:t>
            </w:r>
          </w:p>
        </w:tc>
      </w:tr>
      <w:tr w:rsidR="000F6297" w:rsidRPr="000F6297" w14:paraId="20333284" w14:textId="77777777" w:rsidTr="000F629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E57131F"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100-249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D8545BC"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300A if NAICS in Appendix A to Subpart E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CD0FCFC"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300A if NAICS in Appendix A to Subpart E </w:t>
            </w:r>
          </w:p>
          <w:p w14:paraId="08863886"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b/>
                <w:bCs/>
                <w:i/>
                <w:iCs/>
                <w:sz w:val="22"/>
              </w:rPr>
              <w:t>300/301 if NAICS in Appendix B to Subpart E</w:t>
            </w:r>
            <w:r w:rsidRPr="000F6297">
              <w:rPr>
                <w:rFonts w:asciiTheme="minorHAnsi" w:hAnsiTheme="minorHAnsi" w:cstheme="minorHAnsi"/>
                <w:sz w:val="22"/>
              </w:rPr>
              <w:t> </w:t>
            </w:r>
          </w:p>
        </w:tc>
      </w:tr>
      <w:tr w:rsidR="000F6297" w:rsidRPr="000F6297" w14:paraId="055C221E" w14:textId="77777777" w:rsidTr="000F629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725B084"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250+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BF1AB7E"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 xml:space="preserve">300A if NAICS </w:t>
            </w:r>
            <w:r w:rsidRPr="000F6297">
              <w:rPr>
                <w:rFonts w:asciiTheme="minorHAnsi" w:hAnsiTheme="minorHAnsi" w:cstheme="minorHAnsi"/>
                <w:i/>
                <w:iCs/>
                <w:sz w:val="22"/>
                <w:u w:val="single"/>
              </w:rPr>
              <w:t>not</w:t>
            </w:r>
            <w:r w:rsidRPr="000F6297">
              <w:rPr>
                <w:rFonts w:asciiTheme="minorHAnsi" w:hAnsiTheme="minorHAnsi" w:cstheme="minorHAnsi"/>
                <w:sz w:val="22"/>
              </w:rPr>
              <w:t xml:space="preserve"> in Appendix A to Subpart B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14CDE0E"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sz w:val="22"/>
              </w:rPr>
              <w:t xml:space="preserve">300A if NAICS </w:t>
            </w:r>
            <w:r w:rsidRPr="000F6297">
              <w:rPr>
                <w:rFonts w:asciiTheme="minorHAnsi" w:hAnsiTheme="minorHAnsi" w:cstheme="minorHAnsi"/>
                <w:i/>
                <w:iCs/>
                <w:sz w:val="22"/>
                <w:u w:val="single"/>
              </w:rPr>
              <w:t>not</w:t>
            </w:r>
            <w:r w:rsidRPr="000F6297">
              <w:rPr>
                <w:rFonts w:asciiTheme="minorHAnsi" w:hAnsiTheme="minorHAnsi" w:cstheme="minorHAnsi"/>
                <w:sz w:val="22"/>
              </w:rPr>
              <w:t xml:space="preserve"> in Appendix A to Subpart B </w:t>
            </w:r>
          </w:p>
          <w:p w14:paraId="2CEFC4C2" w14:textId="77777777" w:rsidR="000F6297" w:rsidRPr="000F6297" w:rsidRDefault="000F6297" w:rsidP="00F100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Theme="minorHAnsi" w:hAnsiTheme="minorHAnsi" w:cstheme="minorHAnsi"/>
                <w:sz w:val="22"/>
              </w:rPr>
            </w:pPr>
            <w:r w:rsidRPr="000F6297">
              <w:rPr>
                <w:rFonts w:asciiTheme="minorHAnsi" w:hAnsiTheme="minorHAnsi" w:cstheme="minorHAnsi"/>
                <w:b/>
                <w:bCs/>
                <w:i/>
                <w:iCs/>
                <w:sz w:val="22"/>
              </w:rPr>
              <w:t>300/301 if NAICS in Appendix B to Subpart E</w:t>
            </w:r>
            <w:r w:rsidRPr="000F6297">
              <w:rPr>
                <w:rFonts w:asciiTheme="minorHAnsi" w:hAnsiTheme="minorHAnsi" w:cstheme="minorHAnsi"/>
                <w:sz w:val="22"/>
              </w:rPr>
              <w:t> </w:t>
            </w:r>
          </w:p>
        </w:tc>
      </w:tr>
    </w:tbl>
    <w:p w14:paraId="3A9591FF"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w:t>
      </w:r>
    </w:p>
    <w:p w14:paraId="170EA6DA"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i/>
          <w:iCs/>
          <w:sz w:val="22"/>
        </w:rPr>
        <w:t xml:space="preserve">Appendix A to Subpart B: Partially exempt industries not ordinarily required to keep OSHA Record. Unchanged. </w:t>
      </w:r>
      <w:r w:rsidRPr="000F6297">
        <w:rPr>
          <w:rFonts w:ascii="Bookman Old Style" w:hAnsi="Bookman Old Style"/>
          <w:sz w:val="22"/>
        </w:rPr>
        <w:t> </w:t>
      </w:r>
    </w:p>
    <w:p w14:paraId="2823AA0D" w14:textId="77777777" w:rsidR="000F6297" w:rsidRPr="000F6297"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 </w:t>
      </w:r>
    </w:p>
    <w:p w14:paraId="7B3F78AE" w14:textId="77777777" w:rsidR="000F6297" w:rsidRPr="005B5B19" w:rsidRDefault="000F6297" w:rsidP="000F629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jc w:val="both"/>
        <w:rPr>
          <w:rFonts w:ascii="Bookman Old Style" w:hAnsi="Bookman Old Style"/>
          <w:sz w:val="22"/>
        </w:rPr>
      </w:pPr>
      <w:r w:rsidRPr="000F6297">
        <w:rPr>
          <w:rFonts w:ascii="Bookman Old Style" w:hAnsi="Bookman Old Style"/>
          <w:sz w:val="22"/>
        </w:rPr>
        <w:t>The Bureau is proposing to update existing language in section 6.8 to reference the newly updated Appendix A to Subpart E for employers who were already required to electronically submit their OSHA 300A log, as well as require public establishments with 100 or more workers to electronically submit their OSHA 300 and OSHA 301 log if their NAICS code appears in the newly added Appendix B to Subpart E.</w:t>
      </w:r>
      <w:r w:rsidRPr="005B5B19">
        <w:rPr>
          <w:rFonts w:ascii="Bookman Old Style" w:hAnsi="Bookman Old Style"/>
          <w:sz w:val="22"/>
        </w:rPr>
        <w:t xml:space="preserve">  </w:t>
      </w:r>
    </w:p>
    <w:p w14:paraId="11CD96DE" w14:textId="77777777" w:rsidR="000F6297" w:rsidRDefault="000F6297" w:rsidP="005B5B19">
      <w:pPr>
        <w:tabs>
          <w:tab w:val="left" w:pos="540"/>
          <w:tab w:val="left" w:pos="10440"/>
        </w:tabs>
        <w:ind w:left="540" w:right="360" w:hanging="540"/>
        <w:rPr>
          <w:rFonts w:ascii="Bookman Old Style" w:hAnsi="Bookman Old Style"/>
          <w:sz w:val="22"/>
          <w:szCs w:val="22"/>
        </w:rPr>
      </w:pPr>
    </w:p>
    <w:p w14:paraId="54C92B54" w14:textId="152399BD" w:rsidR="005B5B19" w:rsidRPr="00784DD1" w:rsidRDefault="005B5B19" w:rsidP="005B5B19">
      <w:pPr>
        <w:tabs>
          <w:tab w:val="left" w:pos="540"/>
          <w:tab w:val="left" w:pos="10440"/>
        </w:tabs>
        <w:ind w:left="540" w:right="360" w:hanging="540"/>
        <w:rPr>
          <w:rFonts w:ascii="Bookman Old Style" w:hAnsi="Bookman Old Style"/>
          <w:sz w:val="22"/>
          <w:szCs w:val="22"/>
        </w:rPr>
      </w:pPr>
      <w:r w:rsidRPr="00784DD1">
        <w:rPr>
          <w:rFonts w:ascii="Bookman Old Style" w:hAnsi="Bookman Old Style"/>
          <w:sz w:val="22"/>
          <w:szCs w:val="22"/>
        </w:rPr>
        <w:t>PUBLIC HEARING: None, unless requested pursuant to 5 M.R.S. § 8052(1).</w:t>
      </w:r>
    </w:p>
    <w:p w14:paraId="657EC9AB" w14:textId="77777777" w:rsidR="005B5B19" w:rsidRPr="00784DD1" w:rsidRDefault="005B5B19" w:rsidP="005B5B19">
      <w:pPr>
        <w:tabs>
          <w:tab w:val="left" w:pos="540"/>
          <w:tab w:val="left" w:pos="10440"/>
        </w:tabs>
        <w:ind w:left="540" w:right="360" w:hanging="540"/>
        <w:rPr>
          <w:rFonts w:ascii="Bookman Old Style" w:hAnsi="Bookman Old Style"/>
          <w:sz w:val="22"/>
          <w:szCs w:val="22"/>
        </w:rPr>
      </w:pPr>
      <w:r w:rsidRPr="00784DD1">
        <w:rPr>
          <w:rFonts w:ascii="Bookman Old Style" w:hAnsi="Bookman Old Style"/>
          <w:sz w:val="22"/>
          <w:szCs w:val="22"/>
        </w:rPr>
        <w:t>COMMENT DEADLINE:   May 17, 2024</w:t>
      </w:r>
    </w:p>
    <w:p w14:paraId="6468B4C2" w14:textId="5B320BD4" w:rsidR="005B5B19" w:rsidRPr="00784DD1" w:rsidRDefault="005B5B19" w:rsidP="00C73067">
      <w:pPr>
        <w:tabs>
          <w:tab w:val="left" w:pos="-1440"/>
          <w:tab w:val="left" w:pos="-720"/>
          <w:tab w:val="left" w:pos="540"/>
          <w:tab w:val="left" w:pos="10440"/>
        </w:tabs>
        <w:rPr>
          <w:rFonts w:ascii="Bookman Old Style" w:hAnsi="Bookman Old Style"/>
          <w:sz w:val="22"/>
          <w:szCs w:val="22"/>
        </w:rPr>
      </w:pPr>
      <w:r w:rsidRPr="00784DD1">
        <w:rPr>
          <w:rFonts w:ascii="Bookman Old Style" w:hAnsi="Bookman Old Style"/>
          <w:sz w:val="22"/>
          <w:szCs w:val="22"/>
        </w:rPr>
        <w:t>CONTACT PERSON FOR THIS FILING</w:t>
      </w:r>
      <w:r w:rsidR="00C73067" w:rsidRPr="00784DD1">
        <w:rPr>
          <w:rFonts w:ascii="Bookman Old Style" w:hAnsi="Bookman Old Style"/>
          <w:sz w:val="22"/>
          <w:szCs w:val="22"/>
        </w:rPr>
        <w:t>/SMALL BUSINESS IMPACT STATEMENT</w:t>
      </w:r>
      <w:r w:rsidRPr="00784DD1">
        <w:rPr>
          <w:rFonts w:ascii="Bookman Old Style" w:hAnsi="Bookman Old Style"/>
          <w:sz w:val="22"/>
          <w:szCs w:val="22"/>
        </w:rPr>
        <w:t>:</w:t>
      </w:r>
      <w:r w:rsidR="00C73067" w:rsidRPr="00784DD1">
        <w:rPr>
          <w:rFonts w:ascii="Bookman Old Style" w:hAnsi="Bookman Old Style"/>
          <w:sz w:val="22"/>
          <w:szCs w:val="22"/>
        </w:rPr>
        <w:t xml:space="preserve"> </w:t>
      </w:r>
      <w:r w:rsidRPr="00784DD1">
        <w:rPr>
          <w:rFonts w:ascii="Bookman Old Style" w:hAnsi="Bookman Old Style"/>
          <w:sz w:val="22"/>
          <w:szCs w:val="22"/>
        </w:rPr>
        <w:t>Isaac H. Gingras</w:t>
      </w:r>
      <w:r w:rsidR="00C73067" w:rsidRPr="00784DD1">
        <w:rPr>
          <w:rFonts w:ascii="Bookman Old Style" w:hAnsi="Bookman Old Style"/>
          <w:sz w:val="22"/>
          <w:szCs w:val="22"/>
        </w:rPr>
        <w:t xml:space="preserve">, </w:t>
      </w:r>
      <w:r w:rsidRPr="00784DD1">
        <w:rPr>
          <w:rFonts w:ascii="Bookman Old Style" w:hAnsi="Bookman Old Style"/>
          <w:sz w:val="22"/>
          <w:szCs w:val="22"/>
        </w:rPr>
        <w:t>Department of Labor</w:t>
      </w:r>
      <w:r w:rsidR="00C73067" w:rsidRPr="00784DD1">
        <w:rPr>
          <w:rFonts w:ascii="Bookman Old Style" w:hAnsi="Bookman Old Style"/>
          <w:sz w:val="22"/>
          <w:szCs w:val="22"/>
        </w:rPr>
        <w:t xml:space="preserve">, </w:t>
      </w:r>
      <w:r w:rsidRPr="00784DD1">
        <w:rPr>
          <w:rFonts w:ascii="Bookman Old Style" w:hAnsi="Bookman Old Style"/>
          <w:sz w:val="22"/>
          <w:szCs w:val="22"/>
        </w:rPr>
        <w:t>54 State House Station</w:t>
      </w:r>
      <w:r w:rsidR="00C73067" w:rsidRPr="00784DD1">
        <w:rPr>
          <w:rFonts w:ascii="Bookman Old Style" w:hAnsi="Bookman Old Style"/>
          <w:sz w:val="22"/>
          <w:szCs w:val="22"/>
        </w:rPr>
        <w:t xml:space="preserve">, </w:t>
      </w:r>
      <w:r w:rsidRPr="00784DD1">
        <w:rPr>
          <w:rFonts w:ascii="Bookman Old Style" w:hAnsi="Bookman Old Style"/>
          <w:sz w:val="22"/>
          <w:szCs w:val="22"/>
        </w:rPr>
        <w:t>Augusta, Maine 04333-0054</w:t>
      </w:r>
      <w:r w:rsidR="00C73067" w:rsidRPr="00784DD1">
        <w:rPr>
          <w:rFonts w:ascii="Bookman Old Style" w:hAnsi="Bookman Old Style"/>
          <w:sz w:val="22"/>
          <w:szCs w:val="22"/>
        </w:rPr>
        <w:t xml:space="preserve">. Telephone:  </w:t>
      </w:r>
      <w:r w:rsidRPr="00784DD1">
        <w:rPr>
          <w:rFonts w:ascii="Bookman Old Style" w:hAnsi="Bookman Old Style"/>
          <w:sz w:val="22"/>
          <w:szCs w:val="22"/>
        </w:rPr>
        <w:t>207-626-6232</w:t>
      </w:r>
      <w:r w:rsidR="00C73067" w:rsidRPr="00784DD1">
        <w:rPr>
          <w:rFonts w:ascii="Bookman Old Style" w:hAnsi="Bookman Old Style"/>
          <w:sz w:val="22"/>
          <w:szCs w:val="22"/>
        </w:rPr>
        <w:t xml:space="preserve">. Email: </w:t>
      </w:r>
      <w:hyperlink r:id="rId16" w:history="1">
        <w:r w:rsidR="00784DD1" w:rsidRPr="00784DD1">
          <w:rPr>
            <w:rStyle w:val="Hyperlink"/>
            <w:rFonts w:ascii="Bookman Old Style" w:hAnsi="Bookman Old Style"/>
            <w:sz w:val="22"/>
            <w:szCs w:val="22"/>
          </w:rPr>
          <w:t>Isaac.H.Gingras@maine.gov</w:t>
        </w:r>
      </w:hyperlink>
    </w:p>
    <w:p w14:paraId="15421F54" w14:textId="2EDB977A" w:rsidR="005B5B19" w:rsidRPr="00784DD1" w:rsidRDefault="005B5B19" w:rsidP="00C73067">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84DD1">
        <w:rPr>
          <w:rFonts w:ascii="Bookman Old Style" w:hAnsi="Bookman Old Style"/>
          <w:color w:val="000000"/>
          <w:sz w:val="22"/>
          <w:szCs w:val="22"/>
          <w:shd w:val="clear" w:color="auto" w:fill="FFFFFF"/>
        </w:rPr>
        <w:t xml:space="preserve">FINANCIAL IMPACT ON MUNICIPALITIES OR COUNTIES </w:t>
      </w:r>
      <w:r w:rsidRPr="00784DD1">
        <w:rPr>
          <w:rFonts w:ascii="Bookman Old Style" w:hAnsi="Bookman Old Style"/>
          <w:i/>
          <w:color w:val="000000"/>
          <w:sz w:val="22"/>
          <w:szCs w:val="22"/>
          <w:shd w:val="clear" w:color="auto" w:fill="FFFFFF"/>
        </w:rPr>
        <w:t>(if any)</w:t>
      </w:r>
      <w:r w:rsidRPr="00784DD1">
        <w:rPr>
          <w:rFonts w:ascii="Bookman Old Style" w:hAnsi="Bookman Old Style"/>
          <w:color w:val="000000"/>
          <w:sz w:val="22"/>
          <w:szCs w:val="22"/>
          <w:shd w:val="clear" w:color="auto" w:fill="FFFFFF"/>
        </w:rPr>
        <w:t>:</w:t>
      </w:r>
      <w:r w:rsidR="00C73067" w:rsidRPr="00784DD1">
        <w:rPr>
          <w:rStyle w:val="apple-converted-space"/>
          <w:rFonts w:ascii="Bookman Old Style" w:hAnsi="Bookman Old Style"/>
          <w:color w:val="000000"/>
          <w:sz w:val="22"/>
          <w:szCs w:val="22"/>
          <w:shd w:val="clear" w:color="auto" w:fill="FFFFFF"/>
        </w:rPr>
        <w:t xml:space="preserve"> </w:t>
      </w:r>
      <w:r w:rsidRPr="00784DD1">
        <w:rPr>
          <w:rStyle w:val="apple-converted-space"/>
          <w:rFonts w:ascii="Bookman Old Style" w:hAnsi="Bookman Old Style"/>
          <w:color w:val="000000" w:themeColor="text1"/>
          <w:sz w:val="22"/>
          <w:szCs w:val="22"/>
        </w:rPr>
        <w:t xml:space="preserve">No impact.  </w:t>
      </w:r>
    </w:p>
    <w:p w14:paraId="5AB49386" w14:textId="77777777" w:rsidR="005B5B19" w:rsidRPr="00784DD1" w:rsidRDefault="005B5B19" w:rsidP="005B5B19">
      <w:pPr>
        <w:tabs>
          <w:tab w:val="left" w:pos="-1440"/>
          <w:tab w:val="left" w:pos="-720"/>
          <w:tab w:val="left" w:pos="540"/>
          <w:tab w:val="left" w:pos="10440"/>
        </w:tabs>
        <w:ind w:right="360"/>
        <w:rPr>
          <w:rFonts w:ascii="Bookman Old Style" w:hAnsi="Bookman Old Style"/>
          <w:sz w:val="22"/>
          <w:szCs w:val="22"/>
        </w:rPr>
      </w:pPr>
      <w:r w:rsidRPr="00784DD1">
        <w:rPr>
          <w:rFonts w:ascii="Bookman Old Style" w:hAnsi="Bookman Old Style"/>
          <w:sz w:val="22"/>
          <w:szCs w:val="22"/>
        </w:rPr>
        <w:t>STATUTORY AUTHORITY FOR THIS RULE: 26 M.R.S.A. §565</w:t>
      </w:r>
    </w:p>
    <w:p w14:paraId="130F2F12" w14:textId="18DD00EB" w:rsidR="005B5B19" w:rsidRPr="00784DD1" w:rsidRDefault="005B5B19" w:rsidP="005B5B19">
      <w:pPr>
        <w:tabs>
          <w:tab w:val="left" w:pos="-1440"/>
          <w:tab w:val="left" w:pos="-720"/>
          <w:tab w:val="left" w:pos="540"/>
          <w:tab w:val="left" w:pos="10440"/>
        </w:tabs>
        <w:ind w:right="360"/>
        <w:rPr>
          <w:rFonts w:ascii="Bookman Old Style" w:hAnsi="Bookman Old Style"/>
          <w:sz w:val="22"/>
          <w:szCs w:val="22"/>
        </w:rPr>
      </w:pPr>
      <w:r w:rsidRPr="00784DD1">
        <w:rPr>
          <w:rFonts w:ascii="Bookman Old Style" w:hAnsi="Bookman Old Style"/>
          <w:sz w:val="22"/>
          <w:szCs w:val="22"/>
        </w:rPr>
        <w:t>SUBSTANTIVE STATE OR FEDERAL LAW BEING IMPLEMENTED:</w:t>
      </w:r>
      <w:r w:rsidR="00C73067" w:rsidRPr="00784DD1">
        <w:rPr>
          <w:rFonts w:ascii="Bookman Old Style" w:hAnsi="Bookman Old Style"/>
          <w:sz w:val="22"/>
          <w:szCs w:val="22"/>
        </w:rPr>
        <w:t xml:space="preserve"> N/A</w:t>
      </w:r>
      <w:r w:rsidRPr="00784DD1">
        <w:rPr>
          <w:rFonts w:ascii="Bookman Old Style" w:hAnsi="Bookman Old Style"/>
          <w:sz w:val="22"/>
          <w:szCs w:val="22"/>
        </w:rPr>
        <w:t xml:space="preserve"> </w:t>
      </w:r>
    </w:p>
    <w:p w14:paraId="796ABD76" w14:textId="77777777" w:rsidR="005B5B19" w:rsidRPr="00784DD1" w:rsidRDefault="005B5B19" w:rsidP="005B5B19">
      <w:pPr>
        <w:tabs>
          <w:tab w:val="left" w:pos="-1440"/>
          <w:tab w:val="left" w:pos="-720"/>
          <w:tab w:val="left" w:pos="540"/>
          <w:tab w:val="left" w:pos="10440"/>
        </w:tabs>
        <w:ind w:right="360"/>
        <w:rPr>
          <w:rFonts w:ascii="Bookman Old Style" w:hAnsi="Bookman Old Style"/>
          <w:sz w:val="22"/>
          <w:szCs w:val="22"/>
        </w:rPr>
      </w:pPr>
      <w:r w:rsidRPr="00784DD1">
        <w:rPr>
          <w:rFonts w:ascii="Bookman Old Style" w:hAnsi="Bookman Old Style"/>
          <w:sz w:val="22"/>
          <w:szCs w:val="22"/>
        </w:rPr>
        <w:t>AGENCY WEBSITE: http://www.maine.gov/labor/rulemaking</w:t>
      </w:r>
    </w:p>
    <w:p w14:paraId="29ABAF19" w14:textId="77777777" w:rsidR="005B5B19" w:rsidRPr="00784DD1" w:rsidRDefault="005B5B19" w:rsidP="005B5B19">
      <w:pPr>
        <w:tabs>
          <w:tab w:val="left" w:pos="-1440"/>
          <w:tab w:val="left" w:pos="-720"/>
          <w:tab w:val="left" w:pos="540"/>
          <w:tab w:val="left" w:pos="10440"/>
        </w:tabs>
        <w:ind w:right="360"/>
        <w:rPr>
          <w:rFonts w:ascii="Bookman Old Style" w:hAnsi="Bookman Old Style"/>
          <w:sz w:val="22"/>
          <w:szCs w:val="22"/>
        </w:rPr>
      </w:pPr>
      <w:r w:rsidRPr="00784DD1">
        <w:rPr>
          <w:rFonts w:ascii="Bookman Old Style" w:hAnsi="Bookman Old Style"/>
          <w:sz w:val="22"/>
          <w:szCs w:val="22"/>
        </w:rPr>
        <w:t>E-MAIL FOR OVERALL AGENCY RULE-MAKING LIAISON: Isaac.H.Gingras@maine.gov</w:t>
      </w:r>
    </w:p>
    <w:p w14:paraId="3A690DBA" w14:textId="77777777" w:rsidR="005B5B19" w:rsidRPr="006173A1" w:rsidRDefault="005B5B19" w:rsidP="005B5B19">
      <w:pPr>
        <w:tabs>
          <w:tab w:val="right" w:pos="9360"/>
          <w:tab w:val="left" w:pos="10440"/>
        </w:tabs>
        <w:ind w:right="360"/>
        <w:jc w:val="center"/>
        <w:rPr>
          <w:rFonts w:ascii="Times New Roman" w:hAnsi="Times New Roman"/>
          <w:i/>
          <w:sz w:val="16"/>
          <w:szCs w:val="16"/>
        </w:rPr>
      </w:pPr>
    </w:p>
    <w:p w14:paraId="6B406286" w14:textId="77777777" w:rsidR="005B5B19" w:rsidRPr="006173A1" w:rsidRDefault="005B5B19" w:rsidP="005B5B19">
      <w:pPr>
        <w:pBdr>
          <w:top w:val="single" w:sz="4" w:space="1" w:color="auto"/>
        </w:pBdr>
        <w:tabs>
          <w:tab w:val="right" w:pos="9360"/>
          <w:tab w:val="left" w:pos="10440"/>
        </w:tabs>
        <w:ind w:right="360"/>
        <w:rPr>
          <w:rFonts w:ascii="Times New Roman" w:hAnsi="Times New Roman"/>
          <w:sz w:val="16"/>
          <w:szCs w:val="16"/>
        </w:rPr>
      </w:pPr>
    </w:p>
    <w:p w14:paraId="3599D5B1" w14:textId="77777777" w:rsidR="005B5B19" w:rsidRDefault="005B5B19" w:rsidP="00AA371C">
      <w:pPr>
        <w:tabs>
          <w:tab w:val="left" w:pos="-1440"/>
          <w:tab w:val="left" w:pos="-720"/>
          <w:tab w:val="left" w:pos="4320"/>
          <w:tab w:val="left" w:pos="10440"/>
        </w:tabs>
        <w:ind w:right="360"/>
        <w:rPr>
          <w:rFonts w:ascii="Bookman Old Style" w:hAnsi="Bookman Old Style"/>
          <w:sz w:val="22"/>
          <w:szCs w:val="22"/>
        </w:rPr>
      </w:pPr>
    </w:p>
    <w:p w14:paraId="641603A8" w14:textId="77777777" w:rsidR="005B5B19" w:rsidRDefault="005B5B19" w:rsidP="00AA371C">
      <w:pPr>
        <w:tabs>
          <w:tab w:val="left" w:pos="-1440"/>
          <w:tab w:val="left" w:pos="-720"/>
          <w:tab w:val="left" w:pos="4320"/>
          <w:tab w:val="left" w:pos="10440"/>
        </w:tabs>
        <w:ind w:right="360"/>
        <w:rPr>
          <w:rFonts w:ascii="Bookman Old Style" w:hAnsi="Bookman Old Style"/>
          <w:sz w:val="22"/>
          <w:szCs w:val="22"/>
        </w:rPr>
      </w:pPr>
    </w:p>
    <w:p w14:paraId="13240BD0" w14:textId="5090323A" w:rsidR="001452DC" w:rsidRPr="00BA61BF" w:rsidRDefault="00576F7E" w:rsidP="00432DF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lastRenderedPageBreak/>
        <w:t>ADOPTIONS</w:t>
      </w:r>
    </w:p>
    <w:p w14:paraId="25C035EA" w14:textId="7B92B928" w:rsidR="00CE5517" w:rsidRDefault="00CE5517" w:rsidP="00432DF7">
      <w:pPr>
        <w:keepNext/>
        <w:keepLines/>
        <w:tabs>
          <w:tab w:val="left" w:pos="-1440"/>
          <w:tab w:val="left" w:pos="-720"/>
          <w:tab w:val="left" w:pos="4320"/>
          <w:tab w:val="left" w:pos="10440"/>
        </w:tabs>
        <w:rPr>
          <w:rFonts w:ascii="Bookman Old Style" w:hAnsi="Bookman Old Style"/>
          <w:sz w:val="22"/>
          <w:szCs w:val="22"/>
        </w:rPr>
      </w:pPr>
      <w:bookmarkStart w:id="1" w:name="_Hlk124326626"/>
      <w:bookmarkEnd w:id="1"/>
    </w:p>
    <w:p w14:paraId="5E743EEC" w14:textId="1223CAD9" w:rsidR="000F6297" w:rsidRPr="000F6297" w:rsidRDefault="000F6297" w:rsidP="000F6297">
      <w:pPr>
        <w:keepNext/>
        <w:keepLines/>
        <w:tabs>
          <w:tab w:val="left" w:pos="-1440"/>
          <w:tab w:val="left" w:pos="-720"/>
          <w:tab w:val="left" w:pos="4320"/>
          <w:tab w:val="left" w:pos="10440"/>
        </w:tabs>
        <w:rPr>
          <w:rFonts w:ascii="Bookman Old Style" w:hAnsi="Bookman Old Style"/>
          <w:sz w:val="22"/>
          <w:szCs w:val="22"/>
        </w:rPr>
      </w:pPr>
      <w:r w:rsidRPr="00175CE7">
        <w:rPr>
          <w:rFonts w:ascii="Bookman Old Style" w:hAnsi="Bookman Old Style"/>
          <w:bCs/>
          <w:sz w:val="22"/>
          <w:szCs w:val="22"/>
        </w:rPr>
        <w:t>AGENCY:</w:t>
      </w:r>
      <w:r w:rsidRPr="000F6297">
        <w:rPr>
          <w:rFonts w:ascii="Bookman Old Style" w:hAnsi="Bookman Old Style"/>
          <w:sz w:val="22"/>
          <w:szCs w:val="22"/>
        </w:rPr>
        <w:t xml:space="preserve">  </w:t>
      </w:r>
      <w:r w:rsidR="00175CE7" w:rsidRPr="00175CE7">
        <w:rPr>
          <w:rFonts w:ascii="Bookman Old Style" w:hAnsi="Bookman Old Style"/>
          <w:b/>
          <w:bCs/>
          <w:sz w:val="22"/>
          <w:szCs w:val="22"/>
        </w:rPr>
        <w:t>10-144 -</w:t>
      </w:r>
      <w:r w:rsidR="00175CE7">
        <w:rPr>
          <w:rFonts w:ascii="Bookman Old Style" w:hAnsi="Bookman Old Style"/>
          <w:sz w:val="22"/>
          <w:szCs w:val="22"/>
        </w:rPr>
        <w:t xml:space="preserve"> </w:t>
      </w:r>
      <w:r w:rsidRPr="000F6297">
        <w:rPr>
          <w:rFonts w:ascii="Bookman Old Style" w:hAnsi="Bookman Old Style"/>
          <w:sz w:val="22"/>
          <w:szCs w:val="22"/>
        </w:rPr>
        <w:t xml:space="preserve">Department of Health and Human Services, </w:t>
      </w:r>
      <w:proofErr w:type="spellStart"/>
      <w:r w:rsidRPr="00175CE7">
        <w:rPr>
          <w:rFonts w:ascii="Bookman Old Style" w:hAnsi="Bookman Old Style"/>
          <w:b/>
          <w:bCs/>
          <w:sz w:val="22"/>
          <w:szCs w:val="22"/>
        </w:rPr>
        <w:t>MaineCare</w:t>
      </w:r>
      <w:proofErr w:type="spellEnd"/>
      <w:r w:rsidRPr="00175CE7">
        <w:rPr>
          <w:rFonts w:ascii="Bookman Old Style" w:hAnsi="Bookman Old Style"/>
          <w:b/>
          <w:bCs/>
          <w:sz w:val="22"/>
          <w:szCs w:val="22"/>
        </w:rPr>
        <w:t xml:space="preserve"> Services</w:t>
      </w:r>
    </w:p>
    <w:p w14:paraId="6592CBC1" w14:textId="77777777" w:rsidR="000F6297" w:rsidRPr="000F6297" w:rsidRDefault="000F6297" w:rsidP="000F6297">
      <w:pPr>
        <w:keepNext/>
        <w:keepLines/>
        <w:tabs>
          <w:tab w:val="left" w:pos="-1440"/>
          <w:tab w:val="left" w:pos="-720"/>
          <w:tab w:val="left" w:pos="4320"/>
          <w:tab w:val="left" w:pos="10440"/>
        </w:tabs>
        <w:rPr>
          <w:rFonts w:ascii="Bookman Old Style" w:hAnsi="Bookman Old Style"/>
          <w:sz w:val="22"/>
          <w:szCs w:val="22"/>
        </w:rPr>
      </w:pPr>
      <w:r w:rsidRPr="00175CE7">
        <w:rPr>
          <w:rFonts w:ascii="Bookman Old Style" w:hAnsi="Bookman Old Style"/>
          <w:bCs/>
          <w:sz w:val="22"/>
          <w:szCs w:val="22"/>
        </w:rPr>
        <w:t>CHAPTER NUMBER AND TITLE:</w:t>
      </w:r>
      <w:r w:rsidRPr="000F6297">
        <w:rPr>
          <w:rFonts w:ascii="Bookman Old Style" w:hAnsi="Bookman Old Style"/>
          <w:b/>
          <w:sz w:val="22"/>
          <w:szCs w:val="22"/>
        </w:rPr>
        <w:t xml:space="preserve"> </w:t>
      </w:r>
      <w:r w:rsidRPr="000F6297">
        <w:rPr>
          <w:rFonts w:ascii="Bookman Old Style" w:hAnsi="Bookman Old Style"/>
          <w:sz w:val="22"/>
          <w:szCs w:val="22"/>
        </w:rPr>
        <w:t xml:space="preserve"> 10-144 C.M.R. </w:t>
      </w:r>
      <w:r w:rsidRPr="00175CE7">
        <w:rPr>
          <w:rFonts w:ascii="Bookman Old Style" w:hAnsi="Bookman Old Style"/>
          <w:b/>
          <w:bCs/>
          <w:sz w:val="22"/>
          <w:szCs w:val="22"/>
        </w:rPr>
        <w:t>Chapter 101,</w:t>
      </w:r>
      <w:r w:rsidRPr="000F6297">
        <w:rPr>
          <w:rFonts w:ascii="Bookman Old Style" w:hAnsi="Bookman Old Style"/>
          <w:sz w:val="22"/>
          <w:szCs w:val="22"/>
        </w:rPr>
        <w:t xml:space="preserve"> </w:t>
      </w:r>
      <w:proofErr w:type="spellStart"/>
      <w:r w:rsidRPr="000F6297">
        <w:rPr>
          <w:rFonts w:ascii="Bookman Old Style" w:hAnsi="Bookman Old Style"/>
          <w:sz w:val="22"/>
          <w:szCs w:val="22"/>
        </w:rPr>
        <w:t>MaineCare</w:t>
      </w:r>
      <w:proofErr w:type="spellEnd"/>
      <w:r w:rsidRPr="000F6297">
        <w:rPr>
          <w:rFonts w:ascii="Bookman Old Style" w:hAnsi="Bookman Old Style"/>
          <w:sz w:val="22"/>
          <w:szCs w:val="22"/>
        </w:rPr>
        <w:t xml:space="preserve"> Benefits Manual,</w:t>
      </w:r>
    </w:p>
    <w:p w14:paraId="4B9FA65F" w14:textId="77777777" w:rsidR="000F6297" w:rsidRPr="000F6297" w:rsidRDefault="000F6297" w:rsidP="000F6297">
      <w:pPr>
        <w:keepNext/>
        <w:keepLines/>
        <w:tabs>
          <w:tab w:val="left" w:pos="-1440"/>
          <w:tab w:val="left" w:pos="-720"/>
          <w:tab w:val="left" w:pos="4320"/>
          <w:tab w:val="left" w:pos="10440"/>
        </w:tabs>
        <w:rPr>
          <w:rFonts w:ascii="Bookman Old Style" w:hAnsi="Bookman Old Style"/>
          <w:sz w:val="22"/>
          <w:szCs w:val="22"/>
        </w:rPr>
      </w:pPr>
      <w:r w:rsidRPr="000F6297">
        <w:rPr>
          <w:rFonts w:ascii="Bookman Old Style" w:hAnsi="Bookman Old Style"/>
          <w:sz w:val="22"/>
          <w:szCs w:val="22"/>
        </w:rPr>
        <w:t>Chapter II, Section 94, Early and Periodic Screening, Diagnosis and Treatment Services (EPSDT)</w:t>
      </w:r>
    </w:p>
    <w:p w14:paraId="0FF48FB1" w14:textId="7D15AC90" w:rsidR="000F6297" w:rsidRPr="000F6297" w:rsidRDefault="000F6297" w:rsidP="000F6297">
      <w:pPr>
        <w:keepNext/>
        <w:keepLines/>
        <w:tabs>
          <w:tab w:val="left" w:pos="-1440"/>
          <w:tab w:val="left" w:pos="-720"/>
          <w:tab w:val="left" w:pos="4320"/>
          <w:tab w:val="left" w:pos="10440"/>
        </w:tabs>
        <w:rPr>
          <w:rFonts w:ascii="Bookman Old Style" w:hAnsi="Bookman Old Style"/>
          <w:b/>
          <w:sz w:val="22"/>
          <w:szCs w:val="22"/>
        </w:rPr>
      </w:pPr>
      <w:r w:rsidRPr="00175CE7">
        <w:rPr>
          <w:rFonts w:ascii="Bookman Old Style" w:hAnsi="Bookman Old Style"/>
          <w:bCs/>
          <w:sz w:val="22"/>
          <w:szCs w:val="22"/>
        </w:rPr>
        <w:t>ADOPTED RULE NUMBER:</w:t>
      </w:r>
      <w:r>
        <w:rPr>
          <w:rFonts w:ascii="Bookman Old Style" w:hAnsi="Bookman Old Style"/>
          <w:b/>
          <w:sz w:val="22"/>
          <w:szCs w:val="22"/>
        </w:rPr>
        <w:t xml:space="preserve"> 2024-087</w:t>
      </w:r>
    </w:p>
    <w:p w14:paraId="10C53C7A" w14:textId="77777777" w:rsidR="000F6297" w:rsidRDefault="000F6297" w:rsidP="000F6297">
      <w:pPr>
        <w:keepNext/>
        <w:keepLines/>
        <w:tabs>
          <w:tab w:val="left" w:pos="-1440"/>
          <w:tab w:val="left" w:pos="-720"/>
          <w:tab w:val="left" w:pos="4320"/>
          <w:tab w:val="left" w:pos="10440"/>
        </w:tabs>
        <w:rPr>
          <w:rFonts w:ascii="Bookman Old Style" w:hAnsi="Bookman Old Style"/>
          <w:sz w:val="22"/>
          <w:szCs w:val="22"/>
        </w:rPr>
      </w:pPr>
      <w:r w:rsidRPr="000F6297">
        <w:rPr>
          <w:rFonts w:ascii="Bookman Old Style" w:hAnsi="Bookman Old Style"/>
          <w:b/>
          <w:sz w:val="22"/>
          <w:szCs w:val="22"/>
        </w:rPr>
        <w:t xml:space="preserve">CONCISE SUMMARY: </w:t>
      </w:r>
      <w:r w:rsidRPr="000F6297">
        <w:rPr>
          <w:rFonts w:ascii="Bookman Old Style" w:hAnsi="Bookman Old Style"/>
          <w:sz w:val="22"/>
          <w:szCs w:val="22"/>
        </w:rPr>
        <w:t xml:space="preserve"> </w:t>
      </w:r>
    </w:p>
    <w:p w14:paraId="677F9347" w14:textId="77777777" w:rsidR="000F6297" w:rsidRPr="000F6297" w:rsidRDefault="000F6297" w:rsidP="000F6297">
      <w:pPr>
        <w:keepNext/>
        <w:keepLines/>
        <w:tabs>
          <w:tab w:val="left" w:pos="-1440"/>
          <w:tab w:val="left" w:pos="-720"/>
          <w:tab w:val="left" w:pos="4320"/>
          <w:tab w:val="left" w:pos="10440"/>
        </w:tabs>
        <w:rPr>
          <w:rFonts w:ascii="Bookman Old Style" w:hAnsi="Bookman Old Style"/>
          <w:sz w:val="22"/>
          <w:szCs w:val="22"/>
        </w:rPr>
      </w:pPr>
    </w:p>
    <w:p w14:paraId="1B5808F7"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 xml:space="preserve">The Department of Health and Human Services (Department) finally adopts the rule changes in 10-144 C.M.R., Chapter 101, </w:t>
      </w:r>
      <w:proofErr w:type="spellStart"/>
      <w:r w:rsidRPr="000F6297">
        <w:rPr>
          <w:rFonts w:ascii="Bookman Old Style" w:hAnsi="Bookman Old Style"/>
          <w:sz w:val="22"/>
          <w:szCs w:val="22"/>
        </w:rPr>
        <w:t>MaineCare</w:t>
      </w:r>
      <w:proofErr w:type="spellEnd"/>
      <w:r w:rsidRPr="000F6297">
        <w:rPr>
          <w:rFonts w:ascii="Bookman Old Style" w:hAnsi="Bookman Old Style"/>
          <w:sz w:val="22"/>
          <w:szCs w:val="22"/>
        </w:rPr>
        <w:t xml:space="preserve"> Benefits Manual, Chapter II, Section 94, </w:t>
      </w:r>
      <w:bookmarkStart w:id="2" w:name="_Hlk152846041"/>
      <w:r w:rsidRPr="000F6297">
        <w:rPr>
          <w:rFonts w:ascii="Bookman Old Style" w:hAnsi="Bookman Old Style"/>
          <w:sz w:val="22"/>
          <w:szCs w:val="22"/>
        </w:rPr>
        <w:t>Early and Periodic Screening, Diagnosis and Treatment Services (EPSDT)</w:t>
      </w:r>
      <w:bookmarkEnd w:id="2"/>
      <w:r w:rsidRPr="000F6297">
        <w:rPr>
          <w:rFonts w:ascii="Bookman Old Style" w:hAnsi="Bookman Old Style"/>
          <w:sz w:val="22"/>
          <w:szCs w:val="22"/>
        </w:rPr>
        <w:t>.</w:t>
      </w:r>
    </w:p>
    <w:p w14:paraId="1B5CA534"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p>
    <w:p w14:paraId="4C3A7B94"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This adopted rulemaking makes the following changes:</w:t>
      </w:r>
    </w:p>
    <w:p w14:paraId="7AA3C5BD"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p>
    <w:p w14:paraId="77E5CFDB" w14:textId="77777777" w:rsidR="000F6297" w:rsidRPr="000F6297" w:rsidRDefault="000F6297" w:rsidP="000F6297">
      <w:pPr>
        <w:keepNext/>
        <w:keepLines/>
        <w:numPr>
          <w:ilvl w:val="0"/>
          <w:numId w:val="35"/>
        </w:numPr>
        <w:tabs>
          <w:tab w:val="left" w:pos="-1440"/>
          <w:tab w:val="left" w:pos="-720"/>
          <w:tab w:val="left" w:pos="4320"/>
          <w:tab w:val="left" w:pos="10440"/>
        </w:tabs>
        <w:ind w:left="1440"/>
        <w:rPr>
          <w:rFonts w:ascii="Bookman Old Style" w:hAnsi="Bookman Old Style"/>
          <w:sz w:val="22"/>
          <w:szCs w:val="22"/>
        </w:rPr>
      </w:pPr>
      <w:r w:rsidRPr="000F6297">
        <w:rPr>
          <w:rFonts w:ascii="Bookman Old Style" w:hAnsi="Bookman Old Style"/>
          <w:sz w:val="22"/>
          <w:szCs w:val="22"/>
          <w:u w:val="single"/>
        </w:rPr>
        <w:t>Addition of well-child visit</w:t>
      </w:r>
      <w:r w:rsidRPr="000F6297">
        <w:rPr>
          <w:rFonts w:ascii="Bookman Old Style" w:hAnsi="Bookman Old Style"/>
          <w:sz w:val="22"/>
          <w:szCs w:val="22"/>
        </w:rPr>
        <w:t xml:space="preserve">: In response to the COVID-19 pandemic, on May 13, 2020, the Department adopted on an emergency basis </w:t>
      </w:r>
      <w:proofErr w:type="spellStart"/>
      <w:r w:rsidRPr="000F6297">
        <w:rPr>
          <w:rFonts w:ascii="Bookman Old Style" w:hAnsi="Bookman Old Style"/>
          <w:sz w:val="22"/>
          <w:szCs w:val="22"/>
        </w:rPr>
        <w:t>MaineCare</w:t>
      </w:r>
      <w:proofErr w:type="spellEnd"/>
      <w:r w:rsidRPr="000F6297">
        <w:rPr>
          <w:rFonts w:ascii="Bookman Old Style" w:hAnsi="Bookman Old Style"/>
          <w:sz w:val="22"/>
          <w:szCs w:val="22"/>
        </w:rPr>
        <w:t xml:space="preserve"> Benefits Manual, Ch. I, Section 5, COVID-19 Public Health Emergency Services, which allowed members to receive a second well-child visit when an initial visit was completed via telehealth. This adopted rule permanently adds that extra visit as a new service in Section 94.06-1 to expand access to services. </w:t>
      </w:r>
    </w:p>
    <w:p w14:paraId="4663E97D"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p>
    <w:p w14:paraId="02012DAA" w14:textId="77777777" w:rsidR="000F6297" w:rsidRPr="000F6297" w:rsidRDefault="000F6297" w:rsidP="000F6297">
      <w:pPr>
        <w:keepNext/>
        <w:keepLines/>
        <w:numPr>
          <w:ilvl w:val="0"/>
          <w:numId w:val="35"/>
        </w:numPr>
        <w:tabs>
          <w:tab w:val="left" w:pos="-1440"/>
          <w:tab w:val="left" w:pos="-720"/>
          <w:tab w:val="left" w:pos="4320"/>
          <w:tab w:val="left" w:pos="10440"/>
        </w:tabs>
        <w:ind w:left="1440"/>
        <w:rPr>
          <w:rFonts w:ascii="Bookman Old Style" w:hAnsi="Bookman Old Style"/>
          <w:sz w:val="22"/>
          <w:szCs w:val="22"/>
        </w:rPr>
      </w:pPr>
      <w:r w:rsidRPr="000F6297">
        <w:rPr>
          <w:rFonts w:ascii="Bookman Old Style" w:hAnsi="Bookman Old Style"/>
          <w:sz w:val="22"/>
          <w:szCs w:val="22"/>
          <w:u w:val="single"/>
        </w:rPr>
        <w:t>Immunizations</w:t>
      </w:r>
      <w:r w:rsidRPr="000F6297">
        <w:rPr>
          <w:rFonts w:ascii="Bookman Old Style" w:hAnsi="Bookman Old Style"/>
          <w:sz w:val="22"/>
          <w:szCs w:val="22"/>
        </w:rPr>
        <w:t>: The adopted rule adds coverage for immunization counseling in Section 94.04-4 in response to the Center for Medicare &amp; Medicaid Services State Health Official letter #22-002.</w:t>
      </w:r>
    </w:p>
    <w:p w14:paraId="024190A7"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p>
    <w:p w14:paraId="28570B7F" w14:textId="77777777" w:rsidR="000F6297" w:rsidRPr="000F6297" w:rsidRDefault="000F6297" w:rsidP="000F6297">
      <w:pPr>
        <w:keepNext/>
        <w:keepLines/>
        <w:numPr>
          <w:ilvl w:val="0"/>
          <w:numId w:val="35"/>
        </w:numPr>
        <w:tabs>
          <w:tab w:val="left" w:pos="-1440"/>
          <w:tab w:val="left" w:pos="-720"/>
          <w:tab w:val="left" w:pos="4320"/>
          <w:tab w:val="left" w:pos="10440"/>
        </w:tabs>
        <w:ind w:left="1440"/>
        <w:rPr>
          <w:rFonts w:ascii="Bookman Old Style" w:hAnsi="Bookman Old Style"/>
          <w:sz w:val="22"/>
          <w:szCs w:val="22"/>
        </w:rPr>
      </w:pPr>
      <w:r w:rsidRPr="000F6297">
        <w:rPr>
          <w:rFonts w:ascii="Bookman Old Style" w:hAnsi="Bookman Old Style"/>
          <w:sz w:val="22"/>
          <w:szCs w:val="22"/>
          <w:u w:val="single"/>
        </w:rPr>
        <w:t>Bright Futures Periodicity Schedule</w:t>
      </w:r>
      <w:r w:rsidRPr="000F6297">
        <w:rPr>
          <w:rFonts w:ascii="Bookman Old Style" w:hAnsi="Bookman Old Style"/>
          <w:sz w:val="22"/>
          <w:szCs w:val="22"/>
        </w:rPr>
        <w:t xml:space="preserve">: The adopted rule deletes Appendix I – Recommendations for Preventive Pediatric Health Care Committee on Practice and Ambulatory Medicine. After conferring with the Office of the Attorney General, the adopted rule provides that </w:t>
      </w:r>
      <w:proofErr w:type="spellStart"/>
      <w:r w:rsidRPr="000F6297">
        <w:rPr>
          <w:rFonts w:ascii="Bookman Old Style" w:hAnsi="Bookman Old Style"/>
          <w:sz w:val="22"/>
          <w:szCs w:val="22"/>
        </w:rPr>
        <w:t>MaineCare</w:t>
      </w:r>
      <w:proofErr w:type="spellEnd"/>
      <w:r w:rsidRPr="000F6297">
        <w:rPr>
          <w:rFonts w:ascii="Bookman Old Style" w:hAnsi="Bookman Old Style"/>
          <w:sz w:val="22"/>
          <w:szCs w:val="22"/>
        </w:rPr>
        <w:t xml:space="preserve"> has adopted the 2022 4</w:t>
      </w:r>
      <w:r w:rsidRPr="000F6297">
        <w:rPr>
          <w:rFonts w:ascii="Bookman Old Style" w:hAnsi="Bookman Old Style"/>
          <w:sz w:val="22"/>
          <w:szCs w:val="22"/>
          <w:vertAlign w:val="superscript"/>
        </w:rPr>
        <w:t>th</w:t>
      </w:r>
      <w:r w:rsidRPr="000F6297">
        <w:rPr>
          <w:rFonts w:ascii="Bookman Old Style" w:hAnsi="Bookman Old Style"/>
          <w:sz w:val="22"/>
          <w:szCs w:val="22"/>
        </w:rPr>
        <w:t xml:space="preserve"> edition of the American Academy of Pediatrics Bright Futures Recommendations for Preventive Pediatric Health Care (Bright Futures Periodicity Schedule) and incorporates it by reference in the rule. The Bright Futures Periodicity Schedule is available online at the American Academy of Pediatrics website and upon request to the Office of </w:t>
      </w:r>
      <w:proofErr w:type="spellStart"/>
      <w:r w:rsidRPr="000F6297">
        <w:rPr>
          <w:rFonts w:ascii="Bookman Old Style" w:hAnsi="Bookman Old Style"/>
          <w:sz w:val="22"/>
          <w:szCs w:val="22"/>
        </w:rPr>
        <w:t>MaineCare</w:t>
      </w:r>
      <w:proofErr w:type="spellEnd"/>
      <w:r w:rsidRPr="000F6297">
        <w:rPr>
          <w:rFonts w:ascii="Bookman Old Style" w:hAnsi="Bookman Old Style"/>
          <w:sz w:val="22"/>
          <w:szCs w:val="22"/>
        </w:rPr>
        <w:t xml:space="preserve"> Services at https://www.maine.gov/dhhs/oms and a copy of such was filed with the Secretary of State’s office with this rulemaking, in accord with 5 M.R.S. 8056(B).                        </w:t>
      </w:r>
    </w:p>
    <w:p w14:paraId="2E60D3C9"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p>
    <w:p w14:paraId="53A9913F"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u w:val="single"/>
        </w:rPr>
        <w:t>Section 94.02-2 (Eligibility for Services)</w:t>
      </w:r>
      <w:r w:rsidRPr="000F6297">
        <w:rPr>
          <w:rFonts w:ascii="Bookman Old Style" w:hAnsi="Bookman Old Style"/>
          <w:sz w:val="22"/>
          <w:szCs w:val="22"/>
        </w:rPr>
        <w:t xml:space="preserve">: The Department has decided to not adopt the proposed provision which would have added a certain group of pregnant individuals as being eligible for EPSDT services, after conferring with the Office of the Attorney General. That group of pregnant individuals, eligible under what is also known as the “Unborn Child Option”, is eligible for services under the Maine CHIP program. See 67 Fed. Reg. 61974 (Oct. 2, 2002)(42 C.F.R. Sec. 457.10, amending the definition of “child”). Maine offers medical services to this group under its CHIP program, see </w:t>
      </w:r>
      <w:proofErr w:type="spellStart"/>
      <w:r w:rsidRPr="000F6297">
        <w:rPr>
          <w:rFonts w:ascii="Bookman Old Style" w:hAnsi="Bookman Old Style"/>
          <w:sz w:val="22"/>
          <w:szCs w:val="22"/>
        </w:rPr>
        <w:t>MaineCare</w:t>
      </w:r>
      <w:proofErr w:type="spellEnd"/>
      <w:r w:rsidRPr="000F6297">
        <w:rPr>
          <w:rFonts w:ascii="Bookman Old Style" w:hAnsi="Bookman Old Style"/>
          <w:sz w:val="22"/>
          <w:szCs w:val="22"/>
        </w:rPr>
        <w:t xml:space="preserve"> Eligibility Manual, 10-144 CMR Ch. 332, Part 3, Section 2.3(III)(Coverage for Pregnant Individuals for the Health of Unborn Children), including EPSDT-like services.  </w:t>
      </w:r>
    </w:p>
    <w:p w14:paraId="2B3605D0"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p>
    <w:p w14:paraId="5289D3EE"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bCs/>
          <w:sz w:val="22"/>
          <w:szCs w:val="22"/>
        </w:rPr>
      </w:pPr>
      <w:r w:rsidRPr="000F6297">
        <w:rPr>
          <w:rFonts w:ascii="Bookman Old Style" w:hAnsi="Bookman Old Style"/>
          <w:sz w:val="22"/>
          <w:szCs w:val="22"/>
        </w:rPr>
        <w:t xml:space="preserve">See </w:t>
      </w:r>
      <w:hyperlink r:id="rId17" w:history="1">
        <w:r w:rsidRPr="000F6297">
          <w:rPr>
            <w:rStyle w:val="Hyperlink"/>
            <w:rFonts w:ascii="Bookman Old Style" w:hAnsi="Bookman Old Style"/>
            <w:sz w:val="22"/>
            <w:szCs w:val="22"/>
          </w:rPr>
          <w:t>http://www.maine.gov/dhhs/oms/rules/index.shtml</w:t>
        </w:r>
      </w:hyperlink>
      <w:r w:rsidRPr="000F6297">
        <w:rPr>
          <w:rFonts w:ascii="Bookman Old Style" w:hAnsi="Bookman Old Style"/>
          <w:sz w:val="22"/>
          <w:szCs w:val="22"/>
        </w:rPr>
        <w:t xml:space="preserve"> </w:t>
      </w:r>
      <w:r w:rsidRPr="000F6297">
        <w:rPr>
          <w:rFonts w:ascii="Bookman Old Style" w:hAnsi="Bookman Old Style"/>
          <w:bCs/>
          <w:sz w:val="22"/>
          <w:szCs w:val="22"/>
        </w:rPr>
        <w:t>for rules and related rulemaking documents.</w:t>
      </w:r>
    </w:p>
    <w:p w14:paraId="0C94235C" w14:textId="77777777" w:rsidR="000F6297" w:rsidRPr="000F6297" w:rsidRDefault="000F6297" w:rsidP="000F6297">
      <w:pPr>
        <w:keepNext/>
        <w:keepLines/>
        <w:tabs>
          <w:tab w:val="left" w:pos="-1440"/>
          <w:tab w:val="left" w:pos="-720"/>
          <w:tab w:val="left" w:pos="4320"/>
          <w:tab w:val="left" w:pos="10440"/>
        </w:tabs>
        <w:rPr>
          <w:rFonts w:ascii="Bookman Old Style" w:hAnsi="Bookman Old Style"/>
          <w:b/>
          <w:sz w:val="22"/>
          <w:szCs w:val="22"/>
        </w:rPr>
      </w:pPr>
    </w:p>
    <w:p w14:paraId="2A1D485B" w14:textId="77777777" w:rsidR="000F6297" w:rsidRPr="000F6297" w:rsidRDefault="000F6297" w:rsidP="000F6297">
      <w:pPr>
        <w:keepNext/>
        <w:keepLines/>
        <w:tabs>
          <w:tab w:val="left" w:pos="-1440"/>
          <w:tab w:val="left" w:pos="-720"/>
          <w:tab w:val="left" w:pos="4320"/>
          <w:tab w:val="left" w:pos="10440"/>
        </w:tabs>
        <w:rPr>
          <w:rFonts w:ascii="Bookman Old Style" w:hAnsi="Bookman Old Style"/>
          <w:b/>
          <w:sz w:val="22"/>
          <w:szCs w:val="22"/>
        </w:rPr>
      </w:pPr>
      <w:r w:rsidRPr="00175CE7">
        <w:rPr>
          <w:rFonts w:ascii="Bookman Old Style" w:hAnsi="Bookman Old Style"/>
          <w:bCs/>
          <w:sz w:val="22"/>
          <w:szCs w:val="22"/>
        </w:rPr>
        <w:t>EFFECTIVE DATE:</w:t>
      </w:r>
      <w:r w:rsidRPr="000F6297">
        <w:rPr>
          <w:rFonts w:ascii="Bookman Old Style" w:hAnsi="Bookman Old Style"/>
          <w:b/>
          <w:sz w:val="22"/>
          <w:szCs w:val="22"/>
        </w:rPr>
        <w:t xml:space="preserve"> </w:t>
      </w:r>
      <w:r w:rsidRPr="000F6297">
        <w:rPr>
          <w:rFonts w:ascii="Bookman Old Style" w:hAnsi="Bookman Old Style"/>
          <w:bCs/>
          <w:sz w:val="22"/>
          <w:szCs w:val="22"/>
        </w:rPr>
        <w:t>April 22, 2024</w:t>
      </w:r>
    </w:p>
    <w:p w14:paraId="1CDA4222" w14:textId="3A382A0C" w:rsidR="000F6297" w:rsidRPr="00175CE7" w:rsidRDefault="000F6297" w:rsidP="000F6297">
      <w:pPr>
        <w:keepNext/>
        <w:keepLines/>
        <w:tabs>
          <w:tab w:val="left" w:pos="-1440"/>
          <w:tab w:val="left" w:pos="-720"/>
          <w:tab w:val="left" w:pos="4320"/>
          <w:tab w:val="left" w:pos="10440"/>
        </w:tabs>
        <w:rPr>
          <w:rFonts w:ascii="Bookman Old Style" w:hAnsi="Bookman Old Style"/>
          <w:sz w:val="22"/>
          <w:szCs w:val="22"/>
        </w:rPr>
      </w:pPr>
      <w:r w:rsidRPr="00175CE7">
        <w:rPr>
          <w:rFonts w:ascii="Bookman Old Style" w:hAnsi="Bookman Old Style"/>
          <w:sz w:val="22"/>
          <w:szCs w:val="22"/>
        </w:rPr>
        <w:t>AGENCY CONTACT:</w:t>
      </w:r>
    </w:p>
    <w:p w14:paraId="1F9E78C5" w14:textId="77777777" w:rsidR="000F6297" w:rsidRPr="000F6297" w:rsidRDefault="000F6297" w:rsidP="000F6297">
      <w:pPr>
        <w:keepNext/>
        <w:keepLines/>
        <w:tabs>
          <w:tab w:val="left" w:pos="-1440"/>
          <w:tab w:val="left" w:pos="-720"/>
          <w:tab w:val="left" w:pos="4320"/>
          <w:tab w:val="left" w:pos="10440"/>
        </w:tabs>
        <w:rPr>
          <w:rFonts w:ascii="Bookman Old Style" w:hAnsi="Bookman Old Style"/>
          <w:b/>
          <w:bCs/>
          <w:sz w:val="22"/>
          <w:szCs w:val="22"/>
        </w:rPr>
      </w:pPr>
    </w:p>
    <w:p w14:paraId="45C4069C" w14:textId="401FBE74"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 xml:space="preserve">Laurel </w:t>
      </w:r>
      <w:proofErr w:type="spellStart"/>
      <w:r w:rsidRPr="000F6297">
        <w:rPr>
          <w:rFonts w:ascii="Bookman Old Style" w:hAnsi="Bookman Old Style"/>
          <w:sz w:val="22"/>
          <w:szCs w:val="22"/>
        </w:rPr>
        <w:t>Noddin</w:t>
      </w:r>
      <w:proofErr w:type="spellEnd"/>
      <w:r w:rsidRPr="000F6297">
        <w:rPr>
          <w:rFonts w:ascii="Bookman Old Style" w:hAnsi="Bookman Old Style"/>
          <w:sz w:val="22"/>
          <w:szCs w:val="22"/>
        </w:rPr>
        <w:t>, Comprehensive Health Planner II</w:t>
      </w:r>
    </w:p>
    <w:p w14:paraId="5352E335" w14:textId="78362232"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 xml:space="preserve">Division of Policy </w:t>
      </w:r>
    </w:p>
    <w:p w14:paraId="2DE34265" w14:textId="4FCAE1BB"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109 Capitol Street</w:t>
      </w:r>
    </w:p>
    <w:p w14:paraId="0276E3E1" w14:textId="3542AFA8"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11 State House Station</w:t>
      </w:r>
    </w:p>
    <w:p w14:paraId="2610D148" w14:textId="5A598903"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Augusta, Maine 04333-0011</w:t>
      </w:r>
    </w:p>
    <w:p w14:paraId="6E3986E1" w14:textId="77777777"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 xml:space="preserve">Email: </w:t>
      </w:r>
      <w:hyperlink r:id="rId18" w:history="1">
        <w:r w:rsidRPr="000F6297">
          <w:rPr>
            <w:rStyle w:val="Hyperlink"/>
            <w:rFonts w:ascii="Bookman Old Style" w:hAnsi="Bookman Old Style"/>
            <w:sz w:val="22"/>
            <w:szCs w:val="22"/>
          </w:rPr>
          <w:t>laurel.noddin@maine.gov</w:t>
        </w:r>
      </w:hyperlink>
    </w:p>
    <w:p w14:paraId="2FF860C6" w14:textId="5A855FCE"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(207)-624-4019 FAX: (207)-287-6106</w:t>
      </w:r>
    </w:p>
    <w:p w14:paraId="66A5494B" w14:textId="0B78189B" w:rsidR="000F6297" w:rsidRPr="000F6297" w:rsidRDefault="000F6297" w:rsidP="000F6297">
      <w:pPr>
        <w:keepNext/>
        <w:keepLines/>
        <w:tabs>
          <w:tab w:val="left" w:pos="-1440"/>
          <w:tab w:val="left" w:pos="-720"/>
          <w:tab w:val="left" w:pos="4320"/>
          <w:tab w:val="left" w:pos="10440"/>
        </w:tabs>
        <w:ind w:left="720"/>
        <w:rPr>
          <w:rFonts w:ascii="Bookman Old Style" w:hAnsi="Bookman Old Style"/>
          <w:sz w:val="22"/>
          <w:szCs w:val="22"/>
        </w:rPr>
      </w:pPr>
      <w:r w:rsidRPr="000F6297">
        <w:rPr>
          <w:rFonts w:ascii="Bookman Old Style" w:hAnsi="Bookman Old Style"/>
          <w:sz w:val="22"/>
          <w:szCs w:val="22"/>
        </w:rPr>
        <w:t>TTY users call Maine relay 711</w:t>
      </w:r>
    </w:p>
    <w:p w14:paraId="4EC18AEE" w14:textId="77777777" w:rsidR="000F6297" w:rsidRPr="00BA61BF" w:rsidRDefault="000F6297" w:rsidP="00432DF7">
      <w:pPr>
        <w:keepNext/>
        <w:keepLines/>
        <w:tabs>
          <w:tab w:val="left" w:pos="-1440"/>
          <w:tab w:val="left" w:pos="-720"/>
          <w:tab w:val="left" w:pos="4320"/>
          <w:tab w:val="left" w:pos="10440"/>
        </w:tabs>
        <w:rPr>
          <w:rFonts w:ascii="Bookman Old Style" w:hAnsi="Bookman Old Style"/>
          <w:sz w:val="22"/>
          <w:szCs w:val="22"/>
        </w:rPr>
      </w:pPr>
    </w:p>
    <w:sectPr w:rsidR="000F6297" w:rsidRPr="00BA61BF" w:rsidSect="00784DD1">
      <w:footerReference w:type="default" r:id="rId19"/>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p w14:paraId="32E55D55" w14:textId="77777777" w:rsidR="00074BBA" w:rsidRDefault="00074BBA"/>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D164C"/>
    <w:multiLevelType w:val="hybridMultilevel"/>
    <w:tmpl w:val="4D38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4"/>
  </w:num>
  <w:num w:numId="2" w16cid:durableId="10762722">
    <w:abstractNumId w:val="2"/>
  </w:num>
  <w:num w:numId="3" w16cid:durableId="1499808016">
    <w:abstractNumId w:val="11"/>
  </w:num>
  <w:num w:numId="4" w16cid:durableId="1371611459">
    <w:abstractNumId w:val="34"/>
  </w:num>
  <w:num w:numId="5" w16cid:durableId="1115637134">
    <w:abstractNumId w:val="29"/>
  </w:num>
  <w:num w:numId="6" w16cid:durableId="414325981">
    <w:abstractNumId w:val="23"/>
  </w:num>
  <w:num w:numId="7" w16cid:durableId="604851989">
    <w:abstractNumId w:val="17"/>
  </w:num>
  <w:num w:numId="8" w16cid:durableId="1930120149">
    <w:abstractNumId w:val="18"/>
  </w:num>
  <w:num w:numId="9" w16cid:durableId="1329017587">
    <w:abstractNumId w:val="25"/>
  </w:num>
  <w:num w:numId="10" w16cid:durableId="774598173">
    <w:abstractNumId w:val="12"/>
  </w:num>
  <w:num w:numId="11" w16cid:durableId="1224411304">
    <w:abstractNumId w:val="13"/>
  </w:num>
  <w:num w:numId="12" w16cid:durableId="498430596">
    <w:abstractNumId w:val="1"/>
  </w:num>
  <w:num w:numId="13" w16cid:durableId="881937871">
    <w:abstractNumId w:val="21"/>
  </w:num>
  <w:num w:numId="14" w16cid:durableId="857960986">
    <w:abstractNumId w:val="32"/>
  </w:num>
  <w:num w:numId="15" w16cid:durableId="802384844">
    <w:abstractNumId w:val="20"/>
  </w:num>
  <w:num w:numId="16" w16cid:durableId="1992324707">
    <w:abstractNumId w:val="6"/>
  </w:num>
  <w:num w:numId="17" w16cid:durableId="715086440">
    <w:abstractNumId w:val="27"/>
  </w:num>
  <w:num w:numId="18" w16cid:durableId="369183651">
    <w:abstractNumId w:val="4"/>
  </w:num>
  <w:num w:numId="19" w16cid:durableId="766388013">
    <w:abstractNumId w:val="0"/>
  </w:num>
  <w:num w:numId="20" w16cid:durableId="136840930">
    <w:abstractNumId w:val="7"/>
  </w:num>
  <w:num w:numId="21" w16cid:durableId="634792580">
    <w:abstractNumId w:val="15"/>
  </w:num>
  <w:num w:numId="22" w16cid:durableId="753015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1"/>
  </w:num>
  <w:num w:numId="24" w16cid:durableId="361250459">
    <w:abstractNumId w:val="26"/>
  </w:num>
  <w:num w:numId="25" w16cid:durableId="1387603068">
    <w:abstractNumId w:val="16"/>
  </w:num>
  <w:num w:numId="26" w16cid:durableId="104353320">
    <w:abstractNumId w:val="10"/>
  </w:num>
  <w:num w:numId="27" w16cid:durableId="1218709045">
    <w:abstractNumId w:val="5"/>
  </w:num>
  <w:num w:numId="28" w16cid:durableId="1653411865">
    <w:abstractNumId w:val="14"/>
  </w:num>
  <w:num w:numId="29" w16cid:durableId="1138838518">
    <w:abstractNumId w:val="22"/>
  </w:num>
  <w:num w:numId="30" w16cid:durableId="1113213906">
    <w:abstractNumId w:val="30"/>
  </w:num>
  <w:num w:numId="31" w16cid:durableId="760957244">
    <w:abstractNumId w:val="19"/>
  </w:num>
  <w:num w:numId="32" w16cid:durableId="1843550165">
    <w:abstractNumId w:val="3"/>
  </w:num>
  <w:num w:numId="33" w16cid:durableId="931815119">
    <w:abstractNumId w:val="9"/>
  </w:num>
  <w:num w:numId="34" w16cid:durableId="1762992117">
    <w:abstractNumId w:val="8"/>
  </w:num>
  <w:num w:numId="35" w16cid:durableId="63302154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297"/>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CE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9D8"/>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274"/>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B9D"/>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Becky.Orff@maine.gov" TargetMode="External"/><Relationship Id="rId18" Type="http://schemas.openxmlformats.org/officeDocument/2006/relationships/hyperlink" Target="mailto:laurel.noddin@maine.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thy.Morin@mainepers.org" TargetMode="External"/><Relationship Id="rId17" Type="http://schemas.openxmlformats.org/officeDocument/2006/relationships/hyperlink" Target="http://www.maine.gov/dhhs/oms/rules/index.shtml" TargetMode="External"/><Relationship Id="rId2" Type="http://schemas.openxmlformats.org/officeDocument/2006/relationships/numbering" Target="numbering.xml"/><Relationship Id="rId16" Type="http://schemas.openxmlformats.org/officeDocument/2006/relationships/hyperlink" Target="mailto:Isaac.H.Gingras@main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y.Morin@mainepers.org" TargetMode="External"/><Relationship Id="rId5" Type="http://schemas.openxmlformats.org/officeDocument/2006/relationships/webSettings" Target="webSettings.xml"/><Relationship Id="rId15" Type="http://schemas.openxmlformats.org/officeDocument/2006/relationships/hyperlink" Target="mailto:Becky.Orff@maine.gov" TargetMode="External"/><Relationship Id="rId10" Type="http://schemas.openxmlformats.org/officeDocument/2006/relationships/hyperlink" Target="mailto:rulemaking@maineper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i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2024-03-29T17:24:00Z</cp:lastPrinted>
  <dcterms:created xsi:type="dcterms:W3CDTF">2025-03-29T18:58:00Z</dcterms:created>
  <dcterms:modified xsi:type="dcterms:W3CDTF">2025-03-29T18:58:00Z</dcterms:modified>
</cp:coreProperties>
</file>