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0CC09" w14:textId="6FD16A3D" w:rsidR="000F2A34" w:rsidRDefault="00D0191A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MAINE OFFICE OF COMMUNITY AFFAIRS</w:t>
      </w:r>
    </w:p>
    <w:p w14:paraId="1EF0191C" w14:textId="77777777" w:rsidR="00F45D7F" w:rsidRDefault="00F45D7F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3B621AFD" w14:textId="2A143193" w:rsidR="00F45D7F" w:rsidRPr="000F2A34" w:rsidRDefault="00F45D7F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003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BUILDING CODES AND STANDARDS</w:t>
      </w:r>
    </w:p>
    <w:p w14:paraId="0A60399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</w:p>
    <w:p w14:paraId="288EC777" w14:textId="1EB5E2D1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b/>
          <w:sz w:val="22"/>
          <w:szCs w:val="22"/>
        </w:rPr>
      </w:pPr>
      <w:r w:rsidRPr="000F2A34">
        <w:rPr>
          <w:rFonts w:ascii="Times New Roman" w:hAnsi="Times New Roman"/>
          <w:b/>
          <w:sz w:val="22"/>
          <w:szCs w:val="22"/>
        </w:rPr>
        <w:t xml:space="preserve">Chapter </w:t>
      </w:r>
      <w:r w:rsidR="00F45D7F">
        <w:rPr>
          <w:rFonts w:ascii="Times New Roman" w:hAnsi="Times New Roman"/>
          <w:b/>
          <w:sz w:val="22"/>
          <w:szCs w:val="22"/>
        </w:rPr>
        <w:t>5</w:t>
      </w:r>
      <w:r w:rsidRPr="000F2A34">
        <w:rPr>
          <w:rFonts w:ascii="Times New Roman" w:hAnsi="Times New Roman"/>
          <w:b/>
          <w:sz w:val="22"/>
          <w:szCs w:val="22"/>
        </w:rPr>
        <w:t>:</w:t>
      </w:r>
      <w:r w:rsidRPr="000F2A34">
        <w:rPr>
          <w:rFonts w:ascii="Times New Roman" w:hAnsi="Times New Roman"/>
          <w:b/>
          <w:sz w:val="22"/>
          <w:szCs w:val="22"/>
        </w:rPr>
        <w:tab/>
        <w:t xml:space="preserve">MAINE UNIFORM BUILDING AND ENERGY CODE - 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>EXISTING BUILDING</w:t>
      </w: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 xml:space="preserve">CODE </w:t>
      </w:r>
      <w:r w:rsidR="00340335" w:rsidRPr="00340335">
        <w:rPr>
          <w:rFonts w:ascii="Times New Roman" w:hAnsi="Times New Roman"/>
          <w:b/>
          <w:color w:val="000000"/>
          <w:sz w:val="22"/>
          <w:szCs w:val="22"/>
        </w:rPr>
        <w:t>(formerly 16-642 C.M.R. Ch. 4)</w:t>
      </w:r>
    </w:p>
    <w:p w14:paraId="0886DB64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389B3B2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639CCC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SUMMARY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: This chapter establishes the Existing Building code component of the </w:t>
      </w:r>
      <w:r w:rsidRPr="000F2A34">
        <w:rPr>
          <w:rFonts w:ascii="Times New Roman" w:hAnsi="Times New Roman"/>
          <w:sz w:val="22"/>
          <w:szCs w:val="22"/>
        </w:rPr>
        <w:t>Maine Uniform Building and Energy Code (“MUBEC”).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The provisions of this chapter are based on a nationally recognized model building code published by the International Code Council, Inc., and is made part of the MUBEC through incorporation by reference. </w:t>
      </w:r>
    </w:p>
    <w:p w14:paraId="6271E2E1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619C3D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657B748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C328CA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1.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PURPOSE AND SCOPE</w:t>
      </w:r>
    </w:p>
    <w:p w14:paraId="4A4AB73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F62821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All building construction</w:t>
      </w:r>
      <w:r w:rsidRPr="000F2A34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within the State of Maine shall be governed by the MUBEC.</w:t>
      </w:r>
      <w:r w:rsidRPr="000F2A3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The MUBEC is adopted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 by the Technical Building Codes and Standards Board pursuant to Title 10 M.R.S. Chapter 1103. The primary objective of the Board is to establish a uniform building </w:t>
      </w:r>
      <w:r w:rsidRPr="000F2A34">
        <w:rPr>
          <w:rFonts w:ascii="Times New Roman" w:hAnsi="Times New Roman"/>
          <w:sz w:val="22"/>
          <w:szCs w:val="22"/>
        </w:rPr>
        <w:t>codes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 throughout the State of Maine.</w:t>
      </w:r>
    </w:p>
    <w:p w14:paraId="71252AB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9E43BB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This chapter sets forth the standards for the repair, alteration, change of occupancy, addition and relocation of all existing buildings.</w:t>
      </w:r>
    </w:p>
    <w:p w14:paraId="03D4C7B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14FE42D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EFFECTIVE DATE:</w:t>
      </w:r>
      <w:r w:rsidRPr="000F2A34">
        <w:rPr>
          <w:rFonts w:ascii="Times New Roman" w:hAnsi="Times New Roman"/>
          <w:sz w:val="22"/>
          <w:szCs w:val="22"/>
        </w:rPr>
        <w:t xml:space="preserve"> The effective date of this Chapter is 90 days after approval by the Commissioner of the Department of Public Safety</w:t>
      </w:r>
      <w:r w:rsidRPr="000F2A34">
        <w:rPr>
          <w:rFonts w:ascii="Times New Roman" w:hAnsi="Times New Roman"/>
          <w:b/>
          <w:bCs/>
          <w:sz w:val="22"/>
          <w:szCs w:val="22"/>
        </w:rPr>
        <w:t>.</w:t>
      </w:r>
    </w:p>
    <w:p w14:paraId="79582FD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47311CB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2281E0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2.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AUTHORITY</w:t>
      </w:r>
    </w:p>
    <w:p w14:paraId="1815DD0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p w14:paraId="19CDE6A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The authority for this Chapter is Title 10 M.R.S. </w:t>
      </w:r>
      <w:r w:rsidRPr="000F2A34">
        <w:rPr>
          <w:rFonts w:ascii="Times New Roman" w:hAnsi="Times New Roman"/>
          <w:sz w:val="22"/>
          <w:szCs w:val="22"/>
        </w:rPr>
        <w:t>§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9721, </w:t>
      </w:r>
      <w:r w:rsidRPr="000F2A34">
        <w:rPr>
          <w:rFonts w:ascii="Times New Roman" w:hAnsi="Times New Roman"/>
          <w:i/>
          <w:iCs/>
          <w:color w:val="000000" w:themeColor="text1"/>
          <w:sz w:val="22"/>
          <w:szCs w:val="22"/>
        </w:rPr>
        <w:t>et seq.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, which provides that the Maine Technical Building Codes and Standards Board shall promulgate rules which adopt, amend, and maintain the Maine Uniform Building and Energy Code.</w:t>
      </w:r>
      <w:bookmarkStart w:id="0" w:name="_Hlk146187574"/>
    </w:p>
    <w:bookmarkEnd w:id="0"/>
    <w:p w14:paraId="0B1697F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7CCFDB6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D20087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3.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DEFINITIONS</w:t>
      </w:r>
    </w:p>
    <w:p w14:paraId="60F234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6D1CFA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>IEBC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. “IEBC” means the </w:t>
      </w:r>
      <w:r w:rsidRPr="000F2A34">
        <w:rPr>
          <w:rFonts w:ascii="Times New Roman" w:hAnsi="Times New Roman"/>
          <w:sz w:val="22"/>
          <w:szCs w:val="22"/>
        </w:rPr>
        <w:t>20</w:t>
      </w:r>
      <w:r w:rsidRPr="000F2A34">
        <w:rPr>
          <w:rFonts w:ascii="Times New Roman" w:hAnsi="Times New Roman"/>
          <w:color w:val="000000"/>
          <w:sz w:val="22"/>
          <w:szCs w:val="22"/>
        </w:rPr>
        <w:t>21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International Existing Building code, published by the International Code Council, Inc.</w:t>
      </w:r>
    </w:p>
    <w:p w14:paraId="7A17166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62C328C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>2.</w:t>
      </w:r>
      <w:r w:rsidRPr="000F2A34">
        <w:rPr>
          <w:rFonts w:ascii="Times New Roman" w:hAnsi="Times New Roman"/>
          <w:sz w:val="24"/>
          <w:szCs w:val="24"/>
        </w:rPr>
        <w:tab/>
      </w:r>
      <w:r w:rsidRPr="000F2A34">
        <w:rPr>
          <w:rFonts w:ascii="Times New Roman" w:hAnsi="Times New Roman"/>
          <w:b/>
          <w:bCs/>
          <w:color w:val="000000" w:themeColor="text1"/>
          <w:sz w:val="22"/>
          <w:szCs w:val="22"/>
        </w:rPr>
        <w:t>MUBEC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. “MUBEC” means the Maine Uniform Building and Energy Code adopted pursuant to Title 10 M.R.S. §9721, </w:t>
      </w:r>
      <w:r w:rsidRPr="000F2A34">
        <w:rPr>
          <w:rFonts w:ascii="Times New Roman" w:hAnsi="Times New Roman"/>
          <w:i/>
          <w:iCs/>
          <w:color w:val="000000" w:themeColor="text1"/>
          <w:sz w:val="22"/>
          <w:szCs w:val="22"/>
        </w:rPr>
        <w:t>et seq.</w:t>
      </w:r>
    </w:p>
    <w:p w14:paraId="73FF954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F0EE03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>3.</w:t>
      </w:r>
      <w:r w:rsidRPr="000F2A34">
        <w:rPr>
          <w:rFonts w:ascii="Times New Roman" w:hAnsi="Times New Roman"/>
          <w:sz w:val="24"/>
          <w:szCs w:val="24"/>
        </w:rPr>
        <w:tab/>
      </w:r>
      <w:r w:rsidRPr="000F2A34">
        <w:rPr>
          <w:rFonts w:ascii="Times New Roman" w:hAnsi="Times New Roman"/>
          <w:b/>
          <w:bCs/>
          <w:color w:val="000000" w:themeColor="text1"/>
          <w:sz w:val="22"/>
          <w:szCs w:val="22"/>
        </w:rPr>
        <w:t>Technical Building Codes and Standards Board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. “Technical Building Codes and Standards Board” means the board established pursuant to Title 5 M.R.S. §12004-G, subsection 5-A and Title 10 M.R.S. §9722.</w:t>
      </w:r>
    </w:p>
    <w:p w14:paraId="68BBAD8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02FC622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74DD9F8" w14:textId="77777777" w:rsidR="000F2A34" w:rsidRPr="000F2A34" w:rsidRDefault="000F2A34" w:rsidP="000F2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4: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INCORPORATION BY REFERENCE</w:t>
      </w:r>
    </w:p>
    <w:p w14:paraId="70AFBF3B" w14:textId="77777777" w:rsidR="000F2A34" w:rsidRPr="000F2A34" w:rsidRDefault="000F2A34" w:rsidP="000F2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1483DD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Chapters 1 – 16 </w:t>
      </w:r>
      <w:r w:rsidRPr="000F2A34">
        <w:rPr>
          <w:rFonts w:ascii="Times New Roman" w:hAnsi="Times New Roman"/>
          <w:sz w:val="22"/>
          <w:szCs w:val="22"/>
        </w:rPr>
        <w:t>and Appendices A, B, and C</w:t>
      </w:r>
      <w:r w:rsidRPr="000F2A3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of the 2021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0F2A34">
        <w:rPr>
          <w:rFonts w:ascii="Times New Roman" w:hAnsi="Times New Roman"/>
          <w:color w:val="000000"/>
          <w:sz w:val="22"/>
          <w:szCs w:val="22"/>
        </w:rPr>
        <w:t>International Existing Building Code, published by the International Code Council, Inc., are hereby adopted and incorporated by reference.</w:t>
      </w:r>
    </w:p>
    <w:p w14:paraId="6B79EB7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F4B76E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D1D056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1440"/>
        <w:textAlignment w:val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color w:val="000000"/>
          <w:sz w:val="22"/>
          <w:szCs w:val="22"/>
        </w:rPr>
        <w:t>SECTION 5.</w:t>
      </w:r>
      <w:r w:rsidRPr="000F2A34">
        <w:rPr>
          <w:rFonts w:ascii="Times New Roman" w:hAnsi="Times New Roman"/>
          <w:b/>
          <w:color w:val="000000"/>
          <w:sz w:val="22"/>
          <w:szCs w:val="22"/>
        </w:rPr>
        <w:tab/>
        <w:t>REVISIONS TO THE IEBC</w:t>
      </w:r>
    </w:p>
    <w:p w14:paraId="6D664FC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90FB16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lastRenderedPageBreak/>
        <w:t>The following additions, insertions, deletions, and other changes are hereby made to the 2021 International Existing Building Code:</w:t>
      </w:r>
    </w:p>
    <w:p w14:paraId="3A159F1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85646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 xml:space="preserve">1. </w:t>
      </w:r>
      <w:r w:rsidRPr="000F2A34">
        <w:rPr>
          <w:rFonts w:ascii="Times New Roman" w:hAnsi="Times New Roman"/>
          <w:sz w:val="22"/>
          <w:szCs w:val="22"/>
        </w:rPr>
        <w:tab/>
      </w:r>
      <w:proofErr w:type="gramStart"/>
      <w:r w:rsidRPr="000F2A34">
        <w:rPr>
          <w:rFonts w:ascii="Times New Roman" w:hAnsi="Times New Roman"/>
          <w:sz w:val="22"/>
          <w:szCs w:val="22"/>
        </w:rPr>
        <w:t>Generally</w:t>
      </w:r>
      <w:proofErr w:type="gramEnd"/>
      <w:r w:rsidRPr="000F2A34">
        <w:rPr>
          <w:rFonts w:ascii="Times New Roman" w:hAnsi="Times New Roman"/>
          <w:sz w:val="22"/>
          <w:szCs w:val="22"/>
        </w:rPr>
        <w:t xml:space="preserve"> all sections</w:t>
      </w:r>
    </w:p>
    <w:p w14:paraId="1A690FC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</w:p>
    <w:p w14:paraId="4B8FB2D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b/>
          <w:i/>
          <w:sz w:val="22"/>
          <w:szCs w:val="22"/>
        </w:rPr>
        <w:t>Delete</w:t>
      </w:r>
      <w:r w:rsidRPr="000F2A34">
        <w:rPr>
          <w:rFonts w:ascii="Times New Roman" w:hAnsi="Times New Roman"/>
          <w:sz w:val="22"/>
          <w:szCs w:val="22"/>
        </w:rPr>
        <w:t xml:space="preserve"> “International Fire Code”;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62CBCE1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  <w:r w:rsidRPr="000F2A34">
        <w:rPr>
          <w:rFonts w:ascii="Times New Roman" w:hAnsi="Times New Roman"/>
          <w:b/>
          <w:i/>
          <w:sz w:val="22"/>
          <w:szCs w:val="22"/>
        </w:rPr>
        <w:t>Insert</w:t>
      </w:r>
      <w:r w:rsidRPr="000F2A34">
        <w:rPr>
          <w:rFonts w:ascii="Times New Roman" w:hAnsi="Times New Roman"/>
          <w:i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“NFPA1 and NFPA 101 as applicable; Fire code and standards adopted pursuant to Title 25 M.R.S. §§ 2452 and 2465”</w:t>
      </w:r>
      <w:bookmarkStart w:id="1" w:name="_Hlk177674634"/>
      <w:r w:rsidRPr="000F2A34">
        <w:rPr>
          <w:rFonts w:ascii="Times New Roman" w:hAnsi="Times New Roman"/>
          <w:sz w:val="22"/>
          <w:szCs w:val="22"/>
        </w:rPr>
        <w:t xml:space="preserve"> in its place.</w:t>
      </w:r>
      <w:bookmarkEnd w:id="1"/>
    </w:p>
    <w:p w14:paraId="3FAF5F1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z w:val="22"/>
          <w:szCs w:val="22"/>
        </w:rPr>
      </w:pPr>
    </w:p>
    <w:p w14:paraId="45DEE6E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ab/>
        <w:t>2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proofErr w:type="gramStart"/>
      <w:r w:rsidRPr="000F2A34">
        <w:rPr>
          <w:rFonts w:ascii="Times New Roman" w:hAnsi="Times New Roman"/>
          <w:sz w:val="22"/>
          <w:szCs w:val="22"/>
        </w:rPr>
        <w:t>Generally</w:t>
      </w:r>
      <w:proofErr w:type="gramEnd"/>
      <w:r w:rsidRPr="000F2A34">
        <w:rPr>
          <w:rFonts w:ascii="Times New Roman" w:hAnsi="Times New Roman"/>
          <w:sz w:val="22"/>
          <w:szCs w:val="22"/>
        </w:rPr>
        <w:t xml:space="preserve"> all sections</w:t>
      </w:r>
    </w:p>
    <w:p w14:paraId="134D93C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2229E01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 xml:space="preserve">Delete </w:t>
      </w:r>
      <w:r w:rsidRPr="000F2A34">
        <w:rPr>
          <w:rFonts w:ascii="Times New Roman" w:hAnsi="Times New Roman"/>
          <w:sz w:val="22"/>
          <w:szCs w:val="22"/>
        </w:rPr>
        <w:t xml:space="preserve">“International Fuel Gas Code”;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3B86230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Insert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“NFPA 54 Fuel Gas Code; Fire codes and standards adopted pursuant to Title 25 M.R.S. §§ 2452 and 2465” in its place.</w:t>
      </w:r>
    </w:p>
    <w:p w14:paraId="23F998A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39614C5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sz w:val="22"/>
          <w:szCs w:val="22"/>
        </w:rPr>
        <w:t xml:space="preserve">3. </w:t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proofErr w:type="gramStart"/>
      <w:r w:rsidRPr="000F2A34">
        <w:rPr>
          <w:rFonts w:ascii="Times New Roman" w:hAnsi="Times New Roman"/>
          <w:sz w:val="22"/>
          <w:szCs w:val="22"/>
        </w:rPr>
        <w:t>Generally</w:t>
      </w:r>
      <w:proofErr w:type="gramEnd"/>
      <w:r w:rsidRPr="000F2A34">
        <w:rPr>
          <w:rFonts w:ascii="Times New Roman" w:hAnsi="Times New Roman"/>
          <w:sz w:val="22"/>
          <w:szCs w:val="22"/>
        </w:rPr>
        <w:t xml:space="preserve"> all sections</w:t>
      </w:r>
    </w:p>
    <w:p w14:paraId="64BA05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</w:p>
    <w:p w14:paraId="4F6A9CE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Delete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F2A34">
        <w:rPr>
          <w:rFonts w:ascii="Times New Roman" w:hAnsi="Times New Roman"/>
          <w:sz w:val="22"/>
          <w:szCs w:val="22"/>
        </w:rPr>
        <w:t>“ International Plumbing Code</w:t>
      </w:r>
      <w:r w:rsidRPr="000F2A34">
        <w:rPr>
          <w:rFonts w:ascii="Times New Roman" w:hAnsi="Times New Roman"/>
          <w:i/>
          <w:iCs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48118D9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sz w:val="22"/>
          <w:szCs w:val="22"/>
        </w:rPr>
        <w:t>Insert</w:t>
      </w:r>
      <w:r w:rsidRPr="000F2A34">
        <w:rPr>
          <w:rFonts w:ascii="Times New Roman" w:hAnsi="Times New Roman"/>
          <w:i/>
          <w:iCs/>
          <w:sz w:val="22"/>
          <w:szCs w:val="22"/>
        </w:rPr>
        <w:t xml:space="preserve"> “</w:t>
      </w:r>
      <w:r w:rsidRPr="000F2A34">
        <w:rPr>
          <w:rFonts w:ascii="Times New Roman" w:hAnsi="Times New Roman"/>
          <w:sz w:val="22"/>
          <w:szCs w:val="22"/>
        </w:rPr>
        <w:t>Maine State Plumbing Code</w:t>
      </w:r>
      <w:r w:rsidRPr="000F2A34">
        <w:rPr>
          <w:rFonts w:ascii="Times New Roman" w:hAnsi="Times New Roman"/>
          <w:i/>
          <w:iCs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64721E51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901ED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4.</w:t>
      </w:r>
      <w:r w:rsidRPr="000F2A34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proofErr w:type="gramStart"/>
      <w:r w:rsidRPr="000F2A34">
        <w:rPr>
          <w:rFonts w:ascii="Times New Roman" w:hAnsi="Times New Roman"/>
          <w:color w:val="000000"/>
          <w:sz w:val="22"/>
          <w:szCs w:val="22"/>
        </w:rPr>
        <w:t>Generally</w:t>
      </w:r>
      <w:proofErr w:type="gramEnd"/>
      <w:r w:rsidRPr="000F2A34">
        <w:rPr>
          <w:rFonts w:ascii="Times New Roman" w:hAnsi="Times New Roman"/>
          <w:color w:val="000000"/>
          <w:sz w:val="22"/>
          <w:szCs w:val="22"/>
        </w:rPr>
        <w:t xml:space="preserve"> all sections</w:t>
      </w:r>
    </w:p>
    <w:p w14:paraId="29F9A80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69B09E9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“ICC 300”</w:t>
      </w:r>
      <w:r w:rsidRPr="000F2A34">
        <w:rPr>
          <w:rFonts w:ascii="Times New Roman" w:hAnsi="Times New Roman"/>
          <w:sz w:val="22"/>
          <w:szCs w:val="22"/>
        </w:rPr>
        <w:t xml:space="preserve">; </w:t>
      </w:r>
      <w:r w:rsidRPr="000F2A34">
        <w:rPr>
          <w:rFonts w:ascii="Times New Roman" w:hAnsi="Times New Roman"/>
          <w:i/>
          <w:iCs/>
          <w:sz w:val="22"/>
          <w:szCs w:val="22"/>
        </w:rPr>
        <w:t>and</w:t>
      </w:r>
    </w:p>
    <w:p w14:paraId="37C1C71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102 as adopted pursuant to Title 25 M.R.S. §§ 2452 and 2465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1FFFF0A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38C0506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i/>
          <w:iCs/>
          <w:sz w:val="22"/>
          <w:szCs w:val="22"/>
        </w:rPr>
        <w:t>5</w:t>
      </w:r>
      <w:r w:rsidRPr="000F2A34">
        <w:rPr>
          <w:rFonts w:ascii="Times New Roman" w:hAnsi="Times New Roman"/>
          <w:sz w:val="22"/>
          <w:szCs w:val="22"/>
        </w:rPr>
        <w:t>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101.1</w:t>
      </w:r>
    </w:p>
    <w:p w14:paraId="44DA0E9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C6E51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[NAME OF JURISDICTION]; </w:t>
      </w:r>
      <w:r w:rsidRPr="000F2A34">
        <w:rPr>
          <w:rFonts w:ascii="Times New Roman" w:hAnsi="Times New Roman"/>
          <w:i/>
          <w:color w:val="000000"/>
          <w:sz w:val="22"/>
          <w:szCs w:val="22"/>
        </w:rPr>
        <w:t>and</w:t>
      </w:r>
    </w:p>
    <w:p w14:paraId="2F405B1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“State of Maine” in its place.</w:t>
      </w:r>
    </w:p>
    <w:p w14:paraId="52F3B4A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A6684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6.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103</w:t>
      </w:r>
    </w:p>
    <w:p w14:paraId="79F2F29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85125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b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Section 103 “Code Compliance Agency” in its entirety, without substitution.</w:t>
      </w:r>
    </w:p>
    <w:p w14:paraId="5C1F5F3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A95E86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7.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105.1</w:t>
      </w:r>
    </w:p>
    <w:p w14:paraId="24017C3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806A6F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(at the end of the paragraph), “where required by municipal ordinance.”</w:t>
      </w:r>
    </w:p>
    <w:p w14:paraId="6241186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65298E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8.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105.2</w:t>
      </w:r>
    </w:p>
    <w:p w14:paraId="59C10CE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E18768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(at the end of the paragraph after “jurisdiction.” and before “Permits”): “Structures exempt from permits shall be located in compliance with zoning and floodplain regulations.”</w:t>
      </w:r>
    </w:p>
    <w:p w14:paraId="6B88AC0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53C7A3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i/>
          <w:iCs/>
          <w:sz w:val="22"/>
          <w:szCs w:val="22"/>
        </w:rPr>
        <w:t>9</w:t>
      </w:r>
      <w:r w:rsidRPr="000F2A34">
        <w:rPr>
          <w:rFonts w:ascii="Times New Roman" w:hAnsi="Times New Roman"/>
          <w:sz w:val="22"/>
          <w:szCs w:val="22"/>
        </w:rPr>
        <w:t>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Sections 112</w:t>
      </w:r>
    </w:p>
    <w:p w14:paraId="2C29323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43788EF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Section 112 “Means of Appeals” in its entirety, without substitution.</w:t>
      </w:r>
    </w:p>
    <w:p w14:paraId="0312A1C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7CD4502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bookmarkStart w:id="2" w:name="_Hlk95461977"/>
      <w:r w:rsidRPr="000F2A34">
        <w:rPr>
          <w:rFonts w:ascii="Times New Roman" w:hAnsi="Times New Roman"/>
          <w:color w:val="000000"/>
          <w:sz w:val="22"/>
          <w:szCs w:val="22"/>
        </w:rPr>
        <w:t>10.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702.7</w:t>
      </w:r>
    </w:p>
    <w:p w14:paraId="7813458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1660264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Plumbing Code”;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</w:p>
    <w:p w14:paraId="01A9A64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“Maine State Plumbing Code, Maine State Fuel Gas and mechanical provisions” in its place.</w:t>
      </w:r>
    </w:p>
    <w:p w14:paraId="645D7B0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bookmarkEnd w:id="2"/>
    <w:p w14:paraId="714608C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11.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702.7.1</w:t>
      </w:r>
    </w:p>
    <w:p w14:paraId="26CB669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642AFCB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Fuel Gas Code”;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</w:p>
    <w:p w14:paraId="602E57EA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lastRenderedPageBreak/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54 Fuel Gas Code; Fire codes and standards adopted pursuant to Title 25 M.R.S. §§ 2452 and 2465” in its place.</w:t>
      </w:r>
    </w:p>
    <w:p w14:paraId="6CEF9ED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3FAEBC4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12.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807.1</w:t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</w:p>
    <w:p w14:paraId="2D7B00B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2D8049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after International Mechanical Code “or applicable NFPA 96 and NFPA 54”</w:t>
      </w:r>
    </w:p>
    <w:p w14:paraId="1433E11B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254F85A7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strike/>
          <w:sz w:val="22"/>
          <w:szCs w:val="22"/>
        </w:rPr>
      </w:pPr>
      <w:r w:rsidRPr="000F2A34">
        <w:rPr>
          <w:rFonts w:ascii="Times New Roman" w:hAnsi="Times New Roman"/>
          <w:sz w:val="22"/>
          <w:szCs w:val="22"/>
        </w:rPr>
        <w:t>13.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 xml:space="preserve">Section </w:t>
      </w:r>
      <w:r w:rsidRPr="000F2A34">
        <w:rPr>
          <w:rFonts w:ascii="Times New Roman" w:hAnsi="Times New Roman"/>
          <w:sz w:val="22"/>
          <w:szCs w:val="22"/>
        </w:rPr>
        <w:t>1008.1</w:t>
      </w:r>
    </w:p>
    <w:p w14:paraId="76C71E0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4FD7BB8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(after “respective International Mechanical Code provisions”) “and applicable provisions of NFPA 96; Fire codes and standards adopted pursuant to Title 25 M.R.S. §§ 2452 and 2465”</w:t>
      </w:r>
    </w:p>
    <w:p w14:paraId="2241DA8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53690E2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Cs/>
          <w:iCs/>
          <w:color w:val="000000"/>
          <w:sz w:val="22"/>
          <w:szCs w:val="22"/>
        </w:rPr>
        <w:t>14.</w:t>
      </w:r>
      <w:r w:rsidRPr="000F2A34">
        <w:rPr>
          <w:rFonts w:ascii="Times New Roman" w:hAnsi="Times New Roman"/>
          <w:bCs/>
          <w:iCs/>
          <w:color w:val="000000"/>
          <w:sz w:val="22"/>
          <w:szCs w:val="22"/>
        </w:rPr>
        <w:tab/>
        <w:t>Section 1301.3.2</w:t>
      </w:r>
    </w:p>
    <w:p w14:paraId="00511FA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ab/>
      </w:r>
    </w:p>
    <w:p w14:paraId="4338EF1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Fire Code and the International Property Maintenance Code.”;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A39048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 and NFPA 101; Fire codes and standards adopted pursuant to Title 25 M.R.S. §§ 2452 and 2465”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786F4F42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1409B6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15.</w:t>
      </w:r>
      <w:r w:rsidRPr="000F2A34">
        <w:rPr>
          <w:rFonts w:ascii="Times New Roman" w:hAnsi="Times New Roman"/>
          <w:color w:val="000000"/>
          <w:sz w:val="22"/>
          <w:szCs w:val="22"/>
        </w:rPr>
        <w:tab/>
        <w:t>Section 1401 General</w:t>
      </w:r>
    </w:p>
    <w:p w14:paraId="06958A3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31E43FBD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Delete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“International Fire Code and the International Property Maintenance Code.”; </w:t>
      </w:r>
      <w:r w:rsidRPr="000F2A34">
        <w:rPr>
          <w:rFonts w:ascii="Times New Roman" w:hAnsi="Times New Roman"/>
          <w:i/>
          <w:iCs/>
          <w:color w:val="000000"/>
          <w:sz w:val="22"/>
          <w:szCs w:val="22"/>
        </w:rPr>
        <w:t>and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C6E14BF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b/>
          <w:i/>
          <w:color w:val="000000"/>
          <w:sz w:val="22"/>
          <w:szCs w:val="22"/>
        </w:rPr>
        <w:t>Insert</w:t>
      </w:r>
      <w:r w:rsidRPr="000F2A34">
        <w:rPr>
          <w:rFonts w:ascii="Times New Roman" w:hAnsi="Times New Roman"/>
          <w:color w:val="000000"/>
          <w:sz w:val="22"/>
          <w:szCs w:val="22"/>
        </w:rPr>
        <w:t xml:space="preserve"> “NFPA 1 and NFPA 101; Fire codes and standards adopted pursuant to Title 25 M.R.S. §§ 2452 and 2465”</w:t>
      </w:r>
      <w:r w:rsidRPr="000F2A34">
        <w:rPr>
          <w:rFonts w:ascii="Times New Roman" w:hAnsi="Times New Roman"/>
          <w:sz w:val="22"/>
          <w:szCs w:val="22"/>
        </w:rPr>
        <w:t xml:space="preserve"> in its place.</w:t>
      </w:r>
    </w:p>
    <w:p w14:paraId="461EAA1E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21712CB9" w14:textId="77777777" w:rsidR="000F2A34" w:rsidRPr="000F2A34" w:rsidRDefault="000F2A34" w:rsidP="000F2A3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strike/>
          <w:color w:val="000000"/>
          <w:sz w:val="22"/>
          <w:szCs w:val="22"/>
        </w:rPr>
      </w:pPr>
    </w:p>
    <w:p w14:paraId="0DCD774C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E665A08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 w:themeColor="text1"/>
          <w:sz w:val="22"/>
          <w:szCs w:val="22"/>
        </w:rPr>
        <w:t xml:space="preserve">STATUTORY AUTHORITY: </w:t>
      </w:r>
      <w:r w:rsidRPr="000F2A34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Title </w:t>
      </w:r>
      <w:r w:rsidRPr="000F2A34">
        <w:rPr>
          <w:rFonts w:ascii="Times New Roman" w:hAnsi="Times New Roman"/>
          <w:color w:val="000000" w:themeColor="text1"/>
          <w:sz w:val="22"/>
          <w:szCs w:val="22"/>
        </w:rPr>
        <w:t>10 M.R.S. §9722, sub-§6</w:t>
      </w:r>
    </w:p>
    <w:p w14:paraId="579899F4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ind w:left="1440" w:hanging="720"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4571690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EFFECTIVE DATE:</w:t>
      </w:r>
    </w:p>
    <w:p w14:paraId="6C093B85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October 11, 2010 – filing 2010-469</w:t>
      </w:r>
    </w:p>
    <w:p w14:paraId="393D59C6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01A9CF89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>AMENDED:</w:t>
      </w:r>
    </w:p>
    <w:p w14:paraId="6A8B5CA3" w14:textId="77777777" w:rsidR="000F2A34" w:rsidRPr="000F2A34" w:rsidRDefault="000F2A34" w:rsidP="000F2A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0F2A34">
        <w:rPr>
          <w:rFonts w:ascii="Times New Roman" w:hAnsi="Times New Roman"/>
          <w:color w:val="000000"/>
          <w:sz w:val="22"/>
          <w:szCs w:val="22"/>
        </w:rPr>
        <w:tab/>
        <w:t>January 23, 2018 – filing 2018-009</w:t>
      </w:r>
    </w:p>
    <w:p w14:paraId="2162BFA0" w14:textId="135ADD23" w:rsidR="000F2A34" w:rsidRDefault="00DD781E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DD781E">
        <w:rPr>
          <w:rFonts w:ascii="Times New Roman" w:hAnsi="Times New Roman"/>
          <w:color w:val="000000"/>
          <w:sz w:val="22"/>
          <w:szCs w:val="22"/>
        </w:rPr>
        <w:tab/>
        <w:t>March 4, 2025 – filing 2025-045</w:t>
      </w:r>
    </w:p>
    <w:p w14:paraId="6DDA0EB1" w14:textId="77777777" w:rsidR="00D0191A" w:rsidRDefault="00D0191A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179CD705" w14:textId="056FCB0C" w:rsidR="0081546A" w:rsidRDefault="0081546A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APAO ACCESSIBILITY CHECK: July 31, 2025</w:t>
      </w:r>
    </w:p>
    <w:p w14:paraId="5D884783" w14:textId="77777777" w:rsidR="0081546A" w:rsidRDefault="0081546A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p w14:paraId="601EAC69" w14:textId="5F530AD9" w:rsidR="00D0191A" w:rsidRPr="00D0191A" w:rsidRDefault="00D0191A" w:rsidP="00D019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2"/>
          <w:szCs w:val="22"/>
        </w:rPr>
      </w:pPr>
      <w:r w:rsidRPr="00D0191A">
        <w:rPr>
          <w:rFonts w:ascii="Times New Roman" w:eastAsia="Calibri" w:hAnsi="Times New Roman"/>
          <w:sz w:val="22"/>
          <w:szCs w:val="22"/>
        </w:rPr>
        <w:t xml:space="preserve">TRANSFER OF AUTHORITY TO ADMINISTER AND ENFORCE RULE: The authority to administer and enforce this rule (formerly </w:t>
      </w:r>
      <w:r>
        <w:rPr>
          <w:rFonts w:ascii="Times New Roman" w:eastAsia="Calibri" w:hAnsi="Times New Roman"/>
          <w:sz w:val="22"/>
          <w:szCs w:val="22"/>
        </w:rPr>
        <w:t>16-6</w:t>
      </w:r>
      <w:r w:rsidR="007D3540">
        <w:rPr>
          <w:rFonts w:ascii="Times New Roman" w:eastAsia="Calibri" w:hAnsi="Times New Roman"/>
          <w:sz w:val="22"/>
          <w:szCs w:val="22"/>
        </w:rPr>
        <w:t>4</w:t>
      </w:r>
      <w:r>
        <w:rPr>
          <w:rFonts w:ascii="Times New Roman" w:eastAsia="Calibri" w:hAnsi="Times New Roman"/>
          <w:sz w:val="22"/>
          <w:szCs w:val="22"/>
        </w:rPr>
        <w:t>2</w:t>
      </w:r>
      <w:r w:rsidRPr="00D0191A">
        <w:rPr>
          <w:rFonts w:ascii="Times New Roman" w:eastAsia="Calibri" w:hAnsi="Times New Roman"/>
          <w:sz w:val="22"/>
          <w:szCs w:val="22"/>
        </w:rPr>
        <w:t xml:space="preserve"> C.M.R. Ch. 4) was transferred to the Maine Office of Community Affairs on September 24, </w:t>
      </w:r>
      <w:proofErr w:type="gramStart"/>
      <w:r w:rsidRPr="00D0191A">
        <w:rPr>
          <w:rFonts w:ascii="Times New Roman" w:eastAsia="Calibri" w:hAnsi="Times New Roman"/>
          <w:sz w:val="22"/>
          <w:szCs w:val="22"/>
        </w:rPr>
        <w:t>2025</w:t>
      </w:r>
      <w:proofErr w:type="gramEnd"/>
      <w:r w:rsidRPr="00D0191A">
        <w:rPr>
          <w:rFonts w:ascii="Times New Roman" w:eastAsia="Calibri" w:hAnsi="Times New Roman"/>
          <w:sz w:val="22"/>
          <w:szCs w:val="22"/>
        </w:rPr>
        <w:t xml:space="preserve"> pursuant to PL 2025, c. 388.</w:t>
      </w:r>
    </w:p>
    <w:p w14:paraId="16E00CF6" w14:textId="77777777" w:rsidR="00D0191A" w:rsidRPr="00DD781E" w:rsidRDefault="00D0191A" w:rsidP="00DD78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</w:rPr>
      </w:pPr>
    </w:p>
    <w:sectPr w:rsidR="00D0191A" w:rsidRPr="00DD781E" w:rsidSect="00B14FD4">
      <w:headerReference w:type="default" r:id="rId6"/>
      <w:footerReference w:type="default" r:id="rId7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1262" w14:textId="77777777" w:rsidR="00F21DE5" w:rsidRDefault="00F21DE5">
      <w:r>
        <w:separator/>
      </w:r>
    </w:p>
  </w:endnote>
  <w:endnote w:type="continuationSeparator" w:id="0">
    <w:p w14:paraId="27A69446" w14:textId="77777777" w:rsidR="00F21DE5" w:rsidRDefault="00F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5B7D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604C" w14:textId="77777777" w:rsidR="00F21DE5" w:rsidRDefault="00F21DE5">
      <w:r>
        <w:rPr>
          <w:sz w:val="24"/>
        </w:rPr>
        <w:separator/>
      </w:r>
    </w:p>
  </w:footnote>
  <w:footnote w:type="continuationSeparator" w:id="0">
    <w:p w14:paraId="7D4F2361" w14:textId="77777777" w:rsidR="00F21DE5" w:rsidRDefault="00F2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685B" w14:textId="77777777" w:rsidR="00B3323E" w:rsidRPr="00396F82" w:rsidRDefault="00B3323E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4370"/>
    <w:rsid w:val="00015ADF"/>
    <w:rsid w:val="00094AF2"/>
    <w:rsid w:val="000A0B05"/>
    <w:rsid w:val="000B3789"/>
    <w:rsid w:val="000B67DE"/>
    <w:rsid w:val="000F2A34"/>
    <w:rsid w:val="001030D2"/>
    <w:rsid w:val="001201B9"/>
    <w:rsid w:val="0012141C"/>
    <w:rsid w:val="0013746E"/>
    <w:rsid w:val="00194290"/>
    <w:rsid w:val="00197252"/>
    <w:rsid w:val="001B1CC7"/>
    <w:rsid w:val="001F4CBC"/>
    <w:rsid w:val="002326D4"/>
    <w:rsid w:val="0023411B"/>
    <w:rsid w:val="00236A05"/>
    <w:rsid w:val="00263FAE"/>
    <w:rsid w:val="002736BC"/>
    <w:rsid w:val="00275E91"/>
    <w:rsid w:val="00293628"/>
    <w:rsid w:val="002A2703"/>
    <w:rsid w:val="00307C1C"/>
    <w:rsid w:val="00340335"/>
    <w:rsid w:val="00362682"/>
    <w:rsid w:val="003755FD"/>
    <w:rsid w:val="003807EF"/>
    <w:rsid w:val="00396F82"/>
    <w:rsid w:val="003B6819"/>
    <w:rsid w:val="00430AED"/>
    <w:rsid w:val="00435191"/>
    <w:rsid w:val="00442767"/>
    <w:rsid w:val="004450C3"/>
    <w:rsid w:val="0045357C"/>
    <w:rsid w:val="00474909"/>
    <w:rsid w:val="004D02C2"/>
    <w:rsid w:val="00503D45"/>
    <w:rsid w:val="0051348D"/>
    <w:rsid w:val="0055216E"/>
    <w:rsid w:val="00593DE3"/>
    <w:rsid w:val="0059780A"/>
    <w:rsid w:val="005C3D9A"/>
    <w:rsid w:val="005E0AE6"/>
    <w:rsid w:val="006234FC"/>
    <w:rsid w:val="00631D48"/>
    <w:rsid w:val="00645E66"/>
    <w:rsid w:val="00662D52"/>
    <w:rsid w:val="00670978"/>
    <w:rsid w:val="00684C97"/>
    <w:rsid w:val="00697493"/>
    <w:rsid w:val="006B0238"/>
    <w:rsid w:val="006C7EFB"/>
    <w:rsid w:val="006D56AC"/>
    <w:rsid w:val="00701D37"/>
    <w:rsid w:val="00706902"/>
    <w:rsid w:val="00716CD0"/>
    <w:rsid w:val="00725D4C"/>
    <w:rsid w:val="00753D3C"/>
    <w:rsid w:val="00766E39"/>
    <w:rsid w:val="00777527"/>
    <w:rsid w:val="007A532B"/>
    <w:rsid w:val="007D3540"/>
    <w:rsid w:val="007F3A60"/>
    <w:rsid w:val="007F48E5"/>
    <w:rsid w:val="0081546A"/>
    <w:rsid w:val="008255D7"/>
    <w:rsid w:val="008276B5"/>
    <w:rsid w:val="00846999"/>
    <w:rsid w:val="00867988"/>
    <w:rsid w:val="008938D9"/>
    <w:rsid w:val="008B3CF0"/>
    <w:rsid w:val="008C2FD6"/>
    <w:rsid w:val="008C7E85"/>
    <w:rsid w:val="008D5745"/>
    <w:rsid w:val="008E566E"/>
    <w:rsid w:val="0095400A"/>
    <w:rsid w:val="00955292"/>
    <w:rsid w:val="00982FD2"/>
    <w:rsid w:val="009831A3"/>
    <w:rsid w:val="00984EBE"/>
    <w:rsid w:val="0099434F"/>
    <w:rsid w:val="00A00CBD"/>
    <w:rsid w:val="00A029C4"/>
    <w:rsid w:val="00A51352"/>
    <w:rsid w:val="00A516C1"/>
    <w:rsid w:val="00A51FF9"/>
    <w:rsid w:val="00A534AB"/>
    <w:rsid w:val="00A568C5"/>
    <w:rsid w:val="00A71FE3"/>
    <w:rsid w:val="00A731B5"/>
    <w:rsid w:val="00A90211"/>
    <w:rsid w:val="00A91562"/>
    <w:rsid w:val="00AC5FD1"/>
    <w:rsid w:val="00AD529C"/>
    <w:rsid w:val="00B06AD7"/>
    <w:rsid w:val="00B127A1"/>
    <w:rsid w:val="00B13DDD"/>
    <w:rsid w:val="00B14FD4"/>
    <w:rsid w:val="00B3206B"/>
    <w:rsid w:val="00B32F4F"/>
    <w:rsid w:val="00B3323E"/>
    <w:rsid w:val="00B40948"/>
    <w:rsid w:val="00B73C48"/>
    <w:rsid w:val="00B869F7"/>
    <w:rsid w:val="00B90A04"/>
    <w:rsid w:val="00BA13A3"/>
    <w:rsid w:val="00BE2382"/>
    <w:rsid w:val="00C26D22"/>
    <w:rsid w:val="00C44C7A"/>
    <w:rsid w:val="00C463C0"/>
    <w:rsid w:val="00C633B2"/>
    <w:rsid w:val="00CA499A"/>
    <w:rsid w:val="00CB60F3"/>
    <w:rsid w:val="00CD7CBD"/>
    <w:rsid w:val="00D0191A"/>
    <w:rsid w:val="00D04FED"/>
    <w:rsid w:val="00D06F04"/>
    <w:rsid w:val="00D1011C"/>
    <w:rsid w:val="00D1663B"/>
    <w:rsid w:val="00D260E2"/>
    <w:rsid w:val="00D46786"/>
    <w:rsid w:val="00D67A09"/>
    <w:rsid w:val="00D86089"/>
    <w:rsid w:val="00D96AC6"/>
    <w:rsid w:val="00DD781E"/>
    <w:rsid w:val="00DE4F06"/>
    <w:rsid w:val="00E45EEA"/>
    <w:rsid w:val="00E5246E"/>
    <w:rsid w:val="00E74306"/>
    <w:rsid w:val="00E832E0"/>
    <w:rsid w:val="00E97346"/>
    <w:rsid w:val="00EB0297"/>
    <w:rsid w:val="00EB6CA9"/>
    <w:rsid w:val="00EE55BC"/>
    <w:rsid w:val="00EF16EE"/>
    <w:rsid w:val="00F21DE5"/>
    <w:rsid w:val="00F343D3"/>
    <w:rsid w:val="00F45D7F"/>
    <w:rsid w:val="00F465D6"/>
    <w:rsid w:val="00F63500"/>
    <w:rsid w:val="00F748D8"/>
    <w:rsid w:val="00F91365"/>
    <w:rsid w:val="00FF2C5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17DD4"/>
  <w15:docId w15:val="{825BCDC8-BABD-40C4-9542-3477052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paragraph" w:styleId="Revision">
    <w:name w:val="Revision"/>
    <w:hidden/>
    <w:uiPriority w:val="99"/>
    <w:semiHidden/>
    <w:rsid w:val="00DD781E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Parr, J.Chris</cp:lastModifiedBy>
  <cp:revision>4</cp:revision>
  <cp:lastPrinted>2025-01-23T18:34:00Z</cp:lastPrinted>
  <dcterms:created xsi:type="dcterms:W3CDTF">2025-07-31T16:06:00Z</dcterms:created>
  <dcterms:modified xsi:type="dcterms:W3CDTF">2025-09-15T12:39:00Z</dcterms:modified>
</cp:coreProperties>
</file>