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16001" w14:textId="77777777" w:rsidR="0006211C" w:rsidRPr="00B012D6" w:rsidRDefault="0006211C" w:rsidP="008E27E7">
      <w:pPr>
        <w:pStyle w:val="Heading4"/>
        <w:keepNext w:val="0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65-407</w:t>
      </w:r>
      <w:r w:rsidRPr="00B012D6">
        <w:rPr>
          <w:rFonts w:ascii="Times New Roman" w:hAnsi="Times New Roman" w:cs="Times New Roman"/>
          <w:sz w:val="22"/>
          <w:szCs w:val="22"/>
        </w:rPr>
        <w:tab/>
      </w:r>
      <w:r w:rsidRPr="00B012D6">
        <w:rPr>
          <w:rFonts w:ascii="Times New Roman" w:hAnsi="Times New Roman" w:cs="Times New Roman"/>
          <w:sz w:val="22"/>
          <w:szCs w:val="22"/>
        </w:rPr>
        <w:tab/>
        <w:t>PUBLIC UTILITIES COMMISSION</w:t>
      </w:r>
    </w:p>
    <w:p w14:paraId="68CD02AB" w14:textId="77777777" w:rsidR="0006211C" w:rsidRPr="00B012D6" w:rsidRDefault="0006211C" w:rsidP="008E27E7">
      <w:pPr>
        <w:rPr>
          <w:rFonts w:ascii="Times New Roman" w:hAnsi="Times New Roman" w:cs="Times New Roman"/>
          <w:sz w:val="22"/>
          <w:szCs w:val="22"/>
        </w:rPr>
      </w:pPr>
    </w:p>
    <w:p w14:paraId="1BEC4126" w14:textId="30DDDF14" w:rsidR="00074116" w:rsidRPr="00B012D6" w:rsidRDefault="0006211C" w:rsidP="008E27E7">
      <w:pPr>
        <w:pStyle w:val="BlockText"/>
        <w:tabs>
          <w:tab w:val="clear" w:pos="2230"/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right="0" w:hanging="1440"/>
        <w:rPr>
          <w:rFonts w:ascii="Times New Roman" w:hAnsi="Times New Roman" w:cs="Times New Roman"/>
          <w:b/>
          <w:sz w:val="22"/>
          <w:szCs w:val="22"/>
        </w:rPr>
      </w:pPr>
      <w:r w:rsidRPr="00B012D6">
        <w:rPr>
          <w:rFonts w:ascii="Times New Roman" w:hAnsi="Times New Roman" w:cs="Times New Roman"/>
          <w:b/>
          <w:sz w:val="22"/>
          <w:szCs w:val="22"/>
        </w:rPr>
        <w:t xml:space="preserve">Chapter </w:t>
      </w:r>
      <w:r w:rsidR="009F0D3C" w:rsidRPr="00B012D6">
        <w:rPr>
          <w:rFonts w:ascii="Times New Roman" w:hAnsi="Times New Roman" w:cs="Times New Roman"/>
          <w:b/>
          <w:sz w:val="22"/>
          <w:szCs w:val="22"/>
        </w:rPr>
        <w:t>319</w:t>
      </w:r>
      <w:r w:rsidRPr="00B012D6">
        <w:rPr>
          <w:rFonts w:ascii="Times New Roman" w:hAnsi="Times New Roman" w:cs="Times New Roman"/>
          <w:b/>
          <w:sz w:val="22"/>
          <w:szCs w:val="22"/>
        </w:rPr>
        <w:t>:</w:t>
      </w:r>
      <w:r w:rsidRPr="00B012D6">
        <w:rPr>
          <w:rFonts w:ascii="Times New Roman" w:hAnsi="Times New Roman" w:cs="Times New Roman"/>
          <w:b/>
          <w:sz w:val="22"/>
          <w:szCs w:val="22"/>
        </w:rPr>
        <w:tab/>
      </w:r>
      <w:r w:rsidR="00074116" w:rsidRPr="00B012D6">
        <w:rPr>
          <w:rFonts w:ascii="Times New Roman" w:hAnsi="Times New Roman" w:cs="Times New Roman"/>
          <w:b/>
          <w:sz w:val="22"/>
          <w:szCs w:val="22"/>
        </w:rPr>
        <w:t xml:space="preserve">CRITERIA TO EXCLUDE </w:t>
      </w:r>
      <w:r w:rsidR="0010508F" w:rsidRPr="00B012D6">
        <w:rPr>
          <w:rFonts w:ascii="Times New Roman" w:hAnsi="Times New Roman" w:cs="Times New Roman"/>
          <w:b/>
          <w:sz w:val="22"/>
          <w:szCs w:val="22"/>
        </w:rPr>
        <w:t>SMALL TRANSMISSION PROJECTS AND</w:t>
      </w:r>
      <w:r w:rsidR="005A7E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508F" w:rsidRPr="00B012D6">
        <w:rPr>
          <w:rFonts w:ascii="Times New Roman" w:hAnsi="Times New Roman" w:cs="Times New Roman"/>
          <w:b/>
          <w:sz w:val="22"/>
          <w:szCs w:val="22"/>
        </w:rPr>
        <w:t xml:space="preserve">DISTRIBUTION PROJECTS </w:t>
      </w:r>
      <w:r w:rsidR="00074116" w:rsidRPr="00B012D6">
        <w:rPr>
          <w:rFonts w:ascii="Times New Roman" w:hAnsi="Times New Roman" w:cs="Times New Roman"/>
          <w:b/>
          <w:sz w:val="22"/>
          <w:szCs w:val="22"/>
        </w:rPr>
        <w:t>FROM INVESTIGATI</w:t>
      </w:r>
      <w:r w:rsidR="00262C35" w:rsidRPr="00B012D6">
        <w:rPr>
          <w:rFonts w:ascii="Times New Roman" w:hAnsi="Times New Roman" w:cs="Times New Roman"/>
          <w:b/>
          <w:sz w:val="22"/>
          <w:szCs w:val="22"/>
        </w:rPr>
        <w:t>O</w:t>
      </w:r>
      <w:r w:rsidR="00074116" w:rsidRPr="00B012D6">
        <w:rPr>
          <w:rFonts w:ascii="Times New Roman" w:hAnsi="Times New Roman" w:cs="Times New Roman"/>
          <w:b/>
          <w:sz w:val="22"/>
          <w:szCs w:val="22"/>
        </w:rPr>
        <w:t xml:space="preserve">N BY THE NONWIRES ALTERNATIVE COORDINATOR </w:t>
      </w:r>
    </w:p>
    <w:p w14:paraId="518C1F47" w14:textId="77777777" w:rsidR="0006211C" w:rsidRPr="00B012D6" w:rsidRDefault="0006211C" w:rsidP="008E27E7">
      <w:pPr>
        <w:pStyle w:val="BlockText"/>
        <w:pBdr>
          <w:bottom w:val="single" w:sz="6" w:space="1" w:color="auto"/>
        </w:pBdr>
        <w:tabs>
          <w:tab w:val="clear" w:pos="2230"/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14:paraId="0798C3C8" w14:textId="77777777" w:rsidR="0006211C" w:rsidRPr="00B012D6" w:rsidRDefault="0006211C" w:rsidP="008E27E7">
      <w:pPr>
        <w:pStyle w:val="BlockText"/>
        <w:tabs>
          <w:tab w:val="clear" w:pos="2230"/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14:paraId="0A9B9318" w14:textId="77777777" w:rsidR="00074116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5A7EA5">
        <w:rPr>
          <w:rFonts w:ascii="Times New Roman" w:hAnsi="Times New Roman" w:cs="Times New Roman"/>
          <w:b/>
          <w:bCs/>
          <w:sz w:val="22"/>
          <w:szCs w:val="22"/>
        </w:rPr>
        <w:t>SUMMARY</w:t>
      </w:r>
      <w:r w:rsidRPr="00B012D6">
        <w:rPr>
          <w:rFonts w:ascii="Times New Roman" w:hAnsi="Times New Roman" w:cs="Times New Roman"/>
          <w:sz w:val="22"/>
          <w:szCs w:val="22"/>
        </w:rPr>
        <w:t xml:space="preserve">: This Chapter establishes </w:t>
      </w:r>
      <w:r w:rsidR="00074116" w:rsidRPr="00B012D6">
        <w:rPr>
          <w:rFonts w:ascii="Times New Roman" w:hAnsi="Times New Roman" w:cs="Times New Roman"/>
          <w:sz w:val="22"/>
          <w:szCs w:val="22"/>
        </w:rPr>
        <w:t xml:space="preserve">criteria </w:t>
      </w:r>
      <w:r w:rsidR="0010508F" w:rsidRPr="00B012D6">
        <w:rPr>
          <w:rFonts w:ascii="Times New Roman" w:hAnsi="Times New Roman" w:cs="Times New Roman"/>
          <w:sz w:val="22"/>
          <w:szCs w:val="22"/>
        </w:rPr>
        <w:t xml:space="preserve">to exclude small transmission projects and distribution projects </w:t>
      </w:r>
      <w:r w:rsidR="00074116" w:rsidRPr="00B012D6">
        <w:rPr>
          <w:rFonts w:ascii="Times New Roman" w:hAnsi="Times New Roman" w:cs="Times New Roman"/>
          <w:sz w:val="22"/>
          <w:szCs w:val="22"/>
        </w:rPr>
        <w:t xml:space="preserve">from investigation by the nonwires alternative coordinator. </w:t>
      </w:r>
    </w:p>
    <w:p w14:paraId="0D66C57B" w14:textId="77777777" w:rsidR="0006211C" w:rsidRPr="00B012D6" w:rsidRDefault="0006211C" w:rsidP="008E27E7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3AB2B748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752E1673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04203D0E" w14:textId="77777777" w:rsidR="0006211C" w:rsidRPr="00B012D6" w:rsidRDefault="0006211C" w:rsidP="008E27E7">
      <w:pPr>
        <w:pStyle w:val="Heading6"/>
        <w:keepNext w:val="0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TABLE OF CONTENTS</w:t>
      </w:r>
    </w:p>
    <w:p w14:paraId="63D2FE8D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307C5777" w14:textId="77777777" w:rsidR="0006211C" w:rsidRPr="00B012D6" w:rsidRDefault="0006211C" w:rsidP="008E27E7">
      <w:pPr>
        <w:tabs>
          <w:tab w:val="left" w:pos="720"/>
          <w:tab w:val="left" w:pos="144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b/>
          <w:sz w:val="22"/>
          <w:szCs w:val="22"/>
        </w:rPr>
        <w:t>§1</w:t>
      </w:r>
      <w:r w:rsidRPr="00B012D6">
        <w:rPr>
          <w:rFonts w:ascii="Times New Roman" w:hAnsi="Times New Roman" w:cs="Times New Roman"/>
          <w:b/>
          <w:sz w:val="22"/>
          <w:szCs w:val="22"/>
        </w:rPr>
        <w:tab/>
        <w:t>PURPOSE</w:t>
      </w:r>
      <w:r w:rsidRPr="00B012D6">
        <w:rPr>
          <w:rFonts w:ascii="Times New Roman" w:hAnsi="Times New Roman" w:cs="Times New Roman"/>
          <w:sz w:val="22"/>
          <w:szCs w:val="22"/>
        </w:rPr>
        <w:t xml:space="preserve"> </w:t>
      </w:r>
      <w:r w:rsidRPr="00B012D6">
        <w:rPr>
          <w:rFonts w:ascii="Times New Roman" w:hAnsi="Times New Roman" w:cs="Times New Roman"/>
          <w:sz w:val="22"/>
          <w:szCs w:val="22"/>
        </w:rPr>
        <w:tab/>
      </w:r>
      <w:r w:rsidR="009F0D3C" w:rsidRPr="00B012D6">
        <w:rPr>
          <w:rFonts w:ascii="Times New Roman" w:hAnsi="Times New Roman" w:cs="Times New Roman"/>
          <w:sz w:val="22"/>
          <w:szCs w:val="22"/>
        </w:rPr>
        <w:t>2</w:t>
      </w:r>
    </w:p>
    <w:p w14:paraId="2D344DD1" w14:textId="42A73ECB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</w:p>
    <w:p w14:paraId="4A9A1FBF" w14:textId="77777777" w:rsidR="0006211C" w:rsidRPr="00B012D6" w:rsidRDefault="0006211C" w:rsidP="008E27E7">
      <w:pPr>
        <w:tabs>
          <w:tab w:val="left" w:pos="720"/>
          <w:tab w:val="left" w:pos="1440"/>
          <w:tab w:val="left" w:pos="1899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b/>
          <w:sz w:val="22"/>
          <w:szCs w:val="22"/>
        </w:rPr>
        <w:t>§2</w:t>
      </w:r>
      <w:r w:rsidRPr="00B012D6">
        <w:rPr>
          <w:rFonts w:ascii="Times New Roman" w:hAnsi="Times New Roman" w:cs="Times New Roman"/>
          <w:b/>
          <w:sz w:val="22"/>
          <w:szCs w:val="22"/>
        </w:rPr>
        <w:tab/>
        <w:t>DEFINITIONS</w:t>
      </w:r>
      <w:r w:rsidRPr="00B012D6">
        <w:rPr>
          <w:rFonts w:ascii="Times New Roman" w:hAnsi="Times New Roman" w:cs="Times New Roman"/>
          <w:sz w:val="22"/>
          <w:szCs w:val="22"/>
        </w:rPr>
        <w:t xml:space="preserve"> </w:t>
      </w:r>
      <w:r w:rsidRPr="00B012D6">
        <w:rPr>
          <w:rFonts w:ascii="Times New Roman" w:hAnsi="Times New Roman" w:cs="Times New Roman"/>
          <w:sz w:val="22"/>
          <w:szCs w:val="22"/>
        </w:rPr>
        <w:tab/>
      </w:r>
      <w:r w:rsidR="009F0D3C" w:rsidRPr="00B012D6">
        <w:rPr>
          <w:rFonts w:ascii="Times New Roman" w:hAnsi="Times New Roman" w:cs="Times New Roman"/>
          <w:sz w:val="22"/>
          <w:szCs w:val="22"/>
        </w:rPr>
        <w:t>2</w:t>
      </w:r>
    </w:p>
    <w:p w14:paraId="15C0AD8B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</w:p>
    <w:p w14:paraId="1BCE6818" w14:textId="77777777" w:rsidR="000365ED" w:rsidRPr="00B012D6" w:rsidRDefault="0006211C" w:rsidP="008E27E7">
      <w:pPr>
        <w:tabs>
          <w:tab w:val="left" w:pos="720"/>
          <w:tab w:val="left" w:pos="1440"/>
          <w:tab w:val="left" w:pos="2160"/>
          <w:tab w:val="right" w:leader="dot" w:pos="9270"/>
        </w:tabs>
        <w:ind w:left="720" w:right="-90" w:hanging="720"/>
        <w:rPr>
          <w:rFonts w:ascii="Times New Roman" w:hAnsi="Times New Roman" w:cs="Times New Roman"/>
          <w:b/>
          <w:sz w:val="22"/>
          <w:szCs w:val="22"/>
        </w:rPr>
      </w:pPr>
      <w:r w:rsidRPr="00B012D6">
        <w:rPr>
          <w:rFonts w:ascii="Times New Roman" w:hAnsi="Times New Roman" w:cs="Times New Roman"/>
          <w:b/>
          <w:sz w:val="22"/>
          <w:szCs w:val="22"/>
        </w:rPr>
        <w:t>§</w:t>
      </w:r>
      <w:r w:rsidR="00995C8E" w:rsidRPr="00B012D6">
        <w:rPr>
          <w:rFonts w:ascii="Times New Roman" w:hAnsi="Times New Roman" w:cs="Times New Roman"/>
          <w:b/>
          <w:sz w:val="22"/>
          <w:szCs w:val="22"/>
        </w:rPr>
        <w:t>3</w:t>
      </w:r>
      <w:r w:rsidRPr="00B012D6">
        <w:rPr>
          <w:rFonts w:ascii="Times New Roman" w:hAnsi="Times New Roman" w:cs="Times New Roman"/>
          <w:b/>
          <w:sz w:val="22"/>
          <w:szCs w:val="22"/>
        </w:rPr>
        <w:tab/>
      </w:r>
      <w:r w:rsidR="00074116" w:rsidRPr="00B012D6">
        <w:rPr>
          <w:rFonts w:ascii="Times New Roman" w:hAnsi="Times New Roman" w:cs="Times New Roman"/>
          <w:b/>
          <w:sz w:val="22"/>
          <w:szCs w:val="22"/>
        </w:rPr>
        <w:t>E</w:t>
      </w:r>
      <w:r w:rsidR="003D5A29" w:rsidRPr="00B012D6">
        <w:rPr>
          <w:rFonts w:ascii="Times New Roman" w:hAnsi="Times New Roman" w:cs="Times New Roman"/>
          <w:b/>
          <w:sz w:val="22"/>
          <w:szCs w:val="22"/>
        </w:rPr>
        <w:t>XCLUSIONS</w:t>
      </w:r>
      <w:r w:rsidR="001F0405" w:rsidRPr="00B012D6">
        <w:rPr>
          <w:rFonts w:ascii="Times New Roman" w:hAnsi="Times New Roman" w:cs="Times New Roman"/>
          <w:b/>
          <w:sz w:val="22"/>
          <w:szCs w:val="22"/>
        </w:rPr>
        <w:t xml:space="preserve"> FROM NONWIRES ALTERNATIVES COORDINATOR </w:t>
      </w:r>
    </w:p>
    <w:p w14:paraId="587C15D7" w14:textId="31040694" w:rsidR="0006211C" w:rsidRPr="00B012D6" w:rsidRDefault="000365ED" w:rsidP="008E27E7">
      <w:pPr>
        <w:tabs>
          <w:tab w:val="left" w:pos="720"/>
          <w:tab w:val="left" w:pos="1440"/>
          <w:tab w:val="left" w:pos="2160"/>
          <w:tab w:val="right" w:leader="dot" w:pos="936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b/>
          <w:sz w:val="22"/>
          <w:szCs w:val="22"/>
        </w:rPr>
        <w:tab/>
      </w:r>
      <w:r w:rsidR="001F0405" w:rsidRPr="00E90A85">
        <w:rPr>
          <w:rFonts w:ascii="Times New Roman" w:hAnsi="Times New Roman" w:cs="Times New Roman"/>
          <w:b/>
          <w:bCs/>
          <w:sz w:val="22"/>
          <w:szCs w:val="22"/>
        </w:rPr>
        <w:t>INVESTIGATIONS</w:t>
      </w:r>
      <w:r w:rsidR="003212A7">
        <w:rPr>
          <w:rFonts w:ascii="Times New Roman" w:hAnsi="Times New Roman" w:cs="Times New Roman"/>
          <w:bCs/>
          <w:sz w:val="22"/>
          <w:szCs w:val="22"/>
        </w:rPr>
        <w:tab/>
      </w:r>
      <w:r w:rsidR="009F0D3C" w:rsidRPr="003212A7">
        <w:rPr>
          <w:rFonts w:ascii="Times New Roman" w:hAnsi="Times New Roman" w:cs="Times New Roman"/>
          <w:bCs/>
          <w:sz w:val="22"/>
          <w:szCs w:val="22"/>
        </w:rPr>
        <w:t>2</w:t>
      </w:r>
    </w:p>
    <w:p w14:paraId="2B5ED0FE" w14:textId="77777777" w:rsidR="00074116" w:rsidRPr="00B012D6" w:rsidRDefault="00074116" w:rsidP="008E27E7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</w:p>
    <w:p w14:paraId="6F846BB9" w14:textId="63CC115F" w:rsidR="00074116" w:rsidRPr="00B012D6" w:rsidRDefault="00074116" w:rsidP="008E27E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 xml:space="preserve">Projects Necessary for Redundant Supply to a Radial Load </w:t>
      </w:r>
      <w:r w:rsidR="00B012D6">
        <w:rPr>
          <w:rFonts w:ascii="Times New Roman" w:hAnsi="Times New Roman" w:cs="Times New Roman"/>
          <w:sz w:val="22"/>
          <w:szCs w:val="22"/>
        </w:rPr>
        <w:tab/>
      </w:r>
      <w:r w:rsidR="006E413B" w:rsidRPr="00B012D6">
        <w:rPr>
          <w:rFonts w:ascii="Times New Roman" w:hAnsi="Times New Roman" w:cs="Times New Roman"/>
          <w:sz w:val="22"/>
          <w:szCs w:val="22"/>
        </w:rPr>
        <w:t>2</w:t>
      </w:r>
    </w:p>
    <w:p w14:paraId="4625950A" w14:textId="77777777" w:rsidR="00074116" w:rsidRPr="00B012D6" w:rsidRDefault="00074116" w:rsidP="008E27E7">
      <w:pPr>
        <w:tabs>
          <w:tab w:val="left" w:pos="720"/>
          <w:tab w:val="left" w:pos="1440"/>
          <w:tab w:val="left" w:pos="216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0BDADEFB" w14:textId="481F42C3" w:rsidR="00074116" w:rsidRPr="00B012D6" w:rsidRDefault="00074116" w:rsidP="008E27E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 xml:space="preserve">Projects Necessary to Address Maintenance, Asset Condition or Safety </w:t>
      </w:r>
      <w:r w:rsidR="00B012D6">
        <w:rPr>
          <w:rFonts w:ascii="Times New Roman" w:hAnsi="Times New Roman" w:cs="Times New Roman"/>
          <w:sz w:val="22"/>
          <w:szCs w:val="22"/>
        </w:rPr>
        <w:t>N</w:t>
      </w:r>
      <w:r w:rsidRPr="00B012D6">
        <w:rPr>
          <w:rFonts w:ascii="Times New Roman" w:hAnsi="Times New Roman" w:cs="Times New Roman"/>
          <w:sz w:val="22"/>
          <w:szCs w:val="22"/>
        </w:rPr>
        <w:t>eeds</w:t>
      </w:r>
      <w:r w:rsidR="006E413B" w:rsidRPr="00B012D6">
        <w:rPr>
          <w:rFonts w:ascii="Times New Roman" w:hAnsi="Times New Roman" w:cs="Times New Roman"/>
          <w:sz w:val="22"/>
          <w:szCs w:val="22"/>
        </w:rPr>
        <w:t xml:space="preserve"> </w:t>
      </w:r>
      <w:r w:rsidR="00B012D6">
        <w:rPr>
          <w:rFonts w:ascii="Times New Roman" w:hAnsi="Times New Roman" w:cs="Times New Roman"/>
          <w:sz w:val="22"/>
          <w:szCs w:val="22"/>
        </w:rPr>
        <w:tab/>
      </w:r>
      <w:r w:rsidR="00701CC9" w:rsidRPr="00B012D6">
        <w:rPr>
          <w:rFonts w:ascii="Times New Roman" w:hAnsi="Times New Roman" w:cs="Times New Roman"/>
          <w:sz w:val="22"/>
          <w:szCs w:val="22"/>
        </w:rPr>
        <w:t>3</w:t>
      </w:r>
    </w:p>
    <w:p w14:paraId="66A8F84E" w14:textId="77777777" w:rsidR="00074116" w:rsidRPr="00B012D6" w:rsidRDefault="00074116" w:rsidP="008E27E7">
      <w:pPr>
        <w:pStyle w:val="ListParagraph"/>
        <w:tabs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7B4AC038" w14:textId="1FD20D17" w:rsidR="00074116" w:rsidRPr="00B012D6" w:rsidRDefault="00074116" w:rsidP="008E27E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Projects Necessary to Address Stability or Short Circuit Problems</w:t>
      </w:r>
      <w:r w:rsidR="00B012D6">
        <w:rPr>
          <w:rFonts w:ascii="Times New Roman" w:hAnsi="Times New Roman" w:cs="Times New Roman"/>
          <w:sz w:val="22"/>
          <w:szCs w:val="22"/>
        </w:rPr>
        <w:tab/>
      </w:r>
      <w:r w:rsidR="006E413B" w:rsidRPr="00B012D6">
        <w:rPr>
          <w:rFonts w:ascii="Times New Roman" w:hAnsi="Times New Roman" w:cs="Times New Roman"/>
          <w:sz w:val="22"/>
          <w:szCs w:val="22"/>
        </w:rPr>
        <w:t>3</w:t>
      </w:r>
    </w:p>
    <w:p w14:paraId="7DBD1628" w14:textId="6E1553E1" w:rsidR="00074116" w:rsidRPr="00B012D6" w:rsidRDefault="00074116" w:rsidP="008E27E7">
      <w:pPr>
        <w:pStyle w:val="ListParagraph"/>
        <w:tabs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5A07F96F" w14:textId="77777777" w:rsidR="00FE48E1" w:rsidRPr="00B012D6" w:rsidRDefault="00074116" w:rsidP="008E27E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 xml:space="preserve">Projects Required to be in Service within One Year Based on the </w:t>
      </w:r>
    </w:p>
    <w:p w14:paraId="7EF90FBB" w14:textId="42144CC6" w:rsidR="00074116" w:rsidRPr="00B012D6" w:rsidRDefault="00FE48E1" w:rsidP="008E27E7">
      <w:pPr>
        <w:tabs>
          <w:tab w:val="left" w:pos="720"/>
          <w:tab w:val="left" w:pos="1440"/>
          <w:tab w:val="left" w:pos="216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ab/>
      </w:r>
      <w:r w:rsidR="00074116" w:rsidRPr="00B012D6">
        <w:rPr>
          <w:rFonts w:ascii="Times New Roman" w:hAnsi="Times New Roman" w:cs="Times New Roman"/>
          <w:sz w:val="22"/>
          <w:szCs w:val="22"/>
        </w:rPr>
        <w:t>Controlling Load Forecast</w:t>
      </w:r>
      <w:r w:rsidR="00520170" w:rsidRPr="00B012D6">
        <w:rPr>
          <w:rFonts w:ascii="Times New Roman" w:hAnsi="Times New Roman" w:cs="Times New Roman"/>
          <w:sz w:val="22"/>
          <w:szCs w:val="22"/>
        </w:rPr>
        <w:t xml:space="preserve"> </w:t>
      </w:r>
      <w:r w:rsidR="00B012D6">
        <w:rPr>
          <w:rFonts w:ascii="Times New Roman" w:hAnsi="Times New Roman" w:cs="Times New Roman"/>
          <w:sz w:val="22"/>
          <w:szCs w:val="22"/>
        </w:rPr>
        <w:tab/>
      </w:r>
      <w:r w:rsidR="00520170" w:rsidRPr="00B012D6">
        <w:rPr>
          <w:rFonts w:ascii="Times New Roman" w:hAnsi="Times New Roman" w:cs="Times New Roman"/>
          <w:sz w:val="22"/>
          <w:szCs w:val="22"/>
        </w:rPr>
        <w:t>3</w:t>
      </w:r>
    </w:p>
    <w:p w14:paraId="33DD752A" w14:textId="77777777" w:rsidR="003D5A29" w:rsidRPr="00B012D6" w:rsidRDefault="003D5A29" w:rsidP="008E27E7">
      <w:pPr>
        <w:tabs>
          <w:tab w:val="left" w:pos="720"/>
          <w:tab w:val="left" w:pos="1440"/>
          <w:tab w:val="left" w:pos="216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51E4AC64" w14:textId="052A59CA" w:rsidR="003D5A29" w:rsidRDefault="003D5A29" w:rsidP="008E27E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Customer</w:t>
      </w:r>
      <w:r w:rsidR="00EB50C0" w:rsidRPr="00B012D6">
        <w:rPr>
          <w:rFonts w:ascii="Times New Roman" w:hAnsi="Times New Roman" w:cs="Times New Roman"/>
          <w:sz w:val="22"/>
          <w:szCs w:val="22"/>
        </w:rPr>
        <w:t xml:space="preserve"> </w:t>
      </w:r>
      <w:r w:rsidR="00534898" w:rsidRPr="00B012D6">
        <w:rPr>
          <w:rFonts w:ascii="Times New Roman" w:hAnsi="Times New Roman" w:cs="Times New Roman"/>
          <w:sz w:val="22"/>
          <w:szCs w:val="22"/>
        </w:rPr>
        <w:t xml:space="preserve">or Generator </w:t>
      </w:r>
      <w:r w:rsidR="00EB50C0" w:rsidRPr="00B012D6">
        <w:rPr>
          <w:rFonts w:ascii="Times New Roman" w:hAnsi="Times New Roman" w:cs="Times New Roman"/>
          <w:sz w:val="22"/>
          <w:szCs w:val="22"/>
        </w:rPr>
        <w:t>Funded Interconnection Related Projects</w:t>
      </w:r>
      <w:r w:rsidR="00B012D6">
        <w:rPr>
          <w:rFonts w:ascii="Times New Roman" w:hAnsi="Times New Roman" w:cs="Times New Roman"/>
          <w:sz w:val="22"/>
          <w:szCs w:val="22"/>
        </w:rPr>
        <w:tab/>
      </w:r>
      <w:r w:rsidR="000D516B" w:rsidRPr="00B012D6">
        <w:rPr>
          <w:rFonts w:ascii="Times New Roman" w:hAnsi="Times New Roman" w:cs="Times New Roman"/>
          <w:sz w:val="22"/>
          <w:szCs w:val="22"/>
        </w:rPr>
        <w:t>3</w:t>
      </w:r>
    </w:p>
    <w:p w14:paraId="44C35C78" w14:textId="15BF4961" w:rsidR="006F4EB8" w:rsidRDefault="006F4EB8" w:rsidP="006F4EB8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666EC349" w14:textId="52726858" w:rsidR="006F4EB8" w:rsidRPr="00E90A85" w:rsidRDefault="006F4EB8" w:rsidP="00E90A8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E90A85">
        <w:rPr>
          <w:rFonts w:ascii="Times New Roman" w:hAnsi="Times New Roman" w:cs="Times New Roman"/>
          <w:sz w:val="22"/>
          <w:szCs w:val="22"/>
        </w:rPr>
        <w:t xml:space="preserve">Automation Projects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…………………………………………………………...………… 4</w:t>
      </w:r>
    </w:p>
    <w:p w14:paraId="4CB653E4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</w:p>
    <w:p w14:paraId="09BD2A52" w14:textId="386B5649" w:rsidR="00651C55" w:rsidRPr="00B012D6" w:rsidRDefault="00651C55" w:rsidP="008E27E7">
      <w:pPr>
        <w:tabs>
          <w:tab w:val="left" w:pos="720"/>
          <w:tab w:val="left" w:pos="1440"/>
          <w:tab w:val="right" w:leader="dot" w:pos="936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b/>
          <w:sz w:val="22"/>
          <w:szCs w:val="22"/>
        </w:rPr>
        <w:t xml:space="preserve">§4 </w:t>
      </w:r>
      <w:r w:rsidRPr="00B012D6">
        <w:rPr>
          <w:rFonts w:ascii="Times New Roman" w:hAnsi="Times New Roman" w:cs="Times New Roman"/>
          <w:b/>
          <w:sz w:val="22"/>
          <w:szCs w:val="22"/>
        </w:rPr>
        <w:tab/>
        <w:t xml:space="preserve">PROCESS FOR DETERMINING ADDITONAL PROJECTS AND/OR EXCLUSION </w:t>
      </w:r>
      <w:r w:rsidRPr="0043509E">
        <w:rPr>
          <w:rFonts w:ascii="Times New Roman" w:hAnsi="Times New Roman" w:cs="Times New Roman"/>
          <w:b/>
          <w:sz w:val="22"/>
          <w:szCs w:val="22"/>
        </w:rPr>
        <w:t>CATEGORIES</w:t>
      </w:r>
      <w:r w:rsidR="00B012D6">
        <w:rPr>
          <w:rFonts w:ascii="Times New Roman" w:hAnsi="Times New Roman" w:cs="Times New Roman"/>
          <w:bCs/>
          <w:sz w:val="22"/>
          <w:szCs w:val="22"/>
        </w:rPr>
        <w:tab/>
      </w:r>
      <w:r w:rsidR="00DD768A" w:rsidRPr="00B012D6">
        <w:rPr>
          <w:rFonts w:ascii="Times New Roman" w:hAnsi="Times New Roman" w:cs="Times New Roman"/>
          <w:bCs/>
          <w:sz w:val="22"/>
          <w:szCs w:val="22"/>
        </w:rPr>
        <w:t>4</w:t>
      </w:r>
    </w:p>
    <w:p w14:paraId="390D531F" w14:textId="77777777" w:rsidR="00651C55" w:rsidRPr="00B012D6" w:rsidRDefault="00651C55" w:rsidP="008E27E7">
      <w:pPr>
        <w:tabs>
          <w:tab w:val="left" w:pos="720"/>
          <w:tab w:val="left" w:pos="144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</w:p>
    <w:p w14:paraId="4F3AA31A" w14:textId="30F9FD3B" w:rsidR="0006211C" w:rsidRPr="00B012D6" w:rsidRDefault="0006211C" w:rsidP="008E27E7">
      <w:pPr>
        <w:tabs>
          <w:tab w:val="left" w:pos="720"/>
          <w:tab w:val="left" w:pos="144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b/>
          <w:sz w:val="22"/>
          <w:szCs w:val="22"/>
        </w:rPr>
        <w:t>§</w:t>
      </w:r>
      <w:r w:rsidR="00651C55" w:rsidRPr="00B012D6">
        <w:rPr>
          <w:rFonts w:ascii="Times New Roman" w:hAnsi="Times New Roman" w:cs="Times New Roman"/>
          <w:b/>
          <w:sz w:val="22"/>
          <w:szCs w:val="22"/>
        </w:rPr>
        <w:t>5</w:t>
      </w:r>
      <w:r w:rsidRPr="00B012D6">
        <w:rPr>
          <w:rFonts w:ascii="Times New Roman" w:hAnsi="Times New Roman" w:cs="Times New Roman"/>
          <w:b/>
          <w:sz w:val="22"/>
          <w:szCs w:val="22"/>
        </w:rPr>
        <w:tab/>
        <w:t>WAIVER</w:t>
      </w:r>
      <w:r w:rsidRPr="00B012D6">
        <w:rPr>
          <w:rFonts w:ascii="Times New Roman" w:hAnsi="Times New Roman" w:cs="Times New Roman"/>
          <w:sz w:val="22"/>
          <w:szCs w:val="22"/>
        </w:rPr>
        <w:t xml:space="preserve"> </w:t>
      </w:r>
      <w:r w:rsidRPr="00B012D6">
        <w:rPr>
          <w:rFonts w:ascii="Times New Roman" w:hAnsi="Times New Roman" w:cs="Times New Roman"/>
          <w:sz w:val="22"/>
          <w:szCs w:val="22"/>
        </w:rPr>
        <w:tab/>
      </w:r>
      <w:r w:rsidR="00DD768A" w:rsidRPr="00B012D6">
        <w:rPr>
          <w:rFonts w:ascii="Times New Roman" w:hAnsi="Times New Roman" w:cs="Times New Roman"/>
          <w:sz w:val="22"/>
          <w:szCs w:val="22"/>
        </w:rPr>
        <w:t>4</w:t>
      </w:r>
    </w:p>
    <w:p w14:paraId="17900A4B" w14:textId="08DA097C" w:rsidR="0006211C" w:rsidRPr="00B012D6" w:rsidRDefault="0006211C" w:rsidP="008E27E7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0BE79DAA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4F9841FF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  <w:sectPr w:rsidR="0006211C" w:rsidRPr="00B012D6">
          <w:headerReference w:type="default" r:id="rId11"/>
          <w:pgSz w:w="12240" w:h="15840"/>
          <w:pgMar w:top="1440" w:right="1440" w:bottom="1440" w:left="1440" w:header="0" w:footer="0" w:gutter="0"/>
          <w:cols w:space="720"/>
          <w:titlePg/>
        </w:sectPr>
      </w:pPr>
    </w:p>
    <w:p w14:paraId="1F28B92B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  <w:r w:rsidRPr="00B012D6">
        <w:rPr>
          <w:rFonts w:ascii="Times New Roman" w:hAnsi="Times New Roman" w:cs="Times New Roman"/>
          <w:b/>
          <w:sz w:val="22"/>
          <w:szCs w:val="22"/>
        </w:rPr>
        <w:lastRenderedPageBreak/>
        <w:t>§ 1</w:t>
      </w:r>
      <w:r w:rsidRPr="00B012D6">
        <w:rPr>
          <w:rFonts w:ascii="Times New Roman" w:hAnsi="Times New Roman" w:cs="Times New Roman"/>
          <w:b/>
          <w:sz w:val="22"/>
          <w:szCs w:val="22"/>
        </w:rPr>
        <w:tab/>
        <w:t>PURPOSE</w:t>
      </w:r>
    </w:p>
    <w:p w14:paraId="78545ED0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</w:p>
    <w:p w14:paraId="6F8ECEB0" w14:textId="6D465A53" w:rsidR="00074116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 xml:space="preserve">The purpose of this Chapter </w:t>
      </w:r>
      <w:r w:rsidR="00074116" w:rsidRPr="00B012D6">
        <w:rPr>
          <w:rFonts w:ascii="Times New Roman" w:hAnsi="Times New Roman" w:cs="Times New Roman"/>
          <w:sz w:val="22"/>
          <w:szCs w:val="22"/>
        </w:rPr>
        <w:t xml:space="preserve">is to establish criteria to exclude from investigation by the nonwires alternative coordinator small transmission projects and distribution projects best suited to transmission and distribution </w:t>
      </w:r>
      <w:r w:rsidR="00520170" w:rsidRPr="00B012D6">
        <w:rPr>
          <w:rFonts w:ascii="Times New Roman" w:hAnsi="Times New Roman" w:cs="Times New Roman"/>
          <w:sz w:val="22"/>
          <w:szCs w:val="22"/>
        </w:rPr>
        <w:t>investments</w:t>
      </w:r>
      <w:r w:rsidR="00A10469" w:rsidRPr="00B012D6">
        <w:rPr>
          <w:rFonts w:ascii="Times New Roman" w:hAnsi="Times New Roman" w:cs="Times New Roman"/>
          <w:sz w:val="22"/>
          <w:szCs w:val="22"/>
        </w:rPr>
        <w:t xml:space="preserve"> pursuant to Title 35-A, section 3132-B</w:t>
      </w:r>
      <w:r w:rsidR="00074116" w:rsidRPr="00B012D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9C22BC" w14:textId="4505384E" w:rsidR="00074116" w:rsidRDefault="00074116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744DF1E8" w14:textId="77777777" w:rsidR="00260119" w:rsidRPr="00B012D6" w:rsidRDefault="00260119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04ED5640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  <w:r w:rsidRPr="00B012D6">
        <w:rPr>
          <w:rFonts w:ascii="Times New Roman" w:hAnsi="Times New Roman" w:cs="Times New Roman"/>
          <w:b/>
          <w:sz w:val="22"/>
          <w:szCs w:val="22"/>
        </w:rPr>
        <w:t>§ 2</w:t>
      </w:r>
      <w:r w:rsidRPr="00B012D6">
        <w:rPr>
          <w:rFonts w:ascii="Times New Roman" w:hAnsi="Times New Roman" w:cs="Times New Roman"/>
          <w:b/>
          <w:sz w:val="22"/>
          <w:szCs w:val="22"/>
        </w:rPr>
        <w:tab/>
        <w:t>DEFINITIONS</w:t>
      </w:r>
    </w:p>
    <w:p w14:paraId="20128176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</w:p>
    <w:p w14:paraId="00FD45CA" w14:textId="77777777" w:rsidR="00995C8E" w:rsidRPr="00B012D6" w:rsidRDefault="00995C8E" w:rsidP="008E27E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eastAsia="Segoe UI Emoji" w:hAnsi="Times New Roman" w:cs="Times New Roman"/>
          <w:sz w:val="22"/>
          <w:szCs w:val="22"/>
        </w:rPr>
      </w:pPr>
      <w:r w:rsidRPr="00B012D6">
        <w:rPr>
          <w:rFonts w:ascii="Times New Roman" w:eastAsia="Segoe UI Emoji" w:hAnsi="Times New Roman" w:cs="Times New Roman"/>
          <w:b/>
          <w:sz w:val="22"/>
          <w:szCs w:val="22"/>
        </w:rPr>
        <w:t>Commission.</w:t>
      </w:r>
      <w:r w:rsidRPr="00B012D6">
        <w:rPr>
          <w:rFonts w:ascii="Times New Roman" w:eastAsia="Segoe UI Emoji" w:hAnsi="Times New Roman" w:cs="Times New Roman"/>
          <w:sz w:val="22"/>
          <w:szCs w:val="22"/>
        </w:rPr>
        <w:t xml:space="preserve"> “Commission” means the Maine Public Utilities Commission. </w:t>
      </w:r>
    </w:p>
    <w:p w14:paraId="0F6B1986" w14:textId="77777777" w:rsidR="00713310" w:rsidRPr="00B012D6" w:rsidRDefault="00713310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/>
        <w:rPr>
          <w:rFonts w:ascii="Times New Roman" w:eastAsia="Segoe UI Emoji" w:hAnsi="Times New Roman" w:cs="Times New Roman"/>
          <w:sz w:val="22"/>
          <w:szCs w:val="22"/>
        </w:rPr>
      </w:pPr>
    </w:p>
    <w:p w14:paraId="1ABED392" w14:textId="77777777" w:rsidR="00641C91" w:rsidRPr="00B012D6" w:rsidRDefault="00713310" w:rsidP="008E27E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eastAsia="Segoe UI Emoji" w:hAnsi="Times New Roman" w:cs="Times New Roman"/>
          <w:sz w:val="22"/>
          <w:szCs w:val="22"/>
        </w:rPr>
      </w:pPr>
      <w:r w:rsidRPr="00B012D6">
        <w:rPr>
          <w:rFonts w:ascii="Times New Roman" w:eastAsia="Segoe UI Emoji" w:hAnsi="Times New Roman" w:cs="Times New Roman"/>
          <w:b/>
          <w:sz w:val="22"/>
          <w:szCs w:val="22"/>
        </w:rPr>
        <w:t>Controlling load forecast.</w:t>
      </w:r>
      <w:r w:rsidRPr="00B012D6">
        <w:rPr>
          <w:rFonts w:ascii="Times New Roman" w:eastAsia="Segoe UI Emoji" w:hAnsi="Times New Roman" w:cs="Times New Roman"/>
          <w:sz w:val="22"/>
          <w:szCs w:val="22"/>
        </w:rPr>
        <w:t xml:space="preserve"> “Controlling load forecast” means the load forecast currently used by the transmission and distribution utilities for transmission and distribution planning purposes.</w:t>
      </w:r>
    </w:p>
    <w:p w14:paraId="25C73543" w14:textId="77777777" w:rsidR="00995C8E" w:rsidRPr="00B012D6" w:rsidRDefault="00995C8E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/>
        <w:rPr>
          <w:rFonts w:ascii="Times New Roman" w:eastAsia="Segoe UI Emoji" w:hAnsi="Times New Roman" w:cs="Times New Roman"/>
          <w:sz w:val="22"/>
          <w:szCs w:val="22"/>
        </w:rPr>
      </w:pPr>
    </w:p>
    <w:p w14:paraId="6653036C" w14:textId="77777777" w:rsidR="00074116" w:rsidRPr="00B012D6" w:rsidRDefault="00074116" w:rsidP="008E27E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eastAsia="Segoe UI Emoji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b/>
          <w:sz w:val="22"/>
          <w:szCs w:val="22"/>
        </w:rPr>
        <w:t>Cost-effective.</w:t>
      </w:r>
      <w:r w:rsidRPr="00B012D6">
        <w:rPr>
          <w:rFonts w:ascii="Times New Roman" w:hAnsi="Times New Roman" w:cs="Times New Roman"/>
          <w:sz w:val="22"/>
          <w:szCs w:val="22"/>
        </w:rPr>
        <w:t xml:space="preserve"> "Cost-effective" with respect to nonwires alternatives</w:t>
      </w:r>
      <w:r w:rsidR="001F0405" w:rsidRPr="00B012D6">
        <w:rPr>
          <w:rFonts w:ascii="Times New Roman" w:hAnsi="Times New Roman" w:cs="Times New Roman"/>
          <w:sz w:val="22"/>
          <w:szCs w:val="22"/>
        </w:rPr>
        <w:t xml:space="preserve"> </w:t>
      </w:r>
      <w:r w:rsidRPr="00B012D6">
        <w:rPr>
          <w:rFonts w:ascii="Times New Roman" w:hAnsi="Times New Roman" w:cs="Times New Roman"/>
          <w:sz w:val="22"/>
          <w:szCs w:val="22"/>
        </w:rPr>
        <w:t xml:space="preserve">has the same </w:t>
      </w:r>
      <w:r w:rsidR="00520170" w:rsidRPr="00B012D6">
        <w:rPr>
          <w:rFonts w:ascii="Times New Roman" w:hAnsi="Times New Roman" w:cs="Times New Roman"/>
          <w:sz w:val="22"/>
          <w:szCs w:val="22"/>
        </w:rPr>
        <w:t>meaning</w:t>
      </w:r>
      <w:r w:rsidRPr="00B012D6">
        <w:rPr>
          <w:rFonts w:ascii="Times New Roman" w:hAnsi="Times New Roman" w:cs="Times New Roman"/>
          <w:sz w:val="22"/>
          <w:szCs w:val="22"/>
        </w:rPr>
        <w:t xml:space="preserve"> as in Title 35-A, section 3131, subsection 8. </w:t>
      </w:r>
    </w:p>
    <w:p w14:paraId="19B731A6" w14:textId="77777777" w:rsidR="00074116" w:rsidRPr="00B012D6" w:rsidRDefault="00074116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/>
        <w:rPr>
          <w:rFonts w:ascii="Times New Roman" w:eastAsia="Segoe UI Emoji" w:hAnsi="Times New Roman" w:cs="Times New Roman"/>
          <w:sz w:val="22"/>
          <w:szCs w:val="22"/>
        </w:rPr>
      </w:pPr>
    </w:p>
    <w:p w14:paraId="23F85C36" w14:textId="77777777" w:rsidR="00074116" w:rsidRPr="00B012D6" w:rsidRDefault="00074116" w:rsidP="008E27E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eastAsia="Segoe UI Emoji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b/>
          <w:sz w:val="22"/>
          <w:szCs w:val="22"/>
        </w:rPr>
        <w:t>Nontransmission alternative.</w:t>
      </w:r>
      <w:r w:rsidRPr="00B012D6">
        <w:rPr>
          <w:rFonts w:ascii="Times New Roman" w:hAnsi="Times New Roman" w:cs="Times New Roman"/>
          <w:sz w:val="22"/>
          <w:szCs w:val="22"/>
        </w:rPr>
        <w:t xml:space="preserve"> “Nontransmission alternative” has the same meaning as in Title 35-A, section 3131, subsection 4-</w:t>
      </w:r>
      <w:r w:rsidRPr="00B012D6">
        <w:rPr>
          <w:rFonts w:ascii="Times New Roman" w:eastAsia="Segoe UI Emoji" w:hAnsi="Times New Roman" w:cs="Times New Roman"/>
          <w:sz w:val="22"/>
          <w:szCs w:val="22"/>
        </w:rPr>
        <w:t xml:space="preserve">B. </w:t>
      </w:r>
    </w:p>
    <w:p w14:paraId="09F65238" w14:textId="77777777" w:rsidR="00074116" w:rsidRPr="00B012D6" w:rsidRDefault="00074116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/>
        <w:rPr>
          <w:rFonts w:ascii="Times New Roman" w:eastAsia="Segoe UI Emoji" w:hAnsi="Times New Roman" w:cs="Times New Roman"/>
          <w:sz w:val="22"/>
          <w:szCs w:val="22"/>
        </w:rPr>
      </w:pPr>
    </w:p>
    <w:p w14:paraId="49BCF693" w14:textId="77777777" w:rsidR="00074116" w:rsidRPr="00B012D6" w:rsidRDefault="00074116" w:rsidP="008E27E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eastAsia="Segoe UI Emoji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b/>
          <w:sz w:val="22"/>
          <w:szCs w:val="22"/>
        </w:rPr>
        <w:t>Nonwires alternative.</w:t>
      </w:r>
      <w:r w:rsidRPr="00B012D6">
        <w:rPr>
          <w:rFonts w:ascii="Times New Roman" w:eastAsia="Segoe UI Emoji" w:hAnsi="Times New Roman" w:cs="Times New Roman"/>
          <w:sz w:val="22"/>
          <w:szCs w:val="22"/>
        </w:rPr>
        <w:t xml:space="preserve"> “Nonwires alternative” has the same meaning as in Title 35-A, section 3131, subsection 4-C. </w:t>
      </w:r>
    </w:p>
    <w:p w14:paraId="714C4323" w14:textId="77777777" w:rsidR="00074116" w:rsidRPr="00B012D6" w:rsidRDefault="00074116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hanging="720"/>
        <w:rPr>
          <w:rFonts w:ascii="Times New Roman" w:hAnsi="Times New Roman" w:cs="Times New Roman"/>
          <w:b/>
          <w:sz w:val="22"/>
          <w:szCs w:val="22"/>
        </w:rPr>
      </w:pPr>
    </w:p>
    <w:p w14:paraId="15B87879" w14:textId="7D166020" w:rsidR="00074116" w:rsidRPr="00B012D6" w:rsidRDefault="00E21B1F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F</w:t>
      </w:r>
      <w:r w:rsidR="0006211C" w:rsidRPr="00B012D6">
        <w:rPr>
          <w:rFonts w:ascii="Times New Roman" w:hAnsi="Times New Roman" w:cs="Times New Roman"/>
          <w:sz w:val="22"/>
          <w:szCs w:val="22"/>
        </w:rPr>
        <w:t>.</w:t>
      </w:r>
      <w:r w:rsidR="0006211C" w:rsidRPr="00B012D6">
        <w:rPr>
          <w:rFonts w:ascii="Times New Roman" w:hAnsi="Times New Roman" w:cs="Times New Roman"/>
          <w:sz w:val="22"/>
          <w:szCs w:val="22"/>
        </w:rPr>
        <w:tab/>
      </w:r>
      <w:r w:rsidR="00074116" w:rsidRPr="00B012D6">
        <w:rPr>
          <w:rFonts w:ascii="Times New Roman" w:hAnsi="Times New Roman" w:cs="Times New Roman"/>
          <w:b/>
          <w:sz w:val="22"/>
          <w:szCs w:val="22"/>
        </w:rPr>
        <w:t>Nonwires alternatives coordinator.</w:t>
      </w:r>
      <w:r w:rsidR="00074116" w:rsidRPr="00B012D6">
        <w:rPr>
          <w:rFonts w:ascii="Times New Roman" w:hAnsi="Times New Roman" w:cs="Times New Roman"/>
          <w:sz w:val="22"/>
          <w:szCs w:val="22"/>
        </w:rPr>
        <w:t xml:space="preserve"> “Nonwires alternatives coordinator” has the same meaning as in Title 35-A, section 3131, subsection 4-D. </w:t>
      </w:r>
    </w:p>
    <w:p w14:paraId="60F27D04" w14:textId="5CBDEC12" w:rsidR="00074116" w:rsidRPr="00B012D6" w:rsidRDefault="00074116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58FE7548" w14:textId="3280D3C4" w:rsidR="00074116" w:rsidRPr="00B012D6" w:rsidRDefault="00E21B1F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G</w:t>
      </w:r>
      <w:r w:rsidR="00074116" w:rsidRPr="00B012D6">
        <w:rPr>
          <w:rFonts w:ascii="Times New Roman" w:hAnsi="Times New Roman" w:cs="Times New Roman"/>
          <w:sz w:val="22"/>
          <w:szCs w:val="22"/>
        </w:rPr>
        <w:t>.</w:t>
      </w:r>
      <w:r w:rsidR="00074116" w:rsidRPr="00B012D6">
        <w:rPr>
          <w:rFonts w:ascii="Times New Roman" w:hAnsi="Times New Roman" w:cs="Times New Roman"/>
          <w:sz w:val="22"/>
          <w:szCs w:val="22"/>
        </w:rPr>
        <w:tab/>
      </w:r>
      <w:r w:rsidR="00074116" w:rsidRPr="00B012D6">
        <w:rPr>
          <w:rFonts w:ascii="Times New Roman" w:hAnsi="Times New Roman" w:cs="Times New Roman"/>
          <w:b/>
          <w:sz w:val="22"/>
          <w:szCs w:val="22"/>
        </w:rPr>
        <w:t xml:space="preserve">Small transmission project. </w:t>
      </w:r>
      <w:r w:rsidR="00074116" w:rsidRPr="00B012D6">
        <w:rPr>
          <w:rFonts w:ascii="Times New Roman" w:hAnsi="Times New Roman" w:cs="Times New Roman"/>
          <w:sz w:val="22"/>
          <w:szCs w:val="22"/>
        </w:rPr>
        <w:t xml:space="preserve">“Small transmission project" </w:t>
      </w:r>
      <w:r w:rsidR="007E0CDF" w:rsidRPr="00B012D6">
        <w:rPr>
          <w:rFonts w:ascii="Times New Roman" w:hAnsi="Times New Roman" w:cs="Times New Roman"/>
          <w:sz w:val="22"/>
          <w:szCs w:val="22"/>
        </w:rPr>
        <w:t>has the same meaning as in Title 35-A, section 3132-</w:t>
      </w:r>
      <w:r w:rsidR="00A10469" w:rsidRPr="00B012D6">
        <w:rPr>
          <w:rFonts w:ascii="Times New Roman" w:hAnsi="Times New Roman" w:cs="Times New Roman"/>
          <w:sz w:val="22"/>
          <w:szCs w:val="22"/>
        </w:rPr>
        <w:t>B</w:t>
      </w:r>
      <w:r w:rsidR="00260119">
        <w:rPr>
          <w:rFonts w:ascii="Times New Roman" w:hAnsi="Times New Roman" w:cs="Times New Roman"/>
          <w:sz w:val="22"/>
          <w:szCs w:val="22"/>
        </w:rPr>
        <w:t>.</w:t>
      </w:r>
    </w:p>
    <w:p w14:paraId="34E640F2" w14:textId="77777777" w:rsidR="00074116" w:rsidRPr="00B012D6" w:rsidRDefault="00074116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hanging="720"/>
        <w:rPr>
          <w:rFonts w:ascii="Times New Roman" w:hAnsi="Times New Roman" w:cs="Times New Roman"/>
          <w:b/>
          <w:sz w:val="22"/>
          <w:szCs w:val="22"/>
        </w:rPr>
      </w:pPr>
    </w:p>
    <w:p w14:paraId="00564C13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09B1254F" w14:textId="77777777" w:rsidR="0006211C" w:rsidRPr="00B012D6" w:rsidRDefault="0006211C" w:rsidP="00440B71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B012D6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995C8E" w:rsidRPr="00B012D6">
        <w:rPr>
          <w:rFonts w:ascii="Times New Roman" w:hAnsi="Times New Roman" w:cs="Times New Roman"/>
          <w:b/>
          <w:sz w:val="22"/>
          <w:szCs w:val="22"/>
        </w:rPr>
        <w:t>3</w:t>
      </w:r>
      <w:r w:rsidRPr="00B012D6">
        <w:rPr>
          <w:rFonts w:ascii="Times New Roman" w:hAnsi="Times New Roman" w:cs="Times New Roman"/>
          <w:b/>
          <w:sz w:val="22"/>
          <w:szCs w:val="22"/>
        </w:rPr>
        <w:tab/>
      </w:r>
      <w:r w:rsidR="00995C8E" w:rsidRPr="00B012D6">
        <w:rPr>
          <w:rFonts w:ascii="Times New Roman" w:hAnsi="Times New Roman" w:cs="Times New Roman"/>
          <w:b/>
          <w:sz w:val="22"/>
          <w:szCs w:val="22"/>
        </w:rPr>
        <w:t>EXCLUSIONS FROM NONWIRES ALTERNATIVES COORDINATOR INVESTIGATIONS</w:t>
      </w:r>
    </w:p>
    <w:p w14:paraId="6BF10836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</w:p>
    <w:p w14:paraId="18D4F6E5" w14:textId="77777777" w:rsidR="009D1FDC" w:rsidRPr="00B012D6" w:rsidRDefault="0006211C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ab/>
      </w:r>
      <w:bookmarkStart w:id="0" w:name="_Hlk33453909"/>
      <w:r w:rsidR="009D1FDC" w:rsidRPr="00B012D6">
        <w:rPr>
          <w:rFonts w:ascii="Times New Roman" w:hAnsi="Times New Roman" w:cs="Times New Roman"/>
          <w:sz w:val="22"/>
          <w:szCs w:val="22"/>
        </w:rPr>
        <w:t xml:space="preserve">This section of the rule lays out the criteria to exclude from investigation by the nonwires alternative coordinator small transmission projects and distribution projects best suited to </w:t>
      </w:r>
      <w:r w:rsidR="00520170" w:rsidRPr="00B012D6">
        <w:rPr>
          <w:rFonts w:ascii="Times New Roman" w:hAnsi="Times New Roman" w:cs="Times New Roman"/>
          <w:sz w:val="22"/>
          <w:szCs w:val="22"/>
        </w:rPr>
        <w:t>transmission and</w:t>
      </w:r>
      <w:r w:rsidR="009D1FDC" w:rsidRPr="00B012D6">
        <w:rPr>
          <w:rFonts w:ascii="Times New Roman" w:hAnsi="Times New Roman" w:cs="Times New Roman"/>
          <w:sz w:val="22"/>
          <w:szCs w:val="22"/>
        </w:rPr>
        <w:t xml:space="preserve"> distribution investments. </w:t>
      </w:r>
    </w:p>
    <w:p w14:paraId="3D10807D" w14:textId="77777777" w:rsidR="009D1FDC" w:rsidRPr="00B012D6" w:rsidRDefault="009D1FDC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D1E1852" w14:textId="031E2252" w:rsidR="009D1FDC" w:rsidRPr="001F258E" w:rsidRDefault="009D1FDC" w:rsidP="008E27E7">
      <w:pPr>
        <w:pStyle w:val="BodyTextIndent3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1F258E">
        <w:rPr>
          <w:rFonts w:ascii="Times New Roman" w:hAnsi="Times New Roman" w:cs="Times New Roman"/>
          <w:b/>
          <w:bCs/>
          <w:sz w:val="22"/>
          <w:szCs w:val="22"/>
        </w:rPr>
        <w:t>Projects Necessary for Redundant Supply to a Radial Load</w:t>
      </w:r>
    </w:p>
    <w:p w14:paraId="4697E49F" w14:textId="77777777" w:rsidR="00FE48E1" w:rsidRPr="00B012D6" w:rsidRDefault="00FE48E1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080" w:firstLine="0"/>
        <w:rPr>
          <w:rFonts w:ascii="Times New Roman" w:hAnsi="Times New Roman" w:cs="Times New Roman"/>
          <w:sz w:val="22"/>
          <w:szCs w:val="22"/>
        </w:rPr>
      </w:pPr>
    </w:p>
    <w:p w14:paraId="4C2A71A4" w14:textId="59B0203E" w:rsidR="00C54952" w:rsidRPr="00B012D6" w:rsidRDefault="00C54952" w:rsidP="00440B71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firstLine="144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 xml:space="preserve">This exclusion category includes, but is not limited to: </w:t>
      </w:r>
    </w:p>
    <w:p w14:paraId="13567E2B" w14:textId="77777777" w:rsidR="00C54952" w:rsidRPr="00B012D6" w:rsidRDefault="00C54952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7832E613" w14:textId="77777777" w:rsidR="00C54952" w:rsidRPr="00B012D6" w:rsidRDefault="001F0405" w:rsidP="008E27E7">
      <w:pPr>
        <w:pStyle w:val="BodyTextIndent3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T</w:t>
      </w:r>
      <w:r w:rsidR="00A55C55" w:rsidRPr="00B012D6">
        <w:rPr>
          <w:rFonts w:ascii="Times New Roman" w:hAnsi="Times New Roman" w:cs="Times New Roman"/>
          <w:sz w:val="22"/>
          <w:szCs w:val="22"/>
        </w:rPr>
        <w:t xml:space="preserve">ransmission and/or distribution facility upgrades required to establish redundant supply or additional circuit backup capabilities; </w:t>
      </w:r>
    </w:p>
    <w:p w14:paraId="53B1586B" w14:textId="77777777" w:rsidR="00995C8E" w:rsidRPr="00B012D6" w:rsidRDefault="00995C8E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14:paraId="5599E1E7" w14:textId="7CA0D828" w:rsidR="00C54952" w:rsidRPr="00B012D6" w:rsidRDefault="001F0405" w:rsidP="008E27E7">
      <w:pPr>
        <w:pStyle w:val="BodyTextIndent3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U</w:t>
      </w:r>
      <w:r w:rsidR="00C54952" w:rsidRPr="00B012D6">
        <w:rPr>
          <w:rFonts w:ascii="Times New Roman" w:hAnsi="Times New Roman" w:cs="Times New Roman"/>
          <w:sz w:val="22"/>
          <w:szCs w:val="22"/>
        </w:rPr>
        <w:t>p</w:t>
      </w:r>
      <w:r w:rsidR="00A55C55" w:rsidRPr="00B012D6">
        <w:rPr>
          <w:rFonts w:ascii="Times New Roman" w:hAnsi="Times New Roman" w:cs="Times New Roman"/>
          <w:sz w:val="22"/>
          <w:szCs w:val="22"/>
        </w:rPr>
        <w:t>grades to facilities inside an existing substation</w:t>
      </w:r>
      <w:r w:rsidR="00575AD4">
        <w:rPr>
          <w:rFonts w:ascii="Times New Roman" w:hAnsi="Times New Roman" w:cs="Times New Roman"/>
          <w:sz w:val="22"/>
          <w:szCs w:val="22"/>
        </w:rPr>
        <w:t xml:space="preserve"> necessary for redundant supply</w:t>
      </w:r>
      <w:r w:rsidR="00A55C55" w:rsidRPr="00B012D6">
        <w:rPr>
          <w:rFonts w:ascii="Times New Roman" w:hAnsi="Times New Roman" w:cs="Times New Roman"/>
          <w:sz w:val="22"/>
          <w:szCs w:val="22"/>
        </w:rPr>
        <w:t xml:space="preserve">; and </w:t>
      </w:r>
    </w:p>
    <w:p w14:paraId="0B7C3D61" w14:textId="77777777" w:rsidR="00995C8E" w:rsidRPr="00B012D6" w:rsidRDefault="00995C8E" w:rsidP="008E27E7">
      <w:pPr>
        <w:pStyle w:val="ListParagraph"/>
        <w:ind w:hanging="720"/>
        <w:rPr>
          <w:rFonts w:ascii="Times New Roman" w:hAnsi="Times New Roman" w:cs="Times New Roman"/>
          <w:sz w:val="22"/>
          <w:szCs w:val="22"/>
        </w:rPr>
      </w:pPr>
    </w:p>
    <w:p w14:paraId="384B5947" w14:textId="085BA657" w:rsidR="00FE48E1" w:rsidRPr="00B012D6" w:rsidRDefault="001F0405" w:rsidP="008E27E7">
      <w:pPr>
        <w:pStyle w:val="BodyTextIndent3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N</w:t>
      </w:r>
      <w:r w:rsidR="00C54952" w:rsidRPr="00B012D6">
        <w:rPr>
          <w:rFonts w:ascii="Times New Roman" w:hAnsi="Times New Roman" w:cs="Times New Roman"/>
          <w:sz w:val="22"/>
          <w:szCs w:val="22"/>
        </w:rPr>
        <w:t>ew</w:t>
      </w:r>
      <w:r w:rsidR="00A55C55" w:rsidRPr="00B012D6">
        <w:rPr>
          <w:rFonts w:ascii="Times New Roman" w:hAnsi="Times New Roman" w:cs="Times New Roman"/>
          <w:sz w:val="22"/>
          <w:szCs w:val="22"/>
        </w:rPr>
        <w:t xml:space="preserve"> or upgraded transmission lines or distribution circuits</w:t>
      </w:r>
      <w:r w:rsidR="00575AD4">
        <w:rPr>
          <w:rFonts w:ascii="Times New Roman" w:hAnsi="Times New Roman" w:cs="Times New Roman"/>
          <w:sz w:val="22"/>
          <w:szCs w:val="22"/>
        </w:rPr>
        <w:t xml:space="preserve"> necessary for redundant supply</w:t>
      </w:r>
      <w:r w:rsidR="00A55C55" w:rsidRPr="00B012D6">
        <w:rPr>
          <w:rFonts w:ascii="Times New Roman" w:hAnsi="Times New Roman" w:cs="Times New Roman"/>
          <w:sz w:val="22"/>
          <w:szCs w:val="22"/>
        </w:rPr>
        <w:t>.</w:t>
      </w:r>
    </w:p>
    <w:p w14:paraId="3DACC49F" w14:textId="77777777" w:rsidR="00FE48E1" w:rsidRPr="00B012D6" w:rsidRDefault="00FE48E1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080" w:firstLine="0"/>
        <w:rPr>
          <w:rFonts w:ascii="Times New Roman" w:hAnsi="Times New Roman" w:cs="Times New Roman"/>
          <w:sz w:val="22"/>
          <w:szCs w:val="22"/>
        </w:rPr>
      </w:pPr>
    </w:p>
    <w:p w14:paraId="27FFDAB6" w14:textId="43B95E32" w:rsidR="009D1FDC" w:rsidRPr="007020B1" w:rsidRDefault="009D1FDC" w:rsidP="008E27E7">
      <w:pPr>
        <w:pStyle w:val="BodyTextIndent3"/>
        <w:keepNext/>
        <w:keepLines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7020B1">
        <w:rPr>
          <w:rFonts w:ascii="Times New Roman" w:hAnsi="Times New Roman" w:cs="Times New Roman"/>
          <w:b/>
          <w:bCs/>
          <w:sz w:val="22"/>
          <w:szCs w:val="22"/>
        </w:rPr>
        <w:t xml:space="preserve">Projects Necessary to Address Maintenance, Asset Condition or Safety Needs </w:t>
      </w:r>
    </w:p>
    <w:p w14:paraId="1D762E84" w14:textId="77777777" w:rsidR="00FE48E1" w:rsidRPr="00B012D6" w:rsidRDefault="00FE48E1" w:rsidP="008E27E7">
      <w:pPr>
        <w:pStyle w:val="BodyTextIndent3"/>
        <w:keepNext/>
        <w:keepLines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080" w:firstLine="0"/>
        <w:rPr>
          <w:rFonts w:ascii="Times New Roman" w:hAnsi="Times New Roman" w:cs="Times New Roman"/>
          <w:sz w:val="22"/>
          <w:szCs w:val="22"/>
        </w:rPr>
      </w:pPr>
    </w:p>
    <w:p w14:paraId="59E352D8" w14:textId="77777777" w:rsidR="007C69EE" w:rsidRPr="00B012D6" w:rsidRDefault="007C69EE" w:rsidP="008E27E7">
      <w:pPr>
        <w:keepNext/>
        <w:keepLines/>
        <w:ind w:left="720" w:firstLine="720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B012D6">
        <w:rPr>
          <w:rFonts w:ascii="Times New Roman" w:eastAsia="Calibri" w:hAnsi="Times New Roman" w:cs="Times New Roman"/>
          <w:sz w:val="22"/>
          <w:szCs w:val="22"/>
        </w:rPr>
        <w:t>This exclusion category includes, but is not limited to:</w:t>
      </w:r>
    </w:p>
    <w:p w14:paraId="00EE20F5" w14:textId="77777777" w:rsidR="007C69EE" w:rsidRPr="00B012D6" w:rsidRDefault="007C69EE" w:rsidP="008E27E7">
      <w:pPr>
        <w:ind w:left="720" w:firstLine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4A730D7A" w14:textId="77777777" w:rsidR="007C69EE" w:rsidRPr="00B012D6" w:rsidRDefault="007C69EE" w:rsidP="008E27E7">
      <w:pPr>
        <w:numPr>
          <w:ilvl w:val="0"/>
          <w:numId w:val="7"/>
        </w:numPr>
        <w:ind w:hanging="720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B012D6">
        <w:rPr>
          <w:rFonts w:ascii="Times New Roman" w:eastAsia="Calibri" w:hAnsi="Times New Roman" w:cs="Times New Roman"/>
          <w:sz w:val="22"/>
          <w:szCs w:val="22"/>
        </w:rPr>
        <w:t>Emergency replacement project</w:t>
      </w:r>
      <w:r w:rsidR="005555AE" w:rsidRPr="00B012D6">
        <w:rPr>
          <w:rFonts w:ascii="Times New Roman" w:eastAsia="Calibri" w:hAnsi="Times New Roman" w:cs="Times New Roman"/>
          <w:sz w:val="22"/>
          <w:szCs w:val="22"/>
        </w:rPr>
        <w:t>s</w:t>
      </w:r>
      <w:r w:rsidRPr="00B012D6">
        <w:rPr>
          <w:rFonts w:ascii="Times New Roman" w:eastAsia="Calibri" w:hAnsi="Times New Roman" w:cs="Times New Roman"/>
          <w:sz w:val="22"/>
          <w:szCs w:val="22"/>
        </w:rPr>
        <w:t xml:space="preserve"> as part of outage restoration</w:t>
      </w:r>
      <w:r w:rsidR="00995C8E" w:rsidRPr="00B012D6">
        <w:rPr>
          <w:rFonts w:ascii="Times New Roman" w:eastAsia="Calibri" w:hAnsi="Times New Roman" w:cs="Times New Roman"/>
          <w:sz w:val="22"/>
          <w:szCs w:val="22"/>
        </w:rPr>
        <w:t>;</w:t>
      </w:r>
    </w:p>
    <w:p w14:paraId="3AD8DD2F" w14:textId="77777777" w:rsidR="00995C8E" w:rsidRPr="00B012D6" w:rsidRDefault="00995C8E" w:rsidP="008E27E7">
      <w:pPr>
        <w:ind w:left="1800" w:hanging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2CAA2D8A" w14:textId="1F7322CF" w:rsidR="007C69EE" w:rsidRDefault="007C69EE" w:rsidP="008E27E7">
      <w:pPr>
        <w:numPr>
          <w:ilvl w:val="0"/>
          <w:numId w:val="7"/>
        </w:numPr>
        <w:ind w:hanging="720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B012D6">
        <w:rPr>
          <w:rFonts w:ascii="Times New Roman" w:eastAsia="Calibri" w:hAnsi="Times New Roman" w:cs="Times New Roman"/>
          <w:sz w:val="22"/>
          <w:szCs w:val="22"/>
        </w:rPr>
        <w:t>Relocation projects that require temporary or permanent physical relocation of existing infrastructure to accommodate public works projects;</w:t>
      </w:r>
      <w:r w:rsidR="005A7EA5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1F0B330C" w14:textId="77777777" w:rsidR="008E27E7" w:rsidRPr="00B012D6" w:rsidRDefault="008E27E7" w:rsidP="008E27E7">
      <w:pPr>
        <w:ind w:left="216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17A1DC54" w14:textId="0BB210A7" w:rsidR="007C69EE" w:rsidRPr="008E27E7" w:rsidRDefault="009B31CE" w:rsidP="008E27E7">
      <w:pPr>
        <w:pStyle w:val="ListParagraph"/>
        <w:numPr>
          <w:ilvl w:val="0"/>
          <w:numId w:val="7"/>
        </w:numPr>
        <w:ind w:hanging="720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M</w:t>
      </w:r>
      <w:r w:rsidR="007C69EE" w:rsidRPr="00B012D6">
        <w:rPr>
          <w:rFonts w:ascii="Times New Roman" w:hAnsi="Times New Roman" w:cs="Times New Roman"/>
          <w:sz w:val="22"/>
          <w:szCs w:val="22"/>
        </w:rPr>
        <w:t>aintenance projects that involve equipment replacement</w:t>
      </w:r>
      <w:r w:rsidRPr="00B012D6">
        <w:rPr>
          <w:rFonts w:ascii="Times New Roman" w:hAnsi="Times New Roman" w:cs="Times New Roman"/>
          <w:sz w:val="22"/>
          <w:szCs w:val="22"/>
        </w:rPr>
        <w:t xml:space="preserve"> as a result of maintenance inspections, asset condition or </w:t>
      </w:r>
      <w:r w:rsidR="007C69EE" w:rsidRPr="00B012D6">
        <w:rPr>
          <w:rFonts w:ascii="Times New Roman" w:hAnsi="Times New Roman" w:cs="Times New Roman"/>
          <w:sz w:val="22"/>
          <w:szCs w:val="22"/>
        </w:rPr>
        <w:t>to avoid outage and/or catastrophic failure</w:t>
      </w:r>
      <w:r w:rsidR="00995C8E" w:rsidRPr="00B012D6">
        <w:rPr>
          <w:rFonts w:ascii="Times New Roman" w:hAnsi="Times New Roman" w:cs="Times New Roman"/>
          <w:sz w:val="22"/>
          <w:szCs w:val="22"/>
        </w:rPr>
        <w:t>;</w:t>
      </w:r>
      <w:r w:rsidRPr="00B012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35A079" w14:textId="77777777" w:rsidR="008E27E7" w:rsidRPr="00B012D6" w:rsidRDefault="008E27E7" w:rsidP="008E27E7">
      <w:pPr>
        <w:pStyle w:val="ListParagraph"/>
        <w:ind w:left="216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378E4A26" w14:textId="295A1893" w:rsidR="007C69EE" w:rsidRPr="008E27E7" w:rsidRDefault="00F45876" w:rsidP="008E27E7">
      <w:pPr>
        <w:numPr>
          <w:ilvl w:val="0"/>
          <w:numId w:val="7"/>
        </w:numPr>
        <w:ind w:hanging="720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 xml:space="preserve">Projects necessary to meet the Northeast Power Coordinating Council (NPCC), North American Electric Reliability Corporation (NERC), Independent System Operator – New England (ISO-NE) or Commission approved utility specific compliance requirements to ensure safety and security standards or correct identified safety code violations including, but not limited to, the </w:t>
      </w:r>
      <w:r w:rsidRPr="003A5A35">
        <w:rPr>
          <w:rFonts w:ascii="Times New Roman" w:hAnsi="Times New Roman" w:cs="Times New Roman"/>
          <w:i/>
          <w:iCs/>
          <w:sz w:val="22"/>
          <w:szCs w:val="22"/>
        </w:rPr>
        <w:t>National Electric Safety Code</w:t>
      </w:r>
      <w:r w:rsidRPr="00B012D6">
        <w:rPr>
          <w:rFonts w:ascii="Times New Roman" w:hAnsi="Times New Roman" w:cs="Times New Roman"/>
          <w:sz w:val="22"/>
          <w:szCs w:val="22"/>
        </w:rPr>
        <w:t xml:space="preserve"> (NESC).</w:t>
      </w:r>
    </w:p>
    <w:p w14:paraId="006D9859" w14:textId="77777777" w:rsidR="008E27E7" w:rsidRPr="00B012D6" w:rsidRDefault="008E27E7" w:rsidP="008E27E7">
      <w:pPr>
        <w:ind w:left="216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68BF6028" w14:textId="7A852B81" w:rsidR="009D1FDC" w:rsidRPr="00B012D6" w:rsidRDefault="009D1FDC" w:rsidP="008E27E7">
      <w:pPr>
        <w:pStyle w:val="BodyTextIndent3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3A5A35">
        <w:rPr>
          <w:rFonts w:ascii="Times New Roman" w:hAnsi="Times New Roman" w:cs="Times New Roman"/>
          <w:b/>
          <w:bCs/>
          <w:sz w:val="22"/>
          <w:szCs w:val="22"/>
        </w:rPr>
        <w:t xml:space="preserve">Projects </w:t>
      </w:r>
      <w:r w:rsidR="00520170" w:rsidRPr="003A5A35">
        <w:rPr>
          <w:rFonts w:ascii="Times New Roman" w:hAnsi="Times New Roman" w:cs="Times New Roman"/>
          <w:b/>
          <w:bCs/>
          <w:sz w:val="22"/>
          <w:szCs w:val="22"/>
        </w:rPr>
        <w:t>Necessary</w:t>
      </w:r>
      <w:r w:rsidRPr="003A5A35">
        <w:rPr>
          <w:rFonts w:ascii="Times New Roman" w:hAnsi="Times New Roman" w:cs="Times New Roman"/>
          <w:b/>
          <w:bCs/>
          <w:sz w:val="22"/>
          <w:szCs w:val="22"/>
        </w:rPr>
        <w:t xml:space="preserve"> to Address Stability or Short Circuit Problems</w:t>
      </w:r>
      <w:r w:rsidRPr="00B012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D8BBE5" w14:textId="77777777" w:rsidR="00C54952" w:rsidRPr="00B012D6" w:rsidRDefault="00C54952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65AD001A" w14:textId="77777777" w:rsidR="00835880" w:rsidRPr="00B012D6" w:rsidRDefault="00736C40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firstLine="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This exclusion category includes</w:t>
      </w:r>
      <w:r w:rsidR="00835880" w:rsidRPr="00B012D6">
        <w:rPr>
          <w:rFonts w:ascii="Times New Roman" w:hAnsi="Times New Roman" w:cs="Times New Roman"/>
          <w:sz w:val="22"/>
          <w:szCs w:val="22"/>
        </w:rPr>
        <w:t xml:space="preserve">, but is not limited to: </w:t>
      </w:r>
    </w:p>
    <w:p w14:paraId="38E9E353" w14:textId="77777777" w:rsidR="00835880" w:rsidRPr="00B012D6" w:rsidRDefault="00835880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firstLine="0"/>
        <w:rPr>
          <w:rFonts w:ascii="Times New Roman" w:hAnsi="Times New Roman" w:cs="Times New Roman"/>
          <w:sz w:val="22"/>
          <w:szCs w:val="22"/>
        </w:rPr>
      </w:pPr>
    </w:p>
    <w:p w14:paraId="7FC2C6FB" w14:textId="4E295D84" w:rsidR="00995C8E" w:rsidRPr="00B012D6" w:rsidRDefault="00835880" w:rsidP="008E27E7">
      <w:pPr>
        <w:pStyle w:val="BodyTextIndent3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Pr</w:t>
      </w:r>
      <w:r w:rsidR="005E017C" w:rsidRPr="00B012D6">
        <w:rPr>
          <w:rFonts w:ascii="Times New Roman" w:hAnsi="Times New Roman" w:cs="Times New Roman"/>
          <w:sz w:val="22"/>
          <w:szCs w:val="22"/>
        </w:rPr>
        <w:t>ojects that are deemed necessary to avoid system-level voltage collapse or large network instability</w:t>
      </w:r>
      <w:r w:rsidR="00995C8E" w:rsidRPr="00B012D6">
        <w:rPr>
          <w:rFonts w:ascii="Times New Roman" w:hAnsi="Times New Roman" w:cs="Times New Roman"/>
          <w:sz w:val="22"/>
          <w:szCs w:val="22"/>
        </w:rPr>
        <w:t>;</w:t>
      </w:r>
      <w:r w:rsidR="005A7EA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589799" w14:textId="77777777" w:rsidR="00FE48E1" w:rsidRPr="00B012D6" w:rsidRDefault="008D2C66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BCB1B5" w14:textId="1EB31368" w:rsidR="00B715BC" w:rsidRPr="00B012D6" w:rsidRDefault="006711C7" w:rsidP="008E27E7">
      <w:pPr>
        <w:pStyle w:val="BodyTextIndent3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Transmission and distribution facility upgrades required to address protection system deficiencies</w:t>
      </w:r>
      <w:r w:rsidR="00BC79CF" w:rsidRPr="00B012D6">
        <w:rPr>
          <w:rFonts w:ascii="Times New Roman" w:hAnsi="Times New Roman" w:cs="Times New Roman"/>
          <w:sz w:val="22"/>
          <w:szCs w:val="22"/>
        </w:rPr>
        <w:t>;</w:t>
      </w:r>
      <w:r w:rsidR="00C21A2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FA4098" w14:textId="77777777" w:rsidR="00BC79CF" w:rsidRPr="00B012D6" w:rsidRDefault="00BC79CF" w:rsidP="008E27E7">
      <w:pPr>
        <w:pStyle w:val="ListParagraph"/>
        <w:ind w:hanging="720"/>
        <w:rPr>
          <w:rFonts w:ascii="Times New Roman" w:hAnsi="Times New Roman" w:cs="Times New Roman"/>
          <w:sz w:val="22"/>
          <w:szCs w:val="22"/>
        </w:rPr>
      </w:pPr>
    </w:p>
    <w:p w14:paraId="060CA176" w14:textId="73DC70D7" w:rsidR="00F752A2" w:rsidRPr="00E90A85" w:rsidRDefault="00BC79CF" w:rsidP="008E27E7">
      <w:pPr>
        <w:pStyle w:val="BodyTextIndent3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hanging="720"/>
        <w:rPr>
          <w:rFonts w:ascii="Times New Roman" w:hAnsi="Times New Roman" w:cs="Times New Roman"/>
          <w:sz w:val="22"/>
          <w:szCs w:val="22"/>
        </w:rPr>
      </w:pPr>
      <w:bookmarkStart w:id="1" w:name="_Hlk36563355"/>
      <w:r w:rsidRPr="00B012D6">
        <w:rPr>
          <w:rFonts w:ascii="Times New Roman" w:hAnsi="Times New Roman" w:cs="Times New Roman"/>
          <w:sz w:val="22"/>
          <w:szCs w:val="22"/>
        </w:rPr>
        <w:t>Dynamic reactive device installations</w:t>
      </w:r>
      <w:r w:rsidR="00E90A85">
        <w:rPr>
          <w:rFonts w:ascii="Times New Roman" w:hAnsi="Times New Roman" w:cs="Times New Roman"/>
          <w:sz w:val="22"/>
          <w:szCs w:val="22"/>
        </w:rPr>
        <w:t>;</w:t>
      </w:r>
      <w:r w:rsidR="00F752A2" w:rsidRPr="00F752A2">
        <w:t xml:space="preserve"> </w:t>
      </w:r>
    </w:p>
    <w:p w14:paraId="2D9AEC28" w14:textId="77777777" w:rsidR="00F752A2" w:rsidRDefault="00F752A2" w:rsidP="00E90A85">
      <w:pPr>
        <w:pStyle w:val="ListParagraph"/>
      </w:pPr>
    </w:p>
    <w:p w14:paraId="43451C4B" w14:textId="7E6FD3BD" w:rsidR="00F752A2" w:rsidRPr="00E90A85" w:rsidRDefault="00F752A2" w:rsidP="008E27E7">
      <w:pPr>
        <w:pStyle w:val="BodyTextIndent3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E90A85">
        <w:rPr>
          <w:rFonts w:ascii="Times New Roman" w:hAnsi="Times New Roman" w:cs="Times New Roman"/>
          <w:sz w:val="22"/>
          <w:szCs w:val="22"/>
        </w:rPr>
        <w:t xml:space="preserve">Projects to mitigate power quality issues; </w:t>
      </w:r>
      <w:r w:rsidR="00341323">
        <w:rPr>
          <w:rFonts w:ascii="Times New Roman" w:hAnsi="Times New Roman" w:cs="Times New Roman"/>
          <w:sz w:val="22"/>
          <w:szCs w:val="22"/>
        </w:rPr>
        <w:t xml:space="preserve">and </w:t>
      </w:r>
    </w:p>
    <w:p w14:paraId="4D5B396B" w14:textId="77777777" w:rsidR="00F752A2" w:rsidRPr="00E90A85" w:rsidRDefault="00F752A2" w:rsidP="00E90A85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78D113D" w14:textId="08BF37F0" w:rsidR="00BC79CF" w:rsidRPr="00341323" w:rsidRDefault="00F752A2" w:rsidP="00341323">
      <w:pPr>
        <w:pStyle w:val="BodyTextIndent3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E90A85">
        <w:rPr>
          <w:rFonts w:ascii="Times New Roman" w:hAnsi="Times New Roman" w:cs="Times New Roman"/>
          <w:sz w:val="22"/>
          <w:szCs w:val="22"/>
        </w:rPr>
        <w:t>Circuit breaker upgrade</w:t>
      </w:r>
      <w:r w:rsidRPr="00341323">
        <w:rPr>
          <w:rFonts w:ascii="Times New Roman" w:hAnsi="Times New Roman" w:cs="Times New Roman"/>
          <w:sz w:val="22"/>
          <w:szCs w:val="22"/>
        </w:rPr>
        <w:t xml:space="preserve"> projects.</w:t>
      </w:r>
    </w:p>
    <w:bookmarkEnd w:id="1"/>
    <w:p w14:paraId="69DB1B1D" w14:textId="77777777" w:rsidR="00B715BC" w:rsidRPr="00B012D6" w:rsidRDefault="00B715BC" w:rsidP="008E27E7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5AC0C18" w14:textId="77777777" w:rsidR="00B715BC" w:rsidRPr="00B012D6" w:rsidRDefault="00566CED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firstLine="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 xml:space="preserve">This exclusion category applies to stability or short circuit problems that exist under current </w:t>
      </w:r>
      <w:r w:rsidR="00B715BC" w:rsidRPr="00B012D6">
        <w:rPr>
          <w:rFonts w:ascii="Times New Roman" w:hAnsi="Times New Roman" w:cs="Times New Roman"/>
          <w:sz w:val="22"/>
          <w:szCs w:val="22"/>
        </w:rPr>
        <w:tab/>
      </w:r>
      <w:r w:rsidRPr="00B012D6">
        <w:rPr>
          <w:rFonts w:ascii="Times New Roman" w:hAnsi="Times New Roman" w:cs="Times New Roman"/>
          <w:sz w:val="22"/>
          <w:szCs w:val="22"/>
        </w:rPr>
        <w:t xml:space="preserve">load conditions and identified by the utility’s planning need with reasonably anticipated </w:t>
      </w:r>
      <w:r w:rsidR="000D516B" w:rsidRPr="00B012D6">
        <w:rPr>
          <w:rFonts w:ascii="Times New Roman" w:hAnsi="Times New Roman" w:cs="Times New Roman"/>
          <w:sz w:val="22"/>
          <w:szCs w:val="22"/>
        </w:rPr>
        <w:t>fluctuations in load.</w:t>
      </w:r>
    </w:p>
    <w:p w14:paraId="04589F0F" w14:textId="77777777" w:rsidR="005E017C" w:rsidRPr="00B012D6" w:rsidRDefault="005E017C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080" w:firstLine="0"/>
        <w:rPr>
          <w:rFonts w:ascii="Times New Roman" w:hAnsi="Times New Roman" w:cs="Times New Roman"/>
          <w:sz w:val="22"/>
          <w:szCs w:val="22"/>
        </w:rPr>
      </w:pPr>
    </w:p>
    <w:p w14:paraId="1D5D0F79" w14:textId="758715A9" w:rsidR="009D1FDC" w:rsidRPr="003A5A35" w:rsidRDefault="009D1FDC" w:rsidP="008E27E7">
      <w:pPr>
        <w:pStyle w:val="BodyTextIndent3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3A5A35">
        <w:rPr>
          <w:rFonts w:ascii="Times New Roman" w:hAnsi="Times New Roman" w:cs="Times New Roman"/>
          <w:b/>
          <w:bCs/>
          <w:sz w:val="22"/>
          <w:szCs w:val="22"/>
        </w:rPr>
        <w:t>Projects Required to be in Service within One Year Based on the Controlling Load Forecast</w:t>
      </w:r>
    </w:p>
    <w:p w14:paraId="16275BD8" w14:textId="77777777" w:rsidR="00FE48E1" w:rsidRPr="003A5A35" w:rsidRDefault="00FE48E1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08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EFB1A7F" w14:textId="5B967557" w:rsidR="00713310" w:rsidRPr="003A5A35" w:rsidRDefault="00742CDA" w:rsidP="008E27E7">
      <w:pPr>
        <w:pStyle w:val="BodyTextIndent3"/>
        <w:tabs>
          <w:tab w:val="left" w:pos="720"/>
          <w:tab w:val="left" w:pos="1440"/>
          <w:tab w:val="left" w:pos="1530"/>
          <w:tab w:val="left" w:pos="2160"/>
          <w:tab w:val="left" w:pos="2880"/>
          <w:tab w:val="right" w:leader="dot" w:pos="9360"/>
        </w:tabs>
        <w:ind w:left="14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This exclusion category applies to p</w:t>
      </w:r>
      <w:r w:rsidR="00713310" w:rsidRPr="003A5A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rojects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that </w:t>
      </w:r>
      <w:r w:rsidR="00713310" w:rsidRPr="003A5A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are required to be in service within one year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from the publication date of the utilities annual transmission and distribution plan based on the controlling load</w:t>
      </w:r>
      <w:r w:rsidR="004466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forecast</w:t>
      </w:r>
      <w:r w:rsidR="00713310" w:rsidRPr="003A5A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66A4FEE4" w14:textId="77777777" w:rsidR="0012020B" w:rsidRPr="003A5A35" w:rsidRDefault="0012020B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08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2D34F89" w14:textId="77777777" w:rsidR="00381F8C" w:rsidRPr="00FB4E19" w:rsidRDefault="00381F8C" w:rsidP="008E27E7">
      <w:pPr>
        <w:pStyle w:val="BodyTextIndent3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FB4E19">
        <w:rPr>
          <w:rFonts w:ascii="Times New Roman" w:hAnsi="Times New Roman" w:cs="Times New Roman"/>
          <w:b/>
          <w:bCs/>
          <w:sz w:val="22"/>
          <w:szCs w:val="22"/>
        </w:rPr>
        <w:t xml:space="preserve">Customer </w:t>
      </w:r>
      <w:r w:rsidR="00713310" w:rsidRPr="00FB4E19">
        <w:rPr>
          <w:rFonts w:ascii="Times New Roman" w:hAnsi="Times New Roman" w:cs="Times New Roman"/>
          <w:b/>
          <w:bCs/>
          <w:sz w:val="22"/>
          <w:szCs w:val="22"/>
        </w:rPr>
        <w:t xml:space="preserve">or Generator </w:t>
      </w:r>
      <w:r w:rsidRPr="00FB4E19">
        <w:rPr>
          <w:rFonts w:ascii="Times New Roman" w:hAnsi="Times New Roman" w:cs="Times New Roman"/>
          <w:b/>
          <w:bCs/>
          <w:sz w:val="22"/>
          <w:szCs w:val="22"/>
        </w:rPr>
        <w:t>Funded Interconnection Related Projects</w:t>
      </w:r>
    </w:p>
    <w:p w14:paraId="5F9F2B63" w14:textId="77777777" w:rsidR="00074116" w:rsidRPr="00B012D6" w:rsidRDefault="00074116" w:rsidP="008E27E7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080" w:firstLine="0"/>
        <w:rPr>
          <w:rFonts w:ascii="Times New Roman" w:hAnsi="Times New Roman" w:cs="Times New Roman"/>
          <w:sz w:val="22"/>
          <w:szCs w:val="22"/>
        </w:rPr>
      </w:pPr>
    </w:p>
    <w:p w14:paraId="78504F07" w14:textId="77777777" w:rsidR="006711C7" w:rsidRPr="00B012D6" w:rsidRDefault="00381F8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Th</w:t>
      </w:r>
      <w:r w:rsidR="00C54952" w:rsidRPr="00B012D6">
        <w:rPr>
          <w:rFonts w:ascii="Times New Roman" w:hAnsi="Times New Roman" w:cs="Times New Roman"/>
          <w:sz w:val="22"/>
          <w:szCs w:val="22"/>
        </w:rPr>
        <w:t xml:space="preserve">is </w:t>
      </w:r>
      <w:r w:rsidR="00520170" w:rsidRPr="00B012D6">
        <w:rPr>
          <w:rFonts w:ascii="Times New Roman" w:hAnsi="Times New Roman" w:cs="Times New Roman"/>
          <w:sz w:val="22"/>
          <w:szCs w:val="22"/>
        </w:rPr>
        <w:t>exclusion</w:t>
      </w:r>
      <w:r w:rsidR="00C54952" w:rsidRPr="00B012D6">
        <w:rPr>
          <w:rFonts w:ascii="Times New Roman" w:hAnsi="Times New Roman" w:cs="Times New Roman"/>
          <w:sz w:val="22"/>
          <w:szCs w:val="22"/>
        </w:rPr>
        <w:t xml:space="preserve"> category includes, but is not limited to</w:t>
      </w:r>
      <w:r w:rsidR="006711C7" w:rsidRPr="00B012D6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BF4A61F" w14:textId="77777777" w:rsidR="006711C7" w:rsidRPr="00B012D6" w:rsidRDefault="006711C7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/>
        <w:rPr>
          <w:rFonts w:ascii="Times New Roman" w:hAnsi="Times New Roman" w:cs="Times New Roman"/>
          <w:sz w:val="22"/>
          <w:szCs w:val="22"/>
        </w:rPr>
      </w:pPr>
    </w:p>
    <w:p w14:paraId="3395C05D" w14:textId="2CAE548E" w:rsidR="0006211C" w:rsidRPr="00B012D6" w:rsidRDefault="006711C7" w:rsidP="008E27E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Transm</w:t>
      </w:r>
      <w:r w:rsidR="00381F8C" w:rsidRPr="00B012D6">
        <w:rPr>
          <w:rFonts w:ascii="Times New Roman" w:hAnsi="Times New Roman" w:cs="Times New Roman"/>
          <w:sz w:val="22"/>
          <w:szCs w:val="22"/>
        </w:rPr>
        <w:t>ission and/or distribution facility upgrades driven by a request for new or upgraded service</w:t>
      </w:r>
      <w:r w:rsidR="00701CC9" w:rsidRPr="00B012D6">
        <w:rPr>
          <w:rFonts w:ascii="Times New Roman" w:hAnsi="Times New Roman" w:cs="Times New Roman"/>
          <w:sz w:val="22"/>
          <w:szCs w:val="22"/>
        </w:rPr>
        <w:t>, or a generator interconnection, and which would be funded by the interconnecting customer or generator.</w:t>
      </w:r>
      <w:r w:rsidR="0073174A" w:rsidRPr="00B012D6">
        <w:rPr>
          <w:rFonts w:ascii="Times New Roman" w:hAnsi="Times New Roman" w:cs="Times New Roman"/>
          <w:sz w:val="22"/>
          <w:szCs w:val="22"/>
        </w:rPr>
        <w:t xml:space="preserve"> </w:t>
      </w:r>
    </w:p>
    <w:bookmarkEnd w:id="0"/>
    <w:p w14:paraId="1301861B" w14:textId="41089752" w:rsidR="00200F9D" w:rsidRDefault="00200F9D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01A1E934" w14:textId="5A8C9A42" w:rsidR="004C5415" w:rsidRPr="00E90A85" w:rsidRDefault="004C5415" w:rsidP="00440B7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1440" w:hanging="720"/>
        <w:rPr>
          <w:rFonts w:ascii="Times New Roman" w:hAnsi="Times New Roman" w:cs="Times New Roman"/>
          <w:b/>
          <w:sz w:val="22"/>
          <w:szCs w:val="22"/>
        </w:rPr>
      </w:pPr>
      <w:r w:rsidRPr="00E90A85">
        <w:rPr>
          <w:rFonts w:ascii="Times New Roman" w:hAnsi="Times New Roman" w:cs="Times New Roman"/>
          <w:b/>
          <w:sz w:val="22"/>
          <w:szCs w:val="22"/>
        </w:rPr>
        <w:t>Automation Projects</w:t>
      </w:r>
    </w:p>
    <w:p w14:paraId="17A7FA55" w14:textId="046EC210" w:rsidR="004C5415" w:rsidRPr="006F4EB8" w:rsidRDefault="004C5415" w:rsidP="004C5415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65E598B3" w14:textId="77777777" w:rsidR="007A1BE2" w:rsidRPr="00E90A85" w:rsidRDefault="004C5415" w:rsidP="004C5415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sz w:val="22"/>
          <w:szCs w:val="22"/>
        </w:rPr>
      </w:pPr>
      <w:r w:rsidRPr="006F4EB8">
        <w:rPr>
          <w:rFonts w:ascii="Times New Roman" w:hAnsi="Times New Roman" w:cs="Times New Roman"/>
          <w:sz w:val="22"/>
          <w:szCs w:val="22"/>
        </w:rPr>
        <w:tab/>
      </w:r>
      <w:r w:rsidRPr="006F4EB8">
        <w:rPr>
          <w:rFonts w:ascii="Times New Roman" w:hAnsi="Times New Roman" w:cs="Times New Roman"/>
          <w:sz w:val="22"/>
          <w:szCs w:val="22"/>
        </w:rPr>
        <w:tab/>
        <w:t>This exclusion category includes, but is not limited to:</w:t>
      </w:r>
      <w:r w:rsidRPr="00E90A85">
        <w:rPr>
          <w:sz w:val="22"/>
          <w:szCs w:val="22"/>
        </w:rPr>
        <w:t xml:space="preserve"> </w:t>
      </w:r>
    </w:p>
    <w:p w14:paraId="48005A49" w14:textId="77777777" w:rsidR="007A1BE2" w:rsidRPr="00E90A85" w:rsidRDefault="007A1BE2" w:rsidP="004C5415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sz w:val="22"/>
          <w:szCs w:val="22"/>
        </w:rPr>
      </w:pPr>
    </w:p>
    <w:p w14:paraId="05C56543" w14:textId="48B929D2" w:rsidR="003A5A35" w:rsidRDefault="007A1BE2" w:rsidP="008E27E7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C21A2D">
        <w:rPr>
          <w:rFonts w:ascii="Times New Roman" w:hAnsi="Times New Roman" w:cs="Times New Roman"/>
          <w:sz w:val="22"/>
          <w:szCs w:val="22"/>
        </w:rPr>
        <w:t xml:space="preserve">Transmission and/or distribution </w:t>
      </w:r>
      <w:r w:rsidR="004C5415" w:rsidRPr="00C21A2D">
        <w:rPr>
          <w:rFonts w:ascii="Times New Roman" w:hAnsi="Times New Roman" w:cs="Times New Roman"/>
          <w:sz w:val="22"/>
          <w:szCs w:val="22"/>
        </w:rPr>
        <w:t xml:space="preserve">automation projects </w:t>
      </w:r>
      <w:r w:rsidRPr="00C21A2D">
        <w:rPr>
          <w:rFonts w:ascii="Times New Roman" w:hAnsi="Times New Roman" w:cs="Times New Roman"/>
          <w:sz w:val="22"/>
          <w:szCs w:val="22"/>
        </w:rPr>
        <w:t xml:space="preserve">necessary </w:t>
      </w:r>
      <w:r w:rsidR="004C5415" w:rsidRPr="00C21A2D">
        <w:rPr>
          <w:rFonts w:ascii="Times New Roman" w:hAnsi="Times New Roman" w:cs="Times New Roman"/>
          <w:sz w:val="22"/>
          <w:szCs w:val="22"/>
        </w:rPr>
        <w:t>to improve system resiliency</w:t>
      </w:r>
      <w:r w:rsidRPr="00C21A2D">
        <w:rPr>
          <w:rFonts w:ascii="Times New Roman" w:hAnsi="Times New Roman" w:cs="Times New Roman"/>
          <w:sz w:val="22"/>
          <w:szCs w:val="22"/>
        </w:rPr>
        <w:t>.</w:t>
      </w:r>
    </w:p>
    <w:p w14:paraId="02862A52" w14:textId="28D25E83" w:rsidR="00440B71" w:rsidRDefault="00440B71" w:rsidP="00440B71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29807E10" w14:textId="77777777" w:rsidR="00440B71" w:rsidRPr="00440B71" w:rsidRDefault="00440B71" w:rsidP="00440B71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3C8276E0" w14:textId="5E334D1F" w:rsidR="0006211C" w:rsidRPr="003A5A35" w:rsidRDefault="00200F9D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720"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3A5A35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3A5A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A5A35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3A5A35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PROCESS FOR DETERMINING ADDITIONAL PROJECTS </w:t>
      </w:r>
      <w:r w:rsidR="00651C55" w:rsidRPr="003A5A35">
        <w:rPr>
          <w:rFonts w:ascii="Times New Roman" w:hAnsi="Times New Roman" w:cs="Times New Roman"/>
          <w:b/>
          <w:bCs/>
          <w:sz w:val="22"/>
          <w:szCs w:val="22"/>
        </w:rPr>
        <w:t>AND/OR EXCLUSION CATEGORIES</w:t>
      </w:r>
    </w:p>
    <w:p w14:paraId="74174AA3" w14:textId="77777777" w:rsidR="00651C55" w:rsidRPr="00B012D6" w:rsidRDefault="00651C55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3C973232" w14:textId="4E8E9134" w:rsidR="00651C55" w:rsidRPr="00B012D6" w:rsidRDefault="00651C55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ab/>
      </w:r>
      <w:bookmarkStart w:id="2" w:name="_Hlk36713566"/>
      <w:r w:rsidRPr="00B012D6">
        <w:rPr>
          <w:rFonts w:ascii="Times New Roman" w:hAnsi="Times New Roman" w:cs="Times New Roman"/>
          <w:sz w:val="22"/>
          <w:szCs w:val="22"/>
        </w:rPr>
        <w:t>Upon request</w:t>
      </w:r>
      <w:r w:rsidR="00DD768A" w:rsidRPr="00B012D6">
        <w:rPr>
          <w:rFonts w:ascii="Times New Roman" w:hAnsi="Times New Roman" w:cs="Times New Roman"/>
          <w:sz w:val="22"/>
          <w:szCs w:val="22"/>
        </w:rPr>
        <w:t xml:space="preserve">, and following appropriate process, </w:t>
      </w:r>
      <w:r w:rsidRPr="00B012D6">
        <w:rPr>
          <w:rFonts w:ascii="Times New Roman" w:hAnsi="Times New Roman" w:cs="Times New Roman"/>
          <w:sz w:val="22"/>
          <w:szCs w:val="22"/>
        </w:rPr>
        <w:t>the Commission, by Order</w:t>
      </w:r>
      <w:r w:rsidR="00742CDA">
        <w:rPr>
          <w:rFonts w:ascii="Times New Roman" w:hAnsi="Times New Roman" w:cs="Times New Roman"/>
          <w:sz w:val="22"/>
          <w:szCs w:val="22"/>
        </w:rPr>
        <w:t xml:space="preserve"> or rule</w:t>
      </w:r>
      <w:r w:rsidRPr="00B012D6">
        <w:rPr>
          <w:rFonts w:ascii="Times New Roman" w:hAnsi="Times New Roman" w:cs="Times New Roman"/>
          <w:sz w:val="22"/>
          <w:szCs w:val="22"/>
        </w:rPr>
        <w:t>, may determine other projects</w:t>
      </w:r>
      <w:r w:rsidR="00DD768A" w:rsidRPr="00B012D6">
        <w:rPr>
          <w:rFonts w:ascii="Times New Roman" w:hAnsi="Times New Roman" w:cs="Times New Roman"/>
          <w:sz w:val="22"/>
          <w:szCs w:val="22"/>
        </w:rPr>
        <w:t>, or</w:t>
      </w:r>
      <w:r w:rsidRPr="00B012D6">
        <w:rPr>
          <w:rFonts w:ascii="Times New Roman" w:hAnsi="Times New Roman" w:cs="Times New Roman"/>
          <w:sz w:val="22"/>
          <w:szCs w:val="22"/>
        </w:rPr>
        <w:t xml:space="preserve"> </w:t>
      </w:r>
      <w:r w:rsidR="00DD768A" w:rsidRPr="00B012D6">
        <w:rPr>
          <w:rFonts w:ascii="Times New Roman" w:hAnsi="Times New Roman" w:cs="Times New Roman"/>
          <w:sz w:val="22"/>
          <w:szCs w:val="22"/>
        </w:rPr>
        <w:t xml:space="preserve">categories of projects, </w:t>
      </w:r>
      <w:r w:rsidRPr="00B012D6">
        <w:rPr>
          <w:rFonts w:ascii="Times New Roman" w:hAnsi="Times New Roman" w:cs="Times New Roman"/>
          <w:sz w:val="22"/>
          <w:szCs w:val="22"/>
        </w:rPr>
        <w:t>that qualify</w:t>
      </w:r>
      <w:r w:rsidR="00DD768A" w:rsidRPr="00B012D6">
        <w:rPr>
          <w:rFonts w:ascii="Times New Roman" w:hAnsi="Times New Roman" w:cs="Times New Roman"/>
          <w:sz w:val="22"/>
          <w:szCs w:val="22"/>
        </w:rPr>
        <w:t xml:space="preserve"> for </w:t>
      </w:r>
      <w:r w:rsidRPr="00B012D6">
        <w:rPr>
          <w:rFonts w:ascii="Times New Roman" w:hAnsi="Times New Roman" w:cs="Times New Roman"/>
          <w:sz w:val="22"/>
          <w:szCs w:val="22"/>
        </w:rPr>
        <w:t>exclusion</w:t>
      </w:r>
      <w:r w:rsidR="00B53BA4" w:rsidRPr="00B012D6">
        <w:rPr>
          <w:rFonts w:ascii="Times New Roman" w:hAnsi="Times New Roman" w:cs="Times New Roman"/>
          <w:sz w:val="22"/>
          <w:szCs w:val="22"/>
        </w:rPr>
        <w:t xml:space="preserve"> </w:t>
      </w:r>
      <w:r w:rsidR="00DD768A" w:rsidRPr="00B012D6">
        <w:rPr>
          <w:rFonts w:ascii="Times New Roman" w:hAnsi="Times New Roman" w:cs="Times New Roman"/>
          <w:sz w:val="22"/>
          <w:szCs w:val="22"/>
        </w:rPr>
        <w:t xml:space="preserve">from investigation by the nonwires alternative coordinator. </w:t>
      </w:r>
      <w:bookmarkEnd w:id="2"/>
    </w:p>
    <w:p w14:paraId="0F6D800F" w14:textId="77777777" w:rsidR="00200F9D" w:rsidRPr="00B012D6" w:rsidRDefault="00200F9D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</w:p>
    <w:p w14:paraId="76D67565" w14:textId="77777777" w:rsidR="00200F9D" w:rsidRPr="00B012D6" w:rsidRDefault="00200F9D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</w:p>
    <w:p w14:paraId="1C629B81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  <w:r w:rsidRPr="00B012D6">
        <w:rPr>
          <w:rFonts w:ascii="Times New Roman" w:hAnsi="Times New Roman" w:cs="Times New Roman"/>
          <w:b/>
          <w:sz w:val="22"/>
          <w:szCs w:val="22"/>
        </w:rPr>
        <w:t>§ 5</w:t>
      </w:r>
      <w:r w:rsidRPr="00B012D6">
        <w:rPr>
          <w:rFonts w:ascii="Times New Roman" w:hAnsi="Times New Roman" w:cs="Times New Roman"/>
          <w:b/>
          <w:sz w:val="22"/>
          <w:szCs w:val="22"/>
        </w:rPr>
        <w:tab/>
        <w:t>WAIVER</w:t>
      </w:r>
    </w:p>
    <w:p w14:paraId="0DF4686D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</w:p>
    <w:p w14:paraId="7456D8CA" w14:textId="77777777" w:rsidR="00074116" w:rsidRPr="00B012D6" w:rsidRDefault="0006211C" w:rsidP="008E27E7">
      <w:pPr>
        <w:tabs>
          <w:tab w:val="left" w:pos="720"/>
          <w:tab w:val="left" w:pos="2160"/>
          <w:tab w:val="left" w:pos="2880"/>
          <w:tab w:val="right" w:leader="dot" w:pos="936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ab/>
      </w:r>
      <w:r w:rsidR="00074116" w:rsidRPr="00B012D6">
        <w:rPr>
          <w:rFonts w:ascii="Times New Roman" w:hAnsi="Times New Roman" w:cs="Times New Roman"/>
          <w:sz w:val="22"/>
          <w:szCs w:val="22"/>
        </w:rPr>
        <w:t xml:space="preserve">Upon the request of any person subject to this Chapter or upon its own motion, the Commission </w:t>
      </w:r>
    </w:p>
    <w:p w14:paraId="42C7AA41" w14:textId="71229492" w:rsidR="0006211C" w:rsidRPr="00B012D6" w:rsidRDefault="00074116" w:rsidP="008E27E7">
      <w:pPr>
        <w:tabs>
          <w:tab w:val="left" w:pos="720"/>
          <w:tab w:val="left" w:pos="2160"/>
          <w:tab w:val="left" w:pos="2880"/>
          <w:tab w:val="right" w:leader="dot" w:pos="936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B012D6">
        <w:rPr>
          <w:rFonts w:ascii="Times New Roman" w:hAnsi="Times New Roman" w:cs="Times New Roman"/>
          <w:sz w:val="22"/>
          <w:szCs w:val="22"/>
        </w:rPr>
        <w:t>may, for good cause, waive any requirement of this Chapter that is not required by statute. The waiver may not be inconsistent with the purposes of this Chapter or Title 35-A. The Commission, the Director of Electric and G</w:t>
      </w:r>
      <w:r w:rsidR="00CE620C" w:rsidRPr="00B012D6">
        <w:rPr>
          <w:rFonts w:ascii="Times New Roman" w:hAnsi="Times New Roman" w:cs="Times New Roman"/>
          <w:sz w:val="22"/>
          <w:szCs w:val="22"/>
        </w:rPr>
        <w:t>a</w:t>
      </w:r>
      <w:r w:rsidRPr="00B012D6">
        <w:rPr>
          <w:rFonts w:ascii="Times New Roman" w:hAnsi="Times New Roman" w:cs="Times New Roman"/>
          <w:sz w:val="22"/>
          <w:szCs w:val="22"/>
        </w:rPr>
        <w:t xml:space="preserve">s division, or the </w:t>
      </w:r>
      <w:r w:rsidR="00CE620C" w:rsidRPr="00B012D6">
        <w:rPr>
          <w:rFonts w:ascii="Times New Roman" w:hAnsi="Times New Roman" w:cs="Times New Roman"/>
          <w:sz w:val="22"/>
          <w:szCs w:val="22"/>
        </w:rPr>
        <w:t>Hearing Examiner/</w:t>
      </w:r>
      <w:r w:rsidRPr="00B012D6">
        <w:rPr>
          <w:rFonts w:ascii="Times New Roman" w:hAnsi="Times New Roman" w:cs="Times New Roman"/>
          <w:sz w:val="22"/>
          <w:szCs w:val="22"/>
        </w:rPr>
        <w:t xml:space="preserve">Presiding Officer assigned to a proceeding related to the Chapter may grant the waiver. </w:t>
      </w:r>
    </w:p>
    <w:p w14:paraId="65A0BEC6" w14:textId="77777777" w:rsidR="0006211C" w:rsidRPr="00B012D6" w:rsidRDefault="0006211C" w:rsidP="008E27E7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62C39655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046B2402" w14:textId="77777777" w:rsidR="0006211C" w:rsidRPr="00B012D6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6A7B39E3" w14:textId="77777777" w:rsidR="003A5A35" w:rsidRPr="003A5A35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bCs/>
          <w:sz w:val="22"/>
          <w:szCs w:val="22"/>
        </w:rPr>
      </w:pPr>
      <w:r w:rsidRPr="003A5A35">
        <w:rPr>
          <w:rFonts w:ascii="Times New Roman" w:hAnsi="Times New Roman" w:cs="Times New Roman"/>
          <w:bCs/>
          <w:sz w:val="22"/>
          <w:szCs w:val="22"/>
        </w:rPr>
        <w:t xml:space="preserve">STATUTORY AUTHORITY: </w:t>
      </w:r>
    </w:p>
    <w:p w14:paraId="2943AC23" w14:textId="77777777" w:rsidR="00532EA0" w:rsidRDefault="003A5A35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bCs/>
          <w:sz w:val="22"/>
          <w:szCs w:val="22"/>
        </w:rPr>
      </w:pPr>
      <w:r w:rsidRPr="003A5A35">
        <w:rPr>
          <w:rFonts w:ascii="Times New Roman" w:hAnsi="Times New Roman" w:cs="Times New Roman"/>
          <w:bCs/>
          <w:sz w:val="22"/>
          <w:szCs w:val="22"/>
        </w:rPr>
        <w:tab/>
      </w:r>
      <w:r w:rsidR="0006211C" w:rsidRPr="003A5A35">
        <w:rPr>
          <w:rFonts w:ascii="Times New Roman" w:hAnsi="Times New Roman" w:cs="Times New Roman"/>
          <w:bCs/>
          <w:sz w:val="22"/>
          <w:szCs w:val="22"/>
        </w:rPr>
        <w:t xml:space="preserve">35-A M.R.S. §§ 104, 111, </w:t>
      </w:r>
      <w:r w:rsidR="00074116" w:rsidRPr="003A5A35">
        <w:rPr>
          <w:rFonts w:ascii="Times New Roman" w:hAnsi="Times New Roman" w:cs="Times New Roman"/>
          <w:bCs/>
          <w:sz w:val="22"/>
          <w:szCs w:val="22"/>
        </w:rPr>
        <w:t xml:space="preserve">1301 and Public Law 2019 c. 298 </w:t>
      </w:r>
    </w:p>
    <w:p w14:paraId="4D12E369" w14:textId="77777777" w:rsidR="00532EA0" w:rsidRDefault="00532EA0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bCs/>
          <w:sz w:val="22"/>
          <w:szCs w:val="22"/>
        </w:rPr>
      </w:pPr>
    </w:p>
    <w:p w14:paraId="16429444" w14:textId="518E0DA2" w:rsidR="0006211C" w:rsidRDefault="0006211C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3A5A35">
        <w:rPr>
          <w:rFonts w:ascii="Times New Roman" w:hAnsi="Times New Roman" w:cs="Times New Roman"/>
          <w:bCs/>
          <w:sz w:val="22"/>
          <w:szCs w:val="22"/>
        </w:rPr>
        <w:t>EFFECTIVE DATE:</w:t>
      </w:r>
      <w:r w:rsidRPr="00B012D6">
        <w:rPr>
          <w:rFonts w:ascii="Times New Roman" w:hAnsi="Times New Roman" w:cs="Times New Roman"/>
          <w:sz w:val="22"/>
          <w:szCs w:val="22"/>
        </w:rPr>
        <w:t xml:space="preserve"> This rule was approved as to form and legality by the Attorney General on </w:t>
      </w:r>
      <w:r w:rsidR="003A5A35">
        <w:rPr>
          <w:rFonts w:ascii="Times New Roman" w:hAnsi="Times New Roman" w:cs="Times New Roman"/>
          <w:sz w:val="22"/>
          <w:szCs w:val="22"/>
        </w:rPr>
        <w:t>April 13</w:t>
      </w:r>
      <w:r w:rsidR="00074116" w:rsidRPr="00B012D6">
        <w:rPr>
          <w:rFonts w:ascii="Times New Roman" w:hAnsi="Times New Roman" w:cs="Times New Roman"/>
          <w:sz w:val="22"/>
          <w:szCs w:val="22"/>
        </w:rPr>
        <w:t xml:space="preserve">, 2020. </w:t>
      </w:r>
      <w:r w:rsidRPr="00B012D6">
        <w:rPr>
          <w:rFonts w:ascii="Times New Roman" w:hAnsi="Times New Roman" w:cs="Times New Roman"/>
          <w:sz w:val="22"/>
          <w:szCs w:val="22"/>
        </w:rPr>
        <w:t xml:space="preserve">It was filed with the Secretary of State on </w:t>
      </w:r>
      <w:r w:rsidR="003A5A35">
        <w:rPr>
          <w:rFonts w:ascii="Times New Roman" w:hAnsi="Times New Roman" w:cs="Times New Roman"/>
          <w:sz w:val="22"/>
          <w:szCs w:val="22"/>
        </w:rPr>
        <w:t>April 15</w:t>
      </w:r>
      <w:r w:rsidRPr="00B012D6">
        <w:rPr>
          <w:rFonts w:ascii="Times New Roman" w:hAnsi="Times New Roman" w:cs="Times New Roman"/>
          <w:sz w:val="22"/>
          <w:szCs w:val="22"/>
        </w:rPr>
        <w:t>, 20</w:t>
      </w:r>
      <w:r w:rsidR="00074116" w:rsidRPr="00B012D6">
        <w:rPr>
          <w:rFonts w:ascii="Times New Roman" w:hAnsi="Times New Roman" w:cs="Times New Roman"/>
          <w:sz w:val="22"/>
          <w:szCs w:val="22"/>
        </w:rPr>
        <w:t>20</w:t>
      </w:r>
      <w:r w:rsidRPr="00B012D6">
        <w:rPr>
          <w:rFonts w:ascii="Times New Roman" w:hAnsi="Times New Roman" w:cs="Times New Roman"/>
          <w:sz w:val="22"/>
          <w:szCs w:val="22"/>
        </w:rPr>
        <w:t xml:space="preserve"> and </w:t>
      </w:r>
      <w:r w:rsidR="003A5A35">
        <w:rPr>
          <w:rFonts w:ascii="Times New Roman" w:hAnsi="Times New Roman" w:cs="Times New Roman"/>
          <w:sz w:val="22"/>
          <w:szCs w:val="22"/>
        </w:rPr>
        <w:t>became</w:t>
      </w:r>
      <w:r w:rsidRPr="00B012D6">
        <w:rPr>
          <w:rFonts w:ascii="Times New Roman" w:hAnsi="Times New Roman" w:cs="Times New Roman"/>
          <w:sz w:val="22"/>
          <w:szCs w:val="22"/>
        </w:rPr>
        <w:t xml:space="preserve"> effective on </w:t>
      </w:r>
      <w:r w:rsidR="003A5A35">
        <w:rPr>
          <w:rFonts w:ascii="Times New Roman" w:hAnsi="Times New Roman" w:cs="Times New Roman"/>
          <w:sz w:val="22"/>
          <w:szCs w:val="22"/>
        </w:rPr>
        <w:t>April 15</w:t>
      </w:r>
      <w:r w:rsidRPr="00B012D6">
        <w:rPr>
          <w:rFonts w:ascii="Times New Roman" w:hAnsi="Times New Roman" w:cs="Times New Roman"/>
          <w:sz w:val="22"/>
          <w:szCs w:val="22"/>
        </w:rPr>
        <w:t>, 20</w:t>
      </w:r>
      <w:r w:rsidR="00074116" w:rsidRPr="00B012D6">
        <w:rPr>
          <w:rFonts w:ascii="Times New Roman" w:hAnsi="Times New Roman" w:cs="Times New Roman"/>
          <w:sz w:val="22"/>
          <w:szCs w:val="22"/>
        </w:rPr>
        <w:t>20</w:t>
      </w:r>
      <w:r w:rsidR="003A5A35">
        <w:rPr>
          <w:rFonts w:ascii="Times New Roman" w:hAnsi="Times New Roman" w:cs="Times New Roman"/>
          <w:sz w:val="22"/>
          <w:szCs w:val="22"/>
        </w:rPr>
        <w:t xml:space="preserve"> (filing 2020-096 – EMERGENCY)</w:t>
      </w:r>
      <w:r w:rsidRPr="00B012D6">
        <w:rPr>
          <w:rFonts w:ascii="Times New Roman" w:hAnsi="Times New Roman" w:cs="Times New Roman"/>
          <w:sz w:val="22"/>
          <w:szCs w:val="22"/>
        </w:rPr>
        <w:t>.</w:t>
      </w:r>
    </w:p>
    <w:p w14:paraId="51ADDC03" w14:textId="15DE48F7" w:rsidR="00785B55" w:rsidRDefault="00785B55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14:paraId="0BA1F876" w14:textId="79027EDE" w:rsidR="00785B55" w:rsidRDefault="00785B55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3A5A35">
        <w:rPr>
          <w:rFonts w:ascii="Times New Roman" w:hAnsi="Times New Roman" w:cs="Times New Roman"/>
          <w:bCs/>
          <w:sz w:val="22"/>
          <w:szCs w:val="22"/>
        </w:rPr>
        <w:t>EFFECTIVE DATE:</w:t>
      </w:r>
      <w:r w:rsidRPr="00B012D6">
        <w:rPr>
          <w:rFonts w:ascii="Times New Roman" w:hAnsi="Times New Roman" w:cs="Times New Roman"/>
          <w:sz w:val="22"/>
          <w:szCs w:val="22"/>
        </w:rPr>
        <w:t xml:space="preserve"> This rule was approved as to form and legality by the Attorney General on </w:t>
      </w:r>
      <w:r w:rsidR="005D0E4D">
        <w:rPr>
          <w:rFonts w:ascii="Times New Roman" w:hAnsi="Times New Roman" w:cs="Times New Roman"/>
          <w:sz w:val="22"/>
          <w:szCs w:val="22"/>
        </w:rPr>
        <w:t>July 15, 2020</w:t>
      </w:r>
      <w:r w:rsidRPr="00B012D6">
        <w:rPr>
          <w:rFonts w:ascii="Times New Roman" w:hAnsi="Times New Roman" w:cs="Times New Roman"/>
          <w:sz w:val="22"/>
          <w:szCs w:val="22"/>
        </w:rPr>
        <w:t xml:space="preserve">. It was filed with the Secretary of State on </w:t>
      </w:r>
      <w:r w:rsidR="005D0E4D">
        <w:rPr>
          <w:rFonts w:ascii="Times New Roman" w:hAnsi="Times New Roman" w:cs="Times New Roman"/>
          <w:sz w:val="22"/>
          <w:szCs w:val="22"/>
        </w:rPr>
        <w:t>July 16</w:t>
      </w:r>
      <w:r w:rsidRPr="00B012D6">
        <w:rPr>
          <w:rFonts w:ascii="Times New Roman" w:hAnsi="Times New Roman" w:cs="Times New Roman"/>
          <w:sz w:val="22"/>
          <w:szCs w:val="22"/>
        </w:rPr>
        <w:t xml:space="preserve">, 2020 and </w:t>
      </w:r>
      <w:r>
        <w:rPr>
          <w:rFonts w:ascii="Times New Roman" w:hAnsi="Times New Roman" w:cs="Times New Roman"/>
          <w:sz w:val="22"/>
          <w:szCs w:val="22"/>
        </w:rPr>
        <w:t>became</w:t>
      </w:r>
      <w:r w:rsidRPr="00B012D6">
        <w:rPr>
          <w:rFonts w:ascii="Times New Roman" w:hAnsi="Times New Roman" w:cs="Times New Roman"/>
          <w:sz w:val="22"/>
          <w:szCs w:val="22"/>
        </w:rPr>
        <w:t xml:space="preserve"> effective on</w:t>
      </w:r>
      <w:r w:rsidR="005D0E4D">
        <w:rPr>
          <w:rFonts w:ascii="Times New Roman" w:hAnsi="Times New Roman" w:cs="Times New Roman"/>
          <w:sz w:val="22"/>
          <w:szCs w:val="22"/>
        </w:rPr>
        <w:t xml:space="preserve"> July 21, 2020</w:t>
      </w:r>
      <w:bookmarkStart w:id="3" w:name="_GoBack"/>
      <w:bookmarkEnd w:id="3"/>
      <w:r w:rsidRPr="00B012D6">
        <w:rPr>
          <w:rFonts w:ascii="Times New Roman" w:hAnsi="Times New Roman" w:cs="Times New Roman"/>
          <w:sz w:val="22"/>
          <w:szCs w:val="22"/>
        </w:rPr>
        <w:t xml:space="preserve"> </w:t>
      </w:r>
      <w:r w:rsidR="003465D1">
        <w:rPr>
          <w:rFonts w:ascii="Times New Roman" w:hAnsi="Times New Roman" w:cs="Times New Roman"/>
          <w:sz w:val="22"/>
          <w:szCs w:val="22"/>
        </w:rPr>
        <w:t>(filing 2020-161)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4B5A0DD" w14:textId="77777777" w:rsidR="003A5A35" w:rsidRPr="00B012D6" w:rsidRDefault="003A5A35" w:rsidP="008E27E7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sectPr w:rsidR="003A5A35" w:rsidRPr="00B012D6">
      <w:headerReference w:type="first" r:id="rId12"/>
      <w:pgSz w:w="12240" w:h="15840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BF917" w14:textId="77777777" w:rsidR="00AF6ABC" w:rsidRDefault="00AF6ABC">
      <w:r>
        <w:separator/>
      </w:r>
    </w:p>
  </w:endnote>
  <w:endnote w:type="continuationSeparator" w:id="0">
    <w:p w14:paraId="5E2FD66C" w14:textId="77777777" w:rsidR="00AF6ABC" w:rsidRDefault="00AF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AC440" w14:textId="77777777" w:rsidR="00AF6ABC" w:rsidRDefault="00AF6ABC">
      <w:r>
        <w:separator/>
      </w:r>
    </w:p>
  </w:footnote>
  <w:footnote w:type="continuationSeparator" w:id="0">
    <w:p w14:paraId="2E9C14C9" w14:textId="77777777" w:rsidR="00AF6ABC" w:rsidRDefault="00AF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16434" w14:textId="77777777" w:rsidR="0006211C" w:rsidRDefault="0006211C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434E0A57" w14:textId="77777777" w:rsidR="0006211C" w:rsidRDefault="0006211C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23EF7137" w14:textId="77777777" w:rsidR="0006211C" w:rsidRDefault="0006211C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33D71B01" w14:textId="77777777" w:rsidR="0006211C" w:rsidRDefault="0006211C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65-407 Chapter </w:t>
    </w:r>
    <w:r w:rsidR="00701CC9">
      <w:rPr>
        <w:rFonts w:ascii="Times New Roman" w:hAnsi="Times New Roman" w:cs="Times New Roman"/>
        <w:sz w:val="18"/>
        <w:szCs w:val="18"/>
      </w:rPr>
      <w:t>319</w:t>
    </w:r>
    <w:r>
      <w:rPr>
        <w:rFonts w:ascii="Times New Roman" w:hAnsi="Times New Roman" w:cs="Times New Roman"/>
        <w:sz w:val="18"/>
        <w:szCs w:val="18"/>
      </w:rPr>
      <w:t xml:space="preserve">     page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page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5244DF">
      <w:rPr>
        <w:rFonts w:ascii="Times New Roman" w:hAnsi="Times New Roman" w:cs="Times New Roman"/>
        <w:noProof/>
        <w:sz w:val="18"/>
        <w:szCs w:val="18"/>
      </w:rPr>
      <w:t>27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5015" w14:textId="77777777" w:rsidR="0006211C" w:rsidRDefault="0006211C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6F2DF923" w14:textId="77777777" w:rsidR="0006211C" w:rsidRDefault="0006211C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51BBA6CE" w14:textId="77777777" w:rsidR="0006211C" w:rsidRDefault="0006211C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14:paraId="26FB06AD" w14:textId="77777777" w:rsidR="0006211C" w:rsidRDefault="0006211C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65-407 Chapter </w:t>
    </w:r>
    <w:r w:rsidR="006E413B">
      <w:rPr>
        <w:rFonts w:ascii="Times New Roman" w:hAnsi="Times New Roman" w:cs="Times New Roman"/>
        <w:sz w:val="18"/>
        <w:szCs w:val="18"/>
      </w:rPr>
      <w:t>319</w:t>
    </w:r>
    <w:r>
      <w:rPr>
        <w:rFonts w:ascii="Times New Roman" w:hAnsi="Times New Roman" w:cs="Times New Roman"/>
        <w:sz w:val="18"/>
        <w:szCs w:val="18"/>
      </w:rPr>
      <w:t xml:space="preserve">     page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page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5244DF">
      <w:rPr>
        <w:rFonts w:ascii="Times New Roman" w:hAnsi="Times New Roman" w:cs="Times New Roman"/>
        <w:noProof/>
        <w:sz w:val="18"/>
        <w:szCs w:val="18"/>
      </w:rPr>
      <w:t>6</w:t>
    </w:r>
    <w:r>
      <w:fldChar w:fldCharType="end"/>
    </w:r>
  </w:p>
  <w:p w14:paraId="073BEC86" w14:textId="77777777" w:rsidR="0006211C" w:rsidRPr="005A7EA5" w:rsidRDefault="0006211C">
    <w:pPr>
      <w:pStyle w:val="Header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5DC3"/>
    <w:multiLevelType w:val="hybridMultilevel"/>
    <w:tmpl w:val="0550458C"/>
    <w:lvl w:ilvl="0" w:tplc="DCE4C4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562EC0"/>
    <w:multiLevelType w:val="hybridMultilevel"/>
    <w:tmpl w:val="BF20DB86"/>
    <w:lvl w:ilvl="0" w:tplc="3EEA21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9D24FE"/>
    <w:multiLevelType w:val="hybridMultilevel"/>
    <w:tmpl w:val="E238024A"/>
    <w:lvl w:ilvl="0" w:tplc="3BFC9BC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7922AAA"/>
    <w:multiLevelType w:val="hybridMultilevel"/>
    <w:tmpl w:val="04F8EDB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F90D2B"/>
    <w:multiLevelType w:val="hybridMultilevel"/>
    <w:tmpl w:val="227072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BB50C3"/>
    <w:multiLevelType w:val="hybridMultilevel"/>
    <w:tmpl w:val="45E4BE5C"/>
    <w:lvl w:ilvl="0" w:tplc="6BC6061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A165B"/>
    <w:multiLevelType w:val="hybridMultilevel"/>
    <w:tmpl w:val="B22E3194"/>
    <w:lvl w:ilvl="0" w:tplc="EA9E4EE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F344B08"/>
    <w:multiLevelType w:val="hybridMultilevel"/>
    <w:tmpl w:val="0CAED7F2"/>
    <w:lvl w:ilvl="0" w:tplc="F9FE1620">
      <w:start w:val="1"/>
      <w:numFmt w:val="upperLetter"/>
      <w:lvlText w:val="%1."/>
      <w:lvlJc w:val="left"/>
      <w:pPr>
        <w:ind w:left="144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915B36"/>
    <w:multiLevelType w:val="hybridMultilevel"/>
    <w:tmpl w:val="C1708E7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BCB53B4"/>
    <w:multiLevelType w:val="hybridMultilevel"/>
    <w:tmpl w:val="21AAC948"/>
    <w:lvl w:ilvl="0" w:tplc="489AC368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5F615A15"/>
    <w:multiLevelType w:val="hybridMultilevel"/>
    <w:tmpl w:val="3F5AB8E6"/>
    <w:lvl w:ilvl="0" w:tplc="D2A81EF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B45923"/>
    <w:multiLevelType w:val="hybridMultilevel"/>
    <w:tmpl w:val="385C757A"/>
    <w:lvl w:ilvl="0" w:tplc="5994FB80">
      <w:start w:val="1"/>
      <w:numFmt w:val="decimal"/>
      <w:lvlText w:val="%1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9553CCE"/>
    <w:multiLevelType w:val="hybridMultilevel"/>
    <w:tmpl w:val="65FA8ACE"/>
    <w:lvl w:ilvl="0" w:tplc="FD320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5F15F6C"/>
    <w:multiLevelType w:val="hybridMultilevel"/>
    <w:tmpl w:val="CB145968"/>
    <w:lvl w:ilvl="0" w:tplc="BF1662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A1008FF"/>
    <w:multiLevelType w:val="hybridMultilevel"/>
    <w:tmpl w:val="7396DC46"/>
    <w:lvl w:ilvl="0" w:tplc="C344AEB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C7B45E2"/>
    <w:multiLevelType w:val="hybridMultilevel"/>
    <w:tmpl w:val="C4C66978"/>
    <w:lvl w:ilvl="0" w:tplc="FCB8D4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4"/>
  </w:num>
  <w:num w:numId="5">
    <w:abstractNumId w:val="12"/>
  </w:num>
  <w:num w:numId="6">
    <w:abstractNumId w:val="6"/>
  </w:num>
  <w:num w:numId="7">
    <w:abstractNumId w:val="11"/>
  </w:num>
  <w:num w:numId="8">
    <w:abstractNumId w:val="13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9"/>
  </w:num>
  <w:num w:numId="14">
    <w:abstractNumId w:val="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DF"/>
    <w:rsid w:val="00011CF1"/>
    <w:rsid w:val="000365ED"/>
    <w:rsid w:val="00045A42"/>
    <w:rsid w:val="0006211C"/>
    <w:rsid w:val="000705E2"/>
    <w:rsid w:val="00074116"/>
    <w:rsid w:val="0008506C"/>
    <w:rsid w:val="000B2D7C"/>
    <w:rsid w:val="000D516B"/>
    <w:rsid w:val="000D768F"/>
    <w:rsid w:val="001034C7"/>
    <w:rsid w:val="0010508F"/>
    <w:rsid w:val="0012020B"/>
    <w:rsid w:val="00147410"/>
    <w:rsid w:val="00150184"/>
    <w:rsid w:val="00163F4A"/>
    <w:rsid w:val="00173E7C"/>
    <w:rsid w:val="00184374"/>
    <w:rsid w:val="001844CE"/>
    <w:rsid w:val="00194E71"/>
    <w:rsid w:val="001A586D"/>
    <w:rsid w:val="001F0405"/>
    <w:rsid w:val="001F258E"/>
    <w:rsid w:val="00200F9D"/>
    <w:rsid w:val="002144A7"/>
    <w:rsid w:val="00214DF1"/>
    <w:rsid w:val="002150AB"/>
    <w:rsid w:val="00260119"/>
    <w:rsid w:val="00262C35"/>
    <w:rsid w:val="002C364C"/>
    <w:rsid w:val="003212A7"/>
    <w:rsid w:val="0034096F"/>
    <w:rsid w:val="00341323"/>
    <w:rsid w:val="00343EA5"/>
    <w:rsid w:val="003465D1"/>
    <w:rsid w:val="003547D6"/>
    <w:rsid w:val="0035734C"/>
    <w:rsid w:val="00381F8C"/>
    <w:rsid w:val="003A2345"/>
    <w:rsid w:val="003A5A35"/>
    <w:rsid w:val="003D1FC5"/>
    <w:rsid w:val="003D22E1"/>
    <w:rsid w:val="003D5A29"/>
    <w:rsid w:val="003E14A8"/>
    <w:rsid w:val="003E703C"/>
    <w:rsid w:val="003F2695"/>
    <w:rsid w:val="00401832"/>
    <w:rsid w:val="004162FE"/>
    <w:rsid w:val="0043509E"/>
    <w:rsid w:val="00440B71"/>
    <w:rsid w:val="00446653"/>
    <w:rsid w:val="00454590"/>
    <w:rsid w:val="0049206E"/>
    <w:rsid w:val="004C5415"/>
    <w:rsid w:val="004C6007"/>
    <w:rsid w:val="00516F07"/>
    <w:rsid w:val="00520170"/>
    <w:rsid w:val="005244DF"/>
    <w:rsid w:val="00532EA0"/>
    <w:rsid w:val="00534898"/>
    <w:rsid w:val="005555AE"/>
    <w:rsid w:val="00566CED"/>
    <w:rsid w:val="00575AD4"/>
    <w:rsid w:val="005825C7"/>
    <w:rsid w:val="00596239"/>
    <w:rsid w:val="005A18D1"/>
    <w:rsid w:val="005A7EA5"/>
    <w:rsid w:val="005B2A03"/>
    <w:rsid w:val="005B5246"/>
    <w:rsid w:val="005D0E4D"/>
    <w:rsid w:val="005E017C"/>
    <w:rsid w:val="005E4A7B"/>
    <w:rsid w:val="006127E4"/>
    <w:rsid w:val="00641C91"/>
    <w:rsid w:val="00650166"/>
    <w:rsid w:val="00651C55"/>
    <w:rsid w:val="006711C7"/>
    <w:rsid w:val="006E413B"/>
    <w:rsid w:val="006F4EB8"/>
    <w:rsid w:val="00701CC9"/>
    <w:rsid w:val="007020B1"/>
    <w:rsid w:val="00713310"/>
    <w:rsid w:val="0073174A"/>
    <w:rsid w:val="00736C40"/>
    <w:rsid w:val="00742CDA"/>
    <w:rsid w:val="00755658"/>
    <w:rsid w:val="00785B55"/>
    <w:rsid w:val="00787087"/>
    <w:rsid w:val="007A1B7D"/>
    <w:rsid w:val="007A1BE2"/>
    <w:rsid w:val="007C69EE"/>
    <w:rsid w:val="007E0CDF"/>
    <w:rsid w:val="0080223A"/>
    <w:rsid w:val="00817679"/>
    <w:rsid w:val="00825A9E"/>
    <w:rsid w:val="00835880"/>
    <w:rsid w:val="0084216E"/>
    <w:rsid w:val="00846A27"/>
    <w:rsid w:val="00864D53"/>
    <w:rsid w:val="008927E6"/>
    <w:rsid w:val="008D239B"/>
    <w:rsid w:val="008D2C66"/>
    <w:rsid w:val="008E27E7"/>
    <w:rsid w:val="009510C3"/>
    <w:rsid w:val="00952084"/>
    <w:rsid w:val="009604CA"/>
    <w:rsid w:val="00962C49"/>
    <w:rsid w:val="00995C8E"/>
    <w:rsid w:val="009B31CE"/>
    <w:rsid w:val="009B3F80"/>
    <w:rsid w:val="009D1FDC"/>
    <w:rsid w:val="009F0D3C"/>
    <w:rsid w:val="009F79A7"/>
    <w:rsid w:val="00A10469"/>
    <w:rsid w:val="00A55C55"/>
    <w:rsid w:val="00A653E7"/>
    <w:rsid w:val="00A74F7A"/>
    <w:rsid w:val="00A81521"/>
    <w:rsid w:val="00A83CB2"/>
    <w:rsid w:val="00AF6ABC"/>
    <w:rsid w:val="00B012D6"/>
    <w:rsid w:val="00B24843"/>
    <w:rsid w:val="00B536F3"/>
    <w:rsid w:val="00B53BA4"/>
    <w:rsid w:val="00B705F2"/>
    <w:rsid w:val="00B715BC"/>
    <w:rsid w:val="00BB76CB"/>
    <w:rsid w:val="00BC79CF"/>
    <w:rsid w:val="00BD7D7F"/>
    <w:rsid w:val="00BE013C"/>
    <w:rsid w:val="00C21A2D"/>
    <w:rsid w:val="00C47E96"/>
    <w:rsid w:val="00C54952"/>
    <w:rsid w:val="00C551AE"/>
    <w:rsid w:val="00CB3F53"/>
    <w:rsid w:val="00CB6A54"/>
    <w:rsid w:val="00CE620C"/>
    <w:rsid w:val="00D05830"/>
    <w:rsid w:val="00D11011"/>
    <w:rsid w:val="00D43147"/>
    <w:rsid w:val="00D65864"/>
    <w:rsid w:val="00D66E62"/>
    <w:rsid w:val="00D77695"/>
    <w:rsid w:val="00DA3699"/>
    <w:rsid w:val="00DC4E80"/>
    <w:rsid w:val="00DD768A"/>
    <w:rsid w:val="00DE2CB8"/>
    <w:rsid w:val="00E03F5F"/>
    <w:rsid w:val="00E152B5"/>
    <w:rsid w:val="00E21B1F"/>
    <w:rsid w:val="00E32B4F"/>
    <w:rsid w:val="00E40522"/>
    <w:rsid w:val="00E804AB"/>
    <w:rsid w:val="00E90A85"/>
    <w:rsid w:val="00E92814"/>
    <w:rsid w:val="00EB50C0"/>
    <w:rsid w:val="00EC42FF"/>
    <w:rsid w:val="00F0738C"/>
    <w:rsid w:val="00F21BC5"/>
    <w:rsid w:val="00F26C3C"/>
    <w:rsid w:val="00F45876"/>
    <w:rsid w:val="00F642F7"/>
    <w:rsid w:val="00F752A2"/>
    <w:rsid w:val="00FB4E19"/>
    <w:rsid w:val="00FD4A57"/>
    <w:rsid w:val="00FE48E1"/>
    <w:rsid w:val="00FF4AE7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E2F2A"/>
  <w15:chartTrackingRefBased/>
  <w15:docId w15:val="{4536A7D4-4EE8-473D-BA1E-3A84EF97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right" w:pos="3919"/>
      </w:tabs>
      <w:ind w:left="54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right" w:pos="4654"/>
      </w:tabs>
      <w:ind w:left="1451" w:hanging="1451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leader="dot" w:pos="9360"/>
      </w:tabs>
      <w:spacing w:line="480" w:lineRule="atLeast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tLeast"/>
      <w:ind w:firstLine="720"/>
      <w:outlineLvl w:val="6"/>
    </w:pPr>
  </w:style>
  <w:style w:type="paragraph" w:styleId="Heading8">
    <w:name w:val="heading 8"/>
    <w:basedOn w:val="Normal"/>
    <w:next w:val="Normal"/>
    <w:qFormat/>
    <w:pPr>
      <w:keepNext/>
      <w:ind w:firstLine="1430"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ind w:left="5040"/>
      <w:jc w:val="both"/>
    </w:pPr>
  </w:style>
  <w:style w:type="paragraph" w:styleId="TOC7">
    <w:name w:val="toc 7"/>
    <w:basedOn w:val="Normal"/>
    <w:next w:val="Normal"/>
    <w:pPr>
      <w:ind w:left="4320"/>
    </w:pPr>
  </w:style>
  <w:style w:type="paragraph" w:styleId="TOC6">
    <w:name w:val="toc 6"/>
    <w:basedOn w:val="Normal"/>
    <w:next w:val="Normal"/>
    <w:pPr>
      <w:ind w:left="3600"/>
    </w:pPr>
  </w:style>
  <w:style w:type="paragraph" w:styleId="TOC5">
    <w:name w:val="toc 5"/>
    <w:basedOn w:val="Normal"/>
    <w:next w:val="Normal"/>
    <w:pPr>
      <w:ind w:left="2880"/>
    </w:pPr>
  </w:style>
  <w:style w:type="paragraph" w:styleId="TOC4">
    <w:name w:val="toc 4"/>
    <w:basedOn w:val="Normal"/>
    <w:next w:val="Normal"/>
    <w:pPr>
      <w:spacing w:line="480" w:lineRule="atLeast"/>
      <w:ind w:firstLine="2160"/>
    </w:pPr>
  </w:style>
  <w:style w:type="paragraph" w:styleId="TOC3">
    <w:name w:val="toc 3"/>
    <w:basedOn w:val="Normal"/>
    <w:next w:val="Normal"/>
    <w:pPr>
      <w:ind w:left="1440"/>
    </w:pPr>
  </w:style>
  <w:style w:type="paragraph" w:styleId="TOC2">
    <w:name w:val="toc 2"/>
    <w:basedOn w:val="Normal"/>
    <w:next w:val="Normal"/>
    <w:pPr>
      <w:ind w:left="720"/>
    </w:pPr>
  </w:style>
  <w:style w:type="paragraph" w:styleId="TOC1">
    <w:name w:val="toc 1"/>
    <w:basedOn w:val="Normal"/>
    <w:next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pPr>
      <w:ind w:left="720" w:firstLine="720"/>
    </w:pPr>
  </w:style>
  <w:style w:type="paragraph" w:styleId="BodyText">
    <w:name w:val="Body Text"/>
    <w:basedOn w:val="Normal"/>
    <w:next w:val="Normal"/>
    <w:pPr>
      <w:spacing w:after="120"/>
    </w:pPr>
  </w:style>
  <w:style w:type="paragraph" w:customStyle="1" w:styleId="TOC91">
    <w:name w:val="TOC 91"/>
    <w:basedOn w:val="Normal"/>
    <w:next w:val="Normal"/>
    <w:pPr>
      <w:ind w:left="5040"/>
    </w:pPr>
  </w:style>
  <w:style w:type="paragraph" w:styleId="BlockText">
    <w:name w:val="Block Text"/>
    <w:basedOn w:val="Normal"/>
    <w:pPr>
      <w:tabs>
        <w:tab w:val="left" w:pos="2230"/>
      </w:tabs>
      <w:ind w:left="2180" w:right="720" w:hanging="2180"/>
    </w:pPr>
    <w:rPr>
      <w:noProof/>
    </w:rPr>
  </w:style>
  <w:style w:type="paragraph" w:styleId="BodyText2">
    <w:name w:val="Body Text 2"/>
    <w:basedOn w:val="Normal"/>
    <w:pPr>
      <w:spacing w:line="480" w:lineRule="atLeast"/>
    </w:pPr>
    <w:rPr>
      <w:b/>
    </w:rPr>
  </w:style>
  <w:style w:type="paragraph" w:styleId="BodyTextIndent2">
    <w:name w:val="Body Text Indent 2"/>
    <w:basedOn w:val="Normal"/>
    <w:pPr>
      <w:tabs>
        <w:tab w:val="left" w:pos="2160"/>
        <w:tab w:val="left" w:pos="3295"/>
      </w:tabs>
      <w:ind w:firstLine="1440"/>
    </w:pPr>
    <w:rPr>
      <w:noProof/>
    </w:rPr>
  </w:style>
  <w:style w:type="paragraph" w:styleId="BodyTextIndent3">
    <w:name w:val="Body Text Indent 3"/>
    <w:basedOn w:val="Normal"/>
    <w:pPr>
      <w:ind w:firstLine="720"/>
    </w:pPr>
  </w:style>
  <w:style w:type="paragraph" w:customStyle="1" w:styleId="DefaultText">
    <w:name w:val="Default Text"/>
    <w:basedOn w:val="Normal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0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60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4116"/>
    <w:pPr>
      <w:ind w:left="720"/>
    </w:pPr>
  </w:style>
  <w:style w:type="character" w:styleId="CommentReference">
    <w:name w:val="annotation reference"/>
    <w:uiPriority w:val="99"/>
    <w:semiHidden/>
    <w:unhideWhenUsed/>
    <w:rsid w:val="003D2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2E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D22E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2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22E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48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1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86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47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050768A7774EA9B50FA65C601E76" ma:contentTypeVersion="13" ma:contentTypeDescription="Create a new document." ma:contentTypeScope="" ma:versionID="0f040930ab6b87c9a7849b8903569cfe">
  <xsd:schema xmlns:xsd="http://www.w3.org/2001/XMLSchema" xmlns:xs="http://www.w3.org/2001/XMLSchema" xmlns:p="http://schemas.microsoft.com/office/2006/metadata/properties" xmlns:ns1="http://schemas.microsoft.com/sharepoint/v3" xmlns:ns3="707493ba-19b5-4866-a97d-afe234557adc" xmlns:ns4="c887f585-76b7-4959-b7d5-e1f81a367792" targetNamespace="http://schemas.microsoft.com/office/2006/metadata/properties" ma:root="true" ma:fieldsID="ec8996d006c20bbc692a01e5e4c56c8f" ns1:_="" ns3:_="" ns4:_="">
    <xsd:import namespace="http://schemas.microsoft.com/sharepoint/v3"/>
    <xsd:import namespace="707493ba-19b5-4866-a97d-afe234557adc"/>
    <xsd:import namespace="c887f585-76b7-4959-b7d5-e1f81a3677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93ba-19b5-4866-a97d-afe234557a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7f585-76b7-4959-b7d5-e1f81a36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9E831-8D67-40D9-AE25-46CC63705AEA}">
  <ds:schemaRefs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c887f585-76b7-4959-b7d5-e1f81a367792"/>
    <ds:schemaRef ds:uri="http://purl.org/dc/terms/"/>
    <ds:schemaRef ds:uri="707493ba-19b5-4866-a97d-afe234557ad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27C0CF-201A-4A54-AC48-B2C050F57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716AA-8211-41B3-85A8-48BA1E0C6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7493ba-19b5-4866-a97d-afe234557adc"/>
    <ds:schemaRef ds:uri="c887f585-76b7-4959-b7d5-e1f81a36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ABB5B-94E6-4C24-B6BF-0D1145D1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</vt:lpstr>
    </vt:vector>
  </TitlesOfParts>
  <Company> 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</dc:title>
  <dc:subject/>
  <dc:creator>Trirna Bragdon</dc:creator>
  <cp:keywords/>
  <dc:description/>
  <cp:lastModifiedBy>Wismer, Don</cp:lastModifiedBy>
  <cp:revision>6</cp:revision>
  <cp:lastPrinted>2020-03-12T13:39:00Z</cp:lastPrinted>
  <dcterms:created xsi:type="dcterms:W3CDTF">2020-07-21T19:15:00Z</dcterms:created>
  <dcterms:modified xsi:type="dcterms:W3CDTF">2020-07-23T15:30:00Z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0x010100DA02050768A7774EA9B50FA65C601E76</vt:lpwstr>
  </property>
</Properties>
</file>