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D6" w:rsidRDefault="002045D6" w:rsidP="002045D6">
      <w:pPr>
        <w:jc w:val="center"/>
        <w:rPr>
          <w:rFonts w:ascii="Bookman Old Style" w:hAnsi="Bookman Old Style"/>
          <w:b/>
          <w:sz w:val="22"/>
          <w:szCs w:val="22"/>
        </w:rPr>
      </w:pPr>
      <w:r>
        <w:rPr>
          <w:rFonts w:ascii="Bookman Old Style" w:hAnsi="Bookman Old Style"/>
          <w:b/>
          <w:sz w:val="22"/>
          <w:szCs w:val="22"/>
        </w:rPr>
        <w:t>94-270</w:t>
      </w:r>
    </w:p>
    <w:p w:rsidR="002045D6" w:rsidRPr="002045D6" w:rsidRDefault="002045D6" w:rsidP="002045D6">
      <w:pPr>
        <w:jc w:val="center"/>
        <w:rPr>
          <w:rFonts w:ascii="Bookman Old Style" w:hAnsi="Bookman Old Style"/>
          <w:b/>
          <w:sz w:val="22"/>
          <w:szCs w:val="22"/>
        </w:rPr>
      </w:pPr>
      <w:r w:rsidRPr="002045D6">
        <w:rPr>
          <w:rFonts w:ascii="Bookman Old Style" w:hAnsi="Bookman Old Style"/>
          <w:b/>
          <w:sz w:val="22"/>
          <w:szCs w:val="22"/>
        </w:rPr>
        <w:t>COMMISSION ON GOVERNMENTAL ETHICS AND ELECTION PRACTICES</w:t>
      </w:r>
    </w:p>
    <w:p w:rsidR="00492A29" w:rsidRPr="002045D6" w:rsidRDefault="003E6D05" w:rsidP="002045D6">
      <w:pPr>
        <w:jc w:val="center"/>
        <w:rPr>
          <w:rFonts w:ascii="Bookman Old Style" w:hAnsi="Bookman Old Style"/>
          <w:sz w:val="22"/>
          <w:szCs w:val="22"/>
        </w:rPr>
      </w:pPr>
      <w:r w:rsidRPr="002045D6">
        <w:rPr>
          <w:rFonts w:ascii="Bookman Old Style" w:hAnsi="Bookman Old Style"/>
          <w:sz w:val="22"/>
          <w:szCs w:val="22"/>
        </w:rPr>
        <w:t>Maine Administrative Procedure Act</w:t>
      </w:r>
    </w:p>
    <w:p w:rsidR="003E6D05" w:rsidRDefault="00826DEE" w:rsidP="002045D6">
      <w:pPr>
        <w:jc w:val="center"/>
        <w:rPr>
          <w:rFonts w:ascii="Bookman Old Style" w:hAnsi="Bookman Old Style"/>
          <w:sz w:val="22"/>
          <w:szCs w:val="22"/>
        </w:rPr>
      </w:pPr>
      <w:r w:rsidRPr="002045D6">
        <w:rPr>
          <w:rFonts w:ascii="Bookman Old Style" w:hAnsi="Bookman Old Style"/>
          <w:sz w:val="22"/>
          <w:szCs w:val="22"/>
        </w:rPr>
        <w:t>20</w:t>
      </w:r>
      <w:r w:rsidR="00AD71FD">
        <w:rPr>
          <w:rFonts w:ascii="Bookman Old Style" w:hAnsi="Bookman Old Style"/>
          <w:sz w:val="22"/>
          <w:szCs w:val="22"/>
        </w:rPr>
        <w:t>20</w:t>
      </w:r>
      <w:r w:rsidR="001764A9" w:rsidRPr="002045D6">
        <w:rPr>
          <w:rFonts w:ascii="Bookman Old Style" w:hAnsi="Bookman Old Style"/>
          <w:sz w:val="22"/>
          <w:szCs w:val="22"/>
        </w:rPr>
        <w:t>-20</w:t>
      </w:r>
      <w:r w:rsidR="00AD71FD">
        <w:rPr>
          <w:rFonts w:ascii="Bookman Old Style" w:hAnsi="Bookman Old Style"/>
          <w:sz w:val="22"/>
          <w:szCs w:val="22"/>
        </w:rPr>
        <w:t>21</w:t>
      </w:r>
      <w:r w:rsidR="003E6D05" w:rsidRPr="002045D6">
        <w:rPr>
          <w:rFonts w:ascii="Bookman Old Style" w:hAnsi="Bookman Old Style"/>
          <w:sz w:val="22"/>
          <w:szCs w:val="22"/>
        </w:rPr>
        <w:t xml:space="preserve"> Regulatory Agenda</w:t>
      </w:r>
    </w:p>
    <w:p w:rsidR="002045D6" w:rsidRDefault="00AD71FD" w:rsidP="002045D6">
      <w:pPr>
        <w:jc w:val="center"/>
        <w:rPr>
          <w:rFonts w:ascii="Bookman Old Style" w:hAnsi="Bookman Old Style"/>
          <w:sz w:val="22"/>
          <w:szCs w:val="22"/>
        </w:rPr>
      </w:pPr>
      <w:r>
        <w:rPr>
          <w:rFonts w:ascii="Bookman Old Style" w:hAnsi="Bookman Old Style"/>
          <w:sz w:val="22"/>
          <w:szCs w:val="22"/>
        </w:rPr>
        <w:t>November 17</w:t>
      </w:r>
      <w:r w:rsidR="002A5229">
        <w:rPr>
          <w:rFonts w:ascii="Bookman Old Style" w:hAnsi="Bookman Old Style"/>
          <w:sz w:val="22"/>
          <w:szCs w:val="22"/>
        </w:rPr>
        <w:t>, 20</w:t>
      </w:r>
      <w:r w:rsidR="004901CD">
        <w:rPr>
          <w:rFonts w:ascii="Bookman Old Style" w:hAnsi="Bookman Old Style"/>
          <w:sz w:val="22"/>
          <w:szCs w:val="22"/>
        </w:rPr>
        <w:t>20</w:t>
      </w:r>
    </w:p>
    <w:p w:rsidR="002045D6" w:rsidRPr="002045D6" w:rsidRDefault="002045D6" w:rsidP="002045D6">
      <w:pPr>
        <w:jc w:val="center"/>
        <w:rPr>
          <w:rFonts w:ascii="Bookman Old Style" w:hAnsi="Bookman Old Style"/>
          <w:sz w:val="22"/>
          <w:szCs w:val="22"/>
        </w:rPr>
      </w:pPr>
    </w:p>
    <w:p w:rsidR="003E6D05" w:rsidRPr="002045D6" w:rsidRDefault="003E6D05" w:rsidP="00B541EB">
      <w:pPr>
        <w:rPr>
          <w:rFonts w:ascii="Bookman Old Style" w:hAnsi="Bookman Old Style"/>
          <w:sz w:val="22"/>
          <w:szCs w:val="22"/>
        </w:rPr>
      </w:pPr>
    </w:p>
    <w:p w:rsidR="003E6D05" w:rsidRPr="002045D6" w:rsidRDefault="002045D6">
      <w:pPr>
        <w:rPr>
          <w:rFonts w:ascii="Bookman Old Style" w:hAnsi="Bookman Old Style"/>
          <w:sz w:val="22"/>
          <w:szCs w:val="22"/>
        </w:rPr>
      </w:pPr>
      <w:r w:rsidRPr="00102E89">
        <w:rPr>
          <w:rFonts w:ascii="Bookman Old Style" w:hAnsi="Bookman Old Style"/>
          <w:bCs/>
          <w:sz w:val="22"/>
          <w:szCs w:val="22"/>
        </w:rPr>
        <w:t>AGENCY UMBRELLA-UNIT NUMBER</w:t>
      </w:r>
      <w:r w:rsidR="003E6D05" w:rsidRPr="00102E89">
        <w:rPr>
          <w:rFonts w:ascii="Bookman Old Style" w:hAnsi="Bookman Old Style"/>
          <w:bCs/>
          <w:sz w:val="22"/>
          <w:szCs w:val="22"/>
        </w:rPr>
        <w:t>:</w:t>
      </w:r>
      <w:r>
        <w:rPr>
          <w:rFonts w:ascii="Bookman Old Style" w:hAnsi="Bookman Old Style"/>
          <w:sz w:val="22"/>
          <w:szCs w:val="22"/>
        </w:rPr>
        <w:t xml:space="preserve"> </w:t>
      </w:r>
      <w:r w:rsidR="003E6D05" w:rsidRPr="00102E89">
        <w:rPr>
          <w:rFonts w:ascii="Bookman Old Style" w:hAnsi="Bookman Old Style"/>
          <w:b/>
          <w:bCs/>
          <w:sz w:val="22"/>
          <w:szCs w:val="22"/>
        </w:rPr>
        <w:t>94-270</w:t>
      </w:r>
    </w:p>
    <w:p w:rsidR="003E6D05" w:rsidRPr="00102E89" w:rsidRDefault="002045D6">
      <w:pPr>
        <w:rPr>
          <w:rFonts w:ascii="Bookman Old Style" w:hAnsi="Bookman Old Style"/>
          <w:b/>
          <w:bCs/>
          <w:sz w:val="22"/>
          <w:szCs w:val="22"/>
        </w:rPr>
      </w:pPr>
      <w:r w:rsidRPr="00102E89">
        <w:rPr>
          <w:rFonts w:ascii="Bookman Old Style" w:hAnsi="Bookman Old Style"/>
          <w:bCs/>
          <w:sz w:val="22"/>
          <w:szCs w:val="22"/>
        </w:rPr>
        <w:t>AGENCY NAME</w:t>
      </w:r>
      <w:r w:rsidR="003E6D05" w:rsidRPr="00102E89">
        <w:rPr>
          <w:rFonts w:ascii="Bookman Old Style" w:hAnsi="Bookman Old Style"/>
          <w:bCs/>
          <w:sz w:val="22"/>
          <w:szCs w:val="22"/>
        </w:rPr>
        <w:t>:</w:t>
      </w:r>
      <w:r>
        <w:rPr>
          <w:rFonts w:ascii="Bookman Old Style" w:hAnsi="Bookman Old Style"/>
          <w:sz w:val="22"/>
          <w:szCs w:val="22"/>
        </w:rPr>
        <w:t xml:space="preserve"> </w:t>
      </w:r>
      <w:r w:rsidR="003E6D05" w:rsidRPr="00102E89">
        <w:rPr>
          <w:rFonts w:ascii="Bookman Old Style" w:hAnsi="Bookman Old Style"/>
          <w:b/>
          <w:bCs/>
          <w:sz w:val="22"/>
          <w:szCs w:val="22"/>
        </w:rPr>
        <w:t>Commission on Governmental Ethics and Election Practices</w:t>
      </w:r>
    </w:p>
    <w:p w:rsidR="002045D6" w:rsidRPr="00102E89" w:rsidRDefault="002045D6">
      <w:pPr>
        <w:rPr>
          <w:rFonts w:ascii="Bookman Old Style" w:hAnsi="Bookman Old Style"/>
          <w:b/>
          <w:bCs/>
          <w:sz w:val="22"/>
          <w:szCs w:val="22"/>
        </w:rPr>
      </w:pPr>
    </w:p>
    <w:p w:rsidR="002045D6" w:rsidRPr="002045D6" w:rsidRDefault="002045D6" w:rsidP="002045D6">
      <w:pPr>
        <w:ind w:right="-180"/>
        <w:rPr>
          <w:rFonts w:ascii="Bookman Old Style" w:hAnsi="Bookman Old Style"/>
          <w:sz w:val="22"/>
          <w:szCs w:val="22"/>
        </w:rPr>
      </w:pPr>
      <w:r w:rsidRPr="002045D6">
        <w:rPr>
          <w:rFonts w:ascii="Bookman Old Style" w:hAnsi="Bookman Old Style"/>
          <w:b/>
          <w:sz w:val="22"/>
          <w:szCs w:val="22"/>
        </w:rPr>
        <w:t>CONTACT PERSON</w:t>
      </w:r>
      <w:r w:rsidR="003E6D05" w:rsidRPr="002045D6">
        <w:rPr>
          <w:rFonts w:ascii="Bookman Old Style" w:hAnsi="Bookman Old Style"/>
          <w:sz w:val="22"/>
          <w:szCs w:val="22"/>
        </w:rPr>
        <w:t>:</w:t>
      </w:r>
      <w:r>
        <w:rPr>
          <w:rFonts w:ascii="Bookman Old Style" w:hAnsi="Bookman Old Style"/>
          <w:sz w:val="22"/>
          <w:szCs w:val="22"/>
        </w:rPr>
        <w:t xml:space="preserve"> </w:t>
      </w:r>
      <w:r w:rsidR="003E6D05" w:rsidRPr="002045D6">
        <w:rPr>
          <w:rFonts w:ascii="Bookman Old Style" w:hAnsi="Bookman Old Style"/>
          <w:sz w:val="22"/>
          <w:szCs w:val="22"/>
        </w:rPr>
        <w:t>Jonathan Wayne, Executive Director</w:t>
      </w:r>
      <w:r>
        <w:rPr>
          <w:rFonts w:ascii="Bookman Old Style" w:hAnsi="Bookman Old Style"/>
          <w:sz w:val="22"/>
          <w:szCs w:val="22"/>
        </w:rPr>
        <w:t xml:space="preserve">, 135 State House Station, Augusta, ME 04333. Telephone: (207) 287-4179. Email: </w:t>
      </w:r>
      <w:hyperlink r:id="rId6" w:history="1">
        <w:r w:rsidR="00102E89" w:rsidRPr="0064062D">
          <w:rPr>
            <w:rStyle w:val="Hyperlink"/>
            <w:rFonts w:ascii="Bookman Old Style" w:hAnsi="Bookman Old Style"/>
            <w:sz w:val="22"/>
            <w:szCs w:val="22"/>
          </w:rPr>
          <w:t>Jonathan.Wayne@Maine.gov</w:t>
        </w:r>
      </w:hyperlink>
      <w:r>
        <w:rPr>
          <w:rFonts w:ascii="Bookman Old Style" w:hAnsi="Bookman Old Style"/>
          <w:sz w:val="22"/>
          <w:szCs w:val="22"/>
        </w:rPr>
        <w:t>.</w:t>
      </w:r>
    </w:p>
    <w:p w:rsidR="003E6D05" w:rsidRPr="002045D6" w:rsidRDefault="003E6D05">
      <w:pPr>
        <w:rPr>
          <w:rFonts w:ascii="Bookman Old Style" w:hAnsi="Bookman Old Style"/>
          <w:sz w:val="22"/>
          <w:szCs w:val="22"/>
        </w:rPr>
      </w:pPr>
    </w:p>
    <w:p w:rsidR="003E6D05" w:rsidRPr="002045D6" w:rsidRDefault="002045D6">
      <w:pPr>
        <w:rPr>
          <w:rFonts w:ascii="Bookman Old Style" w:hAnsi="Bookman Old Style"/>
          <w:sz w:val="22"/>
          <w:szCs w:val="22"/>
        </w:rPr>
      </w:pPr>
      <w:r w:rsidRPr="002045D6">
        <w:rPr>
          <w:rFonts w:ascii="Bookman Old Style" w:hAnsi="Bookman Old Style"/>
          <w:b/>
          <w:sz w:val="22"/>
          <w:szCs w:val="22"/>
        </w:rPr>
        <w:t>EMERGENCY RULES ADOPTED SINCE THE LAST REGULATORY AGENDA</w:t>
      </w:r>
      <w:r w:rsidR="003E6D05" w:rsidRPr="002045D6">
        <w:rPr>
          <w:rFonts w:ascii="Bookman Old Style" w:hAnsi="Bookman Old Style"/>
          <w:sz w:val="22"/>
          <w:szCs w:val="22"/>
        </w:rPr>
        <w:t>:</w:t>
      </w:r>
      <w:r>
        <w:rPr>
          <w:rFonts w:ascii="Bookman Old Style" w:hAnsi="Bookman Old Style"/>
          <w:sz w:val="22"/>
          <w:szCs w:val="22"/>
        </w:rPr>
        <w:t xml:space="preserve"> </w:t>
      </w:r>
      <w:r w:rsidR="002F6FC6" w:rsidRPr="002045D6">
        <w:rPr>
          <w:rFonts w:ascii="Bookman Old Style" w:hAnsi="Bookman Old Style"/>
          <w:sz w:val="22"/>
          <w:szCs w:val="22"/>
        </w:rPr>
        <w:t>None</w:t>
      </w:r>
    </w:p>
    <w:p w:rsidR="002F6FC6" w:rsidRPr="002045D6" w:rsidRDefault="002F6FC6">
      <w:pPr>
        <w:rPr>
          <w:rFonts w:ascii="Bookman Old Style" w:hAnsi="Bookman Old Style"/>
          <w:sz w:val="22"/>
          <w:szCs w:val="22"/>
        </w:rPr>
      </w:pPr>
    </w:p>
    <w:p w:rsidR="002F6FC6" w:rsidRPr="002045D6" w:rsidRDefault="00272BF2">
      <w:pPr>
        <w:rPr>
          <w:rFonts w:ascii="Bookman Old Style" w:hAnsi="Bookman Old Style"/>
          <w:sz w:val="22"/>
          <w:szCs w:val="22"/>
        </w:rPr>
      </w:pPr>
      <w:r>
        <w:rPr>
          <w:rFonts w:ascii="Bookman Old Style" w:hAnsi="Bookman Old Style"/>
          <w:b/>
          <w:sz w:val="22"/>
          <w:szCs w:val="22"/>
        </w:rPr>
        <w:t>20</w:t>
      </w:r>
      <w:r w:rsidR="00AD71FD">
        <w:rPr>
          <w:rFonts w:ascii="Bookman Old Style" w:hAnsi="Bookman Old Style"/>
          <w:b/>
          <w:sz w:val="22"/>
          <w:szCs w:val="22"/>
        </w:rPr>
        <w:t>20</w:t>
      </w:r>
      <w:r>
        <w:rPr>
          <w:rFonts w:ascii="Bookman Old Style" w:hAnsi="Bookman Old Style"/>
          <w:b/>
          <w:sz w:val="22"/>
          <w:szCs w:val="22"/>
        </w:rPr>
        <w:t>-20</w:t>
      </w:r>
      <w:r w:rsidR="00AD71FD">
        <w:rPr>
          <w:rFonts w:ascii="Bookman Old Style" w:hAnsi="Bookman Old Style"/>
          <w:b/>
          <w:sz w:val="22"/>
          <w:szCs w:val="22"/>
        </w:rPr>
        <w:t>21</w:t>
      </w:r>
      <w:r w:rsidR="002045D6" w:rsidRPr="002045D6">
        <w:rPr>
          <w:rFonts w:ascii="Bookman Old Style" w:hAnsi="Bookman Old Style"/>
          <w:b/>
          <w:sz w:val="22"/>
          <w:szCs w:val="22"/>
        </w:rPr>
        <w:t xml:space="preserve"> RULEMAKING ACTIVITY</w:t>
      </w:r>
      <w:r w:rsidR="002F6FC6" w:rsidRPr="002045D6">
        <w:rPr>
          <w:rFonts w:ascii="Bookman Old Style" w:hAnsi="Bookman Old Style"/>
          <w:sz w:val="22"/>
          <w:szCs w:val="22"/>
        </w:rPr>
        <w:t>:</w:t>
      </w:r>
    </w:p>
    <w:p w:rsidR="002A5229" w:rsidRDefault="002A5229" w:rsidP="002A5229">
      <w:pPr>
        <w:rPr>
          <w:rFonts w:ascii="Bookman Old Style" w:hAnsi="Bookman Old Style"/>
          <w:b/>
          <w:bCs/>
          <w:sz w:val="22"/>
          <w:szCs w:val="22"/>
        </w:rPr>
      </w:pPr>
    </w:p>
    <w:p w:rsidR="002A5229" w:rsidRPr="002A5229" w:rsidRDefault="002A5229" w:rsidP="002A5229">
      <w:pPr>
        <w:rPr>
          <w:rFonts w:ascii="Bookman Old Style" w:hAnsi="Bookman Old Style"/>
          <w:b/>
          <w:sz w:val="22"/>
          <w:szCs w:val="22"/>
        </w:rPr>
      </w:pPr>
      <w:r w:rsidRPr="002A5229">
        <w:rPr>
          <w:rFonts w:ascii="Bookman Old Style" w:hAnsi="Bookman Old Style"/>
          <w:b/>
          <w:bCs/>
          <w:sz w:val="22"/>
          <w:szCs w:val="22"/>
        </w:rPr>
        <w:t xml:space="preserve">CHAPTER 1: </w:t>
      </w:r>
      <w:r w:rsidR="00320997">
        <w:rPr>
          <w:rFonts w:ascii="Bookman Old Style" w:hAnsi="Bookman Old Style"/>
          <w:b/>
          <w:sz w:val="22"/>
          <w:szCs w:val="22"/>
        </w:rPr>
        <w:t>Procedures</w:t>
      </w:r>
    </w:p>
    <w:p w:rsidR="002A5229" w:rsidRPr="002045D6" w:rsidRDefault="002A5229" w:rsidP="002A5229">
      <w:pPr>
        <w:rPr>
          <w:rFonts w:ascii="Bookman Old Style" w:hAnsi="Bookman Old Style"/>
          <w:sz w:val="22"/>
          <w:szCs w:val="22"/>
        </w:rPr>
      </w:pPr>
      <w:r w:rsidRPr="002045D6">
        <w:rPr>
          <w:rFonts w:ascii="Bookman Old Style" w:hAnsi="Bookman Old Style"/>
          <w:sz w:val="22"/>
          <w:szCs w:val="22"/>
        </w:rPr>
        <w:t>STATUTORY AUTHORITY:</w:t>
      </w:r>
      <w:r>
        <w:rPr>
          <w:rFonts w:ascii="Bookman Old Style" w:hAnsi="Bookman Old Style"/>
          <w:sz w:val="22"/>
          <w:szCs w:val="22"/>
        </w:rPr>
        <w:t xml:space="preserve"> </w:t>
      </w:r>
      <w:r w:rsidRPr="002A5229">
        <w:rPr>
          <w:rFonts w:ascii="Bookman Old Style" w:hAnsi="Bookman Old Style"/>
          <w:sz w:val="22"/>
          <w:szCs w:val="22"/>
        </w:rPr>
        <w:t xml:space="preserve">1 M.R.S.A. §1003(1); </w:t>
      </w:r>
      <w:r w:rsidR="00320997">
        <w:rPr>
          <w:rFonts w:ascii="Bookman Old Style" w:hAnsi="Bookman Old Style"/>
          <w:sz w:val="22"/>
          <w:szCs w:val="22"/>
        </w:rPr>
        <w:t>1 M.R.S.A. §1016-G(4); 5</w:t>
      </w:r>
      <w:r w:rsidR="007B1663">
        <w:rPr>
          <w:rFonts w:ascii="Bookman Old Style" w:hAnsi="Bookman Old Style"/>
          <w:sz w:val="22"/>
          <w:szCs w:val="22"/>
        </w:rPr>
        <w:t xml:space="preserve"> M.R.S.A. §19(5</w:t>
      </w:r>
      <w:r w:rsidR="007B1663" w:rsidRPr="002A5229">
        <w:rPr>
          <w:rFonts w:ascii="Bookman Old Style" w:hAnsi="Bookman Old Style"/>
          <w:sz w:val="22"/>
          <w:szCs w:val="22"/>
        </w:rPr>
        <w:t>);</w:t>
      </w:r>
      <w:r w:rsidR="00320997">
        <w:rPr>
          <w:rFonts w:ascii="Bookman Old Style" w:hAnsi="Bookman Old Style"/>
          <w:sz w:val="22"/>
          <w:szCs w:val="22"/>
        </w:rPr>
        <w:t xml:space="preserve"> </w:t>
      </w:r>
      <w:r w:rsidRPr="002A5229">
        <w:rPr>
          <w:rFonts w:ascii="Bookman Old Style" w:hAnsi="Bookman Old Style"/>
          <w:sz w:val="22"/>
          <w:szCs w:val="22"/>
        </w:rPr>
        <w:t>21-A M.R.S.A. §1017(6); 21-A M.R.S.A. §1019-B.</w:t>
      </w:r>
    </w:p>
    <w:p w:rsidR="002A5229" w:rsidRDefault="002A5229" w:rsidP="002A5229">
      <w:pPr>
        <w:rPr>
          <w:rFonts w:ascii="Bookman Old Style" w:hAnsi="Bookman Old Style"/>
          <w:sz w:val="22"/>
          <w:szCs w:val="22"/>
        </w:rPr>
      </w:pPr>
      <w:r w:rsidRPr="002045D6">
        <w:rPr>
          <w:rFonts w:ascii="Bookman Old Style" w:hAnsi="Bookman Old Style"/>
          <w:sz w:val="22"/>
          <w:szCs w:val="22"/>
        </w:rPr>
        <w:t>PURPOSE:</w:t>
      </w:r>
      <w:r>
        <w:rPr>
          <w:rFonts w:ascii="Bookman Old Style" w:hAnsi="Bookman Old Style"/>
          <w:sz w:val="22"/>
          <w:szCs w:val="22"/>
        </w:rPr>
        <w:t xml:space="preserve"> </w:t>
      </w:r>
      <w:r w:rsidRPr="002A5229">
        <w:rPr>
          <w:rFonts w:ascii="Bookman Old Style" w:hAnsi="Bookman Old Style"/>
          <w:sz w:val="22"/>
          <w:szCs w:val="22"/>
        </w:rPr>
        <w:t>Chapter 1 describes the nature and operation of the Commission and establishes procedures by which its actions will be governed. These rules include provisions on legislative ethics complaints, campaign finance reporting, lobbyist disclosure procedures, investigations by the Commission, accelerated reporting schedules, independent expenditures, ballot question campaign activity by persons other than PACs, and lobbyist contributions to Legislators.</w:t>
      </w:r>
    </w:p>
    <w:p w:rsidR="00AD71FD" w:rsidRPr="002045D6" w:rsidRDefault="00AD71FD" w:rsidP="009D6226">
      <w:pPr>
        <w:ind w:right="-180"/>
        <w:rPr>
          <w:rFonts w:ascii="Bookman Old Style" w:hAnsi="Bookman Old Style"/>
          <w:sz w:val="22"/>
          <w:szCs w:val="22"/>
        </w:rPr>
      </w:pPr>
      <w:r>
        <w:rPr>
          <w:rFonts w:ascii="Bookman Old Style" w:hAnsi="Bookman Old Style"/>
          <w:sz w:val="22"/>
          <w:szCs w:val="22"/>
        </w:rPr>
        <w:t>The Commission does not anticipate amending Chapter 1 of its rules during 2020-</w:t>
      </w:r>
      <w:r w:rsidR="009D6226">
        <w:rPr>
          <w:rFonts w:ascii="Bookman Old Style" w:hAnsi="Bookman Old Style"/>
          <w:sz w:val="22"/>
          <w:szCs w:val="22"/>
        </w:rPr>
        <w:t>2021</w:t>
      </w:r>
      <w:r>
        <w:rPr>
          <w:rFonts w:ascii="Bookman Old Style" w:hAnsi="Bookman Old Style"/>
          <w:sz w:val="22"/>
          <w:szCs w:val="22"/>
        </w:rPr>
        <w:t>.</w:t>
      </w:r>
    </w:p>
    <w:p w:rsidR="002A5229" w:rsidRPr="002045D6" w:rsidRDefault="002A5229" w:rsidP="002A5229">
      <w:pPr>
        <w:rPr>
          <w:rFonts w:ascii="Bookman Old Style" w:hAnsi="Bookman Old Style"/>
          <w:sz w:val="22"/>
          <w:szCs w:val="22"/>
        </w:rPr>
      </w:pPr>
      <w:r w:rsidRPr="002045D6">
        <w:rPr>
          <w:rFonts w:ascii="Bookman Old Style" w:hAnsi="Bookman Old Style"/>
          <w:sz w:val="22"/>
          <w:szCs w:val="22"/>
        </w:rPr>
        <w:t>EXPECTED SCHEDULE FOR ADOPTION:</w:t>
      </w:r>
      <w:r>
        <w:rPr>
          <w:rFonts w:ascii="Bookman Old Style" w:hAnsi="Bookman Old Style"/>
          <w:sz w:val="22"/>
          <w:szCs w:val="22"/>
        </w:rPr>
        <w:t xml:space="preserve"> </w:t>
      </w:r>
      <w:r w:rsidR="00AD71FD">
        <w:rPr>
          <w:rFonts w:ascii="Bookman Old Style" w:hAnsi="Bookman Old Style"/>
          <w:sz w:val="22"/>
          <w:szCs w:val="22"/>
        </w:rPr>
        <w:t>N/A</w:t>
      </w:r>
      <w:r w:rsidRPr="002045D6">
        <w:rPr>
          <w:rFonts w:ascii="Bookman Old Style" w:hAnsi="Bookman Old Style"/>
          <w:sz w:val="22"/>
          <w:szCs w:val="22"/>
        </w:rPr>
        <w:t>.</w:t>
      </w:r>
    </w:p>
    <w:p w:rsidR="002A5229" w:rsidRPr="002045D6" w:rsidRDefault="002A5229" w:rsidP="002A5229">
      <w:pPr>
        <w:rPr>
          <w:rFonts w:ascii="Bookman Old Style" w:hAnsi="Bookman Old Style"/>
          <w:sz w:val="22"/>
          <w:szCs w:val="22"/>
        </w:rPr>
      </w:pPr>
      <w:r w:rsidRPr="002045D6">
        <w:rPr>
          <w:rFonts w:ascii="Bookman Old Style" w:hAnsi="Bookman Old Style"/>
          <w:sz w:val="22"/>
          <w:szCs w:val="22"/>
        </w:rPr>
        <w:t>AFFECTED PARTIES:</w:t>
      </w:r>
      <w:r>
        <w:rPr>
          <w:rFonts w:ascii="Bookman Old Style" w:hAnsi="Bookman Old Style"/>
          <w:sz w:val="22"/>
          <w:szCs w:val="22"/>
        </w:rPr>
        <w:t xml:space="preserve"> </w:t>
      </w:r>
      <w:r w:rsidRPr="002045D6">
        <w:rPr>
          <w:rFonts w:ascii="Bookman Old Style" w:hAnsi="Bookman Old Style"/>
          <w:sz w:val="22"/>
          <w:szCs w:val="22"/>
        </w:rPr>
        <w:t xml:space="preserve">Prospective candidates for </w:t>
      </w:r>
      <w:r>
        <w:rPr>
          <w:rFonts w:ascii="Bookman Old Style" w:hAnsi="Bookman Old Style"/>
          <w:sz w:val="22"/>
          <w:szCs w:val="22"/>
        </w:rPr>
        <w:t xml:space="preserve">state office and political committees that are required to file campaign finance reports with the Commission; lobbyists; legislators and other officials required to file annual statements disclosing their sources of income; and the </w:t>
      </w:r>
      <w:r w:rsidRPr="002045D6">
        <w:rPr>
          <w:rFonts w:ascii="Bookman Old Style" w:hAnsi="Bookman Old Style"/>
          <w:sz w:val="22"/>
          <w:szCs w:val="22"/>
        </w:rPr>
        <w:t>general public.</w:t>
      </w:r>
    </w:p>
    <w:p w:rsidR="002A5229" w:rsidRPr="002045D6" w:rsidRDefault="002A5229" w:rsidP="002A5229">
      <w:pPr>
        <w:rPr>
          <w:rFonts w:ascii="Bookman Old Style" w:hAnsi="Bookman Old Style"/>
          <w:sz w:val="22"/>
          <w:szCs w:val="22"/>
        </w:rPr>
      </w:pPr>
      <w:r w:rsidRPr="002045D6">
        <w:rPr>
          <w:rFonts w:ascii="Bookman Old Style" w:hAnsi="Bookman Old Style"/>
          <w:sz w:val="22"/>
          <w:szCs w:val="22"/>
        </w:rPr>
        <w:t>CONSENSUS-BASED RULE DEVELOPMENT:</w:t>
      </w:r>
      <w:r>
        <w:rPr>
          <w:rFonts w:ascii="Bookman Old Style" w:hAnsi="Bookman Old Style"/>
          <w:sz w:val="22"/>
          <w:szCs w:val="22"/>
        </w:rPr>
        <w:t xml:space="preserve"> </w:t>
      </w:r>
      <w:r w:rsidRPr="002045D6">
        <w:rPr>
          <w:rFonts w:ascii="Bookman Old Style" w:hAnsi="Bookman Old Style"/>
          <w:sz w:val="22"/>
          <w:szCs w:val="22"/>
        </w:rPr>
        <w:t>None expected.</w:t>
      </w:r>
    </w:p>
    <w:p w:rsidR="00270667" w:rsidRPr="002045D6" w:rsidRDefault="00270667" w:rsidP="004134E2">
      <w:pPr>
        <w:rPr>
          <w:rFonts w:ascii="Bookman Old Style" w:hAnsi="Bookman Old Style"/>
          <w:b/>
          <w:bCs/>
          <w:sz w:val="22"/>
          <w:szCs w:val="22"/>
        </w:rPr>
      </w:pPr>
    </w:p>
    <w:p w:rsidR="00FD703A" w:rsidRPr="00320997" w:rsidRDefault="00FD703A" w:rsidP="00FD703A">
      <w:pPr>
        <w:rPr>
          <w:rFonts w:ascii="Bookman Old Style" w:hAnsi="Bookman Old Style"/>
          <w:b/>
          <w:sz w:val="22"/>
          <w:szCs w:val="22"/>
        </w:rPr>
      </w:pPr>
      <w:r w:rsidRPr="00320997">
        <w:rPr>
          <w:rFonts w:ascii="Bookman Old Style" w:hAnsi="Bookman Old Style"/>
          <w:b/>
          <w:bCs/>
          <w:sz w:val="22"/>
          <w:szCs w:val="22"/>
        </w:rPr>
        <w:t>CHAPTER 3:</w:t>
      </w:r>
      <w:r w:rsidR="002045D6" w:rsidRPr="00320997">
        <w:rPr>
          <w:rFonts w:ascii="Bookman Old Style" w:hAnsi="Bookman Old Style"/>
          <w:b/>
          <w:bCs/>
          <w:sz w:val="22"/>
          <w:szCs w:val="22"/>
        </w:rPr>
        <w:t xml:space="preserve"> </w:t>
      </w:r>
      <w:r w:rsidRPr="00320997">
        <w:rPr>
          <w:rFonts w:ascii="Bookman Old Style" w:hAnsi="Bookman Old Style"/>
          <w:b/>
          <w:sz w:val="22"/>
          <w:szCs w:val="22"/>
        </w:rPr>
        <w:t>Maine Clean Election Act and Related Provisions</w:t>
      </w:r>
    </w:p>
    <w:p w:rsidR="00FD703A" w:rsidRPr="002045D6" w:rsidRDefault="00FD703A" w:rsidP="00FD703A">
      <w:pPr>
        <w:rPr>
          <w:rFonts w:ascii="Bookman Old Style" w:hAnsi="Bookman Old Style"/>
          <w:sz w:val="22"/>
          <w:szCs w:val="22"/>
        </w:rPr>
      </w:pPr>
      <w:r w:rsidRPr="002045D6">
        <w:rPr>
          <w:rFonts w:ascii="Bookman Old Style" w:hAnsi="Bookman Old Style"/>
          <w:sz w:val="22"/>
          <w:szCs w:val="22"/>
        </w:rPr>
        <w:t>STATUTORY AUTHORITY:</w:t>
      </w:r>
      <w:r w:rsidR="002045D6">
        <w:rPr>
          <w:rFonts w:ascii="Bookman Old Style" w:hAnsi="Bookman Old Style"/>
          <w:sz w:val="22"/>
          <w:szCs w:val="22"/>
        </w:rPr>
        <w:t xml:space="preserve"> </w:t>
      </w:r>
      <w:r w:rsidR="00763E52">
        <w:rPr>
          <w:rFonts w:ascii="Bookman Old Style" w:hAnsi="Bookman Old Style"/>
          <w:sz w:val="22"/>
          <w:szCs w:val="22"/>
        </w:rPr>
        <w:t>1 M.R.S. §1003; 21-A M.R.S. §</w:t>
      </w:r>
      <w:r w:rsidRPr="002045D6">
        <w:rPr>
          <w:rFonts w:ascii="Bookman Old Style" w:hAnsi="Bookman Old Style"/>
          <w:sz w:val="22"/>
          <w:szCs w:val="22"/>
        </w:rPr>
        <w:t>1126</w:t>
      </w:r>
    </w:p>
    <w:p w:rsidR="00272BF2" w:rsidRDefault="00FD703A" w:rsidP="008040EB">
      <w:pPr>
        <w:rPr>
          <w:rFonts w:ascii="Bookman Old Style" w:hAnsi="Bookman Old Style"/>
          <w:sz w:val="22"/>
          <w:szCs w:val="22"/>
        </w:rPr>
      </w:pPr>
      <w:r w:rsidRPr="002045D6">
        <w:rPr>
          <w:rFonts w:ascii="Bookman Old Style" w:hAnsi="Bookman Old Style"/>
          <w:sz w:val="22"/>
          <w:szCs w:val="22"/>
        </w:rPr>
        <w:t>PURPOSE:</w:t>
      </w:r>
      <w:r w:rsidR="002045D6">
        <w:rPr>
          <w:rFonts w:ascii="Bookman Old Style" w:hAnsi="Bookman Old Style"/>
          <w:sz w:val="22"/>
          <w:szCs w:val="22"/>
        </w:rPr>
        <w:t xml:space="preserve"> </w:t>
      </w:r>
      <w:r w:rsidRPr="002045D6">
        <w:rPr>
          <w:rFonts w:ascii="Bookman Old Style" w:hAnsi="Bookman Old Style"/>
          <w:sz w:val="22"/>
          <w:szCs w:val="22"/>
        </w:rPr>
        <w:t>Chapter 3 establishes procedures to implement the</w:t>
      </w:r>
      <w:r w:rsidRPr="008040EB">
        <w:rPr>
          <w:rFonts w:ascii="Bookman Old Style" w:hAnsi="Bookman Old Style"/>
          <w:sz w:val="22"/>
          <w:szCs w:val="22"/>
        </w:rPr>
        <w:t xml:space="preserve"> </w:t>
      </w:r>
      <w:r w:rsidRPr="009D6226">
        <w:rPr>
          <w:rFonts w:ascii="Bookman Old Style" w:hAnsi="Bookman Old Style"/>
          <w:i/>
          <w:iCs/>
          <w:sz w:val="22"/>
          <w:szCs w:val="22"/>
        </w:rPr>
        <w:t>Maine Clean Election Act</w:t>
      </w:r>
      <w:r w:rsidR="008040EB">
        <w:rPr>
          <w:rFonts w:ascii="Bookman Old Style" w:hAnsi="Bookman Old Style"/>
          <w:sz w:val="22"/>
          <w:szCs w:val="22"/>
        </w:rPr>
        <w:t xml:space="preserve"> (MCEA), which is Title 21-A, Chapter 14 of the </w:t>
      </w:r>
      <w:r w:rsidR="008040EB" w:rsidRPr="009D6226">
        <w:rPr>
          <w:rFonts w:ascii="Bookman Old Style" w:hAnsi="Bookman Old Style"/>
          <w:i/>
          <w:iCs/>
          <w:sz w:val="22"/>
          <w:szCs w:val="22"/>
        </w:rPr>
        <w:t>Maine Revised Statutes</w:t>
      </w:r>
      <w:r w:rsidR="008040EB">
        <w:rPr>
          <w:rFonts w:ascii="Bookman Old Style" w:hAnsi="Bookman Old Style"/>
          <w:sz w:val="22"/>
          <w:szCs w:val="22"/>
        </w:rPr>
        <w:t xml:space="preserve">. </w:t>
      </w:r>
      <w:r w:rsidR="00B6212B">
        <w:rPr>
          <w:rFonts w:ascii="Bookman Old Style" w:hAnsi="Bookman Old Style"/>
          <w:sz w:val="22"/>
          <w:szCs w:val="22"/>
        </w:rPr>
        <w:t xml:space="preserve">Under this law, candidates for Governor and the Legislature may qualify to receive public funds for their political campaigns. </w:t>
      </w:r>
      <w:r w:rsidR="008040EB">
        <w:rPr>
          <w:rFonts w:ascii="Bookman Old Style" w:hAnsi="Bookman Old Style"/>
          <w:sz w:val="22"/>
          <w:szCs w:val="22"/>
        </w:rPr>
        <w:t>To be eligible for MCEA funding, candidates must collect a minimum number of qualifying contributions from registered voters in the electoral division</w:t>
      </w:r>
      <w:r w:rsidR="00AB3E47">
        <w:rPr>
          <w:rFonts w:ascii="Bookman Old Style" w:hAnsi="Bookman Old Style"/>
          <w:sz w:val="22"/>
          <w:szCs w:val="22"/>
        </w:rPr>
        <w:t xml:space="preserve"> for the office sought by the c</w:t>
      </w:r>
      <w:r w:rsidR="00272BF2">
        <w:rPr>
          <w:rFonts w:ascii="Bookman Old Style" w:hAnsi="Bookman Old Style"/>
          <w:sz w:val="22"/>
          <w:szCs w:val="22"/>
        </w:rPr>
        <w:t>andidate.</w:t>
      </w:r>
    </w:p>
    <w:p w:rsidR="00AD71FD" w:rsidRDefault="00AD71FD" w:rsidP="009D6226">
      <w:pPr>
        <w:ind w:right="-180"/>
        <w:rPr>
          <w:rFonts w:ascii="Bookman Old Style" w:hAnsi="Bookman Old Style"/>
          <w:sz w:val="22"/>
          <w:szCs w:val="22"/>
        </w:rPr>
      </w:pPr>
      <w:r w:rsidRPr="002045D6">
        <w:rPr>
          <w:rFonts w:ascii="Bookman Old Style" w:hAnsi="Bookman Old Style"/>
          <w:sz w:val="22"/>
          <w:szCs w:val="22"/>
        </w:rPr>
        <w:t>The Commission may amend its r</w:t>
      </w:r>
      <w:r>
        <w:rPr>
          <w:rFonts w:ascii="Bookman Old Style" w:hAnsi="Bookman Old Style"/>
          <w:sz w:val="22"/>
          <w:szCs w:val="22"/>
        </w:rPr>
        <w:t>ule</w:t>
      </w:r>
      <w:r w:rsidRPr="002045D6">
        <w:rPr>
          <w:rFonts w:ascii="Bookman Old Style" w:hAnsi="Bookman Old Style"/>
          <w:sz w:val="22"/>
          <w:szCs w:val="22"/>
        </w:rPr>
        <w:t xml:space="preserve"> </w:t>
      </w:r>
      <w:r w:rsidR="00916130">
        <w:rPr>
          <w:rFonts w:ascii="Bookman Old Style" w:hAnsi="Bookman Old Style"/>
          <w:sz w:val="22"/>
          <w:szCs w:val="22"/>
        </w:rPr>
        <w:t xml:space="preserve">to </w:t>
      </w:r>
      <w:r>
        <w:rPr>
          <w:rFonts w:ascii="Bookman Old Style" w:hAnsi="Bookman Old Style"/>
          <w:sz w:val="22"/>
          <w:szCs w:val="22"/>
        </w:rPr>
        <w:t xml:space="preserve">clarify whether a candidate who has accepted traditional campaign contributions that do not comply with seed money restrictions may qualify for </w:t>
      </w:r>
      <w:r w:rsidRPr="009D6226">
        <w:rPr>
          <w:rFonts w:ascii="Bookman Old Style" w:hAnsi="Bookman Old Style"/>
          <w:i/>
          <w:iCs/>
          <w:sz w:val="22"/>
          <w:szCs w:val="22"/>
        </w:rPr>
        <w:t>Maine Clean Election Act</w:t>
      </w:r>
      <w:r>
        <w:rPr>
          <w:rFonts w:ascii="Bookman Old Style" w:hAnsi="Bookman Old Style"/>
          <w:sz w:val="22"/>
          <w:szCs w:val="22"/>
        </w:rPr>
        <w:t xml:space="preserve"> funding if they run for a different political office. </w:t>
      </w:r>
    </w:p>
    <w:p w:rsidR="00FD703A" w:rsidRPr="002045D6" w:rsidRDefault="00FD703A" w:rsidP="00FD703A">
      <w:pPr>
        <w:rPr>
          <w:rFonts w:ascii="Bookman Old Style" w:hAnsi="Bookman Old Style"/>
          <w:sz w:val="22"/>
          <w:szCs w:val="22"/>
        </w:rPr>
      </w:pPr>
      <w:r w:rsidRPr="002045D6">
        <w:rPr>
          <w:rFonts w:ascii="Bookman Old Style" w:hAnsi="Bookman Old Style"/>
          <w:sz w:val="22"/>
          <w:szCs w:val="22"/>
        </w:rPr>
        <w:t>EXPECTED SCHEDULE FOR ADOPTION:</w:t>
      </w:r>
      <w:r w:rsidR="002045D6">
        <w:rPr>
          <w:rFonts w:ascii="Bookman Old Style" w:hAnsi="Bookman Old Style"/>
          <w:sz w:val="22"/>
          <w:szCs w:val="22"/>
        </w:rPr>
        <w:t xml:space="preserve"> </w:t>
      </w:r>
      <w:r w:rsidR="005F75EB">
        <w:rPr>
          <w:rFonts w:ascii="Bookman Old Style" w:hAnsi="Bookman Old Style"/>
          <w:sz w:val="22"/>
          <w:szCs w:val="22"/>
        </w:rPr>
        <w:t>b</w:t>
      </w:r>
      <w:bookmarkStart w:id="0" w:name="_GoBack"/>
      <w:bookmarkEnd w:id="0"/>
      <w:r w:rsidR="00AD71FD">
        <w:rPr>
          <w:rFonts w:ascii="Bookman Old Style" w:hAnsi="Bookman Old Style"/>
          <w:sz w:val="22"/>
          <w:szCs w:val="22"/>
        </w:rPr>
        <w:t>y January 2021</w:t>
      </w:r>
      <w:r w:rsidR="00AD71FD" w:rsidRPr="002045D6">
        <w:rPr>
          <w:rFonts w:ascii="Bookman Old Style" w:hAnsi="Bookman Old Style"/>
          <w:sz w:val="22"/>
          <w:szCs w:val="22"/>
        </w:rPr>
        <w:t>.</w:t>
      </w:r>
    </w:p>
    <w:p w:rsidR="00FD703A" w:rsidRPr="002045D6" w:rsidRDefault="00FD703A" w:rsidP="00FD703A">
      <w:pPr>
        <w:rPr>
          <w:rFonts w:ascii="Bookman Old Style" w:hAnsi="Bookman Old Style"/>
          <w:sz w:val="22"/>
          <w:szCs w:val="22"/>
        </w:rPr>
      </w:pPr>
      <w:r w:rsidRPr="002045D6">
        <w:rPr>
          <w:rFonts w:ascii="Bookman Old Style" w:hAnsi="Bookman Old Style"/>
          <w:sz w:val="22"/>
          <w:szCs w:val="22"/>
        </w:rPr>
        <w:t>AFFECTED PARTIES:</w:t>
      </w:r>
      <w:r w:rsidR="002045D6">
        <w:rPr>
          <w:rFonts w:ascii="Bookman Old Style" w:hAnsi="Bookman Old Style"/>
          <w:sz w:val="22"/>
          <w:szCs w:val="22"/>
        </w:rPr>
        <w:t xml:space="preserve"> </w:t>
      </w:r>
      <w:r w:rsidRPr="002045D6">
        <w:rPr>
          <w:rFonts w:ascii="Bookman Old Style" w:hAnsi="Bookman Old Style"/>
          <w:sz w:val="22"/>
          <w:szCs w:val="22"/>
        </w:rPr>
        <w:t>Prospective candidates for the office of Governor, State Senator, or State Representative, and the general public.</w:t>
      </w:r>
    </w:p>
    <w:p w:rsidR="007260F2" w:rsidRPr="002045D6" w:rsidRDefault="00FD703A">
      <w:pPr>
        <w:rPr>
          <w:rFonts w:ascii="Bookman Old Style" w:hAnsi="Bookman Old Style"/>
          <w:b/>
          <w:bCs/>
          <w:sz w:val="22"/>
          <w:szCs w:val="22"/>
        </w:rPr>
      </w:pPr>
      <w:r w:rsidRPr="002045D6">
        <w:rPr>
          <w:rFonts w:ascii="Bookman Old Style" w:hAnsi="Bookman Old Style"/>
          <w:sz w:val="22"/>
          <w:szCs w:val="22"/>
        </w:rPr>
        <w:t>CONSENSUS-BASED RULE DEVELOPMENT:</w:t>
      </w:r>
      <w:r w:rsidR="002045D6">
        <w:rPr>
          <w:rFonts w:ascii="Bookman Old Style" w:hAnsi="Bookman Old Style"/>
          <w:sz w:val="22"/>
          <w:szCs w:val="22"/>
        </w:rPr>
        <w:t xml:space="preserve"> </w:t>
      </w:r>
      <w:r w:rsidRPr="002045D6">
        <w:rPr>
          <w:rFonts w:ascii="Bookman Old Style" w:hAnsi="Bookman Old Style"/>
          <w:sz w:val="22"/>
          <w:szCs w:val="22"/>
        </w:rPr>
        <w:t>None expected.</w:t>
      </w:r>
    </w:p>
    <w:sectPr w:rsidR="007260F2" w:rsidRPr="002045D6" w:rsidSect="006C50DF">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5D6" w:rsidRDefault="002045D6">
      <w:r>
        <w:separator/>
      </w:r>
    </w:p>
  </w:endnote>
  <w:endnote w:type="continuationSeparator" w:id="0">
    <w:p w:rsidR="002045D6" w:rsidRDefault="0020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5D6" w:rsidRDefault="002045D6" w:rsidP="00552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5D6" w:rsidRDefault="00204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5D6" w:rsidRDefault="002045D6" w:rsidP="00552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822">
      <w:rPr>
        <w:rStyle w:val="PageNumber"/>
        <w:noProof/>
      </w:rPr>
      <w:t>2</w:t>
    </w:r>
    <w:r>
      <w:rPr>
        <w:rStyle w:val="PageNumber"/>
      </w:rPr>
      <w:fldChar w:fldCharType="end"/>
    </w:r>
  </w:p>
  <w:p w:rsidR="002045D6" w:rsidRDefault="0020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5D6" w:rsidRDefault="002045D6">
      <w:r>
        <w:separator/>
      </w:r>
    </w:p>
  </w:footnote>
  <w:footnote w:type="continuationSeparator" w:id="0">
    <w:p w:rsidR="002045D6" w:rsidRDefault="0020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D05"/>
    <w:rsid w:val="0001142E"/>
    <w:rsid w:val="00012F89"/>
    <w:rsid w:val="0002249C"/>
    <w:rsid w:val="0003067F"/>
    <w:rsid w:val="00031944"/>
    <w:rsid w:val="000430D8"/>
    <w:rsid w:val="00050E05"/>
    <w:rsid w:val="00053A31"/>
    <w:rsid w:val="00054934"/>
    <w:rsid w:val="00055244"/>
    <w:rsid w:val="00060DD3"/>
    <w:rsid w:val="000934C7"/>
    <w:rsid w:val="000A1D91"/>
    <w:rsid w:val="000A3383"/>
    <w:rsid w:val="000B0CE1"/>
    <w:rsid w:val="000B62F2"/>
    <w:rsid w:val="000C6A92"/>
    <w:rsid w:val="000D2077"/>
    <w:rsid w:val="00102E89"/>
    <w:rsid w:val="0012506D"/>
    <w:rsid w:val="00147CBE"/>
    <w:rsid w:val="00163167"/>
    <w:rsid w:val="001764A9"/>
    <w:rsid w:val="0018339D"/>
    <w:rsid w:val="0019397B"/>
    <w:rsid w:val="0019499C"/>
    <w:rsid w:val="00195ECD"/>
    <w:rsid w:val="001A6225"/>
    <w:rsid w:val="001C0646"/>
    <w:rsid w:val="001C399B"/>
    <w:rsid w:val="002045D6"/>
    <w:rsid w:val="00206C94"/>
    <w:rsid w:val="00243031"/>
    <w:rsid w:val="00270667"/>
    <w:rsid w:val="00272BF2"/>
    <w:rsid w:val="00273D99"/>
    <w:rsid w:val="002A5229"/>
    <w:rsid w:val="002A565D"/>
    <w:rsid w:val="002B2C26"/>
    <w:rsid w:val="002F6FC6"/>
    <w:rsid w:val="0031408E"/>
    <w:rsid w:val="00320997"/>
    <w:rsid w:val="00341043"/>
    <w:rsid w:val="00342A42"/>
    <w:rsid w:val="00343E01"/>
    <w:rsid w:val="00364205"/>
    <w:rsid w:val="003C4B45"/>
    <w:rsid w:val="003D6386"/>
    <w:rsid w:val="003E484D"/>
    <w:rsid w:val="003E6D05"/>
    <w:rsid w:val="003F2235"/>
    <w:rsid w:val="003F6688"/>
    <w:rsid w:val="00407BC5"/>
    <w:rsid w:val="004134E2"/>
    <w:rsid w:val="00415022"/>
    <w:rsid w:val="00415436"/>
    <w:rsid w:val="00483A76"/>
    <w:rsid w:val="004901CD"/>
    <w:rsid w:val="00492A29"/>
    <w:rsid w:val="004D00C2"/>
    <w:rsid w:val="00513806"/>
    <w:rsid w:val="00530BBA"/>
    <w:rsid w:val="00541D25"/>
    <w:rsid w:val="005523B8"/>
    <w:rsid w:val="00567827"/>
    <w:rsid w:val="005A77E8"/>
    <w:rsid w:val="005E2959"/>
    <w:rsid w:val="005E4AE4"/>
    <w:rsid w:val="005F75EB"/>
    <w:rsid w:val="00644F90"/>
    <w:rsid w:val="006504FB"/>
    <w:rsid w:val="00682C3B"/>
    <w:rsid w:val="006C1D31"/>
    <w:rsid w:val="006C4D5F"/>
    <w:rsid w:val="006C50DF"/>
    <w:rsid w:val="006C5236"/>
    <w:rsid w:val="006C56B3"/>
    <w:rsid w:val="006E07F6"/>
    <w:rsid w:val="006E398C"/>
    <w:rsid w:val="006F69B1"/>
    <w:rsid w:val="0070777D"/>
    <w:rsid w:val="0071316A"/>
    <w:rsid w:val="007260F2"/>
    <w:rsid w:val="00730AFD"/>
    <w:rsid w:val="0075239A"/>
    <w:rsid w:val="00752941"/>
    <w:rsid w:val="00761D05"/>
    <w:rsid w:val="00763E52"/>
    <w:rsid w:val="0076412F"/>
    <w:rsid w:val="007808DA"/>
    <w:rsid w:val="00785CB3"/>
    <w:rsid w:val="007B05C1"/>
    <w:rsid w:val="007B1663"/>
    <w:rsid w:val="007F142E"/>
    <w:rsid w:val="008040EB"/>
    <w:rsid w:val="00824FFF"/>
    <w:rsid w:val="00826DEE"/>
    <w:rsid w:val="00856361"/>
    <w:rsid w:val="00871C2B"/>
    <w:rsid w:val="008A777D"/>
    <w:rsid w:val="008B6FDD"/>
    <w:rsid w:val="008F14DC"/>
    <w:rsid w:val="008F6D37"/>
    <w:rsid w:val="009021D9"/>
    <w:rsid w:val="00916130"/>
    <w:rsid w:val="0093736E"/>
    <w:rsid w:val="00961168"/>
    <w:rsid w:val="009905E2"/>
    <w:rsid w:val="009A4B27"/>
    <w:rsid w:val="009C2822"/>
    <w:rsid w:val="009D6226"/>
    <w:rsid w:val="009D74F6"/>
    <w:rsid w:val="009F0437"/>
    <w:rsid w:val="00A4412B"/>
    <w:rsid w:val="00A80C2E"/>
    <w:rsid w:val="00A820DE"/>
    <w:rsid w:val="00A850DC"/>
    <w:rsid w:val="00A8565D"/>
    <w:rsid w:val="00A930A8"/>
    <w:rsid w:val="00AB0D90"/>
    <w:rsid w:val="00AB3E47"/>
    <w:rsid w:val="00AD71FD"/>
    <w:rsid w:val="00B02BF3"/>
    <w:rsid w:val="00B045FE"/>
    <w:rsid w:val="00B10B7F"/>
    <w:rsid w:val="00B213A4"/>
    <w:rsid w:val="00B30749"/>
    <w:rsid w:val="00B36E53"/>
    <w:rsid w:val="00B541EB"/>
    <w:rsid w:val="00B56047"/>
    <w:rsid w:val="00B6212B"/>
    <w:rsid w:val="00B66B10"/>
    <w:rsid w:val="00B77EBC"/>
    <w:rsid w:val="00B9493C"/>
    <w:rsid w:val="00BA39F7"/>
    <w:rsid w:val="00BB1F41"/>
    <w:rsid w:val="00BB672E"/>
    <w:rsid w:val="00C04BBD"/>
    <w:rsid w:val="00C366BC"/>
    <w:rsid w:val="00C6159B"/>
    <w:rsid w:val="00CA0F98"/>
    <w:rsid w:val="00CA1087"/>
    <w:rsid w:val="00CB4DA0"/>
    <w:rsid w:val="00CC3B6E"/>
    <w:rsid w:val="00CE74E1"/>
    <w:rsid w:val="00CF245D"/>
    <w:rsid w:val="00D040E7"/>
    <w:rsid w:val="00D37039"/>
    <w:rsid w:val="00DD741F"/>
    <w:rsid w:val="00DF5EBE"/>
    <w:rsid w:val="00E26474"/>
    <w:rsid w:val="00E4595C"/>
    <w:rsid w:val="00E47A68"/>
    <w:rsid w:val="00EA3924"/>
    <w:rsid w:val="00EA476A"/>
    <w:rsid w:val="00EB4482"/>
    <w:rsid w:val="00EB6B67"/>
    <w:rsid w:val="00F135D4"/>
    <w:rsid w:val="00F159AF"/>
    <w:rsid w:val="00F22406"/>
    <w:rsid w:val="00F50F66"/>
    <w:rsid w:val="00F63303"/>
    <w:rsid w:val="00F648A4"/>
    <w:rsid w:val="00F857EC"/>
    <w:rsid w:val="00FA3494"/>
    <w:rsid w:val="00FB0F00"/>
    <w:rsid w:val="00FD2B88"/>
    <w:rsid w:val="00FD703A"/>
    <w:rsid w:val="00FF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789F3"/>
  <w15:docId w15:val="{6A8928A3-AA69-4F13-ABFA-8B4509F9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4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361"/>
    <w:pPr>
      <w:tabs>
        <w:tab w:val="center" w:pos="4320"/>
        <w:tab w:val="right" w:pos="8640"/>
      </w:tabs>
    </w:pPr>
  </w:style>
  <w:style w:type="paragraph" w:styleId="Footer">
    <w:name w:val="footer"/>
    <w:basedOn w:val="Normal"/>
    <w:rsid w:val="00856361"/>
    <w:pPr>
      <w:tabs>
        <w:tab w:val="center" w:pos="4320"/>
        <w:tab w:val="right" w:pos="8640"/>
      </w:tabs>
    </w:pPr>
  </w:style>
  <w:style w:type="paragraph" w:styleId="BalloonText">
    <w:name w:val="Balloon Text"/>
    <w:basedOn w:val="Normal"/>
    <w:semiHidden/>
    <w:rsid w:val="006C50DF"/>
    <w:rPr>
      <w:rFonts w:ascii="Tahoma" w:hAnsi="Tahoma" w:cs="Tahoma"/>
      <w:sz w:val="16"/>
      <w:szCs w:val="16"/>
    </w:rPr>
  </w:style>
  <w:style w:type="character" w:styleId="PageNumber">
    <w:name w:val="page number"/>
    <w:basedOn w:val="DefaultParagraphFont"/>
    <w:rsid w:val="002A565D"/>
  </w:style>
  <w:style w:type="paragraph" w:customStyle="1" w:styleId="subsec">
    <w:name w:val="subsec"/>
    <w:basedOn w:val="Normal"/>
    <w:link w:val="subsecChar"/>
    <w:uiPriority w:val="99"/>
    <w:rsid w:val="00DD741F"/>
    <w:pPr>
      <w:tabs>
        <w:tab w:val="left" w:pos="720"/>
        <w:tab w:val="decimal" w:pos="1440"/>
        <w:tab w:val="decimal" w:pos="2160"/>
        <w:tab w:val="decimal" w:pos="2880"/>
        <w:tab w:val="decimal" w:pos="5760"/>
        <w:tab w:val="decimal" w:pos="7920"/>
      </w:tabs>
      <w:overflowPunct w:val="0"/>
      <w:autoSpaceDE w:val="0"/>
      <w:autoSpaceDN w:val="0"/>
      <w:adjustRightInd w:val="0"/>
      <w:spacing w:after="120"/>
      <w:ind w:right="440" w:firstLine="320"/>
      <w:textAlignment w:val="baseline"/>
    </w:pPr>
    <w:rPr>
      <w:rFonts w:ascii="Century Schoolbook" w:hAnsi="Century Schoolbook"/>
      <w:szCs w:val="20"/>
    </w:rPr>
  </w:style>
  <w:style w:type="character" w:customStyle="1" w:styleId="subsecChar">
    <w:name w:val="subsec Char"/>
    <w:basedOn w:val="DefaultParagraphFont"/>
    <w:link w:val="subsec"/>
    <w:uiPriority w:val="99"/>
    <w:locked/>
    <w:rsid w:val="00DD741F"/>
    <w:rPr>
      <w:rFonts w:ascii="Century Schoolbook" w:hAnsi="Century Schoolbook"/>
      <w:sz w:val="24"/>
    </w:rPr>
  </w:style>
  <w:style w:type="character" w:styleId="Hyperlink">
    <w:name w:val="Hyperlink"/>
    <w:basedOn w:val="DefaultParagraphFont"/>
    <w:rsid w:val="002045D6"/>
    <w:rPr>
      <w:color w:val="0000FF" w:themeColor="hyperlink"/>
      <w:u w:val="single"/>
    </w:rPr>
  </w:style>
  <w:style w:type="character" w:styleId="Mention">
    <w:name w:val="Mention"/>
    <w:basedOn w:val="DefaultParagraphFont"/>
    <w:uiPriority w:val="99"/>
    <w:semiHidden/>
    <w:unhideWhenUsed/>
    <w:rsid w:val="00A930A8"/>
    <w:rPr>
      <w:color w:val="2B579A"/>
      <w:shd w:val="clear" w:color="auto" w:fill="E6E6E6"/>
    </w:rPr>
  </w:style>
  <w:style w:type="character" w:styleId="UnresolvedMention">
    <w:name w:val="Unresolved Mention"/>
    <w:basedOn w:val="DefaultParagraphFont"/>
    <w:uiPriority w:val="99"/>
    <w:semiHidden/>
    <w:unhideWhenUsed/>
    <w:rsid w:val="0010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Wayne@Main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State of Maine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creator>Paul Lavin</dc:creator>
  <cp:lastModifiedBy>Wismer, Don</cp:lastModifiedBy>
  <cp:revision>6</cp:revision>
  <cp:lastPrinted>2019-01-11T19:57:00Z</cp:lastPrinted>
  <dcterms:created xsi:type="dcterms:W3CDTF">2020-12-03T18:39:00Z</dcterms:created>
  <dcterms:modified xsi:type="dcterms:W3CDTF">2020-12-03T18:44:00Z</dcterms:modified>
</cp:coreProperties>
</file>