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72" w:rsidRPr="00296D6D" w:rsidRDefault="00296D6D" w:rsidP="00AB14D3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02-658</w:t>
      </w:r>
    </w:p>
    <w:p w:rsidR="00296D6D" w:rsidRPr="00296D6D" w:rsidRDefault="00296D6D" w:rsidP="00AB14D3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Maine Fuel Board</w:t>
      </w:r>
    </w:p>
    <w:p w:rsidR="005F71EC" w:rsidRPr="00296D6D" w:rsidRDefault="005F71EC" w:rsidP="00AB14D3">
      <w:pPr>
        <w:pStyle w:val="DefaultText"/>
        <w:ind w:left="-540" w:right="-720"/>
        <w:jc w:val="center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>Maine Administrative Procedure Act</w:t>
      </w:r>
    </w:p>
    <w:p w:rsidR="005F71EC" w:rsidRPr="00296D6D" w:rsidRDefault="00A75D66" w:rsidP="00AB14D3">
      <w:pPr>
        <w:pStyle w:val="DefaultText"/>
        <w:ind w:left="-540" w:right="-7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D30C1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976C1B">
        <w:rPr>
          <w:rFonts w:ascii="Bookman Old Style" w:hAnsi="Bookman Old Style"/>
          <w:sz w:val="22"/>
          <w:szCs w:val="22"/>
        </w:rPr>
        <w:t>2</w:t>
      </w:r>
      <w:r w:rsidR="00D30C18">
        <w:rPr>
          <w:rFonts w:ascii="Bookman Old Style" w:hAnsi="Bookman Old Style"/>
          <w:sz w:val="22"/>
          <w:szCs w:val="22"/>
        </w:rPr>
        <w:t>1</w:t>
      </w:r>
      <w:r w:rsidR="005F71EC" w:rsidRPr="00296D6D">
        <w:rPr>
          <w:rFonts w:ascii="Bookman Old Style" w:hAnsi="Bookman Old Style"/>
          <w:sz w:val="22"/>
          <w:szCs w:val="22"/>
        </w:rPr>
        <w:t xml:space="preserve"> Regulatory Agenda</w:t>
      </w:r>
    </w:p>
    <w:p w:rsidR="005F71EC" w:rsidRDefault="005F71EC" w:rsidP="00296D6D">
      <w:pPr>
        <w:jc w:val="center"/>
        <w:rPr>
          <w:rFonts w:ascii="Bookman Old Style" w:hAnsi="Bookman Old Style"/>
          <w:sz w:val="22"/>
          <w:szCs w:val="22"/>
        </w:rPr>
      </w:pPr>
    </w:p>
    <w:p w:rsidR="00296D6D" w:rsidRPr="00296D6D" w:rsidRDefault="00296D6D" w:rsidP="00296D6D">
      <w:pPr>
        <w:jc w:val="center"/>
        <w:rPr>
          <w:rFonts w:ascii="Bookman Old Style" w:hAnsi="Bookman Old Style"/>
          <w:sz w:val="22"/>
          <w:szCs w:val="22"/>
        </w:rPr>
      </w:pP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296D6D">
        <w:rPr>
          <w:rFonts w:ascii="Bookman Old Style" w:hAnsi="Bookman Old Style"/>
          <w:b/>
          <w:sz w:val="22"/>
          <w:szCs w:val="22"/>
        </w:rPr>
        <w:t>02-</w:t>
      </w:r>
      <w:r w:rsidR="00296D6D" w:rsidRPr="00296D6D">
        <w:rPr>
          <w:rFonts w:ascii="Bookman Old Style" w:hAnsi="Bookman Old Style"/>
          <w:b/>
          <w:sz w:val="22"/>
          <w:szCs w:val="22"/>
        </w:rPr>
        <w:t>658</w:t>
      </w: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z w:val="22"/>
          <w:szCs w:val="22"/>
        </w:rPr>
        <w:t>AGENCY NAME: Department of Professional and Financial Regulation</w:t>
      </w:r>
      <w:r w:rsidR="00296D6D">
        <w:rPr>
          <w:rFonts w:ascii="Bookman Old Style" w:hAnsi="Bookman Old Style"/>
          <w:sz w:val="22"/>
          <w:szCs w:val="22"/>
        </w:rPr>
        <w:t xml:space="preserve">, </w:t>
      </w:r>
      <w:r w:rsidRPr="00296D6D">
        <w:rPr>
          <w:rFonts w:ascii="Bookman Old Style" w:hAnsi="Bookman Old Style"/>
          <w:sz w:val="22"/>
          <w:szCs w:val="22"/>
        </w:rPr>
        <w:t>Office of Professional and Occupational Regulation</w:t>
      </w:r>
      <w:r w:rsidR="00296D6D">
        <w:rPr>
          <w:rFonts w:ascii="Bookman Old Style" w:hAnsi="Bookman Old Style"/>
          <w:sz w:val="22"/>
          <w:szCs w:val="22"/>
        </w:rPr>
        <w:t xml:space="preserve">, </w:t>
      </w:r>
      <w:r w:rsidRPr="00296D6D">
        <w:rPr>
          <w:rFonts w:ascii="Bookman Old Style" w:hAnsi="Bookman Old Style"/>
          <w:b/>
          <w:sz w:val="22"/>
          <w:szCs w:val="22"/>
        </w:rPr>
        <w:t>Maine Fuel Board</w:t>
      </w:r>
    </w:p>
    <w:p w:rsidR="005F71EC" w:rsidRPr="00296D6D" w:rsidRDefault="005F71EC" w:rsidP="00296D6D">
      <w:pPr>
        <w:rPr>
          <w:rFonts w:ascii="Bookman Old Style" w:hAnsi="Bookman Old Style"/>
          <w:sz w:val="22"/>
          <w:szCs w:val="22"/>
        </w:rPr>
      </w:pPr>
    </w:p>
    <w:p w:rsidR="008A29EC" w:rsidRPr="00C95EA9" w:rsidRDefault="008A29EC" w:rsidP="008A29EC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Board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>
        <w:rPr>
          <w:rFonts w:ascii="Bookman Old Style" w:hAnsi="Bookman Old Style"/>
          <w:sz w:val="22"/>
          <w:szCs w:val="22"/>
        </w:rPr>
        <w:t>,</w:t>
      </w:r>
      <w:r w:rsidRPr="00C95EA9">
        <w:rPr>
          <w:rFonts w:ascii="Bookman Old Style" w:hAnsi="Bookman Old Style"/>
          <w:sz w:val="22"/>
          <w:szCs w:val="22"/>
        </w:rPr>
        <w:t xml:space="preserve"> 207/624-8605</w:t>
      </w:r>
      <w:r>
        <w:rPr>
          <w:rFonts w:ascii="Bookman Old Style" w:hAnsi="Bookman Old Style"/>
          <w:sz w:val="22"/>
          <w:szCs w:val="22"/>
        </w:rPr>
        <w:t>,</w:t>
      </w:r>
      <w:r w:rsidRPr="00C95EA9">
        <w:rPr>
          <w:rFonts w:ascii="Bookman Old Style" w:hAnsi="Bookman Old Style"/>
          <w:sz w:val="22"/>
          <w:szCs w:val="22"/>
        </w:rPr>
        <w:t xml:space="preserve"> catherine.m.carroll@maine.gov</w:t>
      </w:r>
    </w:p>
    <w:p w:rsidR="005F71EC" w:rsidRPr="00296D6D" w:rsidRDefault="005F71E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1C6572" w:rsidRPr="00296D6D" w:rsidRDefault="001C6572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296D6D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5D6929" w:rsidRPr="00296D6D">
        <w:rPr>
          <w:rFonts w:ascii="Bookman Old Style" w:hAnsi="Bookman Old Style"/>
          <w:spacing w:val="-3"/>
          <w:sz w:val="22"/>
          <w:szCs w:val="22"/>
        </w:rPr>
        <w:t xml:space="preserve"> N</w:t>
      </w:r>
      <w:r w:rsidR="00296D6D">
        <w:rPr>
          <w:rFonts w:ascii="Bookman Old Style" w:hAnsi="Bookman Old Style"/>
          <w:spacing w:val="-3"/>
          <w:sz w:val="22"/>
          <w:szCs w:val="22"/>
        </w:rPr>
        <w:t>one</w:t>
      </w:r>
      <w:r w:rsidR="00AB14D3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296D6D" w:rsidRDefault="001C6572" w:rsidP="00296D6D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96D6D" w:rsidRDefault="008F4E0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75D66">
        <w:rPr>
          <w:rFonts w:ascii="Bookman Old Style" w:hAnsi="Bookman Old Style"/>
          <w:b/>
          <w:spacing w:val="-3"/>
          <w:sz w:val="22"/>
          <w:szCs w:val="22"/>
        </w:rPr>
        <w:t>20</w:t>
      </w:r>
      <w:r w:rsidR="00D30C18">
        <w:rPr>
          <w:rFonts w:ascii="Bookman Old Style" w:hAnsi="Bookman Old Style"/>
          <w:b/>
          <w:spacing w:val="-3"/>
          <w:sz w:val="22"/>
          <w:szCs w:val="22"/>
        </w:rPr>
        <w:t>20</w:t>
      </w:r>
      <w:r w:rsidR="00A75D66">
        <w:rPr>
          <w:rFonts w:ascii="Bookman Old Style" w:hAnsi="Bookman Old Style"/>
          <w:b/>
          <w:spacing w:val="-3"/>
          <w:sz w:val="22"/>
          <w:szCs w:val="22"/>
        </w:rPr>
        <w:t>-20</w:t>
      </w:r>
      <w:r w:rsidR="001A593B">
        <w:rPr>
          <w:rFonts w:ascii="Bookman Old Style" w:hAnsi="Bookman Old Style"/>
          <w:b/>
          <w:spacing w:val="-3"/>
          <w:sz w:val="22"/>
          <w:szCs w:val="22"/>
        </w:rPr>
        <w:t>2</w:t>
      </w:r>
      <w:r w:rsidR="00D30C18">
        <w:rPr>
          <w:rFonts w:ascii="Bookman Old Style" w:hAnsi="Bookman Old Style"/>
          <w:b/>
          <w:spacing w:val="-3"/>
          <w:sz w:val="22"/>
          <w:szCs w:val="22"/>
        </w:rPr>
        <w:t>1</w:t>
      </w:r>
      <w:bookmarkStart w:id="0" w:name="_GoBack"/>
      <w:bookmarkEnd w:id="0"/>
      <w:r w:rsidR="001C6572" w:rsidRPr="00296D6D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8A24D7" w:rsidRPr="00296D6D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861617">
        <w:rPr>
          <w:rFonts w:ascii="Bookman Old Style" w:hAnsi="Bookman Old Style"/>
          <w:spacing w:val="-3"/>
          <w:sz w:val="22"/>
          <w:szCs w:val="22"/>
        </w:rPr>
        <w:t>T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he board </w:t>
      </w:r>
      <w:r w:rsidR="00E807B1">
        <w:rPr>
          <w:rFonts w:ascii="Bookman Old Style" w:hAnsi="Bookman Old Style"/>
          <w:spacing w:val="-3"/>
          <w:sz w:val="22"/>
          <w:szCs w:val="22"/>
        </w:rPr>
        <w:t>may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 review and make changes </w:t>
      </w:r>
      <w:r w:rsidR="001A593B">
        <w:rPr>
          <w:rFonts w:ascii="Bookman Old Style" w:hAnsi="Bookman Old Style"/>
          <w:spacing w:val="-3"/>
          <w:sz w:val="22"/>
          <w:szCs w:val="22"/>
        </w:rPr>
        <w:t xml:space="preserve">for consistency with the provisions of </w:t>
      </w:r>
      <w:r w:rsidR="00902109">
        <w:rPr>
          <w:rFonts w:ascii="Bookman Old Style" w:hAnsi="Bookman Old Style"/>
          <w:spacing w:val="-3"/>
          <w:sz w:val="22"/>
          <w:szCs w:val="22"/>
        </w:rPr>
        <w:t>Public Law</w:t>
      </w:r>
      <w:r w:rsidR="000174D9">
        <w:rPr>
          <w:rFonts w:ascii="Bookman Old Style" w:hAnsi="Bookman Old Style"/>
          <w:spacing w:val="-3"/>
          <w:sz w:val="22"/>
          <w:szCs w:val="22"/>
        </w:rPr>
        <w:t xml:space="preserve"> 2015, Chapter</w:t>
      </w:r>
      <w:r w:rsidR="00554E59">
        <w:rPr>
          <w:rFonts w:ascii="Bookman Old Style" w:hAnsi="Bookman Old Style"/>
          <w:spacing w:val="-3"/>
          <w:sz w:val="22"/>
          <w:szCs w:val="22"/>
        </w:rPr>
        <w:t xml:space="preserve"> 169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.  Some of the changes </w:t>
      </w:r>
      <w:r w:rsidR="00E807B1">
        <w:rPr>
          <w:rFonts w:ascii="Bookman Old Style" w:hAnsi="Bookman Old Style"/>
          <w:spacing w:val="-3"/>
          <w:sz w:val="22"/>
          <w:szCs w:val="22"/>
        </w:rPr>
        <w:t xml:space="preserve">would 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distinguish </w:t>
      </w:r>
      <w:r w:rsidR="00AB14D3">
        <w:rPr>
          <w:rFonts w:ascii="Bookman Old Style" w:hAnsi="Bookman Old Style"/>
          <w:spacing w:val="-3"/>
          <w:sz w:val="22"/>
          <w:szCs w:val="22"/>
        </w:rPr>
        <w:t>between an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 oil burner technician and a solid fuel </w:t>
      </w:r>
      <w:r w:rsidR="001A593B">
        <w:rPr>
          <w:rFonts w:ascii="Bookman Old Style" w:hAnsi="Bookman Old Style"/>
          <w:spacing w:val="-3"/>
          <w:sz w:val="22"/>
          <w:szCs w:val="22"/>
        </w:rPr>
        <w:t>technician and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would also </w:t>
      </w:r>
      <w:r w:rsidR="00983D10">
        <w:rPr>
          <w:rFonts w:ascii="Bookman Old Style" w:hAnsi="Bookman Old Style"/>
          <w:spacing w:val="-3"/>
          <w:sz w:val="22"/>
          <w:szCs w:val="22"/>
        </w:rPr>
        <w:t>add a pellet-fired authority to the oil burner technician license.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575259">
        <w:rPr>
          <w:rFonts w:ascii="Bookman Old Style" w:hAnsi="Bookman Old Style"/>
          <w:spacing w:val="-3"/>
          <w:sz w:val="22"/>
          <w:szCs w:val="22"/>
        </w:rPr>
        <w:t>The board will review the requirements for qualifying for examination for a</w:t>
      </w:r>
      <w:r w:rsidR="001A593B">
        <w:rPr>
          <w:rFonts w:ascii="Bookman Old Style" w:hAnsi="Bookman Old Style"/>
          <w:spacing w:val="-3"/>
          <w:sz w:val="22"/>
          <w:szCs w:val="22"/>
        </w:rPr>
        <w:t xml:space="preserve"> journeyman and master o</w:t>
      </w:r>
      <w:r w:rsidR="00976C1B">
        <w:rPr>
          <w:rFonts w:ascii="Bookman Old Style" w:hAnsi="Bookman Old Style"/>
          <w:spacing w:val="-3"/>
          <w:sz w:val="22"/>
          <w:szCs w:val="22"/>
        </w:rPr>
        <w:t>il burner</w:t>
      </w:r>
      <w:r w:rsidR="0057525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A593B">
        <w:rPr>
          <w:rFonts w:ascii="Bookman Old Style" w:hAnsi="Bookman Old Style"/>
          <w:spacing w:val="-3"/>
          <w:sz w:val="22"/>
          <w:szCs w:val="22"/>
        </w:rPr>
        <w:t xml:space="preserve">technician </w:t>
      </w:r>
      <w:r w:rsidR="00976C1B">
        <w:rPr>
          <w:rFonts w:ascii="Bookman Old Style" w:hAnsi="Bookman Old Style"/>
          <w:spacing w:val="-3"/>
          <w:sz w:val="22"/>
          <w:szCs w:val="22"/>
        </w:rPr>
        <w:t>license</w:t>
      </w:r>
      <w:r w:rsidR="001A593B">
        <w:rPr>
          <w:rFonts w:ascii="Bookman Old Style" w:hAnsi="Bookman Old Style"/>
          <w:spacing w:val="-3"/>
          <w:sz w:val="22"/>
          <w:szCs w:val="22"/>
        </w:rPr>
        <w:t>,</w:t>
      </w:r>
      <w:r w:rsidR="00976C1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75259">
        <w:rPr>
          <w:rFonts w:ascii="Bookman Old Style" w:hAnsi="Bookman Old Style"/>
          <w:spacing w:val="-3"/>
          <w:sz w:val="22"/>
          <w:szCs w:val="22"/>
        </w:rPr>
        <w:t xml:space="preserve">and </w:t>
      </w:r>
      <w:r w:rsidR="00976C1B">
        <w:rPr>
          <w:rFonts w:ascii="Bookman Old Style" w:hAnsi="Bookman Old Style"/>
          <w:spacing w:val="-3"/>
          <w:sz w:val="22"/>
          <w:szCs w:val="22"/>
        </w:rPr>
        <w:t xml:space="preserve">a </w:t>
      </w:r>
      <w:r w:rsidR="00575259">
        <w:rPr>
          <w:rFonts w:ascii="Bookman Old Style" w:hAnsi="Bookman Old Style"/>
          <w:spacing w:val="-3"/>
          <w:sz w:val="22"/>
          <w:szCs w:val="22"/>
        </w:rPr>
        <w:t>gas</w:t>
      </w:r>
      <w:r w:rsidR="00976C1B">
        <w:rPr>
          <w:rFonts w:ascii="Bookman Old Style" w:hAnsi="Bookman Old Style"/>
          <w:spacing w:val="-3"/>
          <w:sz w:val="22"/>
          <w:szCs w:val="22"/>
        </w:rPr>
        <w:t xml:space="preserve"> technician</w:t>
      </w:r>
      <w:r w:rsidR="00575259">
        <w:rPr>
          <w:rFonts w:ascii="Bookman Old Style" w:hAnsi="Bookman Old Style"/>
          <w:spacing w:val="-3"/>
          <w:sz w:val="22"/>
          <w:szCs w:val="22"/>
        </w:rPr>
        <w:t xml:space="preserve"> license. 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The board will also review </w:t>
      </w:r>
      <w:r w:rsidR="00E807B1">
        <w:rPr>
          <w:rFonts w:ascii="Bookman Old Style" w:hAnsi="Bookman Old Style"/>
          <w:spacing w:val="-3"/>
          <w:sz w:val="22"/>
          <w:szCs w:val="22"/>
        </w:rPr>
        <w:t>and</w:t>
      </w:r>
      <w:r w:rsidR="00983D10">
        <w:rPr>
          <w:rFonts w:ascii="Bookman Old Style" w:hAnsi="Bookman Old Style"/>
          <w:spacing w:val="-3"/>
          <w:sz w:val="22"/>
          <w:szCs w:val="22"/>
        </w:rPr>
        <w:t xml:space="preserve"> may adopt and incorporate technical codes and standards that apply to the installation of fuel burning equipment, chimneys, fireplaces and vents.</w:t>
      </w:r>
      <w:r w:rsidR="001A593B">
        <w:rPr>
          <w:rFonts w:ascii="Bookman Old Style" w:hAnsi="Bookman Old Style"/>
          <w:spacing w:val="-3"/>
          <w:sz w:val="22"/>
          <w:szCs w:val="22"/>
        </w:rPr>
        <w:t xml:space="preserve"> The board will update terminology</w:t>
      </w:r>
    </w:p>
    <w:p w:rsidR="00EB3BCD" w:rsidRPr="00296D6D" w:rsidRDefault="00EB3BC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C450C" w:rsidRPr="00296D6D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Definitions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96D6D">
        <w:rPr>
          <w:rFonts w:ascii="Bookman Old Style" w:hAnsi="Bookman Old Style"/>
          <w:spacing w:val="-3"/>
          <w:sz w:val="22"/>
          <w:szCs w:val="22"/>
        </w:rPr>
        <w:t xml:space="preserve">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</w:t>
      </w:r>
      <w:r w:rsidR="001C657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2267C" w:rsidRPr="00296D6D">
        <w:rPr>
          <w:rFonts w:ascii="Bookman Old Style" w:hAnsi="Bookman Old Style"/>
          <w:spacing w:val="-3"/>
          <w:sz w:val="22"/>
          <w:szCs w:val="22"/>
        </w:rPr>
        <w:t>(</w:t>
      </w:r>
      <w:r w:rsidR="001C6572" w:rsidRPr="00296D6D">
        <w:rPr>
          <w:rFonts w:ascii="Bookman Old Style" w:hAnsi="Bookman Old Style"/>
          <w:spacing w:val="-3"/>
          <w:sz w:val="22"/>
          <w:szCs w:val="22"/>
        </w:rPr>
        <w:t>of the rule</w:t>
      </w:r>
      <w:r w:rsidR="0012267C" w:rsidRPr="00296D6D">
        <w:rPr>
          <w:rFonts w:ascii="Bookman Old Style" w:hAnsi="Bookman Old Style"/>
          <w:spacing w:val="-3"/>
          <w:sz w:val="22"/>
          <w:szCs w:val="22"/>
        </w:rPr>
        <w:t>)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This chapter </w:t>
      </w:r>
      <w:r w:rsidR="00D9586A">
        <w:rPr>
          <w:rFonts w:ascii="Bookman Old Style" w:hAnsi="Bookman Old Style"/>
          <w:spacing w:val="-3"/>
          <w:sz w:val="22"/>
          <w:szCs w:val="22"/>
        </w:rPr>
        <w:t>clarifies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9586A">
        <w:rPr>
          <w:rFonts w:ascii="Bookman Old Style" w:hAnsi="Bookman Old Style"/>
          <w:spacing w:val="-3"/>
          <w:sz w:val="22"/>
          <w:szCs w:val="22"/>
        </w:rPr>
        <w:t>terms in the law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and these rules.</w:t>
      </w:r>
      <w:r w:rsidR="006D6E18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6D6E18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D6E18">
        <w:rPr>
          <w:rFonts w:ascii="Bookman Old Style" w:hAnsi="Bookman Old Style"/>
          <w:sz w:val="22"/>
          <w:szCs w:val="22"/>
        </w:rPr>
        <w:t>.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SCHEDULE FOR ADOPTION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C6572" w:rsidRPr="00296D6D" w:rsidRDefault="00AA60F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</w:t>
      </w:r>
      <w:r w:rsidR="00721605" w:rsidRPr="00296D6D">
        <w:rPr>
          <w:rFonts w:ascii="Bookman Old Style" w:hAnsi="Bookman Old Style"/>
          <w:spacing w:val="-3"/>
          <w:sz w:val="22"/>
          <w:szCs w:val="22"/>
        </w:rPr>
        <w:t>:</w:t>
      </w:r>
      <w:r w:rsidR="00436A6C" w:rsidRPr="00296D6D">
        <w:rPr>
          <w:rFonts w:ascii="Bookman Old Style" w:hAnsi="Bookman Old Style"/>
          <w:spacing w:val="-3"/>
          <w:sz w:val="22"/>
          <w:szCs w:val="22"/>
        </w:rPr>
        <w:t xml:space="preserve"> Licensees</w:t>
      </w:r>
    </w:p>
    <w:p w:rsidR="001C6572" w:rsidRPr="00296D6D" w:rsidRDefault="00AA60F0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</w:t>
      </w:r>
      <w:r w:rsidR="00436A6C" w:rsidRPr="00296D6D">
        <w:rPr>
          <w:rFonts w:ascii="Bookman Old Style" w:hAnsi="Bookman Old Style"/>
          <w:spacing w:val="-3"/>
          <w:sz w:val="22"/>
          <w:szCs w:val="22"/>
        </w:rPr>
        <w:t xml:space="preserve">: </w:t>
      </w:r>
      <w:r w:rsidR="00D04113" w:rsidRPr="00296D6D">
        <w:rPr>
          <w:rFonts w:ascii="Bookman Old Style" w:hAnsi="Bookman Old Style"/>
          <w:spacing w:val="-3"/>
          <w:sz w:val="22"/>
          <w:szCs w:val="22"/>
        </w:rPr>
        <w:t>Not contemplated</w:t>
      </w:r>
    </w:p>
    <w:p w:rsidR="001C6572" w:rsidRPr="00296D6D" w:rsidRDefault="001C6572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>CHAPTER 2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Advisory Rulings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BASIS: 5 M.R.S. §§ 8051, 9001(4)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establishes guidelines relating to advisory rulings.</w:t>
      </w:r>
      <w:r w:rsidR="00DD4F24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DD4F24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DD4F24">
        <w:rPr>
          <w:rFonts w:ascii="Bookman Old Style" w:hAnsi="Bookman Old Style"/>
          <w:sz w:val="22"/>
          <w:szCs w:val="22"/>
        </w:rPr>
        <w:t>.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A45F4A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90290B" w:rsidRPr="00296D6D">
        <w:rPr>
          <w:rFonts w:ascii="Bookman Old Style" w:hAnsi="Bookman Old Style"/>
          <w:b/>
          <w:spacing w:val="-3"/>
          <w:sz w:val="22"/>
          <w:szCs w:val="22"/>
        </w:rPr>
        <w:t>3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Categories and </w:t>
      </w:r>
      <w:r w:rsidR="007F35FA">
        <w:rPr>
          <w:rFonts w:ascii="Bookman Old Style" w:hAnsi="Bookman Old Style"/>
          <w:spacing w:val="-3"/>
          <w:sz w:val="22"/>
          <w:szCs w:val="22"/>
        </w:rPr>
        <w:t>Responsibilities of L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>icensure</w:t>
      </w:r>
    </w:p>
    <w:p w:rsidR="002C450C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ind w:right="-36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</w:t>
      </w:r>
      <w:r w:rsidR="0090290B" w:rsidRPr="00296D6D">
        <w:rPr>
          <w:rFonts w:ascii="Bookman Old Style" w:hAnsi="Bookman Old Style"/>
          <w:spacing w:val="-3"/>
          <w:sz w:val="22"/>
          <w:szCs w:val="22"/>
        </w:rPr>
        <w:t>apter describes the duties and responsibilities for licensure</w:t>
      </w:r>
      <w:r w:rsidRPr="00296D6D">
        <w:rPr>
          <w:rFonts w:ascii="Bookman Old Style" w:hAnsi="Bookman Old Style"/>
          <w:spacing w:val="-3"/>
          <w:sz w:val="22"/>
          <w:szCs w:val="22"/>
        </w:rPr>
        <w:t>.</w:t>
      </w:r>
      <w:r w:rsidR="000D024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D024D" w:rsidRPr="000A74CD">
        <w:rPr>
          <w:rFonts w:ascii="Bookman Old Style" w:hAnsi="Bookman Old Style"/>
          <w:sz w:val="22"/>
          <w:szCs w:val="22"/>
        </w:rPr>
        <w:t xml:space="preserve">The Board may review and revise its rules to ensure clarity and conformity with the </w:t>
      </w:r>
      <w:r w:rsidR="000D024D" w:rsidRPr="000A74CD">
        <w:rPr>
          <w:rFonts w:ascii="Bookman Old Style" w:hAnsi="Bookman Old Style"/>
          <w:sz w:val="22"/>
          <w:szCs w:val="22"/>
        </w:rPr>
        <w:lastRenderedPageBreak/>
        <w:t>enabling statute</w:t>
      </w:r>
      <w:r w:rsidR="000D024D">
        <w:rPr>
          <w:rFonts w:ascii="Bookman Old Style" w:hAnsi="Bookman Old Style"/>
          <w:sz w:val="22"/>
          <w:szCs w:val="22"/>
        </w:rPr>
        <w:t>.</w:t>
      </w:r>
    </w:p>
    <w:p w:rsidR="00983D10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813EEC">
        <w:rPr>
          <w:rFonts w:ascii="Bookman Old Style" w:hAnsi="Bookman Old Style"/>
          <w:sz w:val="22"/>
          <w:szCs w:val="22"/>
        </w:rPr>
        <w:t>Within one year, if necessary.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D04113" w:rsidRPr="00296D6D" w:rsidRDefault="00D04113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96D6D">
        <w:rPr>
          <w:rFonts w:ascii="Bookman Old Style" w:hAnsi="Bookman Old Style"/>
          <w:b/>
          <w:spacing w:val="-3"/>
          <w:sz w:val="22"/>
          <w:szCs w:val="22"/>
        </w:rPr>
        <w:t>4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7F35FA">
        <w:rPr>
          <w:rFonts w:ascii="Bookman Old Style" w:hAnsi="Bookman Old Style"/>
          <w:spacing w:val="-3"/>
          <w:sz w:val="22"/>
          <w:szCs w:val="22"/>
        </w:rPr>
        <w:t xml:space="preserve"> Qualifications for L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>icensure</w:t>
      </w:r>
    </w:p>
    <w:p w:rsidR="002C450C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C450C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</w:t>
      </w:r>
      <w:r w:rsidR="00393817" w:rsidRPr="00296D6D">
        <w:rPr>
          <w:rFonts w:ascii="Bookman Old Style" w:hAnsi="Bookman Old Style"/>
          <w:spacing w:val="-3"/>
          <w:sz w:val="22"/>
          <w:szCs w:val="22"/>
        </w:rPr>
        <w:t xml:space="preserve"> This chapter sets forth the qualifications for licensure and describes the application and examination process.</w:t>
      </w:r>
      <w:r w:rsidR="00F0566F" w:rsidRPr="00F0566F">
        <w:rPr>
          <w:rFonts w:ascii="Bookman Old Style" w:hAnsi="Bookman Old Style"/>
          <w:sz w:val="22"/>
          <w:szCs w:val="22"/>
        </w:rPr>
        <w:t xml:space="preserve"> </w:t>
      </w:r>
      <w:r w:rsidR="00F0566F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F0566F">
        <w:rPr>
          <w:rFonts w:ascii="Bookman Old Style" w:hAnsi="Bookman Old Style"/>
          <w:sz w:val="22"/>
          <w:szCs w:val="22"/>
        </w:rPr>
        <w:t>.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813EEC">
        <w:rPr>
          <w:rFonts w:ascii="Bookman Old Style" w:hAnsi="Bookman Old Style"/>
          <w:spacing w:val="-3"/>
          <w:sz w:val="22"/>
          <w:szCs w:val="22"/>
        </w:rPr>
        <w:t>Within one year, if necessary.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A45F4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296D6D" w:rsidRPr="00296D6D">
        <w:rPr>
          <w:rFonts w:ascii="Bookman Old Style" w:hAnsi="Bookman Old Style"/>
          <w:b/>
          <w:spacing w:val="-3"/>
          <w:sz w:val="22"/>
          <w:szCs w:val="22"/>
        </w:rPr>
        <w:t>5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F176B">
        <w:rPr>
          <w:rFonts w:ascii="Bookman Old Style" w:hAnsi="Bookman Old Style"/>
          <w:spacing w:val="-3"/>
          <w:sz w:val="22"/>
          <w:szCs w:val="22"/>
        </w:rPr>
        <w:t>Use of O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 xml:space="preserve">ther </w:t>
      </w:r>
      <w:r w:rsidR="004F176B">
        <w:rPr>
          <w:rFonts w:ascii="Bookman Old Style" w:hAnsi="Bookman Old Style"/>
          <w:spacing w:val="-3"/>
          <w:sz w:val="22"/>
          <w:szCs w:val="22"/>
        </w:rPr>
        <w:t>License A</w:t>
      </w:r>
      <w:r w:rsidR="00280C8E">
        <w:rPr>
          <w:rFonts w:ascii="Bookman Old Style" w:hAnsi="Bookman Old Style"/>
          <w:spacing w:val="-3"/>
          <w:sz w:val="22"/>
          <w:szCs w:val="22"/>
        </w:rPr>
        <w:t>uthorities</w:t>
      </w:r>
    </w:p>
    <w:p w:rsidR="004D7EFD" w:rsidRPr="00296D6D" w:rsidRDefault="00296D6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requirements for licensed master and journeyman oil and solid fuel technicians to gain licensed experience as an apprentice to qualify for an additional license authority.</w:t>
      </w:r>
      <w:r w:rsidR="00D45B72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D45B72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D45B72">
        <w:rPr>
          <w:rFonts w:ascii="Bookman Old Style" w:hAnsi="Bookman Old Style"/>
          <w:sz w:val="22"/>
          <w:szCs w:val="22"/>
        </w:rPr>
        <w:t>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813EEC">
        <w:rPr>
          <w:rFonts w:ascii="Bookman Old Style" w:hAnsi="Bookman Old Style"/>
          <w:spacing w:val="-3"/>
          <w:sz w:val="22"/>
          <w:szCs w:val="22"/>
        </w:rPr>
        <w:t>Within one year, if necessary.</w:t>
      </w:r>
    </w:p>
    <w:p w:rsidR="00A45F4A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5C2F5B" w:rsidRPr="00296D6D" w:rsidRDefault="005C2F5B" w:rsidP="005C2F5B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A45F4A" w:rsidRPr="00296D6D" w:rsidRDefault="00A45F4A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775C6D" w:rsidRPr="00296D6D">
        <w:rPr>
          <w:rFonts w:ascii="Bookman Old Style" w:hAnsi="Bookman Old Style"/>
          <w:b/>
          <w:spacing w:val="-3"/>
          <w:sz w:val="22"/>
          <w:szCs w:val="22"/>
        </w:rPr>
        <w:t>6</w:t>
      </w:r>
      <w:r w:rsidR="00296D6D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Adoption of Standards and Rules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AC5EC7" w:rsidRPr="00296D6D" w:rsidRDefault="004D7EFD" w:rsidP="009B65AC">
      <w:pPr>
        <w:tabs>
          <w:tab w:val="left" w:pos="0"/>
        </w:tabs>
        <w:ind w:right="-180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standards for installation of any oil and solid fuel burning equipment, propane and natural gas equipment, chimneys, fireplaces and vents.</w:t>
      </w:r>
      <w:r w:rsidR="00D45B72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D45B72" w:rsidRPr="000A74CD">
        <w:rPr>
          <w:rFonts w:ascii="Bookman Old Style" w:hAnsi="Bookman Old Style"/>
          <w:sz w:val="22"/>
          <w:szCs w:val="22"/>
        </w:rPr>
        <w:t xml:space="preserve">The Board may review and revise its rules to ensure clarity and conformity with the enabling </w:t>
      </w:r>
      <w:proofErr w:type="gramStart"/>
      <w:r w:rsidR="00D45B72" w:rsidRPr="000A74CD">
        <w:rPr>
          <w:rFonts w:ascii="Bookman Old Style" w:hAnsi="Bookman Old Style"/>
          <w:sz w:val="22"/>
          <w:szCs w:val="22"/>
        </w:rPr>
        <w:t>statute</w:t>
      </w:r>
      <w:r w:rsidR="00D45B72">
        <w:rPr>
          <w:rFonts w:ascii="Bookman Old Style" w:hAnsi="Bookman Old Style"/>
          <w:sz w:val="22"/>
          <w:szCs w:val="22"/>
        </w:rPr>
        <w:t>, and</w:t>
      </w:r>
      <w:proofErr w:type="gramEnd"/>
      <w:r w:rsidR="00D45B72">
        <w:rPr>
          <w:rFonts w:ascii="Bookman Old Style" w:hAnsi="Bookman Old Style"/>
          <w:sz w:val="22"/>
          <w:szCs w:val="22"/>
        </w:rPr>
        <w:t xml:space="preserve"> may update standards as needed.</w:t>
      </w:r>
      <w:r w:rsidR="00AC5EC7" w:rsidRPr="00296D6D">
        <w:rPr>
          <w:rFonts w:ascii="Bookman Old Style" w:hAnsi="Bookman Old Style"/>
          <w:sz w:val="22"/>
          <w:szCs w:val="22"/>
        </w:rPr>
        <w:t xml:space="preserve"> 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813EEC">
        <w:rPr>
          <w:rFonts w:ascii="Bookman Old Style" w:hAnsi="Bookman Old Style"/>
          <w:spacing w:val="-3"/>
          <w:sz w:val="22"/>
          <w:szCs w:val="22"/>
        </w:rPr>
        <w:t>Within one year, if necessary.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9B65AC">
        <w:rPr>
          <w:rFonts w:ascii="Bookman Old Style" w:hAnsi="Bookman Old Style"/>
          <w:b/>
          <w:spacing w:val="-3"/>
          <w:sz w:val="22"/>
          <w:szCs w:val="22"/>
        </w:rPr>
        <w:t>7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280C8E">
        <w:rPr>
          <w:rFonts w:ascii="Bookman Old Style" w:hAnsi="Bookman Old Style"/>
          <w:spacing w:val="-3"/>
          <w:sz w:val="22"/>
          <w:szCs w:val="22"/>
        </w:rPr>
        <w:t>Modification of S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tandards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</w:t>
      </w:r>
      <w:r w:rsidR="009B65AC">
        <w:rPr>
          <w:rFonts w:ascii="Bookman Old Style" w:hAnsi="Bookman Old Style"/>
          <w:spacing w:val="-3"/>
          <w:sz w:val="22"/>
          <w:szCs w:val="22"/>
        </w:rPr>
        <w:t>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This chapter allows the board to authorize modifications to installation </w:t>
      </w:r>
      <w:r w:rsidR="00AD6263">
        <w:rPr>
          <w:rFonts w:ascii="Bookman Old Style" w:hAnsi="Bookman Old Style"/>
          <w:spacing w:val="-3"/>
          <w:sz w:val="22"/>
          <w:szCs w:val="22"/>
        </w:rPr>
        <w:t xml:space="preserve">standards </w:t>
      </w:r>
      <w:r w:rsidRPr="00296D6D">
        <w:rPr>
          <w:rFonts w:ascii="Bookman Old Style" w:hAnsi="Bookman Old Style"/>
          <w:spacing w:val="-3"/>
          <w:sz w:val="22"/>
          <w:szCs w:val="22"/>
        </w:rPr>
        <w:t>under unusual circumstances. This chapter provides the board with the discretion to alter installation standards after appropriate technical consideration.</w:t>
      </w:r>
      <w:r w:rsidR="00680B37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680B37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80B37">
        <w:rPr>
          <w:rFonts w:ascii="Bookman Old Style" w:hAnsi="Bookman Old Style"/>
          <w:sz w:val="22"/>
          <w:szCs w:val="22"/>
        </w:rPr>
        <w:t>.</w:t>
      </w:r>
    </w:p>
    <w:p w:rsidR="00983D10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2C450C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4D7EFD" w:rsidRPr="00296D6D" w:rsidRDefault="002C450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A76FE4" w:rsidRPr="009B65AC">
        <w:rPr>
          <w:rFonts w:ascii="Bookman Old Style" w:hAnsi="Bookman Old Style"/>
          <w:b/>
          <w:spacing w:val="-3"/>
          <w:sz w:val="22"/>
          <w:szCs w:val="22"/>
        </w:rPr>
        <w:t>8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982512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4D7EFD" w:rsidRPr="00296D6D">
        <w:rPr>
          <w:rFonts w:ascii="Bookman Old Style" w:hAnsi="Bookman Old Style"/>
          <w:spacing w:val="-3"/>
          <w:sz w:val="22"/>
          <w:szCs w:val="22"/>
        </w:rPr>
        <w:t>Instal</w:t>
      </w:r>
      <w:r w:rsidR="001D7E2B">
        <w:rPr>
          <w:rFonts w:ascii="Bookman Old Style" w:hAnsi="Bookman Old Style"/>
          <w:spacing w:val="-3"/>
          <w:sz w:val="22"/>
          <w:szCs w:val="22"/>
        </w:rPr>
        <w:t>lation of Oil Burning Equipment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STATUTORY BASIS: 32 </w:t>
      </w:r>
      <w:r w:rsidR="009B65AC">
        <w:rPr>
          <w:rFonts w:ascii="Bookman Old Style" w:hAnsi="Bookman Old Style"/>
          <w:spacing w:val="-3"/>
          <w:sz w:val="22"/>
          <w:szCs w:val="22"/>
        </w:rPr>
        <w:t>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This chapter sets forth the guidelines for the installation of oil </w:t>
      </w:r>
      <w:r w:rsidRPr="00296D6D">
        <w:rPr>
          <w:rFonts w:ascii="Bookman Old Style" w:hAnsi="Bookman Old Style"/>
          <w:spacing w:val="-3"/>
          <w:sz w:val="22"/>
          <w:szCs w:val="22"/>
        </w:rPr>
        <w:lastRenderedPageBreak/>
        <w:t xml:space="preserve">burning equipment with necessary safety controls, </w:t>
      </w:r>
      <w:r w:rsidR="005535BB">
        <w:rPr>
          <w:rFonts w:ascii="Bookman Old Style" w:hAnsi="Bookman Old Style"/>
          <w:spacing w:val="-3"/>
          <w:sz w:val="22"/>
          <w:szCs w:val="22"/>
        </w:rPr>
        <w:t>devices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and standards for the reduction of fire hazards associated with oil fired equipment used in residential, commercial and industrial applications.</w:t>
      </w:r>
      <w:r w:rsidR="00680B37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680B37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680B37">
        <w:rPr>
          <w:rFonts w:ascii="Bookman Old Style" w:hAnsi="Bookman Old Style"/>
          <w:sz w:val="22"/>
          <w:szCs w:val="22"/>
        </w:rPr>
        <w:t>.</w:t>
      </w:r>
    </w:p>
    <w:p w:rsidR="00983D10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983D10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4D7EFD" w:rsidRPr="00296D6D" w:rsidRDefault="004D7EF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4D7EFD" w:rsidRPr="00296D6D" w:rsidRDefault="004D7EF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364B1C" w:rsidRPr="00296D6D" w:rsidRDefault="00364B1C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</w:p>
    <w:p w:rsidR="00140337" w:rsidRPr="00296D6D" w:rsidRDefault="00D86AC0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9B65AC">
        <w:rPr>
          <w:rFonts w:ascii="Bookman Old Style" w:hAnsi="Bookman Old Style"/>
          <w:b/>
          <w:spacing w:val="-3"/>
          <w:sz w:val="22"/>
          <w:szCs w:val="22"/>
        </w:rPr>
        <w:t>9</w:t>
      </w:r>
      <w:r w:rsidR="009B65AC">
        <w:rPr>
          <w:rFonts w:ascii="Bookman Old Style" w:hAnsi="Bookman Old Style"/>
          <w:spacing w:val="-3"/>
          <w:sz w:val="22"/>
          <w:szCs w:val="22"/>
        </w:rPr>
        <w:t>:</w:t>
      </w:r>
      <w:r w:rsidR="0044356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5535BB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olid </w:t>
      </w:r>
      <w:r w:rsidR="005535BB">
        <w:rPr>
          <w:rFonts w:ascii="Bookman Old Style" w:hAnsi="Bookman Old Style"/>
          <w:spacing w:val="-3"/>
          <w:sz w:val="22"/>
          <w:szCs w:val="22"/>
        </w:rPr>
        <w:t>F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uel </w:t>
      </w:r>
      <w:r w:rsidR="005535BB">
        <w:rPr>
          <w:rFonts w:ascii="Bookman Old Style" w:hAnsi="Bookman Old Style"/>
          <w:spacing w:val="-3"/>
          <w:sz w:val="22"/>
          <w:szCs w:val="22"/>
        </w:rPr>
        <w:t>B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urning </w:t>
      </w:r>
      <w:r w:rsidR="005535BB">
        <w:rPr>
          <w:rFonts w:ascii="Bookman Old Style" w:hAnsi="Bookman Old Style"/>
          <w:spacing w:val="-3"/>
          <w:sz w:val="22"/>
          <w:szCs w:val="22"/>
        </w:rPr>
        <w:t>Equipment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83287">
      <w:pPr>
        <w:keepNext/>
        <w:keepLines/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The purpose of this chapter is to specify the proper installation of solid fuel burning equipment in accordance with NFPA # 211.</w:t>
      </w:r>
      <w:r w:rsidR="00B40495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D86AC0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C1590D" w:rsidRPr="00296D6D" w:rsidRDefault="00C1590D" w:rsidP="00296D6D">
      <w:pPr>
        <w:tabs>
          <w:tab w:val="left" w:pos="0"/>
          <w:tab w:val="left" w:pos="1486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C1590D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10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44356C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Chimneys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PURPOSE (of the rule): The primary purpose of this chapter is to set forth the rules governing </w:t>
      </w:r>
      <w:r w:rsidR="00FE1F94">
        <w:rPr>
          <w:rFonts w:ascii="Bookman Old Style" w:hAnsi="Bookman Old Style"/>
          <w:spacing w:val="-3"/>
          <w:sz w:val="22"/>
          <w:szCs w:val="22"/>
        </w:rPr>
        <w:t>the removal of waste gas</w:t>
      </w:r>
      <w:r w:rsidRPr="00296D6D">
        <w:rPr>
          <w:rFonts w:ascii="Bookman Old Style" w:hAnsi="Bookman Old Style"/>
          <w:spacing w:val="-3"/>
          <w:sz w:val="22"/>
          <w:szCs w:val="22"/>
        </w:rPr>
        <w:t>es.</w:t>
      </w:r>
      <w:r w:rsidR="00B40495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7872EF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C1590D" w:rsidRPr="00296D6D" w:rsidRDefault="00C1590D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</w:p>
    <w:p w:rsidR="00140337" w:rsidRPr="00296D6D" w:rsidRDefault="009C61D8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11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402F96">
        <w:rPr>
          <w:rFonts w:ascii="Bookman Old Style" w:hAnsi="Bookman Old Style"/>
          <w:spacing w:val="-3"/>
          <w:sz w:val="22"/>
          <w:szCs w:val="22"/>
        </w:rPr>
        <w:t>W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aste</w:t>
      </w:r>
      <w:r w:rsidR="00402F96">
        <w:rPr>
          <w:rFonts w:ascii="Bookman Old Style" w:hAnsi="Bookman Old Style"/>
          <w:spacing w:val="-3"/>
          <w:sz w:val="22"/>
          <w:szCs w:val="22"/>
        </w:rPr>
        <w:t xml:space="preserve"> O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il </w:t>
      </w:r>
      <w:r w:rsidR="00402F96">
        <w:rPr>
          <w:rFonts w:ascii="Bookman Old Style" w:hAnsi="Bookman Old Style"/>
          <w:spacing w:val="-3"/>
          <w:sz w:val="22"/>
          <w:szCs w:val="22"/>
        </w:rPr>
        <w:t>A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ppliances and </w:t>
      </w:r>
      <w:r w:rsidR="00402F96">
        <w:rPr>
          <w:rFonts w:ascii="Bookman Old Style" w:hAnsi="Bookman Old Style"/>
          <w:spacing w:val="-3"/>
          <w:sz w:val="22"/>
          <w:szCs w:val="22"/>
        </w:rPr>
        <w:t>W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aste </w:t>
      </w:r>
      <w:r w:rsidR="00402F96">
        <w:rPr>
          <w:rFonts w:ascii="Bookman Old Style" w:hAnsi="Bookman Old Style"/>
          <w:spacing w:val="-3"/>
          <w:sz w:val="22"/>
          <w:szCs w:val="22"/>
        </w:rPr>
        <w:t>O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il </w:t>
      </w:r>
      <w:r w:rsidR="00402F96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upply </w:t>
      </w:r>
      <w:r w:rsidR="00402F96">
        <w:rPr>
          <w:rFonts w:ascii="Bookman Old Style" w:hAnsi="Bookman Old Style"/>
          <w:spacing w:val="-3"/>
          <w:sz w:val="22"/>
          <w:szCs w:val="22"/>
        </w:rPr>
        <w:t>T</w:t>
      </w:r>
      <w:r w:rsidR="00DB1264">
        <w:rPr>
          <w:rFonts w:ascii="Bookman Old Style" w:hAnsi="Bookman Old Style"/>
          <w:spacing w:val="-3"/>
          <w:sz w:val="22"/>
          <w:szCs w:val="22"/>
        </w:rPr>
        <w:t>anks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provides re</w:t>
      </w:r>
      <w:r w:rsidR="001B02E3">
        <w:rPr>
          <w:rFonts w:ascii="Bookman Old Style" w:hAnsi="Bookman Old Style"/>
          <w:spacing w:val="-3"/>
          <w:sz w:val="22"/>
          <w:szCs w:val="22"/>
        </w:rPr>
        <w:t xml:space="preserve">quirements for the use of waste </w:t>
      </w:r>
      <w:r w:rsidRPr="00296D6D">
        <w:rPr>
          <w:rFonts w:ascii="Bookman Old Style" w:hAnsi="Bookman Old Style"/>
          <w:spacing w:val="-3"/>
          <w:sz w:val="22"/>
          <w:szCs w:val="22"/>
        </w:rPr>
        <w:t>oil burning equipment and accessory equipment installations.</w:t>
      </w:r>
      <w:r w:rsidR="00B40495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140337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160437" w:rsidRPr="00296D6D" w:rsidRDefault="00160437" w:rsidP="00296D6D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1604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Pr="00283287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48202A" w:rsidRPr="00283287">
        <w:rPr>
          <w:rFonts w:ascii="Bookman Old Style" w:hAnsi="Bookman Old Style"/>
          <w:b/>
          <w:spacing w:val="-3"/>
          <w:sz w:val="22"/>
          <w:szCs w:val="22"/>
        </w:rPr>
        <w:t>2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48202A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Permits for </w:t>
      </w:r>
      <w:r w:rsidR="001B02E3">
        <w:rPr>
          <w:rFonts w:ascii="Bookman Old Style" w:hAnsi="Bookman Old Style"/>
          <w:spacing w:val="-3"/>
          <w:sz w:val="22"/>
          <w:szCs w:val="22"/>
        </w:rPr>
        <w:t>A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boveground and</w:t>
      </w:r>
      <w:r w:rsidR="001B02E3">
        <w:rPr>
          <w:rFonts w:ascii="Bookman Old Style" w:hAnsi="Bookman Old Style"/>
          <w:spacing w:val="-3"/>
          <w:sz w:val="22"/>
          <w:szCs w:val="22"/>
        </w:rPr>
        <w:t xml:space="preserve"> U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nderground </w:t>
      </w:r>
      <w:r w:rsidR="001B02E3">
        <w:rPr>
          <w:rFonts w:ascii="Bookman Old Style" w:hAnsi="Bookman Old Style"/>
          <w:spacing w:val="-3"/>
          <w:sz w:val="22"/>
          <w:szCs w:val="22"/>
        </w:rPr>
        <w:t>P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ropane and </w:t>
      </w:r>
      <w:r w:rsidR="001B02E3">
        <w:rPr>
          <w:rFonts w:ascii="Bookman Old Style" w:hAnsi="Bookman Old Style"/>
          <w:spacing w:val="-3"/>
          <w:sz w:val="22"/>
          <w:szCs w:val="22"/>
        </w:rPr>
        <w:t>N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atural </w:t>
      </w:r>
      <w:r w:rsidR="001B02E3">
        <w:rPr>
          <w:rFonts w:ascii="Bookman Old Style" w:hAnsi="Bookman Old Style"/>
          <w:spacing w:val="-3"/>
          <w:sz w:val="22"/>
          <w:szCs w:val="22"/>
        </w:rPr>
        <w:t>G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 </w:t>
      </w:r>
      <w:r w:rsidR="001B02E3">
        <w:rPr>
          <w:rFonts w:ascii="Bookman Old Style" w:hAnsi="Bookman Old Style"/>
          <w:spacing w:val="-3"/>
          <w:sz w:val="22"/>
          <w:szCs w:val="22"/>
        </w:rPr>
        <w:t>S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torage </w:t>
      </w:r>
      <w:r w:rsidR="001B02E3">
        <w:rPr>
          <w:rFonts w:ascii="Bookman Old Style" w:hAnsi="Bookman Old Style"/>
          <w:spacing w:val="-3"/>
          <w:sz w:val="22"/>
          <w:szCs w:val="22"/>
        </w:rPr>
        <w:t>F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acilities and </w:t>
      </w:r>
      <w:r w:rsidR="001B02E3">
        <w:rPr>
          <w:rFonts w:ascii="Bookman Old Style" w:hAnsi="Bookman Old Style"/>
          <w:spacing w:val="-3"/>
          <w:sz w:val="22"/>
          <w:szCs w:val="22"/>
        </w:rPr>
        <w:t>R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ooftop </w:t>
      </w:r>
      <w:r w:rsidR="001B02E3">
        <w:rPr>
          <w:rFonts w:ascii="Bookman Old Style" w:hAnsi="Bookman Old Style"/>
          <w:spacing w:val="-3"/>
          <w:sz w:val="22"/>
          <w:szCs w:val="22"/>
        </w:rPr>
        <w:t>I</w:t>
      </w:r>
      <w:r w:rsidR="00DB1264">
        <w:rPr>
          <w:rFonts w:ascii="Bookman Old Style" w:hAnsi="Bookman Old Style"/>
          <w:spacing w:val="-3"/>
          <w:sz w:val="22"/>
          <w:szCs w:val="22"/>
        </w:rPr>
        <w:t>nstallations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140337" w:rsidRPr="00296D6D" w:rsidRDefault="00140337" w:rsidP="00283287">
      <w:pPr>
        <w:tabs>
          <w:tab w:val="left" w:pos="-720"/>
          <w:tab w:val="left" w:pos="0"/>
        </w:tabs>
        <w:suppressAutoHyphens/>
        <w:ind w:right="36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PURPOSE (of the rule): This chapter sets forth the requirements for permitting aboveground and underground propane and natural gas storage facilities and rooftop installations.</w:t>
      </w:r>
      <w:r w:rsidR="00B40495">
        <w:rPr>
          <w:rFonts w:ascii="Bookman Old Style" w:hAnsi="Bookman Old Style"/>
          <w:spacing w:val="-3"/>
          <w:sz w:val="22"/>
          <w:szCs w:val="22"/>
        </w:rPr>
        <w:t xml:space="preserve"> 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>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872EF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140337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p w:rsidR="0048202A" w:rsidRPr="00296D6D" w:rsidRDefault="0048202A" w:rsidP="00296D6D">
      <w:pPr>
        <w:tabs>
          <w:tab w:val="left" w:pos="0"/>
        </w:tabs>
        <w:rPr>
          <w:rFonts w:ascii="Bookman Old Style" w:hAnsi="Bookman Old Style"/>
          <w:sz w:val="22"/>
          <w:szCs w:val="22"/>
        </w:rPr>
      </w:pPr>
    </w:p>
    <w:p w:rsidR="00140337" w:rsidRPr="00296D6D" w:rsidRDefault="0048202A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b/>
          <w:spacing w:val="-3"/>
          <w:sz w:val="22"/>
          <w:szCs w:val="22"/>
        </w:rPr>
        <w:t xml:space="preserve">CHAPTER </w:t>
      </w:r>
      <w:r w:rsidR="00596464" w:rsidRPr="00283287">
        <w:rPr>
          <w:rFonts w:ascii="Bookman Old Style" w:hAnsi="Bookman Old Style"/>
          <w:b/>
          <w:spacing w:val="-3"/>
          <w:sz w:val="22"/>
          <w:szCs w:val="22"/>
        </w:rPr>
        <w:t>13</w:t>
      </w:r>
      <w:r w:rsidR="00283287">
        <w:rPr>
          <w:rFonts w:ascii="Bookman Old Style" w:hAnsi="Bookman Old Style"/>
          <w:spacing w:val="-3"/>
          <w:sz w:val="22"/>
          <w:szCs w:val="22"/>
        </w:rPr>
        <w:t>:</w:t>
      </w:r>
      <w:r w:rsidR="00596464" w:rsidRPr="00296D6D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Installation of </w:t>
      </w:r>
      <w:r w:rsidR="00A67B02">
        <w:rPr>
          <w:rFonts w:ascii="Bookman Old Style" w:hAnsi="Bookman Old Style"/>
          <w:spacing w:val="-3"/>
          <w:sz w:val="22"/>
          <w:szCs w:val="22"/>
        </w:rPr>
        <w:t>P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ropane and </w:t>
      </w:r>
      <w:r w:rsidR="00A67B02">
        <w:rPr>
          <w:rFonts w:ascii="Bookman Old Style" w:hAnsi="Bookman Old Style"/>
          <w:spacing w:val="-3"/>
          <w:sz w:val="22"/>
          <w:szCs w:val="22"/>
        </w:rPr>
        <w:t>N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atural </w:t>
      </w:r>
      <w:r w:rsidR="00A67B02">
        <w:rPr>
          <w:rFonts w:ascii="Bookman Old Style" w:hAnsi="Bookman Old Style"/>
          <w:spacing w:val="-3"/>
          <w:sz w:val="22"/>
          <w:szCs w:val="22"/>
        </w:rPr>
        <w:t>G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as </w:t>
      </w:r>
      <w:r w:rsidR="00A67B02">
        <w:rPr>
          <w:rFonts w:ascii="Bookman Old Style" w:hAnsi="Bookman Old Style"/>
          <w:spacing w:val="-3"/>
          <w:sz w:val="22"/>
          <w:szCs w:val="22"/>
        </w:rPr>
        <w:t>B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 xml:space="preserve">urning </w:t>
      </w:r>
      <w:r w:rsidR="00A67B02">
        <w:rPr>
          <w:rFonts w:ascii="Bookman Old Style" w:hAnsi="Bookman Old Style"/>
          <w:spacing w:val="-3"/>
          <w:sz w:val="22"/>
          <w:szCs w:val="22"/>
        </w:rPr>
        <w:t>E</w:t>
      </w:r>
      <w:r w:rsidR="00DB1264">
        <w:rPr>
          <w:rFonts w:ascii="Bookman Old Style" w:hAnsi="Bookman Old Style"/>
          <w:spacing w:val="-3"/>
          <w:sz w:val="22"/>
          <w:szCs w:val="22"/>
        </w:rPr>
        <w:t>quipment</w:t>
      </w:r>
    </w:p>
    <w:p w:rsidR="00140337" w:rsidRPr="00296D6D" w:rsidRDefault="0028328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STATUTORY BASIS: 32 M.R.S. §</w:t>
      </w:r>
      <w:r w:rsidR="00902109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140337" w:rsidRPr="00296D6D">
        <w:rPr>
          <w:rFonts w:ascii="Bookman Old Style" w:hAnsi="Bookman Old Style"/>
          <w:spacing w:val="-3"/>
          <w:sz w:val="22"/>
          <w:szCs w:val="22"/>
        </w:rPr>
        <w:t>18123(2)</w:t>
      </w:r>
    </w:p>
    <w:p w:rsidR="00B40495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lastRenderedPageBreak/>
        <w:t>PURPOSE (of the rule): This chapter sets forth the guidelines for the installation of propane and natural gas burning equipment with necessary safety controls.</w:t>
      </w:r>
      <w:r w:rsidR="00B40495">
        <w:rPr>
          <w:rFonts w:ascii="Bookman Old Style" w:hAnsi="Bookman Old Style"/>
          <w:sz w:val="22"/>
          <w:szCs w:val="22"/>
        </w:rPr>
        <w:t xml:space="preserve">  </w:t>
      </w:r>
      <w:r w:rsidR="00B40495" w:rsidRPr="000A74CD">
        <w:rPr>
          <w:rFonts w:ascii="Bookman Old Style" w:hAnsi="Bookman Old Style"/>
          <w:sz w:val="22"/>
          <w:szCs w:val="22"/>
        </w:rPr>
        <w:t>The Board may review and revise its rules to ensure clarity and conformity with the enabling statute</w:t>
      </w:r>
      <w:r w:rsidR="00B40495">
        <w:rPr>
          <w:rFonts w:ascii="Bookman Old Style" w:hAnsi="Bookman Old Style"/>
          <w:sz w:val="22"/>
          <w:szCs w:val="22"/>
        </w:rPr>
        <w:t xml:space="preserve">.  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861617">
        <w:rPr>
          <w:rFonts w:ascii="Bookman Old Style" w:hAnsi="Bookman Old Style"/>
          <w:sz w:val="22"/>
          <w:szCs w:val="22"/>
        </w:rPr>
        <w:t>Within one year, if necessary.</w:t>
      </w:r>
    </w:p>
    <w:p w:rsidR="00140337" w:rsidRPr="00296D6D" w:rsidRDefault="00140337" w:rsidP="00296D6D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AFFECTED PARTIES: Licensees</w:t>
      </w:r>
    </w:p>
    <w:p w:rsidR="00D04113" w:rsidRPr="00296D6D" w:rsidRDefault="00140337" w:rsidP="00296D6D">
      <w:pPr>
        <w:tabs>
          <w:tab w:val="left" w:pos="-720"/>
          <w:tab w:val="left" w:pos="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z w:val="22"/>
          <w:szCs w:val="22"/>
        </w:rPr>
      </w:pPr>
      <w:r w:rsidRPr="00296D6D">
        <w:rPr>
          <w:rFonts w:ascii="Bookman Old Style" w:hAnsi="Bookman Old Style"/>
          <w:spacing w:val="-3"/>
          <w:sz w:val="22"/>
          <w:szCs w:val="22"/>
        </w:rPr>
        <w:t>CONSENSUS-BASED RULE DEVELOPMENT: Not contemplated</w:t>
      </w:r>
    </w:p>
    <w:sectPr w:rsidR="00D04113" w:rsidRPr="00296D6D" w:rsidSect="00296D6D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39" w:rsidRDefault="00170F39">
      <w:pPr>
        <w:spacing w:line="20" w:lineRule="exact"/>
      </w:pPr>
    </w:p>
  </w:endnote>
  <w:endnote w:type="continuationSeparator" w:id="0">
    <w:p w:rsidR="00170F39" w:rsidRDefault="00170F39">
      <w:r>
        <w:t xml:space="preserve"> </w:t>
      </w:r>
    </w:p>
  </w:endnote>
  <w:endnote w:type="continuationNotice" w:id="1">
    <w:p w:rsidR="00170F39" w:rsidRDefault="00170F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6D" w:rsidRDefault="00296D6D" w:rsidP="00296D6D">
    <w:pPr>
      <w:pStyle w:val="Footer"/>
      <w:jc w:val="right"/>
      <w:rPr>
        <w:rFonts w:ascii="Bookman Old Style" w:hAnsi="Bookman Old Style"/>
        <w:sz w:val="22"/>
        <w:szCs w:val="22"/>
      </w:rPr>
    </w:pPr>
  </w:p>
  <w:p w:rsidR="00296D6D" w:rsidRPr="00296D6D" w:rsidRDefault="00296D6D" w:rsidP="00296D6D">
    <w:pPr>
      <w:pStyle w:val="Footer"/>
      <w:jc w:val="right"/>
      <w:rPr>
        <w:rFonts w:ascii="Bookman Old Style" w:hAnsi="Bookman Old Style"/>
        <w:sz w:val="22"/>
        <w:szCs w:val="22"/>
      </w:rPr>
    </w:pPr>
    <w:r w:rsidRPr="00296D6D">
      <w:rPr>
        <w:rFonts w:ascii="Bookman Old Style" w:hAnsi="Bookman Old Style"/>
        <w:sz w:val="22"/>
        <w:szCs w:val="22"/>
      </w:rPr>
      <w:fldChar w:fldCharType="begin"/>
    </w:r>
    <w:r w:rsidRPr="00296D6D">
      <w:rPr>
        <w:rFonts w:ascii="Bookman Old Style" w:hAnsi="Bookman Old Style"/>
        <w:sz w:val="22"/>
        <w:szCs w:val="22"/>
      </w:rPr>
      <w:instrText xml:space="preserve"> PAGE   \* MERGEFORMAT </w:instrText>
    </w:r>
    <w:r w:rsidRPr="00296D6D">
      <w:rPr>
        <w:rFonts w:ascii="Bookman Old Style" w:hAnsi="Bookman Old Style"/>
        <w:sz w:val="22"/>
        <w:szCs w:val="22"/>
      </w:rPr>
      <w:fldChar w:fldCharType="separate"/>
    </w:r>
    <w:r w:rsidR="00575259">
      <w:rPr>
        <w:rFonts w:ascii="Bookman Old Style" w:hAnsi="Bookman Old Style"/>
        <w:noProof/>
        <w:sz w:val="22"/>
        <w:szCs w:val="22"/>
      </w:rPr>
      <w:t>1</w:t>
    </w:r>
    <w:r w:rsidRPr="00296D6D">
      <w:rPr>
        <w:rFonts w:ascii="Bookman Old Style" w:hAnsi="Bookman Old Style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39" w:rsidRDefault="00170F39">
      <w:r>
        <w:separator/>
      </w:r>
    </w:p>
  </w:footnote>
  <w:footnote w:type="continuationSeparator" w:id="0">
    <w:p w:rsidR="00170F39" w:rsidRDefault="0017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1D7A"/>
    <w:rsid w:val="000174D9"/>
    <w:rsid w:val="000203AE"/>
    <w:rsid w:val="000701C5"/>
    <w:rsid w:val="000768FF"/>
    <w:rsid w:val="000B70FA"/>
    <w:rsid w:val="000D024D"/>
    <w:rsid w:val="000E336B"/>
    <w:rsid w:val="00101175"/>
    <w:rsid w:val="00110A6A"/>
    <w:rsid w:val="0012267C"/>
    <w:rsid w:val="00126974"/>
    <w:rsid w:val="00137BA9"/>
    <w:rsid w:val="00140337"/>
    <w:rsid w:val="00155932"/>
    <w:rsid w:val="00160437"/>
    <w:rsid w:val="00170F39"/>
    <w:rsid w:val="00196A7A"/>
    <w:rsid w:val="00196CE4"/>
    <w:rsid w:val="001A593B"/>
    <w:rsid w:val="001B02E3"/>
    <w:rsid w:val="001C6572"/>
    <w:rsid w:val="001D7E2B"/>
    <w:rsid w:val="00233DFB"/>
    <w:rsid w:val="00266E6A"/>
    <w:rsid w:val="00280C8E"/>
    <w:rsid w:val="00283287"/>
    <w:rsid w:val="00296D6D"/>
    <w:rsid w:val="002C2D61"/>
    <w:rsid w:val="002C450C"/>
    <w:rsid w:val="00300B55"/>
    <w:rsid w:val="003254F0"/>
    <w:rsid w:val="00334CD9"/>
    <w:rsid w:val="00346B5C"/>
    <w:rsid w:val="00364B1C"/>
    <w:rsid w:val="00372549"/>
    <w:rsid w:val="00393817"/>
    <w:rsid w:val="003C3004"/>
    <w:rsid w:val="00402F96"/>
    <w:rsid w:val="004032EC"/>
    <w:rsid w:val="00436A6C"/>
    <w:rsid w:val="00436F8B"/>
    <w:rsid w:val="0044356C"/>
    <w:rsid w:val="0044387F"/>
    <w:rsid w:val="00447AA9"/>
    <w:rsid w:val="0048202A"/>
    <w:rsid w:val="004D0FF5"/>
    <w:rsid w:val="004D7EFD"/>
    <w:rsid w:val="004F176B"/>
    <w:rsid w:val="004F44AA"/>
    <w:rsid w:val="00507A95"/>
    <w:rsid w:val="00541BB0"/>
    <w:rsid w:val="005535BB"/>
    <w:rsid w:val="00554E59"/>
    <w:rsid w:val="00575259"/>
    <w:rsid w:val="00596265"/>
    <w:rsid w:val="00596464"/>
    <w:rsid w:val="00596D27"/>
    <w:rsid w:val="005C2F5B"/>
    <w:rsid w:val="005D0569"/>
    <w:rsid w:val="005D6929"/>
    <w:rsid w:val="005F69B3"/>
    <w:rsid w:val="005F71EC"/>
    <w:rsid w:val="00665DD7"/>
    <w:rsid w:val="006672D4"/>
    <w:rsid w:val="00671248"/>
    <w:rsid w:val="00680B37"/>
    <w:rsid w:val="006846E3"/>
    <w:rsid w:val="006869FB"/>
    <w:rsid w:val="006D6E18"/>
    <w:rsid w:val="00716A4B"/>
    <w:rsid w:val="00721605"/>
    <w:rsid w:val="00727471"/>
    <w:rsid w:val="00761604"/>
    <w:rsid w:val="00775C6D"/>
    <w:rsid w:val="0078305E"/>
    <w:rsid w:val="007872EF"/>
    <w:rsid w:val="00791D7A"/>
    <w:rsid w:val="007A36E5"/>
    <w:rsid w:val="007A37F9"/>
    <w:rsid w:val="007D66C8"/>
    <w:rsid w:val="007F35FA"/>
    <w:rsid w:val="007F78F6"/>
    <w:rsid w:val="00813EEC"/>
    <w:rsid w:val="00861617"/>
    <w:rsid w:val="00877C2A"/>
    <w:rsid w:val="008A24D7"/>
    <w:rsid w:val="008A29EC"/>
    <w:rsid w:val="008A45C4"/>
    <w:rsid w:val="008C07E3"/>
    <w:rsid w:val="008D31C9"/>
    <w:rsid w:val="008D3A62"/>
    <w:rsid w:val="008E1B24"/>
    <w:rsid w:val="008F4E00"/>
    <w:rsid w:val="00902109"/>
    <w:rsid w:val="0090290B"/>
    <w:rsid w:val="00976C1B"/>
    <w:rsid w:val="009807A0"/>
    <w:rsid w:val="00982512"/>
    <w:rsid w:val="00983D10"/>
    <w:rsid w:val="00990ACB"/>
    <w:rsid w:val="009B65AC"/>
    <w:rsid w:val="009C4933"/>
    <w:rsid w:val="009C61D8"/>
    <w:rsid w:val="00A04060"/>
    <w:rsid w:val="00A0640C"/>
    <w:rsid w:val="00A11221"/>
    <w:rsid w:val="00A13051"/>
    <w:rsid w:val="00A45F4A"/>
    <w:rsid w:val="00A51851"/>
    <w:rsid w:val="00A607C8"/>
    <w:rsid w:val="00A67B02"/>
    <w:rsid w:val="00A75D66"/>
    <w:rsid w:val="00A76FE4"/>
    <w:rsid w:val="00A94FA2"/>
    <w:rsid w:val="00AA60F0"/>
    <w:rsid w:val="00AB14D3"/>
    <w:rsid w:val="00AB4337"/>
    <w:rsid w:val="00AC5A4D"/>
    <w:rsid w:val="00AC5EC7"/>
    <w:rsid w:val="00AD6263"/>
    <w:rsid w:val="00AF381E"/>
    <w:rsid w:val="00B167BE"/>
    <w:rsid w:val="00B26B98"/>
    <w:rsid w:val="00B40495"/>
    <w:rsid w:val="00B62F05"/>
    <w:rsid w:val="00BA7900"/>
    <w:rsid w:val="00BB2EE9"/>
    <w:rsid w:val="00BB4DE2"/>
    <w:rsid w:val="00BE1A9A"/>
    <w:rsid w:val="00C067CE"/>
    <w:rsid w:val="00C1590D"/>
    <w:rsid w:val="00C336B9"/>
    <w:rsid w:val="00C522E4"/>
    <w:rsid w:val="00C555B0"/>
    <w:rsid w:val="00C5795D"/>
    <w:rsid w:val="00C70CB5"/>
    <w:rsid w:val="00C71EB9"/>
    <w:rsid w:val="00C749CB"/>
    <w:rsid w:val="00C77F3C"/>
    <w:rsid w:val="00CB4FB6"/>
    <w:rsid w:val="00CF000D"/>
    <w:rsid w:val="00D03B97"/>
    <w:rsid w:val="00D04113"/>
    <w:rsid w:val="00D30C18"/>
    <w:rsid w:val="00D405B2"/>
    <w:rsid w:val="00D45B72"/>
    <w:rsid w:val="00D516CD"/>
    <w:rsid w:val="00D76678"/>
    <w:rsid w:val="00D81D9B"/>
    <w:rsid w:val="00D86AC0"/>
    <w:rsid w:val="00D9586A"/>
    <w:rsid w:val="00DB1264"/>
    <w:rsid w:val="00DC6F47"/>
    <w:rsid w:val="00DD034C"/>
    <w:rsid w:val="00DD39CF"/>
    <w:rsid w:val="00DD4F24"/>
    <w:rsid w:val="00DD6F4F"/>
    <w:rsid w:val="00E02590"/>
    <w:rsid w:val="00E233A4"/>
    <w:rsid w:val="00E44677"/>
    <w:rsid w:val="00E6530D"/>
    <w:rsid w:val="00E67AB0"/>
    <w:rsid w:val="00E711CE"/>
    <w:rsid w:val="00E72BE8"/>
    <w:rsid w:val="00E807B1"/>
    <w:rsid w:val="00EB3BCD"/>
    <w:rsid w:val="00EC3E05"/>
    <w:rsid w:val="00EE4EAD"/>
    <w:rsid w:val="00EF170A"/>
    <w:rsid w:val="00EF7615"/>
    <w:rsid w:val="00F0566F"/>
    <w:rsid w:val="00F47E1A"/>
    <w:rsid w:val="00F53EEF"/>
    <w:rsid w:val="00F547B9"/>
    <w:rsid w:val="00F712A8"/>
    <w:rsid w:val="00FB71BA"/>
    <w:rsid w:val="00FE09D1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17DE8"/>
  <w15:docId w15:val="{B1DD9F01-0212-45C4-AF07-B94B1390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customStyle="1" w:styleId="DefaultText">
    <w:name w:val="Default Text"/>
    <w:basedOn w:val="Normal"/>
    <w:rsid w:val="005F71EC"/>
    <w:pPr>
      <w:widowControl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96D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6D6D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96D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6D6D"/>
    <w:rPr>
      <w:rFonts w:ascii="Garamond Antiqua" w:hAnsi="Garamond Antiqu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3AAF-21CE-47A1-B22B-41865454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Carroll, Catherine M.</cp:lastModifiedBy>
  <cp:revision>59</cp:revision>
  <cp:lastPrinted>2011-09-06T14:36:00Z</cp:lastPrinted>
  <dcterms:created xsi:type="dcterms:W3CDTF">2014-11-12T20:48:00Z</dcterms:created>
  <dcterms:modified xsi:type="dcterms:W3CDTF">2020-06-22T14:05:00Z</dcterms:modified>
</cp:coreProperties>
</file>