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E5" w:rsidRPr="006E6BFF" w:rsidRDefault="00F0009E" w:rsidP="00F0009E">
      <w:pPr>
        <w:pStyle w:val="PlainText"/>
        <w:jc w:val="center"/>
        <w:rPr>
          <w:rFonts w:ascii="Bookman Old Style" w:hAnsi="Bookman Old Style" w:cs="Courier New"/>
          <w:b/>
        </w:rPr>
      </w:pPr>
      <w:bookmarkStart w:id="0" w:name="_GoBack"/>
      <w:bookmarkEnd w:id="0"/>
      <w:r w:rsidRPr="006E6BFF">
        <w:rPr>
          <w:rFonts w:ascii="Bookman Old Style" w:hAnsi="Bookman Old Style" w:cs="Courier New"/>
          <w:b/>
        </w:rPr>
        <w:t>95-644</w:t>
      </w:r>
    </w:p>
    <w:p w:rsidR="00F0009E" w:rsidRPr="006E6BFF" w:rsidRDefault="00F0009E" w:rsidP="00F0009E">
      <w:pPr>
        <w:pStyle w:val="PlainText"/>
        <w:jc w:val="center"/>
        <w:rPr>
          <w:rFonts w:ascii="Bookman Old Style" w:hAnsi="Bookman Old Style" w:cs="Courier New"/>
          <w:b/>
        </w:rPr>
      </w:pPr>
      <w:r w:rsidRPr="006E6BFF">
        <w:rPr>
          <w:rFonts w:ascii="Bookman Old Style" w:hAnsi="Bookman Old Style" w:cs="Courier New"/>
          <w:b/>
        </w:rPr>
        <w:t>STATE BOARD OF CORRECTIONS</w:t>
      </w:r>
    </w:p>
    <w:p w:rsidR="00F0009E" w:rsidRPr="006E6BFF" w:rsidRDefault="00F0009E" w:rsidP="00F0009E">
      <w:pPr>
        <w:pStyle w:val="PlainText"/>
        <w:jc w:val="center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2014 – 2015 Regulatory Agenda</w:t>
      </w:r>
    </w:p>
    <w:p w:rsidR="00000000" w:rsidRPr="006E6BFF" w:rsidRDefault="00E93BBF" w:rsidP="00F0009E">
      <w:pPr>
        <w:pStyle w:val="PlainText"/>
        <w:jc w:val="center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June 30, 2014</w:t>
      </w: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UMBRELLA-UNIT NUMBER: </w:t>
      </w:r>
      <w:r w:rsidRPr="006E6BFF">
        <w:rPr>
          <w:rFonts w:ascii="Bookman Old Style" w:hAnsi="Bookman Old Style" w:cs="Courier New"/>
          <w:b/>
        </w:rPr>
        <w:t>95-644</w:t>
      </w: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AGENCY: </w:t>
      </w:r>
      <w:r w:rsidRPr="006E6BFF">
        <w:rPr>
          <w:rFonts w:ascii="Bookman Old Style" w:hAnsi="Bookman Old Style" w:cs="Courier New"/>
          <w:b/>
        </w:rPr>
        <w:t>State Board of Corrections</w:t>
      </w: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</w:p>
    <w:p w:rsidR="005D79E5" w:rsidRPr="006E6BFF" w:rsidRDefault="00F0009E" w:rsidP="00F0009E">
      <w:pPr>
        <w:pStyle w:val="PlainText"/>
        <w:ind w:right="-180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CONTACT PERSON</w:t>
      </w:r>
      <w:r w:rsidR="005D79E5" w:rsidRPr="006E6BFF">
        <w:rPr>
          <w:rFonts w:ascii="Bookman Old Style" w:hAnsi="Bookman Old Style" w:cs="Courier New"/>
        </w:rPr>
        <w:t>: Ryan Thornell, Executive Director</w:t>
      </w:r>
      <w:r w:rsidRPr="006E6BFF">
        <w:rPr>
          <w:rFonts w:ascii="Bookman Old Style" w:hAnsi="Bookman Old Style" w:cs="Courier New"/>
        </w:rPr>
        <w:t>, State House Station #</w:t>
      </w:r>
      <w:r w:rsidR="005D79E5" w:rsidRPr="006E6BFF">
        <w:rPr>
          <w:rFonts w:ascii="Bookman Old Style" w:hAnsi="Bookman Old Style" w:cs="Courier New"/>
        </w:rPr>
        <w:t>111</w:t>
      </w:r>
      <w:r w:rsidRPr="006E6BFF">
        <w:rPr>
          <w:rFonts w:ascii="Bookman Old Style" w:hAnsi="Bookman Old Style" w:cs="Courier New"/>
        </w:rPr>
        <w:t>,</w:t>
      </w:r>
      <w:r w:rsidR="005D79E5" w:rsidRPr="006E6BFF">
        <w:rPr>
          <w:rFonts w:ascii="Bookman Old Style" w:hAnsi="Bookman Old Style" w:cs="Courier New"/>
        </w:rPr>
        <w:t xml:space="preserve"> Augusta, Maine 04333</w:t>
      </w:r>
      <w:r w:rsidRPr="006E6BFF">
        <w:rPr>
          <w:rFonts w:ascii="Bookman Old Style" w:hAnsi="Bookman Old Style" w:cs="Courier New"/>
        </w:rPr>
        <w:t>. Telephone:</w:t>
      </w:r>
      <w:r w:rsidR="005D79E5" w:rsidRPr="006E6BFF">
        <w:rPr>
          <w:rFonts w:ascii="Bookman Old Style" w:hAnsi="Bookman Old Style" w:cs="Courier New"/>
        </w:rPr>
        <w:t xml:space="preserve"> (207) 287-4405</w:t>
      </w:r>
      <w:r w:rsidRPr="006E6BFF">
        <w:rPr>
          <w:rFonts w:ascii="Bookman Old Style" w:hAnsi="Bookman Old Style" w:cs="Courier New"/>
        </w:rPr>
        <w:t xml:space="preserve">. E-mail: </w:t>
      </w:r>
      <w:hyperlink r:id="rId7" w:history="1">
        <w:r w:rsidRPr="006E6BFF">
          <w:rPr>
            <w:rStyle w:val="Hyperlink"/>
            <w:rFonts w:ascii="Bookman Old Style" w:hAnsi="Bookman Old Style" w:cs="Courier New"/>
          </w:rPr>
          <w:t>Ryan.Thornell@Maine.gov</w:t>
        </w:r>
      </w:hyperlink>
      <w:r w:rsidRPr="006E6BFF">
        <w:rPr>
          <w:rFonts w:ascii="Bookman Old Style" w:hAnsi="Bookman Old Style" w:cs="Courier New"/>
        </w:rPr>
        <w:t xml:space="preserve"> 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EM</w:t>
      </w:r>
      <w:r w:rsidR="00F0009E" w:rsidRPr="006E6BFF">
        <w:rPr>
          <w:rFonts w:ascii="Bookman Old Style" w:hAnsi="Bookman Old Style" w:cs="Courier New"/>
          <w:b/>
        </w:rPr>
        <w:t xml:space="preserve">ERGENCY RULES ADOPTED SINCE </w:t>
      </w:r>
      <w:r w:rsidRPr="006E6BFF">
        <w:rPr>
          <w:rFonts w:ascii="Bookman Old Style" w:hAnsi="Bookman Old Style" w:cs="Courier New"/>
          <w:b/>
        </w:rPr>
        <w:t>PREVIOUS REGULATORY AGENDA</w:t>
      </w:r>
      <w:r w:rsidRPr="006E6BFF">
        <w:rPr>
          <w:rFonts w:ascii="Bookman Old Style" w:hAnsi="Bookman Old Style" w:cs="Courier New"/>
        </w:rPr>
        <w:t>:</w:t>
      </w:r>
      <w:r w:rsidR="00F0009E" w:rsidRPr="006E6BFF">
        <w:rPr>
          <w:rFonts w:ascii="Bookman Old Style" w:hAnsi="Bookman Old Style" w:cs="Courier New"/>
        </w:rPr>
        <w:t xml:space="preserve"> </w:t>
      </w:r>
      <w:r w:rsidRPr="006E6BFF">
        <w:rPr>
          <w:rFonts w:ascii="Bookman Old Style" w:hAnsi="Bookman Old Style" w:cs="Courier New"/>
        </w:rPr>
        <w:t>None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EXPECTED 2014-2015 RULE-MAKING ACTIVITY</w:t>
      </w:r>
      <w:r w:rsidRPr="006E6BFF">
        <w:rPr>
          <w:rFonts w:ascii="Bookman Old Style" w:hAnsi="Bookman Old Style" w:cs="Courier New"/>
        </w:rPr>
        <w:t>: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="005D79E5" w:rsidRPr="006E6BFF">
        <w:rPr>
          <w:rFonts w:ascii="Bookman Old Style" w:hAnsi="Bookman Old Style" w:cs="Courier New"/>
        </w:rPr>
        <w:t xml:space="preserve">: Definitions </w:t>
      </w:r>
    </w:p>
    <w:p w:rsidR="00F0009E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STA</w:t>
      </w:r>
      <w:r w:rsidR="00F0009E" w:rsidRPr="006E6BFF">
        <w:rPr>
          <w:rFonts w:ascii="Bookman Old Style" w:hAnsi="Bookman Old Style" w:cs="Courier New"/>
        </w:rPr>
        <w:t>TUTORY AUTHORITY: 34-A M.R.S. §</w:t>
      </w:r>
      <w:r w:rsidRPr="006E6BFF">
        <w:rPr>
          <w:rFonts w:ascii="Bookman Old Style" w:hAnsi="Bookman Old Style" w:cs="Courier New"/>
        </w:rPr>
        <w:t xml:space="preserve">1803(8) </w:t>
      </w:r>
    </w:p>
    <w:p w:rsidR="005D79E5" w:rsidRPr="006E6BFF" w:rsidRDefault="005D79E5" w:rsidP="00F0009E">
      <w:pPr>
        <w:pStyle w:val="PlainText"/>
        <w:ind w:right="360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define and establish uniform meanings for terms used throughout rules adopted by the State Board of Corrections.</w:t>
      </w:r>
    </w:p>
    <w:p w:rsidR="00F0009E" w:rsidRPr="006E6BFF" w:rsidRDefault="00F0009E" w:rsidP="00F0009E">
      <w:pPr>
        <w:pStyle w:val="PlainText"/>
        <w:ind w:right="360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ANTICIPATED SCHEDULE: Fall/</w:t>
      </w:r>
      <w:r w:rsidR="005D79E5" w:rsidRPr="006E6BFF">
        <w:rPr>
          <w:rFonts w:ascii="Bookman Old Style" w:hAnsi="Bookman Old Style" w:cs="Courier New"/>
        </w:rPr>
        <w:t xml:space="preserve">Winter adoption </w:t>
      </w:r>
    </w:p>
    <w:p w:rsidR="005D79E5" w:rsidRPr="006E6BFF" w:rsidRDefault="005D79E5" w:rsidP="00F0009E">
      <w:pPr>
        <w:pStyle w:val="PlainText"/>
        <w:ind w:right="360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Regulated Parties: State and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Pr="006E6BFF">
        <w:rPr>
          <w:rFonts w:ascii="Bookman Old Style" w:hAnsi="Bookman Old Style" w:cs="Courier New"/>
        </w:rPr>
        <w:t xml:space="preserve">: Certificate of Need </w:t>
      </w:r>
      <w:r w:rsidRPr="006E6BFF">
        <w:rPr>
          <w:rFonts w:ascii="Bookman Old Style" w:hAnsi="Bookman Old Style" w:cs="Courier New"/>
          <w:i/>
        </w:rPr>
        <w:t>(Maj</w:t>
      </w:r>
      <w:r w:rsidR="005D79E5" w:rsidRPr="006E6BFF">
        <w:rPr>
          <w:rFonts w:ascii="Bookman Old Style" w:hAnsi="Bookman Old Style" w:cs="Courier New"/>
          <w:i/>
        </w:rPr>
        <w:t>or substantive rule)</w:t>
      </w:r>
      <w:r w:rsidR="005D79E5" w:rsidRPr="006E6BFF">
        <w:rPr>
          <w:rFonts w:ascii="Bookman Old Style" w:hAnsi="Bookman Old Style" w:cs="Courier New"/>
        </w:rPr>
        <w:t xml:space="preserve"> </w:t>
      </w:r>
    </w:p>
    <w:p w:rsidR="00F0009E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STATUTORY AUTHORITY: 34-A M.R.S. §§ 1803(4) and 1803(8)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a certificate of need process and procedures for the review and approval of any future public or private capital correctional construction projects and financing alternatives.</w:t>
      </w:r>
    </w:p>
    <w:p w:rsidR="00F0009E" w:rsidRPr="006E6BFF" w:rsidRDefault="00F0009E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ANTICIPATED SCHEDULE: Fall/</w:t>
      </w:r>
      <w:r w:rsidR="005D79E5" w:rsidRPr="006E6BFF">
        <w:rPr>
          <w:rFonts w:ascii="Bookman Old Style" w:hAnsi="Bookman Old Style" w:cs="Courier New"/>
        </w:rPr>
        <w:t xml:space="preserve">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AFFECTED PARTIES Regulated Parties: State, </w:t>
      </w:r>
      <w:proofErr w:type="gramStart"/>
      <w:r w:rsidRPr="006E6BFF">
        <w:rPr>
          <w:rFonts w:ascii="Bookman Old Style" w:hAnsi="Bookman Old Style" w:cs="Courier New"/>
        </w:rPr>
        <w:t>county,</w:t>
      </w:r>
      <w:proofErr w:type="gramEnd"/>
      <w:r w:rsidRPr="006E6BFF">
        <w:rPr>
          <w:rFonts w:ascii="Bookman Old Style" w:hAnsi="Bookman Old Style" w:cs="Courier New"/>
        </w:rPr>
        <w:t xml:space="preserve"> and private detention and correctional facilities seeking capital correctional construction projects.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DD7485" w:rsidRPr="006E6BFF" w:rsidRDefault="00F0009E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="005D79E5" w:rsidRPr="006E6BFF">
        <w:rPr>
          <w:rFonts w:ascii="Bookman Old Style" w:hAnsi="Bookman Old Style" w:cs="Courier New"/>
        </w:rPr>
        <w:t xml:space="preserve">: Jail Record Keeping and Reporting of Financial Data </w:t>
      </w:r>
    </w:p>
    <w:p w:rsidR="00DD748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STATUTORY AUTHORITY: 34-A M.R.S. §§ 1803(8), 1808(1), and 1810(4) </w:t>
      </w:r>
    </w:p>
    <w:p w:rsidR="005D79E5" w:rsidRPr="006E6BFF" w:rsidRDefault="005D79E5" w:rsidP="00DD7485">
      <w:pPr>
        <w:pStyle w:val="PlainText"/>
        <w:ind w:right="270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standards and procedures for county jail budgets and record keeping.</w:t>
      </w:r>
    </w:p>
    <w:p w:rsidR="00DD7485" w:rsidRPr="006E6BFF" w:rsidRDefault="00DD748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ANTICIPATED SCHEDULE: Fall/</w:t>
      </w:r>
      <w:r w:rsidR="005D79E5" w:rsidRPr="006E6BFF">
        <w:rPr>
          <w:rFonts w:ascii="Bookman Old Style" w:hAnsi="Bookman Old Style" w:cs="Courier New"/>
        </w:rPr>
        <w:t xml:space="preserve">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Regulated Parties: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DD7485" w:rsidRPr="006E6BFF" w:rsidRDefault="00DD748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="005D79E5" w:rsidRPr="006E6BFF">
        <w:rPr>
          <w:rFonts w:ascii="Bookman Old Style" w:hAnsi="Bookman Old Style" w:cs="Courier New"/>
        </w:rPr>
        <w:t xml:space="preserve">: Jail Budget Process </w:t>
      </w:r>
    </w:p>
    <w:p w:rsidR="00DD748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STATUTORY AUTHORITY: 34-A M.R.S. §§ 1803(8), 1810(1), and 1810(4)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standards for the county jail budget format, county jail budget process, and county jail budget submission.</w:t>
      </w:r>
    </w:p>
    <w:p w:rsidR="00DD748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ANTICIPATED SCHEDULE: Fall/Winter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Regulated Parties: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DD7485" w:rsidRPr="006E6BFF" w:rsidRDefault="00DD748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="005D79E5" w:rsidRPr="006E6BFF">
        <w:rPr>
          <w:rFonts w:ascii="Bookman Old Style" w:hAnsi="Bookman Old Style" w:cs="Courier New"/>
        </w:rPr>
        <w:t xml:space="preserve">: Capital Expenditure Budget </w:t>
      </w:r>
    </w:p>
    <w:p w:rsidR="00DD748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STATUTORY AUTHORITY: 34-A M.R.S. §§ 1803(8) and 1811(4)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standards for governing the capital expenditure budget of the coordinated jail system, including standardized development, reporting, and decision-making of capital expenditure requests and needs.</w:t>
      </w:r>
    </w:p>
    <w:p w:rsidR="00DD748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ANTICIPATED SCHEDULE: Fall/Winter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Regulated Parties: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DD7485" w:rsidRPr="006E6BFF" w:rsidRDefault="00DD748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="005D79E5" w:rsidRPr="006E6BFF">
        <w:rPr>
          <w:rFonts w:ascii="Bookman Old Style" w:hAnsi="Bookman Old Style" w:cs="Courier New"/>
        </w:rPr>
        <w:t xml:space="preserve">: Jail Staffing </w:t>
      </w:r>
    </w:p>
    <w:p w:rsidR="00DD748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STATUTORY AUTHORITY: 34-A M.R.S. §§ 1803(2</w:t>
      </w:r>
      <w:proofErr w:type="gramStart"/>
      <w:r w:rsidRPr="006E6BFF">
        <w:rPr>
          <w:rFonts w:ascii="Bookman Old Style" w:hAnsi="Bookman Old Style" w:cs="Courier New"/>
        </w:rPr>
        <w:t>)(</w:t>
      </w:r>
      <w:proofErr w:type="gramEnd"/>
      <w:r w:rsidRPr="006E6BFF">
        <w:rPr>
          <w:rFonts w:ascii="Bookman Old Style" w:hAnsi="Bookman Old Style" w:cs="Courier New"/>
        </w:rPr>
        <w:t xml:space="preserve">B) and 1803(8)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standards and procedures for analyzing and establishing staffing qualifications and levels at county jail facilities.</w:t>
      </w:r>
    </w:p>
    <w:p w:rsidR="00DD748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ANTICIPATED SCHEDULE: Fall/Winter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Benefited Parties: County jail staff Regulated Parties: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6E6BFF" w:rsidRPr="006E6BFF" w:rsidRDefault="006E6BFF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="005D79E5" w:rsidRPr="006E6BFF">
        <w:rPr>
          <w:rFonts w:ascii="Bookman Old Style" w:hAnsi="Bookman Old Style" w:cs="Courier New"/>
        </w:rPr>
        <w:t xml:space="preserve">: Inmate Administration </w:t>
      </w:r>
    </w:p>
    <w:p w:rsidR="00F0009E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STATUTORY AUTHORITY: 34-A M.R.S. §§ 1803(l</w:t>
      </w:r>
      <w:proofErr w:type="gramStart"/>
      <w:r w:rsidRPr="006E6BFF">
        <w:rPr>
          <w:rFonts w:ascii="Bookman Old Style" w:hAnsi="Bookman Old Style" w:cs="Courier New"/>
        </w:rPr>
        <w:t>)(</w:t>
      </w:r>
      <w:proofErr w:type="gramEnd"/>
      <w:r w:rsidRPr="006E6BFF">
        <w:rPr>
          <w:rFonts w:ascii="Bookman Old Style" w:hAnsi="Bookman Old Style" w:cs="Courier New"/>
        </w:rPr>
        <w:t xml:space="preserve">E), 1803(2)(D), and 1803(8)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parameters for facility population and policies regarding the management of county jail bed space and inmate transfers between county jails.</w:t>
      </w:r>
    </w:p>
    <w:p w:rsidR="006E6BFF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ANTICIPATED SCHEDULE: Fall/Winter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Benefited Parties: County jail inmates Regulated Parties: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6E6BFF" w:rsidRPr="006E6BFF" w:rsidRDefault="006E6BFF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="005D79E5" w:rsidRPr="006E6BFF">
        <w:rPr>
          <w:rFonts w:ascii="Bookman Old Style" w:hAnsi="Bookman Old Style" w:cs="Courier New"/>
        </w:rPr>
        <w:t xml:space="preserve">: Inmate Services </w:t>
      </w:r>
    </w:p>
    <w:p w:rsidR="00F0009E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STATUTORY AUTHORITY: 34-A M.R.S. §§ 1803(3</w:t>
      </w:r>
      <w:proofErr w:type="gramStart"/>
      <w:r w:rsidRPr="006E6BFF">
        <w:rPr>
          <w:rFonts w:ascii="Bookman Old Style" w:hAnsi="Bookman Old Style" w:cs="Courier New"/>
        </w:rPr>
        <w:t>)(</w:t>
      </w:r>
      <w:proofErr w:type="gramEnd"/>
      <w:r w:rsidRPr="006E6BFF">
        <w:rPr>
          <w:rFonts w:ascii="Bookman Old Style" w:hAnsi="Bookman Old Style" w:cs="Courier New"/>
        </w:rPr>
        <w:t xml:space="preserve">A), 1803(3)(B) and 1803(8)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standardization of inmate programs, services, and treatment across the coordinated correctional system.</w:t>
      </w:r>
    </w:p>
    <w:p w:rsidR="006E6BFF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ANTICIPATED SCHEDULE: Fall/Winter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Benefited Parties: County jail inmates Regulated Parties: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6E6BFF" w:rsidRPr="006E6BFF" w:rsidRDefault="006E6BFF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NEW RULE</w:t>
      </w:r>
      <w:r w:rsidR="005D79E5" w:rsidRPr="006E6BFF">
        <w:rPr>
          <w:rFonts w:ascii="Bookman Old Style" w:hAnsi="Bookman Old Style" w:cs="Courier New"/>
        </w:rPr>
        <w:t xml:space="preserve">: Mediation Proceedings </w:t>
      </w:r>
    </w:p>
    <w:p w:rsidR="00F0009E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 xml:space="preserve">STATUTORY AUTHORITY: 34-A M.R.S. §§ 1803(8) and 1814(2)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develop a mediation process for resolving disagreements and disputes between counties and the Board.</w:t>
      </w:r>
    </w:p>
    <w:p w:rsidR="006E6BFF" w:rsidRPr="006E6BFF" w:rsidRDefault="00F0009E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ANTICIPATED SCHEDULE: Fall/</w:t>
      </w:r>
      <w:r w:rsidR="005D79E5" w:rsidRPr="006E6BFF">
        <w:rPr>
          <w:rFonts w:ascii="Bookman Old Style" w:hAnsi="Bookman Old Style" w:cs="Courier New"/>
        </w:rPr>
        <w:t xml:space="preserve">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Regulated Parties: Board of Corrections,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contemplated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</w:p>
    <w:p w:rsidR="006E6BFF" w:rsidRPr="006E6BFF" w:rsidRDefault="006E6BFF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  <w:b/>
        </w:rPr>
        <w:t>NEW RULE</w:t>
      </w:r>
      <w:r w:rsidRPr="006E6BFF">
        <w:rPr>
          <w:rFonts w:ascii="Bookman Old Style" w:hAnsi="Bookman Old Style" w:cs="Courier New"/>
        </w:rPr>
        <w:t xml:space="preserve">: Habitual Violators </w:t>
      </w:r>
      <w:r w:rsidRPr="006E6BFF">
        <w:rPr>
          <w:rFonts w:ascii="Bookman Old Style" w:hAnsi="Bookman Old Style" w:cs="Courier New"/>
          <w:i/>
        </w:rPr>
        <w:t>(M</w:t>
      </w:r>
      <w:r w:rsidR="005D79E5" w:rsidRPr="006E6BFF">
        <w:rPr>
          <w:rFonts w:ascii="Bookman Old Style" w:hAnsi="Bookman Old Style" w:cs="Courier New"/>
          <w:i/>
        </w:rPr>
        <w:t>ajor substantive rule)</w:t>
      </w:r>
      <w:r w:rsidR="005D79E5" w:rsidRPr="006E6BFF">
        <w:rPr>
          <w:rFonts w:ascii="Bookman Old Style" w:hAnsi="Bookman Old Style" w:cs="Courier New"/>
        </w:rPr>
        <w:t xml:space="preserve"> </w:t>
      </w:r>
    </w:p>
    <w:p w:rsidR="00F0009E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STATUTORY AUTHORITY: 34-A M.R.S. §§ 1803(8) and 1814(1</w:t>
      </w:r>
      <w:proofErr w:type="gramStart"/>
      <w:r w:rsidRPr="006E6BFF">
        <w:rPr>
          <w:rFonts w:ascii="Bookman Old Style" w:hAnsi="Bookman Old Style" w:cs="Courier New"/>
        </w:rPr>
        <w:t>)(</w:t>
      </w:r>
      <w:proofErr w:type="gramEnd"/>
      <w:r w:rsidRPr="006E6BFF">
        <w:rPr>
          <w:rFonts w:ascii="Bookman Old Style" w:hAnsi="Bookman Old Style" w:cs="Courier New"/>
        </w:rPr>
        <w:t xml:space="preserve">E)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PURPOSE: To establish procedures for determining whether a county jail is "habitu</w:t>
      </w:r>
      <w:r w:rsidR="006E6BFF" w:rsidRPr="006E6BFF">
        <w:rPr>
          <w:rFonts w:ascii="Bookman Old Style" w:hAnsi="Bookman Old Style" w:cs="Courier New"/>
        </w:rPr>
        <w:t>al violator" under 34A M.R.S. §1814(1</w:t>
      </w:r>
      <w:proofErr w:type="gramStart"/>
      <w:r w:rsidRPr="006E6BFF">
        <w:rPr>
          <w:rFonts w:ascii="Bookman Old Style" w:hAnsi="Bookman Old Style" w:cs="Courier New"/>
        </w:rPr>
        <w:t>)(</w:t>
      </w:r>
      <w:proofErr w:type="gramEnd"/>
      <w:r w:rsidRPr="006E6BFF">
        <w:rPr>
          <w:rFonts w:ascii="Bookman Old Style" w:hAnsi="Bookman Old Style" w:cs="Courier New"/>
        </w:rPr>
        <w:t>E) and for restricting or modifying the operations of habitual violators.</w:t>
      </w:r>
    </w:p>
    <w:p w:rsidR="006E6BFF" w:rsidRPr="006E6BFF" w:rsidRDefault="006E6BFF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ANTICIPATED SCHEDULE: Fall/</w:t>
      </w:r>
      <w:r w:rsidR="005D79E5" w:rsidRPr="006E6BFF">
        <w:rPr>
          <w:rFonts w:ascii="Bookman Old Style" w:hAnsi="Bookman Old Style" w:cs="Courier New"/>
        </w:rPr>
        <w:t xml:space="preserve">Winter adoption 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AFFECTED PARTIES Regulated Parties: Board of Corrections, County detention and correctional facilities.</w:t>
      </w:r>
    </w:p>
    <w:p w:rsidR="005D79E5" w:rsidRPr="006E6BFF" w:rsidRDefault="005D79E5" w:rsidP="005D79E5">
      <w:pPr>
        <w:pStyle w:val="PlainText"/>
        <w:rPr>
          <w:rFonts w:ascii="Bookman Old Style" w:hAnsi="Bookman Old Style" w:cs="Courier New"/>
        </w:rPr>
      </w:pPr>
      <w:r w:rsidRPr="006E6BFF">
        <w:rPr>
          <w:rFonts w:ascii="Bookman Old Style" w:hAnsi="Bookman Old Style" w:cs="Courier New"/>
        </w:rPr>
        <w:t>CONSENSUS-BASED RULE DEVELOPMENT: not contempl</w:t>
      </w:r>
      <w:r w:rsidR="006E6BFF" w:rsidRPr="006E6BFF">
        <w:rPr>
          <w:rFonts w:ascii="Bookman Old Style" w:hAnsi="Bookman Old Style" w:cs="Courier New"/>
        </w:rPr>
        <w:t>ated</w:t>
      </w:r>
    </w:p>
    <w:sectPr w:rsidR="005D79E5" w:rsidRPr="006E6BFF" w:rsidSect="006E6BFF">
      <w:footerReference w:type="default" r:id="rId8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85" w:rsidRDefault="00DD7485" w:rsidP="00DD7485">
      <w:r>
        <w:separator/>
      </w:r>
    </w:p>
  </w:endnote>
  <w:endnote w:type="continuationSeparator" w:id="0">
    <w:p w:rsidR="00DD7485" w:rsidRDefault="00DD7485" w:rsidP="00DD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86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485" w:rsidRDefault="00DD7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485" w:rsidRDefault="00DD7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85" w:rsidRDefault="00DD7485" w:rsidP="00DD7485">
      <w:r>
        <w:separator/>
      </w:r>
    </w:p>
  </w:footnote>
  <w:footnote w:type="continuationSeparator" w:id="0">
    <w:p w:rsidR="00DD7485" w:rsidRDefault="00DD7485" w:rsidP="00DD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3174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1A0D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866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9C6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D79E5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E6BFF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485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3BBF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009E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69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691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0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485"/>
  </w:style>
  <w:style w:type="paragraph" w:styleId="Footer">
    <w:name w:val="footer"/>
    <w:basedOn w:val="Normal"/>
    <w:link w:val="FooterChar"/>
    <w:uiPriority w:val="99"/>
    <w:unhideWhenUsed/>
    <w:rsid w:val="00DD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69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691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0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485"/>
  </w:style>
  <w:style w:type="paragraph" w:styleId="Footer">
    <w:name w:val="footer"/>
    <w:basedOn w:val="Normal"/>
    <w:link w:val="FooterChar"/>
    <w:uiPriority w:val="99"/>
    <w:unhideWhenUsed/>
    <w:rsid w:val="00DD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an.Thorne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6</cp:revision>
  <dcterms:created xsi:type="dcterms:W3CDTF">2014-11-13T16:17:00Z</dcterms:created>
  <dcterms:modified xsi:type="dcterms:W3CDTF">2014-11-13T16:34:00Z</dcterms:modified>
</cp:coreProperties>
</file>