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D81" w:rsidRDefault="00991D81" w:rsidP="00D22738">
      <w:pPr>
        <w:rPr>
          <w:rFonts w:eastAsia="Calibri"/>
          <w:b/>
          <w:sz w:val="22"/>
          <w:szCs w:val="22"/>
        </w:rPr>
      </w:pPr>
    </w:p>
    <w:p w:rsidR="00991D81" w:rsidRDefault="00991D81" w:rsidP="00D22738">
      <w:pPr>
        <w:rPr>
          <w:rFonts w:eastAsia="Calibri"/>
          <w:b/>
          <w:sz w:val="22"/>
          <w:szCs w:val="22"/>
        </w:rPr>
      </w:pPr>
    </w:p>
    <w:p w:rsidR="00D22738" w:rsidRPr="00D22738" w:rsidRDefault="00D22738" w:rsidP="00D22738">
      <w:pPr>
        <w:rPr>
          <w:rFonts w:eastAsia="Calibri"/>
          <w:b/>
          <w:sz w:val="22"/>
          <w:szCs w:val="22"/>
        </w:rPr>
      </w:pPr>
      <w:r w:rsidRPr="00D22738">
        <w:rPr>
          <w:rFonts w:eastAsia="Calibri"/>
          <w:b/>
          <w:sz w:val="22"/>
          <w:szCs w:val="22"/>
        </w:rPr>
        <w:t>09-585</w:t>
      </w:r>
      <w:r w:rsidRPr="00D22738">
        <w:rPr>
          <w:rFonts w:eastAsia="Calibri"/>
          <w:b/>
          <w:sz w:val="22"/>
          <w:szCs w:val="22"/>
        </w:rPr>
        <w:tab/>
      </w:r>
      <w:r w:rsidRPr="00D22738">
        <w:rPr>
          <w:rFonts w:eastAsia="Calibri"/>
          <w:b/>
          <w:sz w:val="22"/>
          <w:szCs w:val="22"/>
        </w:rPr>
        <w:tab/>
        <w:t>DEPARTMENT OF INLAND FISHERIES AND WILDLIFE</w:t>
      </w:r>
    </w:p>
    <w:p w:rsidR="00D22738" w:rsidRPr="00D22738" w:rsidRDefault="00D22738" w:rsidP="00D22738">
      <w:pPr>
        <w:rPr>
          <w:rFonts w:eastAsia="Calibri"/>
          <w:b/>
          <w:sz w:val="22"/>
          <w:szCs w:val="22"/>
        </w:rPr>
      </w:pPr>
    </w:p>
    <w:p w:rsidR="00D22738" w:rsidRPr="00D22738" w:rsidRDefault="00D22738" w:rsidP="00D22738">
      <w:pPr>
        <w:rPr>
          <w:rFonts w:eastAsia="Calibri"/>
          <w:b/>
          <w:sz w:val="22"/>
          <w:szCs w:val="22"/>
        </w:rPr>
      </w:pPr>
      <w:r w:rsidRPr="00D22738">
        <w:rPr>
          <w:rFonts w:eastAsia="Calibri"/>
          <w:b/>
          <w:sz w:val="22"/>
          <w:szCs w:val="22"/>
        </w:rPr>
        <w:tab/>
      </w:r>
      <w:r w:rsidRPr="00D22738">
        <w:rPr>
          <w:rFonts w:eastAsia="Calibri"/>
          <w:b/>
          <w:sz w:val="22"/>
          <w:szCs w:val="22"/>
        </w:rPr>
        <w:tab/>
        <w:t>MAINE OUTDOOR HERITAGE FUND BOARD</w:t>
      </w:r>
    </w:p>
    <w:p w:rsidR="00D22738" w:rsidRPr="00D22738" w:rsidRDefault="00D22738" w:rsidP="00D22738">
      <w:pPr>
        <w:rPr>
          <w:rFonts w:eastAsia="Calibri"/>
          <w:b/>
          <w:sz w:val="22"/>
          <w:szCs w:val="22"/>
        </w:rPr>
      </w:pPr>
    </w:p>
    <w:p w:rsidR="00D22738" w:rsidRPr="00D22738" w:rsidRDefault="00D22738" w:rsidP="00D22738">
      <w:pPr>
        <w:rPr>
          <w:rFonts w:eastAsia="Calibri"/>
          <w:b/>
          <w:sz w:val="22"/>
          <w:szCs w:val="22"/>
        </w:rPr>
      </w:pPr>
      <w:r w:rsidRPr="00D22738">
        <w:rPr>
          <w:rFonts w:eastAsia="Calibri"/>
          <w:b/>
          <w:sz w:val="22"/>
          <w:szCs w:val="22"/>
        </w:rPr>
        <w:t>Chapter 25:</w:t>
      </w:r>
      <w:r w:rsidRPr="00D22738">
        <w:rPr>
          <w:rFonts w:eastAsia="Calibri"/>
          <w:b/>
          <w:sz w:val="22"/>
          <w:szCs w:val="22"/>
        </w:rPr>
        <w:tab/>
        <w:t>MAINE OUTDOOR HERITAGE FUND - STRATEGIC PLAN (</w:t>
      </w:r>
      <w:r w:rsidR="00991D81" w:rsidRPr="00D22738">
        <w:rPr>
          <w:rFonts w:eastAsia="Calibri"/>
          <w:b/>
          <w:sz w:val="22"/>
          <w:szCs w:val="22"/>
        </w:rPr>
        <w:t>January</w:t>
      </w:r>
      <w:r w:rsidR="00991D81">
        <w:rPr>
          <w:rFonts w:eastAsia="Calibri"/>
          <w:b/>
          <w:sz w:val="22"/>
          <w:szCs w:val="22"/>
        </w:rPr>
        <w:t>,</w:t>
      </w:r>
      <w:r w:rsidRPr="00D22738">
        <w:rPr>
          <w:rFonts w:eastAsia="Calibri"/>
          <w:b/>
          <w:sz w:val="22"/>
          <w:szCs w:val="22"/>
        </w:rPr>
        <w:t xml:space="preserve"> 20</w:t>
      </w:r>
      <w:r>
        <w:rPr>
          <w:rFonts w:eastAsia="Calibri"/>
          <w:b/>
          <w:sz w:val="22"/>
          <w:szCs w:val="22"/>
        </w:rPr>
        <w:t>20</w:t>
      </w:r>
      <w:r w:rsidRPr="00D22738">
        <w:rPr>
          <w:rFonts w:eastAsia="Calibri"/>
          <w:b/>
          <w:sz w:val="22"/>
          <w:szCs w:val="22"/>
        </w:rPr>
        <w:t>)</w:t>
      </w:r>
    </w:p>
    <w:p w:rsidR="008B630A" w:rsidRPr="006E7216" w:rsidRDefault="008B630A" w:rsidP="00D22738">
      <w:pPr>
        <w:pStyle w:val="PlainText"/>
        <w:pBdr>
          <w:bottom w:val="single" w:sz="4" w:space="1" w:color="auto"/>
        </w:pBdr>
        <w:rPr>
          <w:rFonts w:ascii="Times New Roman" w:hAnsi="Times New Roman"/>
          <w:sz w:val="22"/>
          <w:szCs w:val="22"/>
        </w:rPr>
      </w:pPr>
    </w:p>
    <w:p w:rsidR="00D22738" w:rsidRDefault="00D22738">
      <w:pPr>
        <w:pStyle w:val="PlainText"/>
        <w:rPr>
          <w:rFonts w:ascii="Times New Roman" w:hAnsi="Times New Roman"/>
          <w:b/>
          <w:sz w:val="22"/>
          <w:szCs w:val="22"/>
        </w:rPr>
      </w:pPr>
    </w:p>
    <w:p w:rsidR="00D22738" w:rsidRDefault="00D22738">
      <w:pPr>
        <w:pStyle w:val="PlainText"/>
        <w:rPr>
          <w:rFonts w:ascii="Times New Roman" w:hAnsi="Times New Roman"/>
          <w:b/>
          <w:sz w:val="22"/>
          <w:szCs w:val="22"/>
        </w:rPr>
      </w:pPr>
    </w:p>
    <w:p w:rsidR="008B630A" w:rsidRPr="006E7216" w:rsidRDefault="008B630A">
      <w:pPr>
        <w:pStyle w:val="PlainText"/>
        <w:rPr>
          <w:rFonts w:ascii="Times New Roman" w:hAnsi="Times New Roman"/>
          <w:b/>
          <w:sz w:val="22"/>
          <w:szCs w:val="22"/>
        </w:rPr>
      </w:pPr>
      <w:r w:rsidRPr="006E7216">
        <w:rPr>
          <w:rFonts w:ascii="Times New Roman" w:hAnsi="Times New Roman"/>
          <w:b/>
          <w:sz w:val="22"/>
          <w:szCs w:val="22"/>
        </w:rPr>
        <w:t>Overview</w:t>
      </w:r>
    </w:p>
    <w:p w:rsidR="008B630A" w:rsidRPr="006E7216" w:rsidRDefault="008B630A">
      <w:pPr>
        <w:pStyle w:val="PlainText"/>
        <w:rPr>
          <w:rFonts w:ascii="Times New Roman" w:hAnsi="Times New Roman"/>
          <w:sz w:val="22"/>
          <w:szCs w:val="22"/>
        </w:rPr>
      </w:pPr>
    </w:p>
    <w:p w:rsidR="008B630A" w:rsidRPr="006E7216" w:rsidRDefault="008B630A">
      <w:pPr>
        <w:pStyle w:val="PlainText"/>
        <w:rPr>
          <w:rFonts w:ascii="Times New Roman" w:hAnsi="Times New Roman"/>
          <w:sz w:val="22"/>
          <w:szCs w:val="22"/>
        </w:rPr>
      </w:pPr>
      <w:r w:rsidRPr="006E7216">
        <w:rPr>
          <w:rFonts w:ascii="Times New Roman" w:hAnsi="Times New Roman"/>
          <w:sz w:val="22"/>
          <w:szCs w:val="22"/>
        </w:rPr>
        <w:t xml:space="preserve">The Maine Outdoor Heritage Fund was established in July 1995 through L.D. 717, </w:t>
      </w:r>
      <w:r w:rsidRPr="00BD2467">
        <w:rPr>
          <w:rFonts w:ascii="Times New Roman" w:hAnsi="Times New Roman"/>
          <w:i/>
          <w:sz w:val="22"/>
          <w:szCs w:val="22"/>
        </w:rPr>
        <w:t>An Act to Establish the Maine Outdoor Heritage Fund</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As stated in Title12, MRSA c. 903, section 10303,</w:t>
      </w:r>
    </w:p>
    <w:p w:rsidR="008B630A" w:rsidRPr="006E7216" w:rsidRDefault="008B630A">
      <w:pPr>
        <w:pStyle w:val="PlainText"/>
        <w:rPr>
          <w:rFonts w:ascii="Times New Roman" w:hAnsi="Times New Roman"/>
          <w:sz w:val="22"/>
          <w:szCs w:val="22"/>
        </w:rPr>
      </w:pPr>
    </w:p>
    <w:p w:rsidR="008B630A" w:rsidRPr="006E7216" w:rsidRDefault="008B630A">
      <w:pPr>
        <w:pStyle w:val="PlainText"/>
        <w:rPr>
          <w:rFonts w:ascii="Times New Roman" w:hAnsi="Times New Roman"/>
          <w:sz w:val="22"/>
          <w:szCs w:val="22"/>
        </w:rPr>
      </w:pPr>
      <w:r w:rsidRPr="006E7216">
        <w:rPr>
          <w:rFonts w:ascii="Times New Roman" w:hAnsi="Times New Roman"/>
          <w:sz w:val="22"/>
          <w:szCs w:val="22"/>
        </w:rPr>
        <w:t xml:space="preserve">"The fund is for the sole purpose of maintaining, improving and expanding state and local natural resource conservation programs and associated compatible public uses in accordance with the strategic plan provided for by section 10308, subsection 5, paragraph A." </w:t>
      </w:r>
    </w:p>
    <w:p w:rsidR="008B630A" w:rsidRPr="006E7216" w:rsidRDefault="008B630A">
      <w:pPr>
        <w:pStyle w:val="PlainText"/>
        <w:rPr>
          <w:rFonts w:ascii="Times New Roman" w:hAnsi="Times New Roman"/>
          <w:sz w:val="22"/>
          <w:szCs w:val="22"/>
        </w:rPr>
      </w:pPr>
    </w:p>
    <w:p w:rsidR="008B630A" w:rsidRPr="006E7216" w:rsidRDefault="008B630A">
      <w:pPr>
        <w:pStyle w:val="PlainText"/>
        <w:rPr>
          <w:rFonts w:ascii="Times New Roman" w:hAnsi="Times New Roman"/>
          <w:sz w:val="22"/>
          <w:szCs w:val="22"/>
        </w:rPr>
      </w:pPr>
      <w:r w:rsidRPr="006E7216">
        <w:rPr>
          <w:rFonts w:ascii="Times New Roman" w:hAnsi="Times New Roman"/>
          <w:sz w:val="22"/>
          <w:szCs w:val="22"/>
        </w:rPr>
        <w:t>Title 12, MRSA c. 903, section 10308 charges the Maine Outdoor Heritage Fund Board with adopting a strategic plan for each of the funding categories listed in section 10307.</w:t>
      </w:r>
      <w:r w:rsidR="00D950BC">
        <w:rPr>
          <w:rFonts w:ascii="Times New Roman" w:hAnsi="Times New Roman"/>
          <w:sz w:val="22"/>
          <w:szCs w:val="22"/>
        </w:rPr>
        <w:t xml:space="preserve"> </w:t>
      </w:r>
      <w:r w:rsidRPr="006E7216">
        <w:rPr>
          <w:rFonts w:ascii="Times New Roman" w:hAnsi="Times New Roman"/>
          <w:sz w:val="22"/>
          <w:szCs w:val="22"/>
        </w:rPr>
        <w:t>As the law states, "The strategic plan must identify the priority areas for funding…using the criteria listed in section 10309."</w:t>
      </w:r>
      <w:r w:rsidR="00D950BC">
        <w:rPr>
          <w:rFonts w:ascii="Times New Roman" w:hAnsi="Times New Roman"/>
          <w:sz w:val="22"/>
          <w:szCs w:val="22"/>
        </w:rPr>
        <w:t xml:space="preserve"> </w:t>
      </w:r>
      <w:r w:rsidRPr="006E7216">
        <w:rPr>
          <w:rFonts w:ascii="Times New Roman" w:hAnsi="Times New Roman"/>
          <w:sz w:val="22"/>
          <w:szCs w:val="22"/>
        </w:rPr>
        <w:t xml:space="preserve">This strategic plan is intended to fulfill the requirements of Title 12, MRSA c. 903, section 10308 stated above, and to provide direction to the Board and natural resource agencies on the long-term funding priorities of the Maine Outdoor Heritage Fund. </w:t>
      </w:r>
    </w:p>
    <w:p w:rsidR="008B630A" w:rsidRPr="006E7216" w:rsidRDefault="008B630A">
      <w:pPr>
        <w:pStyle w:val="PlainText"/>
        <w:rPr>
          <w:rFonts w:ascii="Times New Roman" w:hAnsi="Times New Roman"/>
          <w:sz w:val="22"/>
          <w:szCs w:val="22"/>
        </w:rPr>
      </w:pPr>
    </w:p>
    <w:p w:rsidR="008B630A" w:rsidRPr="006E7216" w:rsidRDefault="008B630A">
      <w:pPr>
        <w:pStyle w:val="PlainText"/>
        <w:rPr>
          <w:rFonts w:ascii="Times New Roman" w:hAnsi="Times New Roman"/>
          <w:b/>
          <w:bCs/>
          <w:sz w:val="22"/>
          <w:szCs w:val="22"/>
          <w:u w:val="single"/>
        </w:rPr>
      </w:pPr>
      <w:r w:rsidRPr="006E7216">
        <w:rPr>
          <w:rFonts w:ascii="Times New Roman" w:hAnsi="Times New Roman"/>
          <w:b/>
          <w:bCs/>
          <w:sz w:val="22"/>
          <w:szCs w:val="22"/>
          <w:u w:val="single"/>
        </w:rPr>
        <w:t>Guiding Principles</w:t>
      </w:r>
    </w:p>
    <w:p w:rsidR="008B630A" w:rsidRPr="006E7216" w:rsidRDefault="008B630A">
      <w:pPr>
        <w:pStyle w:val="PlainText"/>
        <w:rPr>
          <w:rFonts w:ascii="Times New Roman" w:hAnsi="Times New Roman"/>
          <w:sz w:val="22"/>
          <w:szCs w:val="22"/>
        </w:rPr>
      </w:pPr>
    </w:p>
    <w:p w:rsidR="008B630A" w:rsidRPr="006E7216" w:rsidRDefault="008B630A" w:rsidP="00A719B0">
      <w:pPr>
        <w:pStyle w:val="PlainText"/>
        <w:rPr>
          <w:rFonts w:ascii="Times New Roman" w:hAnsi="Times New Roman"/>
          <w:sz w:val="22"/>
          <w:szCs w:val="22"/>
        </w:rPr>
      </w:pPr>
      <w:r w:rsidRPr="006E7216">
        <w:rPr>
          <w:rFonts w:ascii="Times New Roman" w:hAnsi="Times New Roman"/>
          <w:sz w:val="22"/>
          <w:szCs w:val="22"/>
        </w:rPr>
        <w:t>The Maine Outdoor Heritage Fund Board will be guided by the following principles as it considers grant requests during the period of its duration, which is expected to be the next six years – through December,</w:t>
      </w:r>
      <w:r w:rsidR="00D950BC">
        <w:rPr>
          <w:rFonts w:ascii="Times New Roman" w:hAnsi="Times New Roman"/>
          <w:sz w:val="22"/>
          <w:szCs w:val="22"/>
        </w:rPr>
        <w:t xml:space="preserve"> </w:t>
      </w:r>
      <w:r w:rsidR="0021705C">
        <w:rPr>
          <w:rFonts w:ascii="Times New Roman" w:hAnsi="Times New Roman"/>
          <w:sz w:val="22"/>
          <w:szCs w:val="22"/>
        </w:rPr>
        <w:t>2025</w:t>
      </w:r>
      <w:r w:rsidR="00B644C3" w:rsidRPr="006E7216">
        <w:rPr>
          <w:rFonts w:ascii="Times New Roman" w:hAnsi="Times New Roman"/>
          <w:sz w:val="22"/>
          <w:szCs w:val="22"/>
        </w:rPr>
        <w:t xml:space="preserve">. </w:t>
      </w:r>
      <w:r w:rsidRPr="006E7216">
        <w:rPr>
          <w:rFonts w:ascii="Times New Roman" w:hAnsi="Times New Roman"/>
          <w:sz w:val="22"/>
          <w:szCs w:val="22"/>
        </w:rPr>
        <w:t>It will give preference to projects that most substantially accomplish one or more of these objectives:</w:t>
      </w:r>
    </w:p>
    <w:p w:rsidR="008B630A" w:rsidRPr="006E7216" w:rsidRDefault="008B630A">
      <w:pPr>
        <w:pStyle w:val="PlainText"/>
        <w:rPr>
          <w:rFonts w:ascii="Times New Roman" w:hAnsi="Times New Roman"/>
          <w:sz w:val="22"/>
          <w:szCs w:val="22"/>
        </w:rPr>
      </w:pPr>
    </w:p>
    <w:p w:rsidR="008B630A" w:rsidRPr="006E7216" w:rsidRDefault="008B630A" w:rsidP="006E7216">
      <w:pPr>
        <w:pStyle w:val="PlainText"/>
        <w:numPr>
          <w:ilvl w:val="0"/>
          <w:numId w:val="24"/>
        </w:numPr>
        <w:rPr>
          <w:rFonts w:ascii="Times New Roman" w:hAnsi="Times New Roman"/>
          <w:sz w:val="22"/>
          <w:szCs w:val="22"/>
        </w:rPr>
      </w:pPr>
      <w:r w:rsidRPr="00821EE8">
        <w:rPr>
          <w:rFonts w:ascii="Times New Roman" w:hAnsi="Times New Roman"/>
          <w:sz w:val="22"/>
          <w:szCs w:val="22"/>
        </w:rPr>
        <w:t xml:space="preserve">conserve </w:t>
      </w:r>
      <w:r w:rsidR="00BE173B" w:rsidRPr="00821EE8">
        <w:rPr>
          <w:rFonts w:ascii="Times New Roman" w:hAnsi="Times New Roman"/>
          <w:sz w:val="22"/>
          <w:szCs w:val="22"/>
        </w:rPr>
        <w:t xml:space="preserve">the best of </w:t>
      </w:r>
      <w:r w:rsidRPr="00821EE8">
        <w:rPr>
          <w:rFonts w:ascii="Times New Roman" w:hAnsi="Times New Roman"/>
          <w:sz w:val="22"/>
          <w:szCs w:val="22"/>
        </w:rPr>
        <w:t xml:space="preserve">Maine's outdoor heritage and </w:t>
      </w:r>
      <w:r w:rsidR="00BE173B" w:rsidRPr="00821EE8">
        <w:rPr>
          <w:rFonts w:ascii="Times New Roman" w:hAnsi="Times New Roman"/>
          <w:sz w:val="22"/>
          <w:szCs w:val="22"/>
        </w:rPr>
        <w:t xml:space="preserve">achieve </w:t>
      </w:r>
      <w:r w:rsidRPr="00821EE8">
        <w:rPr>
          <w:rFonts w:ascii="Times New Roman" w:hAnsi="Times New Roman"/>
          <w:sz w:val="22"/>
          <w:szCs w:val="22"/>
        </w:rPr>
        <w:t>ou</w:t>
      </w:r>
      <w:r w:rsidR="006E7216" w:rsidRPr="00821EE8">
        <w:rPr>
          <w:rFonts w:ascii="Times New Roman" w:hAnsi="Times New Roman"/>
          <w:sz w:val="22"/>
          <w:szCs w:val="22"/>
        </w:rPr>
        <w:t>tstanding</w:t>
      </w:r>
      <w:r w:rsidR="006E7216">
        <w:rPr>
          <w:rFonts w:ascii="Times New Roman" w:hAnsi="Times New Roman"/>
          <w:sz w:val="22"/>
          <w:szCs w:val="22"/>
        </w:rPr>
        <w:t xml:space="preserve"> natural-resource or </w:t>
      </w:r>
      <w:r w:rsidRPr="006E7216">
        <w:rPr>
          <w:rFonts w:ascii="Times New Roman" w:hAnsi="Times New Roman"/>
          <w:sz w:val="22"/>
          <w:szCs w:val="22"/>
        </w:rPr>
        <w:t>recreational benefits;</w:t>
      </w:r>
    </w:p>
    <w:p w:rsidR="008B630A" w:rsidRPr="006E7216" w:rsidRDefault="008B630A">
      <w:pPr>
        <w:pStyle w:val="PlainText"/>
        <w:rPr>
          <w:rFonts w:ascii="Times New Roman" w:hAnsi="Times New Roman"/>
          <w:sz w:val="22"/>
          <w:szCs w:val="22"/>
        </w:rPr>
      </w:pPr>
    </w:p>
    <w:p w:rsidR="008B630A" w:rsidRPr="00E71FE3" w:rsidRDefault="008B630A" w:rsidP="00A719B0">
      <w:pPr>
        <w:pStyle w:val="PlainText"/>
        <w:numPr>
          <w:ilvl w:val="0"/>
          <w:numId w:val="26"/>
        </w:numPr>
        <w:rPr>
          <w:rFonts w:ascii="Times New Roman" w:hAnsi="Times New Roman"/>
          <w:sz w:val="22"/>
          <w:szCs w:val="22"/>
        </w:rPr>
      </w:pPr>
      <w:r w:rsidRPr="006E7216">
        <w:rPr>
          <w:rFonts w:ascii="Times New Roman" w:hAnsi="Times New Roman"/>
          <w:sz w:val="22"/>
          <w:szCs w:val="22"/>
        </w:rPr>
        <w:t>maximize degree and diversity of public/private</w:t>
      </w:r>
      <w:r w:rsidR="006E7216">
        <w:rPr>
          <w:rFonts w:ascii="Times New Roman" w:hAnsi="Times New Roman"/>
          <w:sz w:val="22"/>
          <w:szCs w:val="22"/>
        </w:rPr>
        <w:t xml:space="preserve"> partnerships or other types of </w:t>
      </w:r>
      <w:r w:rsidRPr="006E7216">
        <w:rPr>
          <w:rFonts w:ascii="Times New Roman" w:hAnsi="Times New Roman"/>
          <w:sz w:val="22"/>
          <w:szCs w:val="22"/>
        </w:rPr>
        <w:t>matching funds; projects with a cash match of 1/3 or higher are e</w:t>
      </w:r>
      <w:r w:rsidR="006E7216">
        <w:rPr>
          <w:rFonts w:ascii="Times New Roman" w:hAnsi="Times New Roman"/>
          <w:sz w:val="22"/>
          <w:szCs w:val="22"/>
        </w:rPr>
        <w:t>ncouraged</w:t>
      </w:r>
      <w:r w:rsidR="00924522">
        <w:rPr>
          <w:rFonts w:ascii="Times New Roman" w:hAnsi="Times New Roman"/>
          <w:sz w:val="22"/>
          <w:szCs w:val="22"/>
        </w:rPr>
        <w:t>.</w:t>
      </w:r>
      <w:r w:rsidR="00D950BC">
        <w:rPr>
          <w:rFonts w:ascii="Times New Roman" w:hAnsi="Times New Roman"/>
          <w:sz w:val="22"/>
          <w:szCs w:val="22"/>
        </w:rPr>
        <w:t xml:space="preserve"> </w:t>
      </w:r>
      <w:r w:rsidR="00B76851" w:rsidRPr="00EE22B4">
        <w:rPr>
          <w:rFonts w:ascii="Times New Roman" w:hAnsi="Times New Roman"/>
          <w:sz w:val="22"/>
          <w:szCs w:val="22"/>
        </w:rPr>
        <w:t>Funds are intended to support only project-related expenses, including salaries.</w:t>
      </w:r>
      <w:r w:rsidR="00D950BC">
        <w:rPr>
          <w:rFonts w:ascii="Times New Roman" w:hAnsi="Times New Roman"/>
          <w:sz w:val="22"/>
          <w:szCs w:val="22"/>
        </w:rPr>
        <w:t xml:space="preserve"> </w:t>
      </w:r>
      <w:r w:rsidR="00B76851" w:rsidRPr="00EE22B4">
        <w:rPr>
          <w:rFonts w:ascii="Times New Roman" w:hAnsi="Times New Roman"/>
          <w:sz w:val="22"/>
          <w:szCs w:val="22"/>
        </w:rPr>
        <w:t>Monetary match must consist of funds raised specifically for the project proposed and does not include salary costs of natural resource agency staff that are funded by the State General Fund.</w:t>
      </w:r>
      <w:r w:rsidR="00D950BC">
        <w:rPr>
          <w:rFonts w:ascii="Times New Roman" w:hAnsi="Times New Roman"/>
          <w:sz w:val="22"/>
          <w:szCs w:val="22"/>
        </w:rPr>
        <w:t xml:space="preserve"> </w:t>
      </w:r>
      <w:r w:rsidR="00B76851" w:rsidRPr="00EE22B4">
        <w:rPr>
          <w:rFonts w:ascii="Times New Roman" w:hAnsi="Times New Roman"/>
          <w:sz w:val="22"/>
          <w:szCs w:val="22"/>
        </w:rPr>
        <w:t>In-kind contributions that occur during the duration of the project will be considered matching funds.</w:t>
      </w:r>
      <w:r w:rsidR="00D950BC">
        <w:rPr>
          <w:rFonts w:ascii="Times New Roman" w:hAnsi="Times New Roman"/>
          <w:sz w:val="22"/>
          <w:szCs w:val="22"/>
        </w:rPr>
        <w:t xml:space="preserve"> </w:t>
      </w:r>
      <w:r w:rsidR="00B76851" w:rsidRPr="00EE22B4">
        <w:rPr>
          <w:rFonts w:ascii="Times New Roman" w:hAnsi="Times New Roman"/>
          <w:sz w:val="22"/>
          <w:szCs w:val="22"/>
        </w:rPr>
        <w:t>Proposals that are funded will receive funds according to a schedule determined by the Board.</w:t>
      </w:r>
      <w:r w:rsidR="00B76851" w:rsidRPr="00B76851">
        <w:rPr>
          <w:rFonts w:ascii="Times New Roman" w:hAnsi="Times New Roman"/>
          <w:sz w:val="22"/>
          <w:szCs w:val="22"/>
        </w:rPr>
        <w:t xml:space="preserve"> </w:t>
      </w:r>
    </w:p>
    <w:p w:rsidR="00565FCF" w:rsidRPr="006E7216" w:rsidRDefault="008B630A" w:rsidP="006E7216">
      <w:pPr>
        <w:pStyle w:val="ListParagraph"/>
        <w:numPr>
          <w:ilvl w:val="0"/>
          <w:numId w:val="24"/>
        </w:numPr>
        <w:autoSpaceDE w:val="0"/>
        <w:autoSpaceDN w:val="0"/>
        <w:adjustRightInd w:val="0"/>
        <w:spacing w:before="240" w:after="0" w:line="240" w:lineRule="auto"/>
        <w:contextualSpacing w:val="0"/>
        <w:rPr>
          <w:rFonts w:ascii="Times New Roman" w:hAnsi="Times New Roman"/>
          <w:color w:val="000000"/>
        </w:rPr>
      </w:pPr>
      <w:r w:rsidRPr="006E7216">
        <w:rPr>
          <w:rFonts w:ascii="Times New Roman" w:hAnsi="Times New Roman"/>
        </w:rPr>
        <w:t xml:space="preserve">form alliances between natural resource agencies, interest </w:t>
      </w:r>
      <w:r w:rsidR="006E7216">
        <w:rPr>
          <w:rFonts w:ascii="Times New Roman" w:hAnsi="Times New Roman"/>
        </w:rPr>
        <w:t>groups</w:t>
      </w:r>
      <w:r w:rsidR="00241AD8">
        <w:rPr>
          <w:rFonts w:ascii="Times New Roman" w:hAnsi="Times New Roman"/>
        </w:rPr>
        <w:t>,</w:t>
      </w:r>
      <w:r w:rsidR="006E7216">
        <w:rPr>
          <w:rFonts w:ascii="Times New Roman" w:hAnsi="Times New Roman"/>
        </w:rPr>
        <w:t xml:space="preserve"> and organizations based </w:t>
      </w:r>
      <w:r w:rsidRPr="006E7216">
        <w:rPr>
          <w:rFonts w:ascii="Times New Roman" w:hAnsi="Times New Roman"/>
        </w:rPr>
        <w:t>on shared visions and mutual responsibility</w:t>
      </w:r>
      <w:r w:rsidR="00654FA8">
        <w:rPr>
          <w:rFonts w:ascii="Times New Roman" w:hAnsi="Times New Roman"/>
        </w:rPr>
        <w:t>.</w:t>
      </w:r>
      <w:r w:rsidR="00D950BC">
        <w:rPr>
          <w:rFonts w:ascii="Times New Roman" w:hAnsi="Times New Roman"/>
        </w:rPr>
        <w:t xml:space="preserve"> </w:t>
      </w:r>
      <w:r w:rsidR="00565FCF" w:rsidRPr="006E7216">
        <w:rPr>
          <w:rFonts w:ascii="Times New Roman" w:hAnsi="Times New Roman"/>
          <w:color w:val="000000"/>
        </w:rPr>
        <w:t xml:space="preserve">These groups and organizations could include </w:t>
      </w:r>
      <w:r w:rsidR="00565FCF" w:rsidRPr="00371235">
        <w:rPr>
          <w:rFonts w:ascii="Times New Roman" w:hAnsi="Times New Roman"/>
          <w:color w:val="000000"/>
        </w:rPr>
        <w:t>Universities, Municipalities, Conservation Groups, other Not-for Profits, and For Profit Corporations;</w:t>
      </w:r>
    </w:p>
    <w:p w:rsidR="006E7216" w:rsidRDefault="006E7216">
      <w:pPr>
        <w:pStyle w:val="PlainText"/>
        <w:rPr>
          <w:rFonts w:ascii="Times New Roman" w:hAnsi="Times New Roman"/>
          <w:sz w:val="22"/>
          <w:szCs w:val="22"/>
        </w:rPr>
      </w:pPr>
    </w:p>
    <w:p w:rsidR="008B630A" w:rsidRPr="006E7216" w:rsidRDefault="008B630A" w:rsidP="006E7216">
      <w:pPr>
        <w:pStyle w:val="PlainText"/>
        <w:numPr>
          <w:ilvl w:val="0"/>
          <w:numId w:val="24"/>
        </w:numPr>
        <w:rPr>
          <w:rFonts w:ascii="Times New Roman" w:hAnsi="Times New Roman"/>
          <w:sz w:val="22"/>
          <w:szCs w:val="22"/>
        </w:rPr>
      </w:pPr>
      <w:r w:rsidRPr="006E7216">
        <w:rPr>
          <w:rFonts w:ascii="Times New Roman" w:hAnsi="Times New Roman"/>
          <w:sz w:val="22"/>
          <w:szCs w:val="22"/>
        </w:rPr>
        <w:t>address natural resource concerns of statewide signific</w:t>
      </w:r>
      <w:r w:rsidR="006E7216">
        <w:rPr>
          <w:rFonts w:ascii="Times New Roman" w:hAnsi="Times New Roman"/>
          <w:sz w:val="22"/>
          <w:szCs w:val="22"/>
        </w:rPr>
        <w:t xml:space="preserve">ance and/or broad geographical </w:t>
      </w:r>
      <w:r w:rsidRPr="006E7216">
        <w:rPr>
          <w:rFonts w:ascii="Times New Roman" w:hAnsi="Times New Roman"/>
          <w:sz w:val="22"/>
          <w:szCs w:val="22"/>
        </w:rPr>
        <w:t>distribution;</w:t>
      </w:r>
    </w:p>
    <w:p w:rsidR="008B630A" w:rsidRPr="006E7216" w:rsidRDefault="008B630A">
      <w:pPr>
        <w:pStyle w:val="PlainText"/>
        <w:rPr>
          <w:rFonts w:ascii="Times New Roman" w:hAnsi="Times New Roman"/>
          <w:sz w:val="22"/>
          <w:szCs w:val="22"/>
        </w:rPr>
      </w:pPr>
    </w:p>
    <w:p w:rsidR="008B630A" w:rsidRPr="006E7216" w:rsidRDefault="008B630A">
      <w:pPr>
        <w:pStyle w:val="PlainText"/>
        <w:rPr>
          <w:rFonts w:ascii="Times New Roman" w:hAnsi="Times New Roman"/>
          <w:sz w:val="22"/>
          <w:szCs w:val="22"/>
        </w:rPr>
      </w:pPr>
    </w:p>
    <w:p w:rsidR="008B630A" w:rsidRPr="006E7216" w:rsidRDefault="008B630A">
      <w:pPr>
        <w:pStyle w:val="PlainText"/>
        <w:jc w:val="center"/>
        <w:rPr>
          <w:rFonts w:ascii="Times New Roman" w:hAnsi="Times New Roman"/>
          <w:sz w:val="22"/>
          <w:szCs w:val="22"/>
        </w:rPr>
      </w:pPr>
    </w:p>
    <w:p w:rsidR="003C2E72" w:rsidRPr="006E7216" w:rsidRDefault="008B630A" w:rsidP="003C2E72">
      <w:pPr>
        <w:pStyle w:val="PlainText"/>
        <w:rPr>
          <w:rFonts w:ascii="Times New Roman" w:hAnsi="Times New Roman"/>
          <w:sz w:val="22"/>
          <w:szCs w:val="22"/>
        </w:rPr>
      </w:pPr>
      <w:r w:rsidRPr="006E7216">
        <w:rPr>
          <w:rFonts w:ascii="Times New Roman" w:hAnsi="Times New Roman"/>
          <w:sz w:val="22"/>
          <w:szCs w:val="22"/>
        </w:rPr>
        <w:br w:type="column"/>
      </w:r>
      <w:r w:rsidRPr="006E7216">
        <w:rPr>
          <w:rFonts w:ascii="Times New Roman" w:hAnsi="Times New Roman"/>
          <w:b/>
          <w:sz w:val="22"/>
          <w:szCs w:val="22"/>
        </w:rPr>
        <w:lastRenderedPageBreak/>
        <w:t>Fund Distribution Categories and Grant Criteria</w:t>
      </w:r>
      <w:r w:rsidRPr="006E7216">
        <w:rPr>
          <w:rFonts w:ascii="Times New Roman" w:hAnsi="Times New Roman"/>
          <w:b/>
          <w:sz w:val="22"/>
          <w:szCs w:val="22"/>
        </w:rPr>
        <w:cr/>
      </w:r>
    </w:p>
    <w:p w:rsidR="00565FCF" w:rsidRDefault="008B630A" w:rsidP="003C2E72">
      <w:pPr>
        <w:pStyle w:val="PlainText"/>
        <w:rPr>
          <w:rFonts w:ascii="Times New Roman" w:hAnsi="Times New Roman"/>
          <w:sz w:val="22"/>
          <w:szCs w:val="22"/>
        </w:rPr>
      </w:pPr>
      <w:r w:rsidRPr="006E7216">
        <w:rPr>
          <w:rFonts w:ascii="Times New Roman" w:hAnsi="Times New Roman"/>
          <w:sz w:val="22"/>
          <w:szCs w:val="22"/>
        </w:rPr>
        <w:t xml:space="preserve">As specified in Title 12, MRSA c. 714, section 10307, only </w:t>
      </w:r>
      <w:r w:rsidR="00565FCF" w:rsidRPr="006E7216">
        <w:rPr>
          <w:rFonts w:ascii="Times New Roman" w:hAnsi="Times New Roman"/>
          <w:sz w:val="22"/>
          <w:szCs w:val="22"/>
        </w:rPr>
        <w:t xml:space="preserve">Sponsoring </w:t>
      </w:r>
      <w:r w:rsidRPr="006E7216">
        <w:rPr>
          <w:rFonts w:ascii="Times New Roman" w:hAnsi="Times New Roman"/>
          <w:sz w:val="22"/>
          <w:szCs w:val="22"/>
        </w:rPr>
        <w:t>Natural Resource Agencies may apply for a Maine Outdoor Heritage Fund grant.</w:t>
      </w:r>
      <w:r w:rsidR="00D950BC">
        <w:rPr>
          <w:rFonts w:ascii="Times New Roman" w:hAnsi="Times New Roman"/>
          <w:sz w:val="22"/>
          <w:szCs w:val="22"/>
        </w:rPr>
        <w:t xml:space="preserve"> </w:t>
      </w:r>
      <w:r w:rsidRPr="006E7216">
        <w:rPr>
          <w:rFonts w:ascii="Times New Roman" w:hAnsi="Times New Roman"/>
          <w:sz w:val="22"/>
          <w:szCs w:val="22"/>
        </w:rPr>
        <w:t xml:space="preserve">They may do so independently or in partnership with other entities. The Maine Outdoor Heritage Fund Board encourages non-governmental organizations interested in projects to contact the appropriate </w:t>
      </w:r>
      <w:r w:rsidR="00565FCF" w:rsidRPr="006E7216">
        <w:rPr>
          <w:rFonts w:ascii="Times New Roman" w:hAnsi="Times New Roman"/>
          <w:sz w:val="22"/>
          <w:szCs w:val="22"/>
        </w:rPr>
        <w:t xml:space="preserve">Sponsoring </w:t>
      </w:r>
      <w:r w:rsidRPr="006E7216">
        <w:rPr>
          <w:rFonts w:ascii="Times New Roman" w:hAnsi="Times New Roman"/>
          <w:sz w:val="22"/>
          <w:szCs w:val="22"/>
        </w:rPr>
        <w:t>Natural Resource Agency</w:t>
      </w:r>
      <w:r w:rsidR="00565FCF" w:rsidRPr="006E7216">
        <w:rPr>
          <w:rFonts w:ascii="Times New Roman" w:hAnsi="Times New Roman"/>
          <w:sz w:val="22"/>
          <w:szCs w:val="22"/>
        </w:rPr>
        <w:t xml:space="preserve"> as re</w:t>
      </w:r>
      <w:r w:rsidR="00BE173B">
        <w:rPr>
          <w:rFonts w:ascii="Times New Roman" w:hAnsi="Times New Roman"/>
          <w:sz w:val="22"/>
          <w:szCs w:val="22"/>
        </w:rPr>
        <w:t xml:space="preserve">ported on the MOHF </w:t>
      </w:r>
      <w:r w:rsidR="00654FA8">
        <w:rPr>
          <w:rFonts w:ascii="Times New Roman" w:hAnsi="Times New Roman"/>
          <w:sz w:val="22"/>
          <w:szCs w:val="22"/>
        </w:rPr>
        <w:t xml:space="preserve">webpage, </w:t>
      </w:r>
      <w:hyperlink r:id="rId8" w:history="1">
        <w:r w:rsidR="008E17BD" w:rsidRPr="00EA224F">
          <w:rPr>
            <w:rStyle w:val="Hyperlink"/>
            <w:rFonts w:ascii="Times New Roman" w:hAnsi="Times New Roman"/>
            <w:sz w:val="22"/>
            <w:szCs w:val="22"/>
          </w:rPr>
          <w:t>www.maine.gov/ifw/mohf</w:t>
        </w:r>
      </w:hyperlink>
      <w:r w:rsidR="008E17BD">
        <w:rPr>
          <w:rFonts w:ascii="Times New Roman" w:hAnsi="Times New Roman"/>
          <w:sz w:val="22"/>
          <w:szCs w:val="22"/>
        </w:rPr>
        <w:t xml:space="preserve"> </w:t>
      </w:r>
      <w:r w:rsidR="00654FA8">
        <w:rPr>
          <w:rFonts w:ascii="Times New Roman" w:hAnsi="Times New Roman"/>
          <w:sz w:val="22"/>
          <w:szCs w:val="22"/>
        </w:rPr>
        <w:t>.</w:t>
      </w:r>
      <w:r w:rsidR="008E17BD">
        <w:rPr>
          <w:rFonts w:ascii="Times New Roman" w:hAnsi="Times New Roman"/>
          <w:sz w:val="22"/>
          <w:szCs w:val="22"/>
        </w:rPr>
        <w:t xml:space="preserve"> </w:t>
      </w:r>
      <w:r w:rsidR="00565FCF" w:rsidRPr="006E7216">
        <w:rPr>
          <w:rFonts w:ascii="Times New Roman" w:hAnsi="Times New Roman"/>
          <w:sz w:val="22"/>
          <w:szCs w:val="22"/>
        </w:rPr>
        <w:t>Applicants are encouraged to review</w:t>
      </w:r>
      <w:r w:rsidR="0021705C">
        <w:rPr>
          <w:rFonts w:ascii="Times New Roman" w:hAnsi="Times New Roman"/>
          <w:sz w:val="22"/>
          <w:szCs w:val="22"/>
        </w:rPr>
        <w:t xml:space="preserve"> and address State Priority Reports as listed on the MOHF webpage.</w:t>
      </w:r>
      <w:r w:rsidR="008C47A0">
        <w:rPr>
          <w:rFonts w:ascii="Times New Roman" w:hAnsi="Times New Roman"/>
          <w:sz w:val="22"/>
          <w:szCs w:val="22"/>
        </w:rPr>
        <w:t>:</w:t>
      </w:r>
    </w:p>
    <w:p w:rsidR="003C2E72" w:rsidRPr="006E7216" w:rsidRDefault="003C2E72" w:rsidP="003C2E72">
      <w:pPr>
        <w:pStyle w:val="PlainText"/>
        <w:rPr>
          <w:rFonts w:ascii="Times New Roman" w:hAnsi="Times New Roman"/>
          <w:sz w:val="22"/>
          <w:szCs w:val="22"/>
        </w:rPr>
      </w:pPr>
    </w:p>
    <w:p w:rsidR="008B630A" w:rsidRPr="006E7216" w:rsidRDefault="008B630A" w:rsidP="003C2E72">
      <w:pPr>
        <w:pStyle w:val="PlainText"/>
        <w:rPr>
          <w:rFonts w:ascii="Times New Roman" w:hAnsi="Times New Roman"/>
          <w:sz w:val="22"/>
          <w:szCs w:val="22"/>
        </w:rPr>
      </w:pPr>
      <w:r w:rsidRPr="006E7216">
        <w:rPr>
          <w:rFonts w:ascii="Times New Roman" w:hAnsi="Times New Roman"/>
          <w:sz w:val="22"/>
          <w:szCs w:val="22"/>
        </w:rPr>
        <w:t>Dollar amount of grants will vary.</w:t>
      </w:r>
      <w:r w:rsidR="00D950BC">
        <w:rPr>
          <w:rFonts w:ascii="Times New Roman" w:hAnsi="Times New Roman"/>
          <w:sz w:val="22"/>
          <w:szCs w:val="22"/>
        </w:rPr>
        <w:t xml:space="preserve"> </w:t>
      </w:r>
      <w:r w:rsidRPr="006E7216">
        <w:rPr>
          <w:rFonts w:ascii="Times New Roman" w:hAnsi="Times New Roman"/>
          <w:sz w:val="22"/>
          <w:szCs w:val="22"/>
        </w:rPr>
        <w:t>The Board will allocate funds according to four major fund distribution categories outlined in Title 12, MRSA c. 714, section 10307 and stated below.</w:t>
      </w:r>
      <w:r w:rsidR="00D950BC">
        <w:rPr>
          <w:rFonts w:ascii="Times New Roman" w:hAnsi="Times New Roman"/>
          <w:sz w:val="22"/>
          <w:szCs w:val="22"/>
        </w:rPr>
        <w:t xml:space="preserve"> </w:t>
      </w:r>
      <w:r w:rsidRPr="006E7216">
        <w:rPr>
          <w:rFonts w:ascii="Times New Roman" w:hAnsi="Times New Roman"/>
          <w:sz w:val="22"/>
          <w:szCs w:val="22"/>
        </w:rPr>
        <w:t>The percentage of overall Board funding allocated to each of the four categories is also outlined in Title</w:t>
      </w:r>
      <w:r w:rsidR="00D950BC">
        <w:rPr>
          <w:rFonts w:ascii="Times New Roman" w:hAnsi="Times New Roman"/>
          <w:sz w:val="22"/>
          <w:szCs w:val="22"/>
        </w:rPr>
        <w:t> </w:t>
      </w:r>
      <w:r w:rsidRPr="006E7216">
        <w:rPr>
          <w:rFonts w:ascii="Times New Roman" w:hAnsi="Times New Roman"/>
          <w:sz w:val="22"/>
          <w:szCs w:val="22"/>
        </w:rPr>
        <w:t xml:space="preserve">12, MRSA c. 714, section 10307 and stated below. </w:t>
      </w:r>
    </w:p>
    <w:p w:rsidR="008B630A" w:rsidRPr="006E7216" w:rsidRDefault="008B630A">
      <w:pPr>
        <w:pStyle w:val="PlainText"/>
        <w:rPr>
          <w:rFonts w:ascii="Times New Roman" w:hAnsi="Times New Roman"/>
          <w:sz w:val="22"/>
          <w:szCs w:val="22"/>
        </w:rPr>
      </w:pPr>
    </w:p>
    <w:p w:rsidR="008B630A" w:rsidRPr="006E7216" w:rsidRDefault="008B630A" w:rsidP="00D950BC">
      <w:pPr>
        <w:pStyle w:val="PlainText"/>
        <w:tabs>
          <w:tab w:val="left" w:pos="360"/>
        </w:tabs>
        <w:rPr>
          <w:rFonts w:ascii="Times New Roman" w:hAnsi="Times New Roman"/>
          <w:b/>
          <w:sz w:val="22"/>
          <w:szCs w:val="22"/>
        </w:rPr>
      </w:pPr>
      <w:r w:rsidRPr="006E7216">
        <w:rPr>
          <w:rFonts w:ascii="Times New Roman" w:hAnsi="Times New Roman"/>
          <w:b/>
          <w:sz w:val="22"/>
          <w:szCs w:val="22"/>
        </w:rPr>
        <w:t>1.</w:t>
      </w:r>
      <w:r w:rsidR="00D950BC">
        <w:rPr>
          <w:rFonts w:ascii="Times New Roman" w:hAnsi="Times New Roman"/>
          <w:b/>
          <w:sz w:val="22"/>
          <w:szCs w:val="22"/>
        </w:rPr>
        <w:tab/>
      </w:r>
      <w:r w:rsidR="00BE173B">
        <w:rPr>
          <w:rFonts w:ascii="Times New Roman" w:hAnsi="Times New Roman"/>
          <w:b/>
          <w:sz w:val="22"/>
          <w:szCs w:val="22"/>
        </w:rPr>
        <w:t>Conservation of f</w:t>
      </w:r>
      <w:r w:rsidRPr="006E7216">
        <w:rPr>
          <w:rFonts w:ascii="Times New Roman" w:hAnsi="Times New Roman"/>
          <w:b/>
          <w:sz w:val="22"/>
          <w:szCs w:val="22"/>
        </w:rPr>
        <w:t>isheries and wildlife, and habitat (35%)</w:t>
      </w:r>
    </w:p>
    <w:p w:rsidR="008B630A" w:rsidRPr="006E7216" w:rsidRDefault="008B630A" w:rsidP="0067288C">
      <w:pPr>
        <w:pStyle w:val="PlainText"/>
        <w:tabs>
          <w:tab w:val="left" w:pos="360"/>
        </w:tabs>
        <w:spacing w:before="120"/>
        <w:ind w:firstLine="360"/>
        <w:rPr>
          <w:rFonts w:ascii="Times New Roman" w:hAnsi="Times New Roman"/>
          <w:sz w:val="22"/>
          <w:szCs w:val="22"/>
        </w:rPr>
      </w:pPr>
      <w:r w:rsidRPr="006E7216">
        <w:rPr>
          <w:rFonts w:ascii="Times New Roman" w:hAnsi="Times New Roman"/>
          <w:sz w:val="22"/>
          <w:szCs w:val="22"/>
        </w:rPr>
        <w:t>The Board shall consider whether a project involves:</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Protection/enhancement of a species, species group, natural community or ecosystem adversely</w:t>
      </w:r>
      <w:r w:rsidR="003C2E72" w:rsidRPr="006E7216">
        <w:rPr>
          <w:rFonts w:ascii="Times New Roman" w:hAnsi="Times New Roman"/>
          <w:sz w:val="22"/>
          <w:szCs w:val="22"/>
        </w:rPr>
        <w:t xml:space="preserve"> </w:t>
      </w:r>
      <w:r w:rsidRPr="006E7216">
        <w:rPr>
          <w:rFonts w:ascii="Times New Roman" w:hAnsi="Times New Roman"/>
          <w:sz w:val="22"/>
          <w:szCs w:val="22"/>
        </w:rPr>
        <w:t>affected due to lack of management or habitat loss;</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Protection/enhancement of a species, species group, natural community or ecosystem that</w:t>
      </w:r>
      <w:r w:rsidR="003C2E72" w:rsidRPr="006E7216">
        <w:rPr>
          <w:rFonts w:ascii="Times New Roman" w:hAnsi="Times New Roman"/>
          <w:sz w:val="22"/>
          <w:szCs w:val="22"/>
        </w:rPr>
        <w:t xml:space="preserve"> is a</w:t>
      </w:r>
      <w:r w:rsidRPr="006E7216">
        <w:rPr>
          <w:rFonts w:ascii="Times New Roman" w:hAnsi="Times New Roman"/>
          <w:sz w:val="22"/>
          <w:szCs w:val="22"/>
        </w:rPr>
        <w:t>dversely affected due to unusual vulnerability to human or natural disturbances, or need for a special or limited habitat type;</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Provision of benefits vital to the future welfare of a species or species</w:t>
      </w:r>
      <w:r w:rsidR="003C2E72" w:rsidRPr="006E7216">
        <w:rPr>
          <w:rFonts w:ascii="Times New Roman" w:hAnsi="Times New Roman"/>
          <w:sz w:val="22"/>
          <w:szCs w:val="22"/>
        </w:rPr>
        <w:t xml:space="preserve"> </w:t>
      </w:r>
      <w:r w:rsidRPr="006E7216">
        <w:rPr>
          <w:rFonts w:ascii="Times New Roman" w:hAnsi="Times New Roman"/>
          <w:sz w:val="22"/>
          <w:szCs w:val="22"/>
        </w:rPr>
        <w:t>group;</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Education about fisheries, wildlife, natural community</w:t>
      </w:r>
      <w:r w:rsidR="00241AD8">
        <w:rPr>
          <w:rFonts w:ascii="Times New Roman" w:hAnsi="Times New Roman"/>
          <w:sz w:val="22"/>
          <w:szCs w:val="22"/>
        </w:rPr>
        <w:t>,</w:t>
      </w:r>
      <w:r w:rsidRPr="006E7216">
        <w:rPr>
          <w:rFonts w:ascii="Times New Roman" w:hAnsi="Times New Roman"/>
          <w:sz w:val="22"/>
          <w:szCs w:val="22"/>
        </w:rPr>
        <w:t xml:space="preserve"> and habitat</w:t>
      </w:r>
      <w:r w:rsidR="003C2E72" w:rsidRPr="006E7216">
        <w:rPr>
          <w:rFonts w:ascii="Times New Roman" w:hAnsi="Times New Roman"/>
          <w:sz w:val="22"/>
          <w:szCs w:val="22"/>
        </w:rPr>
        <w:t xml:space="preserve"> </w:t>
      </w:r>
      <w:r w:rsidRPr="006E7216">
        <w:rPr>
          <w:rFonts w:ascii="Times New Roman" w:hAnsi="Times New Roman"/>
          <w:sz w:val="22"/>
          <w:szCs w:val="22"/>
        </w:rPr>
        <w:t>conservation;</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Equipment and training to improve efficiencies in fisheries, wildlife and</w:t>
      </w:r>
      <w:r w:rsidR="003C2E72" w:rsidRPr="006E7216">
        <w:rPr>
          <w:rFonts w:ascii="Times New Roman" w:hAnsi="Times New Roman"/>
          <w:sz w:val="22"/>
          <w:szCs w:val="22"/>
        </w:rPr>
        <w:t xml:space="preserve"> </w:t>
      </w:r>
      <w:r w:rsidRPr="006E7216">
        <w:rPr>
          <w:rFonts w:ascii="Times New Roman" w:hAnsi="Times New Roman"/>
          <w:sz w:val="22"/>
          <w:szCs w:val="22"/>
        </w:rPr>
        <w:t xml:space="preserve">habitat conservation efforts; </w:t>
      </w:r>
    </w:p>
    <w:p w:rsidR="008B630A" w:rsidRPr="006E7216" w:rsidRDefault="008B630A" w:rsidP="003C2E72">
      <w:pPr>
        <w:pStyle w:val="PlainText"/>
        <w:numPr>
          <w:ilvl w:val="0"/>
          <w:numId w:val="10"/>
        </w:numPr>
        <w:spacing w:before="120"/>
        <w:ind w:right="230"/>
        <w:rPr>
          <w:rFonts w:ascii="Times New Roman" w:hAnsi="Times New Roman"/>
          <w:sz w:val="22"/>
          <w:szCs w:val="22"/>
        </w:rPr>
      </w:pPr>
      <w:r w:rsidRPr="006E7216">
        <w:rPr>
          <w:rFonts w:ascii="Times New Roman" w:hAnsi="Times New Roman"/>
          <w:sz w:val="22"/>
          <w:szCs w:val="22"/>
        </w:rPr>
        <w:t>Protection/enhancement of a species, species group, natural community or ecosystem of statewide or</w:t>
      </w:r>
      <w:r w:rsidR="003C2E72" w:rsidRPr="006E7216">
        <w:rPr>
          <w:rFonts w:ascii="Times New Roman" w:hAnsi="Times New Roman"/>
          <w:sz w:val="22"/>
          <w:szCs w:val="22"/>
        </w:rPr>
        <w:t xml:space="preserve"> </w:t>
      </w:r>
      <w:r w:rsidRPr="006E7216">
        <w:rPr>
          <w:rFonts w:ascii="Times New Roman" w:hAnsi="Times New Roman"/>
          <w:sz w:val="22"/>
          <w:szCs w:val="22"/>
        </w:rPr>
        <w:t xml:space="preserve">regional significance; </w:t>
      </w:r>
    </w:p>
    <w:p w:rsidR="008B630A" w:rsidRPr="00D950BC" w:rsidRDefault="00CD6CD1" w:rsidP="003C2E72">
      <w:pPr>
        <w:pStyle w:val="PlainText"/>
        <w:numPr>
          <w:ilvl w:val="0"/>
          <w:numId w:val="10"/>
        </w:numPr>
        <w:spacing w:before="120"/>
        <w:ind w:right="230"/>
        <w:rPr>
          <w:rFonts w:ascii="Times New Roman" w:hAnsi="Times New Roman"/>
          <w:sz w:val="22"/>
          <w:szCs w:val="22"/>
        </w:rPr>
      </w:pPr>
      <w:r>
        <w:rPr>
          <w:rFonts w:ascii="Times New Roman" w:hAnsi="Times New Roman"/>
          <w:sz w:val="22"/>
          <w:szCs w:val="22"/>
        </w:rPr>
        <w:t>Long-term monitoring of fisheries and wildlife, and habitat</w:t>
      </w:r>
      <w:r w:rsidR="00821EE8">
        <w:rPr>
          <w:rFonts w:ascii="Times New Roman" w:hAnsi="Times New Roman"/>
          <w:sz w:val="22"/>
          <w:szCs w:val="22"/>
        </w:rPr>
        <w:t>; or</w:t>
      </w:r>
    </w:p>
    <w:p w:rsidR="00CD6CD1" w:rsidRPr="00D950BC" w:rsidRDefault="00CD6CD1" w:rsidP="003C2E72">
      <w:pPr>
        <w:pStyle w:val="PlainText"/>
        <w:numPr>
          <w:ilvl w:val="0"/>
          <w:numId w:val="10"/>
        </w:numPr>
        <w:spacing w:before="120"/>
        <w:ind w:right="230"/>
        <w:rPr>
          <w:rFonts w:ascii="Times New Roman" w:hAnsi="Times New Roman"/>
          <w:sz w:val="22"/>
          <w:szCs w:val="22"/>
        </w:rPr>
      </w:pPr>
      <w:r w:rsidRPr="00D950BC">
        <w:rPr>
          <w:rFonts w:ascii="Times New Roman" w:hAnsi="Times New Roman"/>
          <w:sz w:val="22"/>
          <w:szCs w:val="22"/>
        </w:rPr>
        <w:t>Climate change, mitigation, resiliency or adaptation strategies</w:t>
      </w:r>
      <w:r w:rsidR="00654FA8" w:rsidRPr="00D950BC">
        <w:rPr>
          <w:rFonts w:ascii="Times New Roman" w:hAnsi="Times New Roman"/>
          <w:sz w:val="22"/>
          <w:szCs w:val="22"/>
        </w:rPr>
        <w:t>.</w:t>
      </w:r>
    </w:p>
    <w:p w:rsidR="008B630A" w:rsidRPr="006E7216" w:rsidRDefault="008B630A">
      <w:pPr>
        <w:pStyle w:val="PlainText"/>
        <w:rPr>
          <w:rFonts w:ascii="Times New Roman" w:hAnsi="Times New Roman"/>
          <w:sz w:val="22"/>
          <w:szCs w:val="22"/>
        </w:rPr>
      </w:pPr>
    </w:p>
    <w:p w:rsidR="008B630A" w:rsidRPr="006E7216" w:rsidRDefault="008B630A" w:rsidP="00D950BC">
      <w:pPr>
        <w:pStyle w:val="PlainText"/>
        <w:tabs>
          <w:tab w:val="left" w:pos="360"/>
        </w:tabs>
        <w:ind w:left="360" w:hanging="360"/>
        <w:rPr>
          <w:rFonts w:ascii="Times New Roman" w:hAnsi="Times New Roman"/>
          <w:sz w:val="22"/>
          <w:szCs w:val="22"/>
        </w:rPr>
      </w:pPr>
      <w:r w:rsidRPr="006E7216">
        <w:rPr>
          <w:rFonts w:ascii="Times New Roman" w:hAnsi="Times New Roman"/>
          <w:b/>
          <w:sz w:val="22"/>
          <w:szCs w:val="22"/>
        </w:rPr>
        <w:t>2.</w:t>
      </w:r>
      <w:bookmarkStart w:id="0" w:name="_Hlk18597409"/>
      <w:r w:rsidR="00D950BC">
        <w:rPr>
          <w:rFonts w:ascii="Times New Roman" w:hAnsi="Times New Roman"/>
          <w:b/>
          <w:sz w:val="22"/>
          <w:szCs w:val="22"/>
        </w:rPr>
        <w:tab/>
      </w:r>
      <w:r w:rsidRPr="006E7216">
        <w:rPr>
          <w:rFonts w:ascii="Times New Roman" w:hAnsi="Times New Roman"/>
          <w:b/>
          <w:sz w:val="22"/>
          <w:szCs w:val="22"/>
        </w:rPr>
        <w:t>Acquisition and management of public lands, parks, wildlife conservation</w:t>
      </w:r>
      <w:r w:rsidR="003C2E72" w:rsidRPr="006E7216">
        <w:rPr>
          <w:rFonts w:ascii="Times New Roman" w:hAnsi="Times New Roman"/>
          <w:b/>
          <w:sz w:val="22"/>
          <w:szCs w:val="22"/>
        </w:rPr>
        <w:t xml:space="preserve"> </w:t>
      </w:r>
      <w:r w:rsidRPr="006E7216">
        <w:rPr>
          <w:rFonts w:ascii="Times New Roman" w:hAnsi="Times New Roman"/>
          <w:b/>
          <w:sz w:val="22"/>
          <w:szCs w:val="22"/>
        </w:rPr>
        <w:t>areas</w:t>
      </w:r>
      <w:r w:rsidR="00241AD8">
        <w:rPr>
          <w:rFonts w:ascii="Times New Roman" w:hAnsi="Times New Roman"/>
          <w:b/>
          <w:sz w:val="22"/>
          <w:szCs w:val="22"/>
        </w:rPr>
        <w:t>,</w:t>
      </w:r>
      <w:r w:rsidRPr="006E7216">
        <w:rPr>
          <w:rFonts w:ascii="Times New Roman" w:hAnsi="Times New Roman"/>
          <w:b/>
          <w:sz w:val="22"/>
          <w:szCs w:val="22"/>
        </w:rPr>
        <w:t xml:space="preserve"> and public access and outdoor recreation sites and facilities (35%)</w:t>
      </w:r>
      <w:bookmarkEnd w:id="0"/>
    </w:p>
    <w:p w:rsidR="008B630A" w:rsidRPr="006E7216" w:rsidRDefault="008B630A" w:rsidP="00D950BC">
      <w:pPr>
        <w:pStyle w:val="PlainText"/>
        <w:spacing w:before="120"/>
        <w:ind w:left="360"/>
        <w:rPr>
          <w:rFonts w:ascii="Times New Roman" w:hAnsi="Times New Roman"/>
          <w:sz w:val="22"/>
          <w:szCs w:val="22"/>
        </w:rPr>
      </w:pPr>
      <w:r w:rsidRPr="006E7216">
        <w:rPr>
          <w:rFonts w:ascii="Times New Roman" w:hAnsi="Times New Roman"/>
          <w:sz w:val="22"/>
          <w:szCs w:val="22"/>
        </w:rPr>
        <w:t>Land acquisition projects may involve a range of land types (e</w:t>
      </w:r>
      <w:r w:rsidR="00991D81">
        <w:rPr>
          <w:rFonts w:ascii="Times New Roman" w:hAnsi="Times New Roman"/>
          <w:sz w:val="22"/>
          <w:szCs w:val="22"/>
        </w:rPr>
        <w:t>.</w:t>
      </w:r>
      <w:r w:rsidRPr="006E7216">
        <w:rPr>
          <w:rFonts w:ascii="Times New Roman" w:hAnsi="Times New Roman"/>
          <w:sz w:val="22"/>
          <w:szCs w:val="22"/>
        </w:rPr>
        <w:t>g.</w:t>
      </w:r>
      <w:r w:rsidR="00991D81">
        <w:rPr>
          <w:rFonts w:ascii="Times New Roman" w:hAnsi="Times New Roman"/>
          <w:sz w:val="22"/>
          <w:szCs w:val="22"/>
        </w:rPr>
        <w:t>,</w:t>
      </w:r>
      <w:r w:rsidRPr="006E7216">
        <w:rPr>
          <w:rFonts w:ascii="Times New Roman" w:hAnsi="Times New Roman"/>
          <w:sz w:val="22"/>
          <w:szCs w:val="22"/>
        </w:rPr>
        <w:t xml:space="preserve"> forestlands, agricultural lands, wetlands, grasslands) that support wildlife conservation and public recreation.</w:t>
      </w:r>
      <w:r w:rsidR="00D950BC">
        <w:rPr>
          <w:rFonts w:ascii="Times New Roman" w:hAnsi="Times New Roman"/>
          <w:sz w:val="22"/>
          <w:szCs w:val="22"/>
        </w:rPr>
        <w:t xml:space="preserve"> </w:t>
      </w:r>
      <w:r w:rsidRPr="006E7216">
        <w:rPr>
          <w:rFonts w:ascii="Times New Roman" w:hAnsi="Times New Roman"/>
          <w:sz w:val="22"/>
          <w:szCs w:val="22"/>
        </w:rPr>
        <w:t>The Board shall consider whether a project involves:</w:t>
      </w:r>
    </w:p>
    <w:p w:rsidR="008B630A" w:rsidRPr="006E7216" w:rsidRDefault="008B630A" w:rsidP="0089145F">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Public outdoor recreation sites and facilities</w:t>
      </w:r>
      <w:r w:rsidR="00D950BC">
        <w:rPr>
          <w:rFonts w:ascii="Times New Roman" w:hAnsi="Times New Roman"/>
          <w:sz w:val="22"/>
          <w:szCs w:val="22"/>
        </w:rPr>
        <w:t xml:space="preserve"> </w:t>
      </w:r>
      <w:r w:rsidRPr="006E7216">
        <w:rPr>
          <w:rFonts w:ascii="Times New Roman" w:hAnsi="Times New Roman"/>
          <w:sz w:val="22"/>
          <w:szCs w:val="22"/>
        </w:rPr>
        <w:t>or lands of statewide or regional significance;</w:t>
      </w:r>
    </w:p>
    <w:p w:rsidR="008B630A" w:rsidRPr="006E7216" w:rsidRDefault="008B630A" w:rsidP="0089145F">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Acquisition and public management of habitat or species, species group, natural community or ecosystem of statewide or</w:t>
      </w:r>
      <w:r w:rsidR="003C2E72" w:rsidRPr="006E7216">
        <w:rPr>
          <w:rFonts w:ascii="Times New Roman" w:hAnsi="Times New Roman"/>
          <w:sz w:val="22"/>
          <w:szCs w:val="22"/>
        </w:rPr>
        <w:t xml:space="preserve"> </w:t>
      </w:r>
      <w:r w:rsidRPr="006E7216">
        <w:rPr>
          <w:rFonts w:ascii="Times New Roman" w:hAnsi="Times New Roman"/>
          <w:sz w:val="22"/>
          <w:szCs w:val="22"/>
        </w:rPr>
        <w:t>regional significance;</w:t>
      </w:r>
    </w:p>
    <w:p w:rsidR="008B630A" w:rsidRPr="006E7216" w:rsidRDefault="008B630A" w:rsidP="0089145F">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Acquisition and public management of habitat of a threatened or endangered species listed under state or</w:t>
      </w:r>
      <w:r w:rsidR="003C2E72" w:rsidRPr="006E7216">
        <w:rPr>
          <w:rFonts w:ascii="Times New Roman" w:hAnsi="Times New Roman"/>
          <w:sz w:val="22"/>
          <w:szCs w:val="22"/>
        </w:rPr>
        <w:t xml:space="preserve"> </w:t>
      </w:r>
      <w:r w:rsidRPr="006E7216">
        <w:rPr>
          <w:rFonts w:ascii="Times New Roman" w:hAnsi="Times New Roman"/>
          <w:sz w:val="22"/>
          <w:szCs w:val="22"/>
        </w:rPr>
        <w:t>federal law;</w:t>
      </w:r>
    </w:p>
    <w:p w:rsidR="0089145F" w:rsidRPr="006E7216" w:rsidRDefault="008B630A" w:rsidP="0089145F">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Acquisition and public management of rare or exemplary natural communities or ecosystems as determined by</w:t>
      </w:r>
      <w:r w:rsidR="003C2E72" w:rsidRPr="006E7216">
        <w:rPr>
          <w:rFonts w:ascii="Times New Roman" w:hAnsi="Times New Roman"/>
          <w:sz w:val="22"/>
          <w:szCs w:val="22"/>
        </w:rPr>
        <w:t xml:space="preserve"> </w:t>
      </w:r>
      <w:r w:rsidRPr="006E7216">
        <w:rPr>
          <w:rFonts w:ascii="Times New Roman" w:hAnsi="Times New Roman"/>
          <w:sz w:val="22"/>
          <w:szCs w:val="22"/>
        </w:rPr>
        <w:t>the State's Natural Areas Program database;</w:t>
      </w:r>
    </w:p>
    <w:p w:rsidR="009F635D" w:rsidRPr="006E7216" w:rsidRDefault="008B630A" w:rsidP="0089145F">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Protection/enhancement of rare or exemplary geological features;</w:t>
      </w:r>
    </w:p>
    <w:p w:rsidR="009F635D" w:rsidRPr="006E7216" w:rsidRDefault="009F635D" w:rsidP="009F635D">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Areas with proximity to lands dedicated to conservation purposes or public recreation.</w:t>
      </w:r>
    </w:p>
    <w:p w:rsidR="009F635D" w:rsidRPr="006E7216" w:rsidRDefault="009F635D" w:rsidP="009F635D">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lastRenderedPageBreak/>
        <w:t>Education about the management and use of public lands, parks, wildlife conservation areas, and public access and outdoor recreation sites and facilities;</w:t>
      </w:r>
    </w:p>
    <w:p w:rsidR="009F635D" w:rsidRPr="006E7216" w:rsidRDefault="009F635D" w:rsidP="009F635D">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Equipment and training to improve efficiencies in the management of public lands, parks, wildlife conservation areas, and public access and outdoor recreation sites and facilities;</w:t>
      </w:r>
    </w:p>
    <w:p w:rsidR="009F635D" w:rsidRPr="006E7216" w:rsidRDefault="009F635D" w:rsidP="009F635D">
      <w:pPr>
        <w:pStyle w:val="PlainText"/>
        <w:numPr>
          <w:ilvl w:val="0"/>
          <w:numId w:val="13"/>
        </w:numPr>
        <w:spacing w:before="120"/>
        <w:rPr>
          <w:rFonts w:ascii="Times New Roman" w:hAnsi="Times New Roman"/>
          <w:sz w:val="22"/>
          <w:szCs w:val="22"/>
        </w:rPr>
      </w:pPr>
      <w:r w:rsidRPr="006E7216">
        <w:rPr>
          <w:rFonts w:ascii="Times New Roman" w:hAnsi="Times New Roman"/>
          <w:sz w:val="22"/>
          <w:szCs w:val="22"/>
        </w:rPr>
        <w:t>Development and maintenance of outdoor recreational facilities and access sites</w:t>
      </w:r>
      <w:r w:rsidR="00821EE8">
        <w:rPr>
          <w:rFonts w:ascii="Times New Roman" w:hAnsi="Times New Roman"/>
          <w:sz w:val="22"/>
          <w:szCs w:val="22"/>
        </w:rPr>
        <w:t>;</w:t>
      </w:r>
    </w:p>
    <w:p w:rsidR="009F635D" w:rsidRDefault="00CD6CD1" w:rsidP="009F635D">
      <w:pPr>
        <w:pStyle w:val="PlainText"/>
        <w:numPr>
          <w:ilvl w:val="0"/>
          <w:numId w:val="13"/>
        </w:numPr>
        <w:spacing w:before="120"/>
        <w:rPr>
          <w:rFonts w:ascii="Times New Roman" w:hAnsi="Times New Roman"/>
          <w:sz w:val="22"/>
          <w:szCs w:val="22"/>
        </w:rPr>
      </w:pPr>
      <w:r>
        <w:rPr>
          <w:rFonts w:ascii="Times New Roman" w:hAnsi="Times New Roman"/>
          <w:sz w:val="22"/>
          <w:szCs w:val="22"/>
        </w:rPr>
        <w:t xml:space="preserve">Long-term </w:t>
      </w:r>
      <w:r w:rsidR="009F635D" w:rsidRPr="006E7216">
        <w:rPr>
          <w:rFonts w:ascii="Times New Roman" w:hAnsi="Times New Roman"/>
          <w:sz w:val="22"/>
          <w:szCs w:val="22"/>
        </w:rPr>
        <w:t>monitoring of public lands, parks</w:t>
      </w:r>
      <w:r w:rsidR="00241AD8">
        <w:rPr>
          <w:rFonts w:ascii="Times New Roman" w:hAnsi="Times New Roman"/>
          <w:sz w:val="22"/>
          <w:szCs w:val="22"/>
        </w:rPr>
        <w:t>,</w:t>
      </w:r>
      <w:r w:rsidR="009F635D" w:rsidRPr="006E7216">
        <w:rPr>
          <w:rFonts w:ascii="Times New Roman" w:hAnsi="Times New Roman"/>
          <w:sz w:val="22"/>
          <w:szCs w:val="22"/>
        </w:rPr>
        <w:t xml:space="preserve"> and wildlife conservation areas</w:t>
      </w:r>
      <w:r w:rsidR="00821EE8">
        <w:rPr>
          <w:rFonts w:ascii="Times New Roman" w:hAnsi="Times New Roman"/>
          <w:sz w:val="22"/>
          <w:szCs w:val="22"/>
        </w:rPr>
        <w:t>; or</w:t>
      </w:r>
    </w:p>
    <w:p w:rsidR="00CD6CD1" w:rsidRPr="00214A28" w:rsidRDefault="00CD6CD1" w:rsidP="009F635D">
      <w:pPr>
        <w:pStyle w:val="PlainText"/>
        <w:numPr>
          <w:ilvl w:val="0"/>
          <w:numId w:val="13"/>
        </w:numPr>
        <w:spacing w:before="120"/>
        <w:rPr>
          <w:rFonts w:ascii="Times New Roman" w:hAnsi="Times New Roman"/>
          <w:sz w:val="22"/>
          <w:szCs w:val="22"/>
        </w:rPr>
      </w:pPr>
      <w:r w:rsidRPr="00214A28">
        <w:rPr>
          <w:rFonts w:ascii="Times New Roman" w:hAnsi="Times New Roman"/>
          <w:sz w:val="22"/>
          <w:szCs w:val="22"/>
        </w:rPr>
        <w:t>Climate change, mitigation, resiliency or adaptation strategies</w:t>
      </w:r>
      <w:r w:rsidR="00654FA8" w:rsidRPr="00214A28">
        <w:rPr>
          <w:rFonts w:ascii="Times New Roman" w:hAnsi="Times New Roman"/>
          <w:sz w:val="22"/>
          <w:szCs w:val="22"/>
        </w:rPr>
        <w:t>.</w:t>
      </w:r>
    </w:p>
    <w:p w:rsidR="008B630A" w:rsidRPr="006E7216" w:rsidRDefault="008B630A" w:rsidP="002C07EC">
      <w:pPr>
        <w:pStyle w:val="PlainText"/>
        <w:ind w:left="720"/>
        <w:rPr>
          <w:rFonts w:ascii="Times New Roman" w:hAnsi="Times New Roman"/>
          <w:sz w:val="22"/>
          <w:szCs w:val="22"/>
        </w:rPr>
      </w:pPr>
    </w:p>
    <w:p w:rsidR="008B630A" w:rsidRPr="006E7216" w:rsidRDefault="008B630A" w:rsidP="00214A28">
      <w:pPr>
        <w:pStyle w:val="PlainText"/>
        <w:tabs>
          <w:tab w:val="left" w:pos="360"/>
        </w:tabs>
        <w:rPr>
          <w:rFonts w:ascii="Times New Roman" w:hAnsi="Times New Roman"/>
          <w:b/>
          <w:sz w:val="22"/>
          <w:szCs w:val="22"/>
        </w:rPr>
      </w:pPr>
      <w:r w:rsidRPr="006E7216">
        <w:rPr>
          <w:rFonts w:ascii="Times New Roman" w:hAnsi="Times New Roman"/>
          <w:b/>
          <w:sz w:val="22"/>
          <w:szCs w:val="22"/>
        </w:rPr>
        <w:t>3.</w:t>
      </w:r>
      <w:bookmarkStart w:id="1" w:name="_Hlk18597477"/>
      <w:r w:rsidR="00214A28">
        <w:rPr>
          <w:rFonts w:ascii="Times New Roman" w:hAnsi="Times New Roman"/>
          <w:b/>
          <w:sz w:val="22"/>
          <w:szCs w:val="22"/>
        </w:rPr>
        <w:tab/>
      </w:r>
      <w:r w:rsidR="00BE173B">
        <w:rPr>
          <w:rFonts w:ascii="Times New Roman" w:hAnsi="Times New Roman"/>
          <w:b/>
          <w:sz w:val="22"/>
          <w:szCs w:val="22"/>
        </w:rPr>
        <w:t>Conservation of e</w:t>
      </w:r>
      <w:r w:rsidRPr="006E7216">
        <w:rPr>
          <w:rFonts w:ascii="Times New Roman" w:hAnsi="Times New Roman"/>
          <w:b/>
          <w:sz w:val="22"/>
          <w:szCs w:val="22"/>
        </w:rPr>
        <w:t>ndangered and threatened species (15%)</w:t>
      </w:r>
      <w:bookmarkEnd w:id="1"/>
    </w:p>
    <w:p w:rsidR="008B630A" w:rsidRPr="006E7216" w:rsidRDefault="008B630A" w:rsidP="0067288C">
      <w:pPr>
        <w:pStyle w:val="PlainText"/>
        <w:spacing w:before="120"/>
        <w:ind w:left="360"/>
        <w:rPr>
          <w:rFonts w:ascii="Times New Roman" w:hAnsi="Times New Roman"/>
          <w:sz w:val="22"/>
          <w:szCs w:val="22"/>
        </w:rPr>
      </w:pPr>
      <w:r w:rsidRPr="006E7216">
        <w:rPr>
          <w:rFonts w:ascii="Times New Roman" w:hAnsi="Times New Roman"/>
          <w:sz w:val="22"/>
          <w:szCs w:val="22"/>
        </w:rPr>
        <w:t>The Board shall consider whether a project involves:</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A species or species group listed as endangered or threatened under state</w:t>
      </w:r>
      <w:r w:rsidR="0089145F" w:rsidRPr="006E7216">
        <w:rPr>
          <w:rFonts w:ascii="Times New Roman" w:hAnsi="Times New Roman"/>
          <w:sz w:val="22"/>
          <w:szCs w:val="22"/>
        </w:rPr>
        <w:t xml:space="preserve"> </w:t>
      </w:r>
      <w:r w:rsidRPr="006E7216">
        <w:rPr>
          <w:rFonts w:ascii="Times New Roman" w:hAnsi="Times New Roman"/>
          <w:sz w:val="22"/>
          <w:szCs w:val="22"/>
        </w:rPr>
        <w:t>or federal law;</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The habitat of one or more species listed as endangered or threatened</w:t>
      </w:r>
      <w:r w:rsidR="0089145F" w:rsidRPr="006E7216">
        <w:rPr>
          <w:rFonts w:ascii="Times New Roman" w:hAnsi="Times New Roman"/>
          <w:sz w:val="22"/>
          <w:szCs w:val="22"/>
        </w:rPr>
        <w:t xml:space="preserve"> </w:t>
      </w:r>
      <w:r w:rsidRPr="006E7216">
        <w:rPr>
          <w:rFonts w:ascii="Times New Roman" w:hAnsi="Times New Roman"/>
          <w:sz w:val="22"/>
          <w:szCs w:val="22"/>
        </w:rPr>
        <w:t>species under state or federal law;</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A species or species group not listed as threatened or endangered but,</w:t>
      </w:r>
      <w:r w:rsidR="0089145F" w:rsidRPr="006E7216">
        <w:rPr>
          <w:rFonts w:ascii="Times New Roman" w:hAnsi="Times New Roman"/>
          <w:sz w:val="22"/>
          <w:szCs w:val="22"/>
        </w:rPr>
        <w:t xml:space="preserve"> </w:t>
      </w:r>
      <w:r w:rsidRPr="006E7216">
        <w:rPr>
          <w:rFonts w:ascii="Times New Roman" w:hAnsi="Times New Roman"/>
          <w:sz w:val="22"/>
          <w:szCs w:val="22"/>
        </w:rPr>
        <w:t>based on the best available scientific information, potentially warranting</w:t>
      </w:r>
      <w:r w:rsidR="0089145F" w:rsidRPr="006E7216">
        <w:rPr>
          <w:rFonts w:ascii="Times New Roman" w:hAnsi="Times New Roman"/>
          <w:sz w:val="22"/>
          <w:szCs w:val="22"/>
        </w:rPr>
        <w:t xml:space="preserve"> </w:t>
      </w:r>
      <w:r w:rsidRPr="006E7216">
        <w:rPr>
          <w:rFonts w:ascii="Times New Roman" w:hAnsi="Times New Roman"/>
          <w:sz w:val="22"/>
          <w:szCs w:val="22"/>
        </w:rPr>
        <w:t>listing in near future;</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A species, species group, natural community or ecosystem that has been</w:t>
      </w:r>
      <w:r w:rsidR="0089145F" w:rsidRPr="006E7216">
        <w:rPr>
          <w:rFonts w:ascii="Times New Roman" w:hAnsi="Times New Roman"/>
          <w:sz w:val="22"/>
          <w:szCs w:val="22"/>
        </w:rPr>
        <w:t xml:space="preserve"> </w:t>
      </w:r>
      <w:r w:rsidRPr="006E7216">
        <w:rPr>
          <w:rFonts w:ascii="Times New Roman" w:hAnsi="Times New Roman"/>
          <w:sz w:val="22"/>
          <w:szCs w:val="22"/>
        </w:rPr>
        <w:t>documented as being in decline or recognized as being at risk of</w:t>
      </w:r>
      <w:r w:rsidR="0089145F" w:rsidRPr="006E7216">
        <w:rPr>
          <w:rFonts w:ascii="Times New Roman" w:hAnsi="Times New Roman"/>
          <w:sz w:val="22"/>
          <w:szCs w:val="22"/>
        </w:rPr>
        <w:t xml:space="preserve"> </w:t>
      </w:r>
      <w:r w:rsidRPr="006E7216">
        <w:rPr>
          <w:rFonts w:ascii="Times New Roman" w:hAnsi="Times New Roman"/>
          <w:sz w:val="22"/>
          <w:szCs w:val="22"/>
        </w:rPr>
        <w:t>extirpation from the State;</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A</w:t>
      </w:r>
      <w:r w:rsidR="0089145F" w:rsidRPr="006E7216">
        <w:rPr>
          <w:rFonts w:ascii="Times New Roman" w:hAnsi="Times New Roman"/>
          <w:sz w:val="22"/>
          <w:szCs w:val="22"/>
        </w:rPr>
        <w:t xml:space="preserve"> </w:t>
      </w:r>
      <w:r w:rsidRPr="006E7216">
        <w:rPr>
          <w:rFonts w:ascii="Times New Roman" w:hAnsi="Times New Roman"/>
          <w:sz w:val="22"/>
          <w:szCs w:val="22"/>
        </w:rPr>
        <w:t>species, species group, natural community or ecosystem thought</w:t>
      </w:r>
      <w:r w:rsidR="0089145F" w:rsidRPr="006E7216">
        <w:rPr>
          <w:rFonts w:ascii="Times New Roman" w:hAnsi="Times New Roman"/>
          <w:sz w:val="22"/>
          <w:szCs w:val="22"/>
        </w:rPr>
        <w:t xml:space="preserve"> </w:t>
      </w:r>
      <w:r w:rsidRPr="006E7216">
        <w:rPr>
          <w:rFonts w:ascii="Times New Roman" w:hAnsi="Times New Roman"/>
          <w:sz w:val="22"/>
          <w:szCs w:val="22"/>
        </w:rPr>
        <w:t>in the best professional judgment of biologists to be in decline or in</w:t>
      </w:r>
      <w:r w:rsidR="0089145F" w:rsidRPr="006E7216">
        <w:rPr>
          <w:rFonts w:ascii="Times New Roman" w:hAnsi="Times New Roman"/>
          <w:sz w:val="22"/>
          <w:szCs w:val="22"/>
        </w:rPr>
        <w:t xml:space="preserve"> </w:t>
      </w:r>
      <w:r w:rsidRPr="006E7216">
        <w:rPr>
          <w:rFonts w:ascii="Times New Roman" w:hAnsi="Times New Roman"/>
          <w:sz w:val="22"/>
          <w:szCs w:val="22"/>
        </w:rPr>
        <w:t>danger of extirpation from the State but whose status is undetermined;</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Education about conservation of rare</w:t>
      </w:r>
      <w:r w:rsidR="00654FA8">
        <w:rPr>
          <w:rFonts w:ascii="Times New Roman" w:hAnsi="Times New Roman"/>
          <w:sz w:val="22"/>
          <w:szCs w:val="22"/>
        </w:rPr>
        <w:t>,</w:t>
      </w:r>
      <w:r w:rsidRPr="006E7216">
        <w:rPr>
          <w:rFonts w:ascii="Times New Roman" w:hAnsi="Times New Roman"/>
          <w:sz w:val="22"/>
          <w:szCs w:val="22"/>
        </w:rPr>
        <w:t xml:space="preserve"> threatened and endangered species,</w:t>
      </w:r>
      <w:r w:rsidR="0089145F" w:rsidRPr="006E7216">
        <w:rPr>
          <w:rFonts w:ascii="Times New Roman" w:hAnsi="Times New Roman"/>
          <w:sz w:val="22"/>
          <w:szCs w:val="22"/>
        </w:rPr>
        <w:t xml:space="preserve"> </w:t>
      </w:r>
      <w:r w:rsidRPr="006E7216">
        <w:rPr>
          <w:rFonts w:ascii="Times New Roman" w:hAnsi="Times New Roman"/>
          <w:sz w:val="22"/>
          <w:szCs w:val="22"/>
        </w:rPr>
        <w:t xml:space="preserve">species of special concern, and/or exemplary natural communities; </w:t>
      </w:r>
    </w:p>
    <w:p w:rsidR="008B630A" w:rsidRPr="006E7216" w:rsidRDefault="008B630A" w:rsidP="0089145F">
      <w:pPr>
        <w:pStyle w:val="PlainText"/>
        <w:numPr>
          <w:ilvl w:val="0"/>
          <w:numId w:val="16"/>
        </w:numPr>
        <w:spacing w:before="120"/>
        <w:rPr>
          <w:rFonts w:ascii="Times New Roman" w:hAnsi="Times New Roman"/>
          <w:sz w:val="22"/>
          <w:szCs w:val="22"/>
        </w:rPr>
      </w:pPr>
      <w:r w:rsidRPr="006E7216">
        <w:rPr>
          <w:rFonts w:ascii="Times New Roman" w:hAnsi="Times New Roman"/>
          <w:sz w:val="22"/>
          <w:szCs w:val="22"/>
        </w:rPr>
        <w:t>Equipment and training to improve efficiencies in the conservation of</w:t>
      </w:r>
      <w:r w:rsidR="0089145F" w:rsidRPr="006E7216">
        <w:rPr>
          <w:rFonts w:ascii="Times New Roman" w:hAnsi="Times New Roman"/>
          <w:sz w:val="22"/>
          <w:szCs w:val="22"/>
        </w:rPr>
        <w:t xml:space="preserve"> </w:t>
      </w:r>
      <w:r w:rsidRPr="006E7216">
        <w:rPr>
          <w:rFonts w:ascii="Times New Roman" w:hAnsi="Times New Roman"/>
          <w:sz w:val="22"/>
          <w:szCs w:val="22"/>
        </w:rPr>
        <w:t>rare, threatened and endangered species, species of special concern,</w:t>
      </w:r>
      <w:r w:rsidR="0089145F" w:rsidRPr="006E7216">
        <w:rPr>
          <w:rFonts w:ascii="Times New Roman" w:hAnsi="Times New Roman"/>
          <w:sz w:val="22"/>
          <w:szCs w:val="22"/>
        </w:rPr>
        <w:t xml:space="preserve"> </w:t>
      </w:r>
      <w:r w:rsidRPr="006E7216">
        <w:rPr>
          <w:rFonts w:ascii="Times New Roman" w:hAnsi="Times New Roman"/>
          <w:sz w:val="22"/>
          <w:szCs w:val="22"/>
        </w:rPr>
        <w:t>and exemplary natural communities;</w:t>
      </w:r>
    </w:p>
    <w:p w:rsidR="008B630A" w:rsidRDefault="00CD6CD1" w:rsidP="0089145F">
      <w:pPr>
        <w:pStyle w:val="PlainText"/>
        <w:numPr>
          <w:ilvl w:val="0"/>
          <w:numId w:val="16"/>
        </w:numPr>
        <w:spacing w:before="120"/>
        <w:rPr>
          <w:rFonts w:ascii="Times New Roman" w:hAnsi="Times New Roman"/>
          <w:sz w:val="22"/>
          <w:szCs w:val="22"/>
        </w:rPr>
      </w:pPr>
      <w:bookmarkStart w:id="2" w:name="_GoBack"/>
      <w:bookmarkEnd w:id="2"/>
      <w:r>
        <w:rPr>
          <w:rFonts w:ascii="Times New Roman" w:hAnsi="Times New Roman"/>
          <w:sz w:val="22"/>
          <w:szCs w:val="22"/>
        </w:rPr>
        <w:t xml:space="preserve">Long-term </w:t>
      </w:r>
      <w:r w:rsidR="008B630A" w:rsidRPr="006E7216">
        <w:rPr>
          <w:rFonts w:ascii="Times New Roman" w:hAnsi="Times New Roman"/>
          <w:sz w:val="22"/>
          <w:szCs w:val="22"/>
        </w:rPr>
        <w:t>monitoring of rare, threatened, endangered species or habitat</w:t>
      </w:r>
      <w:r w:rsidR="00821EE8">
        <w:rPr>
          <w:rFonts w:ascii="Times New Roman" w:hAnsi="Times New Roman"/>
          <w:sz w:val="22"/>
          <w:szCs w:val="22"/>
        </w:rPr>
        <w:t>; or</w:t>
      </w:r>
    </w:p>
    <w:p w:rsidR="00CD6CD1" w:rsidRPr="0020679B" w:rsidRDefault="00CD6CD1" w:rsidP="0089145F">
      <w:pPr>
        <w:pStyle w:val="PlainText"/>
        <w:numPr>
          <w:ilvl w:val="0"/>
          <w:numId w:val="16"/>
        </w:numPr>
        <w:spacing w:before="120"/>
        <w:rPr>
          <w:rFonts w:ascii="Times New Roman" w:hAnsi="Times New Roman"/>
          <w:sz w:val="22"/>
          <w:szCs w:val="22"/>
        </w:rPr>
      </w:pPr>
      <w:r w:rsidRPr="0020679B">
        <w:rPr>
          <w:rFonts w:ascii="Times New Roman" w:hAnsi="Times New Roman"/>
          <w:sz w:val="22"/>
          <w:szCs w:val="22"/>
        </w:rPr>
        <w:t>Climate change, mitigation, resiliency or adaptation strategies</w:t>
      </w:r>
      <w:r w:rsidR="00654FA8" w:rsidRPr="0020679B">
        <w:rPr>
          <w:rFonts w:ascii="Times New Roman" w:hAnsi="Times New Roman"/>
          <w:sz w:val="22"/>
          <w:szCs w:val="22"/>
        </w:rPr>
        <w:t>.</w:t>
      </w:r>
    </w:p>
    <w:p w:rsidR="008B630A" w:rsidRPr="0020679B" w:rsidRDefault="008B630A">
      <w:pPr>
        <w:pStyle w:val="PlainText"/>
        <w:ind w:left="720"/>
        <w:rPr>
          <w:rFonts w:ascii="Times New Roman" w:hAnsi="Times New Roman"/>
          <w:sz w:val="22"/>
          <w:szCs w:val="22"/>
        </w:rPr>
      </w:pPr>
    </w:p>
    <w:p w:rsidR="008B630A" w:rsidRPr="006E7216" w:rsidRDefault="008B630A" w:rsidP="0020679B">
      <w:pPr>
        <w:pStyle w:val="PlainText"/>
        <w:tabs>
          <w:tab w:val="left" w:pos="360"/>
        </w:tabs>
        <w:rPr>
          <w:rFonts w:ascii="Times New Roman" w:hAnsi="Times New Roman"/>
          <w:b/>
          <w:sz w:val="22"/>
          <w:szCs w:val="22"/>
        </w:rPr>
      </w:pPr>
      <w:r w:rsidRPr="006E7216">
        <w:rPr>
          <w:rFonts w:ascii="Times New Roman" w:hAnsi="Times New Roman"/>
          <w:b/>
          <w:sz w:val="22"/>
          <w:szCs w:val="22"/>
        </w:rPr>
        <w:t>4.</w:t>
      </w:r>
      <w:r w:rsidR="0020679B">
        <w:rPr>
          <w:rFonts w:ascii="Times New Roman" w:hAnsi="Times New Roman"/>
          <w:b/>
          <w:sz w:val="22"/>
          <w:szCs w:val="22"/>
        </w:rPr>
        <w:tab/>
      </w:r>
      <w:r w:rsidRPr="006E7216">
        <w:rPr>
          <w:rFonts w:ascii="Times New Roman" w:hAnsi="Times New Roman"/>
          <w:b/>
          <w:sz w:val="22"/>
          <w:szCs w:val="22"/>
        </w:rPr>
        <w:t>Natural resources law enforcement and protection of public health (15%)</w:t>
      </w:r>
    </w:p>
    <w:p w:rsidR="00626300" w:rsidRPr="006E7216" w:rsidRDefault="008B630A" w:rsidP="0020679B">
      <w:pPr>
        <w:pStyle w:val="PlainText"/>
        <w:spacing w:before="120"/>
        <w:ind w:left="360"/>
        <w:rPr>
          <w:rFonts w:ascii="Times New Roman" w:hAnsi="Times New Roman"/>
          <w:sz w:val="22"/>
          <w:szCs w:val="22"/>
        </w:rPr>
      </w:pPr>
      <w:r w:rsidRPr="006E7216">
        <w:rPr>
          <w:rFonts w:ascii="Times New Roman" w:hAnsi="Times New Roman"/>
          <w:sz w:val="22"/>
          <w:szCs w:val="22"/>
        </w:rPr>
        <w:t>The Board shall consider whether a project involves:</w:t>
      </w:r>
    </w:p>
    <w:p w:rsidR="00626300" w:rsidRPr="006E7216" w:rsidRDefault="00626300" w:rsidP="0020679B">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Public health or safety concerns of statewide or regional significance;</w:t>
      </w:r>
    </w:p>
    <w:p w:rsidR="00626300" w:rsidRPr="006E7216" w:rsidRDefault="00626300" w:rsidP="00626300">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 xml:space="preserve">Biological </w:t>
      </w:r>
      <w:r w:rsidR="00826DEB">
        <w:rPr>
          <w:rFonts w:ascii="Times New Roman" w:hAnsi="Times New Roman"/>
          <w:sz w:val="22"/>
          <w:szCs w:val="22"/>
        </w:rPr>
        <w:t xml:space="preserve">or environmental </w:t>
      </w:r>
      <w:r w:rsidRPr="006E7216">
        <w:rPr>
          <w:rFonts w:ascii="Times New Roman" w:hAnsi="Times New Roman"/>
          <w:sz w:val="22"/>
          <w:szCs w:val="22"/>
        </w:rPr>
        <w:t xml:space="preserve">indicators that would signal threats to Maine's air quality, water quality, wildlife or wildlife habitat, and/or health of Maine's ecosystems; </w:t>
      </w:r>
    </w:p>
    <w:p w:rsidR="00626300" w:rsidRPr="006E7216" w:rsidRDefault="00626300" w:rsidP="00626300">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Environmental education for the public or law enforcement personnel;</w:t>
      </w:r>
    </w:p>
    <w:p w:rsidR="00626300" w:rsidRPr="006E7216" w:rsidRDefault="008B630A" w:rsidP="00626300">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Cross-training between natural resources state agencies;</w:t>
      </w:r>
    </w:p>
    <w:p w:rsidR="00626300" w:rsidRPr="006E7216" w:rsidRDefault="008B630A" w:rsidP="00626300">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Equipment and training to improve efficiencies in natural resources law</w:t>
      </w:r>
      <w:r w:rsidR="00626300" w:rsidRPr="006E7216">
        <w:rPr>
          <w:rFonts w:ascii="Times New Roman" w:hAnsi="Times New Roman"/>
          <w:sz w:val="22"/>
          <w:szCs w:val="22"/>
        </w:rPr>
        <w:t xml:space="preserve"> </w:t>
      </w:r>
      <w:r w:rsidRPr="006E7216">
        <w:rPr>
          <w:rFonts w:ascii="Times New Roman" w:hAnsi="Times New Roman"/>
          <w:sz w:val="22"/>
          <w:szCs w:val="22"/>
        </w:rPr>
        <w:t>enforcement;</w:t>
      </w:r>
    </w:p>
    <w:p w:rsidR="00626300" w:rsidRDefault="008B630A" w:rsidP="00626300">
      <w:pPr>
        <w:pStyle w:val="PlainText"/>
        <w:numPr>
          <w:ilvl w:val="0"/>
          <w:numId w:val="21"/>
        </w:numPr>
        <w:spacing w:before="120"/>
        <w:rPr>
          <w:rFonts w:ascii="Times New Roman" w:hAnsi="Times New Roman"/>
          <w:sz w:val="22"/>
          <w:szCs w:val="22"/>
        </w:rPr>
      </w:pPr>
      <w:r w:rsidRPr="006E7216">
        <w:rPr>
          <w:rFonts w:ascii="Times New Roman" w:hAnsi="Times New Roman"/>
          <w:sz w:val="22"/>
          <w:szCs w:val="22"/>
        </w:rPr>
        <w:t>Education of the public about natural resource laws and enforcement</w:t>
      </w:r>
      <w:r w:rsidR="00654FA8">
        <w:rPr>
          <w:rFonts w:ascii="Times New Roman" w:hAnsi="Times New Roman"/>
          <w:sz w:val="22"/>
          <w:szCs w:val="22"/>
        </w:rPr>
        <w:t>; or</w:t>
      </w:r>
    </w:p>
    <w:p w:rsidR="00CD6CD1" w:rsidRPr="0067288C" w:rsidRDefault="00CD6CD1" w:rsidP="00626300">
      <w:pPr>
        <w:pStyle w:val="PlainText"/>
        <w:numPr>
          <w:ilvl w:val="0"/>
          <w:numId w:val="21"/>
        </w:numPr>
        <w:spacing w:before="120"/>
        <w:rPr>
          <w:rFonts w:ascii="Times New Roman" w:hAnsi="Times New Roman"/>
          <w:sz w:val="22"/>
          <w:szCs w:val="22"/>
        </w:rPr>
      </w:pPr>
      <w:r w:rsidRPr="0067288C">
        <w:rPr>
          <w:rFonts w:ascii="Times New Roman" w:hAnsi="Times New Roman"/>
          <w:sz w:val="22"/>
          <w:szCs w:val="22"/>
        </w:rPr>
        <w:t>Climate change, mitigation, resiliency or adaptation strategies</w:t>
      </w:r>
      <w:r w:rsidR="00654FA8" w:rsidRPr="0067288C">
        <w:rPr>
          <w:rFonts w:ascii="Times New Roman" w:hAnsi="Times New Roman"/>
          <w:sz w:val="22"/>
          <w:szCs w:val="22"/>
        </w:rPr>
        <w:t>.</w:t>
      </w:r>
    </w:p>
    <w:p w:rsidR="008B630A" w:rsidRPr="006E7216" w:rsidRDefault="008B630A" w:rsidP="00626300">
      <w:pPr>
        <w:pStyle w:val="PlainText"/>
        <w:ind w:left="720"/>
        <w:rPr>
          <w:rFonts w:ascii="Times New Roman" w:hAnsi="Times New Roman"/>
          <w:sz w:val="22"/>
          <w:szCs w:val="22"/>
        </w:rPr>
      </w:pPr>
    </w:p>
    <w:p w:rsidR="008B630A" w:rsidRPr="006E7216" w:rsidRDefault="008B630A">
      <w:pPr>
        <w:pStyle w:val="PlainText"/>
        <w:ind w:left="720"/>
        <w:rPr>
          <w:rFonts w:ascii="Times New Roman" w:hAnsi="Times New Roman"/>
          <w:sz w:val="22"/>
          <w:szCs w:val="22"/>
        </w:rPr>
      </w:pPr>
    </w:p>
    <w:p w:rsidR="0067288C" w:rsidRDefault="0067288C">
      <w:pPr>
        <w:rPr>
          <w:sz w:val="22"/>
          <w:szCs w:val="22"/>
        </w:rPr>
      </w:pPr>
      <w:r>
        <w:rPr>
          <w:sz w:val="22"/>
          <w:szCs w:val="22"/>
        </w:rPr>
        <w:br w:type="page"/>
      </w:r>
    </w:p>
    <w:p w:rsidR="008B630A" w:rsidRPr="006E7216" w:rsidRDefault="008B630A">
      <w:pPr>
        <w:pStyle w:val="PlainText"/>
        <w:rPr>
          <w:rFonts w:ascii="Times New Roman" w:hAnsi="Times New Roman"/>
          <w:sz w:val="22"/>
          <w:szCs w:val="22"/>
        </w:rPr>
      </w:pPr>
    </w:p>
    <w:p w:rsidR="008B630A" w:rsidRPr="006E7216" w:rsidRDefault="008B630A">
      <w:pPr>
        <w:pStyle w:val="PlainText"/>
        <w:jc w:val="center"/>
        <w:rPr>
          <w:rFonts w:ascii="Times New Roman" w:hAnsi="Times New Roman"/>
          <w:b/>
          <w:sz w:val="22"/>
          <w:szCs w:val="22"/>
        </w:rPr>
      </w:pPr>
      <w:r w:rsidRPr="006E7216">
        <w:rPr>
          <w:rFonts w:ascii="Times New Roman" w:hAnsi="Times New Roman"/>
          <w:b/>
          <w:sz w:val="22"/>
          <w:szCs w:val="22"/>
        </w:rPr>
        <w:lastRenderedPageBreak/>
        <w:t>Definitions of Terms used in Strategic Plan</w:t>
      </w:r>
      <w:r w:rsidRPr="006E7216">
        <w:rPr>
          <w:rFonts w:ascii="Times New Roman" w:hAnsi="Times New Roman"/>
          <w:b/>
          <w:sz w:val="22"/>
          <w:szCs w:val="22"/>
        </w:rPr>
        <w:cr/>
        <w:t>(from Title 12, MRSA c. 903, section 10301)</w:t>
      </w:r>
      <w:r w:rsidRPr="006E7216">
        <w:rPr>
          <w:rFonts w:ascii="Times New Roman" w:hAnsi="Times New Roman"/>
          <w:b/>
          <w:sz w:val="22"/>
          <w:szCs w:val="22"/>
        </w:rPr>
        <w:cr/>
      </w: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1.</w:t>
      </w:r>
      <w:r w:rsidRPr="006E7216">
        <w:rPr>
          <w:rFonts w:ascii="Times New Roman" w:hAnsi="Times New Roman"/>
          <w:sz w:val="22"/>
          <w:szCs w:val="22"/>
        </w:rPr>
        <w:tab/>
      </w:r>
      <w:r w:rsidRPr="006E7216">
        <w:rPr>
          <w:rFonts w:ascii="Times New Roman" w:hAnsi="Times New Roman"/>
          <w:b/>
          <w:sz w:val="22"/>
          <w:szCs w:val="22"/>
        </w:rPr>
        <w:t>Acquisition</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"Acquisition" means fee ownership, easement, lease, right-of-way</w:t>
      </w:r>
      <w:r w:rsidR="00241AD8">
        <w:rPr>
          <w:rFonts w:ascii="Times New Roman" w:hAnsi="Times New Roman"/>
          <w:sz w:val="22"/>
          <w:szCs w:val="22"/>
        </w:rPr>
        <w:t>,</w:t>
      </w:r>
      <w:r w:rsidRPr="006E7216">
        <w:rPr>
          <w:rFonts w:ascii="Times New Roman" w:hAnsi="Times New Roman"/>
          <w:sz w:val="22"/>
          <w:szCs w:val="22"/>
        </w:rPr>
        <w:t xml:space="preserve"> and other less-than fee interests in land.</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2.</w:t>
      </w:r>
      <w:r w:rsidRPr="006E7216">
        <w:rPr>
          <w:rFonts w:ascii="Times New Roman" w:hAnsi="Times New Roman"/>
          <w:sz w:val="22"/>
          <w:szCs w:val="22"/>
        </w:rPr>
        <w:tab/>
      </w:r>
      <w:r w:rsidRPr="006E7216">
        <w:rPr>
          <w:rFonts w:ascii="Times New Roman" w:hAnsi="Times New Roman"/>
          <w:b/>
          <w:sz w:val="22"/>
          <w:szCs w:val="22"/>
        </w:rPr>
        <w:t>Board</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"Board" means the Maine Outdoor Heritage Fund Board.</w:t>
      </w:r>
    </w:p>
    <w:p w:rsidR="008B630A" w:rsidRPr="006E7216" w:rsidRDefault="008B630A" w:rsidP="006E7216">
      <w:pPr>
        <w:pStyle w:val="PlainText"/>
        <w:ind w:left="720" w:hanging="720"/>
        <w:rPr>
          <w:rFonts w:ascii="Times New Roman" w:hAnsi="Times New Roman"/>
          <w:sz w:val="22"/>
          <w:szCs w:val="22"/>
        </w:rPr>
      </w:pPr>
    </w:p>
    <w:p w:rsidR="002D6B43"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3.</w:t>
      </w:r>
      <w:r w:rsidRPr="006E7216">
        <w:rPr>
          <w:rFonts w:ascii="Times New Roman" w:hAnsi="Times New Roman"/>
          <w:sz w:val="22"/>
          <w:szCs w:val="22"/>
        </w:rPr>
        <w:tab/>
      </w:r>
      <w:r w:rsidRPr="006E7216">
        <w:rPr>
          <w:rFonts w:ascii="Times New Roman" w:hAnsi="Times New Roman"/>
          <w:b/>
          <w:sz w:val="22"/>
          <w:szCs w:val="22"/>
        </w:rPr>
        <w:t>Coordinator of the Natural Areas Program</w:t>
      </w:r>
      <w:r w:rsidR="001E57B0" w:rsidRPr="006E7216">
        <w:rPr>
          <w:rFonts w:ascii="Times New Roman" w:hAnsi="Times New Roman"/>
          <w:sz w:val="22"/>
          <w:szCs w:val="22"/>
        </w:rPr>
        <w:t>.</w:t>
      </w:r>
      <w:r w:rsidRPr="006E7216">
        <w:rPr>
          <w:rFonts w:ascii="Times New Roman" w:hAnsi="Times New Roman"/>
          <w:sz w:val="22"/>
          <w:szCs w:val="22"/>
        </w:rPr>
        <w:t xml:space="preserve"> “Coordinator of the Natural Areas Program” means the person appointed by the Commissioner of </w:t>
      </w:r>
      <w:r w:rsidR="003F2753">
        <w:rPr>
          <w:rFonts w:ascii="Times New Roman" w:hAnsi="Times New Roman"/>
          <w:sz w:val="22"/>
          <w:szCs w:val="22"/>
        </w:rPr>
        <w:t xml:space="preserve">Agriculture, </w:t>
      </w:r>
      <w:r w:rsidRPr="006E7216">
        <w:rPr>
          <w:rFonts w:ascii="Times New Roman" w:hAnsi="Times New Roman"/>
          <w:sz w:val="22"/>
          <w:szCs w:val="22"/>
        </w:rPr>
        <w:t>Conservation</w:t>
      </w:r>
      <w:r w:rsidR="003F2753">
        <w:rPr>
          <w:rFonts w:ascii="Times New Roman" w:hAnsi="Times New Roman"/>
          <w:sz w:val="22"/>
          <w:szCs w:val="22"/>
        </w:rPr>
        <w:t xml:space="preserve"> and Forestry</w:t>
      </w:r>
      <w:r w:rsidRPr="006E7216">
        <w:rPr>
          <w:rFonts w:ascii="Times New Roman" w:hAnsi="Times New Roman"/>
          <w:sz w:val="22"/>
          <w:szCs w:val="22"/>
        </w:rPr>
        <w:t xml:space="preserve"> to be responsible for coordinating the Natural Areas Program.</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4.</w:t>
      </w:r>
      <w:r w:rsidRPr="006E7216">
        <w:rPr>
          <w:rFonts w:ascii="Times New Roman" w:hAnsi="Times New Roman"/>
          <w:sz w:val="22"/>
          <w:szCs w:val="22"/>
        </w:rPr>
        <w:tab/>
      </w:r>
      <w:r w:rsidRPr="006E7216">
        <w:rPr>
          <w:rFonts w:ascii="Times New Roman" w:hAnsi="Times New Roman"/>
          <w:b/>
          <w:sz w:val="22"/>
          <w:szCs w:val="22"/>
        </w:rPr>
        <w:t>Fund.</w:t>
      </w:r>
      <w:r w:rsidRPr="006E7216">
        <w:rPr>
          <w:rFonts w:ascii="Times New Roman" w:hAnsi="Times New Roman"/>
          <w:sz w:val="22"/>
          <w:szCs w:val="22"/>
        </w:rPr>
        <w:t xml:space="preserve"> “Fund” means the Maine Outdoor Heritage Fund.</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5.</w:t>
      </w:r>
      <w:r w:rsidRPr="006E7216">
        <w:rPr>
          <w:rFonts w:ascii="Times New Roman" w:hAnsi="Times New Roman"/>
          <w:sz w:val="22"/>
          <w:szCs w:val="22"/>
        </w:rPr>
        <w:tab/>
      </w:r>
      <w:r w:rsidRPr="006E7216">
        <w:rPr>
          <w:rFonts w:ascii="Times New Roman" w:hAnsi="Times New Roman"/>
          <w:b/>
          <w:sz w:val="22"/>
          <w:szCs w:val="22"/>
        </w:rPr>
        <w:t>Matching funds</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 xml:space="preserve">"Matching funds" means any combination of public and private funds used in conjunction with the Maine Outdoor Heritage Fund, including, but not limited to, private contributions of cash or securities, money from municipal or other public agencies, money from a federal matching program, in-kind contributions or any combination thereof. </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6.</w:t>
      </w:r>
      <w:r w:rsidRPr="006E7216">
        <w:rPr>
          <w:rFonts w:ascii="Times New Roman" w:hAnsi="Times New Roman"/>
          <w:sz w:val="22"/>
          <w:szCs w:val="22"/>
        </w:rPr>
        <w:tab/>
      </w:r>
      <w:r w:rsidRPr="006E7216">
        <w:rPr>
          <w:rFonts w:ascii="Times New Roman" w:hAnsi="Times New Roman"/>
          <w:b/>
          <w:sz w:val="22"/>
          <w:szCs w:val="22"/>
        </w:rPr>
        <w:t>Natural resources agencies</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 xml:space="preserve">"Natural resources agencies" means state agencies, bureaus, boards, commissions or other instrumentalities having jurisdiction over the protection of the State's natural resources. </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7.</w:t>
      </w:r>
      <w:r w:rsidRPr="006E7216">
        <w:rPr>
          <w:rFonts w:ascii="Times New Roman" w:hAnsi="Times New Roman"/>
          <w:sz w:val="22"/>
          <w:szCs w:val="22"/>
        </w:rPr>
        <w:tab/>
      </w:r>
      <w:r w:rsidRPr="006E7216">
        <w:rPr>
          <w:rFonts w:ascii="Times New Roman" w:hAnsi="Times New Roman"/>
          <w:b/>
          <w:sz w:val="22"/>
          <w:szCs w:val="22"/>
        </w:rPr>
        <w:t>Public-private partnership</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 </w:t>
      </w:r>
    </w:p>
    <w:p w:rsidR="008B630A" w:rsidRPr="006E7216" w:rsidRDefault="008B630A" w:rsidP="006E7216">
      <w:pPr>
        <w:pStyle w:val="PlainText"/>
        <w:ind w:left="720" w:hanging="720"/>
        <w:rPr>
          <w:rFonts w:ascii="Times New Roman" w:hAnsi="Times New Roman"/>
          <w:sz w:val="22"/>
          <w:szCs w:val="22"/>
        </w:rPr>
      </w:pPr>
    </w:p>
    <w:p w:rsidR="008B630A" w:rsidRPr="006E7216" w:rsidRDefault="008B630A" w:rsidP="006E7216">
      <w:pPr>
        <w:pStyle w:val="PlainText"/>
        <w:ind w:left="720" w:hanging="720"/>
        <w:rPr>
          <w:rFonts w:ascii="Times New Roman" w:hAnsi="Times New Roman"/>
          <w:sz w:val="22"/>
          <w:szCs w:val="22"/>
        </w:rPr>
      </w:pPr>
      <w:r w:rsidRPr="006E7216">
        <w:rPr>
          <w:rFonts w:ascii="Times New Roman" w:hAnsi="Times New Roman"/>
          <w:sz w:val="22"/>
          <w:szCs w:val="22"/>
        </w:rPr>
        <w:t>8.</w:t>
      </w:r>
      <w:r w:rsidRPr="006E7216">
        <w:rPr>
          <w:rFonts w:ascii="Times New Roman" w:hAnsi="Times New Roman"/>
          <w:sz w:val="22"/>
          <w:szCs w:val="22"/>
        </w:rPr>
        <w:tab/>
      </w:r>
      <w:r w:rsidRPr="006E7216">
        <w:rPr>
          <w:rFonts w:ascii="Times New Roman" w:hAnsi="Times New Roman"/>
          <w:b/>
          <w:sz w:val="22"/>
          <w:szCs w:val="22"/>
        </w:rPr>
        <w:t>Wildlife</w:t>
      </w:r>
      <w:r w:rsidRPr="006E7216">
        <w:rPr>
          <w:rFonts w:ascii="Times New Roman" w:hAnsi="Times New Roman"/>
          <w:sz w:val="22"/>
          <w:szCs w:val="22"/>
        </w:rPr>
        <w:t>.</w:t>
      </w:r>
      <w:r w:rsidR="00D950BC">
        <w:rPr>
          <w:rFonts w:ascii="Times New Roman" w:hAnsi="Times New Roman"/>
          <w:sz w:val="22"/>
          <w:szCs w:val="22"/>
        </w:rPr>
        <w:t xml:space="preserve"> </w:t>
      </w:r>
      <w:r w:rsidRPr="006E7216">
        <w:rPr>
          <w:rFonts w:ascii="Times New Roman" w:hAnsi="Times New Roman"/>
          <w:sz w:val="22"/>
          <w:szCs w:val="22"/>
        </w:rPr>
        <w:t xml:space="preserve">"Wildlife" means wild organisms, including vertebrate, invertebrate and plant species. </w:t>
      </w:r>
    </w:p>
    <w:p w:rsidR="00C758E7" w:rsidRPr="006E7216" w:rsidRDefault="00C758E7">
      <w:pPr>
        <w:pStyle w:val="PlainText"/>
        <w:rPr>
          <w:rFonts w:ascii="Times New Roman" w:hAnsi="Times New Roman"/>
          <w:sz w:val="22"/>
          <w:szCs w:val="22"/>
        </w:rPr>
      </w:pPr>
      <w:r>
        <w:rPr>
          <w:rFonts w:ascii="Times New Roman" w:hAnsi="Times New Roman"/>
          <w:sz w:val="22"/>
          <w:szCs w:val="22"/>
        </w:rPr>
        <w:t>______________________________________________________________________________</w:t>
      </w:r>
    </w:p>
    <w:p w:rsidR="00C46494" w:rsidRPr="006E7216" w:rsidRDefault="00C46494">
      <w:pPr>
        <w:pStyle w:val="PlainText"/>
        <w:jc w:val="center"/>
        <w:rPr>
          <w:rFonts w:ascii="Times New Roman" w:hAnsi="Times New Roman"/>
          <w:sz w:val="22"/>
          <w:szCs w:val="22"/>
        </w:rPr>
      </w:pPr>
    </w:p>
    <w:p w:rsidR="00B644C3" w:rsidRPr="006E7216" w:rsidRDefault="00B644C3" w:rsidP="00B644C3">
      <w:pPr>
        <w:autoSpaceDE w:val="0"/>
        <w:autoSpaceDN w:val="0"/>
        <w:adjustRightInd w:val="0"/>
        <w:rPr>
          <w:b/>
          <w:bCs/>
          <w:color w:val="000000"/>
          <w:sz w:val="22"/>
          <w:szCs w:val="22"/>
        </w:rPr>
      </w:pPr>
      <w:r w:rsidRPr="006E7216">
        <w:rPr>
          <w:b/>
          <w:bCs/>
          <w:color w:val="000000"/>
          <w:sz w:val="22"/>
          <w:szCs w:val="22"/>
        </w:rPr>
        <w:t xml:space="preserve">MOHF reference documents can be found on the </w:t>
      </w:r>
      <w:hyperlink r:id="rId9" w:history="1">
        <w:r w:rsidR="00826DEB" w:rsidRPr="00317216">
          <w:rPr>
            <w:rStyle w:val="Hyperlink"/>
            <w:b/>
            <w:bCs/>
            <w:sz w:val="22"/>
            <w:szCs w:val="22"/>
          </w:rPr>
          <w:t>MOHF</w:t>
        </w:r>
      </w:hyperlink>
      <w:r w:rsidR="00826DEB">
        <w:rPr>
          <w:b/>
          <w:bCs/>
          <w:color w:val="000000"/>
          <w:sz w:val="22"/>
          <w:szCs w:val="22"/>
        </w:rPr>
        <w:t xml:space="preserve"> webpage.</w:t>
      </w:r>
    </w:p>
    <w:p w:rsidR="00B644C3" w:rsidRPr="006E7216" w:rsidRDefault="00B644C3" w:rsidP="00B644C3">
      <w:pPr>
        <w:autoSpaceDE w:val="0"/>
        <w:autoSpaceDN w:val="0"/>
        <w:adjustRightInd w:val="0"/>
        <w:rPr>
          <w:b/>
          <w:bCs/>
          <w:color w:val="000000"/>
          <w:sz w:val="22"/>
          <w:szCs w:val="22"/>
        </w:rPr>
      </w:pPr>
    </w:p>
    <w:p w:rsidR="002D6B43" w:rsidRDefault="002D6B43" w:rsidP="0067288C">
      <w:pPr>
        <w:pStyle w:val="PlainText"/>
        <w:pBdr>
          <w:top w:val="single" w:sz="4" w:space="1" w:color="auto"/>
        </w:pBdr>
        <w:rPr>
          <w:rFonts w:ascii="Times New Roman" w:hAnsi="Times New Roman"/>
          <w:sz w:val="22"/>
          <w:szCs w:val="22"/>
        </w:rPr>
      </w:pPr>
    </w:p>
    <w:p w:rsidR="003717E0" w:rsidRDefault="003717E0" w:rsidP="0067288C">
      <w:pPr>
        <w:pStyle w:val="PlainText"/>
        <w:pBdr>
          <w:top w:val="single" w:sz="4" w:space="1" w:color="auto"/>
        </w:pBdr>
        <w:rPr>
          <w:rFonts w:ascii="Times New Roman" w:hAnsi="Times New Roman"/>
          <w:sz w:val="22"/>
          <w:szCs w:val="22"/>
        </w:rPr>
      </w:pP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STATUTORY AUTHORITY: 12 MRS §10308</w:t>
      </w:r>
    </w:p>
    <w:p w:rsidR="003717E0" w:rsidRPr="003717E0" w:rsidRDefault="003717E0" w:rsidP="003717E0">
      <w:pPr>
        <w:tabs>
          <w:tab w:val="left" w:pos="720"/>
          <w:tab w:val="left" w:pos="1440"/>
          <w:tab w:val="left" w:pos="2160"/>
          <w:tab w:val="left" w:pos="2880"/>
          <w:tab w:val="left" w:pos="3600"/>
        </w:tabs>
        <w:rPr>
          <w:rFonts w:eastAsia="Calibri"/>
          <w:sz w:val="22"/>
          <w:szCs w:val="22"/>
        </w:rPr>
      </w:pPr>
    </w:p>
    <w:p w:rsidR="003717E0" w:rsidRPr="003717E0" w:rsidRDefault="003717E0" w:rsidP="003717E0">
      <w:pPr>
        <w:tabs>
          <w:tab w:val="left" w:pos="720"/>
          <w:tab w:val="left" w:pos="1440"/>
          <w:tab w:val="left" w:pos="2160"/>
          <w:tab w:val="left" w:pos="2880"/>
          <w:tab w:val="left" w:pos="3600"/>
        </w:tabs>
        <w:rPr>
          <w:rFonts w:eastAsia="Calibri"/>
          <w:b/>
          <w:sz w:val="22"/>
          <w:szCs w:val="22"/>
        </w:rPr>
      </w:pPr>
      <w:r w:rsidRPr="003717E0">
        <w:rPr>
          <w:rFonts w:eastAsia="Calibri"/>
          <w:b/>
          <w:sz w:val="22"/>
          <w:szCs w:val="22"/>
        </w:rPr>
        <w:t>History</w:t>
      </w:r>
    </w:p>
    <w:p w:rsidR="003717E0" w:rsidRPr="003717E0" w:rsidRDefault="003717E0" w:rsidP="003717E0">
      <w:pPr>
        <w:tabs>
          <w:tab w:val="left" w:pos="720"/>
          <w:tab w:val="left" w:pos="1440"/>
          <w:tab w:val="left" w:pos="2160"/>
          <w:tab w:val="left" w:pos="2880"/>
          <w:tab w:val="left" w:pos="3600"/>
        </w:tabs>
        <w:rPr>
          <w:rFonts w:eastAsia="Calibri"/>
          <w:sz w:val="22"/>
          <w:szCs w:val="22"/>
        </w:rPr>
      </w:pP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EFFECTIVE DATE:</w:t>
      </w: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b/>
        <w:t>November 24, 1996 – filing 96-508</w:t>
      </w:r>
    </w:p>
    <w:p w:rsidR="003717E0" w:rsidRPr="003717E0" w:rsidRDefault="003717E0" w:rsidP="003717E0">
      <w:pPr>
        <w:tabs>
          <w:tab w:val="left" w:pos="720"/>
          <w:tab w:val="left" w:pos="1440"/>
          <w:tab w:val="left" w:pos="2160"/>
          <w:tab w:val="left" w:pos="2880"/>
          <w:tab w:val="left" w:pos="3600"/>
        </w:tabs>
        <w:rPr>
          <w:rFonts w:eastAsia="Calibri"/>
          <w:sz w:val="22"/>
          <w:szCs w:val="22"/>
        </w:rPr>
      </w:pP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AMENDED:</w:t>
      </w: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b/>
        <w:t>May 31, 1998 – filing 98-247</w:t>
      </w: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b/>
        <w:t>December 25, 2001 – filing 2001-537</w:t>
      </w: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b/>
        <w:t>December 4, 2007 – filing 2007-504</w:t>
      </w:r>
    </w:p>
    <w:p w:rsidR="003717E0" w:rsidRPr="003717E0" w:rsidRDefault="003717E0" w:rsidP="003717E0">
      <w:pPr>
        <w:tabs>
          <w:tab w:val="left" w:pos="720"/>
          <w:tab w:val="left" w:pos="1440"/>
          <w:tab w:val="left" w:pos="2160"/>
          <w:tab w:val="left" w:pos="2880"/>
          <w:tab w:val="left" w:pos="3600"/>
        </w:tabs>
        <w:rPr>
          <w:rFonts w:eastAsia="Calibri"/>
          <w:sz w:val="22"/>
          <w:szCs w:val="22"/>
        </w:rPr>
      </w:pPr>
      <w:r w:rsidRPr="003717E0">
        <w:rPr>
          <w:rFonts w:eastAsia="Calibri"/>
          <w:sz w:val="22"/>
          <w:szCs w:val="22"/>
        </w:rPr>
        <w:tab/>
        <w:t>May 20, 2014 – filing 2014-097</w:t>
      </w:r>
    </w:p>
    <w:p w:rsidR="003717E0" w:rsidRPr="003717E0" w:rsidRDefault="00E850A0" w:rsidP="00E850A0">
      <w:pPr>
        <w:tabs>
          <w:tab w:val="left" w:pos="720"/>
          <w:tab w:val="left" w:pos="1440"/>
          <w:tab w:val="left" w:pos="2160"/>
          <w:tab w:val="left" w:pos="2880"/>
          <w:tab w:val="left" w:pos="3600"/>
        </w:tabs>
        <w:rPr>
          <w:rFonts w:eastAsia="Calibri"/>
          <w:sz w:val="22"/>
          <w:szCs w:val="22"/>
        </w:rPr>
      </w:pPr>
      <w:r>
        <w:rPr>
          <w:rFonts w:eastAsia="Calibri"/>
          <w:sz w:val="22"/>
          <w:szCs w:val="22"/>
        </w:rPr>
        <w:tab/>
        <w:t>December 2, 2019 – filing 2019-214</w:t>
      </w:r>
    </w:p>
    <w:p w:rsidR="0067288C" w:rsidRDefault="0067288C" w:rsidP="00E850A0">
      <w:pPr>
        <w:pStyle w:val="PlainText"/>
        <w:rPr>
          <w:rFonts w:ascii="Times New Roman" w:hAnsi="Times New Roman"/>
          <w:sz w:val="22"/>
          <w:szCs w:val="22"/>
        </w:rPr>
      </w:pPr>
    </w:p>
    <w:p w:rsidR="0067288C" w:rsidRPr="006E7216" w:rsidRDefault="0067288C" w:rsidP="00E850A0">
      <w:pPr>
        <w:pStyle w:val="PlainText"/>
        <w:rPr>
          <w:rFonts w:ascii="Times New Roman" w:hAnsi="Times New Roman"/>
          <w:sz w:val="22"/>
          <w:szCs w:val="22"/>
        </w:rPr>
      </w:pPr>
    </w:p>
    <w:sectPr w:rsidR="0067288C" w:rsidRPr="006E7216" w:rsidSect="00D950BC">
      <w:headerReference w:type="default" r:id="rId10"/>
      <w:footerReference w:type="default" r:id="rId11"/>
      <w:pgSz w:w="12240" w:h="15840"/>
      <w:pgMar w:top="720" w:right="1890" w:bottom="720" w:left="1325" w:header="45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90" w:rsidRDefault="00282790">
      <w:r>
        <w:separator/>
      </w:r>
    </w:p>
  </w:endnote>
  <w:endnote w:type="continuationSeparator" w:id="0">
    <w:p w:rsidR="00282790" w:rsidRDefault="0028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D5" w:rsidRDefault="004D09D5" w:rsidP="002D6B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90" w:rsidRDefault="00282790">
      <w:r>
        <w:separator/>
      </w:r>
    </w:p>
  </w:footnote>
  <w:footnote w:type="continuationSeparator" w:id="0">
    <w:p w:rsidR="00282790" w:rsidRDefault="0028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D5" w:rsidRPr="00371235" w:rsidRDefault="00371235" w:rsidP="00D950BC">
    <w:pPr>
      <w:pStyle w:val="Header"/>
      <w:pBdr>
        <w:bottom w:val="single" w:sz="4" w:space="1" w:color="auto"/>
      </w:pBdr>
      <w:jc w:val="right"/>
      <w:rPr>
        <w:noProof/>
        <w:sz w:val="18"/>
        <w:szCs w:val="18"/>
      </w:rPr>
    </w:pPr>
    <w:r w:rsidRPr="00371235">
      <w:rPr>
        <w:sz w:val="18"/>
        <w:szCs w:val="18"/>
      </w:rPr>
      <w:t xml:space="preserve">09-585 Chapter 25     page </w:t>
    </w:r>
    <w:r w:rsidRPr="00371235">
      <w:rPr>
        <w:sz w:val="18"/>
        <w:szCs w:val="18"/>
      </w:rPr>
      <w:fldChar w:fldCharType="begin"/>
    </w:r>
    <w:r w:rsidRPr="00371235">
      <w:rPr>
        <w:sz w:val="18"/>
        <w:szCs w:val="18"/>
      </w:rPr>
      <w:instrText xml:space="preserve"> PAGE   \* MERGEFORMAT </w:instrText>
    </w:r>
    <w:r w:rsidRPr="00371235">
      <w:rPr>
        <w:sz w:val="18"/>
        <w:szCs w:val="18"/>
      </w:rPr>
      <w:fldChar w:fldCharType="separate"/>
    </w:r>
    <w:r w:rsidRPr="00371235">
      <w:rPr>
        <w:noProof/>
        <w:sz w:val="18"/>
        <w:szCs w:val="18"/>
      </w:rPr>
      <w:t>1</w:t>
    </w:r>
    <w:r w:rsidRPr="00371235">
      <w:rPr>
        <w:noProof/>
        <w:sz w:val="18"/>
        <w:szCs w:val="18"/>
      </w:rPr>
      <w:fldChar w:fldCharType="end"/>
    </w:r>
  </w:p>
  <w:p w:rsidR="00371235" w:rsidRDefault="00371235">
    <w:pPr>
      <w:pStyle w:val="Header"/>
      <w:jc w:val="right"/>
      <w:rPr>
        <w:noProof/>
      </w:rPr>
    </w:pPr>
  </w:p>
  <w:p w:rsidR="00371235" w:rsidRDefault="003712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5D8"/>
    <w:multiLevelType w:val="hybridMultilevel"/>
    <w:tmpl w:val="A5A65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BF8"/>
    <w:multiLevelType w:val="hybridMultilevel"/>
    <w:tmpl w:val="3B0A5C92"/>
    <w:lvl w:ilvl="0" w:tplc="F40406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B56BB"/>
    <w:multiLevelType w:val="hybridMultilevel"/>
    <w:tmpl w:val="399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119E5"/>
    <w:multiLevelType w:val="hybridMultilevel"/>
    <w:tmpl w:val="281AC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E5A42"/>
    <w:multiLevelType w:val="hybridMultilevel"/>
    <w:tmpl w:val="B0B2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C0716"/>
    <w:multiLevelType w:val="hybridMultilevel"/>
    <w:tmpl w:val="02A4B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E5546"/>
    <w:multiLevelType w:val="hybridMultilevel"/>
    <w:tmpl w:val="5228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D2130"/>
    <w:multiLevelType w:val="hybridMultilevel"/>
    <w:tmpl w:val="CFB841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A6912"/>
    <w:multiLevelType w:val="hybridMultilevel"/>
    <w:tmpl w:val="2CC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33C12"/>
    <w:multiLevelType w:val="hybridMultilevel"/>
    <w:tmpl w:val="86002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C0041"/>
    <w:multiLevelType w:val="hybridMultilevel"/>
    <w:tmpl w:val="ED929318"/>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836FB6"/>
    <w:multiLevelType w:val="hybridMultilevel"/>
    <w:tmpl w:val="AB50A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6D38"/>
    <w:multiLevelType w:val="hybridMultilevel"/>
    <w:tmpl w:val="8D8C9652"/>
    <w:lvl w:ilvl="0" w:tplc="F40406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C15C32"/>
    <w:multiLevelType w:val="hybridMultilevel"/>
    <w:tmpl w:val="5A0E5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64A36"/>
    <w:multiLevelType w:val="hybridMultilevel"/>
    <w:tmpl w:val="839A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705DE"/>
    <w:multiLevelType w:val="singleLevel"/>
    <w:tmpl w:val="B0345C54"/>
    <w:lvl w:ilvl="0">
      <w:start w:val="6"/>
      <w:numFmt w:val="lowerLetter"/>
      <w:lvlText w:val="%1."/>
      <w:lvlJc w:val="left"/>
      <w:pPr>
        <w:tabs>
          <w:tab w:val="num" w:pos="1155"/>
        </w:tabs>
        <w:ind w:left="1155" w:hanging="435"/>
      </w:pPr>
      <w:rPr>
        <w:rFonts w:hint="default"/>
      </w:rPr>
    </w:lvl>
  </w:abstractNum>
  <w:abstractNum w:abstractNumId="16" w15:restartNumberingAfterBreak="0">
    <w:nsid w:val="46DC324C"/>
    <w:multiLevelType w:val="hybridMultilevel"/>
    <w:tmpl w:val="9956E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C10CA"/>
    <w:multiLevelType w:val="singleLevel"/>
    <w:tmpl w:val="8C7E2C78"/>
    <w:lvl w:ilvl="0">
      <w:start w:val="8"/>
      <w:numFmt w:val="lowerLetter"/>
      <w:lvlText w:val="%1."/>
      <w:lvlJc w:val="left"/>
      <w:pPr>
        <w:tabs>
          <w:tab w:val="num" w:pos="1140"/>
        </w:tabs>
        <w:ind w:left="1140" w:hanging="420"/>
      </w:pPr>
      <w:rPr>
        <w:rFonts w:hint="default"/>
      </w:rPr>
    </w:lvl>
  </w:abstractNum>
  <w:abstractNum w:abstractNumId="18" w15:restartNumberingAfterBreak="0">
    <w:nsid w:val="51A1635D"/>
    <w:multiLevelType w:val="hybridMultilevel"/>
    <w:tmpl w:val="5B74C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747BB"/>
    <w:multiLevelType w:val="hybridMultilevel"/>
    <w:tmpl w:val="08924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B2AB6"/>
    <w:multiLevelType w:val="singleLevel"/>
    <w:tmpl w:val="9DD44448"/>
    <w:lvl w:ilvl="0">
      <w:start w:val="7"/>
      <w:numFmt w:val="lowerLetter"/>
      <w:lvlText w:val="%1."/>
      <w:lvlJc w:val="left"/>
      <w:pPr>
        <w:tabs>
          <w:tab w:val="num" w:pos="720"/>
        </w:tabs>
        <w:ind w:left="720" w:hanging="540"/>
      </w:pPr>
      <w:rPr>
        <w:rFonts w:hint="default"/>
        <w:b/>
      </w:rPr>
    </w:lvl>
  </w:abstractNum>
  <w:abstractNum w:abstractNumId="21" w15:restartNumberingAfterBreak="0">
    <w:nsid w:val="56774C66"/>
    <w:multiLevelType w:val="hybridMultilevel"/>
    <w:tmpl w:val="424CB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1340A"/>
    <w:multiLevelType w:val="hybridMultilevel"/>
    <w:tmpl w:val="46689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50D44"/>
    <w:multiLevelType w:val="hybridMultilevel"/>
    <w:tmpl w:val="29B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713D"/>
    <w:multiLevelType w:val="singleLevel"/>
    <w:tmpl w:val="28522E88"/>
    <w:lvl w:ilvl="0">
      <w:start w:val="2"/>
      <w:numFmt w:val="lowerLetter"/>
      <w:lvlText w:val="%1."/>
      <w:lvlJc w:val="left"/>
      <w:pPr>
        <w:tabs>
          <w:tab w:val="num" w:pos="1140"/>
        </w:tabs>
        <w:ind w:left="1140" w:hanging="420"/>
      </w:pPr>
      <w:rPr>
        <w:rFonts w:hint="default"/>
      </w:rPr>
    </w:lvl>
  </w:abstractNum>
  <w:abstractNum w:abstractNumId="25" w15:restartNumberingAfterBreak="0">
    <w:nsid w:val="742619D1"/>
    <w:multiLevelType w:val="hybridMultilevel"/>
    <w:tmpl w:val="5A7CA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0"/>
  </w:num>
  <w:num w:numId="4">
    <w:abstractNumId w:val="17"/>
  </w:num>
  <w:num w:numId="5">
    <w:abstractNumId w:val="12"/>
  </w:num>
  <w:num w:numId="6">
    <w:abstractNumId w:val="10"/>
  </w:num>
  <w:num w:numId="7">
    <w:abstractNumId w:val="1"/>
  </w:num>
  <w:num w:numId="8">
    <w:abstractNumId w:val="4"/>
  </w:num>
  <w:num w:numId="9">
    <w:abstractNumId w:val="7"/>
  </w:num>
  <w:num w:numId="10">
    <w:abstractNumId w:val="19"/>
  </w:num>
  <w:num w:numId="11">
    <w:abstractNumId w:val="5"/>
  </w:num>
  <w:num w:numId="12">
    <w:abstractNumId w:val="13"/>
  </w:num>
  <w:num w:numId="13">
    <w:abstractNumId w:val="22"/>
  </w:num>
  <w:num w:numId="14">
    <w:abstractNumId w:val="11"/>
  </w:num>
  <w:num w:numId="15">
    <w:abstractNumId w:val="25"/>
  </w:num>
  <w:num w:numId="16">
    <w:abstractNumId w:val="18"/>
  </w:num>
  <w:num w:numId="17">
    <w:abstractNumId w:val="9"/>
  </w:num>
  <w:num w:numId="18">
    <w:abstractNumId w:val="0"/>
  </w:num>
  <w:num w:numId="19">
    <w:abstractNumId w:val="3"/>
  </w:num>
  <w:num w:numId="20">
    <w:abstractNumId w:val="21"/>
  </w:num>
  <w:num w:numId="21">
    <w:abstractNumId w:val="6"/>
  </w:num>
  <w:num w:numId="22">
    <w:abstractNumId w:val="16"/>
  </w:num>
  <w:num w:numId="23">
    <w:abstractNumId w:val="2"/>
  </w:num>
  <w:num w:numId="24">
    <w:abstractNumId w:val="2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0NDQ3NDUyNzEyMDNS0lEKTi0uzszPAymwqAUA6thlciwAAAA="/>
  </w:docVars>
  <w:rsids>
    <w:rsidRoot w:val="002D6B43"/>
    <w:rsid w:val="00021297"/>
    <w:rsid w:val="0005197E"/>
    <w:rsid w:val="00090501"/>
    <w:rsid w:val="00094918"/>
    <w:rsid w:val="000E6D85"/>
    <w:rsid w:val="00107744"/>
    <w:rsid w:val="001474A5"/>
    <w:rsid w:val="00156206"/>
    <w:rsid w:val="001E57B0"/>
    <w:rsid w:val="001F514F"/>
    <w:rsid w:val="0020679B"/>
    <w:rsid w:val="00214A28"/>
    <w:rsid w:val="0021705C"/>
    <w:rsid w:val="00241AD8"/>
    <w:rsid w:val="00282790"/>
    <w:rsid w:val="002A1A6A"/>
    <w:rsid w:val="002C07EC"/>
    <w:rsid w:val="002D0E56"/>
    <w:rsid w:val="002D6B43"/>
    <w:rsid w:val="00305759"/>
    <w:rsid w:val="00326A76"/>
    <w:rsid w:val="00371235"/>
    <w:rsid w:val="003717E0"/>
    <w:rsid w:val="003A787E"/>
    <w:rsid w:val="003B7B82"/>
    <w:rsid w:val="003C2E72"/>
    <w:rsid w:val="003F2753"/>
    <w:rsid w:val="00404031"/>
    <w:rsid w:val="00473BDF"/>
    <w:rsid w:val="004D09D5"/>
    <w:rsid w:val="00565FCF"/>
    <w:rsid w:val="005661F2"/>
    <w:rsid w:val="005E0700"/>
    <w:rsid w:val="00626300"/>
    <w:rsid w:val="0064735A"/>
    <w:rsid w:val="00654FA8"/>
    <w:rsid w:val="0067288C"/>
    <w:rsid w:val="006C53FC"/>
    <w:rsid w:val="006E7216"/>
    <w:rsid w:val="007D145B"/>
    <w:rsid w:val="007D458D"/>
    <w:rsid w:val="007D7DE0"/>
    <w:rsid w:val="00801AAC"/>
    <w:rsid w:val="00821EE8"/>
    <w:rsid w:val="00826DEB"/>
    <w:rsid w:val="0089145F"/>
    <w:rsid w:val="008B630A"/>
    <w:rsid w:val="008C47A0"/>
    <w:rsid w:val="008E17BD"/>
    <w:rsid w:val="00924522"/>
    <w:rsid w:val="009363DC"/>
    <w:rsid w:val="0094052F"/>
    <w:rsid w:val="0099043A"/>
    <w:rsid w:val="00991D81"/>
    <w:rsid w:val="009F635D"/>
    <w:rsid w:val="00A719B0"/>
    <w:rsid w:val="00AC7AA4"/>
    <w:rsid w:val="00B42B1D"/>
    <w:rsid w:val="00B46802"/>
    <w:rsid w:val="00B644C3"/>
    <w:rsid w:val="00B76851"/>
    <w:rsid w:val="00BD2467"/>
    <w:rsid w:val="00BE173B"/>
    <w:rsid w:val="00BF2C8B"/>
    <w:rsid w:val="00C10D51"/>
    <w:rsid w:val="00C23174"/>
    <w:rsid w:val="00C46494"/>
    <w:rsid w:val="00C758E7"/>
    <w:rsid w:val="00C85601"/>
    <w:rsid w:val="00CA4008"/>
    <w:rsid w:val="00CD6CD1"/>
    <w:rsid w:val="00D07271"/>
    <w:rsid w:val="00D14F63"/>
    <w:rsid w:val="00D155A4"/>
    <w:rsid w:val="00D22738"/>
    <w:rsid w:val="00D950BC"/>
    <w:rsid w:val="00DA35FC"/>
    <w:rsid w:val="00DA6D4B"/>
    <w:rsid w:val="00DC2A30"/>
    <w:rsid w:val="00E71FE3"/>
    <w:rsid w:val="00E850A0"/>
    <w:rsid w:val="00EF185B"/>
    <w:rsid w:val="00F005FF"/>
    <w:rsid w:val="00F568C9"/>
    <w:rsid w:val="00FC6326"/>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C9F0D1"/>
  <w15:chartTrackingRefBased/>
  <w15:docId w15:val="{61ECA2CB-1FFA-4A16-A12A-54194EC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D6B43"/>
    <w:rPr>
      <w:rFonts w:ascii="Tahoma" w:hAnsi="Tahoma" w:cs="Tahoma"/>
      <w:sz w:val="16"/>
      <w:szCs w:val="16"/>
    </w:rPr>
  </w:style>
  <w:style w:type="character" w:customStyle="1" w:styleId="BalloonTextChar">
    <w:name w:val="Balloon Text Char"/>
    <w:link w:val="BalloonText"/>
    <w:uiPriority w:val="99"/>
    <w:semiHidden/>
    <w:rsid w:val="002D6B43"/>
    <w:rPr>
      <w:rFonts w:ascii="Tahoma" w:hAnsi="Tahoma" w:cs="Tahoma"/>
      <w:sz w:val="16"/>
      <w:szCs w:val="16"/>
    </w:rPr>
  </w:style>
  <w:style w:type="paragraph" w:styleId="Revision">
    <w:name w:val="Revision"/>
    <w:hidden/>
    <w:uiPriority w:val="99"/>
    <w:semiHidden/>
    <w:rsid w:val="001474A5"/>
  </w:style>
  <w:style w:type="paragraph" w:styleId="ListParagraph">
    <w:name w:val="List Paragraph"/>
    <w:basedOn w:val="Normal"/>
    <w:uiPriority w:val="34"/>
    <w:qFormat/>
    <w:rsid w:val="00565FC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C47A0"/>
    <w:rPr>
      <w:color w:val="0000FF"/>
      <w:u w:val="single"/>
    </w:rPr>
  </w:style>
  <w:style w:type="character" w:customStyle="1" w:styleId="PlainTextChar">
    <w:name w:val="Plain Text Char"/>
    <w:link w:val="PlainText"/>
    <w:semiHidden/>
    <w:rsid w:val="00B76851"/>
    <w:rPr>
      <w:rFonts w:ascii="Courier New" w:hAnsi="Courier New"/>
    </w:rPr>
  </w:style>
  <w:style w:type="character" w:styleId="UnresolvedMention">
    <w:name w:val="Unresolved Mention"/>
    <w:uiPriority w:val="99"/>
    <w:semiHidden/>
    <w:unhideWhenUsed/>
    <w:rsid w:val="00826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4632">
      <w:bodyDiv w:val="1"/>
      <w:marLeft w:val="0"/>
      <w:marRight w:val="0"/>
      <w:marTop w:val="0"/>
      <w:marBottom w:val="0"/>
      <w:divBdr>
        <w:top w:val="none" w:sz="0" w:space="0" w:color="auto"/>
        <w:left w:val="none" w:sz="0" w:space="0" w:color="auto"/>
        <w:bottom w:val="none" w:sz="0" w:space="0" w:color="auto"/>
        <w:right w:val="none" w:sz="0" w:space="0" w:color="auto"/>
      </w:divBdr>
    </w:div>
    <w:div w:id="848520003">
      <w:bodyDiv w:val="1"/>
      <w:marLeft w:val="0"/>
      <w:marRight w:val="0"/>
      <w:marTop w:val="0"/>
      <w:marBottom w:val="0"/>
      <w:divBdr>
        <w:top w:val="none" w:sz="0" w:space="0" w:color="auto"/>
        <w:left w:val="none" w:sz="0" w:space="0" w:color="auto"/>
        <w:bottom w:val="none" w:sz="0" w:space="0" w:color="auto"/>
        <w:right w:val="none" w:sz="0" w:space="0" w:color="auto"/>
      </w:divBdr>
    </w:div>
    <w:div w:id="11710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ifw/moh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8719-B096-4E26-A53F-F9BF72E4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1480</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vt:lpstr>
    </vt:vector>
  </TitlesOfParts>
  <Company>Microsoft</Company>
  <LinksUpToDate>false</LinksUpToDate>
  <CharactersWithSpaces>10318</CharactersWithSpaces>
  <SharedDoc>false</SharedDoc>
  <HLinks>
    <vt:vector size="6" baseType="variant">
      <vt:variant>
        <vt:i4>65536</vt:i4>
      </vt:variant>
      <vt:variant>
        <vt:i4>0</vt:i4>
      </vt:variant>
      <vt:variant>
        <vt:i4>0</vt:i4>
      </vt:variant>
      <vt:variant>
        <vt:i4>5</vt:i4>
      </vt:variant>
      <vt:variant>
        <vt:lpwstr>http://mohf/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Jo D. Saffeir</dc:creator>
  <cp:keywords/>
  <cp:lastModifiedBy>Wismer, Don</cp:lastModifiedBy>
  <cp:revision>14</cp:revision>
  <cp:lastPrinted>2019-09-27T13:48:00Z</cp:lastPrinted>
  <dcterms:created xsi:type="dcterms:W3CDTF">2019-12-09T18:06:00Z</dcterms:created>
  <dcterms:modified xsi:type="dcterms:W3CDTF">2019-12-09T18:47:00Z</dcterms:modified>
</cp:coreProperties>
</file>