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43CD8">
      <w:pPr>
        <w:pBdr>
          <w:top w:val="single" w:sz="4" w:space="2" w:color="000000"/>
          <w:left w:val="single" w:sz="4" w:space="2" w:color="000000"/>
          <w:bottom w:val="single" w:sz="4" w:space="2" w:color="000000"/>
          <w:right w:val="single" w:sz="4" w:space="2" w:color="000000"/>
        </w:pBd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Arial" w:hAnsi="Arial" w:cs="Arial"/>
          <w:color w:val="000000"/>
          <w:sz w:val="24"/>
          <w:szCs w:val="24"/>
        </w:rPr>
        <w:t xml:space="preserve">PLEASE NOTE: Legislative Information </w:t>
      </w:r>
      <w:r>
        <w:rPr>
          <w:rFonts w:ascii="Arial" w:hAnsi="Arial" w:cs="Arial"/>
          <w:b/>
          <w:bCs/>
          <w:i/>
          <w:iCs/>
          <w:color w:val="000000"/>
          <w:sz w:val="24"/>
          <w:szCs w:val="24"/>
        </w:rPr>
        <w:t>cannot</w:t>
      </w:r>
      <w:r>
        <w:rPr>
          <w:rFonts w:ascii="Arial" w:hAnsi="Arial" w:cs="Arial"/>
          <w:color w:val="000000"/>
          <w:sz w:val="24"/>
          <w:szCs w:val="24"/>
        </w:rPr>
        <w:t xml:space="preserve"> perform research, provide legal advice, or interpret Maine law. For legal assistance, please contact a qualified attorney.</w:t>
      </w:r>
    </w:p>
    <w:p w:rsidR="00000000" w:rsidRDefault="00F43CD8">
      <w:pPr>
        <w:autoSpaceDE w:val="0"/>
        <w:autoSpaceDN w:val="0"/>
        <w:adjustRightInd w:val="0"/>
        <w:spacing w:before="200" w:after="0" w:line="240" w:lineRule="auto"/>
        <w:jc w:val="center"/>
        <w:rPr>
          <w:rFonts w:ascii="Times New Roman" w:hAnsi="Times New Roman" w:cs="Times New Roman"/>
          <w:sz w:val="24"/>
          <w:szCs w:val="24"/>
        </w:rPr>
      </w:pPr>
      <w:r>
        <w:rPr>
          <w:rFonts w:ascii="Arial" w:hAnsi="Arial" w:cs="Arial"/>
          <w:b/>
          <w:bCs/>
          <w:color w:val="000000"/>
          <w:sz w:val="28"/>
          <w:szCs w:val="28"/>
        </w:rPr>
        <w:t>An Act To Promot</w:t>
      </w:r>
      <w:r>
        <w:rPr>
          <w:rFonts w:ascii="Arial" w:hAnsi="Arial" w:cs="Arial"/>
          <w:b/>
          <w:bCs/>
          <w:color w:val="000000"/>
          <w:sz w:val="28"/>
          <w:szCs w:val="28"/>
        </w:rPr>
        <w:t>e Solar Energy Projects and Distributed Generation Resources in Maine</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rPr>
        <w:t>Be it enacted by the People of the State of Maine as follows:</w:t>
      </w:r>
    </w:p>
    <w:p w:rsidR="00000000" w:rsidRDefault="00F43CD8">
      <w:pPr>
        <w:autoSpaceDE w:val="0"/>
        <w:autoSpaceDN w:val="0"/>
        <w:adjustRightInd w:val="0"/>
        <w:spacing w:before="280" w:after="0" w:line="240" w:lineRule="auto"/>
        <w:jc w:val="center"/>
        <w:rPr>
          <w:rFonts w:ascii="Times New Roman" w:hAnsi="Times New Roman" w:cs="Times New Roman"/>
          <w:sz w:val="24"/>
          <w:szCs w:val="24"/>
        </w:rPr>
      </w:pPr>
      <w:r>
        <w:rPr>
          <w:rFonts w:ascii="Arial" w:hAnsi="Arial" w:cs="Arial"/>
          <w:b/>
          <w:bCs/>
          <w:color w:val="000000"/>
          <w:sz w:val="28"/>
          <w:szCs w:val="28"/>
        </w:rPr>
        <w:t>PART A</w:t>
      </w:r>
    </w:p>
    <w:p w:rsidR="00000000" w:rsidRDefault="00F43CD8">
      <w:pPr>
        <w:autoSpaceDE w:val="0"/>
        <w:autoSpaceDN w:val="0"/>
        <w:adjustRightInd w:val="0"/>
        <w:spacing w:before="280"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8"/>
          <w:szCs w:val="28"/>
        </w:rPr>
        <w:t xml:space="preserve">Sec. A-1. </w:t>
      </w:r>
      <w:r>
        <w:rPr>
          <w:rFonts w:ascii="Times New Roman" w:hAnsi="Times New Roman" w:cs="Times New Roman"/>
          <w:color w:val="000000"/>
          <w:sz w:val="24"/>
          <w:szCs w:val="24"/>
        </w:rPr>
        <w:t xml:space="preserve"> </w:t>
      </w:r>
      <w:r>
        <w:rPr>
          <w:rFonts w:ascii="Times New Roman" w:hAnsi="Times New Roman" w:cs="Times New Roman"/>
          <w:b/>
          <w:bCs/>
          <w:color w:val="000000"/>
          <w:sz w:val="28"/>
          <w:szCs w:val="28"/>
        </w:rPr>
        <w:t xml:space="preserve">35-A MRSA §3201, sub-§11-A </w:t>
      </w:r>
      <w:r>
        <w:rPr>
          <w:rFonts w:ascii="Times New Roman" w:hAnsi="Times New Roman" w:cs="Times New Roman"/>
          <w:color w:val="000000"/>
          <w:sz w:val="24"/>
          <w:szCs w:val="24"/>
        </w:rPr>
        <w:t xml:space="preserve"> is enacted to read:</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11-A</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Investor-owned transmission and distribution utility.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"Investor-owned transmission and distribution utility" has the same meaning as in section 3104, subsection 1, paragraph A.</w:t>
      </w:r>
    </w:p>
    <w:p w:rsidR="00000000" w:rsidRDefault="00F43CD8">
      <w:pPr>
        <w:autoSpaceDE w:val="0"/>
        <w:autoSpaceDN w:val="0"/>
        <w:adjustRightInd w:val="0"/>
        <w:spacing w:before="120"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8"/>
          <w:szCs w:val="28"/>
        </w:rPr>
        <w:t xml:space="preserve">Sec. A-2. </w:t>
      </w:r>
      <w:r>
        <w:rPr>
          <w:rFonts w:ascii="Times New Roman" w:hAnsi="Times New Roman" w:cs="Times New Roman"/>
          <w:color w:val="000000"/>
          <w:sz w:val="24"/>
          <w:szCs w:val="24"/>
        </w:rPr>
        <w:t xml:space="preserve"> </w:t>
      </w:r>
      <w:r>
        <w:rPr>
          <w:rFonts w:ascii="Times New Roman" w:hAnsi="Times New Roman" w:cs="Times New Roman"/>
          <w:b/>
          <w:bCs/>
          <w:color w:val="000000"/>
          <w:sz w:val="28"/>
          <w:szCs w:val="28"/>
        </w:rPr>
        <w:t xml:space="preserve">35-A MRSA §3201, sub-§13-A </w:t>
      </w:r>
      <w:r>
        <w:rPr>
          <w:rFonts w:ascii="Times New Roman" w:hAnsi="Times New Roman" w:cs="Times New Roman"/>
          <w:color w:val="000000"/>
          <w:sz w:val="24"/>
          <w:szCs w:val="24"/>
        </w:rPr>
        <w:t xml:space="preserve"> is enacted to read:</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13-A</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Namepla</w:t>
      </w:r>
      <w:r>
        <w:rPr>
          <w:rFonts w:ascii="Times New Roman" w:hAnsi="Times New Roman" w:cs="Times New Roman"/>
          <w:b/>
          <w:bCs/>
          <w:color w:val="000000"/>
          <w:sz w:val="28"/>
          <w:szCs w:val="28"/>
          <w:u w:val="single" w:color="000000"/>
        </w:rPr>
        <w:t xml:space="preserve">te capacity.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"Nameplate capacity" means the installed or rated capacity of a power generator.</w:t>
      </w:r>
    </w:p>
    <w:p w:rsidR="00000000" w:rsidRDefault="00F43CD8">
      <w:pPr>
        <w:autoSpaceDE w:val="0"/>
        <w:autoSpaceDN w:val="0"/>
        <w:adjustRightInd w:val="0"/>
        <w:spacing w:before="120"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8"/>
          <w:szCs w:val="28"/>
        </w:rPr>
        <w:t xml:space="preserve">Sec. A-3. 35-A MRSA §3209-A, </w:t>
      </w:r>
      <w:r>
        <w:rPr>
          <w:rFonts w:ascii="Times New Roman" w:hAnsi="Times New Roman" w:cs="Times New Roman"/>
          <w:color w:val="000000"/>
          <w:sz w:val="24"/>
          <w:szCs w:val="24"/>
        </w:rPr>
        <w:t>as amended by PL 2019, c. 16, §1, is further amended to read:</w:t>
      </w:r>
    </w:p>
    <w:p w:rsidR="00000000" w:rsidRDefault="00F43CD8">
      <w:pPr>
        <w:autoSpaceDE w:val="0"/>
        <w:autoSpaceDN w:val="0"/>
        <w:adjustRightInd w:val="0"/>
        <w:spacing w:before="160"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rPr>
        <w:t>§ 3209-A.Net energy billing</w:t>
      </w:r>
    </w:p>
    <w:p w:rsidR="00000000" w:rsidRDefault="00F43CD8">
      <w:pPr>
        <w:autoSpaceDE w:val="0"/>
        <w:autoSpaceDN w:val="0"/>
        <w:adjustRightInd w:val="0"/>
        <w:spacing w:before="160" w:after="0" w:line="240" w:lineRule="auto"/>
        <w:ind w:firstLine="480"/>
        <w:jc w:val="both"/>
        <w:rPr>
          <w:rFonts w:ascii="Times New Roman" w:hAnsi="Times New Roman" w:cs="Times New Roman"/>
          <w:sz w:val="24"/>
          <w:szCs w:val="24"/>
        </w:rPr>
      </w:pPr>
      <w:r>
        <w:rPr>
          <w:rFonts w:ascii="Times New Roman" w:hAnsi="Times New Roman" w:cs="Times New Roman"/>
          <w:color w:val="000000"/>
          <w:sz w:val="24"/>
          <w:szCs w:val="24"/>
        </w:rPr>
        <w:t>The commission may adopt or amend rules</w:t>
      </w:r>
      <w:r>
        <w:rPr>
          <w:rFonts w:ascii="Times New Roman" w:hAnsi="Times New Roman" w:cs="Times New Roman"/>
          <w:color w:val="000000"/>
          <w:sz w:val="24"/>
          <w:szCs w:val="24"/>
        </w:rPr>
        <w:t xml:space="preserve"> governing net energy billing. Rules adopted or amended under this section are major substantive rules as defined in Title 5, chapter 375, subchapter 2-A. </w:t>
      </w:r>
      <w:r>
        <w:rPr>
          <w:rFonts w:ascii="Times New Roman" w:hAnsi="Times New Roman" w:cs="Times New Roman"/>
          <w:strike/>
          <w:color w:val="000000"/>
          <w:sz w:val="24"/>
          <w:szCs w:val="24"/>
          <w:u w:color="000000"/>
        </w:rPr>
        <w:t>"Net energy billing" means a billing and metering practice under which a customer is billed on the ba</w:t>
      </w:r>
      <w:r>
        <w:rPr>
          <w:rFonts w:ascii="Times New Roman" w:hAnsi="Times New Roman" w:cs="Times New Roman"/>
          <w:strike/>
          <w:color w:val="000000"/>
          <w:sz w:val="24"/>
          <w:szCs w:val="24"/>
          <w:u w:color="000000"/>
        </w:rPr>
        <w:t>sis of the difference between the kilowatt-hours delivered by a transmission and distribution utility to the customer over a billing period and the kilowatt-hours delivered by the customer to the transmission and distribution utility over the billing perio</w:t>
      </w:r>
      <w:r>
        <w:rPr>
          <w:rFonts w:ascii="Times New Roman" w:hAnsi="Times New Roman" w:cs="Times New Roman"/>
          <w:strike/>
          <w:color w:val="000000"/>
          <w:sz w:val="24"/>
          <w:szCs w:val="24"/>
          <w:u w:color="000000"/>
        </w:rPr>
        <w:t>d, taking into account accumulated unused kilowatt-hour credits from the previous billing period.</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Definitions.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As used in this section, the following terms have the following meanings.</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"Customer" means a customer of a transmission and distribution utility in the State.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"Distributed generation resource" means an electric generating facility that uses a renewable fuel or technology under section 3210, subsection 2, paragraph B-3 and is located in the service territory of a transmission and distribution utility in the State</w:t>
      </w:r>
      <w:r>
        <w:rPr>
          <w:rFonts w:ascii="Times New Roman" w:hAnsi="Times New Roman" w:cs="Times New Roman"/>
          <w:color w:val="000000"/>
          <w:sz w:val="24"/>
          <w:szCs w:val="24"/>
          <w:u w:val="single" w:color="000000"/>
        </w:rPr>
        <w:t>.</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C</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"Net energy billing" means a billing and metering practice under which a customer is billed on the basis of the difference between the kilowatt-hours delivered by a transmission and distribution utility to the customer over a billing period and the</w:t>
      </w:r>
      <w:r>
        <w:rPr>
          <w:rFonts w:ascii="Times New Roman" w:hAnsi="Times New Roman" w:cs="Times New Roman"/>
          <w:color w:val="000000"/>
          <w:sz w:val="24"/>
          <w:szCs w:val="24"/>
          <w:u w:val="single" w:color="000000"/>
        </w:rPr>
        <w:t xml:space="preserve"> kilowatt-hours delivered by the customer to the transmission and distribution utility over the billing period, taking into account accumulated unused kilowatt-hour credits from the previous billing period.</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lastRenderedPageBreak/>
        <w:t>2</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Financial interest required.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w:t>
      </w:r>
      <w:r>
        <w:rPr>
          <w:rFonts w:ascii="Times New Roman" w:hAnsi="Times New Roman" w:cs="Times New Roman"/>
          <w:color w:val="000000"/>
          <w:sz w:val="24"/>
          <w:szCs w:val="24"/>
          <w:u w:val="single" w:color="000000"/>
        </w:rPr>
        <w:t>sion shall allow a customer to participate in net energy billing if the customer has a financial interest in a distributed generation resource or in a generation resource that has a net energy billing arrangement on the effective date of this section, incl</w:t>
      </w:r>
      <w:r>
        <w:rPr>
          <w:rFonts w:ascii="Times New Roman" w:hAnsi="Times New Roman" w:cs="Times New Roman"/>
          <w:color w:val="000000"/>
          <w:sz w:val="24"/>
          <w:szCs w:val="24"/>
          <w:u w:val="single" w:color="000000"/>
        </w:rPr>
        <w:t>uding facility ownership, a lease agreement or a power purchase agreement.</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3</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Shared financial interest for investor-owned utility customers; limitation.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Multiple customers of an investor-owned transmission and distribution utility that have distinc</w:t>
      </w:r>
      <w:r>
        <w:rPr>
          <w:rFonts w:ascii="Times New Roman" w:hAnsi="Times New Roman" w:cs="Times New Roman"/>
          <w:color w:val="000000"/>
          <w:sz w:val="24"/>
          <w:szCs w:val="24"/>
          <w:u w:val="single" w:color="000000"/>
        </w:rPr>
        <w:t>t billing accounts with that utility may share a financial interest in a distributed generation resource under subsection 2. Any number of customers of an investor-owned transmission and distribution utility with a shared financial interest in a distribute</w:t>
      </w:r>
      <w:r>
        <w:rPr>
          <w:rFonts w:ascii="Times New Roman" w:hAnsi="Times New Roman" w:cs="Times New Roman"/>
          <w:color w:val="000000"/>
          <w:sz w:val="24"/>
          <w:szCs w:val="24"/>
          <w:u w:val="single" w:color="000000"/>
        </w:rPr>
        <w:t xml:space="preserve">d generation resource may participate in net energy billing, except that the number of eligible customers or meters is limited to 10 for a shared financial interest in a distributed generation resource located in the service territory of an investor-owned </w:t>
      </w:r>
      <w:r>
        <w:rPr>
          <w:rFonts w:ascii="Times New Roman" w:hAnsi="Times New Roman" w:cs="Times New Roman"/>
          <w:color w:val="000000"/>
          <w:sz w:val="24"/>
          <w:szCs w:val="24"/>
          <w:u w:val="single" w:color="000000"/>
        </w:rPr>
        <w:t>transmission and distribution utility located in an area administered by the independent system administrator for northern Maine or any successor of the independent system administrator for northern Maine unless the commission determines that the utility's</w:t>
      </w:r>
      <w:r>
        <w:rPr>
          <w:rFonts w:ascii="Times New Roman" w:hAnsi="Times New Roman" w:cs="Times New Roman"/>
          <w:color w:val="000000"/>
          <w:sz w:val="24"/>
          <w:szCs w:val="24"/>
          <w:u w:val="single" w:color="000000"/>
        </w:rPr>
        <w:t xml:space="preserve"> billing system can accommodate more than 10 accounts or meters for the purpose of net energy billing.</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4</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System size.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nameplate capacity of a distributed generation resource that may be used for net energy billing must be less than 5 megawatts, except that, if a municipality is the customer participating in net energy billing, the nameplate capacity of a distributed g</w:t>
      </w:r>
      <w:r>
        <w:rPr>
          <w:rFonts w:ascii="Times New Roman" w:hAnsi="Times New Roman" w:cs="Times New Roman"/>
          <w:color w:val="000000"/>
          <w:sz w:val="24"/>
          <w:szCs w:val="24"/>
          <w:u w:val="single" w:color="000000"/>
        </w:rPr>
        <w:t>eneration resource located in that municipality that may be used for the net energy billing may be 5 megawatts or more, as long as less than 5 megawatts of metered electricity from the resource is used for net energy billing.</w:t>
      </w:r>
    </w:p>
    <w:p w:rsidR="00000000" w:rsidRDefault="00F43CD8">
      <w:pPr>
        <w:autoSpaceDE w:val="0"/>
        <w:autoSpaceDN w:val="0"/>
        <w:adjustRightInd w:val="0"/>
        <w:spacing w:before="120"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8"/>
          <w:szCs w:val="28"/>
        </w:rPr>
        <w:t xml:space="preserve">Sec. A-4. </w:t>
      </w:r>
      <w:r>
        <w:rPr>
          <w:rFonts w:ascii="Times New Roman" w:hAnsi="Times New Roman" w:cs="Times New Roman"/>
          <w:color w:val="000000"/>
          <w:sz w:val="24"/>
          <w:szCs w:val="24"/>
        </w:rPr>
        <w:t xml:space="preserve"> </w:t>
      </w:r>
      <w:r>
        <w:rPr>
          <w:rFonts w:ascii="Times New Roman" w:hAnsi="Times New Roman" w:cs="Times New Roman"/>
          <w:b/>
          <w:bCs/>
          <w:color w:val="000000"/>
          <w:sz w:val="28"/>
          <w:szCs w:val="28"/>
        </w:rPr>
        <w:t xml:space="preserve">35-A MRSA §3209-B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enacted to read:</w:t>
      </w:r>
    </w:p>
    <w:p w:rsidR="00000000" w:rsidRDefault="00F43CD8">
      <w:pPr>
        <w:autoSpaceDE w:val="0"/>
        <w:autoSpaceDN w:val="0"/>
        <w:adjustRightInd w:val="0"/>
        <w:spacing w:before="160"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u w:val="single" w:color="000000"/>
        </w:rPr>
        <w:t>§ 3209-B</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Commercial and institutional net energy billing</w:t>
      </w:r>
    </w:p>
    <w:p w:rsidR="00000000" w:rsidRDefault="00F43CD8">
      <w:pPr>
        <w:autoSpaceDE w:val="0"/>
        <w:autoSpaceDN w:val="0"/>
        <w:adjustRightInd w:val="0"/>
        <w:spacing w:before="160" w:after="0" w:line="240" w:lineRule="auto"/>
        <w:ind w:firstLine="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The commission shall establish by rule, in accordance with this section, a net energy billing program for commercial and institutional customers of investor-owned utilities.</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Definitions.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As used in this section, the following terms have the following meanings.</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"Commercial and institutional net energy billing program" or "program" means the net energy billing program established pursuant to this section.</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"Commercial or institutional customer" or "customer" means a nonresidential customer of an investor-owned transmission and distribution utility in the State.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C</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"Distributed generation resource" has the same meaning as in section 3209-A, subsection 1. paragraph B.</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"Net energy billing" means the system of bill credits available under the program as described in subsection 5.</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2</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Financial interest.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 xml:space="preserve">The </w:t>
      </w:r>
      <w:r>
        <w:rPr>
          <w:rFonts w:ascii="Times New Roman" w:hAnsi="Times New Roman" w:cs="Times New Roman"/>
          <w:color w:val="000000"/>
          <w:sz w:val="24"/>
          <w:szCs w:val="24"/>
          <w:u w:val="single" w:color="000000"/>
        </w:rPr>
        <w:t>program must allow a commercial or institutional customer to participate in the program if the customer has a financial interest in a distributed generation resource, including facility ownership, a lease agreement or a power purchase agreement.</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lastRenderedPageBreak/>
        <w:t>3</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Syst</w:t>
      </w:r>
      <w:r>
        <w:rPr>
          <w:rFonts w:ascii="Times New Roman" w:hAnsi="Times New Roman" w:cs="Times New Roman"/>
          <w:b/>
          <w:bCs/>
          <w:color w:val="000000"/>
          <w:sz w:val="28"/>
          <w:szCs w:val="28"/>
          <w:u w:val="single" w:color="000000"/>
        </w:rPr>
        <w:t xml:space="preserve">em size.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nameplate capacity of a distributed generation resource that may be used for net energy billing under this section must be less than 5 megawatts.</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4</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Shared financial interest; limitation.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Multiple commercial or institutional custome</w:t>
      </w:r>
      <w:r>
        <w:rPr>
          <w:rFonts w:ascii="Times New Roman" w:hAnsi="Times New Roman" w:cs="Times New Roman"/>
          <w:color w:val="000000"/>
          <w:sz w:val="24"/>
          <w:szCs w:val="24"/>
          <w:u w:val="single" w:color="000000"/>
        </w:rPr>
        <w:t xml:space="preserve">rs that have distinct billing accounts with an investor-owned transmission and distribution utility may share a financial interest in a distributed generation resource under subsection 2. Any number of commercial or institutional customers may participate </w:t>
      </w:r>
      <w:r>
        <w:rPr>
          <w:rFonts w:ascii="Times New Roman" w:hAnsi="Times New Roman" w:cs="Times New Roman"/>
          <w:color w:val="000000"/>
          <w:sz w:val="24"/>
          <w:szCs w:val="24"/>
          <w:u w:val="single" w:color="000000"/>
        </w:rPr>
        <w:t>in net energy billing with a shared interest in a distributed generation resource, except that the number of customers or meters is limited to 10 for a shared interest in a distributed generation resource located in the service territory of an investor-own</w:t>
      </w:r>
      <w:r>
        <w:rPr>
          <w:rFonts w:ascii="Times New Roman" w:hAnsi="Times New Roman" w:cs="Times New Roman"/>
          <w:color w:val="000000"/>
          <w:sz w:val="24"/>
          <w:szCs w:val="24"/>
          <w:u w:val="single" w:color="000000"/>
        </w:rPr>
        <w:t>ed transmission and distribution utility located in an area administered by the independent system administrator for northern Maine or any successor of the independent system administrator for northern Maine unless the commission determines that the utilit</w:t>
      </w:r>
      <w:r>
        <w:rPr>
          <w:rFonts w:ascii="Times New Roman" w:hAnsi="Times New Roman" w:cs="Times New Roman"/>
          <w:color w:val="000000"/>
          <w:sz w:val="24"/>
          <w:szCs w:val="24"/>
          <w:u w:val="single" w:color="000000"/>
        </w:rPr>
        <w:t>y's billing system can accommodate more than 10 accounts or meters for the purpose of net energy billing.</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5</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Tariff rate; bill credits.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commission shall establish by rule a tariff rate for customers participating in the program. The initial tariff rate must be established no later than December 1, 2019.</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 xml:space="preserve">The tariff rate must equal the standard offer service rate established under </w:t>
      </w:r>
      <w:r>
        <w:rPr>
          <w:rFonts w:ascii="Times New Roman" w:hAnsi="Times New Roman" w:cs="Times New Roman"/>
          <w:color w:val="000000"/>
          <w:sz w:val="24"/>
          <w:szCs w:val="24"/>
          <w:u w:val="single" w:color="000000"/>
        </w:rPr>
        <w:t>section 3212 that is applicable to the customer receiving the credit plus 75% of the effective transmission and distribution rate for the rate class that includes the smallest commercial customers of the investor-owned transmission and distribution utility</w:t>
      </w:r>
      <w:r>
        <w:rPr>
          <w:rFonts w:ascii="Times New Roman" w:hAnsi="Times New Roman" w:cs="Times New Roman"/>
          <w:color w:val="000000"/>
          <w:sz w:val="24"/>
          <w:szCs w:val="24"/>
          <w:u w:val="single" w:color="000000"/>
        </w:rPr>
        <w:t>.</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A customer participating in the program must receive for electricity delivered to the electric grid from a distributed generation resource in which the customer has a financial interest a bill credit based on the tariff rate to apply against the co</w:t>
      </w:r>
      <w:r>
        <w:rPr>
          <w:rFonts w:ascii="Times New Roman" w:hAnsi="Times New Roman" w:cs="Times New Roman"/>
          <w:color w:val="000000"/>
          <w:sz w:val="24"/>
          <w:szCs w:val="24"/>
          <w:u w:val="single" w:color="000000"/>
        </w:rPr>
        <w:t>sts of electricity delivered to the customer by the investor-owned transmission and distribution utility.</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C</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 xml:space="preserve">A bill credit under the program as described in paragraph B may be applied to any portion of a customer's electricity bill. Credits that remain </w:t>
      </w:r>
      <w:r>
        <w:rPr>
          <w:rFonts w:ascii="Times New Roman" w:hAnsi="Times New Roman" w:cs="Times New Roman"/>
          <w:color w:val="000000"/>
          <w:sz w:val="24"/>
          <w:szCs w:val="24"/>
          <w:u w:val="single" w:color="000000"/>
        </w:rPr>
        <w:t>unused at the end of any billing period may be carried forward for up to one year from the end of that billing period.</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 xml:space="preserve">A customer participating in the program </w:t>
      </w:r>
      <w:r>
        <w:rPr>
          <w:rFonts w:ascii="Times New Roman" w:hAnsi="Times New Roman" w:cs="Times New Roman"/>
          <w:color w:val="000000"/>
          <w:sz w:val="24"/>
          <w:szCs w:val="24"/>
          <w:u w:val="single" w:color="000000"/>
        </w:rPr>
        <w:t>who remains eligible to participate in the program must be allowed to receive a bill credit based on the tariff rate for a period of no less than 20 years from the date of first receiving the credit.</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6</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Rules.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commission shall adopt rules to imp</w:t>
      </w:r>
      <w:r>
        <w:rPr>
          <w:rFonts w:ascii="Times New Roman" w:hAnsi="Times New Roman" w:cs="Times New Roman"/>
          <w:color w:val="000000"/>
          <w:sz w:val="24"/>
          <w:szCs w:val="24"/>
          <w:u w:val="single" w:color="000000"/>
        </w:rPr>
        <w:t>lement this section. Rules adopted under this subsection are routine technical rules as defined in Title 5, chapter 375, subchapter 2-A.</w:t>
      </w:r>
    </w:p>
    <w:p w:rsidR="00000000" w:rsidRDefault="00F43CD8">
      <w:pPr>
        <w:autoSpaceDE w:val="0"/>
        <w:autoSpaceDN w:val="0"/>
        <w:adjustRightInd w:val="0"/>
        <w:spacing w:before="120"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8"/>
          <w:szCs w:val="28"/>
        </w:rPr>
        <w:t xml:space="preserve">Sec. A-5. Reports. </w:t>
      </w:r>
      <w:r>
        <w:rPr>
          <w:rFonts w:ascii="Times New Roman" w:hAnsi="Times New Roman" w:cs="Times New Roman"/>
          <w:color w:val="000000"/>
          <w:sz w:val="24"/>
          <w:szCs w:val="24"/>
        </w:rPr>
        <w:t>By December 1, 2021, the Public Utilities Commission shall provide a report to the joint standing co</w:t>
      </w:r>
      <w:r>
        <w:rPr>
          <w:rFonts w:ascii="Times New Roman" w:hAnsi="Times New Roman" w:cs="Times New Roman"/>
          <w:color w:val="000000"/>
          <w:sz w:val="24"/>
          <w:szCs w:val="24"/>
        </w:rPr>
        <w:t>mmittee of the Legislature having jurisdiction over energy matters on the status of metering and billing system capabilities for investor-owned transmission and distribution utilities in the State. The report must include capabilities of systems to reliabl</w:t>
      </w:r>
      <w:r>
        <w:rPr>
          <w:rFonts w:ascii="Times New Roman" w:hAnsi="Times New Roman" w:cs="Times New Roman"/>
          <w:color w:val="000000"/>
          <w:sz w:val="24"/>
          <w:szCs w:val="24"/>
        </w:rPr>
        <w:t>y offer time-differentiated rates for delivery and supply of energy; the commission's level of confidence in metering and billing systems to provide accurate information to utilities, consumers and the commission; the capacity of systems to accommodate rat</w:t>
      </w:r>
      <w:r>
        <w:rPr>
          <w:rFonts w:ascii="Times New Roman" w:hAnsi="Times New Roman" w:cs="Times New Roman"/>
          <w:color w:val="000000"/>
          <w:sz w:val="24"/>
          <w:szCs w:val="24"/>
        </w:rPr>
        <w:t xml:space="preserve">es for bidirectional flow of power for customers with distributed energy resources; and the degree to which systems are being used to achieve the smart grid policy goals under </w:t>
      </w:r>
      <w:r>
        <w:rPr>
          <w:rFonts w:ascii="Times New Roman" w:hAnsi="Times New Roman" w:cs="Times New Roman"/>
          <w:color w:val="000000"/>
          <w:sz w:val="24"/>
          <w:szCs w:val="24"/>
        </w:rPr>
        <w:lastRenderedPageBreak/>
        <w:t>the Maine Revised Statutes, Title 35-A, section 3143. The commission shall repor</w:t>
      </w:r>
      <w:r>
        <w:rPr>
          <w:rFonts w:ascii="Times New Roman" w:hAnsi="Times New Roman" w:cs="Times New Roman"/>
          <w:color w:val="000000"/>
          <w:sz w:val="24"/>
          <w:szCs w:val="24"/>
        </w:rPr>
        <w:t>t on any changes to rates or rules or other changes the commission intends to adopt to increase the effectiveness of systems under this paragraph and may make recommendations to the joint standing committee.</w:t>
      </w:r>
    </w:p>
    <w:p w:rsidR="00000000" w:rsidRDefault="00F43CD8">
      <w:pPr>
        <w:autoSpaceDE w:val="0"/>
        <w:autoSpaceDN w:val="0"/>
        <w:adjustRightInd w:val="0"/>
        <w:spacing w:before="120" w:after="0" w:line="240" w:lineRule="auto"/>
        <w:ind w:firstLine="480"/>
        <w:jc w:val="both"/>
        <w:rPr>
          <w:rFonts w:ascii="Times New Roman" w:hAnsi="Times New Roman" w:cs="Times New Roman"/>
          <w:sz w:val="24"/>
          <w:szCs w:val="24"/>
        </w:rPr>
      </w:pPr>
      <w:r>
        <w:rPr>
          <w:rFonts w:ascii="Times New Roman" w:hAnsi="Times New Roman" w:cs="Times New Roman"/>
          <w:color w:val="000000"/>
          <w:sz w:val="24"/>
          <w:szCs w:val="24"/>
        </w:rPr>
        <w:t xml:space="preserve">The joint standing committee of the Legislature </w:t>
      </w:r>
      <w:r>
        <w:rPr>
          <w:rFonts w:ascii="Times New Roman" w:hAnsi="Times New Roman" w:cs="Times New Roman"/>
          <w:color w:val="000000"/>
          <w:sz w:val="24"/>
          <w:szCs w:val="24"/>
        </w:rPr>
        <w:t>having jurisdiction over energy matters may report out legislation based on any recommendations under this section to the Second Regular Session of the 130th Legislature.</w:t>
      </w:r>
    </w:p>
    <w:p w:rsidR="00000000" w:rsidRDefault="00F43CD8">
      <w:pPr>
        <w:autoSpaceDE w:val="0"/>
        <w:autoSpaceDN w:val="0"/>
        <w:adjustRightInd w:val="0"/>
        <w:spacing w:before="120"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8"/>
          <w:szCs w:val="28"/>
        </w:rPr>
        <w:t xml:space="preserve">Sec. A-6. Evaluation. </w:t>
      </w:r>
      <w:r>
        <w:rPr>
          <w:rFonts w:ascii="Times New Roman" w:hAnsi="Times New Roman" w:cs="Times New Roman"/>
          <w:color w:val="000000"/>
          <w:sz w:val="24"/>
          <w:szCs w:val="24"/>
        </w:rPr>
        <w:t>The Public Utilities Commission shall evaluate net energy billing under the Maine Revised Statutes, Title 35-A, section 3209-A when the total amount of generation capacity involved in net energy billing in the State reaches 10% of the total maximum load of</w:t>
      </w:r>
      <w:r>
        <w:rPr>
          <w:rFonts w:ascii="Times New Roman" w:hAnsi="Times New Roman" w:cs="Times New Roman"/>
          <w:color w:val="000000"/>
          <w:sz w:val="24"/>
          <w:szCs w:val="24"/>
        </w:rPr>
        <w:t xml:space="preserve"> transmission and distribution utilities in the State or 3 years after the effective date of this Act, whichever comes first. The commission shall evaluate the effectiveness of net energy billing in achieving state policy goals and providing benefits to ra</w:t>
      </w:r>
      <w:r>
        <w:rPr>
          <w:rFonts w:ascii="Times New Roman" w:hAnsi="Times New Roman" w:cs="Times New Roman"/>
          <w:color w:val="000000"/>
          <w:sz w:val="24"/>
          <w:szCs w:val="24"/>
        </w:rPr>
        <w:t>tepayers and submit a report to the joint standing committee of the Legislature having jurisdiction over energy matters with its findings. The joint standing committee may report out legislation based on the recommendations.</w:t>
      </w:r>
    </w:p>
    <w:p w:rsidR="00000000" w:rsidRDefault="00F43CD8">
      <w:pPr>
        <w:autoSpaceDE w:val="0"/>
        <w:autoSpaceDN w:val="0"/>
        <w:adjustRightInd w:val="0"/>
        <w:spacing w:before="120"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8"/>
          <w:szCs w:val="28"/>
        </w:rPr>
        <w:t xml:space="preserve">Sec. A-7. Rules. </w:t>
      </w:r>
      <w:r>
        <w:rPr>
          <w:rFonts w:ascii="Times New Roman" w:hAnsi="Times New Roman" w:cs="Times New Roman"/>
          <w:color w:val="000000"/>
          <w:sz w:val="24"/>
          <w:szCs w:val="24"/>
        </w:rPr>
        <w:t>Notwithstandin</w:t>
      </w:r>
      <w:r>
        <w:rPr>
          <w:rFonts w:ascii="Times New Roman" w:hAnsi="Times New Roman" w:cs="Times New Roman"/>
          <w:color w:val="000000"/>
          <w:sz w:val="24"/>
          <w:szCs w:val="24"/>
        </w:rPr>
        <w:t>g Public Law 2019, chapter 16, section 2, the Public Utilities Commission may adopt rules prior to July 1, 2020 to implement the changes made by this Act to Title 35-A, section 3209-A. Notwithstanding Title 35-A, section 3209-A, rules adopted for this purp</w:t>
      </w:r>
      <w:r>
        <w:rPr>
          <w:rFonts w:ascii="Times New Roman" w:hAnsi="Times New Roman" w:cs="Times New Roman"/>
          <w:color w:val="000000"/>
          <w:sz w:val="24"/>
          <w:szCs w:val="24"/>
        </w:rPr>
        <w:t>ose prior to July 1, 2020 are routine technical rules, as defined in Title 5, chapter 375, subchapter 2-A.</w:t>
      </w:r>
    </w:p>
    <w:p w:rsidR="00000000" w:rsidRDefault="00F43CD8">
      <w:pPr>
        <w:autoSpaceDE w:val="0"/>
        <w:autoSpaceDN w:val="0"/>
        <w:adjustRightInd w:val="0"/>
        <w:spacing w:before="280" w:after="0" w:line="240" w:lineRule="auto"/>
        <w:jc w:val="center"/>
        <w:rPr>
          <w:rFonts w:ascii="Times New Roman" w:hAnsi="Times New Roman" w:cs="Times New Roman"/>
          <w:sz w:val="24"/>
          <w:szCs w:val="24"/>
        </w:rPr>
      </w:pPr>
      <w:r>
        <w:rPr>
          <w:rFonts w:ascii="Arial" w:hAnsi="Arial" w:cs="Arial"/>
          <w:b/>
          <w:bCs/>
          <w:color w:val="000000"/>
          <w:sz w:val="28"/>
          <w:szCs w:val="28"/>
        </w:rPr>
        <w:t>PART B</w:t>
      </w:r>
    </w:p>
    <w:p w:rsidR="00000000" w:rsidRDefault="00F43CD8">
      <w:pPr>
        <w:autoSpaceDE w:val="0"/>
        <w:autoSpaceDN w:val="0"/>
        <w:adjustRightInd w:val="0"/>
        <w:spacing w:before="280"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8"/>
          <w:szCs w:val="28"/>
        </w:rPr>
        <w:t xml:space="preserve">Sec. B-1. </w:t>
      </w:r>
      <w:r>
        <w:rPr>
          <w:rFonts w:ascii="Times New Roman" w:hAnsi="Times New Roman" w:cs="Times New Roman"/>
          <w:color w:val="000000"/>
          <w:sz w:val="24"/>
          <w:szCs w:val="24"/>
        </w:rPr>
        <w:t xml:space="preserve"> </w:t>
      </w:r>
      <w:r>
        <w:rPr>
          <w:rFonts w:ascii="Times New Roman" w:hAnsi="Times New Roman" w:cs="Times New Roman"/>
          <w:b/>
          <w:bCs/>
          <w:color w:val="000000"/>
          <w:sz w:val="28"/>
          <w:szCs w:val="28"/>
        </w:rPr>
        <w:t xml:space="preserve">35-A MRSA c. 34-C </w:t>
      </w:r>
      <w:r>
        <w:rPr>
          <w:rFonts w:ascii="Times New Roman" w:hAnsi="Times New Roman" w:cs="Times New Roman"/>
          <w:color w:val="000000"/>
          <w:sz w:val="24"/>
          <w:szCs w:val="24"/>
        </w:rPr>
        <w:t xml:space="preserve"> is enacted to read:</w:t>
      </w:r>
    </w:p>
    <w:p w:rsidR="00000000" w:rsidRDefault="00F43CD8">
      <w:pPr>
        <w:autoSpaceDE w:val="0"/>
        <w:autoSpaceDN w:val="0"/>
        <w:adjustRightInd w:val="0"/>
        <w:spacing w:before="160" w:after="0" w:line="240" w:lineRule="auto"/>
        <w:jc w:val="center"/>
        <w:rPr>
          <w:rFonts w:ascii="Times New Roman" w:hAnsi="Times New Roman" w:cs="Times New Roman"/>
          <w:sz w:val="24"/>
          <w:szCs w:val="24"/>
        </w:rPr>
      </w:pPr>
      <w:r>
        <w:rPr>
          <w:rFonts w:ascii="Times New Roman" w:hAnsi="Times New Roman" w:cs="Times New Roman"/>
          <w:b/>
          <w:bCs/>
          <w:color w:val="000000"/>
          <w:sz w:val="28"/>
          <w:szCs w:val="28"/>
          <w:u w:val="single" w:color="000000"/>
        </w:rPr>
        <w:t>CHAPTER 34-C</w:t>
      </w:r>
    </w:p>
    <w:p w:rsidR="00000000" w:rsidRDefault="00F43CD8">
      <w:pPr>
        <w:autoSpaceDE w:val="0"/>
        <w:autoSpaceDN w:val="0"/>
        <w:adjustRightInd w:val="0"/>
        <w:spacing w:before="160" w:after="0" w:line="240" w:lineRule="auto"/>
        <w:jc w:val="center"/>
        <w:rPr>
          <w:rFonts w:ascii="Times New Roman" w:hAnsi="Times New Roman" w:cs="Times New Roman"/>
          <w:sz w:val="24"/>
          <w:szCs w:val="24"/>
        </w:rPr>
      </w:pPr>
      <w:r>
        <w:rPr>
          <w:rFonts w:ascii="Times New Roman" w:hAnsi="Times New Roman" w:cs="Times New Roman"/>
          <w:b/>
          <w:bCs/>
          <w:color w:val="000000"/>
          <w:sz w:val="28"/>
          <w:szCs w:val="28"/>
        </w:rPr>
        <w:t>DISTRIBUTED GENERATION</w:t>
      </w:r>
    </w:p>
    <w:p w:rsidR="00000000" w:rsidRDefault="00F43CD8">
      <w:pPr>
        <w:autoSpaceDE w:val="0"/>
        <w:autoSpaceDN w:val="0"/>
        <w:adjustRightInd w:val="0"/>
        <w:spacing w:before="160"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u w:val="single" w:color="000000"/>
        </w:rPr>
        <w:t>§ 3481</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Definitions</w:t>
      </w:r>
    </w:p>
    <w:p w:rsidR="00000000" w:rsidRDefault="00F43CD8">
      <w:pPr>
        <w:autoSpaceDE w:val="0"/>
        <w:autoSpaceDN w:val="0"/>
        <w:adjustRightInd w:val="0"/>
        <w:spacing w:before="160" w:after="0" w:line="240" w:lineRule="auto"/>
        <w:ind w:firstLine="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 xml:space="preserve">As used in this chapter, unless the </w:t>
      </w:r>
      <w:r>
        <w:rPr>
          <w:rFonts w:ascii="Times New Roman" w:hAnsi="Times New Roman" w:cs="Times New Roman"/>
          <w:color w:val="000000"/>
          <w:sz w:val="24"/>
          <w:szCs w:val="24"/>
          <w:u w:val="single" w:color="000000"/>
        </w:rPr>
        <w:t>context otherwise indicates, the following terms have the following meanings.</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Bid rate.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"Bid rate" means the rate proposed under a qualified bid for the output of a distributed generation resource in response to a competitive procurement solicitation.</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2</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Clearing price.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"Clearing price" means the highest bid rate accepted by the commission for a procurement under this chapter.</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3</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Commercial or institutional customer.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"Commercial or institutional customer" means a nonresidential customer of an investor-owned transmi</w:t>
      </w:r>
      <w:r>
        <w:rPr>
          <w:rFonts w:ascii="Times New Roman" w:hAnsi="Times New Roman" w:cs="Times New Roman"/>
          <w:color w:val="000000"/>
          <w:sz w:val="24"/>
          <w:szCs w:val="24"/>
          <w:u w:val="single" w:color="000000"/>
        </w:rPr>
        <w:t>ssion and distribution utility in the State.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4</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Credit rate.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"Credit rate" means the per-kilowatt-hour rate used to calculate the monetary value of a distributed generation resource. The credit rate is equal to the per-kilowatt-hour rate in the long</w:t>
      </w:r>
      <w:r>
        <w:rPr>
          <w:rFonts w:ascii="Times New Roman" w:hAnsi="Times New Roman" w:cs="Times New Roman"/>
          <w:color w:val="000000"/>
          <w:sz w:val="24"/>
          <w:szCs w:val="24"/>
          <w:u w:val="single" w:color="000000"/>
        </w:rPr>
        <w:t xml:space="preserve">-term contracts entered into between a standard buyer or a transmission and distribution </w:t>
      </w:r>
      <w:r>
        <w:rPr>
          <w:rFonts w:ascii="Times New Roman" w:hAnsi="Times New Roman" w:cs="Times New Roman"/>
          <w:color w:val="000000"/>
          <w:sz w:val="24"/>
          <w:szCs w:val="24"/>
          <w:u w:val="single" w:color="000000"/>
        </w:rPr>
        <w:lastRenderedPageBreak/>
        <w:t>utility and a project sponsor and must be the same for all subscribers of a particular shared distributed generation resource.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5</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Distributed generation resource.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"Distributed generation resource" means an electric generating facility with a nameplate capacity of less than 5 megawatts that uses a renewable fuel or technology under section 3210, subsection 2, paragraph B-3 and is located in the service territory o</w:t>
      </w:r>
      <w:r>
        <w:rPr>
          <w:rFonts w:ascii="Times New Roman" w:hAnsi="Times New Roman" w:cs="Times New Roman"/>
          <w:color w:val="000000"/>
          <w:sz w:val="24"/>
          <w:szCs w:val="24"/>
          <w:u w:val="single" w:color="000000"/>
        </w:rPr>
        <w:t>f a transmission and distribution utility in the State.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6</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Energy storage system.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"Energy storage system" means a commercially available technology that uses mechanical, chemical or thermal processes for absorbing energy and storing it for a period of time for use at a later time.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7</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Investor-owned transmission and distribution utili</w:t>
      </w:r>
      <w:r>
        <w:rPr>
          <w:rFonts w:ascii="Times New Roman" w:hAnsi="Times New Roman" w:cs="Times New Roman"/>
          <w:b/>
          <w:bCs/>
          <w:color w:val="000000"/>
          <w:sz w:val="28"/>
          <w:szCs w:val="28"/>
          <w:u w:val="single" w:color="000000"/>
        </w:rPr>
        <w:t xml:space="preserve">ty.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"Investor-owned transmission and distribution utility" has the same meaning as in section 3104, subsection 1, paragraph A.</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8</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Kilowatt.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"Kilowatt" means 1,000 watts, measured in alternating current.</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9</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Kilowatt-hour.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"Kilowatt-hour" m</w:t>
      </w:r>
      <w:r>
        <w:rPr>
          <w:rFonts w:ascii="Times New Roman" w:hAnsi="Times New Roman" w:cs="Times New Roman"/>
          <w:color w:val="000000"/>
          <w:sz w:val="24"/>
          <w:szCs w:val="24"/>
          <w:u w:val="single" w:color="000000"/>
        </w:rPr>
        <w:t>eans one kilowatt of power sustained for one hour.</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10</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Megawatt.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"Megawatt" means 1,000,000 watts, measured in alternating current. When used in reference to a generation resource, a megawatt is measured by the generator's nameplate capacity.</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11</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Nameplate capacity.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"Nameplate capacity" means the installed or rated capacity of a power generator.</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12</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Offer.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"Offer" means a proposal to install and operate a distributed generation resource of a specified capacity in exchange for a contract</w:t>
      </w:r>
      <w:r>
        <w:rPr>
          <w:rFonts w:ascii="Times New Roman" w:hAnsi="Times New Roman" w:cs="Times New Roman"/>
          <w:color w:val="000000"/>
          <w:sz w:val="24"/>
          <w:szCs w:val="24"/>
          <w:u w:val="single" w:color="000000"/>
        </w:rPr>
        <w:t xml:space="preserve"> with a standard buyer designated pursuant to section 3483.</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13</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Output.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"Output" means energy, capacity, renewable energy certificates and all other environmental attributes and market products that are available or may become available from a distr</w:t>
      </w:r>
      <w:r>
        <w:rPr>
          <w:rFonts w:ascii="Times New Roman" w:hAnsi="Times New Roman" w:cs="Times New Roman"/>
          <w:color w:val="000000"/>
          <w:sz w:val="24"/>
          <w:szCs w:val="24"/>
          <w:u w:val="single" w:color="000000"/>
        </w:rPr>
        <w:t>ibuted generation resource.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14</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Project sponsor.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"Project sponsor" means an entity or its successor or assignee that owns or operates:</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A shared distributed generation resource on behalf of subscribers; or</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A commercial or institutional distributed generation resource.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15</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Qualified bid.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"Qualified bid" means a bid to supply the output from a distributed generation resource that the commission determines meets the minimum qualification requirements est</w:t>
      </w:r>
      <w:r>
        <w:rPr>
          <w:rFonts w:ascii="Times New Roman" w:hAnsi="Times New Roman" w:cs="Times New Roman"/>
          <w:color w:val="000000"/>
          <w:sz w:val="24"/>
          <w:szCs w:val="24"/>
          <w:u w:val="single" w:color="000000"/>
        </w:rPr>
        <w:t>ablished by rule.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lastRenderedPageBreak/>
        <w:t>16</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Rate.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"Rate" means a price per kilowatt-hour of delivered energy as measured by a revenue grade meter, as defined by the commission by rule, at a distributed generation resource's point of connection to the electric grid.</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17</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Shared distributed generation resource.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"Shared distributed generation resource" means a distributed generation resource that is selected in a procurement under section 3486 the beneficial use of the output of which is owned by or allocated to subscr</w:t>
      </w:r>
      <w:r>
        <w:rPr>
          <w:rFonts w:ascii="Times New Roman" w:hAnsi="Times New Roman" w:cs="Times New Roman"/>
          <w:color w:val="000000"/>
          <w:sz w:val="24"/>
          <w:szCs w:val="24"/>
          <w:u w:val="single" w:color="000000"/>
        </w:rPr>
        <w:t>ibers.</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18</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Subscriber.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"Subscriber" means a retail customer of a transmission and distribution utility that owns or has the right to a subscription and that has identified an account to which the subscription is attributed.</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19</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Subscription.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"Subscription" means a proportional interest in a shared distributed generation resource. Each subscription must be sized to represent at least one kilowatt of the resource's generating capacity.</w:t>
      </w:r>
    </w:p>
    <w:p w:rsidR="00000000" w:rsidRDefault="00F43CD8">
      <w:pPr>
        <w:autoSpaceDE w:val="0"/>
        <w:autoSpaceDN w:val="0"/>
        <w:adjustRightInd w:val="0"/>
        <w:spacing w:before="160"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u w:val="single" w:color="000000"/>
        </w:rPr>
        <w:t>§ 3482</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Specific measures to support distributed generation</w:t>
      </w:r>
    </w:p>
    <w:p w:rsidR="00000000" w:rsidRDefault="00F43CD8">
      <w:pPr>
        <w:autoSpaceDE w:val="0"/>
        <w:autoSpaceDN w:val="0"/>
        <w:adjustRightInd w:val="0"/>
        <w:spacing w:before="16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Procurements.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commission shall procure distributed generation resources in the shared distributed generation and commercial or institutional distributed generation market segments using the targets and procurement methods described in this ch</w:t>
      </w:r>
      <w:r>
        <w:rPr>
          <w:rFonts w:ascii="Times New Roman" w:hAnsi="Times New Roman" w:cs="Times New Roman"/>
          <w:color w:val="000000"/>
          <w:sz w:val="24"/>
          <w:szCs w:val="24"/>
          <w:u w:val="single" w:color="000000"/>
        </w:rPr>
        <w:t>apter.</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2</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Participation in wholesale markets.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commission and investor-owned transmission and distribution utilities shall take all commercially reasonable steps to promote the participation of distributed generation resources in serving the Stat</w:t>
      </w:r>
      <w:r>
        <w:rPr>
          <w:rFonts w:ascii="Times New Roman" w:hAnsi="Times New Roman" w:cs="Times New Roman"/>
          <w:color w:val="000000"/>
          <w:sz w:val="24"/>
          <w:szCs w:val="24"/>
          <w:u w:val="single" w:color="000000"/>
        </w:rPr>
        <w:t>e's energy needs and in the wholesale electricity, capacity and ancillary service markets.</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3</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Change in tax treatment.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If a change in federal tax laws, regulations or policy mat</w:t>
      </w:r>
      <w:r>
        <w:rPr>
          <w:rFonts w:ascii="Times New Roman" w:hAnsi="Times New Roman" w:cs="Times New Roman"/>
          <w:color w:val="000000"/>
          <w:sz w:val="24"/>
          <w:szCs w:val="24"/>
          <w:u w:val="single" w:color="000000"/>
        </w:rPr>
        <w:t>erially modifies the burdens or costs to customers or utilities associated with the procurements under this chapter, the commission shall issue a report to the joint standing committee of the Legislature having jurisdiction over energy matters describing t</w:t>
      </w:r>
      <w:r>
        <w:rPr>
          <w:rFonts w:ascii="Times New Roman" w:hAnsi="Times New Roman" w:cs="Times New Roman"/>
          <w:color w:val="000000"/>
          <w:sz w:val="24"/>
          <w:szCs w:val="24"/>
          <w:u w:val="single" w:color="000000"/>
        </w:rPr>
        <w:t>he impact of these changes and recommending any actions necessary to maintain the benefits of the procurements under this chapter.</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4</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Timely interconnection.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commission shall ensure the timely review and execution of interconnection requests and</w:t>
      </w:r>
      <w:r>
        <w:rPr>
          <w:rFonts w:ascii="Times New Roman" w:hAnsi="Times New Roman" w:cs="Times New Roman"/>
          <w:color w:val="000000"/>
          <w:sz w:val="24"/>
          <w:szCs w:val="24"/>
          <w:u w:val="single" w:color="000000"/>
        </w:rPr>
        <w:t xml:space="preserve"> the timely completion of work needed for the safe, reliable and cost-effective interconnection of distributed generation resources. The commission shall establish by rule requirements for investor-owned transmission and distribution utilities to interconn</w:t>
      </w:r>
      <w:r>
        <w:rPr>
          <w:rFonts w:ascii="Times New Roman" w:hAnsi="Times New Roman" w:cs="Times New Roman"/>
          <w:color w:val="000000"/>
          <w:sz w:val="24"/>
          <w:szCs w:val="24"/>
          <w:u w:val="single" w:color="000000"/>
        </w:rPr>
        <w:t>ect distributed generation resources to the grid and financial penalties to ensure timely actions by those utilities to achieve the procurements under sections 3485 and 3486.</w:t>
      </w:r>
    </w:p>
    <w:p w:rsidR="00000000" w:rsidRDefault="00F43CD8">
      <w:pPr>
        <w:autoSpaceDE w:val="0"/>
        <w:autoSpaceDN w:val="0"/>
        <w:adjustRightInd w:val="0"/>
        <w:spacing w:before="160"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u w:val="single" w:color="000000"/>
        </w:rPr>
        <w:t>§ 3483</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Standard buyer</w:t>
      </w:r>
    </w:p>
    <w:p w:rsidR="00000000" w:rsidRDefault="00F43CD8">
      <w:pPr>
        <w:autoSpaceDE w:val="0"/>
        <w:autoSpaceDN w:val="0"/>
        <w:adjustRightInd w:val="0"/>
        <w:spacing w:before="160" w:after="0" w:line="240" w:lineRule="auto"/>
        <w:ind w:firstLine="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A standard buyer designated pursuant to this section shall</w:t>
      </w:r>
      <w:r>
        <w:rPr>
          <w:rFonts w:ascii="Times New Roman" w:hAnsi="Times New Roman" w:cs="Times New Roman"/>
          <w:color w:val="000000"/>
          <w:sz w:val="24"/>
          <w:szCs w:val="24"/>
          <w:u w:val="single" w:color="000000"/>
        </w:rPr>
        <w:t xml:space="preserve"> aggregate the output of the portfolio of distributed generation resources procured pursuant to this chapter and sell or use the output of the resources in a manner that maximizes the value of the portfolio of the resources to all ratepayers.</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lastRenderedPageBreak/>
        <w:t>1</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Designa</w:t>
      </w:r>
      <w:r>
        <w:rPr>
          <w:rFonts w:ascii="Times New Roman" w:hAnsi="Times New Roman" w:cs="Times New Roman"/>
          <w:b/>
          <w:bCs/>
          <w:color w:val="000000"/>
          <w:sz w:val="28"/>
          <w:szCs w:val="28"/>
          <w:u w:val="single" w:color="000000"/>
        </w:rPr>
        <w:t xml:space="preserve">tion of standard buyer.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Each investor-owned transmission and distribution utility serves as the standard buyer in its service territory, except that the commission may designate another entity to serve as the standard buyer if the commission determines</w:t>
      </w:r>
      <w:r>
        <w:rPr>
          <w:rFonts w:ascii="Times New Roman" w:hAnsi="Times New Roman" w:cs="Times New Roman"/>
          <w:color w:val="000000"/>
          <w:sz w:val="24"/>
          <w:szCs w:val="24"/>
          <w:u w:val="single" w:color="000000"/>
        </w:rPr>
        <w:t xml:space="preserve"> that the designation is in the best interest of customers in the service territory. The commission shall oversee the activities of the standard buyer to ensure compliance with this chapter.</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2</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Obligations of standard buyer.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A standard buyer shall:</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Serve as counterparty to long-term contracts with project sponsors pursuant to section 3486;</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If the standard buyer is not an investor-owned transmission and distribution utility, reimburse an investor-owned transmission and distribution utility for any bill credit or payment to a subscriber or project sponsor pursuant to section 3486;</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C</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 xml:space="preserve"> Estab</w:t>
      </w:r>
      <w:r>
        <w:rPr>
          <w:rFonts w:ascii="Times New Roman" w:hAnsi="Times New Roman" w:cs="Times New Roman"/>
          <w:color w:val="000000"/>
          <w:sz w:val="24"/>
          <w:szCs w:val="24"/>
          <w:u w:val="single" w:color="000000"/>
        </w:rPr>
        <w:t>lish reasonable measurement and verification requirements for distributed generation resources;</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Provide information needed to allocate costs and benefits pursuant to subsection 3; and</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Provide aggregate data regarding the output of distributed g</w:t>
      </w:r>
      <w:r>
        <w:rPr>
          <w:rFonts w:ascii="Times New Roman" w:hAnsi="Times New Roman" w:cs="Times New Roman"/>
          <w:color w:val="000000"/>
          <w:sz w:val="24"/>
          <w:szCs w:val="24"/>
          <w:u w:val="single" w:color="000000"/>
        </w:rPr>
        <w:t>eneration resources pursuant to sections 3485 and 3486.</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3</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Standard buyer cost allocation.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commission and each standard buyer designated pursuant to subsection 1 shall implement a transparent mechanism to track and recover or distribute the elig</w:t>
      </w:r>
      <w:r>
        <w:rPr>
          <w:rFonts w:ascii="Times New Roman" w:hAnsi="Times New Roman" w:cs="Times New Roman"/>
          <w:color w:val="000000"/>
          <w:sz w:val="24"/>
          <w:szCs w:val="24"/>
          <w:u w:val="single" w:color="000000"/>
        </w:rPr>
        <w:t>ible costs and benefits under this subsection incurred by procuring distributed generation resources pursuant to this chapter. These eligible costs and benefits must be reviewed by the commission annually and allocated to and recovered from customers of th</w:t>
      </w:r>
      <w:r>
        <w:rPr>
          <w:rFonts w:ascii="Times New Roman" w:hAnsi="Times New Roman" w:cs="Times New Roman"/>
          <w:color w:val="000000"/>
          <w:sz w:val="24"/>
          <w:szCs w:val="24"/>
          <w:u w:val="single" w:color="000000"/>
        </w:rPr>
        <w:t>e investor-owned transmission and distribution utility in whose territory the distributed generation resource is located through a process established by rule of the commission. The process established by the commission must be similar to the allocation of</w:t>
      </w:r>
      <w:r>
        <w:rPr>
          <w:rFonts w:ascii="Times New Roman" w:hAnsi="Times New Roman" w:cs="Times New Roman"/>
          <w:color w:val="000000"/>
          <w:sz w:val="24"/>
          <w:szCs w:val="24"/>
          <w:u w:val="single" w:color="000000"/>
        </w:rPr>
        <w:t xml:space="preserve"> costs and benefits of long-term energy contracts in section 3210-F. Eligible costs and benefits include: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Incremental costs of serving as the standard buyer;</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All payments or bill credits to customers, subscribers and project spons</w:t>
      </w:r>
      <w:r>
        <w:rPr>
          <w:rFonts w:ascii="Times New Roman" w:hAnsi="Times New Roman" w:cs="Times New Roman"/>
          <w:color w:val="000000"/>
          <w:sz w:val="24"/>
          <w:szCs w:val="24"/>
          <w:u w:val="single" w:color="000000"/>
        </w:rPr>
        <w:t>ors under each procurement pursuant to sections 3485 and 3486; and</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C</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All revenue from sale of the output of distributed generation resources procured pursuant to this chapter.</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4</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Entities other than the standard buyer.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commission shall ensur</w:t>
      </w:r>
      <w:r>
        <w:rPr>
          <w:rFonts w:ascii="Times New Roman" w:hAnsi="Times New Roman" w:cs="Times New Roman"/>
          <w:color w:val="000000"/>
          <w:sz w:val="24"/>
          <w:szCs w:val="24"/>
          <w:u w:val="single" w:color="000000"/>
        </w:rPr>
        <w:t>e that the rules and procedures established under this chapter provide opportunities for entities other than the standard buyer to aggregate and sell the output of distributed generation resources in the applicable markets.</w:t>
      </w:r>
    </w:p>
    <w:p w:rsidR="00000000" w:rsidRDefault="00F43CD8">
      <w:pPr>
        <w:autoSpaceDE w:val="0"/>
        <w:autoSpaceDN w:val="0"/>
        <w:adjustRightInd w:val="0"/>
        <w:spacing w:before="160"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u w:val="single" w:color="000000"/>
        </w:rPr>
        <w:t>§ 3484</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Procurement methods</w:t>
      </w:r>
    </w:p>
    <w:p w:rsidR="00000000" w:rsidRDefault="00F43CD8">
      <w:pPr>
        <w:autoSpaceDE w:val="0"/>
        <w:autoSpaceDN w:val="0"/>
        <w:adjustRightInd w:val="0"/>
        <w:spacing w:before="16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lastRenderedPageBreak/>
        <w:t>1</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Initial competitive procurement.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following standards and methods apply to the initial competitive procurement of distributed generation resources associated with commercial or institutional customer accounts under section 3485 and of shared distr</w:t>
      </w:r>
      <w:r>
        <w:rPr>
          <w:rFonts w:ascii="Times New Roman" w:hAnsi="Times New Roman" w:cs="Times New Roman"/>
          <w:color w:val="000000"/>
          <w:sz w:val="24"/>
          <w:szCs w:val="24"/>
          <w:u w:val="single" w:color="000000"/>
        </w:rPr>
        <w:t>ibuted generation resources under section 3486:</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On or before January 1, 2020, the commission shall adopt rules for each initial competitive solicitation of the first block of distributed generation resources under sections 3485 and 3486. The rules mu</w:t>
      </w:r>
      <w:r>
        <w:rPr>
          <w:rFonts w:ascii="Times New Roman" w:hAnsi="Times New Roman" w:cs="Times New Roman"/>
          <w:color w:val="000000"/>
          <w:sz w:val="24"/>
          <w:szCs w:val="24"/>
          <w:u w:val="single" w:color="000000"/>
        </w:rPr>
        <w:t>st include the form of contract provided under subsection 7;</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commission shall accept bids for 30 calendar days beginning on or before July 1, 2020 and review the bids based on the requirements under subsectio</w:t>
      </w:r>
      <w:r>
        <w:rPr>
          <w:rFonts w:ascii="Times New Roman" w:hAnsi="Times New Roman" w:cs="Times New Roman"/>
          <w:color w:val="000000"/>
          <w:sz w:val="24"/>
          <w:szCs w:val="24"/>
          <w:u w:val="single" w:color="000000"/>
        </w:rPr>
        <w:t>ns 4, 5 and 6. The commission may select qualified bids in excess of the first block if the commission determines that the incremental procurement is in the public interest. If the commission selects qualified bids in excess of the first block, the commiss</w:t>
      </w:r>
      <w:r>
        <w:rPr>
          <w:rFonts w:ascii="Times New Roman" w:hAnsi="Times New Roman" w:cs="Times New Roman"/>
          <w:color w:val="000000"/>
          <w:sz w:val="24"/>
          <w:szCs w:val="24"/>
          <w:u w:val="single" w:color="000000"/>
        </w:rPr>
        <w:t>ion shall reduce the quantity procured in subsequent block procurements. If the commission selects bids totaling less than the first block in the initial competitive procurement, the quantity procured in subsequent block procurements must increase by the d</w:t>
      </w:r>
      <w:r>
        <w:rPr>
          <w:rFonts w:ascii="Times New Roman" w:hAnsi="Times New Roman" w:cs="Times New Roman"/>
          <w:color w:val="000000"/>
          <w:sz w:val="24"/>
          <w:szCs w:val="24"/>
          <w:u w:val="single" w:color="000000"/>
        </w:rPr>
        <w:t>ifference between the first block and the number of megawatts submitted in the initial competitive procurement. If pursuant to subsections 4 and 5 no bids are accepted, the commission shall:</w:t>
      </w:r>
    </w:p>
    <w:p w:rsidR="00000000" w:rsidRDefault="00F43CD8">
      <w:pPr>
        <w:autoSpaceDE w:val="0"/>
        <w:autoSpaceDN w:val="0"/>
        <w:adjustRightInd w:val="0"/>
        <w:spacing w:after="0" w:line="240" w:lineRule="auto"/>
        <w:ind w:left="960"/>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before="120" w:after="0" w:line="240" w:lineRule="auto"/>
        <w:ind w:left="96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(1) Conduct a new initial competitive procurement under this subsection within 9 months; and</w:t>
      </w:r>
    </w:p>
    <w:p w:rsidR="00000000" w:rsidRDefault="00F43CD8">
      <w:pPr>
        <w:autoSpaceDE w:val="0"/>
        <w:autoSpaceDN w:val="0"/>
        <w:adjustRightInd w:val="0"/>
        <w:spacing w:after="0" w:line="240" w:lineRule="auto"/>
        <w:ind w:left="960"/>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before="120" w:after="0" w:line="240" w:lineRule="auto"/>
        <w:ind w:left="96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(2) Study the reasons for the inability of the procurement to secure the target amount and submit a report of its findings and any recommended legislation to the</w:t>
      </w:r>
      <w:r>
        <w:rPr>
          <w:rFonts w:ascii="Times New Roman" w:hAnsi="Times New Roman" w:cs="Times New Roman"/>
          <w:color w:val="000000"/>
          <w:sz w:val="24"/>
          <w:szCs w:val="24"/>
          <w:u w:val="single" w:color="000000"/>
        </w:rPr>
        <w:t xml:space="preserve"> joint standing committee of the Legislature having jurisdiction over energy matters;</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C</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 xml:space="preserve">The commission shall issue a public notice of the initial competitive procurement results no later than 30 calendar days after the bid acceptance period has ended. </w:t>
      </w:r>
      <w:r>
        <w:rPr>
          <w:rFonts w:ascii="Times New Roman" w:hAnsi="Times New Roman" w:cs="Times New Roman"/>
          <w:color w:val="000000"/>
          <w:sz w:val="24"/>
          <w:szCs w:val="24"/>
          <w:u w:val="single" w:color="000000"/>
        </w:rPr>
        <w:t>The public notice must include the name, sponsor, size and location of each selected project and the awarded contract price; and</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applicable standard buyer shall enter into a contract with the selected project or projects for a term of 20 years at</w:t>
      </w:r>
      <w:r>
        <w:rPr>
          <w:rFonts w:ascii="Times New Roman" w:hAnsi="Times New Roman" w:cs="Times New Roman"/>
          <w:color w:val="000000"/>
          <w:sz w:val="24"/>
          <w:szCs w:val="24"/>
          <w:u w:val="single" w:color="000000"/>
        </w:rPr>
        <w:t xml:space="preserve"> a specified contract rate equal to the clearing price to be paid as a bill credit to the commercial or institutional customer or the subscribers of a shared distributed generation resource, as applicable.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2</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Subsequent block contract rate procurements.</w:t>
      </w:r>
      <w:r>
        <w:rPr>
          <w:rFonts w:ascii="Times New Roman" w:hAnsi="Times New Roman" w:cs="Times New Roman"/>
          <w:b/>
          <w:bCs/>
          <w:color w:val="000000"/>
          <w:sz w:val="28"/>
          <w:szCs w:val="28"/>
          <w:u w:val="single" w:color="000000"/>
        </w:rPr>
        <w:t xml:space="preserve">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Subsequent to the initial competitive procurement under subsection 1, the remaining procurement under sections 3485 and 3486 must proceed pursuant to the following:</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commission shall procure 4 additional blocks of contracted distributed gener</w:t>
      </w:r>
      <w:r>
        <w:rPr>
          <w:rFonts w:ascii="Times New Roman" w:hAnsi="Times New Roman" w:cs="Times New Roman"/>
          <w:color w:val="000000"/>
          <w:sz w:val="24"/>
          <w:szCs w:val="24"/>
          <w:u w:val="single" w:color="000000"/>
        </w:rPr>
        <w:t>ation resources to meet the overall procurement goal specified in section 3485 for commercial or institutional distributed generation resources and in section 3486 for shared distributed generation resources. Each procurement block size equals 1/4 of the d</w:t>
      </w:r>
      <w:r>
        <w:rPr>
          <w:rFonts w:ascii="Times New Roman" w:hAnsi="Times New Roman" w:cs="Times New Roman"/>
          <w:color w:val="000000"/>
          <w:sz w:val="24"/>
          <w:szCs w:val="24"/>
          <w:u w:val="single" w:color="000000"/>
        </w:rPr>
        <w:t xml:space="preserve">ifference between the overall procurement goal and the quantity procured under subsection 1. These blocks are numbered </w:t>
      </w:r>
      <w:r>
        <w:rPr>
          <w:rFonts w:ascii="Times New Roman" w:hAnsi="Times New Roman" w:cs="Times New Roman"/>
          <w:color w:val="000000"/>
          <w:sz w:val="24"/>
          <w:szCs w:val="24"/>
          <w:u w:val="single" w:color="000000"/>
        </w:rPr>
        <w:lastRenderedPageBreak/>
        <w:t>sequentially, starting with 2. Subsequent procurements are assigned to a particular block, starting with procurement block 2 and finishin</w:t>
      </w:r>
      <w:r>
        <w:rPr>
          <w:rFonts w:ascii="Times New Roman" w:hAnsi="Times New Roman" w:cs="Times New Roman"/>
          <w:color w:val="000000"/>
          <w:sz w:val="24"/>
          <w:szCs w:val="24"/>
          <w:u w:val="single" w:color="000000"/>
        </w:rPr>
        <w:t>g with procurement block 5;</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block contract rate for procurement block 2 must equal 97% of the clearing price determined in subsection 1. Each successive procurement block must have a block contract rate equal to 97% of the preceding block;</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C</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Block 2 must be opened immediately following the initial competitive procurement for bids qualifying under subsection 4;</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applicable standard buyer shall enter into a contract with each qualified project for a term of 20 years at a specified contr</w:t>
      </w:r>
      <w:r>
        <w:rPr>
          <w:rFonts w:ascii="Times New Roman" w:hAnsi="Times New Roman" w:cs="Times New Roman"/>
          <w:color w:val="000000"/>
          <w:sz w:val="24"/>
          <w:szCs w:val="24"/>
          <w:u w:val="single" w:color="000000"/>
        </w:rPr>
        <w:t>act rate equal to the block contract rate of the procurement block then open and paid as a bill credit to the commercial or institutional customer or the subscribers of a shared distributed generation resource, as applicable;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Each contract awarded pu</w:t>
      </w:r>
      <w:r>
        <w:rPr>
          <w:rFonts w:ascii="Times New Roman" w:hAnsi="Times New Roman" w:cs="Times New Roman"/>
          <w:color w:val="000000"/>
          <w:sz w:val="24"/>
          <w:szCs w:val="24"/>
          <w:u w:val="single" w:color="000000"/>
        </w:rPr>
        <w:t>rsuant to this subsection reduces the available capacity in the current procurement block. If an awarded contract exceeds the remaining capacity of its procurement block, then that block is closed and the next block opened and the contract rate is set at t</w:t>
      </w:r>
      <w:r>
        <w:rPr>
          <w:rFonts w:ascii="Times New Roman" w:hAnsi="Times New Roman" w:cs="Times New Roman"/>
          <w:color w:val="000000"/>
          <w:sz w:val="24"/>
          <w:szCs w:val="24"/>
          <w:u w:val="single" w:color="000000"/>
        </w:rPr>
        <w:t>he block contract rate for the block filled by this award and any overprocurement in one block is subtracted from the quantity available in the next block. If a contract award exceeds the capacity of procurement block 5, the entire quantity of the offer is</w:t>
      </w:r>
      <w:r>
        <w:rPr>
          <w:rFonts w:ascii="Times New Roman" w:hAnsi="Times New Roman" w:cs="Times New Roman"/>
          <w:color w:val="000000"/>
          <w:sz w:val="24"/>
          <w:szCs w:val="24"/>
          <w:u w:val="single" w:color="000000"/>
        </w:rPr>
        <w:t xml:space="preserve"> awarded at the block contract rate for procurement block 5 and no further contracts may be awarded except under subsection 7; and</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F</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commission may by rule establish incentives in the procurement of distributed generation resources including, but n</w:t>
      </w:r>
      <w:r>
        <w:rPr>
          <w:rFonts w:ascii="Times New Roman" w:hAnsi="Times New Roman" w:cs="Times New Roman"/>
          <w:color w:val="000000"/>
          <w:sz w:val="24"/>
          <w:szCs w:val="24"/>
          <w:u w:val="single" w:color="000000"/>
        </w:rPr>
        <w:t>ot limited to, incentives to support resources that pair with energy storage systems, development of dual-use projects, siting of resources that provide locational benefits to the distribution system and other siting criteria developed in consultation with</w:t>
      </w:r>
      <w:r>
        <w:rPr>
          <w:rFonts w:ascii="Times New Roman" w:hAnsi="Times New Roman" w:cs="Times New Roman"/>
          <w:color w:val="000000"/>
          <w:sz w:val="24"/>
          <w:szCs w:val="24"/>
          <w:u w:val="single" w:color="000000"/>
        </w:rPr>
        <w:t xml:space="preserve"> the Department of Environmental Protection and the Department of Agriculture, Conservation and Forestry.</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3</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Failure to complete timely procurement.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If any procurement block remains unfilled for more than 12 months from the time the previous block w</w:t>
      </w:r>
      <w:r>
        <w:rPr>
          <w:rFonts w:ascii="Times New Roman" w:hAnsi="Times New Roman" w:cs="Times New Roman"/>
          <w:color w:val="000000"/>
          <w:sz w:val="24"/>
          <w:szCs w:val="24"/>
          <w:u w:val="single" w:color="000000"/>
        </w:rPr>
        <w:t>as filled:</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commission shall suspend procurements under subsection 2 pending completion of the process described in this subsection;</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 xml:space="preserve">The commission shall review and may amend the rules adopted under subsection 1, paragraph A or the standard </w:t>
      </w:r>
      <w:r>
        <w:rPr>
          <w:rFonts w:ascii="Times New Roman" w:hAnsi="Times New Roman" w:cs="Times New Roman"/>
          <w:color w:val="000000"/>
          <w:sz w:val="24"/>
          <w:szCs w:val="24"/>
          <w:u w:val="single" w:color="000000"/>
        </w:rPr>
        <w:t>contract under subsection 7 for a new competitive procurement of long-term contracts for the output of at least the first block of distributed generation resources as part of the procurement goal in section 3485, subsection 1 or section 3486, subsection 1.</w:t>
      </w:r>
      <w:r>
        <w:rPr>
          <w:rFonts w:ascii="Times New Roman" w:hAnsi="Times New Roman" w:cs="Times New Roman"/>
          <w:color w:val="000000"/>
          <w:sz w:val="24"/>
          <w:szCs w:val="24"/>
          <w:u w:val="single" w:color="000000"/>
        </w:rPr>
        <w:t xml:space="preserve"> The commission shall publish any amendments and a new bid acceptance period for not less than 6 months and not more than 9 months;</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C</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commission shall accept bids for 30 calendar days from the date established in paragraph B and review the bids based on the requirements set forth in subsections 4, 5 and 6 and the adopted rules. The commission may select qualified bids in excess of th</w:t>
      </w:r>
      <w:r>
        <w:rPr>
          <w:rFonts w:ascii="Times New Roman" w:hAnsi="Times New Roman" w:cs="Times New Roman"/>
          <w:color w:val="000000"/>
          <w:sz w:val="24"/>
          <w:szCs w:val="24"/>
          <w:u w:val="single" w:color="000000"/>
        </w:rPr>
        <w:t>e first block if the commission determines that the incremental procurement is in the public interest and the incremental procurement reduces the quantity procured in subsequent procurements;</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lastRenderedPageBreak/>
        <w:t>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commission shall issue a public notice of the procurem</w:t>
      </w:r>
      <w:r>
        <w:rPr>
          <w:rFonts w:ascii="Times New Roman" w:hAnsi="Times New Roman" w:cs="Times New Roman"/>
          <w:color w:val="000000"/>
          <w:sz w:val="24"/>
          <w:szCs w:val="24"/>
          <w:u w:val="single" w:color="000000"/>
        </w:rPr>
        <w:t>ent results no later than 30 calendar days after the bid acceptance period under paragraph C has ended. The public notice must include the name, sponsor, size and location of each selected project and the awarded contract price;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applicable standa</w:t>
      </w:r>
      <w:r>
        <w:rPr>
          <w:rFonts w:ascii="Times New Roman" w:hAnsi="Times New Roman" w:cs="Times New Roman"/>
          <w:color w:val="000000"/>
          <w:sz w:val="24"/>
          <w:szCs w:val="24"/>
          <w:u w:val="single" w:color="000000"/>
        </w:rPr>
        <w:t>rd buyer shall enter into a contract with the project or projects selected under paragraph C for a term of 20 years at a specified contract rate equal to the highest selected offer rate as adjusted under subsection 6 to be paid as a bill credit to the comm</w:t>
      </w:r>
      <w:r>
        <w:rPr>
          <w:rFonts w:ascii="Times New Roman" w:hAnsi="Times New Roman" w:cs="Times New Roman"/>
          <w:color w:val="000000"/>
          <w:sz w:val="24"/>
          <w:szCs w:val="24"/>
          <w:u w:val="single" w:color="000000"/>
        </w:rPr>
        <w:t>ercial or institutional customer or the subscribers of a shared distributed generation resource, as applicable;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F</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commission shall reopen procurements under subsection 2 unless no contracts are awarded under paragraph E. The quantity procured under</w:t>
      </w:r>
      <w:r>
        <w:rPr>
          <w:rFonts w:ascii="Times New Roman" w:hAnsi="Times New Roman" w:cs="Times New Roman"/>
          <w:color w:val="000000"/>
          <w:sz w:val="24"/>
          <w:szCs w:val="24"/>
          <w:u w:val="single" w:color="000000"/>
        </w:rPr>
        <w:t xml:space="preserve"> paragraph C must be subtracted from the current procurement block and the block contract rate for that procurement block must be set at the clearing price set under paragraph E. The block contract rate for each subsequent procurement block must be set at </w:t>
      </w:r>
      <w:r>
        <w:rPr>
          <w:rFonts w:ascii="Times New Roman" w:hAnsi="Times New Roman" w:cs="Times New Roman"/>
          <w:color w:val="000000"/>
          <w:sz w:val="24"/>
          <w:szCs w:val="24"/>
          <w:u w:val="single" w:color="000000"/>
        </w:rPr>
        <w:t>97% of the newly established rate for the preceding procurement block; and</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If no contracts are awarded under paragraph E, the commission shall:</w:t>
      </w:r>
    </w:p>
    <w:p w:rsidR="00000000" w:rsidRDefault="00F43CD8">
      <w:pPr>
        <w:autoSpaceDE w:val="0"/>
        <w:autoSpaceDN w:val="0"/>
        <w:adjustRightInd w:val="0"/>
        <w:spacing w:after="0" w:line="240" w:lineRule="auto"/>
        <w:ind w:left="960"/>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before="120" w:after="0" w:line="240" w:lineRule="auto"/>
        <w:ind w:left="96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(1) Conduct another competitive solicitation under this subsection with the bid acceptance period to open approximately 12 months after the bid acceptance period determined in paragraph B; and</w:t>
      </w:r>
    </w:p>
    <w:p w:rsidR="00000000" w:rsidRDefault="00F43CD8">
      <w:pPr>
        <w:autoSpaceDE w:val="0"/>
        <w:autoSpaceDN w:val="0"/>
        <w:adjustRightInd w:val="0"/>
        <w:spacing w:after="0" w:line="240" w:lineRule="auto"/>
        <w:ind w:left="960"/>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before="120" w:after="0" w:line="240" w:lineRule="auto"/>
        <w:ind w:left="96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 xml:space="preserve">(2) Examine the reasons for the inability of the procurement </w:t>
      </w:r>
      <w:r>
        <w:rPr>
          <w:rFonts w:ascii="Times New Roman" w:hAnsi="Times New Roman" w:cs="Times New Roman"/>
          <w:color w:val="000000"/>
          <w:sz w:val="24"/>
          <w:szCs w:val="24"/>
          <w:u w:val="single" w:color="000000"/>
        </w:rPr>
        <w:t>to secure the target amount and submit a report of its findings and any recommended legislation to the joint standing committee of the legislature having jurisdiction over energy matters.</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4</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Bid or offer qualification.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commission shall establish minimum requirements for bids or offers in a solicitation under this section, including:</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Demonstration of site control;</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A fully executed interconnection service agreement with an investor-owned transmission and di</w:t>
      </w:r>
      <w:r>
        <w:rPr>
          <w:rFonts w:ascii="Times New Roman" w:hAnsi="Times New Roman" w:cs="Times New Roman"/>
          <w:color w:val="000000"/>
          <w:sz w:val="24"/>
          <w:szCs w:val="24"/>
          <w:u w:val="single" w:color="000000"/>
        </w:rPr>
        <w:t>stribution utility;</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C</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Demonstration that all required federal, state and local approvals and nonministerial permits for the project have been obtained. For the purposes of this paragraph, "nonministerial permit" means a permit for which one or more off</w:t>
      </w:r>
      <w:r>
        <w:rPr>
          <w:rFonts w:ascii="Times New Roman" w:hAnsi="Times New Roman" w:cs="Times New Roman"/>
          <w:color w:val="000000"/>
          <w:sz w:val="24"/>
          <w:szCs w:val="24"/>
          <w:u w:val="single" w:color="000000"/>
        </w:rPr>
        <w:t>icials consider various factors and exercise discretion in deciding whether to issue or deny the permit;</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capacity to make a financial assurance deposit at the time a contract is signed; and</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following requirements based on the procuremen</w:t>
      </w:r>
      <w:r>
        <w:rPr>
          <w:rFonts w:ascii="Times New Roman" w:hAnsi="Times New Roman" w:cs="Times New Roman"/>
          <w:color w:val="000000"/>
          <w:sz w:val="24"/>
          <w:szCs w:val="24"/>
          <w:u w:val="single" w:color="000000"/>
        </w:rPr>
        <w:t>t type:</w:t>
      </w:r>
    </w:p>
    <w:p w:rsidR="00000000" w:rsidRDefault="00F43CD8">
      <w:pPr>
        <w:autoSpaceDE w:val="0"/>
        <w:autoSpaceDN w:val="0"/>
        <w:adjustRightInd w:val="0"/>
        <w:spacing w:after="0" w:line="240" w:lineRule="auto"/>
        <w:ind w:left="960"/>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before="120" w:after="0" w:line="240" w:lineRule="auto"/>
        <w:ind w:left="96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(1) For a commercial or institu</w:t>
      </w:r>
      <w:r>
        <w:rPr>
          <w:rFonts w:ascii="Times New Roman" w:hAnsi="Times New Roman" w:cs="Times New Roman"/>
          <w:color w:val="000000"/>
          <w:sz w:val="24"/>
          <w:szCs w:val="24"/>
          <w:u w:val="single" w:color="000000"/>
        </w:rPr>
        <w:t>tional distributed generation resources procurement, if a participating commercial or institutional customer is not the party making the bid, an agreement from a customer that would receive bill credits under section 3485, subsection 2; and</w:t>
      </w:r>
    </w:p>
    <w:p w:rsidR="00000000" w:rsidRDefault="00F43CD8">
      <w:pPr>
        <w:autoSpaceDE w:val="0"/>
        <w:autoSpaceDN w:val="0"/>
        <w:adjustRightInd w:val="0"/>
        <w:spacing w:after="0" w:line="240" w:lineRule="auto"/>
        <w:ind w:left="960"/>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before="120" w:after="0" w:line="240" w:lineRule="auto"/>
        <w:ind w:left="960"/>
        <w:jc w:val="both"/>
        <w:rPr>
          <w:rFonts w:ascii="Times New Roman" w:hAnsi="Times New Roman" w:cs="Times New Roman"/>
          <w:sz w:val="24"/>
          <w:szCs w:val="24"/>
        </w:rPr>
      </w:pPr>
      <w:r>
        <w:rPr>
          <w:rFonts w:ascii="Times New Roman" w:hAnsi="Times New Roman" w:cs="Times New Roman"/>
          <w:color w:val="000000"/>
          <w:sz w:val="24"/>
          <w:szCs w:val="24"/>
          <w:u w:val="single" w:color="000000"/>
        </w:rPr>
        <w:lastRenderedPageBreak/>
        <w:t>(2) For a sha</w:t>
      </w:r>
      <w:r>
        <w:rPr>
          <w:rFonts w:ascii="Times New Roman" w:hAnsi="Times New Roman" w:cs="Times New Roman"/>
          <w:color w:val="000000"/>
          <w:sz w:val="24"/>
          <w:szCs w:val="24"/>
          <w:u w:val="single" w:color="000000"/>
        </w:rPr>
        <w:t>red distributed generation resources procurement, demonstration of experiencing fulfilling the obligation to subscribers of shared distributed generation resources.</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24"/>
          <w:szCs w:val="24"/>
          <w:u w:val="single" w:color="000000"/>
        </w:rPr>
        <w:t>The commission may by rule require a bidder to pay a reasonable bidding fee to defray adm</w:t>
      </w:r>
      <w:r>
        <w:rPr>
          <w:rFonts w:ascii="Times New Roman" w:hAnsi="Times New Roman" w:cs="Times New Roman"/>
          <w:color w:val="000000"/>
          <w:sz w:val="24"/>
          <w:szCs w:val="24"/>
          <w:u w:val="single" w:color="000000"/>
        </w:rPr>
        <w:t>inistrative costs.</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5</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Ensuring competition.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Prior to each solicitation under subsections 1 to 3, the commission shall establish standards to ensure that the solicitation has a sufficient number of unique bidders and quantity of qualified bids to be determined competitive. If the commission concludes</w:t>
      </w:r>
      <w:r>
        <w:rPr>
          <w:rFonts w:ascii="Times New Roman" w:hAnsi="Times New Roman" w:cs="Times New Roman"/>
          <w:color w:val="000000"/>
          <w:sz w:val="24"/>
          <w:szCs w:val="24"/>
          <w:u w:val="single" w:color="000000"/>
        </w:rPr>
        <w:t xml:space="preserve"> that a solicitation is not competitive, the commission may reduce the target procurement quantities to produce the greatest quantity that may be procured consistent with this subsection and shall defer to subsequent solicitations the capacity reduced in t</w:t>
      </w:r>
      <w:r>
        <w:rPr>
          <w:rFonts w:ascii="Times New Roman" w:hAnsi="Times New Roman" w:cs="Times New Roman"/>
          <w:color w:val="000000"/>
          <w:sz w:val="24"/>
          <w:szCs w:val="24"/>
          <w:u w:val="single" w:color="000000"/>
        </w:rPr>
        <w:t>he solicitation.</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6</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Bid selection.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Following a review of bids received in the solicitations under subsections 1 to 3, and after any adjustment to the target quantity under subsection 5, the commission shall select one or more winning bids that, in t</w:t>
      </w:r>
      <w:r>
        <w:rPr>
          <w:rFonts w:ascii="Times New Roman" w:hAnsi="Times New Roman" w:cs="Times New Roman"/>
          <w:color w:val="000000"/>
          <w:sz w:val="24"/>
          <w:szCs w:val="24"/>
          <w:u w:val="single" w:color="000000"/>
        </w:rPr>
        <w:t>he aggregate, meet the target procurement quantity. If there are multiple qualified bids at the same offer rate, the commission shall give preference to the qualified bid or bids that minimize the cost to the standard buyers or, if there is no difference i</w:t>
      </w:r>
      <w:r>
        <w:rPr>
          <w:rFonts w:ascii="Times New Roman" w:hAnsi="Times New Roman" w:cs="Times New Roman"/>
          <w:color w:val="000000"/>
          <w:sz w:val="24"/>
          <w:szCs w:val="24"/>
          <w:u w:val="single" w:color="000000"/>
        </w:rPr>
        <w:t>n cost, to the bid that was submitted first.</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24"/>
          <w:szCs w:val="24"/>
          <w:u w:val="single" w:color="000000"/>
        </w:rPr>
        <w:t>In evaluating bids in a competitive solicitation, the commission shall evaluate a qualified bid for a project that is located on previously developed or impacted land at 90% of the offered rate. For the purpos</w:t>
      </w:r>
      <w:r>
        <w:rPr>
          <w:rFonts w:ascii="Times New Roman" w:hAnsi="Times New Roman" w:cs="Times New Roman"/>
          <w:color w:val="000000"/>
          <w:sz w:val="24"/>
          <w:szCs w:val="24"/>
          <w:u w:val="single" w:color="000000"/>
        </w:rPr>
        <w:t>es of this subsection, "previously developed or impacted land" means areas covered by impervious surfaces, capped landfills or brownfield sites as defined by the Department of Environmental Protection. If a bid under this subsection is accepted, the contra</w:t>
      </w:r>
      <w:r>
        <w:rPr>
          <w:rFonts w:ascii="Times New Roman" w:hAnsi="Times New Roman" w:cs="Times New Roman"/>
          <w:color w:val="000000"/>
          <w:sz w:val="24"/>
          <w:szCs w:val="24"/>
          <w:u w:val="single" w:color="000000"/>
        </w:rPr>
        <w:t>ct rate for each accepted bid for a project located on previously developed or impacted land must be paid a rate equal to the clearing price.</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7</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Standard contract and milestones.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Prior to a solicitation, the commission shall provide, in consultation</w:t>
      </w:r>
      <w:r>
        <w:rPr>
          <w:rFonts w:ascii="Times New Roman" w:hAnsi="Times New Roman" w:cs="Times New Roman"/>
          <w:color w:val="000000"/>
          <w:sz w:val="24"/>
          <w:szCs w:val="24"/>
          <w:u w:val="single" w:color="000000"/>
        </w:rPr>
        <w:t xml:space="preserve"> with the standard buyer or standard buyers, a standard contract that commits the standard buyer and a project sponsor to commercially reasonable behavior and includes provisions including an interconnection fee list and interconnection schedule to ensure </w:t>
      </w:r>
      <w:r>
        <w:rPr>
          <w:rFonts w:ascii="Times New Roman" w:hAnsi="Times New Roman" w:cs="Times New Roman"/>
          <w:color w:val="000000"/>
          <w:sz w:val="24"/>
          <w:szCs w:val="24"/>
          <w:u w:val="single" w:color="000000"/>
        </w:rPr>
        <w:t>that the project proceeds to commercial operation on a reasonable timeline. The standard contracts for all standard buyers must be substantially identical to the extent commercially reasonable.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24"/>
          <w:szCs w:val="24"/>
          <w:u w:val="single" w:color="000000"/>
        </w:rPr>
        <w:t xml:space="preserve">A qualified project must be commercially operable within 18 </w:t>
      </w:r>
      <w:r>
        <w:rPr>
          <w:rFonts w:ascii="Times New Roman" w:hAnsi="Times New Roman" w:cs="Times New Roman"/>
          <w:color w:val="000000"/>
          <w:sz w:val="24"/>
          <w:szCs w:val="24"/>
          <w:u w:val="single" w:color="000000"/>
        </w:rPr>
        <w:t>months of being awarded a contract. The commission may grant an extension for good cause. If a project fails to meet a milestone, the project sponsor is in default and the sponsor's contract must be cancelled. The capacity associated with a cancelled proje</w:t>
      </w:r>
      <w:r>
        <w:rPr>
          <w:rFonts w:ascii="Times New Roman" w:hAnsi="Times New Roman" w:cs="Times New Roman"/>
          <w:color w:val="000000"/>
          <w:sz w:val="24"/>
          <w:szCs w:val="24"/>
          <w:u w:val="single" w:color="000000"/>
        </w:rPr>
        <w:t>ct must be added to the currently open procurement block. If procurement block 5 has been filled and procurements closed, the defaulted quantity must be added to procurement block 5 and new offers must be accepted under subsection 2.</w:t>
      </w:r>
    </w:p>
    <w:p w:rsidR="00000000" w:rsidRDefault="00F43CD8">
      <w:pPr>
        <w:autoSpaceDE w:val="0"/>
        <w:autoSpaceDN w:val="0"/>
        <w:adjustRightInd w:val="0"/>
        <w:spacing w:before="160"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u w:val="single" w:color="000000"/>
        </w:rPr>
        <w:t>§ 3485</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Commercial or </w:t>
      </w:r>
      <w:r>
        <w:rPr>
          <w:rFonts w:ascii="Times New Roman" w:hAnsi="Times New Roman" w:cs="Times New Roman"/>
          <w:b/>
          <w:bCs/>
          <w:color w:val="000000"/>
          <w:sz w:val="28"/>
          <w:szCs w:val="28"/>
          <w:u w:val="single" w:color="000000"/>
        </w:rPr>
        <w:t>institutional distributed generation resources procurement</w:t>
      </w:r>
    </w:p>
    <w:p w:rsidR="00000000" w:rsidRDefault="00F43CD8">
      <w:pPr>
        <w:autoSpaceDE w:val="0"/>
        <w:autoSpaceDN w:val="0"/>
        <w:adjustRightInd w:val="0"/>
        <w:spacing w:before="16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lastRenderedPageBreak/>
        <w:t>1</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Procurement amounts.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By July 1, 2024, the commission shall procure 125 megawatts of the output of distributed generation resources associated with commercial or institutional customer accounts by conducting an initial competitive solicitation for the first block of 25 megawatt</w:t>
      </w:r>
      <w:r>
        <w:rPr>
          <w:rFonts w:ascii="Times New Roman" w:hAnsi="Times New Roman" w:cs="Times New Roman"/>
          <w:color w:val="000000"/>
          <w:sz w:val="24"/>
          <w:szCs w:val="24"/>
          <w:u w:val="single" w:color="000000"/>
        </w:rPr>
        <w:t>s pursuant to section 3484 to establish market-based, declining block contract rates to procure the remaining 100 megawatts.</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2</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Determination of bill credit.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bill credit allocated to a commercial or institutional customer must be based on the to</w:t>
      </w:r>
      <w:r>
        <w:rPr>
          <w:rFonts w:ascii="Times New Roman" w:hAnsi="Times New Roman" w:cs="Times New Roman"/>
          <w:color w:val="000000"/>
          <w:sz w:val="24"/>
          <w:szCs w:val="24"/>
          <w:u w:val="single" w:color="000000"/>
        </w:rPr>
        <w:t>tal kilowatt-hours of energy production of the distributed generation resource for the previous month. For each billing month, the value of the credit must be calculated by multiplying the number of kilowatt-hours by the contract rate. A payment to a comme</w:t>
      </w:r>
      <w:r>
        <w:rPr>
          <w:rFonts w:ascii="Times New Roman" w:hAnsi="Times New Roman" w:cs="Times New Roman"/>
          <w:color w:val="000000"/>
          <w:sz w:val="24"/>
          <w:szCs w:val="24"/>
          <w:u w:val="single" w:color="000000"/>
        </w:rPr>
        <w:t>rcial or institutional customer must be credited against the customer's monthly electricity bill in accordance with section 3487. The monthly energy production must be determined by a revenue-grade meter installed and paid for by the participating commerci</w:t>
      </w:r>
      <w:r>
        <w:rPr>
          <w:rFonts w:ascii="Times New Roman" w:hAnsi="Times New Roman" w:cs="Times New Roman"/>
          <w:color w:val="000000"/>
          <w:sz w:val="24"/>
          <w:szCs w:val="24"/>
          <w:u w:val="single" w:color="000000"/>
        </w:rPr>
        <w:t>al or institutional customer.</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3</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Exemption.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A commercial or institutional customer is not considered a public utility or competitive electricity provider solely as a result of entering into a contract with a standard buyer under this section.</w:t>
      </w:r>
    </w:p>
    <w:p w:rsidR="00000000" w:rsidRDefault="00F43CD8">
      <w:pPr>
        <w:autoSpaceDE w:val="0"/>
        <w:autoSpaceDN w:val="0"/>
        <w:adjustRightInd w:val="0"/>
        <w:spacing w:before="160"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u w:val="single" w:color="000000"/>
        </w:rPr>
        <w:t>§ 3486</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Shared distributed generation resources procurement</w:t>
      </w:r>
    </w:p>
    <w:p w:rsidR="00000000" w:rsidRDefault="00F43CD8">
      <w:pPr>
        <w:autoSpaceDE w:val="0"/>
        <w:autoSpaceDN w:val="0"/>
        <w:adjustRightInd w:val="0"/>
        <w:spacing w:before="16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Procurement amounts.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 xml:space="preserve">By July 1, 2024, the commission shall procure 250 megawatts of the output of shared distributed generation resources by conducting an initial competitive solicitation for </w:t>
      </w:r>
      <w:r>
        <w:rPr>
          <w:rFonts w:ascii="Times New Roman" w:hAnsi="Times New Roman" w:cs="Times New Roman"/>
          <w:color w:val="000000"/>
          <w:sz w:val="24"/>
          <w:szCs w:val="24"/>
          <w:u w:val="single" w:color="000000"/>
        </w:rPr>
        <w:t>the first block of 50 megawatts pursuant to section 3484 to establish market-based, declining block contract rates to procure the remaining 200 megawatts.</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2</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Payment and minimum subscription.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project sponsor and subscribers of a distributed generation resource that receives a contract under this section must receive the contract rate for the output of a shared distributed generation resource that is fully subscribed. For any portion not sub</w:t>
      </w:r>
      <w:r>
        <w:rPr>
          <w:rFonts w:ascii="Times New Roman" w:hAnsi="Times New Roman" w:cs="Times New Roman"/>
          <w:color w:val="000000"/>
          <w:sz w:val="24"/>
          <w:szCs w:val="24"/>
          <w:u w:val="single" w:color="000000"/>
        </w:rPr>
        <w:t>scribed, the project sponsor must receive the wholesale rate obtained by the standard buyer for resale of the shared distributed generation resource output. Requirements for minimum subscriptions include: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 xml:space="preserve">At least 50% of the total nameplate capacity </w:t>
      </w:r>
      <w:r>
        <w:rPr>
          <w:rFonts w:ascii="Times New Roman" w:hAnsi="Times New Roman" w:cs="Times New Roman"/>
          <w:color w:val="000000"/>
          <w:sz w:val="24"/>
          <w:szCs w:val="24"/>
          <w:u w:val="single" w:color="000000"/>
        </w:rPr>
        <w:t>of a shared distributed generation resource must be subscribed by subscriptions of 25 kilowatts or less or at least 20% of the total nameplate capacity must be subscribed by subscriptions of 25 kilowatts or less if subscriptions from a municipality or unit</w:t>
      </w:r>
      <w:r>
        <w:rPr>
          <w:rFonts w:ascii="Times New Roman" w:hAnsi="Times New Roman" w:cs="Times New Roman"/>
          <w:color w:val="000000"/>
          <w:sz w:val="24"/>
          <w:szCs w:val="24"/>
          <w:u w:val="single" w:color="000000"/>
        </w:rPr>
        <w:t>s of municipal government account for more than 30% of the total nameplate capacity, unless subscriptions from a municipality or units of municipal government account for more than 50% of the total nameplate capacity of a shared distributed generation reso</w:t>
      </w:r>
      <w:r>
        <w:rPr>
          <w:rFonts w:ascii="Times New Roman" w:hAnsi="Times New Roman" w:cs="Times New Roman"/>
          <w:color w:val="000000"/>
          <w:sz w:val="24"/>
          <w:szCs w:val="24"/>
          <w:u w:val="single" w:color="000000"/>
        </w:rPr>
        <w:t>urce; and</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At least:</w:t>
      </w:r>
    </w:p>
    <w:p w:rsidR="00000000" w:rsidRDefault="00F43CD8">
      <w:pPr>
        <w:autoSpaceDE w:val="0"/>
        <w:autoSpaceDN w:val="0"/>
        <w:adjustRightInd w:val="0"/>
        <w:spacing w:after="0" w:line="240" w:lineRule="auto"/>
        <w:ind w:left="960"/>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before="120" w:after="0" w:line="240" w:lineRule="auto"/>
        <w:ind w:left="96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(1) Ten percent of the total nameplate capacity of a shared distributed generation resource must be subscribed by households with low or moderate income or by organizations serving households with low or moderate income if the s</w:t>
      </w:r>
      <w:r>
        <w:rPr>
          <w:rFonts w:ascii="Times New Roman" w:hAnsi="Times New Roman" w:cs="Times New Roman"/>
          <w:color w:val="000000"/>
          <w:sz w:val="24"/>
          <w:szCs w:val="24"/>
          <w:u w:val="single" w:color="000000"/>
        </w:rPr>
        <w:t>ubscriptions serve to directly reduce the electricity costs for households with low or moderate income; or</w:t>
      </w:r>
    </w:p>
    <w:p w:rsidR="00000000" w:rsidRDefault="00F43CD8">
      <w:pPr>
        <w:autoSpaceDE w:val="0"/>
        <w:autoSpaceDN w:val="0"/>
        <w:adjustRightInd w:val="0"/>
        <w:spacing w:after="0" w:line="240" w:lineRule="auto"/>
        <w:ind w:left="960"/>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before="120" w:after="0" w:line="240" w:lineRule="auto"/>
        <w:ind w:left="960"/>
        <w:jc w:val="both"/>
        <w:rPr>
          <w:rFonts w:ascii="Times New Roman" w:hAnsi="Times New Roman" w:cs="Times New Roman"/>
          <w:sz w:val="24"/>
          <w:szCs w:val="24"/>
        </w:rPr>
      </w:pPr>
      <w:r>
        <w:rPr>
          <w:rFonts w:ascii="Times New Roman" w:hAnsi="Times New Roman" w:cs="Times New Roman"/>
          <w:color w:val="000000"/>
          <w:sz w:val="24"/>
          <w:szCs w:val="24"/>
          <w:u w:val="single" w:color="000000"/>
        </w:rPr>
        <w:lastRenderedPageBreak/>
        <w:t>(2) If a municipality or unit of municipal government accounts for more than 50% of the subscriptions to a shared distributed generation resource, 5% of the total nameplate capacity of the shared distributed generation resource must be subscribed by househ</w:t>
      </w:r>
      <w:r>
        <w:rPr>
          <w:rFonts w:ascii="Times New Roman" w:hAnsi="Times New Roman" w:cs="Times New Roman"/>
          <w:color w:val="000000"/>
          <w:sz w:val="24"/>
          <w:szCs w:val="24"/>
          <w:u w:val="single" w:color="000000"/>
        </w:rPr>
        <w:t>olds with low or moderate income or by organizations serving households with low or moderate income if the subscriptions serve to directly reduce the electricity costs for households with low or moderate income.</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24"/>
          <w:szCs w:val="24"/>
          <w:u w:val="single" w:color="000000"/>
        </w:rPr>
        <w:t>Subscriptions from municipalities or units</w:t>
      </w:r>
      <w:r>
        <w:rPr>
          <w:rFonts w:ascii="Times New Roman" w:hAnsi="Times New Roman" w:cs="Times New Roman"/>
          <w:color w:val="000000"/>
          <w:sz w:val="24"/>
          <w:szCs w:val="24"/>
          <w:u w:val="single" w:color="000000"/>
        </w:rPr>
        <w:t xml:space="preserve"> of municipal government may not account for more than 70% of the nameplate capacity of a shared distributed generation resource. For the purposes of this subsection, "household with low or moderate income" means a household that provides proof of particip</w:t>
      </w:r>
      <w:r>
        <w:rPr>
          <w:rFonts w:ascii="Times New Roman" w:hAnsi="Times New Roman" w:cs="Times New Roman"/>
          <w:color w:val="000000"/>
          <w:sz w:val="24"/>
          <w:szCs w:val="24"/>
          <w:u w:val="single" w:color="000000"/>
        </w:rPr>
        <w:t>ation in a utility, municipal, state or federal income-based assistance program or a household that provides proof of household income up to 80% of the median income for the county or metropolitan area where the household is located.</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3</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Determination of</w:t>
      </w:r>
      <w:r>
        <w:rPr>
          <w:rFonts w:ascii="Times New Roman" w:hAnsi="Times New Roman" w:cs="Times New Roman"/>
          <w:b/>
          <w:bCs/>
          <w:color w:val="000000"/>
          <w:sz w:val="28"/>
          <w:szCs w:val="28"/>
          <w:u w:val="single" w:color="000000"/>
        </w:rPr>
        <w:t xml:space="preserve"> subscriber bill credit.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bill credit allocated to each subscriber from a shared distributed generation resource must be based on the subscriber's percentage interest of the total production of the shared distributed generation resource for the prev</w:t>
      </w:r>
      <w:r>
        <w:rPr>
          <w:rFonts w:ascii="Times New Roman" w:hAnsi="Times New Roman" w:cs="Times New Roman"/>
          <w:color w:val="000000"/>
          <w:sz w:val="24"/>
          <w:szCs w:val="24"/>
          <w:u w:val="single" w:color="000000"/>
        </w:rPr>
        <w:t>ious month. For each billing month, the value of the credit allocated to a subscriber must be calculated by multiplying the number of kilowatt-hours constituting the subscriber's share by the contract rate. On a monthly basis, the project sponsor shall pro</w:t>
      </w:r>
      <w:r>
        <w:rPr>
          <w:rFonts w:ascii="Times New Roman" w:hAnsi="Times New Roman" w:cs="Times New Roman"/>
          <w:color w:val="000000"/>
          <w:sz w:val="24"/>
          <w:szCs w:val="24"/>
          <w:u w:val="single" w:color="000000"/>
        </w:rPr>
        <w:t>vide to the investor-owned transmission and distribution utility in a standardized and electronic format a list of subscribers and subscriber information required to calculate the bill credit to be provided to each subscriber. A credit to a subscriber must</w:t>
      </w:r>
      <w:r>
        <w:rPr>
          <w:rFonts w:ascii="Times New Roman" w:hAnsi="Times New Roman" w:cs="Times New Roman"/>
          <w:color w:val="000000"/>
          <w:sz w:val="24"/>
          <w:szCs w:val="24"/>
          <w:u w:val="single" w:color="000000"/>
        </w:rPr>
        <w:t xml:space="preserve"> be applied against the subscriber's monthly electricity bill in accordance with section 3487 no later than one billing month following the month during which the energy was generated by the shared distributed generation resource. The investor-owned transm</w:t>
      </w:r>
      <w:r>
        <w:rPr>
          <w:rFonts w:ascii="Times New Roman" w:hAnsi="Times New Roman" w:cs="Times New Roman"/>
          <w:color w:val="000000"/>
          <w:sz w:val="24"/>
          <w:szCs w:val="24"/>
          <w:u w:val="single" w:color="000000"/>
        </w:rPr>
        <w:t>ission and distribution utility shall provide a monthly record to the project sponsor of the credit applied to a subscriber within a month after the credits are applied to the subscriber's bill.</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24"/>
          <w:szCs w:val="24"/>
          <w:u w:val="single" w:color="000000"/>
        </w:rPr>
        <w:t>The monthly output available for allocation as subscribed o</w:t>
      </w:r>
      <w:r>
        <w:rPr>
          <w:rFonts w:ascii="Times New Roman" w:hAnsi="Times New Roman" w:cs="Times New Roman"/>
          <w:color w:val="000000"/>
          <w:sz w:val="24"/>
          <w:szCs w:val="24"/>
          <w:u w:val="single" w:color="000000"/>
        </w:rPr>
        <w:t>r unsubscribed energy must be determined by a revenue-grade meter installed and paid for by the project sponsor.</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4</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Exemption.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A project sponsor or subscriber is not considered a public utility or competitive electricity provider solely as a result of the project sponsor's or subscriber's interest or participation in a shared distributed generation resource.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5</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Renewable energy</w:t>
      </w:r>
      <w:r>
        <w:rPr>
          <w:rFonts w:ascii="Times New Roman" w:hAnsi="Times New Roman" w:cs="Times New Roman"/>
          <w:b/>
          <w:bCs/>
          <w:color w:val="000000"/>
          <w:sz w:val="28"/>
          <w:szCs w:val="28"/>
          <w:u w:val="single" w:color="000000"/>
        </w:rPr>
        <w:t xml:space="preserve"> credits.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Prior to a project sponsor's entering into a contract with a subscriber under this section, the commission shall provide to the sponsor a standard disclosure to be distributed by the sponsor to all participating subscribers that describes the</w:t>
      </w:r>
      <w:r>
        <w:rPr>
          <w:rFonts w:ascii="Times New Roman" w:hAnsi="Times New Roman" w:cs="Times New Roman"/>
          <w:color w:val="000000"/>
          <w:sz w:val="24"/>
          <w:szCs w:val="24"/>
          <w:u w:val="single" w:color="000000"/>
        </w:rPr>
        <w:t xml:space="preserve"> effect of selling the renewable attributes of exported electricity to the standard buyer and explains how a subscriber may participate in the voluntary renewable energy credit market. The commission shall establish a mechanism to allow a subscriber with a</w:t>
      </w:r>
      <w:r>
        <w:rPr>
          <w:rFonts w:ascii="Times New Roman" w:hAnsi="Times New Roman" w:cs="Times New Roman"/>
          <w:color w:val="000000"/>
          <w:sz w:val="24"/>
          <w:szCs w:val="24"/>
          <w:u w:val="single" w:color="000000"/>
        </w:rPr>
        <w:t xml:space="preserve"> share of less than 25 kilowatts to purchase renewable energy credits up to the amount of and of a substantially equivalent type to that which the subscriber has sold to the standard buyer at a price equal to 80% of market value.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lastRenderedPageBreak/>
        <w:t>6</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Consumer protection.</w:t>
      </w:r>
      <w:r>
        <w:rPr>
          <w:rFonts w:ascii="Times New Roman" w:hAnsi="Times New Roman" w:cs="Times New Roman"/>
          <w:b/>
          <w:bCs/>
          <w:color w:val="000000"/>
          <w:sz w:val="28"/>
          <w:szCs w:val="28"/>
          <w:u w:val="single" w:color="000000"/>
        </w:rPr>
        <w:t xml:space="preserve">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The commission shall establish by rule consumer protection standards to protect subscribers from fraud and other unfair and deceptive business practices. The commission may impose administrative penalties under chapter 15 upon a project sponsor and ma</w:t>
      </w:r>
      <w:r>
        <w:rPr>
          <w:rFonts w:ascii="Times New Roman" w:hAnsi="Times New Roman" w:cs="Times New Roman"/>
          <w:color w:val="000000"/>
          <w:sz w:val="24"/>
          <w:szCs w:val="24"/>
          <w:u w:val="single" w:color="000000"/>
        </w:rPr>
        <w:t>y order restitution for any party injured by a violation for which a penalty may be assessed pursuant to chapter 15.</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24"/>
          <w:szCs w:val="24"/>
          <w:u w:val="single" w:color="000000"/>
        </w:rPr>
        <w:t>The commission through its own counsel or through the Attorney General may apply to the Superior Court of any county of the State to enfo</w:t>
      </w:r>
      <w:r>
        <w:rPr>
          <w:rFonts w:ascii="Times New Roman" w:hAnsi="Times New Roman" w:cs="Times New Roman"/>
          <w:color w:val="000000"/>
          <w:sz w:val="24"/>
          <w:szCs w:val="24"/>
          <w:u w:val="single" w:color="000000"/>
        </w:rPr>
        <w:t>rce any lawful order made or action taken by the commission pursuant to this subsection, and the court may issue any preliminary or final order that the court determines proper.</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7</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Disclosures.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Prior to the sale or resale of a subscription in a shar</w:t>
      </w:r>
      <w:r>
        <w:rPr>
          <w:rFonts w:ascii="Times New Roman" w:hAnsi="Times New Roman" w:cs="Times New Roman"/>
          <w:color w:val="000000"/>
          <w:sz w:val="24"/>
          <w:szCs w:val="24"/>
          <w:u w:val="single" w:color="000000"/>
        </w:rPr>
        <w:t>ed distributed generation resource or proposed shared distributed generation resource, a project sponsor selling or reselling the subscription shall provide a disclosure to potential subscribers that includes the following:</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A good faith estimate of the annual kilowatt-hours to be delivered by the shared distributed generation resource based on the size of the subscriber's interest;</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A plain language explanation of the terms under which the bill credit under section 3487 will be calculated;</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C</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A plain language explanation of the contract provisions regulating the disposition or transfer of the subscription; and</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A plain languag</w:t>
      </w:r>
      <w:r>
        <w:rPr>
          <w:rFonts w:ascii="Times New Roman" w:hAnsi="Times New Roman" w:cs="Times New Roman"/>
          <w:color w:val="000000"/>
          <w:sz w:val="24"/>
          <w:szCs w:val="24"/>
          <w:u w:val="single" w:color="000000"/>
        </w:rPr>
        <w:t>e explanation of the costs and benefits to the potential subscriber, based on the subscriber's current usage for the term of the proposed contract.</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24"/>
          <w:szCs w:val="24"/>
          <w:u w:val="single" w:color="000000"/>
        </w:rPr>
        <w:t>The commission may establish a standard disclosure to be provided to potential subscribers by a project sp</w:t>
      </w:r>
      <w:r>
        <w:rPr>
          <w:rFonts w:ascii="Times New Roman" w:hAnsi="Times New Roman" w:cs="Times New Roman"/>
          <w:color w:val="000000"/>
          <w:sz w:val="24"/>
          <w:szCs w:val="24"/>
          <w:u w:val="single" w:color="000000"/>
        </w:rPr>
        <w:t>onsor to disclose the information under this subsection and other information as the commission determines necessary to protect the interests of potential subscribers.</w:t>
      </w:r>
    </w:p>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8</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Transfer of subscriptions.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 xml:space="preserve">A subscriber may transfer or assign a subscription </w:t>
      </w:r>
      <w:r>
        <w:rPr>
          <w:rFonts w:ascii="Times New Roman" w:hAnsi="Times New Roman" w:cs="Times New Roman"/>
          <w:color w:val="000000"/>
          <w:sz w:val="24"/>
          <w:szCs w:val="24"/>
          <w:u w:val="single" w:color="000000"/>
        </w:rPr>
        <w:t>to the associated project sponsor or to any person or entity that qualifies to be a subscriber in the shared distributed generation resource. A project sponsor must provide a process for assignment or transfer of a subscription. A project sponsor may not i</w:t>
      </w:r>
      <w:r>
        <w:rPr>
          <w:rFonts w:ascii="Times New Roman" w:hAnsi="Times New Roman" w:cs="Times New Roman"/>
          <w:color w:val="000000"/>
          <w:sz w:val="24"/>
          <w:szCs w:val="24"/>
          <w:u w:val="single" w:color="000000"/>
        </w:rPr>
        <w:t>mpose transfer fees on a subscriber that moves to a different location within the same utility service territory.</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9</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Project sponsor report.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One year after commercial operation of a shared distributed generation resource commences, the project sponsor must submit to the commission a report detailing compliance with this subsection and subsections 3, 5, 7 and 8.</w:t>
      </w:r>
    </w:p>
    <w:p w:rsidR="00000000" w:rsidRDefault="00F43CD8">
      <w:pPr>
        <w:autoSpaceDE w:val="0"/>
        <w:autoSpaceDN w:val="0"/>
        <w:adjustRightInd w:val="0"/>
        <w:spacing w:before="160"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u w:val="single" w:color="000000"/>
        </w:rPr>
        <w:t>§ 3487</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Bill credits; utility cos</w:t>
      </w:r>
      <w:r>
        <w:rPr>
          <w:rFonts w:ascii="Times New Roman" w:hAnsi="Times New Roman" w:cs="Times New Roman"/>
          <w:b/>
          <w:bCs/>
          <w:color w:val="000000"/>
          <w:sz w:val="28"/>
          <w:szCs w:val="28"/>
          <w:u w:val="single" w:color="000000"/>
        </w:rPr>
        <w:t>ts paid by project sponsor</w:t>
      </w:r>
    </w:p>
    <w:p w:rsidR="00000000" w:rsidRDefault="00F43CD8">
      <w:pPr>
        <w:autoSpaceDE w:val="0"/>
        <w:autoSpaceDN w:val="0"/>
        <w:adjustRightInd w:val="0"/>
        <w:spacing w:before="160"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1</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Credit assigned to a customer's bill.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If the value of a credit to be applied to a customer's bill under this chapter is less than the amount owed by the customer at the end of the applicable billing period, the customer</w:t>
      </w:r>
      <w:r>
        <w:rPr>
          <w:rFonts w:ascii="Times New Roman" w:hAnsi="Times New Roman" w:cs="Times New Roman"/>
          <w:color w:val="000000"/>
          <w:sz w:val="24"/>
          <w:szCs w:val="24"/>
          <w:u w:val="single" w:color="000000"/>
        </w:rPr>
        <w:t xml:space="preserve"> must be billed for the difference between the amount shown on </w:t>
      </w:r>
      <w:r>
        <w:rPr>
          <w:rFonts w:ascii="Times New Roman" w:hAnsi="Times New Roman" w:cs="Times New Roman"/>
          <w:color w:val="000000"/>
          <w:sz w:val="24"/>
          <w:szCs w:val="24"/>
          <w:u w:val="single" w:color="000000"/>
        </w:rPr>
        <w:lastRenderedPageBreak/>
        <w:t>the bill and the value of the available credit. If the value of the credit to be applied to a customer's bill under this chapter is greater than the amount owed by the customer at the end of th</w:t>
      </w:r>
      <w:r>
        <w:rPr>
          <w:rFonts w:ascii="Times New Roman" w:hAnsi="Times New Roman" w:cs="Times New Roman"/>
          <w:color w:val="000000"/>
          <w:sz w:val="24"/>
          <w:szCs w:val="24"/>
          <w:u w:val="single" w:color="000000"/>
        </w:rPr>
        <w:t>e billing period, the remaining value of the credit must carry over from month to month.</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4"/>
          <w:szCs w:val="24"/>
          <w:u w:val="single" w:color="000000"/>
        </w:rPr>
        <w:t>2</w:t>
      </w:r>
      <w:r>
        <w:rPr>
          <w:rFonts w:ascii="Times New Roman" w:hAnsi="Times New Roman" w:cs="Times New Roman"/>
          <w:b/>
          <w:bCs/>
          <w:color w:val="000000"/>
          <w:sz w:val="24"/>
          <w:szCs w:val="24"/>
        </w:rPr>
        <w:t>.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 xml:space="preserve">Utility costs paid by project sponsor. </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color="000000"/>
        </w:rPr>
        <w:t xml:space="preserve">If a project sponsor pays an investor-owned transmission and distribution utility's costs associated with billing and </w:t>
      </w:r>
      <w:r>
        <w:rPr>
          <w:rFonts w:ascii="Times New Roman" w:hAnsi="Times New Roman" w:cs="Times New Roman"/>
          <w:color w:val="000000"/>
          <w:sz w:val="24"/>
          <w:szCs w:val="24"/>
          <w:u w:val="single" w:color="000000"/>
        </w:rPr>
        <w:t>collection from a subscriber, at the request of the project sponsor the utility shall bill the subscriber on behalf of the project sponsor. Costs under this subsection are subject to review by the commission.</w:t>
      </w:r>
    </w:p>
    <w:p w:rsidR="00000000" w:rsidRDefault="00F43CD8">
      <w:pPr>
        <w:autoSpaceDE w:val="0"/>
        <w:autoSpaceDN w:val="0"/>
        <w:adjustRightInd w:val="0"/>
        <w:spacing w:before="160"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u w:val="single" w:color="000000"/>
        </w:rPr>
        <w:t>§ 3488</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u w:val="single" w:color="000000"/>
        </w:rPr>
        <w:t>Rules</w:t>
      </w:r>
    </w:p>
    <w:p w:rsidR="00000000" w:rsidRDefault="00F43CD8">
      <w:pPr>
        <w:autoSpaceDE w:val="0"/>
        <w:autoSpaceDN w:val="0"/>
        <w:adjustRightInd w:val="0"/>
        <w:spacing w:before="160" w:after="0" w:line="240" w:lineRule="auto"/>
        <w:ind w:firstLine="480"/>
        <w:jc w:val="both"/>
        <w:rPr>
          <w:rFonts w:ascii="Times New Roman" w:hAnsi="Times New Roman" w:cs="Times New Roman"/>
          <w:sz w:val="24"/>
          <w:szCs w:val="24"/>
        </w:rPr>
      </w:pPr>
      <w:r>
        <w:rPr>
          <w:rFonts w:ascii="Times New Roman" w:hAnsi="Times New Roman" w:cs="Times New Roman"/>
          <w:color w:val="000000"/>
          <w:sz w:val="24"/>
          <w:szCs w:val="24"/>
          <w:u w:val="single" w:color="000000"/>
        </w:rPr>
        <w:t xml:space="preserve">The commission shall adopt rules </w:t>
      </w:r>
      <w:r>
        <w:rPr>
          <w:rFonts w:ascii="Times New Roman" w:hAnsi="Times New Roman" w:cs="Times New Roman"/>
          <w:color w:val="000000"/>
          <w:sz w:val="24"/>
          <w:szCs w:val="24"/>
          <w:u w:val="single" w:color="000000"/>
        </w:rPr>
        <w:t>to implement this chapter. Rules adopted under this section are routine technical rules as defined in Title 5, chapter 375, subchapter 2-A.</w:t>
      </w:r>
    </w:p>
    <w:p w:rsidR="00000000" w:rsidRDefault="00F43CD8">
      <w:pPr>
        <w:autoSpaceDE w:val="0"/>
        <w:autoSpaceDN w:val="0"/>
        <w:adjustRightInd w:val="0"/>
        <w:spacing w:before="120"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8"/>
          <w:szCs w:val="28"/>
        </w:rPr>
        <w:t xml:space="preserve">Sec. B-2. Rulemaking timeline. </w:t>
      </w:r>
      <w:r>
        <w:rPr>
          <w:rFonts w:ascii="Times New Roman" w:hAnsi="Times New Roman" w:cs="Times New Roman"/>
          <w:color w:val="000000"/>
          <w:sz w:val="24"/>
          <w:szCs w:val="24"/>
        </w:rPr>
        <w:t>By January 1, 2020</w:t>
      </w:r>
      <w:r>
        <w:rPr>
          <w:rFonts w:ascii="Times New Roman" w:hAnsi="Times New Roman" w:cs="Times New Roman"/>
          <w:color w:val="000000"/>
          <w:sz w:val="24"/>
          <w:szCs w:val="24"/>
        </w:rPr>
        <w:t>, the Public Utilities Commission shall adopt rules in accordance with the Maine Revised Statutes, Title 35-A, section 3488 to implement the provisions of Title 35-A, sections 3484, 3485 and 3486.</w:t>
      </w:r>
    </w:p>
    <w:p w:rsidR="00000000" w:rsidRDefault="00F43CD8">
      <w:pPr>
        <w:autoSpaceDE w:val="0"/>
        <w:autoSpaceDN w:val="0"/>
        <w:adjustRightInd w:val="0"/>
        <w:spacing w:before="120" w:after="0" w:line="240" w:lineRule="auto"/>
        <w:ind w:firstLine="480"/>
        <w:jc w:val="both"/>
        <w:rPr>
          <w:rFonts w:ascii="Times New Roman" w:hAnsi="Times New Roman" w:cs="Times New Roman"/>
          <w:sz w:val="24"/>
          <w:szCs w:val="24"/>
        </w:rPr>
      </w:pPr>
      <w:r>
        <w:rPr>
          <w:rFonts w:ascii="Times New Roman" w:hAnsi="Times New Roman" w:cs="Times New Roman"/>
          <w:b/>
          <w:bCs/>
          <w:color w:val="000000"/>
          <w:sz w:val="28"/>
          <w:szCs w:val="28"/>
        </w:rPr>
        <w:t xml:space="preserve">Sec. B-3. Appropriations and allocations. </w:t>
      </w:r>
      <w:r>
        <w:rPr>
          <w:rFonts w:ascii="Times New Roman" w:hAnsi="Times New Roman" w:cs="Times New Roman"/>
          <w:color w:val="000000"/>
          <w:sz w:val="24"/>
          <w:szCs w:val="24"/>
        </w:rPr>
        <w:t>The following app</w:t>
      </w:r>
      <w:r>
        <w:rPr>
          <w:rFonts w:ascii="Times New Roman" w:hAnsi="Times New Roman" w:cs="Times New Roman"/>
          <w:color w:val="000000"/>
          <w:sz w:val="24"/>
          <w:szCs w:val="24"/>
        </w:rPr>
        <w:t>ropriations and allocations are made.</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PUBLIC UTILITIES COMMISSION</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Public Utilities - Administrative Division 0184</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Initiative: Provides allocation for one Staff Attorney position and 2 Utility Analyst positions and associated All Other costs.</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rPr>
          <w:rFonts w:ascii="Times New Roman" w:hAnsi="Times New Roman" w:cs="Times New Roman"/>
          <w:sz w:val="20"/>
          <w:szCs w:val="20"/>
        </w:rPr>
      </w:pPr>
    </w:p>
    <w:tbl>
      <w:tblPr>
        <w:tblW w:w="0" w:type="auto"/>
        <w:tblInd w:w="40" w:type="dxa"/>
        <w:tblLayout w:type="fixed"/>
        <w:tblCellMar>
          <w:left w:w="0" w:type="dxa"/>
          <w:right w:w="0" w:type="dxa"/>
        </w:tblCellMar>
        <w:tblLook w:val="0000" w:firstRow="0" w:lastRow="0" w:firstColumn="0" w:lastColumn="0" w:noHBand="0" w:noVBand="0"/>
      </w:tblPr>
      <w:tblGrid>
        <w:gridCol w:w="5069"/>
        <w:gridCol w:w="1469"/>
        <w:gridCol w:w="1469"/>
      </w:tblGrid>
      <w:tr w:rsidR="00000000">
        <w:tblPrEx>
          <w:tblCellMar>
            <w:top w:w="0" w:type="dxa"/>
            <w:left w:w="0" w:type="dxa"/>
            <w:bottom w:w="0" w:type="dxa"/>
            <w:right w:w="0" w:type="dxa"/>
          </w:tblCellMar>
        </w:tblPrEx>
        <w:tc>
          <w:tcPr>
            <w:tcW w:w="5069" w:type="dxa"/>
            <w:tcBorders>
              <w:top w:val="nil"/>
              <w:left w:val="nil"/>
              <w:bottom w:val="nil"/>
              <w:right w:val="nil"/>
            </w:tcBorders>
          </w:tcPr>
          <w:p w:rsidR="00000000" w:rsidRDefault="00F43CD8">
            <w:pPr>
              <w:autoSpaceDE w:val="0"/>
              <w:autoSpaceDN w:val="0"/>
              <w:adjustRightInd w:val="0"/>
              <w:spacing w:before="40" w:after="0" w:line="240" w:lineRule="auto"/>
              <w:rPr>
                <w:rFonts w:ascii="Times New Roman" w:hAnsi="Times New Roman" w:cs="Times New Roman"/>
                <w:sz w:val="20"/>
                <w:szCs w:val="20"/>
              </w:rPr>
            </w:pPr>
            <w:r>
              <w:rPr>
                <w:rFonts w:ascii="Times New Roman" w:hAnsi="Times New Roman" w:cs="Times New Roman"/>
                <w:b/>
                <w:bCs/>
                <w:color w:val="000000"/>
                <w:sz w:val="20"/>
                <w:szCs w:val="20"/>
              </w:rPr>
              <w:t>OTHER SPECIAL REVENUE FUNDS</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0"/>
                <w:szCs w:val="20"/>
              </w:rPr>
            </w:pPr>
            <w:r>
              <w:rPr>
                <w:rFonts w:ascii="Times New Roman" w:hAnsi="Times New Roman" w:cs="Times New Roman"/>
                <w:b/>
                <w:bCs/>
                <w:color w:val="000000"/>
                <w:sz w:val="20"/>
                <w:szCs w:val="20"/>
              </w:rPr>
              <w:t>2019-20</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0"/>
                <w:szCs w:val="20"/>
              </w:rPr>
            </w:pPr>
            <w:r>
              <w:rPr>
                <w:rFonts w:ascii="Times New Roman" w:hAnsi="Times New Roman" w:cs="Times New Roman"/>
                <w:b/>
                <w:bCs/>
                <w:color w:val="000000"/>
                <w:sz w:val="20"/>
                <w:szCs w:val="20"/>
              </w:rPr>
              <w:t>2020-21</w:t>
            </w:r>
          </w:p>
        </w:tc>
      </w:tr>
      <w:tr w:rsidR="00000000">
        <w:tblPrEx>
          <w:tblCellMar>
            <w:top w:w="0" w:type="dxa"/>
            <w:left w:w="0" w:type="dxa"/>
            <w:bottom w:w="0" w:type="dxa"/>
            <w:right w:w="0" w:type="dxa"/>
          </w:tblCellMar>
        </w:tblPrEx>
        <w:tc>
          <w:tcPr>
            <w:tcW w:w="5069" w:type="dxa"/>
            <w:tcBorders>
              <w:top w:val="nil"/>
              <w:left w:val="nil"/>
              <w:bottom w:val="nil"/>
              <w:right w:val="nil"/>
            </w:tcBorders>
          </w:tcPr>
          <w:p w:rsidR="00000000" w:rsidRDefault="00F43CD8">
            <w:pPr>
              <w:autoSpaceDE w:val="0"/>
              <w:autoSpaceDN w:val="0"/>
              <w:adjustRightInd w:val="0"/>
              <w:spacing w:before="40" w:after="0" w:line="240" w:lineRule="auto"/>
              <w:ind w:left="200"/>
              <w:rPr>
                <w:rFonts w:ascii="Times New Roman" w:hAnsi="Times New Roman" w:cs="Times New Roman"/>
                <w:sz w:val="20"/>
                <w:szCs w:val="20"/>
              </w:rPr>
            </w:pPr>
            <w:r>
              <w:rPr>
                <w:rFonts w:ascii="Times New Roman" w:hAnsi="Times New Roman" w:cs="Times New Roman"/>
                <w:color w:val="000000"/>
                <w:sz w:val="20"/>
                <w:szCs w:val="20"/>
              </w:rPr>
              <w:t>POSITIONS - LEGISLATIVE COUNT</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0"/>
                <w:szCs w:val="20"/>
              </w:rPr>
            </w:pPr>
            <w:r>
              <w:rPr>
                <w:rFonts w:ascii="Times New Roman" w:hAnsi="Times New Roman" w:cs="Times New Roman"/>
                <w:color w:val="000000"/>
                <w:sz w:val="20"/>
                <w:szCs w:val="20"/>
              </w:rPr>
              <w:t>3.000</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0"/>
                <w:szCs w:val="20"/>
              </w:rPr>
            </w:pPr>
            <w:r>
              <w:rPr>
                <w:rFonts w:ascii="Times New Roman" w:hAnsi="Times New Roman" w:cs="Times New Roman"/>
                <w:color w:val="000000"/>
                <w:sz w:val="20"/>
                <w:szCs w:val="20"/>
              </w:rPr>
              <w:t>3.000</w:t>
            </w:r>
          </w:p>
        </w:tc>
      </w:tr>
      <w:tr w:rsidR="00000000">
        <w:tblPrEx>
          <w:tblCellMar>
            <w:top w:w="0" w:type="dxa"/>
            <w:left w:w="0" w:type="dxa"/>
            <w:bottom w:w="0" w:type="dxa"/>
            <w:right w:w="0" w:type="dxa"/>
          </w:tblCellMar>
        </w:tblPrEx>
        <w:tc>
          <w:tcPr>
            <w:tcW w:w="5069" w:type="dxa"/>
            <w:tcBorders>
              <w:top w:val="nil"/>
              <w:left w:val="nil"/>
              <w:bottom w:val="nil"/>
              <w:right w:val="nil"/>
            </w:tcBorders>
          </w:tcPr>
          <w:p w:rsidR="00000000" w:rsidRDefault="00F43CD8">
            <w:pPr>
              <w:autoSpaceDE w:val="0"/>
              <w:autoSpaceDN w:val="0"/>
              <w:adjustRightInd w:val="0"/>
              <w:spacing w:before="40" w:after="0" w:line="240" w:lineRule="auto"/>
              <w:ind w:left="200"/>
              <w:rPr>
                <w:rFonts w:ascii="Times New Roman" w:hAnsi="Times New Roman" w:cs="Times New Roman"/>
                <w:sz w:val="20"/>
                <w:szCs w:val="20"/>
              </w:rPr>
            </w:pPr>
            <w:r>
              <w:rPr>
                <w:rFonts w:ascii="Times New Roman" w:hAnsi="Times New Roman" w:cs="Times New Roman"/>
                <w:color w:val="000000"/>
                <w:sz w:val="20"/>
                <w:szCs w:val="20"/>
              </w:rPr>
              <w:t>Personal Services</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0"/>
                <w:szCs w:val="20"/>
              </w:rPr>
            </w:pPr>
            <w:r>
              <w:rPr>
                <w:rFonts w:ascii="Times New Roman" w:hAnsi="Times New Roman" w:cs="Times New Roman"/>
                <w:color w:val="000000"/>
                <w:sz w:val="20"/>
                <w:szCs w:val="20"/>
              </w:rPr>
              <w:t>$309,168</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0"/>
                <w:szCs w:val="20"/>
              </w:rPr>
            </w:pPr>
            <w:r>
              <w:rPr>
                <w:rFonts w:ascii="Times New Roman" w:hAnsi="Times New Roman" w:cs="Times New Roman"/>
                <w:color w:val="000000"/>
                <w:sz w:val="20"/>
                <w:szCs w:val="20"/>
              </w:rPr>
              <w:t>$428,719</w:t>
            </w:r>
          </w:p>
        </w:tc>
      </w:tr>
      <w:tr w:rsidR="00000000">
        <w:tblPrEx>
          <w:tblCellMar>
            <w:top w:w="0" w:type="dxa"/>
            <w:left w:w="0" w:type="dxa"/>
            <w:bottom w:w="0" w:type="dxa"/>
            <w:right w:w="0" w:type="dxa"/>
          </w:tblCellMar>
        </w:tblPrEx>
        <w:tc>
          <w:tcPr>
            <w:tcW w:w="5069" w:type="dxa"/>
            <w:tcBorders>
              <w:top w:val="nil"/>
              <w:left w:val="nil"/>
              <w:bottom w:val="nil"/>
              <w:right w:val="nil"/>
            </w:tcBorders>
          </w:tcPr>
          <w:p w:rsidR="00000000" w:rsidRDefault="00F43CD8">
            <w:pPr>
              <w:autoSpaceDE w:val="0"/>
              <w:autoSpaceDN w:val="0"/>
              <w:adjustRightInd w:val="0"/>
              <w:spacing w:before="40" w:after="0" w:line="240" w:lineRule="auto"/>
              <w:ind w:left="200"/>
              <w:rPr>
                <w:rFonts w:ascii="Times New Roman" w:hAnsi="Times New Roman" w:cs="Times New Roman"/>
                <w:sz w:val="20"/>
                <w:szCs w:val="20"/>
              </w:rPr>
            </w:pPr>
            <w:r>
              <w:rPr>
                <w:rFonts w:ascii="Times New Roman" w:hAnsi="Times New Roman" w:cs="Times New Roman"/>
                <w:color w:val="000000"/>
                <w:sz w:val="20"/>
                <w:szCs w:val="20"/>
              </w:rPr>
              <w:t>All Other</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0"/>
                <w:szCs w:val="20"/>
              </w:rPr>
            </w:pPr>
            <w:r>
              <w:rPr>
                <w:rFonts w:ascii="Times New Roman" w:hAnsi="Times New Roman" w:cs="Times New Roman"/>
                <w:color w:val="000000"/>
                <w:sz w:val="20"/>
                <w:szCs w:val="20"/>
              </w:rPr>
              <w:t>$25,815</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0"/>
                <w:szCs w:val="20"/>
              </w:rPr>
            </w:pPr>
            <w:r>
              <w:rPr>
                <w:rFonts w:ascii="Times New Roman" w:hAnsi="Times New Roman" w:cs="Times New Roman"/>
                <w:color w:val="000000"/>
                <w:sz w:val="20"/>
                <w:szCs w:val="20"/>
              </w:rPr>
              <w:t>$22,939</w:t>
            </w:r>
          </w:p>
        </w:tc>
      </w:tr>
      <w:tr w:rsidR="00000000">
        <w:tblPrEx>
          <w:tblCellMar>
            <w:top w:w="0" w:type="dxa"/>
            <w:left w:w="0" w:type="dxa"/>
            <w:bottom w:w="0" w:type="dxa"/>
            <w:right w:w="0" w:type="dxa"/>
          </w:tblCellMar>
        </w:tblPrEx>
        <w:tc>
          <w:tcPr>
            <w:tcW w:w="5069" w:type="dxa"/>
            <w:tcBorders>
              <w:top w:val="nil"/>
              <w:left w:val="nil"/>
              <w:bottom w:val="nil"/>
              <w:right w:val="nil"/>
            </w:tcBorders>
          </w:tcPr>
          <w:p w:rsidR="00000000" w:rsidRDefault="00F43CD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4"/>
                <w:szCs w:val="24"/>
              </w:rPr>
            </w:pPr>
            <w:r>
              <w:rPr>
                <w:rFonts w:ascii="Times New Roman" w:hAnsi="Times New Roman" w:cs="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pt;height:.5pt">
                  <v:imagedata r:id="rId6" o:title=""/>
                </v:shape>
              </w:pic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4"/>
                <w:szCs w:val="24"/>
              </w:rPr>
            </w:pPr>
            <w:r>
              <w:rPr>
                <w:rFonts w:ascii="Times New Roman" w:hAnsi="Times New Roman" w:cs="Times New Roman"/>
                <w:color w:val="000000"/>
                <w:sz w:val="20"/>
                <w:szCs w:val="20"/>
              </w:rPr>
              <w:pict>
                <v:shape id="_x0000_i1026" type="#_x0000_t75" style="width:43.3pt;height:.5pt">
                  <v:imagedata r:id="rId6" o:title=""/>
                </v:shape>
              </w:pict>
            </w:r>
          </w:p>
        </w:tc>
      </w:tr>
      <w:tr w:rsidR="00000000">
        <w:tblPrEx>
          <w:tblCellMar>
            <w:top w:w="0" w:type="dxa"/>
            <w:left w:w="0" w:type="dxa"/>
            <w:bottom w:w="0" w:type="dxa"/>
            <w:right w:w="0" w:type="dxa"/>
          </w:tblCellMar>
        </w:tblPrEx>
        <w:tc>
          <w:tcPr>
            <w:tcW w:w="5069" w:type="dxa"/>
            <w:tcBorders>
              <w:top w:val="nil"/>
              <w:left w:val="nil"/>
              <w:bottom w:val="nil"/>
              <w:right w:val="nil"/>
            </w:tcBorders>
          </w:tcPr>
          <w:p w:rsidR="00000000" w:rsidRDefault="00F43CD8">
            <w:pPr>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color w:val="000000"/>
                <w:sz w:val="20"/>
                <w:szCs w:val="20"/>
              </w:rPr>
              <w:t>OTHER SPECIAL REVENUE FUNDS TOTAL</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4"/>
                <w:szCs w:val="24"/>
              </w:rPr>
            </w:pPr>
            <w:r>
              <w:rPr>
                <w:rFonts w:ascii="Times New Roman" w:hAnsi="Times New Roman" w:cs="Times New Roman"/>
                <w:color w:val="000000"/>
                <w:sz w:val="20"/>
                <w:szCs w:val="20"/>
              </w:rPr>
              <w:t>$334,983</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4"/>
                <w:szCs w:val="24"/>
              </w:rPr>
            </w:pPr>
            <w:r>
              <w:rPr>
                <w:rFonts w:ascii="Times New Roman" w:hAnsi="Times New Roman" w:cs="Times New Roman"/>
                <w:color w:val="000000"/>
                <w:sz w:val="20"/>
                <w:szCs w:val="20"/>
              </w:rPr>
              <w:t>$451,658</w:t>
            </w:r>
          </w:p>
        </w:tc>
      </w:tr>
    </w:tbl>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Public Utilities - Administrative Division 0184</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Initiative: Provides funding for consulting services.</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rPr>
          <w:rFonts w:ascii="Times New Roman" w:hAnsi="Times New Roman" w:cs="Times New Roman"/>
          <w:sz w:val="20"/>
          <w:szCs w:val="20"/>
        </w:rPr>
      </w:pPr>
    </w:p>
    <w:tbl>
      <w:tblPr>
        <w:tblW w:w="0" w:type="auto"/>
        <w:tblInd w:w="40" w:type="dxa"/>
        <w:tblLayout w:type="fixed"/>
        <w:tblCellMar>
          <w:left w:w="0" w:type="dxa"/>
          <w:right w:w="0" w:type="dxa"/>
        </w:tblCellMar>
        <w:tblLook w:val="0000" w:firstRow="0" w:lastRow="0" w:firstColumn="0" w:lastColumn="0" w:noHBand="0" w:noVBand="0"/>
      </w:tblPr>
      <w:tblGrid>
        <w:gridCol w:w="5069"/>
        <w:gridCol w:w="1469"/>
        <w:gridCol w:w="1469"/>
      </w:tblGrid>
      <w:tr w:rsidR="00000000">
        <w:tblPrEx>
          <w:tblCellMar>
            <w:top w:w="0" w:type="dxa"/>
            <w:left w:w="0" w:type="dxa"/>
            <w:bottom w:w="0" w:type="dxa"/>
            <w:right w:w="0" w:type="dxa"/>
          </w:tblCellMar>
        </w:tblPrEx>
        <w:tc>
          <w:tcPr>
            <w:tcW w:w="5069" w:type="dxa"/>
            <w:tcBorders>
              <w:top w:val="nil"/>
              <w:left w:val="nil"/>
              <w:bottom w:val="nil"/>
              <w:right w:val="nil"/>
            </w:tcBorders>
          </w:tcPr>
          <w:p w:rsidR="00000000" w:rsidRDefault="00F43CD8">
            <w:pPr>
              <w:autoSpaceDE w:val="0"/>
              <w:autoSpaceDN w:val="0"/>
              <w:adjustRightInd w:val="0"/>
              <w:spacing w:before="40" w:after="0" w:line="240" w:lineRule="auto"/>
              <w:rPr>
                <w:rFonts w:ascii="Times New Roman" w:hAnsi="Times New Roman" w:cs="Times New Roman"/>
                <w:sz w:val="20"/>
                <w:szCs w:val="20"/>
              </w:rPr>
            </w:pPr>
            <w:r>
              <w:rPr>
                <w:rFonts w:ascii="Times New Roman" w:hAnsi="Times New Roman" w:cs="Times New Roman"/>
                <w:b/>
                <w:bCs/>
                <w:color w:val="000000"/>
                <w:sz w:val="20"/>
                <w:szCs w:val="20"/>
              </w:rPr>
              <w:t>OTHER SPECIAL REVENUE FUNDS</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0"/>
                <w:szCs w:val="20"/>
              </w:rPr>
            </w:pPr>
            <w:r>
              <w:rPr>
                <w:rFonts w:ascii="Times New Roman" w:hAnsi="Times New Roman" w:cs="Times New Roman"/>
                <w:b/>
                <w:bCs/>
                <w:color w:val="000000"/>
                <w:sz w:val="20"/>
                <w:szCs w:val="20"/>
              </w:rPr>
              <w:t>2019-20</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0"/>
                <w:szCs w:val="20"/>
              </w:rPr>
            </w:pPr>
            <w:r>
              <w:rPr>
                <w:rFonts w:ascii="Times New Roman" w:hAnsi="Times New Roman" w:cs="Times New Roman"/>
                <w:b/>
                <w:bCs/>
                <w:color w:val="000000"/>
                <w:sz w:val="20"/>
                <w:szCs w:val="20"/>
              </w:rPr>
              <w:t>2020-21</w:t>
            </w:r>
          </w:p>
        </w:tc>
      </w:tr>
      <w:tr w:rsidR="00000000">
        <w:tblPrEx>
          <w:tblCellMar>
            <w:top w:w="0" w:type="dxa"/>
            <w:left w:w="0" w:type="dxa"/>
            <w:bottom w:w="0" w:type="dxa"/>
            <w:right w:w="0" w:type="dxa"/>
          </w:tblCellMar>
        </w:tblPrEx>
        <w:tc>
          <w:tcPr>
            <w:tcW w:w="5069" w:type="dxa"/>
            <w:tcBorders>
              <w:top w:val="nil"/>
              <w:left w:val="nil"/>
              <w:bottom w:val="nil"/>
              <w:right w:val="nil"/>
            </w:tcBorders>
          </w:tcPr>
          <w:p w:rsidR="00000000" w:rsidRDefault="00F43CD8">
            <w:pPr>
              <w:autoSpaceDE w:val="0"/>
              <w:autoSpaceDN w:val="0"/>
              <w:adjustRightInd w:val="0"/>
              <w:spacing w:before="40" w:after="0" w:line="240" w:lineRule="auto"/>
              <w:ind w:left="200"/>
              <w:rPr>
                <w:rFonts w:ascii="Times New Roman" w:hAnsi="Times New Roman" w:cs="Times New Roman"/>
                <w:sz w:val="20"/>
                <w:szCs w:val="20"/>
              </w:rPr>
            </w:pPr>
            <w:r>
              <w:rPr>
                <w:rFonts w:ascii="Times New Roman" w:hAnsi="Times New Roman" w:cs="Times New Roman"/>
                <w:color w:val="000000"/>
                <w:sz w:val="20"/>
                <w:szCs w:val="20"/>
              </w:rPr>
              <w:t>All Other</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0"/>
                <w:szCs w:val="20"/>
              </w:rPr>
            </w:pPr>
            <w:r>
              <w:rPr>
                <w:rFonts w:ascii="Times New Roman" w:hAnsi="Times New Roman" w:cs="Times New Roman"/>
                <w:color w:val="000000"/>
                <w:sz w:val="20"/>
                <w:szCs w:val="20"/>
              </w:rPr>
              <w:t>$400,000</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0"/>
                <w:szCs w:val="20"/>
              </w:rPr>
            </w:pPr>
            <w:r>
              <w:rPr>
                <w:rFonts w:ascii="Times New Roman" w:hAnsi="Times New Roman" w:cs="Times New Roman"/>
                <w:color w:val="000000"/>
                <w:sz w:val="20"/>
                <w:szCs w:val="20"/>
              </w:rPr>
              <w:t>$400,000</w:t>
            </w:r>
          </w:p>
        </w:tc>
      </w:tr>
      <w:tr w:rsidR="00000000">
        <w:tblPrEx>
          <w:tblCellMar>
            <w:top w:w="0" w:type="dxa"/>
            <w:left w:w="0" w:type="dxa"/>
            <w:bottom w:w="0" w:type="dxa"/>
            <w:right w:w="0" w:type="dxa"/>
          </w:tblCellMar>
        </w:tblPrEx>
        <w:tc>
          <w:tcPr>
            <w:tcW w:w="5069" w:type="dxa"/>
            <w:tcBorders>
              <w:top w:val="nil"/>
              <w:left w:val="nil"/>
              <w:bottom w:val="nil"/>
              <w:right w:val="nil"/>
            </w:tcBorders>
          </w:tcPr>
          <w:p w:rsidR="00000000" w:rsidRDefault="00F43CD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4"/>
                <w:szCs w:val="24"/>
              </w:rPr>
            </w:pPr>
            <w:r>
              <w:rPr>
                <w:rFonts w:ascii="Times New Roman" w:hAnsi="Times New Roman" w:cs="Times New Roman"/>
                <w:color w:val="000000"/>
                <w:sz w:val="20"/>
                <w:szCs w:val="20"/>
              </w:rPr>
              <w:pict>
                <v:shape id="_x0000_i1027" type="#_x0000_t75" style="width:43.3pt;height:.5pt">
                  <v:imagedata r:id="rId6" o:title=""/>
                </v:shape>
              </w:pic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4"/>
                <w:szCs w:val="24"/>
              </w:rPr>
            </w:pPr>
            <w:r>
              <w:rPr>
                <w:rFonts w:ascii="Times New Roman" w:hAnsi="Times New Roman" w:cs="Times New Roman"/>
                <w:color w:val="000000"/>
                <w:sz w:val="20"/>
                <w:szCs w:val="20"/>
              </w:rPr>
              <w:pict>
                <v:shape id="_x0000_i1028" type="#_x0000_t75" style="width:43.3pt;height:.5pt">
                  <v:imagedata r:id="rId6" o:title=""/>
                </v:shape>
              </w:pict>
            </w:r>
          </w:p>
        </w:tc>
      </w:tr>
      <w:tr w:rsidR="00000000">
        <w:tblPrEx>
          <w:tblCellMar>
            <w:top w:w="0" w:type="dxa"/>
            <w:left w:w="0" w:type="dxa"/>
            <w:bottom w:w="0" w:type="dxa"/>
            <w:right w:w="0" w:type="dxa"/>
          </w:tblCellMar>
        </w:tblPrEx>
        <w:tc>
          <w:tcPr>
            <w:tcW w:w="5069" w:type="dxa"/>
            <w:tcBorders>
              <w:top w:val="nil"/>
              <w:left w:val="nil"/>
              <w:bottom w:val="nil"/>
              <w:right w:val="nil"/>
            </w:tcBorders>
          </w:tcPr>
          <w:p w:rsidR="00000000" w:rsidRDefault="00F43CD8">
            <w:pPr>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color w:val="000000"/>
                <w:sz w:val="20"/>
                <w:szCs w:val="20"/>
              </w:rPr>
              <w:t>OTHER SPECIAL REVENUE FUNDS TOTAL</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4"/>
                <w:szCs w:val="24"/>
              </w:rPr>
            </w:pPr>
            <w:r>
              <w:rPr>
                <w:rFonts w:ascii="Times New Roman" w:hAnsi="Times New Roman" w:cs="Times New Roman"/>
                <w:color w:val="000000"/>
                <w:sz w:val="20"/>
                <w:szCs w:val="20"/>
              </w:rPr>
              <w:t>$400,000</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4"/>
                <w:szCs w:val="24"/>
              </w:rPr>
            </w:pPr>
            <w:r>
              <w:rPr>
                <w:rFonts w:ascii="Times New Roman" w:hAnsi="Times New Roman" w:cs="Times New Roman"/>
                <w:color w:val="000000"/>
                <w:sz w:val="20"/>
                <w:szCs w:val="20"/>
              </w:rPr>
              <w:t>$400,000</w:t>
            </w:r>
          </w:p>
        </w:tc>
      </w:tr>
    </w:tbl>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w:t>
      </w:r>
    </w:p>
    <w:p w:rsidR="00000000" w:rsidRDefault="00F43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after="0" w:line="240" w:lineRule="auto"/>
        <w:rPr>
          <w:rFonts w:ascii="Times New Roman" w:hAnsi="Times New Roman" w:cs="Times New Roman"/>
          <w:sz w:val="20"/>
          <w:szCs w:val="20"/>
        </w:rPr>
      </w:pPr>
    </w:p>
    <w:tbl>
      <w:tblPr>
        <w:tblW w:w="0" w:type="auto"/>
        <w:tblInd w:w="40" w:type="dxa"/>
        <w:tblLayout w:type="fixed"/>
        <w:tblCellMar>
          <w:left w:w="0" w:type="dxa"/>
          <w:right w:w="0" w:type="dxa"/>
        </w:tblCellMar>
        <w:tblLook w:val="0000" w:firstRow="0" w:lastRow="0" w:firstColumn="0" w:lastColumn="0" w:noHBand="0" w:noVBand="0"/>
      </w:tblPr>
      <w:tblGrid>
        <w:gridCol w:w="5069"/>
        <w:gridCol w:w="1469"/>
        <w:gridCol w:w="1469"/>
      </w:tblGrid>
      <w:tr w:rsidR="00000000">
        <w:tblPrEx>
          <w:tblCellMar>
            <w:top w:w="0" w:type="dxa"/>
            <w:left w:w="0" w:type="dxa"/>
            <w:bottom w:w="0" w:type="dxa"/>
            <w:right w:w="0" w:type="dxa"/>
          </w:tblCellMar>
        </w:tblPrEx>
        <w:tc>
          <w:tcPr>
            <w:tcW w:w="5069" w:type="dxa"/>
            <w:tcBorders>
              <w:top w:val="nil"/>
              <w:left w:val="nil"/>
              <w:bottom w:val="nil"/>
              <w:right w:val="nil"/>
            </w:tcBorders>
          </w:tcPr>
          <w:p w:rsidR="00000000" w:rsidRDefault="00F43CD8">
            <w:pPr>
              <w:autoSpaceDE w:val="0"/>
              <w:autoSpaceDN w:val="0"/>
              <w:adjustRightInd w:val="0"/>
              <w:spacing w:before="40" w:after="0" w:line="240" w:lineRule="auto"/>
              <w:rPr>
                <w:rFonts w:ascii="Times New Roman" w:hAnsi="Times New Roman" w:cs="Times New Roman"/>
                <w:sz w:val="20"/>
                <w:szCs w:val="20"/>
              </w:rPr>
            </w:pPr>
            <w:r>
              <w:rPr>
                <w:rFonts w:ascii="Times New Roman" w:hAnsi="Times New Roman" w:cs="Times New Roman"/>
                <w:b/>
                <w:bCs/>
                <w:color w:val="000000"/>
                <w:sz w:val="20"/>
                <w:szCs w:val="20"/>
              </w:rPr>
              <w:t>PUBLIC UTILITIES COMMISSION</w:t>
            </w:r>
          </w:p>
        </w:tc>
        <w:tc>
          <w:tcPr>
            <w:tcW w:w="1469" w:type="dxa"/>
            <w:tcBorders>
              <w:top w:val="nil"/>
              <w:left w:val="nil"/>
              <w:bottom w:val="nil"/>
              <w:right w:val="nil"/>
            </w:tcBorders>
          </w:tcPr>
          <w:p w:rsidR="00000000" w:rsidRDefault="00F43CD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left w:val="nil"/>
              <w:bottom w:val="nil"/>
              <w:right w:val="nil"/>
            </w:tcBorders>
          </w:tcPr>
          <w:p w:rsidR="00000000" w:rsidRDefault="00F43CD8">
            <w:pPr>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5069" w:type="dxa"/>
            <w:tcBorders>
              <w:top w:val="nil"/>
              <w:left w:val="nil"/>
              <w:bottom w:val="nil"/>
              <w:right w:val="nil"/>
            </w:tcBorders>
          </w:tcPr>
          <w:p w:rsidR="00000000" w:rsidRDefault="00F43CD8">
            <w:pPr>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b/>
                <w:bCs/>
                <w:color w:val="000000"/>
                <w:sz w:val="20"/>
                <w:szCs w:val="20"/>
              </w:rPr>
              <w:lastRenderedPageBreak/>
              <w:t>DEPARTMENT TOTALS</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4"/>
                <w:szCs w:val="24"/>
              </w:rPr>
            </w:pPr>
            <w:r>
              <w:rPr>
                <w:rFonts w:ascii="Times New Roman" w:hAnsi="Times New Roman" w:cs="Times New Roman"/>
                <w:b/>
                <w:bCs/>
                <w:color w:val="000000"/>
                <w:sz w:val="20"/>
                <w:szCs w:val="20"/>
              </w:rPr>
              <w:t>2019-20</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4"/>
                <w:szCs w:val="24"/>
              </w:rPr>
            </w:pPr>
            <w:r>
              <w:rPr>
                <w:rFonts w:ascii="Times New Roman" w:hAnsi="Times New Roman" w:cs="Times New Roman"/>
                <w:b/>
                <w:bCs/>
                <w:color w:val="000000"/>
                <w:sz w:val="20"/>
                <w:szCs w:val="20"/>
              </w:rPr>
              <w:t>2020-21</w:t>
            </w:r>
          </w:p>
        </w:tc>
      </w:tr>
      <w:tr w:rsidR="00000000">
        <w:tblPrEx>
          <w:tblCellMar>
            <w:top w:w="0" w:type="dxa"/>
            <w:left w:w="0" w:type="dxa"/>
            <w:bottom w:w="0" w:type="dxa"/>
            <w:right w:w="0" w:type="dxa"/>
          </w:tblCellMar>
        </w:tblPrEx>
        <w:tc>
          <w:tcPr>
            <w:tcW w:w="5069" w:type="dxa"/>
            <w:tcBorders>
              <w:top w:val="nil"/>
              <w:left w:val="nil"/>
              <w:bottom w:val="nil"/>
              <w:right w:val="nil"/>
            </w:tcBorders>
          </w:tcPr>
          <w:p w:rsidR="00000000" w:rsidRDefault="00F43CD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left w:val="nil"/>
              <w:bottom w:val="nil"/>
              <w:right w:val="nil"/>
            </w:tcBorders>
          </w:tcPr>
          <w:p w:rsidR="00000000" w:rsidRDefault="00F43CD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left w:val="nil"/>
              <w:bottom w:val="nil"/>
              <w:right w:val="nil"/>
            </w:tcBorders>
          </w:tcPr>
          <w:p w:rsidR="00000000" w:rsidRDefault="00F43CD8">
            <w:pPr>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5069" w:type="dxa"/>
            <w:tcBorders>
              <w:top w:val="nil"/>
              <w:left w:val="nil"/>
              <w:bottom w:val="nil"/>
              <w:right w:val="nil"/>
            </w:tcBorders>
          </w:tcPr>
          <w:p w:rsidR="00000000" w:rsidRDefault="00F43CD8">
            <w:pPr>
              <w:autoSpaceDE w:val="0"/>
              <w:autoSpaceDN w:val="0"/>
              <w:adjustRightInd w:val="0"/>
              <w:spacing w:before="40"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OTHER SPECIAL REVENUE FUNDS</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4"/>
                <w:szCs w:val="24"/>
              </w:rPr>
            </w:pPr>
            <w:r>
              <w:rPr>
                <w:rFonts w:ascii="Times New Roman" w:hAnsi="Times New Roman" w:cs="Times New Roman"/>
                <w:b/>
                <w:bCs/>
                <w:color w:val="000000"/>
                <w:sz w:val="20"/>
                <w:szCs w:val="20"/>
              </w:rPr>
              <w:t>$734,983</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4"/>
                <w:szCs w:val="24"/>
              </w:rPr>
            </w:pPr>
            <w:r>
              <w:rPr>
                <w:rFonts w:ascii="Times New Roman" w:hAnsi="Times New Roman" w:cs="Times New Roman"/>
                <w:b/>
                <w:bCs/>
                <w:color w:val="000000"/>
                <w:sz w:val="20"/>
                <w:szCs w:val="20"/>
              </w:rPr>
              <w:t>$851,658</w:t>
            </w:r>
          </w:p>
        </w:tc>
      </w:tr>
      <w:tr w:rsidR="00000000">
        <w:tblPrEx>
          <w:tblCellMar>
            <w:top w:w="0" w:type="dxa"/>
            <w:left w:w="0" w:type="dxa"/>
            <w:bottom w:w="0" w:type="dxa"/>
            <w:right w:w="0" w:type="dxa"/>
          </w:tblCellMar>
        </w:tblPrEx>
        <w:tc>
          <w:tcPr>
            <w:tcW w:w="5069" w:type="dxa"/>
            <w:tcBorders>
              <w:top w:val="nil"/>
              <w:left w:val="nil"/>
              <w:bottom w:val="nil"/>
              <w:right w:val="nil"/>
            </w:tcBorders>
          </w:tcPr>
          <w:p w:rsidR="00000000" w:rsidRDefault="00F43CD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4"/>
                <w:szCs w:val="24"/>
              </w:rPr>
            </w:pPr>
            <w:r>
              <w:rPr>
                <w:rFonts w:ascii="Times New Roman" w:hAnsi="Times New Roman" w:cs="Times New Roman"/>
                <w:color w:val="000000"/>
                <w:sz w:val="20"/>
                <w:szCs w:val="20"/>
              </w:rPr>
              <w:pict>
                <v:shape id="_x0000_i1029" type="#_x0000_t75" style="width:43.3pt;height:.5pt">
                  <v:imagedata r:id="rId6" o:title=""/>
                </v:shape>
              </w:pic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4"/>
                <w:szCs w:val="24"/>
              </w:rPr>
            </w:pPr>
            <w:r>
              <w:rPr>
                <w:rFonts w:ascii="Times New Roman" w:hAnsi="Times New Roman" w:cs="Times New Roman"/>
                <w:color w:val="000000"/>
                <w:sz w:val="20"/>
                <w:szCs w:val="20"/>
              </w:rPr>
              <w:pict>
                <v:shape id="_x0000_i1030" type="#_x0000_t75" style="width:43.3pt;height:.5pt">
                  <v:imagedata r:id="rId6" o:title=""/>
                </v:shape>
              </w:pict>
            </w:r>
          </w:p>
        </w:tc>
      </w:tr>
      <w:tr w:rsidR="00000000">
        <w:tblPrEx>
          <w:tblCellMar>
            <w:top w:w="0" w:type="dxa"/>
            <w:left w:w="0" w:type="dxa"/>
            <w:bottom w:w="0" w:type="dxa"/>
            <w:right w:w="0" w:type="dxa"/>
          </w:tblCellMar>
        </w:tblPrEx>
        <w:tc>
          <w:tcPr>
            <w:tcW w:w="5069" w:type="dxa"/>
            <w:tcBorders>
              <w:top w:val="nil"/>
              <w:left w:val="nil"/>
              <w:bottom w:val="nil"/>
              <w:right w:val="nil"/>
            </w:tcBorders>
          </w:tcPr>
          <w:p w:rsidR="00000000" w:rsidRDefault="00F43CD8">
            <w:pPr>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b/>
                <w:bCs/>
                <w:color w:val="000000"/>
                <w:sz w:val="20"/>
                <w:szCs w:val="20"/>
              </w:rPr>
              <w:t>DEPARTMENT TOTAL - ALL FUNDS</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4"/>
                <w:szCs w:val="24"/>
              </w:rPr>
            </w:pPr>
            <w:r>
              <w:rPr>
                <w:rFonts w:ascii="Times New Roman" w:hAnsi="Times New Roman" w:cs="Times New Roman"/>
                <w:b/>
                <w:bCs/>
                <w:color w:val="000000"/>
                <w:sz w:val="20"/>
                <w:szCs w:val="20"/>
              </w:rPr>
              <w:t>$734,983</w:t>
            </w:r>
          </w:p>
        </w:tc>
        <w:tc>
          <w:tcPr>
            <w:tcW w:w="1469" w:type="dxa"/>
            <w:tcBorders>
              <w:top w:val="nil"/>
              <w:left w:val="nil"/>
              <w:bottom w:val="nil"/>
              <w:right w:val="nil"/>
            </w:tcBorders>
          </w:tcPr>
          <w:p w:rsidR="00000000" w:rsidRDefault="00F43CD8">
            <w:pPr>
              <w:autoSpaceDE w:val="0"/>
              <w:autoSpaceDN w:val="0"/>
              <w:adjustRightInd w:val="0"/>
              <w:spacing w:before="40" w:after="0" w:line="240" w:lineRule="auto"/>
              <w:jc w:val="right"/>
              <w:rPr>
                <w:rFonts w:ascii="Times New Roman" w:hAnsi="Times New Roman" w:cs="Times New Roman"/>
                <w:sz w:val="24"/>
                <w:szCs w:val="24"/>
              </w:rPr>
            </w:pPr>
            <w:r>
              <w:rPr>
                <w:rFonts w:ascii="Times New Roman" w:hAnsi="Times New Roman" w:cs="Times New Roman"/>
                <w:b/>
                <w:bCs/>
                <w:color w:val="000000"/>
                <w:sz w:val="20"/>
                <w:szCs w:val="20"/>
              </w:rPr>
              <w:t>$851,658</w:t>
            </w:r>
          </w:p>
        </w:tc>
      </w:tr>
    </w:tbl>
    <w:p w:rsidR="00000000" w:rsidRDefault="00F43CD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w:t>
      </w:r>
    </w:p>
    <w:p w:rsidR="00000000" w:rsidRDefault="00F43CD8">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color w:val="000000"/>
          <w:sz w:val="16"/>
          <w:szCs w:val="16"/>
        </w:rPr>
        <w:t> </w:t>
      </w:r>
    </w:p>
    <w:p w:rsidR="00000000" w:rsidRDefault="00F43CD8">
      <w:pPr>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Effective 90 days following adjournment of the 129th Legislature, First Regular Session, unless otherwise indicated.</w:t>
      </w:r>
    </w:p>
    <w:p w:rsidR="00000000" w:rsidRDefault="00F43CD8">
      <w:pPr>
        <w:autoSpaceDE w:val="0"/>
        <w:autoSpaceDN w:val="0"/>
        <w:adjustRightInd w:val="0"/>
        <w:spacing w:after="0" w:line="240" w:lineRule="auto"/>
        <w:rPr>
          <w:rFonts w:ascii="Times New Roman" w:hAnsi="Times New Roman" w:cs="Times New Roman"/>
          <w:sz w:val="24"/>
          <w:szCs w:val="24"/>
        </w:rPr>
      </w:pPr>
    </w:p>
    <w:sectPr w:rsidR="00000000">
      <w:headerReference w:type="even" r:id="rId7"/>
      <w:headerReference w:type="default" r:id="rId8"/>
      <w:footerReference w:type="even" r:id="rId9"/>
      <w:footerReference w:type="default" r:id="rId10"/>
      <w:pgSz w:w="12240" w:h="15840"/>
      <w:pgMar w:top="1587" w:right="850" w:bottom="1587" w:left="1417" w:header="737" w:footer="73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3CD8">
      <w:pPr>
        <w:spacing w:after="0" w:line="240" w:lineRule="auto"/>
      </w:pPr>
      <w:r>
        <w:separator/>
      </w:r>
    </w:p>
  </w:endnote>
  <w:endnote w:type="continuationSeparator" w:id="0">
    <w:p w:rsidR="00000000" w:rsidRDefault="00F4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3CD8">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sz w:val="18"/>
        <w:szCs w:val="18"/>
      </w:rPr>
      <w:t xml:space="preserve">SP0565, on - Session - 129th Maine Legislature, page </w:t>
    </w:r>
    <w:r>
      <w:rPr>
        <w:rFonts w:ascii="Arial" w:hAnsi="Arial" w:cs="Arial"/>
        <w:color w:val="000000"/>
        <w:sz w:val="18"/>
        <w:szCs w:val="18"/>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3CD8">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sz w:val="18"/>
        <w:szCs w:val="18"/>
      </w:rPr>
      <w:t>SP0565, on - Session - 129th Maine Le</w:t>
    </w:r>
    <w:r>
      <w:rPr>
        <w:rFonts w:ascii="Arial" w:hAnsi="Arial" w:cs="Arial"/>
        <w:color w:val="000000"/>
        <w:sz w:val="18"/>
        <w:szCs w:val="18"/>
      </w:rPr>
      <w:t xml:space="preserve">gislature, page </w:t>
    </w:r>
    <w:r>
      <w:rPr>
        <w:rFonts w:ascii="Arial" w:hAnsi="Arial" w:cs="Arial"/>
        <w:color w:val="000000"/>
        <w:sz w:val="18"/>
        <w:szCs w:val="18"/>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3CD8">
      <w:pPr>
        <w:spacing w:after="0" w:line="240" w:lineRule="auto"/>
      </w:pPr>
      <w:r>
        <w:separator/>
      </w:r>
    </w:p>
  </w:footnote>
  <w:footnote w:type="continuationSeparator" w:id="0">
    <w:p w:rsidR="00000000" w:rsidRDefault="00F4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3CD8">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sz w:val="18"/>
        <w:szCs w:val="18"/>
      </w:rPr>
      <w:t>PUBLIC Law, Chapter 478, LD 1711, 129th Maine State Legislature</w:t>
    </w:r>
  </w:p>
  <w:p w:rsidR="00000000" w:rsidRDefault="00F43CD8">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sz w:val="18"/>
        <w:szCs w:val="18"/>
      </w:rPr>
      <w:t>An Act To Promote Solar Energy Projects and Distributed Generation Resources in Maine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3CD8">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sz w:val="18"/>
        <w:szCs w:val="18"/>
      </w:rPr>
      <w:t>PUBLIC Law, Chapter 478, LD 1711, 129th Maine State Legislature</w:t>
    </w:r>
  </w:p>
  <w:p w:rsidR="00000000" w:rsidRDefault="00F43CD8">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sz w:val="18"/>
        <w:szCs w:val="18"/>
      </w:rPr>
      <w:t>An Act To Promote Solar Energy Projects and Distributed Generation Resources in Maine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CD8"/>
    <w:rsid w:val="00F4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6533</Words>
  <Characters>37244</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Albair, Rebecca</dc:creator>
  <cp:lastModifiedBy>Albair, Rebecca</cp:lastModifiedBy>
  <cp:revision>2</cp:revision>
  <dcterms:created xsi:type="dcterms:W3CDTF">2019-07-22T15:15:00Z</dcterms:created>
  <dcterms:modified xsi:type="dcterms:W3CDTF">2019-07-22T15:15:00Z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XSL-FO Converter Professional Edition 5.4.6</vt:lpwstr>
  </property>
</Properties>
</file>