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100.xml" ContentType="application/vnd.openxmlformats-officedocument.drawingml.chart+xml"/>
  <Override PartName="/word/charts/colors80.xml" ContentType="application/vnd.ms-office.chartcolorstyle+xml"/>
  <Override PartName="/word/charts/style8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B3B3FF" w14:textId="64026246" w:rsidR="0011216D" w:rsidRDefault="007C2B80" w:rsidP="00D2054C">
      <w:pPr>
        <w:tabs>
          <w:tab w:val="left" w:pos="8460"/>
        </w:tabs>
        <w:jc w:val="right"/>
        <w:rPr>
          <w:noProof/>
        </w:rPr>
      </w:pPr>
      <w:bookmarkStart w:id="0" w:name="_Hlk158357819"/>
      <w:bookmarkEnd w:id="0"/>
      <w:r>
        <w:rPr>
          <w:noProof/>
        </w:rPr>
        <w:drawing>
          <wp:anchor distT="0" distB="0" distL="114300" distR="114300" simplePos="0" relativeHeight="251658250" behindDoc="1" locked="0" layoutInCell="1" allowOverlap="1" wp14:anchorId="53E91B23" wp14:editId="07B45718">
            <wp:simplePos x="0" y="0"/>
            <wp:positionH relativeFrom="margin">
              <wp:posOffset>-900545</wp:posOffset>
            </wp:positionH>
            <wp:positionV relativeFrom="paragraph">
              <wp:posOffset>-519544</wp:posOffset>
            </wp:positionV>
            <wp:extent cx="8003946" cy="10358047"/>
            <wp:effectExtent l="0" t="0" r="0" b="5715"/>
            <wp:wrapNone/>
            <wp:docPr id="12" name="Picture 12" descr="Bureau of Rehabilitation Services Highlights&#10;Submitted by Maine Department of Labor Bureau of Rehabilitation Service Program Year 2024 July 1, 2024-June 30, 2025&#10;Photo 1 Northern Tour, Participant taking the blood pressure of a patient. Photo 2: Participants of the VIBE bioscience lab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ureau of Rehabilitation Services Highlights&#10;Submitted by Maine Department of Labor Bureau of Rehabilitation Service Program Year 2024 July 1, 2024-June 30, 2025&#10;Photo 1 Northern Tour, Participant taking the blood pressure of a patient. Photo 2: Participants of the VIBE bioscience lab group."/>
                    <pic:cNvPicPr/>
                  </pic:nvPicPr>
                  <pic:blipFill>
                    <a:blip r:embed="rId11"/>
                    <a:stretch>
                      <a:fillRect/>
                    </a:stretch>
                  </pic:blipFill>
                  <pic:spPr>
                    <a:xfrm>
                      <a:off x="0" y="0"/>
                      <a:ext cx="8003946" cy="10358047"/>
                    </a:xfrm>
                    <a:prstGeom prst="rect">
                      <a:avLst/>
                    </a:prstGeom>
                  </pic:spPr>
                </pic:pic>
              </a:graphicData>
            </a:graphic>
            <wp14:sizeRelH relativeFrom="margin">
              <wp14:pctWidth>0</wp14:pctWidth>
            </wp14:sizeRelH>
            <wp14:sizeRelV relativeFrom="margin">
              <wp14:pctHeight>0</wp14:pctHeight>
            </wp14:sizeRelV>
          </wp:anchor>
        </w:drawing>
      </w:r>
    </w:p>
    <w:p w14:paraId="1E050E3C" w14:textId="42FFCEEA" w:rsidR="008046DA" w:rsidRDefault="008046DA" w:rsidP="00352371">
      <w:pPr>
        <w:sectPr w:rsidR="008046DA" w:rsidSect="007F7D45">
          <w:footerReference w:type="first" r:id="rId12"/>
          <w:pgSz w:w="12240" w:h="15840" w:code="1"/>
          <w:pgMar w:top="360" w:right="994" w:bottom="360" w:left="1440" w:header="0" w:footer="504" w:gutter="0"/>
          <w:cols w:space="720"/>
          <w:titlePg/>
          <w:docGrid w:linePitch="360"/>
        </w:sectPr>
      </w:pPr>
    </w:p>
    <w:p w14:paraId="0FBEA502" w14:textId="108043C6" w:rsidR="00BF4BA3" w:rsidRPr="00BF4BA3" w:rsidRDefault="00BF4BA3" w:rsidP="004F2DF4">
      <w:pPr>
        <w:pStyle w:val="Coverdescription"/>
      </w:pPr>
      <w:r w:rsidRPr="00BF4BA3">
        <w:lastRenderedPageBreak/>
        <w:t xml:space="preserve">Cover Photo: </w:t>
      </w:r>
      <w:r>
        <w:t>T</w:t>
      </w:r>
      <w:r w:rsidRPr="00BF4BA3">
        <w:t>wo students on the College Bus Tour get hands-on experience in health care and below, a group of students in the VIBE program in front of the Maine Mobile Bio Lab</w:t>
      </w:r>
    </w:p>
    <w:p w14:paraId="20784A2F" w14:textId="146260D1" w:rsidR="000B0294" w:rsidRPr="00CD0EF4" w:rsidRDefault="004816E7" w:rsidP="00F3259C">
      <w:pPr>
        <w:pStyle w:val="disibilitystatement"/>
        <w:ind w:left="-900" w:right="-900"/>
        <w:rPr>
          <w:rFonts w:ascii="Lato" w:hAnsi="Lato"/>
          <w:iCs/>
          <w:sz w:val="20"/>
          <w:szCs w:val="20"/>
        </w:rPr>
        <w:sectPr w:rsidR="000B0294" w:rsidRPr="00CD0EF4" w:rsidSect="006B617C">
          <w:pgSz w:w="12240" w:h="15840" w:code="1"/>
          <w:pgMar w:top="360" w:right="1440" w:bottom="360" w:left="1440" w:header="0" w:footer="510" w:gutter="0"/>
          <w:cols w:space="720"/>
          <w:titlePg/>
          <w:docGrid w:linePitch="360"/>
        </w:sectPr>
      </w:pPr>
      <w:r w:rsidRPr="00CD0EF4">
        <w:rPr>
          <w:rFonts w:ascii="Lato" w:hAnsi="Lato"/>
          <w:iCs/>
          <w:sz w:val="20"/>
          <w:szCs w:val="20"/>
        </w:rPr>
        <w:t>The Maine Department of Labor provides Equal Opportunity in employment and programs. </w:t>
      </w:r>
      <w:r w:rsidR="00F3259C">
        <w:rPr>
          <w:rFonts w:ascii="Lato" w:hAnsi="Lato"/>
          <w:iCs/>
          <w:sz w:val="20"/>
          <w:szCs w:val="20"/>
        </w:rPr>
        <w:br/>
      </w:r>
      <w:r w:rsidRPr="00CD0EF4">
        <w:rPr>
          <w:rFonts w:ascii="Lato" w:hAnsi="Lato"/>
          <w:iCs/>
          <w:sz w:val="20"/>
          <w:szCs w:val="20"/>
          <w:lang w:val="en"/>
        </w:rPr>
        <w:t>Auxiliary aids and services are available to individuals with disabilities upon request.</w:t>
      </w:r>
    </w:p>
    <w:p w14:paraId="70DE5A2A" w14:textId="1A649A18" w:rsidR="005F500A" w:rsidRDefault="00EE2B24" w:rsidP="00352371">
      <w:pPr>
        <w:rPr>
          <w:rFonts w:ascii="Goudy" w:hAnsi="Goudy"/>
          <w:color w:val="0000FF"/>
          <w:spacing w:val="26"/>
          <w:kern w:val="28"/>
          <w:sz w:val="16"/>
        </w:rPr>
      </w:pPr>
      <w:r>
        <w:rPr>
          <w:rFonts w:ascii="Goudy" w:hAnsi="Goudy"/>
          <w:noProof/>
          <w:color w:val="0000FF"/>
          <w:spacing w:val="26"/>
          <w:kern w:val="28"/>
          <w:sz w:val="16"/>
        </w:rPr>
        <w:lastRenderedPageBreak/>
        <mc:AlternateContent>
          <mc:Choice Requires="wps">
            <w:drawing>
              <wp:anchor distT="0" distB="0" distL="114300" distR="114300" simplePos="0" relativeHeight="251658242" behindDoc="0" locked="0" layoutInCell="0" allowOverlap="1" wp14:anchorId="6DF8F018" wp14:editId="523A1AB7">
                <wp:simplePos x="0" y="0"/>
                <wp:positionH relativeFrom="column">
                  <wp:posOffset>95250</wp:posOffset>
                </wp:positionH>
                <wp:positionV relativeFrom="paragraph">
                  <wp:posOffset>183515</wp:posOffset>
                </wp:positionV>
                <wp:extent cx="804545" cy="739775"/>
                <wp:effectExtent l="0" t="0" r="0" b="3175"/>
                <wp:wrapNone/>
                <wp:docPr id="3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73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141D4" w14:textId="77777777" w:rsidR="005F500A" w:rsidRDefault="00EE2B24" w:rsidP="005F500A">
                            <w:bookmarkStart w:id="1" w:name="_Hlk123217070"/>
                            <w:bookmarkEnd w:id="1"/>
                            <w:r>
                              <w:rPr>
                                <w:noProof/>
                                <w:color w:val="0000FF"/>
                              </w:rPr>
                              <w:drawing>
                                <wp:inline distT="0" distB="0" distL="0" distR="0" wp14:anchorId="44506876" wp14:editId="04F5D1E6">
                                  <wp:extent cx="533400" cy="647700"/>
                                  <wp:effectExtent l="0" t="0" r="0" b="0"/>
                                  <wp:docPr id="40281602" name="Picture 40281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tesealblu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3400" cy="647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F8F018" id="_x0000_t202" coordsize="21600,21600" o:spt="202" path="m,l,21600r21600,l21600,xe">
                <v:stroke joinstyle="miter"/>
                <v:path gradientshapeok="t" o:connecttype="rect"/>
              </v:shapetype>
              <v:shape id="Text Box 2" o:spid="_x0000_s1026" type="#_x0000_t202" alt="&quot;&quot;" style="position:absolute;margin-left:7.5pt;margin-top:14.45pt;width:63.35pt;height:58.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" o:allowincell="f" filled="f" stroked="f">
                <v:textbox>
                  <w:txbxContent>
                    <w:p w14:paraId="3CA141D4" w14:textId="77777777" w:rsidR="005F500A" w:rsidRDefault="00EE2B24" w:rsidP="005F500A">
                      <w:bookmarkStart w:id="2" w:name="_Hlk123217070"/>
                      <w:bookmarkEnd w:id="2"/>
                      <w:r>
                        <w:rPr>
                          <w:noProof/>
                          <w:color w:val="0000FF"/>
                        </w:rPr>
                        <w:drawing>
                          <wp:inline distT="0" distB="0" distL="0" distR="0" wp14:anchorId="44506876" wp14:editId="04F5D1E6">
                            <wp:extent cx="533400" cy="647700"/>
                            <wp:effectExtent l="0" t="0" r="0" b="0"/>
                            <wp:docPr id="40281602" name="Picture 40281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tesealbl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400" cy="647700"/>
                                    </a:xfrm>
                                    <a:prstGeom prst="rect">
                                      <a:avLst/>
                                    </a:prstGeom>
                                    <a:noFill/>
                                    <a:ln>
                                      <a:noFill/>
                                    </a:ln>
                                  </pic:spPr>
                                </pic:pic>
                              </a:graphicData>
                            </a:graphic>
                          </wp:inline>
                        </w:drawing>
                      </w:r>
                    </w:p>
                  </w:txbxContent>
                </v:textbox>
              </v:shape>
            </w:pict>
          </mc:Fallback>
        </mc:AlternateContent>
      </w:r>
      <w:bookmarkStart w:id="2" w:name="_Hlk42757981"/>
      <w:r w:rsidR="005F500A">
        <w:rPr>
          <w:rFonts w:ascii="Goudy" w:hAnsi="Goudy"/>
          <w:color w:val="0000FF"/>
          <w:spacing w:val="26"/>
          <w:kern w:val="28"/>
          <w:sz w:val="16"/>
        </w:rPr>
        <w:t>STATE OF MAINE</w:t>
      </w:r>
    </w:p>
    <w:p w14:paraId="1D35E423" w14:textId="77777777" w:rsidR="005F500A" w:rsidRDefault="005F500A" w:rsidP="005F500A">
      <w:pPr>
        <w:spacing w:line="240" w:lineRule="atLeast"/>
        <w:jc w:val="center"/>
        <w:rPr>
          <w:rFonts w:ascii="Goudy" w:hAnsi="Goudy"/>
          <w:color w:val="0000FF"/>
          <w:spacing w:val="26"/>
          <w:kern w:val="28"/>
          <w:sz w:val="16"/>
        </w:rPr>
      </w:pPr>
      <w:r>
        <w:rPr>
          <w:rFonts w:ascii="Goudy" w:hAnsi="Goudy"/>
          <w:color w:val="0000FF"/>
          <w:spacing w:val="26"/>
          <w:kern w:val="28"/>
          <w:sz w:val="16"/>
        </w:rPr>
        <w:t>DEPARTMENT OF LABOR</w:t>
      </w:r>
    </w:p>
    <w:p w14:paraId="377DD554" w14:textId="77777777" w:rsidR="005F500A" w:rsidRPr="00E03C96" w:rsidRDefault="005F500A" w:rsidP="005F500A">
      <w:pPr>
        <w:spacing w:line="240" w:lineRule="atLeast"/>
        <w:jc w:val="center"/>
        <w:rPr>
          <w:rFonts w:ascii="Goudy" w:hAnsi="Goudy"/>
          <w:color w:val="0000FF"/>
          <w:spacing w:val="26"/>
          <w:kern w:val="28"/>
          <w:sz w:val="16"/>
        </w:rPr>
      </w:pPr>
      <w:r>
        <w:rPr>
          <w:rFonts w:ascii="Goudy" w:hAnsi="Goudy"/>
          <w:color w:val="0000FF"/>
          <w:spacing w:val="26"/>
          <w:kern w:val="28"/>
          <w:sz w:val="16"/>
        </w:rPr>
        <w:t>BUREAU OF REHABILITATION SERVICES</w:t>
      </w:r>
    </w:p>
    <w:p w14:paraId="716DBD59" w14:textId="77777777" w:rsidR="005F500A" w:rsidRDefault="005F500A" w:rsidP="005F500A">
      <w:pPr>
        <w:spacing w:line="240" w:lineRule="atLeast"/>
        <w:jc w:val="center"/>
        <w:rPr>
          <w:rFonts w:ascii="Goudy" w:hAnsi="Goudy"/>
          <w:color w:val="0000FF"/>
          <w:spacing w:val="26"/>
          <w:kern w:val="28"/>
          <w:sz w:val="16"/>
        </w:rPr>
      </w:pPr>
      <w:r>
        <w:rPr>
          <w:rFonts w:ascii="Goudy" w:hAnsi="Goudy"/>
          <w:color w:val="0000FF"/>
          <w:spacing w:val="26"/>
          <w:kern w:val="28"/>
          <w:sz w:val="16"/>
        </w:rPr>
        <w:t>150 STATE HOUSE STATION</w:t>
      </w:r>
    </w:p>
    <w:p w14:paraId="1A05E443" w14:textId="77777777" w:rsidR="005F500A" w:rsidRDefault="005F500A" w:rsidP="005F500A">
      <w:pPr>
        <w:spacing w:after="120" w:line="240" w:lineRule="atLeast"/>
        <w:jc w:val="center"/>
        <w:rPr>
          <w:rFonts w:ascii="Goudy" w:hAnsi="Goudy"/>
          <w:color w:val="0000FF"/>
          <w:spacing w:val="26"/>
          <w:kern w:val="28"/>
          <w:sz w:val="16"/>
        </w:rPr>
      </w:pPr>
      <w:r>
        <w:rPr>
          <w:rFonts w:ascii="Goudy" w:hAnsi="Goudy"/>
          <w:noProof/>
          <w:color w:val="0000FF"/>
          <w:spacing w:val="26"/>
          <w:kern w:val="28"/>
          <w:sz w:val="16"/>
        </w:rPr>
        <mc:AlternateContent>
          <mc:Choice Requires="wps">
            <w:drawing>
              <wp:anchor distT="0" distB="0" distL="114300" distR="114300" simplePos="0" relativeHeight="251658244" behindDoc="0" locked="0" layoutInCell="0" allowOverlap="1" wp14:anchorId="14BA221B" wp14:editId="414D9CEA">
                <wp:simplePos x="0" y="0"/>
                <wp:positionH relativeFrom="column">
                  <wp:posOffset>4752975</wp:posOffset>
                </wp:positionH>
                <wp:positionV relativeFrom="paragraph">
                  <wp:posOffset>111760</wp:posOffset>
                </wp:positionV>
                <wp:extent cx="1409700" cy="508635"/>
                <wp:effectExtent l="0" t="0" r="0" b="5715"/>
                <wp:wrapNone/>
                <wp:docPr id="49"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A8E8E" w14:textId="77777777" w:rsidR="005F500A" w:rsidRDefault="005F500A" w:rsidP="005F500A">
                            <w:pPr>
                              <w:spacing w:line="360" w:lineRule="auto"/>
                              <w:jc w:val="center"/>
                              <w:rPr>
                                <w:rFonts w:ascii="Helvetica" w:hAnsi="Helvetica"/>
                                <w:color w:val="0000FF"/>
                                <w:sz w:val="14"/>
                              </w:rPr>
                            </w:pPr>
                          </w:p>
                          <w:p w14:paraId="503BA4C4"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LAURA A. FORTMAN</w:t>
                            </w:r>
                          </w:p>
                          <w:p w14:paraId="1B2CE279"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COMMISSIONER</w:t>
                            </w:r>
                          </w:p>
                          <w:p w14:paraId="23F90BAF" w14:textId="77777777" w:rsidR="005F500A" w:rsidRDefault="005F500A" w:rsidP="005F50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A221B" id="Text Box 3" o:spid="_x0000_s1027" type="#_x0000_t202" alt="&quot;&quot;" style="position:absolute;left:0;text-align:left;margin-left:374.25pt;margin-top:8.8pt;width:111pt;height:40.0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" o:allowincell="f" filled="f" stroked="f">
                <v:textbox>
                  <w:txbxContent>
                    <w:p w14:paraId="3DFA8E8E" w14:textId="77777777" w:rsidR="005F500A" w:rsidRDefault="005F500A" w:rsidP="005F500A">
                      <w:pPr>
                        <w:spacing w:line="360" w:lineRule="auto"/>
                        <w:jc w:val="center"/>
                        <w:rPr>
                          <w:rFonts w:ascii="Helvetica" w:hAnsi="Helvetica"/>
                          <w:color w:val="0000FF"/>
                          <w:sz w:val="14"/>
                        </w:rPr>
                      </w:pPr>
                    </w:p>
                    <w:p w14:paraId="503BA4C4"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LAURA A. FORTMAN</w:t>
                      </w:r>
                    </w:p>
                    <w:p w14:paraId="1B2CE279"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COMMISSIONER</w:t>
                      </w:r>
                    </w:p>
                    <w:p w14:paraId="23F90BAF" w14:textId="77777777" w:rsidR="005F500A" w:rsidRDefault="005F500A" w:rsidP="005F500A"/>
                  </w:txbxContent>
                </v:textbox>
              </v:shape>
            </w:pict>
          </mc:Fallback>
        </mc:AlternateContent>
      </w:r>
      <w:r>
        <w:rPr>
          <w:rFonts w:ascii="Goudy" w:hAnsi="Goudy"/>
          <w:noProof/>
          <w:color w:val="0000FF"/>
          <w:spacing w:val="26"/>
          <w:kern w:val="28"/>
          <w:sz w:val="16"/>
        </w:rPr>
        <mc:AlternateContent>
          <mc:Choice Requires="wps">
            <w:drawing>
              <wp:anchor distT="0" distB="0" distL="114300" distR="114300" simplePos="0" relativeHeight="251658243" behindDoc="0" locked="0" layoutInCell="0" allowOverlap="1" wp14:anchorId="7FC26048" wp14:editId="5E4AD31A">
                <wp:simplePos x="0" y="0"/>
                <wp:positionH relativeFrom="column">
                  <wp:posOffset>-104775</wp:posOffset>
                </wp:positionH>
                <wp:positionV relativeFrom="paragraph">
                  <wp:posOffset>168910</wp:posOffset>
                </wp:positionV>
                <wp:extent cx="1152525" cy="508635"/>
                <wp:effectExtent l="0" t="0" r="0" b="5715"/>
                <wp:wrapNone/>
                <wp:docPr id="1"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50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06ECF" w14:textId="77777777" w:rsidR="005F500A" w:rsidRDefault="005F500A" w:rsidP="005F500A">
                            <w:pPr>
                              <w:spacing w:line="360" w:lineRule="auto"/>
                              <w:jc w:val="center"/>
                              <w:rPr>
                                <w:rFonts w:ascii="Helvetica" w:hAnsi="Helvetica"/>
                                <w:color w:val="0000FF"/>
                                <w:sz w:val="14"/>
                              </w:rPr>
                            </w:pPr>
                          </w:p>
                          <w:p w14:paraId="6CF7BD35"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JANET T. MILLS</w:t>
                            </w:r>
                          </w:p>
                          <w:p w14:paraId="77229B6D"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GOVERNOR</w:t>
                            </w:r>
                          </w:p>
                          <w:p w14:paraId="05B1AA80" w14:textId="77777777" w:rsidR="005F500A" w:rsidRDefault="005F500A" w:rsidP="005F50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26048" id="_x0000_s1028" type="#_x0000_t202" alt="&quot;&quot;" style="position:absolute;left:0;text-align:left;margin-left:-8.25pt;margin-top:13.3pt;width:90.75pt;height:40.0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" o:allowincell="f" filled="f" stroked="f">
                <v:textbox>
                  <w:txbxContent>
                    <w:p w14:paraId="11906ECF" w14:textId="77777777" w:rsidR="005F500A" w:rsidRDefault="005F500A" w:rsidP="005F500A">
                      <w:pPr>
                        <w:spacing w:line="360" w:lineRule="auto"/>
                        <w:jc w:val="center"/>
                        <w:rPr>
                          <w:rFonts w:ascii="Helvetica" w:hAnsi="Helvetica"/>
                          <w:color w:val="0000FF"/>
                          <w:sz w:val="14"/>
                        </w:rPr>
                      </w:pPr>
                    </w:p>
                    <w:p w14:paraId="6CF7BD35" w14:textId="77777777" w:rsidR="005F500A" w:rsidRDefault="005F500A" w:rsidP="005F500A">
                      <w:pPr>
                        <w:spacing w:line="360" w:lineRule="auto"/>
                        <w:jc w:val="center"/>
                        <w:rPr>
                          <w:rFonts w:ascii="Helvetica" w:hAnsi="Helvetica"/>
                          <w:color w:val="0000FF"/>
                          <w:sz w:val="14"/>
                        </w:rPr>
                      </w:pPr>
                      <w:r>
                        <w:rPr>
                          <w:rFonts w:ascii="Helvetica" w:hAnsi="Helvetica"/>
                          <w:color w:val="0000FF"/>
                          <w:sz w:val="14"/>
                        </w:rPr>
                        <w:t>JANET T. MILLS</w:t>
                      </w:r>
                    </w:p>
                    <w:p w14:paraId="77229B6D" w14:textId="77777777" w:rsidR="005F500A" w:rsidRDefault="005F500A" w:rsidP="005F500A">
                      <w:pPr>
                        <w:spacing w:line="360" w:lineRule="auto"/>
                        <w:jc w:val="center"/>
                        <w:rPr>
                          <w:rFonts w:ascii="Helvetica" w:hAnsi="Helvetica"/>
                          <w:color w:val="0000FF"/>
                          <w:sz w:val="11"/>
                        </w:rPr>
                      </w:pPr>
                      <w:r>
                        <w:rPr>
                          <w:rFonts w:ascii="Helvetica" w:hAnsi="Helvetica"/>
                          <w:color w:val="0000FF"/>
                          <w:sz w:val="11"/>
                        </w:rPr>
                        <w:t>GOVERNOR</w:t>
                      </w:r>
                    </w:p>
                    <w:p w14:paraId="05B1AA80" w14:textId="77777777" w:rsidR="005F500A" w:rsidRDefault="005F500A" w:rsidP="005F500A"/>
                  </w:txbxContent>
                </v:textbox>
              </v:shape>
            </w:pict>
          </mc:Fallback>
        </mc:AlternateContent>
      </w:r>
      <w:r>
        <w:rPr>
          <w:rFonts w:ascii="Goudy" w:hAnsi="Goudy"/>
          <w:noProof/>
          <w:color w:val="0000FF"/>
          <w:spacing w:val="26"/>
          <w:kern w:val="28"/>
          <w:sz w:val="16"/>
        </w:rPr>
        <w:t>AUGUSTA, MAINE  04333-0054</w:t>
      </w:r>
    </w:p>
    <w:p w14:paraId="6F12AB97" w14:textId="77777777" w:rsidR="005F500A" w:rsidRDefault="005F500A" w:rsidP="005F500A">
      <w:pPr>
        <w:spacing w:line="240" w:lineRule="atLeast"/>
        <w:jc w:val="center"/>
        <w:rPr>
          <w:rFonts w:ascii="Goudy" w:hAnsi="Goudy"/>
          <w:color w:val="0000FF"/>
          <w:spacing w:val="26"/>
          <w:kern w:val="28"/>
          <w:sz w:val="16"/>
        </w:rPr>
      </w:pPr>
    </w:p>
    <w:p w14:paraId="1370E5B7" w14:textId="34AB733E" w:rsidR="006B617C" w:rsidRDefault="006B617C" w:rsidP="003D4EAE">
      <w:pPr>
        <w:tabs>
          <w:tab w:val="center" w:pos="5040"/>
          <w:tab w:val="right" w:pos="10080"/>
        </w:tabs>
        <w:spacing w:line="240" w:lineRule="atLeast"/>
        <w:ind w:left="270" w:right="180"/>
        <w:rPr>
          <w:rFonts w:ascii="Goudy" w:hAnsi="Goudy"/>
          <w:color w:val="0000FF"/>
          <w:spacing w:val="26"/>
          <w:kern w:val="28"/>
          <w:sz w:val="12"/>
        </w:rPr>
      </w:pPr>
    </w:p>
    <w:p w14:paraId="46F9E5C8" w14:textId="77777777" w:rsidR="00490704" w:rsidRPr="00F93984" w:rsidRDefault="00490704" w:rsidP="00490704">
      <w:pPr>
        <w:jc w:val="center"/>
        <w:rPr>
          <w:rFonts w:ascii="Lato" w:hAnsi="Lato" w:cs="Arial"/>
          <w:b/>
          <w:bCs/>
          <w:sz w:val="52"/>
          <w:szCs w:val="52"/>
        </w:rPr>
      </w:pPr>
      <w:bookmarkStart w:id="3" w:name="_Hlk218069506"/>
      <w:r w:rsidRPr="00EA6DD6">
        <w:rPr>
          <w:rFonts w:ascii="Lato" w:hAnsi="Lato" w:cs="Arial"/>
          <w:b/>
          <w:bCs/>
          <w:sz w:val="40"/>
          <w:szCs w:val="40"/>
        </w:rPr>
        <w:t>Bureau Director’s Message</w:t>
      </w:r>
    </w:p>
    <w:p w14:paraId="7BF0FE06" w14:textId="77777777" w:rsidR="00490704" w:rsidRPr="003D4EAE" w:rsidRDefault="00490704" w:rsidP="00490704">
      <w:pPr>
        <w:ind w:left="90"/>
        <w:jc w:val="center"/>
        <w:rPr>
          <w:rFonts w:ascii="Arial" w:hAnsi="Arial" w:cs="Arial"/>
          <w:sz w:val="12"/>
        </w:rPr>
      </w:pPr>
    </w:p>
    <w:bookmarkEnd w:id="3"/>
    <w:p w14:paraId="3EC54AC6" w14:textId="520198DB" w:rsidR="00D36385" w:rsidRPr="00A37F86" w:rsidRDefault="00D36385" w:rsidP="00D36385">
      <w:pPr>
        <w:shd w:val="clear" w:color="auto" w:fill="FFFFFF"/>
        <w:spacing w:before="100" w:beforeAutospacing="1" w:after="100" w:afterAutospacing="1"/>
        <w:rPr>
          <w:rFonts w:ascii="Segoe UI" w:hAnsi="Segoe UI" w:cs="Segoe UI"/>
          <w:color w:val="0D0D0D"/>
          <w:sz w:val="20"/>
          <w:szCs w:val="20"/>
        </w:rPr>
      </w:pPr>
      <w:r w:rsidRPr="00A37F86">
        <w:rPr>
          <w:rFonts w:ascii="Segoe UI" w:hAnsi="Segoe UI" w:cs="Segoe UI"/>
          <w:color w:val="0D0D0D"/>
          <w:sz w:val="20"/>
          <w:szCs w:val="20"/>
        </w:rPr>
        <w:t>This has been another busy Program Year in the Bureau of Rehabilitation Services (BRS)</w:t>
      </w:r>
      <w:r w:rsidR="00664342" w:rsidRPr="00A37F86">
        <w:rPr>
          <w:rFonts w:ascii="Segoe UI" w:hAnsi="Segoe UI" w:cs="Segoe UI"/>
          <w:color w:val="0D0D0D"/>
          <w:sz w:val="20"/>
          <w:szCs w:val="20"/>
        </w:rPr>
        <w:t>!</w:t>
      </w:r>
    </w:p>
    <w:p w14:paraId="71763021" w14:textId="5947534D" w:rsidR="00D36385" w:rsidRPr="00A37F86" w:rsidRDefault="00D36385" w:rsidP="00D36385">
      <w:pPr>
        <w:shd w:val="clear" w:color="auto" w:fill="FFFFFF"/>
        <w:spacing w:before="100" w:beforeAutospacing="1" w:after="100" w:afterAutospacing="1"/>
        <w:rPr>
          <w:rFonts w:ascii="Segoe UI" w:hAnsi="Segoe UI" w:cs="Segoe UI"/>
          <w:color w:val="0D0D0D"/>
          <w:sz w:val="20"/>
          <w:szCs w:val="20"/>
        </w:rPr>
      </w:pPr>
      <w:r w:rsidRPr="00A37F86">
        <w:rPr>
          <w:rFonts w:ascii="Segoe UI" w:hAnsi="Segoe UI" w:cs="Segoe UI"/>
          <w:color w:val="0D0D0D"/>
          <w:sz w:val="20"/>
          <w:szCs w:val="20"/>
        </w:rPr>
        <w:t>This edition of the annual BRS Highlights report is full of great information about the Bureau’s programs and services. You’ll read about success stories, new initiatives, new staff, and innovative approaches to helping the individuals we serve reach their employment and independent living goals.</w:t>
      </w:r>
      <w:r w:rsidR="00E16866" w:rsidRPr="00A37F86">
        <w:rPr>
          <w:rFonts w:ascii="Segoe UI" w:hAnsi="Segoe UI" w:cs="Segoe UI"/>
          <w:color w:val="0D0D0D"/>
          <w:sz w:val="20"/>
          <w:szCs w:val="20"/>
        </w:rPr>
        <w:t xml:space="preserve"> </w:t>
      </w:r>
      <w:r w:rsidRPr="00A37F86">
        <w:rPr>
          <w:rFonts w:ascii="Segoe UI" w:hAnsi="Segoe UI" w:cs="Segoe UI"/>
          <w:color w:val="0D0D0D"/>
          <w:sz w:val="20"/>
          <w:szCs w:val="20"/>
        </w:rPr>
        <w:t>Every year has its challenges—and this year was no different—but what stood out was a renewed sense of excitement about how to meet those challenges. Cross-division work blossomed between the Division for the Blind and Visually Impaired and the Division of Vocational Rehabilitation. While most evident in youth programming, there were also many new opportunities that benefited adults. Likewise, staff continued to grow partnerships across the state. By working across regions, staffing and resources were able to more productively meet the needs of more of our clients. BRS staff were encouraged to pilot new approaches and refine them based on participant input and feedback—an approach particularly evident in our Disability Innovation Fund “Pathways to Partnerships” grant.</w:t>
      </w:r>
    </w:p>
    <w:p w14:paraId="5E21603E" w14:textId="2053A3D7" w:rsidR="00D36385" w:rsidRPr="00A37F86" w:rsidRDefault="00D36385" w:rsidP="00D36385">
      <w:pPr>
        <w:shd w:val="clear" w:color="auto" w:fill="FFFFFF"/>
        <w:spacing w:before="100" w:beforeAutospacing="1" w:after="100" w:afterAutospacing="1"/>
        <w:rPr>
          <w:rFonts w:ascii="Segoe UI" w:hAnsi="Segoe UI" w:cs="Segoe UI"/>
          <w:color w:val="0D0D0D"/>
          <w:sz w:val="20"/>
          <w:szCs w:val="20"/>
        </w:rPr>
      </w:pPr>
      <w:r w:rsidRPr="00A37F86">
        <w:rPr>
          <w:rFonts w:ascii="Segoe UI" w:hAnsi="Segoe UI" w:cs="Segoe UI"/>
          <w:color w:val="0D0D0D"/>
          <w:sz w:val="20"/>
          <w:szCs w:val="20"/>
        </w:rPr>
        <w:t xml:space="preserve">Speaking of creativity and innovation, this year marked the 10th anniversary of Progressive Employment—a dual-customer (employer/jobseeker) model originally developed in Vermont. What started in Maine </w:t>
      </w:r>
      <w:proofErr w:type="gramStart"/>
      <w:r w:rsidRPr="00A37F86">
        <w:rPr>
          <w:rFonts w:ascii="Segoe UI" w:hAnsi="Segoe UI" w:cs="Segoe UI"/>
          <w:color w:val="0D0D0D"/>
          <w:sz w:val="20"/>
          <w:szCs w:val="20"/>
        </w:rPr>
        <w:t>as a way to</w:t>
      </w:r>
      <w:proofErr w:type="gramEnd"/>
      <w:r w:rsidRPr="00A37F86">
        <w:rPr>
          <w:rFonts w:ascii="Segoe UI" w:hAnsi="Segoe UI" w:cs="Segoe UI"/>
          <w:color w:val="0D0D0D"/>
          <w:sz w:val="20"/>
          <w:szCs w:val="20"/>
        </w:rPr>
        <w:t xml:space="preserve"> address the needs of young people who left high school disconnected from employment opportunities has grown into a statewide model serving both youth and adults. Embodying the belief that “everyone is ready for something,” and recognizing the importance of meeting employers and jobseekers where they are, Progressive Employment has become an important tool for connecting individuals with barriers to employment to employers seeking new talent pools. In partnership with the Bureau of Employment Services and other workforce partners, Progressive Employment has expanded to serve individuals in recovery and reentry. </w:t>
      </w:r>
    </w:p>
    <w:p w14:paraId="417606E9" w14:textId="77777777" w:rsidR="00D36385" w:rsidRPr="00A37F86" w:rsidRDefault="00D36385" w:rsidP="00D36385">
      <w:pPr>
        <w:shd w:val="clear" w:color="auto" w:fill="FFFFFF"/>
        <w:spacing w:before="100" w:beforeAutospacing="1" w:after="100" w:afterAutospacing="1"/>
        <w:rPr>
          <w:rFonts w:ascii="Segoe UI" w:hAnsi="Segoe UI" w:cs="Segoe UI"/>
          <w:color w:val="0D0D0D"/>
          <w:sz w:val="20"/>
          <w:szCs w:val="20"/>
        </w:rPr>
      </w:pPr>
      <w:r w:rsidRPr="00A37F86">
        <w:rPr>
          <w:rFonts w:ascii="Segoe UI" w:hAnsi="Segoe UI" w:cs="Segoe UI"/>
          <w:color w:val="0D0D0D"/>
          <w:sz w:val="20"/>
          <w:szCs w:val="20"/>
        </w:rPr>
        <w:t xml:space="preserve">As you review this report, I hope you come away with helpful data about our programs—but more importantly, that you feel excited and inspired by the work happening every day at the Bureau. On behalf of </w:t>
      </w:r>
      <w:proofErr w:type="gramStart"/>
      <w:r w:rsidRPr="00A37F86">
        <w:rPr>
          <w:rFonts w:ascii="Segoe UI" w:hAnsi="Segoe UI" w:cs="Segoe UI"/>
          <w:color w:val="0D0D0D"/>
          <w:sz w:val="20"/>
          <w:szCs w:val="20"/>
        </w:rPr>
        <w:t>all of</w:t>
      </w:r>
      <w:proofErr w:type="gramEnd"/>
      <w:r w:rsidRPr="00A37F86">
        <w:rPr>
          <w:rFonts w:ascii="Segoe UI" w:hAnsi="Segoe UI" w:cs="Segoe UI"/>
          <w:color w:val="0D0D0D"/>
          <w:sz w:val="20"/>
          <w:szCs w:val="20"/>
        </w:rPr>
        <w:t xml:space="preserve"> BRS, I invite you to reach out to learn more, meet our talented and dedicated staff, and partner with us to expand opportunities as we fulfill our mission to “bring about full access to employment, independence, and community integration for people with disabilities.”</w:t>
      </w:r>
    </w:p>
    <w:p w14:paraId="67F3F10F" w14:textId="77777777" w:rsidR="00D36385" w:rsidRPr="00A37F86" w:rsidRDefault="00D36385" w:rsidP="00D36385">
      <w:pPr>
        <w:shd w:val="clear" w:color="auto" w:fill="FFFFFF"/>
        <w:spacing w:before="100" w:beforeAutospacing="1" w:after="100" w:afterAutospacing="1"/>
        <w:rPr>
          <w:rFonts w:ascii="Segoe UI" w:hAnsi="Segoe UI" w:cs="Segoe UI"/>
          <w:color w:val="0D0D0D"/>
          <w:sz w:val="20"/>
          <w:szCs w:val="20"/>
        </w:rPr>
      </w:pPr>
      <w:r w:rsidRPr="00A37F86">
        <w:rPr>
          <w:rFonts w:ascii="Segoe UI" w:hAnsi="Segoe UI" w:cs="Segoe UI"/>
          <w:color w:val="0D0D0D"/>
          <w:sz w:val="20"/>
          <w:szCs w:val="20"/>
        </w:rPr>
        <w:t>With thanks,</w:t>
      </w:r>
    </w:p>
    <w:p w14:paraId="5C70FEF6" w14:textId="5382FB46" w:rsidR="00D36385" w:rsidRPr="00A37F86" w:rsidRDefault="00D36385" w:rsidP="00D36385">
      <w:pPr>
        <w:shd w:val="clear" w:color="auto" w:fill="FFFFFF"/>
        <w:spacing w:before="100" w:beforeAutospacing="1" w:after="100" w:afterAutospacing="1"/>
        <w:rPr>
          <w:rFonts w:ascii="Segoe UI" w:hAnsi="Segoe UI" w:cs="Segoe UI"/>
          <w:color w:val="0D0D0D"/>
          <w:sz w:val="20"/>
          <w:szCs w:val="20"/>
        </w:rPr>
      </w:pPr>
      <w:r w:rsidRPr="00A37F86">
        <w:rPr>
          <w:rFonts w:ascii="Segoe UI" w:hAnsi="Segoe UI" w:cs="Segoe UI"/>
          <w:noProof/>
          <w:color w:val="0D0D0D"/>
          <w:sz w:val="20"/>
          <w:szCs w:val="20"/>
        </w:rPr>
        <w:drawing>
          <wp:inline distT="0" distB="0" distL="0" distR="0" wp14:anchorId="62EEA0F1" wp14:editId="6BE65285">
            <wp:extent cx="1586523" cy="311192"/>
            <wp:effectExtent l="0" t="0" r="0" b="0"/>
            <wp:docPr id="1366554900" name="Picture 8" descr="a picture of Libby Stone-Sterling'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54900" name="Picture 8" descr="a picture of Libby Stone-Sterling's signature"/>
                    <pic:cNvPicPr/>
                  </pic:nvPicPr>
                  <pic:blipFill>
                    <a:blip r:embed="rId15"/>
                    <a:stretch>
                      <a:fillRect/>
                    </a:stretch>
                  </pic:blipFill>
                  <pic:spPr>
                    <a:xfrm>
                      <a:off x="0" y="0"/>
                      <a:ext cx="1599632" cy="313763"/>
                    </a:xfrm>
                    <a:prstGeom prst="rect">
                      <a:avLst/>
                    </a:prstGeom>
                  </pic:spPr>
                </pic:pic>
              </a:graphicData>
            </a:graphic>
          </wp:inline>
        </w:drawing>
      </w:r>
    </w:p>
    <w:p w14:paraId="1473B32E" w14:textId="77777777" w:rsidR="00D36385" w:rsidRPr="00A37F86" w:rsidRDefault="00D36385" w:rsidP="00D36385">
      <w:pPr>
        <w:shd w:val="clear" w:color="auto" w:fill="FFFFFF"/>
        <w:spacing w:beforeAutospacing="1" w:afterAutospacing="1"/>
        <w:rPr>
          <w:rFonts w:ascii="Segoe UI" w:hAnsi="Segoe UI" w:cs="Segoe UI"/>
          <w:color w:val="0D0D0D"/>
          <w:sz w:val="20"/>
          <w:szCs w:val="20"/>
        </w:rPr>
      </w:pPr>
      <w:r w:rsidRPr="00A37F86">
        <w:rPr>
          <w:rFonts w:ascii="Segoe UI" w:hAnsi="Segoe UI" w:cs="Segoe UI"/>
          <w:color w:val="0D0D0D"/>
          <w:sz w:val="20"/>
          <w:szCs w:val="20"/>
        </w:rPr>
        <w:t>Libby Stone-Sterling, PhD</w:t>
      </w:r>
      <w:r w:rsidRPr="00A37F86">
        <w:rPr>
          <w:rFonts w:ascii="Segoe UI" w:hAnsi="Segoe UI" w:cs="Segoe UI"/>
          <w:color w:val="0D0D0D"/>
          <w:sz w:val="20"/>
          <w:szCs w:val="20"/>
        </w:rPr>
        <w:br/>
        <w:t>Bureau Director</w:t>
      </w:r>
    </w:p>
    <w:p w14:paraId="1F819D66" w14:textId="77777777" w:rsidR="00A37F86" w:rsidRPr="00A37F86" w:rsidRDefault="00A37F86" w:rsidP="00A37F86">
      <w:pPr>
        <w:tabs>
          <w:tab w:val="center" w:pos="5040"/>
          <w:tab w:val="right" w:pos="10080"/>
        </w:tabs>
        <w:spacing w:line="240" w:lineRule="atLeast"/>
        <w:ind w:left="-720" w:right="-1080"/>
        <w:rPr>
          <w:rFonts w:ascii="Goudy" w:hAnsi="Goudy"/>
          <w:color w:val="0000FF"/>
          <w:spacing w:val="26"/>
          <w:kern w:val="28"/>
          <w:sz w:val="18"/>
          <w:szCs w:val="18"/>
        </w:rPr>
      </w:pPr>
      <w:r w:rsidRPr="00A37F86">
        <w:rPr>
          <w:rFonts w:ascii="Goudy" w:hAnsi="Goudy"/>
          <w:color w:val="0000FF"/>
          <w:spacing w:val="26"/>
          <w:kern w:val="28"/>
          <w:sz w:val="18"/>
          <w:szCs w:val="18"/>
        </w:rPr>
        <w:t xml:space="preserve">PHONE: (207) 623-7943                     </w:t>
      </w:r>
      <w:r w:rsidRPr="00A37F86">
        <w:rPr>
          <w:rFonts w:ascii="Goudy" w:hAnsi="Goudy"/>
          <w:color w:val="0000FF"/>
          <w:spacing w:val="26"/>
          <w:kern w:val="28"/>
          <w:sz w:val="18"/>
          <w:szCs w:val="18"/>
        </w:rPr>
        <w:tab/>
        <w:t>TTY users call Maine Relay 711                 FAX: (207) 287-5292</w:t>
      </w:r>
    </w:p>
    <w:p w14:paraId="4A801843" w14:textId="77777777" w:rsidR="00A37F86" w:rsidRPr="00A37F86" w:rsidRDefault="00A37F86" w:rsidP="00A37F86">
      <w:pPr>
        <w:tabs>
          <w:tab w:val="center" w:pos="5040"/>
          <w:tab w:val="right" w:pos="10080"/>
        </w:tabs>
        <w:spacing w:line="240" w:lineRule="atLeast"/>
        <w:ind w:left="-720" w:right="-1080"/>
        <w:jc w:val="center"/>
        <w:rPr>
          <w:rFonts w:ascii="Goudy" w:hAnsi="Goudy"/>
          <w:color w:val="0000FF"/>
          <w:spacing w:val="26"/>
          <w:kern w:val="28"/>
          <w:sz w:val="18"/>
          <w:szCs w:val="18"/>
        </w:rPr>
      </w:pPr>
      <w:r w:rsidRPr="00A37F86">
        <w:rPr>
          <w:rFonts w:ascii="Goudy" w:hAnsi="Goudy"/>
          <w:color w:val="0000FF"/>
          <w:spacing w:val="26"/>
          <w:kern w:val="28"/>
          <w:sz w:val="18"/>
          <w:szCs w:val="18"/>
        </w:rPr>
        <w:t>The Maine Department of Labor provides equal opportunity in programs, services and employment.</w:t>
      </w:r>
    </w:p>
    <w:p w14:paraId="2272B507" w14:textId="2609AC4E" w:rsidR="00D50C9A" w:rsidRPr="00664342" w:rsidRDefault="00A37F86" w:rsidP="0089290A">
      <w:pPr>
        <w:tabs>
          <w:tab w:val="center" w:pos="5040"/>
          <w:tab w:val="right" w:pos="10080"/>
        </w:tabs>
        <w:spacing w:line="240" w:lineRule="atLeast"/>
        <w:ind w:left="-720" w:right="-1080"/>
        <w:jc w:val="center"/>
        <w:rPr>
          <w:rFonts w:cs="Calibri"/>
          <w:sz w:val="22"/>
          <w:szCs w:val="22"/>
        </w:rPr>
      </w:pPr>
      <w:r w:rsidRPr="00A37F86">
        <w:rPr>
          <w:rFonts w:ascii="Goudy" w:hAnsi="Goudy"/>
          <w:color w:val="0000FF"/>
          <w:spacing w:val="26"/>
          <w:kern w:val="28"/>
          <w:sz w:val="18"/>
          <w:szCs w:val="18"/>
        </w:rPr>
        <w:t xml:space="preserve">Auxiliary aids and services are available to individuals with disabilities upon </w:t>
      </w:r>
      <w:proofErr w:type="spellStart"/>
      <w:r w:rsidRPr="00A37F86">
        <w:rPr>
          <w:rFonts w:ascii="Goudy" w:hAnsi="Goudy"/>
          <w:color w:val="0000FF"/>
          <w:spacing w:val="26"/>
          <w:kern w:val="28"/>
          <w:sz w:val="18"/>
          <w:szCs w:val="18"/>
        </w:rPr>
        <w:t>request.Programs</w:t>
      </w:r>
      <w:proofErr w:type="spellEnd"/>
      <w:r w:rsidRPr="00A37F86">
        <w:rPr>
          <w:rFonts w:ascii="Goudy" w:hAnsi="Goudy"/>
          <w:color w:val="0000FF"/>
          <w:spacing w:val="26"/>
          <w:kern w:val="28"/>
          <w:sz w:val="18"/>
          <w:szCs w:val="18"/>
        </w:rPr>
        <w:t xml:space="preserve"> are provided as a proud partner of the American Job Center network</w:t>
      </w:r>
      <w:r w:rsidR="0089290A">
        <w:rPr>
          <w:rFonts w:ascii="Goudy" w:hAnsi="Goudy"/>
          <w:color w:val="0000FF"/>
          <w:spacing w:val="26"/>
          <w:kern w:val="28"/>
          <w:sz w:val="20"/>
          <w:szCs w:val="20"/>
        </w:rPr>
        <w:t>.</w:t>
      </w:r>
    </w:p>
    <w:bookmarkEnd w:id="2"/>
    <w:p w14:paraId="2DF73221" w14:textId="77777777" w:rsidR="00D50C9A" w:rsidRDefault="00D50C9A" w:rsidP="0001172F">
      <w:pPr>
        <w:rPr>
          <w:rFonts w:ascii="Lato Black" w:hAnsi="Lato Black" w:cs="Calibri"/>
          <w:color w:val="00303E" w:themeColor="text1"/>
          <w:sz w:val="40"/>
          <w:szCs w:val="40"/>
        </w:rPr>
        <w:sectPr w:rsidR="00D50C9A" w:rsidSect="00C5472D">
          <w:pgSz w:w="12240" w:h="15840" w:code="1"/>
          <w:pgMar w:top="990" w:right="1440" w:bottom="630" w:left="1440" w:header="0" w:footer="672" w:gutter="0"/>
          <w:cols w:space="720"/>
          <w:titlePg/>
          <w:docGrid w:linePitch="360"/>
        </w:sectPr>
      </w:pPr>
    </w:p>
    <w:p w14:paraId="021F4E1F" w14:textId="617E9B5D" w:rsidR="005C3DEE" w:rsidRPr="00F83072" w:rsidRDefault="005C3DEE" w:rsidP="00A37F86">
      <w:pPr>
        <w:jc w:val="center"/>
        <w:rPr>
          <w:rFonts w:ascii="Lato Black" w:hAnsi="Lato Black" w:cs="Calibri"/>
          <w:color w:val="00303E" w:themeColor="text1"/>
          <w:sz w:val="40"/>
          <w:szCs w:val="40"/>
        </w:rPr>
      </w:pPr>
      <w:r w:rsidRPr="00EB0641">
        <w:rPr>
          <w:rFonts w:ascii="Lato Black" w:hAnsi="Lato Black" w:cs="Calibri"/>
          <w:color w:val="00303E" w:themeColor="text1"/>
          <w:sz w:val="40"/>
          <w:szCs w:val="40"/>
        </w:rPr>
        <w:lastRenderedPageBreak/>
        <w:t>Table of Contents</w:t>
      </w:r>
    </w:p>
    <w:bookmarkStart w:id="4" w:name="_Toc185326158" w:displacedByCustomXml="next"/>
    <w:sdt>
      <w:sdtPr>
        <w:rPr>
          <w:rFonts w:ascii="Calibri" w:eastAsia="Times New Roman" w:hAnsi="Calibri" w:cs="Times New Roman"/>
          <w:color w:val="auto"/>
          <w:sz w:val="24"/>
          <w:szCs w:val="24"/>
        </w:rPr>
        <w:id w:val="-1312397878"/>
        <w:docPartObj>
          <w:docPartGallery w:val="Table of Contents"/>
          <w:docPartUnique/>
        </w:docPartObj>
      </w:sdtPr>
      <w:sdtEndPr/>
      <w:sdtContent>
        <w:p w14:paraId="0BCB758C" w14:textId="4E0D69DD" w:rsidR="00FD06F4" w:rsidRDefault="00FD06F4">
          <w:pPr>
            <w:pStyle w:val="TOCHeading"/>
          </w:pPr>
        </w:p>
        <w:p w14:paraId="17692AD8" w14:textId="789A0078" w:rsidR="00FD06F4" w:rsidRDefault="00FD06F4">
          <w:pPr>
            <w:pStyle w:val="TOC1"/>
          </w:pPr>
          <w:r>
            <w:rPr>
              <w:b/>
              <w:bCs/>
            </w:rPr>
            <w:t xml:space="preserve">Bureau of Rehabilitation Services </w:t>
          </w:r>
          <w:r w:rsidR="004D2537">
            <w:rPr>
              <w:b/>
              <w:bCs/>
            </w:rPr>
            <w:t xml:space="preserve">(BRS) </w:t>
          </w:r>
          <w:r>
            <w:rPr>
              <w:b/>
              <w:bCs/>
            </w:rPr>
            <w:t>Overview</w:t>
          </w:r>
          <w:r>
            <w:ptab w:relativeTo="margin" w:alignment="right" w:leader="dot"/>
          </w:r>
          <w:r>
            <w:rPr>
              <w:b/>
              <w:bCs/>
            </w:rPr>
            <w:t>1</w:t>
          </w:r>
        </w:p>
        <w:p w14:paraId="3E358C1D" w14:textId="604FB71C" w:rsidR="00FD06F4" w:rsidRDefault="00FD06F4">
          <w:pPr>
            <w:pStyle w:val="TOC1"/>
          </w:pPr>
          <w:r>
            <w:rPr>
              <w:b/>
              <w:bCs/>
            </w:rPr>
            <w:t>How We Define Suc</w:t>
          </w:r>
          <w:r w:rsidR="000D7C0F">
            <w:rPr>
              <w:b/>
              <w:bCs/>
            </w:rPr>
            <w:t>c</w:t>
          </w:r>
          <w:r>
            <w:rPr>
              <w:b/>
              <w:bCs/>
            </w:rPr>
            <w:t>ess</w:t>
          </w:r>
          <w:r>
            <w:ptab w:relativeTo="margin" w:alignment="right" w:leader="dot"/>
          </w:r>
          <w:r>
            <w:rPr>
              <w:b/>
              <w:bCs/>
            </w:rPr>
            <w:t>3</w:t>
          </w:r>
        </w:p>
        <w:p w14:paraId="36DE868A" w14:textId="2AD0381A" w:rsidR="00FD06F4" w:rsidRDefault="000D7C0F" w:rsidP="00FD06F4">
          <w:pPr>
            <w:pStyle w:val="TOC1"/>
          </w:pPr>
          <w:r>
            <w:rPr>
              <w:b/>
              <w:bCs/>
            </w:rPr>
            <w:t>Division of Vocational Rehabilitation (DVR)</w:t>
          </w:r>
          <w:r w:rsidR="00FD06F4">
            <w:ptab w:relativeTo="margin" w:alignment="right" w:leader="dot"/>
          </w:r>
          <w:r>
            <w:rPr>
              <w:b/>
              <w:bCs/>
            </w:rPr>
            <w:t>5</w:t>
          </w:r>
        </w:p>
        <w:p w14:paraId="1B23DC5D" w14:textId="410F00D8" w:rsidR="00FD06F4" w:rsidRDefault="000D7C0F" w:rsidP="00FD06F4">
          <w:pPr>
            <w:pStyle w:val="TOC1"/>
          </w:pPr>
          <w:r>
            <w:rPr>
              <w:b/>
              <w:bCs/>
            </w:rPr>
            <w:t>DVR Initiatives &amp; Innovations</w:t>
          </w:r>
          <w:r w:rsidR="00FD06F4">
            <w:ptab w:relativeTo="margin" w:alignment="right" w:leader="dot"/>
          </w:r>
          <w:r w:rsidR="00046DA0">
            <w:rPr>
              <w:b/>
              <w:bCs/>
            </w:rPr>
            <w:t>6</w:t>
          </w:r>
        </w:p>
        <w:p w14:paraId="29E03AA5" w14:textId="5A40AD7D" w:rsidR="00FD06F4" w:rsidRDefault="004D2537" w:rsidP="00FD06F4">
          <w:pPr>
            <w:pStyle w:val="TOC1"/>
          </w:pPr>
          <w:r>
            <w:rPr>
              <w:b/>
              <w:bCs/>
            </w:rPr>
            <w:t>Division for Deaf Hard of Hearing and Late Deafened</w:t>
          </w:r>
          <w:r w:rsidR="00FD06F4">
            <w:ptab w:relativeTo="margin" w:alignment="right" w:leader="dot"/>
          </w:r>
          <w:r w:rsidR="00046DA0">
            <w:rPr>
              <w:b/>
              <w:bCs/>
            </w:rPr>
            <w:t>9</w:t>
          </w:r>
        </w:p>
        <w:p w14:paraId="17A209AE" w14:textId="56EECABF" w:rsidR="00FD06F4" w:rsidRDefault="004D2537" w:rsidP="00FD06F4">
          <w:pPr>
            <w:pStyle w:val="TOC1"/>
          </w:pPr>
          <w:r>
            <w:rPr>
              <w:b/>
              <w:bCs/>
            </w:rPr>
            <w:t>BRS Apprenticeship Program</w:t>
          </w:r>
          <w:r w:rsidR="00FD06F4">
            <w:ptab w:relativeTo="margin" w:alignment="right" w:leader="dot"/>
          </w:r>
          <w:r w:rsidR="00046DA0">
            <w:rPr>
              <w:b/>
              <w:bCs/>
            </w:rPr>
            <w:t>10</w:t>
          </w:r>
        </w:p>
        <w:p w14:paraId="5FA941EE" w14:textId="65140239" w:rsidR="004D2537" w:rsidRDefault="004D2537" w:rsidP="004D2537">
          <w:pPr>
            <w:pStyle w:val="TOC1"/>
          </w:pPr>
          <w:r>
            <w:rPr>
              <w:b/>
              <w:bCs/>
            </w:rPr>
            <w:t xml:space="preserve">Pathways to </w:t>
          </w:r>
          <w:r w:rsidR="00292E15">
            <w:rPr>
              <w:b/>
              <w:bCs/>
            </w:rPr>
            <w:t>Partnership</w:t>
          </w:r>
          <w:r w:rsidR="000B58FC">
            <w:rPr>
              <w:b/>
              <w:bCs/>
            </w:rPr>
            <w:t>s</w:t>
          </w:r>
          <w:r>
            <w:rPr>
              <w:b/>
              <w:bCs/>
            </w:rPr>
            <w:t xml:space="preserve"> (P2P) P</w:t>
          </w:r>
          <w:r w:rsidR="00292E15">
            <w:rPr>
              <w:b/>
              <w:bCs/>
            </w:rPr>
            <w:t>rogram</w:t>
          </w:r>
          <w:r>
            <w:ptab w:relativeTo="margin" w:alignment="right" w:leader="dot"/>
          </w:r>
          <w:r w:rsidR="000B58FC">
            <w:rPr>
              <w:b/>
              <w:bCs/>
            </w:rPr>
            <w:t>1</w:t>
          </w:r>
          <w:r w:rsidR="00046DA0">
            <w:rPr>
              <w:b/>
              <w:bCs/>
            </w:rPr>
            <w:t>2</w:t>
          </w:r>
        </w:p>
        <w:p w14:paraId="2DFBAF70" w14:textId="3F7E6C11" w:rsidR="004D2537" w:rsidRDefault="000B58FC" w:rsidP="004D2537">
          <w:pPr>
            <w:pStyle w:val="TOC1"/>
          </w:pPr>
          <w:r>
            <w:rPr>
              <w:b/>
              <w:bCs/>
            </w:rPr>
            <w:t>Division for the Blind and Visually Impaired (DBVI)</w:t>
          </w:r>
          <w:r w:rsidR="004D2537">
            <w:ptab w:relativeTo="margin" w:alignment="right" w:leader="dot"/>
          </w:r>
          <w:r>
            <w:rPr>
              <w:b/>
              <w:bCs/>
            </w:rPr>
            <w:t>1</w:t>
          </w:r>
          <w:r w:rsidR="00046DA0">
            <w:rPr>
              <w:b/>
              <w:bCs/>
            </w:rPr>
            <w:t>3</w:t>
          </w:r>
        </w:p>
        <w:p w14:paraId="22257F4D" w14:textId="7A94DE78" w:rsidR="004D2537" w:rsidRDefault="009A1100" w:rsidP="004D2537">
          <w:pPr>
            <w:pStyle w:val="TOC1"/>
          </w:pPr>
          <w:r>
            <w:rPr>
              <w:b/>
              <w:bCs/>
            </w:rPr>
            <w:t>DBVI Initiatives &amp; Innovations</w:t>
          </w:r>
          <w:r w:rsidR="004D2537">
            <w:ptab w:relativeTo="margin" w:alignment="right" w:leader="dot"/>
          </w:r>
          <w:r w:rsidR="00553A11">
            <w:rPr>
              <w:b/>
              <w:bCs/>
            </w:rPr>
            <w:t>1</w:t>
          </w:r>
          <w:r w:rsidR="00046DA0">
            <w:rPr>
              <w:b/>
              <w:bCs/>
            </w:rPr>
            <w:t>4</w:t>
          </w:r>
        </w:p>
        <w:p w14:paraId="61E28B53" w14:textId="57BBDDC0" w:rsidR="004D2537" w:rsidRDefault="00553A11" w:rsidP="004D2537">
          <w:pPr>
            <w:pStyle w:val="TOC1"/>
          </w:pPr>
          <w:r>
            <w:rPr>
              <w:b/>
              <w:bCs/>
            </w:rPr>
            <w:t>Systems Improvement Quality Assurance (SIQA)</w:t>
          </w:r>
          <w:r w:rsidR="004D2537">
            <w:ptab w:relativeTo="margin" w:alignment="right" w:leader="dot"/>
          </w:r>
          <w:r>
            <w:rPr>
              <w:b/>
              <w:bCs/>
            </w:rPr>
            <w:t>1</w:t>
          </w:r>
          <w:r w:rsidR="00046DA0">
            <w:rPr>
              <w:b/>
              <w:bCs/>
            </w:rPr>
            <w:t>8</w:t>
          </w:r>
        </w:p>
        <w:p w14:paraId="4C0DC83D" w14:textId="21ECB358" w:rsidR="004D2537" w:rsidRDefault="00553A11" w:rsidP="004D2537">
          <w:pPr>
            <w:pStyle w:val="TOC1"/>
          </w:pPr>
          <w:r>
            <w:rPr>
              <w:b/>
              <w:bCs/>
            </w:rPr>
            <w:t>Office of State ADA Coordinator</w:t>
          </w:r>
          <w:r w:rsidR="004D2537">
            <w:ptab w:relativeTo="margin" w:alignment="right" w:leader="dot"/>
          </w:r>
          <w:r w:rsidR="00095D06">
            <w:rPr>
              <w:b/>
              <w:bCs/>
            </w:rPr>
            <w:t>1</w:t>
          </w:r>
          <w:r w:rsidR="00046DA0">
            <w:rPr>
              <w:b/>
              <w:bCs/>
            </w:rPr>
            <w:t>9</w:t>
          </w:r>
        </w:p>
        <w:p w14:paraId="2F8B3EC8" w14:textId="307BDBC8" w:rsidR="00095D06" w:rsidRDefault="00DA2C53" w:rsidP="00095D06">
          <w:pPr>
            <w:pStyle w:val="TOC1"/>
          </w:pPr>
          <w:r>
            <w:rPr>
              <w:b/>
              <w:bCs/>
            </w:rPr>
            <w:t>Partners in Advocacy</w:t>
          </w:r>
          <w:r w:rsidR="00095D06">
            <w:ptab w:relativeTo="margin" w:alignment="right" w:leader="dot"/>
          </w:r>
          <w:r w:rsidR="00046DA0">
            <w:rPr>
              <w:b/>
              <w:bCs/>
            </w:rPr>
            <w:t>21</w:t>
          </w:r>
        </w:p>
        <w:p w14:paraId="49DE6B08" w14:textId="4345867E" w:rsidR="00DA2C53" w:rsidRDefault="00DA2C53" w:rsidP="00DA2C53">
          <w:pPr>
            <w:pStyle w:val="TOC1"/>
          </w:pPr>
          <w:r>
            <w:rPr>
              <w:b/>
              <w:bCs/>
            </w:rPr>
            <w:t>BRS Office Directory</w:t>
          </w:r>
          <w:r>
            <w:ptab w:relativeTo="margin" w:alignment="right" w:leader="dot"/>
          </w:r>
          <w:r w:rsidR="00046DA0">
            <w:rPr>
              <w:b/>
              <w:bCs/>
            </w:rPr>
            <w:t>22</w:t>
          </w:r>
        </w:p>
        <w:p w14:paraId="52FC413C" w14:textId="18461BD4" w:rsidR="00FD06F4" w:rsidRPr="00FD06F4" w:rsidRDefault="00114CD7" w:rsidP="00DA2C53"/>
      </w:sdtContent>
    </w:sdt>
    <w:p w14:paraId="799836AE" w14:textId="6841DAE4" w:rsidR="00D33C14" w:rsidRPr="00B14405" w:rsidRDefault="00B14405" w:rsidP="009B6F03">
      <w:pPr>
        <w:sectPr w:rsidR="00D33C14" w:rsidRPr="00B14405" w:rsidSect="00471E2B">
          <w:footerReference w:type="default" r:id="rId16"/>
          <w:footerReference w:type="first" r:id="rId17"/>
          <w:pgSz w:w="12240" w:h="15840" w:code="1"/>
          <w:pgMar w:top="900" w:right="630" w:bottom="450" w:left="720" w:header="144" w:footer="132" w:gutter="0"/>
          <w:pgNumType w:start="1"/>
          <w:cols w:space="720"/>
          <w:titlePg/>
          <w:docGrid w:linePitch="360"/>
        </w:sectPr>
      </w:pPr>
      <w:r>
        <w:tab/>
      </w:r>
    </w:p>
    <w:p w14:paraId="677E2175" w14:textId="77777777" w:rsidR="00795973" w:rsidRDefault="00795973" w:rsidP="009B6F03"/>
    <w:p w14:paraId="00C9EB47" w14:textId="5F76B156" w:rsidR="0035448D" w:rsidRDefault="0035448D" w:rsidP="00E049EE">
      <w:pPr>
        <w:pStyle w:val="Title"/>
      </w:pPr>
      <w:r w:rsidRPr="00F561A7">
        <w:t>Bureau of Rehabilitation Services Overview</w:t>
      </w:r>
      <w:bookmarkEnd w:id="4"/>
    </w:p>
    <w:p w14:paraId="5D53BDC3" w14:textId="6D2CF143" w:rsidR="0035448D" w:rsidRPr="00875425" w:rsidRDefault="00BF0480" w:rsidP="00772B04">
      <w:pPr>
        <w:pStyle w:val="NoSpacing"/>
        <w:rPr>
          <w:color w:val="7030A0"/>
          <w:sz w:val="22"/>
          <w:szCs w:val="22"/>
        </w:rPr>
      </w:pPr>
      <w:r>
        <w:rPr>
          <w:noProof/>
        </w:rPr>
        <w:drawing>
          <wp:anchor distT="0" distB="0" distL="114300" distR="114300" simplePos="0" relativeHeight="251658260" behindDoc="1" locked="0" layoutInCell="1" allowOverlap="1" wp14:anchorId="58ACEE62" wp14:editId="3A446DD4">
            <wp:simplePos x="0" y="0"/>
            <wp:positionH relativeFrom="column">
              <wp:posOffset>2461260</wp:posOffset>
            </wp:positionH>
            <wp:positionV relativeFrom="paragraph">
              <wp:posOffset>163608</wp:posOffset>
            </wp:positionV>
            <wp:extent cx="4493895" cy="2247265"/>
            <wp:effectExtent l="0" t="0" r="1905" b="635"/>
            <wp:wrapTight wrapText="bothSides">
              <wp:wrapPolygon edited="0">
                <wp:start x="0" y="0"/>
                <wp:lineTo x="0" y="21423"/>
                <wp:lineTo x="21518" y="21423"/>
                <wp:lineTo x="21518" y="0"/>
                <wp:lineTo x="0" y="0"/>
              </wp:wrapPolygon>
            </wp:wrapTight>
            <wp:docPr id="34" name="Chart 34" descr="Pie chart titled &quot;Major Disabling Conditions of Maine Clients Receiving VR Services from BRS&quot; with percentages as follows: 38.2% Cognitive Disability; 32.2% Psychological/Psychosocial; 3.1% Blind or Visually Impaired; 13.3% Deaf, Hard of Hearing, Communicative; 13.2% Physical Disabi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7D58CC" w:rsidRPr="008F46C5">
        <w:rPr>
          <w:sz w:val="22"/>
          <w:szCs w:val="22"/>
        </w:rPr>
        <w:t>The Bureau of Rehabilitation Services (</w:t>
      </w:r>
      <w:r w:rsidR="00772B04" w:rsidRPr="008F46C5">
        <w:rPr>
          <w:sz w:val="22"/>
          <w:szCs w:val="22"/>
        </w:rPr>
        <w:t>BRS</w:t>
      </w:r>
      <w:r w:rsidR="007D58CC" w:rsidRPr="008F46C5">
        <w:rPr>
          <w:sz w:val="22"/>
          <w:szCs w:val="22"/>
        </w:rPr>
        <w:t>)</w:t>
      </w:r>
      <w:r w:rsidR="00772B04" w:rsidRPr="008F46C5">
        <w:rPr>
          <w:sz w:val="22"/>
          <w:szCs w:val="22"/>
        </w:rPr>
        <w:t xml:space="preserve"> is comprised of </w:t>
      </w:r>
      <w:r w:rsidR="00D12597">
        <w:rPr>
          <w:sz w:val="22"/>
          <w:szCs w:val="22"/>
        </w:rPr>
        <w:t>four</w:t>
      </w:r>
      <w:r w:rsidR="00772B04" w:rsidRPr="008F46C5">
        <w:rPr>
          <w:sz w:val="22"/>
          <w:szCs w:val="22"/>
        </w:rPr>
        <w:t xml:space="preserve"> Divisions – the Division of Vocational Rehabilitation (DVR), </w:t>
      </w:r>
      <w:r w:rsidR="00D12597">
        <w:rPr>
          <w:sz w:val="22"/>
          <w:szCs w:val="22"/>
        </w:rPr>
        <w:t xml:space="preserve">the Division for the Deaf, Hard of Hearing, and Late Deafened (DODHHLD), </w:t>
      </w:r>
      <w:r w:rsidR="00772B04" w:rsidRPr="008F46C5">
        <w:rPr>
          <w:sz w:val="22"/>
          <w:szCs w:val="22"/>
        </w:rPr>
        <w:t>the Division for the Blind and Visually Impaired (</w:t>
      </w:r>
      <w:r w:rsidR="00772B04" w:rsidRPr="00D32332">
        <w:rPr>
          <w:sz w:val="22"/>
          <w:szCs w:val="22"/>
        </w:rPr>
        <w:t>DBVI), and the Division of Systems Improvement and Quality Assurance (SIQA).</w:t>
      </w:r>
      <w:r w:rsidR="003D6B33" w:rsidRPr="00D32332">
        <w:rPr>
          <w:sz w:val="22"/>
          <w:szCs w:val="22"/>
        </w:rPr>
        <w:t xml:space="preserve"> </w:t>
      </w:r>
      <w:r w:rsidR="009A3B56">
        <w:rPr>
          <w:sz w:val="22"/>
          <w:szCs w:val="22"/>
        </w:rPr>
        <w:t xml:space="preserve">As Maine’s tight labor market continues, </w:t>
      </w:r>
      <w:r w:rsidR="00E80055" w:rsidRPr="00D32332">
        <w:rPr>
          <w:sz w:val="22"/>
          <w:szCs w:val="22"/>
        </w:rPr>
        <w:t xml:space="preserve">BRS has </w:t>
      </w:r>
      <w:r w:rsidR="009A3B56">
        <w:rPr>
          <w:sz w:val="22"/>
          <w:szCs w:val="22"/>
        </w:rPr>
        <w:t xml:space="preserve">had </w:t>
      </w:r>
      <w:r w:rsidR="00E80055" w:rsidRPr="00D32332">
        <w:rPr>
          <w:sz w:val="22"/>
          <w:szCs w:val="22"/>
        </w:rPr>
        <w:t xml:space="preserve">an </w:t>
      </w:r>
      <w:r w:rsidR="00E80055" w:rsidRPr="00F561A7">
        <w:rPr>
          <w:sz w:val="22"/>
          <w:szCs w:val="22"/>
        </w:rPr>
        <w:t xml:space="preserve">average of </w:t>
      </w:r>
      <w:r w:rsidR="00E80055" w:rsidRPr="00F561A7">
        <w:rPr>
          <w:b/>
          <w:bCs/>
          <w:sz w:val="22"/>
          <w:szCs w:val="22"/>
        </w:rPr>
        <w:t>1</w:t>
      </w:r>
      <w:r w:rsidR="000D2917" w:rsidRPr="00F561A7">
        <w:rPr>
          <w:b/>
          <w:bCs/>
          <w:sz w:val="22"/>
          <w:szCs w:val="22"/>
        </w:rPr>
        <w:t>52</w:t>
      </w:r>
      <w:r w:rsidR="00E80055" w:rsidRPr="00F561A7">
        <w:rPr>
          <w:sz w:val="22"/>
          <w:szCs w:val="22"/>
        </w:rPr>
        <w:t xml:space="preserve"> employees deliver</w:t>
      </w:r>
      <w:r w:rsidR="00352371" w:rsidRPr="00F561A7">
        <w:rPr>
          <w:sz w:val="22"/>
          <w:szCs w:val="22"/>
        </w:rPr>
        <w:t>ing</w:t>
      </w:r>
      <w:r w:rsidR="00D74DAB" w:rsidRPr="00D32332">
        <w:rPr>
          <w:sz w:val="22"/>
          <w:szCs w:val="22"/>
        </w:rPr>
        <w:t xml:space="preserve"> public </w:t>
      </w:r>
      <w:r w:rsidR="0035448D" w:rsidRPr="00D32332">
        <w:rPr>
          <w:rFonts w:cs="Calibri"/>
          <w:sz w:val="22"/>
          <w:szCs w:val="22"/>
        </w:rPr>
        <w:t>vocational rehabilitation and independent living services</w:t>
      </w:r>
      <w:r w:rsidR="00D74DAB" w:rsidRPr="00D32332">
        <w:rPr>
          <w:rFonts w:cs="Calibri"/>
          <w:sz w:val="22"/>
          <w:szCs w:val="22"/>
        </w:rPr>
        <w:t xml:space="preserve"> </w:t>
      </w:r>
      <w:r w:rsidR="00FF2BE0" w:rsidRPr="00D32332">
        <w:rPr>
          <w:rFonts w:cs="Calibri"/>
          <w:sz w:val="22"/>
          <w:szCs w:val="22"/>
        </w:rPr>
        <w:t xml:space="preserve">to </w:t>
      </w:r>
      <w:r w:rsidR="00D74DAB" w:rsidRPr="00D32332">
        <w:rPr>
          <w:rFonts w:cs="Calibri"/>
          <w:sz w:val="22"/>
          <w:szCs w:val="22"/>
        </w:rPr>
        <w:t xml:space="preserve">people with disabilities throughout the </w:t>
      </w:r>
      <w:r w:rsidR="00352371">
        <w:rPr>
          <w:rFonts w:cs="Calibri"/>
          <w:sz w:val="22"/>
          <w:szCs w:val="22"/>
        </w:rPr>
        <w:t xml:space="preserve">last </w:t>
      </w:r>
      <w:r w:rsidR="00D74DAB" w:rsidRPr="00D32332">
        <w:rPr>
          <w:rFonts w:cs="Calibri"/>
          <w:sz w:val="22"/>
          <w:szCs w:val="22"/>
        </w:rPr>
        <w:t>year.</w:t>
      </w:r>
      <w:r w:rsidR="0035448D" w:rsidRPr="00D32332">
        <w:rPr>
          <w:rFonts w:cs="Calibri"/>
          <w:sz w:val="22"/>
          <w:szCs w:val="22"/>
        </w:rPr>
        <w:t xml:space="preserve"> </w:t>
      </w:r>
      <w:r w:rsidR="00D74DAB" w:rsidRPr="00D32332">
        <w:rPr>
          <w:rFonts w:cs="Calibri"/>
          <w:sz w:val="22"/>
          <w:szCs w:val="22"/>
        </w:rPr>
        <w:t>C</w:t>
      </w:r>
      <w:r w:rsidR="0035448D" w:rsidRPr="00D32332">
        <w:rPr>
          <w:rFonts w:cs="Calibri"/>
          <w:sz w:val="22"/>
          <w:szCs w:val="22"/>
        </w:rPr>
        <w:t>o-loca</w:t>
      </w:r>
      <w:r w:rsidR="00772B04" w:rsidRPr="00D32332">
        <w:rPr>
          <w:rFonts w:cs="Calibri"/>
          <w:sz w:val="22"/>
          <w:szCs w:val="22"/>
        </w:rPr>
        <w:t>t</w:t>
      </w:r>
      <w:r w:rsidR="000F1F60" w:rsidRPr="00D32332">
        <w:rPr>
          <w:rFonts w:cs="Calibri"/>
          <w:sz w:val="22"/>
          <w:szCs w:val="22"/>
        </w:rPr>
        <w:t>ed at CareerCenters statewide</w:t>
      </w:r>
      <w:r w:rsidR="00D74DAB" w:rsidRPr="00D32332">
        <w:rPr>
          <w:rFonts w:cs="Calibri"/>
          <w:sz w:val="22"/>
          <w:szCs w:val="22"/>
        </w:rPr>
        <w:t xml:space="preserve">, BRS </w:t>
      </w:r>
      <w:r w:rsidR="0035448D" w:rsidRPr="00D32332">
        <w:rPr>
          <w:rFonts w:cs="Calibri"/>
          <w:sz w:val="22"/>
          <w:szCs w:val="22"/>
        </w:rPr>
        <w:t xml:space="preserve">also houses the </w:t>
      </w:r>
      <w:r w:rsidR="00772B04" w:rsidRPr="00D32332">
        <w:rPr>
          <w:rFonts w:cs="Calibri"/>
          <w:sz w:val="22"/>
          <w:szCs w:val="22"/>
        </w:rPr>
        <w:t xml:space="preserve">Office of the </w:t>
      </w:r>
      <w:r w:rsidR="0035448D" w:rsidRPr="00D32332">
        <w:rPr>
          <w:rFonts w:cs="Calibri"/>
          <w:sz w:val="22"/>
          <w:szCs w:val="22"/>
        </w:rPr>
        <w:t xml:space="preserve">State Accessibility Coordinator, who leads the State’s compliance under the Americans with Disabilities Act (ADA) and Section </w:t>
      </w:r>
      <w:r w:rsidR="0035448D" w:rsidRPr="00B05BB8">
        <w:rPr>
          <w:rFonts w:cs="Calibri"/>
          <w:sz w:val="22"/>
          <w:szCs w:val="22"/>
        </w:rPr>
        <w:t xml:space="preserve">504 </w:t>
      </w:r>
      <w:r w:rsidR="0035448D" w:rsidRPr="003F729D">
        <w:rPr>
          <w:rFonts w:cs="Calibri"/>
          <w:i/>
          <w:sz w:val="22"/>
          <w:szCs w:val="22"/>
        </w:rPr>
        <w:t xml:space="preserve">(see page </w:t>
      </w:r>
      <w:r w:rsidR="003F729D" w:rsidRPr="003F729D">
        <w:rPr>
          <w:rFonts w:cs="Calibri"/>
          <w:i/>
          <w:sz w:val="22"/>
          <w:szCs w:val="22"/>
        </w:rPr>
        <w:t>10</w:t>
      </w:r>
      <w:r w:rsidR="0035448D" w:rsidRPr="003F729D">
        <w:rPr>
          <w:rFonts w:cs="Calibri"/>
          <w:i/>
          <w:sz w:val="22"/>
          <w:szCs w:val="22"/>
        </w:rPr>
        <w:t>).</w:t>
      </w:r>
      <w:r w:rsidR="0035448D" w:rsidRPr="00D32332">
        <w:rPr>
          <w:rFonts w:cs="Calibri"/>
          <w:sz w:val="22"/>
          <w:szCs w:val="22"/>
        </w:rPr>
        <w:t xml:space="preserve"> </w:t>
      </w:r>
      <w:bookmarkStart w:id="5" w:name="_Hlk42757080"/>
      <w:bookmarkEnd w:id="5"/>
    </w:p>
    <w:p w14:paraId="70A3B9CE" w14:textId="277EF9E8" w:rsidR="0035448D" w:rsidRPr="008F46C5" w:rsidRDefault="0035448D" w:rsidP="0099195A">
      <w:pPr>
        <w:rPr>
          <w:rFonts w:cs="Calibri"/>
          <w:sz w:val="20"/>
          <w:szCs w:val="22"/>
        </w:rPr>
      </w:pPr>
    </w:p>
    <w:p w14:paraId="541C0294" w14:textId="63084E62" w:rsidR="0035448D" w:rsidRPr="008F46C5" w:rsidRDefault="00A2430F" w:rsidP="0099195A">
      <w:pPr>
        <w:rPr>
          <w:rFonts w:cs="Calibri"/>
          <w:sz w:val="22"/>
          <w:szCs w:val="22"/>
        </w:rPr>
      </w:pPr>
      <w:r w:rsidRPr="008F46C5">
        <w:rPr>
          <w:rFonts w:cs="Calibri"/>
          <w:sz w:val="22"/>
          <w:szCs w:val="22"/>
        </w:rPr>
        <w:t xml:space="preserve">The Rehabilitation Act of 1973, as amended by the Workforce Innovation and Opportunity Act (WIOA) of 2014, </w:t>
      </w:r>
      <w:r w:rsidR="0035448D" w:rsidRPr="008F46C5">
        <w:rPr>
          <w:rFonts w:cs="Calibri"/>
          <w:sz w:val="22"/>
          <w:szCs w:val="22"/>
        </w:rPr>
        <w:t>establishes program eligibility and the scope of services</w:t>
      </w:r>
      <w:r w:rsidR="00B85731" w:rsidRPr="008F46C5">
        <w:rPr>
          <w:rFonts w:cs="Calibri"/>
          <w:sz w:val="22"/>
          <w:szCs w:val="22"/>
        </w:rPr>
        <w:t xml:space="preserve"> </w:t>
      </w:r>
      <w:r w:rsidR="003D6B33" w:rsidRPr="008F46C5">
        <w:rPr>
          <w:rFonts w:cs="Calibri"/>
          <w:sz w:val="22"/>
          <w:szCs w:val="22"/>
        </w:rPr>
        <w:t xml:space="preserve">provided through DVR and DBVI. </w:t>
      </w:r>
      <w:r w:rsidR="0035448D" w:rsidRPr="008F46C5">
        <w:rPr>
          <w:rFonts w:cs="Calibri"/>
          <w:sz w:val="22"/>
          <w:szCs w:val="22"/>
        </w:rPr>
        <w:t xml:space="preserve">Included are vocational counseling </w:t>
      </w:r>
      <w:r w:rsidR="005872E8" w:rsidRPr="008F46C5">
        <w:rPr>
          <w:rFonts w:cs="Calibri"/>
          <w:sz w:val="22"/>
          <w:szCs w:val="22"/>
        </w:rPr>
        <w:t xml:space="preserve">and </w:t>
      </w:r>
      <w:r w:rsidR="0035448D" w:rsidRPr="008F46C5">
        <w:rPr>
          <w:rFonts w:cs="Calibri"/>
          <w:sz w:val="22"/>
          <w:szCs w:val="22"/>
        </w:rPr>
        <w:t>guidance, physical restoration services, education and skills traini</w:t>
      </w:r>
      <w:r w:rsidR="00530BAF" w:rsidRPr="008F46C5">
        <w:rPr>
          <w:rFonts w:cs="Calibri"/>
          <w:sz w:val="22"/>
          <w:szCs w:val="22"/>
        </w:rPr>
        <w:t>n</w:t>
      </w:r>
      <w:r w:rsidR="003D6B33" w:rsidRPr="008F46C5">
        <w:rPr>
          <w:rFonts w:cs="Calibri"/>
          <w:sz w:val="22"/>
          <w:szCs w:val="22"/>
        </w:rPr>
        <w:t>g, and job placement services.</w:t>
      </w:r>
      <w:r w:rsidR="008F46C5">
        <w:rPr>
          <w:rFonts w:cs="Calibri"/>
          <w:sz w:val="22"/>
          <w:szCs w:val="22"/>
        </w:rPr>
        <w:t xml:space="preserve"> </w:t>
      </w:r>
      <w:r w:rsidR="0035448D" w:rsidRPr="008F46C5">
        <w:rPr>
          <w:rFonts w:cs="Calibri"/>
          <w:sz w:val="22"/>
          <w:szCs w:val="22"/>
        </w:rPr>
        <w:t>DBVI</w:t>
      </w:r>
      <w:r w:rsidR="00530BAF" w:rsidRPr="008F46C5">
        <w:rPr>
          <w:rFonts w:cs="Calibri"/>
          <w:sz w:val="22"/>
          <w:szCs w:val="22"/>
        </w:rPr>
        <w:t xml:space="preserve">, in conjunction with the </w:t>
      </w:r>
      <w:r w:rsidR="00D12597">
        <w:rPr>
          <w:rFonts w:cs="Calibri"/>
          <w:sz w:val="22"/>
          <w:szCs w:val="22"/>
        </w:rPr>
        <w:t xml:space="preserve">Maine </w:t>
      </w:r>
      <w:r w:rsidR="00530BAF" w:rsidRPr="008F46C5">
        <w:rPr>
          <w:rFonts w:cs="Calibri"/>
          <w:sz w:val="22"/>
          <w:szCs w:val="22"/>
        </w:rPr>
        <w:t>Department of Education,</w:t>
      </w:r>
      <w:r w:rsidR="0035448D" w:rsidRPr="008F46C5">
        <w:rPr>
          <w:rFonts w:cs="Calibri"/>
          <w:sz w:val="22"/>
          <w:szCs w:val="22"/>
        </w:rPr>
        <w:t xml:space="preserve"> also ser</w:t>
      </w:r>
      <w:r w:rsidR="000F77F4" w:rsidRPr="008F46C5">
        <w:rPr>
          <w:rFonts w:cs="Calibri"/>
          <w:sz w:val="22"/>
          <w:szCs w:val="22"/>
        </w:rPr>
        <w:t xml:space="preserve">ves all </w:t>
      </w:r>
      <w:r w:rsidR="00530BAF" w:rsidRPr="008F46C5">
        <w:rPr>
          <w:rFonts w:cs="Calibri"/>
          <w:sz w:val="22"/>
          <w:szCs w:val="22"/>
        </w:rPr>
        <w:t>children</w:t>
      </w:r>
      <w:r w:rsidR="000F77F4" w:rsidRPr="008F46C5">
        <w:rPr>
          <w:rFonts w:cs="Calibri"/>
          <w:sz w:val="22"/>
          <w:szCs w:val="22"/>
        </w:rPr>
        <w:t xml:space="preserve"> who are blind</w:t>
      </w:r>
      <w:r w:rsidR="00530BAF" w:rsidRPr="008F46C5">
        <w:rPr>
          <w:rFonts w:cs="Calibri"/>
          <w:sz w:val="22"/>
          <w:szCs w:val="22"/>
        </w:rPr>
        <w:t xml:space="preserve"> in Maine</w:t>
      </w:r>
      <w:r w:rsidR="0035448D" w:rsidRPr="008F46C5">
        <w:rPr>
          <w:rFonts w:cs="Calibri"/>
          <w:sz w:val="22"/>
          <w:szCs w:val="22"/>
        </w:rPr>
        <w:t>.</w:t>
      </w:r>
    </w:p>
    <w:p w14:paraId="519BD396" w14:textId="4D45F67F" w:rsidR="0035448D" w:rsidRPr="00A570B2" w:rsidRDefault="00795973" w:rsidP="0099195A">
      <w:pPr>
        <w:rPr>
          <w:rFonts w:cs="Calibri"/>
          <w:color w:val="FF0000"/>
          <w:sz w:val="20"/>
          <w:szCs w:val="22"/>
        </w:rPr>
      </w:pPr>
      <w:r>
        <w:rPr>
          <w:noProof/>
        </w:rPr>
        <w:drawing>
          <wp:anchor distT="0" distB="0" distL="114300" distR="114300" simplePos="0" relativeHeight="251658259" behindDoc="0" locked="0" layoutInCell="1" allowOverlap="1" wp14:anchorId="4F2735E9" wp14:editId="10E92FC3">
            <wp:simplePos x="0" y="0"/>
            <wp:positionH relativeFrom="column">
              <wp:posOffset>-83185</wp:posOffset>
            </wp:positionH>
            <wp:positionV relativeFrom="paragraph">
              <wp:posOffset>192405</wp:posOffset>
            </wp:positionV>
            <wp:extent cx="4362450" cy="2055495"/>
            <wp:effectExtent l="0" t="0" r="0" b="1905"/>
            <wp:wrapSquare wrapText="bothSides"/>
            <wp:docPr id="974660097" name="Chart 974660097" descr="Pie chart titled &quot;Gender of Individuals Receiving VR Services from BRS&quot; with percentages as follows: 42.9% Female; 54.4% Male; 1.4% Non-Binary; 1.3% Does Not Wish to Identify."/>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621109F1" w14:textId="210305F8" w:rsidR="0035448D" w:rsidRPr="00C974CC" w:rsidRDefault="000831DB" w:rsidP="0099195A">
      <w:pPr>
        <w:rPr>
          <w:rFonts w:cs="Calibri"/>
          <w:sz w:val="22"/>
          <w:szCs w:val="22"/>
        </w:rPr>
      </w:pPr>
      <w:r w:rsidRPr="00C974CC">
        <w:rPr>
          <w:rFonts w:cs="Calibri"/>
          <w:sz w:val="22"/>
          <w:szCs w:val="22"/>
        </w:rPr>
        <w:t xml:space="preserve">This </w:t>
      </w:r>
      <w:r w:rsidRPr="00F144F1">
        <w:rPr>
          <w:rFonts w:cs="Calibri"/>
          <w:sz w:val="22"/>
          <w:szCs w:val="22"/>
        </w:rPr>
        <w:t>past yea</w:t>
      </w:r>
      <w:r w:rsidR="00AE6CFB" w:rsidRPr="00F144F1">
        <w:rPr>
          <w:rFonts w:cs="Calibri"/>
          <w:sz w:val="22"/>
          <w:szCs w:val="22"/>
        </w:rPr>
        <w:t xml:space="preserve">r, </w:t>
      </w:r>
      <w:r w:rsidR="003C7A84">
        <w:rPr>
          <w:rFonts w:cs="Calibri"/>
          <w:b/>
          <w:bCs/>
          <w:sz w:val="22"/>
          <w:szCs w:val="22"/>
        </w:rPr>
        <w:t>9,</w:t>
      </w:r>
      <w:r w:rsidR="00FE2AC6">
        <w:rPr>
          <w:rFonts w:cs="Calibri"/>
          <w:b/>
          <w:bCs/>
          <w:sz w:val="22"/>
          <w:szCs w:val="22"/>
        </w:rPr>
        <w:t>7</w:t>
      </w:r>
      <w:r w:rsidR="002929FC">
        <w:rPr>
          <w:rFonts w:cs="Calibri"/>
          <w:b/>
          <w:bCs/>
          <w:sz w:val="22"/>
          <w:szCs w:val="22"/>
        </w:rPr>
        <w:t>85</w:t>
      </w:r>
      <w:r w:rsidR="0035448D" w:rsidRPr="00F144F1">
        <w:rPr>
          <w:rFonts w:cs="Calibri"/>
          <w:sz w:val="22"/>
          <w:szCs w:val="22"/>
        </w:rPr>
        <w:t xml:space="preserve"> Mainers with disabilit</w:t>
      </w:r>
      <w:r w:rsidR="00772B04" w:rsidRPr="00F144F1">
        <w:rPr>
          <w:rFonts w:cs="Calibri"/>
          <w:sz w:val="22"/>
          <w:szCs w:val="22"/>
        </w:rPr>
        <w:t>i</w:t>
      </w:r>
      <w:r w:rsidR="004905D5" w:rsidRPr="00F144F1">
        <w:rPr>
          <w:rFonts w:cs="Calibri"/>
          <w:sz w:val="22"/>
          <w:szCs w:val="22"/>
        </w:rPr>
        <w:t>es received services from BRS</w:t>
      </w:r>
      <w:r w:rsidR="003C7A84">
        <w:rPr>
          <w:rFonts w:cs="Calibri"/>
          <w:sz w:val="22"/>
          <w:szCs w:val="22"/>
        </w:rPr>
        <w:t xml:space="preserve"> via the Vocational Rehabilitation</w:t>
      </w:r>
      <w:r w:rsidR="00FE2AC6">
        <w:rPr>
          <w:rFonts w:cs="Calibri"/>
          <w:sz w:val="22"/>
          <w:szCs w:val="22"/>
        </w:rPr>
        <w:t>,</w:t>
      </w:r>
      <w:r w:rsidR="003C7A84">
        <w:rPr>
          <w:rFonts w:cs="Calibri"/>
          <w:sz w:val="22"/>
          <w:szCs w:val="22"/>
        </w:rPr>
        <w:t xml:space="preserve"> Independent Living</w:t>
      </w:r>
      <w:r w:rsidR="00FE2AC6">
        <w:rPr>
          <w:rFonts w:cs="Calibri"/>
          <w:sz w:val="22"/>
          <w:szCs w:val="22"/>
        </w:rPr>
        <w:t>, Orientation &amp; Mobility</w:t>
      </w:r>
      <w:r w:rsidR="002929FC">
        <w:rPr>
          <w:rFonts w:cs="Calibri"/>
          <w:sz w:val="22"/>
          <w:szCs w:val="22"/>
        </w:rPr>
        <w:t>, and education programs</w:t>
      </w:r>
      <w:r w:rsidR="004905D5" w:rsidRPr="00F144F1">
        <w:rPr>
          <w:rFonts w:cs="Calibri"/>
          <w:sz w:val="22"/>
          <w:szCs w:val="22"/>
        </w:rPr>
        <w:t>; o</w:t>
      </w:r>
      <w:r w:rsidR="00772B04" w:rsidRPr="00F144F1">
        <w:rPr>
          <w:rFonts w:cs="Calibri"/>
          <w:sz w:val="22"/>
          <w:szCs w:val="22"/>
        </w:rPr>
        <w:t>f those participants,</w:t>
      </w:r>
      <w:r w:rsidR="00BE54B9" w:rsidRPr="00F144F1">
        <w:rPr>
          <w:rFonts w:cs="Calibri"/>
          <w:sz w:val="22"/>
          <w:szCs w:val="22"/>
        </w:rPr>
        <w:t xml:space="preserve"> </w:t>
      </w:r>
      <w:r w:rsidR="0094252F">
        <w:rPr>
          <w:rFonts w:cs="Calibri"/>
          <w:b/>
          <w:sz w:val="22"/>
          <w:szCs w:val="22"/>
        </w:rPr>
        <w:t>7,493</w:t>
      </w:r>
      <w:r w:rsidR="0035448D" w:rsidRPr="00F144F1">
        <w:rPr>
          <w:rFonts w:cs="Calibri"/>
          <w:sz w:val="22"/>
          <w:szCs w:val="22"/>
        </w:rPr>
        <w:t xml:space="preserve"> received servi</w:t>
      </w:r>
      <w:r w:rsidR="00772B04" w:rsidRPr="00F144F1">
        <w:rPr>
          <w:rFonts w:cs="Calibri"/>
          <w:sz w:val="22"/>
          <w:szCs w:val="22"/>
        </w:rPr>
        <w:t>c</w:t>
      </w:r>
      <w:r w:rsidR="004905D5" w:rsidRPr="00F144F1">
        <w:rPr>
          <w:rFonts w:cs="Calibri"/>
          <w:sz w:val="22"/>
          <w:szCs w:val="22"/>
        </w:rPr>
        <w:t>es with a plan for employment.</w:t>
      </w:r>
      <w:r w:rsidR="00D97F50" w:rsidRPr="00F144F1">
        <w:rPr>
          <w:rFonts w:cs="Calibri"/>
          <w:sz w:val="22"/>
          <w:szCs w:val="22"/>
        </w:rPr>
        <w:t xml:space="preserve"> </w:t>
      </w:r>
      <w:r w:rsidR="004905D5" w:rsidRPr="00F144F1">
        <w:rPr>
          <w:rFonts w:cs="Calibri"/>
          <w:sz w:val="22"/>
          <w:szCs w:val="22"/>
        </w:rPr>
        <w:t>C</w:t>
      </w:r>
      <w:r w:rsidR="0035448D" w:rsidRPr="00F144F1">
        <w:rPr>
          <w:rFonts w:cs="Calibri"/>
          <w:sz w:val="22"/>
          <w:szCs w:val="22"/>
        </w:rPr>
        <w:t>ounselors work</w:t>
      </w:r>
      <w:r w:rsidR="00B85731" w:rsidRPr="00F144F1">
        <w:rPr>
          <w:rFonts w:cs="Calibri"/>
          <w:sz w:val="22"/>
          <w:szCs w:val="22"/>
        </w:rPr>
        <w:t>ed with clients who had</w:t>
      </w:r>
      <w:r w:rsidR="0035448D" w:rsidRPr="00F144F1">
        <w:rPr>
          <w:rFonts w:cs="Calibri"/>
          <w:sz w:val="22"/>
          <w:szCs w:val="22"/>
        </w:rPr>
        <w:t xml:space="preserve"> an employment plan, on average, for</w:t>
      </w:r>
      <w:r w:rsidR="00D0773B" w:rsidRPr="00F144F1">
        <w:rPr>
          <w:rFonts w:cs="Calibri"/>
          <w:sz w:val="22"/>
          <w:szCs w:val="22"/>
        </w:rPr>
        <w:t xml:space="preserve"> </w:t>
      </w:r>
      <w:r w:rsidR="00476CF4" w:rsidRPr="00F144F1">
        <w:rPr>
          <w:rFonts w:cs="Calibri"/>
          <w:b/>
          <w:bCs/>
          <w:sz w:val="22"/>
          <w:szCs w:val="22"/>
        </w:rPr>
        <w:t>703</w:t>
      </w:r>
      <w:r w:rsidR="00D0773B" w:rsidRPr="00F144F1">
        <w:rPr>
          <w:rFonts w:cs="Calibri"/>
          <w:sz w:val="22"/>
          <w:szCs w:val="22"/>
        </w:rPr>
        <w:t xml:space="preserve"> days or about</w:t>
      </w:r>
      <w:r w:rsidR="0035448D" w:rsidRPr="00F144F1">
        <w:rPr>
          <w:rFonts w:cs="Calibri"/>
          <w:sz w:val="22"/>
          <w:szCs w:val="22"/>
        </w:rPr>
        <w:t xml:space="preserve"> </w:t>
      </w:r>
      <w:r w:rsidR="00F12759" w:rsidRPr="00F144F1">
        <w:rPr>
          <w:rFonts w:cs="Calibri"/>
          <w:b/>
          <w:bCs/>
          <w:sz w:val="22"/>
          <w:szCs w:val="22"/>
        </w:rPr>
        <w:t>2</w:t>
      </w:r>
      <w:r w:rsidR="00907820" w:rsidRPr="00F144F1">
        <w:rPr>
          <w:rFonts w:cs="Calibri"/>
          <w:b/>
          <w:bCs/>
          <w:sz w:val="22"/>
          <w:szCs w:val="22"/>
        </w:rPr>
        <w:t>3</w:t>
      </w:r>
      <w:r w:rsidR="0035448D" w:rsidRPr="00F144F1">
        <w:rPr>
          <w:rFonts w:cs="Calibri"/>
          <w:sz w:val="22"/>
          <w:szCs w:val="22"/>
        </w:rPr>
        <w:t xml:space="preserve"> </w:t>
      </w:r>
      <w:r w:rsidR="003D6B33" w:rsidRPr="00F144F1">
        <w:rPr>
          <w:rFonts w:cs="Calibri"/>
          <w:sz w:val="22"/>
          <w:szCs w:val="22"/>
        </w:rPr>
        <w:t xml:space="preserve">months. </w:t>
      </w:r>
      <w:r w:rsidR="004C56D3" w:rsidRPr="00F144F1">
        <w:rPr>
          <w:rFonts w:cs="Calibri"/>
          <w:sz w:val="22"/>
          <w:szCs w:val="22"/>
        </w:rPr>
        <w:t xml:space="preserve">A total of </w:t>
      </w:r>
      <w:r w:rsidR="00956F19" w:rsidRPr="00F144F1">
        <w:rPr>
          <w:rFonts w:cs="Calibri"/>
          <w:b/>
          <w:sz w:val="22"/>
          <w:szCs w:val="22"/>
        </w:rPr>
        <w:t>4</w:t>
      </w:r>
      <w:r w:rsidR="00D56420" w:rsidRPr="00F144F1">
        <w:rPr>
          <w:rFonts w:cs="Calibri"/>
          <w:b/>
          <w:sz w:val="22"/>
          <w:szCs w:val="22"/>
        </w:rPr>
        <w:t>48</w:t>
      </w:r>
      <w:r w:rsidR="004C56D3" w:rsidRPr="00F144F1">
        <w:rPr>
          <w:rFonts w:cs="Calibri"/>
          <w:b/>
          <w:sz w:val="22"/>
          <w:szCs w:val="22"/>
        </w:rPr>
        <w:t xml:space="preserve"> </w:t>
      </w:r>
      <w:r w:rsidR="0035448D" w:rsidRPr="00F144F1">
        <w:rPr>
          <w:rFonts w:cs="Calibri"/>
          <w:sz w:val="22"/>
          <w:szCs w:val="22"/>
        </w:rPr>
        <w:t xml:space="preserve">clients were successfully employed </w:t>
      </w:r>
      <w:r w:rsidR="003B2FAD" w:rsidRPr="00F144F1">
        <w:rPr>
          <w:rFonts w:cs="Calibri"/>
          <w:sz w:val="22"/>
          <w:szCs w:val="22"/>
        </w:rPr>
        <w:t>earning</w:t>
      </w:r>
      <w:r w:rsidR="0035448D" w:rsidRPr="00F144F1">
        <w:rPr>
          <w:rFonts w:cs="Calibri"/>
          <w:sz w:val="22"/>
          <w:szCs w:val="22"/>
        </w:rPr>
        <w:t xml:space="preserve"> an average wage of </w:t>
      </w:r>
      <w:r w:rsidR="002D0286" w:rsidRPr="00F144F1">
        <w:rPr>
          <w:rFonts w:cs="Calibri"/>
          <w:b/>
          <w:bCs/>
          <w:sz w:val="22"/>
          <w:szCs w:val="22"/>
        </w:rPr>
        <w:t>$</w:t>
      </w:r>
      <w:r w:rsidR="00C0315F" w:rsidRPr="00F144F1">
        <w:rPr>
          <w:rFonts w:cs="Calibri"/>
          <w:b/>
          <w:bCs/>
          <w:sz w:val="22"/>
          <w:szCs w:val="22"/>
        </w:rPr>
        <w:t>6</w:t>
      </w:r>
      <w:r w:rsidR="000C4696" w:rsidRPr="00F144F1">
        <w:rPr>
          <w:rFonts w:cs="Calibri"/>
          <w:b/>
          <w:bCs/>
          <w:sz w:val="22"/>
          <w:szCs w:val="22"/>
        </w:rPr>
        <w:t>75.69</w:t>
      </w:r>
      <w:r w:rsidR="003C2022" w:rsidRPr="00F144F1">
        <w:rPr>
          <w:rFonts w:cs="Calibri"/>
          <w:sz w:val="22"/>
          <w:szCs w:val="22"/>
        </w:rPr>
        <w:t xml:space="preserve"> </w:t>
      </w:r>
      <w:r w:rsidR="0035448D" w:rsidRPr="00F144F1">
        <w:rPr>
          <w:rFonts w:cs="Calibri"/>
          <w:sz w:val="22"/>
          <w:szCs w:val="22"/>
        </w:rPr>
        <w:t xml:space="preserve">per week. </w:t>
      </w:r>
    </w:p>
    <w:p w14:paraId="5E23A449" w14:textId="20DDECC9" w:rsidR="008704AC" w:rsidRDefault="008704AC" w:rsidP="00800623">
      <w:pPr>
        <w:rPr>
          <w:rFonts w:cs="Calibri"/>
          <w:sz w:val="22"/>
          <w:szCs w:val="22"/>
        </w:rPr>
      </w:pPr>
    </w:p>
    <w:p w14:paraId="05DAFF47" w14:textId="25DB47D6" w:rsidR="0081436E" w:rsidRDefault="00795973" w:rsidP="00551B9F">
      <w:pPr>
        <w:rPr>
          <w:rFonts w:cs="Calibri"/>
          <w:sz w:val="22"/>
          <w:szCs w:val="22"/>
        </w:rPr>
      </w:pPr>
      <w:r>
        <w:rPr>
          <w:noProof/>
        </w:rPr>
        <w:drawing>
          <wp:anchor distT="0" distB="0" distL="114300" distR="114300" simplePos="0" relativeHeight="251658261" behindDoc="1" locked="0" layoutInCell="1" allowOverlap="1" wp14:anchorId="5D516E41" wp14:editId="5DDAD25B">
            <wp:simplePos x="0" y="0"/>
            <wp:positionH relativeFrom="column">
              <wp:posOffset>2552083</wp:posOffset>
            </wp:positionH>
            <wp:positionV relativeFrom="paragraph">
              <wp:posOffset>474184</wp:posOffset>
            </wp:positionV>
            <wp:extent cx="4406747" cy="2127602"/>
            <wp:effectExtent l="0" t="0" r="13335" b="6350"/>
            <wp:wrapNone/>
            <wp:docPr id="196089135" name="Chart 196089135" descr="Pie chart titled &quot;Ethnicity of Individuals Receiving VR Services from BRS&quot; with percentages as follows: 0.9% American Native/Alaska Native; 0.9% Asian; 3.4% Black/African American; 0% Native Hawaiian/Pacific Islander; 88.9% White; 4.8% More Than One; 1.2% Does Not Wish to Self-Identify."/>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800623" w:rsidRPr="00C974CC">
        <w:rPr>
          <w:rFonts w:cs="Calibri"/>
          <w:sz w:val="22"/>
          <w:szCs w:val="22"/>
        </w:rPr>
        <w:t xml:space="preserve">BRS receives most of its funding from federal grants, some of which require matching state funds. The largest </w:t>
      </w:r>
      <w:r w:rsidR="00800623" w:rsidRPr="00C974CC">
        <w:rPr>
          <w:rFonts w:cs="Calibri"/>
          <w:i/>
          <w:sz w:val="22"/>
          <w:szCs w:val="22"/>
        </w:rPr>
        <w:t>(one administered by DVR and one administered by DBVI)</w:t>
      </w:r>
      <w:r w:rsidR="00800623" w:rsidRPr="00C974CC">
        <w:rPr>
          <w:rFonts w:cs="Calibri"/>
          <w:sz w:val="22"/>
          <w:szCs w:val="22"/>
        </w:rPr>
        <w:t xml:space="preserve"> are from the Department of Education’s Title I grant program for vocational rehabilitation services</w:t>
      </w:r>
      <w:r w:rsidR="00042744">
        <w:rPr>
          <w:rFonts w:cs="Calibri"/>
          <w:sz w:val="22"/>
          <w:szCs w:val="22"/>
        </w:rPr>
        <w:t>.</w:t>
      </w:r>
    </w:p>
    <w:p w14:paraId="7856B072" w14:textId="77777777" w:rsidR="0081436E" w:rsidRDefault="0081436E">
      <w:pPr>
        <w:rPr>
          <w:rFonts w:cs="Calibri"/>
          <w:sz w:val="22"/>
          <w:szCs w:val="22"/>
        </w:rPr>
      </w:pPr>
      <w:r>
        <w:rPr>
          <w:rFonts w:cs="Calibri"/>
          <w:sz w:val="22"/>
          <w:szCs w:val="22"/>
        </w:rPr>
        <w:br w:type="page"/>
      </w:r>
    </w:p>
    <w:p w14:paraId="16E76384" w14:textId="77777777" w:rsidR="006B140E" w:rsidRDefault="006B140E" w:rsidP="00551B9F">
      <w:pPr>
        <w:rPr>
          <w:rFonts w:cs="Calibri"/>
          <w:b/>
          <w:sz w:val="22"/>
          <w:szCs w:val="22"/>
        </w:rPr>
      </w:pPr>
    </w:p>
    <w:p w14:paraId="719FBB83" w14:textId="77777777" w:rsidR="006B140E" w:rsidRDefault="006B140E" w:rsidP="00800623">
      <w:pPr>
        <w:ind w:left="1440" w:firstLine="720"/>
        <w:rPr>
          <w:rFonts w:cs="Calibri"/>
          <w:b/>
          <w:sz w:val="22"/>
          <w:szCs w:val="22"/>
        </w:rPr>
      </w:pPr>
    </w:p>
    <w:p w14:paraId="2B0CA3CD" w14:textId="3D7FF9D2" w:rsidR="00800623" w:rsidRPr="00157A52" w:rsidRDefault="00800623" w:rsidP="00800623">
      <w:pPr>
        <w:ind w:left="1440" w:firstLine="720"/>
        <w:rPr>
          <w:rFonts w:cs="Calibri"/>
          <w:sz w:val="22"/>
          <w:szCs w:val="22"/>
        </w:rPr>
      </w:pPr>
      <w:r w:rsidRPr="00F144F1">
        <w:rPr>
          <w:rFonts w:cs="Calibri"/>
          <w:b/>
          <w:sz w:val="22"/>
          <w:szCs w:val="22"/>
        </w:rPr>
        <w:t>Federal Grants</w:t>
      </w:r>
      <w:r w:rsidRPr="00157A52">
        <w:rPr>
          <w:rFonts w:cs="Calibri"/>
          <w:b/>
          <w:sz w:val="22"/>
          <w:szCs w:val="22"/>
        </w:rPr>
        <w:tab/>
      </w:r>
      <w:r w:rsidRPr="00157A52">
        <w:rPr>
          <w:rFonts w:cs="Calibri"/>
          <w:b/>
          <w:sz w:val="22"/>
          <w:szCs w:val="22"/>
        </w:rPr>
        <w:tab/>
      </w:r>
      <w:r w:rsidRPr="00157A52">
        <w:rPr>
          <w:rFonts w:cs="Calibri"/>
          <w:b/>
          <w:sz w:val="22"/>
          <w:szCs w:val="22"/>
        </w:rPr>
        <w:tab/>
      </w:r>
      <w:r w:rsidRPr="00157A52">
        <w:rPr>
          <w:rFonts w:cs="Calibri"/>
          <w:b/>
          <w:sz w:val="22"/>
          <w:szCs w:val="22"/>
        </w:rPr>
        <w:tab/>
        <w:t>Required General Fund Match</w:t>
      </w:r>
      <w:r w:rsidRPr="00157A52">
        <w:rPr>
          <w:rFonts w:cs="Calibri"/>
          <w:sz w:val="22"/>
          <w:szCs w:val="22"/>
        </w:rPr>
        <w:t xml:space="preserve">  </w:t>
      </w:r>
    </w:p>
    <w:p w14:paraId="1EF4BF0D" w14:textId="77777777" w:rsidR="00800623" w:rsidRPr="00157A52" w:rsidRDefault="00800623" w:rsidP="00800623">
      <w:pPr>
        <w:ind w:left="1440" w:firstLine="720"/>
        <w:rPr>
          <w:rFonts w:cs="Calibri"/>
          <w:sz w:val="22"/>
          <w:szCs w:val="22"/>
        </w:rPr>
      </w:pPr>
      <w:r w:rsidRPr="00157A52">
        <w:rPr>
          <w:rFonts w:cs="Calibri"/>
          <w:sz w:val="22"/>
          <w:szCs w:val="22"/>
        </w:rPr>
        <w:t>Vocational Rehabilitation</w:t>
      </w:r>
      <w:r w:rsidRPr="00157A52">
        <w:rPr>
          <w:rFonts w:cs="Calibri"/>
          <w:sz w:val="22"/>
          <w:szCs w:val="22"/>
        </w:rPr>
        <w:tab/>
      </w:r>
      <w:r w:rsidRPr="00157A52">
        <w:rPr>
          <w:rFonts w:cs="Calibri"/>
          <w:sz w:val="22"/>
          <w:szCs w:val="22"/>
        </w:rPr>
        <w:tab/>
        <w:t>4:1 (21%)</w:t>
      </w:r>
    </w:p>
    <w:p w14:paraId="1BA801AB" w14:textId="35C9B7AE" w:rsidR="00800623" w:rsidRPr="00157A52" w:rsidRDefault="00800623" w:rsidP="00561C35">
      <w:pPr>
        <w:ind w:left="2160"/>
        <w:rPr>
          <w:rFonts w:cs="Calibri"/>
          <w:sz w:val="22"/>
          <w:szCs w:val="22"/>
        </w:rPr>
      </w:pPr>
      <w:r w:rsidRPr="00157A52">
        <w:rPr>
          <w:rFonts w:cs="Calibri"/>
          <w:sz w:val="22"/>
          <w:szCs w:val="22"/>
        </w:rPr>
        <w:t>Independent Living</w:t>
      </w:r>
      <w:r w:rsidRPr="00157A52">
        <w:rPr>
          <w:rFonts w:cs="Calibri"/>
          <w:sz w:val="22"/>
          <w:szCs w:val="22"/>
        </w:rPr>
        <w:tab/>
      </w:r>
      <w:r w:rsidRPr="00157A52">
        <w:rPr>
          <w:rFonts w:cs="Calibri"/>
          <w:sz w:val="22"/>
          <w:szCs w:val="22"/>
        </w:rPr>
        <w:tab/>
        <w:t xml:space="preserve"> </w:t>
      </w:r>
      <w:r w:rsidRPr="00157A52">
        <w:rPr>
          <w:rFonts w:cs="Calibri"/>
          <w:sz w:val="22"/>
          <w:szCs w:val="22"/>
        </w:rPr>
        <w:tab/>
        <w:t>9:1 (11%)</w:t>
      </w:r>
      <w:r w:rsidR="00561C35" w:rsidRPr="00157A52">
        <w:rPr>
          <w:rFonts w:cs="Calibri"/>
          <w:sz w:val="22"/>
          <w:szCs w:val="22"/>
        </w:rPr>
        <w:br/>
      </w:r>
      <w:r w:rsidRPr="00157A52">
        <w:rPr>
          <w:rFonts w:cs="Calibri"/>
          <w:sz w:val="22"/>
          <w:szCs w:val="22"/>
        </w:rPr>
        <w:t>Supported Employment</w:t>
      </w:r>
      <w:r w:rsidR="00B63163" w:rsidRPr="00157A52">
        <w:rPr>
          <w:rFonts w:cs="Calibri"/>
          <w:sz w:val="22"/>
          <w:szCs w:val="22"/>
        </w:rPr>
        <w:t xml:space="preserve"> - Youth</w:t>
      </w:r>
      <w:r w:rsidRPr="00157A52">
        <w:rPr>
          <w:rFonts w:cs="Calibri"/>
          <w:sz w:val="22"/>
          <w:szCs w:val="22"/>
        </w:rPr>
        <w:tab/>
      </w:r>
      <w:r w:rsidRPr="00157A52">
        <w:rPr>
          <w:rFonts w:cs="Calibri"/>
          <w:sz w:val="22"/>
          <w:szCs w:val="22"/>
        </w:rPr>
        <w:tab/>
      </w:r>
      <w:r w:rsidR="00B63163" w:rsidRPr="00157A52">
        <w:rPr>
          <w:rFonts w:cs="Calibri"/>
          <w:sz w:val="22"/>
          <w:szCs w:val="22"/>
        </w:rPr>
        <w:t>10%</w:t>
      </w:r>
    </w:p>
    <w:p w14:paraId="1754BE63" w14:textId="7F69812E" w:rsidR="00800623" w:rsidRPr="008655FD" w:rsidRDefault="00B63163" w:rsidP="00800623">
      <w:pPr>
        <w:ind w:left="1440" w:firstLine="720"/>
        <w:rPr>
          <w:rFonts w:cs="Calibri"/>
          <w:sz w:val="22"/>
          <w:szCs w:val="22"/>
        </w:rPr>
      </w:pPr>
      <w:r w:rsidRPr="00157A52">
        <w:rPr>
          <w:rFonts w:cs="Calibri"/>
          <w:sz w:val="22"/>
          <w:szCs w:val="22"/>
        </w:rPr>
        <w:t>Supported Employment - Adult</w:t>
      </w:r>
      <w:r w:rsidR="00800623" w:rsidRPr="00157A52">
        <w:rPr>
          <w:rFonts w:cs="Calibri"/>
          <w:sz w:val="22"/>
          <w:szCs w:val="22"/>
        </w:rPr>
        <w:tab/>
      </w:r>
      <w:r w:rsidR="00800623" w:rsidRPr="00157A52">
        <w:rPr>
          <w:rFonts w:cs="Calibri"/>
          <w:sz w:val="22"/>
          <w:szCs w:val="22"/>
        </w:rPr>
        <w:tab/>
        <w:t>None</w:t>
      </w:r>
    </w:p>
    <w:p w14:paraId="29189776" w14:textId="130C15A6" w:rsidR="00800623" w:rsidRDefault="00800623" w:rsidP="00800623">
      <w:pPr>
        <w:rPr>
          <w:rFonts w:cs="Calibri"/>
          <w:color w:val="FF0000"/>
          <w:sz w:val="22"/>
          <w:szCs w:val="22"/>
        </w:rPr>
      </w:pPr>
      <w:r w:rsidRPr="00A570B2">
        <w:rPr>
          <w:rFonts w:cs="Calibri"/>
          <w:color w:val="FF0000"/>
          <w:sz w:val="22"/>
          <w:szCs w:val="22"/>
        </w:rPr>
        <w:t> </w:t>
      </w:r>
    </w:p>
    <w:p w14:paraId="687341AA" w14:textId="663F0395" w:rsidR="009D685B" w:rsidRDefault="0050272D" w:rsidP="00800623">
      <w:pPr>
        <w:rPr>
          <w:rFonts w:cs="Calibri"/>
          <w:color w:val="FF0000"/>
          <w:sz w:val="22"/>
          <w:szCs w:val="22"/>
        </w:rPr>
      </w:pPr>
      <w:r w:rsidRPr="009D685B">
        <w:rPr>
          <w:rFonts w:cs="Calibri"/>
          <w:noProof/>
          <w:color w:val="EEECE1" w:themeColor="background1"/>
          <w:sz w:val="20"/>
          <w:szCs w:val="20"/>
          <w14:textFill>
            <w14:noFill/>
          </w14:textFill>
        </w:rPr>
        <w:drawing>
          <wp:anchor distT="0" distB="0" distL="114300" distR="114300" simplePos="0" relativeHeight="251658258" behindDoc="1" locked="0" layoutInCell="1" allowOverlap="1" wp14:anchorId="7A28BB65" wp14:editId="2EC4DC8E">
            <wp:simplePos x="0" y="0"/>
            <wp:positionH relativeFrom="column">
              <wp:posOffset>598805</wp:posOffset>
            </wp:positionH>
            <wp:positionV relativeFrom="paragraph">
              <wp:posOffset>120015</wp:posOffset>
            </wp:positionV>
            <wp:extent cx="5202555" cy="2485390"/>
            <wp:effectExtent l="0" t="0" r="17145" b="10160"/>
            <wp:wrapTight wrapText="bothSides">
              <wp:wrapPolygon edited="0">
                <wp:start x="0" y="0"/>
                <wp:lineTo x="0" y="21523"/>
                <wp:lineTo x="21592" y="21523"/>
                <wp:lineTo x="21592" y="0"/>
                <wp:lineTo x="0" y="0"/>
              </wp:wrapPolygon>
            </wp:wrapTight>
            <wp:docPr id="157279506" name="Chart 157279506" descr="Pie chart graph titled, &quot;Revenue by Funding Source $32 Million&quot; as follows: 66.5% Federal Grants; 31.3% General Fund; and 2.2% Special Revenue Funds."/>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75E2E4E8" w14:textId="5C8FCD86" w:rsidR="009D685B" w:rsidRPr="00A570B2" w:rsidRDefault="009D685B" w:rsidP="00800623">
      <w:pPr>
        <w:rPr>
          <w:rFonts w:cs="Calibri"/>
          <w:color w:val="FF0000"/>
          <w:sz w:val="16"/>
          <w:szCs w:val="22"/>
        </w:rPr>
      </w:pPr>
    </w:p>
    <w:p w14:paraId="2F7745E3" w14:textId="26CECA98" w:rsidR="00800623" w:rsidRPr="00A570B2" w:rsidRDefault="00800623" w:rsidP="00800623">
      <w:pPr>
        <w:rPr>
          <w:rFonts w:cs="Calibri"/>
          <w:color w:val="FF0000"/>
          <w:sz w:val="22"/>
          <w:szCs w:val="22"/>
        </w:rPr>
      </w:pPr>
    </w:p>
    <w:p w14:paraId="0DC0DBE7" w14:textId="0EFC6A59" w:rsidR="00800623" w:rsidRPr="00A570B2" w:rsidRDefault="00800623" w:rsidP="00800623">
      <w:pPr>
        <w:rPr>
          <w:rFonts w:cs="Calibri"/>
          <w:color w:val="FF0000"/>
          <w:sz w:val="22"/>
          <w:szCs w:val="22"/>
        </w:rPr>
      </w:pPr>
    </w:p>
    <w:p w14:paraId="3AC0D681" w14:textId="21D680EE" w:rsidR="00800623" w:rsidRPr="00A570B2" w:rsidRDefault="00800623" w:rsidP="00800623">
      <w:pPr>
        <w:rPr>
          <w:rFonts w:cs="Calibri"/>
          <w:color w:val="FF0000"/>
          <w:sz w:val="22"/>
          <w:szCs w:val="22"/>
        </w:rPr>
      </w:pPr>
    </w:p>
    <w:p w14:paraId="12F1E570" w14:textId="4C7219CD" w:rsidR="00800623" w:rsidRPr="00A570B2" w:rsidRDefault="00800623" w:rsidP="00800623">
      <w:pPr>
        <w:rPr>
          <w:rFonts w:cs="Calibri"/>
          <w:color w:val="FF0000"/>
          <w:sz w:val="22"/>
          <w:szCs w:val="22"/>
        </w:rPr>
      </w:pPr>
    </w:p>
    <w:p w14:paraId="64FBB39B" w14:textId="77777777" w:rsidR="00800623" w:rsidRPr="00A570B2" w:rsidRDefault="00800623" w:rsidP="00800623">
      <w:pPr>
        <w:rPr>
          <w:rFonts w:cs="Calibri"/>
          <w:color w:val="FF0000"/>
          <w:sz w:val="22"/>
          <w:szCs w:val="22"/>
        </w:rPr>
      </w:pPr>
    </w:p>
    <w:p w14:paraId="27262ACF" w14:textId="77777777" w:rsidR="00800623" w:rsidRPr="00A570B2" w:rsidRDefault="00800623" w:rsidP="00800623">
      <w:pPr>
        <w:rPr>
          <w:rFonts w:cs="Calibri"/>
          <w:color w:val="FF0000"/>
          <w:sz w:val="22"/>
          <w:szCs w:val="22"/>
        </w:rPr>
      </w:pPr>
    </w:p>
    <w:p w14:paraId="7E451772" w14:textId="77777777" w:rsidR="00800623" w:rsidRPr="00A570B2" w:rsidRDefault="00800623" w:rsidP="00800623">
      <w:pPr>
        <w:rPr>
          <w:rFonts w:cs="Calibri"/>
          <w:color w:val="FF0000"/>
          <w:sz w:val="22"/>
          <w:szCs w:val="22"/>
        </w:rPr>
      </w:pPr>
    </w:p>
    <w:p w14:paraId="3BA15EDC" w14:textId="77777777" w:rsidR="00800623" w:rsidRPr="00A570B2" w:rsidRDefault="00800623" w:rsidP="00800623">
      <w:pPr>
        <w:rPr>
          <w:rFonts w:cs="Calibri"/>
          <w:color w:val="FF0000"/>
          <w:sz w:val="22"/>
          <w:szCs w:val="22"/>
        </w:rPr>
      </w:pPr>
    </w:p>
    <w:p w14:paraId="38C0EDDF" w14:textId="77777777" w:rsidR="00800623" w:rsidRPr="00A570B2" w:rsidRDefault="00800623" w:rsidP="00800623">
      <w:pPr>
        <w:rPr>
          <w:rFonts w:cs="Calibri"/>
          <w:color w:val="FF0000"/>
          <w:sz w:val="22"/>
          <w:szCs w:val="22"/>
        </w:rPr>
      </w:pPr>
    </w:p>
    <w:p w14:paraId="5C725695" w14:textId="77777777" w:rsidR="00800623" w:rsidRPr="00A570B2" w:rsidRDefault="00800623" w:rsidP="00800623">
      <w:pPr>
        <w:rPr>
          <w:rFonts w:cs="Calibri"/>
          <w:color w:val="FF0000"/>
          <w:sz w:val="22"/>
          <w:szCs w:val="22"/>
        </w:rPr>
      </w:pPr>
    </w:p>
    <w:p w14:paraId="2970726A" w14:textId="77777777" w:rsidR="00800623" w:rsidRPr="00A570B2" w:rsidRDefault="00800623" w:rsidP="00800623">
      <w:pPr>
        <w:rPr>
          <w:rFonts w:cs="Calibri"/>
          <w:color w:val="FF0000"/>
          <w:sz w:val="22"/>
          <w:szCs w:val="22"/>
        </w:rPr>
      </w:pPr>
    </w:p>
    <w:p w14:paraId="59E20FA4" w14:textId="77777777" w:rsidR="00800623" w:rsidRPr="00A570B2" w:rsidRDefault="00800623" w:rsidP="00800623">
      <w:pPr>
        <w:rPr>
          <w:rFonts w:cs="Calibri"/>
          <w:color w:val="FF0000"/>
          <w:sz w:val="22"/>
          <w:szCs w:val="22"/>
        </w:rPr>
      </w:pPr>
    </w:p>
    <w:p w14:paraId="507EFD30" w14:textId="77777777" w:rsidR="00800623" w:rsidRPr="00A570B2" w:rsidRDefault="00800623" w:rsidP="00800623">
      <w:pPr>
        <w:rPr>
          <w:rFonts w:cs="Calibri"/>
          <w:color w:val="FF0000"/>
          <w:sz w:val="22"/>
          <w:szCs w:val="22"/>
        </w:rPr>
      </w:pPr>
    </w:p>
    <w:p w14:paraId="259595E7" w14:textId="11CE66F5" w:rsidR="00800623" w:rsidRPr="00CE2D0C" w:rsidRDefault="00800623" w:rsidP="00800623">
      <w:pPr>
        <w:rPr>
          <w:rFonts w:asciiTheme="minorHAnsi" w:hAnsiTheme="minorHAnsi" w:cstheme="minorHAnsi"/>
          <w:color w:val="FF0000"/>
          <w:sz w:val="22"/>
          <w:szCs w:val="22"/>
        </w:rPr>
      </w:pPr>
    </w:p>
    <w:p w14:paraId="76A4838D" w14:textId="77777777" w:rsidR="00E35267" w:rsidRPr="00721CAA" w:rsidRDefault="00E35267" w:rsidP="00800623">
      <w:pPr>
        <w:rPr>
          <w:rFonts w:asciiTheme="minorHAnsi" w:hAnsiTheme="minorHAnsi" w:cstheme="minorHAnsi"/>
          <w:sz w:val="4"/>
          <w:szCs w:val="4"/>
        </w:rPr>
      </w:pPr>
    </w:p>
    <w:p w14:paraId="6CEC8E73" w14:textId="77777777" w:rsidR="0050272D" w:rsidRDefault="0050272D" w:rsidP="00157A52">
      <w:pPr>
        <w:pStyle w:val="Title"/>
        <w:jc w:val="center"/>
        <w:rPr>
          <w:rFonts w:asciiTheme="minorHAnsi" w:hAnsiTheme="minorHAnsi" w:cstheme="minorHAnsi"/>
          <w:color w:val="auto"/>
          <w:sz w:val="22"/>
          <w:szCs w:val="22"/>
        </w:rPr>
      </w:pPr>
    </w:p>
    <w:p w14:paraId="7CD5AF25" w14:textId="6E0ADD43" w:rsidR="00CE2D0C" w:rsidRDefault="00800623" w:rsidP="00157A52">
      <w:pPr>
        <w:pStyle w:val="Title"/>
        <w:jc w:val="center"/>
        <w:rPr>
          <w:rFonts w:asciiTheme="minorHAnsi" w:hAnsiTheme="minorHAnsi" w:cstheme="minorHAnsi"/>
          <w:color w:val="auto"/>
          <w:sz w:val="22"/>
          <w:szCs w:val="22"/>
        </w:rPr>
      </w:pPr>
      <w:r w:rsidRPr="00157A52">
        <w:rPr>
          <w:rFonts w:asciiTheme="minorHAnsi" w:hAnsiTheme="minorHAnsi" w:cstheme="minorHAnsi"/>
          <w:color w:val="auto"/>
          <w:sz w:val="22"/>
          <w:szCs w:val="22"/>
        </w:rPr>
        <w:t>Special Revenue income is received from the Business Enterprise Program</w:t>
      </w:r>
      <w:r w:rsidR="00940729" w:rsidRPr="00157A52">
        <w:rPr>
          <w:rFonts w:asciiTheme="minorHAnsi" w:hAnsiTheme="minorHAnsi" w:cstheme="minorHAnsi"/>
          <w:color w:val="auto"/>
          <w:sz w:val="22"/>
          <w:szCs w:val="22"/>
        </w:rPr>
        <w:t xml:space="preserve"> </w:t>
      </w:r>
      <w:r w:rsidRPr="00157A52">
        <w:rPr>
          <w:rFonts w:asciiTheme="minorHAnsi" w:hAnsiTheme="minorHAnsi" w:cstheme="minorHAnsi"/>
          <w:color w:val="auto"/>
          <w:sz w:val="22"/>
          <w:szCs w:val="22"/>
        </w:rPr>
        <w:t xml:space="preserve">and the Public Utilities </w:t>
      </w:r>
      <w:r w:rsidR="00DE7974">
        <w:rPr>
          <w:rFonts w:asciiTheme="minorHAnsi" w:hAnsiTheme="minorHAnsi" w:cstheme="minorHAnsi"/>
          <w:color w:val="auto"/>
          <w:sz w:val="22"/>
          <w:szCs w:val="22"/>
        </w:rPr>
        <w:br/>
      </w:r>
      <w:r w:rsidRPr="00157A52">
        <w:rPr>
          <w:rFonts w:asciiTheme="minorHAnsi" w:hAnsiTheme="minorHAnsi" w:cstheme="minorHAnsi"/>
          <w:color w:val="auto"/>
          <w:sz w:val="22"/>
          <w:szCs w:val="22"/>
        </w:rPr>
        <w:t>Commission for telecommunications. The use of the Special Revenue funds is</w:t>
      </w:r>
      <w:r w:rsidR="00DE7974">
        <w:rPr>
          <w:rFonts w:asciiTheme="minorHAnsi" w:hAnsiTheme="minorHAnsi" w:cstheme="minorHAnsi"/>
          <w:color w:val="auto"/>
          <w:sz w:val="22"/>
          <w:szCs w:val="22"/>
        </w:rPr>
        <w:br/>
      </w:r>
      <w:r w:rsidRPr="00157A52">
        <w:rPr>
          <w:rFonts w:asciiTheme="minorHAnsi" w:hAnsiTheme="minorHAnsi" w:cstheme="minorHAnsi"/>
          <w:color w:val="auto"/>
          <w:sz w:val="22"/>
          <w:szCs w:val="22"/>
        </w:rPr>
        <w:t xml:space="preserve"> restricted for these specific purposes.</w:t>
      </w:r>
    </w:p>
    <w:p w14:paraId="08B59B4F" w14:textId="77777777" w:rsidR="00D61544" w:rsidRPr="00D61544" w:rsidRDefault="00D61544" w:rsidP="00D61544"/>
    <w:p w14:paraId="545FBA69" w14:textId="60A6116C" w:rsidR="009F1E4E" w:rsidRDefault="00136480" w:rsidP="00136480">
      <w:pPr>
        <w:pStyle w:val="Title"/>
        <w:ind w:left="990"/>
      </w:pPr>
      <w:r>
        <w:rPr>
          <w:rFonts w:cs="Calibri"/>
          <w:noProof/>
          <w:sz w:val="20"/>
          <w:szCs w:val="20"/>
        </w:rPr>
        <w:drawing>
          <wp:inline distT="0" distB="0" distL="0" distR="0" wp14:anchorId="5DF73519" wp14:editId="514DF1DA">
            <wp:extent cx="5173980" cy="2790825"/>
            <wp:effectExtent l="0" t="0" r="7620" b="0"/>
            <wp:docPr id="35" name="Chart 35" descr="Pie chart graph titled, &quot;Expenditures by Program $32 Million&quot; with program expenditures as follows: 7.7% Education Program for Children Who Are Blind; 6.0% Independent Living; 1.5% Other Programs; 1.3% Deaf Communications; 2.1% P2P; 81.5% Title I."/>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529C01" w14:textId="4BD290EC" w:rsidR="009F1E4E" w:rsidRDefault="009F1E4E" w:rsidP="00514B82">
      <w:pPr>
        <w:pStyle w:val="Title"/>
      </w:pPr>
    </w:p>
    <w:p w14:paraId="7A4500F4" w14:textId="321BF41C" w:rsidR="00FA23AC" w:rsidRDefault="008046DA" w:rsidP="002C71EF">
      <w:pPr>
        <w:pStyle w:val="Title"/>
        <w:tabs>
          <w:tab w:val="left" w:pos="4950"/>
        </w:tabs>
        <w:rPr>
          <w:rFonts w:ascii="Arial" w:hAnsi="Arial"/>
          <w:szCs w:val="36"/>
        </w:rPr>
      </w:pPr>
      <w:r w:rsidRPr="009F1E4E">
        <w:br w:type="page"/>
      </w:r>
      <w:r w:rsidR="00E07127" w:rsidRPr="00F144F1">
        <w:lastRenderedPageBreak/>
        <w:t>How We Define Success…</w:t>
      </w:r>
      <w:r w:rsidR="00E07127" w:rsidRPr="00D32332">
        <w:rPr>
          <w:rFonts w:ascii="Arial" w:hAnsi="Arial"/>
          <w:szCs w:val="36"/>
        </w:rPr>
        <w:t xml:space="preserve"> </w:t>
      </w:r>
    </w:p>
    <w:p w14:paraId="4E72E89D" w14:textId="64C63452" w:rsidR="007E7818" w:rsidRDefault="00410B87" w:rsidP="0072374A">
      <w:pPr>
        <w:pStyle w:val="tanboxes"/>
        <w:framePr w:wrap="auto" w:vAnchor="margin" w:yAlign="inline"/>
        <w:ind w:left="720"/>
      </w:pPr>
      <w:r w:rsidRPr="00064004">
        <w:rPr>
          <w:noProof/>
        </w:rPr>
        <w:drawing>
          <wp:anchor distT="0" distB="0" distL="114300" distR="114300" simplePos="0" relativeHeight="251658251" behindDoc="0" locked="0" layoutInCell="1" allowOverlap="1" wp14:anchorId="657CEADF" wp14:editId="2F5AB928">
            <wp:simplePos x="0" y="0"/>
            <wp:positionH relativeFrom="column">
              <wp:posOffset>-190500</wp:posOffset>
            </wp:positionH>
            <wp:positionV relativeFrom="paragraph">
              <wp:posOffset>125730</wp:posOffset>
            </wp:positionV>
            <wp:extent cx="533400" cy="533400"/>
            <wp:effectExtent l="0" t="0" r="0" b="0"/>
            <wp:wrapSquare wrapText="bothSides"/>
            <wp:docPr id="59" name="Graphic 59" descr="Diploma rol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Diploma roll with solid fill"/>
                    <pic:cNvPicPr/>
                  </pic:nvPicPr>
                  <pic:blipFill>
                    <a:blip r:embed="rId23">
                      <a:extLst>
                        <a:ext uri="{96DAC541-7B7A-43D3-8B79-37D633B846F1}">
                          <asvg:svgBlip xmlns:asvg="http://schemas.microsoft.com/office/drawing/2016/SVG/main" r:embed="rId24"/>
                        </a:ext>
                      </a:extLst>
                    </a:blip>
                    <a:stretch>
                      <a:fillRect/>
                    </a:stretch>
                  </pic:blipFill>
                  <pic:spPr>
                    <a:xfrm>
                      <a:off x="0" y="0"/>
                      <a:ext cx="533400" cy="533400"/>
                    </a:xfrm>
                    <a:prstGeom prst="rect">
                      <a:avLst/>
                    </a:prstGeom>
                  </pic:spPr>
                </pic:pic>
              </a:graphicData>
            </a:graphic>
            <wp14:sizeRelH relativeFrom="margin">
              <wp14:pctWidth>0</wp14:pctWidth>
            </wp14:sizeRelH>
            <wp14:sizeRelV relativeFrom="margin">
              <wp14:pctHeight>0</wp14:pctHeight>
            </wp14:sizeRelV>
          </wp:anchor>
        </w:drawing>
      </w:r>
      <w:r w:rsidRPr="00064004">
        <w:t>“</w:t>
      </w:r>
      <w:r w:rsidR="0032134A">
        <w:t>Kay” applied for Vocational Rehabilitation (VR)</w:t>
      </w:r>
      <w:r w:rsidR="00AD338F">
        <w:t xml:space="preserve"> services while she was a student at Washington County Community College. At the time, Kay was living near her school with a friend and had no family </w:t>
      </w:r>
      <w:r w:rsidR="002D648E">
        <w:t>support</w:t>
      </w:r>
      <w:r w:rsidR="00AD338F">
        <w:t xml:space="preserve">. She experienced </w:t>
      </w:r>
      <w:r w:rsidR="008659DA">
        <w:t>academic challenges in high school due to learning disabilities; however, with the support of her Vocational Rehabilitation Counselor</w:t>
      </w:r>
      <w:r w:rsidR="000C72EF">
        <w:t xml:space="preserve"> (VRC)</w:t>
      </w:r>
      <w:r w:rsidR="008659DA">
        <w:t>, Kay learned to advocate</w:t>
      </w:r>
      <w:r w:rsidR="009D5BCC">
        <w:t xml:space="preserve"> for her educational needs and successfully completed two </w:t>
      </w:r>
      <w:r w:rsidR="002D648E">
        <w:t>associate</w:t>
      </w:r>
      <w:r w:rsidR="009D5BCC">
        <w:t xml:space="preserve"> degrees in Adventure Recreation and </w:t>
      </w:r>
      <w:r w:rsidR="007E7818">
        <w:t>Tourism</w:t>
      </w:r>
      <w:r w:rsidR="009D5BCC">
        <w:t xml:space="preserve"> and Conservation Law.</w:t>
      </w:r>
      <w:r w:rsidR="007E7818">
        <w:t xml:space="preserve"> </w:t>
      </w:r>
    </w:p>
    <w:p w14:paraId="50C1D7B1" w14:textId="2952A475" w:rsidR="00410B87" w:rsidRDefault="007E7818" w:rsidP="0072374A">
      <w:pPr>
        <w:pStyle w:val="tanboxes"/>
        <w:framePr w:wrap="auto" w:vAnchor="margin" w:yAlign="inline"/>
        <w:ind w:left="720"/>
      </w:pPr>
      <w:r>
        <w:t>Kay hopes to further her education in Outdoor Leadership with a concentration in Adventure Therapy. In the meantime, she was hired as a Direct Support Professional in Calais, where she is already incorporating elements of adventure therapy into her work with the individuals she supports.</w:t>
      </w:r>
    </w:p>
    <w:p w14:paraId="77FBA63D" w14:textId="0EE07933" w:rsidR="007E7818" w:rsidRDefault="007E7818" w:rsidP="0072374A">
      <w:pPr>
        <w:pStyle w:val="tanboxes"/>
        <w:framePr w:wrap="auto" w:vAnchor="margin" w:yAlign="inline"/>
        <w:ind w:left="720"/>
      </w:pPr>
      <w:r>
        <w:t>K</w:t>
      </w:r>
      <w:r w:rsidR="00BE0223">
        <w:t>a</w:t>
      </w:r>
      <w:r>
        <w:t>y shared, “Thank you very much! I appreciate the program so much. I don’t have words to fully explain how grateful I am. I don’t think I would be this far or this happy in life without this program, and I am very thankful.”</w:t>
      </w:r>
    </w:p>
    <w:p w14:paraId="0C7EA530" w14:textId="187EB50F" w:rsidR="007E7818" w:rsidRDefault="007E7818" w:rsidP="0072374A">
      <w:pPr>
        <w:pStyle w:val="tanboxes"/>
        <w:framePr w:wrap="auto" w:vAnchor="margin" w:yAlign="inline"/>
        <w:ind w:left="720"/>
      </w:pPr>
      <w:r>
        <w:t>Kay understands that she can reconnect with Vocational Rehabilitation when she is ready to take the next step in her career pathway. For now, she reports that she has “found the job that I want to stay in for the rest of my life.”</w:t>
      </w:r>
    </w:p>
    <w:p w14:paraId="426DE655" w14:textId="1F9EAE14" w:rsidR="00157A52" w:rsidRPr="00064004" w:rsidRDefault="00E3151A" w:rsidP="0072374A">
      <w:pPr>
        <w:pStyle w:val="tanboxes"/>
        <w:framePr w:wrap="auto" w:vAnchor="margin" w:yAlign="inline"/>
        <w:ind w:left="720"/>
      </w:pPr>
      <w:r w:rsidRPr="00064004">
        <w:rPr>
          <w:noProof/>
        </w:rPr>
        <w:drawing>
          <wp:anchor distT="0" distB="0" distL="114300" distR="114300" simplePos="0" relativeHeight="251658252" behindDoc="0" locked="0" layoutInCell="1" allowOverlap="1" wp14:anchorId="58CCD524" wp14:editId="2588F1CF">
            <wp:simplePos x="0" y="0"/>
            <wp:positionH relativeFrom="column">
              <wp:posOffset>-219075</wp:posOffset>
            </wp:positionH>
            <wp:positionV relativeFrom="paragraph">
              <wp:posOffset>278130</wp:posOffset>
            </wp:positionV>
            <wp:extent cx="575945" cy="575945"/>
            <wp:effectExtent l="0" t="0" r="0" b="0"/>
            <wp:wrapSquare wrapText="bothSides"/>
            <wp:docPr id="44" name="Graphic 44" descr="Saw with solid fil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Saw with solid fill">
                      <a:extLst>
                        <a:ext uri="{C183D7F6-B498-43B3-948B-1728B52AA6E4}">
                          <adec:decorative xmlns:adec="http://schemas.microsoft.com/office/drawing/2017/decorative" val="0"/>
                        </a:ext>
                      </a:extLst>
                    </pic:cNvPr>
                    <pic:cNvPicPr/>
                  </pic:nvPicPr>
                  <pic:blipFill>
                    <a:blip r:embed="rId25">
                      <a:extLst>
                        <a:ext uri="{96DAC541-7B7A-43D3-8B79-37D633B846F1}">
                          <asvg:svgBlip xmlns:asvg="http://schemas.microsoft.com/office/drawing/2016/SVG/main" r:embed="rId26"/>
                        </a:ext>
                      </a:extLst>
                    </a:blip>
                    <a:stretch>
                      <a:fillRect/>
                    </a:stretch>
                  </pic:blipFill>
                  <pic:spPr>
                    <a:xfrm>
                      <a:off x="0" y="0"/>
                      <a:ext cx="575945" cy="575945"/>
                    </a:xfrm>
                    <a:prstGeom prst="rect">
                      <a:avLst/>
                    </a:prstGeom>
                  </pic:spPr>
                </pic:pic>
              </a:graphicData>
            </a:graphic>
          </wp:anchor>
        </w:drawing>
      </w:r>
    </w:p>
    <w:p w14:paraId="005986E9" w14:textId="58326021" w:rsidR="000C72EF" w:rsidRDefault="00410B87" w:rsidP="000C72EF">
      <w:pPr>
        <w:pStyle w:val="tanboxes"/>
        <w:framePr w:wrap="auto" w:vAnchor="margin" w:yAlign="inline"/>
        <w:ind w:left="720"/>
      </w:pPr>
      <w:r w:rsidRPr="00064004">
        <w:t>“</w:t>
      </w:r>
      <w:r w:rsidR="000C72EF">
        <w:t>John,” a high school senior, participated in Bootcamp, a work readiness program. While he was engaged in in-class activities, he initially did not express interest in participating in exploration activities offered outside of the Bootcamp classroom. Over time, John’s attendance and participation began to decline; however, his Vocational Rehabilitation Counselor (VRC) met with his teacher, and together they developed a plan to reengage him.</w:t>
      </w:r>
    </w:p>
    <w:p w14:paraId="75A6563B" w14:textId="319E5C79" w:rsidR="000C72EF" w:rsidRDefault="000C72EF" w:rsidP="000C72EF">
      <w:pPr>
        <w:pStyle w:val="tanboxes"/>
        <w:framePr w:wrap="auto" w:vAnchor="margin" w:yAlign="inline"/>
        <w:ind w:left="720"/>
      </w:pPr>
      <w:r>
        <w:t>John continued with limited engagement until he learned that a friend who also received VR services had obtained employment. This motivated John to contact his VRC and began actively participating in VR services.</w:t>
      </w:r>
    </w:p>
    <w:p w14:paraId="0FB7A864" w14:textId="02209AC3" w:rsidR="000C72EF" w:rsidRDefault="000C72EF" w:rsidP="000C72EF">
      <w:pPr>
        <w:pStyle w:val="tanboxes"/>
        <w:framePr w:wrap="auto" w:vAnchor="margin" w:yAlign="inline"/>
        <w:ind w:left="720"/>
      </w:pPr>
      <w:r>
        <w:t xml:space="preserve">John completed </w:t>
      </w:r>
      <w:proofErr w:type="gramStart"/>
      <w:r>
        <w:t>a paid</w:t>
      </w:r>
      <w:proofErr w:type="gramEnd"/>
      <w:r>
        <w:t xml:space="preserve"> work experience at a local hardware store, where he had a very positive experience and received strong feedback regarding his work skills and abilities. Through this experience, he developed new job skills, recognized strengths he already possessed, and gained significant confidence. He was also able to use the store manager as a professional reference as he pursued his next career opportunity.</w:t>
      </w:r>
    </w:p>
    <w:p w14:paraId="52C3DC56" w14:textId="1795BD7E" w:rsidR="000C72EF" w:rsidRDefault="000C72EF" w:rsidP="000C72EF">
      <w:pPr>
        <w:pStyle w:val="tanboxes"/>
        <w:framePr w:wrap="auto" w:vAnchor="margin" w:yAlign="inline"/>
        <w:ind w:left="720"/>
      </w:pPr>
      <w:r>
        <w:t>With support from his VRC, John applied to another local employer and spent time practicing interview skills, becoming more comfortable with the application process and understanding employer expectations.</w:t>
      </w:r>
    </w:p>
    <w:p w14:paraId="2276B38C" w14:textId="2CD862D0" w:rsidR="00157A52" w:rsidRPr="00064004" w:rsidRDefault="00FB4534" w:rsidP="00442FB7">
      <w:pPr>
        <w:pStyle w:val="tanboxes"/>
        <w:framePr w:wrap="auto" w:vAnchor="margin" w:yAlign="inline"/>
        <w:ind w:left="720"/>
      </w:pPr>
      <w:r w:rsidRPr="00064004">
        <w:rPr>
          <w:noProof/>
        </w:rPr>
        <w:drawing>
          <wp:anchor distT="0" distB="0" distL="114300" distR="114300" simplePos="0" relativeHeight="251658253" behindDoc="1" locked="0" layoutInCell="1" allowOverlap="1" wp14:anchorId="02C28FED" wp14:editId="0453857B">
            <wp:simplePos x="0" y="0"/>
            <wp:positionH relativeFrom="column">
              <wp:posOffset>-266700</wp:posOffset>
            </wp:positionH>
            <wp:positionV relativeFrom="paragraph">
              <wp:posOffset>268605</wp:posOffset>
            </wp:positionV>
            <wp:extent cx="612140" cy="612140"/>
            <wp:effectExtent l="0" t="0" r="0" b="0"/>
            <wp:wrapSquare wrapText="bothSides"/>
            <wp:docPr id="45" name="Graphic 45" descr="Electrician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Electrician male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612140" cy="612140"/>
                    </a:xfrm>
                    <a:prstGeom prst="rect">
                      <a:avLst/>
                    </a:prstGeom>
                  </pic:spPr>
                </pic:pic>
              </a:graphicData>
            </a:graphic>
          </wp:anchor>
        </w:drawing>
      </w:r>
    </w:p>
    <w:p w14:paraId="4766183D" w14:textId="4D0DFE0F" w:rsidR="00410B87" w:rsidRDefault="00410B87" w:rsidP="002D648E">
      <w:pPr>
        <w:pStyle w:val="tanboxes"/>
        <w:framePr w:wrap="auto" w:vAnchor="margin" w:yAlign="inline"/>
        <w:ind w:left="720"/>
        <w:rPr>
          <w:noProof/>
        </w:rPr>
      </w:pPr>
      <w:r w:rsidRPr="00064004">
        <w:t>“</w:t>
      </w:r>
      <w:r w:rsidR="00E3151A">
        <w:t>Jason</w:t>
      </w:r>
      <w:r w:rsidR="00FB4534">
        <w:t>”</w:t>
      </w:r>
      <w:r w:rsidR="00E3151A">
        <w:t xml:space="preserve"> began working with Vocational Rehabilitation (VR)</w:t>
      </w:r>
      <w:r w:rsidR="006170A3">
        <w:rPr>
          <w:noProof/>
        </w:rPr>
        <w:tab/>
      </w:r>
      <w:r w:rsidR="00FB4534">
        <w:rPr>
          <w:noProof/>
        </w:rPr>
        <w:t xml:space="preserve">with an initial vocational goal of becoming a Network Support Specialist. He participated in a Career Exploration Workshop (CEW), during which he completed the World of Work Inventory Assessment. The results indicated a strong aptitude in mechanical and electrical areas. Based on these findings, Jason revised his vocational goal to become an electrician. </w:t>
      </w:r>
    </w:p>
    <w:p w14:paraId="6D0AE402" w14:textId="3C374FD0" w:rsidR="00FB4534" w:rsidRDefault="00FB4534" w:rsidP="0072324B">
      <w:pPr>
        <w:pStyle w:val="tanboxes"/>
        <w:framePr w:wrap="auto" w:vAnchor="margin" w:yAlign="inline"/>
        <w:ind w:left="720"/>
        <w:rPr>
          <w:noProof/>
        </w:rPr>
      </w:pPr>
      <w:r>
        <w:rPr>
          <w:noProof/>
        </w:rPr>
        <w:t>Jason completed a paid summer work experience with a local electrical company, working as an electrical assistant, as well as a paid summer work experience as a helper for a local electrician. He later enrolled at Central Maine Community College, where he graduated in 2023 with his Electrical Journeyman In-Training Certification.</w:t>
      </w:r>
      <w:r w:rsidR="00AE5F5F">
        <w:rPr>
          <w:noProof/>
        </w:rPr>
        <w:t xml:space="preserve"> </w:t>
      </w:r>
      <w:r>
        <w:rPr>
          <w:noProof/>
        </w:rPr>
        <w:t>Jason obtained full-time employment in Rumford as an electrician and has remained successfully employed. He is currently working toward earning his Electrical Master’s License.</w:t>
      </w:r>
      <w:r w:rsidR="00AE5F5F">
        <w:rPr>
          <w:noProof/>
        </w:rPr>
        <w:br w:type="page"/>
      </w:r>
    </w:p>
    <w:p w14:paraId="0F597040" w14:textId="322CB426" w:rsidR="00410B87" w:rsidRDefault="002D648E" w:rsidP="0010164C">
      <w:pPr>
        <w:pStyle w:val="tanboxes"/>
        <w:framePr w:wrap="auto" w:vAnchor="margin" w:yAlign="inline"/>
        <w:ind w:left="720"/>
      </w:pPr>
      <w:r w:rsidRPr="00064004">
        <w:rPr>
          <w:noProof/>
        </w:rPr>
        <w:lastRenderedPageBreak/>
        <w:drawing>
          <wp:anchor distT="0" distB="0" distL="114300" distR="114300" simplePos="0" relativeHeight="251658254" behindDoc="0" locked="0" layoutInCell="1" allowOverlap="1" wp14:anchorId="0BB9168B" wp14:editId="216674D7">
            <wp:simplePos x="0" y="0"/>
            <wp:positionH relativeFrom="column">
              <wp:posOffset>-285750</wp:posOffset>
            </wp:positionH>
            <wp:positionV relativeFrom="paragraph">
              <wp:posOffset>108165</wp:posOffset>
            </wp:positionV>
            <wp:extent cx="600075" cy="600075"/>
            <wp:effectExtent l="0" t="0" r="0" b="0"/>
            <wp:wrapSquare wrapText="bothSides"/>
            <wp:docPr id="50" name="Graphic 50" descr="Adhesive Band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descr="Adhesive Bandage with solid fill"/>
                    <pic:cNvPicPr/>
                  </pic:nvPicPr>
                  <pic:blipFill>
                    <a:blip r:embed="rId29">
                      <a:extLst>
                        <a:ext uri="{96DAC541-7B7A-43D3-8B79-37D633B846F1}">
                          <asvg:svgBlip xmlns:asvg="http://schemas.microsoft.com/office/drawing/2016/SVG/main" r:embed="rId30"/>
                        </a:ext>
                      </a:extLst>
                    </a:blip>
                    <a:stretch>
                      <a:fillRect/>
                    </a:stretch>
                  </pic:blipFill>
                  <pic:spPr>
                    <a:xfrm>
                      <a:off x="0" y="0"/>
                      <a:ext cx="600075" cy="600075"/>
                    </a:xfrm>
                    <a:prstGeom prst="rect">
                      <a:avLst/>
                    </a:prstGeom>
                  </pic:spPr>
                </pic:pic>
              </a:graphicData>
            </a:graphic>
          </wp:anchor>
        </w:drawing>
      </w:r>
      <w:r w:rsidR="009C6662">
        <w:t>In 2011, “Andrew” lost his job as a warehouse</w:t>
      </w:r>
      <w:r w:rsidR="00625324">
        <w:t xml:space="preserve"> carpet cutter due to untreated mental health challenges and difficult circumstances. </w:t>
      </w:r>
      <w:r w:rsidR="00BC520E">
        <w:t>“I</w:t>
      </w:r>
      <w:r w:rsidR="00625324">
        <w:t xml:space="preserve"> beg</w:t>
      </w:r>
      <w:r w:rsidR="00BC520E">
        <w:t>a</w:t>
      </w:r>
      <w:r w:rsidR="00625324">
        <w:t>n treatment for opioid dependency several years earlier and needed health care coverage to afford</w:t>
      </w:r>
      <w:r w:rsidR="00BC520E">
        <w:t xml:space="preserve"> my medications. Experiencing significant anxiety, I visited the CareerCenter in Augusta, Maine, seeking assistance with applying for MaineCare. Through this process, I learned about multiple resources and programs that were available to support me when I was ready to engage.</w:t>
      </w:r>
    </w:p>
    <w:p w14:paraId="5E47E1FD" w14:textId="4C8A8903" w:rsidR="00BC520E" w:rsidRDefault="00BC520E" w:rsidP="0010164C">
      <w:pPr>
        <w:pStyle w:val="tanboxes"/>
        <w:framePr w:wrap="auto" w:vAnchor="margin" w:yAlign="inline"/>
        <w:ind w:left="720"/>
      </w:pPr>
      <w:r>
        <w:t>“Between 2011 and 2013, Vocational Rehabilitation (VR) provided critical support by helping me secure health care coverage and SNAP benefits, obtain a neuropsychological evaluation, connect with a case manager, participate in Dialectical Behavior Therapy (DBT) and Cognitive Behavioral Therapy (CBT) groups, find an addiction counselor, and maintain consistent care with a physician and medication manager. Gaining a better understanding of my developmental differences gave me a new perspective on life and renewed optimism for my future.”</w:t>
      </w:r>
    </w:p>
    <w:p w14:paraId="302A78EF" w14:textId="74E22712" w:rsidR="00BC520E" w:rsidRDefault="00BC520E" w:rsidP="0010164C">
      <w:pPr>
        <w:pStyle w:val="tanboxes"/>
        <w:framePr w:wrap="auto" w:vAnchor="margin" w:yAlign="inline"/>
        <w:ind w:left="720"/>
      </w:pPr>
      <w:r>
        <w:t xml:space="preserve">In 2013, Andrew successfully transitioned off opioid maintenance medication and began pursuing an education in addiction and mental health. Vocational Rehabilitation supported him in attending a computer refresher course, applying to community </w:t>
      </w:r>
      <w:r w:rsidR="00875347">
        <w:t>college, completing prerequisite coursework, applying for federal and state grants, maintaining health care while working part-time, and ultimately graduating with an associate degree in Mental Health (MHRT-C).</w:t>
      </w:r>
    </w:p>
    <w:p w14:paraId="1A59ABB3" w14:textId="1E435132" w:rsidR="00875347" w:rsidRDefault="00875347" w:rsidP="0010164C">
      <w:pPr>
        <w:pStyle w:val="tanboxes"/>
        <w:framePr w:wrap="auto" w:vAnchor="margin" w:yAlign="inline"/>
        <w:ind w:left="720"/>
      </w:pPr>
      <w:r>
        <w:t>“Through VRC’s guidance, I learned that my education and lived experience opened doors to multiple career paths. I participated in career-matching group seminars, developed a professional resume, and collaborated with employment specialists.” With weekly check-ins and ongoing support, Andrew applied for a Recovery Coach position at a nonprofit mental health organization. Andrew was hired – and he loves the work.</w:t>
      </w:r>
    </w:p>
    <w:p w14:paraId="57DB6F0E" w14:textId="5B59287D" w:rsidR="00875347" w:rsidRDefault="00875347" w:rsidP="0010164C">
      <w:pPr>
        <w:pStyle w:val="tanboxes"/>
        <w:framePr w:wrap="auto" w:vAnchor="margin" w:yAlign="inline"/>
        <w:ind w:left="720"/>
      </w:pPr>
      <w:r>
        <w:t xml:space="preserve">Andrew first sought help from Vocational Rehabilitation 14 years ago to obtain health care, today he </w:t>
      </w:r>
      <w:r w:rsidR="002D648E">
        <w:t>has</w:t>
      </w:r>
      <w:r>
        <w:t xml:space="preserve"> a fulfilling career. Words</w:t>
      </w:r>
      <w:r w:rsidR="002D648E">
        <w:t xml:space="preserve"> cannot fully express his gratitude to the state of Maine and the resources available to those willing to engage and follow through.</w:t>
      </w:r>
    </w:p>
    <w:p w14:paraId="45A92A33" w14:textId="08C3A030" w:rsidR="002D648E" w:rsidRDefault="002D648E" w:rsidP="0010164C">
      <w:pPr>
        <w:pStyle w:val="tanboxes"/>
        <w:framePr w:wrap="auto" w:vAnchor="margin" w:yAlign="inline"/>
        <w:ind w:left="720"/>
      </w:pPr>
      <w:r>
        <w:t>As a Recovery Coach, he provides free and confidential support to individuals and families affected by addiction. He helps bridge people to resources and guide them as they navigate recovery. Andrew is a member of a local Community Impact Unit at the local police station, where he represents OPTIONS (Overdose Prevention Through Intensive Outreach, Narcan, and Safety) for the county. In this role, he provides training, counseling, and advocacy for those impacted by addiction, as well as for community members seeing education.</w:t>
      </w:r>
    </w:p>
    <w:p w14:paraId="79A52D24" w14:textId="6A44787F" w:rsidR="00855509" w:rsidRPr="002729EE" w:rsidRDefault="002D648E" w:rsidP="002729EE">
      <w:pPr>
        <w:pStyle w:val="tanboxes"/>
        <w:framePr w:wrap="auto" w:vAnchor="margin" w:yAlign="inline"/>
        <w:ind w:left="720"/>
      </w:pPr>
      <w:r>
        <w:t>Working for a nonprofit allows Andrew to collaborate with a wide range of community organizations, including Vocational Rehabilitation – where he now refers clients and considers many of the staff his professional colleagues.</w:t>
      </w:r>
      <w:r w:rsidR="00855509">
        <w:br w:type="page"/>
      </w:r>
    </w:p>
    <w:p w14:paraId="372F49D7" w14:textId="55829952" w:rsidR="0069167F" w:rsidRPr="00157A52" w:rsidRDefault="0069167F" w:rsidP="00370298">
      <w:pPr>
        <w:pStyle w:val="Title"/>
      </w:pPr>
      <w:r w:rsidRPr="00F144F1">
        <w:lastRenderedPageBreak/>
        <w:t>Division of Vocational Rehabilitation (DVR</w:t>
      </w:r>
      <w:r w:rsidR="00A219FA" w:rsidRPr="00F144F1">
        <w:t>)</w:t>
      </w:r>
    </w:p>
    <w:p w14:paraId="2C308B42" w14:textId="7AEA8FA5" w:rsidR="0069167F" w:rsidRPr="00F43773" w:rsidRDefault="00A941E1" w:rsidP="0069167F">
      <w:pPr>
        <w:rPr>
          <w:rFonts w:cs="Calibri"/>
          <w:sz w:val="22"/>
          <w:szCs w:val="22"/>
        </w:rPr>
      </w:pPr>
      <w:r w:rsidRPr="00157A52">
        <w:rPr>
          <w:rFonts w:cs="Calibri"/>
          <w:b/>
          <w:bCs/>
          <w:sz w:val="22"/>
          <w:szCs w:val="22"/>
        </w:rPr>
        <w:t>Samantha Fenderson, MA</w:t>
      </w:r>
      <w:r w:rsidR="00174E9A" w:rsidRPr="00157A52">
        <w:rPr>
          <w:rFonts w:cs="Calibri"/>
          <w:b/>
          <w:bCs/>
          <w:sz w:val="22"/>
          <w:szCs w:val="22"/>
        </w:rPr>
        <w:t xml:space="preserve">, </w:t>
      </w:r>
      <w:r w:rsidR="008F3B09" w:rsidRPr="00157A52">
        <w:rPr>
          <w:rFonts w:cs="Calibri"/>
          <w:b/>
          <w:bCs/>
          <w:sz w:val="22"/>
          <w:szCs w:val="22"/>
        </w:rPr>
        <w:t>Director</w:t>
      </w:r>
      <w:r w:rsidR="008F3B09">
        <w:rPr>
          <w:rFonts w:cs="Calibri"/>
          <w:b/>
          <w:bCs/>
          <w:sz w:val="22"/>
          <w:szCs w:val="22"/>
        </w:rPr>
        <w:t xml:space="preserve"> </w:t>
      </w:r>
      <w:r w:rsidR="007543CD">
        <w:rPr>
          <w:rFonts w:cs="Calibri"/>
          <w:b/>
          <w:bCs/>
          <w:sz w:val="22"/>
          <w:szCs w:val="22"/>
        </w:rPr>
        <w:br/>
      </w:r>
      <w:r w:rsidR="0069167F" w:rsidRPr="00F43773">
        <w:rPr>
          <w:rFonts w:cs="Calibri"/>
          <w:sz w:val="22"/>
          <w:szCs w:val="22"/>
        </w:rPr>
        <w:t>Maine’s DVR assists individuals with disabilities who wish to achieve</w:t>
      </w:r>
      <w:r w:rsidR="005204F2">
        <w:rPr>
          <w:rFonts w:cs="Calibri"/>
          <w:sz w:val="22"/>
          <w:szCs w:val="22"/>
        </w:rPr>
        <w:t xml:space="preserve">, </w:t>
      </w:r>
      <w:r w:rsidR="00675CEB" w:rsidRPr="00F43773">
        <w:rPr>
          <w:rFonts w:cs="Calibri"/>
          <w:sz w:val="22"/>
          <w:szCs w:val="22"/>
        </w:rPr>
        <w:t>retain,</w:t>
      </w:r>
      <w:r w:rsidR="0069167F" w:rsidRPr="00F43773">
        <w:rPr>
          <w:rFonts w:cs="Calibri"/>
          <w:sz w:val="22"/>
          <w:szCs w:val="22"/>
        </w:rPr>
        <w:t xml:space="preserve"> </w:t>
      </w:r>
      <w:r w:rsidR="005204F2">
        <w:rPr>
          <w:rFonts w:cs="Calibri"/>
          <w:sz w:val="22"/>
          <w:szCs w:val="22"/>
        </w:rPr>
        <w:t xml:space="preserve">or advance in </w:t>
      </w:r>
      <w:r w:rsidR="0069167F" w:rsidRPr="00F43773">
        <w:rPr>
          <w:rFonts w:cs="Calibri"/>
          <w:sz w:val="22"/>
          <w:szCs w:val="22"/>
        </w:rPr>
        <w:t xml:space="preserve">employment. Any </w:t>
      </w:r>
      <w:r w:rsidR="005204F2">
        <w:rPr>
          <w:rFonts w:cs="Calibri"/>
          <w:sz w:val="22"/>
          <w:szCs w:val="22"/>
        </w:rPr>
        <w:t>person</w:t>
      </w:r>
      <w:r w:rsidR="0069167F" w:rsidRPr="00F43773">
        <w:rPr>
          <w:rFonts w:cs="Calibri"/>
          <w:sz w:val="22"/>
          <w:szCs w:val="22"/>
        </w:rPr>
        <w:t xml:space="preserve"> who </w:t>
      </w:r>
      <w:r w:rsidR="00911D7B">
        <w:rPr>
          <w:rFonts w:cs="Calibri"/>
          <w:sz w:val="22"/>
          <w:szCs w:val="22"/>
        </w:rPr>
        <w:t xml:space="preserve">wants to pursue employment </w:t>
      </w:r>
      <w:r w:rsidR="0069167F" w:rsidRPr="00F43773">
        <w:rPr>
          <w:rFonts w:cs="Calibri"/>
          <w:sz w:val="22"/>
          <w:szCs w:val="22"/>
        </w:rPr>
        <w:t>and has a disability that creates a barrier to employment is encouraged to apply</w:t>
      </w:r>
      <w:r w:rsidR="003D6B33" w:rsidRPr="00F43773">
        <w:rPr>
          <w:rFonts w:cs="Calibri"/>
          <w:sz w:val="22"/>
          <w:szCs w:val="22"/>
        </w:rPr>
        <w:t xml:space="preserve">. </w:t>
      </w:r>
      <w:r w:rsidR="0069167F" w:rsidRPr="00F43773">
        <w:rPr>
          <w:rFonts w:cs="Calibri"/>
          <w:sz w:val="22"/>
          <w:szCs w:val="22"/>
        </w:rPr>
        <w:t>Once determined eligible, individual</w:t>
      </w:r>
      <w:r w:rsidR="00530BAF" w:rsidRPr="00F43773">
        <w:rPr>
          <w:rFonts w:cs="Calibri"/>
          <w:sz w:val="22"/>
          <w:szCs w:val="22"/>
        </w:rPr>
        <w:t xml:space="preserve">s develop a plan for employment, </w:t>
      </w:r>
      <w:r w:rsidR="0069167F" w:rsidRPr="00F43773">
        <w:rPr>
          <w:rFonts w:cs="Calibri"/>
          <w:sz w:val="22"/>
          <w:szCs w:val="22"/>
        </w:rPr>
        <w:t>which outlines the services needed to successfully</w:t>
      </w:r>
      <w:r w:rsidR="00057110" w:rsidRPr="00F43773">
        <w:rPr>
          <w:rFonts w:cs="Calibri"/>
          <w:sz w:val="22"/>
          <w:szCs w:val="22"/>
        </w:rPr>
        <w:t xml:space="preserve"> achieve their employment goal.</w:t>
      </w:r>
      <w:r w:rsidR="002E63F9">
        <w:rPr>
          <w:rFonts w:cs="Calibri"/>
          <w:sz w:val="22"/>
          <w:szCs w:val="22"/>
        </w:rPr>
        <w:t xml:space="preserve"> </w:t>
      </w:r>
    </w:p>
    <w:p w14:paraId="5D5B27C2" w14:textId="77777777" w:rsidR="0069167F" w:rsidRPr="00F43773" w:rsidRDefault="0069167F" w:rsidP="0069167F">
      <w:pPr>
        <w:rPr>
          <w:rFonts w:cs="Calibri"/>
          <w:b/>
          <w:sz w:val="22"/>
          <w:szCs w:val="22"/>
        </w:rPr>
      </w:pPr>
    </w:p>
    <w:p w14:paraId="0D1133F1" w14:textId="000B5511" w:rsidR="0069167F" w:rsidRPr="000831DB" w:rsidRDefault="0069167F" w:rsidP="0069167F">
      <w:pPr>
        <w:rPr>
          <w:rFonts w:cs="Calibri"/>
          <w:b/>
          <w:sz w:val="22"/>
          <w:szCs w:val="22"/>
        </w:rPr>
      </w:pPr>
      <w:r w:rsidRPr="000831DB">
        <w:rPr>
          <w:rFonts w:cs="Calibri"/>
          <w:b/>
          <w:sz w:val="22"/>
          <w:szCs w:val="22"/>
        </w:rPr>
        <w:t>Contributing to the Maine Economy</w:t>
      </w:r>
    </w:p>
    <w:p w14:paraId="68025EB1" w14:textId="12030A42" w:rsidR="0069167F" w:rsidRPr="000831DB" w:rsidRDefault="00157B0D" w:rsidP="0069167F">
      <w:pPr>
        <w:rPr>
          <w:rFonts w:cs="Calibri"/>
          <w:sz w:val="22"/>
          <w:szCs w:val="22"/>
        </w:rPr>
      </w:pPr>
      <w:r w:rsidRPr="000831DB">
        <w:rPr>
          <w:rFonts w:cs="Calibri"/>
          <w:sz w:val="22"/>
          <w:szCs w:val="22"/>
        </w:rPr>
        <w:t xml:space="preserve">While maintaining a </w:t>
      </w:r>
      <w:r w:rsidR="0069167F" w:rsidRPr="000831DB">
        <w:rPr>
          <w:rFonts w:cs="Calibri"/>
          <w:sz w:val="22"/>
          <w:szCs w:val="22"/>
        </w:rPr>
        <w:t xml:space="preserve">wait </w:t>
      </w:r>
      <w:r w:rsidR="0069167F" w:rsidRPr="00DC4748">
        <w:rPr>
          <w:rFonts w:cs="Calibri"/>
          <w:sz w:val="22"/>
          <w:szCs w:val="22"/>
        </w:rPr>
        <w:t>list for services</w:t>
      </w:r>
      <w:r w:rsidR="0069167F" w:rsidRPr="00C974CC">
        <w:rPr>
          <w:rFonts w:cs="Calibri"/>
          <w:sz w:val="22"/>
          <w:szCs w:val="22"/>
        </w:rPr>
        <w:t xml:space="preserve">, </w:t>
      </w:r>
      <w:r w:rsidR="0069167F" w:rsidRPr="00157A52">
        <w:rPr>
          <w:rFonts w:cs="Calibri"/>
          <w:sz w:val="22"/>
          <w:szCs w:val="22"/>
        </w:rPr>
        <w:t xml:space="preserve">DVR assisted </w:t>
      </w:r>
      <w:r w:rsidR="00D56420" w:rsidRPr="00F144F1">
        <w:rPr>
          <w:rFonts w:cs="Calibri"/>
          <w:b/>
          <w:sz w:val="22"/>
          <w:szCs w:val="22"/>
        </w:rPr>
        <w:t>435</w:t>
      </w:r>
      <w:r w:rsidR="0069167F" w:rsidRPr="00F144F1">
        <w:rPr>
          <w:rFonts w:cs="Calibri"/>
          <w:sz w:val="22"/>
          <w:szCs w:val="22"/>
        </w:rPr>
        <w:t xml:space="preserve"> people to find employment suc</w:t>
      </w:r>
      <w:r w:rsidR="009B75AB" w:rsidRPr="00F144F1">
        <w:rPr>
          <w:rFonts w:cs="Calibri"/>
          <w:sz w:val="22"/>
          <w:szCs w:val="22"/>
        </w:rPr>
        <w:t>cess</w:t>
      </w:r>
      <w:r w:rsidR="005204F2" w:rsidRPr="00F144F1">
        <w:rPr>
          <w:rFonts w:cs="Calibri"/>
          <w:sz w:val="22"/>
          <w:szCs w:val="22"/>
        </w:rPr>
        <w:t xml:space="preserve"> over the last year</w:t>
      </w:r>
      <w:r w:rsidR="003D6B33" w:rsidRPr="00F144F1">
        <w:rPr>
          <w:rFonts w:cs="Calibri"/>
          <w:sz w:val="22"/>
          <w:szCs w:val="22"/>
        </w:rPr>
        <w:t xml:space="preserve">. </w:t>
      </w:r>
      <w:r w:rsidR="0069167F" w:rsidRPr="00F144F1">
        <w:rPr>
          <w:rFonts w:cs="Calibri"/>
          <w:sz w:val="22"/>
          <w:szCs w:val="22"/>
        </w:rPr>
        <w:t>This resulted in these individuals earning a</w:t>
      </w:r>
      <w:r w:rsidR="00AE2765" w:rsidRPr="00F144F1">
        <w:rPr>
          <w:rFonts w:cs="Calibri"/>
          <w:sz w:val="22"/>
          <w:szCs w:val="22"/>
        </w:rPr>
        <w:t xml:space="preserve">n </w:t>
      </w:r>
      <w:r w:rsidR="00DE50F7" w:rsidRPr="00F144F1">
        <w:rPr>
          <w:rFonts w:cs="Calibri"/>
          <w:sz w:val="22"/>
          <w:szCs w:val="22"/>
        </w:rPr>
        <w:t>anticipated</w:t>
      </w:r>
      <w:r w:rsidR="0069167F" w:rsidRPr="00F144F1">
        <w:rPr>
          <w:rFonts w:cs="Calibri"/>
          <w:sz w:val="22"/>
          <w:szCs w:val="22"/>
        </w:rPr>
        <w:t xml:space="preserve"> total of </w:t>
      </w:r>
      <w:r w:rsidR="00411F20" w:rsidRPr="00F144F1">
        <w:rPr>
          <w:rFonts w:cs="Calibri"/>
          <w:b/>
          <w:bCs/>
          <w:sz w:val="22"/>
          <w:szCs w:val="22"/>
        </w:rPr>
        <w:t>$</w:t>
      </w:r>
      <w:r w:rsidR="00C77536" w:rsidRPr="00F144F1">
        <w:rPr>
          <w:rFonts w:cs="Calibri"/>
          <w:b/>
          <w:bCs/>
          <w:sz w:val="22"/>
          <w:szCs w:val="22"/>
        </w:rPr>
        <w:t>1</w:t>
      </w:r>
      <w:r w:rsidR="006A352B" w:rsidRPr="00F144F1">
        <w:rPr>
          <w:rFonts w:cs="Calibri"/>
          <w:b/>
          <w:bCs/>
          <w:sz w:val="22"/>
          <w:szCs w:val="22"/>
        </w:rPr>
        <w:t>5,431,300.30</w:t>
      </w:r>
      <w:r w:rsidR="00411F20" w:rsidRPr="00F144F1">
        <w:rPr>
          <w:rFonts w:cs="Calibri"/>
          <w:b/>
          <w:sz w:val="22"/>
          <w:szCs w:val="22"/>
        </w:rPr>
        <w:t xml:space="preserve"> </w:t>
      </w:r>
      <w:r w:rsidR="0069167F" w:rsidRPr="00F144F1">
        <w:rPr>
          <w:rFonts w:cs="Calibri"/>
          <w:sz w:val="22"/>
          <w:szCs w:val="22"/>
        </w:rPr>
        <w:t>in annual</w:t>
      </w:r>
      <w:r w:rsidR="0069167F" w:rsidRPr="00157A52">
        <w:rPr>
          <w:rFonts w:cs="Calibri"/>
          <w:sz w:val="22"/>
          <w:szCs w:val="22"/>
        </w:rPr>
        <w:t xml:space="preserve"> wages</w:t>
      </w:r>
      <w:r w:rsidR="003D6B33" w:rsidRPr="00157A52">
        <w:rPr>
          <w:rFonts w:cs="Calibri"/>
          <w:sz w:val="22"/>
          <w:szCs w:val="22"/>
        </w:rPr>
        <w:t xml:space="preserve">. </w:t>
      </w:r>
      <w:r w:rsidR="0069167F" w:rsidRPr="00157A52">
        <w:rPr>
          <w:rFonts w:cs="Calibri"/>
          <w:sz w:val="22"/>
          <w:szCs w:val="22"/>
        </w:rPr>
        <w:t xml:space="preserve">Across the state and across industry sectors, DVR clients are joining or rejoining the workforce in </w:t>
      </w:r>
      <w:r w:rsidR="007219E9" w:rsidRPr="00157A52">
        <w:rPr>
          <w:rFonts w:cs="Calibri"/>
          <w:sz w:val="22"/>
          <w:szCs w:val="22"/>
        </w:rPr>
        <w:t>jobs such</w:t>
      </w:r>
      <w:r w:rsidR="0069167F" w:rsidRPr="00157A52">
        <w:rPr>
          <w:rFonts w:cs="Calibri"/>
          <w:sz w:val="22"/>
          <w:szCs w:val="22"/>
        </w:rPr>
        <w:t xml:space="preserve"> as:</w:t>
      </w:r>
    </w:p>
    <w:p w14:paraId="3DF7AAB5" w14:textId="77777777" w:rsidR="0069167F" w:rsidRPr="009958D7" w:rsidRDefault="0069167F" w:rsidP="0069167F">
      <w:pPr>
        <w:rPr>
          <w:rFonts w:cs="Calibri"/>
          <w:color w:val="FF0000"/>
          <w:sz w:val="18"/>
          <w:szCs w:val="18"/>
        </w:rPr>
      </w:pPr>
    </w:p>
    <w:tbl>
      <w:tblPr>
        <w:tblStyle w:val="TableGrid"/>
        <w:tblW w:w="11425" w:type="dxa"/>
        <w:jc w:val="center"/>
        <w:tblCellMar>
          <w:left w:w="115" w:type="dxa"/>
          <w:right w:w="115" w:type="dxa"/>
        </w:tblCellMar>
        <w:tblLook w:val="04A0" w:firstRow="1" w:lastRow="0" w:firstColumn="1" w:lastColumn="0" w:noHBand="0" w:noVBand="1"/>
      </w:tblPr>
      <w:tblGrid>
        <w:gridCol w:w="3055"/>
        <w:gridCol w:w="4320"/>
        <w:gridCol w:w="4050"/>
      </w:tblGrid>
      <w:tr w:rsidR="00291CE8" w:rsidRPr="00157A52" w14:paraId="277BDA29" w14:textId="77777777" w:rsidTr="00A00E3B">
        <w:trPr>
          <w:jc w:val="center"/>
        </w:trPr>
        <w:tc>
          <w:tcPr>
            <w:tcW w:w="3055" w:type="dxa"/>
          </w:tcPr>
          <w:p w14:paraId="615CA5A3" w14:textId="351D3D10" w:rsidR="00291CE8" w:rsidRPr="00F144F1" w:rsidRDefault="00291CE8" w:rsidP="00A00E3B">
            <w:pPr>
              <w:rPr>
                <w:rFonts w:cs="Calibri"/>
                <w:sz w:val="20"/>
                <w:szCs w:val="20"/>
              </w:rPr>
            </w:pPr>
            <w:r w:rsidRPr="00F144F1">
              <w:rPr>
                <w:rFonts w:cs="Calibri"/>
                <w:sz w:val="20"/>
                <w:szCs w:val="20"/>
              </w:rPr>
              <w:t>Accountants and Auditors</w:t>
            </w:r>
          </w:p>
        </w:tc>
        <w:tc>
          <w:tcPr>
            <w:tcW w:w="4320" w:type="dxa"/>
          </w:tcPr>
          <w:p w14:paraId="3A4B4DC9" w14:textId="2DD25127" w:rsidR="00291CE8" w:rsidRPr="00F144F1" w:rsidRDefault="0089530A" w:rsidP="00291CE8">
            <w:pPr>
              <w:rPr>
                <w:rFonts w:cs="Calibri"/>
                <w:sz w:val="20"/>
                <w:szCs w:val="20"/>
              </w:rPr>
            </w:pPr>
            <w:r w:rsidRPr="00F144F1">
              <w:rPr>
                <w:rFonts w:cs="Calibri"/>
                <w:sz w:val="20"/>
                <w:szCs w:val="20"/>
              </w:rPr>
              <w:t>Fast Food and Counter Workers</w:t>
            </w:r>
          </w:p>
        </w:tc>
        <w:tc>
          <w:tcPr>
            <w:tcW w:w="4050" w:type="dxa"/>
          </w:tcPr>
          <w:p w14:paraId="75F3DD40" w14:textId="5E870A53" w:rsidR="00291CE8" w:rsidRPr="00F144F1" w:rsidRDefault="00F4569A" w:rsidP="00291CE8">
            <w:pPr>
              <w:rPr>
                <w:rFonts w:cs="Calibri"/>
                <w:sz w:val="20"/>
                <w:szCs w:val="20"/>
              </w:rPr>
            </w:pPr>
            <w:r w:rsidRPr="00F144F1">
              <w:rPr>
                <w:rFonts w:cs="Calibri"/>
                <w:sz w:val="20"/>
                <w:szCs w:val="20"/>
              </w:rPr>
              <w:t>Magnetic Resonance Imaging Technologists</w:t>
            </w:r>
          </w:p>
        </w:tc>
      </w:tr>
      <w:tr w:rsidR="00291CE8" w:rsidRPr="00157A52" w14:paraId="32CADE9C" w14:textId="77777777" w:rsidTr="00A00E3B">
        <w:trPr>
          <w:jc w:val="center"/>
        </w:trPr>
        <w:tc>
          <w:tcPr>
            <w:tcW w:w="3055" w:type="dxa"/>
          </w:tcPr>
          <w:p w14:paraId="556D1EC0" w14:textId="76D14BFF" w:rsidR="00291CE8" w:rsidRPr="00F144F1" w:rsidRDefault="00734824" w:rsidP="00A00E3B">
            <w:pPr>
              <w:rPr>
                <w:rFonts w:cs="Calibri"/>
                <w:sz w:val="20"/>
                <w:szCs w:val="20"/>
              </w:rPr>
            </w:pPr>
            <w:r w:rsidRPr="00F144F1">
              <w:rPr>
                <w:rFonts w:cs="Calibri"/>
                <w:sz w:val="20"/>
                <w:szCs w:val="20"/>
              </w:rPr>
              <w:t>Administrative Services Managers</w:t>
            </w:r>
          </w:p>
        </w:tc>
        <w:tc>
          <w:tcPr>
            <w:tcW w:w="4320" w:type="dxa"/>
          </w:tcPr>
          <w:p w14:paraId="56418D02" w14:textId="09BC7E22" w:rsidR="00291CE8" w:rsidRPr="00F144F1" w:rsidRDefault="0089530A" w:rsidP="00291CE8">
            <w:pPr>
              <w:rPr>
                <w:rFonts w:cs="Calibri"/>
                <w:sz w:val="20"/>
                <w:szCs w:val="20"/>
              </w:rPr>
            </w:pPr>
            <w:r w:rsidRPr="00F144F1">
              <w:rPr>
                <w:rFonts w:cs="Calibri"/>
                <w:sz w:val="20"/>
                <w:szCs w:val="20"/>
              </w:rPr>
              <w:t>General and Operations Managers</w:t>
            </w:r>
          </w:p>
        </w:tc>
        <w:tc>
          <w:tcPr>
            <w:tcW w:w="4050" w:type="dxa"/>
          </w:tcPr>
          <w:p w14:paraId="2BCB56BA" w14:textId="4CF88F8E" w:rsidR="00291CE8" w:rsidRPr="00F144F1" w:rsidRDefault="00245D98" w:rsidP="00291CE8">
            <w:pPr>
              <w:rPr>
                <w:rFonts w:cs="Calibri"/>
                <w:sz w:val="20"/>
                <w:szCs w:val="20"/>
              </w:rPr>
            </w:pPr>
            <w:r w:rsidRPr="00F144F1">
              <w:rPr>
                <w:rFonts w:cs="Calibri"/>
                <w:sz w:val="20"/>
                <w:szCs w:val="20"/>
              </w:rPr>
              <w:t>Marketing Managers</w:t>
            </w:r>
          </w:p>
        </w:tc>
      </w:tr>
      <w:tr w:rsidR="00291CE8" w:rsidRPr="00157A52" w14:paraId="293D1349" w14:textId="77777777" w:rsidTr="00A00E3B">
        <w:trPr>
          <w:jc w:val="center"/>
        </w:trPr>
        <w:tc>
          <w:tcPr>
            <w:tcW w:w="3055" w:type="dxa"/>
          </w:tcPr>
          <w:p w14:paraId="2BCAD3A0" w14:textId="2503364F" w:rsidR="00291CE8" w:rsidRPr="00F144F1" w:rsidRDefault="00291CE8" w:rsidP="00A00E3B">
            <w:pPr>
              <w:rPr>
                <w:rFonts w:cs="Calibri"/>
                <w:sz w:val="20"/>
                <w:szCs w:val="20"/>
              </w:rPr>
            </w:pPr>
            <w:r w:rsidRPr="00F144F1">
              <w:rPr>
                <w:rFonts w:cs="Calibri"/>
                <w:sz w:val="20"/>
                <w:szCs w:val="20"/>
              </w:rPr>
              <w:t>Bakers</w:t>
            </w:r>
          </w:p>
        </w:tc>
        <w:tc>
          <w:tcPr>
            <w:tcW w:w="4320" w:type="dxa"/>
          </w:tcPr>
          <w:p w14:paraId="1F256982" w14:textId="36DAC8E4" w:rsidR="00291CE8" w:rsidRPr="00F144F1" w:rsidRDefault="001D02E6" w:rsidP="00291CE8">
            <w:pPr>
              <w:rPr>
                <w:rFonts w:cs="Calibri"/>
                <w:sz w:val="20"/>
                <w:szCs w:val="20"/>
              </w:rPr>
            </w:pPr>
            <w:r w:rsidRPr="00F144F1">
              <w:rPr>
                <w:rFonts w:cs="Calibri"/>
                <w:sz w:val="20"/>
                <w:szCs w:val="20"/>
              </w:rPr>
              <w:t>Graphic Designers</w:t>
            </w:r>
          </w:p>
        </w:tc>
        <w:tc>
          <w:tcPr>
            <w:tcW w:w="4050" w:type="dxa"/>
          </w:tcPr>
          <w:p w14:paraId="794D6588" w14:textId="44F6947E" w:rsidR="00291CE8" w:rsidRPr="00F144F1" w:rsidRDefault="00291CE8" w:rsidP="00291CE8">
            <w:pPr>
              <w:rPr>
                <w:rFonts w:cs="Calibri"/>
                <w:sz w:val="20"/>
                <w:szCs w:val="20"/>
              </w:rPr>
            </w:pPr>
            <w:r w:rsidRPr="00F144F1">
              <w:rPr>
                <w:rFonts w:cs="Calibri"/>
                <w:sz w:val="20"/>
                <w:szCs w:val="20"/>
              </w:rPr>
              <w:t>Nonfarm Animal Caretakers</w:t>
            </w:r>
          </w:p>
        </w:tc>
      </w:tr>
      <w:tr w:rsidR="00291CE8" w:rsidRPr="00157A52" w14:paraId="5AD4D660" w14:textId="77777777" w:rsidTr="00A00E3B">
        <w:trPr>
          <w:jc w:val="center"/>
        </w:trPr>
        <w:tc>
          <w:tcPr>
            <w:tcW w:w="3055" w:type="dxa"/>
          </w:tcPr>
          <w:p w14:paraId="27199B2E" w14:textId="3EF5EFA8" w:rsidR="00291CE8" w:rsidRPr="00F144F1" w:rsidRDefault="009875C4" w:rsidP="00A00E3B">
            <w:pPr>
              <w:ind w:right="-390"/>
              <w:rPr>
                <w:rFonts w:cs="Calibri"/>
                <w:sz w:val="20"/>
                <w:szCs w:val="20"/>
              </w:rPr>
            </w:pPr>
            <w:r w:rsidRPr="00F144F1">
              <w:rPr>
                <w:rFonts w:cs="Calibri"/>
                <w:sz w:val="20"/>
                <w:szCs w:val="20"/>
              </w:rPr>
              <w:t>Barbers</w:t>
            </w:r>
          </w:p>
        </w:tc>
        <w:tc>
          <w:tcPr>
            <w:tcW w:w="4320" w:type="dxa"/>
          </w:tcPr>
          <w:p w14:paraId="1C630E60" w14:textId="5D835722" w:rsidR="00291CE8" w:rsidRPr="00F144F1" w:rsidRDefault="001D02E6" w:rsidP="00291CE8">
            <w:pPr>
              <w:rPr>
                <w:rFonts w:cs="Calibri"/>
                <w:sz w:val="20"/>
                <w:szCs w:val="20"/>
              </w:rPr>
            </w:pPr>
            <w:r w:rsidRPr="00F144F1">
              <w:rPr>
                <w:rFonts w:cs="Calibri"/>
                <w:sz w:val="20"/>
                <w:szCs w:val="20"/>
              </w:rPr>
              <w:t>Health Specialties Teachers, Postsecondary</w:t>
            </w:r>
          </w:p>
        </w:tc>
        <w:tc>
          <w:tcPr>
            <w:tcW w:w="4050" w:type="dxa"/>
          </w:tcPr>
          <w:p w14:paraId="1F2B4A79" w14:textId="142ABFCA" w:rsidR="00291CE8" w:rsidRPr="00F144F1" w:rsidRDefault="00291CE8" w:rsidP="00291CE8">
            <w:pPr>
              <w:rPr>
                <w:rFonts w:cs="Calibri"/>
                <w:sz w:val="20"/>
                <w:szCs w:val="20"/>
              </w:rPr>
            </w:pPr>
            <w:r w:rsidRPr="00F144F1">
              <w:rPr>
                <w:rFonts w:cs="Calibri"/>
                <w:sz w:val="20"/>
                <w:szCs w:val="20"/>
              </w:rPr>
              <w:t>Office and Administrative Support Workers</w:t>
            </w:r>
          </w:p>
        </w:tc>
      </w:tr>
      <w:tr w:rsidR="00291CE8" w:rsidRPr="00157A52" w14:paraId="1CA72CB7" w14:textId="77777777" w:rsidTr="00A00E3B">
        <w:trPr>
          <w:jc w:val="center"/>
        </w:trPr>
        <w:tc>
          <w:tcPr>
            <w:tcW w:w="3055" w:type="dxa"/>
          </w:tcPr>
          <w:p w14:paraId="32311996" w14:textId="3AF92730" w:rsidR="00291CE8" w:rsidRPr="00F144F1" w:rsidRDefault="009875C4" w:rsidP="00A00E3B">
            <w:pPr>
              <w:rPr>
                <w:rFonts w:cs="Calibri"/>
                <w:sz w:val="20"/>
                <w:szCs w:val="20"/>
              </w:rPr>
            </w:pPr>
            <w:r w:rsidRPr="00F144F1">
              <w:rPr>
                <w:rFonts w:cs="Calibri"/>
                <w:sz w:val="20"/>
                <w:szCs w:val="20"/>
              </w:rPr>
              <w:t>Carpenters</w:t>
            </w:r>
          </w:p>
        </w:tc>
        <w:tc>
          <w:tcPr>
            <w:tcW w:w="4320" w:type="dxa"/>
          </w:tcPr>
          <w:p w14:paraId="20AF5ADF" w14:textId="2E6F6605" w:rsidR="00291CE8" w:rsidRPr="00F144F1" w:rsidRDefault="001D02E6" w:rsidP="00291CE8">
            <w:pPr>
              <w:rPr>
                <w:rFonts w:cs="Calibri"/>
                <w:sz w:val="20"/>
                <w:szCs w:val="20"/>
              </w:rPr>
            </w:pPr>
            <w:r w:rsidRPr="00F144F1">
              <w:rPr>
                <w:rFonts w:cs="Calibri"/>
                <w:sz w:val="20"/>
                <w:szCs w:val="20"/>
              </w:rPr>
              <w:t>Healthcare Support Workers</w:t>
            </w:r>
          </w:p>
        </w:tc>
        <w:tc>
          <w:tcPr>
            <w:tcW w:w="4050" w:type="dxa"/>
          </w:tcPr>
          <w:p w14:paraId="023DEC84" w14:textId="4DB83E80" w:rsidR="00291CE8" w:rsidRPr="00F144F1" w:rsidRDefault="00291CE8" w:rsidP="00291CE8">
            <w:pPr>
              <w:rPr>
                <w:rFonts w:cs="Calibri"/>
                <w:sz w:val="20"/>
                <w:szCs w:val="20"/>
              </w:rPr>
            </w:pPr>
            <w:r w:rsidRPr="00F144F1">
              <w:rPr>
                <w:rFonts w:cs="Calibri"/>
                <w:sz w:val="20"/>
                <w:szCs w:val="20"/>
              </w:rPr>
              <w:t>Packers and Packagers</w:t>
            </w:r>
          </w:p>
        </w:tc>
      </w:tr>
      <w:tr w:rsidR="00291CE8" w:rsidRPr="00157A52" w14:paraId="4B7E802B" w14:textId="77777777" w:rsidTr="00A00E3B">
        <w:trPr>
          <w:jc w:val="center"/>
        </w:trPr>
        <w:tc>
          <w:tcPr>
            <w:tcW w:w="3055" w:type="dxa"/>
          </w:tcPr>
          <w:p w14:paraId="546B3B21" w14:textId="10D0B2DE" w:rsidR="00291CE8" w:rsidRPr="00F144F1" w:rsidRDefault="009875C4" w:rsidP="00A00E3B">
            <w:pPr>
              <w:rPr>
                <w:rFonts w:cs="Calibri"/>
                <w:sz w:val="20"/>
                <w:szCs w:val="20"/>
              </w:rPr>
            </w:pPr>
            <w:r w:rsidRPr="00F144F1">
              <w:rPr>
                <w:rFonts w:cs="Calibri"/>
                <w:sz w:val="20"/>
                <w:szCs w:val="20"/>
              </w:rPr>
              <w:t>Cashiers</w:t>
            </w:r>
          </w:p>
        </w:tc>
        <w:tc>
          <w:tcPr>
            <w:tcW w:w="4320" w:type="dxa"/>
          </w:tcPr>
          <w:p w14:paraId="30C838E1" w14:textId="61C1BE7E" w:rsidR="00291CE8" w:rsidRPr="00F144F1" w:rsidRDefault="001D02E6" w:rsidP="00291CE8">
            <w:pPr>
              <w:rPr>
                <w:rFonts w:cs="Calibri"/>
                <w:sz w:val="20"/>
                <w:szCs w:val="20"/>
              </w:rPr>
            </w:pPr>
            <w:r w:rsidRPr="00F144F1">
              <w:rPr>
                <w:rFonts w:cs="Calibri"/>
                <w:sz w:val="20"/>
                <w:szCs w:val="20"/>
              </w:rPr>
              <w:t>Industrial Machinery Mechanics</w:t>
            </w:r>
          </w:p>
        </w:tc>
        <w:tc>
          <w:tcPr>
            <w:tcW w:w="4050" w:type="dxa"/>
          </w:tcPr>
          <w:p w14:paraId="0C3AEC0E" w14:textId="47E6AB76" w:rsidR="00291CE8" w:rsidRPr="00F144F1" w:rsidRDefault="00291CE8" w:rsidP="00291CE8">
            <w:pPr>
              <w:rPr>
                <w:rFonts w:cs="Calibri"/>
                <w:b/>
                <w:bCs/>
                <w:sz w:val="20"/>
                <w:szCs w:val="20"/>
              </w:rPr>
            </w:pPr>
            <w:r w:rsidRPr="00F144F1">
              <w:rPr>
                <w:rFonts w:cs="Calibri"/>
                <w:sz w:val="20"/>
                <w:szCs w:val="20"/>
              </w:rPr>
              <w:t>Receptionists and Information Clerks</w:t>
            </w:r>
          </w:p>
        </w:tc>
      </w:tr>
      <w:tr w:rsidR="00291CE8" w:rsidRPr="00157A52" w14:paraId="1F3582EF" w14:textId="77777777" w:rsidTr="00A00E3B">
        <w:trPr>
          <w:jc w:val="center"/>
        </w:trPr>
        <w:tc>
          <w:tcPr>
            <w:tcW w:w="3055" w:type="dxa"/>
          </w:tcPr>
          <w:p w14:paraId="4F07DC78" w14:textId="4C50C29D" w:rsidR="00291CE8" w:rsidRPr="00F144F1" w:rsidRDefault="009875C4" w:rsidP="00A00E3B">
            <w:pPr>
              <w:rPr>
                <w:rFonts w:cs="Calibri"/>
                <w:sz w:val="20"/>
                <w:szCs w:val="20"/>
              </w:rPr>
            </w:pPr>
            <w:r w:rsidRPr="00F144F1">
              <w:rPr>
                <w:rFonts w:cs="Calibri"/>
                <w:sz w:val="20"/>
                <w:szCs w:val="20"/>
              </w:rPr>
              <w:t>Dental Hygienists</w:t>
            </w:r>
          </w:p>
        </w:tc>
        <w:tc>
          <w:tcPr>
            <w:tcW w:w="4320" w:type="dxa"/>
          </w:tcPr>
          <w:p w14:paraId="7BA1C22E" w14:textId="2355B84A" w:rsidR="00291CE8" w:rsidRPr="00F144F1" w:rsidRDefault="009644A4" w:rsidP="00291CE8">
            <w:pPr>
              <w:rPr>
                <w:rFonts w:cs="Calibri"/>
                <w:sz w:val="20"/>
                <w:szCs w:val="20"/>
              </w:rPr>
            </w:pPr>
            <w:r w:rsidRPr="00F144F1">
              <w:rPr>
                <w:rFonts w:cs="Calibri"/>
                <w:sz w:val="20"/>
                <w:szCs w:val="20"/>
              </w:rPr>
              <w:t>Insurance Sales Agents</w:t>
            </w:r>
          </w:p>
        </w:tc>
        <w:tc>
          <w:tcPr>
            <w:tcW w:w="4050" w:type="dxa"/>
          </w:tcPr>
          <w:p w14:paraId="07A34FB5" w14:textId="249F8C03" w:rsidR="00291CE8" w:rsidRPr="00F144F1" w:rsidRDefault="00291CE8" w:rsidP="00291CE8">
            <w:pPr>
              <w:rPr>
                <w:rFonts w:cs="Calibri"/>
                <w:sz w:val="20"/>
                <w:szCs w:val="20"/>
              </w:rPr>
            </w:pPr>
            <w:r w:rsidRPr="00F144F1">
              <w:rPr>
                <w:rFonts w:cs="Calibri"/>
                <w:sz w:val="20"/>
                <w:szCs w:val="20"/>
              </w:rPr>
              <w:t>Sales Workers</w:t>
            </w:r>
          </w:p>
        </w:tc>
      </w:tr>
      <w:tr w:rsidR="00291CE8" w:rsidRPr="00157A52" w14:paraId="6D439DA1" w14:textId="77777777" w:rsidTr="00A00E3B">
        <w:trPr>
          <w:jc w:val="center"/>
        </w:trPr>
        <w:tc>
          <w:tcPr>
            <w:tcW w:w="3055" w:type="dxa"/>
          </w:tcPr>
          <w:p w14:paraId="62ECDCCB" w14:textId="41C233A0" w:rsidR="00291CE8" w:rsidRPr="00F144F1" w:rsidRDefault="0089530A" w:rsidP="00A00E3B">
            <w:pPr>
              <w:rPr>
                <w:rFonts w:cs="Calibri"/>
                <w:sz w:val="20"/>
                <w:szCs w:val="20"/>
              </w:rPr>
            </w:pPr>
            <w:r w:rsidRPr="00F144F1">
              <w:rPr>
                <w:rFonts w:cs="Calibri"/>
                <w:sz w:val="20"/>
                <w:szCs w:val="20"/>
              </w:rPr>
              <w:t>Dishwashers</w:t>
            </w:r>
          </w:p>
        </w:tc>
        <w:tc>
          <w:tcPr>
            <w:tcW w:w="4320" w:type="dxa"/>
          </w:tcPr>
          <w:p w14:paraId="33DF4D03" w14:textId="115E8195" w:rsidR="00291CE8" w:rsidRPr="00F144F1" w:rsidRDefault="009644A4" w:rsidP="00291CE8">
            <w:pPr>
              <w:rPr>
                <w:rFonts w:cs="Calibri"/>
                <w:sz w:val="20"/>
                <w:szCs w:val="20"/>
              </w:rPr>
            </w:pPr>
            <w:r w:rsidRPr="00F144F1">
              <w:rPr>
                <w:rFonts w:cs="Calibri"/>
                <w:sz w:val="20"/>
                <w:szCs w:val="20"/>
              </w:rPr>
              <w:t>Janitors and Cleaners</w:t>
            </w:r>
          </w:p>
        </w:tc>
        <w:tc>
          <w:tcPr>
            <w:tcW w:w="4050" w:type="dxa"/>
          </w:tcPr>
          <w:p w14:paraId="189A29D5" w14:textId="40B46B2E" w:rsidR="00291CE8" w:rsidRPr="00F144F1" w:rsidRDefault="00291CE8" w:rsidP="00291CE8">
            <w:pPr>
              <w:rPr>
                <w:rFonts w:cs="Calibri"/>
                <w:sz w:val="20"/>
                <w:szCs w:val="20"/>
              </w:rPr>
            </w:pPr>
            <w:r w:rsidRPr="00F144F1">
              <w:rPr>
                <w:rFonts w:cs="Calibri"/>
                <w:sz w:val="20"/>
                <w:szCs w:val="20"/>
              </w:rPr>
              <w:t>Tax Examiners</w:t>
            </w:r>
            <w:r w:rsidR="00245D98" w:rsidRPr="00F144F1">
              <w:rPr>
                <w:rFonts w:cs="Calibri"/>
                <w:sz w:val="20"/>
                <w:szCs w:val="20"/>
              </w:rPr>
              <w:t>,</w:t>
            </w:r>
            <w:r w:rsidRPr="00F144F1">
              <w:rPr>
                <w:rFonts w:cs="Calibri"/>
                <w:sz w:val="20"/>
                <w:szCs w:val="20"/>
              </w:rPr>
              <w:t xml:space="preserve"> Collectors and Revenue Agents</w:t>
            </w:r>
          </w:p>
        </w:tc>
      </w:tr>
      <w:tr w:rsidR="00291CE8" w:rsidRPr="00157A52" w14:paraId="340E4C35" w14:textId="77777777" w:rsidTr="00A00E3B">
        <w:trPr>
          <w:jc w:val="center"/>
        </w:trPr>
        <w:tc>
          <w:tcPr>
            <w:tcW w:w="3055" w:type="dxa"/>
          </w:tcPr>
          <w:p w14:paraId="56030DBE" w14:textId="37861D9B" w:rsidR="00291CE8" w:rsidRPr="00F144F1" w:rsidRDefault="0089530A" w:rsidP="00A00E3B">
            <w:pPr>
              <w:rPr>
                <w:rFonts w:cs="Calibri"/>
                <w:sz w:val="20"/>
                <w:szCs w:val="20"/>
              </w:rPr>
            </w:pPr>
            <w:r w:rsidRPr="00F144F1">
              <w:rPr>
                <w:rFonts w:cs="Calibri"/>
                <w:sz w:val="20"/>
                <w:szCs w:val="20"/>
              </w:rPr>
              <w:t>Editors</w:t>
            </w:r>
          </w:p>
        </w:tc>
        <w:tc>
          <w:tcPr>
            <w:tcW w:w="4320" w:type="dxa"/>
          </w:tcPr>
          <w:p w14:paraId="4E330D5C" w14:textId="30C53A36" w:rsidR="00291CE8" w:rsidRPr="00F144F1" w:rsidRDefault="009644A4" w:rsidP="00291CE8">
            <w:pPr>
              <w:rPr>
                <w:rFonts w:cs="Calibri"/>
                <w:sz w:val="20"/>
                <w:szCs w:val="20"/>
              </w:rPr>
            </w:pPr>
            <w:r w:rsidRPr="00F144F1">
              <w:rPr>
                <w:rFonts w:cs="Calibri"/>
                <w:sz w:val="20"/>
                <w:szCs w:val="20"/>
              </w:rPr>
              <w:t>Kindergarten Teachers</w:t>
            </w:r>
          </w:p>
        </w:tc>
        <w:tc>
          <w:tcPr>
            <w:tcW w:w="4050" w:type="dxa"/>
          </w:tcPr>
          <w:p w14:paraId="17946C60" w14:textId="3139D879" w:rsidR="00291CE8" w:rsidRPr="00F144F1" w:rsidRDefault="00291CE8" w:rsidP="00291CE8">
            <w:pPr>
              <w:rPr>
                <w:rFonts w:cs="Calibri"/>
                <w:sz w:val="20"/>
                <w:szCs w:val="20"/>
              </w:rPr>
            </w:pPr>
            <w:r w:rsidRPr="00F144F1">
              <w:rPr>
                <w:rFonts w:cs="Calibri"/>
                <w:sz w:val="20"/>
                <w:szCs w:val="20"/>
              </w:rPr>
              <w:t>Ushers, Lobby Attendants, and Ticket Takers</w:t>
            </w:r>
          </w:p>
        </w:tc>
      </w:tr>
      <w:tr w:rsidR="00291CE8" w:rsidRPr="00157A52" w14:paraId="2BE2C3EB" w14:textId="77777777" w:rsidTr="00A00E3B">
        <w:trPr>
          <w:jc w:val="center"/>
        </w:trPr>
        <w:tc>
          <w:tcPr>
            <w:tcW w:w="3055" w:type="dxa"/>
          </w:tcPr>
          <w:p w14:paraId="238E62F9" w14:textId="6146D3E8" w:rsidR="00291CE8" w:rsidRPr="00F144F1" w:rsidRDefault="0089530A" w:rsidP="00A00E3B">
            <w:pPr>
              <w:rPr>
                <w:rFonts w:cs="Calibri"/>
                <w:sz w:val="20"/>
                <w:szCs w:val="20"/>
              </w:rPr>
            </w:pPr>
            <w:r w:rsidRPr="00F144F1">
              <w:rPr>
                <w:rFonts w:cs="Calibri"/>
                <w:sz w:val="20"/>
                <w:szCs w:val="20"/>
              </w:rPr>
              <w:t>Electricians</w:t>
            </w:r>
          </w:p>
        </w:tc>
        <w:tc>
          <w:tcPr>
            <w:tcW w:w="4320" w:type="dxa"/>
          </w:tcPr>
          <w:p w14:paraId="2877BC81" w14:textId="10B4DC76" w:rsidR="00291CE8" w:rsidRPr="00F144F1" w:rsidRDefault="00F4569A" w:rsidP="00291CE8">
            <w:pPr>
              <w:rPr>
                <w:rFonts w:cs="Calibri"/>
                <w:sz w:val="20"/>
                <w:szCs w:val="20"/>
              </w:rPr>
            </w:pPr>
            <w:r w:rsidRPr="00F144F1">
              <w:rPr>
                <w:rFonts w:cs="Calibri"/>
                <w:sz w:val="20"/>
                <w:szCs w:val="20"/>
              </w:rPr>
              <w:t>Laborers and Freight, Stock, and Material Movers</w:t>
            </w:r>
          </w:p>
        </w:tc>
        <w:tc>
          <w:tcPr>
            <w:tcW w:w="4050" w:type="dxa"/>
          </w:tcPr>
          <w:p w14:paraId="148776BC" w14:textId="30FF7646" w:rsidR="00291CE8" w:rsidRPr="00F144F1" w:rsidRDefault="00291CE8" w:rsidP="00291CE8">
            <w:pPr>
              <w:rPr>
                <w:rFonts w:cs="Calibri"/>
                <w:sz w:val="20"/>
                <w:szCs w:val="20"/>
              </w:rPr>
            </w:pPr>
            <w:r w:rsidRPr="00F144F1">
              <w:rPr>
                <w:rFonts w:cs="Calibri"/>
                <w:sz w:val="20"/>
                <w:szCs w:val="20"/>
              </w:rPr>
              <w:t>Veterinary Technologists and Technicians</w:t>
            </w:r>
          </w:p>
        </w:tc>
      </w:tr>
      <w:tr w:rsidR="00291CE8" w:rsidRPr="00DD69B6" w14:paraId="7A10E3C0" w14:textId="77777777" w:rsidTr="00A00E3B">
        <w:trPr>
          <w:jc w:val="center"/>
        </w:trPr>
        <w:tc>
          <w:tcPr>
            <w:tcW w:w="3055" w:type="dxa"/>
          </w:tcPr>
          <w:p w14:paraId="3582DBFF" w14:textId="1B75EC13" w:rsidR="00291CE8" w:rsidRPr="00F144F1" w:rsidRDefault="0089530A" w:rsidP="00A00E3B">
            <w:pPr>
              <w:rPr>
                <w:rFonts w:cs="Calibri"/>
                <w:sz w:val="20"/>
                <w:szCs w:val="20"/>
              </w:rPr>
            </w:pPr>
            <w:r w:rsidRPr="00F144F1">
              <w:rPr>
                <w:rFonts w:cs="Calibri"/>
                <w:sz w:val="20"/>
                <w:szCs w:val="20"/>
              </w:rPr>
              <w:t>Farm Labor Contractors</w:t>
            </w:r>
          </w:p>
        </w:tc>
        <w:tc>
          <w:tcPr>
            <w:tcW w:w="4320" w:type="dxa"/>
          </w:tcPr>
          <w:p w14:paraId="783EA65E" w14:textId="0053D4FD" w:rsidR="00291CE8" w:rsidRPr="00F144F1" w:rsidRDefault="00F4569A" w:rsidP="00291CE8">
            <w:pPr>
              <w:rPr>
                <w:rFonts w:cs="Calibri"/>
                <w:sz w:val="20"/>
                <w:szCs w:val="20"/>
              </w:rPr>
            </w:pPr>
            <w:r w:rsidRPr="00F144F1">
              <w:rPr>
                <w:rFonts w:cs="Calibri"/>
                <w:sz w:val="20"/>
                <w:szCs w:val="20"/>
              </w:rPr>
              <w:t>Landscaping and Groundskeeping Workers</w:t>
            </w:r>
          </w:p>
        </w:tc>
        <w:tc>
          <w:tcPr>
            <w:tcW w:w="4050" w:type="dxa"/>
          </w:tcPr>
          <w:p w14:paraId="16815119" w14:textId="0B82B0B3" w:rsidR="00291CE8" w:rsidRPr="00F144F1" w:rsidRDefault="00291CE8" w:rsidP="00291CE8">
            <w:pPr>
              <w:rPr>
                <w:rFonts w:cs="Calibri"/>
                <w:sz w:val="20"/>
                <w:szCs w:val="20"/>
              </w:rPr>
            </w:pPr>
            <w:r w:rsidRPr="00F144F1">
              <w:rPr>
                <w:rFonts w:cs="Calibri"/>
                <w:sz w:val="20"/>
                <w:szCs w:val="20"/>
              </w:rPr>
              <w:t>Waiters and Waitresses</w:t>
            </w:r>
          </w:p>
        </w:tc>
      </w:tr>
    </w:tbl>
    <w:p w14:paraId="51FEA4D4" w14:textId="2DC17FED" w:rsidR="00135572" w:rsidRDefault="00061245" w:rsidP="0069167F">
      <w:pPr>
        <w:pStyle w:val="CommentText"/>
        <w:rPr>
          <w:rFonts w:cs="Calibri"/>
          <w:b/>
          <w:bCs/>
          <w:sz w:val="22"/>
          <w:szCs w:val="22"/>
        </w:rPr>
      </w:pPr>
      <w:r>
        <w:rPr>
          <w:noProof/>
        </w:rPr>
        <w:drawing>
          <wp:anchor distT="0" distB="0" distL="114300" distR="114300" simplePos="0" relativeHeight="251653632" behindDoc="1" locked="0" layoutInCell="1" allowOverlap="1" wp14:anchorId="68BF1B82" wp14:editId="7E0852AD">
            <wp:simplePos x="0" y="0"/>
            <wp:positionH relativeFrom="column">
              <wp:posOffset>3933825</wp:posOffset>
            </wp:positionH>
            <wp:positionV relativeFrom="paragraph">
              <wp:posOffset>80645</wp:posOffset>
            </wp:positionV>
            <wp:extent cx="3145155" cy="2228850"/>
            <wp:effectExtent l="0" t="0" r="17145" b="0"/>
            <wp:wrapTight wrapText="bothSides">
              <wp:wrapPolygon edited="0">
                <wp:start x="0" y="0"/>
                <wp:lineTo x="0" y="21415"/>
                <wp:lineTo x="21587" y="21415"/>
                <wp:lineTo x="21587" y="0"/>
                <wp:lineTo x="0" y="0"/>
              </wp:wrapPolygon>
            </wp:wrapTight>
            <wp:docPr id="54" name="Chart 54" descr="Pie Chart on Credential Attainment. Credential Attainment = 407. The breakdown for credential attainments are as follows: 2 Secondary School Diploma Equivalent; 5 Associate's Degrees; 16 Bachelor's Degree; 1 Master's/Graduate Degree: 2 Occupational Licensure; 20 Occupational Certificate; 361 Secondary Diploma."/>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4B30F173" w14:textId="191C6CD0" w:rsidR="0069167F" w:rsidRPr="00F144F1" w:rsidRDefault="0069167F" w:rsidP="0069167F">
      <w:pPr>
        <w:pStyle w:val="CommentText"/>
        <w:rPr>
          <w:rFonts w:cs="Calibri"/>
          <w:b/>
          <w:bCs/>
          <w:sz w:val="22"/>
          <w:szCs w:val="22"/>
        </w:rPr>
      </w:pPr>
      <w:r w:rsidRPr="00F144F1">
        <w:rPr>
          <w:rFonts w:cs="Calibri"/>
          <w:b/>
          <w:bCs/>
          <w:sz w:val="22"/>
          <w:szCs w:val="22"/>
        </w:rPr>
        <w:t>Individuals Served</w:t>
      </w:r>
    </w:p>
    <w:p w14:paraId="7899B847" w14:textId="7C3E5023" w:rsidR="00110473" w:rsidRPr="00F144F1" w:rsidRDefault="00077413" w:rsidP="00C758CF">
      <w:pPr>
        <w:rPr>
          <w:rFonts w:cs="Calibri"/>
          <w:sz w:val="22"/>
          <w:szCs w:val="22"/>
        </w:rPr>
      </w:pPr>
      <w:r w:rsidRPr="00F144F1">
        <w:rPr>
          <w:rFonts w:cs="Calibri"/>
          <w:b/>
          <w:sz w:val="22"/>
          <w:szCs w:val="22"/>
        </w:rPr>
        <w:t>3,675</w:t>
      </w:r>
      <w:r w:rsidR="00C758CF" w:rsidRPr="00F144F1">
        <w:rPr>
          <w:rFonts w:cs="Calibri"/>
          <w:sz w:val="22"/>
          <w:szCs w:val="22"/>
        </w:rPr>
        <w:t xml:space="preserve">   New </w:t>
      </w:r>
      <w:r w:rsidR="00877E58" w:rsidRPr="00F144F1">
        <w:rPr>
          <w:rFonts w:cs="Calibri"/>
          <w:sz w:val="22"/>
          <w:szCs w:val="22"/>
        </w:rPr>
        <w:t xml:space="preserve">VR </w:t>
      </w:r>
      <w:r w:rsidR="00C758CF" w:rsidRPr="00F144F1">
        <w:rPr>
          <w:rFonts w:cs="Calibri"/>
          <w:sz w:val="22"/>
          <w:szCs w:val="22"/>
        </w:rPr>
        <w:t>Applicants</w:t>
      </w:r>
      <w:r w:rsidR="00110473" w:rsidRPr="00F144F1">
        <w:rPr>
          <w:rFonts w:cs="Calibri"/>
          <w:sz w:val="22"/>
          <w:szCs w:val="22"/>
        </w:rPr>
        <w:t xml:space="preserve">   </w:t>
      </w:r>
      <w:r w:rsidR="00C12853" w:rsidRPr="00F144F1">
        <w:rPr>
          <w:rFonts w:cs="Calibri"/>
          <w:sz w:val="22"/>
          <w:szCs w:val="22"/>
        </w:rPr>
        <w:br/>
      </w:r>
      <w:r w:rsidR="00D7579E" w:rsidRPr="00F144F1">
        <w:rPr>
          <w:rFonts w:cs="Calibri"/>
          <w:b/>
          <w:bCs/>
          <w:sz w:val="22"/>
          <w:szCs w:val="22"/>
        </w:rPr>
        <w:t>2,916</w:t>
      </w:r>
      <w:r w:rsidR="00C12853" w:rsidRPr="00F144F1">
        <w:rPr>
          <w:rFonts w:cs="Calibri"/>
          <w:sz w:val="22"/>
          <w:szCs w:val="22"/>
        </w:rPr>
        <w:t xml:space="preserve">   Youth with Disabilities </w:t>
      </w:r>
      <w:r w:rsidR="00695DDF" w:rsidRPr="00F144F1">
        <w:rPr>
          <w:rFonts w:cs="Calibri"/>
          <w:sz w:val="22"/>
          <w:szCs w:val="22"/>
        </w:rPr>
        <w:t xml:space="preserve">who </w:t>
      </w:r>
      <w:r w:rsidR="009958D7" w:rsidRPr="00F144F1">
        <w:rPr>
          <w:rFonts w:cs="Calibri"/>
          <w:sz w:val="22"/>
          <w:szCs w:val="22"/>
        </w:rPr>
        <w:t>r</w:t>
      </w:r>
      <w:r w:rsidR="00695DDF" w:rsidRPr="00F144F1">
        <w:rPr>
          <w:rFonts w:cs="Calibri"/>
          <w:sz w:val="22"/>
          <w:szCs w:val="22"/>
        </w:rPr>
        <w:t>eceived Transition Services</w:t>
      </w:r>
    </w:p>
    <w:p w14:paraId="67A12C86" w14:textId="5EAC86E4" w:rsidR="00C758CF" w:rsidRPr="00F144F1" w:rsidRDefault="00AB7D36" w:rsidP="00C758CF">
      <w:pPr>
        <w:rPr>
          <w:rFonts w:cs="Calibri"/>
          <w:sz w:val="22"/>
          <w:szCs w:val="22"/>
        </w:rPr>
      </w:pPr>
      <w:r w:rsidRPr="00F144F1">
        <w:rPr>
          <w:rFonts w:cs="Calibri"/>
          <w:b/>
          <w:sz w:val="22"/>
          <w:szCs w:val="22"/>
        </w:rPr>
        <w:t>7,250</w:t>
      </w:r>
      <w:r w:rsidR="00B1486A" w:rsidRPr="00F144F1">
        <w:rPr>
          <w:rFonts w:cs="Calibri"/>
          <w:sz w:val="22"/>
          <w:szCs w:val="22"/>
        </w:rPr>
        <w:t xml:space="preserve">   </w:t>
      </w:r>
      <w:r w:rsidR="00C758CF" w:rsidRPr="00F144F1">
        <w:rPr>
          <w:rFonts w:cs="Calibri"/>
          <w:sz w:val="22"/>
          <w:szCs w:val="22"/>
        </w:rPr>
        <w:t>Received Services through Employment Plans</w:t>
      </w:r>
    </w:p>
    <w:p w14:paraId="0A2D2DC5" w14:textId="5600EA24" w:rsidR="00D57974" w:rsidRPr="00D57974" w:rsidRDefault="00FA4977" w:rsidP="00D57974">
      <w:pPr>
        <w:pStyle w:val="NormalWeb"/>
        <w:spacing w:before="0" w:beforeAutospacing="0" w:after="0" w:afterAutospacing="0"/>
        <w:rPr>
          <w:rFonts w:asciiTheme="minorHAnsi" w:hAnsiTheme="minorHAnsi" w:cstheme="minorHAnsi"/>
          <w:bCs/>
          <w:sz w:val="22"/>
          <w:szCs w:val="22"/>
          <w14:textOutline w14:w="9525" w14:cap="flat" w14:cmpd="sng" w14:algn="ctr">
            <w14:noFill/>
            <w14:prstDash w14:val="solid"/>
            <w14:round/>
          </w14:textOutline>
        </w:rPr>
      </w:pPr>
      <w:r w:rsidRPr="00F144F1">
        <w:rPr>
          <w:noProof/>
        </w:rPr>
        <w:drawing>
          <wp:anchor distT="0" distB="0" distL="114300" distR="114300" simplePos="0" relativeHeight="251655680" behindDoc="0" locked="0" layoutInCell="1" allowOverlap="1" wp14:anchorId="121E6DE0" wp14:editId="17F85C2F">
            <wp:simplePos x="0" y="0"/>
            <wp:positionH relativeFrom="column">
              <wp:posOffset>3934460</wp:posOffset>
            </wp:positionH>
            <wp:positionV relativeFrom="paragraph">
              <wp:posOffset>1618615</wp:posOffset>
            </wp:positionV>
            <wp:extent cx="3145155" cy="2037080"/>
            <wp:effectExtent l="0" t="0" r="17145" b="1270"/>
            <wp:wrapSquare wrapText="bothSides"/>
            <wp:docPr id="291" name="Chart 291" descr="Pie chart graph on the Age of VR participants at Application.  Percentages are reported as follows: 39.3% 14 to 22; 47.3% 23 to 54; 9.5% 55 to 64; 4.0% 65 and Olde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842232" w:rsidRPr="00F144F1">
        <w:rPr>
          <w:noProof/>
        </w:rPr>
        <w:drawing>
          <wp:anchor distT="0" distB="0" distL="114300" distR="114300" simplePos="0" relativeHeight="251656704" behindDoc="1" locked="0" layoutInCell="1" allowOverlap="1" wp14:anchorId="730C6AB7" wp14:editId="344D6112">
            <wp:simplePos x="0" y="0"/>
            <wp:positionH relativeFrom="column">
              <wp:posOffset>8890</wp:posOffset>
            </wp:positionH>
            <wp:positionV relativeFrom="paragraph">
              <wp:posOffset>408940</wp:posOffset>
            </wp:positionV>
            <wp:extent cx="3819525" cy="3248025"/>
            <wp:effectExtent l="0" t="0" r="9525" b="9525"/>
            <wp:wrapSquare wrapText="bothSides"/>
            <wp:docPr id="292" name="Chart 292" descr="Pie chart graph titled, &quot;VR Case Service Expenditures for DVR $9,795,029.17&quot; with percentage of expenditures spent on the following services: 1.0% Assessment; 2.3% Other Training; 6.3% Diagnosis and Treatment; 17.6% Pre-ETS; 1.0% Maintenance; 51.1% Job Development and Placement; 10.5% Other Services; 8.9% College or University Training; 1.1% Transportation; 0.2% On-The-Job Supports."/>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E63994" w:rsidRPr="00F144F1">
        <w:rPr>
          <w:rFonts w:asciiTheme="minorHAnsi" w:hAnsiTheme="minorHAnsi" w:cstheme="minorHAnsi"/>
          <w:b/>
          <w:bCs/>
          <w:sz w:val="22"/>
          <w:szCs w:val="22"/>
        </w:rPr>
        <w:t xml:space="preserve">   </w:t>
      </w:r>
      <w:r w:rsidR="00245D98" w:rsidRPr="00F144F1">
        <w:rPr>
          <w:rFonts w:asciiTheme="minorHAnsi" w:hAnsiTheme="minorHAnsi" w:cstheme="minorHAnsi"/>
          <w:b/>
          <w:bCs/>
          <w:sz w:val="22"/>
          <w:szCs w:val="22"/>
        </w:rPr>
        <w:t>435</w:t>
      </w:r>
      <w:r w:rsidR="00D57974" w:rsidRPr="00F144F1">
        <w:rPr>
          <w:rFonts w:asciiTheme="minorHAnsi" w:hAnsiTheme="minorHAnsi" w:cstheme="minorHAnsi"/>
          <w:sz w:val="22"/>
          <w:szCs w:val="22"/>
        </w:rPr>
        <w:t xml:space="preserve">   </w:t>
      </w:r>
      <w:r w:rsidR="00D57974" w:rsidRPr="00F144F1">
        <w:rPr>
          <w:rFonts w:asciiTheme="minorHAnsi" w:hAnsiTheme="minorHAnsi" w:cstheme="minorHAnsi"/>
          <w:bCs/>
          <w:sz w:val="22"/>
          <w:szCs w:val="22"/>
          <w14:textOutline w14:w="9525" w14:cap="flat" w14:cmpd="sng" w14:algn="ctr">
            <w14:noFill/>
            <w14:prstDash w14:val="solid"/>
            <w14:round/>
          </w14:textOutline>
        </w:rPr>
        <w:t>Individuals Successfully Employed</w:t>
      </w:r>
    </w:p>
    <w:p w14:paraId="67787AA3" w14:textId="0B7111FD" w:rsidR="008046DA" w:rsidRDefault="008046DA">
      <w:pPr>
        <w:rPr>
          <w:rFonts w:ascii="Lato Black" w:eastAsiaTheme="majorEastAsia" w:hAnsi="Lato Black" w:cstheme="majorBidi"/>
          <w:color w:val="00303E" w:themeColor="accent1"/>
          <w:spacing w:val="-8"/>
          <w:kern w:val="28"/>
          <w:sz w:val="36"/>
          <w:szCs w:val="56"/>
        </w:rPr>
      </w:pPr>
      <w:r>
        <w:br w:type="page"/>
      </w:r>
    </w:p>
    <w:p w14:paraId="2FA9B13D" w14:textId="78D5EB64" w:rsidR="0035448D" w:rsidRPr="00016C33" w:rsidRDefault="005C3DEE" w:rsidP="006B617C">
      <w:pPr>
        <w:pStyle w:val="Heading1"/>
        <w:rPr>
          <w:rFonts w:asciiTheme="minorHAnsi" w:hAnsiTheme="minorHAnsi" w:cs="Calibri"/>
          <w:sz w:val="20"/>
          <w:szCs w:val="22"/>
        </w:rPr>
      </w:pPr>
      <w:bookmarkStart w:id="6" w:name="_Toc185326159"/>
      <w:r w:rsidRPr="00F144F1">
        <w:lastRenderedPageBreak/>
        <w:t>DVR Initiatives and</w:t>
      </w:r>
      <w:r w:rsidR="0035448D" w:rsidRPr="00F144F1">
        <w:t xml:space="preserve"> Innovations</w:t>
      </w:r>
      <w:bookmarkEnd w:id="6"/>
      <w:r w:rsidR="0035448D" w:rsidRPr="00DC4748">
        <w:t xml:space="preserve"> </w:t>
      </w:r>
    </w:p>
    <w:p w14:paraId="50FC89B0" w14:textId="4E1EEA95" w:rsidR="00632F6E" w:rsidRDefault="00632F6E" w:rsidP="00DC4748">
      <w:pPr>
        <w:rPr>
          <w:rFonts w:asciiTheme="minorHAnsi" w:hAnsiTheme="minorHAnsi" w:cstheme="minorHAnsi"/>
          <w:noProof/>
          <w:sz w:val="22"/>
          <w:szCs w:val="22"/>
          <w:shd w:val="clear" w:color="auto" w:fill="FFFFFF"/>
        </w:rPr>
      </w:pPr>
      <w:r>
        <w:rPr>
          <w:rFonts w:asciiTheme="minorHAnsi" w:hAnsiTheme="minorHAnsi" w:cstheme="minorHAnsi"/>
          <w:b/>
          <w:bCs/>
          <w:noProof/>
          <w:sz w:val="22"/>
          <w:szCs w:val="22"/>
          <w:shd w:val="clear" w:color="auto" w:fill="FFFFFF"/>
        </w:rPr>
        <w:t xml:space="preserve">DVR celebrated 10 years of Progressive Employment! </w:t>
      </w:r>
      <w:r>
        <w:rPr>
          <w:rFonts w:asciiTheme="minorHAnsi" w:hAnsiTheme="minorHAnsi" w:cstheme="minorHAnsi"/>
          <w:noProof/>
          <w:sz w:val="22"/>
          <w:szCs w:val="22"/>
          <w:shd w:val="clear" w:color="auto" w:fill="FFFFFF"/>
        </w:rPr>
        <w:t>Progressive Employment is a dual customer strategy that is designed to promoteengagement and employment outcomes through work-based learning activities that meet the needs of jobseekers and employers. Jobsville is an opportunity for Regional teams to discuss Progressive Employment referrals, labor market information and employer engagement. Progressive Employment is available throughout the State for both youth and adult jobseekers.</w:t>
      </w:r>
    </w:p>
    <w:p w14:paraId="705E3B5D" w14:textId="77777777" w:rsidR="00632F6E" w:rsidRDefault="00632F6E" w:rsidP="00DC4748">
      <w:pPr>
        <w:rPr>
          <w:rFonts w:asciiTheme="minorHAnsi" w:hAnsiTheme="minorHAnsi" w:cstheme="minorHAnsi"/>
          <w:noProof/>
          <w:sz w:val="22"/>
          <w:szCs w:val="22"/>
          <w:shd w:val="clear" w:color="auto" w:fill="FFFFFF"/>
        </w:rPr>
      </w:pPr>
    </w:p>
    <w:p w14:paraId="4348E9EF" w14:textId="7061620F" w:rsidR="00632F6E" w:rsidRDefault="00632F6E" w:rsidP="00DC4748">
      <w:p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The Bureau of Employment Services and additional community partners joined DVR in several locations which has enhanced the Jobsville meeting and created increased opportunities for individuals that are facing barriers to employment.</w:t>
      </w:r>
    </w:p>
    <w:p w14:paraId="65A64762" w14:textId="23F21E5A" w:rsidR="00632F6E" w:rsidRDefault="00632F6E" w:rsidP="00DC4748">
      <w:pPr>
        <w:rPr>
          <w:rFonts w:asciiTheme="minorHAnsi" w:hAnsiTheme="minorHAnsi" w:cstheme="minorHAnsi"/>
          <w:noProof/>
          <w:sz w:val="22"/>
          <w:szCs w:val="22"/>
          <w:shd w:val="clear" w:color="auto" w:fill="FFFFFF"/>
        </w:rPr>
      </w:pPr>
    </w:p>
    <w:p w14:paraId="358E3E46" w14:textId="38683A27" w:rsidR="00632F6E" w:rsidRDefault="00632F6E" w:rsidP="00DC4748">
      <w:p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The following success story highlights how Progressive Employment supports the career exploration and leads to meangingful employment.</w:t>
      </w:r>
    </w:p>
    <w:p w14:paraId="39AEF51D" w14:textId="77777777" w:rsidR="00632F6E" w:rsidRDefault="00632F6E" w:rsidP="00DC4748">
      <w:pPr>
        <w:rPr>
          <w:rFonts w:asciiTheme="minorHAnsi" w:hAnsiTheme="minorHAnsi" w:cstheme="minorHAnsi"/>
          <w:noProof/>
          <w:sz w:val="22"/>
          <w:szCs w:val="22"/>
          <w:shd w:val="clear" w:color="auto" w:fill="FFFFFF"/>
        </w:rPr>
      </w:pPr>
    </w:p>
    <w:p w14:paraId="3F6D0B62" w14:textId="3113E98E" w:rsidR="00632F6E" w:rsidRDefault="00632F6E" w:rsidP="00DC4748">
      <w:pPr>
        <w:rPr>
          <w:rFonts w:asciiTheme="minorHAnsi" w:hAnsiTheme="minorHAnsi" w:cstheme="minorHAnsi"/>
          <w:i/>
          <w:iCs/>
          <w:noProof/>
          <w:sz w:val="22"/>
          <w:szCs w:val="22"/>
          <w:shd w:val="clear" w:color="auto" w:fill="FFFFFF"/>
        </w:rPr>
      </w:pPr>
      <w:r>
        <w:rPr>
          <w:rFonts w:asciiTheme="minorHAnsi" w:hAnsiTheme="minorHAnsi" w:cstheme="minorHAnsi"/>
          <w:i/>
          <w:iCs/>
          <w:noProof/>
          <w:sz w:val="22"/>
          <w:szCs w:val="22"/>
          <w:shd w:val="clear" w:color="auto" w:fill="FFFFFF"/>
        </w:rPr>
        <w:t>John was referred to Progressive Employment by his VR Counselor to support his exploration of potential career paths. He participated in several employer tours to learn about different positions and job tasks, as well as completed vocational assessments to identify his interests, strengths, and preferred work environments.</w:t>
      </w:r>
    </w:p>
    <w:p w14:paraId="17EB0DF9" w14:textId="77777777" w:rsidR="00632F6E" w:rsidRDefault="00632F6E" w:rsidP="00DC4748">
      <w:pPr>
        <w:rPr>
          <w:rFonts w:asciiTheme="minorHAnsi" w:hAnsiTheme="minorHAnsi" w:cstheme="minorHAnsi"/>
          <w:i/>
          <w:iCs/>
          <w:noProof/>
          <w:sz w:val="22"/>
          <w:szCs w:val="22"/>
          <w:shd w:val="clear" w:color="auto" w:fill="FFFFFF"/>
        </w:rPr>
      </w:pPr>
    </w:p>
    <w:p w14:paraId="0BF06B94" w14:textId="2A3BD9F8" w:rsidR="00632F6E" w:rsidRDefault="00632F6E" w:rsidP="00DC4748">
      <w:pPr>
        <w:rPr>
          <w:rFonts w:asciiTheme="minorHAnsi" w:hAnsiTheme="minorHAnsi" w:cstheme="minorHAnsi"/>
          <w:i/>
          <w:iCs/>
          <w:noProof/>
          <w:sz w:val="22"/>
          <w:szCs w:val="22"/>
          <w:shd w:val="clear" w:color="auto" w:fill="FFFFFF"/>
        </w:rPr>
      </w:pPr>
      <w:r>
        <w:rPr>
          <w:rFonts w:asciiTheme="minorHAnsi" w:hAnsiTheme="minorHAnsi" w:cstheme="minorHAnsi"/>
          <w:i/>
          <w:iCs/>
          <w:noProof/>
          <w:sz w:val="22"/>
          <w:szCs w:val="22"/>
          <w:shd w:val="clear" w:color="auto" w:fill="FFFFFF"/>
        </w:rPr>
        <w:t>Following the employer tours and informational interviews, John expressed interest in trying a position with a local business. He completed a six-week paid work experience that allowed him to gain hands-on exposure to the day-to-day operations of a greenhouse. Due to his success during the work experience, the employer hired John, and he has since expanded his role into other areas of the business.</w:t>
      </w:r>
    </w:p>
    <w:p w14:paraId="386EC57E" w14:textId="77777777" w:rsidR="00632F6E" w:rsidRDefault="00632F6E" w:rsidP="00DC4748">
      <w:pPr>
        <w:rPr>
          <w:rFonts w:asciiTheme="minorHAnsi" w:hAnsiTheme="minorHAnsi" w:cstheme="minorHAnsi"/>
          <w:i/>
          <w:iCs/>
          <w:noProof/>
          <w:sz w:val="22"/>
          <w:szCs w:val="22"/>
          <w:shd w:val="clear" w:color="auto" w:fill="FFFFFF"/>
        </w:rPr>
      </w:pPr>
    </w:p>
    <w:p w14:paraId="4DB947C7" w14:textId="2C1BCF7C" w:rsidR="00632F6E" w:rsidRPr="00632F6E" w:rsidRDefault="00632F6E" w:rsidP="00632F6E">
      <w:pPr>
        <w:jc w:val="center"/>
        <w:rPr>
          <w:rFonts w:asciiTheme="minorHAnsi" w:hAnsiTheme="minorHAnsi" w:cstheme="minorHAnsi"/>
          <w:b/>
          <w:bCs/>
          <w:noProof/>
          <w:sz w:val="22"/>
          <w:szCs w:val="22"/>
          <w:shd w:val="clear" w:color="auto" w:fill="FFFFFF"/>
        </w:rPr>
      </w:pPr>
      <w:r w:rsidRPr="00632F6E">
        <w:rPr>
          <w:rFonts w:asciiTheme="minorHAnsi" w:hAnsiTheme="minorHAnsi" w:cstheme="minorHAnsi"/>
          <w:b/>
          <w:bCs/>
          <w:noProof/>
          <w:sz w:val="22"/>
          <w:szCs w:val="22"/>
          <w:shd w:val="clear" w:color="auto" w:fill="FFFFFF"/>
        </w:rPr>
        <w:drawing>
          <wp:inline distT="0" distB="0" distL="0" distR="0" wp14:anchorId="2101662B" wp14:editId="326592C1">
            <wp:extent cx="6474715" cy="3743325"/>
            <wp:effectExtent l="190500" t="171450" r="193040" b="200025"/>
            <wp:docPr id="1633616354" name="Picture 9" descr="Ryan Fitzgerald, Casework Supervisor, and Liz Nitzel, DVR Statewide Business Consultant, attended the Progressive Employment Learning Collab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16354" name="Picture 9" descr="Ryan Fitzgerald, Casework Supervisor, and Liz Nitzel, DVR Statewide Business Consultant, attended the Progressive Employment Learning Collaborativ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14487" cy="376631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6342F31" w14:textId="4D4EAA42" w:rsidR="00632F6E" w:rsidRPr="00632F6E" w:rsidRDefault="00632F6E" w:rsidP="00632F6E">
      <w:pPr>
        <w:jc w:val="center"/>
        <w:rPr>
          <w:rFonts w:asciiTheme="minorHAnsi" w:hAnsiTheme="minorHAnsi" w:cstheme="minorHAnsi"/>
          <w:i/>
          <w:iCs/>
          <w:noProof/>
          <w:sz w:val="20"/>
          <w:szCs w:val="20"/>
          <w:shd w:val="clear" w:color="auto" w:fill="FFFFFF"/>
        </w:rPr>
      </w:pPr>
      <w:r w:rsidRPr="00632F6E">
        <w:rPr>
          <w:rFonts w:asciiTheme="minorHAnsi" w:hAnsiTheme="minorHAnsi" w:cstheme="minorHAnsi"/>
          <w:i/>
          <w:iCs/>
          <w:noProof/>
          <w:sz w:val="20"/>
          <w:szCs w:val="20"/>
          <w:shd w:val="clear" w:color="auto" w:fill="FFFFFF"/>
        </w:rPr>
        <w:t>Ryan Fitzgerald, Casework Supervisor, and Liz Nitzel, DVR Statewide Business Consultant, attended the Progressive Employment Learning Collaborative</w:t>
      </w:r>
    </w:p>
    <w:p w14:paraId="541D4F04" w14:textId="77777777" w:rsidR="005F1EDD" w:rsidRDefault="005F1EDD">
      <w:pPr>
        <w:rPr>
          <w:rFonts w:asciiTheme="minorHAnsi" w:hAnsiTheme="minorHAnsi" w:cstheme="minorHAnsi"/>
          <w:b/>
          <w:bCs/>
          <w:noProof/>
          <w:sz w:val="22"/>
          <w:szCs w:val="22"/>
          <w:shd w:val="clear" w:color="auto" w:fill="FFFFFF"/>
        </w:rPr>
      </w:pPr>
      <w:r>
        <w:rPr>
          <w:rFonts w:asciiTheme="minorHAnsi" w:hAnsiTheme="minorHAnsi" w:cstheme="minorHAnsi"/>
          <w:b/>
          <w:bCs/>
          <w:noProof/>
          <w:sz w:val="22"/>
          <w:szCs w:val="22"/>
          <w:shd w:val="clear" w:color="auto" w:fill="FFFFFF"/>
        </w:rPr>
        <w:br w:type="page"/>
      </w:r>
    </w:p>
    <w:p w14:paraId="54A149B3" w14:textId="7BB1191C" w:rsidR="00E15080" w:rsidRDefault="00E15080" w:rsidP="005A39FC">
      <w:pPr>
        <w:rPr>
          <w:rFonts w:asciiTheme="minorHAnsi" w:hAnsiTheme="minorHAnsi" w:cstheme="minorHAnsi"/>
          <w:noProof/>
          <w:sz w:val="22"/>
          <w:szCs w:val="22"/>
          <w:shd w:val="clear" w:color="auto" w:fill="FFFFFF"/>
        </w:rPr>
      </w:pPr>
      <w:r>
        <w:rPr>
          <w:rFonts w:asciiTheme="minorHAnsi" w:hAnsiTheme="minorHAnsi" w:cstheme="minorHAnsi"/>
          <w:b/>
          <w:bCs/>
          <w:noProof/>
          <w:sz w:val="22"/>
          <w:szCs w:val="22"/>
          <w:shd w:val="clear" w:color="auto" w:fill="FFFFFF"/>
        </w:rPr>
        <w:lastRenderedPageBreak/>
        <w:t xml:space="preserve">New in 2025! </w:t>
      </w:r>
      <w:r>
        <w:rPr>
          <w:rFonts w:asciiTheme="minorHAnsi" w:hAnsiTheme="minorHAnsi" w:cstheme="minorHAnsi"/>
          <w:noProof/>
          <w:sz w:val="22"/>
          <w:szCs w:val="22"/>
          <w:shd w:val="clear" w:color="auto" w:fill="FFFFFF"/>
        </w:rPr>
        <w:t xml:space="preserve">DVR, alongside Department of Health and Human Services, Office of Behavioral Health are working together to support </w:t>
      </w:r>
      <w:r>
        <w:rPr>
          <w:rFonts w:asciiTheme="minorHAnsi" w:hAnsiTheme="minorHAnsi" w:cstheme="minorHAnsi"/>
          <w:b/>
          <w:bCs/>
          <w:noProof/>
          <w:sz w:val="22"/>
          <w:szCs w:val="22"/>
          <w:shd w:val="clear" w:color="auto" w:fill="FFFFFF"/>
        </w:rPr>
        <w:t>Individual Placement and Support (IPS)</w:t>
      </w:r>
      <w:r>
        <w:rPr>
          <w:rFonts w:asciiTheme="minorHAnsi" w:hAnsiTheme="minorHAnsi" w:cstheme="minorHAnsi"/>
          <w:noProof/>
          <w:sz w:val="22"/>
          <w:szCs w:val="22"/>
          <w:shd w:val="clear" w:color="auto" w:fill="FFFFFF"/>
        </w:rPr>
        <w:t>, a model of supported employment for people with serious mental illness. Up to eight statewide DVR IPS liaisons will work as part of a team with the Certified Community Behavioral Health Clinics (CCBHCs)</w:t>
      </w:r>
      <w:r w:rsidR="004B26AC">
        <w:rPr>
          <w:rFonts w:asciiTheme="minorHAnsi" w:hAnsiTheme="minorHAnsi" w:cstheme="minorHAnsi"/>
          <w:noProof/>
          <w:sz w:val="22"/>
          <w:szCs w:val="22"/>
          <w:shd w:val="clear" w:color="auto" w:fill="FFFFFF"/>
        </w:rPr>
        <w:t>, including the participant, to provide the eight core principles of IPS.</w:t>
      </w:r>
    </w:p>
    <w:p w14:paraId="11F4B1AE" w14:textId="77777777" w:rsidR="00632F6E" w:rsidRDefault="00632F6E" w:rsidP="005A39FC">
      <w:pPr>
        <w:rPr>
          <w:rFonts w:asciiTheme="minorHAnsi" w:hAnsiTheme="minorHAnsi" w:cstheme="minorHAnsi"/>
          <w:noProof/>
          <w:sz w:val="22"/>
          <w:szCs w:val="22"/>
          <w:shd w:val="clear" w:color="auto" w:fill="FFFFFF"/>
        </w:rPr>
      </w:pPr>
    </w:p>
    <w:p w14:paraId="0496B15D" w14:textId="6168F10F" w:rsidR="004B26AC" w:rsidRDefault="004B26AC" w:rsidP="005A39FC">
      <w:p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The eight core principles of IPS are:</w:t>
      </w:r>
    </w:p>
    <w:p w14:paraId="21E499D6" w14:textId="6EB3822B" w:rsidR="004B26AC" w:rsidRDefault="004B26AC" w:rsidP="004B26AC">
      <w:pPr>
        <w:pStyle w:val="ListParagraph"/>
        <w:numPr>
          <w:ilvl w:val="0"/>
          <w:numId w:val="26"/>
        </w:num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Competitive Employment</w:t>
      </w:r>
    </w:p>
    <w:p w14:paraId="3F13C745" w14:textId="3AE799B8" w:rsidR="004B26AC" w:rsidRDefault="004B26AC" w:rsidP="004B26AC">
      <w:pPr>
        <w:pStyle w:val="ListParagraph"/>
        <w:numPr>
          <w:ilvl w:val="0"/>
          <w:numId w:val="26"/>
        </w:num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Systematic Job Development</w:t>
      </w:r>
    </w:p>
    <w:p w14:paraId="5BEF6524" w14:textId="2AE68522" w:rsidR="004B26AC" w:rsidRDefault="004B26AC" w:rsidP="004B26AC">
      <w:pPr>
        <w:pStyle w:val="ListParagraph"/>
        <w:numPr>
          <w:ilvl w:val="0"/>
          <w:numId w:val="26"/>
        </w:num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Rapid Job Search</w:t>
      </w:r>
    </w:p>
    <w:p w14:paraId="31590724" w14:textId="13FEC216" w:rsidR="004B26AC" w:rsidRDefault="004B26AC" w:rsidP="004B26AC">
      <w:pPr>
        <w:pStyle w:val="ListParagraph"/>
        <w:numPr>
          <w:ilvl w:val="0"/>
          <w:numId w:val="26"/>
        </w:num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Integrated Services</w:t>
      </w:r>
    </w:p>
    <w:p w14:paraId="58D761EF" w14:textId="4656F016" w:rsidR="004B26AC" w:rsidRDefault="004B26AC" w:rsidP="004B26AC">
      <w:pPr>
        <w:pStyle w:val="ListParagraph"/>
        <w:numPr>
          <w:ilvl w:val="0"/>
          <w:numId w:val="26"/>
        </w:num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Benefits Planning</w:t>
      </w:r>
    </w:p>
    <w:p w14:paraId="50CF28F8" w14:textId="1EC9B29F" w:rsidR="004B26AC" w:rsidRDefault="004B26AC" w:rsidP="004B26AC">
      <w:pPr>
        <w:pStyle w:val="ListParagraph"/>
        <w:numPr>
          <w:ilvl w:val="0"/>
          <w:numId w:val="26"/>
        </w:num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Zero Exclusion</w:t>
      </w:r>
    </w:p>
    <w:p w14:paraId="48E64EE8" w14:textId="06B9089E" w:rsidR="004B26AC" w:rsidRDefault="004B26AC" w:rsidP="004B26AC">
      <w:pPr>
        <w:pStyle w:val="ListParagraph"/>
        <w:numPr>
          <w:ilvl w:val="0"/>
          <w:numId w:val="26"/>
        </w:num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Time Unlimited Supports</w:t>
      </w:r>
    </w:p>
    <w:p w14:paraId="380E0876" w14:textId="74404EB8" w:rsidR="004B26AC" w:rsidRDefault="004B26AC" w:rsidP="004B26AC">
      <w:pPr>
        <w:pStyle w:val="ListParagraph"/>
        <w:numPr>
          <w:ilvl w:val="0"/>
          <w:numId w:val="26"/>
        </w:num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Worker Preferences</w:t>
      </w:r>
    </w:p>
    <w:p w14:paraId="6FE80C28" w14:textId="77777777" w:rsidR="004B26AC" w:rsidRDefault="004B26AC" w:rsidP="004B26AC">
      <w:pPr>
        <w:rPr>
          <w:rFonts w:asciiTheme="minorHAnsi" w:hAnsiTheme="minorHAnsi" w:cstheme="minorHAnsi"/>
          <w:noProof/>
          <w:sz w:val="22"/>
          <w:szCs w:val="22"/>
          <w:shd w:val="clear" w:color="auto" w:fill="FFFFFF"/>
        </w:rPr>
      </w:pPr>
    </w:p>
    <w:p w14:paraId="0D3C4E61" w14:textId="611768C0" w:rsidR="004B26AC" w:rsidRDefault="004B26AC" w:rsidP="004B26AC">
      <w:pPr>
        <w:rPr>
          <w:rFonts w:asciiTheme="minorHAnsi" w:hAnsiTheme="minorHAnsi" w:cstheme="minorHAnsi"/>
          <w:noProof/>
          <w:sz w:val="22"/>
          <w:szCs w:val="22"/>
          <w:shd w:val="clear" w:color="auto" w:fill="FFFFFF"/>
        </w:rPr>
      </w:pPr>
      <w:r>
        <w:rPr>
          <w:rFonts w:asciiTheme="minorHAnsi" w:hAnsiTheme="minorHAnsi" w:cstheme="minorHAnsi"/>
          <w:b/>
          <w:bCs/>
          <w:noProof/>
          <w:sz w:val="22"/>
          <w:szCs w:val="22"/>
          <w:shd w:val="clear" w:color="auto" w:fill="FFFFFF"/>
        </w:rPr>
        <w:t>New in 2025! Drop-In Job Club</w:t>
      </w:r>
      <w:r>
        <w:rPr>
          <w:rFonts w:asciiTheme="minorHAnsi" w:hAnsiTheme="minorHAnsi" w:cstheme="minorHAnsi"/>
          <w:noProof/>
          <w:sz w:val="22"/>
          <w:szCs w:val="22"/>
          <w:shd w:val="clear" w:color="auto" w:fill="FFFFFF"/>
        </w:rPr>
        <w:t xml:space="preserve"> The Job Club, originally developed in 2020 as a virtual program covering seven topics: resume writing, navigating online applications, job search strategies, interview tips, disability disclosure, workplace culture and professionalism, and communication in the workplace. Due to increased demand for in-person support, the Job Club has transitioned to an in-person, drop-in format. Participants may attend as many sessions as they wish or focus only on the topics that interest them. The Job Club is a great compliment to the Career Exploration Workshop (CEW), a three-day virtual or in-person program centered on career pathway discovery.</w:t>
      </w:r>
    </w:p>
    <w:p w14:paraId="42A0168B" w14:textId="77777777" w:rsidR="004B26AC" w:rsidRDefault="004B26AC" w:rsidP="004B26AC">
      <w:pPr>
        <w:rPr>
          <w:rFonts w:asciiTheme="minorHAnsi" w:hAnsiTheme="minorHAnsi" w:cstheme="minorHAnsi"/>
          <w:noProof/>
          <w:sz w:val="22"/>
          <w:szCs w:val="22"/>
          <w:shd w:val="clear" w:color="auto" w:fill="FFFFFF"/>
        </w:rPr>
      </w:pPr>
    </w:p>
    <w:p w14:paraId="612D247F" w14:textId="01B50DE9" w:rsidR="004B26AC" w:rsidRDefault="004B26AC" w:rsidP="004B26AC">
      <w:pPr>
        <w:rPr>
          <w:rFonts w:asciiTheme="minorHAnsi" w:hAnsiTheme="minorHAnsi" w:cstheme="minorHAnsi"/>
          <w:b/>
          <w:bCs/>
          <w:noProof/>
          <w:sz w:val="22"/>
          <w:szCs w:val="22"/>
          <w:shd w:val="clear" w:color="auto" w:fill="FFFFFF"/>
        </w:rPr>
      </w:pPr>
      <w:r>
        <w:rPr>
          <w:rFonts w:asciiTheme="minorHAnsi" w:hAnsiTheme="minorHAnsi" w:cstheme="minorHAnsi"/>
          <w:noProof/>
          <w:sz w:val="22"/>
          <w:szCs w:val="22"/>
          <w:shd w:val="clear" w:color="auto" w:fill="FFFFFF"/>
        </w:rPr>
        <w:t xml:space="preserve">DVR Business Engagement team as connected with multiple businesses across the state leading to </w:t>
      </w:r>
      <w:r>
        <w:rPr>
          <w:rFonts w:asciiTheme="minorHAnsi" w:hAnsiTheme="minorHAnsi" w:cstheme="minorHAnsi"/>
          <w:b/>
          <w:bCs/>
          <w:noProof/>
          <w:sz w:val="22"/>
          <w:szCs w:val="22"/>
          <w:shd w:val="clear" w:color="auto" w:fill="FFFFFF"/>
        </w:rPr>
        <w:t>363 jobseekers attending business tours.</w:t>
      </w:r>
    </w:p>
    <w:p w14:paraId="408C7DB4" w14:textId="77777777" w:rsidR="004B26AC" w:rsidRDefault="004B26AC" w:rsidP="004B26AC">
      <w:pPr>
        <w:rPr>
          <w:rFonts w:asciiTheme="minorHAnsi" w:hAnsiTheme="minorHAnsi" w:cstheme="minorHAnsi"/>
          <w:b/>
          <w:bCs/>
          <w:noProof/>
          <w:sz w:val="22"/>
          <w:szCs w:val="22"/>
          <w:shd w:val="clear" w:color="auto" w:fill="FFFFFF"/>
        </w:rPr>
      </w:pPr>
    </w:p>
    <w:p w14:paraId="0D8D1D0E" w14:textId="72091951" w:rsidR="004B26AC" w:rsidRDefault="004B26AC" w:rsidP="004B26AC">
      <w:pPr>
        <w:rPr>
          <w:rFonts w:asciiTheme="minorHAnsi" w:hAnsiTheme="minorHAnsi" w:cstheme="minorHAnsi"/>
          <w:noProof/>
          <w:sz w:val="22"/>
          <w:szCs w:val="22"/>
          <w:shd w:val="clear" w:color="auto" w:fill="FFFFFF"/>
        </w:rPr>
      </w:pPr>
      <w:r>
        <w:rPr>
          <w:rFonts w:asciiTheme="minorHAnsi" w:hAnsiTheme="minorHAnsi" w:cstheme="minorHAnsi"/>
          <w:b/>
          <w:bCs/>
          <w:noProof/>
          <w:sz w:val="22"/>
          <w:szCs w:val="22"/>
          <w:shd w:val="clear" w:color="auto" w:fill="FFFFFF"/>
        </w:rPr>
        <w:t xml:space="preserve">DVR eliminated the waitlist in July 2025. </w:t>
      </w:r>
      <w:r>
        <w:rPr>
          <w:rFonts w:asciiTheme="minorHAnsi" w:hAnsiTheme="minorHAnsi" w:cstheme="minorHAnsi"/>
          <w:noProof/>
          <w:sz w:val="22"/>
          <w:szCs w:val="22"/>
          <w:shd w:val="clear" w:color="auto" w:fill="FFFFFF"/>
        </w:rPr>
        <w:t>A waitlist is generated by a lack of resources (funding or staffing). The elimination of the waitlist is a significant milestone for our state, as it means that individuals can now access voccational rehabilitation services without being placed on a waitlist.</w:t>
      </w:r>
    </w:p>
    <w:p w14:paraId="1285F31B" w14:textId="77777777" w:rsidR="004B26AC" w:rsidRDefault="004B26AC" w:rsidP="004B26AC">
      <w:pPr>
        <w:rPr>
          <w:rFonts w:asciiTheme="minorHAnsi" w:hAnsiTheme="minorHAnsi" w:cstheme="minorHAnsi"/>
          <w:noProof/>
          <w:sz w:val="22"/>
          <w:szCs w:val="22"/>
          <w:shd w:val="clear" w:color="auto" w:fill="FFFFFF"/>
        </w:rPr>
      </w:pPr>
    </w:p>
    <w:p w14:paraId="781C5321" w14:textId="77777777" w:rsidR="00C61E49" w:rsidRDefault="004B26AC" w:rsidP="004B26AC">
      <w:pPr>
        <w:rPr>
          <w:rFonts w:asciiTheme="minorHAnsi" w:hAnsiTheme="minorHAnsi" w:cstheme="minorHAnsi"/>
          <w:noProof/>
          <w:sz w:val="22"/>
          <w:szCs w:val="22"/>
          <w:shd w:val="clear" w:color="auto" w:fill="FFFFFF"/>
        </w:rPr>
      </w:pPr>
      <w:r>
        <w:rPr>
          <w:rFonts w:asciiTheme="minorHAnsi" w:hAnsiTheme="minorHAnsi" w:cstheme="minorHAnsi"/>
          <w:b/>
          <w:bCs/>
          <w:noProof/>
          <w:sz w:val="22"/>
          <w:szCs w:val="22"/>
          <w:shd w:val="clear" w:color="auto" w:fill="FFFFFF"/>
        </w:rPr>
        <w:t xml:space="preserve">Youth Services </w:t>
      </w:r>
      <w:r>
        <w:rPr>
          <w:rFonts w:asciiTheme="minorHAnsi" w:hAnsiTheme="minorHAnsi" w:cstheme="minorHAnsi"/>
          <w:noProof/>
          <w:sz w:val="22"/>
          <w:szCs w:val="22"/>
          <w:shd w:val="clear" w:color="auto" w:fill="FFFFFF"/>
        </w:rPr>
        <w:t xml:space="preserve">DVR facilitated several Pre-Employment Transition Services programs, in addition to coordinating paid work experiences for youth. </w:t>
      </w:r>
    </w:p>
    <w:p w14:paraId="3CD01828" w14:textId="77777777" w:rsidR="00C61E49" w:rsidRDefault="00C61E49" w:rsidP="004B26AC">
      <w:pPr>
        <w:rPr>
          <w:rFonts w:asciiTheme="minorHAnsi" w:hAnsiTheme="minorHAnsi" w:cstheme="minorHAnsi"/>
          <w:noProof/>
          <w:sz w:val="22"/>
          <w:szCs w:val="22"/>
          <w:shd w:val="clear" w:color="auto" w:fill="FFFFFF"/>
        </w:rPr>
      </w:pPr>
    </w:p>
    <w:p w14:paraId="02E8432D" w14:textId="77777777" w:rsidR="00C61E49" w:rsidRDefault="004B26AC" w:rsidP="004B26AC">
      <w:p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 xml:space="preserve">The </w:t>
      </w:r>
      <w:r>
        <w:rPr>
          <w:rFonts w:asciiTheme="minorHAnsi" w:hAnsiTheme="minorHAnsi" w:cstheme="minorHAnsi"/>
          <w:b/>
          <w:bCs/>
          <w:noProof/>
          <w:sz w:val="22"/>
          <w:szCs w:val="22"/>
          <w:shd w:val="clear" w:color="auto" w:fill="FFFFFF"/>
        </w:rPr>
        <w:t xml:space="preserve">College Bus Tour </w:t>
      </w:r>
      <w:r>
        <w:rPr>
          <w:rFonts w:asciiTheme="minorHAnsi" w:hAnsiTheme="minorHAnsi" w:cstheme="minorHAnsi"/>
          <w:noProof/>
          <w:sz w:val="22"/>
          <w:szCs w:val="22"/>
          <w:shd w:val="clear" w:color="auto" w:fill="FFFFFF"/>
        </w:rPr>
        <w:t xml:space="preserve">hosted 41 students, who visted 14 colleges and participated in campus tours, targeted career-readiness discussions, and career-pathway exploration. </w:t>
      </w:r>
    </w:p>
    <w:p w14:paraId="112CAB78" w14:textId="77777777" w:rsidR="00C61E49" w:rsidRDefault="00C61E49" w:rsidP="004B26AC">
      <w:pPr>
        <w:rPr>
          <w:rFonts w:asciiTheme="minorHAnsi" w:hAnsiTheme="minorHAnsi" w:cstheme="minorHAnsi"/>
          <w:noProof/>
          <w:sz w:val="22"/>
          <w:szCs w:val="22"/>
          <w:shd w:val="clear" w:color="auto" w:fill="FFFFFF"/>
        </w:rPr>
      </w:pPr>
    </w:p>
    <w:p w14:paraId="28AB979A" w14:textId="2365BDBC" w:rsidR="004B26AC" w:rsidRDefault="004B26AC" w:rsidP="004B26AC">
      <w:p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 xml:space="preserve">The </w:t>
      </w:r>
      <w:r>
        <w:rPr>
          <w:rFonts w:asciiTheme="minorHAnsi" w:hAnsiTheme="minorHAnsi" w:cstheme="minorHAnsi"/>
          <w:b/>
          <w:bCs/>
          <w:noProof/>
          <w:sz w:val="22"/>
          <w:szCs w:val="22"/>
          <w:shd w:val="clear" w:color="auto" w:fill="FFFFFF"/>
        </w:rPr>
        <w:t>Youth Maine Apprenticeship Tour (MAP)</w:t>
      </w:r>
      <w:r>
        <w:rPr>
          <w:rFonts w:asciiTheme="minorHAnsi" w:hAnsiTheme="minorHAnsi" w:cstheme="minorHAnsi"/>
          <w:noProof/>
          <w:sz w:val="22"/>
          <w:szCs w:val="22"/>
          <w:shd w:val="clear" w:color="auto" w:fill="FFFFFF"/>
        </w:rPr>
        <w:t xml:space="preserve"> introduced10 high school students to three industry sectors: construction, health care, and farming. </w:t>
      </w:r>
    </w:p>
    <w:p w14:paraId="114C1A03" w14:textId="77777777" w:rsidR="00C61E49" w:rsidRDefault="00C61E49" w:rsidP="004B26AC">
      <w:pPr>
        <w:rPr>
          <w:rFonts w:asciiTheme="minorHAnsi" w:hAnsiTheme="minorHAnsi" w:cstheme="minorHAnsi"/>
          <w:noProof/>
          <w:sz w:val="22"/>
          <w:szCs w:val="22"/>
          <w:shd w:val="clear" w:color="auto" w:fill="FFFFFF"/>
        </w:rPr>
      </w:pPr>
    </w:p>
    <w:p w14:paraId="0DE43451" w14:textId="3A0470B0" w:rsidR="00C61E49" w:rsidRDefault="00C61E49" w:rsidP="004B26AC">
      <w:p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t xml:space="preserve">The </w:t>
      </w:r>
      <w:r>
        <w:rPr>
          <w:rFonts w:asciiTheme="minorHAnsi" w:hAnsiTheme="minorHAnsi" w:cstheme="minorHAnsi"/>
          <w:b/>
          <w:bCs/>
          <w:noProof/>
          <w:sz w:val="22"/>
          <w:szCs w:val="22"/>
          <w:shd w:val="clear" w:color="auto" w:fill="FFFFFF"/>
        </w:rPr>
        <w:t>Venturing into Independence and Building Skills for Employment (VIBE)</w:t>
      </w:r>
      <w:r>
        <w:rPr>
          <w:rFonts w:asciiTheme="minorHAnsi" w:hAnsiTheme="minorHAnsi" w:cstheme="minorHAnsi"/>
          <w:noProof/>
          <w:sz w:val="22"/>
          <w:szCs w:val="22"/>
          <w:shd w:val="clear" w:color="auto" w:fill="FFFFFF"/>
        </w:rPr>
        <w:t xml:space="preserve"> program, a collaborative initiative with the Division for the Blind and Visually Impaired, provided seven DVR youth with a two-week traning focused on developing core pre-employment skills.</w:t>
      </w:r>
    </w:p>
    <w:p w14:paraId="2C5A6801" w14:textId="77777777" w:rsidR="00C61E49" w:rsidRDefault="00C61E49" w:rsidP="004B26AC">
      <w:pPr>
        <w:rPr>
          <w:rFonts w:asciiTheme="minorHAnsi" w:hAnsiTheme="minorHAnsi" w:cstheme="minorHAnsi"/>
          <w:noProof/>
          <w:sz w:val="22"/>
          <w:szCs w:val="22"/>
          <w:shd w:val="clear" w:color="auto" w:fill="FFFFFF"/>
        </w:rPr>
      </w:pPr>
    </w:p>
    <w:p w14:paraId="46517399" w14:textId="2FC0D831" w:rsidR="0072324B" w:rsidRDefault="00C61E49" w:rsidP="004B26AC">
      <w:pPr>
        <w:rPr>
          <w:rFonts w:asciiTheme="minorHAnsi" w:hAnsiTheme="minorHAnsi" w:cstheme="minorHAnsi"/>
          <w:noProof/>
          <w:sz w:val="22"/>
          <w:szCs w:val="22"/>
          <w:shd w:val="clear" w:color="auto" w:fill="FFFFFF"/>
        </w:rPr>
      </w:pPr>
      <w:r>
        <w:rPr>
          <w:rFonts w:asciiTheme="minorHAnsi" w:hAnsiTheme="minorHAnsi" w:cstheme="minorHAnsi"/>
          <w:b/>
          <w:bCs/>
          <w:noProof/>
          <w:sz w:val="22"/>
          <w:szCs w:val="22"/>
          <w:shd w:val="clear" w:color="auto" w:fill="FFFFFF"/>
        </w:rPr>
        <w:t>Career Compass</w:t>
      </w:r>
      <w:r w:rsidR="00453226">
        <w:rPr>
          <w:rFonts w:asciiTheme="minorHAnsi" w:hAnsiTheme="minorHAnsi" w:cstheme="minorHAnsi"/>
          <w:noProof/>
          <w:sz w:val="22"/>
          <w:szCs w:val="22"/>
          <w:shd w:val="clear" w:color="auto" w:fill="FFFFFF"/>
        </w:rPr>
        <w:t xml:space="preserve">, a career-readiness program offered through the Community Rehabilitation Provider Living Innovations, in its first year the program, worked with 27 students across four high schools. </w:t>
      </w:r>
      <w:r w:rsidR="00453226">
        <w:rPr>
          <w:rFonts w:asciiTheme="minorHAnsi" w:hAnsiTheme="minorHAnsi" w:cstheme="minorHAnsi"/>
          <w:b/>
          <w:bCs/>
          <w:noProof/>
          <w:sz w:val="22"/>
          <w:szCs w:val="22"/>
          <w:shd w:val="clear" w:color="auto" w:fill="FFFFFF"/>
        </w:rPr>
        <w:t>Bootcamp</w:t>
      </w:r>
      <w:r w:rsidR="00453226">
        <w:rPr>
          <w:rFonts w:asciiTheme="minorHAnsi" w:hAnsiTheme="minorHAnsi" w:cstheme="minorHAnsi"/>
          <w:noProof/>
          <w:sz w:val="22"/>
          <w:szCs w:val="22"/>
          <w:shd w:val="clear" w:color="auto" w:fill="FFFFFF"/>
        </w:rPr>
        <w:t>, a similar career-readiness program delivered by the Community Rehabilitation Provider Goodwill, supported 575 students across 87 high schools.</w:t>
      </w:r>
    </w:p>
    <w:p w14:paraId="14329B8E" w14:textId="77777777" w:rsidR="0072324B" w:rsidRDefault="0072324B">
      <w:pPr>
        <w:rPr>
          <w:rFonts w:asciiTheme="minorHAnsi" w:hAnsiTheme="minorHAnsi" w:cstheme="minorHAnsi"/>
          <w:noProof/>
          <w:sz w:val="22"/>
          <w:szCs w:val="22"/>
          <w:shd w:val="clear" w:color="auto" w:fill="FFFFFF"/>
        </w:rPr>
      </w:pPr>
      <w:r>
        <w:rPr>
          <w:rFonts w:asciiTheme="minorHAnsi" w:hAnsiTheme="minorHAnsi" w:cstheme="minorHAnsi"/>
          <w:noProof/>
          <w:sz w:val="22"/>
          <w:szCs w:val="22"/>
          <w:shd w:val="clear" w:color="auto" w:fill="FFFFFF"/>
        </w:rPr>
        <w:br w:type="page"/>
      </w:r>
    </w:p>
    <w:p w14:paraId="13FEC463" w14:textId="77777777" w:rsidR="00453226" w:rsidRDefault="00453226" w:rsidP="004B26AC">
      <w:pPr>
        <w:rPr>
          <w:rFonts w:asciiTheme="minorHAnsi" w:hAnsiTheme="minorHAnsi" w:cstheme="minorHAnsi"/>
          <w:noProof/>
          <w:sz w:val="22"/>
          <w:szCs w:val="22"/>
          <w:shd w:val="clear" w:color="auto" w:fill="FFFFFF"/>
        </w:rPr>
      </w:pPr>
    </w:p>
    <w:p w14:paraId="031008F2" w14:textId="1E5A4116" w:rsidR="0037216F" w:rsidRPr="00EF0EE4" w:rsidRDefault="00674872" w:rsidP="0037216F">
      <w:pPr>
        <w:jc w:val="center"/>
        <w:rPr>
          <w:rFonts w:asciiTheme="minorHAnsi" w:hAnsiTheme="minorHAnsi" w:cstheme="minorHAnsi"/>
          <w:noProof/>
          <w:sz w:val="12"/>
          <w:szCs w:val="12"/>
          <w:shd w:val="clear" w:color="auto" w:fill="FFFFFF"/>
        </w:rPr>
      </w:pPr>
      <w:r>
        <w:rPr>
          <w:noProof/>
        </w:rPr>
        <w:drawing>
          <wp:inline distT="0" distB="0" distL="0" distR="0" wp14:anchorId="7AFE6A1E" wp14:editId="740A4826">
            <wp:extent cx="5027223" cy="2831616"/>
            <wp:effectExtent l="247650" t="285750" r="250190" b="273685"/>
            <wp:docPr id="810632978" name="Picture 3" descr="Man in yellow hard hat standing in front of a table covered in a table cloth that says Apprenticeships on it talking to a man standing behind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632978" name="Picture 3" descr="Man in yellow hard hat standing in front of a table covered in a table cloth that says Apprenticeships on it talking to a man standing behind the table."/>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3273" cy="286318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5BD89FB4" w14:textId="3014AAC2" w:rsidR="001C594D" w:rsidRPr="00EF0EE4" w:rsidRDefault="00EE15E3" w:rsidP="001B5637">
      <w:pPr>
        <w:jc w:val="center"/>
        <w:rPr>
          <w:sz w:val="20"/>
          <w:szCs w:val="20"/>
        </w:rPr>
      </w:pPr>
      <w:r w:rsidRPr="00EF0EE4">
        <w:rPr>
          <w:rFonts w:asciiTheme="minorHAnsi" w:hAnsiTheme="minorHAnsi" w:cstheme="minorHAnsi"/>
          <w:noProof/>
          <w:sz w:val="20"/>
          <w:szCs w:val="20"/>
          <w:shd w:val="clear" w:color="auto" w:fill="FFFFFF"/>
        </w:rPr>
        <w:t>Construction Career Days Event on October 9</w:t>
      </w:r>
      <w:r w:rsidRPr="00EF0EE4">
        <w:rPr>
          <w:rFonts w:asciiTheme="minorHAnsi" w:hAnsiTheme="minorHAnsi" w:cstheme="minorHAnsi"/>
          <w:noProof/>
          <w:sz w:val="20"/>
          <w:szCs w:val="20"/>
          <w:shd w:val="clear" w:color="auto" w:fill="FFFFFF"/>
          <w:vertAlign w:val="superscript"/>
        </w:rPr>
        <w:t>th</w:t>
      </w:r>
      <w:r w:rsidRPr="00EF0EE4">
        <w:rPr>
          <w:rFonts w:asciiTheme="minorHAnsi" w:hAnsiTheme="minorHAnsi" w:cstheme="minorHAnsi"/>
          <w:noProof/>
          <w:sz w:val="20"/>
          <w:szCs w:val="20"/>
          <w:shd w:val="clear" w:color="auto" w:fill="FFFFFF"/>
        </w:rPr>
        <w:t xml:space="preserve">. </w:t>
      </w:r>
      <w:r w:rsidR="00EF0EE4" w:rsidRPr="00EF0EE4">
        <w:rPr>
          <w:rFonts w:asciiTheme="minorHAnsi" w:hAnsiTheme="minorHAnsi" w:cstheme="minorHAnsi"/>
          <w:noProof/>
          <w:sz w:val="20"/>
          <w:szCs w:val="20"/>
          <w:shd w:val="clear" w:color="auto" w:fill="FFFFFF"/>
        </w:rPr>
        <w:t xml:space="preserve">A hands on, immersive event designed to introduce high school students to careers in the trades and construction industries through interactive exhibits and equipment demonstrations, opportunities to meet professionals from construction, engineering, and related fields, and educational resources and career guidance. </w:t>
      </w:r>
    </w:p>
    <w:p w14:paraId="1050E4D6" w14:textId="77777777" w:rsidR="001C594D" w:rsidRPr="00EF0EE4" w:rsidRDefault="001C594D">
      <w:pPr>
        <w:rPr>
          <w:b/>
          <w:bCs/>
          <w:sz w:val="12"/>
          <w:szCs w:val="12"/>
        </w:rPr>
      </w:pPr>
    </w:p>
    <w:p w14:paraId="4732074A" w14:textId="15AE39CC" w:rsidR="0037216F" w:rsidRDefault="0037216F" w:rsidP="0037216F">
      <w:pPr>
        <w:jc w:val="center"/>
        <w:rPr>
          <w:b/>
          <w:bCs/>
          <w:sz w:val="22"/>
          <w:szCs w:val="22"/>
        </w:rPr>
      </w:pPr>
    </w:p>
    <w:p w14:paraId="52246C2F" w14:textId="35A076A5" w:rsidR="001C594D" w:rsidRPr="00CB0ED8" w:rsidRDefault="001C594D" w:rsidP="0037216F">
      <w:pPr>
        <w:jc w:val="center"/>
        <w:rPr>
          <w:b/>
          <w:bCs/>
          <w:sz w:val="22"/>
          <w:szCs w:val="22"/>
        </w:rPr>
      </w:pPr>
      <w:r>
        <w:rPr>
          <w:b/>
          <w:bCs/>
          <w:sz w:val="22"/>
          <w:szCs w:val="22"/>
        </w:rPr>
        <w:br w:type="page"/>
      </w:r>
    </w:p>
    <w:p w14:paraId="0446F0DA" w14:textId="7496C22F" w:rsidR="00E20F23" w:rsidRPr="00157A52" w:rsidRDefault="00E20F23" w:rsidP="00E20F23">
      <w:pPr>
        <w:pStyle w:val="Heading1"/>
      </w:pPr>
      <w:bookmarkStart w:id="7" w:name="_Toc185326160"/>
      <w:r w:rsidRPr="00F144F1">
        <w:lastRenderedPageBreak/>
        <w:t>Division for the Deaf, Hard of Hearing and Late Deafened (DDHHLD)</w:t>
      </w:r>
      <w:bookmarkEnd w:id="7"/>
    </w:p>
    <w:p w14:paraId="30928BC0" w14:textId="77777777" w:rsidR="00E20F23" w:rsidRPr="00157A52" w:rsidRDefault="00E20F23" w:rsidP="00E20F23">
      <w:pPr>
        <w:pStyle w:val="xmsonospacing"/>
      </w:pPr>
      <w:r w:rsidRPr="00157A52">
        <w:rPr>
          <w:sz w:val="22"/>
          <w:szCs w:val="22"/>
        </w:rPr>
        <w:t xml:space="preserve">The Division for the Deaf, Hard of Hearing and Late Deafened (DDHHLD) provides information and referrals for resources of interest to people who have hearing loss throughout the state. This includes such things as interpreting services, hearing aids, and advocacy. The Commission for the Deaf, Hard of Hearing and Late Deafened (CDHHLD) created and actively works on an ongoing Five-Year Plan, which can be found at </w:t>
      </w:r>
      <w:hyperlink r:id="rId36" w:history="1">
        <w:r w:rsidRPr="00157A52">
          <w:rPr>
            <w:rStyle w:val="Hyperlink"/>
            <w:color w:val="0070C0"/>
            <w:sz w:val="22"/>
            <w:szCs w:val="22"/>
          </w:rPr>
          <w:t>https://www.maine.gov/rehab/dod/index.shtml</w:t>
        </w:r>
      </w:hyperlink>
      <w:r w:rsidRPr="00157A52">
        <w:rPr>
          <w:sz w:val="22"/>
          <w:szCs w:val="22"/>
        </w:rPr>
        <w:t>.</w:t>
      </w:r>
    </w:p>
    <w:p w14:paraId="01081334" w14:textId="77777777" w:rsidR="00E20F23" w:rsidRPr="00DF1064" w:rsidRDefault="00E20F23" w:rsidP="00E20F23">
      <w:pPr>
        <w:pStyle w:val="xmsonospacing"/>
        <w:rPr>
          <w:sz w:val="18"/>
          <w:szCs w:val="18"/>
        </w:rPr>
      </w:pPr>
    </w:p>
    <w:p w14:paraId="27761646" w14:textId="490A2F49" w:rsidR="00140006" w:rsidRDefault="00140006" w:rsidP="00E20F23">
      <w:pPr>
        <w:pStyle w:val="xmsonospacing"/>
        <w:rPr>
          <w:sz w:val="22"/>
          <w:szCs w:val="22"/>
        </w:rPr>
      </w:pPr>
      <w:r>
        <w:rPr>
          <w:sz w:val="22"/>
          <w:szCs w:val="22"/>
        </w:rPr>
        <w:t>The Department of Health and Human Services (DHHS) recently launched Project Transforming Interpreting Maine (TIME). This project has been a collaborative effort from the beginning and is overseen by a steering committee comprised of individuals from various organizations and state agencies, which include the Department of Labor (DOL) and DDHHLD</w:t>
      </w:r>
      <w:r w:rsidR="0078465D">
        <w:rPr>
          <w:sz w:val="22"/>
          <w:szCs w:val="22"/>
        </w:rPr>
        <w:t xml:space="preserve">. This committee has been working in partnership with </w:t>
      </w:r>
      <w:hyperlink r:id="rId37" w:history="1">
        <w:r w:rsidR="00E71602" w:rsidRPr="00E71602">
          <w:rPr>
            <w:rStyle w:val="Hyperlink"/>
            <w:sz w:val="22"/>
            <w:szCs w:val="22"/>
          </w:rPr>
          <w:t>Innivee Strategies</w:t>
        </w:r>
      </w:hyperlink>
      <w:r w:rsidR="00E71602" w:rsidRPr="00E71602">
        <w:rPr>
          <w:sz w:val="22"/>
          <w:szCs w:val="22"/>
        </w:rPr>
        <w:t xml:space="preserve"> </w:t>
      </w:r>
      <w:r w:rsidR="00E71602">
        <w:rPr>
          <w:sz w:val="22"/>
          <w:szCs w:val="22"/>
        </w:rPr>
        <w:t>with the goal</w:t>
      </w:r>
      <w:r w:rsidR="00A514FA">
        <w:rPr>
          <w:sz w:val="22"/>
          <w:szCs w:val="22"/>
        </w:rPr>
        <w:t xml:space="preserve"> of expanding access to American Sign Language (ASL) and English interpreting services. This initiative aims to improve communication access to Deaf, </w:t>
      </w:r>
      <w:proofErr w:type="spellStart"/>
      <w:r w:rsidR="00A514FA">
        <w:rPr>
          <w:sz w:val="22"/>
          <w:szCs w:val="22"/>
        </w:rPr>
        <w:t>DeafBlind</w:t>
      </w:r>
      <w:proofErr w:type="spellEnd"/>
      <w:r w:rsidR="00A514FA">
        <w:rPr>
          <w:sz w:val="22"/>
          <w:szCs w:val="22"/>
        </w:rPr>
        <w:t>, and hard-of-hearing individuals across Maine, ensuring they receive timely and effective support.</w:t>
      </w:r>
    </w:p>
    <w:p w14:paraId="62060391" w14:textId="77777777" w:rsidR="00A514FA" w:rsidRPr="00DF1064" w:rsidRDefault="00A514FA" w:rsidP="00E20F23">
      <w:pPr>
        <w:pStyle w:val="xmsonospacing"/>
        <w:rPr>
          <w:sz w:val="18"/>
          <w:szCs w:val="18"/>
        </w:rPr>
      </w:pPr>
    </w:p>
    <w:p w14:paraId="3D1912CE" w14:textId="49C89FA9" w:rsidR="00A514FA" w:rsidRDefault="00A514FA" w:rsidP="00E20F23">
      <w:pPr>
        <w:pStyle w:val="xmsonospacing"/>
        <w:rPr>
          <w:sz w:val="22"/>
          <w:szCs w:val="22"/>
        </w:rPr>
      </w:pPr>
      <w:r>
        <w:rPr>
          <w:sz w:val="22"/>
          <w:szCs w:val="22"/>
        </w:rPr>
        <w:t xml:space="preserve">The project focuses on addressing long-standing gaps in interpreting services, increasing availability, and fostering greater inclusion in community spaces, healthcare settings, and public services. For more information about this important initiative, </w:t>
      </w:r>
      <w:r w:rsidR="00EA6DD6">
        <w:rPr>
          <w:sz w:val="22"/>
          <w:szCs w:val="22"/>
        </w:rPr>
        <w:t xml:space="preserve">visit </w:t>
      </w:r>
      <w:hyperlink r:id="rId38" w:history="1">
        <w:r w:rsidR="00F5197D" w:rsidRPr="00571D53">
          <w:rPr>
            <w:rStyle w:val="Hyperlink"/>
            <w:rFonts w:cs="Calibri"/>
            <w:sz w:val="22"/>
            <w:szCs w:val="22"/>
          </w:rPr>
          <w:t>www.maine.gov/dhhs/TIME</w:t>
        </w:r>
      </w:hyperlink>
    </w:p>
    <w:p w14:paraId="7D9947ED" w14:textId="77777777" w:rsidR="00140006" w:rsidRPr="00DF1064" w:rsidRDefault="00140006" w:rsidP="00E20F23">
      <w:pPr>
        <w:pStyle w:val="xmsonospacing"/>
        <w:rPr>
          <w:sz w:val="18"/>
          <w:szCs w:val="18"/>
        </w:rPr>
      </w:pPr>
    </w:p>
    <w:p w14:paraId="2DD56C30" w14:textId="06336DE2" w:rsidR="00E20F23" w:rsidRPr="00157A52" w:rsidRDefault="00E20F23" w:rsidP="00E20F23">
      <w:pPr>
        <w:pStyle w:val="xmsonospacing"/>
        <w:rPr>
          <w:sz w:val="22"/>
          <w:szCs w:val="22"/>
        </w:rPr>
      </w:pPr>
      <w:r w:rsidRPr="00157A52">
        <w:rPr>
          <w:sz w:val="22"/>
          <w:szCs w:val="22"/>
        </w:rPr>
        <w:t>Other accomplishments of the Division included providing Deaf Awareness trainings to a wide range of audiences, including E911 dispatchers. Also, since the initiation of the Deaf identification cards and vehicle placards there have been a total of 4</w:t>
      </w:r>
      <w:r w:rsidR="007025FD">
        <w:rPr>
          <w:sz w:val="22"/>
          <w:szCs w:val="22"/>
        </w:rPr>
        <w:t>7</w:t>
      </w:r>
      <w:r w:rsidR="00AE2328">
        <w:rPr>
          <w:sz w:val="22"/>
          <w:szCs w:val="22"/>
        </w:rPr>
        <w:t>9</w:t>
      </w:r>
      <w:r w:rsidRPr="00157A52">
        <w:rPr>
          <w:sz w:val="22"/>
          <w:szCs w:val="22"/>
        </w:rPr>
        <w:t xml:space="preserve"> cards and placards distributed. </w:t>
      </w:r>
      <w:r w:rsidR="007025FD">
        <w:rPr>
          <w:sz w:val="22"/>
          <w:szCs w:val="22"/>
        </w:rPr>
        <w:t>Four of these were re-issued or duplicates.</w:t>
      </w:r>
    </w:p>
    <w:p w14:paraId="6FA42D0D" w14:textId="77777777" w:rsidR="00E20F23" w:rsidRPr="00DF1064" w:rsidRDefault="00E20F23" w:rsidP="00E20F23">
      <w:pPr>
        <w:pStyle w:val="xmsonospacing"/>
        <w:rPr>
          <w:sz w:val="20"/>
          <w:szCs w:val="20"/>
        </w:rPr>
      </w:pPr>
    </w:p>
    <w:p w14:paraId="0861393C" w14:textId="291C8ED3" w:rsidR="00E20F23" w:rsidRPr="00157A52" w:rsidRDefault="00E20F23" w:rsidP="00E20F23">
      <w:pPr>
        <w:pStyle w:val="xmsonospacing"/>
        <w:rPr>
          <w:rFonts w:asciiTheme="minorHAnsi" w:hAnsiTheme="minorHAnsi" w:cstheme="minorHAnsi"/>
          <w:color w:val="000000"/>
          <w:sz w:val="22"/>
          <w:szCs w:val="22"/>
        </w:rPr>
      </w:pPr>
      <w:r w:rsidRPr="00157A52">
        <w:rPr>
          <w:sz w:val="22"/>
          <w:szCs w:val="22"/>
        </w:rPr>
        <w:t xml:space="preserve">Each year the Division and Commission organize the Annual Deaf Culture Tea Awards ceremony. </w:t>
      </w:r>
      <w:r w:rsidRPr="00157A52">
        <w:rPr>
          <w:rFonts w:asciiTheme="minorHAnsi" w:hAnsiTheme="minorHAnsi" w:cstheme="minorHAnsi"/>
          <w:sz w:val="22"/>
          <w:szCs w:val="22"/>
        </w:rPr>
        <w:t xml:space="preserve">The </w:t>
      </w:r>
      <w:r w:rsidR="00AE2328">
        <w:rPr>
          <w:rFonts w:asciiTheme="minorHAnsi" w:hAnsiTheme="minorHAnsi" w:cstheme="minorHAnsi"/>
          <w:sz w:val="22"/>
          <w:szCs w:val="22"/>
        </w:rPr>
        <w:t>33</w:t>
      </w:r>
      <w:r w:rsidR="00AE2328" w:rsidRPr="00AE2328">
        <w:rPr>
          <w:rFonts w:asciiTheme="minorHAnsi" w:hAnsiTheme="minorHAnsi" w:cstheme="minorHAnsi"/>
          <w:sz w:val="22"/>
          <w:szCs w:val="22"/>
          <w:vertAlign w:val="superscript"/>
        </w:rPr>
        <w:t>rd</w:t>
      </w:r>
      <w:r w:rsidR="00AE2328">
        <w:rPr>
          <w:rFonts w:asciiTheme="minorHAnsi" w:hAnsiTheme="minorHAnsi" w:cstheme="minorHAnsi"/>
          <w:sz w:val="22"/>
          <w:szCs w:val="22"/>
        </w:rPr>
        <w:t xml:space="preserve"> </w:t>
      </w:r>
      <w:r w:rsidRPr="00157A52">
        <w:rPr>
          <w:rFonts w:asciiTheme="minorHAnsi" w:hAnsiTheme="minorHAnsi" w:cstheme="minorHAnsi"/>
          <w:sz w:val="22"/>
          <w:szCs w:val="22"/>
        </w:rPr>
        <w:t>Annual Deaf Culture Tea Awards celebration</w:t>
      </w:r>
      <w:r w:rsidR="00C35A38">
        <w:rPr>
          <w:rFonts w:asciiTheme="minorHAnsi" w:hAnsiTheme="minorHAnsi" w:cstheme="minorHAnsi"/>
          <w:sz w:val="22"/>
          <w:szCs w:val="22"/>
        </w:rPr>
        <w:t xml:space="preserve"> took place on September 19, </w:t>
      </w:r>
      <w:r w:rsidR="00AE2328">
        <w:rPr>
          <w:rFonts w:asciiTheme="minorHAnsi" w:hAnsiTheme="minorHAnsi" w:cstheme="minorHAnsi"/>
          <w:sz w:val="22"/>
          <w:szCs w:val="22"/>
        </w:rPr>
        <w:t>2024,</w:t>
      </w:r>
      <w:r w:rsidR="00C35A38">
        <w:rPr>
          <w:rFonts w:asciiTheme="minorHAnsi" w:hAnsiTheme="minorHAnsi" w:cstheme="minorHAnsi"/>
          <w:sz w:val="22"/>
          <w:szCs w:val="22"/>
        </w:rPr>
        <w:t xml:space="preserve"> at the Hall of Flags, State House, in Augusta. The keynote speaker </w:t>
      </w:r>
      <w:r w:rsidR="00AE2328">
        <w:rPr>
          <w:rFonts w:asciiTheme="minorHAnsi" w:hAnsiTheme="minorHAnsi" w:cstheme="minorHAnsi"/>
          <w:sz w:val="22"/>
          <w:szCs w:val="22"/>
        </w:rPr>
        <w:t xml:space="preserve">was </w:t>
      </w:r>
      <w:proofErr w:type="spellStart"/>
      <w:r w:rsidR="00AE2328">
        <w:rPr>
          <w:rFonts w:asciiTheme="minorHAnsi" w:hAnsiTheme="minorHAnsi" w:cstheme="minorHAnsi"/>
          <w:sz w:val="22"/>
          <w:szCs w:val="22"/>
        </w:rPr>
        <w:t>Kellynette</w:t>
      </w:r>
      <w:proofErr w:type="spellEnd"/>
      <w:r w:rsidR="00AE2328">
        <w:rPr>
          <w:rFonts w:asciiTheme="minorHAnsi" w:hAnsiTheme="minorHAnsi" w:cstheme="minorHAnsi"/>
          <w:sz w:val="22"/>
          <w:szCs w:val="22"/>
        </w:rPr>
        <w:t xml:space="preserve"> Gomez, LCSWE. This year we awarded seven deserving Deaf community members.</w:t>
      </w:r>
      <w:r w:rsidRPr="00157A52">
        <w:rPr>
          <w:rFonts w:asciiTheme="minorHAnsi" w:hAnsiTheme="minorHAnsi" w:cstheme="minorHAnsi"/>
          <w:sz w:val="22"/>
          <w:szCs w:val="22"/>
        </w:rPr>
        <w:t xml:space="preserve"> </w:t>
      </w:r>
    </w:p>
    <w:p w14:paraId="14DD6514" w14:textId="77777777" w:rsidR="00E20F23" w:rsidRPr="00DF1064" w:rsidRDefault="00E20F23" w:rsidP="00E20F23">
      <w:pPr>
        <w:pStyle w:val="xmsonospacing"/>
        <w:rPr>
          <w:rFonts w:ascii="Arial" w:hAnsi="Arial" w:cs="Arial"/>
          <w:sz w:val="18"/>
          <w:szCs w:val="18"/>
        </w:rPr>
      </w:pPr>
    </w:p>
    <w:p w14:paraId="0C7B5F2D" w14:textId="63E883C0" w:rsidR="00E20F23" w:rsidRPr="00157A52" w:rsidRDefault="00E20F23" w:rsidP="00E20F23">
      <w:pPr>
        <w:pStyle w:val="xmsonospacing"/>
      </w:pPr>
      <w:r w:rsidRPr="00157A52">
        <w:rPr>
          <w:sz w:val="22"/>
          <w:szCs w:val="22"/>
        </w:rPr>
        <w:t xml:space="preserve">The Division also continues to be involved with the National Deaf Center (NDC), which focuses on the needs of Deaf and hard-of-hearing transition students. Maine’s NDC team includes the Division of Vocational Rehabilitation, </w:t>
      </w:r>
      <w:r w:rsidR="00CF4602">
        <w:rPr>
          <w:sz w:val="22"/>
          <w:szCs w:val="22"/>
        </w:rPr>
        <w:t xml:space="preserve">Maine Education Center for Deaf and Hard of Hearing, </w:t>
      </w:r>
      <w:r w:rsidRPr="00157A52">
        <w:rPr>
          <w:sz w:val="22"/>
          <w:szCs w:val="22"/>
        </w:rPr>
        <w:t xml:space="preserve">Maine Behavioral Health, Disability Rights Maine, and the Department of Education. The priority that Maine’s NDC team chose to focus on </w:t>
      </w:r>
      <w:r w:rsidR="00CF4602">
        <w:rPr>
          <w:sz w:val="22"/>
          <w:szCs w:val="22"/>
        </w:rPr>
        <w:t xml:space="preserve">is </w:t>
      </w:r>
      <w:r w:rsidRPr="00157A52">
        <w:rPr>
          <w:sz w:val="22"/>
          <w:szCs w:val="22"/>
        </w:rPr>
        <w:t xml:space="preserve">using Data for Transition </w:t>
      </w:r>
      <w:r w:rsidRPr="00157A52">
        <w:rPr>
          <w:i/>
          <w:iCs/>
          <w:sz w:val="22"/>
          <w:szCs w:val="22"/>
        </w:rPr>
        <w:t>and Promoting Higher Expectations</w:t>
      </w:r>
      <w:r w:rsidRPr="00157A52">
        <w:rPr>
          <w:sz w:val="22"/>
          <w:szCs w:val="22"/>
        </w:rPr>
        <w:t xml:space="preserve">. </w:t>
      </w:r>
      <w:r w:rsidR="004B2C3B">
        <w:rPr>
          <w:sz w:val="22"/>
          <w:szCs w:val="22"/>
        </w:rPr>
        <w:t>Th</w:t>
      </w:r>
      <w:r w:rsidR="006A1F46">
        <w:rPr>
          <w:sz w:val="22"/>
          <w:szCs w:val="22"/>
        </w:rPr>
        <w:t>is</w:t>
      </w:r>
      <w:r w:rsidR="004B2C3B">
        <w:rPr>
          <w:sz w:val="22"/>
          <w:szCs w:val="22"/>
        </w:rPr>
        <w:t xml:space="preserve"> work is still happening.</w:t>
      </w:r>
    </w:p>
    <w:p w14:paraId="73FEE995" w14:textId="77777777" w:rsidR="00E20F23" w:rsidRPr="00DF1064" w:rsidRDefault="00E20F23" w:rsidP="00E20F23">
      <w:pPr>
        <w:pStyle w:val="xmsonospacing"/>
        <w:rPr>
          <w:sz w:val="18"/>
          <w:szCs w:val="18"/>
        </w:rPr>
      </w:pPr>
      <w:r w:rsidRPr="00157A52">
        <w:rPr>
          <w:sz w:val="22"/>
          <w:szCs w:val="22"/>
        </w:rPr>
        <w:t> </w:t>
      </w:r>
    </w:p>
    <w:p w14:paraId="304BB24C" w14:textId="77777777" w:rsidR="00067F9D" w:rsidRDefault="00E20F23" w:rsidP="00B6064B">
      <w:pPr>
        <w:pStyle w:val="xmsonormal"/>
      </w:pPr>
      <w:r w:rsidRPr="00157A52">
        <w:t>Currently, there are 1</w:t>
      </w:r>
      <w:r w:rsidR="004B2C3B">
        <w:t>57</w:t>
      </w:r>
      <w:r w:rsidRPr="00157A52">
        <w:t xml:space="preserve"> active, licensed interpreters</w:t>
      </w:r>
      <w:r w:rsidR="004B2C3B">
        <w:t>. Fourteen hearing, lega</w:t>
      </w:r>
      <w:r w:rsidR="000F216E">
        <w:t xml:space="preserve">l interpreters, two in New Hampshire, one in Massachusetts, and one in South Carolina. Four </w:t>
      </w:r>
      <w:r w:rsidR="00B6064B">
        <w:t>certified Deaf Interpreters (</w:t>
      </w:r>
      <w:r w:rsidR="000F216E">
        <w:t>CDI</w:t>
      </w:r>
      <w:r w:rsidR="00B6064B">
        <w:t>)</w:t>
      </w:r>
      <w:r w:rsidR="000F216E">
        <w:t xml:space="preserve">, two in Maine, one in </w:t>
      </w:r>
      <w:proofErr w:type="spellStart"/>
      <w:r w:rsidR="000F216E">
        <w:t>Massachusetts,and</w:t>
      </w:r>
      <w:proofErr w:type="spellEnd"/>
      <w:r w:rsidR="000F216E">
        <w:t xml:space="preserve"> one in Maryland.</w:t>
      </w:r>
      <w:r w:rsidR="00BB3680">
        <w:t xml:space="preserve"> </w:t>
      </w:r>
    </w:p>
    <w:p w14:paraId="4EED81F1" w14:textId="795AED3A" w:rsidR="00E20F23" w:rsidRDefault="00BB3680" w:rsidP="00B6064B">
      <w:pPr>
        <w:pStyle w:val="xmsonormal"/>
      </w:pPr>
      <w:r>
        <w:rPr>
          <w:noProof/>
        </w:rPr>
        <w:drawing>
          <wp:inline distT="0" distB="0" distL="0" distR="0" wp14:anchorId="0CA07421" wp14:editId="089B263C">
            <wp:extent cx="2921000" cy="2190750"/>
            <wp:effectExtent l="171450" t="171450" r="184150" b="190500"/>
            <wp:docPr id="541945702" name="Picture 541945702" descr="Picture of 6 individuals that attended the 33rd Annual Deaf Tea Awards Celebration. They are each holding plaques they received from the celeb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icture of 6 individuals that attended the 33rd Annual Deaf Tea Awards Celebration. They are each holding plaques they received from the celebration."/>
                    <pic:cNvPicPr/>
                  </pic:nvPicPr>
                  <pic:blipFill>
                    <a:blip r:embed="rId39"/>
                    <a:stretch>
                      <a:fillRect/>
                    </a:stretch>
                  </pic:blipFill>
                  <pic:spPr>
                    <a:xfrm>
                      <a:off x="0" y="0"/>
                      <a:ext cx="2921000" cy="21907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6FE26BB" w14:textId="77777777" w:rsidR="00CD3028" w:rsidRPr="00CD3028" w:rsidRDefault="00CD3028" w:rsidP="00CD3028">
      <w:pPr>
        <w:jc w:val="center"/>
        <w:rPr>
          <w:sz w:val="20"/>
          <w:szCs w:val="20"/>
        </w:rPr>
      </w:pPr>
      <w:r w:rsidRPr="00CD3028">
        <w:rPr>
          <w:sz w:val="20"/>
          <w:szCs w:val="20"/>
        </w:rPr>
        <w:t>The 33</w:t>
      </w:r>
      <w:r w:rsidRPr="00CD3028">
        <w:rPr>
          <w:sz w:val="20"/>
          <w:szCs w:val="20"/>
          <w:vertAlign w:val="superscript"/>
        </w:rPr>
        <w:t>rd</w:t>
      </w:r>
      <w:r w:rsidRPr="00CD3028">
        <w:rPr>
          <w:sz w:val="20"/>
          <w:szCs w:val="20"/>
        </w:rPr>
        <w:t xml:space="preserve"> Annual Deaf Tea Awards Celebration took place on September 19, 2024.</w:t>
      </w:r>
    </w:p>
    <w:p w14:paraId="519CE29C" w14:textId="6B536A36" w:rsidR="00263AA4" w:rsidRDefault="00CD3028" w:rsidP="00B10709">
      <w:pPr>
        <w:jc w:val="center"/>
        <w:rPr>
          <w:sz w:val="20"/>
          <w:szCs w:val="20"/>
        </w:rPr>
      </w:pPr>
      <w:r w:rsidRPr="00CD3028">
        <w:rPr>
          <w:sz w:val="20"/>
          <w:szCs w:val="20"/>
        </w:rPr>
        <w:t>Pictured left to right: Erika L. Martinez, Tommy Minch holding the Joshua A. Seal-Posthumous Award (Accepted by Tommy Minch on behalf of Liz Seal), ABEL Celestino, Marisa Zastrow, Julie A. Novack, and Betsy Hopkins</w:t>
      </w:r>
    </w:p>
    <w:p w14:paraId="73BC7314" w14:textId="319F9B5D" w:rsidR="00E20F23" w:rsidRPr="009D2841" w:rsidRDefault="00263AA4" w:rsidP="00263AA4">
      <w:pPr>
        <w:rPr>
          <w:rFonts w:asciiTheme="minorHAnsi" w:hAnsiTheme="minorHAnsi" w:cstheme="minorHAnsi"/>
          <w:b/>
          <w:bCs/>
          <w:i/>
          <w:iCs/>
          <w:sz w:val="4"/>
          <w:szCs w:val="4"/>
        </w:rPr>
      </w:pPr>
      <w:r>
        <w:rPr>
          <w:sz w:val="20"/>
          <w:szCs w:val="20"/>
        </w:rPr>
        <w:br w:type="page"/>
      </w:r>
      <w:r w:rsidR="00E20F23" w:rsidRPr="009D2841">
        <w:rPr>
          <w:rFonts w:asciiTheme="minorHAnsi" w:hAnsiTheme="minorHAnsi" w:cstheme="minorHAnsi"/>
          <w:sz w:val="4"/>
          <w:szCs w:val="4"/>
        </w:rPr>
        <w:lastRenderedPageBreak/>
        <w:fldChar w:fldCharType="begin"/>
      </w:r>
      <w:r w:rsidR="00E20F23" w:rsidRPr="009D2841">
        <w:rPr>
          <w:rFonts w:asciiTheme="minorHAnsi" w:hAnsiTheme="minorHAnsi" w:cstheme="minorHAnsi"/>
          <w:sz w:val="4"/>
          <w:szCs w:val="4"/>
        </w:rPr>
        <w:instrText xml:space="preserve"> SEQ photo_description \* ARABIC </w:instrText>
      </w:r>
      <w:r w:rsidR="00E20F23" w:rsidRPr="009D2841">
        <w:rPr>
          <w:rFonts w:asciiTheme="minorHAnsi" w:hAnsiTheme="minorHAnsi" w:cstheme="minorHAnsi"/>
          <w:sz w:val="4"/>
          <w:szCs w:val="4"/>
        </w:rPr>
        <w:fldChar w:fldCharType="separate"/>
      </w:r>
      <w:r w:rsidR="00046DA0">
        <w:rPr>
          <w:rFonts w:asciiTheme="minorHAnsi" w:hAnsiTheme="minorHAnsi" w:cstheme="minorHAnsi"/>
          <w:noProof/>
          <w:sz w:val="4"/>
          <w:szCs w:val="4"/>
        </w:rPr>
        <w:t>1</w:t>
      </w:r>
      <w:r w:rsidR="00E20F23" w:rsidRPr="009D2841">
        <w:rPr>
          <w:rFonts w:asciiTheme="minorHAnsi" w:hAnsiTheme="minorHAnsi" w:cstheme="minorHAnsi"/>
          <w:sz w:val="4"/>
          <w:szCs w:val="4"/>
        </w:rPr>
        <w:fldChar w:fldCharType="end"/>
      </w:r>
    </w:p>
    <w:p w14:paraId="385BBA8B" w14:textId="28BB48F3" w:rsidR="00A60F64" w:rsidRPr="009B7A59" w:rsidRDefault="00C4655F" w:rsidP="009B7A59">
      <w:pPr>
        <w:pStyle w:val="Heading1"/>
        <w:rPr>
          <w:rFonts w:asciiTheme="minorHAnsi" w:hAnsiTheme="minorHAnsi" w:cstheme="minorHAnsi"/>
          <w:sz w:val="22"/>
          <w:szCs w:val="22"/>
        </w:rPr>
      </w:pPr>
      <w:bookmarkStart w:id="8" w:name="_Toc185326161"/>
      <w:r w:rsidRPr="00F144F1">
        <w:t xml:space="preserve">Bureau of Rehabilitation </w:t>
      </w:r>
      <w:r w:rsidR="001138BE" w:rsidRPr="00F144F1">
        <w:t>S</w:t>
      </w:r>
      <w:r w:rsidRPr="00F144F1">
        <w:t xml:space="preserve">ervices </w:t>
      </w:r>
      <w:r w:rsidR="002533D7" w:rsidRPr="00F144F1">
        <w:t xml:space="preserve">(BRS) </w:t>
      </w:r>
      <w:r w:rsidRPr="00F144F1">
        <w:t>Apprenticeship Program</w:t>
      </w:r>
      <w:bookmarkEnd w:id="8"/>
    </w:p>
    <w:bookmarkStart w:id="9" w:name="_Hlk34718745"/>
    <w:p w14:paraId="7C0ACE7C" w14:textId="5E8C594B" w:rsidR="002B5AB2" w:rsidRPr="008A6994" w:rsidRDefault="002B5AB2" w:rsidP="002B5AB2">
      <w:pPr>
        <w:pStyle w:val="NoSpacing"/>
        <w:rPr>
          <w:rFonts w:cs="Calibri"/>
          <w:sz w:val="22"/>
          <w:szCs w:val="22"/>
        </w:rPr>
      </w:pPr>
      <w:r w:rsidRPr="0023122F">
        <w:rPr>
          <w:bCs/>
          <w:noProof/>
        </w:rPr>
        <mc:AlternateContent>
          <mc:Choice Requires="wps">
            <w:drawing>
              <wp:anchor distT="45720" distB="45720" distL="114300" distR="114300" simplePos="0" relativeHeight="251652608" behindDoc="0" locked="0" layoutInCell="1" allowOverlap="1" wp14:anchorId="409BAC9A" wp14:editId="01D71152">
                <wp:simplePos x="0" y="0"/>
                <wp:positionH relativeFrom="page">
                  <wp:posOffset>4933950</wp:posOffset>
                </wp:positionH>
                <wp:positionV relativeFrom="paragraph">
                  <wp:posOffset>27940</wp:posOffset>
                </wp:positionV>
                <wp:extent cx="2466975" cy="3562350"/>
                <wp:effectExtent l="0" t="0" r="180975" b="133350"/>
                <wp:wrapSquare wrapText="bothSides"/>
                <wp:docPr id="217" name="Text Box 2" descr="Box with the following information about the Apprenticeship Program:&#10;&#10;Mentoring&#10;Participating Registered Apprenticeship Sponsors provide on-site mentors as a requirement of apprenticeship.&#10;&#10;Flexibility&#10;Apprenticeships vary in duration (generally 1 to 4 years), are offered by both small and large businesses, and are tailored to meet the needs of the employer.&#10;&#10;Earn While You Learn&#10;Apprentices are paid employees from the first day of the apprenticeship.&#10;&#10;National Occupation Credential&#10;Upon completion of an apprenticeship, the apprentice is awarded a nationally recognized, portable credentia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3562350"/>
                        </a:xfrm>
                        <a:prstGeom prst="rect">
                          <a:avLst/>
                        </a:prstGeom>
                        <a:solidFill>
                          <a:srgbClr val="FFFFFF"/>
                        </a:solidFill>
                        <a:ln w="9525">
                          <a:solidFill>
                            <a:srgbClr val="000000"/>
                          </a:solidFill>
                          <a:miter lim="800000"/>
                          <a:headEnd/>
                          <a:tailEnd/>
                        </a:ln>
                        <a:effectLst>
                          <a:outerShdw blurRad="38100" dist="127000" dir="1800000" algn="t" rotWithShape="0">
                            <a:prstClr val="black">
                              <a:alpha val="40000"/>
                            </a:prstClr>
                          </a:outerShdw>
                        </a:effectLst>
                      </wps:spPr>
                      <wps:txbx>
                        <w:txbxContent>
                          <w:p w14:paraId="297A0CB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Mentoring</w:t>
                            </w:r>
                          </w:p>
                          <w:p w14:paraId="4A4673CA" w14:textId="77777777" w:rsidR="000A4F0B" w:rsidRDefault="000A4F0B" w:rsidP="000A4F0B">
                            <w:pPr>
                              <w:pStyle w:val="NoSpacing"/>
                              <w:rPr>
                                <w:sz w:val="22"/>
                                <w:szCs w:val="22"/>
                              </w:rPr>
                            </w:pPr>
                            <w:r>
                              <w:rPr>
                                <w:sz w:val="22"/>
                                <w:szCs w:val="22"/>
                              </w:rPr>
                              <w:t>Participating Registered Apprenticeship Sponsors provide on-site mentors as a requirement of apprenticeship.</w:t>
                            </w:r>
                          </w:p>
                          <w:p w14:paraId="0BD4E5C7" w14:textId="77777777" w:rsidR="000A4F0B" w:rsidRDefault="000A4F0B" w:rsidP="000A4F0B">
                            <w:pPr>
                              <w:pStyle w:val="NoSpacing"/>
                              <w:rPr>
                                <w:color w:val="005A54"/>
                                <w:sz w:val="22"/>
                                <w:szCs w:val="22"/>
                              </w:rPr>
                            </w:pPr>
                          </w:p>
                          <w:p w14:paraId="017FAB29"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Flexibility</w:t>
                            </w:r>
                          </w:p>
                          <w:p w14:paraId="19D5E949" w14:textId="3F8D46AC" w:rsidR="000A4F0B" w:rsidRDefault="000A4F0B" w:rsidP="000A4F0B">
                            <w:pPr>
                              <w:pStyle w:val="NoSpacing"/>
                              <w:rPr>
                                <w:color w:val="000000"/>
                                <w:sz w:val="22"/>
                                <w:szCs w:val="22"/>
                              </w:rPr>
                            </w:pPr>
                            <w:r>
                              <w:rPr>
                                <w:color w:val="000000"/>
                                <w:sz w:val="22"/>
                                <w:szCs w:val="22"/>
                              </w:rPr>
                              <w:t>Apprenticeships vary in duration (generally 1 to 4 years), are offered by both small and large businesses, and are tailored to meet the needs of the employer.</w:t>
                            </w:r>
                          </w:p>
                          <w:p w14:paraId="3E636180" w14:textId="77777777" w:rsidR="000A4F0B" w:rsidRDefault="000A4F0B" w:rsidP="000A4F0B">
                            <w:pPr>
                              <w:pStyle w:val="NoSpacing"/>
                              <w:rPr>
                                <w:color w:val="005A54"/>
                                <w:sz w:val="22"/>
                                <w:szCs w:val="22"/>
                              </w:rPr>
                            </w:pPr>
                          </w:p>
                          <w:p w14:paraId="05A0318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Earn While You Learn</w:t>
                            </w:r>
                          </w:p>
                          <w:p w14:paraId="6D989E85" w14:textId="72B179F4" w:rsidR="000A4F0B" w:rsidRDefault="000A4F0B" w:rsidP="000A4F0B">
                            <w:pPr>
                              <w:pStyle w:val="NoSpacing"/>
                              <w:rPr>
                                <w:sz w:val="22"/>
                                <w:szCs w:val="22"/>
                              </w:rPr>
                            </w:pPr>
                            <w:r>
                              <w:rPr>
                                <w:sz w:val="22"/>
                                <w:szCs w:val="22"/>
                              </w:rPr>
                              <w:t>Apprentices are paid employees from the first day of the apprenticeship.</w:t>
                            </w:r>
                          </w:p>
                          <w:p w14:paraId="1306410A" w14:textId="77777777" w:rsidR="000A4F0B" w:rsidRDefault="000A4F0B" w:rsidP="000A4F0B">
                            <w:pPr>
                              <w:pStyle w:val="NoSpacing"/>
                              <w:rPr>
                                <w:color w:val="005A54"/>
                                <w:sz w:val="22"/>
                                <w:szCs w:val="22"/>
                              </w:rPr>
                            </w:pPr>
                          </w:p>
                          <w:p w14:paraId="71F9E5AF"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National Occupation Credential</w:t>
                            </w:r>
                          </w:p>
                          <w:p w14:paraId="1AED6E9A" w14:textId="77777777" w:rsidR="000A4F0B" w:rsidRDefault="000A4F0B" w:rsidP="000A4F0B">
                            <w:pPr>
                              <w:pStyle w:val="NoSpacing"/>
                              <w:rPr>
                                <w:color w:val="000000"/>
                                <w:sz w:val="22"/>
                                <w:szCs w:val="22"/>
                              </w:rPr>
                            </w:pPr>
                            <w:r>
                              <w:rPr>
                                <w:color w:val="000000"/>
                                <w:sz w:val="22"/>
                                <w:szCs w:val="22"/>
                              </w:rPr>
                              <w:t>Upon completion of an apprenticeship, the apprentice is awarded a nationally recognized, portable credential.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AC9A" id="_x0000_s1029" type="#_x0000_t202" alt="Box with the following information about the Apprenticeship Program:&#10;&#10;Mentoring&#10;Participating Registered Apprenticeship Sponsors provide on-site mentors as a requirement of apprenticeship.&#10;&#10;Flexibility&#10;Apprenticeships vary in duration (generally 1 to 4 years), are offered by both small and large businesses, and are tailored to meet the needs of the employer.&#10;&#10;Earn While You Learn&#10;Apprentices are paid employees from the first day of the apprenticeship.&#10;&#10;National Occupation Credential&#10;Upon completion of an apprenticeship, the apprentice is awarded a nationally recognized, portable credential." style="position:absolute;margin-left:388.5pt;margin-top:2.2pt;width:194.25pt;height:280.5pt;z-index:251652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">
                <v:shadow on="t" color="black" opacity="26214f" origin=",-.5" offset="3.05514mm,5pt"/>
                <v:textbox>
                  <w:txbxContent>
                    <w:p w14:paraId="297A0CB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Mentoring</w:t>
                      </w:r>
                    </w:p>
                    <w:p w14:paraId="4A4673CA" w14:textId="77777777" w:rsidR="000A4F0B" w:rsidRDefault="000A4F0B" w:rsidP="000A4F0B">
                      <w:pPr>
                        <w:pStyle w:val="NoSpacing"/>
                        <w:rPr>
                          <w:sz w:val="22"/>
                          <w:szCs w:val="22"/>
                        </w:rPr>
                      </w:pPr>
                      <w:r>
                        <w:rPr>
                          <w:sz w:val="22"/>
                          <w:szCs w:val="22"/>
                        </w:rPr>
                        <w:t>Participating Registered Apprenticeship Sponsors provide on-site mentors as a requirement of apprenticeship.</w:t>
                      </w:r>
                    </w:p>
                    <w:p w14:paraId="0BD4E5C7" w14:textId="77777777" w:rsidR="000A4F0B" w:rsidRDefault="000A4F0B" w:rsidP="000A4F0B">
                      <w:pPr>
                        <w:pStyle w:val="NoSpacing"/>
                        <w:rPr>
                          <w:color w:val="005A54"/>
                          <w:sz w:val="22"/>
                          <w:szCs w:val="22"/>
                        </w:rPr>
                      </w:pPr>
                    </w:p>
                    <w:p w14:paraId="017FAB29"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Flexibility</w:t>
                      </w:r>
                    </w:p>
                    <w:p w14:paraId="19D5E949" w14:textId="3F8D46AC" w:rsidR="000A4F0B" w:rsidRDefault="000A4F0B" w:rsidP="000A4F0B">
                      <w:pPr>
                        <w:pStyle w:val="NoSpacing"/>
                        <w:rPr>
                          <w:color w:val="000000"/>
                          <w:sz w:val="22"/>
                          <w:szCs w:val="22"/>
                        </w:rPr>
                      </w:pPr>
                      <w:r>
                        <w:rPr>
                          <w:color w:val="000000"/>
                          <w:sz w:val="22"/>
                          <w:szCs w:val="22"/>
                        </w:rPr>
                        <w:t>Apprenticeships vary in duration (generally 1 to 4 years), are offered by both small and large businesses, and are tailored to meet the needs of the employer.</w:t>
                      </w:r>
                    </w:p>
                    <w:p w14:paraId="3E636180" w14:textId="77777777" w:rsidR="000A4F0B" w:rsidRDefault="000A4F0B" w:rsidP="000A4F0B">
                      <w:pPr>
                        <w:pStyle w:val="NoSpacing"/>
                        <w:rPr>
                          <w:color w:val="005A54"/>
                          <w:sz w:val="22"/>
                          <w:szCs w:val="22"/>
                        </w:rPr>
                      </w:pPr>
                    </w:p>
                    <w:p w14:paraId="05A03186"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Earn While You Learn</w:t>
                      </w:r>
                    </w:p>
                    <w:p w14:paraId="6D989E85" w14:textId="72B179F4" w:rsidR="000A4F0B" w:rsidRDefault="000A4F0B" w:rsidP="000A4F0B">
                      <w:pPr>
                        <w:pStyle w:val="NoSpacing"/>
                        <w:rPr>
                          <w:sz w:val="22"/>
                          <w:szCs w:val="22"/>
                        </w:rPr>
                      </w:pPr>
                      <w:r>
                        <w:rPr>
                          <w:sz w:val="22"/>
                          <w:szCs w:val="22"/>
                        </w:rPr>
                        <w:t>Apprentices are paid employees from the first day of the apprenticeship.</w:t>
                      </w:r>
                    </w:p>
                    <w:p w14:paraId="1306410A" w14:textId="77777777" w:rsidR="000A4F0B" w:rsidRDefault="000A4F0B" w:rsidP="000A4F0B">
                      <w:pPr>
                        <w:pStyle w:val="NoSpacing"/>
                        <w:rPr>
                          <w:color w:val="005A54"/>
                          <w:sz w:val="22"/>
                          <w:szCs w:val="22"/>
                        </w:rPr>
                      </w:pPr>
                    </w:p>
                    <w:p w14:paraId="71F9E5AF" w14:textId="77777777" w:rsidR="000A4F0B" w:rsidRPr="007543CD" w:rsidRDefault="000A4F0B" w:rsidP="000A4F0B">
                      <w:pPr>
                        <w:pStyle w:val="NoSpacing"/>
                        <w:rPr>
                          <w:b/>
                          <w:bCs/>
                          <w:color w:val="00303E" w:themeColor="text1"/>
                          <w:sz w:val="22"/>
                          <w:szCs w:val="22"/>
                        </w:rPr>
                      </w:pPr>
                      <w:r w:rsidRPr="007543CD">
                        <w:rPr>
                          <w:b/>
                          <w:bCs/>
                          <w:color w:val="00303E" w:themeColor="text1"/>
                          <w:sz w:val="22"/>
                          <w:szCs w:val="22"/>
                        </w:rPr>
                        <w:t>National Occupation Credential</w:t>
                      </w:r>
                    </w:p>
                    <w:p w14:paraId="1AED6E9A" w14:textId="77777777" w:rsidR="000A4F0B" w:rsidRDefault="000A4F0B" w:rsidP="000A4F0B">
                      <w:pPr>
                        <w:pStyle w:val="NoSpacing"/>
                        <w:rPr>
                          <w:color w:val="000000"/>
                          <w:sz w:val="22"/>
                          <w:szCs w:val="22"/>
                        </w:rPr>
                      </w:pPr>
                      <w:r>
                        <w:rPr>
                          <w:color w:val="000000"/>
                          <w:sz w:val="22"/>
                          <w:szCs w:val="22"/>
                        </w:rPr>
                        <w:t>Upon completion of an apprenticeship, the apprentice is awarded a nationally recognized, portable credential.</w:t>
                      </w:r>
                    </w:p>
                  </w:txbxContent>
                </v:textbox>
                <w10:wrap type="square" anchorx="page"/>
              </v:shape>
            </w:pict>
          </mc:Fallback>
        </mc:AlternateContent>
      </w:r>
      <w:r w:rsidRPr="008A6994">
        <w:rPr>
          <w:rFonts w:cs="Calibri"/>
          <w:sz w:val="22"/>
          <w:szCs w:val="22"/>
        </w:rPr>
        <w:t>In 2025, participation in apprenticeship and pre-apprenticeship among individuals with disabilities in Maine continued to rise, reaching 4.59%, showing that targeted outreach, career exploration opportunities and support efforts are paying off. BRS continues to help individuals with disabilities connect with employers and pursue skilled career paths.</w:t>
      </w:r>
    </w:p>
    <w:p w14:paraId="45A06D59" w14:textId="77777777" w:rsidR="002B5AB2" w:rsidRPr="008A6994" w:rsidRDefault="002B5AB2" w:rsidP="002B5AB2">
      <w:pPr>
        <w:pStyle w:val="NoSpacing"/>
        <w:rPr>
          <w:rFonts w:cs="Calibri"/>
          <w:sz w:val="22"/>
          <w:szCs w:val="22"/>
        </w:rPr>
      </w:pPr>
    </w:p>
    <w:p w14:paraId="368FC460" w14:textId="2CC193F2" w:rsidR="002B5AB2" w:rsidRPr="008A6994" w:rsidRDefault="002B5AB2" w:rsidP="002B5AB2">
      <w:pPr>
        <w:pStyle w:val="NoSpacing"/>
        <w:spacing w:after="240"/>
        <w:contextualSpacing/>
        <w:rPr>
          <w:rFonts w:cs="Calibri"/>
          <w:sz w:val="22"/>
          <w:szCs w:val="22"/>
        </w:rPr>
      </w:pPr>
      <w:r w:rsidRPr="008A6994">
        <w:rPr>
          <w:rFonts w:cs="Calibri"/>
          <w:sz w:val="22"/>
          <w:szCs w:val="22"/>
        </w:rPr>
        <w:t>The Maine Bureau of Rehabilitation Services (BRS), in continued partnership with the Bureau of Employment Services (BES), and the Maine Apprenticeship Program (MAP), apprenticeship accomplishments include:</w:t>
      </w:r>
    </w:p>
    <w:p w14:paraId="446D76EF" w14:textId="57DFBE10" w:rsidR="002B5AB2" w:rsidRPr="008A6994" w:rsidRDefault="002B5AB2" w:rsidP="002B5AB2">
      <w:pPr>
        <w:pStyle w:val="bullet"/>
        <w:ind w:left="360"/>
        <w:rPr>
          <w:rFonts w:cs="Calibri"/>
        </w:rPr>
      </w:pPr>
      <w:r w:rsidRPr="008A6994">
        <w:rPr>
          <w:rFonts w:cs="Calibri"/>
        </w:rPr>
        <w:t xml:space="preserve">2025 placements: 5 DVR clients entered apprenticeships; 14 DVR clients </w:t>
      </w:r>
      <w:proofErr w:type="gramStart"/>
      <w:r w:rsidRPr="008A6994">
        <w:rPr>
          <w:rFonts w:cs="Calibri"/>
        </w:rPr>
        <w:t>entered into</w:t>
      </w:r>
      <w:proofErr w:type="gramEnd"/>
      <w:r w:rsidRPr="008A6994">
        <w:rPr>
          <w:rFonts w:cs="Calibri"/>
        </w:rPr>
        <w:t xml:space="preserve"> pre-apprenticeships.</w:t>
      </w:r>
    </w:p>
    <w:p w14:paraId="3678836B" w14:textId="77777777" w:rsidR="002B5AB2" w:rsidRPr="008A6994" w:rsidRDefault="002B5AB2" w:rsidP="002B5AB2">
      <w:pPr>
        <w:pStyle w:val="bullet"/>
        <w:ind w:left="360"/>
        <w:rPr>
          <w:rFonts w:cs="Calibri"/>
        </w:rPr>
      </w:pPr>
      <w:r w:rsidRPr="008A6994">
        <w:rPr>
          <w:rFonts w:cs="Calibri"/>
        </w:rPr>
        <w:t>Met quarterly with Maine workforce development partners, Apprenticeship Sponsors, and technical training institutions.</w:t>
      </w:r>
    </w:p>
    <w:p w14:paraId="38F26801" w14:textId="573461E7" w:rsidR="002B5AB2" w:rsidRPr="008A6994" w:rsidRDefault="002B5AB2" w:rsidP="002B5AB2">
      <w:pPr>
        <w:pStyle w:val="bullet"/>
        <w:ind w:left="360"/>
        <w:rPr>
          <w:rFonts w:cs="Calibri"/>
        </w:rPr>
      </w:pPr>
      <w:r w:rsidRPr="008A6994">
        <w:rPr>
          <w:rFonts w:cs="Calibri"/>
        </w:rPr>
        <w:t xml:space="preserve">Engaged directly with youth through school visits, sharing recorded videos on apprenticeship and pre-apprenticeship through </w:t>
      </w:r>
      <w:proofErr w:type="spellStart"/>
      <w:r w:rsidRPr="008A6994">
        <w:rPr>
          <w:rFonts w:cs="Calibri"/>
        </w:rPr>
        <w:t>Pathful</w:t>
      </w:r>
      <w:proofErr w:type="spellEnd"/>
      <w:r w:rsidRPr="008A6994">
        <w:rPr>
          <w:rFonts w:cs="Calibri"/>
        </w:rPr>
        <w:t xml:space="preserve"> Explore, and through business tours</w:t>
      </w:r>
      <w:r>
        <w:rPr>
          <w:rFonts w:cs="Calibri"/>
        </w:rPr>
        <w:t xml:space="preserve"> and hands-on career exploration activities.</w:t>
      </w:r>
    </w:p>
    <w:p w14:paraId="468CC8BA" w14:textId="3E31CF69" w:rsidR="002B5AB2" w:rsidRPr="008A6994" w:rsidRDefault="002B5AB2" w:rsidP="002B5AB2">
      <w:pPr>
        <w:pStyle w:val="bullet"/>
        <w:ind w:left="360"/>
        <w:rPr>
          <w:rFonts w:cs="Calibri"/>
        </w:rPr>
      </w:pPr>
      <w:r w:rsidRPr="008A6994">
        <w:rPr>
          <w:rFonts w:cs="Calibri"/>
        </w:rPr>
        <w:t xml:space="preserve">Hosted the second annual Youth Apprenticeship Tour, where 10 high school students participated in hands-on activities, including virtual reality construction safety simulations, a welding workshop, an oyster farm boat tour, and a healthcare workshop with patient mannequins and hospital equipment. </w:t>
      </w:r>
    </w:p>
    <w:p w14:paraId="21FD63A9" w14:textId="587CD000" w:rsidR="002B5AB2" w:rsidRPr="008A6994" w:rsidRDefault="002B5AB2" w:rsidP="002B5AB2">
      <w:pPr>
        <w:pStyle w:val="bullet"/>
        <w:ind w:left="360"/>
        <w:rPr>
          <w:rFonts w:cs="Calibri"/>
        </w:rPr>
      </w:pPr>
      <w:r w:rsidRPr="008A6994">
        <w:rPr>
          <w:rFonts w:cs="Calibri"/>
        </w:rPr>
        <w:t xml:space="preserve">Arranged tours with a range of businesses to showcase their programs and worksites, including at Industrial Roofing Company, Maine Health, MDI Biological Laboratory, Bangor Savings Bank, People’s Inclusive Welding, </w:t>
      </w:r>
      <w:proofErr w:type="spellStart"/>
      <w:r w:rsidRPr="008A6994">
        <w:rPr>
          <w:rFonts w:cs="Calibri"/>
        </w:rPr>
        <w:t>Panolam</w:t>
      </w:r>
      <w:proofErr w:type="spellEnd"/>
      <w:r w:rsidRPr="008A6994">
        <w:rPr>
          <w:rFonts w:cs="Calibri"/>
        </w:rPr>
        <w:t>, Casella Waste and others.</w:t>
      </w:r>
    </w:p>
    <w:p w14:paraId="10E506F1" w14:textId="50FD7C62" w:rsidR="002B5AB2" w:rsidRPr="008A6994" w:rsidRDefault="002B5AB2" w:rsidP="002B5AB2">
      <w:pPr>
        <w:pStyle w:val="bullet"/>
        <w:ind w:left="360"/>
        <w:rPr>
          <w:rFonts w:cs="Calibri"/>
        </w:rPr>
      </w:pPr>
      <w:r>
        <w:rPr>
          <w:rFonts w:cs="Calibri"/>
        </w:rPr>
        <w:t>Conducted</w:t>
      </w:r>
      <w:r w:rsidRPr="008A6994">
        <w:rPr>
          <w:rFonts w:cs="Calibri"/>
        </w:rPr>
        <w:t xml:space="preserve"> outreach across Maine by attending multiple table events to share how apprenticeship benefits both businesses and jobseekers, including Maine Construction Career Days in West Bath, the Common Ground Fair in Unity, and the Maine HR Convention in Rockport.</w:t>
      </w:r>
    </w:p>
    <w:p w14:paraId="3D47F609" w14:textId="2BB57937" w:rsidR="00F97D5B" w:rsidRDefault="002B5AB2" w:rsidP="002B5AB2">
      <w:pPr>
        <w:pStyle w:val="bullet"/>
        <w:ind w:left="360"/>
        <w:rPr>
          <w:rFonts w:cs="Calibri"/>
        </w:rPr>
      </w:pPr>
      <w:r w:rsidRPr="008A6994">
        <w:rPr>
          <w:rFonts w:cs="Calibri"/>
        </w:rPr>
        <w:t>Provided New Vocational Rehabilitation Counselor Training on Registered Apprenticeship &amp; Certified Pre-Apprenticeship.</w:t>
      </w:r>
    </w:p>
    <w:p w14:paraId="773E4A4E" w14:textId="5C0E1B11" w:rsidR="002B5AB2" w:rsidRPr="008A6994" w:rsidRDefault="00F97D5B" w:rsidP="00F97D5B">
      <w:pPr>
        <w:rPr>
          <w:rFonts w:cs="Calibri"/>
        </w:rPr>
      </w:pPr>
      <w:r>
        <w:rPr>
          <w:rFonts w:cs="Calibri"/>
        </w:rPr>
        <w:br w:type="page"/>
      </w:r>
    </w:p>
    <w:p w14:paraId="318E4F06" w14:textId="702768AB" w:rsidR="008A58CE" w:rsidRPr="00F62865" w:rsidRDefault="008A58CE" w:rsidP="008A58CE">
      <w:pPr>
        <w:spacing w:after="160" w:line="278" w:lineRule="auto"/>
        <w:jc w:val="center"/>
        <w:rPr>
          <w:rFonts w:cs="Calibri"/>
          <w:color w:val="00303E" w:themeColor="text1"/>
          <w:kern w:val="32"/>
          <w:sz w:val="22"/>
          <w:szCs w:val="22"/>
        </w:rPr>
      </w:pPr>
      <w:bookmarkStart w:id="10" w:name="_Toc185326162"/>
      <w:bookmarkEnd w:id="9"/>
      <w:r w:rsidRPr="00F62865">
        <w:rPr>
          <w:rFonts w:cs="Calibri"/>
          <w:noProof/>
          <w:color w:val="00303E" w:themeColor="text1"/>
          <w:kern w:val="32"/>
          <w:sz w:val="22"/>
          <w:szCs w:val="22"/>
        </w:rPr>
        <w:lastRenderedPageBreak/>
        <w:drawing>
          <wp:inline distT="0" distB="0" distL="0" distR="0" wp14:anchorId="1E3D5136" wp14:editId="1C95371E">
            <wp:extent cx="5340350" cy="3007995"/>
            <wp:effectExtent l="247650" t="247650" r="222250" b="268605"/>
            <wp:docPr id="1784094330" name="Picture 5" descr="A group of 7 individuals watching someone w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94330" name="Picture 5" descr="A group of 7 individuals watching someone wel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40350" cy="30079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5AF7CE6D" w14:textId="36B37E21" w:rsidR="003F4D16" w:rsidRDefault="003F4D16" w:rsidP="003F4D16">
      <w:pPr>
        <w:spacing w:after="160" w:line="278" w:lineRule="auto"/>
        <w:jc w:val="center"/>
        <w:rPr>
          <w:rFonts w:cs="Calibri"/>
          <w:kern w:val="32"/>
          <w:sz w:val="22"/>
          <w:szCs w:val="22"/>
        </w:rPr>
      </w:pPr>
      <w:r w:rsidRPr="00522FB3">
        <w:rPr>
          <w:rFonts w:cs="Calibri"/>
          <w:kern w:val="32"/>
          <w:sz w:val="22"/>
          <w:szCs w:val="22"/>
        </w:rPr>
        <w:t>Above: People’s Inclusive Welding – Youth Welding workshop.</w:t>
      </w:r>
    </w:p>
    <w:p w14:paraId="7235FB4C" w14:textId="77777777" w:rsidR="00454061" w:rsidRDefault="00454061" w:rsidP="003F4D16">
      <w:pPr>
        <w:spacing w:after="160" w:line="278" w:lineRule="auto"/>
        <w:jc w:val="center"/>
        <w:rPr>
          <w:rFonts w:cs="Calibri"/>
          <w:kern w:val="32"/>
          <w:sz w:val="22"/>
          <w:szCs w:val="22"/>
        </w:rPr>
      </w:pPr>
    </w:p>
    <w:p w14:paraId="5416C40D" w14:textId="1BF67E6F" w:rsidR="00454061" w:rsidRPr="00522FB3" w:rsidRDefault="00454061" w:rsidP="003F4D16">
      <w:pPr>
        <w:spacing w:after="160" w:line="278" w:lineRule="auto"/>
        <w:jc w:val="center"/>
        <w:rPr>
          <w:rFonts w:cs="Calibri"/>
          <w:kern w:val="32"/>
          <w:sz w:val="22"/>
          <w:szCs w:val="22"/>
        </w:rPr>
      </w:pPr>
      <w:r>
        <w:rPr>
          <w:rFonts w:cs="Calibri"/>
          <w:kern w:val="32"/>
          <w:sz w:val="22"/>
          <w:szCs w:val="22"/>
        </w:rPr>
        <w:t>Below</w:t>
      </w:r>
      <w:r w:rsidRPr="00522FB3">
        <w:rPr>
          <w:rFonts w:cs="Calibri"/>
          <w:kern w:val="32"/>
          <w:sz w:val="22"/>
          <w:szCs w:val="22"/>
        </w:rPr>
        <w:t xml:space="preserve">: Participant practicing chest compressions on a hospital mannequin during a </w:t>
      </w:r>
      <w:r>
        <w:rPr>
          <w:rFonts w:cs="Calibri"/>
          <w:kern w:val="32"/>
          <w:sz w:val="22"/>
          <w:szCs w:val="22"/>
        </w:rPr>
        <w:br/>
      </w:r>
      <w:r w:rsidRPr="00522FB3">
        <w:rPr>
          <w:rFonts w:cs="Calibri"/>
          <w:kern w:val="32"/>
          <w:sz w:val="22"/>
          <w:szCs w:val="22"/>
        </w:rPr>
        <w:t>workshop at Maine Health Professional Park.</w:t>
      </w:r>
    </w:p>
    <w:p w14:paraId="5A202521" w14:textId="7590ED68" w:rsidR="008A58CE" w:rsidRPr="00F62865" w:rsidRDefault="00726B39" w:rsidP="00077641">
      <w:pPr>
        <w:spacing w:after="160" w:line="278" w:lineRule="auto"/>
        <w:jc w:val="center"/>
        <w:rPr>
          <w:rFonts w:cs="Calibri"/>
          <w:color w:val="00303E" w:themeColor="text1"/>
          <w:kern w:val="32"/>
          <w:sz w:val="22"/>
          <w:szCs w:val="22"/>
        </w:rPr>
      </w:pPr>
      <w:r w:rsidRPr="00F62865">
        <w:rPr>
          <w:rFonts w:cs="Calibri"/>
          <w:noProof/>
          <w:color w:val="00303E" w:themeColor="text1"/>
          <w:kern w:val="32"/>
          <w:sz w:val="22"/>
          <w:szCs w:val="22"/>
        </w:rPr>
        <w:drawing>
          <wp:inline distT="0" distB="0" distL="0" distR="0" wp14:anchorId="12A3BCB6" wp14:editId="2E8B4931">
            <wp:extent cx="2210435" cy="3923030"/>
            <wp:effectExtent l="285750" t="247650" r="285115" b="267970"/>
            <wp:docPr id="420420183" name="Picture 6" descr="Picture of two individuals standing next to a hospital bed with a CPR mannequin laying on it. One of the individuals is practicing chest compressions on the hospital mannequin during a workshop at Maine Health Profess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20183" name="Picture 6" descr="Picture of two individuals standing next to a hospital bed with a CPR mannequin laying on it. One of the individuals is practicing chest compressions on the hospital mannequin during a workshop at Maine Health Professional Par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10435" cy="39230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8A58CE" w:rsidRPr="00522FB3">
        <w:rPr>
          <w:rFonts w:cs="Calibri"/>
          <w:kern w:val="32"/>
          <w:sz w:val="22"/>
          <w:szCs w:val="22"/>
        </w:rPr>
        <w:t xml:space="preserve"> </w:t>
      </w:r>
      <w:r w:rsidR="008A58CE" w:rsidRPr="00F62865">
        <w:rPr>
          <w:rFonts w:cs="Calibri"/>
          <w:color w:val="00303E" w:themeColor="text1"/>
          <w:kern w:val="32"/>
          <w:sz w:val="22"/>
          <w:szCs w:val="22"/>
        </w:rPr>
        <w:br w:type="page"/>
      </w:r>
    </w:p>
    <w:p w14:paraId="469B9D73" w14:textId="36EFDE7B" w:rsidR="00522FB3" w:rsidRDefault="00522FB3" w:rsidP="00522FB3">
      <w:pPr>
        <w:pStyle w:val="Heading1"/>
      </w:pPr>
      <w:r>
        <w:lastRenderedPageBreak/>
        <w:t>Pathways to Partnerships (P2P) Grant</w:t>
      </w:r>
    </w:p>
    <w:p w14:paraId="255DCAD2" w14:textId="77777777" w:rsidR="00DC6CEA" w:rsidRDefault="00DC6CEA" w:rsidP="00DC6CEA">
      <w:pPr>
        <w:rPr>
          <w:sz w:val="22"/>
          <w:szCs w:val="22"/>
        </w:rPr>
      </w:pPr>
      <w:r w:rsidRPr="00DC6CEA">
        <w:rPr>
          <w:sz w:val="22"/>
          <w:szCs w:val="22"/>
        </w:rPr>
        <w:t>In September 2023, Maine was one of 20 states awarded a Pathways to Partnerships (P2P) Disability Innovation Grant through the US Department of Education’s Office of Special Education and Rehabilitative Services (OSERS).  The purpose of the five-year grant is to support innovative model demonstration projects focused on the creation of systemic approaches to transition services for children and youth with disabilities. To ensure that key agents of change are actively collaborating to support coordinated transition processes, the grant required State vocational rehabilitation agencies (SVRAs), State educational agencies (SEAs), local educational agencies (LEAs), and federally funded Centers for Independent Living (CILs) to partner on the application. In Maine, the Division of Vocational Rehabilitation (DVR) is the grant lead in collaboration with Maine Department of Education, RSU 71 (Belfast Area School District), RSU 29 (Houlton Area School District), AlphaOne and the Division for the Blind and Visually Impaired (DBVI).</w:t>
      </w:r>
    </w:p>
    <w:p w14:paraId="368A46B6" w14:textId="77777777" w:rsidR="00DC6CEA" w:rsidRPr="00DC6CEA" w:rsidRDefault="00DC6CEA" w:rsidP="00DC6CEA">
      <w:pPr>
        <w:rPr>
          <w:sz w:val="22"/>
          <w:szCs w:val="22"/>
        </w:rPr>
      </w:pPr>
    </w:p>
    <w:p w14:paraId="1A3AA093" w14:textId="77777777" w:rsidR="00DC6CEA" w:rsidRDefault="00DC6CEA" w:rsidP="00DC6CEA">
      <w:pPr>
        <w:rPr>
          <w:sz w:val="22"/>
          <w:szCs w:val="22"/>
        </w:rPr>
      </w:pPr>
      <w:r w:rsidRPr="00DC6CEA">
        <w:rPr>
          <w:sz w:val="22"/>
          <w:szCs w:val="22"/>
        </w:rPr>
        <w:t>P2P is an exciting opportunity to build on the strong Pre-Employment Transition Services work of DVR and DBVI and the agencies’ close relationships and shared transition approaches with partners. The ability to serve children as young as age 10 will help raise aspirations and offer families and educators resources and training well before traditional transition planning.P2P encourages piloting innovative initiatives that can be tried and refined – scaling up from pilot to statewide implementation over the grant’s five years. These initiatives include:</w:t>
      </w:r>
    </w:p>
    <w:p w14:paraId="0D2DFDBE" w14:textId="77777777" w:rsidR="00DC6CEA" w:rsidRPr="00DC6CEA" w:rsidRDefault="00DC6CEA" w:rsidP="00DC6CEA">
      <w:pPr>
        <w:rPr>
          <w:sz w:val="22"/>
          <w:szCs w:val="22"/>
        </w:rPr>
      </w:pPr>
    </w:p>
    <w:p w14:paraId="562EE96A" w14:textId="77777777" w:rsidR="00DC6CEA" w:rsidRDefault="00DC6CEA" w:rsidP="00DC6CEA">
      <w:pPr>
        <w:rPr>
          <w:sz w:val="22"/>
          <w:szCs w:val="22"/>
        </w:rPr>
      </w:pPr>
      <w:r w:rsidRPr="00DC6CEA">
        <w:rPr>
          <w:sz w:val="22"/>
          <w:szCs w:val="22"/>
        </w:rPr>
        <w:t xml:space="preserve">(1) Launch of a </w:t>
      </w:r>
      <w:r w:rsidRPr="00DC6CEA">
        <w:rPr>
          <w:b/>
          <w:bCs/>
          <w:sz w:val="22"/>
          <w:szCs w:val="22"/>
        </w:rPr>
        <w:t xml:space="preserve">web-based sustainable site to serve as a primary hub </w:t>
      </w:r>
      <w:r w:rsidRPr="00DC6CEA">
        <w:rPr>
          <w:sz w:val="22"/>
          <w:szCs w:val="22"/>
        </w:rPr>
        <w:t>for cross-agency transition information, training, and learning opportunities across the state</w:t>
      </w:r>
    </w:p>
    <w:p w14:paraId="273C4D42" w14:textId="77777777" w:rsidR="00DC6CEA" w:rsidRPr="00DC6CEA" w:rsidRDefault="00DC6CEA" w:rsidP="00DC6CEA">
      <w:pPr>
        <w:rPr>
          <w:sz w:val="22"/>
          <w:szCs w:val="22"/>
        </w:rPr>
      </w:pPr>
    </w:p>
    <w:p w14:paraId="60BD6252" w14:textId="77777777" w:rsidR="00DC6CEA" w:rsidRDefault="00DC6CEA" w:rsidP="00DC6CEA">
      <w:pPr>
        <w:rPr>
          <w:sz w:val="22"/>
          <w:szCs w:val="22"/>
        </w:rPr>
      </w:pPr>
      <w:r w:rsidRPr="00DC6CEA">
        <w:rPr>
          <w:sz w:val="22"/>
          <w:szCs w:val="22"/>
        </w:rPr>
        <w:t xml:space="preserve">(2) Development of accessible on-demand </w:t>
      </w:r>
      <w:r w:rsidRPr="00DC6CEA">
        <w:rPr>
          <w:b/>
          <w:bCs/>
          <w:sz w:val="22"/>
          <w:szCs w:val="22"/>
        </w:rPr>
        <w:t xml:space="preserve">curricula on transition topics </w:t>
      </w:r>
      <w:r w:rsidRPr="00DC6CEA">
        <w:rPr>
          <w:sz w:val="22"/>
          <w:szCs w:val="22"/>
        </w:rPr>
        <w:t xml:space="preserve">(including benefits counseling, financial literacy, Pre-Employment Transition Services, etc.) for a wide range of stakeholders including children, parents, educators, and service providers, </w:t>
      </w:r>
    </w:p>
    <w:p w14:paraId="0FA68197" w14:textId="77777777" w:rsidR="00DC6CEA" w:rsidRPr="00DC6CEA" w:rsidRDefault="00DC6CEA" w:rsidP="00DC6CEA">
      <w:pPr>
        <w:rPr>
          <w:sz w:val="22"/>
          <w:szCs w:val="22"/>
        </w:rPr>
      </w:pPr>
    </w:p>
    <w:p w14:paraId="5C71C352" w14:textId="77777777" w:rsidR="00DC6CEA" w:rsidRDefault="00DC6CEA" w:rsidP="00DC6CEA">
      <w:pPr>
        <w:rPr>
          <w:sz w:val="22"/>
          <w:szCs w:val="22"/>
        </w:rPr>
      </w:pPr>
      <w:r w:rsidRPr="00DC6CEA">
        <w:rPr>
          <w:sz w:val="22"/>
          <w:szCs w:val="22"/>
        </w:rPr>
        <w:t xml:space="preserve">(3) Enrollment of participants in </w:t>
      </w:r>
      <w:r w:rsidRPr="00DC6CEA">
        <w:rPr>
          <w:b/>
          <w:bCs/>
          <w:sz w:val="22"/>
          <w:szCs w:val="22"/>
        </w:rPr>
        <w:t xml:space="preserve">virtual services </w:t>
      </w:r>
      <w:r w:rsidRPr="00DC6CEA">
        <w:rPr>
          <w:sz w:val="22"/>
          <w:szCs w:val="22"/>
        </w:rPr>
        <w:t xml:space="preserve">including career exploration, peer mentoring, independent living skill building and Pre-Employment Transition Services, </w:t>
      </w:r>
    </w:p>
    <w:p w14:paraId="29EC8C3C" w14:textId="77777777" w:rsidR="00DC6CEA" w:rsidRPr="00DC6CEA" w:rsidRDefault="00DC6CEA" w:rsidP="00DC6CEA">
      <w:pPr>
        <w:rPr>
          <w:sz w:val="22"/>
          <w:szCs w:val="22"/>
        </w:rPr>
      </w:pPr>
    </w:p>
    <w:p w14:paraId="135F1156" w14:textId="77777777" w:rsidR="00DC6CEA" w:rsidRDefault="00DC6CEA" w:rsidP="00DC6CEA">
      <w:pPr>
        <w:rPr>
          <w:sz w:val="22"/>
          <w:szCs w:val="22"/>
        </w:rPr>
      </w:pPr>
      <w:r w:rsidRPr="00DC6CEA">
        <w:rPr>
          <w:sz w:val="22"/>
          <w:szCs w:val="22"/>
        </w:rPr>
        <w:t xml:space="preserve">(4) Increased stakeholder knowledge of </w:t>
      </w:r>
      <w:r w:rsidRPr="00DC6CEA">
        <w:rPr>
          <w:b/>
          <w:bCs/>
          <w:sz w:val="22"/>
          <w:szCs w:val="22"/>
        </w:rPr>
        <w:t>work incentives and benefits counseling</w:t>
      </w:r>
      <w:r w:rsidRPr="00DC6CEA">
        <w:rPr>
          <w:sz w:val="22"/>
          <w:szCs w:val="22"/>
        </w:rPr>
        <w:t xml:space="preserve"> for individuals who receive Social Security benefits,</w:t>
      </w:r>
    </w:p>
    <w:p w14:paraId="3131471C" w14:textId="77777777" w:rsidR="00DC6CEA" w:rsidRPr="00DC6CEA" w:rsidRDefault="00DC6CEA" w:rsidP="00DC6CEA">
      <w:pPr>
        <w:rPr>
          <w:sz w:val="22"/>
          <w:szCs w:val="22"/>
        </w:rPr>
      </w:pPr>
    </w:p>
    <w:p w14:paraId="4128BCFA" w14:textId="77777777" w:rsidR="00DC6CEA" w:rsidRDefault="00DC6CEA" w:rsidP="00DC6CEA">
      <w:pPr>
        <w:rPr>
          <w:sz w:val="22"/>
          <w:szCs w:val="22"/>
        </w:rPr>
      </w:pPr>
      <w:r w:rsidRPr="00DC6CEA">
        <w:rPr>
          <w:sz w:val="22"/>
          <w:szCs w:val="22"/>
        </w:rPr>
        <w:t xml:space="preserve"> (5) Increased awareness and use of </w:t>
      </w:r>
      <w:r w:rsidRPr="00DC6CEA">
        <w:rPr>
          <w:b/>
          <w:bCs/>
          <w:sz w:val="22"/>
          <w:szCs w:val="22"/>
        </w:rPr>
        <w:t>work-based learning</w:t>
      </w:r>
      <w:r w:rsidRPr="00DC6CEA">
        <w:rPr>
          <w:sz w:val="22"/>
          <w:szCs w:val="22"/>
        </w:rPr>
        <w:t>, internships, pre-apprenticeship, and Registered Apprenticeship – for children ages 10-13 and youth ages 14-24 as well as educators, families, service providers and other stakeholders.</w:t>
      </w:r>
    </w:p>
    <w:p w14:paraId="6DC711F0" w14:textId="77777777" w:rsidR="00DC6CEA" w:rsidRPr="00DC6CEA" w:rsidRDefault="00DC6CEA" w:rsidP="00DC6CEA">
      <w:pPr>
        <w:rPr>
          <w:sz w:val="22"/>
          <w:szCs w:val="22"/>
        </w:rPr>
      </w:pPr>
    </w:p>
    <w:p w14:paraId="52E68727" w14:textId="77777777" w:rsidR="00DC6CEA" w:rsidRDefault="00DC6CEA" w:rsidP="00DC6CEA">
      <w:pPr>
        <w:rPr>
          <w:sz w:val="22"/>
          <w:szCs w:val="22"/>
        </w:rPr>
      </w:pPr>
      <w:r w:rsidRPr="00DC6CEA">
        <w:rPr>
          <w:sz w:val="22"/>
          <w:szCs w:val="22"/>
        </w:rPr>
        <w:t xml:space="preserve">P2P expects  to increase enrollment in Pre-Employment Transition Services and increase career  readiness and employability  skills for </w:t>
      </w:r>
      <w:r w:rsidRPr="00DC6CEA">
        <w:rPr>
          <w:b/>
          <w:bCs/>
          <w:sz w:val="22"/>
          <w:szCs w:val="22"/>
        </w:rPr>
        <w:t xml:space="preserve">300-500 children </w:t>
      </w:r>
      <w:proofErr w:type="gramStart"/>
      <w:r w:rsidRPr="00DC6CEA">
        <w:rPr>
          <w:b/>
          <w:bCs/>
          <w:sz w:val="22"/>
          <w:szCs w:val="22"/>
        </w:rPr>
        <w:t>ages</w:t>
      </w:r>
      <w:proofErr w:type="gramEnd"/>
      <w:r w:rsidRPr="00DC6CEA">
        <w:rPr>
          <w:b/>
          <w:bCs/>
          <w:sz w:val="22"/>
          <w:szCs w:val="22"/>
        </w:rPr>
        <w:t xml:space="preserve"> 10-13 </w:t>
      </w:r>
      <w:r w:rsidRPr="00DC6CEA">
        <w:rPr>
          <w:sz w:val="22"/>
          <w:szCs w:val="22"/>
        </w:rPr>
        <w:t xml:space="preserve">and to improve the employment rate and quarterly earnings of </w:t>
      </w:r>
      <w:r w:rsidRPr="00DC6CEA">
        <w:rPr>
          <w:b/>
          <w:bCs/>
          <w:sz w:val="22"/>
          <w:szCs w:val="22"/>
        </w:rPr>
        <w:t>300-500 transition-age youth 14-24</w:t>
      </w:r>
      <w:r w:rsidRPr="00DC6CEA">
        <w:rPr>
          <w:sz w:val="22"/>
          <w:szCs w:val="22"/>
        </w:rPr>
        <w:t xml:space="preserve">. To evaluate the grant’s progress and outcomes, Maine has contracted with Northwestern University. The project’s technical assistance providers come from the National Technical Assistance Center on Transition: the Collaborative (University of Maryland, George Washington University). </w:t>
      </w:r>
    </w:p>
    <w:p w14:paraId="16803810" w14:textId="77777777" w:rsidR="00DC6CEA" w:rsidRPr="00DC6CEA" w:rsidRDefault="00DC6CEA" w:rsidP="00DC6CEA">
      <w:pPr>
        <w:rPr>
          <w:sz w:val="22"/>
          <w:szCs w:val="22"/>
        </w:rPr>
      </w:pPr>
    </w:p>
    <w:p w14:paraId="3E0F2BDB" w14:textId="3193DF4F" w:rsidR="00522FB3" w:rsidRDefault="00DC6CEA" w:rsidP="00DC6CEA">
      <w:pPr>
        <w:rPr>
          <w:sz w:val="22"/>
          <w:szCs w:val="22"/>
        </w:rPr>
      </w:pPr>
      <w:r w:rsidRPr="00DC6CEA">
        <w:rPr>
          <w:sz w:val="22"/>
          <w:szCs w:val="22"/>
        </w:rPr>
        <w:t xml:space="preserve">This past year, P2P launched its grant website, </w:t>
      </w:r>
      <w:hyperlink r:id="rId42" w:history="1">
        <w:r w:rsidRPr="00DC6CEA">
          <w:rPr>
            <w:rStyle w:val="Hyperlink"/>
            <w:sz w:val="22"/>
            <w:szCs w:val="22"/>
          </w:rPr>
          <w:t>www.maine.gov/pathways</w:t>
        </w:r>
      </w:hyperlink>
      <w:r w:rsidRPr="00DC6CEA">
        <w:rPr>
          <w:sz w:val="22"/>
          <w:szCs w:val="22"/>
        </w:rPr>
        <w:t xml:space="preserve"> , which serves as a place for grant resources and products. P2P also began offering its model services </w:t>
      </w:r>
      <w:hyperlink r:id="rId43" w:history="1">
        <w:r w:rsidRPr="00DC6CEA">
          <w:rPr>
            <w:rStyle w:val="Hyperlink"/>
            <w:sz w:val="22"/>
            <w:szCs w:val="22"/>
          </w:rPr>
          <w:t>https://www.maine.gov/pathways/docs/2025/P2PPathwaystoPartnerships2.pdf</w:t>
        </w:r>
      </w:hyperlink>
      <w:r w:rsidRPr="00DC6CEA">
        <w:rPr>
          <w:sz w:val="22"/>
          <w:szCs w:val="22"/>
        </w:rPr>
        <w:t xml:space="preserve"> in the pilot school districts. Expansion to additional schools is underway. The P2P Advisory Group – made up of a broad group of Maine organizations and state agencies – also includes youth and family voice. This spring, the project hired a P2P grant manager and a P2P youth specialist to lead implementation with the P2P project director. They may be reached at </w:t>
      </w:r>
      <w:hyperlink r:id="rId44" w:history="1">
        <w:r w:rsidRPr="00DC6CEA">
          <w:rPr>
            <w:rStyle w:val="Hyperlink"/>
            <w:sz w:val="22"/>
            <w:szCs w:val="22"/>
          </w:rPr>
          <w:t>p2p.grant@maine.gov</w:t>
        </w:r>
      </w:hyperlink>
      <w:r w:rsidRPr="00DC6CEA">
        <w:rPr>
          <w:sz w:val="22"/>
          <w:szCs w:val="22"/>
        </w:rPr>
        <w:t xml:space="preserve"> . </w:t>
      </w:r>
    </w:p>
    <w:p w14:paraId="6B2EAA7F" w14:textId="4271DF51" w:rsidR="006317E8" w:rsidRDefault="006317E8">
      <w:pPr>
        <w:rPr>
          <w:rFonts w:ascii="Lato Black" w:hAnsi="Lato Black"/>
          <w:color w:val="00303E" w:themeColor="text1"/>
          <w:kern w:val="32"/>
          <w:sz w:val="36"/>
          <w:szCs w:val="20"/>
          <w:highlight w:val="cyan"/>
        </w:rPr>
      </w:pPr>
      <w:r>
        <w:rPr>
          <w:highlight w:val="cyan"/>
        </w:rPr>
        <w:br w:type="page"/>
      </w:r>
    </w:p>
    <w:p w14:paraId="3E033BA7" w14:textId="1C9A6C05" w:rsidR="0040314A" w:rsidRPr="00157A52" w:rsidRDefault="0040314A" w:rsidP="009B7A59">
      <w:pPr>
        <w:pStyle w:val="Heading1"/>
        <w:rPr>
          <w:rFonts w:ascii="Calibri" w:hAnsi="Calibri"/>
          <w:sz w:val="22"/>
          <w:szCs w:val="22"/>
        </w:rPr>
      </w:pPr>
      <w:r w:rsidRPr="00062E6F">
        <w:lastRenderedPageBreak/>
        <w:t>Division for the Blind and Visually Impaire</w:t>
      </w:r>
      <w:r w:rsidR="004739E8" w:rsidRPr="00062E6F">
        <w:t>d (DBVI)</w:t>
      </w:r>
      <w:bookmarkEnd w:id="10"/>
    </w:p>
    <w:p w14:paraId="4936F5DF" w14:textId="74929FCF" w:rsidR="00946F5F" w:rsidRDefault="00E84742" w:rsidP="006E32F8">
      <w:pPr>
        <w:rPr>
          <w:rFonts w:cs="Calibri"/>
          <w:sz w:val="22"/>
          <w:szCs w:val="22"/>
        </w:rPr>
      </w:pPr>
      <w:r w:rsidRPr="00157A52">
        <w:rPr>
          <w:rFonts w:cs="Calibri"/>
          <w:b/>
          <w:bCs/>
          <w:sz w:val="22"/>
          <w:szCs w:val="22"/>
        </w:rPr>
        <w:t>Elissa Rowe</w:t>
      </w:r>
      <w:r w:rsidR="009C42F1" w:rsidRPr="00157A52">
        <w:rPr>
          <w:rFonts w:cs="Calibri"/>
          <w:b/>
          <w:bCs/>
          <w:sz w:val="22"/>
          <w:szCs w:val="22"/>
        </w:rPr>
        <w:t>, MSW</w:t>
      </w:r>
      <w:r w:rsidR="00174E9A" w:rsidRPr="00157A52">
        <w:rPr>
          <w:rFonts w:cs="Calibri"/>
          <w:b/>
          <w:bCs/>
          <w:sz w:val="22"/>
          <w:szCs w:val="22"/>
        </w:rPr>
        <w:t>, Director</w:t>
      </w:r>
      <w:r w:rsidR="00174E9A">
        <w:rPr>
          <w:rFonts w:cs="Calibri"/>
          <w:b/>
          <w:bCs/>
          <w:sz w:val="22"/>
          <w:szCs w:val="22"/>
        </w:rPr>
        <w:br/>
      </w:r>
      <w:r w:rsidR="0040314A" w:rsidRPr="00F43773">
        <w:rPr>
          <w:rFonts w:cs="Calibri"/>
          <w:sz w:val="22"/>
          <w:szCs w:val="22"/>
        </w:rPr>
        <w:t>Maine’s DBVI provides a continuum of rehabilitation services to individuals who</w:t>
      </w:r>
      <w:r w:rsidR="003D6B33" w:rsidRPr="00F43773">
        <w:rPr>
          <w:rFonts w:cs="Calibri"/>
          <w:sz w:val="22"/>
          <w:szCs w:val="22"/>
        </w:rPr>
        <w:t xml:space="preserve"> are blind or have low vision. </w:t>
      </w:r>
      <w:r w:rsidR="0040314A" w:rsidRPr="00F43773">
        <w:rPr>
          <w:rFonts w:cs="Calibri"/>
          <w:sz w:val="22"/>
          <w:szCs w:val="22"/>
        </w:rPr>
        <w:t>Services may include individual counseling and guidance related to employment and adjustment to blindness, use of adaptive technology, low vision therapy, alternative skill training in communication (such as braille), instruction to develop independent travel skills (orientation and mobility), and instruction of daily living skills geared to being more self-sufficient. These services are provided through various programs:</w:t>
      </w:r>
    </w:p>
    <w:p w14:paraId="2C891EF0" w14:textId="302EAAC3" w:rsidR="001B4208" w:rsidRPr="00545073" w:rsidRDefault="001B4208" w:rsidP="0040314A">
      <w:pPr>
        <w:rPr>
          <w:rFonts w:cs="Calibri"/>
          <w:sz w:val="12"/>
          <w:szCs w:val="18"/>
        </w:rPr>
      </w:pPr>
    </w:p>
    <w:p w14:paraId="2374AE30" w14:textId="546A6AE7" w:rsidR="0040314A" w:rsidRPr="00F43773" w:rsidRDefault="0040314A" w:rsidP="00174E9A">
      <w:pPr>
        <w:tabs>
          <w:tab w:val="left" w:pos="630"/>
          <w:tab w:val="left" w:pos="9630"/>
        </w:tabs>
        <w:ind w:left="720" w:right="1260"/>
        <w:rPr>
          <w:rFonts w:cs="Calibri"/>
          <w:sz w:val="22"/>
          <w:szCs w:val="22"/>
        </w:rPr>
      </w:pPr>
      <w:r w:rsidRPr="00F43773">
        <w:rPr>
          <w:rFonts w:cs="Calibri"/>
          <w:b/>
          <w:sz w:val="22"/>
          <w:szCs w:val="22"/>
        </w:rPr>
        <w:t>Vocational Rehabilitation Program</w:t>
      </w:r>
      <w:r w:rsidR="00702B56">
        <w:rPr>
          <w:rFonts w:cs="Calibri"/>
          <w:b/>
          <w:sz w:val="22"/>
          <w:szCs w:val="22"/>
        </w:rPr>
        <w:t xml:space="preserve"> (VR)</w:t>
      </w:r>
      <w:r w:rsidR="002605E4" w:rsidRPr="00F43773">
        <w:rPr>
          <w:rFonts w:cs="Calibri"/>
          <w:b/>
          <w:sz w:val="22"/>
          <w:szCs w:val="22"/>
        </w:rPr>
        <w:t xml:space="preserve"> </w:t>
      </w:r>
      <w:r w:rsidR="002605E4" w:rsidRPr="00F43773">
        <w:rPr>
          <w:rFonts w:cs="Calibri"/>
          <w:sz w:val="22"/>
          <w:szCs w:val="22"/>
        </w:rPr>
        <w:t>is p</w:t>
      </w:r>
      <w:r w:rsidRPr="00F43773">
        <w:rPr>
          <w:rFonts w:cs="Calibri"/>
          <w:sz w:val="22"/>
          <w:szCs w:val="22"/>
        </w:rPr>
        <w:t xml:space="preserve">rimarily for working-age </w:t>
      </w:r>
      <w:r w:rsidR="006E4E71">
        <w:rPr>
          <w:rFonts w:cs="Calibri"/>
          <w:sz w:val="22"/>
          <w:szCs w:val="22"/>
        </w:rPr>
        <w:t xml:space="preserve">youth and </w:t>
      </w:r>
      <w:r w:rsidRPr="00F43773">
        <w:rPr>
          <w:rFonts w:cs="Calibri"/>
          <w:sz w:val="22"/>
          <w:szCs w:val="22"/>
        </w:rPr>
        <w:t xml:space="preserve">adults who seek </w:t>
      </w:r>
      <w:r w:rsidR="001B4208">
        <w:rPr>
          <w:rFonts w:cs="Calibri"/>
          <w:sz w:val="22"/>
          <w:szCs w:val="22"/>
        </w:rPr>
        <w:t xml:space="preserve">competitive, integrated </w:t>
      </w:r>
      <w:r w:rsidRPr="00F43773">
        <w:rPr>
          <w:rFonts w:cs="Calibri"/>
          <w:sz w:val="22"/>
          <w:szCs w:val="22"/>
        </w:rPr>
        <w:t>employment. Services may include individual vocational counseling and guidance, vocational assessment, orientation and mobility instruction, low vision services, independent living services (vision rehabilitation</w:t>
      </w:r>
      <w:r w:rsidR="00A54CDE" w:rsidRPr="00F43773">
        <w:rPr>
          <w:rFonts w:cs="Calibri"/>
          <w:sz w:val="22"/>
          <w:szCs w:val="22"/>
        </w:rPr>
        <w:t xml:space="preserve"> therapy</w:t>
      </w:r>
      <w:r w:rsidRPr="00F43773">
        <w:rPr>
          <w:rFonts w:cs="Calibri"/>
          <w:sz w:val="22"/>
          <w:szCs w:val="22"/>
        </w:rPr>
        <w:t>), and more.</w:t>
      </w:r>
    </w:p>
    <w:p w14:paraId="4E4B287A" w14:textId="77777777" w:rsidR="0040314A" w:rsidRPr="00545073" w:rsidRDefault="0040314A" w:rsidP="006C3654">
      <w:pPr>
        <w:tabs>
          <w:tab w:val="left" w:pos="630"/>
          <w:tab w:val="left" w:pos="9630"/>
        </w:tabs>
        <w:ind w:left="900" w:right="1260"/>
        <w:rPr>
          <w:rFonts w:cs="Calibri"/>
          <w:b/>
          <w:sz w:val="12"/>
          <w:szCs w:val="12"/>
        </w:rPr>
      </w:pPr>
    </w:p>
    <w:p w14:paraId="7A814F98" w14:textId="370E0123" w:rsidR="004D0EB4" w:rsidRPr="004D0EB4" w:rsidRDefault="004D0EB4" w:rsidP="00174E9A">
      <w:pPr>
        <w:tabs>
          <w:tab w:val="left" w:pos="630"/>
          <w:tab w:val="left" w:pos="9630"/>
        </w:tabs>
        <w:ind w:left="720" w:right="1260"/>
        <w:rPr>
          <w:rFonts w:cs="Calibri"/>
          <w:bCs/>
          <w:sz w:val="22"/>
          <w:szCs w:val="22"/>
        </w:rPr>
      </w:pPr>
      <w:r w:rsidRPr="004D0EB4">
        <w:rPr>
          <w:rFonts w:cs="Calibri"/>
          <w:b/>
          <w:sz w:val="22"/>
          <w:szCs w:val="22"/>
        </w:rPr>
        <w:t>The</w:t>
      </w:r>
      <w:r>
        <w:rPr>
          <w:rFonts w:cs="Calibri"/>
          <w:b/>
          <w:sz w:val="22"/>
          <w:szCs w:val="22"/>
        </w:rPr>
        <w:t xml:space="preserve"> Division for the Blind and Visually Impaired (DBVI) Business Enterprise Program (BEP)</w:t>
      </w:r>
      <w:r>
        <w:rPr>
          <w:rFonts w:cs="Calibri"/>
          <w:bCs/>
          <w:sz w:val="22"/>
          <w:szCs w:val="22"/>
        </w:rPr>
        <w:t xml:space="preserve"> </w:t>
      </w:r>
      <w:proofErr w:type="gramStart"/>
      <w:r w:rsidR="009E4605">
        <w:rPr>
          <w:rFonts w:cs="Calibri"/>
          <w:bCs/>
          <w:sz w:val="22"/>
          <w:szCs w:val="22"/>
        </w:rPr>
        <w:t>allows</w:t>
      </w:r>
      <w:proofErr w:type="gramEnd"/>
      <w:r w:rsidR="009E4605">
        <w:rPr>
          <w:rFonts w:cs="Calibri"/>
          <w:bCs/>
          <w:sz w:val="22"/>
          <w:szCs w:val="22"/>
        </w:rPr>
        <w:t xml:space="preserve"> individuals who are blind or visually impaired to </w:t>
      </w:r>
      <w:r w:rsidR="003909BE">
        <w:rPr>
          <w:rFonts w:cs="Calibri"/>
          <w:bCs/>
          <w:sz w:val="22"/>
          <w:szCs w:val="22"/>
        </w:rPr>
        <w:t>own</w:t>
      </w:r>
      <w:r w:rsidR="009E4605">
        <w:rPr>
          <w:rFonts w:cs="Calibri"/>
          <w:bCs/>
          <w:sz w:val="22"/>
          <w:szCs w:val="22"/>
        </w:rPr>
        <w:t xml:space="preserve"> and operate businesses in state and federal facilities. Participants run vending services, </w:t>
      </w:r>
      <w:r w:rsidR="00545073" w:rsidRPr="00545073">
        <w:rPr>
          <w:rFonts w:cs="Calibri"/>
          <w:bCs/>
          <w:sz w:val="22"/>
          <w:szCs w:val="22"/>
        </w:rPr>
        <w:t>cafés</w:t>
      </w:r>
      <w:r w:rsidR="00545073">
        <w:rPr>
          <w:rFonts w:cs="Calibri"/>
          <w:bCs/>
          <w:sz w:val="22"/>
          <w:szCs w:val="22"/>
        </w:rPr>
        <w:t>, and convenience stores in government buildings while receiving training in business management and customer services. The program promotes independence, economic self-sufficiency, and professional growth for blind entrepreneurs. Maine’s BEP has six managers.</w:t>
      </w:r>
    </w:p>
    <w:p w14:paraId="4FE0B38F" w14:textId="3BF584CA" w:rsidR="004D0EB4" w:rsidRPr="00545073" w:rsidRDefault="004D0EB4" w:rsidP="00174E9A">
      <w:pPr>
        <w:tabs>
          <w:tab w:val="left" w:pos="630"/>
          <w:tab w:val="left" w:pos="9630"/>
        </w:tabs>
        <w:ind w:left="720" w:right="1260"/>
        <w:rPr>
          <w:rFonts w:cs="Calibri"/>
          <w:b/>
          <w:sz w:val="12"/>
          <w:szCs w:val="12"/>
          <w:highlight w:val="yellow"/>
        </w:rPr>
      </w:pPr>
    </w:p>
    <w:p w14:paraId="067E46E0" w14:textId="7418D961" w:rsidR="0040314A" w:rsidRPr="00F43773" w:rsidRDefault="0040314A" w:rsidP="00174E9A">
      <w:pPr>
        <w:ind w:left="720"/>
        <w:rPr>
          <w:rFonts w:cs="Calibri"/>
          <w:sz w:val="22"/>
          <w:szCs w:val="22"/>
        </w:rPr>
      </w:pPr>
      <w:r w:rsidRPr="00157A52">
        <w:rPr>
          <w:rFonts w:cs="Calibri"/>
          <w:b/>
          <w:sz w:val="22"/>
          <w:szCs w:val="22"/>
        </w:rPr>
        <w:t>Independent Living Services (IL)</w:t>
      </w:r>
      <w:r w:rsidR="002605E4" w:rsidRPr="00157A52">
        <w:rPr>
          <w:rFonts w:cs="Calibri"/>
          <w:b/>
          <w:sz w:val="22"/>
          <w:szCs w:val="22"/>
        </w:rPr>
        <w:t xml:space="preserve"> </w:t>
      </w:r>
      <w:r w:rsidR="002605E4" w:rsidRPr="00157A52">
        <w:rPr>
          <w:rFonts w:cs="Calibri"/>
          <w:sz w:val="22"/>
          <w:szCs w:val="22"/>
        </w:rPr>
        <w:t>p</w:t>
      </w:r>
      <w:r w:rsidRPr="00157A52">
        <w:rPr>
          <w:rFonts w:cs="Calibri"/>
          <w:sz w:val="22"/>
          <w:szCs w:val="22"/>
        </w:rPr>
        <w:t xml:space="preserve">rovides training in adaptive skills and alternative techniques for accomplishing daily tasks that enable </w:t>
      </w:r>
      <w:r w:rsidR="006E4E71" w:rsidRPr="00157A52">
        <w:rPr>
          <w:rFonts w:cs="Calibri"/>
          <w:sz w:val="22"/>
          <w:szCs w:val="22"/>
        </w:rPr>
        <w:t>ad</w:t>
      </w:r>
      <w:r w:rsidR="006E4E71" w:rsidRPr="00062E6F">
        <w:rPr>
          <w:rFonts w:cs="Calibri"/>
          <w:sz w:val="22"/>
          <w:szCs w:val="22"/>
        </w:rPr>
        <w:t xml:space="preserve">ults who are </w:t>
      </w:r>
      <w:r w:rsidR="005872E8" w:rsidRPr="00062E6F">
        <w:rPr>
          <w:rFonts w:cs="Calibri"/>
          <w:sz w:val="22"/>
          <w:szCs w:val="22"/>
        </w:rPr>
        <w:t>blind</w:t>
      </w:r>
      <w:r w:rsidRPr="00062E6F">
        <w:rPr>
          <w:rFonts w:cs="Calibri"/>
          <w:sz w:val="22"/>
          <w:szCs w:val="22"/>
        </w:rPr>
        <w:t xml:space="preserve"> </w:t>
      </w:r>
      <w:r w:rsidR="006E4E71" w:rsidRPr="00062E6F">
        <w:rPr>
          <w:rFonts w:cs="Calibri"/>
          <w:sz w:val="22"/>
          <w:szCs w:val="22"/>
        </w:rPr>
        <w:t xml:space="preserve">or visually impaired </w:t>
      </w:r>
      <w:r w:rsidRPr="00062E6F">
        <w:rPr>
          <w:rFonts w:cs="Calibri"/>
          <w:sz w:val="22"/>
          <w:szCs w:val="22"/>
        </w:rPr>
        <w:t>to</w:t>
      </w:r>
      <w:r w:rsidR="006E4E71" w:rsidRPr="00062E6F">
        <w:rPr>
          <w:rFonts w:cs="Calibri"/>
          <w:sz w:val="22"/>
          <w:szCs w:val="22"/>
        </w:rPr>
        <w:t xml:space="preserve"> </w:t>
      </w:r>
      <w:r w:rsidR="004B66FE" w:rsidRPr="00062E6F">
        <w:rPr>
          <w:rFonts w:cs="Calibri"/>
          <w:sz w:val="22"/>
          <w:szCs w:val="22"/>
        </w:rPr>
        <w:t xml:space="preserve">be </w:t>
      </w:r>
      <w:r w:rsidRPr="00062E6F">
        <w:rPr>
          <w:rFonts w:cs="Calibri"/>
          <w:sz w:val="22"/>
          <w:szCs w:val="22"/>
        </w:rPr>
        <w:t>more self-sufficient</w:t>
      </w:r>
      <w:r w:rsidR="006E4E71" w:rsidRPr="00062E6F">
        <w:rPr>
          <w:rFonts w:cs="Calibri"/>
          <w:sz w:val="22"/>
          <w:szCs w:val="22"/>
        </w:rPr>
        <w:t>. This year</w:t>
      </w:r>
      <w:r w:rsidR="004B66FE" w:rsidRPr="00062E6F">
        <w:rPr>
          <w:rFonts w:cs="Calibri"/>
          <w:sz w:val="22"/>
          <w:szCs w:val="22"/>
        </w:rPr>
        <w:t>,</w:t>
      </w:r>
      <w:r w:rsidR="00174E9A" w:rsidRPr="00062E6F">
        <w:rPr>
          <w:rFonts w:cs="Calibri"/>
          <w:sz w:val="22"/>
          <w:szCs w:val="22"/>
        </w:rPr>
        <w:t xml:space="preserve"> </w:t>
      </w:r>
      <w:r w:rsidR="00C2502F" w:rsidRPr="00062E6F">
        <w:rPr>
          <w:rFonts w:cs="Calibri"/>
          <w:sz w:val="22"/>
          <w:szCs w:val="22"/>
        </w:rPr>
        <w:t>293</w:t>
      </w:r>
      <w:r w:rsidR="00174E9A" w:rsidRPr="00062E6F">
        <w:rPr>
          <w:rFonts w:cs="Calibri"/>
          <w:sz w:val="22"/>
          <w:szCs w:val="22"/>
        </w:rPr>
        <w:t xml:space="preserve"> individuals applied for IL services and </w:t>
      </w:r>
      <w:r w:rsidR="0048413A" w:rsidRPr="00062E6F">
        <w:rPr>
          <w:rFonts w:cs="Calibri"/>
          <w:sz w:val="22"/>
          <w:szCs w:val="22"/>
        </w:rPr>
        <w:t>538</w:t>
      </w:r>
      <w:r w:rsidR="00174E9A" w:rsidRPr="00062E6F">
        <w:rPr>
          <w:rFonts w:cs="Calibri"/>
          <w:sz w:val="22"/>
          <w:szCs w:val="22"/>
        </w:rPr>
        <w:t xml:space="preserve"> received services through an individualized plan. Of the total</w:t>
      </w:r>
      <w:r w:rsidR="006E4E71" w:rsidRPr="00062E6F">
        <w:rPr>
          <w:rFonts w:cs="Calibri"/>
          <w:sz w:val="22"/>
          <w:szCs w:val="22"/>
        </w:rPr>
        <w:t xml:space="preserve"> </w:t>
      </w:r>
      <w:r w:rsidR="004F39CE" w:rsidRPr="00062E6F">
        <w:rPr>
          <w:rFonts w:cs="Calibri"/>
          <w:sz w:val="22"/>
          <w:szCs w:val="22"/>
        </w:rPr>
        <w:t>5</w:t>
      </w:r>
      <w:r w:rsidR="00EB6405" w:rsidRPr="00062E6F">
        <w:rPr>
          <w:rFonts w:cs="Calibri"/>
          <w:sz w:val="22"/>
          <w:szCs w:val="22"/>
        </w:rPr>
        <w:t>38</w:t>
      </w:r>
      <w:r w:rsidR="006E4E71" w:rsidRPr="00062E6F">
        <w:rPr>
          <w:rFonts w:cs="Calibri"/>
          <w:sz w:val="22"/>
          <w:szCs w:val="22"/>
        </w:rPr>
        <w:t xml:space="preserve"> individuals </w:t>
      </w:r>
      <w:r w:rsidR="00174E9A" w:rsidRPr="00062E6F">
        <w:rPr>
          <w:rFonts w:cs="Calibri"/>
          <w:sz w:val="22"/>
          <w:szCs w:val="22"/>
        </w:rPr>
        <w:t>served</w:t>
      </w:r>
      <w:r w:rsidR="006E4E71" w:rsidRPr="00062E6F">
        <w:rPr>
          <w:rFonts w:cs="Calibri"/>
          <w:sz w:val="22"/>
          <w:szCs w:val="22"/>
        </w:rPr>
        <w:t xml:space="preserve">, </w:t>
      </w:r>
      <w:r w:rsidR="00882BC1" w:rsidRPr="00062E6F">
        <w:rPr>
          <w:rFonts w:cs="Calibri"/>
          <w:sz w:val="22"/>
          <w:szCs w:val="22"/>
        </w:rPr>
        <w:t>eighty-</w:t>
      </w:r>
      <w:r w:rsidR="00EB6405" w:rsidRPr="00062E6F">
        <w:rPr>
          <w:rFonts w:cs="Calibri"/>
          <w:sz w:val="22"/>
          <w:szCs w:val="22"/>
        </w:rPr>
        <w:t>three</w:t>
      </w:r>
      <w:r w:rsidR="006E4E71" w:rsidRPr="00062E6F">
        <w:rPr>
          <w:rFonts w:cs="Calibri"/>
          <w:sz w:val="22"/>
          <w:szCs w:val="22"/>
        </w:rPr>
        <w:t xml:space="preserve"> percent </w:t>
      </w:r>
      <w:r w:rsidR="00174E9A" w:rsidRPr="00062E6F">
        <w:rPr>
          <w:rFonts w:cs="Calibri"/>
          <w:sz w:val="22"/>
          <w:szCs w:val="22"/>
        </w:rPr>
        <w:t>we</w:t>
      </w:r>
      <w:r w:rsidR="006E4E71" w:rsidRPr="00062E6F">
        <w:rPr>
          <w:rFonts w:cs="Calibri"/>
          <w:sz w:val="22"/>
          <w:szCs w:val="22"/>
        </w:rPr>
        <w:t xml:space="preserve">re over </w:t>
      </w:r>
      <w:r w:rsidR="004B66FE" w:rsidRPr="00062E6F">
        <w:rPr>
          <w:rFonts w:cs="Calibri"/>
          <w:sz w:val="22"/>
          <w:szCs w:val="22"/>
        </w:rPr>
        <w:t>a</w:t>
      </w:r>
      <w:r w:rsidR="006E4E71" w:rsidRPr="00062E6F">
        <w:rPr>
          <w:rFonts w:cs="Calibri"/>
          <w:sz w:val="22"/>
          <w:szCs w:val="22"/>
        </w:rPr>
        <w:t xml:space="preserve">ge </w:t>
      </w:r>
      <w:r w:rsidR="00882BC1" w:rsidRPr="00062E6F">
        <w:rPr>
          <w:rFonts w:cs="Calibri"/>
          <w:sz w:val="22"/>
          <w:szCs w:val="22"/>
        </w:rPr>
        <w:t>6</w:t>
      </w:r>
      <w:r w:rsidR="006E4E71" w:rsidRPr="00062E6F">
        <w:rPr>
          <w:rFonts w:cs="Calibri"/>
          <w:sz w:val="22"/>
          <w:szCs w:val="22"/>
        </w:rPr>
        <w:t>5.</w:t>
      </w:r>
      <w:r w:rsidR="00C12853" w:rsidRPr="00C12853">
        <w:rPr>
          <w:rFonts w:cs="Calibri"/>
          <w:b/>
          <w:sz w:val="22"/>
          <w:szCs w:val="22"/>
        </w:rPr>
        <w:t xml:space="preserve"> </w:t>
      </w:r>
    </w:p>
    <w:p w14:paraId="3571B387" w14:textId="5E0E1989" w:rsidR="0040314A" w:rsidRPr="00545073" w:rsidRDefault="0040314A" w:rsidP="006C3654">
      <w:pPr>
        <w:tabs>
          <w:tab w:val="left" w:pos="630"/>
          <w:tab w:val="left" w:pos="9630"/>
        </w:tabs>
        <w:ind w:left="900" w:right="1260"/>
        <w:rPr>
          <w:rFonts w:cs="Calibri"/>
          <w:b/>
          <w:sz w:val="14"/>
          <w:szCs w:val="14"/>
        </w:rPr>
      </w:pPr>
    </w:p>
    <w:p w14:paraId="46B1417C" w14:textId="4D2063D9" w:rsidR="00FA323F" w:rsidRDefault="00787431" w:rsidP="00545073">
      <w:pPr>
        <w:tabs>
          <w:tab w:val="left" w:pos="630"/>
          <w:tab w:val="left" w:pos="9630"/>
        </w:tabs>
        <w:ind w:left="720" w:right="1260"/>
        <w:rPr>
          <w:rFonts w:cs="Calibri"/>
          <w:b/>
          <w:bCs/>
          <w:sz w:val="22"/>
          <w:szCs w:val="22"/>
          <w:highlight w:val="cyan"/>
        </w:rPr>
      </w:pPr>
      <w:r>
        <w:rPr>
          <w:noProof/>
        </w:rPr>
        <w:drawing>
          <wp:anchor distT="0" distB="0" distL="114300" distR="114300" simplePos="0" relativeHeight="251661824" behindDoc="0" locked="0" layoutInCell="1" allowOverlap="1" wp14:anchorId="4AB135AC" wp14:editId="51025E71">
            <wp:simplePos x="0" y="0"/>
            <wp:positionH relativeFrom="margin">
              <wp:posOffset>193183</wp:posOffset>
            </wp:positionH>
            <wp:positionV relativeFrom="margin">
              <wp:posOffset>4174695</wp:posOffset>
            </wp:positionV>
            <wp:extent cx="2867025" cy="1685925"/>
            <wp:effectExtent l="0" t="0" r="9525" b="9525"/>
            <wp:wrapSquare wrapText="bothSides"/>
            <wp:docPr id="37" name="Chart 37" descr="Pie chart graph on the Age on the Division for the Blind and Visually Impaired VR participants at Application.  Percentages are reported as follows: 27.1% 13 to 22; 48.2% 23 to 54; 14.7% 55 to 64; 10.0% 65 and Olde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r w:rsidR="0040314A" w:rsidRPr="00F43773">
        <w:rPr>
          <w:rFonts w:cs="Calibri"/>
          <w:b/>
          <w:sz w:val="22"/>
          <w:szCs w:val="22"/>
        </w:rPr>
        <w:t>Education Services for Children Who Are Blind or Visually Impaired</w:t>
      </w:r>
      <w:r w:rsidR="002605E4" w:rsidRPr="00F43773">
        <w:rPr>
          <w:rFonts w:cs="Calibri"/>
          <w:b/>
          <w:sz w:val="22"/>
          <w:szCs w:val="22"/>
        </w:rPr>
        <w:t xml:space="preserve"> </w:t>
      </w:r>
      <w:r w:rsidR="002605E4" w:rsidRPr="00F43773">
        <w:rPr>
          <w:rFonts w:cs="Calibri"/>
          <w:sz w:val="22"/>
          <w:szCs w:val="22"/>
        </w:rPr>
        <w:t>p</w:t>
      </w:r>
      <w:r w:rsidR="0040314A" w:rsidRPr="00F43773">
        <w:rPr>
          <w:rFonts w:cs="Calibri"/>
          <w:sz w:val="22"/>
          <w:szCs w:val="22"/>
        </w:rPr>
        <w:t xml:space="preserve">rovides adaptive instruction services </w:t>
      </w:r>
      <w:r w:rsidR="005872E8" w:rsidRPr="00F43773">
        <w:rPr>
          <w:rFonts w:cs="Calibri"/>
          <w:sz w:val="22"/>
          <w:szCs w:val="22"/>
        </w:rPr>
        <w:t xml:space="preserve">or consultation </w:t>
      </w:r>
      <w:r w:rsidR="0040314A" w:rsidRPr="00157A52">
        <w:rPr>
          <w:rFonts w:cs="Calibri"/>
          <w:sz w:val="22"/>
          <w:szCs w:val="22"/>
        </w:rPr>
        <w:t xml:space="preserve">to </w:t>
      </w:r>
      <w:r w:rsidR="005872E8" w:rsidRPr="00157A52">
        <w:rPr>
          <w:rFonts w:cs="Calibri"/>
          <w:sz w:val="22"/>
          <w:szCs w:val="22"/>
        </w:rPr>
        <w:t xml:space="preserve">approximately 300 </w:t>
      </w:r>
      <w:r w:rsidR="0040314A" w:rsidRPr="00157A52">
        <w:rPr>
          <w:rFonts w:cs="Calibri"/>
          <w:sz w:val="22"/>
          <w:szCs w:val="22"/>
        </w:rPr>
        <w:t xml:space="preserve">students </w:t>
      </w:r>
      <w:r w:rsidR="00A83A36" w:rsidRPr="00157A52">
        <w:rPr>
          <w:rFonts w:cs="Calibri"/>
          <w:sz w:val="22"/>
          <w:szCs w:val="22"/>
        </w:rPr>
        <w:t>annually</w:t>
      </w:r>
      <w:r w:rsidR="00A83A36" w:rsidRPr="0023122F">
        <w:rPr>
          <w:rFonts w:cs="Calibri"/>
          <w:sz w:val="22"/>
          <w:szCs w:val="22"/>
        </w:rPr>
        <w:t xml:space="preserve"> </w:t>
      </w:r>
      <w:r w:rsidR="00545073" w:rsidRPr="0023122F">
        <w:rPr>
          <w:rFonts w:cs="Calibri"/>
          <w:sz w:val="22"/>
          <w:szCs w:val="22"/>
        </w:rPr>
        <w:t>at</w:t>
      </w:r>
      <w:r w:rsidR="0040314A" w:rsidRPr="0023122F">
        <w:rPr>
          <w:rFonts w:cs="Calibri"/>
          <w:sz w:val="22"/>
          <w:szCs w:val="22"/>
        </w:rPr>
        <w:t xml:space="preserve"> home or </w:t>
      </w:r>
      <w:r w:rsidR="00D934F2" w:rsidRPr="0023122F">
        <w:rPr>
          <w:rFonts w:cs="Calibri"/>
          <w:sz w:val="22"/>
          <w:szCs w:val="22"/>
        </w:rPr>
        <w:t xml:space="preserve">at </w:t>
      </w:r>
      <w:r w:rsidR="0040314A" w:rsidRPr="0023122F">
        <w:rPr>
          <w:rFonts w:cs="Calibri"/>
          <w:sz w:val="22"/>
          <w:szCs w:val="22"/>
        </w:rPr>
        <w:t>local schools related to academics and independence.</w:t>
      </w:r>
    </w:p>
    <w:p w14:paraId="75049AFE" w14:textId="69CEE180" w:rsidR="0024768E" w:rsidRPr="00062E6F" w:rsidRDefault="0015177B" w:rsidP="00EF5652">
      <w:pPr>
        <w:pStyle w:val="CommentText"/>
        <w:rPr>
          <w:rFonts w:cs="Calibri"/>
          <w:b/>
          <w:bCs/>
          <w:sz w:val="22"/>
          <w:szCs w:val="22"/>
        </w:rPr>
      </w:pPr>
      <w:r w:rsidRPr="00062E6F">
        <w:rPr>
          <w:rFonts w:cs="Calibri"/>
          <w:b/>
          <w:bCs/>
          <w:sz w:val="22"/>
          <w:szCs w:val="22"/>
        </w:rPr>
        <w:t>Individuals Served</w:t>
      </w:r>
    </w:p>
    <w:p w14:paraId="4CBAFAFC" w14:textId="57746D1B" w:rsidR="0024768E" w:rsidRPr="00062E6F" w:rsidRDefault="00B43F99" w:rsidP="0024768E">
      <w:pPr>
        <w:rPr>
          <w:rFonts w:cs="Calibri"/>
          <w:sz w:val="22"/>
          <w:szCs w:val="22"/>
        </w:rPr>
      </w:pPr>
      <w:r w:rsidRPr="00062E6F">
        <w:rPr>
          <w:rFonts w:cs="Calibri"/>
          <w:b/>
          <w:sz w:val="22"/>
          <w:szCs w:val="22"/>
        </w:rPr>
        <w:t xml:space="preserve">  </w:t>
      </w:r>
      <w:r w:rsidR="00A92F33" w:rsidRPr="00062E6F">
        <w:rPr>
          <w:rFonts w:cs="Calibri"/>
          <w:b/>
          <w:sz w:val="22"/>
          <w:szCs w:val="22"/>
        </w:rPr>
        <w:t>80</w:t>
      </w:r>
      <w:r w:rsidR="004B6FAE" w:rsidRPr="00062E6F">
        <w:rPr>
          <w:rFonts w:cs="Calibri"/>
          <w:b/>
          <w:sz w:val="22"/>
          <w:szCs w:val="22"/>
        </w:rPr>
        <w:t xml:space="preserve">  </w:t>
      </w:r>
      <w:r w:rsidR="005770A7" w:rsidRPr="00062E6F">
        <w:rPr>
          <w:rFonts w:cs="Calibri"/>
          <w:sz w:val="22"/>
          <w:szCs w:val="22"/>
        </w:rPr>
        <w:t xml:space="preserve"> </w:t>
      </w:r>
      <w:r w:rsidR="0024768E" w:rsidRPr="00062E6F">
        <w:rPr>
          <w:rFonts w:cs="Calibri"/>
          <w:sz w:val="22"/>
          <w:szCs w:val="22"/>
        </w:rPr>
        <w:t xml:space="preserve">New </w:t>
      </w:r>
      <w:r w:rsidR="00DF6D0A" w:rsidRPr="00062E6F">
        <w:rPr>
          <w:rFonts w:cs="Calibri"/>
          <w:sz w:val="22"/>
          <w:szCs w:val="22"/>
        </w:rPr>
        <w:t xml:space="preserve">VR </w:t>
      </w:r>
      <w:r w:rsidR="0024768E" w:rsidRPr="00062E6F">
        <w:rPr>
          <w:rFonts w:cs="Calibri"/>
          <w:sz w:val="22"/>
          <w:szCs w:val="22"/>
        </w:rPr>
        <w:t>Applicants</w:t>
      </w:r>
      <w:r w:rsidR="00ED780A" w:rsidRPr="00062E6F">
        <w:rPr>
          <w:rFonts w:cs="Calibri"/>
          <w:sz w:val="22"/>
          <w:szCs w:val="22"/>
        </w:rPr>
        <w:br/>
      </w:r>
      <w:r w:rsidR="00ED780A" w:rsidRPr="00062E6F">
        <w:rPr>
          <w:rFonts w:cs="Calibri"/>
          <w:b/>
          <w:sz w:val="22"/>
          <w:szCs w:val="22"/>
        </w:rPr>
        <w:t xml:space="preserve">  </w:t>
      </w:r>
      <w:r w:rsidR="0057670B" w:rsidRPr="00062E6F">
        <w:rPr>
          <w:rFonts w:cs="Calibri"/>
          <w:b/>
          <w:sz w:val="22"/>
          <w:szCs w:val="22"/>
        </w:rPr>
        <w:t>59</w:t>
      </w:r>
      <w:r w:rsidR="00ED780A" w:rsidRPr="00062E6F">
        <w:rPr>
          <w:rFonts w:cs="Calibri"/>
          <w:b/>
          <w:sz w:val="22"/>
          <w:szCs w:val="22"/>
        </w:rPr>
        <w:t xml:space="preserve">  </w:t>
      </w:r>
      <w:r w:rsidR="004B66FE" w:rsidRPr="00062E6F">
        <w:rPr>
          <w:rFonts w:cs="Calibri"/>
          <w:b/>
          <w:sz w:val="22"/>
          <w:szCs w:val="22"/>
        </w:rPr>
        <w:t xml:space="preserve"> </w:t>
      </w:r>
      <w:r w:rsidR="00174E9A" w:rsidRPr="00062E6F">
        <w:rPr>
          <w:rFonts w:cs="Calibri"/>
          <w:bCs/>
          <w:sz w:val="22"/>
          <w:szCs w:val="22"/>
        </w:rPr>
        <w:t xml:space="preserve">Youth </w:t>
      </w:r>
      <w:r w:rsidR="00ED780A" w:rsidRPr="00062E6F">
        <w:rPr>
          <w:rFonts w:cs="Calibri"/>
          <w:bCs/>
          <w:sz w:val="22"/>
          <w:szCs w:val="22"/>
        </w:rPr>
        <w:t>with Disabilities Received Transition Services</w:t>
      </w:r>
    </w:p>
    <w:p w14:paraId="3C3B6100" w14:textId="194488E7" w:rsidR="0024768E" w:rsidRPr="00062E6F" w:rsidRDefault="005E64AB" w:rsidP="0024768E">
      <w:pPr>
        <w:rPr>
          <w:rFonts w:cs="Calibri"/>
          <w:sz w:val="22"/>
          <w:szCs w:val="22"/>
        </w:rPr>
      </w:pPr>
      <w:r w:rsidRPr="00062E6F">
        <w:rPr>
          <w:rFonts w:cs="Calibri"/>
          <w:b/>
          <w:sz w:val="22"/>
          <w:szCs w:val="22"/>
        </w:rPr>
        <w:t>2</w:t>
      </w:r>
      <w:r w:rsidR="00DF2A49" w:rsidRPr="00062E6F">
        <w:rPr>
          <w:rFonts w:cs="Calibri"/>
          <w:b/>
          <w:sz w:val="22"/>
          <w:szCs w:val="22"/>
        </w:rPr>
        <w:t>43</w:t>
      </w:r>
      <w:r w:rsidR="005770A7" w:rsidRPr="00062E6F">
        <w:rPr>
          <w:rFonts w:cs="Calibri"/>
          <w:sz w:val="22"/>
          <w:szCs w:val="22"/>
        </w:rPr>
        <w:t xml:space="preserve">  </w:t>
      </w:r>
      <w:r w:rsidR="003F729D" w:rsidRPr="00062E6F">
        <w:rPr>
          <w:rFonts w:cs="Calibri"/>
          <w:sz w:val="22"/>
          <w:szCs w:val="22"/>
        </w:rPr>
        <w:t xml:space="preserve"> </w:t>
      </w:r>
      <w:r w:rsidR="0024768E" w:rsidRPr="00062E6F">
        <w:rPr>
          <w:rFonts w:cs="Calibri"/>
          <w:sz w:val="22"/>
          <w:szCs w:val="22"/>
        </w:rPr>
        <w:t xml:space="preserve">Received </w:t>
      </w:r>
      <w:r w:rsidR="00417757" w:rsidRPr="00062E6F">
        <w:rPr>
          <w:rFonts w:cs="Calibri"/>
          <w:sz w:val="22"/>
          <w:szCs w:val="22"/>
        </w:rPr>
        <w:t xml:space="preserve">VR </w:t>
      </w:r>
      <w:r w:rsidR="0024768E" w:rsidRPr="00062E6F">
        <w:rPr>
          <w:rFonts w:cs="Calibri"/>
          <w:sz w:val="22"/>
          <w:szCs w:val="22"/>
        </w:rPr>
        <w:t>Services through Employment Plans</w:t>
      </w:r>
    </w:p>
    <w:p w14:paraId="56C8AD99" w14:textId="230310E8" w:rsidR="0024768E" w:rsidRPr="00A570B2" w:rsidRDefault="00267667" w:rsidP="00191ACA">
      <w:pPr>
        <w:rPr>
          <w:rFonts w:cs="Calibri"/>
          <w:b/>
          <w:bCs/>
          <w:color w:val="FF0000"/>
          <w:sz w:val="22"/>
          <w:szCs w:val="22"/>
        </w:rPr>
      </w:pPr>
      <w:r w:rsidRPr="00062E6F">
        <w:rPr>
          <w:rFonts w:cs="Calibri"/>
          <w:b/>
          <w:sz w:val="22"/>
          <w:szCs w:val="22"/>
        </w:rPr>
        <w:t xml:space="preserve">  </w:t>
      </w:r>
      <w:r w:rsidR="003D3087" w:rsidRPr="00062E6F">
        <w:rPr>
          <w:rFonts w:cs="Calibri"/>
          <w:b/>
          <w:sz w:val="22"/>
          <w:szCs w:val="22"/>
        </w:rPr>
        <w:t>1</w:t>
      </w:r>
      <w:r w:rsidR="00F45577" w:rsidRPr="00062E6F">
        <w:rPr>
          <w:rFonts w:cs="Calibri"/>
          <w:b/>
          <w:sz w:val="22"/>
          <w:szCs w:val="22"/>
        </w:rPr>
        <w:t>3</w:t>
      </w:r>
      <w:r w:rsidR="0024768E" w:rsidRPr="00062E6F">
        <w:rPr>
          <w:rFonts w:cs="Calibri"/>
          <w:b/>
          <w:sz w:val="22"/>
          <w:szCs w:val="22"/>
        </w:rPr>
        <w:t xml:space="preserve"> </w:t>
      </w:r>
      <w:r w:rsidR="005770A7" w:rsidRPr="00062E6F">
        <w:rPr>
          <w:rFonts w:cs="Calibri"/>
          <w:b/>
          <w:sz w:val="22"/>
          <w:szCs w:val="22"/>
        </w:rPr>
        <w:t xml:space="preserve">  </w:t>
      </w:r>
      <w:r w:rsidR="00702B56" w:rsidRPr="00062E6F">
        <w:rPr>
          <w:rFonts w:cs="Calibri"/>
          <w:b/>
          <w:sz w:val="22"/>
          <w:szCs w:val="22"/>
        </w:rPr>
        <w:t xml:space="preserve">VR </w:t>
      </w:r>
      <w:r w:rsidR="0024768E" w:rsidRPr="00062E6F">
        <w:rPr>
          <w:rFonts w:cs="Calibri"/>
          <w:b/>
          <w:sz w:val="22"/>
          <w:szCs w:val="22"/>
        </w:rPr>
        <w:t xml:space="preserve">Individuals </w:t>
      </w:r>
      <w:r w:rsidR="00DD0910" w:rsidRPr="00062E6F">
        <w:rPr>
          <w:rFonts w:cs="Calibri"/>
          <w:b/>
          <w:sz w:val="22"/>
          <w:szCs w:val="22"/>
        </w:rPr>
        <w:t>Successfully Employed</w:t>
      </w:r>
    </w:p>
    <w:p w14:paraId="6BB8999A" w14:textId="5E30C104" w:rsidR="00B42B88" w:rsidRPr="00A570B2" w:rsidRDefault="00B42B88" w:rsidP="00FA323F">
      <w:pPr>
        <w:pStyle w:val="CommentText"/>
        <w:jc w:val="right"/>
        <w:rPr>
          <w:rFonts w:cs="Calibri"/>
          <w:b/>
          <w:bCs/>
          <w:color w:val="FF0000"/>
          <w:sz w:val="22"/>
          <w:szCs w:val="22"/>
        </w:rPr>
      </w:pPr>
    </w:p>
    <w:p w14:paraId="635A19FA" w14:textId="0F698E20" w:rsidR="00D264F2" w:rsidRDefault="00787431" w:rsidP="005E2168">
      <w:pPr>
        <w:pStyle w:val="NormalWeb"/>
        <w:spacing w:before="0" w:beforeAutospacing="0" w:after="0" w:afterAutospacing="0"/>
        <w:jc w:val="right"/>
        <w:rPr>
          <w:color w:val="FF0000"/>
          <w:sz w:val="22"/>
          <w:szCs w:val="22"/>
        </w:rPr>
      </w:pPr>
      <w:r w:rsidRPr="00A570B2">
        <w:rPr>
          <w:noProof/>
          <w:color w:val="FF0000"/>
          <w:sz w:val="22"/>
          <w:szCs w:val="22"/>
        </w:rPr>
        <mc:AlternateContent>
          <mc:Choice Requires="wps">
            <w:drawing>
              <wp:anchor distT="0" distB="0" distL="114300" distR="114300" simplePos="0" relativeHeight="251651584" behindDoc="0" locked="0" layoutInCell="1" allowOverlap="1" wp14:anchorId="241014F5" wp14:editId="7C61309B">
                <wp:simplePos x="0" y="0"/>
                <wp:positionH relativeFrom="margin">
                  <wp:posOffset>185903</wp:posOffset>
                </wp:positionH>
                <wp:positionV relativeFrom="paragraph">
                  <wp:posOffset>51516</wp:posOffset>
                </wp:positionV>
                <wp:extent cx="3619500" cy="2649855"/>
                <wp:effectExtent l="0" t="0" r="16510" b="16510"/>
                <wp:wrapNone/>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19500" cy="2649855"/>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DCB8E9" w14:textId="77777777" w:rsidR="00700B88" w:rsidRPr="007E24A7" w:rsidRDefault="00700B88" w:rsidP="00700B88">
                            <w:pPr>
                              <w:rPr>
                                <w14:textOutline w14:w="6350" w14:cap="rnd" w14:cmpd="sng" w14:algn="ctr">
                                  <w14:solidFill>
                                    <w14:srgbClr w14:val="000000"/>
                                  </w14:solidFill>
                                  <w14:prstDash w14:val="solid"/>
                                  <w14:bevel/>
                                </w14:textOutline>
                              </w:rPr>
                            </w:pPr>
                            <w:r w:rsidRPr="007E24A7">
                              <w:rPr>
                                <w:noProof/>
                                <w14:textOutline w14:w="6350" w14:cap="rnd" w14:cmpd="sng" w14:algn="ctr">
                                  <w14:solidFill>
                                    <w14:srgbClr w14:val="000000"/>
                                  </w14:solidFill>
                                  <w14:prstDash w14:val="solid"/>
                                  <w14:bevel/>
                                </w14:textOutline>
                              </w:rPr>
                              <w:drawing>
                                <wp:inline distT="0" distB="0" distL="0" distR="0" wp14:anchorId="342340E2" wp14:editId="5500B782">
                                  <wp:extent cx="3819525" cy="2762250"/>
                                  <wp:effectExtent l="0" t="0" r="0" b="0"/>
                                  <wp:docPr id="1193080930" name="Chart 1193080930" descr="Pie chart graph titled, &quot;VR Case Service Expenditures for DBVI $839,404.15&quot; with percentage of expenditures spent on the following services: 14.1% Job Development and Placement; 36.3% Other Services; 15.7% Rehab Technology; 3.4% Diagnosis and Treatment; 1.5% College or University Training; 4.0% Other Training; 1.1% Assessment; 0.2% On-The-Job Supports; 12.5% Transportation; 10.0% Pre-ETS; 0.0% Maintenance."/>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014F5" id="Text Box 11" o:spid="_x0000_s1030" type="#_x0000_t202" alt="&quot;&quot;" style="position:absolute;left:0;text-align:left;margin-left:14.65pt;margin-top:4.05pt;width:285pt;height:208.6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" fillcolor="#e8e6de [3214]" strokeweight=".5pt">
                <v:textbox>
                  <w:txbxContent>
                    <w:p w14:paraId="26DCB8E9" w14:textId="77777777" w:rsidR="00700B88" w:rsidRPr="007E24A7" w:rsidRDefault="00700B88" w:rsidP="00700B88">
                      <w:pPr>
                        <w:rPr>
                          <w14:textOutline w14:w="6350" w14:cap="rnd" w14:cmpd="sng" w14:algn="ctr">
                            <w14:solidFill>
                              <w14:srgbClr w14:val="000000"/>
                            </w14:solidFill>
                            <w14:prstDash w14:val="solid"/>
                            <w14:bevel/>
                          </w14:textOutline>
                        </w:rPr>
                      </w:pPr>
                      <w:r w:rsidRPr="007E24A7">
                        <w:rPr>
                          <w:noProof/>
                          <w14:textOutline w14:w="6350" w14:cap="rnd" w14:cmpd="sng" w14:algn="ctr">
                            <w14:solidFill>
                              <w14:srgbClr w14:val="000000"/>
                            </w14:solidFill>
                            <w14:prstDash w14:val="solid"/>
                            <w14:bevel/>
                          </w14:textOutline>
                        </w:rPr>
                        <w:drawing>
                          <wp:inline distT="0" distB="0" distL="0" distR="0" wp14:anchorId="342340E2" wp14:editId="5500B782">
                            <wp:extent cx="3819525" cy="2762250"/>
                            <wp:effectExtent l="0" t="0" r="0" b="0"/>
                            <wp:docPr id="1193080930" name="Chart 1193080930" descr="Pie chart graph titled, &quot;VR Case Service Expenditures for DBVI $839,404.15&quot; with percentage of expenditures spent on the following services: 14.1% Job Development and Placement; 36.3% Other Services; 15.7% Rehab Technology; 3.4% Diagnosis and Treatment; 1.5% College or University Training; 4.0% Other Training; 1.1% Assessment; 0.2% On-The-Job Supports; 12.5% Transportation; 10.0% Pre-ETS; 0.0% Maintenance."/>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xbxContent>
                </v:textbox>
                <w10:wrap anchorx="margin"/>
              </v:shape>
            </w:pict>
          </mc:Fallback>
        </mc:AlternateContent>
      </w:r>
      <w:r>
        <w:rPr>
          <w:noProof/>
        </w:rPr>
        <w:drawing>
          <wp:anchor distT="0" distB="0" distL="114300" distR="114300" simplePos="0" relativeHeight="251654656" behindDoc="0" locked="0" layoutInCell="1" allowOverlap="1" wp14:anchorId="5FF168A0" wp14:editId="0428C771">
            <wp:simplePos x="0" y="0"/>
            <wp:positionH relativeFrom="margin">
              <wp:posOffset>4191000</wp:posOffset>
            </wp:positionH>
            <wp:positionV relativeFrom="paragraph">
              <wp:posOffset>43305</wp:posOffset>
            </wp:positionV>
            <wp:extent cx="2635885" cy="2047240"/>
            <wp:effectExtent l="0" t="0" r="12065" b="10160"/>
            <wp:wrapSquare wrapText="bothSides"/>
            <wp:docPr id="27" name="Chart 27" descr="Pie Chart on IL Age Distribution for DBVI. The breakdown of ages are as follows: 14 - 18 0.0%; 19 - 24 0.3%; 25 - 45 3.1%; 46 - 65 13.0%; 65 &amp; Older 8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40314A" w:rsidRPr="00A570B2">
        <w:rPr>
          <w:color w:val="FF0000"/>
          <w:sz w:val="22"/>
          <w:szCs w:val="22"/>
        </w:rPr>
        <w:t xml:space="preserve">  </w:t>
      </w:r>
    </w:p>
    <w:p w14:paraId="765EA79E" w14:textId="1F13EA3A" w:rsidR="003617A2" w:rsidRDefault="003617A2" w:rsidP="000D6E5A">
      <w:pPr>
        <w:pStyle w:val="CommentText"/>
        <w:jc w:val="right"/>
        <w:rPr>
          <w:color w:val="FF0000"/>
          <w:sz w:val="22"/>
          <w:szCs w:val="22"/>
        </w:rPr>
      </w:pPr>
    </w:p>
    <w:p w14:paraId="475FD224" w14:textId="08116429" w:rsidR="00417757" w:rsidRDefault="00417757" w:rsidP="008046DA">
      <w:pPr>
        <w:pStyle w:val="CommentText"/>
        <w:jc w:val="right"/>
        <w:rPr>
          <w:noProof/>
        </w:rPr>
      </w:pPr>
    </w:p>
    <w:p w14:paraId="5BA2ADA1" w14:textId="6ECBFA45" w:rsidR="007543CD" w:rsidRPr="007543CD" w:rsidRDefault="007543CD" w:rsidP="007543CD"/>
    <w:p w14:paraId="186C9D45" w14:textId="712A6CC2" w:rsidR="007543CD" w:rsidRDefault="007543CD" w:rsidP="007543CD">
      <w:pPr>
        <w:rPr>
          <w:noProof/>
          <w:sz w:val="20"/>
          <w:szCs w:val="20"/>
        </w:rPr>
      </w:pPr>
    </w:p>
    <w:p w14:paraId="612EEA82" w14:textId="00948CDE" w:rsidR="007543CD" w:rsidRDefault="007543CD">
      <w:pPr>
        <w:rPr>
          <w:noProof/>
          <w:sz w:val="20"/>
          <w:szCs w:val="20"/>
        </w:rPr>
      </w:pPr>
      <w:r>
        <w:rPr>
          <w:noProof/>
          <w:sz w:val="20"/>
          <w:szCs w:val="20"/>
        </w:rPr>
        <w:br w:type="page"/>
      </w:r>
    </w:p>
    <w:p w14:paraId="6EBE345F" w14:textId="77777777" w:rsidR="007543CD" w:rsidRPr="007543CD" w:rsidRDefault="007543CD" w:rsidP="007543CD">
      <w:pPr>
        <w:sectPr w:rsidR="007543CD" w:rsidRPr="007543CD" w:rsidSect="002729EE">
          <w:footerReference w:type="default" r:id="rId49"/>
          <w:footerReference w:type="first" r:id="rId50"/>
          <w:pgSz w:w="12240" w:h="15840" w:code="1"/>
          <w:pgMar w:top="450" w:right="630" w:bottom="180" w:left="720" w:header="144" w:footer="334" w:gutter="0"/>
          <w:pgNumType w:start="1"/>
          <w:cols w:space="720"/>
          <w:titlePg/>
          <w:docGrid w:linePitch="360"/>
        </w:sectPr>
      </w:pPr>
    </w:p>
    <w:p w14:paraId="456A752B" w14:textId="5688EAED" w:rsidR="005C3DEE" w:rsidRPr="00157A52" w:rsidRDefault="005C3DEE" w:rsidP="009B7A59">
      <w:pPr>
        <w:pStyle w:val="Heading1"/>
        <w:ind w:left="-90"/>
        <w:rPr>
          <w:rFonts w:ascii="Arial" w:hAnsi="Arial"/>
          <w:sz w:val="30"/>
        </w:rPr>
      </w:pPr>
      <w:bookmarkStart w:id="11" w:name="_Toc185326163"/>
      <w:r w:rsidRPr="00062E6F">
        <w:lastRenderedPageBreak/>
        <w:t>DBVI Initiatives and Innovations</w:t>
      </w:r>
      <w:bookmarkEnd w:id="11"/>
    </w:p>
    <w:p w14:paraId="37732020" w14:textId="56A42D43" w:rsidR="00B8646F" w:rsidRDefault="00B8646F" w:rsidP="009B7A59">
      <w:pPr>
        <w:ind w:left="-90"/>
        <w:rPr>
          <w:sz w:val="22"/>
          <w:szCs w:val="22"/>
        </w:rPr>
      </w:pPr>
      <w:bookmarkStart w:id="12" w:name="_Hlk34990658"/>
    </w:p>
    <w:p w14:paraId="24D679ED" w14:textId="75AA6D60" w:rsidR="009E4605" w:rsidRPr="00CA29C4" w:rsidRDefault="009E4605" w:rsidP="00BD695B">
      <w:pPr>
        <w:tabs>
          <w:tab w:val="left" w:pos="630"/>
          <w:tab w:val="left" w:pos="9630"/>
        </w:tabs>
        <w:rPr>
          <w:rFonts w:cs="Calibri"/>
          <w:bCs/>
          <w:sz w:val="22"/>
          <w:szCs w:val="22"/>
        </w:rPr>
      </w:pPr>
      <w:r w:rsidRPr="00CA29C4">
        <w:rPr>
          <w:rFonts w:cs="Calibri"/>
          <w:b/>
          <w:sz w:val="22"/>
          <w:szCs w:val="22"/>
        </w:rPr>
        <w:t>The Division for the Blind and Visually Impaired (DBVI) Business Enterprise Program (BEP)</w:t>
      </w:r>
      <w:r w:rsidRPr="00CA29C4">
        <w:rPr>
          <w:rFonts w:cs="Calibri"/>
          <w:bCs/>
          <w:sz w:val="22"/>
          <w:szCs w:val="22"/>
        </w:rPr>
        <w:t xml:space="preserve"> The </w:t>
      </w:r>
      <w:r w:rsidR="003909BE" w:rsidRPr="00CA29C4">
        <w:rPr>
          <w:rFonts w:cs="Calibri"/>
          <w:bCs/>
          <w:sz w:val="22"/>
          <w:szCs w:val="22"/>
        </w:rPr>
        <w:t xml:space="preserve">BEP </w:t>
      </w:r>
      <w:r w:rsidRPr="00CA29C4">
        <w:rPr>
          <w:rFonts w:cs="Calibri"/>
          <w:bCs/>
          <w:sz w:val="22"/>
          <w:szCs w:val="22"/>
        </w:rPr>
        <w:t xml:space="preserve">facilities operated are in the State and Federal buildings, on University and Community College campuses, and at the Portsmouth Naval Shipyard in Kittery. The BEP is in the process of launching </w:t>
      </w:r>
      <w:r w:rsidR="003909BE" w:rsidRPr="00CA29C4">
        <w:rPr>
          <w:rFonts w:cs="Calibri"/>
          <w:bCs/>
          <w:sz w:val="22"/>
          <w:szCs w:val="22"/>
        </w:rPr>
        <w:t>a</w:t>
      </w:r>
      <w:r w:rsidRPr="00CA29C4">
        <w:rPr>
          <w:rFonts w:cs="Calibri"/>
          <w:bCs/>
          <w:sz w:val="22"/>
          <w:szCs w:val="22"/>
        </w:rPr>
        <w:t xml:space="preserve"> Strategic Plan with goals in areas of training, exploring the use of Artificial Intelligence (AI) for vending and Micro Markets, outreach and recruitment and evaluating best practices in Randolph-Sheppard programs nationally as well as within our state. Gross sales for FY24 were $1,810,739 with average earnings for BEP Managers of $128,895. At the end of FY24, the BEP had 17 facilities on State property and 3 facilities on Federal property. </w:t>
      </w:r>
    </w:p>
    <w:p w14:paraId="518D490B" w14:textId="77777777" w:rsidR="00BD695B" w:rsidRPr="00CA29C4" w:rsidRDefault="00BD695B" w:rsidP="00BD695B">
      <w:pPr>
        <w:tabs>
          <w:tab w:val="left" w:pos="630"/>
          <w:tab w:val="left" w:pos="9630"/>
        </w:tabs>
        <w:rPr>
          <w:rFonts w:cs="Calibri"/>
          <w:bCs/>
          <w:sz w:val="22"/>
          <w:szCs w:val="22"/>
        </w:rPr>
      </w:pPr>
    </w:p>
    <w:p w14:paraId="63AE3C75" w14:textId="4ED64146" w:rsidR="00BD695B" w:rsidRPr="00CA29C4" w:rsidRDefault="00BD695B" w:rsidP="00BD695B">
      <w:pPr>
        <w:tabs>
          <w:tab w:val="left" w:pos="630"/>
          <w:tab w:val="left" w:pos="9630"/>
        </w:tabs>
        <w:rPr>
          <w:rFonts w:cs="Calibri"/>
          <w:bCs/>
          <w:sz w:val="22"/>
          <w:szCs w:val="22"/>
        </w:rPr>
      </w:pPr>
      <w:r w:rsidRPr="00CA29C4">
        <w:rPr>
          <w:rFonts w:cs="Calibri"/>
          <w:b/>
          <w:sz w:val="22"/>
          <w:szCs w:val="22"/>
        </w:rPr>
        <w:t xml:space="preserve">Independent Living (IL) Program </w:t>
      </w:r>
      <w:r w:rsidRPr="00CA29C4">
        <w:rPr>
          <w:rFonts w:cs="Calibri"/>
          <w:bCs/>
          <w:sz w:val="22"/>
          <w:szCs w:val="22"/>
        </w:rPr>
        <w:t>This year, the Maine State Legislature provided funding for the individuals served in the IL program so they can have access to the most updated assistive technology devises and services which will allow them to remain independent in their homes and avoid more restrictive placement.</w:t>
      </w:r>
    </w:p>
    <w:p w14:paraId="0060A253" w14:textId="77777777" w:rsidR="00BD695B" w:rsidRPr="00CA29C4" w:rsidRDefault="00BD695B" w:rsidP="00BD695B">
      <w:pPr>
        <w:tabs>
          <w:tab w:val="left" w:pos="630"/>
          <w:tab w:val="left" w:pos="9630"/>
        </w:tabs>
        <w:rPr>
          <w:rFonts w:cs="Calibri"/>
          <w:bCs/>
          <w:sz w:val="22"/>
          <w:szCs w:val="22"/>
        </w:rPr>
      </w:pPr>
    </w:p>
    <w:p w14:paraId="5A93051A" w14:textId="475217AC" w:rsidR="009E4605" w:rsidRPr="00CA29C4" w:rsidRDefault="00951C30" w:rsidP="00951C30">
      <w:pPr>
        <w:tabs>
          <w:tab w:val="left" w:pos="630"/>
          <w:tab w:val="left" w:pos="9630"/>
        </w:tabs>
        <w:rPr>
          <w:rFonts w:cs="Calibri"/>
          <w:bCs/>
          <w:sz w:val="22"/>
          <w:szCs w:val="22"/>
        </w:rPr>
      </w:pPr>
      <w:r w:rsidRPr="00CA29C4">
        <w:rPr>
          <w:rFonts w:cs="Calibri"/>
          <w:b/>
          <w:sz w:val="22"/>
          <w:szCs w:val="22"/>
        </w:rPr>
        <w:t xml:space="preserve">Blindness Awareness Month Proclamation! </w:t>
      </w:r>
      <w:r w:rsidRPr="00CA29C4">
        <w:rPr>
          <w:rFonts w:cs="Calibri"/>
          <w:bCs/>
          <w:sz w:val="22"/>
          <w:szCs w:val="22"/>
        </w:rPr>
        <w:t xml:space="preserve">Governor Janet Mills officially proclaimed October as Blindness Awareness Month in the State of Maine! This special recognition came to life thanks to the passion and dedication of a valued team member at the Division for the Blind and Visually Impaired (DBVI), who thoughtfully drafted the proclamation with the support of the DBVI State Rehabilitation Council (SRC), before it was brought forward and officially recognized by the Governor for the first time! </w:t>
      </w:r>
      <w:hyperlink r:id="rId51" w:history="1">
        <w:r w:rsidR="007705E6" w:rsidRPr="00CA29C4">
          <w:rPr>
            <w:rStyle w:val="Hyperlink"/>
            <w:rFonts w:cs="Calibri"/>
            <w:bCs/>
            <w:sz w:val="22"/>
            <w:szCs w:val="22"/>
          </w:rPr>
          <w:t>https://www.maine.gov/rehab/docs/2025/dbvi/BlindnessAwarenessMonth.pdf</w:t>
        </w:r>
      </w:hyperlink>
    </w:p>
    <w:p w14:paraId="32E3C223" w14:textId="77777777" w:rsidR="007705E6" w:rsidRPr="00CA29C4" w:rsidRDefault="007705E6" w:rsidP="00951C30">
      <w:pPr>
        <w:tabs>
          <w:tab w:val="left" w:pos="630"/>
          <w:tab w:val="left" w:pos="9630"/>
        </w:tabs>
        <w:rPr>
          <w:rFonts w:cs="Calibri"/>
          <w:bCs/>
          <w:sz w:val="22"/>
          <w:szCs w:val="22"/>
        </w:rPr>
      </w:pPr>
    </w:p>
    <w:p w14:paraId="78D968B0" w14:textId="530B6AD9" w:rsidR="007705E6" w:rsidRPr="00CA29C4" w:rsidRDefault="00464B31" w:rsidP="00951C30">
      <w:pPr>
        <w:tabs>
          <w:tab w:val="left" w:pos="630"/>
          <w:tab w:val="left" w:pos="9630"/>
        </w:tabs>
        <w:rPr>
          <w:b/>
          <w:bCs/>
          <w:sz w:val="22"/>
          <w:szCs w:val="22"/>
        </w:rPr>
      </w:pPr>
      <w:r w:rsidRPr="00CA29C4">
        <w:rPr>
          <w:b/>
          <w:bCs/>
          <w:sz w:val="22"/>
          <w:szCs w:val="22"/>
        </w:rPr>
        <w:t>Services for Students:</w:t>
      </w:r>
    </w:p>
    <w:p w14:paraId="717CCDBC" w14:textId="77777777" w:rsidR="00464B31" w:rsidRPr="00CA29C4" w:rsidRDefault="00464B31" w:rsidP="00951C30">
      <w:pPr>
        <w:tabs>
          <w:tab w:val="left" w:pos="630"/>
          <w:tab w:val="left" w:pos="9630"/>
        </w:tabs>
        <w:rPr>
          <w:b/>
          <w:bCs/>
          <w:sz w:val="22"/>
          <w:szCs w:val="22"/>
        </w:rPr>
      </w:pPr>
    </w:p>
    <w:p w14:paraId="458E8148" w14:textId="0DAEAE3B" w:rsidR="00464B31" w:rsidRPr="00CA29C4" w:rsidRDefault="00464B31" w:rsidP="00951C30">
      <w:pPr>
        <w:tabs>
          <w:tab w:val="left" w:pos="630"/>
          <w:tab w:val="left" w:pos="9630"/>
        </w:tabs>
        <w:rPr>
          <w:sz w:val="22"/>
          <w:szCs w:val="22"/>
        </w:rPr>
      </w:pPr>
      <w:r w:rsidRPr="00CA29C4">
        <w:rPr>
          <w:b/>
          <w:bCs/>
          <w:sz w:val="22"/>
          <w:szCs w:val="22"/>
        </w:rPr>
        <w:t>WOLF Camp (Winter Outdoor Leadership &amp; Fun – Spring Edition)</w:t>
      </w:r>
      <w:r w:rsidRPr="00CA29C4">
        <w:rPr>
          <w:sz w:val="22"/>
          <w:szCs w:val="22"/>
        </w:rPr>
        <w:t xml:space="preserve"> WOLF Camp is a two-day program offered in partnership with the University of Maine, Maine Bound program and focused on team building and leadership skills in a fun and active environment. Students participated in exercises that emphasized working collaboratively, communication skills, and participated in activities such as ropes courses and rock wall climbing. On day two of the program, WOLF participants had the opportunity to plan and lead activities for younger students with </w:t>
      </w:r>
      <w:r w:rsidR="00904C61" w:rsidRPr="00CA29C4">
        <w:rPr>
          <w:sz w:val="22"/>
          <w:szCs w:val="22"/>
        </w:rPr>
        <w:t>b</w:t>
      </w:r>
      <w:r w:rsidRPr="00CA29C4">
        <w:rPr>
          <w:sz w:val="22"/>
          <w:szCs w:val="22"/>
        </w:rPr>
        <w:t xml:space="preserve">lindness and </w:t>
      </w:r>
      <w:r w:rsidR="00904C61" w:rsidRPr="00CA29C4">
        <w:rPr>
          <w:sz w:val="22"/>
          <w:szCs w:val="22"/>
        </w:rPr>
        <w:t>low vision.</w:t>
      </w:r>
    </w:p>
    <w:p w14:paraId="18794952" w14:textId="77777777" w:rsidR="00464B31" w:rsidRPr="00CA29C4" w:rsidRDefault="00464B31" w:rsidP="00951C30">
      <w:pPr>
        <w:tabs>
          <w:tab w:val="left" w:pos="630"/>
          <w:tab w:val="left" w:pos="9630"/>
        </w:tabs>
        <w:rPr>
          <w:sz w:val="22"/>
          <w:szCs w:val="22"/>
        </w:rPr>
      </w:pPr>
    </w:p>
    <w:p w14:paraId="665608A5" w14:textId="3337ED89" w:rsidR="00464B31" w:rsidRPr="00CA29C4" w:rsidRDefault="00464B31" w:rsidP="00951C30">
      <w:pPr>
        <w:tabs>
          <w:tab w:val="left" w:pos="630"/>
          <w:tab w:val="left" w:pos="9630"/>
        </w:tabs>
        <w:rPr>
          <w:sz w:val="22"/>
          <w:szCs w:val="22"/>
        </w:rPr>
      </w:pPr>
      <w:r w:rsidRPr="00CA29C4">
        <w:rPr>
          <w:b/>
          <w:bCs/>
          <w:sz w:val="22"/>
          <w:szCs w:val="22"/>
        </w:rPr>
        <w:t xml:space="preserve">Regional Afterschool Groups </w:t>
      </w:r>
      <w:r w:rsidRPr="00CA29C4">
        <w:rPr>
          <w:sz w:val="22"/>
          <w:szCs w:val="22"/>
        </w:rPr>
        <w:t xml:space="preserve">Middle and high school students participate in regional afterschool groups, focusing on areas of the Expanded Core Curriculum and developing important skills for independence and preparing for life after high school. These groups focus on a wide range of topics, including simulated work activities, scavenger hunts designed to build orientation &amp; mobility skills, food prep, social skills, cleaning skills, and more. The groups are fun, interactive, supportive, and a great opportunity for building peer connections. </w:t>
      </w:r>
    </w:p>
    <w:p w14:paraId="3DE2EBF9" w14:textId="77777777" w:rsidR="00464B31" w:rsidRPr="00CA29C4" w:rsidRDefault="00464B31" w:rsidP="00951C30">
      <w:pPr>
        <w:tabs>
          <w:tab w:val="left" w:pos="630"/>
          <w:tab w:val="left" w:pos="9630"/>
        </w:tabs>
        <w:rPr>
          <w:sz w:val="22"/>
          <w:szCs w:val="22"/>
        </w:rPr>
      </w:pPr>
    </w:p>
    <w:p w14:paraId="7953B54E" w14:textId="079A58C8" w:rsidR="00FA0F68" w:rsidRPr="00CA29C4" w:rsidRDefault="00464B31" w:rsidP="00D928FF">
      <w:pPr>
        <w:tabs>
          <w:tab w:val="left" w:pos="630"/>
          <w:tab w:val="left" w:pos="9630"/>
        </w:tabs>
        <w:rPr>
          <w:sz w:val="22"/>
          <w:szCs w:val="22"/>
        </w:rPr>
      </w:pPr>
      <w:r w:rsidRPr="00CA29C4">
        <w:rPr>
          <w:b/>
          <w:bCs/>
          <w:sz w:val="22"/>
          <w:szCs w:val="22"/>
        </w:rPr>
        <w:t>Regional Career Exploration Groups</w:t>
      </w:r>
      <w:r w:rsidRPr="00CA29C4">
        <w:rPr>
          <w:sz w:val="22"/>
          <w:szCs w:val="22"/>
        </w:rPr>
        <w:t xml:space="preserve"> The Career Exploration Group helped students explore jobs in a hands-on</w:t>
      </w:r>
      <w:r w:rsidR="00D928FF" w:rsidRPr="00CA29C4">
        <w:rPr>
          <w:sz w:val="22"/>
          <w:szCs w:val="22"/>
        </w:rPr>
        <w:t xml:space="preserve"> way by participating in a variety of employer visits. Students tour worksites, learn about the types of jobs available, talk to employees about their position, background, and career journey, and with many employers, students </w:t>
      </w:r>
      <w:proofErr w:type="gramStart"/>
      <w:r w:rsidR="00D928FF" w:rsidRPr="00CA29C4">
        <w:rPr>
          <w:sz w:val="22"/>
          <w:szCs w:val="22"/>
        </w:rPr>
        <w:t>have the opportunity to</w:t>
      </w:r>
      <w:proofErr w:type="gramEnd"/>
      <w:r w:rsidR="00D928FF" w:rsidRPr="00CA29C4">
        <w:rPr>
          <w:sz w:val="22"/>
          <w:szCs w:val="22"/>
        </w:rPr>
        <w:t xml:space="preserve"> participate in a hands-on activity related to one of the jobs at the worksite. Students are exposed to different work environments to help them identify their interests and preferences.</w:t>
      </w:r>
    </w:p>
    <w:p w14:paraId="64B141F5" w14:textId="77777777" w:rsidR="00D928FF" w:rsidRPr="00CA29C4" w:rsidRDefault="00D928FF" w:rsidP="00D928FF">
      <w:pPr>
        <w:tabs>
          <w:tab w:val="left" w:pos="630"/>
          <w:tab w:val="left" w:pos="9630"/>
        </w:tabs>
        <w:rPr>
          <w:sz w:val="22"/>
          <w:szCs w:val="22"/>
        </w:rPr>
      </w:pPr>
    </w:p>
    <w:p w14:paraId="29E86CF9" w14:textId="4EC34A1C" w:rsidR="000966ED" w:rsidRPr="00CA29C4" w:rsidRDefault="000966ED" w:rsidP="00D928FF">
      <w:pPr>
        <w:tabs>
          <w:tab w:val="left" w:pos="630"/>
          <w:tab w:val="left" w:pos="9630"/>
        </w:tabs>
        <w:rPr>
          <w:sz w:val="22"/>
          <w:szCs w:val="22"/>
        </w:rPr>
      </w:pPr>
      <w:r w:rsidRPr="00CA29C4">
        <w:rPr>
          <w:b/>
          <w:bCs/>
          <w:sz w:val="22"/>
          <w:szCs w:val="22"/>
        </w:rPr>
        <w:t xml:space="preserve">Statewide Blindness Rehabilitation Specialist Roles and Collaboratives </w:t>
      </w:r>
      <w:r w:rsidR="00812416" w:rsidRPr="00CA29C4">
        <w:rPr>
          <w:sz w:val="22"/>
          <w:szCs w:val="22"/>
        </w:rPr>
        <w:t>In addition to assisting in the Regional Afterschool and Career Exploration Groups, DBVI’s three Blindness Rehabilitation Specialists coordinate with students and their families and teams across the state to provide support, advocacy, resources and referrals, and connections to services and to their communities. The scope of these Rehabilitation Specialists</w:t>
      </w:r>
      <w:r w:rsidR="00B947F0" w:rsidRPr="00CA29C4">
        <w:rPr>
          <w:sz w:val="22"/>
          <w:szCs w:val="22"/>
        </w:rPr>
        <w:t>’ tasks is intentionally broad, to encompass supporting a diverse set of needs and challenges that our students and their families may experience. These dynamics can include geographic, social, or cultural isolation, transportation barriers, navigating the special education process</w:t>
      </w:r>
      <w:r w:rsidR="003E1B17" w:rsidRPr="00CA29C4">
        <w:rPr>
          <w:sz w:val="22"/>
          <w:szCs w:val="22"/>
        </w:rPr>
        <w:t>, and parenting challenges in general. The Rehabilitation Specialists also work to connect parents and families with similar experiences and situations together through groups, both in person and virtually.</w:t>
      </w:r>
    </w:p>
    <w:p w14:paraId="3539C107" w14:textId="77777777" w:rsidR="003E1B17" w:rsidRPr="00CA29C4" w:rsidRDefault="003E1B17" w:rsidP="00D928FF">
      <w:pPr>
        <w:tabs>
          <w:tab w:val="left" w:pos="630"/>
          <w:tab w:val="left" w:pos="9630"/>
        </w:tabs>
        <w:rPr>
          <w:sz w:val="22"/>
          <w:szCs w:val="22"/>
        </w:rPr>
      </w:pPr>
    </w:p>
    <w:p w14:paraId="63523B1E" w14:textId="18914839" w:rsidR="00064304" w:rsidRDefault="003E1B17" w:rsidP="00CD7194">
      <w:pPr>
        <w:tabs>
          <w:tab w:val="left" w:pos="630"/>
          <w:tab w:val="left" w:pos="9630"/>
        </w:tabs>
        <w:rPr>
          <w:sz w:val="22"/>
          <w:szCs w:val="22"/>
        </w:rPr>
      </w:pPr>
      <w:proofErr w:type="gramStart"/>
      <w:r w:rsidRPr="00CA29C4">
        <w:rPr>
          <w:b/>
          <w:bCs/>
          <w:sz w:val="22"/>
          <w:szCs w:val="22"/>
        </w:rPr>
        <w:t>Taking A Bigger RISK (Responsibility and Independent Living Skills for Kids)</w:t>
      </w:r>
      <w:proofErr w:type="gramEnd"/>
      <w:r w:rsidRPr="00CA29C4">
        <w:rPr>
          <w:sz w:val="22"/>
          <w:szCs w:val="22"/>
        </w:rPr>
        <w:t xml:space="preserve"> Taking A Bigger RISK is a six-week program focused on Workplace Readiness Training and Instruction in Self-Advocacy. Teachers of the Visually Impaired, from Catholic Charities Maine, provided direct instruction to students on a variety of independent living skills and offered many opportunities for students to practice advocacy skills through a choice and supported practice of learned skills.</w:t>
      </w:r>
      <w:r>
        <w:rPr>
          <w:sz w:val="22"/>
          <w:szCs w:val="22"/>
        </w:rPr>
        <w:t xml:space="preserve"> </w:t>
      </w:r>
      <w:r w:rsidR="00064304">
        <w:rPr>
          <w:sz w:val="22"/>
          <w:szCs w:val="22"/>
        </w:rPr>
        <w:br w:type="page"/>
      </w:r>
    </w:p>
    <w:p w14:paraId="69E59202" w14:textId="62B20AB9" w:rsidR="003E1B17" w:rsidRDefault="003E1B17" w:rsidP="00D928FF">
      <w:pPr>
        <w:tabs>
          <w:tab w:val="left" w:pos="630"/>
          <w:tab w:val="left" w:pos="9630"/>
        </w:tabs>
        <w:rPr>
          <w:sz w:val="22"/>
          <w:szCs w:val="22"/>
        </w:rPr>
      </w:pPr>
      <w:r>
        <w:rPr>
          <w:sz w:val="22"/>
          <w:szCs w:val="22"/>
        </w:rPr>
        <w:lastRenderedPageBreak/>
        <w:t>Students learned about a variety of adaptive tools and strategies to support independent living skills. Each student was assigned a “skills coach” to help them identify a goal they wanted to work on and met with them weekly to support progress on their goal and troubleshoot any challenges that arose.</w:t>
      </w:r>
    </w:p>
    <w:p w14:paraId="6AEF8D9B" w14:textId="77777777" w:rsidR="00314779" w:rsidRDefault="00314779" w:rsidP="00D928FF">
      <w:pPr>
        <w:tabs>
          <w:tab w:val="left" w:pos="630"/>
          <w:tab w:val="left" w:pos="9630"/>
        </w:tabs>
        <w:rPr>
          <w:sz w:val="22"/>
          <w:szCs w:val="22"/>
        </w:rPr>
      </w:pPr>
    </w:p>
    <w:p w14:paraId="77FEA1E3" w14:textId="3EF0DC14" w:rsidR="00C67401" w:rsidRPr="00C67401" w:rsidRDefault="00C67401" w:rsidP="00062E6F">
      <w:pPr>
        <w:tabs>
          <w:tab w:val="left" w:pos="630"/>
          <w:tab w:val="left" w:pos="9630"/>
        </w:tabs>
        <w:jc w:val="center"/>
        <w:rPr>
          <w:sz w:val="22"/>
          <w:szCs w:val="22"/>
        </w:rPr>
      </w:pPr>
      <w:r w:rsidRPr="00C67401">
        <w:rPr>
          <w:noProof/>
          <w:sz w:val="22"/>
          <w:szCs w:val="22"/>
        </w:rPr>
        <w:drawing>
          <wp:inline distT="0" distB="0" distL="0" distR="0" wp14:anchorId="03A1F9F3" wp14:editId="25C2FCE8">
            <wp:extent cx="2436011" cy="3021330"/>
            <wp:effectExtent l="171450" t="171450" r="193040" b="198120"/>
            <wp:docPr id="1690230127" name="Picture 9" descr="Photo Description: Two students, at the Taking a Bigger Risk Program, walking side-by-side, using their white canes to navigate down a long hallway carpet designed with large white and blue floral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30127" name="Picture 9" descr="Photo Description: Two students, at the Taking a Bigger Risk Program, walking side-by-side, using their white canes to navigate down a long hallway carpet designed with large white and blue floral design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49384" cy="303791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BC74E16" w14:textId="40A93681" w:rsidR="003E1B17" w:rsidRDefault="00314779" w:rsidP="00062E6F">
      <w:pPr>
        <w:tabs>
          <w:tab w:val="left" w:pos="630"/>
          <w:tab w:val="left" w:pos="9630"/>
        </w:tabs>
        <w:ind w:left="1710" w:right="1800"/>
        <w:rPr>
          <w:sz w:val="22"/>
          <w:szCs w:val="22"/>
        </w:rPr>
      </w:pPr>
      <w:r>
        <w:rPr>
          <w:sz w:val="22"/>
          <w:szCs w:val="22"/>
        </w:rPr>
        <w:t xml:space="preserve">Photo Description: Two students, </w:t>
      </w:r>
      <w:r w:rsidR="00274A8E">
        <w:rPr>
          <w:sz w:val="22"/>
          <w:szCs w:val="22"/>
        </w:rPr>
        <w:t xml:space="preserve">at the Taking a Bigger Risk Program, </w:t>
      </w:r>
      <w:r>
        <w:rPr>
          <w:sz w:val="22"/>
          <w:szCs w:val="22"/>
        </w:rPr>
        <w:t xml:space="preserve">walking side-by-side, using their white canes to navigate down a long hallway </w:t>
      </w:r>
      <w:r w:rsidR="00274A8E">
        <w:rPr>
          <w:sz w:val="22"/>
          <w:szCs w:val="22"/>
        </w:rPr>
        <w:t>carpet designed with</w:t>
      </w:r>
      <w:r>
        <w:rPr>
          <w:sz w:val="22"/>
          <w:szCs w:val="22"/>
        </w:rPr>
        <w:t xml:space="preserve"> large white and blue floral designs</w:t>
      </w:r>
      <w:r w:rsidR="00274A8E">
        <w:rPr>
          <w:sz w:val="22"/>
          <w:szCs w:val="22"/>
        </w:rPr>
        <w:t>.</w:t>
      </w:r>
    </w:p>
    <w:p w14:paraId="57FB72F8" w14:textId="77777777" w:rsidR="00314779" w:rsidRDefault="00314779" w:rsidP="00D928FF">
      <w:pPr>
        <w:tabs>
          <w:tab w:val="left" w:pos="630"/>
          <w:tab w:val="left" w:pos="9630"/>
        </w:tabs>
        <w:rPr>
          <w:sz w:val="22"/>
          <w:szCs w:val="22"/>
        </w:rPr>
      </w:pPr>
    </w:p>
    <w:p w14:paraId="1D4C7886" w14:textId="67711E04" w:rsidR="003E1B17" w:rsidRDefault="003E1B17" w:rsidP="00D928FF">
      <w:pPr>
        <w:tabs>
          <w:tab w:val="left" w:pos="630"/>
          <w:tab w:val="left" w:pos="9630"/>
        </w:tabs>
        <w:rPr>
          <w:sz w:val="22"/>
          <w:szCs w:val="22"/>
        </w:rPr>
      </w:pPr>
      <w:r>
        <w:rPr>
          <w:b/>
          <w:bCs/>
          <w:sz w:val="22"/>
          <w:szCs w:val="22"/>
        </w:rPr>
        <w:t>No Barriers</w:t>
      </w:r>
      <w:r>
        <w:rPr>
          <w:sz w:val="22"/>
          <w:szCs w:val="22"/>
        </w:rPr>
        <w:t xml:space="preserve"> </w:t>
      </w:r>
      <w:r w:rsidR="00CE1C4E">
        <w:rPr>
          <w:sz w:val="22"/>
          <w:szCs w:val="22"/>
        </w:rPr>
        <w:t>No Barriers was a 4-day residential program for DBVI and DVR students held at Bryant Pond 4-H Camp. The No Barriers curriculum focuses on Erik Wiehenmyer’s 7 elements of a “No Barriers” life. Students participate in team building exercises and activities such as aqua ziplining, hiking, canoeing, archery, and more. The program empowers students to build peer connections, challenge themselves, overcome barriers, build confidence, and develop self-advocacy skills.</w:t>
      </w:r>
    </w:p>
    <w:p w14:paraId="103EE7A8" w14:textId="77777777" w:rsidR="00CE1C4E" w:rsidRDefault="00CE1C4E" w:rsidP="00D928FF">
      <w:pPr>
        <w:tabs>
          <w:tab w:val="left" w:pos="630"/>
          <w:tab w:val="left" w:pos="9630"/>
        </w:tabs>
        <w:rPr>
          <w:sz w:val="22"/>
          <w:szCs w:val="22"/>
        </w:rPr>
      </w:pPr>
    </w:p>
    <w:p w14:paraId="21A9908E" w14:textId="054B6C6F" w:rsidR="00CE1C4E" w:rsidRDefault="00CE1C4E" w:rsidP="00D928FF">
      <w:pPr>
        <w:tabs>
          <w:tab w:val="left" w:pos="630"/>
          <w:tab w:val="left" w:pos="9630"/>
        </w:tabs>
        <w:rPr>
          <w:sz w:val="22"/>
          <w:szCs w:val="22"/>
        </w:rPr>
      </w:pPr>
      <w:r>
        <w:rPr>
          <w:b/>
          <w:bCs/>
          <w:sz w:val="22"/>
          <w:szCs w:val="22"/>
        </w:rPr>
        <w:t>Blind and Visually Impaired Persons (B A VIP) Orientation and Mobility Support Group</w:t>
      </w:r>
      <w:r>
        <w:rPr>
          <w:sz w:val="22"/>
          <w:szCs w:val="22"/>
        </w:rPr>
        <w:t xml:space="preserve"> is a group of current and former DBVI clients who received Orientation and Mobility who continue to meet monthly at the Lewiston Career Center to assist one another with problem solving mobility difficulties with the support of Orientation and Mobility Instructors, Vocational Rehabilitation Counselors, and other professionals with expertise in visual impairments and blindness. This year BAVIP worked on creating a website to organize the resources available to blind and visually impaired individuals. The site features an interactive county-by-county map that helps users easily locate eye doctors, specialists, vision professionals, library services, and other supports available throughout the state. The goal is to make Maine’s </w:t>
      </w:r>
      <w:r w:rsidR="00904C61">
        <w:rPr>
          <w:sz w:val="22"/>
          <w:szCs w:val="22"/>
        </w:rPr>
        <w:t>Vision</w:t>
      </w:r>
      <w:r>
        <w:rPr>
          <w:sz w:val="22"/>
          <w:szCs w:val="22"/>
        </w:rPr>
        <w:t xml:space="preserve"> services accessible, understandable, and easy to find for the people who rely on them.</w:t>
      </w:r>
    </w:p>
    <w:p w14:paraId="3ED269B8" w14:textId="77777777" w:rsidR="00CE1C4E" w:rsidRDefault="00CE1C4E" w:rsidP="00D928FF">
      <w:pPr>
        <w:tabs>
          <w:tab w:val="left" w:pos="630"/>
          <w:tab w:val="left" w:pos="9630"/>
        </w:tabs>
        <w:rPr>
          <w:sz w:val="22"/>
          <w:szCs w:val="22"/>
        </w:rPr>
      </w:pPr>
    </w:p>
    <w:p w14:paraId="7BBFCAEC" w14:textId="6AC0DC7E" w:rsidR="00CE1C4E" w:rsidRDefault="00CE1C4E" w:rsidP="00D928FF">
      <w:pPr>
        <w:tabs>
          <w:tab w:val="left" w:pos="630"/>
          <w:tab w:val="left" w:pos="9630"/>
        </w:tabs>
        <w:rPr>
          <w:sz w:val="22"/>
          <w:szCs w:val="22"/>
        </w:rPr>
      </w:pPr>
      <w:r>
        <w:rPr>
          <w:b/>
          <w:bCs/>
          <w:sz w:val="22"/>
          <w:szCs w:val="22"/>
        </w:rPr>
        <w:t>Interns</w:t>
      </w:r>
      <w:r>
        <w:rPr>
          <w:sz w:val="22"/>
          <w:szCs w:val="22"/>
        </w:rPr>
        <w:t xml:space="preserve"> </w:t>
      </w:r>
      <w:r w:rsidR="00904C61">
        <w:rPr>
          <w:sz w:val="22"/>
          <w:szCs w:val="22"/>
        </w:rPr>
        <w:t xml:space="preserve">joined </w:t>
      </w:r>
      <w:r>
        <w:rPr>
          <w:sz w:val="22"/>
          <w:szCs w:val="22"/>
        </w:rPr>
        <w:t xml:space="preserve">DBVI </w:t>
      </w:r>
      <w:r w:rsidR="00904C61">
        <w:rPr>
          <w:sz w:val="22"/>
          <w:szCs w:val="22"/>
        </w:rPr>
        <w:t>from The</w:t>
      </w:r>
      <w:r>
        <w:rPr>
          <w:sz w:val="22"/>
          <w:szCs w:val="22"/>
        </w:rPr>
        <w:t xml:space="preserve"> Margaret Chase Maine Government Summer Internship Program. While they were working with DBVI, they focused on statewide projects in case management, research and outreach. One of the interns worked on creating a statewide 866 phone number (866-DBVI-4-ME), updating the overview rack card and ordering DBVI magnets. The other intern focused on accessible presentations and employment trends. Together they worked on transportation research and recommendations. </w:t>
      </w:r>
    </w:p>
    <w:p w14:paraId="32BBE246" w14:textId="77777777" w:rsidR="002069C2" w:rsidRDefault="002069C2" w:rsidP="00D928FF">
      <w:pPr>
        <w:tabs>
          <w:tab w:val="left" w:pos="630"/>
          <w:tab w:val="left" w:pos="9630"/>
        </w:tabs>
        <w:rPr>
          <w:sz w:val="22"/>
          <w:szCs w:val="22"/>
        </w:rPr>
      </w:pPr>
    </w:p>
    <w:p w14:paraId="044C84E8" w14:textId="77777777" w:rsidR="00C67401" w:rsidRDefault="002069C2" w:rsidP="00D928FF">
      <w:pPr>
        <w:tabs>
          <w:tab w:val="left" w:pos="630"/>
          <w:tab w:val="left" w:pos="9630"/>
        </w:tabs>
        <w:rPr>
          <w:sz w:val="22"/>
          <w:szCs w:val="22"/>
        </w:rPr>
      </w:pPr>
      <w:r>
        <w:rPr>
          <w:b/>
          <w:bCs/>
          <w:sz w:val="22"/>
          <w:szCs w:val="22"/>
        </w:rPr>
        <w:t>Outreach</w:t>
      </w:r>
      <w:r>
        <w:rPr>
          <w:sz w:val="22"/>
          <w:szCs w:val="22"/>
        </w:rPr>
        <w:t xml:space="preserve"> </w:t>
      </w:r>
    </w:p>
    <w:p w14:paraId="670C4503" w14:textId="23818E63" w:rsidR="001A07EB" w:rsidRPr="001A07EB" w:rsidRDefault="002069C2" w:rsidP="009964C9">
      <w:pPr>
        <w:pStyle w:val="ListParagraph"/>
        <w:numPr>
          <w:ilvl w:val="0"/>
          <w:numId w:val="28"/>
        </w:numPr>
        <w:tabs>
          <w:tab w:val="left" w:pos="360"/>
          <w:tab w:val="left" w:pos="630"/>
          <w:tab w:val="left" w:pos="9630"/>
        </w:tabs>
        <w:ind w:left="630"/>
        <w:rPr>
          <w:sz w:val="22"/>
          <w:szCs w:val="22"/>
        </w:rPr>
      </w:pPr>
      <w:bookmarkStart w:id="13" w:name="_Hlk218250383"/>
      <w:r w:rsidRPr="001A07EB">
        <w:rPr>
          <w:sz w:val="22"/>
          <w:szCs w:val="22"/>
        </w:rPr>
        <w:t>DBVI and DVR staff presented Disability Etiquette for the UM</w:t>
      </w:r>
      <w:r w:rsidR="00020E98" w:rsidRPr="001A07EB">
        <w:rPr>
          <w:sz w:val="22"/>
          <w:szCs w:val="22"/>
        </w:rPr>
        <w:t>A</w:t>
      </w:r>
      <w:r w:rsidRPr="001A07EB">
        <w:rPr>
          <w:sz w:val="22"/>
          <w:szCs w:val="22"/>
        </w:rPr>
        <w:t xml:space="preserve"> TRIO Open House at the Bangor campus to UMA students and staff. Staff instructed on the Windmills module Fact or Fiction, Implicit and Explicit Bias, Disability facts and figures, Blindness awareness and supportive strategies, Deaf Culture Awareness, University Design and ADA. </w:t>
      </w:r>
      <w:r w:rsidR="001A07EB" w:rsidRPr="001A07EB">
        <w:rPr>
          <w:sz w:val="22"/>
          <w:szCs w:val="22"/>
        </w:rPr>
        <w:br w:type="page"/>
      </w:r>
    </w:p>
    <w:bookmarkEnd w:id="13"/>
    <w:p w14:paraId="0D7BF274" w14:textId="77777777" w:rsidR="00C67401" w:rsidRDefault="00C67401" w:rsidP="00144908">
      <w:pPr>
        <w:rPr>
          <w:sz w:val="22"/>
          <w:szCs w:val="22"/>
        </w:rPr>
      </w:pPr>
    </w:p>
    <w:p w14:paraId="45998B39" w14:textId="6237B086" w:rsidR="00144908" w:rsidRPr="00C67401" w:rsidRDefault="00144908" w:rsidP="00C67401">
      <w:pPr>
        <w:pStyle w:val="ListParagraph"/>
        <w:numPr>
          <w:ilvl w:val="0"/>
          <w:numId w:val="28"/>
        </w:numPr>
        <w:rPr>
          <w:sz w:val="22"/>
          <w:szCs w:val="22"/>
        </w:rPr>
      </w:pPr>
      <w:r w:rsidRPr="00C67401">
        <w:rPr>
          <w:sz w:val="22"/>
          <w:szCs w:val="22"/>
        </w:rPr>
        <w:t xml:space="preserve">DBVI and DVR staff presented a workshop for the University of Maine at Augusta- Bangor Campus Dental Health Programs.  This workshop was customized to meet the needs of the educators and students. They wanted information on reducing bias, understanding inclusion, and creating it and understanding diversity.  </w:t>
      </w:r>
    </w:p>
    <w:p w14:paraId="705AD222" w14:textId="77777777" w:rsidR="00C67401" w:rsidRDefault="00C67401" w:rsidP="00144908">
      <w:pPr>
        <w:rPr>
          <w:sz w:val="22"/>
          <w:szCs w:val="22"/>
        </w:rPr>
      </w:pPr>
    </w:p>
    <w:p w14:paraId="56E06D07" w14:textId="1DC39C68" w:rsidR="00144908" w:rsidRPr="00C67401" w:rsidRDefault="00144908" w:rsidP="00C67401">
      <w:pPr>
        <w:pStyle w:val="ListParagraph"/>
        <w:numPr>
          <w:ilvl w:val="0"/>
          <w:numId w:val="28"/>
        </w:numPr>
        <w:rPr>
          <w:sz w:val="22"/>
          <w:szCs w:val="22"/>
        </w:rPr>
      </w:pPr>
      <w:r w:rsidRPr="00C67401">
        <w:rPr>
          <w:sz w:val="22"/>
          <w:szCs w:val="22"/>
        </w:rPr>
        <w:t>DBVI staff collaborated with UMaine Orono’s Intro to Special Education class. DBVI staff reviewed visual impairments, employment opportunities</w:t>
      </w:r>
      <w:r w:rsidR="00700AA1">
        <w:rPr>
          <w:sz w:val="22"/>
          <w:szCs w:val="22"/>
        </w:rPr>
        <w:t>,</w:t>
      </w:r>
      <w:r w:rsidRPr="00C67401">
        <w:rPr>
          <w:sz w:val="22"/>
          <w:szCs w:val="22"/>
        </w:rPr>
        <w:t xml:space="preserve"> supportive strategies, and lead hands-on learning activities. Students completed a variety of tasks under blindfolds and vision simulators. Students had the opportunity to use low tech and high-tech assistive technology devices, such as video magnifiers, </w:t>
      </w:r>
      <w:proofErr w:type="spellStart"/>
      <w:r w:rsidRPr="00C67401">
        <w:rPr>
          <w:sz w:val="22"/>
          <w:szCs w:val="22"/>
        </w:rPr>
        <w:t>NaviLens</w:t>
      </w:r>
      <w:proofErr w:type="spellEnd"/>
      <w:r w:rsidRPr="00C67401">
        <w:rPr>
          <w:sz w:val="22"/>
          <w:szCs w:val="22"/>
        </w:rPr>
        <w:t xml:space="preserve"> codes, liquid level indicator, JAWS screen reader, bold line pen, and Pen Friend labeler. They also navigated the building under blindfold while using a white cane as their partner provided human guide and gave descriptive feedback to maintain their safety.</w:t>
      </w:r>
    </w:p>
    <w:p w14:paraId="7AC38AC5" w14:textId="77777777" w:rsidR="00144908" w:rsidRPr="00144908" w:rsidRDefault="00144908" w:rsidP="00144908">
      <w:pPr>
        <w:ind w:left="-90"/>
        <w:rPr>
          <w:sz w:val="22"/>
          <w:szCs w:val="22"/>
        </w:rPr>
      </w:pPr>
    </w:p>
    <w:p w14:paraId="3AAF909E" w14:textId="67CD2356" w:rsidR="00144908" w:rsidRPr="00C67401" w:rsidRDefault="00144908" w:rsidP="00C67401">
      <w:pPr>
        <w:pStyle w:val="ListParagraph"/>
        <w:numPr>
          <w:ilvl w:val="0"/>
          <w:numId w:val="28"/>
        </w:numPr>
        <w:rPr>
          <w:sz w:val="22"/>
          <w:szCs w:val="22"/>
        </w:rPr>
      </w:pPr>
      <w:r w:rsidRPr="00C67401">
        <w:rPr>
          <w:sz w:val="22"/>
          <w:szCs w:val="22"/>
        </w:rPr>
        <w:t xml:space="preserve">DBVI staff provided two staff trainings </w:t>
      </w:r>
      <w:proofErr w:type="gramStart"/>
      <w:r w:rsidRPr="00C67401">
        <w:rPr>
          <w:sz w:val="22"/>
          <w:szCs w:val="22"/>
        </w:rPr>
        <w:t>to</w:t>
      </w:r>
      <w:proofErr w:type="gramEnd"/>
      <w:r w:rsidRPr="00C67401">
        <w:rPr>
          <w:sz w:val="22"/>
          <w:szCs w:val="22"/>
        </w:rPr>
        <w:t xml:space="preserve"> 15 Goodwill Career Advisors and 10 Goodwill Boot Camp Career Advisors. Topics covered included DBVI </w:t>
      </w:r>
      <w:r w:rsidR="00C67401">
        <w:rPr>
          <w:sz w:val="22"/>
          <w:szCs w:val="22"/>
        </w:rPr>
        <w:t>services</w:t>
      </w:r>
      <w:r w:rsidRPr="00C67401">
        <w:rPr>
          <w:sz w:val="22"/>
          <w:szCs w:val="22"/>
        </w:rPr>
        <w:t xml:space="preserve">, an overview of vision loss, an overview of Progressive Employment, considerations for working with employers, accommodations, an overview of O&amp;M and VRT services, and best practices for supporting clients who are </w:t>
      </w:r>
      <w:r w:rsidR="00700AA1">
        <w:rPr>
          <w:sz w:val="22"/>
          <w:szCs w:val="22"/>
        </w:rPr>
        <w:t>b</w:t>
      </w:r>
      <w:r w:rsidRPr="00C67401">
        <w:rPr>
          <w:sz w:val="22"/>
          <w:szCs w:val="22"/>
        </w:rPr>
        <w:t xml:space="preserve">lind </w:t>
      </w:r>
      <w:r w:rsidR="00700AA1">
        <w:rPr>
          <w:sz w:val="22"/>
          <w:szCs w:val="22"/>
        </w:rPr>
        <w:t>and</w:t>
      </w:r>
      <w:r w:rsidRPr="00C67401">
        <w:rPr>
          <w:sz w:val="22"/>
          <w:szCs w:val="22"/>
        </w:rPr>
        <w:t xml:space="preserve"> </w:t>
      </w:r>
      <w:r w:rsidR="00700AA1">
        <w:rPr>
          <w:sz w:val="22"/>
          <w:szCs w:val="22"/>
        </w:rPr>
        <w:t>l</w:t>
      </w:r>
      <w:r w:rsidRPr="00C67401">
        <w:rPr>
          <w:sz w:val="22"/>
          <w:szCs w:val="22"/>
        </w:rPr>
        <w:t xml:space="preserve">ow </w:t>
      </w:r>
      <w:r w:rsidR="00700AA1">
        <w:rPr>
          <w:sz w:val="22"/>
          <w:szCs w:val="22"/>
        </w:rPr>
        <w:t>v</w:t>
      </w:r>
      <w:r w:rsidRPr="00C67401">
        <w:rPr>
          <w:sz w:val="22"/>
          <w:szCs w:val="22"/>
        </w:rPr>
        <w:t xml:space="preserve">ision. Staff participated in hands-on blindfold and simulator experiences, VRT activities, Human Guide and White Cane travel. </w:t>
      </w:r>
    </w:p>
    <w:p w14:paraId="7C4BCA59" w14:textId="77777777" w:rsidR="00144908" w:rsidRPr="00144908" w:rsidRDefault="00144908" w:rsidP="00144908">
      <w:pPr>
        <w:ind w:left="-90"/>
        <w:rPr>
          <w:sz w:val="22"/>
          <w:szCs w:val="22"/>
        </w:rPr>
      </w:pPr>
    </w:p>
    <w:p w14:paraId="029EA715" w14:textId="097C2637" w:rsidR="00CD3028" w:rsidRDefault="00C67401" w:rsidP="00C67401">
      <w:pPr>
        <w:pStyle w:val="ListParagraph"/>
        <w:numPr>
          <w:ilvl w:val="0"/>
          <w:numId w:val="28"/>
        </w:numPr>
        <w:rPr>
          <w:sz w:val="22"/>
          <w:szCs w:val="22"/>
        </w:rPr>
      </w:pPr>
      <w:r w:rsidRPr="00C67401">
        <w:rPr>
          <w:sz w:val="22"/>
          <w:szCs w:val="22"/>
        </w:rPr>
        <w:t>The</w:t>
      </w:r>
      <w:r w:rsidR="00144908" w:rsidRPr="00C67401">
        <w:rPr>
          <w:sz w:val="22"/>
          <w:szCs w:val="22"/>
        </w:rPr>
        <w:t xml:space="preserve"> Division for the Blind and Visually Impaired and Portland Ovations hosted an Audio Descriptions Pilot at the Merrill Auditorium for the live performance, </w:t>
      </w:r>
      <w:r w:rsidR="00144908" w:rsidRPr="00C67401">
        <w:rPr>
          <w:i/>
          <w:iCs/>
          <w:sz w:val="22"/>
          <w:szCs w:val="22"/>
        </w:rPr>
        <w:t>A Year with Frog and Toad</w:t>
      </w:r>
      <w:r w:rsidR="00144908" w:rsidRPr="00C67401">
        <w:rPr>
          <w:sz w:val="22"/>
          <w:szCs w:val="22"/>
        </w:rPr>
        <w:t xml:space="preserve">. Approximately 20 visually impaired and blind students, adults, and staff from DBVI, the Iris Network and Catholic Charities </w:t>
      </w:r>
      <w:r w:rsidR="00702BB1">
        <w:rPr>
          <w:sz w:val="22"/>
          <w:szCs w:val="22"/>
        </w:rPr>
        <w:t xml:space="preserve">Maine </w:t>
      </w:r>
      <w:r w:rsidR="00144908" w:rsidRPr="00C67401">
        <w:rPr>
          <w:sz w:val="22"/>
          <w:szCs w:val="22"/>
        </w:rPr>
        <w:t xml:space="preserve">attended the performance. They were able to use listening devices to watch the performance with audio descriptions and engage in a “touch tour’ after the performance where they could touch the set pieces, costumes, props, and interact with performance staff on stage. The feedback gathered from the attendees will be used to improve the </w:t>
      </w:r>
      <w:r w:rsidR="00B16CD9" w:rsidRPr="00C67401">
        <w:rPr>
          <w:sz w:val="22"/>
          <w:szCs w:val="22"/>
        </w:rPr>
        <w:t>accommodation</w:t>
      </w:r>
      <w:r w:rsidR="00144908" w:rsidRPr="00C67401">
        <w:rPr>
          <w:sz w:val="22"/>
          <w:szCs w:val="22"/>
        </w:rPr>
        <w:t xml:space="preserve"> that will be offered by Portland Ovations next season.</w:t>
      </w:r>
    </w:p>
    <w:p w14:paraId="7AD2CE70" w14:textId="77777777" w:rsidR="00CD3028" w:rsidRDefault="00CD3028">
      <w:pPr>
        <w:rPr>
          <w:sz w:val="22"/>
          <w:szCs w:val="22"/>
        </w:rPr>
      </w:pPr>
      <w:r>
        <w:rPr>
          <w:sz w:val="22"/>
          <w:szCs w:val="22"/>
        </w:rPr>
        <w:br w:type="page"/>
      </w:r>
    </w:p>
    <w:p w14:paraId="4D9EDBA3" w14:textId="7CAF68A5" w:rsidR="00D401A7" w:rsidRPr="00144908" w:rsidRDefault="00D401A7" w:rsidP="00D401A7">
      <w:pPr>
        <w:jc w:val="center"/>
        <w:rPr>
          <w:sz w:val="22"/>
          <w:szCs w:val="22"/>
        </w:rPr>
      </w:pPr>
      <w:r>
        <w:rPr>
          <w:noProof/>
        </w:rPr>
        <w:lastRenderedPageBreak/>
        <w:drawing>
          <wp:inline distT="0" distB="0" distL="0" distR="0" wp14:anchorId="704E7926" wp14:editId="0E00ED56">
            <wp:extent cx="5930265" cy="4445000"/>
            <wp:effectExtent l="228600" t="228600" r="222885" b="279400"/>
            <wp:docPr id="1707443959" name="Picture 3" descr="a theater stage with a group of staff and students gathered around two large, mobile set pieces. On the left, there is a cylindrical structure resembling a can. To the right, there is a large set piece designed to look like a takeout box with Chinese architectural drawings on it. A red door is part of this structure. The backdrop is lit in a bright blue, adding a vibrant touch to the scene. The people on stage are engaged in conversation, walking around using white canes and also appear to be examining a table of props. The stage is viewed from an audience perspective, with the tops of red theater seats visible at the bottom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43959" name="Picture 3" descr="a theater stage with a group of staff and students gathered around two large, mobile set pieces. On the left, there is a cylindrical structure resembling a can. To the right, there is a large set piece designed to look like a takeout box with Chinese architectural drawings on it. A red door is part of this structure. The backdrop is lit in a bright blue, adding a vibrant touch to the scene. The people on stage are engaged in conversation, walking around using white canes and also appear to be examining a table of props. The stage is viewed from an audience perspective, with the tops of red theater seats visible at the bottom of the imag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0265" cy="4445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6DD16790" w14:textId="15527528" w:rsidR="00BD695B" w:rsidRPr="003C69A8" w:rsidRDefault="00DB2F65" w:rsidP="00DB2F65">
      <w:pPr>
        <w:ind w:left="-90"/>
        <w:jc w:val="center"/>
        <w:rPr>
          <w:sz w:val="20"/>
          <w:szCs w:val="20"/>
        </w:rPr>
      </w:pPr>
      <w:r w:rsidRPr="003C69A8">
        <w:rPr>
          <w:noProof/>
          <w:sz w:val="22"/>
          <w:szCs w:val="22"/>
        </w:rPr>
        <w:t>Photo Description: The image above shows a theater stage with a group of staff and students gathered around two large, mobile set pieces. On the left, there is a cylindrical structure resembling a can. To the right, there is a large set piece designed to look like a takeout box with Chinese architectural drawings on it. A red door is part of this structure. The backdrop is lit in a bright blue, adding a vibrant touch to the scene. The people on stage are engaged in conversation, walking around using white canes and also appear to be examining a table of props. The stage is viewed from an audience perspective, with the tops of red theater seats visible at the bottom of the image.</w:t>
      </w:r>
    </w:p>
    <w:p w14:paraId="29FC188C" w14:textId="7FD29ACE" w:rsidR="00062E6F" w:rsidRDefault="00062E6F">
      <w:pPr>
        <w:rPr>
          <w:sz w:val="22"/>
          <w:szCs w:val="22"/>
        </w:rPr>
      </w:pPr>
      <w:r>
        <w:rPr>
          <w:sz w:val="22"/>
          <w:szCs w:val="22"/>
        </w:rPr>
        <w:br w:type="page"/>
      </w:r>
    </w:p>
    <w:p w14:paraId="72B54983" w14:textId="77777777" w:rsidR="000B56DE" w:rsidRDefault="000B56DE" w:rsidP="000B56DE">
      <w:pPr>
        <w:pStyle w:val="Heading1"/>
      </w:pPr>
    </w:p>
    <w:p w14:paraId="43CA27BA" w14:textId="6E2B2B0D" w:rsidR="000B56DE" w:rsidRDefault="000B56DE" w:rsidP="000B56DE">
      <w:pPr>
        <w:pStyle w:val="Heading1"/>
      </w:pPr>
      <w:r w:rsidRPr="00062E6F">
        <w:t>System Improvement and Quality Assurance (SIQA</w:t>
      </w:r>
      <w:r w:rsidRPr="00EB0641">
        <w:t>)</w:t>
      </w:r>
    </w:p>
    <w:p w14:paraId="169EF75B" w14:textId="1E078046" w:rsidR="000B56DE" w:rsidRDefault="000B56DE" w:rsidP="000B56DE">
      <w:pPr>
        <w:rPr>
          <w:b/>
          <w:bCs/>
          <w:sz w:val="22"/>
          <w:szCs w:val="22"/>
        </w:rPr>
      </w:pPr>
      <w:r>
        <w:rPr>
          <w:b/>
          <w:bCs/>
          <w:sz w:val="22"/>
          <w:szCs w:val="22"/>
        </w:rPr>
        <w:t>Christopher Montagna, Director</w:t>
      </w:r>
    </w:p>
    <w:p w14:paraId="02DFF1C8" w14:textId="77777777" w:rsidR="000B56DE" w:rsidRDefault="000B56DE" w:rsidP="000B56DE">
      <w:pPr>
        <w:rPr>
          <w:sz w:val="22"/>
          <w:szCs w:val="22"/>
        </w:rPr>
      </w:pPr>
    </w:p>
    <w:p w14:paraId="362ECFC4" w14:textId="2CA247F6" w:rsidR="000B56DE" w:rsidRDefault="000B56DE" w:rsidP="000B56DE">
      <w:pPr>
        <w:rPr>
          <w:sz w:val="22"/>
          <w:szCs w:val="22"/>
        </w:rPr>
      </w:pPr>
      <w:r>
        <w:rPr>
          <w:sz w:val="22"/>
          <w:szCs w:val="22"/>
        </w:rPr>
        <w:t xml:space="preserve">The role of the System Improvement and Quality Assurance Unit (SIQA) is to support the mission of the State’s Division of Vocational Rehabilitation (DVR) and Division for the Blind and Visually Impaired (DBVI) programs by providing data, data analysis, procurement and contracting, and central administration of the Bureau of Rehabilitation Services’ (BRS) </w:t>
      </w:r>
      <w:proofErr w:type="spellStart"/>
      <w:r>
        <w:rPr>
          <w:sz w:val="22"/>
          <w:szCs w:val="22"/>
        </w:rPr>
        <w:t>AwareVR</w:t>
      </w:r>
      <w:proofErr w:type="spellEnd"/>
      <w:r>
        <w:rPr>
          <w:sz w:val="22"/>
          <w:szCs w:val="22"/>
        </w:rPr>
        <w:t xml:space="preserve"> electronic case management system. These services result in systems improvement and ensure the delivery of quality services and outcomes consistent with the BRS mission.</w:t>
      </w:r>
    </w:p>
    <w:p w14:paraId="2B26B659" w14:textId="77777777" w:rsidR="000B56DE" w:rsidRDefault="000B56DE" w:rsidP="000B56DE">
      <w:pPr>
        <w:rPr>
          <w:sz w:val="22"/>
          <w:szCs w:val="22"/>
        </w:rPr>
      </w:pPr>
    </w:p>
    <w:p w14:paraId="14A8149C" w14:textId="48D9F8C9" w:rsidR="000B56DE" w:rsidRDefault="000B56DE" w:rsidP="000B56DE">
      <w:pPr>
        <w:rPr>
          <w:sz w:val="22"/>
          <w:szCs w:val="22"/>
        </w:rPr>
      </w:pPr>
      <w:r>
        <w:rPr>
          <w:sz w:val="22"/>
          <w:szCs w:val="22"/>
        </w:rPr>
        <w:t>The SIQA Unit works with DVR and DBVI contract administrators to execute State of Maine procurement procedures, ensure smooth payment for providers, resolve customer problems, and conduct management audits of vendor/provider performance.</w:t>
      </w:r>
    </w:p>
    <w:p w14:paraId="7F51B68F" w14:textId="77777777" w:rsidR="000B56DE" w:rsidRDefault="000B56DE" w:rsidP="000B56DE">
      <w:pPr>
        <w:rPr>
          <w:sz w:val="22"/>
          <w:szCs w:val="22"/>
        </w:rPr>
      </w:pPr>
    </w:p>
    <w:p w14:paraId="27BF024C" w14:textId="41440473" w:rsidR="000B56DE" w:rsidRDefault="000B56DE" w:rsidP="000B56DE">
      <w:pPr>
        <w:rPr>
          <w:sz w:val="22"/>
          <w:szCs w:val="22"/>
        </w:rPr>
      </w:pPr>
      <w:r>
        <w:rPr>
          <w:sz w:val="22"/>
          <w:szCs w:val="22"/>
        </w:rPr>
        <w:t>The SIQA Unit also oversees the Social Security Administration (SSA) Cost Reimbursement Program. Under this program, the SSA pays Maine BRS compensation in the form of reimbursement when beneficiaries served</w:t>
      </w:r>
      <w:r w:rsidR="006D5DB4">
        <w:rPr>
          <w:sz w:val="22"/>
          <w:szCs w:val="22"/>
        </w:rPr>
        <w:t xml:space="preserve"> by State VR agencies</w:t>
      </w:r>
      <w:r w:rsidR="001167EB">
        <w:rPr>
          <w:sz w:val="22"/>
          <w:szCs w:val="22"/>
        </w:rPr>
        <w:t xml:space="preserve"> enter the workforce and achieve continuous months of earnings. In the </w:t>
      </w:r>
      <w:proofErr w:type="gramStart"/>
      <w:r w:rsidR="001167EB">
        <w:rPr>
          <w:sz w:val="22"/>
          <w:szCs w:val="22"/>
        </w:rPr>
        <w:t>time period</w:t>
      </w:r>
      <w:proofErr w:type="gramEnd"/>
      <w:r w:rsidR="001167EB">
        <w:rPr>
          <w:sz w:val="22"/>
          <w:szCs w:val="22"/>
        </w:rPr>
        <w:t xml:space="preserve"> for FFY 2024 the total claims reimbursed by SSA totaled $453,097.61.</w:t>
      </w:r>
    </w:p>
    <w:p w14:paraId="5D09E9E3" w14:textId="77777777" w:rsidR="001167EB" w:rsidRDefault="001167EB" w:rsidP="000B56DE">
      <w:pPr>
        <w:rPr>
          <w:sz w:val="22"/>
          <w:szCs w:val="22"/>
        </w:rPr>
      </w:pPr>
    </w:p>
    <w:p w14:paraId="784A31E0" w14:textId="2189C751" w:rsidR="001036A3" w:rsidRPr="001A07EB" w:rsidRDefault="001167EB" w:rsidP="001A07EB">
      <w:pPr>
        <w:rPr>
          <w:sz w:val="22"/>
          <w:szCs w:val="22"/>
        </w:rPr>
      </w:pPr>
      <w:r>
        <w:rPr>
          <w:sz w:val="22"/>
          <w:szCs w:val="22"/>
        </w:rPr>
        <w:t xml:space="preserve">In 2025, the program purchased the Vocational Rehabilitation (VR) Ticket to Work and Reimbursement Tracker system. This system is used by </w:t>
      </w:r>
      <w:proofErr w:type="gramStart"/>
      <w:r>
        <w:rPr>
          <w:sz w:val="22"/>
          <w:szCs w:val="22"/>
        </w:rPr>
        <w:t>the majority of</w:t>
      </w:r>
      <w:proofErr w:type="gramEnd"/>
      <w:r>
        <w:rPr>
          <w:sz w:val="22"/>
          <w:szCs w:val="22"/>
        </w:rPr>
        <w:t xml:space="preserve"> State VR agencies that are a part of the Cost Reimbursement program. Using this system will reduce the time it takes for BRS to process and track Cost Reimbursement payments and potentially increase Cost Reimbursement revenue.</w:t>
      </w:r>
      <w:r w:rsidR="00075F74">
        <w:rPr>
          <w:highlight w:val="yellow"/>
        </w:rPr>
        <w:br w:type="page"/>
      </w:r>
      <w:bookmarkEnd w:id="12"/>
      <w:r w:rsidR="00072539" w:rsidRPr="002C14BC">
        <w:rPr>
          <w:rFonts w:asciiTheme="minorHAnsi" w:hAnsiTheme="minorHAnsi" w:cstheme="minorHAnsi"/>
          <w:sz w:val="4"/>
          <w:szCs w:val="4"/>
        </w:rPr>
        <w:lastRenderedPageBreak/>
        <w:fldChar w:fldCharType="begin"/>
      </w:r>
      <w:r w:rsidR="00072539" w:rsidRPr="002C14BC">
        <w:rPr>
          <w:rFonts w:asciiTheme="minorHAnsi" w:hAnsiTheme="minorHAnsi" w:cstheme="minorHAnsi"/>
          <w:sz w:val="4"/>
          <w:szCs w:val="4"/>
        </w:rPr>
        <w:instrText xml:space="preserve"> SEQ photo_description \* ARABIC </w:instrText>
      </w:r>
      <w:r w:rsidR="00072539" w:rsidRPr="002C14BC">
        <w:rPr>
          <w:rFonts w:asciiTheme="minorHAnsi" w:hAnsiTheme="minorHAnsi" w:cstheme="minorHAnsi"/>
          <w:sz w:val="4"/>
          <w:szCs w:val="4"/>
        </w:rPr>
        <w:fldChar w:fldCharType="separate"/>
      </w:r>
      <w:r w:rsidR="00046DA0">
        <w:rPr>
          <w:rFonts w:asciiTheme="minorHAnsi" w:hAnsiTheme="minorHAnsi" w:cstheme="minorHAnsi"/>
          <w:noProof/>
          <w:sz w:val="4"/>
          <w:szCs w:val="4"/>
        </w:rPr>
        <w:t>2</w:t>
      </w:r>
      <w:r w:rsidR="00072539" w:rsidRPr="002C14BC">
        <w:rPr>
          <w:rFonts w:asciiTheme="minorHAnsi" w:hAnsiTheme="minorHAnsi" w:cstheme="minorHAnsi"/>
          <w:sz w:val="4"/>
          <w:szCs w:val="4"/>
        </w:rPr>
        <w:fldChar w:fldCharType="end"/>
      </w:r>
    </w:p>
    <w:p w14:paraId="13B5F5DB" w14:textId="381D145D" w:rsidR="00D07A13" w:rsidRDefault="00D07A13" w:rsidP="009B7A59">
      <w:pPr>
        <w:pStyle w:val="Heading1"/>
      </w:pPr>
      <w:bookmarkStart w:id="14" w:name="_Toc185326164"/>
      <w:r w:rsidRPr="003C69A8">
        <w:t>Office of the State Accessibility and Independent Living Coordinator</w:t>
      </w:r>
      <w:bookmarkEnd w:id="14"/>
      <w:r>
        <w:t xml:space="preserve"> </w:t>
      </w:r>
    </w:p>
    <w:p w14:paraId="78C1045B" w14:textId="6E3D1A0E" w:rsidR="0014607D" w:rsidRPr="00F43773" w:rsidRDefault="0014607D" w:rsidP="0014607D">
      <w:pPr>
        <w:rPr>
          <w:rFonts w:cs="Calibri"/>
          <w:b/>
          <w:sz w:val="22"/>
          <w:szCs w:val="22"/>
        </w:rPr>
      </w:pPr>
      <w:r w:rsidRPr="00F43773">
        <w:rPr>
          <w:rFonts w:cs="Calibri"/>
          <w:b/>
          <w:sz w:val="22"/>
          <w:szCs w:val="22"/>
        </w:rPr>
        <w:t xml:space="preserve">State </w:t>
      </w:r>
      <w:r>
        <w:rPr>
          <w:rFonts w:cs="Calibri"/>
          <w:b/>
          <w:sz w:val="22"/>
          <w:szCs w:val="22"/>
        </w:rPr>
        <w:t xml:space="preserve">ADA Accessibility </w:t>
      </w:r>
      <w:r w:rsidRPr="00F43773">
        <w:rPr>
          <w:rFonts w:cs="Calibri"/>
          <w:b/>
          <w:sz w:val="22"/>
          <w:szCs w:val="22"/>
        </w:rPr>
        <w:t xml:space="preserve">Highlights </w:t>
      </w:r>
    </w:p>
    <w:p w14:paraId="33C99343" w14:textId="6F774EBB" w:rsidR="0014607D" w:rsidRDefault="009014C0" w:rsidP="0014607D">
      <w:pPr>
        <w:rPr>
          <w:sz w:val="22"/>
          <w:szCs w:val="22"/>
        </w:rPr>
      </w:pPr>
      <w:r>
        <w:rPr>
          <w:rFonts w:cs="Calibri"/>
          <w:sz w:val="22"/>
          <w:szCs w:val="22"/>
        </w:rPr>
        <w:t>The State ADA Accessibility Coordinator ensures t</w:t>
      </w:r>
      <w:r w:rsidR="0014607D" w:rsidRPr="004A42B8">
        <w:rPr>
          <w:rFonts w:cs="Calibri"/>
          <w:sz w:val="22"/>
          <w:szCs w:val="22"/>
        </w:rPr>
        <w:t xml:space="preserve">hat all State </w:t>
      </w:r>
      <w:r w:rsidR="0014607D">
        <w:rPr>
          <w:rFonts w:cs="Calibri"/>
          <w:sz w:val="22"/>
          <w:szCs w:val="22"/>
        </w:rPr>
        <w:t>agencies</w:t>
      </w:r>
      <w:r w:rsidR="0014607D" w:rsidRPr="004A42B8">
        <w:rPr>
          <w:rFonts w:cs="Calibri"/>
          <w:sz w:val="22"/>
          <w:szCs w:val="22"/>
        </w:rPr>
        <w:t xml:space="preserve"> comply with the Americans with Disabilities Act (ADA) and Section 504 of the Rehabilitation Act</w:t>
      </w:r>
      <w:r w:rsidR="0014607D" w:rsidRPr="00DF32B5">
        <w:rPr>
          <w:rFonts w:cs="Calibri"/>
          <w:sz w:val="22"/>
          <w:szCs w:val="22"/>
        </w:rPr>
        <w:t xml:space="preserve">. The </w:t>
      </w:r>
      <w:r>
        <w:rPr>
          <w:rFonts w:cs="Calibri"/>
          <w:sz w:val="22"/>
          <w:szCs w:val="22"/>
        </w:rPr>
        <w:t>C</w:t>
      </w:r>
      <w:r w:rsidR="0014607D" w:rsidRPr="00DF32B5">
        <w:rPr>
          <w:rFonts w:cs="Calibri"/>
          <w:sz w:val="22"/>
          <w:szCs w:val="22"/>
        </w:rPr>
        <w:t xml:space="preserve">oordinator </w:t>
      </w:r>
      <w:r w:rsidR="0014607D">
        <w:rPr>
          <w:rFonts w:cs="Calibri"/>
          <w:sz w:val="22"/>
          <w:szCs w:val="22"/>
        </w:rPr>
        <w:t>collaborates</w:t>
      </w:r>
      <w:r w:rsidR="0014607D" w:rsidRPr="00DF32B5">
        <w:rPr>
          <w:rFonts w:cs="Calibri"/>
          <w:sz w:val="22"/>
          <w:szCs w:val="22"/>
        </w:rPr>
        <w:t xml:space="preserve"> with State agencies to develop and carry out policies and practices regarding services, facilities, web design, and communication. The </w:t>
      </w:r>
      <w:r>
        <w:rPr>
          <w:rFonts w:cs="Calibri"/>
          <w:sz w:val="22"/>
          <w:szCs w:val="22"/>
        </w:rPr>
        <w:t>C</w:t>
      </w:r>
      <w:r w:rsidR="0014607D" w:rsidRPr="00DF32B5">
        <w:rPr>
          <w:rFonts w:cs="Calibri"/>
          <w:sz w:val="22"/>
          <w:szCs w:val="22"/>
        </w:rPr>
        <w:t>oordinator works with customers and departments to resolve disability-based discrimination complaints.</w:t>
      </w:r>
      <w:r w:rsidR="0014607D" w:rsidRPr="00DF32B5">
        <w:rPr>
          <w:sz w:val="22"/>
          <w:szCs w:val="22"/>
        </w:rPr>
        <w:t xml:space="preserve"> </w:t>
      </w:r>
    </w:p>
    <w:p w14:paraId="7E6CAF19" w14:textId="2D2DF755" w:rsidR="009014C0" w:rsidRDefault="00982392" w:rsidP="0014607D">
      <w:pPr>
        <w:rPr>
          <w:sz w:val="22"/>
          <w:szCs w:val="22"/>
        </w:rPr>
      </w:pPr>
      <w:r w:rsidRPr="007D1BC3">
        <w:rPr>
          <w:rFonts w:asciiTheme="minorHAnsi" w:hAnsiTheme="minorHAnsi" w:cstheme="minorHAnsi"/>
          <w:noProof/>
          <w:sz w:val="4"/>
          <w:szCs w:val="4"/>
        </w:rPr>
        <mc:AlternateContent>
          <mc:Choice Requires="wps">
            <w:drawing>
              <wp:anchor distT="0" distB="0" distL="457200" distR="114300" simplePos="0" relativeHeight="251663872" behindDoc="0" locked="0" layoutInCell="0" allowOverlap="1" wp14:anchorId="59D48CBB" wp14:editId="27EB95F5">
                <wp:simplePos x="0" y="0"/>
                <wp:positionH relativeFrom="page">
                  <wp:posOffset>5460204</wp:posOffset>
                </wp:positionH>
                <wp:positionV relativeFrom="margin">
                  <wp:posOffset>1612810</wp:posOffset>
                </wp:positionV>
                <wp:extent cx="1988820" cy="6607175"/>
                <wp:effectExtent l="0" t="0" r="0" b="3175"/>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8820" cy="6607175"/>
                        </a:xfrm>
                        <a:prstGeom prst="rect">
                          <a:avLst/>
                        </a:prstGeom>
                        <a:solidFill>
                          <a:schemeClr val="tx2">
                            <a:lumMod val="20000"/>
                            <a:lumOff val="80000"/>
                            <a:alpha val="34902"/>
                          </a:schemeClr>
                        </a:solidFill>
                      </wps:spPr>
                      <wps:txbx>
                        <w:txbxContent>
                          <w:p w14:paraId="2DC49DCD" w14:textId="77777777" w:rsidR="0014607D" w:rsidRPr="007D1BC3" w:rsidRDefault="0014607D" w:rsidP="0014607D">
                            <w:pPr>
                              <w:spacing w:before="480"/>
                              <w:rPr>
                                <w:b/>
                                <w:bCs/>
                                <w:sz w:val="22"/>
                                <w:szCs w:val="22"/>
                              </w:rPr>
                            </w:pPr>
                            <w:r w:rsidRPr="007D1BC3">
                              <w:rPr>
                                <w:b/>
                                <w:bCs/>
                                <w:sz w:val="22"/>
                                <w:szCs w:val="22"/>
                              </w:rPr>
                              <w:t>In March 2025,</w:t>
                            </w:r>
                          </w:p>
                          <w:p w14:paraId="6AE685A8" w14:textId="77777777" w:rsidR="0014607D" w:rsidRPr="007D1BC3" w:rsidRDefault="0014607D" w:rsidP="0014607D">
                            <w:pPr>
                              <w:rPr>
                                <w:rStyle w:val="PlaceholderText"/>
                                <w:sz w:val="22"/>
                                <w:szCs w:val="22"/>
                              </w:rPr>
                            </w:pPr>
                            <w:r w:rsidRPr="007D1BC3">
                              <w:rPr>
                                <w:sz w:val="22"/>
                                <w:szCs w:val="22"/>
                              </w:rPr>
                              <w:t xml:space="preserve">Jason Angel became the State Accessibility Coordinator for the State of Maine. A person with lived disability experience, he ensures state agency compliance with the Americans with Disabilities Act, Section 504 of the Rehabilitation Act, the Maine Human Rights Act, and related laws. He previously served as a Technical Assistant, Trainer, and Researcher at the New England ADA Center, which he joined in 2017, conducting investigations into user experience and accessibility standards in parks and institutional settings. Jason works not only to maintain compliance but to advance inclusion across environments, including transportation. He holds ADA Coordinator Certification and two </w:t>
                            </w:r>
                            <w:proofErr w:type="gramStart"/>
                            <w:r w:rsidRPr="007D1BC3">
                              <w:rPr>
                                <w:sz w:val="22"/>
                                <w:szCs w:val="22"/>
                              </w:rPr>
                              <w:t>Master’s</w:t>
                            </w:r>
                            <w:proofErr w:type="gramEnd"/>
                            <w:r w:rsidRPr="007D1BC3">
                              <w:rPr>
                                <w:sz w:val="22"/>
                                <w:szCs w:val="22"/>
                              </w:rPr>
                              <w:t xml:space="preserve"> degrees: one in Environmental Studies (focused on Tourism, Policy, and Planning) and another in Planning.</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9D48CBB" id="AutoShape 14" o:spid="_x0000_s1031" style="position:absolute;margin-left:429.95pt;margin-top:127pt;width:156.6pt;height:520.25pt;z-index:251663872;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" o:allowincell="f" fillcolor="#d8f2ef [671]" stroked="f">
                <v:fill opacity="22873f"/>
                <v:textbox inset="14.4pt,14.4pt,14.4pt,14.4pt">
                  <w:txbxContent>
                    <w:p w14:paraId="2DC49DCD" w14:textId="77777777" w:rsidR="0014607D" w:rsidRPr="007D1BC3" w:rsidRDefault="0014607D" w:rsidP="0014607D">
                      <w:pPr>
                        <w:spacing w:before="480"/>
                        <w:rPr>
                          <w:b/>
                          <w:bCs/>
                          <w:sz w:val="22"/>
                          <w:szCs w:val="22"/>
                        </w:rPr>
                      </w:pPr>
                      <w:r w:rsidRPr="007D1BC3">
                        <w:rPr>
                          <w:b/>
                          <w:bCs/>
                          <w:sz w:val="22"/>
                          <w:szCs w:val="22"/>
                        </w:rPr>
                        <w:t>In March 2025,</w:t>
                      </w:r>
                    </w:p>
                    <w:p w14:paraId="6AE685A8" w14:textId="77777777" w:rsidR="0014607D" w:rsidRPr="007D1BC3" w:rsidRDefault="0014607D" w:rsidP="0014607D">
                      <w:pPr>
                        <w:rPr>
                          <w:rStyle w:val="PlaceholderText"/>
                          <w:sz w:val="22"/>
                          <w:szCs w:val="22"/>
                        </w:rPr>
                      </w:pPr>
                      <w:r w:rsidRPr="007D1BC3">
                        <w:rPr>
                          <w:sz w:val="22"/>
                          <w:szCs w:val="22"/>
                        </w:rPr>
                        <w:t xml:space="preserve">Jason Angel became the State Accessibility Coordinator for the State of Maine. A person with lived disability experience, he ensures state agency compliance with the Americans with Disabilities Act, Section 504 of the Rehabilitation Act, the Maine Human Rights Act, and related laws. He previously served as a Technical Assistant, Trainer, and Researcher at the New England ADA Center, which he joined in 2017, conducting investigations into user experience and accessibility standards in parks and institutional settings. Jason works not only to maintain compliance but to advance inclusion across environments, including transportation. He holds ADA Coordinator Certification and two </w:t>
                      </w:r>
                      <w:proofErr w:type="gramStart"/>
                      <w:r w:rsidRPr="007D1BC3">
                        <w:rPr>
                          <w:sz w:val="22"/>
                          <w:szCs w:val="22"/>
                        </w:rPr>
                        <w:t>Master’s</w:t>
                      </w:r>
                      <w:proofErr w:type="gramEnd"/>
                      <w:r w:rsidRPr="007D1BC3">
                        <w:rPr>
                          <w:sz w:val="22"/>
                          <w:szCs w:val="22"/>
                        </w:rPr>
                        <w:t xml:space="preserve"> degrees: one in Environmental Studies (focused on Tourism, Policy, and Planning) and another in Planning.</w:t>
                      </w:r>
                    </w:p>
                  </w:txbxContent>
                </v:textbox>
                <w10:wrap type="square" anchorx="page" anchory="margin"/>
              </v:rect>
            </w:pict>
          </mc:Fallback>
        </mc:AlternateContent>
      </w:r>
    </w:p>
    <w:p w14:paraId="5723464F" w14:textId="4460D6F1" w:rsidR="0014607D" w:rsidRPr="00F153FB" w:rsidRDefault="0014607D" w:rsidP="0014607D">
      <w:pPr>
        <w:rPr>
          <w:sz w:val="22"/>
          <w:szCs w:val="22"/>
        </w:rPr>
      </w:pPr>
      <w:r>
        <w:rPr>
          <w:rFonts w:cs="Calibri"/>
          <w:sz w:val="22"/>
          <w:szCs w:val="22"/>
        </w:rPr>
        <w:t>A portion of this year’s initiatives have included</w:t>
      </w:r>
      <w:r w:rsidRPr="00DF32B5">
        <w:rPr>
          <w:rFonts w:cs="Calibri"/>
          <w:sz w:val="22"/>
          <w:szCs w:val="22"/>
        </w:rPr>
        <w:t>:</w:t>
      </w:r>
    </w:p>
    <w:p w14:paraId="7F4D1DC9" w14:textId="108E27CC" w:rsidR="0014607D" w:rsidRPr="00C974CC" w:rsidRDefault="0014607D" w:rsidP="0014607D">
      <w:pPr>
        <w:rPr>
          <w:rFonts w:cs="Calibri"/>
          <w:sz w:val="16"/>
          <w:szCs w:val="16"/>
        </w:rPr>
      </w:pPr>
    </w:p>
    <w:p w14:paraId="4C7CA719" w14:textId="3CF20EC9" w:rsidR="0014607D" w:rsidRPr="006B2AF2" w:rsidRDefault="0014607D" w:rsidP="0014607D">
      <w:pPr>
        <w:pStyle w:val="ListParagraph"/>
        <w:numPr>
          <w:ilvl w:val="0"/>
          <w:numId w:val="18"/>
        </w:numPr>
        <w:rPr>
          <w:bCs/>
          <w:sz w:val="22"/>
          <w:szCs w:val="22"/>
        </w:rPr>
      </w:pPr>
      <w:r>
        <w:rPr>
          <w:sz w:val="22"/>
          <w:szCs w:val="22"/>
        </w:rPr>
        <w:t xml:space="preserve">Jason serves a member of the </w:t>
      </w:r>
      <w:r w:rsidRPr="00861C45">
        <w:rPr>
          <w:sz w:val="22"/>
          <w:szCs w:val="22"/>
        </w:rPr>
        <w:t>Information Technology Accessibility Committee (ITAC) of MaineIT</w:t>
      </w:r>
      <w:r>
        <w:rPr>
          <w:sz w:val="22"/>
          <w:szCs w:val="22"/>
        </w:rPr>
        <w:t xml:space="preserve"> – </w:t>
      </w:r>
      <w:r w:rsidRPr="00861C45">
        <w:rPr>
          <w:sz w:val="22"/>
          <w:szCs w:val="22"/>
        </w:rPr>
        <w:t>a collaborat</w:t>
      </w:r>
      <w:r>
        <w:rPr>
          <w:sz w:val="22"/>
          <w:szCs w:val="22"/>
        </w:rPr>
        <w:t>ion</w:t>
      </w:r>
      <w:r w:rsidRPr="00861C45">
        <w:rPr>
          <w:sz w:val="22"/>
          <w:szCs w:val="22"/>
        </w:rPr>
        <w:t xml:space="preserve"> of many departmental representatives carrying out the </w:t>
      </w:r>
      <w:hyperlink r:id="rId54" w:history="1">
        <w:r w:rsidRPr="00861C45">
          <w:rPr>
            <w:rStyle w:val="Hyperlink"/>
            <w:rFonts w:cs="Calibri"/>
            <w:bCs/>
            <w:sz w:val="22"/>
            <w:szCs w:val="22"/>
          </w:rPr>
          <w:t>Digital Accessibility and Usability Policy</w:t>
        </w:r>
      </w:hyperlink>
      <w:r w:rsidRPr="00861C45">
        <w:rPr>
          <w:rStyle w:val="FootnoteReference"/>
          <w:bCs/>
          <w:sz w:val="22"/>
          <w:szCs w:val="22"/>
        </w:rPr>
        <w:footnoteReference w:id="2"/>
      </w:r>
      <w:r>
        <w:t xml:space="preserve"> </w:t>
      </w:r>
      <w:r>
        <w:rPr>
          <w:bCs/>
          <w:sz w:val="22"/>
          <w:szCs w:val="22"/>
        </w:rPr>
        <w:t xml:space="preserve">(DAUP). </w:t>
      </w:r>
      <w:r w:rsidRPr="006B2AF2">
        <w:rPr>
          <w:bCs/>
          <w:sz w:val="22"/>
          <w:szCs w:val="22"/>
        </w:rPr>
        <w:t xml:space="preserve">The committee </w:t>
      </w:r>
      <w:r>
        <w:rPr>
          <w:bCs/>
          <w:sz w:val="22"/>
          <w:szCs w:val="22"/>
        </w:rPr>
        <w:t>also addresses</w:t>
      </w:r>
      <w:r w:rsidRPr="006B2AF2">
        <w:rPr>
          <w:bCs/>
          <w:sz w:val="22"/>
          <w:szCs w:val="22"/>
        </w:rPr>
        <w:t xml:space="preserve"> a wide range of digital accessibility topics, including: </w:t>
      </w:r>
    </w:p>
    <w:p w14:paraId="65234651" w14:textId="77777777" w:rsidR="0014607D" w:rsidRPr="006B2AF2" w:rsidRDefault="0014607D" w:rsidP="0014607D">
      <w:pPr>
        <w:pStyle w:val="ListParagraph"/>
        <w:numPr>
          <w:ilvl w:val="1"/>
          <w:numId w:val="18"/>
        </w:numPr>
        <w:rPr>
          <w:bCs/>
          <w:sz w:val="22"/>
          <w:szCs w:val="22"/>
        </w:rPr>
      </w:pPr>
      <w:r>
        <w:rPr>
          <w:bCs/>
          <w:sz w:val="22"/>
          <w:szCs w:val="22"/>
        </w:rPr>
        <w:t>Supporting adherence to t</w:t>
      </w:r>
      <w:r w:rsidRPr="00861C45">
        <w:rPr>
          <w:sz w:val="22"/>
          <w:szCs w:val="22"/>
        </w:rPr>
        <w:t xml:space="preserve">he </w:t>
      </w:r>
      <w:r>
        <w:rPr>
          <w:sz w:val="22"/>
          <w:szCs w:val="22"/>
        </w:rPr>
        <w:t xml:space="preserve">DAUP, which </w:t>
      </w:r>
      <w:r w:rsidRPr="00861C45">
        <w:rPr>
          <w:sz w:val="22"/>
          <w:szCs w:val="22"/>
        </w:rPr>
        <w:t xml:space="preserve">requires access to all State services, programs, and communications using the Internet. </w:t>
      </w:r>
    </w:p>
    <w:p w14:paraId="154D8245" w14:textId="77777777" w:rsidR="0014607D" w:rsidRDefault="0014607D" w:rsidP="0014607D">
      <w:pPr>
        <w:pStyle w:val="ListParagraph"/>
        <w:numPr>
          <w:ilvl w:val="1"/>
          <w:numId w:val="18"/>
        </w:numPr>
        <w:rPr>
          <w:bCs/>
          <w:sz w:val="22"/>
          <w:szCs w:val="22"/>
        </w:rPr>
      </w:pPr>
      <w:r>
        <w:rPr>
          <w:bCs/>
          <w:sz w:val="22"/>
          <w:szCs w:val="22"/>
        </w:rPr>
        <w:t>S</w:t>
      </w:r>
      <w:r w:rsidRPr="006B2AF2">
        <w:rPr>
          <w:bCs/>
          <w:sz w:val="22"/>
          <w:szCs w:val="22"/>
        </w:rPr>
        <w:t>hare knowledge, identify best practices, and promote consistency in digital access</w:t>
      </w:r>
      <w:r>
        <w:rPr>
          <w:bCs/>
          <w:sz w:val="22"/>
          <w:szCs w:val="22"/>
        </w:rPr>
        <w:t>.</w:t>
      </w:r>
    </w:p>
    <w:p w14:paraId="598B59AC" w14:textId="77777777" w:rsidR="0014607D" w:rsidRPr="00E63E00" w:rsidRDefault="0014607D" w:rsidP="0014607D">
      <w:pPr>
        <w:pStyle w:val="ListParagraph"/>
        <w:numPr>
          <w:ilvl w:val="1"/>
          <w:numId w:val="18"/>
        </w:numPr>
        <w:rPr>
          <w:bCs/>
          <w:sz w:val="22"/>
          <w:szCs w:val="22"/>
        </w:rPr>
      </w:pPr>
      <w:r>
        <w:rPr>
          <w:bCs/>
          <w:sz w:val="22"/>
          <w:szCs w:val="22"/>
        </w:rPr>
        <w:t xml:space="preserve">Provide guidance and resources to state agencies that need to comply with the </w:t>
      </w:r>
      <w:hyperlink r:id="rId55" w:history="1">
        <w:r w:rsidRPr="00F90E8D">
          <w:rPr>
            <w:rStyle w:val="Hyperlink"/>
            <w:bCs/>
            <w:sz w:val="22"/>
            <w:szCs w:val="22"/>
          </w:rPr>
          <w:t>ADA Title II Web and Mobile Application Accessibility Rule</w:t>
        </w:r>
      </w:hyperlink>
      <w:r>
        <w:rPr>
          <w:bCs/>
          <w:sz w:val="22"/>
          <w:szCs w:val="22"/>
        </w:rPr>
        <w:t xml:space="preserve"> by April 24, 2026. </w:t>
      </w:r>
    </w:p>
    <w:p w14:paraId="51FBF5B3" w14:textId="77777777" w:rsidR="0014607D" w:rsidRPr="00C974CC" w:rsidRDefault="0014607D" w:rsidP="0014607D">
      <w:pPr>
        <w:pStyle w:val="ListParagraph"/>
        <w:ind w:left="360"/>
        <w:rPr>
          <w:sz w:val="16"/>
          <w:szCs w:val="16"/>
        </w:rPr>
      </w:pPr>
    </w:p>
    <w:p w14:paraId="4A0DA22D" w14:textId="77777777" w:rsidR="0014607D" w:rsidRDefault="0014607D" w:rsidP="0014607D">
      <w:pPr>
        <w:numPr>
          <w:ilvl w:val="0"/>
          <w:numId w:val="4"/>
        </w:numPr>
        <w:rPr>
          <w:rFonts w:cs="Calibri"/>
          <w:sz w:val="16"/>
          <w:szCs w:val="16"/>
        </w:rPr>
      </w:pPr>
      <w:r w:rsidRPr="004B64E5">
        <w:rPr>
          <w:sz w:val="22"/>
          <w:szCs w:val="22"/>
        </w:rPr>
        <w:t xml:space="preserve">ADA coordinators are designated in each State agency. </w:t>
      </w:r>
      <w:r>
        <w:rPr>
          <w:sz w:val="22"/>
          <w:szCs w:val="22"/>
        </w:rPr>
        <w:t>Since his start, Jason has worked to establish a</w:t>
      </w:r>
      <w:r w:rsidRPr="007F1D25">
        <w:rPr>
          <w:sz w:val="22"/>
          <w:szCs w:val="22"/>
        </w:rPr>
        <w:t xml:space="preserve"> rapport with all </w:t>
      </w:r>
      <w:r>
        <w:rPr>
          <w:sz w:val="22"/>
          <w:szCs w:val="22"/>
        </w:rPr>
        <w:t xml:space="preserve">the agencies’ ADA coordinators to foster a collaborative environment of compliance with disability laws. Future efforts are to establish regular contact through meetings and a newsletter to further enhance communication across agencies. </w:t>
      </w:r>
    </w:p>
    <w:p w14:paraId="08138380" w14:textId="77777777" w:rsidR="0014607D" w:rsidRDefault="0014607D" w:rsidP="0014607D">
      <w:pPr>
        <w:ind w:left="360"/>
        <w:rPr>
          <w:rFonts w:cs="Calibri"/>
          <w:sz w:val="16"/>
          <w:szCs w:val="16"/>
        </w:rPr>
      </w:pPr>
    </w:p>
    <w:p w14:paraId="6FA86F3C" w14:textId="77777777" w:rsidR="0014607D" w:rsidRPr="006B6508" w:rsidRDefault="0014607D" w:rsidP="0014607D">
      <w:pPr>
        <w:numPr>
          <w:ilvl w:val="0"/>
          <w:numId w:val="4"/>
        </w:numPr>
        <w:rPr>
          <w:rStyle w:val="Hyperlink"/>
          <w:rFonts w:cs="Calibri"/>
          <w:color w:val="auto"/>
          <w:sz w:val="16"/>
          <w:szCs w:val="16"/>
          <w:u w:val="none"/>
        </w:rPr>
      </w:pPr>
      <w:r w:rsidRPr="006B6508">
        <w:rPr>
          <w:rStyle w:val="Hyperlink"/>
          <w:color w:val="auto"/>
          <w:sz w:val="22"/>
          <w:szCs w:val="22"/>
          <w:u w:val="none"/>
        </w:rPr>
        <w:t>Provided technical assistance to several different state agencies and individuals on a variety of topics to eliminate barriers to any state programs, services, or activities.</w:t>
      </w:r>
    </w:p>
    <w:p w14:paraId="2BC0314E" w14:textId="77777777" w:rsidR="0014607D" w:rsidRDefault="0014607D" w:rsidP="0014607D">
      <w:pPr>
        <w:pStyle w:val="ListParagraph"/>
        <w:rPr>
          <w:rStyle w:val="Hyperlink"/>
          <w:color w:val="auto"/>
          <w:sz w:val="22"/>
          <w:szCs w:val="22"/>
          <w:u w:val="none"/>
        </w:rPr>
      </w:pPr>
    </w:p>
    <w:p w14:paraId="07305561" w14:textId="77777777" w:rsidR="0014607D" w:rsidRPr="006B6508" w:rsidRDefault="0014607D" w:rsidP="0014607D">
      <w:pPr>
        <w:numPr>
          <w:ilvl w:val="0"/>
          <w:numId w:val="4"/>
        </w:numPr>
        <w:rPr>
          <w:rStyle w:val="Hyperlink"/>
          <w:rFonts w:cs="Calibri"/>
          <w:color w:val="auto"/>
          <w:sz w:val="16"/>
          <w:szCs w:val="16"/>
          <w:u w:val="none"/>
        </w:rPr>
      </w:pPr>
      <w:r w:rsidRPr="006B6508">
        <w:rPr>
          <w:rStyle w:val="Hyperlink"/>
          <w:color w:val="auto"/>
          <w:sz w:val="22"/>
          <w:szCs w:val="22"/>
          <w:u w:val="none"/>
        </w:rPr>
        <w:t>Provided training to state agencies and associations regarding their obligations under the ADA (State Fire Marshal’s Office, DVR/DBVI, Maine School Management, Maine Municipal Association).</w:t>
      </w:r>
    </w:p>
    <w:p w14:paraId="64482E1F" w14:textId="77777777" w:rsidR="0014607D" w:rsidRPr="00F153FB" w:rsidRDefault="0014607D" w:rsidP="0014607D">
      <w:pPr>
        <w:ind w:left="360"/>
        <w:rPr>
          <w:rStyle w:val="Hyperlink"/>
          <w:rFonts w:cs="Calibri"/>
          <w:color w:val="auto"/>
          <w:sz w:val="22"/>
          <w:szCs w:val="22"/>
          <w:u w:val="none"/>
        </w:rPr>
      </w:pPr>
    </w:p>
    <w:p w14:paraId="401E4AD5" w14:textId="5FE97841" w:rsidR="00CD3028" w:rsidRDefault="0014607D" w:rsidP="0014607D">
      <w:pPr>
        <w:rPr>
          <w:rStyle w:val="Hyperlink"/>
          <w:rFonts w:cs="Calibri"/>
          <w:color w:val="auto"/>
          <w:sz w:val="22"/>
          <w:szCs w:val="22"/>
          <w:u w:val="none"/>
        </w:rPr>
      </w:pPr>
      <w:r>
        <w:rPr>
          <w:rStyle w:val="Hyperlink"/>
          <w:rFonts w:cs="Calibri"/>
          <w:color w:val="auto"/>
          <w:sz w:val="22"/>
          <w:szCs w:val="22"/>
          <w:u w:val="none"/>
        </w:rPr>
        <w:t>The coordinator sits and participates on several committees, which includes: ITAC, the Commission on Disability and Employment, the Moving Maine Advisory Committee, and the Assistive Technology Advisory Committee (Maine CITE).</w:t>
      </w:r>
    </w:p>
    <w:p w14:paraId="1AB73034" w14:textId="77777777" w:rsidR="00CD3028" w:rsidRDefault="00CD3028">
      <w:pPr>
        <w:rPr>
          <w:rStyle w:val="Hyperlink"/>
          <w:rFonts w:cs="Calibri"/>
          <w:color w:val="auto"/>
          <w:sz w:val="22"/>
          <w:szCs w:val="22"/>
          <w:u w:val="none"/>
        </w:rPr>
      </w:pPr>
      <w:r>
        <w:rPr>
          <w:rStyle w:val="Hyperlink"/>
          <w:rFonts w:cs="Calibri"/>
          <w:color w:val="auto"/>
          <w:sz w:val="22"/>
          <w:szCs w:val="22"/>
          <w:u w:val="none"/>
        </w:rPr>
        <w:br w:type="page"/>
      </w:r>
    </w:p>
    <w:p w14:paraId="06EA6496" w14:textId="77777777" w:rsidR="0014607D" w:rsidRDefault="0014607D" w:rsidP="003C69A8">
      <w:pPr>
        <w:jc w:val="center"/>
        <w:rPr>
          <w:rStyle w:val="Hyperlink"/>
          <w:rFonts w:cs="Calibri"/>
          <w:color w:val="auto"/>
          <w:sz w:val="22"/>
          <w:szCs w:val="22"/>
          <w:u w:val="none"/>
        </w:rPr>
      </w:pPr>
      <w:r>
        <w:rPr>
          <w:rStyle w:val="Hyperlink"/>
          <w:rFonts w:cs="Calibri"/>
          <w:noProof/>
          <w:color w:val="auto"/>
          <w:sz w:val="22"/>
          <w:szCs w:val="22"/>
          <w:u w:val="none"/>
        </w:rPr>
        <w:lastRenderedPageBreak/>
        <w:drawing>
          <wp:inline distT="0" distB="0" distL="0" distR="0" wp14:anchorId="70F11162" wp14:editId="6310DAD0">
            <wp:extent cx="5170114" cy="3876624"/>
            <wp:effectExtent l="171450" t="171450" r="164465" b="181610"/>
            <wp:docPr id="563568445" name="Picture 9" descr="Maine Department of Labor Commissioner and staff (pictured left to right): Carolyn Kinney - Intern, Erin Okane - Intern, Meli Stamp - Pathways to Partnership Youth Specialist, Commissioner Laura Fortman, Jason Angel - State Accessibility Coordinator represent the department at Disability Rights Maine’s Disability Pride 2025 event at Mill Park in Augu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68445" name="Picture 9" descr="Maine Department of Labor Commissioner and staff (pictured left to right): Carolyn Kinney - Intern, Erin Okane - Intern, Meli Stamp - Pathways to Partnership Youth Specialist, Commissioner Laura Fortman, Jason Angel - State Accessibility Coordinator represent the department at Disability Rights Maine’s Disability Pride 2025 event at Mill Park in August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34109" cy="392460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9216FE8" w14:textId="77777777" w:rsidR="0014607D" w:rsidRDefault="0014607D" w:rsidP="0014607D">
      <w:pPr>
        <w:rPr>
          <w:rStyle w:val="Hyperlink"/>
          <w:rFonts w:cs="Calibri"/>
          <w:color w:val="auto"/>
          <w:sz w:val="22"/>
          <w:szCs w:val="22"/>
          <w:u w:val="none"/>
        </w:rPr>
      </w:pPr>
    </w:p>
    <w:p w14:paraId="42CF17EF" w14:textId="77777777" w:rsidR="0014607D" w:rsidRDefault="0014607D" w:rsidP="003C69A8">
      <w:pPr>
        <w:jc w:val="center"/>
        <w:rPr>
          <w:rStyle w:val="Hyperlink"/>
          <w:rFonts w:cs="Calibri"/>
          <w:color w:val="auto"/>
          <w:sz w:val="22"/>
          <w:szCs w:val="22"/>
          <w:u w:val="none"/>
        </w:rPr>
      </w:pPr>
      <w:r>
        <w:rPr>
          <w:rStyle w:val="Hyperlink"/>
          <w:rFonts w:cs="Calibri"/>
          <w:color w:val="auto"/>
          <w:sz w:val="22"/>
          <w:szCs w:val="22"/>
          <w:u w:val="none"/>
        </w:rPr>
        <w:t>Maine Department of Labor Commissioner and staff (pictured left to right): Carolyn Kinney - Intern, Erin Okane - Intern, Meli Stamp - Pathways to Partnership Youth Specialist, Commissioner Laura Fortman, Jason Angel - State Accessibility Coordinator represent the department at Disability Rights Maine’s Disability Pride 2025 event at Mill Park in Augusta.</w:t>
      </w:r>
    </w:p>
    <w:p w14:paraId="2D8F723D" w14:textId="77777777" w:rsidR="0014607D" w:rsidRPr="00804C7D" w:rsidRDefault="0014607D" w:rsidP="0014607D">
      <w:pPr>
        <w:rPr>
          <w:rStyle w:val="Hyperlink"/>
          <w:rFonts w:cs="Calibri"/>
          <w:color w:val="auto"/>
          <w:sz w:val="22"/>
          <w:szCs w:val="22"/>
          <w:u w:val="none"/>
        </w:rPr>
      </w:pPr>
    </w:p>
    <w:p w14:paraId="5B099448" w14:textId="648BC19A" w:rsidR="0014607D" w:rsidRPr="00F43773" w:rsidRDefault="00F5197D" w:rsidP="0014607D">
      <w:pPr>
        <w:rPr>
          <w:rFonts w:cs="Calibri"/>
          <w:b/>
          <w:sz w:val="22"/>
          <w:szCs w:val="22"/>
        </w:rPr>
      </w:pPr>
      <w:r>
        <w:rPr>
          <w:rFonts w:cs="Calibri"/>
          <w:b/>
          <w:sz w:val="22"/>
          <w:szCs w:val="22"/>
        </w:rPr>
        <w:t>I</w:t>
      </w:r>
      <w:r w:rsidR="0014607D" w:rsidRPr="00F43773">
        <w:rPr>
          <w:rFonts w:cs="Calibri"/>
          <w:b/>
          <w:sz w:val="22"/>
          <w:szCs w:val="22"/>
        </w:rPr>
        <w:t>ndependent Living Highlights</w:t>
      </w:r>
    </w:p>
    <w:p w14:paraId="198A6C32" w14:textId="77777777" w:rsidR="0014607D" w:rsidRDefault="0014607D" w:rsidP="0014607D">
      <w:pPr>
        <w:rPr>
          <w:rFonts w:cs="Calibri"/>
          <w:sz w:val="22"/>
          <w:szCs w:val="22"/>
        </w:rPr>
      </w:pPr>
      <w:r>
        <w:rPr>
          <w:rFonts w:cs="Calibri"/>
          <w:sz w:val="22"/>
          <w:szCs w:val="22"/>
        </w:rPr>
        <w:t>As the State Independent Living (IL) Coordinator, Jason oversees contracts with the Independent Living Services Program at Alpha One and the Maine Statewide Independent Living Council (SILC), which empowers people with disabilities to live as independently as possible within their communities. The IL Coordinator works with the Kim Wallace Adaptive Equipment Loan Program, Maine’s flexible loan program for assistive technology, as well as the Assistive Technology Accessibility Committee.</w:t>
      </w:r>
    </w:p>
    <w:p w14:paraId="6E656C10" w14:textId="77777777" w:rsidR="0014607D" w:rsidRDefault="0014607D" w:rsidP="0014607D">
      <w:pPr>
        <w:rPr>
          <w:rFonts w:cs="Calibri"/>
          <w:sz w:val="22"/>
          <w:szCs w:val="22"/>
        </w:rPr>
      </w:pPr>
    </w:p>
    <w:p w14:paraId="43EFA0F7" w14:textId="77777777" w:rsidR="0014607D" w:rsidRDefault="0014607D" w:rsidP="0014607D">
      <w:pPr>
        <w:rPr>
          <w:rFonts w:cs="Calibri"/>
          <w:sz w:val="22"/>
          <w:szCs w:val="22"/>
        </w:rPr>
      </w:pPr>
      <w:r w:rsidRPr="003D2986">
        <w:rPr>
          <w:rFonts w:cs="Calibri"/>
          <w:sz w:val="22"/>
          <w:szCs w:val="22"/>
        </w:rPr>
        <w:t>Jason also serves on the Maine Outdoor Recreation for Everyone (M.O.R.E.) Committee</w:t>
      </w:r>
      <w:r>
        <w:rPr>
          <w:rFonts w:cs="Calibri"/>
          <w:sz w:val="22"/>
          <w:szCs w:val="22"/>
        </w:rPr>
        <w:t>.</w:t>
      </w:r>
      <w:r w:rsidRPr="003D2986">
        <w:rPr>
          <w:rFonts w:cs="Calibri"/>
          <w:sz w:val="22"/>
          <w:szCs w:val="22"/>
        </w:rPr>
        <w:t xml:space="preserve"> </w:t>
      </w:r>
      <w:r>
        <w:rPr>
          <w:rFonts w:cs="Calibri"/>
          <w:sz w:val="22"/>
          <w:szCs w:val="22"/>
        </w:rPr>
        <w:t>It is a committee of</w:t>
      </w:r>
      <w:r w:rsidRPr="003D2986">
        <w:rPr>
          <w:rFonts w:cs="Calibri"/>
          <w:sz w:val="22"/>
          <w:szCs w:val="22"/>
        </w:rPr>
        <w:t xml:space="preserve"> the Statewide Independent Living Council to advance the goals established under </w:t>
      </w:r>
      <w:hyperlink r:id="rId57" w:history="1">
        <w:r w:rsidRPr="00D46368">
          <w:rPr>
            <w:rStyle w:val="Hyperlink"/>
            <w:rFonts w:cs="Calibri"/>
            <w:sz w:val="22"/>
            <w:szCs w:val="22"/>
          </w:rPr>
          <w:t>Title 26, Chapter 19, Subchapter 2, Article 5</w:t>
        </w:r>
      </w:hyperlink>
      <w:r>
        <w:rPr>
          <w:rFonts w:cs="Calibri"/>
          <w:sz w:val="22"/>
          <w:szCs w:val="22"/>
        </w:rPr>
        <w:t xml:space="preserve"> – </w:t>
      </w:r>
      <w:r w:rsidRPr="003D2986">
        <w:rPr>
          <w:rFonts w:cs="Calibri"/>
          <w:sz w:val="22"/>
          <w:szCs w:val="22"/>
        </w:rPr>
        <w:t>ensuring that people with disabilities have full access to Maine’s recreational opportunities.</w:t>
      </w:r>
    </w:p>
    <w:p w14:paraId="5AFF0702" w14:textId="77777777" w:rsidR="0014607D" w:rsidRDefault="0014607D" w:rsidP="0014607D">
      <w:pPr>
        <w:rPr>
          <w:rFonts w:cs="Calibri"/>
          <w:sz w:val="22"/>
          <w:szCs w:val="22"/>
        </w:rPr>
      </w:pPr>
    </w:p>
    <w:p w14:paraId="04BCCB6B" w14:textId="77777777" w:rsidR="0014607D" w:rsidRPr="008E52D3" w:rsidRDefault="0014607D" w:rsidP="0014607D">
      <w:pPr>
        <w:rPr>
          <w:rFonts w:cs="Calibri"/>
          <w:sz w:val="22"/>
          <w:szCs w:val="22"/>
        </w:rPr>
      </w:pPr>
      <w:r>
        <w:rPr>
          <w:rFonts w:cs="Calibri"/>
          <w:sz w:val="22"/>
          <w:szCs w:val="22"/>
        </w:rPr>
        <w:t>M.O.R.E.’s priorities are to a</w:t>
      </w:r>
      <w:r w:rsidRPr="000C1E38">
        <w:rPr>
          <w:rFonts w:cs="Calibri"/>
          <w:sz w:val="22"/>
          <w:szCs w:val="22"/>
        </w:rPr>
        <w:t>dvise commissioners, educate the public, provide information, and conduct evaluations to promote, expand, and ensure accessible recreational opportunities for people with disabilities.</w:t>
      </w:r>
      <w:r>
        <w:rPr>
          <w:rFonts w:cs="Calibri"/>
          <w:sz w:val="22"/>
          <w:szCs w:val="22"/>
        </w:rPr>
        <w:t xml:space="preserve"> Jason’s ongoing site visits have begun to achieve a portion of these goals. The IL Coordinator is available to provide technical assistance and training for Maine businesses and individuals about disability rights in places of public accommodation and housing.</w:t>
      </w:r>
    </w:p>
    <w:p w14:paraId="6C6830FD" w14:textId="0FD529D6" w:rsidR="001F5CED" w:rsidRDefault="001F5CED">
      <w:pPr>
        <w:rPr>
          <w:highlight w:val="yellow"/>
        </w:rPr>
      </w:pPr>
      <w:bookmarkStart w:id="15" w:name="_Toc185326165"/>
      <w:r>
        <w:rPr>
          <w:highlight w:val="yellow"/>
        </w:rPr>
        <w:br w:type="page"/>
      </w:r>
    </w:p>
    <w:p w14:paraId="7226D214" w14:textId="354AB8B5" w:rsidR="0035448D" w:rsidRPr="00391669" w:rsidRDefault="005B31B8" w:rsidP="003E035D">
      <w:pPr>
        <w:pStyle w:val="Heading1"/>
        <w:rPr>
          <w:rStyle w:val="Hyperlink"/>
          <w:rFonts w:ascii="Arial" w:hAnsi="Arial" w:cs="Arial"/>
          <w:color w:val="auto"/>
          <w:u w:val="none"/>
        </w:rPr>
      </w:pPr>
      <w:r w:rsidRPr="00062E6F">
        <w:lastRenderedPageBreak/>
        <w:t>P</w:t>
      </w:r>
      <w:r w:rsidR="0035448D" w:rsidRPr="00062E6F">
        <w:t>artner</w:t>
      </w:r>
      <w:r w:rsidR="005B6BCB" w:rsidRPr="00062E6F">
        <w:t>s in Advocacy, Advisory Boards and</w:t>
      </w:r>
      <w:r w:rsidR="0035448D" w:rsidRPr="00062E6F">
        <w:t xml:space="preserve"> Councils</w:t>
      </w:r>
      <w:bookmarkEnd w:id="15"/>
    </w:p>
    <w:p w14:paraId="7AE2DFA0" w14:textId="77777777" w:rsidR="00D821D3" w:rsidRPr="00D821D3" w:rsidRDefault="00D821D3" w:rsidP="00D821D3">
      <w:pPr>
        <w:tabs>
          <w:tab w:val="left" w:pos="10710"/>
        </w:tabs>
        <w:ind w:left="270" w:right="450"/>
        <w:rPr>
          <w:rFonts w:cs="Calibri"/>
          <w:sz w:val="22"/>
          <w:szCs w:val="22"/>
        </w:rPr>
      </w:pPr>
      <w:r w:rsidRPr="00D821D3">
        <w:rPr>
          <w:rFonts w:cs="Calibri"/>
          <w:b/>
          <w:bCs/>
          <w:iCs/>
          <w:sz w:val="22"/>
          <w:szCs w:val="22"/>
        </w:rPr>
        <w:t xml:space="preserve">Client Assistance Program </w:t>
      </w:r>
      <w:r w:rsidRPr="00D821D3">
        <w:rPr>
          <w:rFonts w:cs="Calibri"/>
          <w:sz w:val="22"/>
          <w:szCs w:val="22"/>
        </w:rPr>
        <w:t xml:space="preserve">at Disability Rights Maine provides information, advice, advocacy, and (if determined necessary) legal representation to persons who have concerns about the rehabilitation services they receive from DVR and DBVI. Website: </w:t>
      </w:r>
      <w:hyperlink r:id="rId58" w:history="1">
        <w:r w:rsidRPr="00D821D3">
          <w:rPr>
            <w:rFonts w:cs="Calibri"/>
            <w:color w:val="0070C0"/>
            <w:sz w:val="22"/>
            <w:szCs w:val="22"/>
            <w:u w:val="single"/>
          </w:rPr>
          <w:t>https://drme.org/client-assistance-program</w:t>
        </w:r>
      </w:hyperlink>
    </w:p>
    <w:p w14:paraId="6CAA0890" w14:textId="77777777" w:rsidR="00D821D3" w:rsidRPr="00D821D3" w:rsidRDefault="00D821D3" w:rsidP="00D821D3">
      <w:pPr>
        <w:ind w:left="270" w:right="450"/>
        <w:rPr>
          <w:rFonts w:cs="Calibri"/>
          <w:sz w:val="14"/>
          <w:szCs w:val="14"/>
        </w:rPr>
      </w:pPr>
    </w:p>
    <w:p w14:paraId="52177DDD" w14:textId="0FCF128C" w:rsidR="00D821D3" w:rsidRPr="00D821D3" w:rsidRDefault="00D821D3" w:rsidP="00D821D3">
      <w:pPr>
        <w:ind w:left="270" w:right="450"/>
        <w:rPr>
          <w:rFonts w:cs="Calibri"/>
          <w:sz w:val="22"/>
          <w:szCs w:val="22"/>
        </w:rPr>
      </w:pPr>
      <w:r w:rsidRPr="00D821D3">
        <w:rPr>
          <w:rFonts w:cs="Calibri"/>
          <w:b/>
          <w:sz w:val="22"/>
          <w:szCs w:val="22"/>
        </w:rPr>
        <w:t xml:space="preserve">Commission for the Deaf, Hard of Hearing and Late Deafened </w:t>
      </w:r>
      <w:r w:rsidRPr="00D821D3">
        <w:rPr>
          <w:rFonts w:cs="Calibri"/>
          <w:sz w:val="22"/>
          <w:szCs w:val="22"/>
        </w:rPr>
        <w:t>is an</w:t>
      </w:r>
      <w:r w:rsidRPr="00D821D3">
        <w:rPr>
          <w:rFonts w:cs="Calibri"/>
          <w:b/>
          <w:sz w:val="22"/>
          <w:szCs w:val="22"/>
        </w:rPr>
        <w:t xml:space="preserve"> </w:t>
      </w:r>
      <w:r w:rsidRPr="00D821D3">
        <w:rPr>
          <w:rFonts w:cs="Calibri"/>
          <w:sz w:val="22"/>
          <w:szCs w:val="22"/>
        </w:rPr>
        <w:t>advisory council that provides a review of the status of services to Deaf and hard-of-hearing persons, recommends priorities for development, evaluates the progress made as a result of recommendations, and sets goals for activities of</w:t>
      </w:r>
      <w:r w:rsidR="00514125">
        <w:rPr>
          <w:rFonts w:cs="Calibri"/>
          <w:sz w:val="22"/>
          <w:szCs w:val="22"/>
        </w:rPr>
        <w:t xml:space="preserve"> the </w:t>
      </w:r>
      <w:r w:rsidR="00370753">
        <w:rPr>
          <w:rFonts w:cs="Calibri"/>
          <w:sz w:val="22"/>
          <w:szCs w:val="22"/>
        </w:rPr>
        <w:t>division</w:t>
      </w:r>
      <w:r w:rsidRPr="00D821D3">
        <w:rPr>
          <w:rFonts w:cs="Calibri"/>
          <w:sz w:val="22"/>
          <w:szCs w:val="22"/>
        </w:rPr>
        <w:t xml:space="preserve"> to carry out its obligations and responsibilities to the Deaf and hard of hearing communities.  </w:t>
      </w:r>
    </w:p>
    <w:p w14:paraId="6A44635F" w14:textId="77777777" w:rsidR="00D821D3" w:rsidRPr="00D821D3" w:rsidRDefault="00D821D3" w:rsidP="00D821D3">
      <w:pPr>
        <w:ind w:left="270" w:right="450"/>
        <w:rPr>
          <w:color w:val="7030A0"/>
          <w:sz w:val="22"/>
          <w:szCs w:val="22"/>
        </w:rPr>
      </w:pPr>
      <w:r w:rsidRPr="00D821D3">
        <w:rPr>
          <w:rFonts w:cs="Calibri"/>
          <w:sz w:val="22"/>
          <w:szCs w:val="22"/>
        </w:rPr>
        <w:t xml:space="preserve">Website: </w:t>
      </w:r>
      <w:hyperlink r:id="rId59" w:history="1">
        <w:r w:rsidRPr="00D821D3">
          <w:rPr>
            <w:color w:val="0000FF"/>
            <w:sz w:val="22"/>
            <w:szCs w:val="22"/>
            <w:u w:val="single"/>
          </w:rPr>
          <w:t>https://www.maine.gov/rehab/advisory_councils/dod</w:t>
        </w:r>
      </w:hyperlink>
    </w:p>
    <w:p w14:paraId="5CA5166A" w14:textId="77777777" w:rsidR="00D821D3" w:rsidRPr="00D821D3" w:rsidRDefault="00D821D3" w:rsidP="00D821D3">
      <w:pPr>
        <w:ind w:left="270" w:right="450"/>
        <w:rPr>
          <w:rFonts w:cs="Calibri"/>
          <w:color w:val="7030A0"/>
          <w:sz w:val="14"/>
          <w:szCs w:val="14"/>
        </w:rPr>
      </w:pPr>
    </w:p>
    <w:p w14:paraId="4459D7B8" w14:textId="77777777" w:rsidR="00D821D3" w:rsidRPr="00D821D3" w:rsidRDefault="00D821D3" w:rsidP="00D821D3">
      <w:pPr>
        <w:ind w:left="270" w:right="450"/>
        <w:rPr>
          <w:rFonts w:cs="Calibri"/>
          <w:sz w:val="22"/>
          <w:szCs w:val="22"/>
        </w:rPr>
      </w:pPr>
      <w:r w:rsidRPr="00D821D3">
        <w:rPr>
          <w:rFonts w:cs="Calibri"/>
          <w:b/>
          <w:bCs/>
          <w:iCs/>
          <w:sz w:val="22"/>
          <w:szCs w:val="22"/>
        </w:rPr>
        <w:t>Commission on Disability and Employment (CDE)</w:t>
      </w:r>
      <w:r w:rsidRPr="00D821D3">
        <w:rPr>
          <w:rFonts w:cs="Calibri"/>
          <w:sz w:val="22"/>
          <w:szCs w:val="22"/>
        </w:rPr>
        <w:t xml:space="preserve"> is a subcommittee of the State Workforce Board. The Commission promotes collaboration with the public and private sectors to increase awareness and influence policy related to employment for people with disabilities. Its members envision a Maine workforce that includes all people with disabilities employed in jobs that meet both their economic and personal needs.</w:t>
      </w:r>
    </w:p>
    <w:p w14:paraId="58950414" w14:textId="0DBC7B83" w:rsidR="0003529A" w:rsidRPr="0003529A" w:rsidRDefault="00D821D3" w:rsidP="0003529A">
      <w:pPr>
        <w:ind w:left="270" w:right="450"/>
      </w:pPr>
      <w:r w:rsidRPr="00D821D3">
        <w:rPr>
          <w:rFonts w:cs="Calibri"/>
          <w:sz w:val="22"/>
          <w:szCs w:val="22"/>
        </w:rPr>
        <w:t xml:space="preserve">Website: </w:t>
      </w:r>
      <w:hyperlink r:id="rId60" w:history="1">
        <w:r w:rsidRPr="00D821D3">
          <w:rPr>
            <w:color w:val="0070C0"/>
            <w:sz w:val="22"/>
            <w:szCs w:val="22"/>
            <w:u w:val="single"/>
          </w:rPr>
          <w:t>https://www.maine.gov/swb/committees/disability_employment/index.shtml</w:t>
        </w:r>
      </w:hyperlink>
    </w:p>
    <w:p w14:paraId="6014B6E4" w14:textId="77777777" w:rsidR="00D821D3" w:rsidRPr="00D821D3" w:rsidRDefault="00D821D3" w:rsidP="00D821D3">
      <w:pPr>
        <w:ind w:left="270" w:right="450"/>
        <w:rPr>
          <w:rFonts w:cs="Calibri"/>
          <w:sz w:val="10"/>
          <w:szCs w:val="8"/>
          <w:u w:val="single"/>
        </w:rPr>
      </w:pPr>
    </w:p>
    <w:p w14:paraId="15B936D3" w14:textId="4FF13529" w:rsidR="00D821D3" w:rsidRPr="00D821D3" w:rsidRDefault="00D821D3" w:rsidP="00D821D3">
      <w:pPr>
        <w:ind w:left="270" w:right="450"/>
        <w:rPr>
          <w:rFonts w:cs="Calibri"/>
          <w:sz w:val="22"/>
          <w:szCs w:val="22"/>
        </w:rPr>
      </w:pPr>
      <w:r w:rsidRPr="00D821D3">
        <w:rPr>
          <w:rFonts w:cs="Calibri"/>
          <w:b/>
          <w:sz w:val="22"/>
          <w:szCs w:val="22"/>
        </w:rPr>
        <w:t xml:space="preserve">DBVI State Rehabilitation Council (SRC) </w:t>
      </w:r>
      <w:r w:rsidRPr="00D821D3">
        <w:rPr>
          <w:sz w:val="22"/>
          <w:szCs w:val="22"/>
        </w:rPr>
        <w:t xml:space="preserve">is a diverse group of people concerned with the quality of vocational rehabilitation services provided to blind Maine citizens. The SRC’s core functions are to review, analyze, and advise on the policies and </w:t>
      </w:r>
      <w:r w:rsidR="00BE6617">
        <w:rPr>
          <w:sz w:val="22"/>
          <w:szCs w:val="22"/>
        </w:rPr>
        <w:t>other related entities involved with the employment of people who are blind or have vision impairments.</w:t>
      </w:r>
      <w:r w:rsidRPr="00D821D3">
        <w:rPr>
          <w:rFonts w:cs="Calibri"/>
          <w:sz w:val="22"/>
          <w:szCs w:val="22"/>
        </w:rPr>
        <w:t xml:space="preserve"> </w:t>
      </w:r>
      <w:r w:rsidRPr="00D821D3">
        <w:rPr>
          <w:sz w:val="22"/>
          <w:szCs w:val="22"/>
        </w:rPr>
        <w:t>Website:</w:t>
      </w:r>
      <w:r w:rsidRPr="00D821D3">
        <w:rPr>
          <w:rFonts w:cs="Calibri"/>
          <w:sz w:val="22"/>
          <w:szCs w:val="22"/>
        </w:rPr>
        <w:t xml:space="preserve"> </w:t>
      </w:r>
      <w:hyperlink r:id="rId61" w:history="1">
        <w:r w:rsidRPr="00D821D3">
          <w:rPr>
            <w:rFonts w:cs="Calibri"/>
            <w:color w:val="0070C0"/>
            <w:sz w:val="22"/>
            <w:szCs w:val="22"/>
            <w:u w:val="single"/>
          </w:rPr>
          <w:t>https://maine-src-dbvi.org</w:t>
        </w:r>
      </w:hyperlink>
    </w:p>
    <w:p w14:paraId="7D790900" w14:textId="77777777" w:rsidR="00D821D3" w:rsidRPr="00D821D3" w:rsidRDefault="00D821D3" w:rsidP="00D821D3">
      <w:pPr>
        <w:ind w:left="270" w:right="450"/>
        <w:rPr>
          <w:rFonts w:cs="Calibri"/>
          <w:sz w:val="10"/>
          <w:szCs w:val="8"/>
        </w:rPr>
      </w:pPr>
    </w:p>
    <w:p w14:paraId="181D4078" w14:textId="47F1D234" w:rsidR="0003529A" w:rsidRDefault="00D821D3" w:rsidP="0003529A">
      <w:pPr>
        <w:ind w:left="270" w:right="450"/>
      </w:pPr>
      <w:hyperlink r:id="rId62" w:tooltip="http://www.mainesrc.org/home" w:history="1">
        <w:r w:rsidRPr="00D821D3">
          <w:rPr>
            <w:rFonts w:cs="Calibri"/>
            <w:b/>
            <w:bCs/>
            <w:iCs/>
            <w:sz w:val="22"/>
            <w:szCs w:val="22"/>
          </w:rPr>
          <w:t>DVR State Rehabilitation Council (SRC)</w:t>
        </w:r>
      </w:hyperlink>
      <w:r w:rsidRPr="00D821D3">
        <w:rPr>
          <w:rFonts w:cs="Calibri"/>
          <w:sz w:val="22"/>
          <w:szCs w:val="22"/>
        </w:rPr>
        <w:t xml:space="preserve"> is a statewide citizens group that advises DVR about how well its programs and services match the needs of people with disabilities in Maine. In partnership, the SRC works with DVR to review, analyze, and advise the state agency regarding its performance in providing vocational rehabilitation services.  Website: </w:t>
      </w:r>
      <w:hyperlink r:id="rId63" w:history="1">
        <w:r w:rsidRPr="00D821D3">
          <w:rPr>
            <w:rFonts w:cs="Calibri"/>
            <w:color w:val="0070C0"/>
            <w:sz w:val="22"/>
            <w:szCs w:val="22"/>
            <w:u w:val="single"/>
          </w:rPr>
          <w:t>https://mainesrc.org</w:t>
        </w:r>
      </w:hyperlink>
    </w:p>
    <w:p w14:paraId="2D18492D" w14:textId="77777777" w:rsidR="0003529A" w:rsidRDefault="0003529A" w:rsidP="0003529A">
      <w:pPr>
        <w:ind w:left="270" w:right="450"/>
        <w:rPr>
          <w:sz w:val="10"/>
          <w:szCs w:val="10"/>
        </w:rPr>
      </w:pPr>
    </w:p>
    <w:p w14:paraId="4A45B2B8" w14:textId="48CE76AA" w:rsidR="0003529A" w:rsidRDefault="0003529A" w:rsidP="0003529A">
      <w:pPr>
        <w:ind w:left="270" w:right="450"/>
        <w:rPr>
          <w:sz w:val="22"/>
          <w:szCs w:val="22"/>
        </w:rPr>
      </w:pPr>
      <w:r>
        <w:rPr>
          <w:b/>
          <w:bCs/>
          <w:sz w:val="22"/>
          <w:szCs w:val="22"/>
        </w:rPr>
        <w:t xml:space="preserve">Maine Statewide Independent Living Council (SILC) </w:t>
      </w:r>
      <w:r>
        <w:rPr>
          <w:sz w:val="22"/>
          <w:szCs w:val="22"/>
        </w:rPr>
        <w:t xml:space="preserve">is dedicated to ensuring that citizens with disabilities have control over their lives and environments with equal access to option, opportunities, and choices, as do all citizens. The Maine SILC is a federally mandated council under the Rehabilitation Act of 1973. The Maine SILC advances independent living by engaging in or supporting research, publication, employment, community organizing, advocacy, and systems reform. Federal statute requires that a Statewide Independent Living Council be established and not within a State agency. If you are interested in attending a Maine SILC meeting, please contact the Chairperson – </w:t>
      </w:r>
      <w:hyperlink r:id="rId64" w:history="1">
        <w:r w:rsidRPr="00D51452">
          <w:rPr>
            <w:rStyle w:val="Hyperlink"/>
            <w:sz w:val="22"/>
            <w:szCs w:val="22"/>
          </w:rPr>
          <w:t>chair@mainesilc.org</w:t>
        </w:r>
      </w:hyperlink>
      <w:r>
        <w:rPr>
          <w:sz w:val="22"/>
          <w:szCs w:val="22"/>
        </w:rPr>
        <w:t xml:space="preserve"> Website: </w:t>
      </w:r>
      <w:hyperlink r:id="rId65" w:history="1">
        <w:r w:rsidRPr="0003529A">
          <w:rPr>
            <w:rStyle w:val="Hyperlink"/>
            <w:sz w:val="22"/>
            <w:szCs w:val="22"/>
          </w:rPr>
          <w:t>https://northstarworks.org/sites/silc/</w:t>
        </w:r>
      </w:hyperlink>
    </w:p>
    <w:p w14:paraId="7EDA0884" w14:textId="41D14978" w:rsidR="00E1233E" w:rsidRDefault="00E1233E">
      <w:pPr>
        <w:rPr>
          <w:highlight w:val="yellow"/>
        </w:rPr>
      </w:pPr>
      <w:r>
        <w:rPr>
          <w:highlight w:val="yellow"/>
        </w:rPr>
        <w:br w:type="page"/>
      </w:r>
    </w:p>
    <w:p w14:paraId="47B87484" w14:textId="6329B409" w:rsidR="00BB554C" w:rsidRPr="00045AF3" w:rsidRDefault="0035448D" w:rsidP="006B617C">
      <w:pPr>
        <w:pStyle w:val="Heading1"/>
        <w:rPr>
          <w:rFonts w:cs="Calibri"/>
          <w:sz w:val="28"/>
        </w:rPr>
      </w:pPr>
      <w:bookmarkStart w:id="16" w:name="_Toc185326166"/>
      <w:r w:rsidRPr="00062E6F">
        <w:lastRenderedPageBreak/>
        <w:t>BRS Office Directory</w:t>
      </w:r>
      <w:bookmarkEnd w:id="16"/>
      <w:r w:rsidRPr="00045AF3">
        <w:rPr>
          <w:rFonts w:cs="Calibri"/>
          <w:sz w:val="28"/>
        </w:rPr>
        <w:tab/>
      </w:r>
    </w:p>
    <w:tbl>
      <w:tblPr>
        <w:tblStyle w:val="TableGridLigh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5539"/>
      </w:tblGrid>
      <w:tr w:rsidR="005927D5" w:rsidRPr="0015030C" w14:paraId="78F80BD5" w14:textId="77777777" w:rsidTr="00BB554C">
        <w:trPr>
          <w:trHeight w:val="1808"/>
        </w:trPr>
        <w:tc>
          <w:tcPr>
            <w:tcW w:w="5215" w:type="dxa"/>
            <w:shd w:val="clear" w:color="auto" w:fill="E8E6DE" w:themeFill="background2"/>
            <w:vAlign w:val="center"/>
          </w:tcPr>
          <w:p w14:paraId="3687B716" w14:textId="77777777" w:rsidR="005927D5" w:rsidRPr="00555300" w:rsidRDefault="005927D5" w:rsidP="005E2168">
            <w:pPr>
              <w:rPr>
                <w:rFonts w:asciiTheme="minorHAnsi" w:hAnsiTheme="minorHAnsi" w:cstheme="minorHAnsi"/>
                <w:b/>
                <w:sz w:val="22"/>
                <w:szCs w:val="22"/>
              </w:rPr>
            </w:pPr>
            <w:r w:rsidRPr="00555300">
              <w:rPr>
                <w:rFonts w:asciiTheme="minorHAnsi" w:hAnsiTheme="minorHAnsi" w:cstheme="minorHAnsi"/>
                <w:b/>
                <w:sz w:val="22"/>
                <w:szCs w:val="22"/>
              </w:rPr>
              <w:t>Central Administrative Office</w:t>
            </w:r>
          </w:p>
          <w:p w14:paraId="0F87A5EE" w14:textId="77777777" w:rsidR="005927D5" w:rsidRPr="00555300" w:rsidRDefault="005927D5" w:rsidP="005E2168">
            <w:pPr>
              <w:rPr>
                <w:rFonts w:asciiTheme="minorHAnsi" w:hAnsiTheme="minorHAnsi" w:cstheme="minorHAnsi"/>
                <w:sz w:val="22"/>
                <w:szCs w:val="22"/>
              </w:rPr>
            </w:pPr>
            <w:r w:rsidRPr="00555300">
              <w:rPr>
                <w:rFonts w:asciiTheme="minorHAnsi" w:hAnsiTheme="minorHAnsi" w:cstheme="minorHAnsi"/>
                <w:sz w:val="22"/>
                <w:szCs w:val="22"/>
              </w:rPr>
              <w:t>Bureau of Rehabilitation Services</w:t>
            </w:r>
          </w:p>
          <w:p w14:paraId="61F55441" w14:textId="6E4A399D" w:rsidR="005927D5" w:rsidRPr="00555300" w:rsidRDefault="00045AF3" w:rsidP="005E2168">
            <w:pPr>
              <w:rPr>
                <w:rFonts w:asciiTheme="minorHAnsi" w:hAnsiTheme="minorHAnsi" w:cstheme="minorHAnsi"/>
                <w:sz w:val="22"/>
                <w:szCs w:val="22"/>
              </w:rPr>
            </w:pPr>
            <w:r>
              <w:rPr>
                <w:rFonts w:asciiTheme="minorHAnsi" w:hAnsiTheme="minorHAnsi" w:cstheme="minorHAnsi"/>
                <w:sz w:val="22"/>
                <w:szCs w:val="22"/>
              </w:rPr>
              <w:t>45 Commerce Drive, 150 State House Station</w:t>
            </w:r>
            <w:r w:rsidR="00555300">
              <w:rPr>
                <w:rFonts w:asciiTheme="minorHAnsi" w:hAnsiTheme="minorHAnsi" w:cstheme="minorHAnsi"/>
                <w:sz w:val="22"/>
                <w:szCs w:val="22"/>
              </w:rPr>
              <w:br/>
            </w:r>
            <w:r w:rsidR="005927D5" w:rsidRPr="00555300">
              <w:rPr>
                <w:rFonts w:asciiTheme="minorHAnsi" w:hAnsiTheme="minorHAnsi" w:cstheme="minorHAnsi"/>
                <w:sz w:val="22"/>
                <w:szCs w:val="22"/>
              </w:rPr>
              <w:t>Augusta, ME 04333</w:t>
            </w:r>
          </w:p>
          <w:p w14:paraId="1BAE35AE" w14:textId="260E529E" w:rsidR="005927D5" w:rsidRPr="00555300" w:rsidRDefault="005927D5" w:rsidP="005E2168">
            <w:pPr>
              <w:rPr>
                <w:rFonts w:asciiTheme="minorHAnsi" w:hAnsiTheme="minorHAnsi"/>
                <w:sz w:val="22"/>
                <w:szCs w:val="22"/>
              </w:rPr>
            </w:pPr>
            <w:r w:rsidRPr="00555300">
              <w:rPr>
                <w:rFonts w:asciiTheme="minorHAnsi" w:hAnsiTheme="minorHAnsi" w:cstheme="minorHAnsi"/>
                <w:sz w:val="22"/>
                <w:szCs w:val="22"/>
              </w:rPr>
              <w:t>Tel: 207-623-6799</w:t>
            </w:r>
            <w:r w:rsidR="00555300">
              <w:rPr>
                <w:rFonts w:asciiTheme="minorHAnsi" w:hAnsiTheme="minorHAnsi" w:cstheme="minorHAnsi"/>
                <w:sz w:val="22"/>
                <w:szCs w:val="22"/>
              </w:rPr>
              <w:br/>
            </w:r>
            <w:r w:rsidR="006743D2" w:rsidRPr="00555300">
              <w:rPr>
                <w:rFonts w:asciiTheme="minorHAnsi" w:hAnsiTheme="minorHAnsi" w:cstheme="minorHAnsi"/>
                <w:sz w:val="22"/>
                <w:szCs w:val="22"/>
              </w:rPr>
              <w:t>Fax: 207-287-5292</w:t>
            </w:r>
          </w:p>
        </w:tc>
        <w:tc>
          <w:tcPr>
            <w:tcW w:w="5539" w:type="dxa"/>
            <w:shd w:val="clear" w:color="auto" w:fill="E8E6DE" w:themeFill="background2"/>
            <w:vAlign w:val="center"/>
          </w:tcPr>
          <w:p w14:paraId="1AA8EC0A" w14:textId="5F408D2A" w:rsidR="001E6B47" w:rsidRPr="00555300" w:rsidRDefault="007462C7" w:rsidP="005E2168">
            <w:pPr>
              <w:rPr>
                <w:rFonts w:asciiTheme="minorHAnsi" w:hAnsiTheme="minorHAnsi" w:cstheme="minorHAnsi"/>
                <w:sz w:val="22"/>
                <w:szCs w:val="22"/>
              </w:rPr>
            </w:pPr>
            <w:r w:rsidRPr="00555300">
              <w:rPr>
                <w:rFonts w:ascii="Calibri" w:hAnsi="Calibri" w:cs="Calibri"/>
                <w:b/>
                <w:bCs/>
                <w:iCs/>
                <w:sz w:val="22"/>
                <w:szCs w:val="22"/>
              </w:rPr>
              <w:t>From any location</w:t>
            </w:r>
            <w:r w:rsidR="00174E9A" w:rsidRPr="00555300">
              <w:rPr>
                <w:rFonts w:ascii="Calibri" w:hAnsi="Calibri" w:cs="Calibri"/>
                <w:b/>
                <w:bCs/>
                <w:iCs/>
                <w:sz w:val="22"/>
                <w:szCs w:val="22"/>
              </w:rPr>
              <w:t>:</w:t>
            </w:r>
            <w:r w:rsidRPr="00555300">
              <w:rPr>
                <w:rFonts w:ascii="Calibri" w:hAnsi="Calibri" w:cs="Calibri"/>
                <w:i/>
                <w:sz w:val="22"/>
                <w:szCs w:val="22"/>
              </w:rPr>
              <w:t xml:space="preserve"> </w:t>
            </w:r>
            <w:r w:rsidR="001E6B47" w:rsidRPr="00555300">
              <w:rPr>
                <w:rFonts w:ascii="Calibri" w:hAnsi="Calibri" w:cs="Calibri"/>
                <w:i/>
                <w:sz w:val="22"/>
                <w:szCs w:val="22"/>
              </w:rPr>
              <w:br/>
            </w:r>
            <w:r w:rsidR="001E6B47" w:rsidRPr="00555300">
              <w:rPr>
                <w:rFonts w:asciiTheme="minorHAnsi" w:hAnsiTheme="minorHAnsi" w:cstheme="minorHAnsi"/>
                <w:sz w:val="22"/>
                <w:szCs w:val="22"/>
              </w:rPr>
              <w:t>Tel.</w:t>
            </w:r>
            <w:r w:rsidR="00555300">
              <w:rPr>
                <w:rFonts w:asciiTheme="minorHAnsi" w:hAnsiTheme="minorHAnsi" w:cstheme="minorHAnsi"/>
                <w:sz w:val="22"/>
                <w:szCs w:val="22"/>
              </w:rPr>
              <w:t>:</w:t>
            </w:r>
            <w:r w:rsidR="001E6B47" w:rsidRPr="00555300">
              <w:rPr>
                <w:rFonts w:asciiTheme="minorHAnsi" w:hAnsiTheme="minorHAnsi" w:cstheme="minorHAnsi"/>
                <w:sz w:val="22"/>
                <w:szCs w:val="22"/>
              </w:rPr>
              <w:t xml:space="preserve"> 1-888-457-8883</w:t>
            </w:r>
          </w:p>
          <w:p w14:paraId="1F9D84B0" w14:textId="5699B33B" w:rsidR="005927D5" w:rsidRPr="00555300" w:rsidRDefault="007462C7" w:rsidP="005E2168">
            <w:pPr>
              <w:rPr>
                <w:rFonts w:ascii="Calibri" w:eastAsia="MS Mincho" w:hAnsi="Calibri" w:cs="Calibri"/>
                <w:color w:val="FF0000"/>
                <w:sz w:val="22"/>
                <w:szCs w:val="22"/>
              </w:rPr>
            </w:pPr>
            <w:r w:rsidRPr="00555300">
              <w:rPr>
                <w:rFonts w:asciiTheme="minorHAnsi" w:hAnsiTheme="minorHAnsi" w:cstheme="minorHAnsi"/>
                <w:sz w:val="22"/>
                <w:szCs w:val="22"/>
              </w:rPr>
              <w:t>TTY users call Maine Relay 711</w:t>
            </w:r>
          </w:p>
        </w:tc>
      </w:tr>
      <w:tr w:rsidR="0015030C" w:rsidRPr="0015030C" w14:paraId="14959C79" w14:textId="77777777" w:rsidTr="00BB554C">
        <w:trPr>
          <w:trHeight w:val="1691"/>
        </w:trPr>
        <w:tc>
          <w:tcPr>
            <w:tcW w:w="5215" w:type="dxa"/>
            <w:shd w:val="clear" w:color="auto" w:fill="E8E6DE" w:themeFill="background2"/>
            <w:vAlign w:val="center"/>
          </w:tcPr>
          <w:p w14:paraId="5EEAD78C" w14:textId="1956DB7D"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Augusta CareerCenter</w:t>
            </w:r>
          </w:p>
          <w:p w14:paraId="725C08B9" w14:textId="48AADE4E"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45 Commerce Drive</w:t>
            </w:r>
            <w:r w:rsidR="00045AF3">
              <w:rPr>
                <w:rFonts w:asciiTheme="minorHAnsi" w:eastAsia="MS Mincho" w:hAnsiTheme="minorHAnsi"/>
                <w:sz w:val="22"/>
                <w:szCs w:val="22"/>
              </w:rPr>
              <w:t>, 73 State House Station</w:t>
            </w:r>
            <w:r w:rsidR="00555300">
              <w:rPr>
                <w:rFonts w:asciiTheme="minorHAnsi" w:eastAsia="MS Mincho" w:hAnsiTheme="minorHAnsi"/>
                <w:sz w:val="22"/>
                <w:szCs w:val="22"/>
              </w:rPr>
              <w:br/>
            </w:r>
            <w:r w:rsidRPr="00555300">
              <w:rPr>
                <w:rFonts w:asciiTheme="minorHAnsi" w:eastAsia="MS Mincho" w:hAnsiTheme="minorHAnsi"/>
                <w:sz w:val="22"/>
                <w:szCs w:val="22"/>
              </w:rPr>
              <w:t>Augusta, ME 04333</w:t>
            </w:r>
            <w:r w:rsidR="007E6B33" w:rsidRPr="00555300">
              <w:rPr>
                <w:rFonts w:asciiTheme="minorHAnsi" w:eastAsia="MS Mincho" w:hAnsiTheme="minorHAnsi"/>
                <w:sz w:val="22"/>
                <w:szCs w:val="22"/>
              </w:rPr>
              <w:t>-0073</w:t>
            </w:r>
          </w:p>
          <w:p w14:paraId="4FC78C81" w14:textId="013C703B" w:rsidR="0015030C"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 xml:space="preserve">Tel: 207-624-5120 </w:t>
            </w:r>
            <w:r w:rsidR="00555300">
              <w:rPr>
                <w:rFonts w:asciiTheme="minorHAnsi" w:eastAsia="MS Mincho" w:hAnsiTheme="minorHAnsi"/>
                <w:sz w:val="22"/>
                <w:szCs w:val="22"/>
              </w:rPr>
              <w:br/>
            </w:r>
            <w:r w:rsidR="00594AAE" w:rsidRPr="00555300">
              <w:rPr>
                <w:rFonts w:asciiTheme="minorHAnsi" w:eastAsia="MS Mincho" w:hAnsiTheme="minorHAnsi"/>
                <w:sz w:val="22"/>
                <w:szCs w:val="22"/>
              </w:rPr>
              <w:t>Fax: 207-</w:t>
            </w:r>
            <w:r w:rsidR="0049516D" w:rsidRPr="00555300">
              <w:rPr>
                <w:rFonts w:asciiTheme="minorHAnsi" w:eastAsia="MS Mincho" w:hAnsiTheme="minorHAnsi"/>
                <w:sz w:val="22"/>
                <w:szCs w:val="22"/>
              </w:rPr>
              <w:t>287-6249</w:t>
            </w:r>
          </w:p>
        </w:tc>
        <w:tc>
          <w:tcPr>
            <w:tcW w:w="5539" w:type="dxa"/>
            <w:shd w:val="clear" w:color="auto" w:fill="E8E6DE" w:themeFill="background2"/>
            <w:vAlign w:val="center"/>
          </w:tcPr>
          <w:p w14:paraId="35660EE6" w14:textId="53481F14"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 xml:space="preserve">Lewiston </w:t>
            </w:r>
            <w:r w:rsidR="003D03A6" w:rsidRPr="00555300">
              <w:rPr>
                <w:rFonts w:asciiTheme="minorHAnsi" w:eastAsia="MS Mincho" w:hAnsiTheme="minorHAnsi"/>
                <w:b/>
                <w:sz w:val="22"/>
                <w:szCs w:val="22"/>
              </w:rPr>
              <w:t>CareerCenter</w:t>
            </w:r>
          </w:p>
          <w:p w14:paraId="275665D2" w14:textId="72247EE2"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5 Mollison Way</w:t>
            </w:r>
            <w:r w:rsidR="00555300">
              <w:rPr>
                <w:rFonts w:asciiTheme="minorHAnsi" w:eastAsia="MS Mincho" w:hAnsiTheme="minorHAnsi"/>
                <w:sz w:val="22"/>
                <w:szCs w:val="22"/>
              </w:rPr>
              <w:br/>
            </w:r>
            <w:r w:rsidRPr="00555300">
              <w:rPr>
                <w:rFonts w:asciiTheme="minorHAnsi" w:eastAsia="MS Mincho" w:hAnsiTheme="minorHAnsi"/>
                <w:sz w:val="22"/>
                <w:szCs w:val="22"/>
              </w:rPr>
              <w:t>Lewiston, ME 04240</w:t>
            </w:r>
            <w:r w:rsidR="00A67ED6" w:rsidRPr="00555300">
              <w:rPr>
                <w:rFonts w:asciiTheme="minorHAnsi" w:eastAsia="MS Mincho" w:hAnsiTheme="minorHAnsi"/>
                <w:sz w:val="22"/>
                <w:szCs w:val="22"/>
              </w:rPr>
              <w:t>-5805</w:t>
            </w:r>
          </w:p>
          <w:p w14:paraId="388D0214" w14:textId="0F5F70FF" w:rsidR="0015030C"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w:t>
            </w:r>
            <w:r w:rsidR="00CC3573">
              <w:rPr>
                <w:rFonts w:asciiTheme="minorHAnsi" w:eastAsia="MS Mincho" w:hAnsiTheme="minorHAnsi"/>
                <w:sz w:val="22"/>
                <w:szCs w:val="22"/>
              </w:rPr>
              <w:t>753-9000 or 1-800-741-2991 (Voice)</w:t>
            </w:r>
            <w:r w:rsidR="00555300">
              <w:rPr>
                <w:rFonts w:asciiTheme="minorHAnsi" w:eastAsia="MS Mincho" w:hAnsiTheme="minorHAnsi"/>
                <w:sz w:val="22"/>
                <w:szCs w:val="22"/>
              </w:rPr>
              <w:br/>
            </w:r>
            <w:r w:rsidR="0078373E" w:rsidRPr="00555300">
              <w:rPr>
                <w:rFonts w:asciiTheme="minorHAnsi" w:eastAsia="MS Mincho" w:hAnsiTheme="minorHAnsi"/>
                <w:sz w:val="22"/>
                <w:szCs w:val="22"/>
              </w:rPr>
              <w:t>Fax: 207-753-9051</w:t>
            </w:r>
          </w:p>
        </w:tc>
      </w:tr>
      <w:tr w:rsidR="005927D5" w:rsidRPr="0015030C" w14:paraId="39C20329" w14:textId="77777777" w:rsidTr="00BB554C">
        <w:trPr>
          <w:trHeight w:val="1790"/>
        </w:trPr>
        <w:tc>
          <w:tcPr>
            <w:tcW w:w="5215" w:type="dxa"/>
            <w:shd w:val="clear" w:color="auto" w:fill="E8E6DE" w:themeFill="background2"/>
            <w:vAlign w:val="center"/>
          </w:tcPr>
          <w:p w14:paraId="4AA09450" w14:textId="0C6C8102" w:rsidR="005927D5" w:rsidRPr="00555300" w:rsidRDefault="00B7239F" w:rsidP="005E2168">
            <w:pPr>
              <w:rPr>
                <w:rFonts w:asciiTheme="minorHAnsi" w:eastAsia="MS Mincho" w:hAnsiTheme="minorHAnsi"/>
                <w:b/>
                <w:sz w:val="22"/>
                <w:szCs w:val="22"/>
              </w:rPr>
            </w:pPr>
            <w:r w:rsidRPr="00555300">
              <w:rPr>
                <w:rFonts w:asciiTheme="minorHAnsi" w:eastAsia="MS Mincho" w:hAnsiTheme="minorHAnsi"/>
                <w:b/>
                <w:sz w:val="22"/>
                <w:szCs w:val="22"/>
              </w:rPr>
              <w:t>Bangor</w:t>
            </w:r>
            <w:r w:rsidR="005927D5" w:rsidRPr="00555300">
              <w:rPr>
                <w:rFonts w:asciiTheme="minorHAnsi" w:eastAsia="MS Mincho" w:hAnsiTheme="minorHAnsi"/>
                <w:b/>
                <w:sz w:val="22"/>
                <w:szCs w:val="22"/>
              </w:rPr>
              <w:t xml:space="preserve"> CareerCenter</w:t>
            </w:r>
          </w:p>
          <w:p w14:paraId="0D66B069" w14:textId="713B6560"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45 Oak Street, Suite 1</w:t>
            </w:r>
            <w:r w:rsidR="00555300">
              <w:rPr>
                <w:rFonts w:asciiTheme="minorHAnsi" w:eastAsia="MS Mincho" w:hAnsiTheme="minorHAnsi"/>
                <w:sz w:val="22"/>
                <w:szCs w:val="22"/>
              </w:rPr>
              <w:br/>
            </w:r>
            <w:r w:rsidRPr="00555300">
              <w:rPr>
                <w:rFonts w:asciiTheme="minorHAnsi" w:eastAsia="MS Mincho" w:hAnsiTheme="minorHAnsi"/>
                <w:sz w:val="22"/>
                <w:szCs w:val="22"/>
              </w:rPr>
              <w:t>Bangor, ME 04401</w:t>
            </w:r>
            <w:r w:rsidR="0099429B" w:rsidRPr="00555300">
              <w:rPr>
                <w:rFonts w:asciiTheme="minorHAnsi" w:eastAsia="MS Mincho" w:hAnsiTheme="minorHAnsi"/>
                <w:sz w:val="22"/>
                <w:szCs w:val="22"/>
              </w:rPr>
              <w:t>-6664</w:t>
            </w:r>
          </w:p>
          <w:p w14:paraId="378A5C79" w14:textId="40530E8C"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207-561-4000</w:t>
            </w:r>
            <w:r w:rsidR="00555300">
              <w:rPr>
                <w:rFonts w:asciiTheme="minorHAnsi" w:eastAsia="MS Mincho" w:hAnsiTheme="minorHAnsi"/>
                <w:sz w:val="22"/>
                <w:szCs w:val="22"/>
              </w:rPr>
              <w:br/>
            </w:r>
            <w:r w:rsidR="0049516D" w:rsidRPr="00555300">
              <w:rPr>
                <w:rFonts w:asciiTheme="minorHAnsi" w:eastAsia="MS Mincho" w:hAnsiTheme="minorHAnsi"/>
                <w:sz w:val="22"/>
                <w:szCs w:val="22"/>
              </w:rPr>
              <w:t>Fax: 207-561-4027</w:t>
            </w:r>
          </w:p>
        </w:tc>
        <w:tc>
          <w:tcPr>
            <w:tcW w:w="5539" w:type="dxa"/>
            <w:shd w:val="clear" w:color="auto" w:fill="E8E6DE" w:themeFill="background2"/>
            <w:vAlign w:val="center"/>
          </w:tcPr>
          <w:p w14:paraId="520A6DDD" w14:textId="106BE860"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Machias CareerCenter</w:t>
            </w:r>
          </w:p>
          <w:p w14:paraId="7525A44E" w14:textId="60E4B3E9"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53 Prescott Drive</w:t>
            </w:r>
            <w:r w:rsidR="00555300">
              <w:rPr>
                <w:rFonts w:asciiTheme="minorHAnsi" w:eastAsia="MS Mincho" w:hAnsiTheme="minorHAnsi"/>
                <w:sz w:val="22"/>
                <w:szCs w:val="22"/>
              </w:rPr>
              <w:br/>
            </w:r>
            <w:r w:rsidRPr="00555300">
              <w:rPr>
                <w:rFonts w:asciiTheme="minorHAnsi" w:eastAsia="MS Mincho" w:hAnsiTheme="minorHAnsi"/>
                <w:sz w:val="22"/>
                <w:szCs w:val="22"/>
              </w:rPr>
              <w:t>Suite 2,</w:t>
            </w:r>
            <w:r w:rsidR="00555300">
              <w:rPr>
                <w:rFonts w:asciiTheme="minorHAnsi" w:eastAsia="MS Mincho" w:hAnsiTheme="minorHAnsi"/>
                <w:sz w:val="22"/>
                <w:szCs w:val="22"/>
              </w:rPr>
              <w:br/>
            </w:r>
            <w:r w:rsidRPr="00555300">
              <w:rPr>
                <w:rFonts w:asciiTheme="minorHAnsi" w:eastAsia="MS Mincho" w:hAnsiTheme="minorHAnsi"/>
                <w:sz w:val="22"/>
                <w:szCs w:val="22"/>
              </w:rPr>
              <w:t>Machias, ME 04654</w:t>
            </w:r>
            <w:r w:rsidR="00F43212" w:rsidRPr="00555300">
              <w:rPr>
                <w:rFonts w:asciiTheme="minorHAnsi" w:eastAsia="MS Mincho" w:hAnsiTheme="minorHAnsi"/>
                <w:sz w:val="22"/>
                <w:szCs w:val="22"/>
              </w:rPr>
              <w:t>-9751</w:t>
            </w:r>
          </w:p>
          <w:p w14:paraId="401D2931" w14:textId="58DE1939"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207-255-1926</w:t>
            </w:r>
            <w:r w:rsidR="00555300">
              <w:rPr>
                <w:rFonts w:asciiTheme="minorHAnsi" w:eastAsia="MS Mincho" w:hAnsiTheme="minorHAnsi"/>
                <w:sz w:val="22"/>
                <w:szCs w:val="22"/>
              </w:rPr>
              <w:br/>
            </w:r>
            <w:r w:rsidR="00265BC2" w:rsidRPr="00555300">
              <w:rPr>
                <w:rFonts w:asciiTheme="minorHAnsi" w:eastAsia="MS Mincho" w:hAnsiTheme="minorHAnsi"/>
                <w:sz w:val="22"/>
                <w:szCs w:val="22"/>
              </w:rPr>
              <w:t>Fax: 207-255-3091</w:t>
            </w:r>
          </w:p>
        </w:tc>
      </w:tr>
      <w:tr w:rsidR="005927D5" w:rsidRPr="0015030C" w14:paraId="55ED04DA" w14:textId="77777777" w:rsidTr="00BB554C">
        <w:trPr>
          <w:trHeight w:val="1808"/>
        </w:trPr>
        <w:tc>
          <w:tcPr>
            <w:tcW w:w="5215" w:type="dxa"/>
            <w:shd w:val="clear" w:color="auto" w:fill="E8E6DE" w:themeFill="background2"/>
            <w:vAlign w:val="center"/>
          </w:tcPr>
          <w:p w14:paraId="630004DF" w14:textId="77FF8846" w:rsidR="005927D5" w:rsidRPr="00555300" w:rsidRDefault="000903A7" w:rsidP="005E2168">
            <w:pPr>
              <w:rPr>
                <w:rFonts w:asciiTheme="minorHAnsi" w:eastAsia="MS Mincho" w:hAnsiTheme="minorHAnsi"/>
                <w:b/>
                <w:sz w:val="22"/>
                <w:szCs w:val="22"/>
              </w:rPr>
            </w:pPr>
            <w:r w:rsidRPr="00555300">
              <w:rPr>
                <w:rFonts w:asciiTheme="minorHAnsi" w:eastAsia="MS Mincho" w:hAnsiTheme="minorHAnsi"/>
                <w:b/>
                <w:sz w:val="22"/>
                <w:szCs w:val="22"/>
              </w:rPr>
              <w:t>Northern Kennebec Valley</w:t>
            </w:r>
            <w:r w:rsidR="005927D5" w:rsidRPr="00555300">
              <w:rPr>
                <w:rFonts w:asciiTheme="minorHAnsi" w:eastAsia="MS Mincho" w:hAnsiTheme="minorHAnsi"/>
                <w:b/>
                <w:sz w:val="22"/>
                <w:szCs w:val="22"/>
              </w:rPr>
              <w:t xml:space="preserve"> CareerCenter</w:t>
            </w:r>
          </w:p>
          <w:p w14:paraId="12C7DC12" w14:textId="1D673D5D" w:rsidR="005927D5" w:rsidRPr="00555300" w:rsidRDefault="0087709B" w:rsidP="005E2168">
            <w:pPr>
              <w:rPr>
                <w:rFonts w:asciiTheme="minorHAnsi" w:eastAsia="MS Mincho" w:hAnsiTheme="minorHAnsi"/>
                <w:sz w:val="22"/>
                <w:szCs w:val="22"/>
              </w:rPr>
            </w:pPr>
            <w:r w:rsidRPr="00555300">
              <w:rPr>
                <w:rFonts w:asciiTheme="minorHAnsi" w:eastAsia="MS Mincho" w:hAnsiTheme="minorHAnsi"/>
                <w:sz w:val="22"/>
                <w:szCs w:val="22"/>
              </w:rPr>
              <w:t>23 Stanley Road</w:t>
            </w:r>
            <w:r w:rsidR="00555300">
              <w:rPr>
                <w:rFonts w:asciiTheme="minorHAnsi" w:eastAsia="MS Mincho" w:hAnsiTheme="minorHAnsi"/>
                <w:sz w:val="22"/>
                <w:szCs w:val="22"/>
              </w:rPr>
              <w:br/>
            </w:r>
            <w:r w:rsidR="005927D5" w:rsidRPr="00555300">
              <w:rPr>
                <w:rFonts w:asciiTheme="minorHAnsi" w:eastAsia="MS Mincho" w:hAnsiTheme="minorHAnsi"/>
                <w:sz w:val="22"/>
                <w:szCs w:val="22"/>
              </w:rPr>
              <w:t>Hinckley, ME 04944</w:t>
            </w:r>
          </w:p>
          <w:p w14:paraId="18525816" w14:textId="4DB65B4F"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207-474-4958 or 1-800-760-1572</w:t>
            </w:r>
            <w:r w:rsidR="002253B4" w:rsidRPr="00555300">
              <w:rPr>
                <w:rFonts w:asciiTheme="minorHAnsi" w:eastAsia="MS Mincho" w:hAnsiTheme="minorHAnsi"/>
                <w:sz w:val="22"/>
                <w:szCs w:val="22"/>
              </w:rPr>
              <w:t xml:space="preserve"> </w:t>
            </w:r>
            <w:r w:rsidR="00555300">
              <w:rPr>
                <w:rFonts w:asciiTheme="minorHAnsi" w:eastAsia="MS Mincho" w:hAnsiTheme="minorHAnsi"/>
                <w:sz w:val="22"/>
                <w:szCs w:val="22"/>
              </w:rPr>
              <w:br/>
            </w:r>
            <w:r w:rsidR="002253B4" w:rsidRPr="00555300">
              <w:rPr>
                <w:rFonts w:asciiTheme="minorHAnsi" w:eastAsia="MS Mincho" w:hAnsiTheme="minorHAnsi"/>
                <w:sz w:val="22"/>
                <w:szCs w:val="22"/>
              </w:rPr>
              <w:t>Fax: 207-474-4914</w:t>
            </w:r>
          </w:p>
        </w:tc>
        <w:tc>
          <w:tcPr>
            <w:tcW w:w="5539" w:type="dxa"/>
            <w:shd w:val="clear" w:color="auto" w:fill="E8E6DE" w:themeFill="background2"/>
            <w:vAlign w:val="center"/>
          </w:tcPr>
          <w:p w14:paraId="2A0A0AA7" w14:textId="2598D509"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Greater Portland CareerCenter</w:t>
            </w:r>
          </w:p>
          <w:p w14:paraId="5E476728" w14:textId="608A50EA"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151 Jetport Boulevard</w:t>
            </w:r>
            <w:r w:rsidR="00555300">
              <w:rPr>
                <w:rFonts w:asciiTheme="minorHAnsi" w:eastAsia="MS Mincho" w:hAnsiTheme="minorHAnsi"/>
                <w:sz w:val="22"/>
                <w:szCs w:val="22"/>
              </w:rPr>
              <w:br/>
            </w:r>
            <w:r w:rsidRPr="00555300">
              <w:rPr>
                <w:rFonts w:asciiTheme="minorHAnsi" w:eastAsia="MS Mincho" w:hAnsiTheme="minorHAnsi"/>
                <w:sz w:val="22"/>
                <w:szCs w:val="22"/>
              </w:rPr>
              <w:t>Portland, ME 04102</w:t>
            </w:r>
          </w:p>
          <w:p w14:paraId="744D5619" w14:textId="06D7878A"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207-822-3300</w:t>
            </w:r>
            <w:r w:rsidR="00555300">
              <w:rPr>
                <w:rFonts w:asciiTheme="minorHAnsi" w:eastAsia="MS Mincho" w:hAnsiTheme="minorHAnsi"/>
                <w:sz w:val="22"/>
                <w:szCs w:val="22"/>
              </w:rPr>
              <w:br/>
            </w:r>
            <w:r w:rsidR="00265BC2" w:rsidRPr="00555300">
              <w:rPr>
                <w:rFonts w:asciiTheme="minorHAnsi" w:eastAsia="MS Mincho" w:hAnsiTheme="minorHAnsi"/>
                <w:sz w:val="22"/>
                <w:szCs w:val="22"/>
              </w:rPr>
              <w:t>Fax: 207</w:t>
            </w:r>
            <w:r w:rsidR="0084482C" w:rsidRPr="00555300">
              <w:rPr>
                <w:rFonts w:asciiTheme="minorHAnsi" w:eastAsia="MS Mincho" w:hAnsiTheme="minorHAnsi"/>
                <w:sz w:val="22"/>
                <w:szCs w:val="22"/>
              </w:rPr>
              <w:t>-775-7870</w:t>
            </w:r>
          </w:p>
        </w:tc>
      </w:tr>
      <w:tr w:rsidR="005927D5" w:rsidRPr="0015030C" w14:paraId="357D3BB0" w14:textId="77777777" w:rsidTr="00BB554C">
        <w:trPr>
          <w:trHeight w:val="1970"/>
        </w:trPr>
        <w:tc>
          <w:tcPr>
            <w:tcW w:w="5215" w:type="dxa"/>
            <w:shd w:val="clear" w:color="auto" w:fill="E8E6DE" w:themeFill="background2"/>
            <w:vAlign w:val="center"/>
          </w:tcPr>
          <w:p w14:paraId="01190BEA" w14:textId="1B5FB5E9" w:rsidR="003B5B1D" w:rsidRPr="00555300" w:rsidRDefault="005927D5" w:rsidP="005E2168">
            <w:pPr>
              <w:rPr>
                <w:rFonts w:asciiTheme="minorHAnsi" w:eastAsia="MS Mincho" w:hAnsiTheme="minorHAnsi" w:cstheme="minorHAnsi"/>
                <w:b/>
                <w:sz w:val="22"/>
                <w:szCs w:val="22"/>
              </w:rPr>
            </w:pPr>
            <w:r w:rsidRPr="00555300">
              <w:rPr>
                <w:rFonts w:asciiTheme="minorHAnsi" w:eastAsia="MS Mincho" w:hAnsiTheme="minorHAnsi" w:cstheme="minorHAnsi"/>
                <w:b/>
                <w:sz w:val="22"/>
                <w:szCs w:val="22"/>
              </w:rPr>
              <w:t>Houlton DVR Office</w:t>
            </w:r>
          </w:p>
          <w:p w14:paraId="2C251726" w14:textId="1CA9E690" w:rsidR="005927D5" w:rsidRPr="00555300" w:rsidRDefault="005927D5" w:rsidP="005E2168">
            <w:pPr>
              <w:rPr>
                <w:rFonts w:asciiTheme="minorHAnsi" w:eastAsia="MS Mincho" w:hAnsiTheme="minorHAnsi" w:cstheme="minorHAnsi"/>
                <w:sz w:val="22"/>
                <w:szCs w:val="22"/>
              </w:rPr>
            </w:pPr>
            <w:r w:rsidRPr="00555300">
              <w:rPr>
                <w:rFonts w:asciiTheme="minorHAnsi" w:eastAsia="MS Mincho" w:hAnsiTheme="minorHAnsi" w:cstheme="minorHAnsi"/>
                <w:sz w:val="22"/>
                <w:szCs w:val="22"/>
              </w:rPr>
              <w:t>11 High Street</w:t>
            </w:r>
            <w:r w:rsidR="00555300">
              <w:rPr>
                <w:rFonts w:asciiTheme="minorHAnsi" w:eastAsia="MS Mincho" w:hAnsiTheme="minorHAnsi" w:cstheme="minorHAnsi"/>
                <w:sz w:val="22"/>
                <w:szCs w:val="22"/>
              </w:rPr>
              <w:br/>
            </w:r>
            <w:r w:rsidRPr="00555300">
              <w:rPr>
                <w:rFonts w:asciiTheme="minorHAnsi" w:eastAsia="MS Mincho" w:hAnsiTheme="minorHAnsi" w:cstheme="minorHAnsi"/>
                <w:sz w:val="22"/>
                <w:szCs w:val="22"/>
              </w:rPr>
              <w:t>Houlton, ME 04730</w:t>
            </w:r>
            <w:r w:rsidR="005143CF" w:rsidRPr="00555300">
              <w:rPr>
                <w:rFonts w:asciiTheme="minorHAnsi" w:eastAsia="MS Mincho" w:hAnsiTheme="minorHAnsi" w:cstheme="minorHAnsi"/>
                <w:sz w:val="22"/>
                <w:szCs w:val="22"/>
              </w:rPr>
              <w:t>-</w:t>
            </w:r>
            <w:r w:rsidR="00D912F8" w:rsidRPr="00555300">
              <w:rPr>
                <w:rFonts w:asciiTheme="minorHAnsi" w:eastAsia="MS Mincho" w:hAnsiTheme="minorHAnsi" w:cstheme="minorHAnsi"/>
                <w:sz w:val="22"/>
                <w:szCs w:val="22"/>
              </w:rPr>
              <w:t>2421</w:t>
            </w:r>
          </w:p>
          <w:p w14:paraId="25F5DA82" w14:textId="15AF84A2" w:rsidR="005927D5" w:rsidRPr="005323F2" w:rsidRDefault="005927D5" w:rsidP="005E2168">
            <w:pPr>
              <w:rPr>
                <w:rFonts w:asciiTheme="minorHAnsi" w:eastAsia="MS Mincho" w:hAnsiTheme="minorHAnsi" w:cstheme="minorHAnsi"/>
                <w:sz w:val="22"/>
                <w:szCs w:val="22"/>
              </w:rPr>
            </w:pPr>
            <w:r w:rsidRPr="00555300">
              <w:rPr>
                <w:rFonts w:asciiTheme="minorHAnsi" w:eastAsia="MS Mincho" w:hAnsiTheme="minorHAnsi" w:cstheme="minorHAnsi"/>
                <w:sz w:val="22"/>
                <w:szCs w:val="22"/>
              </w:rPr>
              <w:t>Tel: 207-5</w:t>
            </w:r>
            <w:r w:rsidR="003B5B1D">
              <w:rPr>
                <w:rFonts w:asciiTheme="minorHAnsi" w:eastAsia="MS Mincho" w:hAnsiTheme="minorHAnsi" w:cstheme="minorHAnsi"/>
                <w:sz w:val="22"/>
                <w:szCs w:val="22"/>
              </w:rPr>
              <w:t>92</w:t>
            </w:r>
            <w:r w:rsidR="00B249BB">
              <w:rPr>
                <w:rFonts w:asciiTheme="minorHAnsi" w:eastAsia="MS Mincho" w:hAnsiTheme="minorHAnsi" w:cstheme="minorHAnsi"/>
                <w:sz w:val="22"/>
                <w:szCs w:val="22"/>
              </w:rPr>
              <w:t>-0520 or 1-800-432-7338 (Voice)</w:t>
            </w:r>
            <w:r w:rsidR="00555300">
              <w:rPr>
                <w:rFonts w:asciiTheme="minorHAnsi" w:eastAsia="MS Mincho" w:hAnsiTheme="minorHAnsi" w:cstheme="minorHAnsi"/>
                <w:sz w:val="22"/>
                <w:szCs w:val="22"/>
              </w:rPr>
              <w:br/>
            </w:r>
            <w:r w:rsidR="00956DEF" w:rsidRPr="00555300">
              <w:rPr>
                <w:rFonts w:asciiTheme="minorHAnsi" w:eastAsia="MS Mincho" w:hAnsiTheme="minorHAnsi" w:cstheme="minorHAnsi"/>
                <w:sz w:val="22"/>
                <w:szCs w:val="22"/>
              </w:rPr>
              <w:t>Fax: 207-532-</w:t>
            </w:r>
            <w:r w:rsidR="00CC3573">
              <w:rPr>
                <w:rFonts w:asciiTheme="minorHAnsi" w:eastAsia="MS Mincho" w:hAnsiTheme="minorHAnsi" w:cstheme="minorHAnsi"/>
                <w:sz w:val="22"/>
                <w:szCs w:val="22"/>
              </w:rPr>
              <w:t>7995</w:t>
            </w:r>
          </w:p>
        </w:tc>
        <w:tc>
          <w:tcPr>
            <w:tcW w:w="5539" w:type="dxa"/>
            <w:shd w:val="clear" w:color="auto" w:fill="E8E6DE" w:themeFill="background2"/>
            <w:vAlign w:val="center"/>
          </w:tcPr>
          <w:p w14:paraId="63CC7A10" w14:textId="364FB60D" w:rsidR="005927D5" w:rsidRPr="00555300" w:rsidRDefault="005927D5" w:rsidP="005E2168">
            <w:pPr>
              <w:rPr>
                <w:rFonts w:asciiTheme="minorHAnsi" w:eastAsia="MS Mincho" w:hAnsiTheme="minorHAnsi"/>
                <w:b/>
                <w:sz w:val="22"/>
                <w:szCs w:val="22"/>
              </w:rPr>
            </w:pPr>
            <w:r w:rsidRPr="00555300">
              <w:rPr>
                <w:rFonts w:asciiTheme="minorHAnsi" w:eastAsia="MS Mincho" w:hAnsiTheme="minorHAnsi"/>
                <w:b/>
                <w:sz w:val="22"/>
                <w:szCs w:val="22"/>
              </w:rPr>
              <w:t>Presque Isle CareerCenter</w:t>
            </w:r>
          </w:p>
          <w:p w14:paraId="3673AF49" w14:textId="11ED8815"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66 Spruce Street</w:t>
            </w:r>
            <w:r w:rsidR="00555300">
              <w:rPr>
                <w:rFonts w:asciiTheme="minorHAnsi" w:eastAsia="MS Mincho" w:hAnsiTheme="minorHAnsi"/>
                <w:sz w:val="22"/>
                <w:szCs w:val="22"/>
              </w:rPr>
              <w:br/>
            </w:r>
            <w:r w:rsidRPr="00555300">
              <w:rPr>
                <w:rFonts w:asciiTheme="minorHAnsi" w:eastAsia="MS Mincho" w:hAnsiTheme="minorHAnsi"/>
                <w:sz w:val="22"/>
                <w:szCs w:val="22"/>
              </w:rPr>
              <w:t xml:space="preserve">Suite 3, </w:t>
            </w:r>
            <w:r w:rsidR="00555300">
              <w:rPr>
                <w:rFonts w:asciiTheme="minorHAnsi" w:eastAsia="MS Mincho" w:hAnsiTheme="minorHAnsi"/>
                <w:sz w:val="22"/>
                <w:szCs w:val="22"/>
              </w:rPr>
              <w:br/>
            </w:r>
            <w:r w:rsidRPr="00555300">
              <w:rPr>
                <w:rFonts w:asciiTheme="minorHAnsi" w:eastAsia="MS Mincho" w:hAnsiTheme="minorHAnsi"/>
                <w:sz w:val="22"/>
                <w:szCs w:val="22"/>
              </w:rPr>
              <w:t>Presque Isle, ME 04769</w:t>
            </w:r>
            <w:r w:rsidR="00B17554" w:rsidRPr="00555300">
              <w:rPr>
                <w:rFonts w:asciiTheme="minorHAnsi" w:eastAsia="MS Mincho" w:hAnsiTheme="minorHAnsi"/>
                <w:sz w:val="22"/>
                <w:szCs w:val="22"/>
              </w:rPr>
              <w:t>-3222</w:t>
            </w:r>
          </w:p>
          <w:p w14:paraId="0F18623B" w14:textId="23D5F418" w:rsidR="005927D5" w:rsidRPr="00555300" w:rsidRDefault="005927D5" w:rsidP="005E2168">
            <w:pPr>
              <w:rPr>
                <w:rFonts w:asciiTheme="minorHAnsi" w:eastAsia="MS Mincho" w:hAnsiTheme="minorHAnsi"/>
                <w:sz w:val="22"/>
                <w:szCs w:val="22"/>
              </w:rPr>
            </w:pPr>
            <w:r w:rsidRPr="00555300">
              <w:rPr>
                <w:rFonts w:asciiTheme="minorHAnsi" w:eastAsia="MS Mincho" w:hAnsiTheme="minorHAnsi"/>
                <w:sz w:val="22"/>
                <w:szCs w:val="22"/>
              </w:rPr>
              <w:t>Tel: 207-</w:t>
            </w:r>
            <w:r w:rsidR="003A183B" w:rsidRPr="00555300">
              <w:rPr>
                <w:rFonts w:asciiTheme="minorHAnsi" w:eastAsia="MS Mincho" w:hAnsiTheme="minorHAnsi"/>
                <w:sz w:val="22"/>
                <w:szCs w:val="22"/>
              </w:rPr>
              <w:t>768-6835</w:t>
            </w:r>
            <w:r w:rsidR="00555300">
              <w:rPr>
                <w:rFonts w:asciiTheme="minorHAnsi" w:eastAsia="MS Mincho" w:hAnsiTheme="minorHAnsi"/>
                <w:sz w:val="22"/>
                <w:szCs w:val="22"/>
              </w:rPr>
              <w:br/>
            </w:r>
            <w:r w:rsidR="00676720" w:rsidRPr="00555300">
              <w:rPr>
                <w:rFonts w:asciiTheme="minorHAnsi" w:eastAsia="MS Mincho" w:hAnsiTheme="minorHAnsi"/>
                <w:sz w:val="22"/>
                <w:szCs w:val="22"/>
              </w:rPr>
              <w:t>Fax: 207-768-68</w:t>
            </w:r>
            <w:r w:rsidR="00591CA3" w:rsidRPr="00555300">
              <w:rPr>
                <w:rFonts w:asciiTheme="minorHAnsi" w:eastAsia="MS Mincho" w:hAnsiTheme="minorHAnsi"/>
                <w:sz w:val="22"/>
                <w:szCs w:val="22"/>
              </w:rPr>
              <w:t>37</w:t>
            </w:r>
          </w:p>
        </w:tc>
      </w:tr>
    </w:tbl>
    <w:p w14:paraId="5365F737" w14:textId="021A77D1" w:rsidR="00EC25CF" w:rsidRDefault="00EC25CF" w:rsidP="00CD3028">
      <w:pPr>
        <w:rPr>
          <w:rFonts w:eastAsia="MS Mincho"/>
        </w:rPr>
      </w:pPr>
    </w:p>
    <w:sectPr w:rsidR="00EC25CF" w:rsidSect="00C7202C">
      <w:footerReference w:type="first" r:id="rId66"/>
      <w:pgSz w:w="12240" w:h="15840" w:code="1"/>
      <w:pgMar w:top="360" w:right="720" w:bottom="810" w:left="720" w:header="288" w:footer="33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7AD499" w14:textId="77777777" w:rsidR="00114CD7" w:rsidRDefault="00114CD7">
      <w:r>
        <w:separator/>
      </w:r>
    </w:p>
  </w:endnote>
  <w:endnote w:type="continuationSeparator" w:id="0">
    <w:p w14:paraId="774DFCF2" w14:textId="77777777" w:rsidR="00114CD7" w:rsidRDefault="00114CD7">
      <w:r>
        <w:continuationSeparator/>
      </w:r>
    </w:p>
  </w:endnote>
  <w:endnote w:type="continuationNotice" w:id="1">
    <w:p w14:paraId="0D8FB515" w14:textId="77777777" w:rsidR="00114CD7" w:rsidRDefault="00114C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ato Black">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w Cen MT Condensed">
    <w:panose1 w:val="020B0606020104020203"/>
    <w:charset w:val="00"/>
    <w:family w:val="swiss"/>
    <w:pitch w:val="variable"/>
    <w:sig w:usb0="00000007" w:usb1="00000000" w:usb2="00000000" w:usb3="00000000" w:csb0="00000003" w:csb1="00000000"/>
  </w:font>
  <w:font w:name="Tw Cen MT">
    <w:panose1 w:val="020B0602020104020603"/>
    <w:charset w:val="00"/>
    <w:family w:val="swiss"/>
    <w:pitch w:val="variable"/>
    <w:sig w:usb0="00000007" w:usb1="00000000" w:usb2="00000000" w:usb3="00000000" w:csb0="00000003" w:csb1="00000000"/>
  </w:font>
  <w:font w:name="Angsana New">
    <w:panose1 w:val="02020603050405020304"/>
    <w:charset w:val="DE"/>
    <w:family w:val="roman"/>
    <w:pitch w:val="variable"/>
    <w:sig w:usb0="81000003" w:usb1="00000000" w:usb2="00000000" w:usb3="00000000" w:csb0="00010001" w:csb1="00000000"/>
  </w:font>
  <w:font w:name="Tw Cen MT Condensed Extra Bold">
    <w:panose1 w:val="020B0803020202020204"/>
    <w:charset w:val="00"/>
    <w:family w:val="swiss"/>
    <w:pitch w:val="variable"/>
    <w:sig w:usb0="00000007" w:usb1="00000000" w:usb2="00000000" w:usb3="00000000" w:csb0="00000003" w:csb1="00000000"/>
  </w:font>
  <w:font w:name="Lato">
    <w:charset w:val="00"/>
    <w:family w:val="swiss"/>
    <w:pitch w:val="variable"/>
    <w:sig w:usb0="E10002FF" w:usb1="5000ECFF" w:usb2="00000021" w:usb3="00000000" w:csb0="0000019F" w:csb1="00000000"/>
  </w:font>
  <w:font w:name="Goudy">
    <w:altName w:val="Cambria"/>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913B27" w14:textId="539C7091" w:rsidR="0017073B" w:rsidRPr="0017073B" w:rsidRDefault="0017073B" w:rsidP="0017073B">
    <w:pPr>
      <w:pStyle w:val="Footer"/>
      <w:tabs>
        <w:tab w:val="clear" w:pos="4320"/>
        <w:tab w:val="clear" w:pos="8640"/>
        <w:tab w:val="left" w:pos="9060"/>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37C31" w14:textId="77777777" w:rsidR="00DC0AEC" w:rsidRDefault="00DC0AEC">
    <w:pPr>
      <w:pStyle w:val="Footer"/>
      <w:jc w:val="center"/>
      <w:rPr>
        <w:caps/>
        <w:noProof/>
        <w:color w:val="00303E" w:themeColor="accent1"/>
      </w:rPr>
    </w:pPr>
    <w:r>
      <w:rPr>
        <w:caps/>
        <w:color w:val="00303E" w:themeColor="accent1"/>
      </w:rPr>
      <w:fldChar w:fldCharType="begin"/>
    </w:r>
    <w:r>
      <w:rPr>
        <w:caps/>
        <w:color w:val="00303E" w:themeColor="accent1"/>
      </w:rPr>
      <w:instrText xml:space="preserve"> PAGE   \* MERGEFORMAT </w:instrText>
    </w:r>
    <w:r>
      <w:rPr>
        <w:caps/>
        <w:color w:val="00303E" w:themeColor="accent1"/>
      </w:rPr>
      <w:fldChar w:fldCharType="separate"/>
    </w:r>
    <w:r>
      <w:rPr>
        <w:caps/>
        <w:noProof/>
        <w:color w:val="00303E" w:themeColor="accent1"/>
      </w:rPr>
      <w:t>2</w:t>
    </w:r>
    <w:r>
      <w:rPr>
        <w:caps/>
        <w:noProof/>
        <w:color w:val="00303E" w:themeColor="accent1"/>
      </w:rPr>
      <w:fldChar w:fldCharType="end"/>
    </w:r>
  </w:p>
  <w:p w14:paraId="406B5744" w14:textId="23FF19E9" w:rsidR="00606901" w:rsidRDefault="0060690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0DF1D" w14:textId="2D693C33" w:rsidR="00401BA6" w:rsidRPr="00401BA6" w:rsidRDefault="00E64374" w:rsidP="00E64374">
    <w:pPr>
      <w:pStyle w:val="Footer"/>
      <w:tabs>
        <w:tab w:val="clear" w:pos="4320"/>
        <w:tab w:val="clear" w:pos="8640"/>
        <w:tab w:val="left" w:pos="4421"/>
      </w:tabs>
      <w:rPr>
        <w:rFonts w:eastAsia="MS Mincho"/>
      </w:rPr>
    </w:pPr>
    <w:r>
      <w:rPr>
        <w:rFonts w:eastAsia="MS Mincho"/>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61712" w14:textId="77777777" w:rsidR="00DB6794" w:rsidRDefault="00DB6794">
    <w:pPr>
      <w:pStyle w:val="Footer"/>
      <w:jc w:val="center"/>
      <w:rPr>
        <w:caps/>
        <w:noProof/>
        <w:color w:val="00303E" w:themeColor="accent1"/>
      </w:rPr>
    </w:pPr>
    <w:r>
      <w:rPr>
        <w:caps/>
        <w:color w:val="00303E" w:themeColor="accent1"/>
      </w:rPr>
      <w:fldChar w:fldCharType="begin"/>
    </w:r>
    <w:r>
      <w:rPr>
        <w:caps/>
        <w:color w:val="00303E" w:themeColor="accent1"/>
      </w:rPr>
      <w:instrText xml:space="preserve"> PAGE   \* MERGEFORMAT </w:instrText>
    </w:r>
    <w:r>
      <w:rPr>
        <w:caps/>
        <w:color w:val="00303E" w:themeColor="accent1"/>
      </w:rPr>
      <w:fldChar w:fldCharType="separate"/>
    </w:r>
    <w:r>
      <w:rPr>
        <w:caps/>
        <w:noProof/>
        <w:color w:val="00303E" w:themeColor="accent1"/>
      </w:rPr>
      <w:t>2</w:t>
    </w:r>
    <w:r>
      <w:rPr>
        <w:caps/>
        <w:noProof/>
        <w:color w:val="00303E" w:themeColor="accent1"/>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25F06" w14:textId="77777777" w:rsidR="00DC76E4" w:rsidRDefault="00DC76E4">
    <w:pPr>
      <w:pStyle w:val="Footer"/>
      <w:jc w:val="center"/>
      <w:rPr>
        <w:caps/>
        <w:noProof/>
        <w:color w:val="00303E" w:themeColor="accent1"/>
      </w:rPr>
    </w:pPr>
    <w:r>
      <w:rPr>
        <w:caps/>
        <w:color w:val="00303E" w:themeColor="accent1"/>
      </w:rPr>
      <w:fldChar w:fldCharType="begin"/>
    </w:r>
    <w:r>
      <w:rPr>
        <w:caps/>
        <w:color w:val="00303E" w:themeColor="accent1"/>
      </w:rPr>
      <w:instrText xml:space="preserve"> PAGE   \* MERGEFORMAT </w:instrText>
    </w:r>
    <w:r>
      <w:rPr>
        <w:caps/>
        <w:color w:val="00303E" w:themeColor="accent1"/>
      </w:rPr>
      <w:fldChar w:fldCharType="separate"/>
    </w:r>
    <w:r>
      <w:rPr>
        <w:caps/>
        <w:noProof/>
        <w:color w:val="00303E" w:themeColor="accent1"/>
      </w:rPr>
      <w:t>2</w:t>
    </w:r>
    <w:r>
      <w:rPr>
        <w:caps/>
        <w:noProof/>
        <w:color w:val="00303E" w:themeColor="accent1"/>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D169C" w14:textId="0051857E" w:rsidR="006F140D" w:rsidRPr="007405B3" w:rsidRDefault="007405B3" w:rsidP="007405B3">
    <w:pPr>
      <w:pStyle w:val="Footer"/>
      <w:jc w:val="center"/>
      <w:rPr>
        <w:rFonts w:eastAsia="MS Mincho"/>
        <w:color w:val="00303E" w:themeColor="text1"/>
      </w:rPr>
    </w:pPr>
    <w:r w:rsidRPr="007405B3">
      <w:rPr>
        <w:rFonts w:eastAsia="MS Mincho"/>
        <w:color w:val="00303E" w:themeColor="text1"/>
      </w:rPr>
      <w:t>14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52B2A5" w14:textId="77777777" w:rsidR="00114CD7" w:rsidRDefault="00114CD7">
      <w:r>
        <w:separator/>
      </w:r>
    </w:p>
  </w:footnote>
  <w:footnote w:type="continuationSeparator" w:id="0">
    <w:p w14:paraId="1E5E0B03" w14:textId="77777777" w:rsidR="00114CD7" w:rsidRDefault="00114CD7">
      <w:r>
        <w:continuationSeparator/>
      </w:r>
    </w:p>
  </w:footnote>
  <w:footnote w:type="continuationNotice" w:id="1">
    <w:p w14:paraId="623A4707" w14:textId="77777777" w:rsidR="00114CD7" w:rsidRDefault="00114CD7"/>
  </w:footnote>
  <w:footnote w:id="2">
    <w:p w14:paraId="65D0FEF7" w14:textId="77777777" w:rsidR="0014607D" w:rsidRPr="00AE689E" w:rsidRDefault="0014607D" w:rsidP="0014607D">
      <w:pPr>
        <w:pStyle w:val="FootnoteText"/>
        <w:rPr>
          <w:sz w:val="18"/>
          <w:szCs w:val="18"/>
        </w:rPr>
      </w:pPr>
      <w:r w:rsidRPr="00AE689E">
        <w:rPr>
          <w:rStyle w:val="FootnoteReference"/>
          <w:sz w:val="18"/>
          <w:szCs w:val="18"/>
        </w:rPr>
        <w:footnoteRef/>
      </w:r>
      <w:r w:rsidRPr="00AE689E">
        <w:rPr>
          <w:sz w:val="18"/>
          <w:szCs w:val="18"/>
        </w:rPr>
        <w:t xml:space="preserve"> </w:t>
      </w:r>
      <w:hyperlink r:id="rId1" w:history="1">
        <w:r w:rsidRPr="00AE689E">
          <w:rPr>
            <w:rStyle w:val="Hyperlink"/>
            <w:sz w:val="18"/>
            <w:szCs w:val="18"/>
          </w:rPr>
          <w:t>https://www.maine.gov/oit/sites/maine.gov.oit/files/inline-files/DigitalAccessibilityPolicy.pdf</w:t>
        </w:r>
      </w:hyperlink>
      <w:r w:rsidRPr="00AE689E">
        <w:rPr>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672436F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89A24A9"/>
    <w:multiLevelType w:val="hybridMultilevel"/>
    <w:tmpl w:val="5B287E5E"/>
    <w:lvl w:ilvl="0" w:tplc="AF501236">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71016E"/>
    <w:multiLevelType w:val="hybridMultilevel"/>
    <w:tmpl w:val="027C943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F1091"/>
    <w:multiLevelType w:val="hybridMultilevel"/>
    <w:tmpl w:val="5E66D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F47DD2"/>
    <w:multiLevelType w:val="multilevel"/>
    <w:tmpl w:val="7728A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7961C63"/>
    <w:multiLevelType w:val="hybridMultilevel"/>
    <w:tmpl w:val="70C6E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6928B6"/>
    <w:multiLevelType w:val="hybridMultilevel"/>
    <w:tmpl w:val="1576A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FA2E4D"/>
    <w:multiLevelType w:val="hybridMultilevel"/>
    <w:tmpl w:val="FF760A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B02610A"/>
    <w:multiLevelType w:val="hybridMultilevel"/>
    <w:tmpl w:val="F3D03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EE66A6"/>
    <w:multiLevelType w:val="hybridMultilevel"/>
    <w:tmpl w:val="6A44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B5513D"/>
    <w:multiLevelType w:val="hybridMultilevel"/>
    <w:tmpl w:val="8C286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30915A93"/>
    <w:multiLevelType w:val="hybridMultilevel"/>
    <w:tmpl w:val="25082B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4C05933"/>
    <w:multiLevelType w:val="hybridMultilevel"/>
    <w:tmpl w:val="83385C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DFD40D5"/>
    <w:multiLevelType w:val="hybridMultilevel"/>
    <w:tmpl w:val="FFF2A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3114AE"/>
    <w:multiLevelType w:val="hybridMultilevel"/>
    <w:tmpl w:val="E4948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755C96"/>
    <w:multiLevelType w:val="hybridMultilevel"/>
    <w:tmpl w:val="3CC49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59500C"/>
    <w:multiLevelType w:val="hybridMultilevel"/>
    <w:tmpl w:val="62D89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6B04EE"/>
    <w:multiLevelType w:val="hybridMultilevel"/>
    <w:tmpl w:val="AB2C3AC8"/>
    <w:lvl w:ilvl="0" w:tplc="04090001">
      <w:start w:val="1"/>
      <w:numFmt w:val="bullet"/>
      <w:lvlText w:val=""/>
      <w:lvlJc w:val="left"/>
      <w:pPr>
        <w:ind w:left="1156" w:hanging="360"/>
      </w:pPr>
      <w:rPr>
        <w:rFonts w:ascii="Symbol" w:hAnsi="Symbol" w:hint="default"/>
      </w:rPr>
    </w:lvl>
    <w:lvl w:ilvl="1" w:tplc="04090003">
      <w:start w:val="1"/>
      <w:numFmt w:val="bullet"/>
      <w:lvlText w:val="o"/>
      <w:lvlJc w:val="left"/>
      <w:pPr>
        <w:ind w:left="1876" w:hanging="360"/>
      </w:pPr>
      <w:rPr>
        <w:rFonts w:ascii="Courier New" w:hAnsi="Courier New" w:cs="Courier New" w:hint="default"/>
      </w:rPr>
    </w:lvl>
    <w:lvl w:ilvl="2" w:tplc="04090005">
      <w:start w:val="1"/>
      <w:numFmt w:val="bullet"/>
      <w:lvlText w:val=""/>
      <w:lvlJc w:val="left"/>
      <w:pPr>
        <w:ind w:left="2596" w:hanging="360"/>
      </w:pPr>
      <w:rPr>
        <w:rFonts w:ascii="Wingdings" w:hAnsi="Wingdings" w:hint="default"/>
      </w:rPr>
    </w:lvl>
    <w:lvl w:ilvl="3" w:tplc="04090001">
      <w:start w:val="1"/>
      <w:numFmt w:val="bullet"/>
      <w:lvlText w:val=""/>
      <w:lvlJc w:val="left"/>
      <w:pPr>
        <w:ind w:left="3316" w:hanging="360"/>
      </w:pPr>
      <w:rPr>
        <w:rFonts w:ascii="Symbol" w:hAnsi="Symbol" w:hint="default"/>
      </w:rPr>
    </w:lvl>
    <w:lvl w:ilvl="4" w:tplc="04090003">
      <w:start w:val="1"/>
      <w:numFmt w:val="bullet"/>
      <w:lvlText w:val="o"/>
      <w:lvlJc w:val="left"/>
      <w:pPr>
        <w:ind w:left="4036" w:hanging="360"/>
      </w:pPr>
      <w:rPr>
        <w:rFonts w:ascii="Courier New" w:hAnsi="Courier New" w:cs="Courier New" w:hint="default"/>
      </w:rPr>
    </w:lvl>
    <w:lvl w:ilvl="5" w:tplc="04090005">
      <w:start w:val="1"/>
      <w:numFmt w:val="bullet"/>
      <w:lvlText w:val=""/>
      <w:lvlJc w:val="left"/>
      <w:pPr>
        <w:ind w:left="4756" w:hanging="360"/>
      </w:pPr>
      <w:rPr>
        <w:rFonts w:ascii="Wingdings" w:hAnsi="Wingdings" w:hint="default"/>
      </w:rPr>
    </w:lvl>
    <w:lvl w:ilvl="6" w:tplc="04090001">
      <w:start w:val="1"/>
      <w:numFmt w:val="bullet"/>
      <w:lvlText w:val=""/>
      <w:lvlJc w:val="left"/>
      <w:pPr>
        <w:ind w:left="5476" w:hanging="360"/>
      </w:pPr>
      <w:rPr>
        <w:rFonts w:ascii="Symbol" w:hAnsi="Symbol" w:hint="default"/>
      </w:rPr>
    </w:lvl>
    <w:lvl w:ilvl="7" w:tplc="04090003">
      <w:start w:val="1"/>
      <w:numFmt w:val="bullet"/>
      <w:lvlText w:val="o"/>
      <w:lvlJc w:val="left"/>
      <w:pPr>
        <w:ind w:left="6196" w:hanging="360"/>
      </w:pPr>
      <w:rPr>
        <w:rFonts w:ascii="Courier New" w:hAnsi="Courier New" w:cs="Courier New" w:hint="default"/>
      </w:rPr>
    </w:lvl>
    <w:lvl w:ilvl="8" w:tplc="04090005">
      <w:start w:val="1"/>
      <w:numFmt w:val="bullet"/>
      <w:lvlText w:val=""/>
      <w:lvlJc w:val="left"/>
      <w:pPr>
        <w:ind w:left="6916" w:hanging="360"/>
      </w:pPr>
      <w:rPr>
        <w:rFonts w:ascii="Wingdings" w:hAnsi="Wingdings" w:hint="default"/>
      </w:rPr>
    </w:lvl>
  </w:abstractNum>
  <w:abstractNum w:abstractNumId="19" w15:restartNumberingAfterBreak="0">
    <w:nsid w:val="5D7A691E"/>
    <w:multiLevelType w:val="hybridMultilevel"/>
    <w:tmpl w:val="DEACF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367A8F"/>
    <w:multiLevelType w:val="hybridMultilevel"/>
    <w:tmpl w:val="3F46D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8E21E0"/>
    <w:multiLevelType w:val="hybridMultilevel"/>
    <w:tmpl w:val="12E67D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FB01C73"/>
    <w:multiLevelType w:val="hybridMultilevel"/>
    <w:tmpl w:val="51D4A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A4374B"/>
    <w:multiLevelType w:val="hybridMultilevel"/>
    <w:tmpl w:val="F08CBC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6A7D04E0"/>
    <w:multiLevelType w:val="hybridMultilevel"/>
    <w:tmpl w:val="3BF811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CB033D3"/>
    <w:multiLevelType w:val="hybridMultilevel"/>
    <w:tmpl w:val="EAFC6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1832976">
    <w:abstractNumId w:val="5"/>
  </w:num>
  <w:num w:numId="2" w16cid:durableId="1268581445">
    <w:abstractNumId w:val="24"/>
  </w:num>
  <w:num w:numId="3" w16cid:durableId="785660918">
    <w:abstractNumId w:val="15"/>
  </w:num>
  <w:num w:numId="4" w16cid:durableId="2101751324">
    <w:abstractNumId w:val="12"/>
  </w:num>
  <w:num w:numId="5" w16cid:durableId="193351234">
    <w:abstractNumId w:val="0"/>
  </w:num>
  <w:num w:numId="6" w16cid:durableId="144586306">
    <w:abstractNumId w:val="16"/>
  </w:num>
  <w:num w:numId="7" w16cid:durableId="1650552644">
    <w:abstractNumId w:val="22"/>
  </w:num>
  <w:num w:numId="8" w16cid:durableId="1405374314">
    <w:abstractNumId w:val="17"/>
  </w:num>
  <w:num w:numId="9" w16cid:durableId="2049797111">
    <w:abstractNumId w:val="18"/>
  </w:num>
  <w:num w:numId="10" w16cid:durableId="1346052635">
    <w:abstractNumId w:val="19"/>
  </w:num>
  <w:num w:numId="11" w16cid:durableId="994992199">
    <w:abstractNumId w:val="6"/>
  </w:num>
  <w:num w:numId="12" w16cid:durableId="847019470">
    <w:abstractNumId w:val="7"/>
  </w:num>
  <w:num w:numId="13" w16cid:durableId="312218233">
    <w:abstractNumId w:val="13"/>
  </w:num>
  <w:num w:numId="14" w16cid:durableId="1040399688">
    <w:abstractNumId w:val="13"/>
  </w:num>
  <w:num w:numId="15" w16cid:durableId="1688021361">
    <w:abstractNumId w:val="7"/>
  </w:num>
  <w:num w:numId="16" w16cid:durableId="1422871823">
    <w:abstractNumId w:val="12"/>
  </w:num>
  <w:num w:numId="17" w16cid:durableId="340812999">
    <w:abstractNumId w:val="2"/>
  </w:num>
  <w:num w:numId="18" w16cid:durableId="538392763">
    <w:abstractNumId w:val="21"/>
  </w:num>
  <w:num w:numId="19" w16cid:durableId="1608654489">
    <w:abstractNumId w:val="1"/>
  </w:num>
  <w:num w:numId="20" w16cid:durableId="567376991">
    <w:abstractNumId w:val="11"/>
  </w:num>
  <w:num w:numId="21" w16cid:durableId="193462361">
    <w:abstractNumId w:val="3"/>
  </w:num>
  <w:num w:numId="22" w16cid:durableId="763109792">
    <w:abstractNumId w:val="14"/>
  </w:num>
  <w:num w:numId="23" w16cid:durableId="1508590613">
    <w:abstractNumId w:val="9"/>
  </w:num>
  <w:num w:numId="24" w16cid:durableId="1946302548">
    <w:abstractNumId w:val="8"/>
  </w:num>
  <w:num w:numId="25" w16cid:durableId="1951811527">
    <w:abstractNumId w:val="20"/>
  </w:num>
  <w:num w:numId="26" w16cid:durableId="973021011">
    <w:abstractNumId w:val="25"/>
  </w:num>
  <w:num w:numId="27" w16cid:durableId="2065060870">
    <w:abstractNumId w:val="4"/>
  </w:num>
  <w:num w:numId="28" w16cid:durableId="621112711">
    <w:abstractNumId w:val="10"/>
  </w:num>
  <w:num w:numId="29" w16cid:durableId="701393905">
    <w:abstractNumId w:val="2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bookFoldPrintingSheets w:val="-4"/>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4355"/>
    <w:rsid w:val="000008E8"/>
    <w:rsid w:val="000010A6"/>
    <w:rsid w:val="00001DE6"/>
    <w:rsid w:val="00002A30"/>
    <w:rsid w:val="00003A71"/>
    <w:rsid w:val="00003FBE"/>
    <w:rsid w:val="000042B0"/>
    <w:rsid w:val="0000474B"/>
    <w:rsid w:val="00007622"/>
    <w:rsid w:val="00007F4A"/>
    <w:rsid w:val="00011556"/>
    <w:rsid w:val="0001172F"/>
    <w:rsid w:val="00012C69"/>
    <w:rsid w:val="00013161"/>
    <w:rsid w:val="00013B6C"/>
    <w:rsid w:val="0001430C"/>
    <w:rsid w:val="00014C86"/>
    <w:rsid w:val="00014EAF"/>
    <w:rsid w:val="0001569B"/>
    <w:rsid w:val="00015914"/>
    <w:rsid w:val="00015EAC"/>
    <w:rsid w:val="00015F32"/>
    <w:rsid w:val="00016A26"/>
    <w:rsid w:val="00016C33"/>
    <w:rsid w:val="0001718F"/>
    <w:rsid w:val="00017248"/>
    <w:rsid w:val="00017698"/>
    <w:rsid w:val="00017CB0"/>
    <w:rsid w:val="00017EA4"/>
    <w:rsid w:val="000204F8"/>
    <w:rsid w:val="00020A73"/>
    <w:rsid w:val="00020E98"/>
    <w:rsid w:val="00021F7C"/>
    <w:rsid w:val="0002307A"/>
    <w:rsid w:val="000242E4"/>
    <w:rsid w:val="00024783"/>
    <w:rsid w:val="000249C7"/>
    <w:rsid w:val="00024CC7"/>
    <w:rsid w:val="0002541B"/>
    <w:rsid w:val="0002561F"/>
    <w:rsid w:val="00025A22"/>
    <w:rsid w:val="00025A91"/>
    <w:rsid w:val="0002649A"/>
    <w:rsid w:val="00026E24"/>
    <w:rsid w:val="0003013A"/>
    <w:rsid w:val="0003045E"/>
    <w:rsid w:val="00030EFA"/>
    <w:rsid w:val="0003133F"/>
    <w:rsid w:val="00031788"/>
    <w:rsid w:val="00031F1A"/>
    <w:rsid w:val="000337D5"/>
    <w:rsid w:val="00033CE7"/>
    <w:rsid w:val="000341DE"/>
    <w:rsid w:val="00034226"/>
    <w:rsid w:val="0003529A"/>
    <w:rsid w:val="00035AD1"/>
    <w:rsid w:val="00035EB3"/>
    <w:rsid w:val="000367FB"/>
    <w:rsid w:val="000368A6"/>
    <w:rsid w:val="00041725"/>
    <w:rsid w:val="000419F5"/>
    <w:rsid w:val="000420CE"/>
    <w:rsid w:val="00042744"/>
    <w:rsid w:val="00042B7E"/>
    <w:rsid w:val="00043460"/>
    <w:rsid w:val="00044425"/>
    <w:rsid w:val="00044C50"/>
    <w:rsid w:val="00044F4E"/>
    <w:rsid w:val="00044F6C"/>
    <w:rsid w:val="00045142"/>
    <w:rsid w:val="0004550B"/>
    <w:rsid w:val="0004557E"/>
    <w:rsid w:val="00045AE8"/>
    <w:rsid w:val="00045AF3"/>
    <w:rsid w:val="00045C6F"/>
    <w:rsid w:val="000463FB"/>
    <w:rsid w:val="0004677E"/>
    <w:rsid w:val="00046C20"/>
    <w:rsid w:val="00046C9A"/>
    <w:rsid w:val="00046DA0"/>
    <w:rsid w:val="0004756A"/>
    <w:rsid w:val="000478DD"/>
    <w:rsid w:val="00050F2C"/>
    <w:rsid w:val="00051D59"/>
    <w:rsid w:val="00051FD0"/>
    <w:rsid w:val="00052346"/>
    <w:rsid w:val="00053218"/>
    <w:rsid w:val="0005383A"/>
    <w:rsid w:val="00053A1A"/>
    <w:rsid w:val="00053A3E"/>
    <w:rsid w:val="00053D4A"/>
    <w:rsid w:val="00054C30"/>
    <w:rsid w:val="00054C7D"/>
    <w:rsid w:val="0005566F"/>
    <w:rsid w:val="00055BE9"/>
    <w:rsid w:val="00056B6B"/>
    <w:rsid w:val="00056C1D"/>
    <w:rsid w:val="00056F7F"/>
    <w:rsid w:val="00057110"/>
    <w:rsid w:val="0006066A"/>
    <w:rsid w:val="00060F8B"/>
    <w:rsid w:val="00061245"/>
    <w:rsid w:val="00061764"/>
    <w:rsid w:val="00061A28"/>
    <w:rsid w:val="000628FD"/>
    <w:rsid w:val="00062A6A"/>
    <w:rsid w:val="00062E6F"/>
    <w:rsid w:val="00063666"/>
    <w:rsid w:val="0006394B"/>
    <w:rsid w:val="00064004"/>
    <w:rsid w:val="00064304"/>
    <w:rsid w:val="00064A08"/>
    <w:rsid w:val="00065295"/>
    <w:rsid w:val="000658CC"/>
    <w:rsid w:val="00065A2B"/>
    <w:rsid w:val="00067741"/>
    <w:rsid w:val="000677FD"/>
    <w:rsid w:val="00067A50"/>
    <w:rsid w:val="00067F9D"/>
    <w:rsid w:val="000707BD"/>
    <w:rsid w:val="00071D23"/>
    <w:rsid w:val="0007231D"/>
    <w:rsid w:val="00072539"/>
    <w:rsid w:val="00072C97"/>
    <w:rsid w:val="00073275"/>
    <w:rsid w:val="00074D07"/>
    <w:rsid w:val="00075F74"/>
    <w:rsid w:val="00076219"/>
    <w:rsid w:val="00076D8B"/>
    <w:rsid w:val="00077413"/>
    <w:rsid w:val="00077641"/>
    <w:rsid w:val="000778D2"/>
    <w:rsid w:val="00080C36"/>
    <w:rsid w:val="00081862"/>
    <w:rsid w:val="00081905"/>
    <w:rsid w:val="00082183"/>
    <w:rsid w:val="000822F8"/>
    <w:rsid w:val="000823D8"/>
    <w:rsid w:val="000831DB"/>
    <w:rsid w:val="00083815"/>
    <w:rsid w:val="00083D49"/>
    <w:rsid w:val="000841F3"/>
    <w:rsid w:val="00086059"/>
    <w:rsid w:val="00086256"/>
    <w:rsid w:val="00086916"/>
    <w:rsid w:val="000876B4"/>
    <w:rsid w:val="000903A7"/>
    <w:rsid w:val="00091872"/>
    <w:rsid w:val="00091DDA"/>
    <w:rsid w:val="000925AA"/>
    <w:rsid w:val="000930E3"/>
    <w:rsid w:val="000935F9"/>
    <w:rsid w:val="0009399F"/>
    <w:rsid w:val="00094217"/>
    <w:rsid w:val="000942B7"/>
    <w:rsid w:val="00094922"/>
    <w:rsid w:val="00094C98"/>
    <w:rsid w:val="00095881"/>
    <w:rsid w:val="00095BE1"/>
    <w:rsid w:val="00095D06"/>
    <w:rsid w:val="00096588"/>
    <w:rsid w:val="000966AD"/>
    <w:rsid w:val="000966ED"/>
    <w:rsid w:val="00096AE2"/>
    <w:rsid w:val="00096D6F"/>
    <w:rsid w:val="00097B21"/>
    <w:rsid w:val="00097BDE"/>
    <w:rsid w:val="000A00FB"/>
    <w:rsid w:val="000A1961"/>
    <w:rsid w:val="000A3140"/>
    <w:rsid w:val="000A3889"/>
    <w:rsid w:val="000A3BA7"/>
    <w:rsid w:val="000A40AC"/>
    <w:rsid w:val="000A4624"/>
    <w:rsid w:val="000A4BD4"/>
    <w:rsid w:val="000A4F0B"/>
    <w:rsid w:val="000A5491"/>
    <w:rsid w:val="000A693A"/>
    <w:rsid w:val="000A6E22"/>
    <w:rsid w:val="000A78AA"/>
    <w:rsid w:val="000A7A16"/>
    <w:rsid w:val="000A7C93"/>
    <w:rsid w:val="000A7D3C"/>
    <w:rsid w:val="000B0294"/>
    <w:rsid w:val="000B072C"/>
    <w:rsid w:val="000B0D81"/>
    <w:rsid w:val="000B1126"/>
    <w:rsid w:val="000B13D6"/>
    <w:rsid w:val="000B1F1C"/>
    <w:rsid w:val="000B30A7"/>
    <w:rsid w:val="000B4AB6"/>
    <w:rsid w:val="000B501D"/>
    <w:rsid w:val="000B53A3"/>
    <w:rsid w:val="000B56DE"/>
    <w:rsid w:val="000B58FC"/>
    <w:rsid w:val="000B5E41"/>
    <w:rsid w:val="000B63BF"/>
    <w:rsid w:val="000B767A"/>
    <w:rsid w:val="000B7D25"/>
    <w:rsid w:val="000C10CA"/>
    <w:rsid w:val="000C12D7"/>
    <w:rsid w:val="000C13DE"/>
    <w:rsid w:val="000C1B1B"/>
    <w:rsid w:val="000C2C2A"/>
    <w:rsid w:val="000C2C51"/>
    <w:rsid w:val="000C2F64"/>
    <w:rsid w:val="000C403F"/>
    <w:rsid w:val="000C4696"/>
    <w:rsid w:val="000C47C1"/>
    <w:rsid w:val="000C491C"/>
    <w:rsid w:val="000C5E7A"/>
    <w:rsid w:val="000C6A78"/>
    <w:rsid w:val="000C72EF"/>
    <w:rsid w:val="000C7426"/>
    <w:rsid w:val="000D043C"/>
    <w:rsid w:val="000D070C"/>
    <w:rsid w:val="000D0B62"/>
    <w:rsid w:val="000D1872"/>
    <w:rsid w:val="000D210F"/>
    <w:rsid w:val="000D2567"/>
    <w:rsid w:val="000D2917"/>
    <w:rsid w:val="000D2F37"/>
    <w:rsid w:val="000D2F5C"/>
    <w:rsid w:val="000D37BE"/>
    <w:rsid w:val="000D3A55"/>
    <w:rsid w:val="000D3CC2"/>
    <w:rsid w:val="000D4767"/>
    <w:rsid w:val="000D4A15"/>
    <w:rsid w:val="000D4CAB"/>
    <w:rsid w:val="000D4D7B"/>
    <w:rsid w:val="000D5167"/>
    <w:rsid w:val="000D52A3"/>
    <w:rsid w:val="000D61DD"/>
    <w:rsid w:val="000D6B4A"/>
    <w:rsid w:val="000D6E5A"/>
    <w:rsid w:val="000D6F5E"/>
    <w:rsid w:val="000D774C"/>
    <w:rsid w:val="000D7A12"/>
    <w:rsid w:val="000D7C0F"/>
    <w:rsid w:val="000E00B8"/>
    <w:rsid w:val="000E07C3"/>
    <w:rsid w:val="000E08E9"/>
    <w:rsid w:val="000E173D"/>
    <w:rsid w:val="000E29EC"/>
    <w:rsid w:val="000E4091"/>
    <w:rsid w:val="000E57F0"/>
    <w:rsid w:val="000E63CF"/>
    <w:rsid w:val="000E6665"/>
    <w:rsid w:val="000E6E02"/>
    <w:rsid w:val="000E7883"/>
    <w:rsid w:val="000F006B"/>
    <w:rsid w:val="000F03D9"/>
    <w:rsid w:val="000F119F"/>
    <w:rsid w:val="000F1F60"/>
    <w:rsid w:val="000F216E"/>
    <w:rsid w:val="000F281E"/>
    <w:rsid w:val="000F2CE3"/>
    <w:rsid w:val="000F366B"/>
    <w:rsid w:val="000F41AB"/>
    <w:rsid w:val="000F422D"/>
    <w:rsid w:val="000F4443"/>
    <w:rsid w:val="000F44AC"/>
    <w:rsid w:val="000F4CB1"/>
    <w:rsid w:val="000F5365"/>
    <w:rsid w:val="000F5890"/>
    <w:rsid w:val="000F6F9A"/>
    <w:rsid w:val="000F701E"/>
    <w:rsid w:val="000F70B3"/>
    <w:rsid w:val="000F77F4"/>
    <w:rsid w:val="000F7ED6"/>
    <w:rsid w:val="00101105"/>
    <w:rsid w:val="0010164C"/>
    <w:rsid w:val="001017C1"/>
    <w:rsid w:val="00101A1F"/>
    <w:rsid w:val="00101C59"/>
    <w:rsid w:val="00101C9E"/>
    <w:rsid w:val="001025F2"/>
    <w:rsid w:val="001031D0"/>
    <w:rsid w:val="001036A3"/>
    <w:rsid w:val="00104521"/>
    <w:rsid w:val="00104542"/>
    <w:rsid w:val="00104DE7"/>
    <w:rsid w:val="0010572C"/>
    <w:rsid w:val="00106D98"/>
    <w:rsid w:val="00106EDA"/>
    <w:rsid w:val="00106F8C"/>
    <w:rsid w:val="001075A3"/>
    <w:rsid w:val="001076D4"/>
    <w:rsid w:val="00107893"/>
    <w:rsid w:val="00110473"/>
    <w:rsid w:val="0011066D"/>
    <w:rsid w:val="00110DE3"/>
    <w:rsid w:val="00110FEA"/>
    <w:rsid w:val="0011153C"/>
    <w:rsid w:val="00111727"/>
    <w:rsid w:val="0011216D"/>
    <w:rsid w:val="001121DE"/>
    <w:rsid w:val="00112F6C"/>
    <w:rsid w:val="0011321A"/>
    <w:rsid w:val="001138BE"/>
    <w:rsid w:val="00113CED"/>
    <w:rsid w:val="00114058"/>
    <w:rsid w:val="00114CD7"/>
    <w:rsid w:val="00114E67"/>
    <w:rsid w:val="00115D74"/>
    <w:rsid w:val="001167EB"/>
    <w:rsid w:val="001179AF"/>
    <w:rsid w:val="00120084"/>
    <w:rsid w:val="0012052F"/>
    <w:rsid w:val="00120F4A"/>
    <w:rsid w:val="00121A09"/>
    <w:rsid w:val="00121B19"/>
    <w:rsid w:val="00122918"/>
    <w:rsid w:val="0012293D"/>
    <w:rsid w:val="00123A6E"/>
    <w:rsid w:val="00123EE9"/>
    <w:rsid w:val="0012446B"/>
    <w:rsid w:val="0012565E"/>
    <w:rsid w:val="00126462"/>
    <w:rsid w:val="00126463"/>
    <w:rsid w:val="00126839"/>
    <w:rsid w:val="001269DA"/>
    <w:rsid w:val="001272B4"/>
    <w:rsid w:val="00127E2B"/>
    <w:rsid w:val="001300C3"/>
    <w:rsid w:val="001301AD"/>
    <w:rsid w:val="00130AB8"/>
    <w:rsid w:val="00130CA6"/>
    <w:rsid w:val="0013132D"/>
    <w:rsid w:val="0013160F"/>
    <w:rsid w:val="00131D57"/>
    <w:rsid w:val="0013290D"/>
    <w:rsid w:val="00133531"/>
    <w:rsid w:val="00134BAB"/>
    <w:rsid w:val="0013540A"/>
    <w:rsid w:val="00135572"/>
    <w:rsid w:val="00135690"/>
    <w:rsid w:val="00136480"/>
    <w:rsid w:val="00136481"/>
    <w:rsid w:val="001367A2"/>
    <w:rsid w:val="001369CB"/>
    <w:rsid w:val="00136D1A"/>
    <w:rsid w:val="001371FC"/>
    <w:rsid w:val="0013764B"/>
    <w:rsid w:val="0013777A"/>
    <w:rsid w:val="001379AC"/>
    <w:rsid w:val="00140006"/>
    <w:rsid w:val="00140627"/>
    <w:rsid w:val="00140CE7"/>
    <w:rsid w:val="00140E0F"/>
    <w:rsid w:val="00141893"/>
    <w:rsid w:val="001419A9"/>
    <w:rsid w:val="001432A5"/>
    <w:rsid w:val="00143AF6"/>
    <w:rsid w:val="00144908"/>
    <w:rsid w:val="00144C9D"/>
    <w:rsid w:val="00144DC0"/>
    <w:rsid w:val="0014607D"/>
    <w:rsid w:val="0014652E"/>
    <w:rsid w:val="0015030C"/>
    <w:rsid w:val="00151238"/>
    <w:rsid w:val="0015177B"/>
    <w:rsid w:val="00151A34"/>
    <w:rsid w:val="00151BE0"/>
    <w:rsid w:val="00152024"/>
    <w:rsid w:val="001530CC"/>
    <w:rsid w:val="00153D23"/>
    <w:rsid w:val="001545AD"/>
    <w:rsid w:val="00154821"/>
    <w:rsid w:val="00154E64"/>
    <w:rsid w:val="001552A2"/>
    <w:rsid w:val="00155415"/>
    <w:rsid w:val="00156EB6"/>
    <w:rsid w:val="00157A52"/>
    <w:rsid w:val="00157B0D"/>
    <w:rsid w:val="00157F11"/>
    <w:rsid w:val="0016087F"/>
    <w:rsid w:val="001614D0"/>
    <w:rsid w:val="0016152A"/>
    <w:rsid w:val="00162281"/>
    <w:rsid w:val="00162D7E"/>
    <w:rsid w:val="00163EF5"/>
    <w:rsid w:val="0016426F"/>
    <w:rsid w:val="0016455B"/>
    <w:rsid w:val="00165EE9"/>
    <w:rsid w:val="00166363"/>
    <w:rsid w:val="00166F8B"/>
    <w:rsid w:val="00167480"/>
    <w:rsid w:val="001678C2"/>
    <w:rsid w:val="0016792F"/>
    <w:rsid w:val="00167F04"/>
    <w:rsid w:val="00170053"/>
    <w:rsid w:val="0017073B"/>
    <w:rsid w:val="0017110E"/>
    <w:rsid w:val="00172779"/>
    <w:rsid w:val="00172F67"/>
    <w:rsid w:val="00173443"/>
    <w:rsid w:val="00173852"/>
    <w:rsid w:val="001745E7"/>
    <w:rsid w:val="00174CC8"/>
    <w:rsid w:val="00174E9A"/>
    <w:rsid w:val="001750E4"/>
    <w:rsid w:val="00175709"/>
    <w:rsid w:val="00175980"/>
    <w:rsid w:val="00177712"/>
    <w:rsid w:val="00177B16"/>
    <w:rsid w:val="00177C80"/>
    <w:rsid w:val="001803BE"/>
    <w:rsid w:val="00180642"/>
    <w:rsid w:val="001806FF"/>
    <w:rsid w:val="00180E43"/>
    <w:rsid w:val="00181A74"/>
    <w:rsid w:val="00181F84"/>
    <w:rsid w:val="00182A75"/>
    <w:rsid w:val="001830C9"/>
    <w:rsid w:val="0018416F"/>
    <w:rsid w:val="001848CC"/>
    <w:rsid w:val="00184AD7"/>
    <w:rsid w:val="00185A2E"/>
    <w:rsid w:val="00186554"/>
    <w:rsid w:val="00186959"/>
    <w:rsid w:val="00186AFC"/>
    <w:rsid w:val="00186EA7"/>
    <w:rsid w:val="00187545"/>
    <w:rsid w:val="00187DBC"/>
    <w:rsid w:val="00190812"/>
    <w:rsid w:val="00191ACA"/>
    <w:rsid w:val="00191FA9"/>
    <w:rsid w:val="00192DE9"/>
    <w:rsid w:val="001930EF"/>
    <w:rsid w:val="00193C86"/>
    <w:rsid w:val="0019498F"/>
    <w:rsid w:val="0019530B"/>
    <w:rsid w:val="00195E01"/>
    <w:rsid w:val="001964D8"/>
    <w:rsid w:val="00196DBC"/>
    <w:rsid w:val="00197277"/>
    <w:rsid w:val="0019753B"/>
    <w:rsid w:val="00197B72"/>
    <w:rsid w:val="001A040A"/>
    <w:rsid w:val="001A07EB"/>
    <w:rsid w:val="001A0A0A"/>
    <w:rsid w:val="001A3115"/>
    <w:rsid w:val="001A3722"/>
    <w:rsid w:val="001A3E78"/>
    <w:rsid w:val="001A4359"/>
    <w:rsid w:val="001A454E"/>
    <w:rsid w:val="001A4575"/>
    <w:rsid w:val="001A466C"/>
    <w:rsid w:val="001A5282"/>
    <w:rsid w:val="001A546F"/>
    <w:rsid w:val="001A5752"/>
    <w:rsid w:val="001B0274"/>
    <w:rsid w:val="001B03F4"/>
    <w:rsid w:val="001B07D9"/>
    <w:rsid w:val="001B116E"/>
    <w:rsid w:val="001B1F91"/>
    <w:rsid w:val="001B20E4"/>
    <w:rsid w:val="001B35D8"/>
    <w:rsid w:val="001B3E53"/>
    <w:rsid w:val="001B4208"/>
    <w:rsid w:val="001B47EA"/>
    <w:rsid w:val="001B5637"/>
    <w:rsid w:val="001B57C7"/>
    <w:rsid w:val="001B5DB5"/>
    <w:rsid w:val="001B5DEE"/>
    <w:rsid w:val="001B6472"/>
    <w:rsid w:val="001B7E5A"/>
    <w:rsid w:val="001C059C"/>
    <w:rsid w:val="001C103C"/>
    <w:rsid w:val="001C1717"/>
    <w:rsid w:val="001C1F2D"/>
    <w:rsid w:val="001C2A3C"/>
    <w:rsid w:val="001C3370"/>
    <w:rsid w:val="001C3AAB"/>
    <w:rsid w:val="001C56A9"/>
    <w:rsid w:val="001C594D"/>
    <w:rsid w:val="001C68B1"/>
    <w:rsid w:val="001C79C6"/>
    <w:rsid w:val="001D02E6"/>
    <w:rsid w:val="001D2814"/>
    <w:rsid w:val="001D3EDD"/>
    <w:rsid w:val="001D4DAB"/>
    <w:rsid w:val="001D4FB6"/>
    <w:rsid w:val="001D5542"/>
    <w:rsid w:val="001D58B2"/>
    <w:rsid w:val="001D58DB"/>
    <w:rsid w:val="001D5FC3"/>
    <w:rsid w:val="001D6ABE"/>
    <w:rsid w:val="001D6C1E"/>
    <w:rsid w:val="001D6E3E"/>
    <w:rsid w:val="001D756A"/>
    <w:rsid w:val="001D7BE5"/>
    <w:rsid w:val="001E04DD"/>
    <w:rsid w:val="001E07C0"/>
    <w:rsid w:val="001E0A0C"/>
    <w:rsid w:val="001E0EEA"/>
    <w:rsid w:val="001E1C08"/>
    <w:rsid w:val="001E23B4"/>
    <w:rsid w:val="001E26E2"/>
    <w:rsid w:val="001E3ACF"/>
    <w:rsid w:val="001E3C63"/>
    <w:rsid w:val="001E472A"/>
    <w:rsid w:val="001E4CE4"/>
    <w:rsid w:val="001E5874"/>
    <w:rsid w:val="001E6B47"/>
    <w:rsid w:val="001F1238"/>
    <w:rsid w:val="001F129C"/>
    <w:rsid w:val="001F1BB6"/>
    <w:rsid w:val="001F2D77"/>
    <w:rsid w:val="001F3EEE"/>
    <w:rsid w:val="001F45D9"/>
    <w:rsid w:val="001F5AD7"/>
    <w:rsid w:val="001F5CED"/>
    <w:rsid w:val="001F5F70"/>
    <w:rsid w:val="001F6329"/>
    <w:rsid w:val="001F6384"/>
    <w:rsid w:val="001F791D"/>
    <w:rsid w:val="001F7B6F"/>
    <w:rsid w:val="0020203B"/>
    <w:rsid w:val="0020264E"/>
    <w:rsid w:val="00203FCD"/>
    <w:rsid w:val="00204139"/>
    <w:rsid w:val="00205740"/>
    <w:rsid w:val="0020630C"/>
    <w:rsid w:val="002069C2"/>
    <w:rsid w:val="00206A65"/>
    <w:rsid w:val="00206C7F"/>
    <w:rsid w:val="002071F8"/>
    <w:rsid w:val="00207335"/>
    <w:rsid w:val="00207347"/>
    <w:rsid w:val="0021050A"/>
    <w:rsid w:val="00210E57"/>
    <w:rsid w:val="0021177E"/>
    <w:rsid w:val="00211DE8"/>
    <w:rsid w:val="00212202"/>
    <w:rsid w:val="002124BF"/>
    <w:rsid w:val="00212DB3"/>
    <w:rsid w:val="00213503"/>
    <w:rsid w:val="00213CFF"/>
    <w:rsid w:val="0021495B"/>
    <w:rsid w:val="002151FB"/>
    <w:rsid w:val="00217E6B"/>
    <w:rsid w:val="00217ED6"/>
    <w:rsid w:val="0022025E"/>
    <w:rsid w:val="00220637"/>
    <w:rsid w:val="0022145E"/>
    <w:rsid w:val="002219A9"/>
    <w:rsid w:val="00221F09"/>
    <w:rsid w:val="002224E3"/>
    <w:rsid w:val="0022269A"/>
    <w:rsid w:val="002228E0"/>
    <w:rsid w:val="00223869"/>
    <w:rsid w:val="002253B4"/>
    <w:rsid w:val="002260DD"/>
    <w:rsid w:val="0022682C"/>
    <w:rsid w:val="00226840"/>
    <w:rsid w:val="00226BED"/>
    <w:rsid w:val="00226F0E"/>
    <w:rsid w:val="00227232"/>
    <w:rsid w:val="00227B3E"/>
    <w:rsid w:val="00230165"/>
    <w:rsid w:val="00230630"/>
    <w:rsid w:val="00230C78"/>
    <w:rsid w:val="0023122F"/>
    <w:rsid w:val="00231A00"/>
    <w:rsid w:val="00231A3A"/>
    <w:rsid w:val="00232B20"/>
    <w:rsid w:val="00232D0B"/>
    <w:rsid w:val="00233132"/>
    <w:rsid w:val="00233652"/>
    <w:rsid w:val="00233F81"/>
    <w:rsid w:val="00234696"/>
    <w:rsid w:val="00234A8E"/>
    <w:rsid w:val="00234B28"/>
    <w:rsid w:val="002359F7"/>
    <w:rsid w:val="002379FE"/>
    <w:rsid w:val="00240915"/>
    <w:rsid w:val="00240B06"/>
    <w:rsid w:val="00240B8D"/>
    <w:rsid w:val="00240C96"/>
    <w:rsid w:val="00240CE0"/>
    <w:rsid w:val="00240D7A"/>
    <w:rsid w:val="002414F5"/>
    <w:rsid w:val="002419DE"/>
    <w:rsid w:val="00242A36"/>
    <w:rsid w:val="00242E08"/>
    <w:rsid w:val="00243253"/>
    <w:rsid w:val="00243C59"/>
    <w:rsid w:val="00243F2A"/>
    <w:rsid w:val="002443F8"/>
    <w:rsid w:val="0024470C"/>
    <w:rsid w:val="00244F35"/>
    <w:rsid w:val="00245D98"/>
    <w:rsid w:val="002464FD"/>
    <w:rsid w:val="00246F18"/>
    <w:rsid w:val="00247105"/>
    <w:rsid w:val="002471B8"/>
    <w:rsid w:val="00247201"/>
    <w:rsid w:val="0024753D"/>
    <w:rsid w:val="0024768E"/>
    <w:rsid w:val="002476A2"/>
    <w:rsid w:val="00247A79"/>
    <w:rsid w:val="00250BB5"/>
    <w:rsid w:val="002533D7"/>
    <w:rsid w:val="0025340D"/>
    <w:rsid w:val="00253FA5"/>
    <w:rsid w:val="00254544"/>
    <w:rsid w:val="00254AF9"/>
    <w:rsid w:val="0025554A"/>
    <w:rsid w:val="00256188"/>
    <w:rsid w:val="002561D9"/>
    <w:rsid w:val="00257461"/>
    <w:rsid w:val="00260126"/>
    <w:rsid w:val="002603AF"/>
    <w:rsid w:val="0026051A"/>
    <w:rsid w:val="002605E4"/>
    <w:rsid w:val="00260FC6"/>
    <w:rsid w:val="0026152E"/>
    <w:rsid w:val="00261A58"/>
    <w:rsid w:val="00261AF0"/>
    <w:rsid w:val="00262D93"/>
    <w:rsid w:val="00262F11"/>
    <w:rsid w:val="0026384E"/>
    <w:rsid w:val="002639CD"/>
    <w:rsid w:val="00263AA4"/>
    <w:rsid w:val="00265BC2"/>
    <w:rsid w:val="00267629"/>
    <w:rsid w:val="00267667"/>
    <w:rsid w:val="00270160"/>
    <w:rsid w:val="00270D0A"/>
    <w:rsid w:val="00270E29"/>
    <w:rsid w:val="00270E90"/>
    <w:rsid w:val="002729EE"/>
    <w:rsid w:val="00272B19"/>
    <w:rsid w:val="0027350F"/>
    <w:rsid w:val="00273867"/>
    <w:rsid w:val="00274077"/>
    <w:rsid w:val="0027442F"/>
    <w:rsid w:val="002745C0"/>
    <w:rsid w:val="00274613"/>
    <w:rsid w:val="00274A8E"/>
    <w:rsid w:val="00275367"/>
    <w:rsid w:val="002755DB"/>
    <w:rsid w:val="002759B0"/>
    <w:rsid w:val="00275DAA"/>
    <w:rsid w:val="00275E9D"/>
    <w:rsid w:val="00276C53"/>
    <w:rsid w:val="00277BD3"/>
    <w:rsid w:val="00277FA5"/>
    <w:rsid w:val="002802C9"/>
    <w:rsid w:val="00281E43"/>
    <w:rsid w:val="00282F77"/>
    <w:rsid w:val="00283825"/>
    <w:rsid w:val="00283E77"/>
    <w:rsid w:val="00284BF5"/>
    <w:rsid w:val="00285059"/>
    <w:rsid w:val="00285428"/>
    <w:rsid w:val="00286B06"/>
    <w:rsid w:val="00286D31"/>
    <w:rsid w:val="00287453"/>
    <w:rsid w:val="00287783"/>
    <w:rsid w:val="0028779B"/>
    <w:rsid w:val="002902CE"/>
    <w:rsid w:val="0029044B"/>
    <w:rsid w:val="00291CE8"/>
    <w:rsid w:val="00292428"/>
    <w:rsid w:val="002924F2"/>
    <w:rsid w:val="00292849"/>
    <w:rsid w:val="002929FC"/>
    <w:rsid w:val="00292E15"/>
    <w:rsid w:val="002938EB"/>
    <w:rsid w:val="002957B9"/>
    <w:rsid w:val="002959F3"/>
    <w:rsid w:val="00295C41"/>
    <w:rsid w:val="00295ED5"/>
    <w:rsid w:val="002965AB"/>
    <w:rsid w:val="002A0793"/>
    <w:rsid w:val="002A0C11"/>
    <w:rsid w:val="002A179B"/>
    <w:rsid w:val="002A1AEF"/>
    <w:rsid w:val="002A1DC4"/>
    <w:rsid w:val="002A2077"/>
    <w:rsid w:val="002A3587"/>
    <w:rsid w:val="002A35F2"/>
    <w:rsid w:val="002A3872"/>
    <w:rsid w:val="002A4718"/>
    <w:rsid w:val="002A48D2"/>
    <w:rsid w:val="002A4C76"/>
    <w:rsid w:val="002A4F42"/>
    <w:rsid w:val="002A64C2"/>
    <w:rsid w:val="002A64C9"/>
    <w:rsid w:val="002A737A"/>
    <w:rsid w:val="002A7515"/>
    <w:rsid w:val="002A7BC7"/>
    <w:rsid w:val="002B057E"/>
    <w:rsid w:val="002B07C1"/>
    <w:rsid w:val="002B11E5"/>
    <w:rsid w:val="002B1854"/>
    <w:rsid w:val="002B1936"/>
    <w:rsid w:val="002B1993"/>
    <w:rsid w:val="002B2202"/>
    <w:rsid w:val="002B30AD"/>
    <w:rsid w:val="002B310E"/>
    <w:rsid w:val="002B3708"/>
    <w:rsid w:val="002B3711"/>
    <w:rsid w:val="002B4B73"/>
    <w:rsid w:val="002B57E3"/>
    <w:rsid w:val="002B5AB2"/>
    <w:rsid w:val="002B6489"/>
    <w:rsid w:val="002C044E"/>
    <w:rsid w:val="002C0E61"/>
    <w:rsid w:val="002C14BC"/>
    <w:rsid w:val="002C16E6"/>
    <w:rsid w:val="002C1DAE"/>
    <w:rsid w:val="002C286D"/>
    <w:rsid w:val="002C28F6"/>
    <w:rsid w:val="002C32C0"/>
    <w:rsid w:val="002C3775"/>
    <w:rsid w:val="002C3BBA"/>
    <w:rsid w:val="002C462A"/>
    <w:rsid w:val="002C4775"/>
    <w:rsid w:val="002C4B62"/>
    <w:rsid w:val="002C4E89"/>
    <w:rsid w:val="002C4F5A"/>
    <w:rsid w:val="002C5E3E"/>
    <w:rsid w:val="002C5F95"/>
    <w:rsid w:val="002C71C6"/>
    <w:rsid w:val="002C71EF"/>
    <w:rsid w:val="002C7844"/>
    <w:rsid w:val="002C7AFA"/>
    <w:rsid w:val="002C7D72"/>
    <w:rsid w:val="002D0286"/>
    <w:rsid w:val="002D0435"/>
    <w:rsid w:val="002D0F27"/>
    <w:rsid w:val="002D0F6C"/>
    <w:rsid w:val="002D1409"/>
    <w:rsid w:val="002D17E1"/>
    <w:rsid w:val="002D1944"/>
    <w:rsid w:val="002D1DFE"/>
    <w:rsid w:val="002D2081"/>
    <w:rsid w:val="002D3026"/>
    <w:rsid w:val="002D310C"/>
    <w:rsid w:val="002D37EC"/>
    <w:rsid w:val="002D3A0D"/>
    <w:rsid w:val="002D4AFB"/>
    <w:rsid w:val="002D53BD"/>
    <w:rsid w:val="002D5E31"/>
    <w:rsid w:val="002D648E"/>
    <w:rsid w:val="002D7938"/>
    <w:rsid w:val="002D7A62"/>
    <w:rsid w:val="002E0583"/>
    <w:rsid w:val="002E1586"/>
    <w:rsid w:val="002E18BC"/>
    <w:rsid w:val="002E1C27"/>
    <w:rsid w:val="002E24B8"/>
    <w:rsid w:val="002E3630"/>
    <w:rsid w:val="002E469F"/>
    <w:rsid w:val="002E50E1"/>
    <w:rsid w:val="002E6004"/>
    <w:rsid w:val="002E63F9"/>
    <w:rsid w:val="002E65F6"/>
    <w:rsid w:val="002E783C"/>
    <w:rsid w:val="002F0154"/>
    <w:rsid w:val="002F0F85"/>
    <w:rsid w:val="002F2259"/>
    <w:rsid w:val="002F265B"/>
    <w:rsid w:val="002F26AF"/>
    <w:rsid w:val="002F2C8B"/>
    <w:rsid w:val="002F386A"/>
    <w:rsid w:val="002F3C80"/>
    <w:rsid w:val="002F49E1"/>
    <w:rsid w:val="002F50F0"/>
    <w:rsid w:val="002F56EB"/>
    <w:rsid w:val="002F56F7"/>
    <w:rsid w:val="002F5E83"/>
    <w:rsid w:val="002F6306"/>
    <w:rsid w:val="002F6D79"/>
    <w:rsid w:val="002F6F06"/>
    <w:rsid w:val="00300092"/>
    <w:rsid w:val="00300206"/>
    <w:rsid w:val="00301138"/>
    <w:rsid w:val="003014D9"/>
    <w:rsid w:val="0030249B"/>
    <w:rsid w:val="00302932"/>
    <w:rsid w:val="00302A6C"/>
    <w:rsid w:val="00303021"/>
    <w:rsid w:val="00303475"/>
    <w:rsid w:val="00303864"/>
    <w:rsid w:val="00303B57"/>
    <w:rsid w:val="00304061"/>
    <w:rsid w:val="00304494"/>
    <w:rsid w:val="00304A81"/>
    <w:rsid w:val="00306793"/>
    <w:rsid w:val="00306F83"/>
    <w:rsid w:val="00307427"/>
    <w:rsid w:val="00310830"/>
    <w:rsid w:val="00311348"/>
    <w:rsid w:val="00313717"/>
    <w:rsid w:val="00313CD7"/>
    <w:rsid w:val="003142EC"/>
    <w:rsid w:val="00314779"/>
    <w:rsid w:val="0031786E"/>
    <w:rsid w:val="00320140"/>
    <w:rsid w:val="0032097F"/>
    <w:rsid w:val="00320D28"/>
    <w:rsid w:val="0032134A"/>
    <w:rsid w:val="00321528"/>
    <w:rsid w:val="00322492"/>
    <w:rsid w:val="00323C49"/>
    <w:rsid w:val="003240A8"/>
    <w:rsid w:val="00324177"/>
    <w:rsid w:val="00324A41"/>
    <w:rsid w:val="00326174"/>
    <w:rsid w:val="0032684B"/>
    <w:rsid w:val="00326F55"/>
    <w:rsid w:val="00326F6D"/>
    <w:rsid w:val="003270BE"/>
    <w:rsid w:val="00327977"/>
    <w:rsid w:val="00327FB1"/>
    <w:rsid w:val="0033012D"/>
    <w:rsid w:val="00330826"/>
    <w:rsid w:val="00330848"/>
    <w:rsid w:val="003313D6"/>
    <w:rsid w:val="00331B12"/>
    <w:rsid w:val="003324BB"/>
    <w:rsid w:val="003338A0"/>
    <w:rsid w:val="0033489E"/>
    <w:rsid w:val="003352C0"/>
    <w:rsid w:val="003352F7"/>
    <w:rsid w:val="00335656"/>
    <w:rsid w:val="00335BB5"/>
    <w:rsid w:val="0033618D"/>
    <w:rsid w:val="003363B1"/>
    <w:rsid w:val="0033695B"/>
    <w:rsid w:val="003369A1"/>
    <w:rsid w:val="00336B63"/>
    <w:rsid w:val="003370F7"/>
    <w:rsid w:val="003402E0"/>
    <w:rsid w:val="00340B02"/>
    <w:rsid w:val="0034121C"/>
    <w:rsid w:val="0034227C"/>
    <w:rsid w:val="00342D97"/>
    <w:rsid w:val="00342E77"/>
    <w:rsid w:val="003440B4"/>
    <w:rsid w:val="00350759"/>
    <w:rsid w:val="003510D8"/>
    <w:rsid w:val="00351782"/>
    <w:rsid w:val="00351BF7"/>
    <w:rsid w:val="00352371"/>
    <w:rsid w:val="0035238A"/>
    <w:rsid w:val="00352A8D"/>
    <w:rsid w:val="00352AD7"/>
    <w:rsid w:val="00352B90"/>
    <w:rsid w:val="00352BBF"/>
    <w:rsid w:val="0035448D"/>
    <w:rsid w:val="00354895"/>
    <w:rsid w:val="00354AF9"/>
    <w:rsid w:val="00355329"/>
    <w:rsid w:val="003561D9"/>
    <w:rsid w:val="0035704E"/>
    <w:rsid w:val="00357551"/>
    <w:rsid w:val="00360100"/>
    <w:rsid w:val="00360142"/>
    <w:rsid w:val="0036056A"/>
    <w:rsid w:val="003617A2"/>
    <w:rsid w:val="00361A9C"/>
    <w:rsid w:val="00361E6B"/>
    <w:rsid w:val="003627A3"/>
    <w:rsid w:val="00362806"/>
    <w:rsid w:val="0036285D"/>
    <w:rsid w:val="00362C23"/>
    <w:rsid w:val="00362D25"/>
    <w:rsid w:val="00362FBD"/>
    <w:rsid w:val="003630D2"/>
    <w:rsid w:val="00363180"/>
    <w:rsid w:val="00363C53"/>
    <w:rsid w:val="0036549E"/>
    <w:rsid w:val="00366E39"/>
    <w:rsid w:val="003672E9"/>
    <w:rsid w:val="00370298"/>
    <w:rsid w:val="003703D1"/>
    <w:rsid w:val="00370753"/>
    <w:rsid w:val="003709F9"/>
    <w:rsid w:val="00370CDA"/>
    <w:rsid w:val="0037216F"/>
    <w:rsid w:val="00372365"/>
    <w:rsid w:val="00372BAC"/>
    <w:rsid w:val="00373C35"/>
    <w:rsid w:val="00374B43"/>
    <w:rsid w:val="00374FCC"/>
    <w:rsid w:val="0037502F"/>
    <w:rsid w:val="00375152"/>
    <w:rsid w:val="003756BB"/>
    <w:rsid w:val="0037694F"/>
    <w:rsid w:val="00376AFB"/>
    <w:rsid w:val="00377B5D"/>
    <w:rsid w:val="003807A3"/>
    <w:rsid w:val="00380F22"/>
    <w:rsid w:val="00381927"/>
    <w:rsid w:val="00382007"/>
    <w:rsid w:val="0038372E"/>
    <w:rsid w:val="00383A9D"/>
    <w:rsid w:val="00385021"/>
    <w:rsid w:val="003864D5"/>
    <w:rsid w:val="00387113"/>
    <w:rsid w:val="0038719E"/>
    <w:rsid w:val="00387690"/>
    <w:rsid w:val="00387A5B"/>
    <w:rsid w:val="003909BE"/>
    <w:rsid w:val="00390D23"/>
    <w:rsid w:val="00390F39"/>
    <w:rsid w:val="00391218"/>
    <w:rsid w:val="00391669"/>
    <w:rsid w:val="00391822"/>
    <w:rsid w:val="00392076"/>
    <w:rsid w:val="003935CD"/>
    <w:rsid w:val="00393BF3"/>
    <w:rsid w:val="0039421F"/>
    <w:rsid w:val="003953B0"/>
    <w:rsid w:val="003959F4"/>
    <w:rsid w:val="00395A53"/>
    <w:rsid w:val="00395E39"/>
    <w:rsid w:val="0039645B"/>
    <w:rsid w:val="00396F47"/>
    <w:rsid w:val="003A0075"/>
    <w:rsid w:val="003A183B"/>
    <w:rsid w:val="003A2898"/>
    <w:rsid w:val="003A2BAC"/>
    <w:rsid w:val="003A2E9B"/>
    <w:rsid w:val="003A2F0C"/>
    <w:rsid w:val="003A3106"/>
    <w:rsid w:val="003A3429"/>
    <w:rsid w:val="003A389B"/>
    <w:rsid w:val="003A4334"/>
    <w:rsid w:val="003A4ED9"/>
    <w:rsid w:val="003A53C9"/>
    <w:rsid w:val="003A5E33"/>
    <w:rsid w:val="003A5E5B"/>
    <w:rsid w:val="003A6845"/>
    <w:rsid w:val="003B0C52"/>
    <w:rsid w:val="003B188D"/>
    <w:rsid w:val="003B281B"/>
    <w:rsid w:val="003B2FAD"/>
    <w:rsid w:val="003B3ACD"/>
    <w:rsid w:val="003B561B"/>
    <w:rsid w:val="003B5B1D"/>
    <w:rsid w:val="003B6458"/>
    <w:rsid w:val="003B64C7"/>
    <w:rsid w:val="003B70F4"/>
    <w:rsid w:val="003C009B"/>
    <w:rsid w:val="003C00BF"/>
    <w:rsid w:val="003C1694"/>
    <w:rsid w:val="003C2022"/>
    <w:rsid w:val="003C2094"/>
    <w:rsid w:val="003C2B52"/>
    <w:rsid w:val="003C2B5A"/>
    <w:rsid w:val="003C361B"/>
    <w:rsid w:val="003C483C"/>
    <w:rsid w:val="003C5D7B"/>
    <w:rsid w:val="003C69A8"/>
    <w:rsid w:val="003C6D4A"/>
    <w:rsid w:val="003C7A84"/>
    <w:rsid w:val="003C7B21"/>
    <w:rsid w:val="003D03A6"/>
    <w:rsid w:val="003D0807"/>
    <w:rsid w:val="003D1014"/>
    <w:rsid w:val="003D1276"/>
    <w:rsid w:val="003D16C1"/>
    <w:rsid w:val="003D1D14"/>
    <w:rsid w:val="003D3087"/>
    <w:rsid w:val="003D3D64"/>
    <w:rsid w:val="003D4B93"/>
    <w:rsid w:val="003D4EAE"/>
    <w:rsid w:val="003D5806"/>
    <w:rsid w:val="003D694F"/>
    <w:rsid w:val="003D6B33"/>
    <w:rsid w:val="003D6C19"/>
    <w:rsid w:val="003D77FE"/>
    <w:rsid w:val="003D7A88"/>
    <w:rsid w:val="003E035D"/>
    <w:rsid w:val="003E06CE"/>
    <w:rsid w:val="003E1B17"/>
    <w:rsid w:val="003E1E32"/>
    <w:rsid w:val="003E355D"/>
    <w:rsid w:val="003E42B3"/>
    <w:rsid w:val="003E4DD3"/>
    <w:rsid w:val="003E5197"/>
    <w:rsid w:val="003E57B1"/>
    <w:rsid w:val="003E5D82"/>
    <w:rsid w:val="003E5FC6"/>
    <w:rsid w:val="003E69A3"/>
    <w:rsid w:val="003E69D8"/>
    <w:rsid w:val="003E7230"/>
    <w:rsid w:val="003E7643"/>
    <w:rsid w:val="003F018F"/>
    <w:rsid w:val="003F1105"/>
    <w:rsid w:val="003F2564"/>
    <w:rsid w:val="003F49A6"/>
    <w:rsid w:val="003F4D16"/>
    <w:rsid w:val="003F527D"/>
    <w:rsid w:val="003F6A7E"/>
    <w:rsid w:val="003F6AFA"/>
    <w:rsid w:val="003F6E1E"/>
    <w:rsid w:val="003F729D"/>
    <w:rsid w:val="003F753D"/>
    <w:rsid w:val="003F7938"/>
    <w:rsid w:val="00401A9B"/>
    <w:rsid w:val="00401BA3"/>
    <w:rsid w:val="00401BA6"/>
    <w:rsid w:val="00401E9E"/>
    <w:rsid w:val="004021A2"/>
    <w:rsid w:val="00402804"/>
    <w:rsid w:val="00402FF6"/>
    <w:rsid w:val="0040314A"/>
    <w:rsid w:val="004036D7"/>
    <w:rsid w:val="004042C5"/>
    <w:rsid w:val="0040529A"/>
    <w:rsid w:val="00405B25"/>
    <w:rsid w:val="00407927"/>
    <w:rsid w:val="00410237"/>
    <w:rsid w:val="00410A85"/>
    <w:rsid w:val="00410B87"/>
    <w:rsid w:val="00411A3F"/>
    <w:rsid w:val="00411D2C"/>
    <w:rsid w:val="00411F20"/>
    <w:rsid w:val="004130B2"/>
    <w:rsid w:val="00413BA0"/>
    <w:rsid w:val="00413BF0"/>
    <w:rsid w:val="00413CFA"/>
    <w:rsid w:val="00414984"/>
    <w:rsid w:val="00414DCE"/>
    <w:rsid w:val="0041520D"/>
    <w:rsid w:val="00415687"/>
    <w:rsid w:val="00416955"/>
    <w:rsid w:val="00416B8E"/>
    <w:rsid w:val="00417757"/>
    <w:rsid w:val="00417983"/>
    <w:rsid w:val="00417EEC"/>
    <w:rsid w:val="00420448"/>
    <w:rsid w:val="00420620"/>
    <w:rsid w:val="00421602"/>
    <w:rsid w:val="004219A3"/>
    <w:rsid w:val="004222BD"/>
    <w:rsid w:val="00422FA1"/>
    <w:rsid w:val="00423ECA"/>
    <w:rsid w:val="0042421C"/>
    <w:rsid w:val="004247D6"/>
    <w:rsid w:val="00424AF8"/>
    <w:rsid w:val="00424FAF"/>
    <w:rsid w:val="004259A9"/>
    <w:rsid w:val="004262A2"/>
    <w:rsid w:val="00426398"/>
    <w:rsid w:val="00430639"/>
    <w:rsid w:val="00430A23"/>
    <w:rsid w:val="00430E7F"/>
    <w:rsid w:val="00431AE6"/>
    <w:rsid w:val="00431FD7"/>
    <w:rsid w:val="00432C9A"/>
    <w:rsid w:val="00432FB6"/>
    <w:rsid w:val="004330F5"/>
    <w:rsid w:val="00433367"/>
    <w:rsid w:val="00434319"/>
    <w:rsid w:val="004363DD"/>
    <w:rsid w:val="00436512"/>
    <w:rsid w:val="004377ED"/>
    <w:rsid w:val="004379E3"/>
    <w:rsid w:val="004408FE"/>
    <w:rsid w:val="00441256"/>
    <w:rsid w:val="004413CF"/>
    <w:rsid w:val="0044179D"/>
    <w:rsid w:val="004417F8"/>
    <w:rsid w:val="004418AD"/>
    <w:rsid w:val="00442970"/>
    <w:rsid w:val="00442BA0"/>
    <w:rsid w:val="00442FB7"/>
    <w:rsid w:val="0044406F"/>
    <w:rsid w:val="004443E3"/>
    <w:rsid w:val="00445AA3"/>
    <w:rsid w:val="00445DF8"/>
    <w:rsid w:val="00445FDB"/>
    <w:rsid w:val="00446DA3"/>
    <w:rsid w:val="00447E97"/>
    <w:rsid w:val="0045038D"/>
    <w:rsid w:val="00450497"/>
    <w:rsid w:val="004506C3"/>
    <w:rsid w:val="00450BCB"/>
    <w:rsid w:val="00451673"/>
    <w:rsid w:val="00451B41"/>
    <w:rsid w:val="00453226"/>
    <w:rsid w:val="00453357"/>
    <w:rsid w:val="00453549"/>
    <w:rsid w:val="0045403A"/>
    <w:rsid w:val="00454061"/>
    <w:rsid w:val="0045431B"/>
    <w:rsid w:val="004547A1"/>
    <w:rsid w:val="00454C6E"/>
    <w:rsid w:val="00455A30"/>
    <w:rsid w:val="00455E37"/>
    <w:rsid w:val="00456461"/>
    <w:rsid w:val="00457647"/>
    <w:rsid w:val="0045778C"/>
    <w:rsid w:val="00457924"/>
    <w:rsid w:val="004602BE"/>
    <w:rsid w:val="00460626"/>
    <w:rsid w:val="004623D3"/>
    <w:rsid w:val="004623DB"/>
    <w:rsid w:val="00463785"/>
    <w:rsid w:val="0046462F"/>
    <w:rsid w:val="00464961"/>
    <w:rsid w:val="00464B31"/>
    <w:rsid w:val="0046529D"/>
    <w:rsid w:val="004664EC"/>
    <w:rsid w:val="00466517"/>
    <w:rsid w:val="004665AC"/>
    <w:rsid w:val="00466E60"/>
    <w:rsid w:val="0046747E"/>
    <w:rsid w:val="004704F6"/>
    <w:rsid w:val="004711BD"/>
    <w:rsid w:val="00471506"/>
    <w:rsid w:val="0047194F"/>
    <w:rsid w:val="00471E2B"/>
    <w:rsid w:val="00472767"/>
    <w:rsid w:val="00473629"/>
    <w:rsid w:val="00473992"/>
    <w:rsid w:val="004739E8"/>
    <w:rsid w:val="00473F71"/>
    <w:rsid w:val="00473FD9"/>
    <w:rsid w:val="00474281"/>
    <w:rsid w:val="00475118"/>
    <w:rsid w:val="00475325"/>
    <w:rsid w:val="004755AD"/>
    <w:rsid w:val="004756AB"/>
    <w:rsid w:val="00475E2C"/>
    <w:rsid w:val="00476182"/>
    <w:rsid w:val="004762E3"/>
    <w:rsid w:val="0047642F"/>
    <w:rsid w:val="00476449"/>
    <w:rsid w:val="00476B98"/>
    <w:rsid w:val="00476CF4"/>
    <w:rsid w:val="00476EBF"/>
    <w:rsid w:val="00477FD5"/>
    <w:rsid w:val="00480353"/>
    <w:rsid w:val="00480F71"/>
    <w:rsid w:val="0048132E"/>
    <w:rsid w:val="004816E7"/>
    <w:rsid w:val="004818EC"/>
    <w:rsid w:val="00482BDE"/>
    <w:rsid w:val="00483034"/>
    <w:rsid w:val="00483431"/>
    <w:rsid w:val="00483A43"/>
    <w:rsid w:val="00483E84"/>
    <w:rsid w:val="0048413A"/>
    <w:rsid w:val="00485147"/>
    <w:rsid w:val="0048534C"/>
    <w:rsid w:val="004865A4"/>
    <w:rsid w:val="00487004"/>
    <w:rsid w:val="0048739B"/>
    <w:rsid w:val="00487852"/>
    <w:rsid w:val="00490152"/>
    <w:rsid w:val="0049041B"/>
    <w:rsid w:val="004905D5"/>
    <w:rsid w:val="00490704"/>
    <w:rsid w:val="00490CD4"/>
    <w:rsid w:val="0049117C"/>
    <w:rsid w:val="0049434E"/>
    <w:rsid w:val="00494A79"/>
    <w:rsid w:val="0049516D"/>
    <w:rsid w:val="00496D86"/>
    <w:rsid w:val="004971DD"/>
    <w:rsid w:val="004972F1"/>
    <w:rsid w:val="0049765D"/>
    <w:rsid w:val="004A1359"/>
    <w:rsid w:val="004A1A41"/>
    <w:rsid w:val="004A24F2"/>
    <w:rsid w:val="004A2C02"/>
    <w:rsid w:val="004A2D46"/>
    <w:rsid w:val="004A3A2C"/>
    <w:rsid w:val="004A45A0"/>
    <w:rsid w:val="004A58E1"/>
    <w:rsid w:val="004A5C1E"/>
    <w:rsid w:val="004A633A"/>
    <w:rsid w:val="004A66B2"/>
    <w:rsid w:val="004A6E46"/>
    <w:rsid w:val="004B1E1C"/>
    <w:rsid w:val="004B26AC"/>
    <w:rsid w:val="004B2B98"/>
    <w:rsid w:val="004B2C3B"/>
    <w:rsid w:val="004B2F36"/>
    <w:rsid w:val="004B39FE"/>
    <w:rsid w:val="004B3D68"/>
    <w:rsid w:val="004B3E89"/>
    <w:rsid w:val="004B55F1"/>
    <w:rsid w:val="004B64E5"/>
    <w:rsid w:val="004B66FE"/>
    <w:rsid w:val="004B6FAE"/>
    <w:rsid w:val="004B6FB4"/>
    <w:rsid w:val="004C0B39"/>
    <w:rsid w:val="004C1990"/>
    <w:rsid w:val="004C21AC"/>
    <w:rsid w:val="004C2381"/>
    <w:rsid w:val="004C2F15"/>
    <w:rsid w:val="004C386A"/>
    <w:rsid w:val="004C56D3"/>
    <w:rsid w:val="004C5AD9"/>
    <w:rsid w:val="004C5E17"/>
    <w:rsid w:val="004C6836"/>
    <w:rsid w:val="004C7EC9"/>
    <w:rsid w:val="004D06D4"/>
    <w:rsid w:val="004D0EB4"/>
    <w:rsid w:val="004D1E5F"/>
    <w:rsid w:val="004D2537"/>
    <w:rsid w:val="004D273A"/>
    <w:rsid w:val="004D2CD5"/>
    <w:rsid w:val="004D4032"/>
    <w:rsid w:val="004D45F8"/>
    <w:rsid w:val="004D57DE"/>
    <w:rsid w:val="004D7E92"/>
    <w:rsid w:val="004E0070"/>
    <w:rsid w:val="004E0BE1"/>
    <w:rsid w:val="004E19FE"/>
    <w:rsid w:val="004E320F"/>
    <w:rsid w:val="004E3F84"/>
    <w:rsid w:val="004E4060"/>
    <w:rsid w:val="004E5426"/>
    <w:rsid w:val="004E5E5D"/>
    <w:rsid w:val="004E752E"/>
    <w:rsid w:val="004E7E53"/>
    <w:rsid w:val="004E7F8D"/>
    <w:rsid w:val="004F03E6"/>
    <w:rsid w:val="004F0962"/>
    <w:rsid w:val="004F0A0D"/>
    <w:rsid w:val="004F0BED"/>
    <w:rsid w:val="004F0C0B"/>
    <w:rsid w:val="004F0C54"/>
    <w:rsid w:val="004F0D0D"/>
    <w:rsid w:val="004F1A6B"/>
    <w:rsid w:val="004F2DF4"/>
    <w:rsid w:val="004F2EB6"/>
    <w:rsid w:val="004F39CE"/>
    <w:rsid w:val="004F39D0"/>
    <w:rsid w:val="004F42B9"/>
    <w:rsid w:val="004F4E05"/>
    <w:rsid w:val="004F4E98"/>
    <w:rsid w:val="004F52F9"/>
    <w:rsid w:val="004F5A67"/>
    <w:rsid w:val="004F5DE3"/>
    <w:rsid w:val="004F60D9"/>
    <w:rsid w:val="004F7052"/>
    <w:rsid w:val="004F7530"/>
    <w:rsid w:val="004F789B"/>
    <w:rsid w:val="005015FF"/>
    <w:rsid w:val="0050199C"/>
    <w:rsid w:val="0050272D"/>
    <w:rsid w:val="005028C1"/>
    <w:rsid w:val="00502963"/>
    <w:rsid w:val="00502DC4"/>
    <w:rsid w:val="00502E21"/>
    <w:rsid w:val="005034C8"/>
    <w:rsid w:val="00503527"/>
    <w:rsid w:val="00503F89"/>
    <w:rsid w:val="00504D53"/>
    <w:rsid w:val="00504E89"/>
    <w:rsid w:val="00505F02"/>
    <w:rsid w:val="0050624E"/>
    <w:rsid w:val="00506D52"/>
    <w:rsid w:val="00506FFD"/>
    <w:rsid w:val="00510A3E"/>
    <w:rsid w:val="005111CF"/>
    <w:rsid w:val="005112DF"/>
    <w:rsid w:val="00514125"/>
    <w:rsid w:val="005143CF"/>
    <w:rsid w:val="00514B82"/>
    <w:rsid w:val="0051507F"/>
    <w:rsid w:val="005157DD"/>
    <w:rsid w:val="00516137"/>
    <w:rsid w:val="005165A1"/>
    <w:rsid w:val="005166B9"/>
    <w:rsid w:val="00516FD9"/>
    <w:rsid w:val="005173D6"/>
    <w:rsid w:val="005173FC"/>
    <w:rsid w:val="005204F2"/>
    <w:rsid w:val="0052090D"/>
    <w:rsid w:val="0052098D"/>
    <w:rsid w:val="005218D2"/>
    <w:rsid w:val="005219EB"/>
    <w:rsid w:val="0052218B"/>
    <w:rsid w:val="00522FB3"/>
    <w:rsid w:val="00522FD8"/>
    <w:rsid w:val="0052333C"/>
    <w:rsid w:val="00524172"/>
    <w:rsid w:val="00524449"/>
    <w:rsid w:val="005262B1"/>
    <w:rsid w:val="005263F6"/>
    <w:rsid w:val="00527698"/>
    <w:rsid w:val="00527B5D"/>
    <w:rsid w:val="005302C9"/>
    <w:rsid w:val="00530BAF"/>
    <w:rsid w:val="00531152"/>
    <w:rsid w:val="005314CC"/>
    <w:rsid w:val="00532052"/>
    <w:rsid w:val="005321A0"/>
    <w:rsid w:val="0053226B"/>
    <w:rsid w:val="0053231A"/>
    <w:rsid w:val="005323F2"/>
    <w:rsid w:val="00532589"/>
    <w:rsid w:val="00532E42"/>
    <w:rsid w:val="005332BA"/>
    <w:rsid w:val="0053383B"/>
    <w:rsid w:val="00533B33"/>
    <w:rsid w:val="00533C74"/>
    <w:rsid w:val="005349BA"/>
    <w:rsid w:val="00535271"/>
    <w:rsid w:val="00535BA9"/>
    <w:rsid w:val="00535ECC"/>
    <w:rsid w:val="005361EF"/>
    <w:rsid w:val="005366F8"/>
    <w:rsid w:val="00537167"/>
    <w:rsid w:val="00537588"/>
    <w:rsid w:val="005406A0"/>
    <w:rsid w:val="005412DF"/>
    <w:rsid w:val="00541593"/>
    <w:rsid w:val="00541864"/>
    <w:rsid w:val="00541C36"/>
    <w:rsid w:val="0054243C"/>
    <w:rsid w:val="005427A6"/>
    <w:rsid w:val="00543257"/>
    <w:rsid w:val="00544090"/>
    <w:rsid w:val="005444BD"/>
    <w:rsid w:val="00544D03"/>
    <w:rsid w:val="00545073"/>
    <w:rsid w:val="00545819"/>
    <w:rsid w:val="005466A9"/>
    <w:rsid w:val="005467EC"/>
    <w:rsid w:val="00546DBF"/>
    <w:rsid w:val="00546F42"/>
    <w:rsid w:val="00547363"/>
    <w:rsid w:val="005478C7"/>
    <w:rsid w:val="00551B9F"/>
    <w:rsid w:val="00551CA7"/>
    <w:rsid w:val="00552555"/>
    <w:rsid w:val="0055307A"/>
    <w:rsid w:val="00553274"/>
    <w:rsid w:val="005537C0"/>
    <w:rsid w:val="00553A11"/>
    <w:rsid w:val="00555300"/>
    <w:rsid w:val="0055548A"/>
    <w:rsid w:val="00555895"/>
    <w:rsid w:val="00556AE5"/>
    <w:rsid w:val="00556DFE"/>
    <w:rsid w:val="005574AC"/>
    <w:rsid w:val="00557770"/>
    <w:rsid w:val="005601DA"/>
    <w:rsid w:val="0056072E"/>
    <w:rsid w:val="00560770"/>
    <w:rsid w:val="00560A6D"/>
    <w:rsid w:val="00560CB9"/>
    <w:rsid w:val="00561529"/>
    <w:rsid w:val="00561C35"/>
    <w:rsid w:val="00562053"/>
    <w:rsid w:val="00562EFB"/>
    <w:rsid w:val="005634C5"/>
    <w:rsid w:val="00563AA2"/>
    <w:rsid w:val="00563C81"/>
    <w:rsid w:val="00564075"/>
    <w:rsid w:val="00564CA0"/>
    <w:rsid w:val="00565369"/>
    <w:rsid w:val="00565392"/>
    <w:rsid w:val="00565483"/>
    <w:rsid w:val="00565E03"/>
    <w:rsid w:val="00566E8C"/>
    <w:rsid w:val="005707CF"/>
    <w:rsid w:val="00570807"/>
    <w:rsid w:val="00570D8E"/>
    <w:rsid w:val="005728A6"/>
    <w:rsid w:val="00573D94"/>
    <w:rsid w:val="005740F3"/>
    <w:rsid w:val="00574EEC"/>
    <w:rsid w:val="00575022"/>
    <w:rsid w:val="00575A5A"/>
    <w:rsid w:val="00575EB7"/>
    <w:rsid w:val="0057670B"/>
    <w:rsid w:val="0057686C"/>
    <w:rsid w:val="005770A7"/>
    <w:rsid w:val="0057732B"/>
    <w:rsid w:val="0058177F"/>
    <w:rsid w:val="00583573"/>
    <w:rsid w:val="00583682"/>
    <w:rsid w:val="00583691"/>
    <w:rsid w:val="00583827"/>
    <w:rsid w:val="00583F44"/>
    <w:rsid w:val="005855D2"/>
    <w:rsid w:val="00585D5C"/>
    <w:rsid w:val="005864A3"/>
    <w:rsid w:val="00586BD8"/>
    <w:rsid w:val="005872E8"/>
    <w:rsid w:val="00587301"/>
    <w:rsid w:val="0058796F"/>
    <w:rsid w:val="00587D81"/>
    <w:rsid w:val="00587D96"/>
    <w:rsid w:val="005901F0"/>
    <w:rsid w:val="00590C57"/>
    <w:rsid w:val="005918BA"/>
    <w:rsid w:val="00591C3D"/>
    <w:rsid w:val="00591CA3"/>
    <w:rsid w:val="005927D5"/>
    <w:rsid w:val="00592D0C"/>
    <w:rsid w:val="00594AAE"/>
    <w:rsid w:val="00595695"/>
    <w:rsid w:val="00596AD8"/>
    <w:rsid w:val="00596F59"/>
    <w:rsid w:val="005A03F5"/>
    <w:rsid w:val="005A0599"/>
    <w:rsid w:val="005A0B3D"/>
    <w:rsid w:val="005A260D"/>
    <w:rsid w:val="005A2B7D"/>
    <w:rsid w:val="005A3366"/>
    <w:rsid w:val="005A39FC"/>
    <w:rsid w:val="005A3D35"/>
    <w:rsid w:val="005A42B8"/>
    <w:rsid w:val="005A43A4"/>
    <w:rsid w:val="005A4B51"/>
    <w:rsid w:val="005A4F9C"/>
    <w:rsid w:val="005A501D"/>
    <w:rsid w:val="005A5710"/>
    <w:rsid w:val="005A5DF6"/>
    <w:rsid w:val="005A61FC"/>
    <w:rsid w:val="005A6BCD"/>
    <w:rsid w:val="005A6DCB"/>
    <w:rsid w:val="005A7485"/>
    <w:rsid w:val="005A79AD"/>
    <w:rsid w:val="005B049F"/>
    <w:rsid w:val="005B23E3"/>
    <w:rsid w:val="005B31B8"/>
    <w:rsid w:val="005B34FD"/>
    <w:rsid w:val="005B4556"/>
    <w:rsid w:val="005B5AB1"/>
    <w:rsid w:val="005B5BAC"/>
    <w:rsid w:val="005B6086"/>
    <w:rsid w:val="005B6316"/>
    <w:rsid w:val="005B6BCB"/>
    <w:rsid w:val="005C00EF"/>
    <w:rsid w:val="005C08EF"/>
    <w:rsid w:val="005C1143"/>
    <w:rsid w:val="005C1DBF"/>
    <w:rsid w:val="005C2F0C"/>
    <w:rsid w:val="005C3DEE"/>
    <w:rsid w:val="005C44B0"/>
    <w:rsid w:val="005C461E"/>
    <w:rsid w:val="005C4A39"/>
    <w:rsid w:val="005C4DA7"/>
    <w:rsid w:val="005C630A"/>
    <w:rsid w:val="005C652B"/>
    <w:rsid w:val="005C684B"/>
    <w:rsid w:val="005C6D0C"/>
    <w:rsid w:val="005C733E"/>
    <w:rsid w:val="005C761B"/>
    <w:rsid w:val="005C76B2"/>
    <w:rsid w:val="005C780B"/>
    <w:rsid w:val="005C7D3A"/>
    <w:rsid w:val="005D10E7"/>
    <w:rsid w:val="005D14A3"/>
    <w:rsid w:val="005D156C"/>
    <w:rsid w:val="005D1760"/>
    <w:rsid w:val="005D20A4"/>
    <w:rsid w:val="005D2D97"/>
    <w:rsid w:val="005D310E"/>
    <w:rsid w:val="005D3419"/>
    <w:rsid w:val="005D34DD"/>
    <w:rsid w:val="005D3537"/>
    <w:rsid w:val="005D3A88"/>
    <w:rsid w:val="005D3F86"/>
    <w:rsid w:val="005D41D8"/>
    <w:rsid w:val="005D4400"/>
    <w:rsid w:val="005D4653"/>
    <w:rsid w:val="005D4EAA"/>
    <w:rsid w:val="005D4F6F"/>
    <w:rsid w:val="005D537B"/>
    <w:rsid w:val="005D5769"/>
    <w:rsid w:val="005D5924"/>
    <w:rsid w:val="005D5FF2"/>
    <w:rsid w:val="005D63DE"/>
    <w:rsid w:val="005D64D0"/>
    <w:rsid w:val="005D6A9B"/>
    <w:rsid w:val="005D7916"/>
    <w:rsid w:val="005E0249"/>
    <w:rsid w:val="005E0E19"/>
    <w:rsid w:val="005E0E60"/>
    <w:rsid w:val="005E0F88"/>
    <w:rsid w:val="005E1582"/>
    <w:rsid w:val="005E2168"/>
    <w:rsid w:val="005E21B0"/>
    <w:rsid w:val="005E243F"/>
    <w:rsid w:val="005E39EC"/>
    <w:rsid w:val="005E39FD"/>
    <w:rsid w:val="005E3B11"/>
    <w:rsid w:val="005E43A8"/>
    <w:rsid w:val="005E43E3"/>
    <w:rsid w:val="005E4560"/>
    <w:rsid w:val="005E487D"/>
    <w:rsid w:val="005E4A1B"/>
    <w:rsid w:val="005E4EA4"/>
    <w:rsid w:val="005E64AB"/>
    <w:rsid w:val="005E6931"/>
    <w:rsid w:val="005E7A56"/>
    <w:rsid w:val="005F0047"/>
    <w:rsid w:val="005F0439"/>
    <w:rsid w:val="005F073F"/>
    <w:rsid w:val="005F0CD6"/>
    <w:rsid w:val="005F1EDD"/>
    <w:rsid w:val="005F29DE"/>
    <w:rsid w:val="005F2FEE"/>
    <w:rsid w:val="005F36DC"/>
    <w:rsid w:val="005F3F75"/>
    <w:rsid w:val="005F4AE3"/>
    <w:rsid w:val="005F4C1B"/>
    <w:rsid w:val="005F500A"/>
    <w:rsid w:val="005F5BD5"/>
    <w:rsid w:val="005F626A"/>
    <w:rsid w:val="005F7611"/>
    <w:rsid w:val="00600A9D"/>
    <w:rsid w:val="006017B7"/>
    <w:rsid w:val="006018E8"/>
    <w:rsid w:val="006022F2"/>
    <w:rsid w:val="00602695"/>
    <w:rsid w:val="0060283E"/>
    <w:rsid w:val="00602CA0"/>
    <w:rsid w:val="00603527"/>
    <w:rsid w:val="00603728"/>
    <w:rsid w:val="00605204"/>
    <w:rsid w:val="00605570"/>
    <w:rsid w:val="006057A7"/>
    <w:rsid w:val="00606901"/>
    <w:rsid w:val="00606F0B"/>
    <w:rsid w:val="0060714D"/>
    <w:rsid w:val="006108F2"/>
    <w:rsid w:val="0061094C"/>
    <w:rsid w:val="006111CD"/>
    <w:rsid w:val="006111D2"/>
    <w:rsid w:val="00611C04"/>
    <w:rsid w:val="00612631"/>
    <w:rsid w:val="0061288C"/>
    <w:rsid w:val="0061297B"/>
    <w:rsid w:val="006130C5"/>
    <w:rsid w:val="006135FD"/>
    <w:rsid w:val="00613F42"/>
    <w:rsid w:val="00615754"/>
    <w:rsid w:val="006159D5"/>
    <w:rsid w:val="00616113"/>
    <w:rsid w:val="00616CB2"/>
    <w:rsid w:val="006170A3"/>
    <w:rsid w:val="006171BC"/>
    <w:rsid w:val="0062045F"/>
    <w:rsid w:val="00620944"/>
    <w:rsid w:val="00621E9B"/>
    <w:rsid w:val="0062227B"/>
    <w:rsid w:val="00623ADC"/>
    <w:rsid w:val="00625324"/>
    <w:rsid w:val="00625DC4"/>
    <w:rsid w:val="00626EAD"/>
    <w:rsid w:val="006276FB"/>
    <w:rsid w:val="006277B0"/>
    <w:rsid w:val="00630B5A"/>
    <w:rsid w:val="00631109"/>
    <w:rsid w:val="006317E8"/>
    <w:rsid w:val="006318C2"/>
    <w:rsid w:val="0063195A"/>
    <w:rsid w:val="00631D6C"/>
    <w:rsid w:val="00632AD8"/>
    <w:rsid w:val="00632C40"/>
    <w:rsid w:val="00632F6E"/>
    <w:rsid w:val="00633A49"/>
    <w:rsid w:val="00633B27"/>
    <w:rsid w:val="00633E6C"/>
    <w:rsid w:val="00634647"/>
    <w:rsid w:val="00634822"/>
    <w:rsid w:val="0063484E"/>
    <w:rsid w:val="006414F7"/>
    <w:rsid w:val="00641BF7"/>
    <w:rsid w:val="006421EA"/>
    <w:rsid w:val="00642218"/>
    <w:rsid w:val="00642F92"/>
    <w:rsid w:val="006436C9"/>
    <w:rsid w:val="00643D68"/>
    <w:rsid w:val="00643D96"/>
    <w:rsid w:val="00645094"/>
    <w:rsid w:val="00645DE1"/>
    <w:rsid w:val="00646651"/>
    <w:rsid w:val="00646CA7"/>
    <w:rsid w:val="00647167"/>
    <w:rsid w:val="0064752D"/>
    <w:rsid w:val="006478ED"/>
    <w:rsid w:val="006500AC"/>
    <w:rsid w:val="00650A6E"/>
    <w:rsid w:val="006513E6"/>
    <w:rsid w:val="006528CB"/>
    <w:rsid w:val="0065307A"/>
    <w:rsid w:val="00653AD4"/>
    <w:rsid w:val="00654D53"/>
    <w:rsid w:val="006552B1"/>
    <w:rsid w:val="006553C6"/>
    <w:rsid w:val="00655784"/>
    <w:rsid w:val="00655791"/>
    <w:rsid w:val="0065658F"/>
    <w:rsid w:val="00657ED2"/>
    <w:rsid w:val="00660175"/>
    <w:rsid w:val="00661CC2"/>
    <w:rsid w:val="006622E9"/>
    <w:rsid w:val="00662CA5"/>
    <w:rsid w:val="00662D83"/>
    <w:rsid w:val="00662F74"/>
    <w:rsid w:val="00663C2C"/>
    <w:rsid w:val="00663C37"/>
    <w:rsid w:val="00664342"/>
    <w:rsid w:val="0066635D"/>
    <w:rsid w:val="006667A9"/>
    <w:rsid w:val="00667146"/>
    <w:rsid w:val="0066731D"/>
    <w:rsid w:val="00667392"/>
    <w:rsid w:val="0066776E"/>
    <w:rsid w:val="006677CE"/>
    <w:rsid w:val="00670098"/>
    <w:rsid w:val="0067125B"/>
    <w:rsid w:val="006725C5"/>
    <w:rsid w:val="006733E4"/>
    <w:rsid w:val="00673A38"/>
    <w:rsid w:val="006742BC"/>
    <w:rsid w:val="006743D2"/>
    <w:rsid w:val="00674872"/>
    <w:rsid w:val="00674B85"/>
    <w:rsid w:val="00674C0A"/>
    <w:rsid w:val="006753F5"/>
    <w:rsid w:val="00675CEB"/>
    <w:rsid w:val="00676720"/>
    <w:rsid w:val="00676768"/>
    <w:rsid w:val="006768BC"/>
    <w:rsid w:val="0067699F"/>
    <w:rsid w:val="0067704A"/>
    <w:rsid w:val="00677571"/>
    <w:rsid w:val="00677940"/>
    <w:rsid w:val="0068082F"/>
    <w:rsid w:val="0068183A"/>
    <w:rsid w:val="00683FA4"/>
    <w:rsid w:val="00684BF9"/>
    <w:rsid w:val="00684F0B"/>
    <w:rsid w:val="00685181"/>
    <w:rsid w:val="00685CC9"/>
    <w:rsid w:val="006903EB"/>
    <w:rsid w:val="0069167F"/>
    <w:rsid w:val="00692091"/>
    <w:rsid w:val="00692FC1"/>
    <w:rsid w:val="00692FFC"/>
    <w:rsid w:val="006931EE"/>
    <w:rsid w:val="006943DB"/>
    <w:rsid w:val="0069499C"/>
    <w:rsid w:val="006952C8"/>
    <w:rsid w:val="00695DDF"/>
    <w:rsid w:val="00696108"/>
    <w:rsid w:val="00696478"/>
    <w:rsid w:val="006970B8"/>
    <w:rsid w:val="0069715B"/>
    <w:rsid w:val="006974DD"/>
    <w:rsid w:val="00697579"/>
    <w:rsid w:val="006978AA"/>
    <w:rsid w:val="006A1E8D"/>
    <w:rsid w:val="006A1F46"/>
    <w:rsid w:val="006A2AC2"/>
    <w:rsid w:val="006A352B"/>
    <w:rsid w:val="006A39A9"/>
    <w:rsid w:val="006A4601"/>
    <w:rsid w:val="006A52CC"/>
    <w:rsid w:val="006A64BC"/>
    <w:rsid w:val="006A67EA"/>
    <w:rsid w:val="006A6D1A"/>
    <w:rsid w:val="006A7012"/>
    <w:rsid w:val="006A74D4"/>
    <w:rsid w:val="006B0D6E"/>
    <w:rsid w:val="006B0FB7"/>
    <w:rsid w:val="006B140E"/>
    <w:rsid w:val="006B17DC"/>
    <w:rsid w:val="006B3128"/>
    <w:rsid w:val="006B3440"/>
    <w:rsid w:val="006B3D93"/>
    <w:rsid w:val="006B3E68"/>
    <w:rsid w:val="006B4FDB"/>
    <w:rsid w:val="006B5822"/>
    <w:rsid w:val="006B617C"/>
    <w:rsid w:val="006B61DC"/>
    <w:rsid w:val="006B6458"/>
    <w:rsid w:val="006B64B0"/>
    <w:rsid w:val="006B6DE3"/>
    <w:rsid w:val="006C00EA"/>
    <w:rsid w:val="006C0860"/>
    <w:rsid w:val="006C1D39"/>
    <w:rsid w:val="006C1F8A"/>
    <w:rsid w:val="006C3654"/>
    <w:rsid w:val="006C36F3"/>
    <w:rsid w:val="006C38C3"/>
    <w:rsid w:val="006C43DF"/>
    <w:rsid w:val="006C5C78"/>
    <w:rsid w:val="006C72A5"/>
    <w:rsid w:val="006C7535"/>
    <w:rsid w:val="006C78F3"/>
    <w:rsid w:val="006C7ED0"/>
    <w:rsid w:val="006D01FD"/>
    <w:rsid w:val="006D1053"/>
    <w:rsid w:val="006D115D"/>
    <w:rsid w:val="006D16A3"/>
    <w:rsid w:val="006D24F8"/>
    <w:rsid w:val="006D3257"/>
    <w:rsid w:val="006D4398"/>
    <w:rsid w:val="006D4AA0"/>
    <w:rsid w:val="006D4BFC"/>
    <w:rsid w:val="006D5DB4"/>
    <w:rsid w:val="006D60C0"/>
    <w:rsid w:val="006D623E"/>
    <w:rsid w:val="006D6472"/>
    <w:rsid w:val="006D7260"/>
    <w:rsid w:val="006D7567"/>
    <w:rsid w:val="006D76AF"/>
    <w:rsid w:val="006D7832"/>
    <w:rsid w:val="006D7870"/>
    <w:rsid w:val="006E00D9"/>
    <w:rsid w:val="006E023B"/>
    <w:rsid w:val="006E052A"/>
    <w:rsid w:val="006E1091"/>
    <w:rsid w:val="006E3166"/>
    <w:rsid w:val="006E32F8"/>
    <w:rsid w:val="006E4548"/>
    <w:rsid w:val="006E4E71"/>
    <w:rsid w:val="006E58A7"/>
    <w:rsid w:val="006E59A6"/>
    <w:rsid w:val="006E5A94"/>
    <w:rsid w:val="006E6E9E"/>
    <w:rsid w:val="006E772A"/>
    <w:rsid w:val="006E798C"/>
    <w:rsid w:val="006E7DEC"/>
    <w:rsid w:val="006F07A4"/>
    <w:rsid w:val="006F09F0"/>
    <w:rsid w:val="006F0E14"/>
    <w:rsid w:val="006F1029"/>
    <w:rsid w:val="006F1137"/>
    <w:rsid w:val="006F140D"/>
    <w:rsid w:val="006F240D"/>
    <w:rsid w:val="006F2456"/>
    <w:rsid w:val="006F28FB"/>
    <w:rsid w:val="006F3EDE"/>
    <w:rsid w:val="006F418B"/>
    <w:rsid w:val="006F41B1"/>
    <w:rsid w:val="006F42F6"/>
    <w:rsid w:val="006F44D7"/>
    <w:rsid w:val="006F4BA5"/>
    <w:rsid w:val="006F4EA4"/>
    <w:rsid w:val="006F5215"/>
    <w:rsid w:val="006F6BE9"/>
    <w:rsid w:val="006F793C"/>
    <w:rsid w:val="007003E4"/>
    <w:rsid w:val="00700A6C"/>
    <w:rsid w:val="00700AA1"/>
    <w:rsid w:val="00700B88"/>
    <w:rsid w:val="00700D04"/>
    <w:rsid w:val="0070104F"/>
    <w:rsid w:val="00701AB9"/>
    <w:rsid w:val="00701D7C"/>
    <w:rsid w:val="00702146"/>
    <w:rsid w:val="007025FD"/>
    <w:rsid w:val="00702B56"/>
    <w:rsid w:val="00702BB1"/>
    <w:rsid w:val="00702D44"/>
    <w:rsid w:val="00703D35"/>
    <w:rsid w:val="007044F5"/>
    <w:rsid w:val="00707490"/>
    <w:rsid w:val="007104C8"/>
    <w:rsid w:val="00713ACC"/>
    <w:rsid w:val="0071420F"/>
    <w:rsid w:val="0071426D"/>
    <w:rsid w:val="00715187"/>
    <w:rsid w:val="0071655C"/>
    <w:rsid w:val="0071694F"/>
    <w:rsid w:val="00717737"/>
    <w:rsid w:val="00717A60"/>
    <w:rsid w:val="00717BDD"/>
    <w:rsid w:val="007201E8"/>
    <w:rsid w:val="00720234"/>
    <w:rsid w:val="007203B6"/>
    <w:rsid w:val="00720B6D"/>
    <w:rsid w:val="007211C7"/>
    <w:rsid w:val="00721952"/>
    <w:rsid w:val="007219E9"/>
    <w:rsid w:val="00721C71"/>
    <w:rsid w:val="00721CAA"/>
    <w:rsid w:val="0072324B"/>
    <w:rsid w:val="0072374A"/>
    <w:rsid w:val="00723BCD"/>
    <w:rsid w:val="00724377"/>
    <w:rsid w:val="007247E0"/>
    <w:rsid w:val="00724A1F"/>
    <w:rsid w:val="00726B39"/>
    <w:rsid w:val="00727411"/>
    <w:rsid w:val="007275E3"/>
    <w:rsid w:val="00727D4C"/>
    <w:rsid w:val="00727D5C"/>
    <w:rsid w:val="00727EA7"/>
    <w:rsid w:val="007301B3"/>
    <w:rsid w:val="00730AE4"/>
    <w:rsid w:val="00732646"/>
    <w:rsid w:val="00732FA6"/>
    <w:rsid w:val="00734742"/>
    <w:rsid w:val="00734824"/>
    <w:rsid w:val="0073505C"/>
    <w:rsid w:val="007356E6"/>
    <w:rsid w:val="007363B9"/>
    <w:rsid w:val="007363E7"/>
    <w:rsid w:val="00736A3D"/>
    <w:rsid w:val="007404C0"/>
    <w:rsid w:val="007405B3"/>
    <w:rsid w:val="007409A6"/>
    <w:rsid w:val="00741D71"/>
    <w:rsid w:val="007426D4"/>
    <w:rsid w:val="00742D4E"/>
    <w:rsid w:val="00742EB4"/>
    <w:rsid w:val="0074361D"/>
    <w:rsid w:val="00745FEA"/>
    <w:rsid w:val="007462C7"/>
    <w:rsid w:val="00746600"/>
    <w:rsid w:val="007469D7"/>
    <w:rsid w:val="00746E6A"/>
    <w:rsid w:val="00746FF4"/>
    <w:rsid w:val="00747659"/>
    <w:rsid w:val="00747C09"/>
    <w:rsid w:val="00747DBD"/>
    <w:rsid w:val="00747EC0"/>
    <w:rsid w:val="0075180C"/>
    <w:rsid w:val="0075292D"/>
    <w:rsid w:val="00753C5E"/>
    <w:rsid w:val="00753F72"/>
    <w:rsid w:val="00754073"/>
    <w:rsid w:val="007541E2"/>
    <w:rsid w:val="007543CD"/>
    <w:rsid w:val="00754BAD"/>
    <w:rsid w:val="0075559A"/>
    <w:rsid w:val="007561B6"/>
    <w:rsid w:val="00756330"/>
    <w:rsid w:val="00756B59"/>
    <w:rsid w:val="0076099C"/>
    <w:rsid w:val="00760FAF"/>
    <w:rsid w:val="00761C50"/>
    <w:rsid w:val="00762D36"/>
    <w:rsid w:val="00762E5A"/>
    <w:rsid w:val="00764513"/>
    <w:rsid w:val="00764E41"/>
    <w:rsid w:val="00764E89"/>
    <w:rsid w:val="00765BAE"/>
    <w:rsid w:val="00766255"/>
    <w:rsid w:val="0076627B"/>
    <w:rsid w:val="007667EF"/>
    <w:rsid w:val="007669C1"/>
    <w:rsid w:val="007705E6"/>
    <w:rsid w:val="0077129A"/>
    <w:rsid w:val="0077187D"/>
    <w:rsid w:val="0077210F"/>
    <w:rsid w:val="007726FC"/>
    <w:rsid w:val="00772B04"/>
    <w:rsid w:val="007737F9"/>
    <w:rsid w:val="0077404B"/>
    <w:rsid w:val="0077463B"/>
    <w:rsid w:val="007749CA"/>
    <w:rsid w:val="007755C3"/>
    <w:rsid w:val="00775636"/>
    <w:rsid w:val="00775BED"/>
    <w:rsid w:val="00775D80"/>
    <w:rsid w:val="00777601"/>
    <w:rsid w:val="00777AB7"/>
    <w:rsid w:val="007803C1"/>
    <w:rsid w:val="00780A48"/>
    <w:rsid w:val="00781817"/>
    <w:rsid w:val="007819B6"/>
    <w:rsid w:val="00781CCD"/>
    <w:rsid w:val="00781FA9"/>
    <w:rsid w:val="007823B4"/>
    <w:rsid w:val="0078304E"/>
    <w:rsid w:val="007836F3"/>
    <w:rsid w:val="0078373E"/>
    <w:rsid w:val="00783887"/>
    <w:rsid w:val="00784164"/>
    <w:rsid w:val="0078465D"/>
    <w:rsid w:val="007851EF"/>
    <w:rsid w:val="00785ABF"/>
    <w:rsid w:val="0078739D"/>
    <w:rsid w:val="00787431"/>
    <w:rsid w:val="00787BEB"/>
    <w:rsid w:val="007920AA"/>
    <w:rsid w:val="0079234D"/>
    <w:rsid w:val="00792811"/>
    <w:rsid w:val="00792C19"/>
    <w:rsid w:val="00792FC9"/>
    <w:rsid w:val="00793AB0"/>
    <w:rsid w:val="00794A40"/>
    <w:rsid w:val="00794EB5"/>
    <w:rsid w:val="0079556F"/>
    <w:rsid w:val="00795973"/>
    <w:rsid w:val="00795C5B"/>
    <w:rsid w:val="0079777E"/>
    <w:rsid w:val="00797B9A"/>
    <w:rsid w:val="00797C32"/>
    <w:rsid w:val="007A0A8E"/>
    <w:rsid w:val="007A0C52"/>
    <w:rsid w:val="007A1BF2"/>
    <w:rsid w:val="007A219C"/>
    <w:rsid w:val="007A3269"/>
    <w:rsid w:val="007A32ED"/>
    <w:rsid w:val="007A38F6"/>
    <w:rsid w:val="007A3A70"/>
    <w:rsid w:val="007A3C46"/>
    <w:rsid w:val="007A3D38"/>
    <w:rsid w:val="007A3F7F"/>
    <w:rsid w:val="007A42C3"/>
    <w:rsid w:val="007A511C"/>
    <w:rsid w:val="007A5ECE"/>
    <w:rsid w:val="007A628D"/>
    <w:rsid w:val="007A6555"/>
    <w:rsid w:val="007A6F9E"/>
    <w:rsid w:val="007A7DF8"/>
    <w:rsid w:val="007A7E5A"/>
    <w:rsid w:val="007B0906"/>
    <w:rsid w:val="007B09A1"/>
    <w:rsid w:val="007B27DC"/>
    <w:rsid w:val="007B2D44"/>
    <w:rsid w:val="007B37BE"/>
    <w:rsid w:val="007B3D02"/>
    <w:rsid w:val="007B4413"/>
    <w:rsid w:val="007B4588"/>
    <w:rsid w:val="007B4860"/>
    <w:rsid w:val="007B51B7"/>
    <w:rsid w:val="007B53B3"/>
    <w:rsid w:val="007B5437"/>
    <w:rsid w:val="007B6463"/>
    <w:rsid w:val="007B66E9"/>
    <w:rsid w:val="007B691F"/>
    <w:rsid w:val="007B79AB"/>
    <w:rsid w:val="007C0CA9"/>
    <w:rsid w:val="007C1800"/>
    <w:rsid w:val="007C1A9A"/>
    <w:rsid w:val="007C1F09"/>
    <w:rsid w:val="007C209E"/>
    <w:rsid w:val="007C24EC"/>
    <w:rsid w:val="007C2B80"/>
    <w:rsid w:val="007C3838"/>
    <w:rsid w:val="007C3FF4"/>
    <w:rsid w:val="007C47A5"/>
    <w:rsid w:val="007C499E"/>
    <w:rsid w:val="007C4D16"/>
    <w:rsid w:val="007C546B"/>
    <w:rsid w:val="007C6C10"/>
    <w:rsid w:val="007C6F68"/>
    <w:rsid w:val="007C72AE"/>
    <w:rsid w:val="007C751D"/>
    <w:rsid w:val="007D05F1"/>
    <w:rsid w:val="007D1086"/>
    <w:rsid w:val="007D1EB9"/>
    <w:rsid w:val="007D3310"/>
    <w:rsid w:val="007D4514"/>
    <w:rsid w:val="007D4FF5"/>
    <w:rsid w:val="007D5222"/>
    <w:rsid w:val="007D5237"/>
    <w:rsid w:val="007D55A3"/>
    <w:rsid w:val="007D58CC"/>
    <w:rsid w:val="007D5A65"/>
    <w:rsid w:val="007D649E"/>
    <w:rsid w:val="007D7516"/>
    <w:rsid w:val="007D7B03"/>
    <w:rsid w:val="007D7BC7"/>
    <w:rsid w:val="007D7E10"/>
    <w:rsid w:val="007E0BD1"/>
    <w:rsid w:val="007E18B9"/>
    <w:rsid w:val="007E24A7"/>
    <w:rsid w:val="007E25EC"/>
    <w:rsid w:val="007E2600"/>
    <w:rsid w:val="007E3892"/>
    <w:rsid w:val="007E3B54"/>
    <w:rsid w:val="007E3E42"/>
    <w:rsid w:val="007E472E"/>
    <w:rsid w:val="007E56FF"/>
    <w:rsid w:val="007E6686"/>
    <w:rsid w:val="007E6856"/>
    <w:rsid w:val="007E6B33"/>
    <w:rsid w:val="007E74B9"/>
    <w:rsid w:val="007E7565"/>
    <w:rsid w:val="007E7818"/>
    <w:rsid w:val="007E7903"/>
    <w:rsid w:val="007E7ACE"/>
    <w:rsid w:val="007E7E4E"/>
    <w:rsid w:val="007F17CE"/>
    <w:rsid w:val="007F1FF8"/>
    <w:rsid w:val="007F22A8"/>
    <w:rsid w:val="007F239D"/>
    <w:rsid w:val="007F29B1"/>
    <w:rsid w:val="007F2D30"/>
    <w:rsid w:val="007F2EE3"/>
    <w:rsid w:val="007F34DC"/>
    <w:rsid w:val="007F34F4"/>
    <w:rsid w:val="007F4244"/>
    <w:rsid w:val="007F4A9F"/>
    <w:rsid w:val="007F5250"/>
    <w:rsid w:val="007F5F6F"/>
    <w:rsid w:val="007F62C4"/>
    <w:rsid w:val="007F6E7C"/>
    <w:rsid w:val="007F7D45"/>
    <w:rsid w:val="00800288"/>
    <w:rsid w:val="00800623"/>
    <w:rsid w:val="0080075B"/>
    <w:rsid w:val="00800872"/>
    <w:rsid w:val="00801193"/>
    <w:rsid w:val="00801385"/>
    <w:rsid w:val="00801763"/>
    <w:rsid w:val="00802132"/>
    <w:rsid w:val="008025C9"/>
    <w:rsid w:val="00802CAA"/>
    <w:rsid w:val="00803C54"/>
    <w:rsid w:val="0080452A"/>
    <w:rsid w:val="008046DA"/>
    <w:rsid w:val="00804C7D"/>
    <w:rsid w:val="00804F3F"/>
    <w:rsid w:val="00805D60"/>
    <w:rsid w:val="00806ABD"/>
    <w:rsid w:val="00806D77"/>
    <w:rsid w:val="00807B91"/>
    <w:rsid w:val="00807C13"/>
    <w:rsid w:val="00810648"/>
    <w:rsid w:val="008107DB"/>
    <w:rsid w:val="00810B08"/>
    <w:rsid w:val="00810B3B"/>
    <w:rsid w:val="00810C22"/>
    <w:rsid w:val="00811A21"/>
    <w:rsid w:val="00812416"/>
    <w:rsid w:val="0081351B"/>
    <w:rsid w:val="008136FE"/>
    <w:rsid w:val="0081436E"/>
    <w:rsid w:val="008146CE"/>
    <w:rsid w:val="00814A84"/>
    <w:rsid w:val="008152F9"/>
    <w:rsid w:val="008160CB"/>
    <w:rsid w:val="008161FF"/>
    <w:rsid w:val="008174DC"/>
    <w:rsid w:val="00817641"/>
    <w:rsid w:val="00820945"/>
    <w:rsid w:val="00820AA7"/>
    <w:rsid w:val="00820D7F"/>
    <w:rsid w:val="00820EB6"/>
    <w:rsid w:val="00821565"/>
    <w:rsid w:val="00821A41"/>
    <w:rsid w:val="00821DBB"/>
    <w:rsid w:val="00821DEB"/>
    <w:rsid w:val="00822177"/>
    <w:rsid w:val="00822892"/>
    <w:rsid w:val="00822E00"/>
    <w:rsid w:val="00823298"/>
    <w:rsid w:val="0082335C"/>
    <w:rsid w:val="00823C75"/>
    <w:rsid w:val="00823ED3"/>
    <w:rsid w:val="00824DA8"/>
    <w:rsid w:val="008250F0"/>
    <w:rsid w:val="008254BF"/>
    <w:rsid w:val="00826C52"/>
    <w:rsid w:val="00826F60"/>
    <w:rsid w:val="008271CD"/>
    <w:rsid w:val="00830FA8"/>
    <w:rsid w:val="008311A2"/>
    <w:rsid w:val="00831541"/>
    <w:rsid w:val="00831A5F"/>
    <w:rsid w:val="00831B53"/>
    <w:rsid w:val="008324B5"/>
    <w:rsid w:val="00832680"/>
    <w:rsid w:val="008327D2"/>
    <w:rsid w:val="00832B27"/>
    <w:rsid w:val="00833176"/>
    <w:rsid w:val="00833947"/>
    <w:rsid w:val="00833D39"/>
    <w:rsid w:val="00833ED7"/>
    <w:rsid w:val="00834C8B"/>
    <w:rsid w:val="00834FAC"/>
    <w:rsid w:val="0083554D"/>
    <w:rsid w:val="00835D3A"/>
    <w:rsid w:val="00836AA7"/>
    <w:rsid w:val="00836CF5"/>
    <w:rsid w:val="00836E77"/>
    <w:rsid w:val="00837294"/>
    <w:rsid w:val="00837984"/>
    <w:rsid w:val="00841261"/>
    <w:rsid w:val="00841724"/>
    <w:rsid w:val="00841C28"/>
    <w:rsid w:val="00841DF9"/>
    <w:rsid w:val="00841F88"/>
    <w:rsid w:val="00842232"/>
    <w:rsid w:val="00843A39"/>
    <w:rsid w:val="00843D0E"/>
    <w:rsid w:val="0084404B"/>
    <w:rsid w:val="0084482C"/>
    <w:rsid w:val="008453D3"/>
    <w:rsid w:val="00845BB8"/>
    <w:rsid w:val="00845E3E"/>
    <w:rsid w:val="00846375"/>
    <w:rsid w:val="008470E6"/>
    <w:rsid w:val="00847371"/>
    <w:rsid w:val="00847E3A"/>
    <w:rsid w:val="008517CF"/>
    <w:rsid w:val="00851922"/>
    <w:rsid w:val="008519BA"/>
    <w:rsid w:val="00851A0C"/>
    <w:rsid w:val="008524A5"/>
    <w:rsid w:val="008528C2"/>
    <w:rsid w:val="0085314F"/>
    <w:rsid w:val="00853236"/>
    <w:rsid w:val="008535AD"/>
    <w:rsid w:val="00853A51"/>
    <w:rsid w:val="008545F9"/>
    <w:rsid w:val="008549CA"/>
    <w:rsid w:val="00854C2F"/>
    <w:rsid w:val="00855509"/>
    <w:rsid w:val="00855591"/>
    <w:rsid w:val="008555BE"/>
    <w:rsid w:val="008556B4"/>
    <w:rsid w:val="00855C23"/>
    <w:rsid w:val="00855F08"/>
    <w:rsid w:val="00856C59"/>
    <w:rsid w:val="00856F3E"/>
    <w:rsid w:val="0085749E"/>
    <w:rsid w:val="00857AE1"/>
    <w:rsid w:val="008601FD"/>
    <w:rsid w:val="008603E6"/>
    <w:rsid w:val="00861C45"/>
    <w:rsid w:val="00862651"/>
    <w:rsid w:val="00862A41"/>
    <w:rsid w:val="00863AD9"/>
    <w:rsid w:val="00863FAB"/>
    <w:rsid w:val="008655FD"/>
    <w:rsid w:val="008659DA"/>
    <w:rsid w:val="00865F96"/>
    <w:rsid w:val="00866810"/>
    <w:rsid w:val="00866B8A"/>
    <w:rsid w:val="008670E2"/>
    <w:rsid w:val="00867573"/>
    <w:rsid w:val="0086764A"/>
    <w:rsid w:val="008704AC"/>
    <w:rsid w:val="008740C4"/>
    <w:rsid w:val="00874325"/>
    <w:rsid w:val="00874930"/>
    <w:rsid w:val="00874E44"/>
    <w:rsid w:val="00874FD4"/>
    <w:rsid w:val="008750D6"/>
    <w:rsid w:val="00875347"/>
    <w:rsid w:val="00875425"/>
    <w:rsid w:val="00875F5F"/>
    <w:rsid w:val="00876116"/>
    <w:rsid w:val="0087709B"/>
    <w:rsid w:val="00877E58"/>
    <w:rsid w:val="008817EE"/>
    <w:rsid w:val="00882BC1"/>
    <w:rsid w:val="00882D86"/>
    <w:rsid w:val="00882EE3"/>
    <w:rsid w:val="0088411E"/>
    <w:rsid w:val="00884C92"/>
    <w:rsid w:val="00885A2C"/>
    <w:rsid w:val="008877A4"/>
    <w:rsid w:val="00887ACF"/>
    <w:rsid w:val="008907BF"/>
    <w:rsid w:val="00891466"/>
    <w:rsid w:val="0089290A"/>
    <w:rsid w:val="00892B87"/>
    <w:rsid w:val="00892F52"/>
    <w:rsid w:val="008932BB"/>
    <w:rsid w:val="00893682"/>
    <w:rsid w:val="00893894"/>
    <w:rsid w:val="00893A44"/>
    <w:rsid w:val="00894384"/>
    <w:rsid w:val="0089477A"/>
    <w:rsid w:val="0089480D"/>
    <w:rsid w:val="008952E0"/>
    <w:rsid w:val="0089530A"/>
    <w:rsid w:val="008954E8"/>
    <w:rsid w:val="00895737"/>
    <w:rsid w:val="00895CB5"/>
    <w:rsid w:val="00895CFA"/>
    <w:rsid w:val="0089649D"/>
    <w:rsid w:val="008964A5"/>
    <w:rsid w:val="00896B64"/>
    <w:rsid w:val="00896C74"/>
    <w:rsid w:val="00896D39"/>
    <w:rsid w:val="00897A9F"/>
    <w:rsid w:val="00897FF6"/>
    <w:rsid w:val="008A0B2E"/>
    <w:rsid w:val="008A11FD"/>
    <w:rsid w:val="008A14AA"/>
    <w:rsid w:val="008A28EA"/>
    <w:rsid w:val="008A3620"/>
    <w:rsid w:val="008A3E82"/>
    <w:rsid w:val="008A4005"/>
    <w:rsid w:val="008A482C"/>
    <w:rsid w:val="008A4B84"/>
    <w:rsid w:val="008A4DDA"/>
    <w:rsid w:val="008A58CE"/>
    <w:rsid w:val="008A64F5"/>
    <w:rsid w:val="008A6AA8"/>
    <w:rsid w:val="008A6F64"/>
    <w:rsid w:val="008A7BE0"/>
    <w:rsid w:val="008B04BE"/>
    <w:rsid w:val="008B199A"/>
    <w:rsid w:val="008B1CFE"/>
    <w:rsid w:val="008B236B"/>
    <w:rsid w:val="008B294B"/>
    <w:rsid w:val="008B3662"/>
    <w:rsid w:val="008B423B"/>
    <w:rsid w:val="008B5837"/>
    <w:rsid w:val="008B5EA4"/>
    <w:rsid w:val="008B65BC"/>
    <w:rsid w:val="008B65FD"/>
    <w:rsid w:val="008B663B"/>
    <w:rsid w:val="008B66FA"/>
    <w:rsid w:val="008B6B56"/>
    <w:rsid w:val="008C00E6"/>
    <w:rsid w:val="008C0694"/>
    <w:rsid w:val="008C2574"/>
    <w:rsid w:val="008C340F"/>
    <w:rsid w:val="008C3EC9"/>
    <w:rsid w:val="008C4143"/>
    <w:rsid w:val="008C479B"/>
    <w:rsid w:val="008C5735"/>
    <w:rsid w:val="008C5AD7"/>
    <w:rsid w:val="008C5C5E"/>
    <w:rsid w:val="008C615E"/>
    <w:rsid w:val="008C6FA8"/>
    <w:rsid w:val="008C7B24"/>
    <w:rsid w:val="008C7CAB"/>
    <w:rsid w:val="008D0792"/>
    <w:rsid w:val="008D080F"/>
    <w:rsid w:val="008D0B22"/>
    <w:rsid w:val="008D0CEE"/>
    <w:rsid w:val="008D16A4"/>
    <w:rsid w:val="008D252C"/>
    <w:rsid w:val="008D26B6"/>
    <w:rsid w:val="008D304F"/>
    <w:rsid w:val="008D319C"/>
    <w:rsid w:val="008D325A"/>
    <w:rsid w:val="008D345E"/>
    <w:rsid w:val="008D387A"/>
    <w:rsid w:val="008D3B53"/>
    <w:rsid w:val="008D3FEF"/>
    <w:rsid w:val="008D4C86"/>
    <w:rsid w:val="008D4C91"/>
    <w:rsid w:val="008D5267"/>
    <w:rsid w:val="008D5613"/>
    <w:rsid w:val="008D5EB6"/>
    <w:rsid w:val="008D6757"/>
    <w:rsid w:val="008D7EF8"/>
    <w:rsid w:val="008E0041"/>
    <w:rsid w:val="008E0570"/>
    <w:rsid w:val="008E0CB6"/>
    <w:rsid w:val="008E0EDE"/>
    <w:rsid w:val="008E1772"/>
    <w:rsid w:val="008E1CCA"/>
    <w:rsid w:val="008E2A92"/>
    <w:rsid w:val="008E2D42"/>
    <w:rsid w:val="008E44A8"/>
    <w:rsid w:val="008E47F0"/>
    <w:rsid w:val="008E5537"/>
    <w:rsid w:val="008E6852"/>
    <w:rsid w:val="008E7092"/>
    <w:rsid w:val="008E7301"/>
    <w:rsid w:val="008E780B"/>
    <w:rsid w:val="008E7CA1"/>
    <w:rsid w:val="008E7F76"/>
    <w:rsid w:val="008F0E93"/>
    <w:rsid w:val="008F12C2"/>
    <w:rsid w:val="008F231C"/>
    <w:rsid w:val="008F2324"/>
    <w:rsid w:val="008F38C8"/>
    <w:rsid w:val="008F3B09"/>
    <w:rsid w:val="008F46C5"/>
    <w:rsid w:val="008F4AF6"/>
    <w:rsid w:val="008F510E"/>
    <w:rsid w:val="008F5776"/>
    <w:rsid w:val="008F5EA0"/>
    <w:rsid w:val="008F5F0A"/>
    <w:rsid w:val="008F64F7"/>
    <w:rsid w:val="008F6C03"/>
    <w:rsid w:val="008F6C61"/>
    <w:rsid w:val="008F7181"/>
    <w:rsid w:val="008F7A19"/>
    <w:rsid w:val="009000A0"/>
    <w:rsid w:val="00900853"/>
    <w:rsid w:val="009014C0"/>
    <w:rsid w:val="009025A6"/>
    <w:rsid w:val="009038CA"/>
    <w:rsid w:val="00903DC8"/>
    <w:rsid w:val="00903F79"/>
    <w:rsid w:val="00904C61"/>
    <w:rsid w:val="00905997"/>
    <w:rsid w:val="00905C2E"/>
    <w:rsid w:val="009070C2"/>
    <w:rsid w:val="00907820"/>
    <w:rsid w:val="00907C6C"/>
    <w:rsid w:val="00911127"/>
    <w:rsid w:val="00911D7B"/>
    <w:rsid w:val="009121EB"/>
    <w:rsid w:val="00912596"/>
    <w:rsid w:val="009131F0"/>
    <w:rsid w:val="0091334C"/>
    <w:rsid w:val="00913A2D"/>
    <w:rsid w:val="0091454E"/>
    <w:rsid w:val="009145FA"/>
    <w:rsid w:val="009146F7"/>
    <w:rsid w:val="009147A3"/>
    <w:rsid w:val="00914EAA"/>
    <w:rsid w:val="00915192"/>
    <w:rsid w:val="009153D6"/>
    <w:rsid w:val="009155D8"/>
    <w:rsid w:val="009158C0"/>
    <w:rsid w:val="00915B1C"/>
    <w:rsid w:val="00915DF7"/>
    <w:rsid w:val="00916613"/>
    <w:rsid w:val="00916669"/>
    <w:rsid w:val="00916CDA"/>
    <w:rsid w:val="00916E64"/>
    <w:rsid w:val="00920E4D"/>
    <w:rsid w:val="00922854"/>
    <w:rsid w:val="00922A86"/>
    <w:rsid w:val="00922BDA"/>
    <w:rsid w:val="00923122"/>
    <w:rsid w:val="00923720"/>
    <w:rsid w:val="0092399B"/>
    <w:rsid w:val="00925372"/>
    <w:rsid w:val="009254E4"/>
    <w:rsid w:val="00925D76"/>
    <w:rsid w:val="0092606B"/>
    <w:rsid w:val="00926375"/>
    <w:rsid w:val="0092705F"/>
    <w:rsid w:val="0092738B"/>
    <w:rsid w:val="00927694"/>
    <w:rsid w:val="009278B5"/>
    <w:rsid w:val="00930107"/>
    <w:rsid w:val="00930B46"/>
    <w:rsid w:val="009318D5"/>
    <w:rsid w:val="00931D70"/>
    <w:rsid w:val="009328E0"/>
    <w:rsid w:val="00933ED9"/>
    <w:rsid w:val="00934151"/>
    <w:rsid w:val="009341EF"/>
    <w:rsid w:val="00934257"/>
    <w:rsid w:val="009359AA"/>
    <w:rsid w:val="00935F3B"/>
    <w:rsid w:val="009362B4"/>
    <w:rsid w:val="0093631F"/>
    <w:rsid w:val="00936C13"/>
    <w:rsid w:val="00940136"/>
    <w:rsid w:val="00940729"/>
    <w:rsid w:val="00940FC9"/>
    <w:rsid w:val="009415A0"/>
    <w:rsid w:val="0094175C"/>
    <w:rsid w:val="0094226C"/>
    <w:rsid w:val="0094252F"/>
    <w:rsid w:val="00942706"/>
    <w:rsid w:val="00942DBF"/>
    <w:rsid w:val="00942DE4"/>
    <w:rsid w:val="00942F4F"/>
    <w:rsid w:val="009430D5"/>
    <w:rsid w:val="00943C19"/>
    <w:rsid w:val="0094412C"/>
    <w:rsid w:val="00944167"/>
    <w:rsid w:val="00944330"/>
    <w:rsid w:val="0094643E"/>
    <w:rsid w:val="009465F8"/>
    <w:rsid w:val="009469EB"/>
    <w:rsid w:val="00946F5F"/>
    <w:rsid w:val="00947925"/>
    <w:rsid w:val="009507DE"/>
    <w:rsid w:val="00950C02"/>
    <w:rsid w:val="00951015"/>
    <w:rsid w:val="009511CF"/>
    <w:rsid w:val="00951C30"/>
    <w:rsid w:val="00951F3A"/>
    <w:rsid w:val="009528DA"/>
    <w:rsid w:val="009530E7"/>
    <w:rsid w:val="009553DF"/>
    <w:rsid w:val="00955495"/>
    <w:rsid w:val="00955BA3"/>
    <w:rsid w:val="00956D4C"/>
    <w:rsid w:val="00956DEF"/>
    <w:rsid w:val="00956F19"/>
    <w:rsid w:val="009571B5"/>
    <w:rsid w:val="00957581"/>
    <w:rsid w:val="009578D7"/>
    <w:rsid w:val="009578E5"/>
    <w:rsid w:val="00957D9D"/>
    <w:rsid w:val="0096052B"/>
    <w:rsid w:val="00960D26"/>
    <w:rsid w:val="00960E36"/>
    <w:rsid w:val="0096225B"/>
    <w:rsid w:val="00962AEA"/>
    <w:rsid w:val="00963D09"/>
    <w:rsid w:val="009644A4"/>
    <w:rsid w:val="009649DB"/>
    <w:rsid w:val="009665BE"/>
    <w:rsid w:val="00966A9D"/>
    <w:rsid w:val="009671A5"/>
    <w:rsid w:val="00967648"/>
    <w:rsid w:val="00970524"/>
    <w:rsid w:val="009708B3"/>
    <w:rsid w:val="00972518"/>
    <w:rsid w:val="00972C5E"/>
    <w:rsid w:val="00973195"/>
    <w:rsid w:val="00973AD2"/>
    <w:rsid w:val="009750AE"/>
    <w:rsid w:val="00977452"/>
    <w:rsid w:val="00980495"/>
    <w:rsid w:val="00980B45"/>
    <w:rsid w:val="00981328"/>
    <w:rsid w:val="009822CA"/>
    <w:rsid w:val="00982392"/>
    <w:rsid w:val="00982C63"/>
    <w:rsid w:val="00983048"/>
    <w:rsid w:val="00983161"/>
    <w:rsid w:val="00984156"/>
    <w:rsid w:val="00984246"/>
    <w:rsid w:val="00984BF8"/>
    <w:rsid w:val="00986055"/>
    <w:rsid w:val="00987565"/>
    <w:rsid w:val="00987569"/>
    <w:rsid w:val="009875C4"/>
    <w:rsid w:val="00987DA0"/>
    <w:rsid w:val="00990247"/>
    <w:rsid w:val="009906B7"/>
    <w:rsid w:val="009906E0"/>
    <w:rsid w:val="00990E19"/>
    <w:rsid w:val="009916F3"/>
    <w:rsid w:val="0099195A"/>
    <w:rsid w:val="00992B16"/>
    <w:rsid w:val="00992BD6"/>
    <w:rsid w:val="009939F1"/>
    <w:rsid w:val="00993A77"/>
    <w:rsid w:val="0099429B"/>
    <w:rsid w:val="0099536E"/>
    <w:rsid w:val="009958D7"/>
    <w:rsid w:val="00995AD5"/>
    <w:rsid w:val="0099674C"/>
    <w:rsid w:val="00996A87"/>
    <w:rsid w:val="009A0928"/>
    <w:rsid w:val="009A1100"/>
    <w:rsid w:val="009A1153"/>
    <w:rsid w:val="009A13F8"/>
    <w:rsid w:val="009A2070"/>
    <w:rsid w:val="009A274F"/>
    <w:rsid w:val="009A37BA"/>
    <w:rsid w:val="009A3B56"/>
    <w:rsid w:val="009A4F0D"/>
    <w:rsid w:val="009A5355"/>
    <w:rsid w:val="009A568D"/>
    <w:rsid w:val="009A57FE"/>
    <w:rsid w:val="009A5D65"/>
    <w:rsid w:val="009A6B79"/>
    <w:rsid w:val="009A6E58"/>
    <w:rsid w:val="009A7028"/>
    <w:rsid w:val="009A7CDA"/>
    <w:rsid w:val="009B0120"/>
    <w:rsid w:val="009B124F"/>
    <w:rsid w:val="009B16D7"/>
    <w:rsid w:val="009B3435"/>
    <w:rsid w:val="009B3542"/>
    <w:rsid w:val="009B365E"/>
    <w:rsid w:val="009B3ECD"/>
    <w:rsid w:val="009B4357"/>
    <w:rsid w:val="009B51FE"/>
    <w:rsid w:val="009B57AD"/>
    <w:rsid w:val="009B6A73"/>
    <w:rsid w:val="009B6AA4"/>
    <w:rsid w:val="009B6AFA"/>
    <w:rsid w:val="009B6F03"/>
    <w:rsid w:val="009B7448"/>
    <w:rsid w:val="009B744C"/>
    <w:rsid w:val="009B75AB"/>
    <w:rsid w:val="009B7A59"/>
    <w:rsid w:val="009C0651"/>
    <w:rsid w:val="009C10AF"/>
    <w:rsid w:val="009C1A18"/>
    <w:rsid w:val="009C1CCF"/>
    <w:rsid w:val="009C2E17"/>
    <w:rsid w:val="009C3135"/>
    <w:rsid w:val="009C383F"/>
    <w:rsid w:val="009C42F1"/>
    <w:rsid w:val="009C50F0"/>
    <w:rsid w:val="009C51F9"/>
    <w:rsid w:val="009C6662"/>
    <w:rsid w:val="009C7362"/>
    <w:rsid w:val="009C772F"/>
    <w:rsid w:val="009C7730"/>
    <w:rsid w:val="009D0648"/>
    <w:rsid w:val="009D0AA1"/>
    <w:rsid w:val="009D0BC8"/>
    <w:rsid w:val="009D0D4E"/>
    <w:rsid w:val="009D1322"/>
    <w:rsid w:val="009D1E97"/>
    <w:rsid w:val="009D21EC"/>
    <w:rsid w:val="009D256D"/>
    <w:rsid w:val="009D2841"/>
    <w:rsid w:val="009D3B80"/>
    <w:rsid w:val="009D4F5D"/>
    <w:rsid w:val="009D5425"/>
    <w:rsid w:val="009D5BCC"/>
    <w:rsid w:val="009D5CBC"/>
    <w:rsid w:val="009D5CC9"/>
    <w:rsid w:val="009D685B"/>
    <w:rsid w:val="009D6DFD"/>
    <w:rsid w:val="009D7B43"/>
    <w:rsid w:val="009E08C9"/>
    <w:rsid w:val="009E0A2A"/>
    <w:rsid w:val="009E1204"/>
    <w:rsid w:val="009E1520"/>
    <w:rsid w:val="009E35D9"/>
    <w:rsid w:val="009E4605"/>
    <w:rsid w:val="009E4BBB"/>
    <w:rsid w:val="009E4D0A"/>
    <w:rsid w:val="009E5AF3"/>
    <w:rsid w:val="009E66C5"/>
    <w:rsid w:val="009E6D4D"/>
    <w:rsid w:val="009E792B"/>
    <w:rsid w:val="009E7BC8"/>
    <w:rsid w:val="009E7F11"/>
    <w:rsid w:val="009F0D4D"/>
    <w:rsid w:val="009F1089"/>
    <w:rsid w:val="009F1E4E"/>
    <w:rsid w:val="009F291A"/>
    <w:rsid w:val="009F2DF3"/>
    <w:rsid w:val="009F36C9"/>
    <w:rsid w:val="009F3B47"/>
    <w:rsid w:val="009F3D71"/>
    <w:rsid w:val="009F51EC"/>
    <w:rsid w:val="009F551B"/>
    <w:rsid w:val="009F6188"/>
    <w:rsid w:val="009F6AB0"/>
    <w:rsid w:val="009F7736"/>
    <w:rsid w:val="009F7D54"/>
    <w:rsid w:val="00A00E3B"/>
    <w:rsid w:val="00A01337"/>
    <w:rsid w:val="00A01613"/>
    <w:rsid w:val="00A02171"/>
    <w:rsid w:val="00A0295D"/>
    <w:rsid w:val="00A02C6D"/>
    <w:rsid w:val="00A03E59"/>
    <w:rsid w:val="00A0404C"/>
    <w:rsid w:val="00A05AD7"/>
    <w:rsid w:val="00A05C8E"/>
    <w:rsid w:val="00A070E7"/>
    <w:rsid w:val="00A076D5"/>
    <w:rsid w:val="00A10527"/>
    <w:rsid w:val="00A10802"/>
    <w:rsid w:val="00A10BB5"/>
    <w:rsid w:val="00A117DE"/>
    <w:rsid w:val="00A11BAC"/>
    <w:rsid w:val="00A11C89"/>
    <w:rsid w:val="00A12F7F"/>
    <w:rsid w:val="00A1312A"/>
    <w:rsid w:val="00A134DE"/>
    <w:rsid w:val="00A13771"/>
    <w:rsid w:val="00A1495D"/>
    <w:rsid w:val="00A14FB7"/>
    <w:rsid w:val="00A150AC"/>
    <w:rsid w:val="00A15C09"/>
    <w:rsid w:val="00A15C9B"/>
    <w:rsid w:val="00A16211"/>
    <w:rsid w:val="00A16C9D"/>
    <w:rsid w:val="00A173A2"/>
    <w:rsid w:val="00A174F9"/>
    <w:rsid w:val="00A20FEC"/>
    <w:rsid w:val="00A2142D"/>
    <w:rsid w:val="00A219FA"/>
    <w:rsid w:val="00A22045"/>
    <w:rsid w:val="00A236FB"/>
    <w:rsid w:val="00A23EC4"/>
    <w:rsid w:val="00A2430F"/>
    <w:rsid w:val="00A24DB7"/>
    <w:rsid w:val="00A25013"/>
    <w:rsid w:val="00A2598F"/>
    <w:rsid w:val="00A25A20"/>
    <w:rsid w:val="00A25C6B"/>
    <w:rsid w:val="00A25C9A"/>
    <w:rsid w:val="00A26CF2"/>
    <w:rsid w:val="00A279B0"/>
    <w:rsid w:val="00A3109F"/>
    <w:rsid w:val="00A31469"/>
    <w:rsid w:val="00A32372"/>
    <w:rsid w:val="00A323AE"/>
    <w:rsid w:val="00A339FF"/>
    <w:rsid w:val="00A33BBD"/>
    <w:rsid w:val="00A346DD"/>
    <w:rsid w:val="00A34FBF"/>
    <w:rsid w:val="00A35580"/>
    <w:rsid w:val="00A356E4"/>
    <w:rsid w:val="00A35C54"/>
    <w:rsid w:val="00A365F9"/>
    <w:rsid w:val="00A36D03"/>
    <w:rsid w:val="00A3742A"/>
    <w:rsid w:val="00A3753D"/>
    <w:rsid w:val="00A37F86"/>
    <w:rsid w:val="00A4028D"/>
    <w:rsid w:val="00A41246"/>
    <w:rsid w:val="00A41CBF"/>
    <w:rsid w:val="00A41D9E"/>
    <w:rsid w:val="00A42646"/>
    <w:rsid w:val="00A428B8"/>
    <w:rsid w:val="00A43147"/>
    <w:rsid w:val="00A440D6"/>
    <w:rsid w:val="00A44655"/>
    <w:rsid w:val="00A44E6A"/>
    <w:rsid w:val="00A465C6"/>
    <w:rsid w:val="00A47136"/>
    <w:rsid w:val="00A514FA"/>
    <w:rsid w:val="00A51822"/>
    <w:rsid w:val="00A51D33"/>
    <w:rsid w:val="00A51D50"/>
    <w:rsid w:val="00A51E42"/>
    <w:rsid w:val="00A521EE"/>
    <w:rsid w:val="00A52603"/>
    <w:rsid w:val="00A53287"/>
    <w:rsid w:val="00A54CDE"/>
    <w:rsid w:val="00A55AAF"/>
    <w:rsid w:val="00A569A1"/>
    <w:rsid w:val="00A56C69"/>
    <w:rsid w:val="00A5702B"/>
    <w:rsid w:val="00A570B2"/>
    <w:rsid w:val="00A57747"/>
    <w:rsid w:val="00A579A7"/>
    <w:rsid w:val="00A57E8A"/>
    <w:rsid w:val="00A60330"/>
    <w:rsid w:val="00A606E7"/>
    <w:rsid w:val="00A60F64"/>
    <w:rsid w:val="00A61B53"/>
    <w:rsid w:val="00A61E4F"/>
    <w:rsid w:val="00A626AD"/>
    <w:rsid w:val="00A63669"/>
    <w:rsid w:val="00A639D6"/>
    <w:rsid w:val="00A6414F"/>
    <w:rsid w:val="00A64230"/>
    <w:rsid w:val="00A64537"/>
    <w:rsid w:val="00A64B83"/>
    <w:rsid w:val="00A65569"/>
    <w:rsid w:val="00A65CD0"/>
    <w:rsid w:val="00A661AC"/>
    <w:rsid w:val="00A66203"/>
    <w:rsid w:val="00A66634"/>
    <w:rsid w:val="00A666A4"/>
    <w:rsid w:val="00A67323"/>
    <w:rsid w:val="00A67C0F"/>
    <w:rsid w:val="00A67ED6"/>
    <w:rsid w:val="00A70727"/>
    <w:rsid w:val="00A70767"/>
    <w:rsid w:val="00A710A5"/>
    <w:rsid w:val="00A72F9C"/>
    <w:rsid w:val="00A73683"/>
    <w:rsid w:val="00A75942"/>
    <w:rsid w:val="00A75FD5"/>
    <w:rsid w:val="00A764FC"/>
    <w:rsid w:val="00A76604"/>
    <w:rsid w:val="00A77C40"/>
    <w:rsid w:val="00A80B75"/>
    <w:rsid w:val="00A815C5"/>
    <w:rsid w:val="00A82B2F"/>
    <w:rsid w:val="00A82DEA"/>
    <w:rsid w:val="00A82F0D"/>
    <w:rsid w:val="00A83203"/>
    <w:rsid w:val="00A834E6"/>
    <w:rsid w:val="00A83A36"/>
    <w:rsid w:val="00A8411E"/>
    <w:rsid w:val="00A84610"/>
    <w:rsid w:val="00A84A5B"/>
    <w:rsid w:val="00A852C1"/>
    <w:rsid w:val="00A85B63"/>
    <w:rsid w:val="00A85C04"/>
    <w:rsid w:val="00A86465"/>
    <w:rsid w:val="00A8682C"/>
    <w:rsid w:val="00A87052"/>
    <w:rsid w:val="00A874CB"/>
    <w:rsid w:val="00A92127"/>
    <w:rsid w:val="00A92226"/>
    <w:rsid w:val="00A92F33"/>
    <w:rsid w:val="00A932DC"/>
    <w:rsid w:val="00A93CB7"/>
    <w:rsid w:val="00A9418E"/>
    <w:rsid w:val="00A941E1"/>
    <w:rsid w:val="00A94285"/>
    <w:rsid w:val="00A94C47"/>
    <w:rsid w:val="00A95270"/>
    <w:rsid w:val="00A967D3"/>
    <w:rsid w:val="00A96F8E"/>
    <w:rsid w:val="00A973B9"/>
    <w:rsid w:val="00A97444"/>
    <w:rsid w:val="00A97B95"/>
    <w:rsid w:val="00A97FAC"/>
    <w:rsid w:val="00A97FC1"/>
    <w:rsid w:val="00AA0193"/>
    <w:rsid w:val="00AA0F79"/>
    <w:rsid w:val="00AA1C7F"/>
    <w:rsid w:val="00AA211E"/>
    <w:rsid w:val="00AA229A"/>
    <w:rsid w:val="00AA2FAB"/>
    <w:rsid w:val="00AA3374"/>
    <w:rsid w:val="00AA343F"/>
    <w:rsid w:val="00AA384F"/>
    <w:rsid w:val="00AA3A4D"/>
    <w:rsid w:val="00AA4069"/>
    <w:rsid w:val="00AA4F88"/>
    <w:rsid w:val="00AA5AAF"/>
    <w:rsid w:val="00AA5DE7"/>
    <w:rsid w:val="00AA7356"/>
    <w:rsid w:val="00AA7374"/>
    <w:rsid w:val="00AA7573"/>
    <w:rsid w:val="00AA75F3"/>
    <w:rsid w:val="00AA7706"/>
    <w:rsid w:val="00AB04F2"/>
    <w:rsid w:val="00AB0855"/>
    <w:rsid w:val="00AB1E14"/>
    <w:rsid w:val="00AB21D0"/>
    <w:rsid w:val="00AB25D1"/>
    <w:rsid w:val="00AB313C"/>
    <w:rsid w:val="00AB340A"/>
    <w:rsid w:val="00AB3B83"/>
    <w:rsid w:val="00AB3C9D"/>
    <w:rsid w:val="00AB416F"/>
    <w:rsid w:val="00AB5165"/>
    <w:rsid w:val="00AB5552"/>
    <w:rsid w:val="00AB66C6"/>
    <w:rsid w:val="00AB798F"/>
    <w:rsid w:val="00AB7D36"/>
    <w:rsid w:val="00AC123C"/>
    <w:rsid w:val="00AC2AEF"/>
    <w:rsid w:val="00AC3DE9"/>
    <w:rsid w:val="00AC4CB8"/>
    <w:rsid w:val="00AC55FE"/>
    <w:rsid w:val="00AC5879"/>
    <w:rsid w:val="00AC58F6"/>
    <w:rsid w:val="00AC5F6C"/>
    <w:rsid w:val="00AC7570"/>
    <w:rsid w:val="00AD0B82"/>
    <w:rsid w:val="00AD111A"/>
    <w:rsid w:val="00AD16DB"/>
    <w:rsid w:val="00AD24A5"/>
    <w:rsid w:val="00AD2685"/>
    <w:rsid w:val="00AD338F"/>
    <w:rsid w:val="00AD3799"/>
    <w:rsid w:val="00AD4E2B"/>
    <w:rsid w:val="00AD5EEB"/>
    <w:rsid w:val="00AD6042"/>
    <w:rsid w:val="00AD633F"/>
    <w:rsid w:val="00AD6BB6"/>
    <w:rsid w:val="00AD74E2"/>
    <w:rsid w:val="00AD7513"/>
    <w:rsid w:val="00AD7A67"/>
    <w:rsid w:val="00AE0113"/>
    <w:rsid w:val="00AE06EB"/>
    <w:rsid w:val="00AE175C"/>
    <w:rsid w:val="00AE17E7"/>
    <w:rsid w:val="00AE1959"/>
    <w:rsid w:val="00AE2328"/>
    <w:rsid w:val="00AE2765"/>
    <w:rsid w:val="00AE3391"/>
    <w:rsid w:val="00AE3925"/>
    <w:rsid w:val="00AE3DCA"/>
    <w:rsid w:val="00AE3ED3"/>
    <w:rsid w:val="00AE56C4"/>
    <w:rsid w:val="00AE5EF8"/>
    <w:rsid w:val="00AE5F49"/>
    <w:rsid w:val="00AE5F5F"/>
    <w:rsid w:val="00AE6045"/>
    <w:rsid w:val="00AE609F"/>
    <w:rsid w:val="00AE6518"/>
    <w:rsid w:val="00AE689E"/>
    <w:rsid w:val="00AE6A0C"/>
    <w:rsid w:val="00AE6A95"/>
    <w:rsid w:val="00AE6CFB"/>
    <w:rsid w:val="00AF06A5"/>
    <w:rsid w:val="00AF1245"/>
    <w:rsid w:val="00AF1508"/>
    <w:rsid w:val="00AF1D7F"/>
    <w:rsid w:val="00AF20B4"/>
    <w:rsid w:val="00AF20FB"/>
    <w:rsid w:val="00AF2462"/>
    <w:rsid w:val="00AF24C4"/>
    <w:rsid w:val="00AF2531"/>
    <w:rsid w:val="00AF29EC"/>
    <w:rsid w:val="00AF2B19"/>
    <w:rsid w:val="00AF36D7"/>
    <w:rsid w:val="00AF37A4"/>
    <w:rsid w:val="00AF3AFD"/>
    <w:rsid w:val="00AF43CA"/>
    <w:rsid w:val="00AF44DE"/>
    <w:rsid w:val="00AF55D7"/>
    <w:rsid w:val="00AF5944"/>
    <w:rsid w:val="00AF5FC9"/>
    <w:rsid w:val="00AF63EE"/>
    <w:rsid w:val="00AF65BE"/>
    <w:rsid w:val="00AF69D6"/>
    <w:rsid w:val="00AF6CE2"/>
    <w:rsid w:val="00B001CD"/>
    <w:rsid w:val="00B00A20"/>
    <w:rsid w:val="00B01A3A"/>
    <w:rsid w:val="00B01EAE"/>
    <w:rsid w:val="00B02060"/>
    <w:rsid w:val="00B02469"/>
    <w:rsid w:val="00B0351B"/>
    <w:rsid w:val="00B0440A"/>
    <w:rsid w:val="00B0462E"/>
    <w:rsid w:val="00B04833"/>
    <w:rsid w:val="00B0499D"/>
    <w:rsid w:val="00B050E3"/>
    <w:rsid w:val="00B051A6"/>
    <w:rsid w:val="00B05B7C"/>
    <w:rsid w:val="00B05BB8"/>
    <w:rsid w:val="00B05E07"/>
    <w:rsid w:val="00B06BDF"/>
    <w:rsid w:val="00B06E7A"/>
    <w:rsid w:val="00B076F2"/>
    <w:rsid w:val="00B10709"/>
    <w:rsid w:val="00B109F7"/>
    <w:rsid w:val="00B13284"/>
    <w:rsid w:val="00B13F56"/>
    <w:rsid w:val="00B143C1"/>
    <w:rsid w:val="00B14405"/>
    <w:rsid w:val="00B1486A"/>
    <w:rsid w:val="00B14874"/>
    <w:rsid w:val="00B149E7"/>
    <w:rsid w:val="00B14F18"/>
    <w:rsid w:val="00B14F4B"/>
    <w:rsid w:val="00B15675"/>
    <w:rsid w:val="00B15D04"/>
    <w:rsid w:val="00B1694A"/>
    <w:rsid w:val="00B16CD9"/>
    <w:rsid w:val="00B16D5C"/>
    <w:rsid w:val="00B17042"/>
    <w:rsid w:val="00B17554"/>
    <w:rsid w:val="00B17739"/>
    <w:rsid w:val="00B1776C"/>
    <w:rsid w:val="00B17C7A"/>
    <w:rsid w:val="00B17FF4"/>
    <w:rsid w:val="00B21662"/>
    <w:rsid w:val="00B21820"/>
    <w:rsid w:val="00B2244D"/>
    <w:rsid w:val="00B230C6"/>
    <w:rsid w:val="00B234B6"/>
    <w:rsid w:val="00B24369"/>
    <w:rsid w:val="00B24541"/>
    <w:rsid w:val="00B249BB"/>
    <w:rsid w:val="00B24EA1"/>
    <w:rsid w:val="00B25902"/>
    <w:rsid w:val="00B25BE4"/>
    <w:rsid w:val="00B25C1A"/>
    <w:rsid w:val="00B26178"/>
    <w:rsid w:val="00B27284"/>
    <w:rsid w:val="00B275AB"/>
    <w:rsid w:val="00B275F7"/>
    <w:rsid w:val="00B276B3"/>
    <w:rsid w:val="00B309B2"/>
    <w:rsid w:val="00B314E9"/>
    <w:rsid w:val="00B3168D"/>
    <w:rsid w:val="00B317BB"/>
    <w:rsid w:val="00B3199A"/>
    <w:rsid w:val="00B31D52"/>
    <w:rsid w:val="00B3297B"/>
    <w:rsid w:val="00B32A15"/>
    <w:rsid w:val="00B33104"/>
    <w:rsid w:val="00B33183"/>
    <w:rsid w:val="00B33BDA"/>
    <w:rsid w:val="00B34269"/>
    <w:rsid w:val="00B34914"/>
    <w:rsid w:val="00B34A95"/>
    <w:rsid w:val="00B34C3C"/>
    <w:rsid w:val="00B35E68"/>
    <w:rsid w:val="00B36F45"/>
    <w:rsid w:val="00B376DA"/>
    <w:rsid w:val="00B379E7"/>
    <w:rsid w:val="00B4036F"/>
    <w:rsid w:val="00B407F3"/>
    <w:rsid w:val="00B42319"/>
    <w:rsid w:val="00B42662"/>
    <w:rsid w:val="00B42B57"/>
    <w:rsid w:val="00B42B88"/>
    <w:rsid w:val="00B43B52"/>
    <w:rsid w:val="00B43F99"/>
    <w:rsid w:val="00B442A6"/>
    <w:rsid w:val="00B444A1"/>
    <w:rsid w:val="00B448E9"/>
    <w:rsid w:val="00B469E2"/>
    <w:rsid w:val="00B4739C"/>
    <w:rsid w:val="00B4776A"/>
    <w:rsid w:val="00B47B3F"/>
    <w:rsid w:val="00B47D1B"/>
    <w:rsid w:val="00B50283"/>
    <w:rsid w:val="00B51628"/>
    <w:rsid w:val="00B51B6D"/>
    <w:rsid w:val="00B5237A"/>
    <w:rsid w:val="00B52599"/>
    <w:rsid w:val="00B52C61"/>
    <w:rsid w:val="00B535E4"/>
    <w:rsid w:val="00B5494F"/>
    <w:rsid w:val="00B54AE1"/>
    <w:rsid w:val="00B54B61"/>
    <w:rsid w:val="00B55FFB"/>
    <w:rsid w:val="00B56D63"/>
    <w:rsid w:val="00B56FE0"/>
    <w:rsid w:val="00B577A8"/>
    <w:rsid w:val="00B57ED1"/>
    <w:rsid w:val="00B6064B"/>
    <w:rsid w:val="00B60850"/>
    <w:rsid w:val="00B611C5"/>
    <w:rsid w:val="00B615E7"/>
    <w:rsid w:val="00B62E92"/>
    <w:rsid w:val="00B63163"/>
    <w:rsid w:val="00B631D0"/>
    <w:rsid w:val="00B63528"/>
    <w:rsid w:val="00B64439"/>
    <w:rsid w:val="00B64737"/>
    <w:rsid w:val="00B65B1B"/>
    <w:rsid w:val="00B65B32"/>
    <w:rsid w:val="00B6604F"/>
    <w:rsid w:val="00B664F1"/>
    <w:rsid w:val="00B66A41"/>
    <w:rsid w:val="00B66C44"/>
    <w:rsid w:val="00B66D48"/>
    <w:rsid w:val="00B66FCC"/>
    <w:rsid w:val="00B70C03"/>
    <w:rsid w:val="00B70D7F"/>
    <w:rsid w:val="00B70E9F"/>
    <w:rsid w:val="00B71377"/>
    <w:rsid w:val="00B7239F"/>
    <w:rsid w:val="00B73FFF"/>
    <w:rsid w:val="00B74786"/>
    <w:rsid w:val="00B748D8"/>
    <w:rsid w:val="00B763B6"/>
    <w:rsid w:val="00B76938"/>
    <w:rsid w:val="00B81112"/>
    <w:rsid w:val="00B81BC2"/>
    <w:rsid w:val="00B826AA"/>
    <w:rsid w:val="00B82B30"/>
    <w:rsid w:val="00B82EAD"/>
    <w:rsid w:val="00B83B0E"/>
    <w:rsid w:val="00B84043"/>
    <w:rsid w:val="00B8415C"/>
    <w:rsid w:val="00B8435A"/>
    <w:rsid w:val="00B8443D"/>
    <w:rsid w:val="00B8506E"/>
    <w:rsid w:val="00B851BC"/>
    <w:rsid w:val="00B85209"/>
    <w:rsid w:val="00B85731"/>
    <w:rsid w:val="00B8646F"/>
    <w:rsid w:val="00B86D67"/>
    <w:rsid w:val="00B87337"/>
    <w:rsid w:val="00B87366"/>
    <w:rsid w:val="00B87B47"/>
    <w:rsid w:val="00B90290"/>
    <w:rsid w:val="00B90BDC"/>
    <w:rsid w:val="00B9216E"/>
    <w:rsid w:val="00B92CA0"/>
    <w:rsid w:val="00B92E8E"/>
    <w:rsid w:val="00B937B0"/>
    <w:rsid w:val="00B9381D"/>
    <w:rsid w:val="00B93B5A"/>
    <w:rsid w:val="00B93C89"/>
    <w:rsid w:val="00B93FFD"/>
    <w:rsid w:val="00B947F0"/>
    <w:rsid w:val="00B950D0"/>
    <w:rsid w:val="00B960F4"/>
    <w:rsid w:val="00B96274"/>
    <w:rsid w:val="00B963AD"/>
    <w:rsid w:val="00B96C95"/>
    <w:rsid w:val="00B96FAA"/>
    <w:rsid w:val="00B9718B"/>
    <w:rsid w:val="00B97219"/>
    <w:rsid w:val="00B976EF"/>
    <w:rsid w:val="00B97E35"/>
    <w:rsid w:val="00B97E6A"/>
    <w:rsid w:val="00BA0132"/>
    <w:rsid w:val="00BA0A44"/>
    <w:rsid w:val="00BA17C4"/>
    <w:rsid w:val="00BA1B3F"/>
    <w:rsid w:val="00BA24D0"/>
    <w:rsid w:val="00BA255A"/>
    <w:rsid w:val="00BA261F"/>
    <w:rsid w:val="00BA29B5"/>
    <w:rsid w:val="00BA29E1"/>
    <w:rsid w:val="00BA2A3E"/>
    <w:rsid w:val="00BA3B68"/>
    <w:rsid w:val="00BA3F87"/>
    <w:rsid w:val="00BA4276"/>
    <w:rsid w:val="00BA4431"/>
    <w:rsid w:val="00BA5F3E"/>
    <w:rsid w:val="00BA7361"/>
    <w:rsid w:val="00BA74AA"/>
    <w:rsid w:val="00BA7F4A"/>
    <w:rsid w:val="00BB03AB"/>
    <w:rsid w:val="00BB05A9"/>
    <w:rsid w:val="00BB0E94"/>
    <w:rsid w:val="00BB259F"/>
    <w:rsid w:val="00BB276E"/>
    <w:rsid w:val="00BB33EE"/>
    <w:rsid w:val="00BB3680"/>
    <w:rsid w:val="00BB4E46"/>
    <w:rsid w:val="00BB51B4"/>
    <w:rsid w:val="00BB5384"/>
    <w:rsid w:val="00BB5481"/>
    <w:rsid w:val="00BB554C"/>
    <w:rsid w:val="00BB5AA3"/>
    <w:rsid w:val="00BB6159"/>
    <w:rsid w:val="00BB649E"/>
    <w:rsid w:val="00BB7100"/>
    <w:rsid w:val="00BB7E99"/>
    <w:rsid w:val="00BC0377"/>
    <w:rsid w:val="00BC0F9D"/>
    <w:rsid w:val="00BC0FA9"/>
    <w:rsid w:val="00BC1336"/>
    <w:rsid w:val="00BC1D75"/>
    <w:rsid w:val="00BC4856"/>
    <w:rsid w:val="00BC520E"/>
    <w:rsid w:val="00BC5B6B"/>
    <w:rsid w:val="00BC5D4B"/>
    <w:rsid w:val="00BC65D2"/>
    <w:rsid w:val="00BC6D2F"/>
    <w:rsid w:val="00BD03DB"/>
    <w:rsid w:val="00BD1D19"/>
    <w:rsid w:val="00BD2374"/>
    <w:rsid w:val="00BD33C5"/>
    <w:rsid w:val="00BD3544"/>
    <w:rsid w:val="00BD4DF8"/>
    <w:rsid w:val="00BD5539"/>
    <w:rsid w:val="00BD5688"/>
    <w:rsid w:val="00BD695B"/>
    <w:rsid w:val="00BD737A"/>
    <w:rsid w:val="00BD7EF1"/>
    <w:rsid w:val="00BE0223"/>
    <w:rsid w:val="00BE0798"/>
    <w:rsid w:val="00BE1B03"/>
    <w:rsid w:val="00BE1F2C"/>
    <w:rsid w:val="00BE2409"/>
    <w:rsid w:val="00BE2C90"/>
    <w:rsid w:val="00BE3573"/>
    <w:rsid w:val="00BE3BF4"/>
    <w:rsid w:val="00BE44C4"/>
    <w:rsid w:val="00BE4A2F"/>
    <w:rsid w:val="00BE54B9"/>
    <w:rsid w:val="00BE60CF"/>
    <w:rsid w:val="00BE6617"/>
    <w:rsid w:val="00BE6BD8"/>
    <w:rsid w:val="00BE715D"/>
    <w:rsid w:val="00BE7440"/>
    <w:rsid w:val="00BE785A"/>
    <w:rsid w:val="00BE7B66"/>
    <w:rsid w:val="00BF0203"/>
    <w:rsid w:val="00BF0480"/>
    <w:rsid w:val="00BF1BEC"/>
    <w:rsid w:val="00BF1E2D"/>
    <w:rsid w:val="00BF2372"/>
    <w:rsid w:val="00BF4355"/>
    <w:rsid w:val="00BF4BA3"/>
    <w:rsid w:val="00BF5291"/>
    <w:rsid w:val="00BF548F"/>
    <w:rsid w:val="00BF63B5"/>
    <w:rsid w:val="00BF66CC"/>
    <w:rsid w:val="00BF6C34"/>
    <w:rsid w:val="00C00F3B"/>
    <w:rsid w:val="00C01176"/>
    <w:rsid w:val="00C01ED5"/>
    <w:rsid w:val="00C0288F"/>
    <w:rsid w:val="00C02F7D"/>
    <w:rsid w:val="00C0300E"/>
    <w:rsid w:val="00C0315F"/>
    <w:rsid w:val="00C0405E"/>
    <w:rsid w:val="00C0487F"/>
    <w:rsid w:val="00C05684"/>
    <w:rsid w:val="00C062FE"/>
    <w:rsid w:val="00C0645E"/>
    <w:rsid w:val="00C07195"/>
    <w:rsid w:val="00C07ECB"/>
    <w:rsid w:val="00C07F09"/>
    <w:rsid w:val="00C104F9"/>
    <w:rsid w:val="00C10649"/>
    <w:rsid w:val="00C10FF5"/>
    <w:rsid w:val="00C126C7"/>
    <w:rsid w:val="00C126CE"/>
    <w:rsid w:val="00C12853"/>
    <w:rsid w:val="00C1287A"/>
    <w:rsid w:val="00C14257"/>
    <w:rsid w:val="00C144A9"/>
    <w:rsid w:val="00C15664"/>
    <w:rsid w:val="00C15A30"/>
    <w:rsid w:val="00C15EBE"/>
    <w:rsid w:val="00C16406"/>
    <w:rsid w:val="00C16709"/>
    <w:rsid w:val="00C16D43"/>
    <w:rsid w:val="00C175C8"/>
    <w:rsid w:val="00C17DF3"/>
    <w:rsid w:val="00C202B2"/>
    <w:rsid w:val="00C20300"/>
    <w:rsid w:val="00C20C19"/>
    <w:rsid w:val="00C21035"/>
    <w:rsid w:val="00C210D3"/>
    <w:rsid w:val="00C21904"/>
    <w:rsid w:val="00C220CB"/>
    <w:rsid w:val="00C224A7"/>
    <w:rsid w:val="00C224FF"/>
    <w:rsid w:val="00C2351B"/>
    <w:rsid w:val="00C2359C"/>
    <w:rsid w:val="00C236A7"/>
    <w:rsid w:val="00C24C18"/>
    <w:rsid w:val="00C2502F"/>
    <w:rsid w:val="00C265DC"/>
    <w:rsid w:val="00C26AE0"/>
    <w:rsid w:val="00C26E19"/>
    <w:rsid w:val="00C277A0"/>
    <w:rsid w:val="00C27C18"/>
    <w:rsid w:val="00C30622"/>
    <w:rsid w:val="00C3139E"/>
    <w:rsid w:val="00C313F1"/>
    <w:rsid w:val="00C31619"/>
    <w:rsid w:val="00C31D1E"/>
    <w:rsid w:val="00C31DD9"/>
    <w:rsid w:val="00C325DD"/>
    <w:rsid w:val="00C32EF8"/>
    <w:rsid w:val="00C358F2"/>
    <w:rsid w:val="00C35A38"/>
    <w:rsid w:val="00C37ABA"/>
    <w:rsid w:val="00C40079"/>
    <w:rsid w:val="00C404B1"/>
    <w:rsid w:val="00C4103D"/>
    <w:rsid w:val="00C4187C"/>
    <w:rsid w:val="00C41AD9"/>
    <w:rsid w:val="00C41B68"/>
    <w:rsid w:val="00C43A68"/>
    <w:rsid w:val="00C4433C"/>
    <w:rsid w:val="00C4473E"/>
    <w:rsid w:val="00C44DD5"/>
    <w:rsid w:val="00C45444"/>
    <w:rsid w:val="00C45533"/>
    <w:rsid w:val="00C461DD"/>
    <w:rsid w:val="00C4643B"/>
    <w:rsid w:val="00C4655F"/>
    <w:rsid w:val="00C4656C"/>
    <w:rsid w:val="00C470E3"/>
    <w:rsid w:val="00C47376"/>
    <w:rsid w:val="00C47D58"/>
    <w:rsid w:val="00C51B30"/>
    <w:rsid w:val="00C51D70"/>
    <w:rsid w:val="00C5279A"/>
    <w:rsid w:val="00C530FA"/>
    <w:rsid w:val="00C53DE4"/>
    <w:rsid w:val="00C54297"/>
    <w:rsid w:val="00C54308"/>
    <w:rsid w:val="00C5472D"/>
    <w:rsid w:val="00C552BC"/>
    <w:rsid w:val="00C554D0"/>
    <w:rsid w:val="00C55B88"/>
    <w:rsid w:val="00C560C1"/>
    <w:rsid w:val="00C57337"/>
    <w:rsid w:val="00C57E04"/>
    <w:rsid w:val="00C60E2C"/>
    <w:rsid w:val="00C60FDC"/>
    <w:rsid w:val="00C61E49"/>
    <w:rsid w:val="00C6237E"/>
    <w:rsid w:val="00C62EB1"/>
    <w:rsid w:val="00C62F2F"/>
    <w:rsid w:val="00C6328A"/>
    <w:rsid w:val="00C63A60"/>
    <w:rsid w:val="00C643EA"/>
    <w:rsid w:val="00C64C61"/>
    <w:rsid w:val="00C64D2B"/>
    <w:rsid w:val="00C6501C"/>
    <w:rsid w:val="00C66874"/>
    <w:rsid w:val="00C66AEC"/>
    <w:rsid w:val="00C67401"/>
    <w:rsid w:val="00C702B8"/>
    <w:rsid w:val="00C705C9"/>
    <w:rsid w:val="00C70C09"/>
    <w:rsid w:val="00C70D2C"/>
    <w:rsid w:val="00C711D1"/>
    <w:rsid w:val="00C7202C"/>
    <w:rsid w:val="00C73AD6"/>
    <w:rsid w:val="00C73EB1"/>
    <w:rsid w:val="00C74E9F"/>
    <w:rsid w:val="00C752DF"/>
    <w:rsid w:val="00C754D1"/>
    <w:rsid w:val="00C7573E"/>
    <w:rsid w:val="00C758CF"/>
    <w:rsid w:val="00C764DD"/>
    <w:rsid w:val="00C76E99"/>
    <w:rsid w:val="00C77536"/>
    <w:rsid w:val="00C776B9"/>
    <w:rsid w:val="00C779B3"/>
    <w:rsid w:val="00C80B93"/>
    <w:rsid w:val="00C8209E"/>
    <w:rsid w:val="00C82829"/>
    <w:rsid w:val="00C8374C"/>
    <w:rsid w:val="00C8455E"/>
    <w:rsid w:val="00C8465F"/>
    <w:rsid w:val="00C85CDF"/>
    <w:rsid w:val="00C85E88"/>
    <w:rsid w:val="00C85FC3"/>
    <w:rsid w:val="00C87097"/>
    <w:rsid w:val="00C9070E"/>
    <w:rsid w:val="00C915D3"/>
    <w:rsid w:val="00C9233D"/>
    <w:rsid w:val="00C92612"/>
    <w:rsid w:val="00C92979"/>
    <w:rsid w:val="00C951F4"/>
    <w:rsid w:val="00C95617"/>
    <w:rsid w:val="00C974CC"/>
    <w:rsid w:val="00C97776"/>
    <w:rsid w:val="00C977ED"/>
    <w:rsid w:val="00C97EFD"/>
    <w:rsid w:val="00CA0154"/>
    <w:rsid w:val="00CA188B"/>
    <w:rsid w:val="00CA21D6"/>
    <w:rsid w:val="00CA25D6"/>
    <w:rsid w:val="00CA29C4"/>
    <w:rsid w:val="00CA318B"/>
    <w:rsid w:val="00CA3784"/>
    <w:rsid w:val="00CA3D41"/>
    <w:rsid w:val="00CA59A9"/>
    <w:rsid w:val="00CA5A20"/>
    <w:rsid w:val="00CA5BD8"/>
    <w:rsid w:val="00CA6128"/>
    <w:rsid w:val="00CA6BBA"/>
    <w:rsid w:val="00CA71E3"/>
    <w:rsid w:val="00CB031E"/>
    <w:rsid w:val="00CB04DF"/>
    <w:rsid w:val="00CB0ED8"/>
    <w:rsid w:val="00CB1C47"/>
    <w:rsid w:val="00CB1F40"/>
    <w:rsid w:val="00CB2BB9"/>
    <w:rsid w:val="00CB2FB9"/>
    <w:rsid w:val="00CB3310"/>
    <w:rsid w:val="00CB3D3F"/>
    <w:rsid w:val="00CB4E38"/>
    <w:rsid w:val="00CB5EB3"/>
    <w:rsid w:val="00CB5F18"/>
    <w:rsid w:val="00CB73E9"/>
    <w:rsid w:val="00CB778E"/>
    <w:rsid w:val="00CC1527"/>
    <w:rsid w:val="00CC3573"/>
    <w:rsid w:val="00CC56A7"/>
    <w:rsid w:val="00CC63F8"/>
    <w:rsid w:val="00CD06E8"/>
    <w:rsid w:val="00CD0EF4"/>
    <w:rsid w:val="00CD1BDD"/>
    <w:rsid w:val="00CD1CE7"/>
    <w:rsid w:val="00CD1D5F"/>
    <w:rsid w:val="00CD20F6"/>
    <w:rsid w:val="00CD21FE"/>
    <w:rsid w:val="00CD2D5D"/>
    <w:rsid w:val="00CD2E0B"/>
    <w:rsid w:val="00CD3028"/>
    <w:rsid w:val="00CD3357"/>
    <w:rsid w:val="00CD349C"/>
    <w:rsid w:val="00CD3EA5"/>
    <w:rsid w:val="00CD4384"/>
    <w:rsid w:val="00CD6021"/>
    <w:rsid w:val="00CD6216"/>
    <w:rsid w:val="00CD6AB0"/>
    <w:rsid w:val="00CD7194"/>
    <w:rsid w:val="00CD7196"/>
    <w:rsid w:val="00CD76A4"/>
    <w:rsid w:val="00CD795F"/>
    <w:rsid w:val="00CE0FF5"/>
    <w:rsid w:val="00CE12D8"/>
    <w:rsid w:val="00CE1C4E"/>
    <w:rsid w:val="00CE2D0C"/>
    <w:rsid w:val="00CE36F9"/>
    <w:rsid w:val="00CE3999"/>
    <w:rsid w:val="00CE437E"/>
    <w:rsid w:val="00CE4680"/>
    <w:rsid w:val="00CE53F6"/>
    <w:rsid w:val="00CE67EE"/>
    <w:rsid w:val="00CE712C"/>
    <w:rsid w:val="00CF0F49"/>
    <w:rsid w:val="00CF1347"/>
    <w:rsid w:val="00CF13D7"/>
    <w:rsid w:val="00CF3197"/>
    <w:rsid w:val="00CF341D"/>
    <w:rsid w:val="00CF36B0"/>
    <w:rsid w:val="00CF44C3"/>
    <w:rsid w:val="00CF4602"/>
    <w:rsid w:val="00CF4D5D"/>
    <w:rsid w:val="00CF6726"/>
    <w:rsid w:val="00CF6A40"/>
    <w:rsid w:val="00CF6C1A"/>
    <w:rsid w:val="00CF6E92"/>
    <w:rsid w:val="00CF767A"/>
    <w:rsid w:val="00CF7BC1"/>
    <w:rsid w:val="00D00095"/>
    <w:rsid w:val="00D000F6"/>
    <w:rsid w:val="00D00F40"/>
    <w:rsid w:val="00D017E0"/>
    <w:rsid w:val="00D019C5"/>
    <w:rsid w:val="00D01ED4"/>
    <w:rsid w:val="00D030D7"/>
    <w:rsid w:val="00D042F4"/>
    <w:rsid w:val="00D04435"/>
    <w:rsid w:val="00D04A84"/>
    <w:rsid w:val="00D04E4F"/>
    <w:rsid w:val="00D05A19"/>
    <w:rsid w:val="00D064AE"/>
    <w:rsid w:val="00D06930"/>
    <w:rsid w:val="00D06AB4"/>
    <w:rsid w:val="00D06E9D"/>
    <w:rsid w:val="00D0763D"/>
    <w:rsid w:val="00D0773B"/>
    <w:rsid w:val="00D077A3"/>
    <w:rsid w:val="00D07856"/>
    <w:rsid w:val="00D07A13"/>
    <w:rsid w:val="00D07E75"/>
    <w:rsid w:val="00D100F7"/>
    <w:rsid w:val="00D10317"/>
    <w:rsid w:val="00D105E6"/>
    <w:rsid w:val="00D10E0C"/>
    <w:rsid w:val="00D10EF1"/>
    <w:rsid w:val="00D12597"/>
    <w:rsid w:val="00D13314"/>
    <w:rsid w:val="00D13A5A"/>
    <w:rsid w:val="00D14260"/>
    <w:rsid w:val="00D14B4F"/>
    <w:rsid w:val="00D14D28"/>
    <w:rsid w:val="00D14DBE"/>
    <w:rsid w:val="00D15320"/>
    <w:rsid w:val="00D16B31"/>
    <w:rsid w:val="00D16F05"/>
    <w:rsid w:val="00D1714A"/>
    <w:rsid w:val="00D20096"/>
    <w:rsid w:val="00D200AD"/>
    <w:rsid w:val="00D2054C"/>
    <w:rsid w:val="00D20821"/>
    <w:rsid w:val="00D20FDB"/>
    <w:rsid w:val="00D216A8"/>
    <w:rsid w:val="00D21710"/>
    <w:rsid w:val="00D219F6"/>
    <w:rsid w:val="00D21A00"/>
    <w:rsid w:val="00D22907"/>
    <w:rsid w:val="00D23AE3"/>
    <w:rsid w:val="00D23EBA"/>
    <w:rsid w:val="00D2485F"/>
    <w:rsid w:val="00D2643C"/>
    <w:rsid w:val="00D264F2"/>
    <w:rsid w:val="00D27DC8"/>
    <w:rsid w:val="00D305A2"/>
    <w:rsid w:val="00D30DEF"/>
    <w:rsid w:val="00D32106"/>
    <w:rsid w:val="00D32332"/>
    <w:rsid w:val="00D32553"/>
    <w:rsid w:val="00D326C8"/>
    <w:rsid w:val="00D32952"/>
    <w:rsid w:val="00D3297D"/>
    <w:rsid w:val="00D32D52"/>
    <w:rsid w:val="00D33892"/>
    <w:rsid w:val="00D33A85"/>
    <w:rsid w:val="00D33C14"/>
    <w:rsid w:val="00D342EA"/>
    <w:rsid w:val="00D34E62"/>
    <w:rsid w:val="00D36385"/>
    <w:rsid w:val="00D36C9A"/>
    <w:rsid w:val="00D401A7"/>
    <w:rsid w:val="00D41C97"/>
    <w:rsid w:val="00D427C7"/>
    <w:rsid w:val="00D44D8B"/>
    <w:rsid w:val="00D44EF7"/>
    <w:rsid w:val="00D44F78"/>
    <w:rsid w:val="00D4609C"/>
    <w:rsid w:val="00D46359"/>
    <w:rsid w:val="00D46384"/>
    <w:rsid w:val="00D46A20"/>
    <w:rsid w:val="00D46D84"/>
    <w:rsid w:val="00D477BB"/>
    <w:rsid w:val="00D47D56"/>
    <w:rsid w:val="00D50300"/>
    <w:rsid w:val="00D50B18"/>
    <w:rsid w:val="00D50C9A"/>
    <w:rsid w:val="00D50CA6"/>
    <w:rsid w:val="00D5109F"/>
    <w:rsid w:val="00D517D1"/>
    <w:rsid w:val="00D517E8"/>
    <w:rsid w:val="00D51E6C"/>
    <w:rsid w:val="00D539B0"/>
    <w:rsid w:val="00D53EC3"/>
    <w:rsid w:val="00D54CAA"/>
    <w:rsid w:val="00D54E8E"/>
    <w:rsid w:val="00D55CD1"/>
    <w:rsid w:val="00D55E65"/>
    <w:rsid w:val="00D56420"/>
    <w:rsid w:val="00D5695F"/>
    <w:rsid w:val="00D56D44"/>
    <w:rsid w:val="00D57974"/>
    <w:rsid w:val="00D57E55"/>
    <w:rsid w:val="00D60839"/>
    <w:rsid w:val="00D608DC"/>
    <w:rsid w:val="00D60AE6"/>
    <w:rsid w:val="00D60F8B"/>
    <w:rsid w:val="00D61544"/>
    <w:rsid w:val="00D61771"/>
    <w:rsid w:val="00D61C8A"/>
    <w:rsid w:val="00D62620"/>
    <w:rsid w:val="00D62AAE"/>
    <w:rsid w:val="00D635A9"/>
    <w:rsid w:val="00D63C8F"/>
    <w:rsid w:val="00D6429C"/>
    <w:rsid w:val="00D65C21"/>
    <w:rsid w:val="00D66A2A"/>
    <w:rsid w:val="00D67524"/>
    <w:rsid w:val="00D70913"/>
    <w:rsid w:val="00D70A8B"/>
    <w:rsid w:val="00D71CDD"/>
    <w:rsid w:val="00D721EE"/>
    <w:rsid w:val="00D72ECA"/>
    <w:rsid w:val="00D73107"/>
    <w:rsid w:val="00D73195"/>
    <w:rsid w:val="00D7324E"/>
    <w:rsid w:val="00D739D7"/>
    <w:rsid w:val="00D73A3A"/>
    <w:rsid w:val="00D7410A"/>
    <w:rsid w:val="00D741BB"/>
    <w:rsid w:val="00D7437F"/>
    <w:rsid w:val="00D74B79"/>
    <w:rsid w:val="00D74DAB"/>
    <w:rsid w:val="00D7508F"/>
    <w:rsid w:val="00D7579E"/>
    <w:rsid w:val="00D75A5A"/>
    <w:rsid w:val="00D75E2D"/>
    <w:rsid w:val="00D7799D"/>
    <w:rsid w:val="00D80597"/>
    <w:rsid w:val="00D80EBF"/>
    <w:rsid w:val="00D81A6D"/>
    <w:rsid w:val="00D821D3"/>
    <w:rsid w:val="00D8349E"/>
    <w:rsid w:val="00D837F3"/>
    <w:rsid w:val="00D843B6"/>
    <w:rsid w:val="00D84851"/>
    <w:rsid w:val="00D84B10"/>
    <w:rsid w:val="00D84FA2"/>
    <w:rsid w:val="00D8565E"/>
    <w:rsid w:val="00D85CA4"/>
    <w:rsid w:val="00D85E2E"/>
    <w:rsid w:val="00D86B82"/>
    <w:rsid w:val="00D86BE1"/>
    <w:rsid w:val="00D902F6"/>
    <w:rsid w:val="00D9043F"/>
    <w:rsid w:val="00D910F1"/>
    <w:rsid w:val="00D912F8"/>
    <w:rsid w:val="00D91474"/>
    <w:rsid w:val="00D91C3F"/>
    <w:rsid w:val="00D91D5A"/>
    <w:rsid w:val="00D92043"/>
    <w:rsid w:val="00D923CD"/>
    <w:rsid w:val="00D928FF"/>
    <w:rsid w:val="00D929BA"/>
    <w:rsid w:val="00D92F36"/>
    <w:rsid w:val="00D93351"/>
    <w:rsid w:val="00D934F2"/>
    <w:rsid w:val="00D93FD5"/>
    <w:rsid w:val="00D944BE"/>
    <w:rsid w:val="00D94AAF"/>
    <w:rsid w:val="00D952FD"/>
    <w:rsid w:val="00D96590"/>
    <w:rsid w:val="00D97C6D"/>
    <w:rsid w:val="00D97F50"/>
    <w:rsid w:val="00DA00A6"/>
    <w:rsid w:val="00DA13EB"/>
    <w:rsid w:val="00DA18D6"/>
    <w:rsid w:val="00DA2366"/>
    <w:rsid w:val="00DA24B7"/>
    <w:rsid w:val="00DA24E8"/>
    <w:rsid w:val="00DA2C53"/>
    <w:rsid w:val="00DA2F3A"/>
    <w:rsid w:val="00DA378C"/>
    <w:rsid w:val="00DA41C4"/>
    <w:rsid w:val="00DA4CF3"/>
    <w:rsid w:val="00DA56EF"/>
    <w:rsid w:val="00DA5982"/>
    <w:rsid w:val="00DA69F4"/>
    <w:rsid w:val="00DA72B3"/>
    <w:rsid w:val="00DA76F3"/>
    <w:rsid w:val="00DA7C32"/>
    <w:rsid w:val="00DB0BFA"/>
    <w:rsid w:val="00DB13AB"/>
    <w:rsid w:val="00DB17F4"/>
    <w:rsid w:val="00DB2349"/>
    <w:rsid w:val="00DB2F65"/>
    <w:rsid w:val="00DB3570"/>
    <w:rsid w:val="00DB390F"/>
    <w:rsid w:val="00DB59AC"/>
    <w:rsid w:val="00DB6421"/>
    <w:rsid w:val="00DB66EC"/>
    <w:rsid w:val="00DB6794"/>
    <w:rsid w:val="00DB7446"/>
    <w:rsid w:val="00DB77F2"/>
    <w:rsid w:val="00DB7D1C"/>
    <w:rsid w:val="00DB7DF7"/>
    <w:rsid w:val="00DC0AEC"/>
    <w:rsid w:val="00DC12AE"/>
    <w:rsid w:val="00DC1396"/>
    <w:rsid w:val="00DC3649"/>
    <w:rsid w:val="00DC41C8"/>
    <w:rsid w:val="00DC4748"/>
    <w:rsid w:val="00DC506A"/>
    <w:rsid w:val="00DC52BC"/>
    <w:rsid w:val="00DC54A1"/>
    <w:rsid w:val="00DC5577"/>
    <w:rsid w:val="00DC60C5"/>
    <w:rsid w:val="00DC6969"/>
    <w:rsid w:val="00DC6CEA"/>
    <w:rsid w:val="00DC74AE"/>
    <w:rsid w:val="00DC7625"/>
    <w:rsid w:val="00DC76E4"/>
    <w:rsid w:val="00DC7963"/>
    <w:rsid w:val="00DD0910"/>
    <w:rsid w:val="00DD0A06"/>
    <w:rsid w:val="00DD0A66"/>
    <w:rsid w:val="00DD151F"/>
    <w:rsid w:val="00DD1761"/>
    <w:rsid w:val="00DD1C8D"/>
    <w:rsid w:val="00DD27F2"/>
    <w:rsid w:val="00DD292F"/>
    <w:rsid w:val="00DD2EAD"/>
    <w:rsid w:val="00DD54D5"/>
    <w:rsid w:val="00DD559C"/>
    <w:rsid w:val="00DD59B6"/>
    <w:rsid w:val="00DD5C61"/>
    <w:rsid w:val="00DD6752"/>
    <w:rsid w:val="00DD69B6"/>
    <w:rsid w:val="00DD6B0D"/>
    <w:rsid w:val="00DD6D01"/>
    <w:rsid w:val="00DD71EB"/>
    <w:rsid w:val="00DD7DC0"/>
    <w:rsid w:val="00DD7E42"/>
    <w:rsid w:val="00DE0ABC"/>
    <w:rsid w:val="00DE1221"/>
    <w:rsid w:val="00DE161F"/>
    <w:rsid w:val="00DE221A"/>
    <w:rsid w:val="00DE4BAD"/>
    <w:rsid w:val="00DE50F7"/>
    <w:rsid w:val="00DE77D9"/>
    <w:rsid w:val="00DE7974"/>
    <w:rsid w:val="00DF0FBE"/>
    <w:rsid w:val="00DF1064"/>
    <w:rsid w:val="00DF1BFF"/>
    <w:rsid w:val="00DF1E50"/>
    <w:rsid w:val="00DF25B1"/>
    <w:rsid w:val="00DF25DB"/>
    <w:rsid w:val="00DF2A49"/>
    <w:rsid w:val="00DF3201"/>
    <w:rsid w:val="00DF338F"/>
    <w:rsid w:val="00DF395A"/>
    <w:rsid w:val="00DF4190"/>
    <w:rsid w:val="00DF5804"/>
    <w:rsid w:val="00DF59A3"/>
    <w:rsid w:val="00DF5B41"/>
    <w:rsid w:val="00DF635C"/>
    <w:rsid w:val="00DF6594"/>
    <w:rsid w:val="00DF6993"/>
    <w:rsid w:val="00DF6C51"/>
    <w:rsid w:val="00DF6D0A"/>
    <w:rsid w:val="00DF7EDD"/>
    <w:rsid w:val="00E005A0"/>
    <w:rsid w:val="00E014F1"/>
    <w:rsid w:val="00E019A6"/>
    <w:rsid w:val="00E01B6C"/>
    <w:rsid w:val="00E01C55"/>
    <w:rsid w:val="00E020EB"/>
    <w:rsid w:val="00E02120"/>
    <w:rsid w:val="00E032BE"/>
    <w:rsid w:val="00E03FF4"/>
    <w:rsid w:val="00E04558"/>
    <w:rsid w:val="00E04983"/>
    <w:rsid w:val="00E049EE"/>
    <w:rsid w:val="00E055B7"/>
    <w:rsid w:val="00E05C3B"/>
    <w:rsid w:val="00E06371"/>
    <w:rsid w:val="00E07127"/>
    <w:rsid w:val="00E076E8"/>
    <w:rsid w:val="00E07797"/>
    <w:rsid w:val="00E103C6"/>
    <w:rsid w:val="00E10B2F"/>
    <w:rsid w:val="00E10B57"/>
    <w:rsid w:val="00E1233E"/>
    <w:rsid w:val="00E1294F"/>
    <w:rsid w:val="00E12A55"/>
    <w:rsid w:val="00E15080"/>
    <w:rsid w:val="00E15714"/>
    <w:rsid w:val="00E16137"/>
    <w:rsid w:val="00E166E0"/>
    <w:rsid w:val="00E16866"/>
    <w:rsid w:val="00E17E6E"/>
    <w:rsid w:val="00E17FFD"/>
    <w:rsid w:val="00E20F23"/>
    <w:rsid w:val="00E21EDD"/>
    <w:rsid w:val="00E225A6"/>
    <w:rsid w:val="00E225D4"/>
    <w:rsid w:val="00E23086"/>
    <w:rsid w:val="00E23204"/>
    <w:rsid w:val="00E23468"/>
    <w:rsid w:val="00E23531"/>
    <w:rsid w:val="00E2365E"/>
    <w:rsid w:val="00E238DC"/>
    <w:rsid w:val="00E24658"/>
    <w:rsid w:val="00E25651"/>
    <w:rsid w:val="00E25A8F"/>
    <w:rsid w:val="00E26D78"/>
    <w:rsid w:val="00E30454"/>
    <w:rsid w:val="00E30AA8"/>
    <w:rsid w:val="00E31425"/>
    <w:rsid w:val="00E3151A"/>
    <w:rsid w:val="00E3161E"/>
    <w:rsid w:val="00E31C5C"/>
    <w:rsid w:val="00E32088"/>
    <w:rsid w:val="00E328FC"/>
    <w:rsid w:val="00E3331E"/>
    <w:rsid w:val="00E33373"/>
    <w:rsid w:val="00E340D5"/>
    <w:rsid w:val="00E35267"/>
    <w:rsid w:val="00E3694F"/>
    <w:rsid w:val="00E36ABC"/>
    <w:rsid w:val="00E37A3F"/>
    <w:rsid w:val="00E37CC0"/>
    <w:rsid w:val="00E37D19"/>
    <w:rsid w:val="00E41006"/>
    <w:rsid w:val="00E4226E"/>
    <w:rsid w:val="00E423A3"/>
    <w:rsid w:val="00E42877"/>
    <w:rsid w:val="00E42C42"/>
    <w:rsid w:val="00E43883"/>
    <w:rsid w:val="00E43B1B"/>
    <w:rsid w:val="00E43DE5"/>
    <w:rsid w:val="00E43EBC"/>
    <w:rsid w:val="00E44365"/>
    <w:rsid w:val="00E44373"/>
    <w:rsid w:val="00E44A53"/>
    <w:rsid w:val="00E45654"/>
    <w:rsid w:val="00E45779"/>
    <w:rsid w:val="00E471B0"/>
    <w:rsid w:val="00E47E6A"/>
    <w:rsid w:val="00E503FB"/>
    <w:rsid w:val="00E505EB"/>
    <w:rsid w:val="00E50BD5"/>
    <w:rsid w:val="00E514EE"/>
    <w:rsid w:val="00E51DD5"/>
    <w:rsid w:val="00E51E61"/>
    <w:rsid w:val="00E51FA5"/>
    <w:rsid w:val="00E521E4"/>
    <w:rsid w:val="00E5255E"/>
    <w:rsid w:val="00E52588"/>
    <w:rsid w:val="00E53814"/>
    <w:rsid w:val="00E53B30"/>
    <w:rsid w:val="00E54411"/>
    <w:rsid w:val="00E54BEE"/>
    <w:rsid w:val="00E55BE4"/>
    <w:rsid w:val="00E55E1B"/>
    <w:rsid w:val="00E56D6D"/>
    <w:rsid w:val="00E571FA"/>
    <w:rsid w:val="00E60AFC"/>
    <w:rsid w:val="00E61D87"/>
    <w:rsid w:val="00E61E58"/>
    <w:rsid w:val="00E62793"/>
    <w:rsid w:val="00E62AF9"/>
    <w:rsid w:val="00E63507"/>
    <w:rsid w:val="00E638B0"/>
    <w:rsid w:val="00E63994"/>
    <w:rsid w:val="00E63BE3"/>
    <w:rsid w:val="00E63EE9"/>
    <w:rsid w:val="00E64015"/>
    <w:rsid w:val="00E64374"/>
    <w:rsid w:val="00E64BF2"/>
    <w:rsid w:val="00E64FCB"/>
    <w:rsid w:val="00E65EA5"/>
    <w:rsid w:val="00E66021"/>
    <w:rsid w:val="00E6641D"/>
    <w:rsid w:val="00E679E6"/>
    <w:rsid w:val="00E709D6"/>
    <w:rsid w:val="00E70BD6"/>
    <w:rsid w:val="00E70E7B"/>
    <w:rsid w:val="00E71602"/>
    <w:rsid w:val="00E71FF4"/>
    <w:rsid w:val="00E76023"/>
    <w:rsid w:val="00E80055"/>
    <w:rsid w:val="00E8068F"/>
    <w:rsid w:val="00E80D78"/>
    <w:rsid w:val="00E810A4"/>
    <w:rsid w:val="00E82140"/>
    <w:rsid w:val="00E8320B"/>
    <w:rsid w:val="00E836B3"/>
    <w:rsid w:val="00E83862"/>
    <w:rsid w:val="00E84742"/>
    <w:rsid w:val="00E854C3"/>
    <w:rsid w:val="00E85672"/>
    <w:rsid w:val="00E85F97"/>
    <w:rsid w:val="00E863C3"/>
    <w:rsid w:val="00E86E00"/>
    <w:rsid w:val="00E87126"/>
    <w:rsid w:val="00E87537"/>
    <w:rsid w:val="00E90417"/>
    <w:rsid w:val="00E90604"/>
    <w:rsid w:val="00E90623"/>
    <w:rsid w:val="00E908D7"/>
    <w:rsid w:val="00E90B5C"/>
    <w:rsid w:val="00E923E9"/>
    <w:rsid w:val="00E9244A"/>
    <w:rsid w:val="00E9270A"/>
    <w:rsid w:val="00E93345"/>
    <w:rsid w:val="00E94276"/>
    <w:rsid w:val="00E942AE"/>
    <w:rsid w:val="00E9525D"/>
    <w:rsid w:val="00E95F7C"/>
    <w:rsid w:val="00E965A4"/>
    <w:rsid w:val="00E96795"/>
    <w:rsid w:val="00E97770"/>
    <w:rsid w:val="00E97BA0"/>
    <w:rsid w:val="00EA05EA"/>
    <w:rsid w:val="00EA0A90"/>
    <w:rsid w:val="00EA0DE6"/>
    <w:rsid w:val="00EA101A"/>
    <w:rsid w:val="00EA12BE"/>
    <w:rsid w:val="00EA1D86"/>
    <w:rsid w:val="00EA2520"/>
    <w:rsid w:val="00EA37BC"/>
    <w:rsid w:val="00EA3DCB"/>
    <w:rsid w:val="00EA4AC7"/>
    <w:rsid w:val="00EA4C16"/>
    <w:rsid w:val="00EA5008"/>
    <w:rsid w:val="00EA6DD6"/>
    <w:rsid w:val="00EA75E5"/>
    <w:rsid w:val="00EA7A08"/>
    <w:rsid w:val="00EB0641"/>
    <w:rsid w:val="00EB29A1"/>
    <w:rsid w:val="00EB2A37"/>
    <w:rsid w:val="00EB324C"/>
    <w:rsid w:val="00EB4C75"/>
    <w:rsid w:val="00EB5D9C"/>
    <w:rsid w:val="00EB62C2"/>
    <w:rsid w:val="00EB6405"/>
    <w:rsid w:val="00EB6AF7"/>
    <w:rsid w:val="00EB6F18"/>
    <w:rsid w:val="00EB7BFB"/>
    <w:rsid w:val="00EB7E3C"/>
    <w:rsid w:val="00EC13E2"/>
    <w:rsid w:val="00EC2438"/>
    <w:rsid w:val="00EC24EA"/>
    <w:rsid w:val="00EC25CF"/>
    <w:rsid w:val="00EC28D5"/>
    <w:rsid w:val="00EC4213"/>
    <w:rsid w:val="00EC46FE"/>
    <w:rsid w:val="00EC4A4E"/>
    <w:rsid w:val="00EC4EAF"/>
    <w:rsid w:val="00EC5828"/>
    <w:rsid w:val="00EC66BF"/>
    <w:rsid w:val="00EC6809"/>
    <w:rsid w:val="00EC6BFC"/>
    <w:rsid w:val="00EC74C4"/>
    <w:rsid w:val="00EC7A68"/>
    <w:rsid w:val="00ED04A1"/>
    <w:rsid w:val="00ED05DE"/>
    <w:rsid w:val="00ED0891"/>
    <w:rsid w:val="00ED1975"/>
    <w:rsid w:val="00ED1A13"/>
    <w:rsid w:val="00ED1DA4"/>
    <w:rsid w:val="00ED25B1"/>
    <w:rsid w:val="00ED29DC"/>
    <w:rsid w:val="00ED4EF4"/>
    <w:rsid w:val="00ED5019"/>
    <w:rsid w:val="00ED57EF"/>
    <w:rsid w:val="00ED63DC"/>
    <w:rsid w:val="00ED6B95"/>
    <w:rsid w:val="00ED725F"/>
    <w:rsid w:val="00ED780A"/>
    <w:rsid w:val="00EE099A"/>
    <w:rsid w:val="00EE0AE1"/>
    <w:rsid w:val="00EE133A"/>
    <w:rsid w:val="00EE15E3"/>
    <w:rsid w:val="00EE1CAF"/>
    <w:rsid w:val="00EE2B24"/>
    <w:rsid w:val="00EE2CC4"/>
    <w:rsid w:val="00EE30E4"/>
    <w:rsid w:val="00EE34EC"/>
    <w:rsid w:val="00EE35B2"/>
    <w:rsid w:val="00EE54D2"/>
    <w:rsid w:val="00EE5774"/>
    <w:rsid w:val="00EE57D2"/>
    <w:rsid w:val="00EE5B77"/>
    <w:rsid w:val="00EE6D59"/>
    <w:rsid w:val="00EE7070"/>
    <w:rsid w:val="00EE7C5B"/>
    <w:rsid w:val="00EF0B35"/>
    <w:rsid w:val="00EF0EE4"/>
    <w:rsid w:val="00EF0F89"/>
    <w:rsid w:val="00EF10A6"/>
    <w:rsid w:val="00EF349C"/>
    <w:rsid w:val="00EF370D"/>
    <w:rsid w:val="00EF374C"/>
    <w:rsid w:val="00EF4659"/>
    <w:rsid w:val="00EF4852"/>
    <w:rsid w:val="00EF4A87"/>
    <w:rsid w:val="00EF5652"/>
    <w:rsid w:val="00EF58B1"/>
    <w:rsid w:val="00EF6369"/>
    <w:rsid w:val="00EF654B"/>
    <w:rsid w:val="00EF7386"/>
    <w:rsid w:val="00EF777C"/>
    <w:rsid w:val="00F00DC6"/>
    <w:rsid w:val="00F01395"/>
    <w:rsid w:val="00F020F5"/>
    <w:rsid w:val="00F02614"/>
    <w:rsid w:val="00F02707"/>
    <w:rsid w:val="00F02951"/>
    <w:rsid w:val="00F02C18"/>
    <w:rsid w:val="00F02D8B"/>
    <w:rsid w:val="00F050E9"/>
    <w:rsid w:val="00F068D6"/>
    <w:rsid w:val="00F06ABA"/>
    <w:rsid w:val="00F06C9F"/>
    <w:rsid w:val="00F07763"/>
    <w:rsid w:val="00F07AAE"/>
    <w:rsid w:val="00F103C0"/>
    <w:rsid w:val="00F113A7"/>
    <w:rsid w:val="00F1151F"/>
    <w:rsid w:val="00F116AE"/>
    <w:rsid w:val="00F1173D"/>
    <w:rsid w:val="00F11849"/>
    <w:rsid w:val="00F1233C"/>
    <w:rsid w:val="00F12759"/>
    <w:rsid w:val="00F13F59"/>
    <w:rsid w:val="00F144F1"/>
    <w:rsid w:val="00F16AED"/>
    <w:rsid w:val="00F16CCE"/>
    <w:rsid w:val="00F179AC"/>
    <w:rsid w:val="00F17C42"/>
    <w:rsid w:val="00F20CB1"/>
    <w:rsid w:val="00F21433"/>
    <w:rsid w:val="00F22171"/>
    <w:rsid w:val="00F22B18"/>
    <w:rsid w:val="00F22CC0"/>
    <w:rsid w:val="00F239C0"/>
    <w:rsid w:val="00F239FE"/>
    <w:rsid w:val="00F23F8A"/>
    <w:rsid w:val="00F24626"/>
    <w:rsid w:val="00F2541A"/>
    <w:rsid w:val="00F25EA9"/>
    <w:rsid w:val="00F26C88"/>
    <w:rsid w:val="00F27AF2"/>
    <w:rsid w:val="00F27CDC"/>
    <w:rsid w:val="00F27EB4"/>
    <w:rsid w:val="00F30376"/>
    <w:rsid w:val="00F3079C"/>
    <w:rsid w:val="00F3096E"/>
    <w:rsid w:val="00F30A20"/>
    <w:rsid w:val="00F3100F"/>
    <w:rsid w:val="00F31384"/>
    <w:rsid w:val="00F314EF"/>
    <w:rsid w:val="00F31866"/>
    <w:rsid w:val="00F3208B"/>
    <w:rsid w:val="00F3259C"/>
    <w:rsid w:val="00F34648"/>
    <w:rsid w:val="00F3620F"/>
    <w:rsid w:val="00F365B5"/>
    <w:rsid w:val="00F36AED"/>
    <w:rsid w:val="00F36E38"/>
    <w:rsid w:val="00F37201"/>
    <w:rsid w:val="00F3722E"/>
    <w:rsid w:val="00F4051B"/>
    <w:rsid w:val="00F40558"/>
    <w:rsid w:val="00F40D80"/>
    <w:rsid w:val="00F41333"/>
    <w:rsid w:val="00F42148"/>
    <w:rsid w:val="00F4236E"/>
    <w:rsid w:val="00F42733"/>
    <w:rsid w:val="00F43092"/>
    <w:rsid w:val="00F43212"/>
    <w:rsid w:val="00F43773"/>
    <w:rsid w:val="00F43AFF"/>
    <w:rsid w:val="00F43E9E"/>
    <w:rsid w:val="00F43EF7"/>
    <w:rsid w:val="00F440B0"/>
    <w:rsid w:val="00F444E5"/>
    <w:rsid w:val="00F4498F"/>
    <w:rsid w:val="00F44CCE"/>
    <w:rsid w:val="00F45577"/>
    <w:rsid w:val="00F4569A"/>
    <w:rsid w:val="00F4630F"/>
    <w:rsid w:val="00F47B29"/>
    <w:rsid w:val="00F50AED"/>
    <w:rsid w:val="00F5131D"/>
    <w:rsid w:val="00F5197D"/>
    <w:rsid w:val="00F52ED0"/>
    <w:rsid w:val="00F53FC5"/>
    <w:rsid w:val="00F56120"/>
    <w:rsid w:val="00F561A7"/>
    <w:rsid w:val="00F6084A"/>
    <w:rsid w:val="00F616B1"/>
    <w:rsid w:val="00F61DBC"/>
    <w:rsid w:val="00F61E21"/>
    <w:rsid w:val="00F620D2"/>
    <w:rsid w:val="00F6343A"/>
    <w:rsid w:val="00F63460"/>
    <w:rsid w:val="00F6390D"/>
    <w:rsid w:val="00F6438C"/>
    <w:rsid w:val="00F6463B"/>
    <w:rsid w:val="00F6476F"/>
    <w:rsid w:val="00F64DE3"/>
    <w:rsid w:val="00F65476"/>
    <w:rsid w:val="00F656E6"/>
    <w:rsid w:val="00F65A15"/>
    <w:rsid w:val="00F662BF"/>
    <w:rsid w:val="00F6691C"/>
    <w:rsid w:val="00F66D00"/>
    <w:rsid w:val="00F66E1C"/>
    <w:rsid w:val="00F67120"/>
    <w:rsid w:val="00F67C5A"/>
    <w:rsid w:val="00F702D5"/>
    <w:rsid w:val="00F70A2E"/>
    <w:rsid w:val="00F71159"/>
    <w:rsid w:val="00F71C63"/>
    <w:rsid w:val="00F7335F"/>
    <w:rsid w:val="00F73452"/>
    <w:rsid w:val="00F743F1"/>
    <w:rsid w:val="00F7639E"/>
    <w:rsid w:val="00F76ABA"/>
    <w:rsid w:val="00F77727"/>
    <w:rsid w:val="00F77C53"/>
    <w:rsid w:val="00F802C9"/>
    <w:rsid w:val="00F8039C"/>
    <w:rsid w:val="00F808DD"/>
    <w:rsid w:val="00F80C5B"/>
    <w:rsid w:val="00F829D1"/>
    <w:rsid w:val="00F82BC3"/>
    <w:rsid w:val="00F82BD2"/>
    <w:rsid w:val="00F83072"/>
    <w:rsid w:val="00F84200"/>
    <w:rsid w:val="00F843B1"/>
    <w:rsid w:val="00F8512F"/>
    <w:rsid w:val="00F85235"/>
    <w:rsid w:val="00F856A3"/>
    <w:rsid w:val="00F868F7"/>
    <w:rsid w:val="00F86C17"/>
    <w:rsid w:val="00F8735F"/>
    <w:rsid w:val="00F87809"/>
    <w:rsid w:val="00F904A4"/>
    <w:rsid w:val="00F91080"/>
    <w:rsid w:val="00F91145"/>
    <w:rsid w:val="00F91156"/>
    <w:rsid w:val="00F91780"/>
    <w:rsid w:val="00F91EA1"/>
    <w:rsid w:val="00F91F48"/>
    <w:rsid w:val="00F93984"/>
    <w:rsid w:val="00F93AB9"/>
    <w:rsid w:val="00F95916"/>
    <w:rsid w:val="00F960E4"/>
    <w:rsid w:val="00F97B09"/>
    <w:rsid w:val="00F97D5B"/>
    <w:rsid w:val="00F97E5D"/>
    <w:rsid w:val="00FA011F"/>
    <w:rsid w:val="00FA04A9"/>
    <w:rsid w:val="00FA08D8"/>
    <w:rsid w:val="00FA0A48"/>
    <w:rsid w:val="00FA0F68"/>
    <w:rsid w:val="00FA130B"/>
    <w:rsid w:val="00FA1447"/>
    <w:rsid w:val="00FA15C1"/>
    <w:rsid w:val="00FA23AC"/>
    <w:rsid w:val="00FA24BF"/>
    <w:rsid w:val="00FA256D"/>
    <w:rsid w:val="00FA2FDD"/>
    <w:rsid w:val="00FA323F"/>
    <w:rsid w:val="00FA327A"/>
    <w:rsid w:val="00FA36DF"/>
    <w:rsid w:val="00FA3CA4"/>
    <w:rsid w:val="00FA3DD4"/>
    <w:rsid w:val="00FA48B0"/>
    <w:rsid w:val="00FA4977"/>
    <w:rsid w:val="00FA506F"/>
    <w:rsid w:val="00FA56E3"/>
    <w:rsid w:val="00FA56F8"/>
    <w:rsid w:val="00FA6405"/>
    <w:rsid w:val="00FA7355"/>
    <w:rsid w:val="00FA7681"/>
    <w:rsid w:val="00FA7C44"/>
    <w:rsid w:val="00FA7E3E"/>
    <w:rsid w:val="00FB1FEF"/>
    <w:rsid w:val="00FB206E"/>
    <w:rsid w:val="00FB3AEB"/>
    <w:rsid w:val="00FB4534"/>
    <w:rsid w:val="00FB6292"/>
    <w:rsid w:val="00FB63C9"/>
    <w:rsid w:val="00FB64CE"/>
    <w:rsid w:val="00FB734C"/>
    <w:rsid w:val="00FB7D16"/>
    <w:rsid w:val="00FC0870"/>
    <w:rsid w:val="00FC24E9"/>
    <w:rsid w:val="00FC2C11"/>
    <w:rsid w:val="00FC46DA"/>
    <w:rsid w:val="00FC4906"/>
    <w:rsid w:val="00FC494E"/>
    <w:rsid w:val="00FC4D8F"/>
    <w:rsid w:val="00FC559A"/>
    <w:rsid w:val="00FC55FB"/>
    <w:rsid w:val="00FC5AE5"/>
    <w:rsid w:val="00FC626C"/>
    <w:rsid w:val="00FC6B03"/>
    <w:rsid w:val="00FC7A53"/>
    <w:rsid w:val="00FC7E10"/>
    <w:rsid w:val="00FD06F4"/>
    <w:rsid w:val="00FD0F51"/>
    <w:rsid w:val="00FD1563"/>
    <w:rsid w:val="00FD1BBB"/>
    <w:rsid w:val="00FD1C11"/>
    <w:rsid w:val="00FD2403"/>
    <w:rsid w:val="00FD2A58"/>
    <w:rsid w:val="00FD2BF9"/>
    <w:rsid w:val="00FD3CBC"/>
    <w:rsid w:val="00FD43F2"/>
    <w:rsid w:val="00FD4681"/>
    <w:rsid w:val="00FD4CF5"/>
    <w:rsid w:val="00FD5AF1"/>
    <w:rsid w:val="00FD6251"/>
    <w:rsid w:val="00FD6E7B"/>
    <w:rsid w:val="00FD6F43"/>
    <w:rsid w:val="00FD7F5D"/>
    <w:rsid w:val="00FE0FC7"/>
    <w:rsid w:val="00FE1D4D"/>
    <w:rsid w:val="00FE2AC6"/>
    <w:rsid w:val="00FE2B34"/>
    <w:rsid w:val="00FE32A6"/>
    <w:rsid w:val="00FE36D8"/>
    <w:rsid w:val="00FE3CFC"/>
    <w:rsid w:val="00FE43EE"/>
    <w:rsid w:val="00FE488B"/>
    <w:rsid w:val="00FE493C"/>
    <w:rsid w:val="00FE6100"/>
    <w:rsid w:val="00FF048A"/>
    <w:rsid w:val="00FF25DC"/>
    <w:rsid w:val="00FF2BE0"/>
    <w:rsid w:val="00FF2FA4"/>
    <w:rsid w:val="00FF3244"/>
    <w:rsid w:val="00FF3F02"/>
    <w:rsid w:val="00FF575C"/>
    <w:rsid w:val="00FF6194"/>
    <w:rsid w:val="00FF72F8"/>
    <w:rsid w:val="00FF74EB"/>
    <w:rsid w:val="00FF7623"/>
    <w:rsid w:val="00FF7893"/>
    <w:rsid w:val="00FF7BBF"/>
    <w:rsid w:val="00FF7BCA"/>
    <w:rsid w:val="00FF7BF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D8AB970"/>
  <w15:docId w15:val="{279A220C-12D5-4980-8E40-D4DCB7C209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uiPriority="0" w:qFormat="1"/>
    <w:lsdException w:name="heading 6" w:semiHidden="1" w:uiPriority="0" w:unhideWhenUsed="1" w:qFormat="1"/>
    <w:lsdException w:name="heading 7" w:uiPriority="0" w:qFormat="1"/>
    <w:lsdException w:name="heading 8" w:semiHidden="1" w:uiPriority="0" w:unhideWhenUsed="1"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974"/>
    <w:rPr>
      <w:sz w:val="24"/>
      <w:szCs w:val="24"/>
    </w:rPr>
  </w:style>
  <w:style w:type="paragraph" w:styleId="Heading1">
    <w:name w:val="heading 1"/>
    <w:basedOn w:val="Normal"/>
    <w:next w:val="Normal"/>
    <w:link w:val="Heading1Char"/>
    <w:uiPriority w:val="99"/>
    <w:qFormat/>
    <w:rsid w:val="006B617C"/>
    <w:pPr>
      <w:keepNext/>
      <w:spacing w:before="120" w:after="60"/>
      <w:outlineLvl w:val="0"/>
    </w:pPr>
    <w:rPr>
      <w:rFonts w:ascii="Lato Black" w:hAnsi="Lato Black"/>
      <w:color w:val="00303E" w:themeColor="text1"/>
      <w:kern w:val="32"/>
      <w:sz w:val="36"/>
      <w:szCs w:val="20"/>
    </w:rPr>
  </w:style>
  <w:style w:type="paragraph" w:styleId="Heading2">
    <w:name w:val="heading 2"/>
    <w:basedOn w:val="Normal"/>
    <w:next w:val="Normal"/>
    <w:link w:val="Heading2Char"/>
    <w:uiPriority w:val="99"/>
    <w:qFormat/>
    <w:rsid w:val="00136481"/>
    <w:pPr>
      <w:keepNext/>
      <w:keepLines/>
      <w:spacing w:before="200"/>
      <w:outlineLvl w:val="1"/>
    </w:pPr>
    <w:rPr>
      <w:rFonts w:ascii="Cambria" w:hAnsi="Cambria"/>
      <w:b/>
      <w:color w:val="4F81BD"/>
      <w:sz w:val="26"/>
      <w:szCs w:val="20"/>
    </w:rPr>
  </w:style>
  <w:style w:type="paragraph" w:styleId="Heading3">
    <w:name w:val="heading 3"/>
    <w:basedOn w:val="Normal"/>
    <w:next w:val="Normal"/>
    <w:link w:val="Heading3Char"/>
    <w:uiPriority w:val="99"/>
    <w:qFormat/>
    <w:rsid w:val="00BF4355"/>
    <w:pPr>
      <w:keepNext/>
      <w:autoSpaceDE w:val="0"/>
      <w:autoSpaceDN w:val="0"/>
      <w:adjustRightInd w:val="0"/>
      <w:jc w:val="center"/>
      <w:outlineLvl w:val="2"/>
    </w:pPr>
    <w:rPr>
      <w:rFonts w:ascii="Cambria" w:hAnsi="Cambria"/>
      <w:b/>
      <w:sz w:val="26"/>
      <w:szCs w:val="20"/>
    </w:rPr>
  </w:style>
  <w:style w:type="paragraph" w:styleId="Heading5">
    <w:name w:val="heading 5"/>
    <w:basedOn w:val="Normal"/>
    <w:next w:val="Normal"/>
    <w:link w:val="Heading5Char"/>
    <w:uiPriority w:val="99"/>
    <w:qFormat/>
    <w:rsid w:val="00352A8D"/>
    <w:pPr>
      <w:spacing w:before="240" w:after="60"/>
      <w:outlineLvl w:val="4"/>
    </w:pPr>
    <w:rPr>
      <w:b/>
      <w:i/>
      <w:sz w:val="26"/>
      <w:szCs w:val="20"/>
    </w:rPr>
  </w:style>
  <w:style w:type="paragraph" w:styleId="Heading7">
    <w:name w:val="heading 7"/>
    <w:basedOn w:val="Normal"/>
    <w:next w:val="Normal"/>
    <w:link w:val="Heading7Char"/>
    <w:uiPriority w:val="99"/>
    <w:qFormat/>
    <w:rsid w:val="00BF4355"/>
    <w:pPr>
      <w:keepNext/>
      <w:autoSpaceDE w:val="0"/>
      <w:autoSpaceDN w:val="0"/>
      <w:adjustRightInd w:val="0"/>
      <w:jc w:val="center"/>
      <w:outlineLvl w:val="6"/>
    </w:pPr>
    <w:rPr>
      <w:szCs w:val="20"/>
    </w:rPr>
  </w:style>
  <w:style w:type="paragraph" w:styleId="Heading9">
    <w:name w:val="heading 9"/>
    <w:basedOn w:val="Normal"/>
    <w:next w:val="Normal"/>
    <w:link w:val="Heading9Char"/>
    <w:uiPriority w:val="99"/>
    <w:qFormat/>
    <w:rsid w:val="00BF4355"/>
    <w:pPr>
      <w:keepNext/>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B617C"/>
    <w:rPr>
      <w:rFonts w:ascii="Lato Black" w:hAnsi="Lato Black"/>
      <w:color w:val="00303E" w:themeColor="text1"/>
      <w:kern w:val="32"/>
      <w:sz w:val="36"/>
      <w:szCs w:val="20"/>
    </w:rPr>
  </w:style>
  <w:style w:type="character" w:customStyle="1" w:styleId="Heading2Char">
    <w:name w:val="Heading 2 Char"/>
    <w:basedOn w:val="DefaultParagraphFont"/>
    <w:link w:val="Heading2"/>
    <w:uiPriority w:val="99"/>
    <w:semiHidden/>
    <w:locked/>
    <w:rsid w:val="00136481"/>
    <w:rPr>
      <w:rFonts w:ascii="Cambria" w:hAnsi="Cambria" w:cs="Times New Roman"/>
      <w:b/>
      <w:color w:val="4F81BD"/>
      <w:sz w:val="26"/>
    </w:rPr>
  </w:style>
  <w:style w:type="character" w:customStyle="1" w:styleId="Heading3Char">
    <w:name w:val="Heading 3 Char"/>
    <w:basedOn w:val="DefaultParagraphFont"/>
    <w:link w:val="Heading3"/>
    <w:uiPriority w:val="99"/>
    <w:semiHidden/>
    <w:locked/>
    <w:rsid w:val="0068183A"/>
    <w:rPr>
      <w:rFonts w:ascii="Cambria" w:hAnsi="Cambria" w:cs="Times New Roman"/>
      <w:b/>
      <w:sz w:val="26"/>
    </w:rPr>
  </w:style>
  <w:style w:type="character" w:customStyle="1" w:styleId="Heading5Char">
    <w:name w:val="Heading 5 Char"/>
    <w:basedOn w:val="DefaultParagraphFont"/>
    <w:link w:val="Heading5"/>
    <w:uiPriority w:val="99"/>
    <w:locked/>
    <w:rsid w:val="0068183A"/>
    <w:rPr>
      <w:rFonts w:ascii="Calibri" w:hAnsi="Calibri" w:cs="Times New Roman"/>
      <w:b/>
      <w:i/>
      <w:sz w:val="26"/>
    </w:rPr>
  </w:style>
  <w:style w:type="character" w:customStyle="1" w:styleId="Heading7Char">
    <w:name w:val="Heading 7 Char"/>
    <w:basedOn w:val="DefaultParagraphFont"/>
    <w:link w:val="Heading7"/>
    <w:uiPriority w:val="99"/>
    <w:semiHidden/>
    <w:locked/>
    <w:rsid w:val="0068183A"/>
    <w:rPr>
      <w:rFonts w:ascii="Calibri" w:hAnsi="Calibri" w:cs="Times New Roman"/>
      <w:sz w:val="24"/>
    </w:rPr>
  </w:style>
  <w:style w:type="character" w:customStyle="1" w:styleId="Heading9Char">
    <w:name w:val="Heading 9 Char"/>
    <w:basedOn w:val="DefaultParagraphFont"/>
    <w:link w:val="Heading9"/>
    <w:uiPriority w:val="99"/>
    <w:semiHidden/>
    <w:locked/>
    <w:rsid w:val="0068183A"/>
    <w:rPr>
      <w:rFonts w:ascii="Cambria" w:hAnsi="Cambria" w:cs="Times New Roman"/>
    </w:rPr>
  </w:style>
  <w:style w:type="paragraph" w:styleId="BodyText3">
    <w:name w:val="Body Text 3"/>
    <w:basedOn w:val="Normal"/>
    <w:link w:val="BodyText3Char"/>
    <w:uiPriority w:val="99"/>
    <w:rsid w:val="00BF4355"/>
    <w:pPr>
      <w:autoSpaceDE w:val="0"/>
      <w:autoSpaceDN w:val="0"/>
      <w:adjustRightInd w:val="0"/>
      <w:jc w:val="center"/>
    </w:pPr>
    <w:rPr>
      <w:sz w:val="16"/>
      <w:szCs w:val="20"/>
    </w:rPr>
  </w:style>
  <w:style w:type="character" w:customStyle="1" w:styleId="BodyText3Char">
    <w:name w:val="Body Text 3 Char"/>
    <w:basedOn w:val="DefaultParagraphFont"/>
    <w:link w:val="BodyText3"/>
    <w:uiPriority w:val="99"/>
    <w:semiHidden/>
    <w:locked/>
    <w:rsid w:val="0068183A"/>
    <w:rPr>
      <w:rFonts w:cs="Times New Roman"/>
      <w:sz w:val="16"/>
    </w:rPr>
  </w:style>
  <w:style w:type="paragraph" w:styleId="Footer">
    <w:name w:val="footer"/>
    <w:basedOn w:val="Normal"/>
    <w:link w:val="FooterChar"/>
    <w:uiPriority w:val="99"/>
    <w:rsid w:val="00BF4355"/>
    <w:pPr>
      <w:tabs>
        <w:tab w:val="center" w:pos="4320"/>
        <w:tab w:val="right" w:pos="8640"/>
      </w:tabs>
    </w:pPr>
    <w:rPr>
      <w:szCs w:val="20"/>
    </w:rPr>
  </w:style>
  <w:style w:type="character" w:customStyle="1" w:styleId="FooterChar">
    <w:name w:val="Footer Char"/>
    <w:basedOn w:val="DefaultParagraphFont"/>
    <w:link w:val="Footer"/>
    <w:uiPriority w:val="99"/>
    <w:locked/>
    <w:rsid w:val="00B4739C"/>
    <w:rPr>
      <w:rFonts w:cs="Times New Roman"/>
      <w:sz w:val="24"/>
    </w:rPr>
  </w:style>
  <w:style w:type="character" w:styleId="PageNumber">
    <w:name w:val="page number"/>
    <w:basedOn w:val="DefaultParagraphFont"/>
    <w:uiPriority w:val="99"/>
    <w:rsid w:val="00BF4355"/>
    <w:rPr>
      <w:rFonts w:cs="Times New Roman"/>
    </w:rPr>
  </w:style>
  <w:style w:type="paragraph" w:styleId="Header">
    <w:name w:val="header"/>
    <w:basedOn w:val="Normal"/>
    <w:link w:val="HeaderChar"/>
    <w:uiPriority w:val="99"/>
    <w:rsid w:val="00BF4355"/>
    <w:pPr>
      <w:tabs>
        <w:tab w:val="center" w:pos="4320"/>
        <w:tab w:val="right" w:pos="8640"/>
      </w:tabs>
    </w:pPr>
    <w:rPr>
      <w:szCs w:val="20"/>
    </w:rPr>
  </w:style>
  <w:style w:type="character" w:customStyle="1" w:styleId="HeaderChar">
    <w:name w:val="Header Char"/>
    <w:basedOn w:val="DefaultParagraphFont"/>
    <w:link w:val="Header"/>
    <w:uiPriority w:val="99"/>
    <w:locked/>
    <w:rsid w:val="0068183A"/>
    <w:rPr>
      <w:rFonts w:cs="Times New Roman"/>
      <w:sz w:val="24"/>
    </w:rPr>
  </w:style>
  <w:style w:type="paragraph" w:customStyle="1" w:styleId="DefaultText">
    <w:name w:val="Default Text"/>
    <w:basedOn w:val="Normal"/>
    <w:uiPriority w:val="99"/>
    <w:rsid w:val="00413BF0"/>
    <w:rPr>
      <w:szCs w:val="20"/>
    </w:rPr>
  </w:style>
  <w:style w:type="character" w:customStyle="1" w:styleId="indquotelink1">
    <w:name w:val="indquote_link1"/>
    <w:rsid w:val="00322492"/>
    <w:rPr>
      <w:rFonts w:ascii="Georgia" w:hAnsi="Georgia"/>
      <w:color w:val="003366"/>
      <w:sz w:val="24"/>
      <w:u w:val="none"/>
      <w:effect w:val="none"/>
    </w:rPr>
  </w:style>
  <w:style w:type="character" w:customStyle="1" w:styleId="authortext1">
    <w:name w:val="author_text1"/>
    <w:rsid w:val="00322492"/>
    <w:rPr>
      <w:rFonts w:ascii="Arial" w:hAnsi="Arial"/>
      <w:color w:val="000000"/>
      <w:spacing w:val="30"/>
      <w:sz w:val="17"/>
      <w:u w:val="none"/>
      <w:effect w:val="none"/>
    </w:rPr>
  </w:style>
  <w:style w:type="paragraph" w:styleId="BodyText">
    <w:name w:val="Body Text"/>
    <w:basedOn w:val="Normal"/>
    <w:link w:val="BodyTextChar"/>
    <w:uiPriority w:val="99"/>
    <w:rsid w:val="00322492"/>
    <w:pPr>
      <w:spacing w:after="120"/>
    </w:pPr>
    <w:rPr>
      <w:szCs w:val="20"/>
    </w:rPr>
  </w:style>
  <w:style w:type="character" w:customStyle="1" w:styleId="BodyTextChar">
    <w:name w:val="Body Text Char"/>
    <w:basedOn w:val="DefaultParagraphFont"/>
    <w:link w:val="BodyText"/>
    <w:uiPriority w:val="99"/>
    <w:semiHidden/>
    <w:locked/>
    <w:rsid w:val="0068183A"/>
    <w:rPr>
      <w:rFonts w:cs="Times New Roman"/>
      <w:sz w:val="24"/>
    </w:rPr>
  </w:style>
  <w:style w:type="character" w:styleId="Hyperlink">
    <w:name w:val="Hyperlink"/>
    <w:basedOn w:val="DefaultParagraphFont"/>
    <w:uiPriority w:val="99"/>
    <w:rsid w:val="008F64F7"/>
    <w:rPr>
      <w:rFonts w:cs="Times New Roman"/>
      <w:color w:val="0000FF"/>
      <w:u w:val="single"/>
    </w:rPr>
  </w:style>
  <w:style w:type="paragraph" w:styleId="NormalWeb">
    <w:name w:val="Normal (Web)"/>
    <w:basedOn w:val="Normal"/>
    <w:uiPriority w:val="99"/>
    <w:rsid w:val="008F64F7"/>
    <w:pPr>
      <w:spacing w:before="100" w:beforeAutospacing="1" w:after="100" w:afterAutospacing="1"/>
    </w:pPr>
    <w:rPr>
      <w:rFonts w:ascii="Arial Unicode MS" w:eastAsia="Arial Unicode MS" w:hAnsi="Arial Unicode MS" w:cs="Arial Unicode MS"/>
    </w:rPr>
  </w:style>
  <w:style w:type="paragraph" w:styleId="CommentText">
    <w:name w:val="annotation text"/>
    <w:basedOn w:val="Normal"/>
    <w:link w:val="CommentTextChar"/>
    <w:uiPriority w:val="99"/>
    <w:semiHidden/>
    <w:rsid w:val="008F64F7"/>
    <w:rPr>
      <w:sz w:val="20"/>
      <w:szCs w:val="20"/>
    </w:rPr>
  </w:style>
  <w:style w:type="character" w:customStyle="1" w:styleId="CommentTextChar">
    <w:name w:val="Comment Text Char"/>
    <w:basedOn w:val="DefaultParagraphFont"/>
    <w:link w:val="CommentText"/>
    <w:uiPriority w:val="99"/>
    <w:semiHidden/>
    <w:locked/>
    <w:rsid w:val="0068183A"/>
    <w:rPr>
      <w:rFonts w:cs="Times New Roman"/>
      <w:sz w:val="20"/>
    </w:rPr>
  </w:style>
  <w:style w:type="paragraph" w:styleId="BalloonText">
    <w:name w:val="Balloon Text"/>
    <w:basedOn w:val="Normal"/>
    <w:link w:val="BalloonTextChar"/>
    <w:uiPriority w:val="99"/>
    <w:semiHidden/>
    <w:rsid w:val="001A454E"/>
    <w:rPr>
      <w:sz w:val="2"/>
      <w:szCs w:val="20"/>
    </w:rPr>
  </w:style>
  <w:style w:type="character" w:customStyle="1" w:styleId="BalloonTextChar">
    <w:name w:val="Balloon Text Char"/>
    <w:basedOn w:val="DefaultParagraphFont"/>
    <w:link w:val="BalloonText"/>
    <w:uiPriority w:val="99"/>
    <w:semiHidden/>
    <w:locked/>
    <w:rsid w:val="0068183A"/>
    <w:rPr>
      <w:rFonts w:cs="Times New Roman"/>
      <w:sz w:val="2"/>
    </w:rPr>
  </w:style>
  <w:style w:type="paragraph" w:styleId="PlainText">
    <w:name w:val="Plain Text"/>
    <w:basedOn w:val="Normal"/>
    <w:link w:val="PlainTextChar"/>
    <w:uiPriority w:val="99"/>
    <w:rsid w:val="00CD1CE7"/>
    <w:rPr>
      <w:rFonts w:ascii="Courier New" w:hAnsi="Courier New"/>
      <w:sz w:val="20"/>
      <w:szCs w:val="20"/>
    </w:rPr>
  </w:style>
  <w:style w:type="character" w:customStyle="1" w:styleId="PlainTextChar">
    <w:name w:val="Plain Text Char"/>
    <w:basedOn w:val="DefaultParagraphFont"/>
    <w:link w:val="PlainText"/>
    <w:uiPriority w:val="99"/>
    <w:semiHidden/>
    <w:locked/>
    <w:rsid w:val="0068183A"/>
    <w:rPr>
      <w:rFonts w:ascii="Courier New" w:hAnsi="Courier New" w:cs="Times New Roman"/>
      <w:sz w:val="20"/>
    </w:rPr>
  </w:style>
  <w:style w:type="paragraph" w:styleId="DocumentMap">
    <w:name w:val="Document Map"/>
    <w:basedOn w:val="Normal"/>
    <w:link w:val="DocumentMapChar"/>
    <w:uiPriority w:val="99"/>
    <w:semiHidden/>
    <w:rsid w:val="005A5DF6"/>
    <w:pPr>
      <w:shd w:val="clear" w:color="auto" w:fill="000080"/>
    </w:pPr>
    <w:rPr>
      <w:sz w:val="2"/>
      <w:szCs w:val="20"/>
    </w:rPr>
  </w:style>
  <w:style w:type="character" w:customStyle="1" w:styleId="DocumentMapChar">
    <w:name w:val="Document Map Char"/>
    <w:basedOn w:val="DefaultParagraphFont"/>
    <w:link w:val="DocumentMap"/>
    <w:uiPriority w:val="99"/>
    <w:semiHidden/>
    <w:locked/>
    <w:rsid w:val="0068183A"/>
    <w:rPr>
      <w:rFonts w:cs="Times New Roman"/>
      <w:sz w:val="2"/>
    </w:rPr>
  </w:style>
  <w:style w:type="table" w:styleId="TableGrid">
    <w:name w:val="Table Grid"/>
    <w:basedOn w:val="TableNormal"/>
    <w:rsid w:val="00727D4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rsid w:val="00DF1BFF"/>
    <w:rPr>
      <w:rFonts w:cs="Times New Roman"/>
      <w:color w:val="800080"/>
      <w:u w:val="single"/>
    </w:rPr>
  </w:style>
  <w:style w:type="paragraph" w:styleId="ListParagraph">
    <w:name w:val="List Paragraph"/>
    <w:basedOn w:val="Normal"/>
    <w:uiPriority w:val="34"/>
    <w:qFormat/>
    <w:rsid w:val="00EE099A"/>
    <w:pPr>
      <w:ind w:left="720"/>
    </w:pPr>
  </w:style>
  <w:style w:type="paragraph" w:customStyle="1" w:styleId="Coverbyline">
    <w:name w:val="Cover byline"/>
    <w:uiPriority w:val="99"/>
    <w:rsid w:val="00B4739C"/>
    <w:rPr>
      <w:rFonts w:ascii="Tw Cen MT Condensed" w:hAnsi="Tw Cen MT Condensed" w:cs="Arial"/>
      <w:iCs/>
      <w:kern w:val="32"/>
      <w:sz w:val="40"/>
      <w:szCs w:val="28"/>
    </w:rPr>
  </w:style>
  <w:style w:type="paragraph" w:customStyle="1" w:styleId="EqualOpportunity">
    <w:name w:val="Equal Opportunity"/>
    <w:basedOn w:val="Normal"/>
    <w:uiPriority w:val="99"/>
    <w:rsid w:val="00B4739C"/>
    <w:pPr>
      <w:autoSpaceDE w:val="0"/>
      <w:autoSpaceDN w:val="0"/>
      <w:adjustRightInd w:val="0"/>
      <w:spacing w:line="220" w:lineRule="atLeast"/>
      <w:jc w:val="center"/>
      <w:textAlignment w:val="baseline"/>
    </w:pPr>
    <w:rPr>
      <w:rFonts w:ascii="Tw Cen MT" w:hAnsi="Tw Cen MT"/>
      <w:i/>
      <w:iCs/>
      <w:color w:val="000000"/>
      <w:spacing w:val="-4"/>
      <w:sz w:val="18"/>
      <w:szCs w:val="20"/>
    </w:rPr>
  </w:style>
  <w:style w:type="paragraph" w:styleId="NoSpacing">
    <w:name w:val="No Spacing"/>
    <w:link w:val="NoSpacingChar"/>
    <w:uiPriority w:val="1"/>
    <w:qFormat/>
    <w:rsid w:val="00414984"/>
    <w:rPr>
      <w:sz w:val="24"/>
      <w:szCs w:val="24"/>
    </w:rPr>
  </w:style>
  <w:style w:type="character" w:styleId="Emphasis">
    <w:name w:val="Emphasis"/>
    <w:basedOn w:val="DefaultParagraphFont"/>
    <w:uiPriority w:val="20"/>
    <w:qFormat/>
    <w:locked/>
    <w:rsid w:val="00CD2E0B"/>
    <w:rPr>
      <w:rFonts w:cs="Times New Roman"/>
      <w:i/>
    </w:rPr>
  </w:style>
  <w:style w:type="paragraph" w:styleId="Caption">
    <w:name w:val="caption"/>
    <w:basedOn w:val="Normal"/>
    <w:next w:val="Normal"/>
    <w:uiPriority w:val="99"/>
    <w:qFormat/>
    <w:locked/>
    <w:rsid w:val="00C20300"/>
    <w:rPr>
      <w:b/>
      <w:bCs/>
      <w:sz w:val="20"/>
      <w:szCs w:val="20"/>
    </w:rPr>
  </w:style>
  <w:style w:type="paragraph" w:styleId="ListBullet">
    <w:name w:val="List Bullet"/>
    <w:basedOn w:val="Normal"/>
    <w:uiPriority w:val="99"/>
    <w:unhideWhenUsed/>
    <w:locked/>
    <w:rsid w:val="009B6AA4"/>
    <w:pPr>
      <w:numPr>
        <w:numId w:val="5"/>
      </w:numPr>
      <w:contextualSpacing/>
    </w:pPr>
  </w:style>
  <w:style w:type="paragraph" w:customStyle="1" w:styleId="tanboxes">
    <w:name w:val="tan boxes"/>
    <w:basedOn w:val="Normal"/>
    <w:link w:val="tanboxesChar"/>
    <w:qFormat/>
    <w:rsid w:val="00064004"/>
    <w:pPr>
      <w:framePr w:wrap="around" w:vAnchor="text" w:hAnchor="text" w:y="1"/>
      <w:shd w:val="clear" w:color="auto" w:fill="EEECE1" w:themeFill="background1"/>
      <w:tabs>
        <w:tab w:val="left" w:pos="2160"/>
      </w:tabs>
      <w:spacing w:before="120" w:after="120"/>
    </w:pPr>
    <w:rPr>
      <w:rFonts w:cs="Calibri"/>
      <w:szCs w:val="22"/>
    </w:rPr>
  </w:style>
  <w:style w:type="character" w:customStyle="1" w:styleId="tanboxesChar">
    <w:name w:val="tan boxes Char"/>
    <w:basedOn w:val="DefaultParagraphFont"/>
    <w:link w:val="tanboxes"/>
    <w:rsid w:val="00064004"/>
    <w:rPr>
      <w:rFonts w:cs="Calibri"/>
      <w:sz w:val="24"/>
      <w:shd w:val="clear" w:color="auto" w:fill="EEECE1" w:themeFill="background1"/>
    </w:rPr>
  </w:style>
  <w:style w:type="paragraph" w:styleId="IntenseQuote">
    <w:name w:val="Intense Quote"/>
    <w:basedOn w:val="Normal"/>
    <w:next w:val="Normal"/>
    <w:link w:val="IntenseQuoteChar"/>
    <w:uiPriority w:val="30"/>
    <w:qFormat/>
    <w:rsid w:val="006F28FB"/>
    <w:pPr>
      <w:pBdr>
        <w:bottom w:val="single" w:sz="4" w:space="4" w:color="00303E" w:themeColor="accent1"/>
      </w:pBdr>
      <w:spacing w:before="200" w:after="280"/>
      <w:ind w:left="936" w:right="936"/>
    </w:pPr>
    <w:rPr>
      <w:b/>
      <w:bCs/>
      <w:i/>
      <w:iCs/>
      <w:color w:val="00303E" w:themeColor="accent1"/>
    </w:rPr>
  </w:style>
  <w:style w:type="character" w:customStyle="1" w:styleId="IntenseQuoteChar">
    <w:name w:val="Intense Quote Char"/>
    <w:basedOn w:val="DefaultParagraphFont"/>
    <w:link w:val="IntenseQuote"/>
    <w:uiPriority w:val="30"/>
    <w:rsid w:val="006F28FB"/>
    <w:rPr>
      <w:b/>
      <w:bCs/>
      <w:i/>
      <w:iCs/>
      <w:color w:val="00303E" w:themeColor="accent1"/>
      <w:sz w:val="24"/>
      <w:szCs w:val="24"/>
    </w:rPr>
  </w:style>
  <w:style w:type="paragraph" w:styleId="Quote">
    <w:name w:val="Quote"/>
    <w:basedOn w:val="Normal"/>
    <w:next w:val="Normal"/>
    <w:link w:val="QuoteChar"/>
    <w:uiPriority w:val="29"/>
    <w:qFormat/>
    <w:rsid w:val="006F28FB"/>
    <w:rPr>
      <w:i/>
      <w:iCs/>
      <w:color w:val="00303E" w:themeColor="text1"/>
    </w:rPr>
  </w:style>
  <w:style w:type="character" w:customStyle="1" w:styleId="QuoteChar">
    <w:name w:val="Quote Char"/>
    <w:basedOn w:val="DefaultParagraphFont"/>
    <w:link w:val="Quote"/>
    <w:uiPriority w:val="29"/>
    <w:rsid w:val="006F28FB"/>
    <w:rPr>
      <w:i/>
      <w:iCs/>
      <w:color w:val="00303E" w:themeColor="text1"/>
      <w:sz w:val="24"/>
      <w:szCs w:val="24"/>
    </w:rPr>
  </w:style>
  <w:style w:type="character" w:styleId="SubtleReference">
    <w:name w:val="Subtle Reference"/>
    <w:basedOn w:val="DefaultParagraphFont"/>
    <w:uiPriority w:val="31"/>
    <w:qFormat/>
    <w:rsid w:val="006F28FB"/>
    <w:rPr>
      <w:smallCaps/>
      <w:color w:val="E8E6DE" w:themeColor="accent2"/>
      <w:u w:val="single"/>
    </w:rPr>
  </w:style>
  <w:style w:type="character" w:styleId="IntenseReference">
    <w:name w:val="Intense Reference"/>
    <w:basedOn w:val="DefaultParagraphFont"/>
    <w:uiPriority w:val="32"/>
    <w:qFormat/>
    <w:rsid w:val="006F28FB"/>
    <w:rPr>
      <w:b/>
      <w:bCs/>
      <w:smallCaps/>
      <w:color w:val="E8E6DE" w:themeColor="accent2"/>
      <w:spacing w:val="5"/>
      <w:u w:val="single"/>
    </w:rPr>
  </w:style>
  <w:style w:type="character" w:styleId="BookTitle">
    <w:name w:val="Book Title"/>
    <w:basedOn w:val="DefaultParagraphFont"/>
    <w:uiPriority w:val="33"/>
    <w:qFormat/>
    <w:rsid w:val="006F28FB"/>
    <w:rPr>
      <w:b/>
      <w:bCs/>
      <w:smallCaps/>
      <w:spacing w:val="5"/>
    </w:rPr>
  </w:style>
  <w:style w:type="paragraph" w:styleId="Subtitle">
    <w:name w:val="Subtitle"/>
    <w:basedOn w:val="Normal"/>
    <w:next w:val="Normal"/>
    <w:link w:val="SubtitleChar"/>
    <w:qFormat/>
    <w:rsid w:val="006F28FB"/>
    <w:pPr>
      <w:numPr>
        <w:ilvl w:val="1"/>
      </w:numPr>
    </w:pPr>
    <w:rPr>
      <w:rFonts w:asciiTheme="majorHAnsi" w:eastAsiaTheme="majorEastAsia" w:hAnsiTheme="majorHAnsi" w:cstheme="majorBidi"/>
      <w:i/>
      <w:iCs/>
      <w:color w:val="00303E" w:themeColor="accent1"/>
      <w:spacing w:val="15"/>
    </w:rPr>
  </w:style>
  <w:style w:type="character" w:customStyle="1" w:styleId="SubtitleChar">
    <w:name w:val="Subtitle Char"/>
    <w:basedOn w:val="DefaultParagraphFont"/>
    <w:link w:val="Subtitle"/>
    <w:rsid w:val="006F28FB"/>
    <w:rPr>
      <w:rFonts w:asciiTheme="majorHAnsi" w:eastAsiaTheme="majorEastAsia" w:hAnsiTheme="majorHAnsi" w:cstheme="majorBidi"/>
      <w:i/>
      <w:iCs/>
      <w:color w:val="00303E" w:themeColor="accent1"/>
      <w:spacing w:val="15"/>
      <w:sz w:val="24"/>
      <w:szCs w:val="24"/>
    </w:rPr>
  </w:style>
  <w:style w:type="character" w:styleId="Strong">
    <w:name w:val="Strong"/>
    <w:basedOn w:val="DefaultParagraphFont"/>
    <w:qFormat/>
    <w:rsid w:val="005D4653"/>
    <w:rPr>
      <w:b/>
      <w:bCs/>
    </w:rPr>
  </w:style>
  <w:style w:type="character" w:styleId="CommentReference">
    <w:name w:val="annotation reference"/>
    <w:basedOn w:val="DefaultParagraphFont"/>
    <w:uiPriority w:val="99"/>
    <w:semiHidden/>
    <w:unhideWhenUsed/>
    <w:locked/>
    <w:rsid w:val="00506D52"/>
    <w:rPr>
      <w:sz w:val="16"/>
      <w:szCs w:val="16"/>
    </w:rPr>
  </w:style>
  <w:style w:type="paragraph" w:styleId="CommentSubject">
    <w:name w:val="annotation subject"/>
    <w:basedOn w:val="CommentText"/>
    <w:next w:val="CommentText"/>
    <w:link w:val="CommentSubjectChar"/>
    <w:uiPriority w:val="99"/>
    <w:semiHidden/>
    <w:unhideWhenUsed/>
    <w:locked/>
    <w:rsid w:val="00506D52"/>
    <w:rPr>
      <w:b/>
      <w:bCs/>
    </w:rPr>
  </w:style>
  <w:style w:type="character" w:customStyle="1" w:styleId="CommentSubjectChar">
    <w:name w:val="Comment Subject Char"/>
    <w:basedOn w:val="CommentTextChar"/>
    <w:link w:val="CommentSubject"/>
    <w:uiPriority w:val="99"/>
    <w:semiHidden/>
    <w:rsid w:val="00506D52"/>
    <w:rPr>
      <w:rFonts w:cs="Times New Roman"/>
      <w:b/>
      <w:bCs/>
      <w:sz w:val="20"/>
      <w:szCs w:val="20"/>
    </w:rPr>
  </w:style>
  <w:style w:type="paragraph" w:styleId="Revision">
    <w:name w:val="Revision"/>
    <w:hidden/>
    <w:uiPriority w:val="99"/>
    <w:semiHidden/>
    <w:rsid w:val="00D477BB"/>
    <w:rPr>
      <w:sz w:val="24"/>
      <w:szCs w:val="24"/>
    </w:rPr>
  </w:style>
  <w:style w:type="character" w:styleId="Mention">
    <w:name w:val="Mention"/>
    <w:basedOn w:val="DefaultParagraphFont"/>
    <w:uiPriority w:val="99"/>
    <w:semiHidden/>
    <w:unhideWhenUsed/>
    <w:rsid w:val="002D4AFB"/>
    <w:rPr>
      <w:color w:val="2B579A"/>
      <w:shd w:val="clear" w:color="auto" w:fill="E6E6E6"/>
    </w:rPr>
  </w:style>
  <w:style w:type="table" w:styleId="TableGridLight">
    <w:name w:val="Grid Table Light"/>
    <w:basedOn w:val="TableNormal"/>
    <w:uiPriority w:val="40"/>
    <w:rsid w:val="003A389B"/>
    <w:rPr>
      <w:rFonts w:ascii="Tw Cen MT Condensed Extra Bold" w:hAnsi="Tw Cen MT Condensed Extra Bold"/>
    </w:rPr>
    <w:tblPr>
      <w:tblBorders>
        <w:top w:val="single" w:sz="4" w:space="0" w:color="C4BC96" w:themeColor="background1" w:themeShade="BF"/>
        <w:left w:val="single" w:sz="4" w:space="0" w:color="C4BC96" w:themeColor="background1" w:themeShade="BF"/>
        <w:bottom w:val="single" w:sz="4" w:space="0" w:color="C4BC96" w:themeColor="background1" w:themeShade="BF"/>
        <w:right w:val="single" w:sz="4" w:space="0" w:color="C4BC96" w:themeColor="background1" w:themeShade="BF"/>
        <w:insideH w:val="single" w:sz="4" w:space="0" w:color="C4BC96" w:themeColor="background1" w:themeShade="BF"/>
        <w:insideV w:val="single" w:sz="4" w:space="0" w:color="C4BC96" w:themeColor="background1" w:themeShade="BF"/>
      </w:tblBorders>
    </w:tblPr>
  </w:style>
  <w:style w:type="character" w:styleId="UnresolvedMention">
    <w:name w:val="Unresolved Mention"/>
    <w:basedOn w:val="DefaultParagraphFont"/>
    <w:uiPriority w:val="99"/>
    <w:semiHidden/>
    <w:unhideWhenUsed/>
    <w:rsid w:val="00330848"/>
    <w:rPr>
      <w:color w:val="605E5C"/>
      <w:shd w:val="clear" w:color="auto" w:fill="E1DFDD"/>
    </w:rPr>
  </w:style>
  <w:style w:type="paragraph" w:styleId="FootnoteText">
    <w:name w:val="footnote text"/>
    <w:basedOn w:val="Normal"/>
    <w:link w:val="FootnoteTextChar"/>
    <w:uiPriority w:val="99"/>
    <w:semiHidden/>
    <w:unhideWhenUsed/>
    <w:locked/>
    <w:rsid w:val="00D07A13"/>
    <w:rPr>
      <w:sz w:val="20"/>
      <w:szCs w:val="20"/>
    </w:rPr>
  </w:style>
  <w:style w:type="character" w:customStyle="1" w:styleId="FootnoteTextChar">
    <w:name w:val="Footnote Text Char"/>
    <w:basedOn w:val="DefaultParagraphFont"/>
    <w:link w:val="FootnoteText"/>
    <w:uiPriority w:val="99"/>
    <w:semiHidden/>
    <w:rsid w:val="00D07A13"/>
    <w:rPr>
      <w:sz w:val="20"/>
      <w:szCs w:val="20"/>
    </w:rPr>
  </w:style>
  <w:style w:type="character" w:styleId="FootnoteReference">
    <w:name w:val="footnote reference"/>
    <w:basedOn w:val="DefaultParagraphFont"/>
    <w:uiPriority w:val="99"/>
    <w:semiHidden/>
    <w:unhideWhenUsed/>
    <w:locked/>
    <w:rsid w:val="00D07A13"/>
    <w:rPr>
      <w:vertAlign w:val="superscript"/>
    </w:rPr>
  </w:style>
  <w:style w:type="paragraph" w:styleId="Title">
    <w:name w:val="Title"/>
    <w:basedOn w:val="Normal"/>
    <w:next w:val="Normal"/>
    <w:link w:val="TitleChar"/>
    <w:qFormat/>
    <w:rsid w:val="00A346DD"/>
    <w:pPr>
      <w:contextualSpacing/>
    </w:pPr>
    <w:rPr>
      <w:rFonts w:ascii="Lato Black" w:eastAsiaTheme="majorEastAsia" w:hAnsi="Lato Black" w:cstheme="majorBidi"/>
      <w:color w:val="00303E" w:themeColor="accent1"/>
      <w:spacing w:val="-8"/>
      <w:kern w:val="28"/>
      <w:sz w:val="36"/>
      <w:szCs w:val="56"/>
    </w:rPr>
  </w:style>
  <w:style w:type="character" w:customStyle="1" w:styleId="TitleChar">
    <w:name w:val="Title Char"/>
    <w:basedOn w:val="DefaultParagraphFont"/>
    <w:link w:val="Title"/>
    <w:rsid w:val="00A346DD"/>
    <w:rPr>
      <w:rFonts w:ascii="Lato Black" w:eastAsiaTheme="majorEastAsia" w:hAnsi="Lato Black" w:cstheme="majorBidi"/>
      <w:color w:val="00303E" w:themeColor="accent1"/>
      <w:spacing w:val="-8"/>
      <w:kern w:val="28"/>
      <w:sz w:val="36"/>
      <w:szCs w:val="56"/>
    </w:rPr>
  </w:style>
  <w:style w:type="paragraph" w:styleId="TOCHeading">
    <w:name w:val="TOC Heading"/>
    <w:basedOn w:val="Heading1"/>
    <w:next w:val="Normal"/>
    <w:uiPriority w:val="39"/>
    <w:unhideWhenUsed/>
    <w:qFormat/>
    <w:rsid w:val="003014D9"/>
    <w:pPr>
      <w:keepLines/>
      <w:spacing w:before="240" w:after="0" w:line="259" w:lineRule="auto"/>
      <w:outlineLvl w:val="9"/>
    </w:pPr>
    <w:rPr>
      <w:rFonts w:asciiTheme="majorHAnsi" w:eastAsiaTheme="majorEastAsia" w:hAnsiTheme="majorHAnsi" w:cstheme="majorBidi"/>
      <w:color w:val="00232E" w:themeColor="accent1" w:themeShade="BF"/>
      <w:kern w:val="0"/>
      <w:sz w:val="32"/>
      <w:szCs w:val="32"/>
    </w:rPr>
  </w:style>
  <w:style w:type="paragraph" w:styleId="TOC1">
    <w:name w:val="toc 1"/>
    <w:basedOn w:val="Normal"/>
    <w:next w:val="Normal"/>
    <w:autoRedefine/>
    <w:uiPriority w:val="39"/>
    <w:rsid w:val="00C85FC3"/>
    <w:pPr>
      <w:tabs>
        <w:tab w:val="right" w:leader="dot" w:pos="9350"/>
      </w:tabs>
      <w:spacing w:after="240"/>
    </w:pPr>
  </w:style>
  <w:style w:type="paragraph" w:customStyle="1" w:styleId="bullet">
    <w:name w:val="bullet"/>
    <w:basedOn w:val="NoSpacing"/>
    <w:link w:val="bulletChar"/>
    <w:qFormat/>
    <w:rsid w:val="008160CB"/>
    <w:pPr>
      <w:numPr>
        <w:numId w:val="19"/>
      </w:numPr>
      <w:spacing w:before="100" w:beforeAutospacing="1" w:after="120"/>
    </w:pPr>
    <w:rPr>
      <w:sz w:val="22"/>
      <w:szCs w:val="22"/>
    </w:rPr>
  </w:style>
  <w:style w:type="character" w:customStyle="1" w:styleId="NoSpacingChar">
    <w:name w:val="No Spacing Char"/>
    <w:basedOn w:val="DefaultParagraphFont"/>
    <w:link w:val="NoSpacing"/>
    <w:uiPriority w:val="1"/>
    <w:rsid w:val="008160CB"/>
    <w:rPr>
      <w:sz w:val="24"/>
      <w:szCs w:val="24"/>
    </w:rPr>
  </w:style>
  <w:style w:type="character" w:customStyle="1" w:styleId="bulletChar">
    <w:name w:val="bullet Char"/>
    <w:basedOn w:val="NoSpacingChar"/>
    <w:link w:val="bullet"/>
    <w:rsid w:val="008160CB"/>
    <w:rPr>
      <w:sz w:val="24"/>
      <w:szCs w:val="24"/>
    </w:rPr>
  </w:style>
  <w:style w:type="paragraph" w:customStyle="1" w:styleId="xmsonormal">
    <w:name w:val="x_msonormal"/>
    <w:basedOn w:val="Normal"/>
    <w:rsid w:val="004C1990"/>
    <w:rPr>
      <w:rFonts w:eastAsiaTheme="minorHAnsi" w:cs="Calibri"/>
      <w:sz w:val="22"/>
      <w:szCs w:val="22"/>
    </w:rPr>
  </w:style>
  <w:style w:type="paragraph" w:customStyle="1" w:styleId="xmsonospacing">
    <w:name w:val="x_msonospacing"/>
    <w:basedOn w:val="Normal"/>
    <w:rsid w:val="004C1990"/>
    <w:rPr>
      <w:rFonts w:eastAsiaTheme="minorHAnsi" w:cs="Calibri"/>
    </w:rPr>
  </w:style>
  <w:style w:type="paragraph" w:customStyle="1" w:styleId="Howwedefine">
    <w:name w:val="How we define"/>
    <w:basedOn w:val="Normal"/>
    <w:link w:val="HowwedefineChar"/>
    <w:qFormat/>
    <w:rsid w:val="00700A6C"/>
    <w:pPr>
      <w:shd w:val="clear" w:color="auto" w:fill="EEECE1" w:themeFill="background1"/>
      <w:tabs>
        <w:tab w:val="left" w:pos="2160"/>
      </w:tabs>
      <w:spacing w:after="360"/>
      <w:ind w:left="1728"/>
    </w:pPr>
    <w:rPr>
      <w:rFonts w:asciiTheme="minorHAnsi" w:hAnsiTheme="minorHAnsi"/>
      <w:noProof/>
      <w:szCs w:val="52"/>
    </w:rPr>
  </w:style>
  <w:style w:type="character" w:customStyle="1" w:styleId="HowwedefineChar">
    <w:name w:val="How we define Char"/>
    <w:basedOn w:val="DefaultParagraphFont"/>
    <w:link w:val="Howwedefine"/>
    <w:rsid w:val="00700A6C"/>
    <w:rPr>
      <w:rFonts w:asciiTheme="minorHAnsi" w:hAnsiTheme="minorHAnsi"/>
      <w:noProof/>
      <w:sz w:val="24"/>
      <w:szCs w:val="52"/>
      <w:shd w:val="clear" w:color="auto" w:fill="EEECE1" w:themeFill="background1"/>
    </w:rPr>
  </w:style>
  <w:style w:type="paragraph" w:styleId="TOC2">
    <w:name w:val="toc 2"/>
    <w:basedOn w:val="Normal"/>
    <w:next w:val="Normal"/>
    <w:autoRedefine/>
    <w:uiPriority w:val="39"/>
    <w:unhideWhenUsed/>
    <w:rsid w:val="006E3166"/>
    <w:pPr>
      <w:spacing w:after="100" w:line="259" w:lineRule="auto"/>
      <w:ind w:left="220"/>
    </w:pPr>
    <w:rPr>
      <w:rFonts w:asciiTheme="minorHAnsi" w:eastAsiaTheme="minorEastAsia" w:hAnsiTheme="minorHAnsi"/>
      <w:sz w:val="22"/>
      <w:szCs w:val="22"/>
    </w:rPr>
  </w:style>
  <w:style w:type="paragraph" w:styleId="TOC3">
    <w:name w:val="toc 3"/>
    <w:basedOn w:val="Normal"/>
    <w:next w:val="Normal"/>
    <w:autoRedefine/>
    <w:uiPriority w:val="39"/>
    <w:unhideWhenUsed/>
    <w:rsid w:val="006E3166"/>
    <w:pPr>
      <w:spacing w:after="100" w:line="259" w:lineRule="auto"/>
      <w:ind w:left="440"/>
    </w:pPr>
    <w:rPr>
      <w:rFonts w:asciiTheme="minorHAnsi" w:eastAsiaTheme="minorEastAsia" w:hAnsiTheme="minorHAnsi"/>
      <w:sz w:val="22"/>
      <w:szCs w:val="22"/>
    </w:rPr>
  </w:style>
  <w:style w:type="character" w:styleId="PlaceholderText">
    <w:name w:val="Placeholder Text"/>
    <w:basedOn w:val="DefaultParagraphFont"/>
    <w:uiPriority w:val="99"/>
    <w:semiHidden/>
    <w:rsid w:val="0014607D"/>
    <w:rPr>
      <w:color w:val="808080"/>
    </w:rPr>
  </w:style>
  <w:style w:type="paragraph" w:customStyle="1" w:styleId="disibilitystatement">
    <w:name w:val="disibility statement"/>
    <w:basedOn w:val="Normal"/>
    <w:link w:val="disibilitystatementChar"/>
    <w:qFormat/>
    <w:rsid w:val="00F3259C"/>
    <w:pPr>
      <w:spacing w:before="6120"/>
    </w:pPr>
    <w:rPr>
      <w:spacing w:val="26"/>
      <w:kern w:val="28"/>
      <w:sz w:val="16"/>
    </w:rPr>
  </w:style>
  <w:style w:type="character" w:customStyle="1" w:styleId="disibilitystatementChar">
    <w:name w:val="disibility statement Char"/>
    <w:basedOn w:val="DefaultParagraphFont"/>
    <w:link w:val="disibilitystatement"/>
    <w:rsid w:val="00F3259C"/>
    <w:rPr>
      <w:spacing w:val="26"/>
      <w:kern w:val="28"/>
      <w:sz w:val="16"/>
      <w:szCs w:val="24"/>
    </w:rPr>
  </w:style>
  <w:style w:type="paragraph" w:customStyle="1" w:styleId="Coverdescription">
    <w:name w:val="Cover description"/>
    <w:basedOn w:val="Normal"/>
    <w:link w:val="CoverdescriptionChar"/>
    <w:qFormat/>
    <w:rsid w:val="004F2DF4"/>
    <w:pPr>
      <w:spacing w:before="4440"/>
    </w:pPr>
  </w:style>
  <w:style w:type="character" w:customStyle="1" w:styleId="CoverdescriptionChar">
    <w:name w:val="Cover description Char"/>
    <w:basedOn w:val="DefaultParagraphFont"/>
    <w:link w:val="Coverdescription"/>
    <w:rsid w:val="004F2DF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249993">
      <w:bodyDiv w:val="1"/>
      <w:marLeft w:val="0"/>
      <w:marRight w:val="0"/>
      <w:marTop w:val="0"/>
      <w:marBottom w:val="0"/>
      <w:divBdr>
        <w:top w:val="none" w:sz="0" w:space="0" w:color="auto"/>
        <w:left w:val="none" w:sz="0" w:space="0" w:color="auto"/>
        <w:bottom w:val="none" w:sz="0" w:space="0" w:color="auto"/>
        <w:right w:val="none" w:sz="0" w:space="0" w:color="auto"/>
      </w:divBdr>
    </w:div>
    <w:div w:id="102189774">
      <w:bodyDiv w:val="1"/>
      <w:marLeft w:val="0"/>
      <w:marRight w:val="0"/>
      <w:marTop w:val="0"/>
      <w:marBottom w:val="0"/>
      <w:divBdr>
        <w:top w:val="none" w:sz="0" w:space="0" w:color="auto"/>
        <w:left w:val="none" w:sz="0" w:space="0" w:color="auto"/>
        <w:bottom w:val="none" w:sz="0" w:space="0" w:color="auto"/>
        <w:right w:val="none" w:sz="0" w:space="0" w:color="auto"/>
      </w:divBdr>
    </w:div>
    <w:div w:id="155417665">
      <w:bodyDiv w:val="1"/>
      <w:marLeft w:val="0"/>
      <w:marRight w:val="0"/>
      <w:marTop w:val="0"/>
      <w:marBottom w:val="0"/>
      <w:divBdr>
        <w:top w:val="none" w:sz="0" w:space="0" w:color="auto"/>
        <w:left w:val="none" w:sz="0" w:space="0" w:color="auto"/>
        <w:bottom w:val="none" w:sz="0" w:space="0" w:color="auto"/>
        <w:right w:val="none" w:sz="0" w:space="0" w:color="auto"/>
      </w:divBdr>
    </w:div>
    <w:div w:id="162084738">
      <w:bodyDiv w:val="1"/>
      <w:marLeft w:val="0"/>
      <w:marRight w:val="0"/>
      <w:marTop w:val="0"/>
      <w:marBottom w:val="0"/>
      <w:divBdr>
        <w:top w:val="none" w:sz="0" w:space="0" w:color="auto"/>
        <w:left w:val="none" w:sz="0" w:space="0" w:color="auto"/>
        <w:bottom w:val="none" w:sz="0" w:space="0" w:color="auto"/>
        <w:right w:val="none" w:sz="0" w:space="0" w:color="auto"/>
      </w:divBdr>
    </w:div>
    <w:div w:id="167406325">
      <w:bodyDiv w:val="1"/>
      <w:marLeft w:val="0"/>
      <w:marRight w:val="0"/>
      <w:marTop w:val="0"/>
      <w:marBottom w:val="0"/>
      <w:divBdr>
        <w:top w:val="none" w:sz="0" w:space="0" w:color="auto"/>
        <w:left w:val="none" w:sz="0" w:space="0" w:color="auto"/>
        <w:bottom w:val="none" w:sz="0" w:space="0" w:color="auto"/>
        <w:right w:val="none" w:sz="0" w:space="0" w:color="auto"/>
      </w:divBdr>
    </w:div>
    <w:div w:id="400755941">
      <w:bodyDiv w:val="1"/>
      <w:marLeft w:val="0"/>
      <w:marRight w:val="0"/>
      <w:marTop w:val="0"/>
      <w:marBottom w:val="0"/>
      <w:divBdr>
        <w:top w:val="none" w:sz="0" w:space="0" w:color="auto"/>
        <w:left w:val="none" w:sz="0" w:space="0" w:color="auto"/>
        <w:bottom w:val="none" w:sz="0" w:space="0" w:color="auto"/>
        <w:right w:val="none" w:sz="0" w:space="0" w:color="auto"/>
      </w:divBdr>
    </w:div>
    <w:div w:id="422805320">
      <w:bodyDiv w:val="1"/>
      <w:marLeft w:val="0"/>
      <w:marRight w:val="0"/>
      <w:marTop w:val="0"/>
      <w:marBottom w:val="0"/>
      <w:divBdr>
        <w:top w:val="none" w:sz="0" w:space="0" w:color="auto"/>
        <w:left w:val="none" w:sz="0" w:space="0" w:color="auto"/>
        <w:bottom w:val="none" w:sz="0" w:space="0" w:color="auto"/>
        <w:right w:val="none" w:sz="0" w:space="0" w:color="auto"/>
      </w:divBdr>
    </w:div>
    <w:div w:id="483007433">
      <w:bodyDiv w:val="1"/>
      <w:marLeft w:val="0"/>
      <w:marRight w:val="0"/>
      <w:marTop w:val="0"/>
      <w:marBottom w:val="0"/>
      <w:divBdr>
        <w:top w:val="none" w:sz="0" w:space="0" w:color="auto"/>
        <w:left w:val="none" w:sz="0" w:space="0" w:color="auto"/>
        <w:bottom w:val="none" w:sz="0" w:space="0" w:color="auto"/>
        <w:right w:val="none" w:sz="0" w:space="0" w:color="auto"/>
      </w:divBdr>
    </w:div>
    <w:div w:id="495652147">
      <w:bodyDiv w:val="1"/>
      <w:marLeft w:val="0"/>
      <w:marRight w:val="0"/>
      <w:marTop w:val="0"/>
      <w:marBottom w:val="0"/>
      <w:divBdr>
        <w:top w:val="none" w:sz="0" w:space="0" w:color="auto"/>
        <w:left w:val="none" w:sz="0" w:space="0" w:color="auto"/>
        <w:bottom w:val="none" w:sz="0" w:space="0" w:color="auto"/>
        <w:right w:val="none" w:sz="0" w:space="0" w:color="auto"/>
      </w:divBdr>
    </w:div>
    <w:div w:id="503397169">
      <w:bodyDiv w:val="1"/>
      <w:marLeft w:val="0"/>
      <w:marRight w:val="0"/>
      <w:marTop w:val="0"/>
      <w:marBottom w:val="0"/>
      <w:divBdr>
        <w:top w:val="none" w:sz="0" w:space="0" w:color="auto"/>
        <w:left w:val="none" w:sz="0" w:space="0" w:color="auto"/>
        <w:bottom w:val="none" w:sz="0" w:space="0" w:color="auto"/>
        <w:right w:val="none" w:sz="0" w:space="0" w:color="auto"/>
      </w:divBdr>
    </w:div>
    <w:div w:id="650335177">
      <w:bodyDiv w:val="1"/>
      <w:marLeft w:val="0"/>
      <w:marRight w:val="0"/>
      <w:marTop w:val="0"/>
      <w:marBottom w:val="0"/>
      <w:divBdr>
        <w:top w:val="none" w:sz="0" w:space="0" w:color="auto"/>
        <w:left w:val="none" w:sz="0" w:space="0" w:color="auto"/>
        <w:bottom w:val="none" w:sz="0" w:space="0" w:color="auto"/>
        <w:right w:val="none" w:sz="0" w:space="0" w:color="auto"/>
      </w:divBdr>
    </w:div>
    <w:div w:id="731461251">
      <w:bodyDiv w:val="1"/>
      <w:marLeft w:val="0"/>
      <w:marRight w:val="0"/>
      <w:marTop w:val="0"/>
      <w:marBottom w:val="0"/>
      <w:divBdr>
        <w:top w:val="none" w:sz="0" w:space="0" w:color="auto"/>
        <w:left w:val="none" w:sz="0" w:space="0" w:color="auto"/>
        <w:bottom w:val="none" w:sz="0" w:space="0" w:color="auto"/>
        <w:right w:val="none" w:sz="0" w:space="0" w:color="auto"/>
      </w:divBdr>
    </w:div>
    <w:div w:id="739713110">
      <w:bodyDiv w:val="1"/>
      <w:marLeft w:val="0"/>
      <w:marRight w:val="0"/>
      <w:marTop w:val="0"/>
      <w:marBottom w:val="0"/>
      <w:divBdr>
        <w:top w:val="none" w:sz="0" w:space="0" w:color="auto"/>
        <w:left w:val="none" w:sz="0" w:space="0" w:color="auto"/>
        <w:bottom w:val="none" w:sz="0" w:space="0" w:color="auto"/>
        <w:right w:val="none" w:sz="0" w:space="0" w:color="auto"/>
      </w:divBdr>
    </w:div>
    <w:div w:id="762651566">
      <w:bodyDiv w:val="1"/>
      <w:marLeft w:val="0"/>
      <w:marRight w:val="0"/>
      <w:marTop w:val="0"/>
      <w:marBottom w:val="0"/>
      <w:divBdr>
        <w:top w:val="none" w:sz="0" w:space="0" w:color="auto"/>
        <w:left w:val="none" w:sz="0" w:space="0" w:color="auto"/>
        <w:bottom w:val="none" w:sz="0" w:space="0" w:color="auto"/>
        <w:right w:val="none" w:sz="0" w:space="0" w:color="auto"/>
      </w:divBdr>
    </w:div>
    <w:div w:id="851455288">
      <w:bodyDiv w:val="1"/>
      <w:marLeft w:val="0"/>
      <w:marRight w:val="0"/>
      <w:marTop w:val="0"/>
      <w:marBottom w:val="0"/>
      <w:divBdr>
        <w:top w:val="none" w:sz="0" w:space="0" w:color="auto"/>
        <w:left w:val="none" w:sz="0" w:space="0" w:color="auto"/>
        <w:bottom w:val="none" w:sz="0" w:space="0" w:color="auto"/>
        <w:right w:val="none" w:sz="0" w:space="0" w:color="auto"/>
      </w:divBdr>
    </w:div>
    <w:div w:id="854419033">
      <w:bodyDiv w:val="1"/>
      <w:marLeft w:val="0"/>
      <w:marRight w:val="0"/>
      <w:marTop w:val="0"/>
      <w:marBottom w:val="0"/>
      <w:divBdr>
        <w:top w:val="none" w:sz="0" w:space="0" w:color="auto"/>
        <w:left w:val="none" w:sz="0" w:space="0" w:color="auto"/>
        <w:bottom w:val="none" w:sz="0" w:space="0" w:color="auto"/>
        <w:right w:val="none" w:sz="0" w:space="0" w:color="auto"/>
      </w:divBdr>
    </w:div>
    <w:div w:id="938755068">
      <w:bodyDiv w:val="1"/>
      <w:marLeft w:val="0"/>
      <w:marRight w:val="0"/>
      <w:marTop w:val="0"/>
      <w:marBottom w:val="0"/>
      <w:divBdr>
        <w:top w:val="none" w:sz="0" w:space="0" w:color="auto"/>
        <w:left w:val="none" w:sz="0" w:space="0" w:color="auto"/>
        <w:bottom w:val="none" w:sz="0" w:space="0" w:color="auto"/>
        <w:right w:val="none" w:sz="0" w:space="0" w:color="auto"/>
      </w:divBdr>
    </w:div>
    <w:div w:id="995494195">
      <w:bodyDiv w:val="1"/>
      <w:marLeft w:val="0"/>
      <w:marRight w:val="0"/>
      <w:marTop w:val="0"/>
      <w:marBottom w:val="0"/>
      <w:divBdr>
        <w:top w:val="none" w:sz="0" w:space="0" w:color="auto"/>
        <w:left w:val="none" w:sz="0" w:space="0" w:color="auto"/>
        <w:bottom w:val="none" w:sz="0" w:space="0" w:color="auto"/>
        <w:right w:val="none" w:sz="0" w:space="0" w:color="auto"/>
      </w:divBdr>
    </w:div>
    <w:div w:id="1030839317">
      <w:marLeft w:val="0"/>
      <w:marRight w:val="0"/>
      <w:marTop w:val="0"/>
      <w:marBottom w:val="0"/>
      <w:divBdr>
        <w:top w:val="none" w:sz="0" w:space="0" w:color="auto"/>
        <w:left w:val="none" w:sz="0" w:space="0" w:color="auto"/>
        <w:bottom w:val="none" w:sz="0" w:space="0" w:color="auto"/>
        <w:right w:val="none" w:sz="0" w:space="0" w:color="auto"/>
      </w:divBdr>
    </w:div>
    <w:div w:id="1030839318">
      <w:marLeft w:val="0"/>
      <w:marRight w:val="0"/>
      <w:marTop w:val="0"/>
      <w:marBottom w:val="0"/>
      <w:divBdr>
        <w:top w:val="none" w:sz="0" w:space="0" w:color="auto"/>
        <w:left w:val="none" w:sz="0" w:space="0" w:color="auto"/>
        <w:bottom w:val="none" w:sz="0" w:space="0" w:color="auto"/>
        <w:right w:val="none" w:sz="0" w:space="0" w:color="auto"/>
      </w:divBdr>
    </w:div>
    <w:div w:id="1030839319">
      <w:marLeft w:val="0"/>
      <w:marRight w:val="0"/>
      <w:marTop w:val="0"/>
      <w:marBottom w:val="0"/>
      <w:divBdr>
        <w:top w:val="none" w:sz="0" w:space="0" w:color="auto"/>
        <w:left w:val="none" w:sz="0" w:space="0" w:color="auto"/>
        <w:bottom w:val="none" w:sz="0" w:space="0" w:color="auto"/>
        <w:right w:val="none" w:sz="0" w:space="0" w:color="auto"/>
      </w:divBdr>
    </w:div>
    <w:div w:id="1030839320">
      <w:marLeft w:val="0"/>
      <w:marRight w:val="0"/>
      <w:marTop w:val="0"/>
      <w:marBottom w:val="0"/>
      <w:divBdr>
        <w:top w:val="none" w:sz="0" w:space="0" w:color="auto"/>
        <w:left w:val="none" w:sz="0" w:space="0" w:color="auto"/>
        <w:bottom w:val="none" w:sz="0" w:space="0" w:color="auto"/>
        <w:right w:val="none" w:sz="0" w:space="0" w:color="auto"/>
      </w:divBdr>
    </w:div>
    <w:div w:id="1030839321">
      <w:marLeft w:val="0"/>
      <w:marRight w:val="0"/>
      <w:marTop w:val="0"/>
      <w:marBottom w:val="0"/>
      <w:divBdr>
        <w:top w:val="none" w:sz="0" w:space="0" w:color="auto"/>
        <w:left w:val="none" w:sz="0" w:space="0" w:color="auto"/>
        <w:bottom w:val="none" w:sz="0" w:space="0" w:color="auto"/>
        <w:right w:val="none" w:sz="0" w:space="0" w:color="auto"/>
      </w:divBdr>
    </w:div>
    <w:div w:id="1030839322">
      <w:marLeft w:val="0"/>
      <w:marRight w:val="0"/>
      <w:marTop w:val="0"/>
      <w:marBottom w:val="0"/>
      <w:divBdr>
        <w:top w:val="none" w:sz="0" w:space="0" w:color="auto"/>
        <w:left w:val="none" w:sz="0" w:space="0" w:color="auto"/>
        <w:bottom w:val="none" w:sz="0" w:space="0" w:color="auto"/>
        <w:right w:val="none" w:sz="0" w:space="0" w:color="auto"/>
      </w:divBdr>
    </w:div>
    <w:div w:id="1030839323">
      <w:marLeft w:val="0"/>
      <w:marRight w:val="0"/>
      <w:marTop w:val="0"/>
      <w:marBottom w:val="0"/>
      <w:divBdr>
        <w:top w:val="none" w:sz="0" w:space="0" w:color="auto"/>
        <w:left w:val="none" w:sz="0" w:space="0" w:color="auto"/>
        <w:bottom w:val="none" w:sz="0" w:space="0" w:color="auto"/>
        <w:right w:val="none" w:sz="0" w:space="0" w:color="auto"/>
      </w:divBdr>
    </w:div>
    <w:div w:id="1030839324">
      <w:marLeft w:val="0"/>
      <w:marRight w:val="0"/>
      <w:marTop w:val="0"/>
      <w:marBottom w:val="0"/>
      <w:divBdr>
        <w:top w:val="none" w:sz="0" w:space="0" w:color="auto"/>
        <w:left w:val="none" w:sz="0" w:space="0" w:color="auto"/>
        <w:bottom w:val="none" w:sz="0" w:space="0" w:color="auto"/>
        <w:right w:val="none" w:sz="0" w:space="0" w:color="auto"/>
      </w:divBdr>
    </w:div>
    <w:div w:id="1030839325">
      <w:marLeft w:val="0"/>
      <w:marRight w:val="0"/>
      <w:marTop w:val="0"/>
      <w:marBottom w:val="0"/>
      <w:divBdr>
        <w:top w:val="none" w:sz="0" w:space="0" w:color="auto"/>
        <w:left w:val="none" w:sz="0" w:space="0" w:color="auto"/>
        <w:bottom w:val="none" w:sz="0" w:space="0" w:color="auto"/>
        <w:right w:val="none" w:sz="0" w:space="0" w:color="auto"/>
      </w:divBdr>
    </w:div>
    <w:div w:id="1030839326">
      <w:marLeft w:val="0"/>
      <w:marRight w:val="0"/>
      <w:marTop w:val="0"/>
      <w:marBottom w:val="0"/>
      <w:divBdr>
        <w:top w:val="none" w:sz="0" w:space="0" w:color="auto"/>
        <w:left w:val="none" w:sz="0" w:space="0" w:color="auto"/>
        <w:bottom w:val="none" w:sz="0" w:space="0" w:color="auto"/>
        <w:right w:val="none" w:sz="0" w:space="0" w:color="auto"/>
      </w:divBdr>
    </w:div>
    <w:div w:id="1030839327">
      <w:marLeft w:val="0"/>
      <w:marRight w:val="0"/>
      <w:marTop w:val="0"/>
      <w:marBottom w:val="0"/>
      <w:divBdr>
        <w:top w:val="none" w:sz="0" w:space="0" w:color="auto"/>
        <w:left w:val="none" w:sz="0" w:space="0" w:color="auto"/>
        <w:bottom w:val="none" w:sz="0" w:space="0" w:color="auto"/>
        <w:right w:val="none" w:sz="0" w:space="0" w:color="auto"/>
      </w:divBdr>
    </w:div>
    <w:div w:id="1030839328">
      <w:marLeft w:val="0"/>
      <w:marRight w:val="0"/>
      <w:marTop w:val="0"/>
      <w:marBottom w:val="0"/>
      <w:divBdr>
        <w:top w:val="none" w:sz="0" w:space="0" w:color="auto"/>
        <w:left w:val="none" w:sz="0" w:space="0" w:color="auto"/>
        <w:bottom w:val="none" w:sz="0" w:space="0" w:color="auto"/>
        <w:right w:val="none" w:sz="0" w:space="0" w:color="auto"/>
      </w:divBdr>
    </w:div>
    <w:div w:id="1030839329">
      <w:marLeft w:val="0"/>
      <w:marRight w:val="0"/>
      <w:marTop w:val="0"/>
      <w:marBottom w:val="0"/>
      <w:divBdr>
        <w:top w:val="none" w:sz="0" w:space="0" w:color="auto"/>
        <w:left w:val="none" w:sz="0" w:space="0" w:color="auto"/>
        <w:bottom w:val="none" w:sz="0" w:space="0" w:color="auto"/>
        <w:right w:val="none" w:sz="0" w:space="0" w:color="auto"/>
      </w:divBdr>
    </w:div>
    <w:div w:id="1030839330">
      <w:marLeft w:val="0"/>
      <w:marRight w:val="0"/>
      <w:marTop w:val="0"/>
      <w:marBottom w:val="0"/>
      <w:divBdr>
        <w:top w:val="none" w:sz="0" w:space="0" w:color="auto"/>
        <w:left w:val="none" w:sz="0" w:space="0" w:color="auto"/>
        <w:bottom w:val="none" w:sz="0" w:space="0" w:color="auto"/>
        <w:right w:val="none" w:sz="0" w:space="0" w:color="auto"/>
      </w:divBdr>
    </w:div>
    <w:div w:id="1030839331">
      <w:marLeft w:val="0"/>
      <w:marRight w:val="0"/>
      <w:marTop w:val="0"/>
      <w:marBottom w:val="0"/>
      <w:divBdr>
        <w:top w:val="none" w:sz="0" w:space="0" w:color="auto"/>
        <w:left w:val="none" w:sz="0" w:space="0" w:color="auto"/>
        <w:bottom w:val="none" w:sz="0" w:space="0" w:color="auto"/>
        <w:right w:val="none" w:sz="0" w:space="0" w:color="auto"/>
      </w:divBdr>
    </w:div>
    <w:div w:id="1030839332">
      <w:marLeft w:val="0"/>
      <w:marRight w:val="0"/>
      <w:marTop w:val="0"/>
      <w:marBottom w:val="0"/>
      <w:divBdr>
        <w:top w:val="none" w:sz="0" w:space="0" w:color="auto"/>
        <w:left w:val="none" w:sz="0" w:space="0" w:color="auto"/>
        <w:bottom w:val="none" w:sz="0" w:space="0" w:color="auto"/>
        <w:right w:val="none" w:sz="0" w:space="0" w:color="auto"/>
      </w:divBdr>
    </w:div>
    <w:div w:id="1030839333">
      <w:marLeft w:val="0"/>
      <w:marRight w:val="0"/>
      <w:marTop w:val="0"/>
      <w:marBottom w:val="0"/>
      <w:divBdr>
        <w:top w:val="none" w:sz="0" w:space="0" w:color="auto"/>
        <w:left w:val="none" w:sz="0" w:space="0" w:color="auto"/>
        <w:bottom w:val="none" w:sz="0" w:space="0" w:color="auto"/>
        <w:right w:val="none" w:sz="0" w:space="0" w:color="auto"/>
      </w:divBdr>
    </w:div>
    <w:div w:id="1198809084">
      <w:bodyDiv w:val="1"/>
      <w:marLeft w:val="0"/>
      <w:marRight w:val="0"/>
      <w:marTop w:val="0"/>
      <w:marBottom w:val="0"/>
      <w:divBdr>
        <w:top w:val="none" w:sz="0" w:space="0" w:color="auto"/>
        <w:left w:val="none" w:sz="0" w:space="0" w:color="auto"/>
        <w:bottom w:val="none" w:sz="0" w:space="0" w:color="auto"/>
        <w:right w:val="none" w:sz="0" w:space="0" w:color="auto"/>
      </w:divBdr>
    </w:div>
    <w:div w:id="1309289860">
      <w:bodyDiv w:val="1"/>
      <w:marLeft w:val="0"/>
      <w:marRight w:val="0"/>
      <w:marTop w:val="0"/>
      <w:marBottom w:val="0"/>
      <w:divBdr>
        <w:top w:val="none" w:sz="0" w:space="0" w:color="auto"/>
        <w:left w:val="none" w:sz="0" w:space="0" w:color="auto"/>
        <w:bottom w:val="none" w:sz="0" w:space="0" w:color="auto"/>
        <w:right w:val="none" w:sz="0" w:space="0" w:color="auto"/>
      </w:divBdr>
    </w:div>
    <w:div w:id="1465654059">
      <w:bodyDiv w:val="1"/>
      <w:marLeft w:val="0"/>
      <w:marRight w:val="0"/>
      <w:marTop w:val="0"/>
      <w:marBottom w:val="0"/>
      <w:divBdr>
        <w:top w:val="none" w:sz="0" w:space="0" w:color="auto"/>
        <w:left w:val="none" w:sz="0" w:space="0" w:color="auto"/>
        <w:bottom w:val="none" w:sz="0" w:space="0" w:color="auto"/>
        <w:right w:val="none" w:sz="0" w:space="0" w:color="auto"/>
      </w:divBdr>
    </w:div>
    <w:div w:id="1636447016">
      <w:bodyDiv w:val="1"/>
      <w:marLeft w:val="0"/>
      <w:marRight w:val="0"/>
      <w:marTop w:val="0"/>
      <w:marBottom w:val="0"/>
      <w:divBdr>
        <w:top w:val="none" w:sz="0" w:space="0" w:color="auto"/>
        <w:left w:val="none" w:sz="0" w:space="0" w:color="auto"/>
        <w:bottom w:val="none" w:sz="0" w:space="0" w:color="auto"/>
        <w:right w:val="none" w:sz="0" w:space="0" w:color="auto"/>
      </w:divBdr>
    </w:div>
    <w:div w:id="1653755268">
      <w:bodyDiv w:val="1"/>
      <w:marLeft w:val="0"/>
      <w:marRight w:val="0"/>
      <w:marTop w:val="0"/>
      <w:marBottom w:val="0"/>
      <w:divBdr>
        <w:top w:val="none" w:sz="0" w:space="0" w:color="auto"/>
        <w:left w:val="none" w:sz="0" w:space="0" w:color="auto"/>
        <w:bottom w:val="none" w:sz="0" w:space="0" w:color="auto"/>
        <w:right w:val="none" w:sz="0" w:space="0" w:color="auto"/>
      </w:divBdr>
    </w:div>
    <w:div w:id="1715499064">
      <w:bodyDiv w:val="1"/>
      <w:marLeft w:val="0"/>
      <w:marRight w:val="0"/>
      <w:marTop w:val="0"/>
      <w:marBottom w:val="0"/>
      <w:divBdr>
        <w:top w:val="none" w:sz="0" w:space="0" w:color="auto"/>
        <w:left w:val="none" w:sz="0" w:space="0" w:color="auto"/>
        <w:bottom w:val="none" w:sz="0" w:space="0" w:color="auto"/>
        <w:right w:val="none" w:sz="0" w:space="0" w:color="auto"/>
      </w:divBdr>
    </w:div>
    <w:div w:id="1726485613">
      <w:bodyDiv w:val="1"/>
      <w:marLeft w:val="0"/>
      <w:marRight w:val="0"/>
      <w:marTop w:val="0"/>
      <w:marBottom w:val="0"/>
      <w:divBdr>
        <w:top w:val="none" w:sz="0" w:space="0" w:color="auto"/>
        <w:left w:val="none" w:sz="0" w:space="0" w:color="auto"/>
        <w:bottom w:val="none" w:sz="0" w:space="0" w:color="auto"/>
        <w:right w:val="none" w:sz="0" w:space="0" w:color="auto"/>
      </w:divBdr>
    </w:div>
    <w:div w:id="1825393903">
      <w:bodyDiv w:val="1"/>
      <w:marLeft w:val="0"/>
      <w:marRight w:val="0"/>
      <w:marTop w:val="0"/>
      <w:marBottom w:val="0"/>
      <w:divBdr>
        <w:top w:val="none" w:sz="0" w:space="0" w:color="auto"/>
        <w:left w:val="none" w:sz="0" w:space="0" w:color="auto"/>
        <w:bottom w:val="none" w:sz="0" w:space="0" w:color="auto"/>
        <w:right w:val="none" w:sz="0" w:space="0" w:color="auto"/>
      </w:divBdr>
    </w:div>
    <w:div w:id="1905725741">
      <w:bodyDiv w:val="1"/>
      <w:marLeft w:val="0"/>
      <w:marRight w:val="0"/>
      <w:marTop w:val="0"/>
      <w:marBottom w:val="0"/>
      <w:divBdr>
        <w:top w:val="none" w:sz="0" w:space="0" w:color="auto"/>
        <w:left w:val="none" w:sz="0" w:space="0" w:color="auto"/>
        <w:bottom w:val="none" w:sz="0" w:space="0" w:color="auto"/>
        <w:right w:val="none" w:sz="0" w:space="0" w:color="auto"/>
      </w:divBdr>
    </w:div>
    <w:div w:id="1908954517">
      <w:bodyDiv w:val="1"/>
      <w:marLeft w:val="0"/>
      <w:marRight w:val="0"/>
      <w:marTop w:val="0"/>
      <w:marBottom w:val="0"/>
      <w:divBdr>
        <w:top w:val="none" w:sz="0" w:space="0" w:color="auto"/>
        <w:left w:val="none" w:sz="0" w:space="0" w:color="auto"/>
        <w:bottom w:val="none" w:sz="0" w:space="0" w:color="auto"/>
        <w:right w:val="none" w:sz="0" w:space="0" w:color="auto"/>
      </w:divBdr>
    </w:div>
    <w:div w:id="1970237064">
      <w:bodyDiv w:val="1"/>
      <w:marLeft w:val="0"/>
      <w:marRight w:val="0"/>
      <w:marTop w:val="0"/>
      <w:marBottom w:val="0"/>
      <w:divBdr>
        <w:top w:val="none" w:sz="0" w:space="0" w:color="auto"/>
        <w:left w:val="none" w:sz="0" w:space="0" w:color="auto"/>
        <w:bottom w:val="none" w:sz="0" w:space="0" w:color="auto"/>
        <w:right w:val="none" w:sz="0" w:space="0" w:color="auto"/>
      </w:divBdr>
    </w:div>
    <w:div w:id="2029718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svg"/><Relationship Id="rId21" Type="http://schemas.openxmlformats.org/officeDocument/2006/relationships/chart" Target="charts/chart4.xml"/><Relationship Id="rId34" Type="http://schemas.openxmlformats.org/officeDocument/2006/relationships/image" Target="media/image12.jpeg"/><Relationship Id="rId42" Type="http://schemas.openxmlformats.org/officeDocument/2006/relationships/hyperlink" Target="http://www.maine.gov/pathways" TargetMode="External"/><Relationship Id="rId47" Type="http://schemas.openxmlformats.org/officeDocument/2006/relationships/chart" Target="charts/chart100.xml"/><Relationship Id="rId50" Type="http://schemas.openxmlformats.org/officeDocument/2006/relationships/footer" Target="footer5.xml"/><Relationship Id="rId55" Type="http://schemas.openxmlformats.org/officeDocument/2006/relationships/hyperlink" Target="https://www.ada.gov/resources/2024-03-08-web-rule/" TargetMode="External"/><Relationship Id="rId63" Type="http://schemas.openxmlformats.org/officeDocument/2006/relationships/hyperlink" Target="https://mainesrc.org" TargetMode="Externa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0.png"/><Relationship Id="rId11" Type="http://schemas.openxmlformats.org/officeDocument/2006/relationships/image" Target="media/image1.jpg"/><Relationship Id="rId24" Type="http://schemas.openxmlformats.org/officeDocument/2006/relationships/image" Target="media/image5.svg"/><Relationship Id="rId32" Type="http://schemas.openxmlformats.org/officeDocument/2006/relationships/chart" Target="charts/chart7.xml"/><Relationship Id="rId37" Type="http://schemas.openxmlformats.org/officeDocument/2006/relationships/hyperlink" Target="https://gcc02.safelinks.protection.outlook.com/?url=https%3A%2F%2Finniveestrategies.com%2Fsolutions%2F&amp;data=05%7C02%7CNancy.A.Winter%40maine.gov%7Cde6d2fcbf029445259bd08de375b7188%7C413fa8ab207d4b629bcdea1a8f2f864e%7C0%7C0%7C639009063080468469%7CUnknown%7CTWFpbGZsb3d8eyJFbXB0eU1hcGkiOnRydWUsIlYiOiIwLjAuMDAwMCIsIlAiOiJXaW4zMiIsIkFOIjoiTWFpbCIsIldUIjoyfQ%3D%3D%7C0%7C%7C%7C&amp;sdata=T8Yu9dxyQ3i8JRRP3E3d6RJFkogU6Am%2FZEGHIauticg%3D&amp;reserved=0" TargetMode="External"/><Relationship Id="rId40" Type="http://schemas.openxmlformats.org/officeDocument/2006/relationships/image" Target="media/image15.jpeg"/><Relationship Id="rId45" Type="http://schemas.openxmlformats.org/officeDocument/2006/relationships/chart" Target="charts/chart9.xml"/><Relationship Id="rId53" Type="http://schemas.openxmlformats.org/officeDocument/2006/relationships/image" Target="media/image18.jpeg"/><Relationship Id="rId58" Type="http://schemas.openxmlformats.org/officeDocument/2006/relationships/hyperlink" Target="https://drme.org/client-assistance-program" TargetMode="External"/><Relationship Id="rId66" Type="http://schemas.openxmlformats.org/officeDocument/2006/relationships/footer" Target="footer6.xml"/><Relationship Id="rId5" Type="http://schemas.openxmlformats.org/officeDocument/2006/relationships/numbering" Target="numbering.xml"/><Relationship Id="rId61" Type="http://schemas.openxmlformats.org/officeDocument/2006/relationships/hyperlink" Target="https://maine-src-dbvi.org" TargetMode="External"/><Relationship Id="rId19" Type="http://schemas.openxmlformats.org/officeDocument/2006/relationships/chart" Target="charts/chart2.xml"/><Relationship Id="rId14" Type="http://schemas.openxmlformats.org/officeDocument/2006/relationships/image" Target="media/image20.png"/><Relationship Id="rId22" Type="http://schemas.openxmlformats.org/officeDocument/2006/relationships/chart" Target="charts/chart5.xml"/><Relationship Id="rId27" Type="http://schemas.openxmlformats.org/officeDocument/2006/relationships/image" Target="media/image8.png"/><Relationship Id="rId30" Type="http://schemas.openxmlformats.org/officeDocument/2006/relationships/image" Target="media/image11.svg"/><Relationship Id="rId35" Type="http://schemas.openxmlformats.org/officeDocument/2006/relationships/image" Target="media/image13.jpeg"/><Relationship Id="rId43" Type="http://schemas.openxmlformats.org/officeDocument/2006/relationships/hyperlink" Target="https://www.maine.gov/pathways/docs/2025/P2PPathwaystoPartnerships2.pdf" TargetMode="External"/><Relationship Id="rId48" Type="http://schemas.openxmlformats.org/officeDocument/2006/relationships/chart" Target="charts/chart11.xml"/><Relationship Id="rId56" Type="http://schemas.openxmlformats.org/officeDocument/2006/relationships/image" Target="media/image19.jpeg"/><Relationship Id="rId64" Type="http://schemas.openxmlformats.org/officeDocument/2006/relationships/hyperlink" Target="mailto:chair@mainesilc.org" TargetMode="External"/><Relationship Id="rId8" Type="http://schemas.openxmlformats.org/officeDocument/2006/relationships/webSettings" Target="webSettings.xml"/><Relationship Id="rId51" Type="http://schemas.openxmlformats.org/officeDocument/2006/relationships/hyperlink" Target="https://www.maine.gov/rehab/docs/2025/dbvi/BlindnessAwarenessMonth.pdf"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6.png"/><Relationship Id="rId33" Type="http://schemas.openxmlformats.org/officeDocument/2006/relationships/chart" Target="charts/chart8.xml"/><Relationship Id="rId38" Type="http://schemas.openxmlformats.org/officeDocument/2006/relationships/hyperlink" Target="http://www.maine.gov/dhhs/TIME" TargetMode="External"/><Relationship Id="rId46" Type="http://schemas.openxmlformats.org/officeDocument/2006/relationships/chart" Target="charts/chart10.xml"/><Relationship Id="rId59" Type="http://schemas.openxmlformats.org/officeDocument/2006/relationships/hyperlink" Target="https://www.maine.gov/rehab/advisory_councils/dod" TargetMode="External"/><Relationship Id="rId67" Type="http://schemas.openxmlformats.org/officeDocument/2006/relationships/fontTable" Target="fontTable.xml"/><Relationship Id="rId20" Type="http://schemas.openxmlformats.org/officeDocument/2006/relationships/chart" Target="charts/chart3.xml"/><Relationship Id="rId41" Type="http://schemas.openxmlformats.org/officeDocument/2006/relationships/image" Target="media/image16.jpeg"/><Relationship Id="rId54" Type="http://schemas.openxmlformats.org/officeDocument/2006/relationships/hyperlink" Target="https://www.maine.gov/oit/sites/maine.gov.oit/files/inline-files/DigitalAccessibilityPolicy.pdf" TargetMode="External"/><Relationship Id="rId62" Type="http://schemas.openxmlformats.org/officeDocument/2006/relationships/hyperlink" Target="http://www.mainesrc.org/hom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4.png"/><Relationship Id="rId28" Type="http://schemas.openxmlformats.org/officeDocument/2006/relationships/image" Target="media/image9.svg"/><Relationship Id="rId36" Type="http://schemas.openxmlformats.org/officeDocument/2006/relationships/hyperlink" Target="https://gcc02.safelinks.protection.outlook.com/?url=https%3A%2F%2Fwww.maine.gov%2Frehab%2Fdod%2Findex.shtml&amp;data=05%7C01%7CTerry.L.Morrell%40maine.gov%7C67ac0decb95f461bd21608dbd973cbd7%7C413fa8ab207d4b629bcdea1a8f2f864e%7C0%7C0%7C638342863580388453%7CUnknown%7CTWFpbGZsb3d8eyJWIjoiMC4wLjAwMDAiLCJQIjoiV2luMzIiLCJBTiI6Ik1haWwiLCJXVCI6Mn0%3D%7C3000%7C%7C%7C&amp;sdata=2UThWNkoKnz0PlPXwJ26aD4L3lhtwUGMgTOCxtgtqWc%3D&amp;reserved=0" TargetMode="External"/><Relationship Id="rId49" Type="http://schemas.openxmlformats.org/officeDocument/2006/relationships/footer" Target="footer4.xml"/><Relationship Id="rId57" Type="http://schemas.openxmlformats.org/officeDocument/2006/relationships/hyperlink" Target="https://legislature.maine.gov/legis/statutes/26/title26sec1416-B.html" TargetMode="External"/><Relationship Id="rId10" Type="http://schemas.openxmlformats.org/officeDocument/2006/relationships/endnotes" Target="endnotes.xml"/><Relationship Id="rId31" Type="http://schemas.openxmlformats.org/officeDocument/2006/relationships/chart" Target="charts/chart6.xml"/><Relationship Id="rId44" Type="http://schemas.openxmlformats.org/officeDocument/2006/relationships/hyperlink" Target="mailto:p2p.grant@maine.gov" TargetMode="External"/><Relationship Id="rId52" Type="http://schemas.openxmlformats.org/officeDocument/2006/relationships/image" Target="media/image17.jpeg"/><Relationship Id="rId60" Type="http://schemas.openxmlformats.org/officeDocument/2006/relationships/hyperlink" Target="https://www.maine.gov/swb/committees/disability_employment/index.shtml" TargetMode="External"/><Relationship Id="rId65" Type="http://schemas.openxmlformats.org/officeDocument/2006/relationships/hyperlink" Target="https://gcc02.safelinks.protection.outlook.com/?url=https%3A%2F%2Fnorthstarworks.org%2Fsites%2Fsilc%2F&amp;data=05%7C02%7CAmanda.R.Favreau%40maine.gov%7C4993771a801542b4607e08de47e72694%7C413fa8ab207d4b629bcdea1a8f2f864e%7C0%7C0%7C639027255264174098%7CUnknown%7CTWFpbGZsb3d8eyJFbXB0eU1hcGkiOnRydWUsIlYiOiIwLjAuMDAwMCIsIlAiOiJXaW4zMiIsIkFOIjoiTWFpbCIsIldUIjoyfQ%3D%3D%7C0%7C%7C%7C&amp;sdata=jx7Ul%2FhR4kfIOSV4AidK9hTv8LRFicQMyMJZmGAq%2FjE%3D&amp;reserved=0"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chart" Target="charts/chart1.xml"/><Relationship Id="rId39" Type="http://schemas.openxmlformats.org/officeDocument/2006/relationships/image" Target="media/image14.jpg"/></Relationships>
</file>

<file path=word/_rels/footnotes.xml.rels><?xml version="1.0" encoding="UTF-8" standalone="yes"?>
<Relationships xmlns="http://schemas.openxmlformats.org/package/2006/relationships"><Relationship Id="rId1" Type="http://schemas.openxmlformats.org/officeDocument/2006/relationships/hyperlink" Target="https://www.maine.gov/oit/sites/maine.gov.oit/files/inline-files/DigitalAccessibilityPolicy.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8.xml"/><Relationship Id="rId1" Type="http://schemas.microsoft.com/office/2011/relationships/chartStyle" Target="style8.xml"/></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Worksheet90.xlsx"/><Relationship Id="rId2" Type="http://schemas.microsoft.com/office/2011/relationships/chartColorStyle" Target="colors80.xml"/><Relationship Id="rId1" Type="http://schemas.microsoft.com/office/2011/relationships/chartStyle" Target="style8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a:solidFill>
                  <a:sysClr val="windowText" lastClr="000000"/>
                </a:solidFill>
              </a:rPr>
              <a:t>Major Disabling</a:t>
            </a:r>
            <a:r>
              <a:rPr lang="en-US" sz="1000" baseline="0">
                <a:solidFill>
                  <a:sysClr val="windowText" lastClr="000000"/>
                </a:solidFill>
              </a:rPr>
              <a:t> Conditions of Individuals  </a:t>
            </a:r>
          </a:p>
          <a:p>
            <a:pPr>
              <a:defRPr sz="1000"/>
            </a:pPr>
            <a:r>
              <a:rPr lang="en-US" sz="1000" baseline="0">
                <a:solidFill>
                  <a:sysClr val="windowText" lastClr="000000"/>
                </a:solidFill>
              </a:rPr>
              <a:t>Receiving VR Services from BRS</a:t>
            </a:r>
            <a:endParaRPr lang="en-US" sz="1000">
              <a:solidFill>
                <a:sysClr val="windowText" lastClr="000000"/>
              </a:solidFill>
            </a:endParaRPr>
          </a:p>
        </c:rich>
      </c:tx>
      <c:layout>
        <c:manualLayout>
          <c:xMode val="edge"/>
          <c:yMode val="edge"/>
          <c:x val="0.28934298642936696"/>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autoTitleDeleted val="0"/>
    <c:view3D>
      <c:rotX val="30"/>
      <c:rotY val="30"/>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181339268458427"/>
          <c:y val="0.46698600174978128"/>
          <c:w val="0.63208525031368779"/>
          <c:h val="0.50135250139187149"/>
        </c:manualLayout>
      </c:layout>
      <c:pie3DChart>
        <c:varyColors val="1"/>
        <c:ser>
          <c:idx val="0"/>
          <c:order val="0"/>
          <c:tx>
            <c:strRef>
              <c:f>Sheet1!$B$1</c:f>
              <c:strCache>
                <c:ptCount val="1"/>
                <c:pt idx="0">
                  <c:v>Percent</c:v>
                </c:pt>
              </c:strCache>
            </c:strRef>
          </c:tx>
          <c:explosion val="46"/>
          <c:dPt>
            <c:idx val="0"/>
            <c:bubble3D val="0"/>
            <c:explosion val="20"/>
            <c:spPr>
              <a:solidFill>
                <a:schemeClr val="accent1"/>
              </a:solidFill>
              <a:ln>
                <a:noFill/>
              </a:ln>
              <a:effectLst/>
              <a:sp3d/>
            </c:spPr>
            <c:extLst>
              <c:ext xmlns:c16="http://schemas.microsoft.com/office/drawing/2014/chart" uri="{C3380CC4-5D6E-409C-BE32-E72D297353CC}">
                <c16:uniqueId val="{00000001-0581-43EA-BBA4-76C4D68875B7}"/>
              </c:ext>
            </c:extLst>
          </c:dPt>
          <c:dPt>
            <c:idx val="1"/>
            <c:bubble3D val="0"/>
            <c:explosion val="14"/>
            <c:spPr>
              <a:solidFill>
                <a:schemeClr val="accent3"/>
              </a:solidFill>
              <a:ln>
                <a:noFill/>
              </a:ln>
              <a:effectLst/>
              <a:sp3d/>
            </c:spPr>
            <c:extLst>
              <c:ext xmlns:c16="http://schemas.microsoft.com/office/drawing/2014/chart" uri="{C3380CC4-5D6E-409C-BE32-E72D297353CC}">
                <c16:uniqueId val="{00000003-0581-43EA-BBA4-76C4D68875B7}"/>
              </c:ext>
            </c:extLst>
          </c:dPt>
          <c:dPt>
            <c:idx val="2"/>
            <c:bubble3D val="0"/>
            <c:explosion val="23"/>
            <c:spPr>
              <a:solidFill>
                <a:schemeClr val="accent5"/>
              </a:solidFill>
              <a:ln>
                <a:noFill/>
              </a:ln>
              <a:effectLst/>
              <a:sp3d/>
            </c:spPr>
            <c:extLst>
              <c:ext xmlns:c16="http://schemas.microsoft.com/office/drawing/2014/chart" uri="{C3380CC4-5D6E-409C-BE32-E72D297353CC}">
                <c16:uniqueId val="{00000005-0581-43EA-BBA4-76C4D68875B7}"/>
              </c:ext>
            </c:extLst>
          </c:dPt>
          <c:dPt>
            <c:idx val="3"/>
            <c:bubble3D val="0"/>
            <c:explosion val="29"/>
            <c:spPr>
              <a:solidFill>
                <a:schemeClr val="accent1">
                  <a:lumMod val="60000"/>
                </a:schemeClr>
              </a:solidFill>
              <a:ln>
                <a:noFill/>
              </a:ln>
              <a:effectLst/>
              <a:sp3d/>
            </c:spPr>
            <c:extLst>
              <c:ext xmlns:c16="http://schemas.microsoft.com/office/drawing/2014/chart" uri="{C3380CC4-5D6E-409C-BE32-E72D297353CC}">
                <c16:uniqueId val="{00000007-0581-43EA-BBA4-76C4D68875B7}"/>
              </c:ext>
            </c:extLst>
          </c:dPt>
          <c:dPt>
            <c:idx val="4"/>
            <c:bubble3D val="0"/>
            <c:explosion val="29"/>
            <c:spPr>
              <a:solidFill>
                <a:schemeClr val="accent3">
                  <a:lumMod val="60000"/>
                </a:schemeClr>
              </a:solidFill>
              <a:ln>
                <a:noFill/>
              </a:ln>
              <a:effectLst/>
              <a:sp3d/>
            </c:spPr>
            <c:extLst>
              <c:ext xmlns:c16="http://schemas.microsoft.com/office/drawing/2014/chart" uri="{C3380CC4-5D6E-409C-BE32-E72D297353CC}">
                <c16:uniqueId val="{00000009-0581-43EA-BBA4-76C4D68875B7}"/>
              </c:ext>
            </c:extLst>
          </c:dPt>
          <c:dLbls>
            <c:dLbl>
              <c:idx val="0"/>
              <c:layout>
                <c:manualLayout>
                  <c:x val="-0.12726354309568871"/>
                  <c:y val="-0.10455998736241609"/>
                </c:manualLayout>
              </c:layout>
              <c:showLegendKey val="0"/>
              <c:showVal val="0"/>
              <c:showCatName val="1"/>
              <c:showSerName val="0"/>
              <c:showPercent val="1"/>
              <c:showBubbleSize val="0"/>
              <c:extLst>
                <c:ext xmlns:c15="http://schemas.microsoft.com/office/drawing/2012/chart" uri="{CE6537A1-D6FC-4f65-9D91-7224C49458BB}">
                  <c15:layout>
                    <c:manualLayout>
                      <c:w val="0.21637710716427508"/>
                      <c:h val="0.29285108787793163"/>
                    </c:manualLayout>
                  </c15:layout>
                </c:ext>
                <c:ext xmlns:c16="http://schemas.microsoft.com/office/drawing/2014/chart" uri="{C3380CC4-5D6E-409C-BE32-E72D297353CC}">
                  <c16:uniqueId val="{00000001-0581-43EA-BBA4-76C4D68875B7}"/>
                </c:ext>
              </c:extLst>
            </c:dLbl>
            <c:dLbl>
              <c:idx val="1"/>
              <c:layout>
                <c:manualLayout>
                  <c:x val="2.1719562131884876E-2"/>
                  <c:y val="-7.1700549077260853E-2"/>
                </c:manualLayout>
              </c:layout>
              <c:tx>
                <c:rich>
                  <a:bodyPr/>
                  <a:lstStyle/>
                  <a:p>
                    <a:fld id="{5FFB5191-7B43-45C5-AB8A-7B40C7B940BA}" type="CATEGORYNAME">
                      <a:rPr lang="en-US" sz="1000"/>
                      <a:pPr/>
                      <a:t>[CATEGORY NAME]</a:t>
                    </a:fld>
                    <a:r>
                      <a:rPr lang="en-US" sz="1000" baseline="0"/>
                      <a:t>
</a:t>
                    </a:r>
                    <a:fld id="{42224AF5-B26C-47FA-A080-E32A8F72B143}" type="PERCENTAGE">
                      <a:rPr lang="en-US" sz="1000" baseline="0"/>
                      <a:pPr/>
                      <a:t>[PERCENTAGE]</a:t>
                    </a:fld>
                    <a:endParaRPr lang="en-US" sz="1000" baseline="0"/>
                  </a:p>
                </c:rich>
              </c:tx>
              <c:showLegendKey val="0"/>
              <c:showVal val="0"/>
              <c:showCatName val="1"/>
              <c:showSerName val="0"/>
              <c:showPercent val="1"/>
              <c:showBubbleSize val="0"/>
              <c:extLst>
                <c:ext xmlns:c15="http://schemas.microsoft.com/office/drawing/2012/chart" uri="{CE6537A1-D6FC-4f65-9D91-7224C49458BB}">
                  <c15:layout>
                    <c:manualLayout>
                      <c:w val="0.26810929049299104"/>
                      <c:h val="0.31793313205162715"/>
                    </c:manualLayout>
                  </c15:layout>
                  <c15:dlblFieldTable/>
                  <c15:showDataLabelsRange val="0"/>
                </c:ext>
                <c:ext xmlns:c16="http://schemas.microsoft.com/office/drawing/2014/chart" uri="{C3380CC4-5D6E-409C-BE32-E72D297353CC}">
                  <c16:uniqueId val="{00000003-0581-43EA-BBA4-76C4D68875B7}"/>
                </c:ext>
              </c:extLst>
            </c:dLbl>
            <c:dLbl>
              <c:idx val="2"/>
              <c:layout>
                <c:manualLayout>
                  <c:x val="9.2485741507858557E-2"/>
                  <c:y val="0"/>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581-43EA-BBA4-76C4D68875B7}"/>
                </c:ext>
              </c:extLst>
            </c:dLbl>
            <c:dLbl>
              <c:idx val="3"/>
              <c:layout>
                <c:manualLayout>
                  <c:x val="-0.17649825686682782"/>
                  <c:y val="-2.245598746796966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581-43EA-BBA4-76C4D68875B7}"/>
                </c:ext>
              </c:extLst>
            </c:dLbl>
            <c:dLbl>
              <c:idx val="4"/>
              <c:layout>
                <c:manualLayout>
                  <c:x val="-0.11558091888999313"/>
                  <c:y val="2.0996913702370071E-2"/>
                </c:manualLayout>
              </c:layout>
              <c:showLegendKey val="0"/>
              <c:showVal val="0"/>
              <c:showCatName val="1"/>
              <c:showSerName val="0"/>
              <c:showPercent val="1"/>
              <c:showBubbleSize val="0"/>
              <c:extLst>
                <c:ext xmlns:c15="http://schemas.microsoft.com/office/drawing/2012/chart" uri="{CE6537A1-D6FC-4f65-9D91-7224C49458BB}">
                  <c15:layout>
                    <c:manualLayout>
                      <c:w val="0.26735961745874404"/>
                      <c:h val="0.26171717171717174"/>
                    </c:manualLayout>
                  </c15:layout>
                </c:ext>
                <c:ext xmlns:c16="http://schemas.microsoft.com/office/drawing/2014/chart" uri="{C3380CC4-5D6E-409C-BE32-E72D297353CC}">
                  <c16:uniqueId val="{00000009-0581-43EA-BBA4-76C4D68875B7}"/>
                </c:ext>
              </c:extLst>
            </c:dLbl>
            <c:dLbl>
              <c:idx val="5"/>
              <c:layout>
                <c:manualLayout>
                  <c:x val="3.6423401350365647E-2"/>
                  <c:y val="-3.441064185158675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0581-43EA-BBA4-76C4D68875B7}"/>
                </c:ext>
              </c:extLst>
            </c:dLbl>
            <c:numFmt formatCode="0.0%" sourceLinked="0"/>
            <c:spPr>
              <a:noFill/>
              <a:ln>
                <a:noFill/>
              </a:ln>
              <a:effectLst/>
            </c:spPr>
            <c:txPr>
              <a:bodyPr rot="0" spcFirstLastPara="1" vertOverflow="ellipsis" vert="horz" wrap="square" anchor="ctr" anchorCtr="0"/>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Sheet1!$A$2:$A$6</c:f>
              <c:strCache>
                <c:ptCount val="5"/>
                <c:pt idx="0">
                  <c:v>Blind or Visually Impaired</c:v>
                </c:pt>
                <c:pt idx="1">
                  <c:v>Deaf, Hard of Hearing, Communicative</c:v>
                </c:pt>
                <c:pt idx="2">
                  <c:v>Physical Disability</c:v>
                </c:pt>
                <c:pt idx="3">
                  <c:v>Cognitive Disability</c:v>
                </c:pt>
                <c:pt idx="4">
                  <c:v>Psychological/ Psychosocial</c:v>
                </c:pt>
              </c:strCache>
            </c:strRef>
          </c:cat>
          <c:val>
            <c:numRef>
              <c:f>Sheet1!$B$2:$B$6</c:f>
              <c:numCache>
                <c:formatCode>0.0%</c:formatCode>
                <c:ptCount val="5"/>
                <c:pt idx="0">
                  <c:v>3.0786773090079819E-2</c:v>
                </c:pt>
                <c:pt idx="1">
                  <c:v>0.13283922462941847</c:v>
                </c:pt>
                <c:pt idx="2">
                  <c:v>0.13226909920182439</c:v>
                </c:pt>
                <c:pt idx="3">
                  <c:v>0.3820980615735462</c:v>
                </c:pt>
                <c:pt idx="4">
                  <c:v>0.32200684150513115</c:v>
                </c:pt>
              </c:numCache>
            </c:numRef>
          </c:val>
          <c:extLst>
            <c:ext xmlns:c16="http://schemas.microsoft.com/office/drawing/2014/chart" uri="{C3380CC4-5D6E-409C-BE32-E72D297353CC}">
              <c16:uniqueId val="{0000000B-0581-43EA-BBA4-76C4D68875B7}"/>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solidFill>
        <a:prstClr val="black"/>
      </a:solidFill>
      <a:prstDash val="solid"/>
      <a:round/>
    </a:ln>
    <a:effectLst/>
  </c:spPr>
  <c:txPr>
    <a:bodyPr/>
    <a:lstStyle/>
    <a:p>
      <a:pPr>
        <a:defRPr sz="1000"/>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baseline="0">
                <a:solidFill>
                  <a:sysClr val="windowText" lastClr="000000"/>
                </a:solidFill>
              </a:rPr>
              <a:t>VR Case Service Expenditures for DBVI</a:t>
            </a:r>
          </a:p>
          <a:p>
            <a:pPr>
              <a:defRPr sz="1000">
                <a:solidFill>
                  <a:sysClr val="windowText" lastClr="000000"/>
                </a:solidFill>
              </a:defRPr>
            </a:pPr>
            <a:r>
              <a:rPr lang="en-US" sz="1000" baseline="0">
                <a:solidFill>
                  <a:sysClr val="windowText" lastClr="000000"/>
                </a:solidFill>
              </a:rPr>
              <a:t>$839,404.15</a:t>
            </a:r>
            <a:endParaRPr lang="en-US" sz="1000">
              <a:solidFill>
                <a:sysClr val="windowText" lastClr="000000"/>
              </a:solidFill>
            </a:endParaRPr>
          </a:p>
        </c:rich>
      </c:tx>
      <c:layout>
        <c:manualLayout>
          <c:xMode val="edge"/>
          <c:yMode val="edge"/>
          <c:x val="0.25140527701971571"/>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8486399427344311"/>
          <c:y val="0.26730587248022569"/>
          <c:w val="0.51262399018304527"/>
          <c:h val="0.4007202671094684"/>
        </c:manualLayout>
      </c:layout>
      <c:pie3DChart>
        <c:varyColors val="1"/>
        <c:ser>
          <c:idx val="0"/>
          <c:order val="0"/>
          <c:tx>
            <c:strRef>
              <c:f>Sheet1!$B$1</c:f>
              <c:strCache>
                <c:ptCount val="1"/>
                <c:pt idx="0">
                  <c:v>Percent</c:v>
                </c:pt>
              </c:strCache>
            </c:strRef>
          </c:tx>
          <c:explosion val="22"/>
          <c:dPt>
            <c:idx val="0"/>
            <c:bubble3D val="0"/>
            <c:spPr>
              <a:solidFill>
                <a:schemeClr val="accent1"/>
              </a:solidFill>
              <a:ln>
                <a:noFill/>
              </a:ln>
              <a:effectLst/>
              <a:sp3d/>
            </c:spPr>
            <c:extLst>
              <c:ext xmlns:c16="http://schemas.microsoft.com/office/drawing/2014/chart" uri="{C3380CC4-5D6E-409C-BE32-E72D297353CC}">
                <c16:uniqueId val="{00000004-AD40-492B-A3F2-5968757E8E1E}"/>
              </c:ext>
            </c:extLst>
          </c:dPt>
          <c:dPt>
            <c:idx val="1"/>
            <c:bubble3D val="0"/>
            <c:spPr>
              <a:solidFill>
                <a:schemeClr val="accent3"/>
              </a:solidFill>
              <a:ln>
                <a:noFill/>
              </a:ln>
              <a:effectLst/>
              <a:sp3d/>
            </c:spPr>
            <c:extLst>
              <c:ext xmlns:c16="http://schemas.microsoft.com/office/drawing/2014/chart" uri="{C3380CC4-5D6E-409C-BE32-E72D297353CC}">
                <c16:uniqueId val="{00000005-AD40-492B-A3F2-5968757E8E1E}"/>
              </c:ext>
            </c:extLst>
          </c:dPt>
          <c:dPt>
            <c:idx val="2"/>
            <c:bubble3D val="0"/>
            <c:spPr>
              <a:solidFill>
                <a:schemeClr val="accent5"/>
              </a:solidFill>
              <a:ln>
                <a:noFill/>
              </a:ln>
              <a:effectLst/>
              <a:sp3d/>
            </c:spPr>
            <c:extLst>
              <c:ext xmlns:c16="http://schemas.microsoft.com/office/drawing/2014/chart" uri="{C3380CC4-5D6E-409C-BE32-E72D297353CC}">
                <c16:uniqueId val="{00000006-AD40-492B-A3F2-5968757E8E1E}"/>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AD40-492B-A3F2-5968757E8E1E}"/>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8-AD40-492B-A3F2-5968757E8E1E}"/>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9-AD40-492B-A3F2-5968757E8E1E}"/>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1-AD40-492B-A3F2-5968757E8E1E}"/>
              </c:ext>
            </c:extLst>
          </c:dPt>
          <c:dPt>
            <c:idx val="7"/>
            <c:bubble3D val="0"/>
            <c:spPr>
              <a:solidFill>
                <a:schemeClr val="accent3">
                  <a:lumMod val="80000"/>
                  <a:lumOff val="20000"/>
                </a:schemeClr>
              </a:solidFill>
              <a:ln>
                <a:noFill/>
              </a:ln>
              <a:effectLst/>
              <a:sp3d/>
            </c:spPr>
            <c:extLst>
              <c:ext xmlns:c16="http://schemas.microsoft.com/office/drawing/2014/chart" uri="{C3380CC4-5D6E-409C-BE32-E72D297353CC}">
                <c16:uniqueId val="{00000003-AD40-492B-A3F2-5968757E8E1E}"/>
              </c:ext>
            </c:extLst>
          </c:dPt>
          <c:dPt>
            <c:idx val="8"/>
            <c:bubble3D val="0"/>
            <c:spPr>
              <a:solidFill>
                <a:schemeClr val="accent5">
                  <a:lumMod val="80000"/>
                  <a:lumOff val="20000"/>
                </a:schemeClr>
              </a:solidFill>
              <a:ln>
                <a:noFill/>
              </a:ln>
              <a:effectLst/>
              <a:sp3d/>
            </c:spPr>
            <c:extLst>
              <c:ext xmlns:c16="http://schemas.microsoft.com/office/drawing/2014/chart" uri="{C3380CC4-5D6E-409C-BE32-E72D297353CC}">
                <c16:uniqueId val="{00000005-6E63-4C8A-8DBE-91B352C50961}"/>
              </c:ext>
            </c:extLst>
          </c:dPt>
          <c:dPt>
            <c:idx val="9"/>
            <c:bubble3D val="0"/>
            <c:spPr>
              <a:solidFill>
                <a:schemeClr val="accent1">
                  <a:lumMod val="80000"/>
                </a:schemeClr>
              </a:solidFill>
              <a:ln>
                <a:noFill/>
              </a:ln>
              <a:effectLst/>
              <a:sp3d/>
            </c:spPr>
            <c:extLst>
              <c:ext xmlns:c16="http://schemas.microsoft.com/office/drawing/2014/chart" uri="{C3380CC4-5D6E-409C-BE32-E72D297353CC}">
                <c16:uniqueId val="{00000005-625C-4D29-9003-6097233730DB}"/>
              </c:ext>
            </c:extLst>
          </c:dPt>
          <c:dPt>
            <c:idx val="10"/>
            <c:bubble3D val="0"/>
            <c:spPr>
              <a:solidFill>
                <a:schemeClr val="accent3">
                  <a:lumMod val="80000"/>
                </a:schemeClr>
              </a:solidFill>
              <a:ln>
                <a:noFill/>
              </a:ln>
              <a:effectLst/>
              <a:sp3d/>
            </c:spPr>
            <c:extLst>
              <c:ext xmlns:c16="http://schemas.microsoft.com/office/drawing/2014/chart" uri="{C3380CC4-5D6E-409C-BE32-E72D297353CC}">
                <c16:uniqueId val="{00000015-E294-4F07-B81F-51D2574C2B94}"/>
              </c:ext>
            </c:extLst>
          </c:dPt>
          <c:dLbls>
            <c:dLbl>
              <c:idx val="0"/>
              <c:layout>
                <c:manualLayout>
                  <c:x val="9.4714918739895543E-2"/>
                  <c:y val="6.8965698253235591E-2"/>
                </c:manualLayout>
              </c:layout>
              <c:showLegendKey val="0"/>
              <c:showVal val="0"/>
              <c:showCatName val="1"/>
              <c:showSerName val="0"/>
              <c:showPercent val="1"/>
              <c:showBubbleSize val="0"/>
              <c:extLst>
                <c:ext xmlns:c15="http://schemas.microsoft.com/office/drawing/2012/chart" uri="{CE6537A1-D6FC-4f65-9D91-7224C49458BB}">
                  <c15:layout>
                    <c:manualLayout>
                      <c:w val="0.23801061157677866"/>
                      <c:h val="0.2964122193059201"/>
                    </c:manualLayout>
                  </c15:layout>
                </c:ext>
                <c:ext xmlns:c16="http://schemas.microsoft.com/office/drawing/2014/chart" uri="{C3380CC4-5D6E-409C-BE32-E72D297353CC}">
                  <c16:uniqueId val="{00000004-AD40-492B-A3F2-5968757E8E1E}"/>
                </c:ext>
              </c:extLst>
            </c:dLbl>
            <c:dLbl>
              <c:idx val="1"/>
              <c:layout>
                <c:manualLayout>
                  <c:x val="-9.7582683710670831E-2"/>
                  <c:y val="0.14260295049325722"/>
                </c:manualLayout>
              </c:layout>
              <c:showLegendKey val="0"/>
              <c:showVal val="0"/>
              <c:showCatName val="1"/>
              <c:showSerName val="0"/>
              <c:showPercent val="1"/>
              <c:showBubbleSize val="0"/>
              <c:extLst>
                <c:ext xmlns:c15="http://schemas.microsoft.com/office/drawing/2012/chart" uri="{CE6537A1-D6FC-4f65-9D91-7224C49458BB}">
                  <c15:layout>
                    <c:manualLayout>
                      <c:w val="0.19528185165272663"/>
                      <c:h val="0.18873033727926866"/>
                    </c:manualLayout>
                  </c15:layout>
                </c:ext>
                <c:ext xmlns:c16="http://schemas.microsoft.com/office/drawing/2014/chart" uri="{C3380CC4-5D6E-409C-BE32-E72D297353CC}">
                  <c16:uniqueId val="{00000005-AD40-492B-A3F2-5968757E8E1E}"/>
                </c:ext>
              </c:extLst>
            </c:dLbl>
            <c:dLbl>
              <c:idx val="2"/>
              <c:layout>
                <c:manualLayout>
                  <c:x val="0.21643110072587554"/>
                  <c:y val="6.530618155489192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AD40-492B-A3F2-5968757E8E1E}"/>
                </c:ext>
              </c:extLst>
            </c:dLbl>
            <c:dLbl>
              <c:idx val="3"/>
              <c:layout>
                <c:manualLayout>
                  <c:x val="0.10584693122835954"/>
                  <c:y val="0.2162483482668113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D40-492B-A3F2-5968757E8E1E}"/>
                </c:ext>
              </c:extLst>
            </c:dLbl>
            <c:dLbl>
              <c:idx val="4"/>
              <c:layout>
                <c:manualLayout>
                  <c:x val="-0.1188605913038925"/>
                  <c:y val="0.2844478233324281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AD40-492B-A3F2-5968757E8E1E}"/>
                </c:ext>
              </c:extLst>
            </c:dLbl>
            <c:dLbl>
              <c:idx val="5"/>
              <c:layout>
                <c:manualLayout>
                  <c:x val="-9.3146660906788151E-2"/>
                  <c:y val="0.1362548646936374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D40-492B-A3F2-5968757E8E1E}"/>
                </c:ext>
              </c:extLst>
            </c:dLbl>
            <c:dLbl>
              <c:idx val="6"/>
              <c:layout>
                <c:manualLayout>
                  <c:x val="-0.1045533148755408"/>
                  <c:y val="8.054737985338039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D40-492B-A3F2-5968757E8E1E}"/>
                </c:ext>
              </c:extLst>
            </c:dLbl>
            <c:dLbl>
              <c:idx val="7"/>
              <c:layout>
                <c:manualLayout>
                  <c:x val="-9.210176658092302E-2"/>
                  <c:y val="-5.1443750565662007E-2"/>
                </c:manualLayout>
              </c:layout>
              <c:tx>
                <c:rich>
                  <a:bodyPr/>
                  <a:lstStyle/>
                  <a:p>
                    <a:r>
                      <a:rPr lang="en-US" sz="900">
                        <a:solidFill>
                          <a:schemeClr val="tx1"/>
                        </a:solidFill>
                      </a:rPr>
                      <a:t>On-The-Job</a:t>
                    </a:r>
                    <a:r>
                      <a:rPr lang="en-US" sz="900" baseline="0">
                        <a:solidFill>
                          <a:schemeClr val="tx1"/>
                        </a:solidFill>
                      </a:rPr>
                      <a:t> Supports</a:t>
                    </a:r>
                    <a:r>
                      <a:rPr lang="en-US" sz="900">
                        <a:solidFill>
                          <a:schemeClr val="tx1"/>
                        </a:solidFill>
                      </a:rPr>
                      <a:t>
0.2%</a:t>
                    </a:r>
                  </a:p>
                </c:rich>
              </c:tx>
              <c:showLegendKey val="0"/>
              <c:showVal val="0"/>
              <c:showCatName val="1"/>
              <c:showSerName val="0"/>
              <c:showPercent val="1"/>
              <c:showBubbleSize val="0"/>
              <c:extLst>
                <c:ext xmlns:c15="http://schemas.microsoft.com/office/drawing/2012/chart" uri="{CE6537A1-D6FC-4f65-9D91-7224C49458BB}">
                  <c15:layout>
                    <c:manualLayout>
                      <c:w val="0.19065446364658964"/>
                      <c:h val="0.23573124787972932"/>
                    </c:manualLayout>
                  </c15:layout>
                  <c15:showDataLabelsRange val="0"/>
                </c:ext>
                <c:ext xmlns:c16="http://schemas.microsoft.com/office/drawing/2014/chart" uri="{C3380CC4-5D6E-409C-BE32-E72D297353CC}">
                  <c16:uniqueId val="{00000003-AD40-492B-A3F2-5968757E8E1E}"/>
                </c:ext>
              </c:extLst>
            </c:dLbl>
            <c:dLbl>
              <c:idx val="8"/>
              <c:layout>
                <c:manualLayout>
                  <c:x val="4.9982654911278086E-3"/>
                  <c:y val="-0.13931595619513079"/>
                </c:manualLayout>
              </c:layout>
              <c:tx>
                <c:rich>
                  <a:bodyPr/>
                  <a:lstStyle/>
                  <a:p>
                    <a:r>
                      <a:rPr lang="en-US" baseline="0">
                        <a:solidFill>
                          <a:schemeClr val="tx1"/>
                        </a:solidFill>
                      </a:rPr>
                      <a:t>Transportation
</a:t>
                    </a:r>
                    <a:fld id="{2EC18D67-AE24-4104-A18D-1D4F6DC82CA2}" type="PERCENTAGE">
                      <a:rPr lang="en-US" baseline="0">
                        <a:solidFill>
                          <a:schemeClr val="tx1"/>
                        </a:solidFill>
                      </a:rPr>
                      <a:pPr/>
                      <a:t>[PERCENTAGE]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layout>
                    <c:manualLayout>
                      <c:w val="0.27842545866305363"/>
                      <c:h val="0.14925079192687118"/>
                    </c:manualLayout>
                  </c15:layout>
                  <c15:dlblFieldTable/>
                  <c15:showDataLabelsRange val="0"/>
                </c:ext>
                <c:ext xmlns:c16="http://schemas.microsoft.com/office/drawing/2014/chart" uri="{C3380CC4-5D6E-409C-BE32-E72D297353CC}">
                  <c16:uniqueId val="{00000005-6E63-4C8A-8DBE-91B352C50961}"/>
                </c:ext>
              </c:extLst>
            </c:dLbl>
            <c:dLbl>
              <c:idx val="9"/>
              <c:layout>
                <c:manualLayout>
                  <c:x val="-3.0528403400946515E-2"/>
                  <c:y val="-4.536193320662505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25C-4D29-9003-6097233730DB}"/>
                </c:ext>
              </c:extLst>
            </c:dLbl>
            <c:dLbl>
              <c:idx val="10"/>
              <c:layout>
                <c:manualLayout>
                  <c:x val="3.5298368252596857E-2"/>
                  <c:y val="-2.747434156937279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E294-4F07-B81F-51D2574C2B94}"/>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Sheet1!$A$2:$A$12</c:f>
              <c:strCache>
                <c:ptCount val="11"/>
                <c:pt idx="0">
                  <c:v>Job Development and Placement</c:v>
                </c:pt>
                <c:pt idx="1">
                  <c:v>Other Services</c:v>
                </c:pt>
                <c:pt idx="2">
                  <c:v>Rehab Technology</c:v>
                </c:pt>
                <c:pt idx="3">
                  <c:v>Diagnosis and Treatment</c:v>
                </c:pt>
                <c:pt idx="4">
                  <c:v>College or University Training</c:v>
                </c:pt>
                <c:pt idx="5">
                  <c:v>Other Training</c:v>
                </c:pt>
                <c:pt idx="6">
                  <c:v>Assessment</c:v>
                </c:pt>
                <c:pt idx="7">
                  <c:v>On-the-Job Supports</c:v>
                </c:pt>
                <c:pt idx="8">
                  <c:v>Transportation</c:v>
                </c:pt>
                <c:pt idx="9">
                  <c:v>Pre-ETS</c:v>
                </c:pt>
                <c:pt idx="10">
                  <c:v>Maintenance</c:v>
                </c:pt>
              </c:strCache>
            </c:strRef>
          </c:cat>
          <c:val>
            <c:numRef>
              <c:f>Sheet1!$B$2:$B$12</c:f>
              <c:numCache>
                <c:formatCode>0.0%</c:formatCode>
                <c:ptCount val="11"/>
                <c:pt idx="0">
                  <c:v>0.14056449446908265</c:v>
                </c:pt>
                <c:pt idx="1">
                  <c:v>0.36307990614532942</c:v>
                </c:pt>
                <c:pt idx="2">
                  <c:v>0.15742217857750643</c:v>
                </c:pt>
                <c:pt idx="3">
                  <c:v>3.4069869680772961E-2</c:v>
                </c:pt>
                <c:pt idx="4">
                  <c:v>1.530767985838526E-2</c:v>
                </c:pt>
                <c:pt idx="5">
                  <c:v>4.0219672490301596E-2</c:v>
                </c:pt>
                <c:pt idx="6">
                  <c:v>1.136091595448986E-2</c:v>
                </c:pt>
                <c:pt idx="7">
                  <c:v>1.3235579071178049E-2</c:v>
                </c:pt>
                <c:pt idx="8">
                  <c:v>0.12489003062469968</c:v>
                </c:pt>
                <c:pt idx="9">
                  <c:v>9.9703843494221456E-2</c:v>
                </c:pt>
                <c:pt idx="10">
                  <c:v>1.4582963403266471E-4</c:v>
                </c:pt>
              </c:numCache>
            </c:numRef>
          </c:val>
          <c:extLst>
            <c:ext xmlns:c16="http://schemas.microsoft.com/office/drawing/2014/chart" uri="{C3380CC4-5D6E-409C-BE32-E72D297353CC}">
              <c16:uniqueId val="{0000000A-AD40-492B-A3F2-5968757E8E1E}"/>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pPr>
      <a:endParaRPr lang="en-US"/>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baseline="0">
                <a:solidFill>
                  <a:sysClr val="windowText" lastClr="000000"/>
                </a:solidFill>
              </a:rPr>
              <a:t>VR Case Service Expenditures for DBVI</a:t>
            </a:r>
          </a:p>
          <a:p>
            <a:pPr>
              <a:defRPr sz="1000">
                <a:solidFill>
                  <a:sysClr val="windowText" lastClr="000000"/>
                </a:solidFill>
              </a:defRPr>
            </a:pPr>
            <a:r>
              <a:rPr lang="en-US" sz="1000" baseline="0">
                <a:solidFill>
                  <a:sysClr val="windowText" lastClr="000000"/>
                </a:solidFill>
              </a:rPr>
              <a:t>$839,404.15</a:t>
            </a:r>
            <a:endParaRPr lang="en-US" sz="1000">
              <a:solidFill>
                <a:sysClr val="windowText" lastClr="000000"/>
              </a:solidFill>
            </a:endParaRPr>
          </a:p>
        </c:rich>
      </c:tx>
      <c:layout>
        <c:manualLayout>
          <c:xMode val="edge"/>
          <c:yMode val="edge"/>
          <c:x val="0.25140527701971571"/>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8486399427344311"/>
          <c:y val="0.26730587248022569"/>
          <c:w val="0.51262399018304527"/>
          <c:h val="0.4007202671094684"/>
        </c:manualLayout>
      </c:layout>
      <c:pie3DChart>
        <c:varyColors val="1"/>
        <c:ser>
          <c:idx val="0"/>
          <c:order val="0"/>
          <c:tx>
            <c:strRef>
              <c:f>Sheet1!$B$1</c:f>
              <c:strCache>
                <c:ptCount val="1"/>
                <c:pt idx="0">
                  <c:v>Percent</c:v>
                </c:pt>
              </c:strCache>
            </c:strRef>
          </c:tx>
          <c:explosion val="22"/>
          <c:dPt>
            <c:idx val="0"/>
            <c:bubble3D val="0"/>
            <c:spPr>
              <a:solidFill>
                <a:schemeClr val="accent1"/>
              </a:solidFill>
              <a:ln>
                <a:noFill/>
              </a:ln>
              <a:effectLst/>
              <a:sp3d/>
            </c:spPr>
            <c:extLst>
              <c:ext xmlns:c16="http://schemas.microsoft.com/office/drawing/2014/chart" uri="{C3380CC4-5D6E-409C-BE32-E72D297353CC}">
                <c16:uniqueId val="{00000004-AD40-492B-A3F2-5968757E8E1E}"/>
              </c:ext>
            </c:extLst>
          </c:dPt>
          <c:dPt>
            <c:idx val="1"/>
            <c:bubble3D val="0"/>
            <c:spPr>
              <a:solidFill>
                <a:schemeClr val="accent3"/>
              </a:solidFill>
              <a:ln>
                <a:noFill/>
              </a:ln>
              <a:effectLst/>
              <a:sp3d/>
            </c:spPr>
            <c:extLst>
              <c:ext xmlns:c16="http://schemas.microsoft.com/office/drawing/2014/chart" uri="{C3380CC4-5D6E-409C-BE32-E72D297353CC}">
                <c16:uniqueId val="{00000005-AD40-492B-A3F2-5968757E8E1E}"/>
              </c:ext>
            </c:extLst>
          </c:dPt>
          <c:dPt>
            <c:idx val="2"/>
            <c:bubble3D val="0"/>
            <c:spPr>
              <a:solidFill>
                <a:schemeClr val="accent5"/>
              </a:solidFill>
              <a:ln>
                <a:noFill/>
              </a:ln>
              <a:effectLst/>
              <a:sp3d/>
            </c:spPr>
            <c:extLst>
              <c:ext xmlns:c16="http://schemas.microsoft.com/office/drawing/2014/chart" uri="{C3380CC4-5D6E-409C-BE32-E72D297353CC}">
                <c16:uniqueId val="{00000006-AD40-492B-A3F2-5968757E8E1E}"/>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AD40-492B-A3F2-5968757E8E1E}"/>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8-AD40-492B-A3F2-5968757E8E1E}"/>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9-AD40-492B-A3F2-5968757E8E1E}"/>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1-AD40-492B-A3F2-5968757E8E1E}"/>
              </c:ext>
            </c:extLst>
          </c:dPt>
          <c:dPt>
            <c:idx val="7"/>
            <c:bubble3D val="0"/>
            <c:spPr>
              <a:solidFill>
                <a:schemeClr val="accent3">
                  <a:lumMod val="80000"/>
                  <a:lumOff val="20000"/>
                </a:schemeClr>
              </a:solidFill>
              <a:ln>
                <a:noFill/>
              </a:ln>
              <a:effectLst/>
              <a:sp3d/>
            </c:spPr>
            <c:extLst>
              <c:ext xmlns:c16="http://schemas.microsoft.com/office/drawing/2014/chart" uri="{C3380CC4-5D6E-409C-BE32-E72D297353CC}">
                <c16:uniqueId val="{00000003-AD40-492B-A3F2-5968757E8E1E}"/>
              </c:ext>
            </c:extLst>
          </c:dPt>
          <c:dPt>
            <c:idx val="8"/>
            <c:bubble3D val="0"/>
            <c:spPr>
              <a:solidFill>
                <a:schemeClr val="accent5">
                  <a:lumMod val="80000"/>
                  <a:lumOff val="20000"/>
                </a:schemeClr>
              </a:solidFill>
              <a:ln>
                <a:noFill/>
              </a:ln>
              <a:effectLst/>
              <a:sp3d/>
            </c:spPr>
            <c:extLst>
              <c:ext xmlns:c16="http://schemas.microsoft.com/office/drawing/2014/chart" uri="{C3380CC4-5D6E-409C-BE32-E72D297353CC}">
                <c16:uniqueId val="{00000005-6E63-4C8A-8DBE-91B352C50961}"/>
              </c:ext>
            </c:extLst>
          </c:dPt>
          <c:dPt>
            <c:idx val="9"/>
            <c:bubble3D val="0"/>
            <c:spPr>
              <a:solidFill>
                <a:schemeClr val="accent1">
                  <a:lumMod val="80000"/>
                </a:schemeClr>
              </a:solidFill>
              <a:ln>
                <a:noFill/>
              </a:ln>
              <a:effectLst/>
              <a:sp3d/>
            </c:spPr>
            <c:extLst>
              <c:ext xmlns:c16="http://schemas.microsoft.com/office/drawing/2014/chart" uri="{C3380CC4-5D6E-409C-BE32-E72D297353CC}">
                <c16:uniqueId val="{00000005-625C-4D29-9003-6097233730DB}"/>
              </c:ext>
            </c:extLst>
          </c:dPt>
          <c:dPt>
            <c:idx val="10"/>
            <c:bubble3D val="0"/>
            <c:spPr>
              <a:solidFill>
                <a:schemeClr val="accent3">
                  <a:lumMod val="80000"/>
                </a:schemeClr>
              </a:solidFill>
              <a:ln>
                <a:noFill/>
              </a:ln>
              <a:effectLst/>
              <a:sp3d/>
            </c:spPr>
            <c:extLst>
              <c:ext xmlns:c16="http://schemas.microsoft.com/office/drawing/2014/chart" uri="{C3380CC4-5D6E-409C-BE32-E72D297353CC}">
                <c16:uniqueId val="{00000015-E294-4F07-B81F-51D2574C2B94}"/>
              </c:ext>
            </c:extLst>
          </c:dPt>
          <c:dLbls>
            <c:dLbl>
              <c:idx val="0"/>
              <c:layout>
                <c:manualLayout>
                  <c:x val="9.4714918739895543E-2"/>
                  <c:y val="6.8965698253235591E-2"/>
                </c:manualLayout>
              </c:layout>
              <c:showLegendKey val="0"/>
              <c:showVal val="0"/>
              <c:showCatName val="1"/>
              <c:showSerName val="0"/>
              <c:showPercent val="1"/>
              <c:showBubbleSize val="0"/>
              <c:extLst>
                <c:ext xmlns:c15="http://schemas.microsoft.com/office/drawing/2012/chart" uri="{CE6537A1-D6FC-4f65-9D91-7224C49458BB}">
                  <c15:layout>
                    <c:manualLayout>
                      <c:w val="0.23801061157677866"/>
                      <c:h val="0.2964122193059201"/>
                    </c:manualLayout>
                  </c15:layout>
                </c:ext>
                <c:ext xmlns:c16="http://schemas.microsoft.com/office/drawing/2014/chart" uri="{C3380CC4-5D6E-409C-BE32-E72D297353CC}">
                  <c16:uniqueId val="{00000004-AD40-492B-A3F2-5968757E8E1E}"/>
                </c:ext>
              </c:extLst>
            </c:dLbl>
            <c:dLbl>
              <c:idx val="1"/>
              <c:layout>
                <c:manualLayout>
                  <c:x val="-9.7582683710670831E-2"/>
                  <c:y val="0.14260295049325722"/>
                </c:manualLayout>
              </c:layout>
              <c:showLegendKey val="0"/>
              <c:showVal val="0"/>
              <c:showCatName val="1"/>
              <c:showSerName val="0"/>
              <c:showPercent val="1"/>
              <c:showBubbleSize val="0"/>
              <c:extLst>
                <c:ext xmlns:c15="http://schemas.microsoft.com/office/drawing/2012/chart" uri="{CE6537A1-D6FC-4f65-9D91-7224C49458BB}">
                  <c15:layout>
                    <c:manualLayout>
                      <c:w val="0.19528185165272663"/>
                      <c:h val="0.18873033727926866"/>
                    </c:manualLayout>
                  </c15:layout>
                </c:ext>
                <c:ext xmlns:c16="http://schemas.microsoft.com/office/drawing/2014/chart" uri="{C3380CC4-5D6E-409C-BE32-E72D297353CC}">
                  <c16:uniqueId val="{00000005-AD40-492B-A3F2-5968757E8E1E}"/>
                </c:ext>
              </c:extLst>
            </c:dLbl>
            <c:dLbl>
              <c:idx val="2"/>
              <c:layout>
                <c:manualLayout>
                  <c:x val="0.21643110072587554"/>
                  <c:y val="6.530618155489192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AD40-492B-A3F2-5968757E8E1E}"/>
                </c:ext>
              </c:extLst>
            </c:dLbl>
            <c:dLbl>
              <c:idx val="3"/>
              <c:layout>
                <c:manualLayout>
                  <c:x val="0.10584693122835954"/>
                  <c:y val="0.2162483482668113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D40-492B-A3F2-5968757E8E1E}"/>
                </c:ext>
              </c:extLst>
            </c:dLbl>
            <c:dLbl>
              <c:idx val="4"/>
              <c:layout>
                <c:manualLayout>
                  <c:x val="-0.1188605913038925"/>
                  <c:y val="0.2844478233324281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AD40-492B-A3F2-5968757E8E1E}"/>
                </c:ext>
              </c:extLst>
            </c:dLbl>
            <c:dLbl>
              <c:idx val="5"/>
              <c:layout>
                <c:manualLayout>
                  <c:x val="-9.3146660906788151E-2"/>
                  <c:y val="0.1362548646936374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D40-492B-A3F2-5968757E8E1E}"/>
                </c:ext>
              </c:extLst>
            </c:dLbl>
            <c:dLbl>
              <c:idx val="6"/>
              <c:layout>
                <c:manualLayout>
                  <c:x val="-0.1045533148755408"/>
                  <c:y val="8.054737985338039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D40-492B-A3F2-5968757E8E1E}"/>
                </c:ext>
              </c:extLst>
            </c:dLbl>
            <c:dLbl>
              <c:idx val="7"/>
              <c:layout>
                <c:manualLayout>
                  <c:x val="-9.210176658092302E-2"/>
                  <c:y val="-5.1443750565662007E-2"/>
                </c:manualLayout>
              </c:layout>
              <c:tx>
                <c:rich>
                  <a:bodyPr/>
                  <a:lstStyle/>
                  <a:p>
                    <a:r>
                      <a:rPr lang="en-US" sz="900">
                        <a:solidFill>
                          <a:schemeClr val="tx1"/>
                        </a:solidFill>
                      </a:rPr>
                      <a:t>On-The-Job</a:t>
                    </a:r>
                    <a:r>
                      <a:rPr lang="en-US" sz="900" baseline="0">
                        <a:solidFill>
                          <a:schemeClr val="tx1"/>
                        </a:solidFill>
                      </a:rPr>
                      <a:t> Supports</a:t>
                    </a:r>
                    <a:r>
                      <a:rPr lang="en-US" sz="900">
                        <a:solidFill>
                          <a:schemeClr val="tx1"/>
                        </a:solidFill>
                      </a:rPr>
                      <a:t>
0.2%</a:t>
                    </a:r>
                  </a:p>
                </c:rich>
              </c:tx>
              <c:showLegendKey val="0"/>
              <c:showVal val="0"/>
              <c:showCatName val="1"/>
              <c:showSerName val="0"/>
              <c:showPercent val="1"/>
              <c:showBubbleSize val="0"/>
              <c:extLst>
                <c:ext xmlns:c15="http://schemas.microsoft.com/office/drawing/2012/chart" uri="{CE6537A1-D6FC-4f65-9D91-7224C49458BB}">
                  <c15:layout>
                    <c:manualLayout>
                      <c:w val="0.19065446364658964"/>
                      <c:h val="0.23573124787972932"/>
                    </c:manualLayout>
                  </c15:layout>
                  <c15:showDataLabelsRange val="0"/>
                </c:ext>
                <c:ext xmlns:c16="http://schemas.microsoft.com/office/drawing/2014/chart" uri="{C3380CC4-5D6E-409C-BE32-E72D297353CC}">
                  <c16:uniqueId val="{00000003-AD40-492B-A3F2-5968757E8E1E}"/>
                </c:ext>
              </c:extLst>
            </c:dLbl>
            <c:dLbl>
              <c:idx val="8"/>
              <c:layout>
                <c:manualLayout>
                  <c:x val="4.9982654911278086E-3"/>
                  <c:y val="-0.13931595619513079"/>
                </c:manualLayout>
              </c:layout>
              <c:tx>
                <c:rich>
                  <a:bodyPr/>
                  <a:lstStyle/>
                  <a:p>
                    <a:r>
                      <a:rPr lang="en-US" baseline="0">
                        <a:solidFill>
                          <a:schemeClr val="tx1"/>
                        </a:solidFill>
                      </a:rPr>
                      <a:t>Transportation
</a:t>
                    </a:r>
                    <a:fld id="{2EC18D67-AE24-4104-A18D-1D4F6DC82CA2}" type="PERCENTAGE">
                      <a:rPr lang="en-US" baseline="0">
                        <a:solidFill>
                          <a:schemeClr val="tx1"/>
                        </a:solidFill>
                      </a:rPr>
                      <a:pPr/>
                      <a:t>[PERCENTAGE]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layout>
                    <c:manualLayout>
                      <c:w val="0.27842545866305363"/>
                      <c:h val="0.14925079192687118"/>
                    </c:manualLayout>
                  </c15:layout>
                  <c15:dlblFieldTable/>
                  <c15:showDataLabelsRange val="0"/>
                </c:ext>
                <c:ext xmlns:c16="http://schemas.microsoft.com/office/drawing/2014/chart" uri="{C3380CC4-5D6E-409C-BE32-E72D297353CC}">
                  <c16:uniqueId val="{00000005-6E63-4C8A-8DBE-91B352C50961}"/>
                </c:ext>
              </c:extLst>
            </c:dLbl>
            <c:dLbl>
              <c:idx val="9"/>
              <c:layout>
                <c:manualLayout>
                  <c:x val="-3.0528403400946515E-2"/>
                  <c:y val="-4.536193320662505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25C-4D29-9003-6097233730DB}"/>
                </c:ext>
              </c:extLst>
            </c:dLbl>
            <c:dLbl>
              <c:idx val="10"/>
              <c:layout>
                <c:manualLayout>
                  <c:x val="3.5298368252596857E-2"/>
                  <c:y val="-2.747434156937279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E294-4F07-B81F-51D2574C2B94}"/>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Sheet1!$A$2:$A$12</c:f>
              <c:strCache>
                <c:ptCount val="11"/>
                <c:pt idx="0">
                  <c:v>Job Development and Placement</c:v>
                </c:pt>
                <c:pt idx="1">
                  <c:v>Other Services</c:v>
                </c:pt>
                <c:pt idx="2">
                  <c:v>Rehab Technology</c:v>
                </c:pt>
                <c:pt idx="3">
                  <c:v>Diagnosis and Treatment</c:v>
                </c:pt>
                <c:pt idx="4">
                  <c:v>College or University Training</c:v>
                </c:pt>
                <c:pt idx="5">
                  <c:v>Other Training</c:v>
                </c:pt>
                <c:pt idx="6">
                  <c:v>Assessment</c:v>
                </c:pt>
                <c:pt idx="7">
                  <c:v>On-the-Job Supports</c:v>
                </c:pt>
                <c:pt idx="8">
                  <c:v>Transportation</c:v>
                </c:pt>
                <c:pt idx="9">
                  <c:v>Pre-ETS</c:v>
                </c:pt>
                <c:pt idx="10">
                  <c:v>Maintenance</c:v>
                </c:pt>
              </c:strCache>
            </c:strRef>
          </c:cat>
          <c:val>
            <c:numRef>
              <c:f>Sheet1!$B$2:$B$12</c:f>
              <c:numCache>
                <c:formatCode>0.0%</c:formatCode>
                <c:ptCount val="11"/>
                <c:pt idx="0">
                  <c:v>0.14056449446908265</c:v>
                </c:pt>
                <c:pt idx="1">
                  <c:v>0.36307990614532942</c:v>
                </c:pt>
                <c:pt idx="2">
                  <c:v>0.15742217857750643</c:v>
                </c:pt>
                <c:pt idx="3">
                  <c:v>3.4069869680772961E-2</c:v>
                </c:pt>
                <c:pt idx="4">
                  <c:v>1.530767985838526E-2</c:v>
                </c:pt>
                <c:pt idx="5">
                  <c:v>4.0219672490301596E-2</c:v>
                </c:pt>
                <c:pt idx="6">
                  <c:v>1.136091595448986E-2</c:v>
                </c:pt>
                <c:pt idx="7">
                  <c:v>1.3235579071178049E-2</c:v>
                </c:pt>
                <c:pt idx="8">
                  <c:v>0.12489003062469968</c:v>
                </c:pt>
                <c:pt idx="9">
                  <c:v>9.9703843494221456E-2</c:v>
                </c:pt>
                <c:pt idx="10">
                  <c:v>1.4582963403266471E-4</c:v>
                </c:pt>
              </c:numCache>
            </c:numRef>
          </c:val>
          <c:extLst>
            <c:ext xmlns:c16="http://schemas.microsoft.com/office/drawing/2014/chart" uri="{C3380CC4-5D6E-409C-BE32-E72D297353CC}">
              <c16:uniqueId val="{0000000A-AD40-492B-A3F2-5968757E8E1E}"/>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baseline="0">
                <a:solidFill>
                  <a:sysClr val="windowText" lastClr="000000"/>
                </a:solidFill>
              </a:rPr>
              <a:t>IL Age Distribution</a:t>
            </a:r>
          </a:p>
          <a:p>
            <a:pPr>
              <a:defRPr sz="1000">
                <a:solidFill>
                  <a:sysClr val="windowText" lastClr="000000"/>
                </a:solidFill>
              </a:defRPr>
            </a:pPr>
            <a:endParaRPr lang="en-US" sz="1000">
              <a:solidFill>
                <a:sysClr val="windowText" lastClr="000000"/>
              </a:solidFill>
            </a:endParaRPr>
          </a:p>
        </c:rich>
      </c:tx>
      <c:layout>
        <c:manualLayout>
          <c:xMode val="edge"/>
          <c:yMode val="edge"/>
          <c:x val="0.24989475656809371"/>
          <c:y val="2.0693457573638396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31"/>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7589774822558571"/>
          <c:y val="0.42473763225792593"/>
          <c:w val="0.54072659234427378"/>
          <c:h val="0.43320643573690903"/>
        </c:manualLayout>
      </c:layout>
      <c:pie3DChart>
        <c:varyColors val="1"/>
        <c:ser>
          <c:idx val="0"/>
          <c:order val="0"/>
          <c:tx>
            <c:strRef>
              <c:f>Sheet1!$B$1</c:f>
              <c:strCache>
                <c:ptCount val="1"/>
                <c:pt idx="0">
                  <c:v>Total</c:v>
                </c:pt>
              </c:strCache>
            </c:strRef>
          </c:tx>
          <c:dPt>
            <c:idx val="0"/>
            <c:bubble3D val="0"/>
            <c:spPr>
              <a:solidFill>
                <a:schemeClr val="accent1"/>
              </a:solidFill>
              <a:ln>
                <a:noFill/>
              </a:ln>
              <a:effectLst/>
              <a:sp3d/>
            </c:spPr>
            <c:extLst>
              <c:ext xmlns:c16="http://schemas.microsoft.com/office/drawing/2014/chart" uri="{C3380CC4-5D6E-409C-BE32-E72D297353CC}">
                <c16:uniqueId val="{00000002-A47E-4573-A2D0-44CDA5860C34}"/>
              </c:ext>
            </c:extLst>
          </c:dPt>
          <c:dPt>
            <c:idx val="1"/>
            <c:bubble3D val="0"/>
            <c:spPr>
              <a:solidFill>
                <a:schemeClr val="accent3"/>
              </a:solidFill>
              <a:ln>
                <a:noFill/>
              </a:ln>
              <a:effectLst/>
              <a:sp3d/>
            </c:spPr>
            <c:extLst>
              <c:ext xmlns:c16="http://schemas.microsoft.com/office/drawing/2014/chart" uri="{C3380CC4-5D6E-409C-BE32-E72D297353CC}">
                <c16:uniqueId val="{00000001-A47E-4573-A2D0-44CDA5860C34}"/>
              </c:ext>
            </c:extLst>
          </c:dPt>
          <c:dPt>
            <c:idx val="2"/>
            <c:bubble3D val="0"/>
            <c:spPr>
              <a:solidFill>
                <a:schemeClr val="accent5"/>
              </a:solidFill>
              <a:ln>
                <a:noFill/>
              </a:ln>
              <a:effectLst/>
              <a:sp3d/>
            </c:spPr>
            <c:extLst>
              <c:ext xmlns:c16="http://schemas.microsoft.com/office/drawing/2014/chart" uri="{C3380CC4-5D6E-409C-BE32-E72D297353CC}">
                <c16:uniqueId val="{00000003-A47E-4573-A2D0-44CDA5860C34}"/>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4-A47E-4573-A2D0-44CDA5860C34}"/>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5-A47E-4573-A2D0-44CDA5860C34}"/>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6-A47E-4573-A2D0-44CDA5860C34}"/>
              </c:ext>
            </c:extLst>
          </c:dPt>
          <c:dLbls>
            <c:dLbl>
              <c:idx val="0"/>
              <c:layout>
                <c:manualLayout>
                  <c:x val="-0.32937817848654249"/>
                  <c:y val="-1.2406947890818859E-2"/>
                </c:manualLayout>
              </c:layout>
              <c:tx>
                <c:rich>
                  <a:bodyPr/>
                  <a:lstStyle/>
                  <a:p>
                    <a:fld id="{C0757C3C-6114-46FA-8689-3B3AF8595F9F}" type="CATEGORYNAME">
                      <a:rPr lang="en-US"/>
                      <a:pPr/>
                      <a:t>[CATEGORY NAME]</a:t>
                    </a:fld>
                    <a:r>
                      <a:rPr lang="en-US" baseline="0"/>
                      <a:t>
0.0%</a:t>
                    </a:r>
                  </a:p>
                  <a:p>
                    <a:endParaRPr lang="en-US"/>
                  </a:p>
                </c:rich>
              </c:tx>
              <c:showLegendKey val="0"/>
              <c:showVal val="0"/>
              <c:showCatName val="1"/>
              <c:showSerName val="0"/>
              <c:showPercent val="1"/>
              <c:showBubbleSize val="0"/>
              <c:extLst>
                <c:ext xmlns:c15="http://schemas.microsoft.com/office/drawing/2012/chart" uri="{CE6537A1-D6FC-4f65-9D91-7224C49458BB}">
                  <c15:layout>
                    <c:manualLayout>
                      <c:w val="0.23553721046252019"/>
                      <c:h val="0.1737964283620875"/>
                    </c:manualLayout>
                  </c15:layout>
                  <c15:dlblFieldTable/>
                  <c15:showDataLabelsRange val="0"/>
                </c:ext>
                <c:ext xmlns:c16="http://schemas.microsoft.com/office/drawing/2014/chart" uri="{C3380CC4-5D6E-409C-BE32-E72D297353CC}">
                  <c16:uniqueId val="{00000002-A47E-4573-A2D0-44CDA5860C34}"/>
                </c:ext>
              </c:extLst>
            </c:dLbl>
            <c:dLbl>
              <c:idx val="1"/>
              <c:layout>
                <c:manualLayout>
                  <c:x val="-0.24282584407134605"/>
                  <c:y val="-0.1714972353021629"/>
                </c:manualLayout>
              </c:layout>
              <c:tx>
                <c:rich>
                  <a:bodyPr/>
                  <a:lstStyle/>
                  <a:p>
                    <a:fld id="{C4AFF18F-D7F7-4641-BF30-557675388C4A}" type="CATEGORYNAME">
                      <a:rPr lang="en-US"/>
                      <a:pPr/>
                      <a:t>[CATEGORY NAME]</a:t>
                    </a:fld>
                    <a:r>
                      <a:rPr lang="en-US" baseline="0"/>
                      <a:t>
0.3%</a:t>
                    </a:r>
                  </a:p>
                </c:rich>
              </c:tx>
              <c:showLegendKey val="0"/>
              <c:showVal val="0"/>
              <c:showCatName val="1"/>
              <c:showSerName val="0"/>
              <c:showPercent val="1"/>
              <c:showBubbleSize val="0"/>
              <c:extLst>
                <c:ext xmlns:c15="http://schemas.microsoft.com/office/drawing/2012/chart" uri="{CE6537A1-D6FC-4f65-9D91-7224C49458BB}">
                  <c15:layout>
                    <c:manualLayout>
                      <c:w val="0.26224588705501189"/>
                      <c:h val="0.19464058928117856"/>
                    </c:manualLayout>
                  </c15:layout>
                  <c15:dlblFieldTable/>
                  <c15:showDataLabelsRange val="0"/>
                </c:ext>
                <c:ext xmlns:c16="http://schemas.microsoft.com/office/drawing/2014/chart" uri="{C3380CC4-5D6E-409C-BE32-E72D297353CC}">
                  <c16:uniqueId val="{00000001-A47E-4573-A2D0-44CDA5860C34}"/>
                </c:ext>
              </c:extLst>
            </c:dLbl>
            <c:dLbl>
              <c:idx val="2"/>
              <c:layout>
                <c:manualLayout>
                  <c:x val="-4.6876855401506524E-2"/>
                  <c:y val="-0.18265445184736523"/>
                </c:manualLayout>
              </c:layout>
              <c:tx>
                <c:rich>
                  <a:bodyPr/>
                  <a:lstStyle/>
                  <a:p>
                    <a:fld id="{228B688F-F65C-4F74-BF7C-AC828C7D5287}" type="CATEGORYNAME">
                      <a:rPr lang="en-US"/>
                      <a:pPr/>
                      <a:t>[CATEGORY NAME]</a:t>
                    </a:fld>
                    <a:r>
                      <a:rPr lang="en-US" baseline="0"/>
                      <a:t>
3.1%</a:t>
                    </a:r>
                  </a:p>
                </c:rich>
              </c:tx>
              <c:showLegendKey val="0"/>
              <c:showVal val="0"/>
              <c:showCatName val="1"/>
              <c:showSerName val="0"/>
              <c:showPercent val="1"/>
              <c:showBubbleSize val="0"/>
              <c:extLst>
                <c:ext xmlns:c15="http://schemas.microsoft.com/office/drawing/2012/chart" uri="{CE6537A1-D6FC-4f65-9D91-7224C49458BB}">
                  <c15:layout>
                    <c:manualLayout>
                      <c:w val="0.2421528253319094"/>
                      <c:h val="0.17911187745452412"/>
                    </c:manualLayout>
                  </c15:layout>
                  <c15:dlblFieldTable/>
                  <c15:showDataLabelsRange val="0"/>
                </c:ext>
                <c:ext xmlns:c16="http://schemas.microsoft.com/office/drawing/2014/chart" uri="{C3380CC4-5D6E-409C-BE32-E72D297353CC}">
                  <c16:uniqueId val="{00000003-A47E-4573-A2D0-44CDA5860C34}"/>
                </c:ext>
              </c:extLst>
            </c:dLbl>
            <c:dLbl>
              <c:idx val="3"/>
              <c:layout>
                <c:manualLayout>
                  <c:x val="2.6499448951680188E-2"/>
                  <c:y val="4.108922256306051E-2"/>
                </c:manualLayout>
              </c:layout>
              <c:tx>
                <c:rich>
                  <a:bodyPr/>
                  <a:lstStyle/>
                  <a:p>
                    <a:fld id="{CD2BC9E5-0F7E-4030-82CE-2EFC17B83109}" type="CATEGORYNAME">
                      <a:rPr lang="en-US"/>
                      <a:pPr/>
                      <a:t>[CATEGORY NAME]</a:t>
                    </a:fld>
                    <a:r>
                      <a:rPr lang="en-US" baseline="0"/>
                      <a:t>
13.0%</a:t>
                    </a:r>
                  </a:p>
                </c:rich>
              </c:tx>
              <c:showLegendKey val="0"/>
              <c:showVal val="0"/>
              <c:showCatName val="1"/>
              <c:showSerName val="0"/>
              <c:showPercent val="1"/>
              <c:showBubbleSize val="0"/>
              <c:extLst>
                <c:ext xmlns:c15="http://schemas.microsoft.com/office/drawing/2012/chart" uri="{CE6537A1-D6FC-4f65-9D91-7224C49458BB}">
                  <c15:layout>
                    <c:manualLayout>
                      <c:w val="0.17917321886197612"/>
                      <c:h val="0.23494314296320895"/>
                    </c:manualLayout>
                  </c15:layout>
                  <c15:dlblFieldTable/>
                  <c15:showDataLabelsRange val="0"/>
                </c:ext>
                <c:ext xmlns:c16="http://schemas.microsoft.com/office/drawing/2014/chart" uri="{C3380CC4-5D6E-409C-BE32-E72D297353CC}">
                  <c16:uniqueId val="{00000004-A47E-4573-A2D0-44CDA5860C34}"/>
                </c:ext>
              </c:extLst>
            </c:dLbl>
            <c:dLbl>
              <c:idx val="4"/>
              <c:layout>
                <c:manualLayout>
                  <c:x val="7.7474927775680637E-3"/>
                  <c:y val="-3.3344893612865284E-3"/>
                </c:manualLayout>
              </c:layout>
              <c:tx>
                <c:rich>
                  <a:bodyPr/>
                  <a:lstStyle/>
                  <a:p>
                    <a:fld id="{4EDE445C-D154-48F5-B235-C020012DFAD4}" type="CATEGORYNAME">
                      <a:rPr lang="en-US"/>
                      <a:pPr/>
                      <a:t>[CATEGORY NAME]</a:t>
                    </a:fld>
                    <a:r>
                      <a:rPr lang="en-US" baseline="0"/>
                      <a:t>
83.5%</a:t>
                    </a:r>
                  </a:p>
                </c:rich>
              </c:tx>
              <c:showLegendKey val="0"/>
              <c:showVal val="0"/>
              <c:showCatName val="1"/>
              <c:showSerName val="0"/>
              <c:showPercent val="1"/>
              <c:showBubbleSize val="0"/>
              <c:extLst>
                <c:ext xmlns:c15="http://schemas.microsoft.com/office/drawing/2012/chart" uri="{CE6537A1-D6FC-4f65-9D91-7224C49458BB}">
                  <c15:layout>
                    <c:manualLayout>
                      <c:w val="0.33918892516175775"/>
                      <c:h val="0.20362194955159138"/>
                    </c:manualLayout>
                  </c15:layout>
                  <c15:dlblFieldTable/>
                  <c15:showDataLabelsRange val="0"/>
                </c:ext>
                <c:ext xmlns:c16="http://schemas.microsoft.com/office/drawing/2014/chart" uri="{C3380CC4-5D6E-409C-BE32-E72D297353CC}">
                  <c16:uniqueId val="{00000005-A47E-4573-A2D0-44CDA5860C34}"/>
                </c:ext>
              </c:extLst>
            </c:dLbl>
            <c:dLbl>
              <c:idx val="5"/>
              <c:layout>
                <c:manualLayout>
                  <c:x val="0.11646398800659905"/>
                  <c:y val="0.12642127296985725"/>
                </c:manualLayout>
              </c:layout>
              <c:tx>
                <c:rich>
                  <a:bodyPr/>
                  <a:lstStyle/>
                  <a:p>
                    <a:fld id="{1F1AA81C-9325-41C9-957F-C5F033C2184C}" type="CATEGORYNAME">
                      <a:rPr lang="en-US"/>
                      <a:pPr/>
                      <a:t>[CATEGORY NAME]</a:t>
                    </a:fld>
                    <a:r>
                      <a:rPr lang="en-US" baseline="0"/>
                      <a:t>
5</a:t>
                    </a:r>
                  </a:p>
                </c:rich>
              </c:tx>
              <c:showLegendKey val="0"/>
              <c:showVal val="0"/>
              <c:showCatName val="1"/>
              <c:showSerName val="0"/>
              <c:showPercent val="1"/>
              <c:showBubbleSize val="0"/>
              <c:extLst>
                <c:ext xmlns:c15="http://schemas.microsoft.com/office/drawing/2012/chart" uri="{CE6537A1-D6FC-4f65-9D91-7224C49458BB}">
                  <c15:layout>
                    <c:manualLayout>
                      <c:w val="0.26041740936229124"/>
                      <c:h val="0.28133779264214048"/>
                    </c:manualLayout>
                  </c15:layout>
                  <c15:dlblFieldTable/>
                  <c15:showDataLabelsRange val="0"/>
                </c:ext>
                <c:ext xmlns:c16="http://schemas.microsoft.com/office/drawing/2014/chart" uri="{C3380CC4-5D6E-409C-BE32-E72D297353CC}">
                  <c16:uniqueId val="{00000006-A47E-4573-A2D0-44CDA5860C34}"/>
                </c:ext>
              </c:extLst>
            </c:dLbl>
            <c:dLbl>
              <c:idx val="6"/>
              <c:tx>
                <c:rich>
                  <a:bodyPr/>
                  <a:lstStyle/>
                  <a:p>
                    <a:fld id="{DA59F4B5-3146-4E42-AF2C-32C621E2D134}" type="CATEGORYNAME">
                      <a:rPr lang="en-US"/>
                      <a:pPr/>
                      <a:t>[CATEGORY NAME]</a:t>
                    </a:fld>
                    <a:r>
                      <a:rPr lang="en-US" baseline="0"/>
                      <a:t>
1</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1535-4BA0-B0B3-F200289E8ED7}"/>
                </c:ext>
              </c:extLst>
            </c:dLbl>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Sheet1!$A$2:$A$6</c:f>
              <c:strCache>
                <c:ptCount val="5"/>
                <c:pt idx="0">
                  <c:v>14 - 18</c:v>
                </c:pt>
                <c:pt idx="1">
                  <c:v>19 - 24</c:v>
                </c:pt>
                <c:pt idx="2">
                  <c:v>25 - 45</c:v>
                </c:pt>
                <c:pt idx="3">
                  <c:v>46 - 65</c:v>
                </c:pt>
                <c:pt idx="4">
                  <c:v>66 &amp; Older</c:v>
                </c:pt>
              </c:strCache>
            </c:strRef>
          </c:cat>
          <c:val>
            <c:numRef>
              <c:f>Sheet1!$B$2:$B$6</c:f>
              <c:numCache>
                <c:formatCode>0.0%</c:formatCode>
                <c:ptCount val="5"/>
                <c:pt idx="0">
                  <c:v>0</c:v>
                </c:pt>
                <c:pt idx="1">
                  <c:v>3.4305317324185248E-3</c:v>
                </c:pt>
                <c:pt idx="2">
                  <c:v>3.0874785591766724E-2</c:v>
                </c:pt>
                <c:pt idx="3">
                  <c:v>0.13036020583190394</c:v>
                </c:pt>
                <c:pt idx="4">
                  <c:v>0.83533447684391082</c:v>
                </c:pt>
              </c:numCache>
            </c:numRef>
          </c:val>
          <c:extLst>
            <c:ext xmlns:c16="http://schemas.microsoft.com/office/drawing/2014/chart" uri="{C3380CC4-5D6E-409C-BE32-E72D297353CC}">
              <c16:uniqueId val="{00000007-A47E-4573-A2D0-44CDA5860C34}"/>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6350" cap="flat" cmpd="sng" algn="ctr">
      <a:solidFill>
        <a:srgbClr val="000000"/>
      </a:solidFill>
      <a:prstDash val="solid"/>
      <a:round/>
    </a:ln>
    <a:effectLst/>
  </c:spPr>
  <c:txPr>
    <a:bodyPr/>
    <a:lstStyle/>
    <a:p>
      <a:pPr>
        <a:defRPr sz="10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a:solidFill>
                  <a:sysClr val="windowText" lastClr="000000"/>
                </a:solidFill>
              </a:rPr>
              <a:t>Gender of Individuals Receiving</a:t>
            </a:r>
            <a:r>
              <a:rPr lang="en-US" sz="1000" baseline="0">
                <a:solidFill>
                  <a:sysClr val="windowText" lastClr="000000"/>
                </a:solidFill>
              </a:rPr>
              <a:t> VR Services from BRS</a:t>
            </a:r>
            <a:endParaRPr lang="en-US" sz="1000">
              <a:solidFill>
                <a:sysClr val="windowText" lastClr="000000"/>
              </a:solidFill>
            </a:endParaRPr>
          </a:p>
        </c:rich>
      </c:tx>
      <c:layout>
        <c:manualLayout>
          <c:xMode val="edge"/>
          <c:yMode val="edge"/>
          <c:x val="0.14439569507959976"/>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autoTitleDeleted val="0"/>
    <c:view3D>
      <c:rotX val="30"/>
      <c:rotY val="30"/>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86035979520605"/>
          <c:y val="0.52964906149133451"/>
          <c:w val="0.55529512064975373"/>
          <c:h val="0.43868917168643745"/>
        </c:manualLayout>
      </c:layout>
      <c:pie3DChart>
        <c:varyColors val="1"/>
        <c:ser>
          <c:idx val="0"/>
          <c:order val="0"/>
          <c:tx>
            <c:strRef>
              <c:f>Sheet1!$B$1</c:f>
              <c:strCache>
                <c:ptCount val="1"/>
                <c:pt idx="0">
                  <c:v>Percent</c:v>
                </c:pt>
              </c:strCache>
            </c:strRef>
          </c:tx>
          <c:dPt>
            <c:idx val="0"/>
            <c:bubble3D val="0"/>
            <c:spPr>
              <a:solidFill>
                <a:schemeClr val="accent1"/>
              </a:solidFill>
              <a:ln>
                <a:noFill/>
              </a:ln>
              <a:effectLst/>
              <a:sp3d/>
            </c:spPr>
            <c:extLst>
              <c:ext xmlns:c16="http://schemas.microsoft.com/office/drawing/2014/chart" uri="{C3380CC4-5D6E-409C-BE32-E72D297353CC}">
                <c16:uniqueId val="{00000001-1D6F-449C-8286-7BFDC795D2B7}"/>
              </c:ext>
            </c:extLst>
          </c:dPt>
          <c:dPt>
            <c:idx val="1"/>
            <c:bubble3D val="0"/>
            <c:spPr>
              <a:solidFill>
                <a:schemeClr val="accent3"/>
              </a:solidFill>
              <a:ln>
                <a:noFill/>
              </a:ln>
              <a:effectLst/>
              <a:sp3d/>
            </c:spPr>
            <c:extLst>
              <c:ext xmlns:c16="http://schemas.microsoft.com/office/drawing/2014/chart" uri="{C3380CC4-5D6E-409C-BE32-E72D297353CC}">
                <c16:uniqueId val="{00000003-1D6F-449C-8286-7BFDC795D2B7}"/>
              </c:ext>
            </c:extLst>
          </c:dPt>
          <c:dPt>
            <c:idx val="2"/>
            <c:bubble3D val="0"/>
            <c:explosion val="7"/>
            <c:spPr>
              <a:solidFill>
                <a:schemeClr val="accent5"/>
              </a:solidFill>
              <a:ln>
                <a:noFill/>
              </a:ln>
              <a:effectLst/>
              <a:sp3d/>
            </c:spPr>
            <c:extLst>
              <c:ext xmlns:c16="http://schemas.microsoft.com/office/drawing/2014/chart" uri="{C3380CC4-5D6E-409C-BE32-E72D297353CC}">
                <c16:uniqueId val="{00000005-1D6F-449C-8286-7BFDC795D2B7}"/>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1D6F-449C-8286-7BFDC795D2B7}"/>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9-1D6F-449C-8286-7BFDC795D2B7}"/>
              </c:ext>
            </c:extLst>
          </c:dPt>
          <c:dLbls>
            <c:dLbl>
              <c:idx val="0"/>
              <c:layout>
                <c:manualLayout>
                  <c:x val="-7.3628351041272674E-4"/>
                  <c:y val="-9.2600079299633417E-2"/>
                </c:manualLayout>
              </c:layout>
              <c:showLegendKey val="0"/>
              <c:showVal val="0"/>
              <c:showCatName val="1"/>
              <c:showSerName val="0"/>
              <c:showPercent val="1"/>
              <c:showBubbleSize val="0"/>
              <c:extLst>
                <c:ext xmlns:c15="http://schemas.microsoft.com/office/drawing/2012/chart" uri="{CE6537A1-D6FC-4f65-9D91-7224C49458BB}">
                  <c15:layout>
                    <c:manualLayout>
                      <c:w val="0.25159188070923449"/>
                      <c:h val="0.27060051228536192"/>
                    </c:manualLayout>
                  </c15:layout>
                </c:ext>
                <c:ext xmlns:c16="http://schemas.microsoft.com/office/drawing/2014/chart" uri="{C3380CC4-5D6E-409C-BE32-E72D297353CC}">
                  <c16:uniqueId val="{00000001-1D6F-449C-8286-7BFDC795D2B7}"/>
                </c:ext>
              </c:extLst>
            </c:dLbl>
            <c:dLbl>
              <c:idx val="1"/>
              <c:layout>
                <c:manualLayout>
                  <c:x val="2.6819085730953183E-2"/>
                  <c:y val="-4.2679221233116092E-2"/>
                </c:manualLayout>
              </c:layout>
              <c:tx>
                <c:rich>
                  <a:bodyPr/>
                  <a:lstStyle/>
                  <a:p>
                    <a:fld id="{5FFB5191-7B43-45C5-AB8A-7B40C7B940BA}" type="CATEGORYNAME">
                      <a:rPr lang="en-US" sz="1000"/>
                      <a:pPr/>
                      <a:t>[CATEGORY NAME]</a:t>
                    </a:fld>
                    <a:r>
                      <a:rPr lang="en-US" sz="1000" baseline="0"/>
                      <a:t>
</a:t>
                    </a:r>
                    <a:fld id="{42224AF5-B26C-47FA-A080-E32A8F72B143}" type="PERCENTAGE">
                      <a:rPr lang="en-US" sz="1000" baseline="0"/>
                      <a:pPr/>
                      <a:t>[PERCENTAGE]</a:t>
                    </a:fld>
                    <a:endParaRPr lang="en-US" sz="1000" baseline="0"/>
                  </a:p>
                </c:rich>
              </c:tx>
              <c:showLegendKey val="0"/>
              <c:showVal val="0"/>
              <c:showCatName val="1"/>
              <c:showSerName val="0"/>
              <c:showPercent val="1"/>
              <c:showBubbleSize val="0"/>
              <c:extLst>
                <c:ext xmlns:c15="http://schemas.microsoft.com/office/drawing/2012/chart" uri="{CE6537A1-D6FC-4f65-9D91-7224C49458BB}">
                  <c15:layout>
                    <c:manualLayout>
                      <c:w val="0.16771121975686915"/>
                      <c:h val="0.17615139491375589"/>
                    </c:manualLayout>
                  </c15:layout>
                  <c15:dlblFieldTable/>
                  <c15:showDataLabelsRange val="0"/>
                </c:ext>
                <c:ext xmlns:c16="http://schemas.microsoft.com/office/drawing/2014/chart" uri="{C3380CC4-5D6E-409C-BE32-E72D297353CC}">
                  <c16:uniqueId val="{00000003-1D6F-449C-8286-7BFDC795D2B7}"/>
                </c:ext>
              </c:extLst>
            </c:dLbl>
            <c:dLbl>
              <c:idx val="2"/>
              <c:layout>
                <c:manualLayout>
                  <c:x val="-0.15213396347320199"/>
                  <c:y val="8.542710881766402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D6F-449C-8286-7BFDC795D2B7}"/>
                </c:ext>
              </c:extLst>
            </c:dLbl>
            <c:dLbl>
              <c:idx val="3"/>
              <c:layout>
                <c:manualLayout>
                  <c:x val="-0.22134270879895476"/>
                  <c:y val="-0.11675241243593396"/>
                </c:manualLayout>
              </c:layout>
              <c:showLegendKey val="0"/>
              <c:showVal val="0"/>
              <c:showCatName val="1"/>
              <c:showSerName val="0"/>
              <c:showPercent val="1"/>
              <c:showBubbleSize val="0"/>
              <c:extLst>
                <c:ext xmlns:c15="http://schemas.microsoft.com/office/drawing/2012/chart" uri="{CE6537A1-D6FC-4f65-9D91-7224C49458BB}">
                  <c15:layout>
                    <c:manualLayout>
                      <c:w val="0.23177045009111849"/>
                      <c:h val="0.20686695905365859"/>
                    </c:manualLayout>
                  </c15:layout>
                </c:ext>
                <c:ext xmlns:c16="http://schemas.microsoft.com/office/drawing/2014/chart" uri="{C3380CC4-5D6E-409C-BE32-E72D297353CC}">
                  <c16:uniqueId val="{00000007-1D6F-449C-8286-7BFDC795D2B7}"/>
                </c:ext>
              </c:extLst>
            </c:dLbl>
            <c:dLbl>
              <c:idx val="4"/>
              <c:layout>
                <c:manualLayout>
                  <c:x val="-0.11558091888999313"/>
                  <c:y val="2.0996913702370071E-2"/>
                </c:manualLayout>
              </c:layout>
              <c:showLegendKey val="0"/>
              <c:showVal val="0"/>
              <c:showCatName val="1"/>
              <c:showSerName val="0"/>
              <c:showPercent val="1"/>
              <c:showBubbleSize val="0"/>
              <c:extLst>
                <c:ext xmlns:c15="http://schemas.microsoft.com/office/drawing/2012/chart" uri="{CE6537A1-D6FC-4f65-9D91-7224C49458BB}">
                  <c15:layout>
                    <c:manualLayout>
                      <c:w val="0.26735961745874404"/>
                      <c:h val="0.26171717171717174"/>
                    </c:manualLayout>
                  </c15:layout>
                </c:ext>
                <c:ext xmlns:c16="http://schemas.microsoft.com/office/drawing/2014/chart" uri="{C3380CC4-5D6E-409C-BE32-E72D297353CC}">
                  <c16:uniqueId val="{00000009-1D6F-449C-8286-7BFDC795D2B7}"/>
                </c:ext>
              </c:extLst>
            </c:dLbl>
            <c:dLbl>
              <c:idx val="5"/>
              <c:layout>
                <c:manualLayout>
                  <c:x val="3.6423401350365647E-2"/>
                  <c:y val="-3.441064185158675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1D6F-449C-8286-7BFDC795D2B7}"/>
                </c:ext>
              </c:extLst>
            </c:dLbl>
            <c:numFmt formatCode="0.0%" sourceLinked="0"/>
            <c:spPr>
              <a:noFill/>
              <a:ln>
                <a:noFill/>
              </a:ln>
              <a:effectLst/>
            </c:spPr>
            <c:txPr>
              <a:bodyPr rot="0" spcFirstLastPara="1" vertOverflow="ellipsis" vert="horz" wrap="square" anchor="ctr" anchorCtr="0"/>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Sheet1!$A$2:$A$5</c:f>
              <c:strCache>
                <c:ptCount val="4"/>
                <c:pt idx="0">
                  <c:v>Does Not Wish to Self-Identify</c:v>
                </c:pt>
                <c:pt idx="1">
                  <c:v>Female</c:v>
                </c:pt>
                <c:pt idx="2">
                  <c:v>Male</c:v>
                </c:pt>
                <c:pt idx="3">
                  <c:v>Non-Binary</c:v>
                </c:pt>
              </c:strCache>
            </c:strRef>
          </c:cat>
          <c:val>
            <c:numRef>
              <c:f>Sheet1!$B$2:$B$5</c:f>
              <c:numCache>
                <c:formatCode>0.0%</c:formatCode>
                <c:ptCount val="4"/>
                <c:pt idx="0">
                  <c:v>1.2770809578107183E-2</c:v>
                </c:pt>
                <c:pt idx="1">
                  <c:v>0.42907639680729759</c:v>
                </c:pt>
                <c:pt idx="2">
                  <c:v>0.5443557582668187</c:v>
                </c:pt>
                <c:pt idx="3">
                  <c:v>1.3797035347776512E-2</c:v>
                </c:pt>
              </c:numCache>
            </c:numRef>
          </c:val>
          <c:extLst>
            <c:ext xmlns:c16="http://schemas.microsoft.com/office/drawing/2014/chart" uri="{C3380CC4-5D6E-409C-BE32-E72D297353CC}">
              <c16:uniqueId val="{0000000B-1D6F-449C-8286-7BFDC795D2B7}"/>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solidFill>
        <a:prstClr val="black"/>
      </a:solidFill>
      <a:prstDash val="solid"/>
      <a:round/>
    </a:ln>
    <a:effectLst/>
  </c:spPr>
  <c:txPr>
    <a:bodyPr/>
    <a:lstStyle/>
    <a:p>
      <a:pPr>
        <a:defRPr sz="10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a:solidFill>
                  <a:sysClr val="windowText" lastClr="000000"/>
                </a:solidFill>
              </a:rPr>
              <a:t>Ethnicity of Individuals Receiving VR Services from BRS</a:t>
            </a:r>
          </a:p>
        </c:rich>
      </c:tx>
      <c:layout>
        <c:manualLayout>
          <c:xMode val="edge"/>
          <c:yMode val="edge"/>
          <c:x val="0.14596307757250188"/>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autoTitleDeleted val="0"/>
    <c:view3D>
      <c:rotX val="30"/>
      <c:rotY val="30"/>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181339268458427"/>
          <c:y val="0.46698600174978128"/>
          <c:w val="0.63208525031368779"/>
          <c:h val="0.50135250139187149"/>
        </c:manualLayout>
      </c:layout>
      <c:pie3DChart>
        <c:varyColors val="1"/>
        <c:ser>
          <c:idx val="0"/>
          <c:order val="0"/>
          <c:tx>
            <c:strRef>
              <c:f>Sheet1!$B$1</c:f>
              <c:strCache>
                <c:ptCount val="1"/>
                <c:pt idx="0">
                  <c:v>Percent</c:v>
                </c:pt>
              </c:strCache>
            </c:strRef>
          </c:tx>
          <c:explosion val="30"/>
          <c:dPt>
            <c:idx val="0"/>
            <c:bubble3D val="0"/>
            <c:spPr>
              <a:solidFill>
                <a:schemeClr val="accent1"/>
              </a:solidFill>
              <a:ln>
                <a:noFill/>
              </a:ln>
              <a:effectLst/>
              <a:sp3d/>
            </c:spPr>
            <c:extLst>
              <c:ext xmlns:c16="http://schemas.microsoft.com/office/drawing/2014/chart" uri="{C3380CC4-5D6E-409C-BE32-E72D297353CC}">
                <c16:uniqueId val="{00000001-BDB4-442D-8498-731E0BCB4DB6}"/>
              </c:ext>
            </c:extLst>
          </c:dPt>
          <c:dPt>
            <c:idx val="1"/>
            <c:bubble3D val="0"/>
            <c:spPr>
              <a:solidFill>
                <a:schemeClr val="accent3"/>
              </a:solidFill>
              <a:ln>
                <a:noFill/>
              </a:ln>
              <a:effectLst/>
              <a:sp3d/>
            </c:spPr>
            <c:extLst>
              <c:ext xmlns:c16="http://schemas.microsoft.com/office/drawing/2014/chart" uri="{C3380CC4-5D6E-409C-BE32-E72D297353CC}">
                <c16:uniqueId val="{00000003-BDB4-442D-8498-731E0BCB4DB6}"/>
              </c:ext>
            </c:extLst>
          </c:dPt>
          <c:dPt>
            <c:idx val="2"/>
            <c:bubble3D val="0"/>
            <c:spPr>
              <a:solidFill>
                <a:schemeClr val="accent5"/>
              </a:solidFill>
              <a:ln>
                <a:noFill/>
              </a:ln>
              <a:effectLst/>
              <a:sp3d/>
            </c:spPr>
            <c:extLst>
              <c:ext xmlns:c16="http://schemas.microsoft.com/office/drawing/2014/chart" uri="{C3380CC4-5D6E-409C-BE32-E72D297353CC}">
                <c16:uniqueId val="{00000005-BDB4-442D-8498-731E0BCB4DB6}"/>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BDB4-442D-8498-731E0BCB4DB6}"/>
              </c:ext>
            </c:extLst>
          </c:dPt>
          <c:dPt>
            <c:idx val="4"/>
            <c:bubble3D val="0"/>
            <c:explosion val="8"/>
            <c:spPr>
              <a:solidFill>
                <a:schemeClr val="accent3">
                  <a:lumMod val="60000"/>
                </a:schemeClr>
              </a:solidFill>
              <a:ln>
                <a:noFill/>
              </a:ln>
              <a:effectLst/>
              <a:sp3d/>
            </c:spPr>
            <c:extLst>
              <c:ext xmlns:c16="http://schemas.microsoft.com/office/drawing/2014/chart" uri="{C3380CC4-5D6E-409C-BE32-E72D297353CC}">
                <c16:uniqueId val="{00000009-BDB4-442D-8498-731E0BCB4DB6}"/>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B-BDB4-442D-8498-731E0BCB4DB6}"/>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D-BDB4-442D-8498-731E0BCB4DB6}"/>
              </c:ext>
            </c:extLst>
          </c:dPt>
          <c:dLbls>
            <c:dLbl>
              <c:idx val="0"/>
              <c:layout>
                <c:manualLayout>
                  <c:x val="-0.10918078987013739"/>
                  <c:y val="-0.16361831535923199"/>
                </c:manualLayout>
              </c:layout>
              <c:tx>
                <c:rich>
                  <a:bodyPr/>
                  <a:lstStyle/>
                  <a:p>
                    <a:fld id="{D0D538EA-36F0-4F58-94FC-BF170D0609CE}" type="CATEGORYNAME">
                      <a:rPr lang="en-US" sz="1000"/>
                      <a:pPr/>
                      <a:t>[CATEGORY NAME]</a:t>
                    </a:fld>
                    <a:r>
                      <a:rPr lang="en-US" sz="1000" baseline="0"/>
                      <a:t>
</a:t>
                    </a:r>
                    <a:fld id="{FEEA7D6E-D66C-49A6-BF9A-5CC51CFA0809}" type="PERCENTAGE">
                      <a:rPr lang="en-US" sz="1000" baseline="0"/>
                      <a:pPr/>
                      <a:t>[PERCENTAGE]</a:t>
                    </a:fld>
                    <a:endParaRPr lang="en-US" sz="1000" baseline="0"/>
                  </a:p>
                </c:rich>
              </c:tx>
              <c:showLegendKey val="0"/>
              <c:showVal val="0"/>
              <c:showCatName val="1"/>
              <c:showSerName val="0"/>
              <c:showPercent val="1"/>
              <c:showBubbleSize val="0"/>
              <c:extLst>
                <c:ext xmlns:c15="http://schemas.microsoft.com/office/drawing/2012/chart" uri="{CE6537A1-D6FC-4f65-9D91-7224C49458BB}">
                  <c15:layout>
                    <c:manualLayout>
                      <c:w val="0.27998656458474469"/>
                      <c:h val="0.26512727700082267"/>
                    </c:manualLayout>
                  </c15:layout>
                  <c15:dlblFieldTable/>
                  <c15:showDataLabelsRange val="0"/>
                </c:ext>
                <c:ext xmlns:c16="http://schemas.microsoft.com/office/drawing/2014/chart" uri="{C3380CC4-5D6E-409C-BE32-E72D297353CC}">
                  <c16:uniqueId val="{00000001-BDB4-442D-8498-731E0BCB4DB6}"/>
                </c:ext>
              </c:extLst>
            </c:dLbl>
            <c:dLbl>
              <c:idx val="1"/>
              <c:layout>
                <c:manualLayout>
                  <c:x val="0.16352891402676759"/>
                  <c:y val="-0.25950124638942745"/>
                </c:manualLayout>
              </c:layout>
              <c:tx>
                <c:rich>
                  <a:bodyPr/>
                  <a:lstStyle/>
                  <a:p>
                    <a:fld id="{5FFB5191-7B43-45C5-AB8A-7B40C7B940BA}" type="CATEGORYNAME">
                      <a:rPr lang="en-US" sz="1000"/>
                      <a:pPr/>
                      <a:t>[CATEGORY NAME]</a:t>
                    </a:fld>
                    <a:r>
                      <a:rPr lang="en-US" sz="1000" baseline="0"/>
                      <a:t>
</a:t>
                    </a:r>
                    <a:fld id="{42224AF5-B26C-47FA-A080-E32A8F72B143}" type="PERCENTAGE">
                      <a:rPr lang="en-US" sz="1000" baseline="0"/>
                      <a:pPr/>
                      <a:t>[PERCENTAGE]</a:t>
                    </a:fld>
                    <a:endParaRPr lang="en-US" sz="1000" baseline="0"/>
                  </a:p>
                </c:rich>
              </c:tx>
              <c:showLegendKey val="0"/>
              <c:showVal val="0"/>
              <c:showCatName val="1"/>
              <c:showSerName val="0"/>
              <c:showPercent val="1"/>
              <c:showBubbleSize val="0"/>
              <c:extLst>
                <c:ext xmlns:c15="http://schemas.microsoft.com/office/drawing/2012/chart" uri="{CE6537A1-D6FC-4f65-9D91-7224C49458BB}">
                  <c15:layout>
                    <c:manualLayout>
                      <c:w val="0.14218343540390785"/>
                      <c:h val="0.1734879120009496"/>
                    </c:manualLayout>
                  </c15:layout>
                  <c15:dlblFieldTable/>
                  <c15:showDataLabelsRange val="0"/>
                </c:ext>
                <c:ext xmlns:c16="http://schemas.microsoft.com/office/drawing/2014/chart" uri="{C3380CC4-5D6E-409C-BE32-E72D297353CC}">
                  <c16:uniqueId val="{00000003-BDB4-442D-8498-731E0BCB4DB6}"/>
                </c:ext>
              </c:extLst>
            </c:dLbl>
            <c:dLbl>
              <c:idx val="2"/>
              <c:layout>
                <c:manualLayout>
                  <c:x val="9.1181239252557195E-2"/>
                  <c:y val="4.9651306833851952E-2"/>
                </c:manualLayout>
              </c:layout>
              <c:tx>
                <c:rich>
                  <a:bodyPr/>
                  <a:lstStyle/>
                  <a:p>
                    <a:fld id="{436E7B29-8F75-411E-A251-33B8BA73453E}" type="CATEGORYNAME">
                      <a:rPr lang="en-US" sz="1000"/>
                      <a:pPr/>
                      <a:t>[CATEGORY NAME]</a:t>
                    </a:fld>
                    <a:r>
                      <a:rPr lang="en-US" sz="800" baseline="0"/>
                      <a:t>
</a:t>
                    </a:r>
                    <a:fld id="{F78C5C04-7EC8-45C8-9494-11AA23C47724}" type="PERCENTAGE">
                      <a:rPr lang="en-US" sz="1000" baseline="0"/>
                      <a:pPr/>
                      <a:t>[PERCENTAGE]</a:t>
                    </a:fld>
                    <a:endParaRPr lang="en-US" sz="800" baseline="0"/>
                  </a:p>
                </c:rich>
              </c:tx>
              <c:showLegendKey val="0"/>
              <c:showVal val="0"/>
              <c:showCatName val="1"/>
              <c:showSerName val="0"/>
              <c:showPercent val="1"/>
              <c:showBubbleSize val="0"/>
              <c:extLst>
                <c:ext xmlns:c15="http://schemas.microsoft.com/office/drawing/2012/chart" uri="{CE6537A1-D6FC-4f65-9D91-7224C49458BB}">
                  <c15:layout>
                    <c:manualLayout>
                      <c:w val="0.22234000905528831"/>
                      <c:h val="0.27869126806910333"/>
                    </c:manualLayout>
                  </c15:layout>
                  <c15:dlblFieldTable/>
                  <c15:showDataLabelsRange val="0"/>
                </c:ext>
                <c:ext xmlns:c16="http://schemas.microsoft.com/office/drawing/2014/chart" uri="{C3380CC4-5D6E-409C-BE32-E72D297353CC}">
                  <c16:uniqueId val="{00000005-BDB4-442D-8498-731E0BCB4DB6}"/>
                </c:ext>
              </c:extLst>
            </c:dLbl>
            <c:dLbl>
              <c:idx val="3"/>
              <c:layout>
                <c:manualLayout>
                  <c:x val="0.11863061115043061"/>
                  <c:y val="0.32592953138917663"/>
                </c:manualLayout>
              </c:layout>
              <c:tx>
                <c:rich>
                  <a:bodyPr/>
                  <a:lstStyle/>
                  <a:p>
                    <a:fld id="{9F997DB5-0994-4B8B-858D-0C31F0E45D79}" type="CATEGORYNAME">
                      <a:rPr lang="en-US" sz="1000"/>
                      <a:pPr/>
                      <a:t>[CATEGORY NAME]</a:t>
                    </a:fld>
                    <a:r>
                      <a:rPr lang="en-US" sz="1000" baseline="0"/>
                      <a:t>
</a:t>
                    </a:r>
                    <a:fld id="{91002B83-41EB-42A2-9F7F-9D57085944B5}" type="PERCENTAGE">
                      <a:rPr lang="en-US" sz="1000" baseline="0"/>
                      <a:pPr/>
                      <a:t>[PERCENTAGE]</a:t>
                    </a:fld>
                    <a:endParaRPr lang="en-US" sz="1000" baseline="0"/>
                  </a:p>
                </c:rich>
              </c:tx>
              <c:showLegendKey val="0"/>
              <c:showVal val="0"/>
              <c:showCatName val="1"/>
              <c:showSerName val="0"/>
              <c:showPercent val="1"/>
              <c:showBubbleSize val="0"/>
              <c:extLst>
                <c:ext xmlns:c15="http://schemas.microsoft.com/office/drawing/2012/chart" uri="{CE6537A1-D6FC-4f65-9D91-7224C49458BB}">
                  <c15:layout>
                    <c:manualLayout>
                      <c:w val="0.22879678186595703"/>
                      <c:h val="0.31498654594120701"/>
                    </c:manualLayout>
                  </c15:layout>
                  <c15:dlblFieldTable/>
                  <c15:showDataLabelsRange val="0"/>
                </c:ext>
                <c:ext xmlns:c16="http://schemas.microsoft.com/office/drawing/2014/chart" uri="{C3380CC4-5D6E-409C-BE32-E72D297353CC}">
                  <c16:uniqueId val="{00000007-BDB4-442D-8498-731E0BCB4DB6}"/>
                </c:ext>
              </c:extLst>
            </c:dLbl>
            <c:dLbl>
              <c:idx val="4"/>
              <c:layout>
                <c:manualLayout>
                  <c:x val="-0.21033074497335044"/>
                  <c:y val="-7.6022329298389937E-2"/>
                </c:manualLayout>
              </c:layout>
              <c:showLegendKey val="0"/>
              <c:showVal val="0"/>
              <c:showCatName val="1"/>
              <c:showSerName val="0"/>
              <c:showPercent val="1"/>
              <c:showBubbleSize val="0"/>
              <c:extLst>
                <c:ext xmlns:c15="http://schemas.microsoft.com/office/drawing/2012/chart" uri="{CE6537A1-D6FC-4f65-9D91-7224C49458BB}">
                  <c15:layout>
                    <c:manualLayout>
                      <c:w val="0.17106328375619714"/>
                      <c:h val="0.20141574011791238"/>
                    </c:manualLayout>
                  </c15:layout>
                </c:ext>
                <c:ext xmlns:c16="http://schemas.microsoft.com/office/drawing/2014/chart" uri="{C3380CC4-5D6E-409C-BE32-E72D297353CC}">
                  <c16:uniqueId val="{00000009-BDB4-442D-8498-731E0BCB4DB6}"/>
                </c:ext>
              </c:extLst>
            </c:dLbl>
            <c:dLbl>
              <c:idx val="5"/>
              <c:layout>
                <c:manualLayout>
                  <c:x val="-0.23205912490510672"/>
                  <c:y val="2.6191091785168645E-2"/>
                </c:manualLayout>
              </c:layout>
              <c:showLegendKey val="0"/>
              <c:showVal val="0"/>
              <c:showCatName val="1"/>
              <c:showSerName val="0"/>
              <c:showPercent val="1"/>
              <c:showBubbleSize val="0"/>
              <c:extLst>
                <c:ext xmlns:c15="http://schemas.microsoft.com/office/drawing/2012/chart" uri="{CE6537A1-D6FC-4f65-9D91-7224C49458BB}">
                  <c15:layout>
                    <c:manualLayout>
                      <c:w val="0.23553826199740596"/>
                      <c:h val="0.17680620519449994"/>
                    </c:manualLayout>
                  </c15:layout>
                </c:ext>
                <c:ext xmlns:c16="http://schemas.microsoft.com/office/drawing/2014/chart" uri="{C3380CC4-5D6E-409C-BE32-E72D297353CC}">
                  <c16:uniqueId val="{0000000B-BDB4-442D-8498-731E0BCB4DB6}"/>
                </c:ext>
              </c:extLst>
            </c:dLbl>
            <c:dLbl>
              <c:idx val="6"/>
              <c:layout>
                <c:manualLayout>
                  <c:x val="-0.33202145127449212"/>
                  <c:y val="-0.146907039605124"/>
                </c:manualLayout>
              </c:layout>
              <c:tx>
                <c:rich>
                  <a:bodyPr/>
                  <a:lstStyle/>
                  <a:p>
                    <a:fld id="{C4EF2B16-4636-49B5-B6AB-2254F00B1B4E}" type="CATEGORYNAME">
                      <a:rPr lang="en-US" sz="1000"/>
                      <a:pPr/>
                      <a:t>[CATEGORY NAME]</a:t>
                    </a:fld>
                    <a:r>
                      <a:rPr lang="en-US" sz="1000" baseline="0"/>
                      <a:t>
</a:t>
                    </a:r>
                    <a:fld id="{496D057A-8D13-4AFC-975B-DBDFC5CFACAD}" type="PERCENTAGE">
                      <a:rPr lang="en-US" sz="1000" baseline="0"/>
                      <a:pPr/>
                      <a:t>[PERCENTAGE]</a:t>
                    </a:fld>
                    <a:endParaRPr lang="en-US" sz="1000" baseline="0"/>
                  </a:p>
                </c:rich>
              </c:tx>
              <c:showLegendKey val="0"/>
              <c:showVal val="0"/>
              <c:showCatName val="1"/>
              <c:showSerName val="0"/>
              <c:showPercent val="1"/>
              <c:showBubbleSize val="0"/>
              <c:extLst>
                <c:ext xmlns:c15="http://schemas.microsoft.com/office/drawing/2012/chart" uri="{CE6537A1-D6FC-4f65-9D91-7224C49458BB}">
                  <c15:layout>
                    <c:manualLayout>
                      <c:w val="0.25823685139227892"/>
                      <c:h val="0.27122764132095428"/>
                    </c:manualLayout>
                  </c15:layout>
                  <c15:dlblFieldTable/>
                  <c15:showDataLabelsRange val="0"/>
                </c:ext>
                <c:ext xmlns:c16="http://schemas.microsoft.com/office/drawing/2014/chart" uri="{C3380CC4-5D6E-409C-BE32-E72D297353CC}">
                  <c16:uniqueId val="{0000000D-BDB4-442D-8498-731E0BCB4DB6}"/>
                </c:ext>
              </c:extLst>
            </c:dLbl>
            <c:numFmt formatCode="0.0%" sourceLinked="0"/>
            <c:spPr>
              <a:noFill/>
              <a:ln>
                <a:noFill/>
              </a:ln>
              <a:effectLst/>
            </c:spPr>
            <c:txPr>
              <a:bodyPr rot="0" spcFirstLastPara="1" vertOverflow="ellipsis" vert="horz" wrap="square" anchor="ctr" anchorCtr="0"/>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Sheet1!$A$2:$A$8</c:f>
              <c:strCache>
                <c:ptCount val="7"/>
                <c:pt idx="0">
                  <c:v>American Native/ Alaska Native</c:v>
                </c:pt>
                <c:pt idx="1">
                  <c:v>Asian</c:v>
                </c:pt>
                <c:pt idx="2">
                  <c:v>Black/ African American</c:v>
                </c:pt>
                <c:pt idx="3">
                  <c:v>Native Hawaiian/ Pacific Islander</c:v>
                </c:pt>
                <c:pt idx="4">
                  <c:v>White</c:v>
                </c:pt>
                <c:pt idx="5">
                  <c:v>More Than One</c:v>
                </c:pt>
                <c:pt idx="6">
                  <c:v>Does Not Wish to Self-Identify</c:v>
                </c:pt>
              </c:strCache>
            </c:strRef>
          </c:cat>
          <c:val>
            <c:numRef>
              <c:f>Sheet1!$B$2:$B$8</c:f>
              <c:numCache>
                <c:formatCode>0.0%</c:formatCode>
                <c:ptCount val="7"/>
                <c:pt idx="0">
                  <c:v>9.0079817559863169E-3</c:v>
                </c:pt>
                <c:pt idx="1">
                  <c:v>8.5518814139110607E-3</c:v>
                </c:pt>
                <c:pt idx="2">
                  <c:v>3.3637400228050174E-2</c:v>
                </c:pt>
                <c:pt idx="3">
                  <c:v>0</c:v>
                </c:pt>
                <c:pt idx="4">
                  <c:v>0.88882554161915617</c:v>
                </c:pt>
                <c:pt idx="5">
                  <c:v>4.8118586088939569E-2</c:v>
                </c:pt>
                <c:pt idx="6">
                  <c:v>1.185860889395667E-2</c:v>
                </c:pt>
              </c:numCache>
            </c:numRef>
          </c:val>
          <c:extLst>
            <c:ext xmlns:c16="http://schemas.microsoft.com/office/drawing/2014/chart" uri="{C3380CC4-5D6E-409C-BE32-E72D297353CC}">
              <c16:uniqueId val="{0000000E-BDB4-442D-8498-731E0BCB4DB6}"/>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solidFill>
        <a:prstClr val="black"/>
      </a:solidFill>
      <a:prstDash val="solid"/>
      <a:round/>
    </a:ln>
    <a:effectLst/>
  </c:spPr>
  <c:txPr>
    <a:bodyPr/>
    <a:lstStyle/>
    <a:p>
      <a:pPr>
        <a:defRPr sz="10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100">
                <a:solidFill>
                  <a:sysClr val="windowText" lastClr="000000"/>
                </a:solidFill>
              </a:rPr>
              <a:t>Revenue by Funding</a:t>
            </a:r>
            <a:r>
              <a:rPr lang="en-US" sz="1100" baseline="0">
                <a:solidFill>
                  <a:sysClr val="windowText" lastClr="000000"/>
                </a:solidFill>
              </a:rPr>
              <a:t> </a:t>
            </a:r>
            <a:r>
              <a:rPr lang="en-US" sz="1100">
                <a:solidFill>
                  <a:sysClr val="windowText" lastClr="000000"/>
                </a:solidFill>
              </a:rPr>
              <a:t>Source $32 Million</a:t>
            </a:r>
          </a:p>
        </c:rich>
      </c:tx>
      <c:layout>
        <c:manualLayout>
          <c:xMode val="edge"/>
          <c:yMode val="edge"/>
          <c:x val="0.2930795101497804"/>
          <c:y val="0"/>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view3D>
      <c:rotX val="30"/>
      <c:rotY val="355"/>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293539317086552"/>
          <c:y val="0.48204597537090343"/>
          <c:w val="0.5820468700319823"/>
          <c:h val="0.45589797876473898"/>
        </c:manualLayout>
      </c:layout>
      <c:pie3DChart>
        <c:varyColors val="1"/>
        <c:ser>
          <c:idx val="0"/>
          <c:order val="0"/>
          <c:tx>
            <c:strRef>
              <c:f>Sheet1!$B$1</c:f>
              <c:strCache>
                <c:ptCount val="1"/>
                <c:pt idx="0">
                  <c:v>Percent</c:v>
                </c:pt>
              </c:strCache>
            </c:strRef>
          </c:tx>
          <c:explosion val="17"/>
          <c:dPt>
            <c:idx val="0"/>
            <c:bubble3D val="0"/>
            <c:spPr>
              <a:solidFill>
                <a:schemeClr val="accent1"/>
              </a:solidFill>
              <a:ln>
                <a:noFill/>
              </a:ln>
              <a:effectLst/>
              <a:sp3d/>
            </c:spPr>
            <c:extLst>
              <c:ext xmlns:c16="http://schemas.microsoft.com/office/drawing/2014/chart" uri="{C3380CC4-5D6E-409C-BE32-E72D297353CC}">
                <c16:uniqueId val="{00000001-D9E1-4D82-A5E3-C6A4DB2944B1}"/>
              </c:ext>
            </c:extLst>
          </c:dPt>
          <c:dPt>
            <c:idx val="1"/>
            <c:bubble3D val="0"/>
            <c:spPr>
              <a:solidFill>
                <a:schemeClr val="accent3"/>
              </a:solidFill>
              <a:ln>
                <a:noFill/>
              </a:ln>
              <a:effectLst/>
              <a:sp3d/>
            </c:spPr>
            <c:extLst>
              <c:ext xmlns:c16="http://schemas.microsoft.com/office/drawing/2014/chart" uri="{C3380CC4-5D6E-409C-BE32-E72D297353CC}">
                <c16:uniqueId val="{00000003-D9E1-4D82-A5E3-C6A4DB2944B1}"/>
              </c:ext>
            </c:extLst>
          </c:dPt>
          <c:dPt>
            <c:idx val="2"/>
            <c:bubble3D val="0"/>
            <c:spPr>
              <a:solidFill>
                <a:schemeClr val="accent5"/>
              </a:solidFill>
              <a:ln>
                <a:noFill/>
              </a:ln>
              <a:effectLst/>
              <a:sp3d/>
            </c:spPr>
            <c:extLst>
              <c:ext xmlns:c16="http://schemas.microsoft.com/office/drawing/2014/chart" uri="{C3380CC4-5D6E-409C-BE32-E72D297353CC}">
                <c16:uniqueId val="{00000005-D9E1-4D82-A5E3-C6A4DB2944B1}"/>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D9E1-4D82-A5E3-C6A4DB2944B1}"/>
              </c:ext>
            </c:extLst>
          </c:dPt>
          <c:dLbls>
            <c:dLbl>
              <c:idx val="0"/>
              <c:layout>
                <c:manualLayout>
                  <c:x val="2.1394007367533746E-2"/>
                  <c:y val="-0.13518482008859778"/>
                </c:manualLayout>
              </c:layout>
              <c:showLegendKey val="0"/>
              <c:showVal val="0"/>
              <c:showCatName val="1"/>
              <c:showSerName val="0"/>
              <c:showPercent val="1"/>
              <c:showBubbleSize val="0"/>
              <c:extLst>
                <c:ext xmlns:c15="http://schemas.microsoft.com/office/drawing/2012/chart" uri="{CE6537A1-D6FC-4f65-9D91-7224C49458BB}">
                  <c15:layout>
                    <c:manualLayout>
                      <c:w val="0.19655433070866141"/>
                      <c:h val="0.26489785352173445"/>
                    </c:manualLayout>
                  </c15:layout>
                </c:ext>
                <c:ext xmlns:c16="http://schemas.microsoft.com/office/drawing/2014/chart" uri="{C3380CC4-5D6E-409C-BE32-E72D297353CC}">
                  <c16:uniqueId val="{00000001-D9E1-4D82-A5E3-C6A4DB2944B1}"/>
                </c:ext>
              </c:extLst>
            </c:dLbl>
            <c:dLbl>
              <c:idx val="1"/>
              <c:layout>
                <c:manualLayout>
                  <c:x val="4.8766423420799974E-2"/>
                  <c:y val="-0.120128832899464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9E1-4D82-A5E3-C6A4DB2944B1}"/>
                </c:ext>
              </c:extLst>
            </c:dLbl>
            <c:dLbl>
              <c:idx val="2"/>
              <c:layout>
                <c:manualLayout>
                  <c:x val="0.18283996997629048"/>
                  <c:y val="-6.7009805302186018E-2"/>
                </c:manualLayout>
              </c:layout>
              <c:showLegendKey val="0"/>
              <c:showVal val="0"/>
              <c:showCatName val="1"/>
              <c:showSerName val="0"/>
              <c:showPercent val="1"/>
              <c:showBubbleSize val="0"/>
              <c:extLst>
                <c:ext xmlns:c15="http://schemas.microsoft.com/office/drawing/2012/chart" uri="{CE6537A1-D6FC-4f65-9D91-7224C49458BB}">
                  <c15:layout>
                    <c:manualLayout>
                      <c:w val="0.17780187552455184"/>
                      <c:h val="0.23772306715085273"/>
                    </c:manualLayout>
                  </c15:layout>
                </c:ext>
                <c:ext xmlns:c16="http://schemas.microsoft.com/office/drawing/2014/chart" uri="{C3380CC4-5D6E-409C-BE32-E72D297353CC}">
                  <c16:uniqueId val="{00000005-D9E1-4D82-A5E3-C6A4DB2944B1}"/>
                </c:ext>
              </c:extLst>
            </c:dLbl>
            <c:dLbl>
              <c:idx val="3"/>
              <c:layout>
                <c:manualLayout>
                  <c:x val="0.12500607874400174"/>
                  <c:y val="0.141802694949283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9E1-4D82-A5E3-C6A4DB2944B1}"/>
                </c:ext>
              </c:extLst>
            </c:dLbl>
            <c:dLbl>
              <c:idx val="4"/>
              <c:layout>
                <c:manualLayout>
                  <c:x val="0.31757934322654924"/>
                  <c:y val="-9.856923863055688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4D94-48A6-9451-F6A2C8B952E8}"/>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Sheet1!$A$2:$A$4</c:f>
              <c:strCache>
                <c:ptCount val="3"/>
                <c:pt idx="0">
                  <c:v>Federal Grants</c:v>
                </c:pt>
                <c:pt idx="1">
                  <c:v>General Fund</c:v>
                </c:pt>
                <c:pt idx="2">
                  <c:v>Special Revenue Funds</c:v>
                </c:pt>
              </c:strCache>
            </c:strRef>
          </c:cat>
          <c:val>
            <c:numRef>
              <c:f>Sheet1!$B$2:$B$4</c:f>
              <c:numCache>
                <c:formatCode>0.0%</c:formatCode>
                <c:ptCount val="3"/>
                <c:pt idx="0">
                  <c:v>0.66520492372422169</c:v>
                </c:pt>
                <c:pt idx="1">
                  <c:v>0.31261677707578278</c:v>
                </c:pt>
                <c:pt idx="2">
                  <c:v>2.2178299199995477E-2</c:v>
                </c:pt>
              </c:numCache>
            </c:numRef>
          </c:val>
          <c:extLst>
            <c:ext xmlns:c16="http://schemas.microsoft.com/office/drawing/2014/chart" uri="{C3380CC4-5D6E-409C-BE32-E72D297353CC}">
              <c16:uniqueId val="{00000008-D9E1-4D82-A5E3-C6A4DB2944B1}"/>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9525" cap="flat" cmpd="sng" algn="ctr">
      <a:solidFill>
        <a:prstClr val="black"/>
      </a:solidFill>
      <a:prstDash val="solid"/>
      <a:round/>
    </a:ln>
    <a:effectLst/>
  </c:spPr>
  <c:txPr>
    <a:bodyPr/>
    <a:lstStyle/>
    <a:p>
      <a:pPr>
        <a:defRPr sz="10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00" b="1" i="0" u="none" strike="noStrike" kern="1200" baseline="0">
                <a:solidFill>
                  <a:sysClr val="windowText" lastClr="000000"/>
                </a:solidFill>
                <a:latin typeface="+mn-lt"/>
                <a:ea typeface="+mn-ea"/>
                <a:cs typeface="+mn-cs"/>
              </a:defRPr>
            </a:pPr>
            <a:r>
              <a:rPr lang="en-US" sz="1100">
                <a:solidFill>
                  <a:sysClr val="windowText" lastClr="000000"/>
                </a:solidFill>
              </a:rPr>
              <a:t>Expenditures by Program</a:t>
            </a:r>
          </a:p>
          <a:p>
            <a:pPr algn="ctr">
              <a:defRPr sz="1000"/>
            </a:pPr>
            <a:r>
              <a:rPr lang="en-US" sz="1100">
                <a:solidFill>
                  <a:sysClr val="windowText" lastClr="000000"/>
                </a:solidFill>
              </a:rPr>
              <a:t>$32 Million</a:t>
            </a:r>
          </a:p>
        </c:rich>
      </c:tx>
      <c:layout>
        <c:manualLayout>
          <c:xMode val="edge"/>
          <c:yMode val="edge"/>
          <c:x val="0.34565189660570778"/>
          <c:y val="1.4656956276369891E-2"/>
        </c:manualLayout>
      </c:layout>
      <c:overlay val="0"/>
      <c:spPr>
        <a:noFill/>
        <a:ln>
          <a:noFill/>
        </a:ln>
        <a:effectLst/>
      </c:spPr>
      <c:txPr>
        <a:bodyPr rot="0" spcFirstLastPara="1" vertOverflow="ellipsis" vert="horz" wrap="square" anchor="ctr" anchorCtr="1"/>
        <a:lstStyle/>
        <a:p>
          <a:pPr algn="ctr">
            <a:defRPr sz="1000" b="1" i="0" u="none" strike="noStrike" kern="1200" baseline="0">
              <a:solidFill>
                <a:sysClr val="windowText" lastClr="000000"/>
              </a:solidFill>
              <a:latin typeface="+mn-lt"/>
              <a:ea typeface="+mn-ea"/>
              <a:cs typeface="+mn-cs"/>
            </a:defRPr>
          </a:pPr>
          <a:endParaRPr lang="en-US"/>
        </a:p>
      </c:txPr>
    </c:title>
    <c:autoTitleDeleted val="0"/>
    <c:view3D>
      <c:rotX val="30"/>
      <c:rotY val="19"/>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2909697016617861"/>
          <c:y val="0.54274357750735702"/>
          <c:w val="0.57344269213311894"/>
          <c:h val="0.45589795593732602"/>
        </c:manualLayout>
      </c:layout>
      <c:pie3DChart>
        <c:varyColors val="1"/>
        <c:ser>
          <c:idx val="0"/>
          <c:order val="0"/>
          <c:tx>
            <c:strRef>
              <c:f>Sheet1!$B$1</c:f>
              <c:strCache>
                <c:ptCount val="1"/>
                <c:pt idx="0">
                  <c:v>Percent</c:v>
                </c:pt>
              </c:strCache>
            </c:strRef>
          </c:tx>
          <c:explosion val="30"/>
          <c:dPt>
            <c:idx val="0"/>
            <c:bubble3D val="0"/>
            <c:spPr>
              <a:solidFill>
                <a:schemeClr val="accent1"/>
              </a:solidFill>
              <a:ln>
                <a:noFill/>
              </a:ln>
              <a:effectLst/>
              <a:sp3d/>
            </c:spPr>
            <c:extLst>
              <c:ext xmlns:c16="http://schemas.microsoft.com/office/drawing/2014/chart" uri="{C3380CC4-5D6E-409C-BE32-E72D297353CC}">
                <c16:uniqueId val="{00000001-C82D-4E9B-898D-A0EDC2CAA01A}"/>
              </c:ext>
            </c:extLst>
          </c:dPt>
          <c:dPt>
            <c:idx val="1"/>
            <c:bubble3D val="0"/>
            <c:spPr>
              <a:solidFill>
                <a:schemeClr val="accent3"/>
              </a:solidFill>
              <a:ln>
                <a:noFill/>
              </a:ln>
              <a:effectLst/>
              <a:sp3d/>
            </c:spPr>
            <c:extLst>
              <c:ext xmlns:c16="http://schemas.microsoft.com/office/drawing/2014/chart" uri="{C3380CC4-5D6E-409C-BE32-E72D297353CC}">
                <c16:uniqueId val="{00000003-C82D-4E9B-898D-A0EDC2CAA01A}"/>
              </c:ext>
            </c:extLst>
          </c:dPt>
          <c:dPt>
            <c:idx val="2"/>
            <c:bubble3D val="0"/>
            <c:spPr>
              <a:solidFill>
                <a:schemeClr val="accent5"/>
              </a:solidFill>
              <a:ln>
                <a:noFill/>
              </a:ln>
              <a:effectLst/>
              <a:sp3d/>
            </c:spPr>
            <c:extLst>
              <c:ext xmlns:c16="http://schemas.microsoft.com/office/drawing/2014/chart" uri="{C3380CC4-5D6E-409C-BE32-E72D297353CC}">
                <c16:uniqueId val="{00000005-C82D-4E9B-898D-A0EDC2CAA01A}"/>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C82D-4E9B-898D-A0EDC2CAA01A}"/>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9-C82D-4E9B-898D-A0EDC2CAA01A}"/>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B-C82D-4E9B-898D-A0EDC2CAA01A}"/>
              </c:ext>
            </c:extLst>
          </c:dPt>
          <c:dLbls>
            <c:dLbl>
              <c:idx val="0"/>
              <c:layout>
                <c:manualLayout>
                  <c:x val="-1.7262739083950485E-2"/>
                  <c:y val="-0.2590543261482634"/>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30980386472309518"/>
                      <c:h val="0.15985380667007065"/>
                    </c:manualLayout>
                  </c15:layout>
                </c:ext>
                <c:ext xmlns:c16="http://schemas.microsoft.com/office/drawing/2014/chart" uri="{C3380CC4-5D6E-409C-BE32-E72D297353CC}">
                  <c16:uniqueId val="{00000001-C82D-4E9B-898D-A0EDC2CAA01A}"/>
                </c:ext>
              </c:extLst>
            </c:dLbl>
            <c:dLbl>
              <c:idx val="1"/>
              <c:layout>
                <c:manualLayout>
                  <c:x val="6.1682399236177951E-2"/>
                  <c:y val="-5.659186799602267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9004364145203498"/>
                      <c:h val="0.28899339800954915"/>
                    </c:manualLayout>
                  </c15:layout>
                </c:ext>
                <c:ext xmlns:c16="http://schemas.microsoft.com/office/drawing/2014/chart" uri="{C3380CC4-5D6E-409C-BE32-E72D297353CC}">
                  <c16:uniqueId val="{00000003-C82D-4E9B-898D-A0EDC2CAA01A}"/>
                </c:ext>
              </c:extLst>
            </c:dLbl>
            <c:dLbl>
              <c:idx val="2"/>
              <c:layout>
                <c:manualLayout>
                  <c:x val="1.206450353499627E-2"/>
                  <c:y val="-2.287728539052080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8388262034256023"/>
                      <c:h val="0.14162514668601575"/>
                    </c:manualLayout>
                  </c15:layout>
                </c:ext>
                <c:ext xmlns:c16="http://schemas.microsoft.com/office/drawing/2014/chart" uri="{C3380CC4-5D6E-409C-BE32-E72D297353CC}">
                  <c16:uniqueId val="{00000005-C82D-4E9B-898D-A0EDC2CAA01A}"/>
                </c:ext>
              </c:extLst>
            </c:dLbl>
            <c:dLbl>
              <c:idx val="3"/>
              <c:layout>
                <c:manualLayout>
                  <c:x val="1.2249854077518571E-2"/>
                  <c:y val="6.4743579407522858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sz="900" baseline="0"/>
                      <a:t>Other Programs
</a:t>
                    </a:r>
                    <a:fld id="{888BFB47-0308-4ABA-8913-13274F459D2A}" type="VALUE">
                      <a:rPr lang="en-US" sz="900" baseline="0"/>
                      <a:pPr>
                        <a:defRPr sz="900"/>
                      </a:pPr>
                      <a:t>[VALUE]</a:t>
                    </a:fld>
                    <a:endParaRPr lang="en-US" sz="900" baseline="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8550206997321209"/>
                      <c:h val="0.15351410425232681"/>
                    </c:manualLayout>
                  </c15:layout>
                  <c15:dlblFieldTable/>
                  <c15:showDataLabelsRange val="0"/>
                </c:ext>
                <c:ext xmlns:c16="http://schemas.microsoft.com/office/drawing/2014/chart" uri="{C3380CC4-5D6E-409C-BE32-E72D297353CC}">
                  <c16:uniqueId val="{00000007-C82D-4E9B-898D-A0EDC2CAA01A}"/>
                </c:ext>
              </c:extLst>
            </c:dLbl>
            <c:dLbl>
              <c:idx val="4"/>
              <c:layout>
                <c:manualLayout>
                  <c:x val="-3.8053780648552971E-2"/>
                  <c:y val="-0.15416265799539555"/>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sz="900" baseline="0"/>
                      <a:t>Title I</a:t>
                    </a:r>
                  </a:p>
                  <a:p>
                    <a:pPr>
                      <a:defRPr sz="900"/>
                    </a:pPr>
                    <a:fld id="{F5FE5372-5DFA-4FD2-9DC4-6193C6F46FDE}" type="VALUE">
                      <a:rPr lang="en-US" sz="900"/>
                      <a:pPr>
                        <a:defRPr sz="900"/>
                      </a:pPr>
                      <a:t>[VALUE]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972755982821733"/>
                      <c:h val="0.16309800865335519"/>
                    </c:manualLayout>
                  </c15:layout>
                  <c15:dlblFieldTable/>
                  <c15:showDataLabelsRange val="0"/>
                </c:ext>
                <c:ext xmlns:c16="http://schemas.microsoft.com/office/drawing/2014/chart" uri="{C3380CC4-5D6E-409C-BE32-E72D297353CC}">
                  <c16:uniqueId val="{00000009-C82D-4E9B-898D-A0EDC2CAA01A}"/>
                </c:ext>
              </c:extLst>
            </c:dLbl>
            <c:dLbl>
              <c:idx val="5"/>
              <c:layout>
                <c:manualLayout>
                  <c:x val="-4.5735777873126687E-2"/>
                  <c:y val="-9.983857819820307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1971441714115633"/>
                      <c:h val="0.14301577490526995"/>
                    </c:manualLayout>
                  </c15:layout>
                </c:ext>
                <c:ext xmlns:c16="http://schemas.microsoft.com/office/drawing/2014/chart" uri="{C3380CC4-5D6E-409C-BE32-E72D297353CC}">
                  <c16:uniqueId val="{0000000B-C82D-4E9B-898D-A0EDC2CAA01A}"/>
                </c:ext>
              </c:extLst>
            </c:dLbl>
            <c:dLbl>
              <c:idx val="6"/>
              <c:layout>
                <c:manualLayout>
                  <c:x val="0.12093573977410127"/>
                  <c:y val="0.23313528990694335"/>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6050790868679352"/>
                      <c:h val="0.29255070388928656"/>
                    </c:manualLayout>
                  </c15:layout>
                </c:ext>
                <c:ext xmlns:c16="http://schemas.microsoft.com/office/drawing/2014/chart" uri="{C3380CC4-5D6E-409C-BE32-E72D297353CC}">
                  <c16:uniqueId val="{0000000C-C82D-4E9B-898D-A0EDC2CAA01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Sheet1!$A$2:$A$7</c:f>
              <c:strCache>
                <c:ptCount val="6"/>
                <c:pt idx="0">
                  <c:v>Deaf Communications </c:v>
                </c:pt>
                <c:pt idx="1">
                  <c:v>Education Program for Children who are Blind</c:v>
                </c:pt>
                <c:pt idx="2">
                  <c:v>Independent Living</c:v>
                </c:pt>
                <c:pt idx="3">
                  <c:v>Other Programs fewer than 1% each</c:v>
                </c:pt>
                <c:pt idx="4">
                  <c:v>Title I </c:v>
                </c:pt>
                <c:pt idx="5">
                  <c:v>P2P</c:v>
                </c:pt>
              </c:strCache>
            </c:strRef>
          </c:cat>
          <c:val>
            <c:numRef>
              <c:f>Sheet1!$B$2:$B$7</c:f>
              <c:numCache>
                <c:formatCode>0.0%</c:formatCode>
                <c:ptCount val="6"/>
                <c:pt idx="0">
                  <c:v>1.2525828141359451E-2</c:v>
                </c:pt>
                <c:pt idx="1">
                  <c:v>7.6794585516365768E-2</c:v>
                </c:pt>
                <c:pt idx="2">
                  <c:v>5.958025195378442E-2</c:v>
                </c:pt>
                <c:pt idx="3">
                  <c:v>1.4736097779803756E-2</c:v>
                </c:pt>
                <c:pt idx="4">
                  <c:v>0.81527664571867542</c:v>
                </c:pt>
                <c:pt idx="5">
                  <c:v>2.108659089001114E-2</c:v>
                </c:pt>
              </c:numCache>
            </c:numRef>
          </c:val>
          <c:extLst>
            <c:ext xmlns:c16="http://schemas.microsoft.com/office/drawing/2014/chart" uri="{C3380CC4-5D6E-409C-BE32-E72D297353CC}">
              <c16:uniqueId val="{0000000D-C82D-4E9B-898D-A0EDC2CAA01A}"/>
            </c:ext>
          </c:extLst>
        </c:ser>
        <c:dLbls>
          <c:showLegendKey val="0"/>
          <c:showVal val="0"/>
          <c:showCatName val="1"/>
          <c:showSerName val="0"/>
          <c:showPercent val="1"/>
          <c:showBubbleSize val="0"/>
          <c:showLeaderLines val="1"/>
        </c:dLbls>
      </c:pie3DChart>
      <c:spPr>
        <a:noFill/>
        <a:ln w="25400">
          <a:noFill/>
        </a:ln>
        <a:effectLst/>
      </c:spPr>
    </c:plotArea>
    <c:plotVisOnly val="1"/>
    <c:dispBlanksAs val="gap"/>
    <c:showDLblsOverMax val="0"/>
  </c:chart>
  <c:spPr>
    <a:solidFill>
      <a:schemeClr val="bg2"/>
    </a:solidFill>
    <a:ln w="9525" cap="flat" cmpd="sng" algn="ctr">
      <a:noFill/>
      <a:prstDash val="solid"/>
      <a:round/>
    </a:ln>
    <a:effectLst/>
  </c:spPr>
  <c:txPr>
    <a:bodyPr/>
    <a:lstStyle/>
    <a:p>
      <a:pPr>
        <a:defRPr sz="1000">
          <a:solidFill>
            <a:sysClr val="windowText" lastClr="000000"/>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en-US" sz="1200">
                <a:solidFill>
                  <a:sysClr val="windowText" lastClr="000000"/>
                </a:solidFill>
              </a:rPr>
              <a:t>Credential</a:t>
            </a:r>
            <a:r>
              <a:rPr lang="en-US" sz="1200" baseline="0">
                <a:solidFill>
                  <a:sysClr val="windowText" lastClr="000000"/>
                </a:solidFill>
              </a:rPr>
              <a:t> Attainment = 407</a:t>
            </a:r>
          </a:p>
          <a:p>
            <a:pPr>
              <a:defRPr/>
            </a:pPr>
            <a:endParaRPr lang="en-US" sz="1200">
              <a:solidFill>
                <a:schemeClr val="tx1"/>
              </a:solidFill>
            </a:endParaRPr>
          </a:p>
        </c:rich>
      </c:tx>
      <c:layout>
        <c:manualLayout>
          <c:xMode val="edge"/>
          <c:yMode val="edge"/>
          <c:x val="0.24685017021878888"/>
          <c:y val="2.3099108809117492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en-US"/>
        </a:p>
      </c:txPr>
    </c:title>
    <c:autoTitleDeleted val="0"/>
    <c:view3D>
      <c:rotX val="30"/>
      <c:rotY val="360"/>
      <c:rAngAx val="0"/>
      <c:perspective val="1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7174290219493025"/>
          <c:y val="0.41891883232905747"/>
          <c:w val="0.60960291895331264"/>
          <c:h val="0.48776857634175036"/>
        </c:manualLayout>
      </c:layout>
      <c:pie3DChart>
        <c:varyColors val="1"/>
        <c:ser>
          <c:idx val="0"/>
          <c:order val="0"/>
          <c:tx>
            <c:strRef>
              <c:f>Sheet1!$B$1</c:f>
              <c:strCache>
                <c:ptCount val="1"/>
                <c:pt idx="0">
                  <c:v>Total</c:v>
                </c:pt>
              </c:strCache>
            </c:strRef>
          </c:tx>
          <c:explosion val="30"/>
          <c:dPt>
            <c:idx val="0"/>
            <c:bubble3D val="0"/>
            <c:explosion val="0"/>
            <c:spPr>
              <a:solidFill>
                <a:schemeClr val="accent1"/>
              </a:solidFill>
              <a:ln>
                <a:noFill/>
              </a:ln>
              <a:effectLst/>
              <a:sp3d/>
            </c:spPr>
            <c:extLst>
              <c:ext xmlns:c16="http://schemas.microsoft.com/office/drawing/2014/chart" uri="{C3380CC4-5D6E-409C-BE32-E72D297353CC}">
                <c16:uniqueId val="{00000002-D8F6-4B59-823F-4A42198FA8C1}"/>
              </c:ext>
            </c:extLst>
          </c:dPt>
          <c:dPt>
            <c:idx val="1"/>
            <c:bubble3D val="0"/>
            <c:explosion val="10"/>
            <c:spPr>
              <a:solidFill>
                <a:schemeClr val="accent3"/>
              </a:solidFill>
              <a:ln>
                <a:noFill/>
              </a:ln>
              <a:effectLst/>
              <a:sp3d/>
            </c:spPr>
            <c:extLst>
              <c:ext xmlns:c16="http://schemas.microsoft.com/office/drawing/2014/chart" uri="{C3380CC4-5D6E-409C-BE32-E72D297353CC}">
                <c16:uniqueId val="{00000001-D8F6-4B59-823F-4A42198FA8C1}"/>
              </c:ext>
            </c:extLst>
          </c:dPt>
          <c:dPt>
            <c:idx val="2"/>
            <c:bubble3D val="0"/>
            <c:spPr>
              <a:solidFill>
                <a:schemeClr val="accent5"/>
              </a:solidFill>
              <a:ln>
                <a:noFill/>
              </a:ln>
              <a:effectLst/>
              <a:sp3d/>
            </c:spPr>
            <c:extLst>
              <c:ext xmlns:c16="http://schemas.microsoft.com/office/drawing/2014/chart" uri="{C3380CC4-5D6E-409C-BE32-E72D297353CC}">
                <c16:uniqueId val="{00000003-D8F6-4B59-823F-4A42198FA8C1}"/>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4-D8F6-4B59-823F-4A42198FA8C1}"/>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5-D8F6-4B59-823F-4A42198FA8C1}"/>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6-D8F6-4B59-823F-4A42198FA8C1}"/>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7-D8F6-4B59-823F-4A42198FA8C1}"/>
              </c:ext>
            </c:extLst>
          </c:dPt>
          <c:dLbls>
            <c:dLbl>
              <c:idx val="0"/>
              <c:layout>
                <c:manualLayout>
                  <c:x val="7.1685705177214731E-2"/>
                  <c:y val="-2.3287937392460802E-2"/>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2CD81D79-1CB3-4E15-B0E7-1AD5CEBD9AF5}" type="CATEGORYNAME">
                      <a:rPr lang="en-US" sz="900">
                        <a:solidFill>
                          <a:schemeClr val="tx1"/>
                        </a:solidFill>
                      </a:rPr>
                      <a:pPr>
                        <a:defRPr sz="900"/>
                      </a:pPr>
                      <a:t>[CATEGORY NAME]</a:t>
                    </a:fld>
                    <a:r>
                      <a:rPr lang="en-US" sz="900" baseline="0">
                        <a:solidFill>
                          <a:schemeClr val="tx1"/>
                        </a:solidFill>
                      </a:rPr>
                      <a:t>
361</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8F6-4B59-823F-4A42198FA8C1}"/>
                </c:ext>
              </c:extLst>
            </c:dLbl>
            <c:dLbl>
              <c:idx val="1"/>
              <c:layout>
                <c:manualLayout>
                  <c:x val="-4.9220308697027662E-2"/>
                  <c:y val="0.34369181416425498"/>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5E835D9F-3439-4FFE-B53B-C03289731C8F}" type="CATEGORYNAME">
                      <a:rPr lang="en-US" sz="900">
                        <a:solidFill>
                          <a:schemeClr val="tx1"/>
                        </a:solidFill>
                      </a:rPr>
                      <a:pPr>
                        <a:defRPr sz="900"/>
                      </a:pPr>
                      <a:t>[CATEGORY NAME]</a:t>
                    </a:fld>
                    <a:r>
                      <a:rPr lang="en-US" sz="900" baseline="0">
                        <a:solidFill>
                          <a:schemeClr val="tx1"/>
                        </a:solidFill>
                      </a:rPr>
                      <a:t>
2</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6247299198097471"/>
                      <c:h val="0.2095514640595576"/>
                    </c:manualLayout>
                  </c15:layout>
                  <c15:dlblFieldTable/>
                  <c15:showDataLabelsRange val="0"/>
                </c:ext>
                <c:ext xmlns:c16="http://schemas.microsoft.com/office/drawing/2014/chart" uri="{C3380CC4-5D6E-409C-BE32-E72D297353CC}">
                  <c16:uniqueId val="{00000001-D8F6-4B59-823F-4A42198FA8C1}"/>
                </c:ext>
              </c:extLst>
            </c:dLbl>
            <c:dLbl>
              <c:idx val="2"/>
              <c:layout>
                <c:manualLayout>
                  <c:x val="-0.14258399025079033"/>
                  <c:y val="0.17534712383111364"/>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9EC65E09-7ACB-485B-A6C4-5B03040C69E0}" type="CATEGORYNAME">
                      <a:rPr lang="en-US" sz="900">
                        <a:solidFill>
                          <a:schemeClr val="tx1"/>
                        </a:solidFill>
                      </a:rPr>
                      <a:pPr>
                        <a:defRPr sz="900"/>
                      </a:pPr>
                      <a:t>[CATEGORY NAME]</a:t>
                    </a:fld>
                    <a:r>
                      <a:rPr lang="en-US" sz="900" baseline="0">
                        <a:solidFill>
                          <a:schemeClr val="tx1"/>
                        </a:solidFill>
                      </a:rPr>
                      <a:t>
5</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8F6-4B59-823F-4A42198FA8C1}"/>
                </c:ext>
              </c:extLst>
            </c:dLbl>
            <c:dLbl>
              <c:idx val="3"/>
              <c:layout>
                <c:manualLayout>
                  <c:x val="-0.19662465093062681"/>
                  <c:y val="5.6249344575764809E-3"/>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C143E990-D00B-4558-90D2-7ECE9502B192}" type="CATEGORYNAME">
                      <a:rPr lang="en-US" sz="900">
                        <a:solidFill>
                          <a:schemeClr val="tx1"/>
                        </a:solidFill>
                      </a:rPr>
                      <a:pPr>
                        <a:defRPr sz="900"/>
                      </a:pPr>
                      <a:t>[CATEGORY NAME]</a:t>
                    </a:fld>
                    <a:r>
                      <a:rPr lang="en-US" sz="900" baseline="0">
                        <a:solidFill>
                          <a:schemeClr val="tx1"/>
                        </a:solidFill>
                      </a:rPr>
                      <a:t>
16</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D8F6-4B59-823F-4A42198FA8C1}"/>
                </c:ext>
              </c:extLst>
            </c:dLbl>
            <c:dLbl>
              <c:idx val="4"/>
              <c:layout>
                <c:manualLayout>
                  <c:x val="1.0920447481920606E-2"/>
                  <c:y val="-0.16116136124010139"/>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5EF141D7-7B7E-46FD-A71F-2C0B1346126D}" type="CATEGORYNAME">
                      <a:rPr lang="en-US" sz="900">
                        <a:solidFill>
                          <a:schemeClr val="tx1"/>
                        </a:solidFill>
                      </a:rPr>
                      <a:pPr>
                        <a:defRPr sz="900"/>
                      </a:pPr>
                      <a:t>[CATEGORY NAME]</a:t>
                    </a:fld>
                    <a:r>
                      <a:rPr lang="en-US" sz="900" baseline="0">
                        <a:solidFill>
                          <a:schemeClr val="tx1"/>
                        </a:solidFill>
                      </a:rPr>
                      <a:t>
1</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48817938305969882"/>
                      <c:h val="0.18111976580994818"/>
                    </c:manualLayout>
                  </c15:layout>
                  <c15:dlblFieldTable/>
                  <c15:showDataLabelsRange val="0"/>
                </c:ext>
                <c:ext xmlns:c16="http://schemas.microsoft.com/office/drawing/2014/chart" uri="{C3380CC4-5D6E-409C-BE32-E72D297353CC}">
                  <c16:uniqueId val="{00000005-D8F6-4B59-823F-4A42198FA8C1}"/>
                </c:ext>
              </c:extLst>
            </c:dLbl>
            <c:dLbl>
              <c:idx val="5"/>
              <c:layout>
                <c:manualLayout>
                  <c:x val="0.49472832172391928"/>
                  <c:y val="-0.11151828605725786"/>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25645F52-AF13-47BE-A90D-6E6443F457A5}" type="CATEGORYNAME">
                      <a:rPr lang="en-US" sz="900">
                        <a:solidFill>
                          <a:schemeClr val="tx1"/>
                        </a:solidFill>
                      </a:rPr>
                      <a:pPr>
                        <a:defRPr sz="900"/>
                      </a:pPr>
                      <a:t>[CATEGORY NAME]</a:t>
                    </a:fld>
                    <a:r>
                      <a:rPr lang="en-US" sz="900" baseline="0">
                        <a:solidFill>
                          <a:schemeClr val="tx1"/>
                        </a:solidFill>
                      </a:rPr>
                      <a:t>
2</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41861943156591436"/>
                      <c:h val="0.1947432187298492"/>
                    </c:manualLayout>
                  </c15:layout>
                  <c15:dlblFieldTable/>
                  <c15:showDataLabelsRange val="0"/>
                </c:ext>
                <c:ext xmlns:c16="http://schemas.microsoft.com/office/drawing/2014/chart" uri="{C3380CC4-5D6E-409C-BE32-E72D297353CC}">
                  <c16:uniqueId val="{00000006-D8F6-4B59-823F-4A42198FA8C1}"/>
                </c:ext>
              </c:extLst>
            </c:dLbl>
            <c:dLbl>
              <c:idx val="6"/>
              <c:layout>
                <c:manualLayout>
                  <c:x val="0.46745629388694676"/>
                  <c:y val="6.4131502792920111E-2"/>
                </c:manualLayout>
              </c:layout>
              <c:tx>
                <c:rich>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fld id="{32838548-C68C-45D4-8295-40A71FF2F3A5}" type="CATEGORYNAME">
                      <a:rPr lang="en-US" sz="900">
                        <a:solidFill>
                          <a:schemeClr val="tx1"/>
                        </a:solidFill>
                      </a:rPr>
                      <a:pPr>
                        <a:defRPr sz="900"/>
                      </a:pPr>
                      <a:t>[CATEGORY NAME]</a:t>
                    </a:fld>
                    <a:r>
                      <a:rPr lang="en-US" sz="900" baseline="0">
                        <a:solidFill>
                          <a:schemeClr val="tx1"/>
                        </a:solidFill>
                      </a:rPr>
                      <a:t>
20</a:t>
                    </a:r>
                  </a:p>
                </c:rich>
              </c:tx>
              <c:numFmt formatCode="0.0%" sourceLinked="0"/>
              <c:spPr>
                <a:noFill/>
                <a:ln>
                  <a:noFill/>
                </a:ln>
                <a:effectLst/>
              </c:spPr>
              <c:txPr>
                <a:bodyPr rot="0" spcFirstLastPara="1" vertOverflow="ellipsis" vert="horz" wrap="square" anchor="ctr" anchorCtr="0"/>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4247993272685574"/>
                      <c:h val="0.17381159035483273"/>
                    </c:manualLayout>
                  </c15:layout>
                  <c15:dlblFieldTable/>
                  <c15:showDataLabelsRange val="0"/>
                </c:ext>
                <c:ext xmlns:c16="http://schemas.microsoft.com/office/drawing/2014/chart" uri="{C3380CC4-5D6E-409C-BE32-E72D297353CC}">
                  <c16:uniqueId val="{00000007-D8F6-4B59-823F-4A42198FA8C1}"/>
                </c:ext>
              </c:extLst>
            </c:dLbl>
            <c:numFmt formatCode="0.0%" sourceLinked="0"/>
            <c:spPr>
              <a:noFill/>
              <a:ln>
                <a:noFill/>
              </a:ln>
              <a:effectLst/>
            </c:spPr>
            <c:txPr>
              <a:bodyPr rot="0" spcFirstLastPara="1" vertOverflow="ellipsis" vert="horz" wrap="square" anchor="ctr" anchorCtr="0"/>
              <a:lstStyle/>
              <a:p>
                <a:pPr>
                  <a:defRPr sz="10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Sheet1!$A$2:$A$8</c:f>
              <c:strCache>
                <c:ptCount val="7"/>
                <c:pt idx="0">
                  <c:v>Secondary Diploma</c:v>
                </c:pt>
                <c:pt idx="1">
                  <c:v>Secondary School Diploma Equivalent</c:v>
                </c:pt>
                <c:pt idx="2">
                  <c:v>Associate's Degree</c:v>
                </c:pt>
                <c:pt idx="3">
                  <c:v>Bachelor's Degree</c:v>
                </c:pt>
                <c:pt idx="4">
                  <c:v>Master's/Graduate Degree</c:v>
                </c:pt>
                <c:pt idx="5">
                  <c:v>Occupational Licensure</c:v>
                </c:pt>
                <c:pt idx="6">
                  <c:v>Occupational Certificate</c:v>
                </c:pt>
              </c:strCache>
            </c:strRef>
          </c:cat>
          <c:val>
            <c:numRef>
              <c:f>Sheet1!$B$2:$B$8</c:f>
              <c:numCache>
                <c:formatCode>0</c:formatCode>
                <c:ptCount val="7"/>
                <c:pt idx="0">
                  <c:v>361</c:v>
                </c:pt>
                <c:pt idx="1">
                  <c:v>2</c:v>
                </c:pt>
                <c:pt idx="2">
                  <c:v>5</c:v>
                </c:pt>
                <c:pt idx="3">
                  <c:v>16</c:v>
                </c:pt>
                <c:pt idx="4">
                  <c:v>1</c:v>
                </c:pt>
                <c:pt idx="5">
                  <c:v>2</c:v>
                </c:pt>
                <c:pt idx="6">
                  <c:v>20</c:v>
                </c:pt>
              </c:numCache>
            </c:numRef>
          </c:val>
          <c:extLst>
            <c:ext xmlns:c16="http://schemas.microsoft.com/office/drawing/2014/chart" uri="{C3380CC4-5D6E-409C-BE32-E72D297353CC}">
              <c16:uniqueId val="{00000008-D8F6-4B59-823F-4A42198FA8C1}"/>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2"/>
    </a:solidFill>
    <a:ln w="6350" cap="flat" cmpd="sng" algn="ctr">
      <a:solidFill>
        <a:schemeClr val="accent1"/>
      </a:solidFill>
      <a:prstDash val="solid"/>
      <a:round/>
    </a:ln>
    <a:effectLst/>
  </c:spPr>
  <c:txPr>
    <a:bodyPr/>
    <a:lstStyle/>
    <a:p>
      <a:pPr>
        <a:defRPr sz="10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ysClr val="windowText" lastClr="000000"/>
                </a:solidFill>
              </a:defRPr>
            </a:pPr>
            <a:r>
              <a:rPr lang="en-US">
                <a:solidFill>
                  <a:sysClr val="windowText" lastClr="000000"/>
                </a:solidFill>
              </a:rPr>
              <a:t>Age At Application</a:t>
            </a:r>
          </a:p>
          <a:p>
            <a:pPr>
              <a:defRPr>
                <a:solidFill>
                  <a:sysClr val="windowText" lastClr="000000"/>
                </a:solidFill>
              </a:defRPr>
            </a:pPr>
            <a:endParaRPr lang="en-US">
              <a:solidFill>
                <a:sysClr val="windowText" lastClr="000000"/>
              </a:solidFill>
            </a:endParaRPr>
          </a:p>
        </c:rich>
      </c:tx>
      <c:layout>
        <c:manualLayout>
          <c:xMode val="edge"/>
          <c:yMode val="edge"/>
          <c:x val="0.26114801144095923"/>
          <c:y val="0"/>
        </c:manualLayout>
      </c:layout>
      <c:overlay val="0"/>
    </c:title>
    <c:autoTitleDeleted val="0"/>
    <c:view3D>
      <c:rotX val="30"/>
      <c:rotY val="18"/>
      <c:rAngAx val="0"/>
      <c:perspective val="10"/>
    </c:view3D>
    <c:floor>
      <c:thickness val="0"/>
    </c:floor>
    <c:sideWall>
      <c:thickness val="0"/>
    </c:sideWall>
    <c:backWall>
      <c:thickness val="0"/>
    </c:backWall>
    <c:plotArea>
      <c:layout>
        <c:manualLayout>
          <c:layoutTarget val="inner"/>
          <c:xMode val="edge"/>
          <c:yMode val="edge"/>
          <c:x val="0.10685145665203066"/>
          <c:y val="0.43498339815956732"/>
          <c:w val="0.7066313951508032"/>
          <c:h val="0.56501629800533881"/>
        </c:manualLayout>
      </c:layout>
      <c:pie3DChart>
        <c:varyColors val="1"/>
        <c:ser>
          <c:idx val="0"/>
          <c:order val="0"/>
          <c:tx>
            <c:strRef>
              <c:f>Sheet1!$B$1</c:f>
              <c:strCache>
                <c:ptCount val="1"/>
                <c:pt idx="0">
                  <c:v>Percent</c:v>
                </c:pt>
              </c:strCache>
            </c:strRef>
          </c:tx>
          <c:explosion val="12"/>
          <c:dPt>
            <c:idx val="1"/>
            <c:bubble3D val="0"/>
            <c:spPr>
              <a:ln>
                <a:solidFill>
                  <a:prstClr val="black"/>
                </a:solidFill>
              </a:ln>
            </c:spPr>
            <c:extLst>
              <c:ext xmlns:c16="http://schemas.microsoft.com/office/drawing/2014/chart" uri="{C3380CC4-5D6E-409C-BE32-E72D297353CC}">
                <c16:uniqueId val="{00000001-F5E2-492F-AC0D-E1CB451FA415}"/>
              </c:ext>
            </c:extLst>
          </c:dPt>
          <c:dLbls>
            <c:dLbl>
              <c:idx val="0"/>
              <c:layout>
                <c:manualLayout>
                  <c:x val="5.272227779345158E-2"/>
                  <c:y val="-5.7062844153677114E-2"/>
                </c:manualLayout>
              </c:layout>
              <c:showLegendKey val="0"/>
              <c:showVal val="0"/>
              <c:showCatName val="1"/>
              <c:showSerName val="0"/>
              <c:showPercent val="1"/>
              <c:showBubbleSize val="0"/>
              <c:extLst>
                <c:ext xmlns:c15="http://schemas.microsoft.com/office/drawing/2012/chart" uri="{CE6537A1-D6FC-4f65-9D91-7224C49458BB}">
                  <c15:layout>
                    <c:manualLayout>
                      <c:w val="0.18104146201737892"/>
                      <c:h val="0.25244390432803254"/>
                    </c:manualLayout>
                  </c15:layout>
                </c:ext>
                <c:ext xmlns:c16="http://schemas.microsoft.com/office/drawing/2014/chart" uri="{C3380CC4-5D6E-409C-BE32-E72D297353CC}">
                  <c16:uniqueId val="{00000002-F5E2-492F-AC0D-E1CB451FA415}"/>
                </c:ext>
              </c:extLst>
            </c:dLbl>
            <c:dLbl>
              <c:idx val="1"/>
              <c:layout>
                <c:manualLayout>
                  <c:x val="-3.0109825286990643E-2"/>
                  <c:y val="-1.1616435876549915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5E2-492F-AC0D-E1CB451FA415}"/>
                </c:ext>
              </c:extLst>
            </c:dLbl>
            <c:dLbl>
              <c:idx val="2"/>
              <c:layout>
                <c:manualLayout>
                  <c:x val="-0.15060170379726426"/>
                  <c:y val="-1.308857477152705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5E2-492F-AC0D-E1CB451FA415}"/>
                </c:ext>
              </c:extLst>
            </c:dLbl>
            <c:dLbl>
              <c:idx val="3"/>
              <c:layout>
                <c:manualLayout>
                  <c:x val="0.17283294275883432"/>
                  <c:y val="-1.2916723074549639E-2"/>
                </c:manualLayout>
              </c:layout>
              <c:showLegendKey val="0"/>
              <c:showVal val="0"/>
              <c:showCatName val="1"/>
              <c:showSerName val="0"/>
              <c:showPercent val="1"/>
              <c:showBubbleSize val="0"/>
              <c:extLst>
                <c:ext xmlns:c15="http://schemas.microsoft.com/office/drawing/2012/chart" uri="{CE6537A1-D6FC-4f65-9D91-7224C49458BB}">
                  <c15:layout>
                    <c:manualLayout>
                      <c:w val="0.24540112453370036"/>
                      <c:h val="0.29797592773914061"/>
                    </c:manualLayout>
                  </c15:layout>
                </c:ext>
                <c:ext xmlns:c16="http://schemas.microsoft.com/office/drawing/2014/chart" uri="{C3380CC4-5D6E-409C-BE32-E72D297353CC}">
                  <c16:uniqueId val="{00000004-F5E2-492F-AC0D-E1CB451FA415}"/>
                </c:ext>
              </c:extLst>
            </c:dLbl>
            <c:dLbl>
              <c:idx val="4"/>
              <c:layout>
                <c:manualLayout>
                  <c:x val="0.28959011474604934"/>
                  <c:y val="6.71371192237334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5E2-492F-AC0D-E1CB451FA415}"/>
                </c:ext>
              </c:extLst>
            </c:dLbl>
            <c:numFmt formatCode="0.0%" sourceLinked="0"/>
            <c:spPr>
              <a:noFill/>
              <a:ln>
                <a:noFill/>
              </a:ln>
              <a:effectLst/>
            </c:spPr>
            <c:txPr>
              <a:bodyPr rot="0" vert="horz"/>
              <a:lstStyle/>
              <a:p>
                <a:pPr>
                  <a:defRPr sz="9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14 to 22</c:v>
                </c:pt>
                <c:pt idx="1">
                  <c:v>23 to 54</c:v>
                </c:pt>
                <c:pt idx="2">
                  <c:v>55 to 64</c:v>
                </c:pt>
                <c:pt idx="3">
                  <c:v>65 and Older</c:v>
                </c:pt>
              </c:strCache>
            </c:strRef>
          </c:cat>
          <c:val>
            <c:numRef>
              <c:f>Sheet1!$B$2:$B$5</c:f>
              <c:numCache>
                <c:formatCode>0.0%</c:formatCode>
                <c:ptCount val="4"/>
                <c:pt idx="0">
                  <c:v>0.39309106275089795</c:v>
                </c:pt>
                <c:pt idx="1">
                  <c:v>0.47274455947601945</c:v>
                </c:pt>
                <c:pt idx="2">
                  <c:v>9.4654553137544895E-2</c:v>
                </c:pt>
                <c:pt idx="3">
                  <c:v>3.9509824635537712E-2</c:v>
                </c:pt>
              </c:numCache>
            </c:numRef>
          </c:val>
          <c:extLst>
            <c:ext xmlns:c16="http://schemas.microsoft.com/office/drawing/2014/chart" uri="{C3380CC4-5D6E-409C-BE32-E72D297353CC}">
              <c16:uniqueId val="{00000006-F5E2-492F-AC0D-E1CB451FA415}"/>
            </c:ext>
          </c:extLst>
        </c:ser>
        <c:dLbls>
          <c:showLegendKey val="0"/>
          <c:showVal val="0"/>
          <c:showCatName val="1"/>
          <c:showSerName val="0"/>
          <c:showPercent val="1"/>
          <c:showBubbleSize val="0"/>
          <c:showLeaderLines val="1"/>
        </c:dLbls>
      </c:pie3DChart>
    </c:plotArea>
    <c:plotVisOnly val="1"/>
    <c:dispBlanksAs val="gap"/>
    <c:showDLblsOverMax val="0"/>
  </c:chart>
  <c:spPr>
    <a:solidFill>
      <a:schemeClr val="accent2"/>
    </a:solidFill>
    <a:ln w="6350" cap="sq">
      <a:solidFill>
        <a:schemeClr val="accent1"/>
      </a:solidFill>
    </a:ln>
  </c:spPr>
  <c:txPr>
    <a:bodyPr/>
    <a:lstStyle/>
    <a:p>
      <a:pPr>
        <a:defRPr sz="1000">
          <a:solidFill>
            <a:schemeClr val="tx1"/>
          </a:solidFil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ln>
                  <a:noFill/>
                </a:ln>
                <a:solidFill>
                  <a:sysClr val="windowText" lastClr="000000"/>
                </a:solidFill>
                <a:latin typeface="+mn-lt"/>
                <a:ea typeface="+mn-ea"/>
                <a:cs typeface="+mn-cs"/>
              </a:defRPr>
            </a:pPr>
            <a:r>
              <a:rPr lang="en-US" sz="1100">
                <a:solidFill>
                  <a:sysClr val="windowText" lastClr="000000"/>
                </a:solidFill>
              </a:rPr>
              <a:t>VR Case Service Expenditures for DVR</a:t>
            </a:r>
          </a:p>
          <a:p>
            <a:pPr>
              <a:defRPr>
                <a:solidFill>
                  <a:sysClr val="windowText" lastClr="000000"/>
                </a:solidFill>
              </a:defRPr>
            </a:pPr>
            <a:r>
              <a:rPr lang="en-US" sz="1100">
                <a:solidFill>
                  <a:sysClr val="windowText" lastClr="000000"/>
                </a:solidFill>
              </a:rPr>
              <a:t>$9,795,029.17</a:t>
            </a:r>
          </a:p>
        </c:rich>
      </c:tx>
      <c:layout>
        <c:manualLayout>
          <c:xMode val="edge"/>
          <c:yMode val="edge"/>
          <c:x val="0.17708272486442456"/>
          <c:y val="0"/>
        </c:manualLayout>
      </c:layout>
      <c:overlay val="0"/>
      <c:spPr>
        <a:solidFill>
          <a:schemeClr val="bg2"/>
        </a:solidFill>
        <a:ln>
          <a:noFill/>
        </a:ln>
        <a:effectLst/>
      </c:spPr>
      <c:txPr>
        <a:bodyPr rot="0" spcFirstLastPara="1" vertOverflow="ellipsis" vert="horz" wrap="square" anchor="ctr" anchorCtr="1"/>
        <a:lstStyle/>
        <a:p>
          <a:pPr>
            <a:defRPr sz="1200" b="1" i="0" u="none" strike="noStrike" kern="1200" baseline="0">
              <a:ln>
                <a:noFill/>
              </a:ln>
              <a:solidFill>
                <a:sysClr val="windowText" lastClr="000000"/>
              </a:solidFill>
              <a:latin typeface="+mn-lt"/>
              <a:ea typeface="+mn-ea"/>
              <a:cs typeface="+mn-cs"/>
            </a:defRPr>
          </a:pPr>
          <a:endParaRPr lang="en-US"/>
        </a:p>
      </c:txPr>
    </c:title>
    <c:autoTitleDeleted val="0"/>
    <c:view3D>
      <c:rotX val="30"/>
      <c:rotY val="89"/>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79414669940451"/>
          <c:y val="0.41195829687955671"/>
          <c:w val="0.53535133269979185"/>
          <c:h val="0.41886081948089821"/>
        </c:manualLayout>
      </c:layout>
      <c:pie3DChart>
        <c:varyColors val="1"/>
        <c:ser>
          <c:idx val="0"/>
          <c:order val="0"/>
          <c:tx>
            <c:strRef>
              <c:f>Sheet1!$B$1</c:f>
              <c:strCache>
                <c:ptCount val="1"/>
                <c:pt idx="0">
                  <c:v>Percent</c:v>
                </c:pt>
              </c:strCache>
            </c:strRef>
          </c:tx>
          <c:dPt>
            <c:idx val="0"/>
            <c:bubble3D val="0"/>
            <c:spPr>
              <a:solidFill>
                <a:schemeClr val="accent1"/>
              </a:solidFill>
              <a:ln>
                <a:noFill/>
              </a:ln>
              <a:effectLst/>
              <a:sp3d/>
            </c:spPr>
            <c:extLst>
              <c:ext xmlns:c16="http://schemas.microsoft.com/office/drawing/2014/chart" uri="{C3380CC4-5D6E-409C-BE32-E72D297353CC}">
                <c16:uniqueId val="{00000004-12CD-4A85-94AC-0B32EC9CA8DE}"/>
              </c:ext>
            </c:extLst>
          </c:dPt>
          <c:dPt>
            <c:idx val="1"/>
            <c:bubble3D val="0"/>
            <c:spPr>
              <a:solidFill>
                <a:schemeClr val="accent3"/>
              </a:solidFill>
              <a:ln>
                <a:noFill/>
              </a:ln>
              <a:effectLst/>
              <a:sp3d/>
            </c:spPr>
            <c:extLst>
              <c:ext xmlns:c16="http://schemas.microsoft.com/office/drawing/2014/chart" uri="{C3380CC4-5D6E-409C-BE32-E72D297353CC}">
                <c16:uniqueId val="{00000005-12CD-4A85-94AC-0B32EC9CA8DE}"/>
              </c:ext>
            </c:extLst>
          </c:dPt>
          <c:dPt>
            <c:idx val="2"/>
            <c:bubble3D val="0"/>
            <c:spPr>
              <a:solidFill>
                <a:schemeClr val="accent5"/>
              </a:solidFill>
              <a:ln>
                <a:noFill/>
              </a:ln>
              <a:effectLst/>
              <a:sp3d/>
            </c:spPr>
            <c:extLst>
              <c:ext xmlns:c16="http://schemas.microsoft.com/office/drawing/2014/chart" uri="{C3380CC4-5D6E-409C-BE32-E72D297353CC}">
                <c16:uniqueId val="{00000006-12CD-4A85-94AC-0B32EC9CA8DE}"/>
              </c:ext>
            </c:extLst>
          </c:dPt>
          <c:dPt>
            <c:idx val="3"/>
            <c:bubble3D val="0"/>
            <c:spPr>
              <a:solidFill>
                <a:schemeClr val="accent1">
                  <a:lumMod val="60000"/>
                </a:schemeClr>
              </a:solidFill>
              <a:ln>
                <a:noFill/>
              </a:ln>
              <a:effectLst/>
              <a:sp3d/>
            </c:spPr>
            <c:extLst>
              <c:ext xmlns:c16="http://schemas.microsoft.com/office/drawing/2014/chart" uri="{C3380CC4-5D6E-409C-BE32-E72D297353CC}">
                <c16:uniqueId val="{00000007-12CD-4A85-94AC-0B32EC9CA8DE}"/>
              </c:ext>
            </c:extLst>
          </c:dPt>
          <c:dPt>
            <c:idx val="4"/>
            <c:bubble3D val="0"/>
            <c:spPr>
              <a:solidFill>
                <a:schemeClr val="accent3">
                  <a:lumMod val="60000"/>
                </a:schemeClr>
              </a:solidFill>
              <a:ln>
                <a:noFill/>
              </a:ln>
              <a:effectLst/>
              <a:sp3d/>
            </c:spPr>
            <c:extLst>
              <c:ext xmlns:c16="http://schemas.microsoft.com/office/drawing/2014/chart" uri="{C3380CC4-5D6E-409C-BE32-E72D297353CC}">
                <c16:uniqueId val="{00000008-12CD-4A85-94AC-0B32EC9CA8DE}"/>
              </c:ext>
            </c:extLst>
          </c:dPt>
          <c:dPt>
            <c:idx val="5"/>
            <c:bubble3D val="0"/>
            <c:spPr>
              <a:solidFill>
                <a:schemeClr val="accent5">
                  <a:lumMod val="60000"/>
                </a:schemeClr>
              </a:solidFill>
              <a:ln>
                <a:noFill/>
              </a:ln>
              <a:effectLst/>
              <a:sp3d/>
            </c:spPr>
            <c:extLst>
              <c:ext xmlns:c16="http://schemas.microsoft.com/office/drawing/2014/chart" uri="{C3380CC4-5D6E-409C-BE32-E72D297353CC}">
                <c16:uniqueId val="{00000009-12CD-4A85-94AC-0B32EC9CA8DE}"/>
              </c:ext>
            </c:extLst>
          </c:dPt>
          <c:dPt>
            <c:idx val="6"/>
            <c:bubble3D val="0"/>
            <c:spPr>
              <a:solidFill>
                <a:schemeClr val="accent1">
                  <a:lumMod val="80000"/>
                  <a:lumOff val="20000"/>
                </a:schemeClr>
              </a:solidFill>
              <a:ln>
                <a:noFill/>
              </a:ln>
              <a:effectLst/>
              <a:sp3d/>
            </c:spPr>
            <c:extLst>
              <c:ext xmlns:c16="http://schemas.microsoft.com/office/drawing/2014/chart" uri="{C3380CC4-5D6E-409C-BE32-E72D297353CC}">
                <c16:uniqueId val="{00000001-12CD-4A85-94AC-0B32EC9CA8DE}"/>
              </c:ext>
            </c:extLst>
          </c:dPt>
          <c:dPt>
            <c:idx val="7"/>
            <c:bubble3D val="0"/>
            <c:spPr>
              <a:solidFill>
                <a:schemeClr val="accent3">
                  <a:lumMod val="80000"/>
                  <a:lumOff val="20000"/>
                </a:schemeClr>
              </a:solidFill>
              <a:ln>
                <a:noFill/>
              </a:ln>
              <a:effectLst/>
              <a:sp3d/>
            </c:spPr>
            <c:extLst>
              <c:ext xmlns:c16="http://schemas.microsoft.com/office/drawing/2014/chart" uri="{C3380CC4-5D6E-409C-BE32-E72D297353CC}">
                <c16:uniqueId val="{00000003-12CD-4A85-94AC-0B32EC9CA8DE}"/>
              </c:ext>
            </c:extLst>
          </c:dPt>
          <c:dPt>
            <c:idx val="8"/>
            <c:bubble3D val="0"/>
            <c:explosion val="13"/>
            <c:spPr>
              <a:solidFill>
                <a:schemeClr val="accent5">
                  <a:lumMod val="80000"/>
                  <a:lumOff val="20000"/>
                </a:schemeClr>
              </a:solidFill>
              <a:ln>
                <a:noFill/>
              </a:ln>
              <a:effectLst/>
              <a:sp3d/>
            </c:spPr>
            <c:extLst>
              <c:ext xmlns:c16="http://schemas.microsoft.com/office/drawing/2014/chart" uri="{C3380CC4-5D6E-409C-BE32-E72D297353CC}">
                <c16:uniqueId val="{0000000A-12CD-4A85-94AC-0B32EC9CA8DE}"/>
              </c:ext>
            </c:extLst>
          </c:dPt>
          <c:dPt>
            <c:idx val="9"/>
            <c:bubble3D val="0"/>
            <c:spPr>
              <a:solidFill>
                <a:schemeClr val="accent1">
                  <a:lumMod val="80000"/>
                </a:schemeClr>
              </a:solidFill>
              <a:ln>
                <a:noFill/>
              </a:ln>
              <a:effectLst/>
              <a:sp3d/>
            </c:spPr>
            <c:extLst>
              <c:ext xmlns:c16="http://schemas.microsoft.com/office/drawing/2014/chart" uri="{C3380CC4-5D6E-409C-BE32-E72D297353CC}">
                <c16:uniqueId val="{00000012-41ED-4844-8EC7-43992571EA95}"/>
              </c:ext>
            </c:extLst>
          </c:dPt>
          <c:dLbls>
            <c:dLbl>
              <c:idx val="0"/>
              <c:layout>
                <c:manualLayout>
                  <c:x val="0.42831534222248313"/>
                  <c:y val="-8.6899618435489316E-3"/>
                </c:manualLayout>
              </c:layout>
              <c:tx>
                <c:rich>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fld id="{779AD383-9979-42F0-9817-D84316CFB882}" type="CATEGORYNAME">
                      <a:rPr lang="en-US" sz="900"/>
                      <a:pPr>
                        <a:defRPr/>
                      </a:pPr>
                      <a:t>[CATEGORY NAME]</a:t>
                    </a:fld>
                    <a:r>
                      <a:rPr lang="en-US" sz="900" baseline="0"/>
                      <a:t>
</a:t>
                    </a:r>
                    <a:fld id="{8F19B13B-FE05-4927-ACD2-A071297180D7}" type="PERCENTAGE">
                      <a:rPr lang="en-US" sz="900" baseline="0"/>
                      <a:pPr>
                        <a:defRPr/>
                      </a:pPr>
                      <a:t>[PERCENTAGE]</a:t>
                    </a:fld>
                    <a:endParaRPr lang="en-US" sz="900" baseline="0"/>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43444870882286035"/>
                      <c:h val="0.2066805829295999"/>
                    </c:manualLayout>
                  </c15:layout>
                  <c15:dlblFieldTable/>
                  <c15:showDataLabelsRange val="0"/>
                </c:ext>
                <c:ext xmlns:c16="http://schemas.microsoft.com/office/drawing/2014/chart" uri="{C3380CC4-5D6E-409C-BE32-E72D297353CC}">
                  <c16:uniqueId val="{00000004-12CD-4A85-94AC-0B32EC9CA8DE}"/>
                </c:ext>
              </c:extLst>
            </c:dLbl>
            <c:dLbl>
              <c:idx val="1"/>
              <c:layout>
                <c:manualLayout>
                  <c:x val="-5.0295259227259935E-2"/>
                  <c:y val="0.11283934083019674"/>
                </c:manualLayout>
              </c:layout>
              <c:tx>
                <c:rich>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fld id="{DE81389D-3C49-4E8A-A78C-84B071C839AD}" type="CATEGORYNAME">
                      <a:rPr lang="en-US"/>
                      <a:pPr>
                        <a:defRPr/>
                      </a:pPr>
                      <a:t>[CATEGORY NAME]</a:t>
                    </a:fld>
                    <a:r>
                      <a:rPr lang="en-US" baseline="0"/>
                      <a:t>
</a:t>
                    </a:r>
                    <a:fld id="{ACA0A01F-C2A4-49DD-A27E-9A2E62E898CC}" type="PERCENTAGE">
                      <a:rPr lang="en-US" sz="900" baseline="0"/>
                      <a:pPr>
                        <a:defRPr/>
                      </a:pPr>
                      <a:t>[PERCENTAGE]</a:t>
                    </a:fld>
                    <a:endParaRPr lang="en-US" baseline="0"/>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2448157820671419"/>
                      <c:h val="0.16626380646700686"/>
                    </c:manualLayout>
                  </c15:layout>
                  <c15:dlblFieldTable/>
                  <c15:showDataLabelsRange val="0"/>
                </c:ext>
                <c:ext xmlns:c16="http://schemas.microsoft.com/office/drawing/2014/chart" uri="{C3380CC4-5D6E-409C-BE32-E72D297353CC}">
                  <c16:uniqueId val="{00000005-12CD-4A85-94AC-0B32EC9CA8DE}"/>
                </c:ext>
              </c:extLst>
            </c:dLbl>
            <c:dLbl>
              <c:idx val="2"/>
              <c:layout>
                <c:manualLayout>
                  <c:x val="-0.17049266597286311"/>
                  <c:y val="4.3334949700202428E-2"/>
                </c:manualLayout>
              </c:layout>
              <c:tx>
                <c:rich>
                  <a:bodyPr/>
                  <a:lstStyle/>
                  <a:p>
                    <a:fld id="{837D8523-10B0-442D-8AF7-9F611EDA59CB}" type="CATEGORYNAME">
                      <a:rPr lang="en-US" sz="900"/>
                      <a:pPr/>
                      <a:t>[CATEGORY NAME]</a:t>
                    </a:fld>
                    <a:r>
                      <a:rPr lang="en-US" sz="900" baseline="0"/>
                      <a:t>
</a:t>
                    </a:r>
                    <a:fld id="{6D00058C-0ABC-4842-92D9-506042E51EEC}" type="PERCENTAGE">
                      <a:rPr lang="en-US" sz="900" baseline="0"/>
                      <a:pPr/>
                      <a:t>[PERCENTAGE]</a:t>
                    </a:fld>
                    <a:endParaRPr lang="en-US" sz="900"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12CD-4A85-94AC-0B32EC9CA8DE}"/>
                </c:ext>
              </c:extLst>
            </c:dLbl>
            <c:dLbl>
              <c:idx val="3"/>
              <c:layout>
                <c:manualLayout>
                  <c:x val="-0.18225603969079926"/>
                  <c:y val="-0.11239353145372957"/>
                </c:manualLayout>
              </c:layout>
              <c:tx>
                <c:rich>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fld id="{2E1A1A2C-BDE2-4300-9C1C-B518DC5EE027}" type="CATEGORYNAME">
                      <a:rPr lang="en-US" sz="900"/>
                      <a:pPr>
                        <a:defRPr/>
                      </a:pPr>
                      <a:t>[CATEGORY NAME]</a:t>
                    </a:fld>
                    <a:r>
                      <a:rPr lang="en-US" sz="900"/>
                      <a:t>
</a:t>
                    </a:r>
                    <a:fld id="{B3E30D45-61E1-4FEB-9210-FC92202F8698}" type="PERCENTAGE">
                      <a:rPr lang="en-US" sz="900"/>
                      <a:pPr>
                        <a:defRPr/>
                      </a:pPr>
                      <a:t>[PERCENTAGE]</a:t>
                    </a:fld>
                    <a:endParaRPr lang="en-US" sz="900"/>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0802403440218348"/>
                      <c:h val="9.977109166339547E-2"/>
                    </c:manualLayout>
                  </c15:layout>
                  <c15:dlblFieldTable/>
                  <c15:showDataLabelsRange val="0"/>
                </c:ext>
                <c:ext xmlns:c16="http://schemas.microsoft.com/office/drawing/2014/chart" uri="{C3380CC4-5D6E-409C-BE32-E72D297353CC}">
                  <c16:uniqueId val="{00000007-12CD-4A85-94AC-0B32EC9CA8DE}"/>
                </c:ext>
              </c:extLst>
            </c:dLbl>
            <c:dLbl>
              <c:idx val="4"/>
              <c:layout>
                <c:manualLayout>
                  <c:x val="-3.7556764257335666E-2"/>
                  <c:y val="-0.1461445031980973"/>
                </c:manualLayout>
              </c:layout>
              <c:tx>
                <c:rich>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fld id="{827364F4-D48D-43FA-8288-180128EFB223}" type="CATEGORYNAME">
                      <a:rPr lang="en-US" sz="900"/>
                      <a:pPr>
                        <a:defRPr/>
                      </a:pPr>
                      <a:t>[CATEGORY NAME]</a:t>
                    </a:fld>
                    <a:r>
                      <a:rPr lang="en-US" baseline="0"/>
                      <a:t>
</a:t>
                    </a:r>
                    <a:fld id="{41637DD7-2391-49AF-B85B-D66F01E66A20}" type="PERCENTAGE">
                      <a:rPr lang="en-US" sz="900" baseline="0"/>
                      <a:pPr>
                        <a:defRPr/>
                      </a:pPr>
                      <a:t>[PERCENTAGE]</a:t>
                    </a:fld>
                    <a:endParaRPr lang="en-US" baseline="0"/>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9103344002199227"/>
                      <c:h val="0.19170111067494863"/>
                    </c:manualLayout>
                  </c15:layout>
                  <c15:dlblFieldTable/>
                  <c15:showDataLabelsRange val="0"/>
                </c:ext>
                <c:ext xmlns:c16="http://schemas.microsoft.com/office/drawing/2014/chart" uri="{C3380CC4-5D6E-409C-BE32-E72D297353CC}">
                  <c16:uniqueId val="{00000008-12CD-4A85-94AC-0B32EC9CA8DE}"/>
                </c:ext>
              </c:extLst>
            </c:dLbl>
            <c:dLbl>
              <c:idx val="5"/>
              <c:layout>
                <c:manualLayout>
                  <c:x val="0.14131325230231509"/>
                  <c:y val="-0.18267454837939978"/>
                </c:manualLayout>
              </c:layout>
              <c:tx>
                <c:rich>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fld id="{0463685A-E8CC-468B-ADBA-887BB4CC507B}" type="CATEGORYNAME">
                      <a:rPr lang="en-US" sz="900"/>
                      <a:pPr>
                        <a:defRPr/>
                      </a:pPr>
                      <a:t>[CATEGORY NAME]</a:t>
                    </a:fld>
                    <a:r>
                      <a:rPr lang="en-US" sz="900" baseline="0"/>
                      <a:t>
</a:t>
                    </a:r>
                    <a:fld id="{DC4C6607-0038-47E2-9772-09FF2FAA3C76}" type="PERCENTAGE">
                      <a:rPr lang="en-US" sz="900" baseline="0"/>
                      <a:pPr>
                        <a:defRPr/>
                      </a:pPr>
                      <a:t>[PERCENTAGE]</a:t>
                    </a:fld>
                    <a:endParaRPr lang="en-US" sz="900" baseline="0"/>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3545309953462798"/>
                      <c:h val="0.15324697316061298"/>
                    </c:manualLayout>
                  </c15:layout>
                  <c15:dlblFieldTable/>
                  <c15:showDataLabelsRange val="0"/>
                </c:ext>
                <c:ext xmlns:c16="http://schemas.microsoft.com/office/drawing/2014/chart" uri="{C3380CC4-5D6E-409C-BE32-E72D297353CC}">
                  <c16:uniqueId val="{00000009-12CD-4A85-94AC-0B32EC9CA8DE}"/>
                </c:ext>
              </c:extLst>
            </c:dLbl>
            <c:dLbl>
              <c:idx val="6"/>
              <c:layout>
                <c:manualLayout>
                  <c:x val="0.21234891773191691"/>
                  <c:y val="-0.18813771445724708"/>
                </c:manualLayout>
              </c:layout>
              <c:tx>
                <c:rich>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fld id="{3198DB2E-7AE3-4711-BADC-B563170D39EE}" type="CATEGORYNAME">
                      <a:rPr lang="en-US"/>
                      <a:pPr>
                        <a:defRPr/>
                      </a:pPr>
                      <a:t>[CATEGORY NAME]</a:t>
                    </a:fld>
                    <a:r>
                      <a:rPr lang="en-US" baseline="0"/>
                      <a:t>
</a:t>
                    </a:r>
                    <a:fld id="{B174BD89-CCFD-4E13-8CA5-FAC5A5D6D24E}" type="PERCENTAGE">
                      <a:rPr lang="en-US" sz="900" baseline="0"/>
                      <a:pPr>
                        <a:defRPr/>
                      </a:pPr>
                      <a:t>[PERCENTAGE]</a:t>
                    </a:fld>
                    <a:endParaRPr lang="en-US" baseline="0"/>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46564570337798683"/>
                      <c:h val="0.14517288599794592"/>
                    </c:manualLayout>
                  </c15:layout>
                  <c15:dlblFieldTable/>
                  <c15:showDataLabelsRange val="0"/>
                </c:ext>
                <c:ext xmlns:c16="http://schemas.microsoft.com/office/drawing/2014/chart" uri="{C3380CC4-5D6E-409C-BE32-E72D297353CC}">
                  <c16:uniqueId val="{00000001-12CD-4A85-94AC-0B32EC9CA8DE}"/>
                </c:ext>
              </c:extLst>
            </c:dLbl>
            <c:dLbl>
              <c:idx val="7"/>
              <c:layout>
                <c:manualLayout>
                  <c:x val="0.2198645119484752"/>
                  <c:y val="-6.6580460433648139E-2"/>
                </c:manualLayout>
              </c:layout>
              <c:tx>
                <c:rich>
                  <a:bodyPr rot="0" spcFirstLastPara="1" vertOverflow="ellipsis" vert="horz" wrap="square" anchor="ctr" anchorCtr="1"/>
                  <a:lstStyle/>
                  <a:p>
                    <a:pPr>
                      <a:defRPr sz="1000" b="0" i="0" u="none" strike="noStrike" kern="1200" baseline="0">
                        <a:ln>
                          <a:noFill/>
                        </a:ln>
                        <a:solidFill>
                          <a:schemeClr val="tx1"/>
                        </a:solidFill>
                        <a:latin typeface="+mn-lt"/>
                        <a:ea typeface="+mn-ea"/>
                        <a:cs typeface="+mn-cs"/>
                      </a:defRPr>
                    </a:pPr>
                    <a:r>
                      <a:rPr lang="en-US" sz="900"/>
                      <a:t>Other Training</a:t>
                    </a:r>
                  </a:p>
                  <a:p>
                    <a:pPr>
                      <a:defRPr/>
                    </a:pPr>
                    <a:fld id="{71E734E4-EE7E-4D12-A4C2-844939D45022}" type="PERCENTAGE">
                      <a:rPr lang="en-US" sz="900"/>
                      <a:pPr>
                        <a:defRPr/>
                      </a:pPr>
                      <a:t>[PERCENTAGE]</a:t>
                    </a:fld>
                    <a:endParaRPr lang="en-US"/>
                  </a:p>
                </c:rich>
              </c:tx>
              <c:numFmt formatCode="0.0%" sourceLinked="0"/>
              <c:spPr>
                <a:noFill/>
                <a:ln>
                  <a:noFill/>
                </a:ln>
                <a:effectLst/>
              </c:spPr>
              <c:txPr>
                <a:bodyPr rot="0" spcFirstLastPara="1" vertOverflow="ellipsis" vert="horz" wrap="square" anchor="ctr" anchorCtr="1"/>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2CD-4A85-94AC-0B32EC9CA8DE}"/>
                </c:ext>
              </c:extLst>
            </c:dLbl>
            <c:dLbl>
              <c:idx val="8"/>
              <c:layout>
                <c:manualLayout>
                  <c:x val="5.0613230702770511E-2"/>
                  <c:y val="-1.5940302183634743E-2"/>
                </c:manualLayout>
              </c:layout>
              <c:tx>
                <c:rich>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fld id="{E7272C05-0A36-4EB4-A4C0-B002926D5365}" type="CATEGORYNAME">
                      <a:rPr lang="en-US" sz="900"/>
                      <a:pPr>
                        <a:defRPr/>
                      </a:pPr>
                      <a:t>[CATEGORY NAME]</a:t>
                    </a:fld>
                    <a:r>
                      <a:rPr lang="en-US" sz="900" baseline="0"/>
                      <a:t>
</a:t>
                    </a:r>
                    <a:fld id="{9D39824F-C4B9-4A2C-88BA-978EC0B5878C}" type="PERCENTAGE">
                      <a:rPr lang="en-US" sz="900" baseline="0"/>
                      <a:pPr>
                        <a:defRPr/>
                      </a:pPr>
                      <a:t>[PERCENTAGE]</a:t>
                    </a:fld>
                    <a:endParaRPr lang="en-US" sz="900" baseline="0"/>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5798744608295531"/>
                      <c:h val="0.17276683523064013"/>
                    </c:manualLayout>
                  </c15:layout>
                  <c15:dlblFieldTable/>
                  <c15:showDataLabelsRange val="0"/>
                </c:ext>
                <c:ext xmlns:c16="http://schemas.microsoft.com/office/drawing/2014/chart" uri="{C3380CC4-5D6E-409C-BE32-E72D297353CC}">
                  <c16:uniqueId val="{0000000A-12CD-4A85-94AC-0B32EC9CA8DE}"/>
                </c:ext>
              </c:extLst>
            </c:dLbl>
            <c:dLbl>
              <c:idx val="9"/>
              <c:layout>
                <c:manualLayout>
                  <c:x val="4.7293554754863472E-2"/>
                  <c:y val="-1.3549909220656913E-3"/>
                </c:manualLayout>
              </c:layout>
              <c:tx>
                <c:rich>
                  <a:bodyPr/>
                  <a:lstStyle/>
                  <a:p>
                    <a:fld id="{319F3DB7-5F7A-41A1-A152-5EF4C891873B}" type="CATEGORYNAME">
                      <a:rPr lang="en-US" sz="900"/>
                      <a:pPr/>
                      <a:t>[CATEGORY NAME]</a:t>
                    </a:fld>
                    <a:r>
                      <a:rPr lang="en-US" sz="900" baseline="0"/>
                      <a:t>
</a:t>
                    </a:r>
                    <a:fld id="{B5DE53CB-CCFA-476B-932B-F159F6C4B5C3}" type="PERCENTAGE">
                      <a:rPr lang="en-US" sz="900" baseline="0"/>
                      <a:pPr/>
                      <a:t>[PERCENTAGE]</a:t>
                    </a:fld>
                    <a:endParaRPr lang="en-US" sz="900" baseline="0"/>
                  </a:p>
                </c:rich>
              </c:tx>
              <c:showLegendKey val="0"/>
              <c:showVal val="0"/>
              <c:showCatName val="1"/>
              <c:showSerName val="0"/>
              <c:showPercent val="1"/>
              <c:showBubbleSize val="0"/>
              <c:extLst>
                <c:ext xmlns:c15="http://schemas.microsoft.com/office/drawing/2012/chart" uri="{CE6537A1-D6FC-4f65-9D91-7224C49458BB}">
                  <c15:layout>
                    <c:manualLayout>
                      <c:w val="0.22043780408157274"/>
                      <c:h val="0.19538860355155976"/>
                    </c:manualLayout>
                  </c15:layout>
                  <c15:dlblFieldTable/>
                  <c15:showDataLabelsRange val="0"/>
                </c:ext>
                <c:ext xmlns:c16="http://schemas.microsoft.com/office/drawing/2014/chart" uri="{C3380CC4-5D6E-409C-BE32-E72D297353CC}">
                  <c16:uniqueId val="{00000012-41ED-4844-8EC7-43992571EA9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ln>
                      <a:noFill/>
                    </a:ln>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Sheet1!$A$2:$A$11</c:f>
              <c:strCache>
                <c:ptCount val="10"/>
                <c:pt idx="0">
                  <c:v>Job Development and Placement</c:v>
                </c:pt>
                <c:pt idx="1">
                  <c:v>Other Services</c:v>
                </c:pt>
                <c:pt idx="2">
                  <c:v>College or University Training</c:v>
                </c:pt>
                <c:pt idx="3">
                  <c:v>Transportation</c:v>
                </c:pt>
                <c:pt idx="4">
                  <c:v>On-The-Job Supports</c:v>
                </c:pt>
                <c:pt idx="5">
                  <c:v>Assessment</c:v>
                </c:pt>
                <c:pt idx="6">
                  <c:v>Diagnosis and Treatment</c:v>
                </c:pt>
                <c:pt idx="7">
                  <c:v>Other Training</c:v>
                </c:pt>
                <c:pt idx="8">
                  <c:v>Pre-ETS</c:v>
                </c:pt>
                <c:pt idx="9">
                  <c:v>Maintenance</c:v>
                </c:pt>
              </c:strCache>
            </c:strRef>
          </c:cat>
          <c:val>
            <c:numRef>
              <c:f>Sheet1!$B$2:$B$11</c:f>
              <c:numCache>
                <c:formatCode>0.0%</c:formatCode>
                <c:ptCount val="10"/>
                <c:pt idx="0">
                  <c:v>0.51130830169850316</c:v>
                </c:pt>
                <c:pt idx="1">
                  <c:v>0.1047049949724652</c:v>
                </c:pt>
                <c:pt idx="2">
                  <c:v>8.9040312679334266E-2</c:v>
                </c:pt>
                <c:pt idx="3">
                  <c:v>1.1352996307615895E-2</c:v>
                </c:pt>
                <c:pt idx="4">
                  <c:v>2.1618618620203658E-3</c:v>
                </c:pt>
                <c:pt idx="5">
                  <c:v>9.5848402664838617E-3</c:v>
                </c:pt>
                <c:pt idx="6">
                  <c:v>6.3424941285805281E-2</c:v>
                </c:pt>
                <c:pt idx="7">
                  <c:v>2.253889663505719E-2</c:v>
                </c:pt>
                <c:pt idx="8">
                  <c:v>0.17629535859769163</c:v>
                </c:pt>
                <c:pt idx="9">
                  <c:v>9.5874956950230301E-3</c:v>
                </c:pt>
              </c:numCache>
            </c:numRef>
          </c:val>
          <c:extLst>
            <c:ext xmlns:c16="http://schemas.microsoft.com/office/drawing/2014/chart" uri="{C3380CC4-5D6E-409C-BE32-E72D297353CC}">
              <c16:uniqueId val="{0000000B-12CD-4A85-94AC-0B32EC9CA8DE}"/>
            </c:ext>
          </c:extLst>
        </c:ser>
        <c:dLbls>
          <c:showLegendKey val="0"/>
          <c:showVal val="0"/>
          <c:showCatName val="1"/>
          <c:showSerName val="0"/>
          <c:showPercent val="1"/>
          <c:showBubbleSize val="0"/>
          <c:showLeaderLines val="1"/>
        </c:dLbls>
      </c:pie3DChart>
      <c:spPr>
        <a:noFill/>
        <a:ln>
          <a:solidFill>
            <a:schemeClr val="bg2"/>
          </a:solidFill>
        </a:ln>
        <a:effectLst/>
      </c:spPr>
    </c:plotArea>
    <c:plotVisOnly val="1"/>
    <c:dispBlanksAs val="gap"/>
    <c:showDLblsOverMax val="0"/>
  </c:chart>
  <c:spPr>
    <a:solidFill>
      <a:schemeClr val="bg2"/>
    </a:solidFill>
    <a:ln w="6350" cap="flat" cmpd="sng" algn="ctr">
      <a:solidFill>
        <a:schemeClr val="accent1"/>
      </a:solidFill>
      <a:prstDash val="solid"/>
      <a:round/>
    </a:ln>
    <a:effectLst/>
  </c:spPr>
  <c:txPr>
    <a:bodyPr/>
    <a:lstStyle/>
    <a:p>
      <a:pPr>
        <a:defRPr sz="1000">
          <a:ln>
            <a:noFill/>
          </a:ln>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ysClr val="windowText" lastClr="000000"/>
                </a:solidFill>
              </a:defRPr>
            </a:pPr>
            <a:r>
              <a:rPr lang="en-US" sz="1000">
                <a:solidFill>
                  <a:sysClr val="windowText" lastClr="000000"/>
                </a:solidFill>
              </a:rPr>
              <a:t>Age At VR Application</a:t>
            </a:r>
          </a:p>
        </c:rich>
      </c:tx>
      <c:layout>
        <c:manualLayout>
          <c:xMode val="edge"/>
          <c:yMode val="edge"/>
          <c:x val="0.29777934685491136"/>
          <c:y val="3.117692907248636E-2"/>
        </c:manualLayout>
      </c:layout>
      <c:overlay val="0"/>
    </c:title>
    <c:autoTitleDeleted val="0"/>
    <c:view3D>
      <c:rotX val="30"/>
      <c:rotY val="0"/>
      <c:rAngAx val="0"/>
      <c:perspective val="10"/>
    </c:view3D>
    <c:floor>
      <c:thickness val="0"/>
    </c:floor>
    <c:sideWall>
      <c:thickness val="0"/>
    </c:sideWall>
    <c:backWall>
      <c:thickness val="0"/>
    </c:backWall>
    <c:plotArea>
      <c:layout>
        <c:manualLayout>
          <c:layoutTarget val="inner"/>
          <c:xMode val="edge"/>
          <c:yMode val="edge"/>
          <c:x val="1.8247137712437109E-2"/>
          <c:y val="3.9413224031927393E-3"/>
          <c:w val="0.98164706919168465"/>
          <c:h val="0.7312185114791685"/>
        </c:manualLayout>
      </c:layout>
      <c:pie3DChart>
        <c:varyColors val="1"/>
        <c:ser>
          <c:idx val="0"/>
          <c:order val="0"/>
          <c:tx>
            <c:strRef>
              <c:f>Sheet1!$B$1</c:f>
              <c:strCache>
                <c:ptCount val="1"/>
                <c:pt idx="0">
                  <c:v>Percent</c:v>
                </c:pt>
              </c:strCache>
            </c:strRef>
          </c:tx>
          <c:explosion val="93"/>
          <c:dPt>
            <c:idx val="0"/>
            <c:bubble3D val="0"/>
            <c:explosion val="0"/>
            <c:extLst>
              <c:ext xmlns:c16="http://schemas.microsoft.com/office/drawing/2014/chart" uri="{C3380CC4-5D6E-409C-BE32-E72D297353CC}">
                <c16:uniqueId val="{00000001-7EFD-4B77-9089-494D3AC714B0}"/>
              </c:ext>
            </c:extLst>
          </c:dPt>
          <c:dPt>
            <c:idx val="1"/>
            <c:bubble3D val="0"/>
            <c:explosion val="81"/>
            <c:extLst>
              <c:ext xmlns:c16="http://schemas.microsoft.com/office/drawing/2014/chart" uri="{C3380CC4-5D6E-409C-BE32-E72D297353CC}">
                <c16:uniqueId val="{00000003-7EFD-4B77-9089-494D3AC714B0}"/>
              </c:ext>
            </c:extLst>
          </c:dPt>
          <c:dPt>
            <c:idx val="2"/>
            <c:bubble3D val="0"/>
            <c:explosion val="12"/>
            <c:extLst>
              <c:ext xmlns:c16="http://schemas.microsoft.com/office/drawing/2014/chart" uri="{C3380CC4-5D6E-409C-BE32-E72D297353CC}">
                <c16:uniqueId val="{00000005-7EFD-4B77-9089-494D3AC714B0}"/>
              </c:ext>
            </c:extLst>
          </c:dPt>
          <c:dPt>
            <c:idx val="3"/>
            <c:bubble3D val="0"/>
            <c:explosion val="0"/>
            <c:extLst>
              <c:ext xmlns:c16="http://schemas.microsoft.com/office/drawing/2014/chart" uri="{C3380CC4-5D6E-409C-BE32-E72D297353CC}">
                <c16:uniqueId val="{00000007-7EFD-4B77-9089-494D3AC714B0}"/>
              </c:ext>
            </c:extLst>
          </c:dPt>
          <c:dLbls>
            <c:dLbl>
              <c:idx val="0"/>
              <c:layout>
                <c:manualLayout>
                  <c:x val="6.2674026211839803E-2"/>
                  <c:y val="0.2618264840182648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EFD-4B77-9089-494D3AC714B0}"/>
                </c:ext>
              </c:extLst>
            </c:dLbl>
            <c:dLbl>
              <c:idx val="1"/>
              <c:layout>
                <c:manualLayout>
                  <c:x val="4.9435564740453873E-2"/>
                  <c:y val="7.536044295832883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EFD-4B77-9089-494D3AC714B0}"/>
                </c:ext>
              </c:extLst>
            </c:dLbl>
            <c:dLbl>
              <c:idx val="2"/>
              <c:layout>
                <c:manualLayout>
                  <c:x val="-5.3132777007525243E-2"/>
                  <c:y val="0.182583448255408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EFD-4B77-9089-494D3AC714B0}"/>
                </c:ext>
              </c:extLst>
            </c:dLbl>
            <c:dLbl>
              <c:idx val="3"/>
              <c:layout>
                <c:manualLayout>
                  <c:x val="-0.15123010786442392"/>
                  <c:y val="1.5088452926435039E-2"/>
                </c:manualLayout>
              </c:layout>
              <c:showLegendKey val="0"/>
              <c:showVal val="0"/>
              <c:showCatName val="1"/>
              <c:showSerName val="0"/>
              <c:showPercent val="1"/>
              <c:showBubbleSize val="0"/>
              <c:extLst>
                <c:ext xmlns:c15="http://schemas.microsoft.com/office/drawing/2012/chart" uri="{CE6537A1-D6FC-4f65-9D91-7224C49458BB}">
                  <c15:layout>
                    <c:manualLayout>
                      <c:w val="0.25304488101777972"/>
                      <c:h val="0.27943473167548977"/>
                    </c:manualLayout>
                  </c15:layout>
                </c:ext>
                <c:ext xmlns:c16="http://schemas.microsoft.com/office/drawing/2014/chart" uri="{C3380CC4-5D6E-409C-BE32-E72D297353CC}">
                  <c16:uniqueId val="{00000007-7EFD-4B77-9089-494D3AC714B0}"/>
                </c:ext>
              </c:extLst>
            </c:dLbl>
            <c:dLbl>
              <c:idx val="4"/>
              <c:layout>
                <c:manualLayout>
                  <c:x val="0.28959011474604934"/>
                  <c:y val="6.71371192237334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7EFD-4B77-9089-494D3AC714B0}"/>
                </c:ext>
              </c:extLst>
            </c:dLbl>
            <c:numFmt formatCode="0.0%" sourceLinked="0"/>
            <c:spPr>
              <a:noFill/>
              <a:ln>
                <a:noFill/>
              </a:ln>
              <a:effectLst/>
            </c:spPr>
            <c:txPr>
              <a:bodyPr rot="0" vert="horz"/>
              <a:lstStyle/>
              <a:p>
                <a:pPr>
                  <a:defRPr sz="900">
                    <a:solidFill>
                      <a:schemeClr val="tx1"/>
                    </a:solidFill>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Sheet1!$A$2:$A$5</c:f>
              <c:strCache>
                <c:ptCount val="4"/>
                <c:pt idx="0">
                  <c:v>13 to 22</c:v>
                </c:pt>
                <c:pt idx="1">
                  <c:v>23 to 54</c:v>
                </c:pt>
                <c:pt idx="2">
                  <c:v>55 to 64</c:v>
                </c:pt>
                <c:pt idx="3">
                  <c:v>65 and Older</c:v>
                </c:pt>
              </c:strCache>
            </c:strRef>
          </c:cat>
          <c:val>
            <c:numRef>
              <c:f>Sheet1!$B$2:$B$5</c:f>
              <c:numCache>
                <c:formatCode>0.0%</c:formatCode>
                <c:ptCount val="4"/>
                <c:pt idx="0">
                  <c:v>0.2709030100334448</c:v>
                </c:pt>
                <c:pt idx="1">
                  <c:v>0.48160535117056857</c:v>
                </c:pt>
                <c:pt idx="2">
                  <c:v>0.14715719063545152</c:v>
                </c:pt>
                <c:pt idx="3">
                  <c:v>0.10033444816053512</c:v>
                </c:pt>
              </c:numCache>
            </c:numRef>
          </c:val>
          <c:extLst>
            <c:ext xmlns:c16="http://schemas.microsoft.com/office/drawing/2014/chart" uri="{C3380CC4-5D6E-409C-BE32-E72D297353CC}">
              <c16:uniqueId val="{00000009-7EFD-4B77-9089-494D3AC714B0}"/>
            </c:ext>
          </c:extLst>
        </c:ser>
        <c:dLbls>
          <c:showLegendKey val="0"/>
          <c:showVal val="0"/>
          <c:showCatName val="1"/>
          <c:showSerName val="0"/>
          <c:showPercent val="1"/>
          <c:showBubbleSize val="0"/>
          <c:showLeaderLines val="1"/>
        </c:dLbls>
      </c:pie3DChart>
    </c:plotArea>
    <c:plotVisOnly val="1"/>
    <c:dispBlanksAs val="gap"/>
    <c:showDLblsOverMax val="0"/>
  </c:chart>
  <c:spPr>
    <a:solidFill>
      <a:schemeClr val="bg2"/>
    </a:solidFill>
    <a:ln w="6350">
      <a:solidFill>
        <a:prstClr val="black"/>
      </a:solidFill>
    </a:ln>
  </c:spPr>
  <c:txPr>
    <a:bodyPr/>
    <a:lstStyle/>
    <a:p>
      <a:pPr>
        <a:defRPr sz="1000">
          <a:ln>
            <a:noFill/>
          </a:ln>
          <a:solidFill>
            <a:sysClr val="windowText" lastClr="000000"/>
          </a:solidFill>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Work Source Maine">
      <a:dk1>
        <a:srgbClr val="00303E"/>
      </a:dk1>
      <a:lt1>
        <a:srgbClr val="EEECE1"/>
      </a:lt1>
      <a:dk2>
        <a:srgbClr val="3DC2B2"/>
      </a:dk2>
      <a:lt2>
        <a:srgbClr val="E8E6DE"/>
      </a:lt2>
      <a:accent1>
        <a:srgbClr val="00303E"/>
      </a:accent1>
      <a:accent2>
        <a:srgbClr val="E8E6DE"/>
      </a:accent2>
      <a:accent3>
        <a:srgbClr val="B2DBD4"/>
      </a:accent3>
      <a:accent4>
        <a:srgbClr val="3DC2B2"/>
      </a:accent4>
      <a:accent5>
        <a:srgbClr val="FFFFFF"/>
      </a:accent5>
      <a:accent6>
        <a:srgbClr val="FFFFFF"/>
      </a:accent6>
      <a:hlink>
        <a:srgbClr val="00526A"/>
      </a:hlink>
      <a:folHlink>
        <a:srgbClr val="D2F4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950808C3A8AA44292BD9D34F72A48F4" ma:contentTypeVersion="4" ma:contentTypeDescription="Create a new document." ma:contentTypeScope="" ma:versionID="70d6610978c5ccf50286339b157bf2be">
  <xsd:schema xmlns:xsd="http://www.w3.org/2001/XMLSchema" xmlns:xs="http://www.w3.org/2001/XMLSchema" xmlns:p="http://schemas.microsoft.com/office/2006/metadata/properties" xmlns:ns1="http://schemas.microsoft.com/sharepoint/v3" xmlns:ns3="512a7d54-99f8-4692-a459-c6d58bf8c371" targetNamespace="http://schemas.microsoft.com/office/2006/metadata/properties" ma:root="true" ma:fieldsID="cafba9085b8b7536145a7897f444e65a" ns1:_="" ns3:_="">
    <xsd:import namespace="http://schemas.microsoft.com/sharepoint/v3"/>
    <xsd:import namespace="512a7d54-99f8-4692-a459-c6d58bf8c371"/>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hidden="true" ma:internalName="_ip_UnifiedCompliancePolicyProperties">
      <xsd:simpleType>
        <xsd:restriction base="dms:Note"/>
      </xsd:simpleType>
    </xsd:element>
    <xsd:element name="_ip_UnifiedCompliancePolicyUIAction" ma:index="1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12a7d54-99f8-4692-a459-c6d58bf8c3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E90BEA9-3D86-4504-BBC7-98A391D13622}">
  <ds:schemaRefs>
    <ds:schemaRef ds:uri="http://schemas.microsoft.com/sharepoint/v3/contenttype/forms"/>
  </ds:schemaRefs>
</ds:datastoreItem>
</file>

<file path=customXml/itemProps2.xml><?xml version="1.0" encoding="utf-8"?>
<ds:datastoreItem xmlns:ds="http://schemas.openxmlformats.org/officeDocument/2006/customXml" ds:itemID="{CC6A37B4-89C3-4B87-B64D-5721C3CFCA5B}">
  <ds:schemaRefs>
    <ds:schemaRef ds:uri="http://schemas.openxmlformats.org/officeDocument/2006/bibliography"/>
  </ds:schemaRefs>
</ds:datastoreItem>
</file>

<file path=customXml/itemProps3.xml><?xml version="1.0" encoding="utf-8"?>
<ds:datastoreItem xmlns:ds="http://schemas.openxmlformats.org/officeDocument/2006/customXml" ds:itemID="{2BBB164E-3892-4505-9205-23F328065D1F}">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392D3B85-1038-4054-A210-40FB16DE59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12a7d54-99f8-4692-a459-c6d58bf8c3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26</Pages>
  <Words>7672</Words>
  <Characters>45884</Characters>
  <Application>Microsoft Office Word</Application>
  <DocSecurity>4</DocSecurity>
  <Lines>834</Lines>
  <Paragraphs>311</Paragraphs>
  <ScaleCrop>false</ScaleCrop>
  <HeadingPairs>
    <vt:vector size="4" baseType="variant">
      <vt:variant>
        <vt:lpstr>Title</vt:lpstr>
      </vt:variant>
      <vt:variant>
        <vt:i4>1</vt:i4>
      </vt:variant>
      <vt:variant>
        <vt:lpstr>Headings</vt:lpstr>
      </vt:variant>
      <vt:variant>
        <vt:i4>14</vt:i4>
      </vt:variant>
    </vt:vector>
  </HeadingPairs>
  <TitlesOfParts>
    <vt:vector size="15" baseType="lpstr">
      <vt:lpstr/>
      <vt:lpstr>DVR Initiatives and Innovations </vt:lpstr>
      <vt:lpstr>Division for the Deaf, Hard of Hearing and Late Deafened (DDHHLD)</vt:lpstr>
      <vt:lpstr>Bureau of Rehabilitation Services (BRS) Apprenticeship Program</vt:lpstr>
      <vt:lpstr>Pathways to Partnerships (P2P) Grant</vt:lpstr>
      <vt:lpstr/>
      <vt:lpstr>Division for the Blind and Visually Impaired (DBVI)</vt:lpstr>
      <vt:lpstr>DBVI Initiatives and Innovations</vt:lpstr>
      <vt:lpstr/>
      <vt:lpstr>System Improvement and Quality Assurance (SIQA)</vt:lpstr>
      <vt:lpstr>2</vt:lpstr>
      <vt:lpstr>Office of the State Accessibility and Independent Living Coordinator </vt:lpstr>
      <vt:lpstr/>
      <vt:lpstr>Partners in Advocacy, Advisory Boards and Councils</vt:lpstr>
      <vt:lpstr>BRS Office Directory	</vt:lpstr>
    </vt:vector>
  </TitlesOfParts>
  <Company>State of Maine</Company>
  <LinksUpToDate>false</LinksUpToDate>
  <CharactersWithSpaces>53245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Dina.Blanchard@maine.gov</dc:creator>
  <cp:keywords/>
  <cp:lastModifiedBy>Stone-Sterling, Libby</cp:lastModifiedBy>
  <cp:revision>2</cp:revision>
  <cp:lastPrinted>2026-02-04T19:33:00Z</cp:lastPrinted>
  <dcterms:created xsi:type="dcterms:W3CDTF">2026-02-09T18:36:00Z</dcterms:created>
  <dcterms:modified xsi:type="dcterms:W3CDTF">2026-02-09T18:36:00Z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0x010100C950808C3A8AA44292BD9D34F72A48F4</vt:lpwstr>
  </property>
</Properties>
</file>