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4C93" w14:textId="5125E780" w:rsidR="007428EF" w:rsidRDefault="00DF3339">
      <w:pPr>
        <w:rPr>
          <w:i/>
          <w:iCs/>
          <w:color w:val="FF0000"/>
          <w:sz w:val="28"/>
          <w:szCs w:val="28"/>
          <w:u w:val="single"/>
        </w:rPr>
      </w:pPr>
      <w:r w:rsidRPr="006D1D58">
        <w:rPr>
          <w:i/>
          <w:iCs/>
          <w:color w:val="FF0000"/>
          <w:sz w:val="28"/>
          <w:szCs w:val="28"/>
          <w:u w:val="single"/>
        </w:rPr>
        <w:t>Pre-Employment Transition Services</w:t>
      </w:r>
    </w:p>
    <w:p w14:paraId="11ABBB32" w14:textId="77777777" w:rsidR="00DF3339" w:rsidRPr="00DF3339" w:rsidRDefault="00DF3339" w:rsidP="00DF3339">
      <w:pPr>
        <w:pStyle w:val="ListParagraph"/>
        <w:numPr>
          <w:ilvl w:val="0"/>
          <w:numId w:val="1"/>
        </w:numPr>
        <w:spacing w:after="0" w:line="240" w:lineRule="auto"/>
        <w:ind w:left="270"/>
        <w:rPr>
          <w:rFonts w:eastAsia="Calibri" w:cstheme="minorHAnsi"/>
          <w:sz w:val="28"/>
          <w:szCs w:val="28"/>
        </w:rPr>
      </w:pPr>
      <w:r w:rsidRPr="00DF3339">
        <w:rPr>
          <w:rFonts w:cstheme="minorHAnsi"/>
          <w:b/>
          <w:bCs/>
          <w:color w:val="FF0000"/>
          <w:sz w:val="28"/>
          <w:szCs w:val="28"/>
          <w:u w:val="single"/>
        </w:rPr>
        <w:t>Job Exploration Counseling</w:t>
      </w:r>
      <w:r w:rsidRPr="00DF3339">
        <w:rPr>
          <w:rFonts w:cstheme="minorHAnsi"/>
          <w:sz w:val="28"/>
          <w:szCs w:val="28"/>
        </w:rPr>
        <w:t xml:space="preserve">:  </w:t>
      </w:r>
      <w:r w:rsidRPr="00DF3339">
        <w:rPr>
          <w:rFonts w:eastAsia="Calibri" w:cstheme="minorHAnsi"/>
          <w:sz w:val="28"/>
          <w:szCs w:val="28"/>
        </w:rPr>
        <w:t xml:space="preserve">The process of assisting individuals to learn about themselves and the world of work, to identify and explore potentially satisfying occupations, and to develop an effective strategy to realize their goals. Includes in-school or after school opportunities, or experience outside the traditional school setting, such as internships, labor market information review, Transitional Career Exploration Workshop, Career Exploration Workshop, and other vocational interest inventories. </w:t>
      </w:r>
    </w:p>
    <w:p w14:paraId="04392836" w14:textId="77777777" w:rsidR="00DF3339" w:rsidRPr="00DF3339" w:rsidRDefault="00DF3339" w:rsidP="00DF3339">
      <w:pPr>
        <w:pStyle w:val="ListParagraph"/>
        <w:numPr>
          <w:ilvl w:val="0"/>
          <w:numId w:val="1"/>
        </w:numPr>
        <w:spacing w:after="0" w:line="240" w:lineRule="auto"/>
        <w:ind w:left="270"/>
        <w:rPr>
          <w:rFonts w:eastAsia="Calibri" w:cstheme="minorHAnsi"/>
          <w:sz w:val="28"/>
          <w:szCs w:val="28"/>
        </w:rPr>
      </w:pPr>
      <w:r w:rsidRPr="00DF3339">
        <w:rPr>
          <w:rFonts w:cstheme="minorHAnsi"/>
          <w:b/>
          <w:bCs/>
          <w:color w:val="FF0000"/>
          <w:sz w:val="28"/>
          <w:szCs w:val="28"/>
          <w:u w:val="single"/>
        </w:rPr>
        <w:t>Work-Based Learning Experiences</w:t>
      </w:r>
      <w:r w:rsidRPr="00DF3339">
        <w:rPr>
          <w:rFonts w:cstheme="minorHAnsi"/>
          <w:sz w:val="28"/>
          <w:szCs w:val="28"/>
        </w:rPr>
        <w:t xml:space="preserve">:  </w:t>
      </w:r>
      <w:r w:rsidRPr="00DF3339">
        <w:rPr>
          <w:rFonts w:eastAsia="Calibri" w:cstheme="minorHAnsi"/>
          <w:sz w:val="28"/>
          <w:szCs w:val="28"/>
        </w:rPr>
        <w:t xml:space="preserve">Work-based learning (WBL) is an educational strategy that provides students with real-life work experiences where they can apply academic and technical skills and develop employability skills. Work-based learning experiences occur in the community, in school, or out of school. Work-based learning experiences provide career awareness, onsite career exploration opportunities, career planning activities, and help students reach competencies, such as positive work attitudes and employability skills. Activities may include job club, informational interviews, worksite tours, job shadowing, internships, apprenticeships, on-the-job training, mentoring, and Disability Mentoring Day. </w:t>
      </w:r>
    </w:p>
    <w:p w14:paraId="1FC85831" w14:textId="77777777" w:rsidR="00DF3339" w:rsidRPr="00DF3339" w:rsidRDefault="00DF3339" w:rsidP="00DF3339">
      <w:pPr>
        <w:pStyle w:val="ListParagraph"/>
        <w:numPr>
          <w:ilvl w:val="0"/>
          <w:numId w:val="1"/>
        </w:numPr>
        <w:spacing w:after="0" w:line="240" w:lineRule="auto"/>
        <w:ind w:left="270"/>
        <w:rPr>
          <w:rFonts w:eastAsia="Calibri" w:cstheme="minorHAnsi"/>
          <w:sz w:val="28"/>
          <w:szCs w:val="28"/>
        </w:rPr>
      </w:pPr>
      <w:r w:rsidRPr="00DF3339">
        <w:rPr>
          <w:rFonts w:cstheme="minorHAnsi"/>
          <w:b/>
          <w:bCs/>
          <w:color w:val="FF0000"/>
          <w:sz w:val="28"/>
          <w:szCs w:val="28"/>
          <w:u w:val="single"/>
        </w:rPr>
        <w:t>Counseling on Enrollment Opportunities</w:t>
      </w:r>
      <w:r w:rsidRPr="00DF3339">
        <w:rPr>
          <w:rFonts w:cstheme="minorHAnsi"/>
          <w:sz w:val="28"/>
          <w:szCs w:val="28"/>
        </w:rPr>
        <w:t xml:space="preserve">:  </w:t>
      </w:r>
      <w:r w:rsidRPr="00DF3339">
        <w:rPr>
          <w:rFonts w:eastAsia="Calibri" w:cstheme="minorHAnsi"/>
          <w:sz w:val="28"/>
          <w:szCs w:val="28"/>
        </w:rPr>
        <w:t xml:space="preserve">Counseling on opportunities for enrollment in comprehensive transition or post-secondary educational programs at institutes of higher education, including college, vocational and technical training programs, certificate programs, and adult education. Activities may include tours of educational institutions, assistance with college application and admission processes, and providing information on disability support services. </w:t>
      </w:r>
      <w:r w:rsidRPr="00DF3339">
        <w:rPr>
          <w:rFonts w:eastAsia="Calibri" w:cstheme="minorHAnsi"/>
          <w:b/>
          <w:sz w:val="28"/>
          <w:szCs w:val="28"/>
        </w:rPr>
        <w:t xml:space="preserve"> </w:t>
      </w:r>
    </w:p>
    <w:p w14:paraId="63EC0898" w14:textId="77777777" w:rsidR="00DF3339" w:rsidRPr="00DF3339" w:rsidRDefault="00DF3339" w:rsidP="00DF3339">
      <w:pPr>
        <w:pStyle w:val="ListParagraph"/>
        <w:numPr>
          <w:ilvl w:val="0"/>
          <w:numId w:val="1"/>
        </w:numPr>
        <w:spacing w:after="0" w:line="240" w:lineRule="auto"/>
        <w:ind w:left="270"/>
        <w:rPr>
          <w:rFonts w:eastAsia="Calibri" w:cstheme="minorHAnsi"/>
          <w:sz w:val="28"/>
          <w:szCs w:val="28"/>
        </w:rPr>
      </w:pPr>
      <w:r w:rsidRPr="00DF3339">
        <w:rPr>
          <w:rFonts w:eastAsia="Calibri" w:cstheme="minorHAnsi"/>
          <w:b/>
          <w:bCs/>
          <w:color w:val="FF0000"/>
          <w:sz w:val="28"/>
          <w:szCs w:val="28"/>
          <w:u w:val="single"/>
        </w:rPr>
        <w:t>Work Readiness Training</w:t>
      </w:r>
      <w:r w:rsidRPr="00DF3339">
        <w:rPr>
          <w:rFonts w:eastAsia="Calibri" w:cstheme="minorHAnsi"/>
          <w:sz w:val="28"/>
          <w:szCs w:val="28"/>
        </w:rPr>
        <w:t xml:space="preserve">:  Training that assists individuals to develop and enhance independent living and soft skills (personal characteristics and behavioral aptitudes that enhance an individual’s interactions, job performance, and career prospects across a broad range of settings). Training seeks to enhance skills, such as communication and interpersonal skills, financial literacy, job seeking skills, drivers' education, and group orientation and mobility.  </w:t>
      </w:r>
    </w:p>
    <w:p w14:paraId="7112A348" w14:textId="77777777" w:rsidR="00DF3339" w:rsidRPr="00DF3339" w:rsidRDefault="00DF3339" w:rsidP="00DF3339">
      <w:pPr>
        <w:pStyle w:val="Default"/>
        <w:numPr>
          <w:ilvl w:val="0"/>
          <w:numId w:val="1"/>
        </w:numPr>
        <w:ind w:left="270"/>
        <w:rPr>
          <w:rFonts w:asciiTheme="minorHAnsi" w:hAnsiTheme="minorHAnsi" w:cstheme="minorHAnsi"/>
          <w:sz w:val="28"/>
          <w:szCs w:val="28"/>
        </w:rPr>
      </w:pPr>
      <w:r w:rsidRPr="00DF3339">
        <w:rPr>
          <w:rFonts w:asciiTheme="minorHAnsi" w:hAnsiTheme="minorHAnsi" w:cstheme="minorHAnsi"/>
          <w:b/>
          <w:bCs/>
          <w:color w:val="FF0000"/>
          <w:sz w:val="28"/>
          <w:szCs w:val="28"/>
          <w:u w:val="single"/>
        </w:rPr>
        <w:t>Instruction on Self-Advocacy</w:t>
      </w:r>
      <w:r w:rsidRPr="00DF3339">
        <w:rPr>
          <w:rFonts w:asciiTheme="minorHAnsi" w:hAnsiTheme="minorHAnsi" w:cstheme="minorHAnsi"/>
          <w:sz w:val="28"/>
          <w:szCs w:val="28"/>
        </w:rPr>
        <w:t xml:space="preserve">:  </w:t>
      </w:r>
      <w:r w:rsidRPr="00DF3339">
        <w:rPr>
          <w:rFonts w:asciiTheme="minorHAnsi" w:eastAsia="Calibri" w:hAnsiTheme="minorHAnsi" w:cstheme="minorHAnsi"/>
          <w:sz w:val="28"/>
          <w:szCs w:val="28"/>
        </w:rPr>
        <w:t>Training that assists individuals to develop the ability to articulate one’s needs and make informed decisions about the supports necessary to meet those needs. This may include instruction in rights and responsibilities, requesting accommodations and services, person-centered planning, and peer mentoring.</w:t>
      </w:r>
      <w:r w:rsidRPr="00DF3339">
        <w:rPr>
          <w:rFonts w:asciiTheme="minorHAnsi" w:hAnsiTheme="minorHAnsi" w:cstheme="minorHAnsi"/>
          <w:sz w:val="28"/>
          <w:szCs w:val="28"/>
        </w:rPr>
        <w:t xml:space="preserve">     </w:t>
      </w:r>
    </w:p>
    <w:p w14:paraId="362F0686" w14:textId="77777777" w:rsidR="00DF3339" w:rsidRPr="00DF3339" w:rsidRDefault="00DF3339">
      <w:pPr>
        <w:rPr>
          <w:sz w:val="28"/>
          <w:szCs w:val="28"/>
        </w:rPr>
      </w:pPr>
    </w:p>
    <w:sectPr w:rsidR="00DF3339" w:rsidRPr="00DF3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44992"/>
    <w:multiLevelType w:val="hybridMultilevel"/>
    <w:tmpl w:val="4612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30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39"/>
    <w:rsid w:val="007428EF"/>
    <w:rsid w:val="00792893"/>
    <w:rsid w:val="00DF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75BB"/>
  <w15:chartTrackingRefBased/>
  <w15:docId w15:val="{F84AE857-65C6-40DA-9E61-6493D2EC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3339"/>
    <w:pPr>
      <w:ind w:left="720"/>
      <w:contextualSpacing/>
    </w:pPr>
  </w:style>
  <w:style w:type="paragraph" w:customStyle="1" w:styleId="Default">
    <w:name w:val="Default"/>
    <w:rsid w:val="00DF33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DF3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379</Words>
  <Characters>2164</Characters>
  <Application>Microsoft Office Word</Application>
  <DocSecurity>0</DocSecurity>
  <Lines>18</Lines>
  <Paragraphs>5</Paragraphs>
  <ScaleCrop>false</ScaleCrop>
  <Company>State of Maine</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Montagna, Chris P (DOL)</dc:creator>
  <cp:keywords/>
  <dc:description/>
  <cp:lastModifiedBy>Montagna, Chris P (DOL)</cp:lastModifiedBy>
  <cp:revision>2</cp:revision>
  <dcterms:created xsi:type="dcterms:W3CDTF">2023-11-20T20:40:00Z</dcterms:created>
  <dcterms:modified xsi:type="dcterms:W3CDTF">2024-02-05T18:21:00Z</dcterms:modified>
</cp:coreProperties>
</file>