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7.xml" ContentType="application/vnd.openxmlformats-officedocument.drawingml.chart+xml"/>
  <Override PartName="/word/charts/chart8.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9.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1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F5A3D3" w14:textId="6BF064F2" w:rsidR="00812882" w:rsidRDefault="0068538E" w:rsidP="0068538E">
      <w:pPr>
        <w:pStyle w:val="ListParagraph"/>
        <w:numPr>
          <w:ilvl w:val="0"/>
          <w:numId w:val="1"/>
        </w:numPr>
        <w:rPr>
          <w:b/>
          <w:bCs/>
        </w:rPr>
      </w:pPr>
      <w:r>
        <w:rPr>
          <w:b/>
          <w:bCs/>
        </w:rPr>
        <w:t>DVR SERVICES TO INDIVIDUALS IN MAINE</w:t>
      </w:r>
    </w:p>
    <w:p w14:paraId="1F2C04E5" w14:textId="0BCEB1DE" w:rsidR="0068538E" w:rsidRDefault="0068538E" w:rsidP="0068538E">
      <w:pPr>
        <w:pStyle w:val="ListParagraph"/>
        <w:numPr>
          <w:ilvl w:val="1"/>
          <w:numId w:val="1"/>
        </w:numPr>
        <w:rPr>
          <w:b/>
          <w:bCs/>
        </w:rPr>
      </w:pPr>
      <w:r>
        <w:rPr>
          <w:b/>
          <w:bCs/>
        </w:rPr>
        <w:t>Population Characteristics</w:t>
      </w:r>
    </w:p>
    <w:p w14:paraId="3DD4E868" w14:textId="021AC040" w:rsidR="0068538E" w:rsidRDefault="0068538E" w:rsidP="0068538E">
      <w:pPr>
        <w:ind w:left="1080"/>
        <w:rPr>
          <w:b/>
          <w:bCs/>
        </w:rPr>
      </w:pPr>
      <w:r>
        <w:rPr>
          <w:b/>
          <w:bCs/>
        </w:rPr>
        <w:t>Findings:</w:t>
      </w:r>
    </w:p>
    <w:p w14:paraId="5E2E4EBE" w14:textId="6DB251B4" w:rsidR="00ED1BFE" w:rsidRDefault="00406829" w:rsidP="0068538E">
      <w:pPr>
        <w:ind w:left="1080"/>
        <w:rPr>
          <w:b/>
          <w:bCs/>
        </w:rPr>
      </w:pPr>
      <w:r>
        <w:t>Maine is a geo</w:t>
      </w:r>
      <w:r w:rsidR="00F852D8">
        <w:t>graphically large state with a current population of approximately 1.3 million people</w:t>
      </w:r>
      <w:r w:rsidR="00845842">
        <w:t xml:space="preserve">.  </w:t>
      </w:r>
      <w:r w:rsidR="00126E05">
        <w:t xml:space="preserve">While most of the population resides in the southern counties of the state, the rural nature </w:t>
      </w:r>
      <w:r w:rsidR="00BE1CCD">
        <w:t xml:space="preserve">and low population density </w:t>
      </w:r>
      <w:r w:rsidR="00406356">
        <w:t xml:space="preserve">across the state present unique challenges for effective service delivery of Vocational Rehabilitation services.  </w:t>
      </w:r>
      <w:r w:rsidR="00BF1B37">
        <w:t>Ma</w:t>
      </w:r>
      <w:r w:rsidR="003E2E25">
        <w:t xml:space="preserve">ine’s demographics are also changing over recent years. </w:t>
      </w:r>
      <w:r w:rsidR="009F7CDF">
        <w:t>Historically, Maine was one of the least racially diverse states in the country</w:t>
      </w:r>
      <w:r w:rsidR="00395A4C">
        <w:t xml:space="preserve"> – with over 95% of the population identified as White. Recent data reveals that Maine is becoming more diverse</w:t>
      </w:r>
      <w:r w:rsidR="00F13B9D">
        <w:t xml:space="preserve"> and that this is due in largest part </w:t>
      </w:r>
      <w:r w:rsidR="00DF5630">
        <w:t xml:space="preserve">to in-migration of individuals from other parts of the country as well as </w:t>
      </w:r>
      <w:r w:rsidR="00FC3A75">
        <w:t>from asylum-seekers and refugee resettlement.</w:t>
      </w:r>
    </w:p>
    <w:p w14:paraId="33281756" w14:textId="77777777" w:rsidR="0021112A" w:rsidRDefault="00AE456C" w:rsidP="0068538E">
      <w:pPr>
        <w:ind w:left="1080"/>
      </w:pPr>
      <w:r>
        <w:t xml:space="preserve">Data from </w:t>
      </w:r>
      <w:r w:rsidR="007D4FD3">
        <w:t>Maine’s Disability Dashboard</w:t>
      </w:r>
      <w:r w:rsidR="006C1CA3">
        <w:t xml:space="preserve"> (Center for Workforce Research and Information, 2022) confirms that while much progress has occurred for people with disabilities in Maine – much work r</w:t>
      </w:r>
      <w:r w:rsidR="00FA1332">
        <w:t xml:space="preserve">emains to be done. There is a significant disparity in bachelor’s degree attainment – with only </w:t>
      </w:r>
      <w:r w:rsidR="00B851D0">
        <w:t xml:space="preserve">19 % of Maine people with disabilities achieving that credential compared to </w:t>
      </w:r>
      <w:r w:rsidR="004300CE">
        <w:t>37% of those without disabilities. Additionally, less than 37 % of people with disabilities</w:t>
      </w:r>
      <w:r w:rsidR="00AA4E7D">
        <w:t xml:space="preserve"> in Maine are employed, in contrast to 80% of those without disabilities. Furthermore, workers with disabilities in Maine earn </w:t>
      </w:r>
      <w:r w:rsidR="004B2F5A">
        <w:t>over $15,000 less in median earnings compared to workers without disabilities.</w:t>
      </w:r>
      <w:r w:rsidR="00FC3A75">
        <w:t xml:space="preserve"> </w:t>
      </w:r>
    </w:p>
    <w:p w14:paraId="2FF9D83B" w14:textId="17328CD6" w:rsidR="003A47B4" w:rsidRDefault="00FC3A75" w:rsidP="0068538E">
      <w:pPr>
        <w:ind w:left="1080"/>
      </w:pPr>
      <w:r>
        <w:t xml:space="preserve">The impacts of COVID-19 were </w:t>
      </w:r>
      <w:r w:rsidR="0021112A">
        <w:t xml:space="preserve">serious for individuals with disabilities and continue to be felt. People with disabilities that put them at high risk </w:t>
      </w:r>
      <w:r w:rsidR="00A8587A">
        <w:t xml:space="preserve">were limited in how they could interact in their communities, and some were unable to continue in employment. </w:t>
      </w:r>
      <w:r w:rsidR="00CC2DB6">
        <w:t xml:space="preserve">Individuals who received supports for residential or transportation services </w:t>
      </w:r>
      <w:r w:rsidR="004A1282">
        <w:t xml:space="preserve">experienced additional barriers as those services limited public interaction. </w:t>
      </w:r>
      <w:r w:rsidR="00A8587A">
        <w:t xml:space="preserve">The Division of Vocational Rehabilitation was able to </w:t>
      </w:r>
      <w:r w:rsidR="000529C4">
        <w:t xml:space="preserve">pivot  to virtual services quickly and </w:t>
      </w:r>
      <w:r w:rsidR="005D6A3A">
        <w:t>was continuously open for services</w:t>
      </w:r>
      <w:r w:rsidR="00C8222D">
        <w:t xml:space="preserve"> and this allowed some current clients to </w:t>
      </w:r>
      <w:r w:rsidR="004A1282">
        <w:t>take ad</w:t>
      </w:r>
      <w:r w:rsidR="0099734B">
        <w:t>vantage of ongoing support through tele</w:t>
      </w:r>
      <w:r w:rsidR="00CF5B16">
        <w:t xml:space="preserve">-counseling appointments. Consumer satisfaction surveys </w:t>
      </w:r>
      <w:r w:rsidR="00CD3452">
        <w:t xml:space="preserve">a year in to the pandemic </w:t>
      </w:r>
      <w:r w:rsidR="00975C1D">
        <w:t>revealed that nearly half of those surveyed felt that COVID-19 had negatively impacted their Vocational Rehabilitation services</w:t>
      </w:r>
      <w:r w:rsidR="00B332B4">
        <w:t xml:space="preserve"> – but </w:t>
      </w:r>
      <w:r w:rsidR="00D25D80">
        <w:t xml:space="preserve">11% reported a slowdown in services and 16% found it more difficult to reach their VR counselor. </w:t>
      </w:r>
    </w:p>
    <w:p w14:paraId="6B903E80" w14:textId="21DDA6A1" w:rsidR="00802A34" w:rsidRDefault="00802A34" w:rsidP="0068538E">
      <w:pPr>
        <w:ind w:left="1080"/>
      </w:pPr>
      <w:r>
        <w:t>Elimination of the subminimum wage for individuals with disabilities in Maine in 2020</w:t>
      </w:r>
      <w:r w:rsidR="00956F7A">
        <w:t>, coupled with earlier passage of Maine’s Employment First law</w:t>
      </w:r>
      <w:r w:rsidR="007A0C76">
        <w:t xml:space="preserve"> and implementation of the Home and Community Based Services </w:t>
      </w:r>
      <w:r w:rsidR="00B37E32">
        <w:t>rule has increased the numbers of individuals with significant disabilities who are considerin</w:t>
      </w:r>
      <w:r w:rsidR="00BA2EE1">
        <w:t>g employment – many for the first time. DVR has begun to see a resulting growing percentage of individuals who are applying for DVR services and who have Intellectual/Developmental Disabilities</w:t>
      </w:r>
      <w:r w:rsidR="001863CF">
        <w:t xml:space="preserve">. </w:t>
      </w:r>
    </w:p>
    <w:p w14:paraId="74D4765C" w14:textId="0307904F" w:rsidR="008E5545" w:rsidRDefault="00B5573C" w:rsidP="0068538E">
      <w:pPr>
        <w:ind w:left="1080"/>
      </w:pPr>
      <w:r>
        <w:t>Approximately 40% of DVR clients are transition-age youth</w:t>
      </w:r>
      <w:r w:rsidR="00571FE3">
        <w:t>. Despite this high percentage, DVR still is only reaching a small percentage of students with disabilities w</w:t>
      </w:r>
      <w:r w:rsidR="00F8743D">
        <w:t>ith Pre-Employment Transition Services</w:t>
      </w:r>
      <w:r w:rsidR="00A03AC4">
        <w:t xml:space="preserve"> (Pre-ETS). While this number may be artificially deflated by l</w:t>
      </w:r>
      <w:r w:rsidR="00B23F1D">
        <w:t>imitations in historical reporting of no-cost services delivered by DVR Transition VR counselors</w:t>
      </w:r>
      <w:r w:rsidR="00C0167C">
        <w:t xml:space="preserve">, it indicates that there remains a need to better </w:t>
      </w:r>
      <w:r w:rsidR="00B4756D">
        <w:t xml:space="preserve">deliver (and capture) how schools and VR </w:t>
      </w:r>
      <w:r w:rsidR="000115DB">
        <w:t xml:space="preserve">are working together to coordinate Pre-ETS delivery. </w:t>
      </w:r>
    </w:p>
    <w:p w14:paraId="52612589" w14:textId="5637297F" w:rsidR="00B06A11" w:rsidRDefault="00B06A11" w:rsidP="0068538E">
      <w:pPr>
        <w:ind w:left="1080"/>
      </w:pPr>
      <w:r>
        <w:t>DVR continues to see the benefits of partnership with other core p</w:t>
      </w:r>
      <w:r w:rsidR="000F66D7">
        <w:t>rograms</w:t>
      </w:r>
      <w:r>
        <w:t xml:space="preserve"> under the Workforce Innovation and Opportunity Act. In PY 2022, </w:t>
      </w:r>
      <w:r w:rsidR="000F66D7">
        <w:t xml:space="preserve">these programs served </w:t>
      </w:r>
      <w:r w:rsidR="00A701B6">
        <w:t xml:space="preserve">significant percentages of individuals with disabilities. </w:t>
      </w:r>
      <w:r w:rsidR="0080198C">
        <w:t>This indicates that individuals with disabilities are having access to a wide range of programs and services in addition to Vocational Rehabilitation. It also ind</w:t>
      </w:r>
      <w:r w:rsidR="00236CC1">
        <w:t xml:space="preserve">icates that there are opportunities for co-enrollment to increase </w:t>
      </w:r>
      <w:r w:rsidR="00B5573C">
        <w:t>outcomes through additional resource availability.</w:t>
      </w:r>
    </w:p>
    <w:p w14:paraId="7DC261A1" w14:textId="77777777" w:rsidR="000115DB" w:rsidRDefault="000115DB" w:rsidP="0068538E">
      <w:pPr>
        <w:ind w:left="1080"/>
      </w:pPr>
    </w:p>
    <w:tbl>
      <w:tblPr>
        <w:tblW w:w="0" w:type="auto"/>
        <w:tblInd w:w="1245" w:type="dxa"/>
        <w:tblCellMar>
          <w:left w:w="0" w:type="dxa"/>
          <w:right w:w="0" w:type="dxa"/>
        </w:tblCellMar>
        <w:tblLook w:val="04A0" w:firstRow="1" w:lastRow="0" w:firstColumn="1" w:lastColumn="0" w:noHBand="0" w:noVBand="1"/>
      </w:tblPr>
      <w:tblGrid>
        <w:gridCol w:w="2337"/>
        <w:gridCol w:w="2215"/>
        <w:gridCol w:w="2054"/>
        <w:gridCol w:w="1677"/>
      </w:tblGrid>
      <w:tr w:rsidR="00B06A11" w:rsidRPr="00B06A11" w14:paraId="3989B2B4" w14:textId="77777777" w:rsidTr="00B06A11">
        <w:tc>
          <w:tcPr>
            <w:tcW w:w="2337" w:type="dxa"/>
            <w:tcBorders>
              <w:top w:val="single" w:sz="8" w:space="0" w:color="auto"/>
              <w:left w:val="single" w:sz="8" w:space="0" w:color="auto"/>
              <w:bottom w:val="single" w:sz="8" w:space="0" w:color="auto"/>
              <w:right w:val="single" w:sz="8" w:space="0" w:color="auto"/>
            </w:tcBorders>
            <w:shd w:val="clear" w:color="auto" w:fill="D9E2F3"/>
            <w:tcMar>
              <w:top w:w="0" w:type="dxa"/>
              <w:left w:w="108" w:type="dxa"/>
              <w:bottom w:w="0" w:type="dxa"/>
              <w:right w:w="108" w:type="dxa"/>
            </w:tcMar>
            <w:hideMark/>
          </w:tcPr>
          <w:p w14:paraId="73E9C7D1" w14:textId="77777777" w:rsidR="00B06A11" w:rsidRPr="00B06A11" w:rsidRDefault="00B06A11" w:rsidP="00B06A11">
            <w:pPr>
              <w:spacing w:after="0" w:line="240" w:lineRule="auto"/>
              <w:ind w:left="1303"/>
              <w:rPr>
                <w:rFonts w:ascii="Calibri" w:eastAsia="Aptos" w:hAnsi="Calibri" w:cs="Calibri"/>
                <w:kern w:val="0"/>
                <w14:ligatures w14:val="none"/>
              </w:rPr>
            </w:pPr>
            <w:r w:rsidRPr="00B06A11">
              <w:rPr>
                <w:rFonts w:ascii="Calibri" w:eastAsia="Aptos" w:hAnsi="Calibri" w:cs="Calibri"/>
                <w:color w:val="000000"/>
                <w:kern w:val="0"/>
                <w14:ligatures w14:val="none"/>
              </w:rPr>
              <w:lastRenderedPageBreak/>
              <w:t>PY22</w:t>
            </w:r>
          </w:p>
        </w:tc>
        <w:tc>
          <w:tcPr>
            <w:tcW w:w="2215" w:type="dxa"/>
            <w:tcBorders>
              <w:top w:val="single" w:sz="8" w:space="0" w:color="auto"/>
              <w:left w:val="nil"/>
              <w:bottom w:val="single" w:sz="8" w:space="0" w:color="auto"/>
              <w:right w:val="single" w:sz="8" w:space="0" w:color="auto"/>
            </w:tcBorders>
            <w:shd w:val="clear" w:color="auto" w:fill="D9E2F3"/>
            <w:tcMar>
              <w:top w:w="0" w:type="dxa"/>
              <w:left w:w="108" w:type="dxa"/>
              <w:bottom w:w="0" w:type="dxa"/>
              <w:right w:w="108" w:type="dxa"/>
            </w:tcMar>
            <w:hideMark/>
          </w:tcPr>
          <w:p w14:paraId="6AA38EF7" w14:textId="77777777" w:rsidR="00B06A11" w:rsidRPr="00B06A11" w:rsidRDefault="00B06A11" w:rsidP="00B06A11">
            <w:pPr>
              <w:spacing w:after="0" w:line="240" w:lineRule="auto"/>
              <w:ind w:left="1303"/>
              <w:rPr>
                <w:rFonts w:ascii="Calibri" w:eastAsia="Aptos" w:hAnsi="Calibri" w:cs="Calibri"/>
                <w:kern w:val="0"/>
                <w14:ligatures w14:val="none"/>
              </w:rPr>
            </w:pPr>
            <w:r w:rsidRPr="00B06A11">
              <w:rPr>
                <w:rFonts w:ascii="Calibri" w:eastAsia="Aptos" w:hAnsi="Calibri" w:cs="Calibri"/>
                <w:color w:val="000000"/>
                <w:kern w:val="0"/>
                <w14:ligatures w14:val="none"/>
              </w:rPr>
              <w:t>SERVED</w:t>
            </w:r>
          </w:p>
        </w:tc>
        <w:tc>
          <w:tcPr>
            <w:tcW w:w="2054" w:type="dxa"/>
            <w:tcBorders>
              <w:top w:val="single" w:sz="8" w:space="0" w:color="auto"/>
              <w:left w:val="nil"/>
              <w:bottom w:val="single" w:sz="8" w:space="0" w:color="auto"/>
              <w:right w:val="single" w:sz="8" w:space="0" w:color="auto"/>
            </w:tcBorders>
            <w:shd w:val="clear" w:color="auto" w:fill="D9E2F3"/>
            <w:tcMar>
              <w:top w:w="0" w:type="dxa"/>
              <w:left w:w="108" w:type="dxa"/>
              <w:bottom w:w="0" w:type="dxa"/>
              <w:right w:w="108" w:type="dxa"/>
            </w:tcMar>
            <w:hideMark/>
          </w:tcPr>
          <w:p w14:paraId="1FB08541" w14:textId="77777777" w:rsidR="00B06A11" w:rsidRPr="00B06A11" w:rsidRDefault="00B06A11" w:rsidP="00B06A11">
            <w:pPr>
              <w:spacing w:after="0" w:line="240" w:lineRule="auto"/>
              <w:ind w:left="1303"/>
              <w:rPr>
                <w:rFonts w:ascii="Calibri" w:eastAsia="Aptos" w:hAnsi="Calibri" w:cs="Calibri"/>
                <w:kern w:val="0"/>
                <w14:ligatures w14:val="none"/>
              </w:rPr>
            </w:pPr>
            <w:r w:rsidRPr="00B06A11">
              <w:rPr>
                <w:rFonts w:ascii="Calibri" w:eastAsia="Aptos" w:hAnsi="Calibri" w:cs="Calibri"/>
                <w:color w:val="000000"/>
                <w:kern w:val="0"/>
                <w14:ligatures w14:val="none"/>
              </w:rPr>
              <w:t>IND w/DIS</w:t>
            </w:r>
          </w:p>
        </w:tc>
        <w:tc>
          <w:tcPr>
            <w:tcW w:w="1677" w:type="dxa"/>
            <w:tcBorders>
              <w:top w:val="single" w:sz="8" w:space="0" w:color="auto"/>
              <w:left w:val="nil"/>
              <w:bottom w:val="single" w:sz="8" w:space="0" w:color="auto"/>
              <w:right w:val="single" w:sz="8" w:space="0" w:color="auto"/>
            </w:tcBorders>
            <w:shd w:val="clear" w:color="auto" w:fill="D9E2F3"/>
            <w:tcMar>
              <w:top w:w="0" w:type="dxa"/>
              <w:left w:w="108" w:type="dxa"/>
              <w:bottom w:w="0" w:type="dxa"/>
              <w:right w:w="108" w:type="dxa"/>
            </w:tcMar>
            <w:hideMark/>
          </w:tcPr>
          <w:p w14:paraId="51F4DB30" w14:textId="77777777" w:rsidR="00B06A11" w:rsidRPr="00B06A11" w:rsidRDefault="00B06A11" w:rsidP="00B06A11">
            <w:pPr>
              <w:spacing w:after="0" w:line="240" w:lineRule="auto"/>
              <w:ind w:left="1303"/>
              <w:rPr>
                <w:rFonts w:ascii="Calibri" w:eastAsia="Aptos" w:hAnsi="Calibri" w:cs="Calibri"/>
                <w:kern w:val="0"/>
                <w14:ligatures w14:val="none"/>
              </w:rPr>
            </w:pPr>
            <w:r w:rsidRPr="00B06A11">
              <w:rPr>
                <w:rFonts w:ascii="Calibri" w:eastAsia="Aptos" w:hAnsi="Calibri" w:cs="Calibri"/>
                <w:color w:val="000000"/>
                <w:kern w:val="0"/>
                <w14:ligatures w14:val="none"/>
              </w:rPr>
              <w:t>%</w:t>
            </w:r>
          </w:p>
        </w:tc>
      </w:tr>
      <w:tr w:rsidR="00B06A11" w:rsidRPr="00B06A11" w14:paraId="32CD8A20" w14:textId="77777777" w:rsidTr="00B06A11">
        <w:tc>
          <w:tcPr>
            <w:tcW w:w="2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997D4D" w14:textId="77777777" w:rsidR="00B06A11" w:rsidRPr="00B06A11" w:rsidRDefault="00B06A11" w:rsidP="00B06A11">
            <w:pPr>
              <w:spacing w:after="0" w:line="240" w:lineRule="auto"/>
              <w:rPr>
                <w:rFonts w:ascii="Calibri" w:eastAsia="Aptos" w:hAnsi="Calibri" w:cs="Calibri"/>
                <w:kern w:val="0"/>
                <w14:ligatures w14:val="none"/>
              </w:rPr>
            </w:pPr>
            <w:r w:rsidRPr="00B06A11">
              <w:rPr>
                <w:rFonts w:ascii="Calibri" w:eastAsia="Aptos" w:hAnsi="Calibri" w:cs="Calibri"/>
                <w:kern w:val="0"/>
                <w14:ligatures w14:val="none"/>
              </w:rPr>
              <w:t>ADULT</w:t>
            </w:r>
          </w:p>
        </w:tc>
        <w:tc>
          <w:tcPr>
            <w:tcW w:w="2215" w:type="dxa"/>
            <w:tcBorders>
              <w:top w:val="nil"/>
              <w:left w:val="nil"/>
              <w:bottom w:val="single" w:sz="8" w:space="0" w:color="auto"/>
              <w:right w:val="single" w:sz="8" w:space="0" w:color="auto"/>
            </w:tcBorders>
            <w:tcMar>
              <w:top w:w="0" w:type="dxa"/>
              <w:left w:w="108" w:type="dxa"/>
              <w:bottom w:w="0" w:type="dxa"/>
              <w:right w:w="108" w:type="dxa"/>
            </w:tcMar>
            <w:hideMark/>
          </w:tcPr>
          <w:p w14:paraId="0568F1FB" w14:textId="77777777" w:rsidR="00B06A11" w:rsidRPr="00B06A11" w:rsidRDefault="00B06A11" w:rsidP="00B06A11">
            <w:pPr>
              <w:spacing w:after="0" w:line="240" w:lineRule="auto"/>
              <w:rPr>
                <w:rFonts w:ascii="Calibri" w:eastAsia="Aptos" w:hAnsi="Calibri" w:cs="Calibri"/>
                <w:kern w:val="0"/>
                <w14:ligatures w14:val="none"/>
              </w:rPr>
            </w:pPr>
            <w:r w:rsidRPr="00B06A11">
              <w:rPr>
                <w:rFonts w:ascii="Calibri" w:eastAsia="Aptos" w:hAnsi="Calibri" w:cs="Calibri"/>
                <w:kern w:val="0"/>
                <w14:ligatures w14:val="none"/>
              </w:rPr>
              <w:t>712</w:t>
            </w:r>
          </w:p>
        </w:tc>
        <w:tc>
          <w:tcPr>
            <w:tcW w:w="2054" w:type="dxa"/>
            <w:tcBorders>
              <w:top w:val="nil"/>
              <w:left w:val="nil"/>
              <w:bottom w:val="single" w:sz="8" w:space="0" w:color="auto"/>
              <w:right w:val="single" w:sz="8" w:space="0" w:color="auto"/>
            </w:tcBorders>
            <w:tcMar>
              <w:top w:w="0" w:type="dxa"/>
              <w:left w:w="108" w:type="dxa"/>
              <w:bottom w:w="0" w:type="dxa"/>
              <w:right w:w="108" w:type="dxa"/>
            </w:tcMar>
            <w:hideMark/>
          </w:tcPr>
          <w:p w14:paraId="2617D92A" w14:textId="77777777" w:rsidR="00B06A11" w:rsidRPr="00B06A11" w:rsidRDefault="00B06A11" w:rsidP="00B06A11">
            <w:pPr>
              <w:spacing w:after="0" w:line="240" w:lineRule="auto"/>
              <w:rPr>
                <w:rFonts w:ascii="Calibri" w:eastAsia="Aptos" w:hAnsi="Calibri" w:cs="Calibri"/>
                <w:kern w:val="0"/>
                <w14:ligatures w14:val="none"/>
              </w:rPr>
            </w:pPr>
            <w:r w:rsidRPr="00B06A11">
              <w:rPr>
                <w:rFonts w:ascii="Calibri" w:eastAsia="Aptos" w:hAnsi="Calibri" w:cs="Calibri"/>
                <w:kern w:val="0"/>
                <w14:ligatures w14:val="none"/>
              </w:rPr>
              <w:t>133</w:t>
            </w:r>
          </w:p>
        </w:tc>
        <w:tc>
          <w:tcPr>
            <w:tcW w:w="1677" w:type="dxa"/>
            <w:tcBorders>
              <w:top w:val="nil"/>
              <w:left w:val="nil"/>
              <w:bottom w:val="single" w:sz="8" w:space="0" w:color="auto"/>
              <w:right w:val="single" w:sz="8" w:space="0" w:color="auto"/>
            </w:tcBorders>
            <w:tcMar>
              <w:top w:w="0" w:type="dxa"/>
              <w:left w:w="108" w:type="dxa"/>
              <w:bottom w:w="0" w:type="dxa"/>
              <w:right w:w="108" w:type="dxa"/>
            </w:tcMar>
            <w:hideMark/>
          </w:tcPr>
          <w:p w14:paraId="7BF2F5D3" w14:textId="77777777" w:rsidR="00B06A11" w:rsidRPr="00B06A11" w:rsidRDefault="00B06A11" w:rsidP="00B06A11">
            <w:pPr>
              <w:spacing w:after="0" w:line="240" w:lineRule="auto"/>
              <w:rPr>
                <w:rFonts w:ascii="Calibri" w:eastAsia="Aptos" w:hAnsi="Calibri" w:cs="Calibri"/>
                <w:kern w:val="0"/>
                <w14:ligatures w14:val="none"/>
              </w:rPr>
            </w:pPr>
            <w:r w:rsidRPr="00B06A11">
              <w:rPr>
                <w:rFonts w:ascii="Calibri" w:eastAsia="Aptos" w:hAnsi="Calibri" w:cs="Calibri"/>
                <w:kern w:val="0"/>
                <w14:ligatures w14:val="none"/>
              </w:rPr>
              <w:t>18.67</w:t>
            </w:r>
          </w:p>
        </w:tc>
      </w:tr>
      <w:tr w:rsidR="00B06A11" w:rsidRPr="00B06A11" w14:paraId="2BC0D341" w14:textId="77777777" w:rsidTr="00B06A11">
        <w:tc>
          <w:tcPr>
            <w:tcW w:w="2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38CBD0" w14:textId="77777777" w:rsidR="00B06A11" w:rsidRPr="00B06A11" w:rsidRDefault="00B06A11" w:rsidP="00B06A11">
            <w:pPr>
              <w:spacing w:after="0" w:line="240" w:lineRule="auto"/>
              <w:rPr>
                <w:rFonts w:ascii="Calibri" w:eastAsia="Aptos" w:hAnsi="Calibri" w:cs="Calibri"/>
                <w:kern w:val="0"/>
                <w14:ligatures w14:val="none"/>
              </w:rPr>
            </w:pPr>
            <w:r w:rsidRPr="00B06A11">
              <w:rPr>
                <w:rFonts w:ascii="Calibri" w:eastAsia="Aptos" w:hAnsi="Calibri" w:cs="Calibri"/>
                <w:kern w:val="0"/>
                <w14:ligatures w14:val="none"/>
              </w:rPr>
              <w:t>DISLOCATED WORKER</w:t>
            </w:r>
          </w:p>
        </w:tc>
        <w:tc>
          <w:tcPr>
            <w:tcW w:w="2215" w:type="dxa"/>
            <w:tcBorders>
              <w:top w:val="nil"/>
              <w:left w:val="nil"/>
              <w:bottom w:val="single" w:sz="8" w:space="0" w:color="auto"/>
              <w:right w:val="single" w:sz="8" w:space="0" w:color="auto"/>
            </w:tcBorders>
            <w:tcMar>
              <w:top w:w="0" w:type="dxa"/>
              <w:left w:w="108" w:type="dxa"/>
              <w:bottom w:w="0" w:type="dxa"/>
              <w:right w:w="108" w:type="dxa"/>
            </w:tcMar>
            <w:hideMark/>
          </w:tcPr>
          <w:p w14:paraId="27EFAA67" w14:textId="77777777" w:rsidR="00B06A11" w:rsidRPr="00B06A11" w:rsidRDefault="00B06A11" w:rsidP="00B06A11">
            <w:pPr>
              <w:spacing w:after="0" w:line="240" w:lineRule="auto"/>
              <w:rPr>
                <w:rFonts w:ascii="Calibri" w:eastAsia="Aptos" w:hAnsi="Calibri" w:cs="Calibri"/>
                <w:kern w:val="0"/>
                <w14:ligatures w14:val="none"/>
              </w:rPr>
            </w:pPr>
            <w:r w:rsidRPr="00B06A11">
              <w:rPr>
                <w:rFonts w:ascii="Calibri" w:eastAsia="Aptos" w:hAnsi="Calibri" w:cs="Calibri"/>
                <w:kern w:val="0"/>
                <w14:ligatures w14:val="none"/>
              </w:rPr>
              <w:t>138</w:t>
            </w:r>
          </w:p>
        </w:tc>
        <w:tc>
          <w:tcPr>
            <w:tcW w:w="2054" w:type="dxa"/>
            <w:tcBorders>
              <w:top w:val="nil"/>
              <w:left w:val="nil"/>
              <w:bottom w:val="single" w:sz="8" w:space="0" w:color="auto"/>
              <w:right w:val="single" w:sz="8" w:space="0" w:color="auto"/>
            </w:tcBorders>
            <w:tcMar>
              <w:top w:w="0" w:type="dxa"/>
              <w:left w:w="108" w:type="dxa"/>
              <w:bottom w:w="0" w:type="dxa"/>
              <w:right w:w="108" w:type="dxa"/>
            </w:tcMar>
            <w:hideMark/>
          </w:tcPr>
          <w:p w14:paraId="306901F8" w14:textId="77777777" w:rsidR="00B06A11" w:rsidRPr="00B06A11" w:rsidRDefault="00B06A11" w:rsidP="00B06A11">
            <w:pPr>
              <w:spacing w:after="0" w:line="240" w:lineRule="auto"/>
              <w:rPr>
                <w:rFonts w:ascii="Calibri" w:eastAsia="Aptos" w:hAnsi="Calibri" w:cs="Calibri"/>
                <w:kern w:val="0"/>
                <w14:ligatures w14:val="none"/>
              </w:rPr>
            </w:pPr>
            <w:r w:rsidRPr="00B06A11">
              <w:rPr>
                <w:rFonts w:ascii="Calibri" w:eastAsia="Aptos" w:hAnsi="Calibri" w:cs="Calibri"/>
                <w:kern w:val="0"/>
                <w14:ligatures w14:val="none"/>
              </w:rPr>
              <w:t>18</w:t>
            </w:r>
          </w:p>
        </w:tc>
        <w:tc>
          <w:tcPr>
            <w:tcW w:w="1677" w:type="dxa"/>
            <w:tcBorders>
              <w:top w:val="nil"/>
              <w:left w:val="nil"/>
              <w:bottom w:val="single" w:sz="8" w:space="0" w:color="auto"/>
              <w:right w:val="single" w:sz="8" w:space="0" w:color="auto"/>
            </w:tcBorders>
            <w:tcMar>
              <w:top w:w="0" w:type="dxa"/>
              <w:left w:w="108" w:type="dxa"/>
              <w:bottom w:w="0" w:type="dxa"/>
              <w:right w:w="108" w:type="dxa"/>
            </w:tcMar>
            <w:hideMark/>
          </w:tcPr>
          <w:p w14:paraId="477D44AF" w14:textId="77777777" w:rsidR="00B06A11" w:rsidRPr="00B06A11" w:rsidRDefault="00B06A11" w:rsidP="00B06A11">
            <w:pPr>
              <w:spacing w:after="0" w:line="240" w:lineRule="auto"/>
              <w:rPr>
                <w:rFonts w:ascii="Calibri" w:eastAsia="Aptos" w:hAnsi="Calibri" w:cs="Calibri"/>
                <w:kern w:val="0"/>
                <w14:ligatures w14:val="none"/>
              </w:rPr>
            </w:pPr>
            <w:r w:rsidRPr="00B06A11">
              <w:rPr>
                <w:rFonts w:ascii="Calibri" w:eastAsia="Aptos" w:hAnsi="Calibri" w:cs="Calibri"/>
                <w:kern w:val="0"/>
                <w14:ligatures w14:val="none"/>
              </w:rPr>
              <w:t>13.04</w:t>
            </w:r>
          </w:p>
        </w:tc>
      </w:tr>
      <w:tr w:rsidR="00B06A11" w:rsidRPr="00B06A11" w14:paraId="14757519" w14:textId="77777777" w:rsidTr="00B06A11">
        <w:tc>
          <w:tcPr>
            <w:tcW w:w="2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752AC0" w14:textId="77777777" w:rsidR="00B06A11" w:rsidRPr="00B06A11" w:rsidRDefault="00B06A11" w:rsidP="00B06A11">
            <w:pPr>
              <w:spacing w:after="0" w:line="240" w:lineRule="auto"/>
              <w:rPr>
                <w:rFonts w:ascii="Calibri" w:eastAsia="Aptos" w:hAnsi="Calibri" w:cs="Calibri"/>
                <w:kern w:val="0"/>
                <w14:ligatures w14:val="none"/>
              </w:rPr>
            </w:pPr>
            <w:r w:rsidRPr="00B06A11">
              <w:rPr>
                <w:rFonts w:ascii="Calibri" w:eastAsia="Aptos" w:hAnsi="Calibri" w:cs="Calibri"/>
                <w:kern w:val="0"/>
                <w14:ligatures w14:val="none"/>
              </w:rPr>
              <w:t>YOUTH</w:t>
            </w:r>
          </w:p>
        </w:tc>
        <w:tc>
          <w:tcPr>
            <w:tcW w:w="2215" w:type="dxa"/>
            <w:tcBorders>
              <w:top w:val="nil"/>
              <w:left w:val="nil"/>
              <w:bottom w:val="single" w:sz="8" w:space="0" w:color="auto"/>
              <w:right w:val="single" w:sz="8" w:space="0" w:color="auto"/>
            </w:tcBorders>
            <w:tcMar>
              <w:top w:w="0" w:type="dxa"/>
              <w:left w:w="108" w:type="dxa"/>
              <w:bottom w:w="0" w:type="dxa"/>
              <w:right w:w="108" w:type="dxa"/>
            </w:tcMar>
            <w:hideMark/>
          </w:tcPr>
          <w:p w14:paraId="6CF5BBD3" w14:textId="77777777" w:rsidR="00B06A11" w:rsidRPr="00B06A11" w:rsidRDefault="00B06A11" w:rsidP="00B06A11">
            <w:pPr>
              <w:spacing w:after="0" w:line="240" w:lineRule="auto"/>
              <w:rPr>
                <w:rFonts w:ascii="Calibri" w:eastAsia="Aptos" w:hAnsi="Calibri" w:cs="Calibri"/>
                <w:kern w:val="0"/>
                <w14:ligatures w14:val="none"/>
              </w:rPr>
            </w:pPr>
            <w:r w:rsidRPr="00B06A11">
              <w:rPr>
                <w:rFonts w:ascii="Calibri" w:eastAsia="Aptos" w:hAnsi="Calibri" w:cs="Calibri"/>
                <w:kern w:val="0"/>
                <w14:ligatures w14:val="none"/>
              </w:rPr>
              <w:t>367</w:t>
            </w:r>
          </w:p>
        </w:tc>
        <w:tc>
          <w:tcPr>
            <w:tcW w:w="2054" w:type="dxa"/>
            <w:tcBorders>
              <w:top w:val="nil"/>
              <w:left w:val="nil"/>
              <w:bottom w:val="single" w:sz="8" w:space="0" w:color="auto"/>
              <w:right w:val="single" w:sz="8" w:space="0" w:color="auto"/>
            </w:tcBorders>
            <w:tcMar>
              <w:top w:w="0" w:type="dxa"/>
              <w:left w:w="108" w:type="dxa"/>
              <w:bottom w:w="0" w:type="dxa"/>
              <w:right w:w="108" w:type="dxa"/>
            </w:tcMar>
            <w:hideMark/>
          </w:tcPr>
          <w:p w14:paraId="2A3370B6" w14:textId="77777777" w:rsidR="00B06A11" w:rsidRPr="00B06A11" w:rsidRDefault="00B06A11" w:rsidP="00B06A11">
            <w:pPr>
              <w:spacing w:after="0" w:line="240" w:lineRule="auto"/>
              <w:rPr>
                <w:rFonts w:ascii="Calibri" w:eastAsia="Aptos" w:hAnsi="Calibri" w:cs="Calibri"/>
                <w:kern w:val="0"/>
                <w14:ligatures w14:val="none"/>
              </w:rPr>
            </w:pPr>
            <w:r w:rsidRPr="00B06A11">
              <w:rPr>
                <w:rFonts w:ascii="Calibri" w:eastAsia="Aptos" w:hAnsi="Calibri" w:cs="Calibri"/>
                <w:kern w:val="0"/>
                <w14:ligatures w14:val="none"/>
              </w:rPr>
              <w:t>211</w:t>
            </w:r>
          </w:p>
        </w:tc>
        <w:tc>
          <w:tcPr>
            <w:tcW w:w="1677" w:type="dxa"/>
            <w:tcBorders>
              <w:top w:val="nil"/>
              <w:left w:val="nil"/>
              <w:bottom w:val="single" w:sz="8" w:space="0" w:color="auto"/>
              <w:right w:val="single" w:sz="8" w:space="0" w:color="auto"/>
            </w:tcBorders>
            <w:tcMar>
              <w:top w:w="0" w:type="dxa"/>
              <w:left w:w="108" w:type="dxa"/>
              <w:bottom w:w="0" w:type="dxa"/>
              <w:right w:w="108" w:type="dxa"/>
            </w:tcMar>
            <w:hideMark/>
          </w:tcPr>
          <w:p w14:paraId="1277AEB1" w14:textId="77777777" w:rsidR="00B06A11" w:rsidRPr="00B06A11" w:rsidRDefault="00B06A11" w:rsidP="00B06A11">
            <w:pPr>
              <w:spacing w:after="0" w:line="240" w:lineRule="auto"/>
              <w:rPr>
                <w:rFonts w:ascii="Calibri" w:eastAsia="Aptos" w:hAnsi="Calibri" w:cs="Calibri"/>
                <w:kern w:val="0"/>
                <w14:ligatures w14:val="none"/>
              </w:rPr>
            </w:pPr>
            <w:r w:rsidRPr="00B06A11">
              <w:rPr>
                <w:rFonts w:ascii="Calibri" w:eastAsia="Aptos" w:hAnsi="Calibri" w:cs="Calibri"/>
                <w:kern w:val="0"/>
                <w14:ligatures w14:val="none"/>
              </w:rPr>
              <w:t>57.49</w:t>
            </w:r>
          </w:p>
        </w:tc>
      </w:tr>
      <w:tr w:rsidR="00B06A11" w:rsidRPr="00B06A11" w14:paraId="20CC0277" w14:textId="77777777" w:rsidTr="00B06A11">
        <w:tc>
          <w:tcPr>
            <w:tcW w:w="2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1A0DC8" w14:textId="77777777" w:rsidR="00B06A11" w:rsidRPr="00B06A11" w:rsidRDefault="00B06A11" w:rsidP="00B06A11">
            <w:pPr>
              <w:spacing w:after="0" w:line="240" w:lineRule="auto"/>
              <w:rPr>
                <w:rFonts w:ascii="Calibri" w:eastAsia="Aptos" w:hAnsi="Calibri" w:cs="Calibri"/>
                <w:kern w:val="0"/>
                <w14:ligatures w14:val="none"/>
              </w:rPr>
            </w:pPr>
            <w:r w:rsidRPr="00B06A11">
              <w:rPr>
                <w:rFonts w:ascii="Calibri" w:eastAsia="Aptos" w:hAnsi="Calibri" w:cs="Calibri"/>
                <w:kern w:val="0"/>
                <w14:ligatures w14:val="none"/>
              </w:rPr>
              <w:t>WAGNER PEYSER</w:t>
            </w:r>
          </w:p>
        </w:tc>
        <w:tc>
          <w:tcPr>
            <w:tcW w:w="2215" w:type="dxa"/>
            <w:tcBorders>
              <w:top w:val="nil"/>
              <w:left w:val="nil"/>
              <w:bottom w:val="single" w:sz="8" w:space="0" w:color="auto"/>
              <w:right w:val="single" w:sz="8" w:space="0" w:color="auto"/>
            </w:tcBorders>
            <w:tcMar>
              <w:top w:w="0" w:type="dxa"/>
              <w:left w:w="108" w:type="dxa"/>
              <w:bottom w:w="0" w:type="dxa"/>
              <w:right w:w="108" w:type="dxa"/>
            </w:tcMar>
            <w:hideMark/>
          </w:tcPr>
          <w:p w14:paraId="778F995B" w14:textId="77777777" w:rsidR="00B06A11" w:rsidRPr="00B06A11" w:rsidRDefault="00B06A11" w:rsidP="00B06A11">
            <w:pPr>
              <w:spacing w:after="0" w:line="240" w:lineRule="auto"/>
              <w:rPr>
                <w:rFonts w:ascii="Calibri" w:eastAsia="Aptos" w:hAnsi="Calibri" w:cs="Calibri"/>
                <w:kern w:val="0"/>
                <w14:ligatures w14:val="none"/>
              </w:rPr>
            </w:pPr>
            <w:r w:rsidRPr="00B06A11">
              <w:rPr>
                <w:rFonts w:ascii="Calibri" w:eastAsia="Aptos" w:hAnsi="Calibri" w:cs="Calibri"/>
                <w:kern w:val="0"/>
                <w14:ligatures w14:val="none"/>
              </w:rPr>
              <w:t>6779</w:t>
            </w:r>
          </w:p>
        </w:tc>
        <w:tc>
          <w:tcPr>
            <w:tcW w:w="2054" w:type="dxa"/>
            <w:tcBorders>
              <w:top w:val="nil"/>
              <w:left w:val="nil"/>
              <w:bottom w:val="single" w:sz="8" w:space="0" w:color="auto"/>
              <w:right w:val="single" w:sz="8" w:space="0" w:color="auto"/>
            </w:tcBorders>
            <w:tcMar>
              <w:top w:w="0" w:type="dxa"/>
              <w:left w:w="108" w:type="dxa"/>
              <w:bottom w:w="0" w:type="dxa"/>
              <w:right w:w="108" w:type="dxa"/>
            </w:tcMar>
            <w:hideMark/>
          </w:tcPr>
          <w:p w14:paraId="5AFB20E2" w14:textId="77777777" w:rsidR="00B06A11" w:rsidRPr="00B06A11" w:rsidRDefault="00B06A11" w:rsidP="00B06A11">
            <w:pPr>
              <w:spacing w:after="0" w:line="240" w:lineRule="auto"/>
              <w:rPr>
                <w:rFonts w:ascii="Calibri" w:eastAsia="Aptos" w:hAnsi="Calibri" w:cs="Calibri"/>
                <w:kern w:val="0"/>
                <w14:ligatures w14:val="none"/>
              </w:rPr>
            </w:pPr>
            <w:r w:rsidRPr="00B06A11">
              <w:rPr>
                <w:rFonts w:ascii="Calibri" w:eastAsia="Aptos" w:hAnsi="Calibri" w:cs="Calibri"/>
                <w:kern w:val="0"/>
                <w14:ligatures w14:val="none"/>
              </w:rPr>
              <w:t>627</w:t>
            </w:r>
          </w:p>
        </w:tc>
        <w:tc>
          <w:tcPr>
            <w:tcW w:w="1677" w:type="dxa"/>
            <w:tcBorders>
              <w:top w:val="nil"/>
              <w:left w:val="nil"/>
              <w:bottom w:val="single" w:sz="8" w:space="0" w:color="auto"/>
              <w:right w:val="single" w:sz="8" w:space="0" w:color="auto"/>
            </w:tcBorders>
            <w:tcMar>
              <w:top w:w="0" w:type="dxa"/>
              <w:left w:w="108" w:type="dxa"/>
              <w:bottom w:w="0" w:type="dxa"/>
              <w:right w:w="108" w:type="dxa"/>
            </w:tcMar>
            <w:hideMark/>
          </w:tcPr>
          <w:p w14:paraId="6F295C6F" w14:textId="77777777" w:rsidR="00B06A11" w:rsidRPr="00B06A11" w:rsidRDefault="00B06A11" w:rsidP="00B06A11">
            <w:pPr>
              <w:spacing w:after="0" w:line="240" w:lineRule="auto"/>
              <w:rPr>
                <w:rFonts w:ascii="Calibri" w:eastAsia="Aptos" w:hAnsi="Calibri" w:cs="Calibri"/>
                <w:kern w:val="0"/>
                <w14:ligatures w14:val="none"/>
              </w:rPr>
            </w:pPr>
            <w:r w:rsidRPr="00B06A11">
              <w:rPr>
                <w:rFonts w:ascii="Calibri" w:eastAsia="Aptos" w:hAnsi="Calibri" w:cs="Calibri"/>
                <w:kern w:val="0"/>
                <w14:ligatures w14:val="none"/>
              </w:rPr>
              <w:t>9.25</w:t>
            </w:r>
          </w:p>
        </w:tc>
      </w:tr>
    </w:tbl>
    <w:p w14:paraId="0C76A488" w14:textId="1A260F76" w:rsidR="008E5545" w:rsidRDefault="00846DBB" w:rsidP="0068538E">
      <w:pPr>
        <w:ind w:left="1080"/>
      </w:pPr>
      <w:r>
        <w:t xml:space="preserve">    (Table </w:t>
      </w:r>
      <w:r w:rsidR="000115DB">
        <w:t>A</w:t>
      </w:r>
      <w:r>
        <w:t xml:space="preserve">: WIOA Core </w:t>
      </w:r>
      <w:r w:rsidR="000F66D7">
        <w:t>programs and percentage of individuals with disabilities served in PY 22)</w:t>
      </w:r>
    </w:p>
    <w:p w14:paraId="6A209B25" w14:textId="77777777" w:rsidR="00D27542" w:rsidRDefault="00D27542" w:rsidP="0068538E">
      <w:pPr>
        <w:jc w:val="center"/>
        <w:rPr>
          <w:b/>
          <w:bCs/>
        </w:rPr>
      </w:pPr>
    </w:p>
    <w:p w14:paraId="3BCF0626" w14:textId="77777777" w:rsidR="00D27542" w:rsidRDefault="00D27542" w:rsidP="0068538E">
      <w:pPr>
        <w:jc w:val="center"/>
        <w:rPr>
          <w:b/>
          <w:bCs/>
        </w:rPr>
      </w:pPr>
    </w:p>
    <w:p w14:paraId="78F0BB70" w14:textId="77777777" w:rsidR="00D27542" w:rsidRDefault="00D27542" w:rsidP="0068538E">
      <w:pPr>
        <w:jc w:val="center"/>
        <w:rPr>
          <w:b/>
          <w:bCs/>
        </w:rPr>
      </w:pPr>
    </w:p>
    <w:p w14:paraId="12FC4C03" w14:textId="77777777" w:rsidR="00D27542" w:rsidRDefault="00D27542" w:rsidP="0068538E">
      <w:pPr>
        <w:jc w:val="center"/>
        <w:rPr>
          <w:b/>
          <w:bCs/>
        </w:rPr>
      </w:pPr>
    </w:p>
    <w:p w14:paraId="4392DCE8" w14:textId="77777777" w:rsidR="00D27542" w:rsidRDefault="00D27542" w:rsidP="0068538E">
      <w:pPr>
        <w:jc w:val="center"/>
        <w:rPr>
          <w:b/>
          <w:bCs/>
        </w:rPr>
      </w:pPr>
    </w:p>
    <w:p w14:paraId="2C670F1B" w14:textId="77777777" w:rsidR="00D27542" w:rsidRDefault="00D27542" w:rsidP="0068538E">
      <w:pPr>
        <w:jc w:val="center"/>
        <w:rPr>
          <w:b/>
          <w:bCs/>
        </w:rPr>
      </w:pPr>
    </w:p>
    <w:p w14:paraId="1547B55C" w14:textId="77777777" w:rsidR="00D27542" w:rsidRDefault="00D27542" w:rsidP="0068538E">
      <w:pPr>
        <w:jc w:val="center"/>
        <w:rPr>
          <w:b/>
          <w:bCs/>
        </w:rPr>
      </w:pPr>
    </w:p>
    <w:p w14:paraId="15AE1500" w14:textId="77777777" w:rsidR="00D27542" w:rsidRDefault="00D27542" w:rsidP="0068538E">
      <w:pPr>
        <w:jc w:val="center"/>
        <w:rPr>
          <w:b/>
          <w:bCs/>
        </w:rPr>
      </w:pPr>
    </w:p>
    <w:p w14:paraId="0B93EEEC" w14:textId="77777777" w:rsidR="00D27542" w:rsidRDefault="00D27542" w:rsidP="0068538E">
      <w:pPr>
        <w:jc w:val="center"/>
        <w:rPr>
          <w:b/>
          <w:bCs/>
        </w:rPr>
      </w:pPr>
    </w:p>
    <w:p w14:paraId="7D463BC9" w14:textId="77777777" w:rsidR="00D27542" w:rsidRDefault="00D27542" w:rsidP="0068538E">
      <w:pPr>
        <w:jc w:val="center"/>
        <w:rPr>
          <w:b/>
          <w:bCs/>
        </w:rPr>
      </w:pPr>
    </w:p>
    <w:p w14:paraId="1C4EE3F9" w14:textId="77777777" w:rsidR="00D27542" w:rsidRDefault="00D27542" w:rsidP="0068538E">
      <w:pPr>
        <w:jc w:val="center"/>
        <w:rPr>
          <w:b/>
          <w:bCs/>
        </w:rPr>
      </w:pPr>
    </w:p>
    <w:p w14:paraId="3E210B50" w14:textId="77777777" w:rsidR="00D27542" w:rsidRDefault="00D27542" w:rsidP="0068538E">
      <w:pPr>
        <w:jc w:val="center"/>
        <w:rPr>
          <w:b/>
          <w:bCs/>
        </w:rPr>
      </w:pPr>
    </w:p>
    <w:p w14:paraId="071D98AB" w14:textId="77777777" w:rsidR="00D27542" w:rsidRDefault="00D27542" w:rsidP="0068538E">
      <w:pPr>
        <w:jc w:val="center"/>
        <w:rPr>
          <w:b/>
          <w:bCs/>
        </w:rPr>
      </w:pPr>
    </w:p>
    <w:p w14:paraId="007FD6A1" w14:textId="77777777" w:rsidR="00D27542" w:rsidRDefault="00D27542" w:rsidP="0068538E">
      <w:pPr>
        <w:jc w:val="center"/>
        <w:rPr>
          <w:b/>
          <w:bCs/>
        </w:rPr>
      </w:pPr>
    </w:p>
    <w:p w14:paraId="5C3EF98D" w14:textId="77777777" w:rsidR="00D27542" w:rsidRDefault="00D27542" w:rsidP="0068538E">
      <w:pPr>
        <w:jc w:val="center"/>
        <w:rPr>
          <w:b/>
          <w:bCs/>
        </w:rPr>
      </w:pPr>
    </w:p>
    <w:p w14:paraId="36E6C558" w14:textId="77777777" w:rsidR="00D27542" w:rsidRDefault="00D27542" w:rsidP="0068538E">
      <w:pPr>
        <w:jc w:val="center"/>
        <w:rPr>
          <w:b/>
          <w:bCs/>
        </w:rPr>
      </w:pPr>
    </w:p>
    <w:p w14:paraId="447C612F" w14:textId="77777777" w:rsidR="00D27542" w:rsidRDefault="00D27542" w:rsidP="0068538E">
      <w:pPr>
        <w:jc w:val="center"/>
        <w:rPr>
          <w:b/>
          <w:bCs/>
        </w:rPr>
      </w:pPr>
    </w:p>
    <w:p w14:paraId="5E951385" w14:textId="77777777" w:rsidR="00D27542" w:rsidRDefault="00D27542" w:rsidP="0068538E">
      <w:pPr>
        <w:jc w:val="center"/>
        <w:rPr>
          <w:b/>
          <w:bCs/>
        </w:rPr>
      </w:pPr>
    </w:p>
    <w:p w14:paraId="57DD283B" w14:textId="77777777" w:rsidR="00D27542" w:rsidRDefault="00D27542" w:rsidP="0068538E">
      <w:pPr>
        <w:jc w:val="center"/>
        <w:rPr>
          <w:b/>
          <w:bCs/>
        </w:rPr>
      </w:pPr>
    </w:p>
    <w:p w14:paraId="5960E498" w14:textId="5A5D396C" w:rsidR="0068538E" w:rsidRDefault="0068538E" w:rsidP="0068538E">
      <w:pPr>
        <w:jc w:val="center"/>
        <w:rPr>
          <w:b/>
          <w:bCs/>
        </w:rPr>
      </w:pPr>
      <w:r>
        <w:rPr>
          <w:b/>
          <w:bCs/>
        </w:rPr>
        <w:t>CSNA DVR – TABLE 1</w:t>
      </w:r>
    </w:p>
    <w:p w14:paraId="752E8E9B" w14:textId="77777777" w:rsidR="0068538E" w:rsidRDefault="0068538E" w:rsidP="0068538E">
      <w:pPr>
        <w:jc w:val="center"/>
        <w:rPr>
          <w:b/>
          <w:bCs/>
        </w:rPr>
      </w:pPr>
      <w:r>
        <w:rPr>
          <w:b/>
          <w:bCs/>
        </w:rPr>
        <w:t>Individual Characteristics for Closed Cases for FFY 2019 and FFY 2023</w:t>
      </w:r>
    </w:p>
    <w:tbl>
      <w:tblPr>
        <w:tblStyle w:val="TableGrid"/>
        <w:tblW w:w="0" w:type="auto"/>
        <w:tblLook w:val="04A0" w:firstRow="1" w:lastRow="0" w:firstColumn="1" w:lastColumn="0" w:noHBand="0" w:noVBand="1"/>
      </w:tblPr>
      <w:tblGrid>
        <w:gridCol w:w="3031"/>
        <w:gridCol w:w="965"/>
        <w:gridCol w:w="1037"/>
        <w:gridCol w:w="1080"/>
        <w:gridCol w:w="1037"/>
        <w:gridCol w:w="1542"/>
        <w:gridCol w:w="1542"/>
      </w:tblGrid>
      <w:tr w:rsidR="0068538E" w:rsidRPr="005A09AB" w14:paraId="485D3446" w14:textId="77777777" w:rsidTr="00084A0B">
        <w:tc>
          <w:tcPr>
            <w:tcW w:w="3031" w:type="dxa"/>
          </w:tcPr>
          <w:p w14:paraId="1621C606" w14:textId="77777777" w:rsidR="0068538E" w:rsidRPr="005A09AB" w:rsidRDefault="0068538E" w:rsidP="00084A0B">
            <w:pPr>
              <w:jc w:val="center"/>
              <w:rPr>
                <w:sz w:val="20"/>
                <w:szCs w:val="20"/>
              </w:rPr>
            </w:pPr>
          </w:p>
        </w:tc>
        <w:tc>
          <w:tcPr>
            <w:tcW w:w="2002" w:type="dxa"/>
            <w:gridSpan w:val="2"/>
          </w:tcPr>
          <w:p w14:paraId="28B69572" w14:textId="77777777" w:rsidR="0068538E" w:rsidRPr="005A09AB" w:rsidRDefault="0068538E" w:rsidP="00084A0B">
            <w:pPr>
              <w:jc w:val="center"/>
              <w:rPr>
                <w:b/>
                <w:bCs/>
                <w:sz w:val="20"/>
                <w:szCs w:val="20"/>
              </w:rPr>
            </w:pPr>
            <w:r w:rsidRPr="005A09AB">
              <w:rPr>
                <w:b/>
                <w:bCs/>
                <w:sz w:val="20"/>
                <w:szCs w:val="20"/>
              </w:rPr>
              <w:t>FFY 2019</w:t>
            </w:r>
          </w:p>
        </w:tc>
        <w:tc>
          <w:tcPr>
            <w:tcW w:w="2117" w:type="dxa"/>
            <w:gridSpan w:val="2"/>
          </w:tcPr>
          <w:p w14:paraId="7F8FF1E7" w14:textId="77777777" w:rsidR="0068538E" w:rsidRPr="005A09AB" w:rsidRDefault="0068538E" w:rsidP="00084A0B">
            <w:pPr>
              <w:jc w:val="center"/>
              <w:rPr>
                <w:b/>
                <w:bCs/>
                <w:sz w:val="20"/>
                <w:szCs w:val="20"/>
              </w:rPr>
            </w:pPr>
            <w:r w:rsidRPr="005A09AB">
              <w:rPr>
                <w:b/>
                <w:bCs/>
                <w:sz w:val="20"/>
                <w:szCs w:val="20"/>
              </w:rPr>
              <w:t>FFY 2023</w:t>
            </w:r>
          </w:p>
        </w:tc>
        <w:tc>
          <w:tcPr>
            <w:tcW w:w="1542" w:type="dxa"/>
          </w:tcPr>
          <w:p w14:paraId="504033A9" w14:textId="77777777" w:rsidR="0068538E" w:rsidRPr="005A09AB" w:rsidRDefault="0068538E" w:rsidP="00084A0B">
            <w:pPr>
              <w:jc w:val="center"/>
              <w:rPr>
                <w:b/>
                <w:bCs/>
                <w:sz w:val="20"/>
                <w:szCs w:val="20"/>
              </w:rPr>
            </w:pPr>
            <w:r w:rsidRPr="005A09AB">
              <w:rPr>
                <w:b/>
                <w:bCs/>
                <w:sz w:val="20"/>
                <w:szCs w:val="20"/>
              </w:rPr>
              <w:t>% Change in # of Closures</w:t>
            </w:r>
          </w:p>
          <w:p w14:paraId="4A0AC744" w14:textId="77777777" w:rsidR="0068538E" w:rsidRPr="005A09AB" w:rsidRDefault="0068538E" w:rsidP="00084A0B">
            <w:pPr>
              <w:jc w:val="center"/>
              <w:rPr>
                <w:b/>
                <w:bCs/>
                <w:sz w:val="20"/>
                <w:szCs w:val="20"/>
              </w:rPr>
            </w:pPr>
            <w:r w:rsidRPr="005A09AB">
              <w:rPr>
                <w:b/>
                <w:bCs/>
                <w:sz w:val="20"/>
                <w:szCs w:val="20"/>
              </w:rPr>
              <w:t>(C-A)/C</w:t>
            </w:r>
          </w:p>
        </w:tc>
        <w:tc>
          <w:tcPr>
            <w:tcW w:w="1542" w:type="dxa"/>
          </w:tcPr>
          <w:p w14:paraId="1A8B529F" w14:textId="77777777" w:rsidR="0068538E" w:rsidRPr="005A09AB" w:rsidRDefault="0068538E" w:rsidP="00084A0B">
            <w:pPr>
              <w:jc w:val="center"/>
              <w:rPr>
                <w:b/>
                <w:bCs/>
                <w:sz w:val="20"/>
                <w:szCs w:val="20"/>
              </w:rPr>
            </w:pPr>
            <w:r w:rsidRPr="005A09AB">
              <w:rPr>
                <w:b/>
                <w:bCs/>
                <w:sz w:val="20"/>
                <w:szCs w:val="20"/>
              </w:rPr>
              <w:t>Change in % of Closures</w:t>
            </w:r>
          </w:p>
          <w:p w14:paraId="6DED6C36" w14:textId="77777777" w:rsidR="0068538E" w:rsidRPr="005A09AB" w:rsidRDefault="0068538E" w:rsidP="00084A0B">
            <w:pPr>
              <w:jc w:val="center"/>
              <w:rPr>
                <w:b/>
                <w:bCs/>
                <w:sz w:val="20"/>
                <w:szCs w:val="20"/>
              </w:rPr>
            </w:pPr>
            <w:r w:rsidRPr="005A09AB">
              <w:rPr>
                <w:b/>
                <w:bCs/>
                <w:sz w:val="20"/>
                <w:szCs w:val="20"/>
              </w:rPr>
              <w:t>(D-B)</w:t>
            </w:r>
          </w:p>
        </w:tc>
      </w:tr>
      <w:tr w:rsidR="0068538E" w:rsidRPr="005A09AB" w14:paraId="28EC0B83" w14:textId="77777777" w:rsidTr="00084A0B">
        <w:tc>
          <w:tcPr>
            <w:tcW w:w="3031" w:type="dxa"/>
          </w:tcPr>
          <w:p w14:paraId="3AAB478F" w14:textId="77777777" w:rsidR="0068538E" w:rsidRPr="005A09AB" w:rsidRDefault="0068538E" w:rsidP="00084A0B">
            <w:pPr>
              <w:jc w:val="center"/>
              <w:rPr>
                <w:sz w:val="20"/>
                <w:szCs w:val="20"/>
              </w:rPr>
            </w:pPr>
          </w:p>
        </w:tc>
        <w:tc>
          <w:tcPr>
            <w:tcW w:w="965" w:type="dxa"/>
          </w:tcPr>
          <w:p w14:paraId="57E50287" w14:textId="77777777" w:rsidR="0068538E" w:rsidRPr="005A09AB" w:rsidRDefault="0068538E" w:rsidP="00084A0B">
            <w:pPr>
              <w:jc w:val="center"/>
              <w:rPr>
                <w:b/>
                <w:bCs/>
                <w:sz w:val="20"/>
                <w:szCs w:val="20"/>
              </w:rPr>
            </w:pPr>
            <w:r w:rsidRPr="005A09AB">
              <w:rPr>
                <w:b/>
                <w:bCs/>
                <w:sz w:val="20"/>
                <w:szCs w:val="20"/>
              </w:rPr>
              <w:t>Number</w:t>
            </w:r>
          </w:p>
          <w:p w14:paraId="079EDD1F" w14:textId="77777777" w:rsidR="0068538E" w:rsidRPr="005A09AB" w:rsidRDefault="0068538E" w:rsidP="00084A0B">
            <w:pPr>
              <w:jc w:val="center"/>
              <w:rPr>
                <w:sz w:val="20"/>
                <w:szCs w:val="20"/>
              </w:rPr>
            </w:pPr>
            <w:r w:rsidRPr="005A09AB">
              <w:rPr>
                <w:b/>
                <w:bCs/>
                <w:sz w:val="20"/>
                <w:szCs w:val="20"/>
              </w:rPr>
              <w:t>(A)</w:t>
            </w:r>
          </w:p>
        </w:tc>
        <w:tc>
          <w:tcPr>
            <w:tcW w:w="1037" w:type="dxa"/>
          </w:tcPr>
          <w:p w14:paraId="7495AD33" w14:textId="77777777" w:rsidR="0068538E" w:rsidRPr="005A09AB" w:rsidRDefault="0068538E" w:rsidP="00084A0B">
            <w:pPr>
              <w:jc w:val="center"/>
              <w:rPr>
                <w:b/>
                <w:bCs/>
                <w:sz w:val="20"/>
                <w:szCs w:val="20"/>
              </w:rPr>
            </w:pPr>
            <w:r w:rsidRPr="005A09AB">
              <w:rPr>
                <w:b/>
                <w:bCs/>
                <w:sz w:val="20"/>
                <w:szCs w:val="20"/>
              </w:rPr>
              <w:t>Percent</w:t>
            </w:r>
          </w:p>
          <w:p w14:paraId="2D226D8C" w14:textId="77777777" w:rsidR="0068538E" w:rsidRPr="005A09AB" w:rsidRDefault="0068538E" w:rsidP="00084A0B">
            <w:pPr>
              <w:jc w:val="center"/>
              <w:rPr>
                <w:b/>
                <w:bCs/>
                <w:sz w:val="20"/>
                <w:szCs w:val="20"/>
              </w:rPr>
            </w:pPr>
            <w:r w:rsidRPr="005A09AB">
              <w:rPr>
                <w:b/>
                <w:bCs/>
                <w:sz w:val="20"/>
                <w:szCs w:val="20"/>
              </w:rPr>
              <w:t>(B)</w:t>
            </w:r>
          </w:p>
        </w:tc>
        <w:tc>
          <w:tcPr>
            <w:tcW w:w="1080" w:type="dxa"/>
          </w:tcPr>
          <w:p w14:paraId="1CD15C9E" w14:textId="77777777" w:rsidR="0068538E" w:rsidRPr="005A09AB" w:rsidRDefault="0068538E" w:rsidP="00084A0B">
            <w:pPr>
              <w:jc w:val="center"/>
              <w:rPr>
                <w:b/>
                <w:bCs/>
                <w:sz w:val="20"/>
                <w:szCs w:val="20"/>
              </w:rPr>
            </w:pPr>
            <w:r w:rsidRPr="005A09AB">
              <w:rPr>
                <w:b/>
                <w:bCs/>
                <w:sz w:val="20"/>
                <w:szCs w:val="20"/>
              </w:rPr>
              <w:t>Number</w:t>
            </w:r>
          </w:p>
          <w:p w14:paraId="26DADB30" w14:textId="77777777" w:rsidR="0068538E" w:rsidRPr="005A09AB" w:rsidRDefault="0068538E" w:rsidP="00084A0B">
            <w:pPr>
              <w:jc w:val="center"/>
              <w:rPr>
                <w:b/>
                <w:bCs/>
                <w:sz w:val="20"/>
                <w:szCs w:val="20"/>
              </w:rPr>
            </w:pPr>
            <w:r w:rsidRPr="005A09AB">
              <w:rPr>
                <w:b/>
                <w:bCs/>
                <w:sz w:val="20"/>
                <w:szCs w:val="20"/>
              </w:rPr>
              <w:t>(C)</w:t>
            </w:r>
          </w:p>
        </w:tc>
        <w:tc>
          <w:tcPr>
            <w:tcW w:w="1037" w:type="dxa"/>
          </w:tcPr>
          <w:p w14:paraId="35178659" w14:textId="77777777" w:rsidR="0068538E" w:rsidRPr="005A09AB" w:rsidRDefault="0068538E" w:rsidP="00084A0B">
            <w:pPr>
              <w:jc w:val="center"/>
              <w:rPr>
                <w:b/>
                <w:bCs/>
                <w:sz w:val="20"/>
                <w:szCs w:val="20"/>
              </w:rPr>
            </w:pPr>
            <w:r w:rsidRPr="005A09AB">
              <w:rPr>
                <w:b/>
                <w:bCs/>
                <w:sz w:val="20"/>
                <w:szCs w:val="20"/>
              </w:rPr>
              <w:t>Percent</w:t>
            </w:r>
          </w:p>
          <w:p w14:paraId="6289C9DD" w14:textId="77777777" w:rsidR="0068538E" w:rsidRPr="005A09AB" w:rsidRDefault="0068538E" w:rsidP="00084A0B">
            <w:pPr>
              <w:jc w:val="center"/>
              <w:rPr>
                <w:b/>
                <w:bCs/>
                <w:sz w:val="20"/>
                <w:szCs w:val="20"/>
              </w:rPr>
            </w:pPr>
            <w:r w:rsidRPr="005A09AB">
              <w:rPr>
                <w:b/>
                <w:bCs/>
                <w:sz w:val="20"/>
                <w:szCs w:val="20"/>
              </w:rPr>
              <w:t>(D)</w:t>
            </w:r>
          </w:p>
        </w:tc>
        <w:tc>
          <w:tcPr>
            <w:tcW w:w="1542" w:type="dxa"/>
          </w:tcPr>
          <w:p w14:paraId="5B1212B4" w14:textId="77777777" w:rsidR="0068538E" w:rsidRPr="004B2470" w:rsidRDefault="0068538E" w:rsidP="00084A0B">
            <w:pPr>
              <w:jc w:val="center"/>
              <w:rPr>
                <w:b/>
                <w:bCs/>
                <w:sz w:val="20"/>
                <w:szCs w:val="20"/>
              </w:rPr>
            </w:pPr>
          </w:p>
        </w:tc>
        <w:tc>
          <w:tcPr>
            <w:tcW w:w="1542" w:type="dxa"/>
          </w:tcPr>
          <w:p w14:paraId="5F64610D" w14:textId="77777777" w:rsidR="0068538E" w:rsidRPr="004B2470" w:rsidRDefault="0068538E" w:rsidP="00084A0B">
            <w:pPr>
              <w:jc w:val="center"/>
              <w:rPr>
                <w:b/>
                <w:bCs/>
                <w:sz w:val="20"/>
                <w:szCs w:val="20"/>
              </w:rPr>
            </w:pPr>
          </w:p>
        </w:tc>
      </w:tr>
      <w:tr w:rsidR="0068538E" w:rsidRPr="005A09AB" w14:paraId="4060E172" w14:textId="77777777" w:rsidTr="00084A0B">
        <w:tc>
          <w:tcPr>
            <w:tcW w:w="3031" w:type="dxa"/>
          </w:tcPr>
          <w:p w14:paraId="028267A0" w14:textId="77777777" w:rsidR="0068538E" w:rsidRPr="005A09AB" w:rsidRDefault="0068538E" w:rsidP="00084A0B">
            <w:pPr>
              <w:rPr>
                <w:b/>
                <w:bCs/>
                <w:sz w:val="20"/>
                <w:szCs w:val="20"/>
              </w:rPr>
            </w:pPr>
            <w:r w:rsidRPr="005A09AB">
              <w:rPr>
                <w:b/>
                <w:bCs/>
                <w:sz w:val="20"/>
                <w:szCs w:val="20"/>
              </w:rPr>
              <w:t>All Closures</w:t>
            </w:r>
          </w:p>
        </w:tc>
        <w:tc>
          <w:tcPr>
            <w:tcW w:w="965" w:type="dxa"/>
          </w:tcPr>
          <w:p w14:paraId="5FCE2018" w14:textId="77777777" w:rsidR="0068538E" w:rsidRPr="0076251D" w:rsidRDefault="0068538E" w:rsidP="00084A0B">
            <w:pPr>
              <w:jc w:val="center"/>
              <w:rPr>
                <w:b/>
                <w:bCs/>
                <w:sz w:val="20"/>
                <w:szCs w:val="20"/>
              </w:rPr>
            </w:pPr>
            <w:r w:rsidRPr="0076251D">
              <w:rPr>
                <w:b/>
                <w:bCs/>
                <w:sz w:val="20"/>
                <w:szCs w:val="20"/>
              </w:rPr>
              <w:t>3,396</w:t>
            </w:r>
          </w:p>
        </w:tc>
        <w:tc>
          <w:tcPr>
            <w:tcW w:w="1037" w:type="dxa"/>
          </w:tcPr>
          <w:p w14:paraId="01B210B1" w14:textId="77777777" w:rsidR="0068538E" w:rsidRPr="0076251D" w:rsidRDefault="0068538E" w:rsidP="00084A0B">
            <w:pPr>
              <w:jc w:val="center"/>
              <w:rPr>
                <w:b/>
                <w:bCs/>
                <w:sz w:val="20"/>
                <w:szCs w:val="20"/>
              </w:rPr>
            </w:pPr>
            <w:r w:rsidRPr="0076251D">
              <w:rPr>
                <w:b/>
                <w:bCs/>
                <w:sz w:val="20"/>
                <w:szCs w:val="20"/>
              </w:rPr>
              <w:t>100.0</w:t>
            </w:r>
          </w:p>
        </w:tc>
        <w:tc>
          <w:tcPr>
            <w:tcW w:w="1080" w:type="dxa"/>
          </w:tcPr>
          <w:p w14:paraId="273703DC" w14:textId="77777777" w:rsidR="0068538E" w:rsidRPr="0076251D" w:rsidRDefault="0068538E" w:rsidP="00084A0B">
            <w:pPr>
              <w:jc w:val="center"/>
              <w:rPr>
                <w:b/>
                <w:bCs/>
                <w:sz w:val="20"/>
                <w:szCs w:val="20"/>
              </w:rPr>
            </w:pPr>
            <w:r>
              <w:rPr>
                <w:b/>
                <w:bCs/>
                <w:sz w:val="20"/>
                <w:szCs w:val="20"/>
              </w:rPr>
              <w:t>2,891</w:t>
            </w:r>
          </w:p>
        </w:tc>
        <w:tc>
          <w:tcPr>
            <w:tcW w:w="1037" w:type="dxa"/>
          </w:tcPr>
          <w:p w14:paraId="049BD330" w14:textId="77777777" w:rsidR="0068538E" w:rsidRPr="0076251D" w:rsidRDefault="0068538E" w:rsidP="00084A0B">
            <w:pPr>
              <w:jc w:val="center"/>
              <w:rPr>
                <w:b/>
                <w:bCs/>
                <w:sz w:val="20"/>
                <w:szCs w:val="20"/>
              </w:rPr>
            </w:pPr>
            <w:r>
              <w:rPr>
                <w:b/>
                <w:bCs/>
                <w:sz w:val="20"/>
                <w:szCs w:val="20"/>
              </w:rPr>
              <w:t>100</w:t>
            </w:r>
          </w:p>
        </w:tc>
        <w:tc>
          <w:tcPr>
            <w:tcW w:w="1542" w:type="dxa"/>
          </w:tcPr>
          <w:p w14:paraId="69018EC2" w14:textId="77777777" w:rsidR="0068538E" w:rsidRPr="004B2470" w:rsidRDefault="0068538E" w:rsidP="00084A0B">
            <w:pPr>
              <w:jc w:val="center"/>
              <w:rPr>
                <w:b/>
                <w:bCs/>
                <w:sz w:val="20"/>
                <w:szCs w:val="20"/>
              </w:rPr>
            </w:pPr>
          </w:p>
        </w:tc>
        <w:tc>
          <w:tcPr>
            <w:tcW w:w="1542" w:type="dxa"/>
          </w:tcPr>
          <w:p w14:paraId="7BCE9CC3" w14:textId="77777777" w:rsidR="0068538E" w:rsidRPr="004B2470" w:rsidRDefault="0068538E" w:rsidP="00084A0B">
            <w:pPr>
              <w:jc w:val="center"/>
              <w:rPr>
                <w:b/>
                <w:bCs/>
                <w:sz w:val="20"/>
                <w:szCs w:val="20"/>
              </w:rPr>
            </w:pPr>
          </w:p>
        </w:tc>
      </w:tr>
      <w:tr w:rsidR="0068538E" w:rsidRPr="005A09AB" w14:paraId="5BB3AEF8" w14:textId="77777777" w:rsidTr="00084A0B">
        <w:tc>
          <w:tcPr>
            <w:tcW w:w="3031" w:type="dxa"/>
          </w:tcPr>
          <w:p w14:paraId="5FB5AEF3" w14:textId="77777777" w:rsidR="0068538E" w:rsidRPr="0076251D" w:rsidRDefault="0068538E" w:rsidP="00084A0B">
            <w:pPr>
              <w:rPr>
                <w:i/>
                <w:iCs/>
                <w:sz w:val="20"/>
                <w:szCs w:val="20"/>
              </w:rPr>
            </w:pPr>
            <w:r w:rsidRPr="0076251D">
              <w:rPr>
                <w:i/>
                <w:iCs/>
                <w:sz w:val="20"/>
                <w:szCs w:val="20"/>
              </w:rPr>
              <w:t>Primary Disability</w:t>
            </w:r>
          </w:p>
        </w:tc>
        <w:tc>
          <w:tcPr>
            <w:tcW w:w="965" w:type="dxa"/>
          </w:tcPr>
          <w:p w14:paraId="580586A1" w14:textId="77777777" w:rsidR="0068538E" w:rsidRPr="005A09AB" w:rsidRDefault="0068538E" w:rsidP="00084A0B">
            <w:pPr>
              <w:jc w:val="center"/>
              <w:rPr>
                <w:sz w:val="20"/>
                <w:szCs w:val="20"/>
              </w:rPr>
            </w:pPr>
          </w:p>
        </w:tc>
        <w:tc>
          <w:tcPr>
            <w:tcW w:w="1037" w:type="dxa"/>
          </w:tcPr>
          <w:p w14:paraId="670AACF9" w14:textId="77777777" w:rsidR="0068538E" w:rsidRPr="005A09AB" w:rsidRDefault="0068538E" w:rsidP="00084A0B">
            <w:pPr>
              <w:jc w:val="center"/>
              <w:rPr>
                <w:sz w:val="20"/>
                <w:szCs w:val="20"/>
              </w:rPr>
            </w:pPr>
          </w:p>
        </w:tc>
        <w:tc>
          <w:tcPr>
            <w:tcW w:w="1080" w:type="dxa"/>
          </w:tcPr>
          <w:p w14:paraId="1F9AA82C" w14:textId="77777777" w:rsidR="0068538E" w:rsidRPr="005A09AB" w:rsidRDefault="0068538E" w:rsidP="00084A0B">
            <w:pPr>
              <w:jc w:val="center"/>
              <w:rPr>
                <w:sz w:val="20"/>
                <w:szCs w:val="20"/>
              </w:rPr>
            </w:pPr>
          </w:p>
        </w:tc>
        <w:tc>
          <w:tcPr>
            <w:tcW w:w="1037" w:type="dxa"/>
          </w:tcPr>
          <w:p w14:paraId="0B32600D" w14:textId="77777777" w:rsidR="0068538E" w:rsidRPr="005A09AB" w:rsidRDefault="0068538E" w:rsidP="00084A0B">
            <w:pPr>
              <w:jc w:val="center"/>
              <w:rPr>
                <w:sz w:val="20"/>
                <w:szCs w:val="20"/>
              </w:rPr>
            </w:pPr>
          </w:p>
        </w:tc>
        <w:tc>
          <w:tcPr>
            <w:tcW w:w="1542" w:type="dxa"/>
          </w:tcPr>
          <w:p w14:paraId="269B91D0" w14:textId="77777777" w:rsidR="0068538E" w:rsidRPr="004B2470" w:rsidRDefault="0068538E" w:rsidP="00084A0B">
            <w:pPr>
              <w:jc w:val="center"/>
              <w:rPr>
                <w:b/>
                <w:bCs/>
                <w:sz w:val="20"/>
                <w:szCs w:val="20"/>
              </w:rPr>
            </w:pPr>
          </w:p>
        </w:tc>
        <w:tc>
          <w:tcPr>
            <w:tcW w:w="1542" w:type="dxa"/>
          </w:tcPr>
          <w:p w14:paraId="3935B028" w14:textId="77777777" w:rsidR="0068538E" w:rsidRPr="004B2470" w:rsidRDefault="0068538E" w:rsidP="00084A0B">
            <w:pPr>
              <w:jc w:val="center"/>
              <w:rPr>
                <w:b/>
                <w:bCs/>
                <w:sz w:val="20"/>
                <w:szCs w:val="20"/>
              </w:rPr>
            </w:pPr>
          </w:p>
        </w:tc>
      </w:tr>
      <w:tr w:rsidR="0068538E" w:rsidRPr="005A09AB" w14:paraId="322EA2B5" w14:textId="77777777" w:rsidTr="00084A0B">
        <w:tc>
          <w:tcPr>
            <w:tcW w:w="3031" w:type="dxa"/>
          </w:tcPr>
          <w:p w14:paraId="174C4207" w14:textId="77777777" w:rsidR="0068538E" w:rsidRPr="0076251D" w:rsidRDefault="0068538E" w:rsidP="00084A0B">
            <w:pPr>
              <w:jc w:val="right"/>
              <w:rPr>
                <w:sz w:val="20"/>
                <w:szCs w:val="20"/>
              </w:rPr>
            </w:pPr>
            <w:r w:rsidRPr="0076251D">
              <w:rPr>
                <w:sz w:val="20"/>
                <w:szCs w:val="20"/>
              </w:rPr>
              <w:t>No Impairment</w:t>
            </w:r>
          </w:p>
        </w:tc>
        <w:tc>
          <w:tcPr>
            <w:tcW w:w="965" w:type="dxa"/>
          </w:tcPr>
          <w:p w14:paraId="638DC987" w14:textId="77777777" w:rsidR="0068538E" w:rsidRPr="005A09AB" w:rsidRDefault="0068538E" w:rsidP="00084A0B">
            <w:pPr>
              <w:jc w:val="center"/>
              <w:rPr>
                <w:sz w:val="20"/>
                <w:szCs w:val="20"/>
              </w:rPr>
            </w:pPr>
            <w:r>
              <w:rPr>
                <w:sz w:val="20"/>
                <w:szCs w:val="20"/>
              </w:rPr>
              <w:t>494</w:t>
            </w:r>
          </w:p>
        </w:tc>
        <w:tc>
          <w:tcPr>
            <w:tcW w:w="1037" w:type="dxa"/>
          </w:tcPr>
          <w:p w14:paraId="517928B8" w14:textId="77777777" w:rsidR="0068538E" w:rsidRPr="005A09AB" w:rsidRDefault="0068538E" w:rsidP="00084A0B">
            <w:pPr>
              <w:jc w:val="center"/>
              <w:rPr>
                <w:sz w:val="20"/>
                <w:szCs w:val="20"/>
              </w:rPr>
            </w:pPr>
            <w:r>
              <w:rPr>
                <w:sz w:val="20"/>
                <w:szCs w:val="20"/>
              </w:rPr>
              <w:t>14.5</w:t>
            </w:r>
          </w:p>
        </w:tc>
        <w:tc>
          <w:tcPr>
            <w:tcW w:w="1080" w:type="dxa"/>
          </w:tcPr>
          <w:p w14:paraId="301BEB2B" w14:textId="77777777" w:rsidR="0068538E" w:rsidRPr="005A09AB" w:rsidRDefault="0068538E" w:rsidP="00084A0B">
            <w:pPr>
              <w:jc w:val="center"/>
              <w:rPr>
                <w:sz w:val="20"/>
                <w:szCs w:val="20"/>
              </w:rPr>
            </w:pPr>
            <w:r>
              <w:rPr>
                <w:sz w:val="20"/>
                <w:szCs w:val="20"/>
              </w:rPr>
              <w:t>509</w:t>
            </w:r>
          </w:p>
        </w:tc>
        <w:tc>
          <w:tcPr>
            <w:tcW w:w="1037" w:type="dxa"/>
          </w:tcPr>
          <w:p w14:paraId="3A199FAC" w14:textId="77777777" w:rsidR="0068538E" w:rsidRPr="005A09AB" w:rsidRDefault="0068538E" w:rsidP="00084A0B">
            <w:pPr>
              <w:jc w:val="center"/>
              <w:rPr>
                <w:sz w:val="20"/>
                <w:szCs w:val="20"/>
              </w:rPr>
            </w:pPr>
            <w:r>
              <w:rPr>
                <w:sz w:val="20"/>
                <w:szCs w:val="20"/>
              </w:rPr>
              <w:t>17.6</w:t>
            </w:r>
          </w:p>
        </w:tc>
        <w:tc>
          <w:tcPr>
            <w:tcW w:w="1542" w:type="dxa"/>
          </w:tcPr>
          <w:p w14:paraId="040F552A" w14:textId="77777777" w:rsidR="0068538E" w:rsidRPr="004B2470" w:rsidRDefault="0068538E" w:rsidP="00084A0B">
            <w:pPr>
              <w:jc w:val="center"/>
              <w:rPr>
                <w:b/>
                <w:bCs/>
                <w:sz w:val="20"/>
                <w:szCs w:val="20"/>
              </w:rPr>
            </w:pPr>
            <w:r>
              <w:rPr>
                <w:b/>
                <w:bCs/>
                <w:sz w:val="20"/>
                <w:szCs w:val="20"/>
              </w:rPr>
              <w:t>2.9</w:t>
            </w:r>
          </w:p>
        </w:tc>
        <w:tc>
          <w:tcPr>
            <w:tcW w:w="1542" w:type="dxa"/>
          </w:tcPr>
          <w:p w14:paraId="5B42F144" w14:textId="77777777" w:rsidR="0068538E" w:rsidRPr="004B2470" w:rsidRDefault="0068538E" w:rsidP="00084A0B">
            <w:pPr>
              <w:jc w:val="center"/>
              <w:rPr>
                <w:b/>
                <w:bCs/>
                <w:sz w:val="20"/>
                <w:szCs w:val="20"/>
              </w:rPr>
            </w:pPr>
            <w:r>
              <w:rPr>
                <w:b/>
                <w:bCs/>
                <w:sz w:val="20"/>
                <w:szCs w:val="20"/>
              </w:rPr>
              <w:t>2.2</w:t>
            </w:r>
          </w:p>
        </w:tc>
      </w:tr>
      <w:tr w:rsidR="0068538E" w:rsidRPr="005A09AB" w14:paraId="6DE3647A" w14:textId="77777777" w:rsidTr="00084A0B">
        <w:tc>
          <w:tcPr>
            <w:tcW w:w="3031" w:type="dxa"/>
          </w:tcPr>
          <w:p w14:paraId="4224CDE6" w14:textId="77777777" w:rsidR="0068538E" w:rsidRPr="0076251D" w:rsidRDefault="0068538E" w:rsidP="00084A0B">
            <w:pPr>
              <w:jc w:val="right"/>
              <w:rPr>
                <w:sz w:val="20"/>
                <w:szCs w:val="20"/>
              </w:rPr>
            </w:pPr>
            <w:r w:rsidRPr="0076251D">
              <w:rPr>
                <w:sz w:val="20"/>
                <w:szCs w:val="20"/>
              </w:rPr>
              <w:t>Sensory*</w:t>
            </w:r>
          </w:p>
        </w:tc>
        <w:tc>
          <w:tcPr>
            <w:tcW w:w="965" w:type="dxa"/>
          </w:tcPr>
          <w:p w14:paraId="18FBC9B9" w14:textId="77777777" w:rsidR="0068538E" w:rsidRPr="005A09AB" w:rsidRDefault="0068538E" w:rsidP="00084A0B">
            <w:pPr>
              <w:jc w:val="center"/>
              <w:rPr>
                <w:sz w:val="20"/>
                <w:szCs w:val="20"/>
              </w:rPr>
            </w:pPr>
            <w:r>
              <w:rPr>
                <w:sz w:val="20"/>
                <w:szCs w:val="20"/>
              </w:rPr>
              <w:t>666</w:t>
            </w:r>
          </w:p>
        </w:tc>
        <w:tc>
          <w:tcPr>
            <w:tcW w:w="1037" w:type="dxa"/>
          </w:tcPr>
          <w:p w14:paraId="0E767788" w14:textId="77777777" w:rsidR="0068538E" w:rsidRPr="005A09AB" w:rsidRDefault="0068538E" w:rsidP="00084A0B">
            <w:pPr>
              <w:jc w:val="center"/>
              <w:rPr>
                <w:sz w:val="20"/>
                <w:szCs w:val="20"/>
              </w:rPr>
            </w:pPr>
            <w:r>
              <w:rPr>
                <w:sz w:val="20"/>
                <w:szCs w:val="20"/>
              </w:rPr>
              <w:t>13.7</w:t>
            </w:r>
          </w:p>
        </w:tc>
        <w:tc>
          <w:tcPr>
            <w:tcW w:w="1080" w:type="dxa"/>
          </w:tcPr>
          <w:p w14:paraId="71D44E28" w14:textId="77777777" w:rsidR="0068538E" w:rsidRPr="005A09AB" w:rsidRDefault="0068538E" w:rsidP="00084A0B">
            <w:pPr>
              <w:jc w:val="center"/>
              <w:rPr>
                <w:sz w:val="20"/>
                <w:szCs w:val="20"/>
              </w:rPr>
            </w:pPr>
            <w:r>
              <w:rPr>
                <w:sz w:val="20"/>
                <w:szCs w:val="20"/>
              </w:rPr>
              <w:t>225</w:t>
            </w:r>
          </w:p>
        </w:tc>
        <w:tc>
          <w:tcPr>
            <w:tcW w:w="1037" w:type="dxa"/>
          </w:tcPr>
          <w:p w14:paraId="78C745BF" w14:textId="77777777" w:rsidR="0068538E" w:rsidRPr="005A09AB" w:rsidRDefault="0068538E" w:rsidP="00084A0B">
            <w:pPr>
              <w:jc w:val="center"/>
              <w:rPr>
                <w:sz w:val="20"/>
                <w:szCs w:val="20"/>
              </w:rPr>
            </w:pPr>
            <w:r>
              <w:rPr>
                <w:sz w:val="20"/>
                <w:szCs w:val="20"/>
              </w:rPr>
              <w:t>11.6</w:t>
            </w:r>
          </w:p>
        </w:tc>
        <w:tc>
          <w:tcPr>
            <w:tcW w:w="1542" w:type="dxa"/>
          </w:tcPr>
          <w:p w14:paraId="0FCB9BE9" w14:textId="77777777" w:rsidR="0068538E" w:rsidRPr="004B2470" w:rsidRDefault="0068538E" w:rsidP="00084A0B">
            <w:pPr>
              <w:jc w:val="center"/>
              <w:rPr>
                <w:b/>
                <w:bCs/>
                <w:sz w:val="20"/>
                <w:szCs w:val="20"/>
              </w:rPr>
            </w:pPr>
            <w:r>
              <w:rPr>
                <w:b/>
                <w:bCs/>
                <w:sz w:val="20"/>
                <w:szCs w:val="20"/>
              </w:rPr>
              <w:t>-196.0</w:t>
            </w:r>
          </w:p>
        </w:tc>
        <w:tc>
          <w:tcPr>
            <w:tcW w:w="1542" w:type="dxa"/>
          </w:tcPr>
          <w:p w14:paraId="1129064D" w14:textId="77777777" w:rsidR="0068538E" w:rsidRPr="004B2470" w:rsidRDefault="0068538E" w:rsidP="00084A0B">
            <w:pPr>
              <w:jc w:val="center"/>
              <w:rPr>
                <w:b/>
                <w:bCs/>
                <w:sz w:val="20"/>
                <w:szCs w:val="20"/>
              </w:rPr>
            </w:pPr>
            <w:r>
              <w:rPr>
                <w:b/>
                <w:bCs/>
                <w:sz w:val="20"/>
                <w:szCs w:val="20"/>
              </w:rPr>
              <w:t>-2.1</w:t>
            </w:r>
          </w:p>
        </w:tc>
      </w:tr>
      <w:tr w:rsidR="0068538E" w:rsidRPr="005A09AB" w14:paraId="560AA4B4" w14:textId="77777777" w:rsidTr="00084A0B">
        <w:tc>
          <w:tcPr>
            <w:tcW w:w="3031" w:type="dxa"/>
          </w:tcPr>
          <w:p w14:paraId="4792987A" w14:textId="77777777" w:rsidR="0068538E" w:rsidRPr="0076251D" w:rsidRDefault="0068538E" w:rsidP="00084A0B">
            <w:pPr>
              <w:jc w:val="right"/>
              <w:rPr>
                <w:sz w:val="20"/>
                <w:szCs w:val="20"/>
              </w:rPr>
            </w:pPr>
            <w:r w:rsidRPr="0076251D">
              <w:rPr>
                <w:sz w:val="20"/>
                <w:szCs w:val="20"/>
              </w:rPr>
              <w:t>Physical</w:t>
            </w:r>
          </w:p>
        </w:tc>
        <w:tc>
          <w:tcPr>
            <w:tcW w:w="965" w:type="dxa"/>
          </w:tcPr>
          <w:p w14:paraId="5DF05969" w14:textId="77777777" w:rsidR="0068538E" w:rsidRPr="005A09AB" w:rsidRDefault="0068538E" w:rsidP="00084A0B">
            <w:pPr>
              <w:jc w:val="center"/>
              <w:rPr>
                <w:sz w:val="20"/>
                <w:szCs w:val="20"/>
              </w:rPr>
            </w:pPr>
            <w:r>
              <w:rPr>
                <w:sz w:val="20"/>
                <w:szCs w:val="20"/>
              </w:rPr>
              <w:t>437</w:t>
            </w:r>
          </w:p>
        </w:tc>
        <w:tc>
          <w:tcPr>
            <w:tcW w:w="1037" w:type="dxa"/>
          </w:tcPr>
          <w:p w14:paraId="68A2E9DC" w14:textId="77777777" w:rsidR="0068538E" w:rsidRPr="005A09AB" w:rsidRDefault="0068538E" w:rsidP="00084A0B">
            <w:pPr>
              <w:jc w:val="center"/>
              <w:rPr>
                <w:sz w:val="20"/>
                <w:szCs w:val="20"/>
              </w:rPr>
            </w:pPr>
            <w:r>
              <w:rPr>
                <w:sz w:val="20"/>
                <w:szCs w:val="20"/>
              </w:rPr>
              <w:t>12.9</w:t>
            </w:r>
          </w:p>
        </w:tc>
        <w:tc>
          <w:tcPr>
            <w:tcW w:w="1080" w:type="dxa"/>
          </w:tcPr>
          <w:p w14:paraId="4CF27928" w14:textId="77777777" w:rsidR="0068538E" w:rsidRPr="005A09AB" w:rsidRDefault="0068538E" w:rsidP="00084A0B">
            <w:pPr>
              <w:jc w:val="center"/>
              <w:rPr>
                <w:sz w:val="20"/>
                <w:szCs w:val="20"/>
              </w:rPr>
            </w:pPr>
            <w:r>
              <w:rPr>
                <w:sz w:val="20"/>
                <w:szCs w:val="20"/>
              </w:rPr>
              <w:t>309</w:t>
            </w:r>
          </w:p>
        </w:tc>
        <w:tc>
          <w:tcPr>
            <w:tcW w:w="1037" w:type="dxa"/>
          </w:tcPr>
          <w:p w14:paraId="0D1EE460" w14:textId="77777777" w:rsidR="0068538E" w:rsidRPr="005A09AB" w:rsidRDefault="0068538E" w:rsidP="00084A0B">
            <w:pPr>
              <w:jc w:val="center"/>
              <w:rPr>
                <w:sz w:val="20"/>
                <w:szCs w:val="20"/>
              </w:rPr>
            </w:pPr>
            <w:r>
              <w:rPr>
                <w:sz w:val="20"/>
                <w:szCs w:val="20"/>
              </w:rPr>
              <w:t>10.7</w:t>
            </w:r>
          </w:p>
        </w:tc>
        <w:tc>
          <w:tcPr>
            <w:tcW w:w="1542" w:type="dxa"/>
          </w:tcPr>
          <w:p w14:paraId="752BFF7A" w14:textId="77777777" w:rsidR="0068538E" w:rsidRPr="004B2470" w:rsidRDefault="0068538E" w:rsidP="00084A0B">
            <w:pPr>
              <w:jc w:val="center"/>
              <w:rPr>
                <w:b/>
                <w:bCs/>
                <w:sz w:val="20"/>
                <w:szCs w:val="20"/>
              </w:rPr>
            </w:pPr>
            <w:r>
              <w:rPr>
                <w:b/>
                <w:bCs/>
                <w:sz w:val="20"/>
                <w:szCs w:val="20"/>
              </w:rPr>
              <w:t>-41.4</w:t>
            </w:r>
          </w:p>
        </w:tc>
        <w:tc>
          <w:tcPr>
            <w:tcW w:w="1542" w:type="dxa"/>
          </w:tcPr>
          <w:p w14:paraId="33F4EBE6" w14:textId="77777777" w:rsidR="0068538E" w:rsidRPr="004B2470" w:rsidRDefault="0068538E" w:rsidP="00084A0B">
            <w:pPr>
              <w:jc w:val="center"/>
              <w:rPr>
                <w:b/>
                <w:bCs/>
                <w:sz w:val="20"/>
                <w:szCs w:val="20"/>
              </w:rPr>
            </w:pPr>
            <w:r>
              <w:rPr>
                <w:b/>
                <w:bCs/>
                <w:sz w:val="20"/>
                <w:szCs w:val="20"/>
              </w:rPr>
              <w:t>-2.2</w:t>
            </w:r>
          </w:p>
        </w:tc>
      </w:tr>
      <w:tr w:rsidR="0068538E" w:rsidRPr="005A09AB" w14:paraId="0D802664" w14:textId="77777777" w:rsidTr="00084A0B">
        <w:tc>
          <w:tcPr>
            <w:tcW w:w="3031" w:type="dxa"/>
          </w:tcPr>
          <w:p w14:paraId="715D7889" w14:textId="77777777" w:rsidR="0068538E" w:rsidRPr="0076251D" w:rsidRDefault="0068538E" w:rsidP="00084A0B">
            <w:pPr>
              <w:jc w:val="right"/>
              <w:rPr>
                <w:sz w:val="20"/>
                <w:szCs w:val="20"/>
              </w:rPr>
            </w:pPr>
            <w:r w:rsidRPr="0076251D">
              <w:rPr>
                <w:sz w:val="20"/>
                <w:szCs w:val="20"/>
              </w:rPr>
              <w:lastRenderedPageBreak/>
              <w:t>Mental Illness</w:t>
            </w:r>
          </w:p>
        </w:tc>
        <w:tc>
          <w:tcPr>
            <w:tcW w:w="965" w:type="dxa"/>
          </w:tcPr>
          <w:p w14:paraId="29E6163C" w14:textId="77777777" w:rsidR="0068538E" w:rsidRPr="005A09AB" w:rsidRDefault="0068538E" w:rsidP="00084A0B">
            <w:pPr>
              <w:jc w:val="center"/>
              <w:rPr>
                <w:sz w:val="20"/>
                <w:szCs w:val="20"/>
              </w:rPr>
            </w:pPr>
            <w:r>
              <w:rPr>
                <w:sz w:val="20"/>
                <w:szCs w:val="20"/>
              </w:rPr>
              <w:t>1,104</w:t>
            </w:r>
          </w:p>
        </w:tc>
        <w:tc>
          <w:tcPr>
            <w:tcW w:w="1037" w:type="dxa"/>
          </w:tcPr>
          <w:p w14:paraId="7AEFB603" w14:textId="77777777" w:rsidR="0068538E" w:rsidRPr="005A09AB" w:rsidRDefault="0068538E" w:rsidP="00084A0B">
            <w:pPr>
              <w:jc w:val="center"/>
              <w:rPr>
                <w:sz w:val="20"/>
                <w:szCs w:val="20"/>
              </w:rPr>
            </w:pPr>
            <w:r>
              <w:rPr>
                <w:sz w:val="20"/>
                <w:szCs w:val="20"/>
              </w:rPr>
              <w:t>32.5</w:t>
            </w:r>
          </w:p>
        </w:tc>
        <w:tc>
          <w:tcPr>
            <w:tcW w:w="1080" w:type="dxa"/>
          </w:tcPr>
          <w:p w14:paraId="59269676" w14:textId="77777777" w:rsidR="0068538E" w:rsidRPr="005A09AB" w:rsidRDefault="0068538E" w:rsidP="00084A0B">
            <w:pPr>
              <w:jc w:val="center"/>
              <w:rPr>
                <w:sz w:val="20"/>
                <w:szCs w:val="20"/>
              </w:rPr>
            </w:pPr>
            <w:r>
              <w:rPr>
                <w:sz w:val="20"/>
                <w:szCs w:val="20"/>
              </w:rPr>
              <w:t>890</w:t>
            </w:r>
          </w:p>
        </w:tc>
        <w:tc>
          <w:tcPr>
            <w:tcW w:w="1037" w:type="dxa"/>
          </w:tcPr>
          <w:p w14:paraId="386712FF" w14:textId="77777777" w:rsidR="0068538E" w:rsidRPr="005A09AB" w:rsidRDefault="0068538E" w:rsidP="00084A0B">
            <w:pPr>
              <w:jc w:val="center"/>
              <w:rPr>
                <w:sz w:val="20"/>
                <w:szCs w:val="20"/>
              </w:rPr>
            </w:pPr>
            <w:r>
              <w:rPr>
                <w:sz w:val="20"/>
                <w:szCs w:val="20"/>
              </w:rPr>
              <w:t>30.8</w:t>
            </w:r>
          </w:p>
        </w:tc>
        <w:tc>
          <w:tcPr>
            <w:tcW w:w="1542" w:type="dxa"/>
          </w:tcPr>
          <w:p w14:paraId="65508A37" w14:textId="77777777" w:rsidR="0068538E" w:rsidRPr="004B2470" w:rsidRDefault="0068538E" w:rsidP="00084A0B">
            <w:pPr>
              <w:jc w:val="center"/>
              <w:rPr>
                <w:b/>
                <w:bCs/>
                <w:sz w:val="20"/>
                <w:szCs w:val="20"/>
              </w:rPr>
            </w:pPr>
            <w:r>
              <w:rPr>
                <w:b/>
                <w:bCs/>
                <w:sz w:val="20"/>
                <w:szCs w:val="20"/>
              </w:rPr>
              <w:t>-24.0</w:t>
            </w:r>
          </w:p>
        </w:tc>
        <w:tc>
          <w:tcPr>
            <w:tcW w:w="1542" w:type="dxa"/>
          </w:tcPr>
          <w:p w14:paraId="5DD3480E" w14:textId="77777777" w:rsidR="0068538E" w:rsidRPr="004B2470" w:rsidRDefault="0068538E" w:rsidP="00084A0B">
            <w:pPr>
              <w:jc w:val="center"/>
              <w:rPr>
                <w:b/>
                <w:bCs/>
                <w:sz w:val="20"/>
                <w:szCs w:val="20"/>
              </w:rPr>
            </w:pPr>
            <w:r>
              <w:rPr>
                <w:b/>
                <w:bCs/>
                <w:sz w:val="20"/>
                <w:szCs w:val="20"/>
              </w:rPr>
              <w:t>-1.7</w:t>
            </w:r>
          </w:p>
        </w:tc>
      </w:tr>
      <w:tr w:rsidR="0068538E" w:rsidRPr="005A09AB" w14:paraId="213E029F" w14:textId="77777777" w:rsidTr="00084A0B">
        <w:tc>
          <w:tcPr>
            <w:tcW w:w="3031" w:type="dxa"/>
          </w:tcPr>
          <w:p w14:paraId="084D93FD" w14:textId="77777777" w:rsidR="0068538E" w:rsidRPr="0076251D" w:rsidRDefault="0068538E" w:rsidP="00084A0B">
            <w:pPr>
              <w:jc w:val="right"/>
              <w:rPr>
                <w:sz w:val="20"/>
                <w:szCs w:val="20"/>
              </w:rPr>
            </w:pPr>
            <w:r w:rsidRPr="0076251D">
              <w:rPr>
                <w:sz w:val="20"/>
                <w:szCs w:val="20"/>
              </w:rPr>
              <w:t>Cognitive</w:t>
            </w:r>
          </w:p>
        </w:tc>
        <w:tc>
          <w:tcPr>
            <w:tcW w:w="965" w:type="dxa"/>
          </w:tcPr>
          <w:p w14:paraId="2332F33B" w14:textId="77777777" w:rsidR="0068538E" w:rsidRPr="005A09AB" w:rsidRDefault="0068538E" w:rsidP="00084A0B">
            <w:pPr>
              <w:jc w:val="center"/>
              <w:rPr>
                <w:sz w:val="20"/>
                <w:szCs w:val="20"/>
              </w:rPr>
            </w:pPr>
            <w:r>
              <w:rPr>
                <w:sz w:val="20"/>
                <w:szCs w:val="20"/>
              </w:rPr>
              <w:t>1,012</w:t>
            </w:r>
          </w:p>
        </w:tc>
        <w:tc>
          <w:tcPr>
            <w:tcW w:w="1037" w:type="dxa"/>
          </w:tcPr>
          <w:p w14:paraId="74A9D940" w14:textId="77777777" w:rsidR="0068538E" w:rsidRPr="005A09AB" w:rsidRDefault="0068538E" w:rsidP="00084A0B">
            <w:pPr>
              <w:jc w:val="center"/>
              <w:rPr>
                <w:sz w:val="20"/>
                <w:szCs w:val="20"/>
              </w:rPr>
            </w:pPr>
            <w:r>
              <w:rPr>
                <w:sz w:val="20"/>
                <w:szCs w:val="20"/>
              </w:rPr>
              <w:t>29.8</w:t>
            </w:r>
          </w:p>
        </w:tc>
        <w:tc>
          <w:tcPr>
            <w:tcW w:w="1080" w:type="dxa"/>
          </w:tcPr>
          <w:p w14:paraId="33005CA5" w14:textId="77777777" w:rsidR="0068538E" w:rsidRPr="005A09AB" w:rsidRDefault="0068538E" w:rsidP="00084A0B">
            <w:pPr>
              <w:jc w:val="center"/>
              <w:rPr>
                <w:sz w:val="20"/>
                <w:szCs w:val="20"/>
              </w:rPr>
            </w:pPr>
            <w:r>
              <w:rPr>
                <w:sz w:val="20"/>
                <w:szCs w:val="20"/>
              </w:rPr>
              <w:t>848</w:t>
            </w:r>
          </w:p>
        </w:tc>
        <w:tc>
          <w:tcPr>
            <w:tcW w:w="1037" w:type="dxa"/>
          </w:tcPr>
          <w:p w14:paraId="2FEEEB1A" w14:textId="77777777" w:rsidR="0068538E" w:rsidRPr="005A09AB" w:rsidRDefault="0068538E" w:rsidP="00084A0B">
            <w:pPr>
              <w:jc w:val="center"/>
              <w:rPr>
                <w:sz w:val="20"/>
                <w:szCs w:val="20"/>
              </w:rPr>
            </w:pPr>
            <w:r>
              <w:rPr>
                <w:sz w:val="20"/>
                <w:szCs w:val="20"/>
              </w:rPr>
              <w:t>29.3</w:t>
            </w:r>
          </w:p>
        </w:tc>
        <w:tc>
          <w:tcPr>
            <w:tcW w:w="1542" w:type="dxa"/>
          </w:tcPr>
          <w:p w14:paraId="7BBE1105" w14:textId="77777777" w:rsidR="0068538E" w:rsidRPr="004B2470" w:rsidRDefault="0068538E" w:rsidP="00084A0B">
            <w:pPr>
              <w:jc w:val="center"/>
              <w:rPr>
                <w:b/>
                <w:bCs/>
                <w:sz w:val="20"/>
                <w:szCs w:val="20"/>
              </w:rPr>
            </w:pPr>
            <w:r>
              <w:rPr>
                <w:b/>
                <w:bCs/>
                <w:sz w:val="20"/>
                <w:szCs w:val="20"/>
              </w:rPr>
              <w:t>-19.3</w:t>
            </w:r>
          </w:p>
        </w:tc>
        <w:tc>
          <w:tcPr>
            <w:tcW w:w="1542" w:type="dxa"/>
          </w:tcPr>
          <w:p w14:paraId="459FDF15" w14:textId="77777777" w:rsidR="0068538E" w:rsidRPr="004B2470" w:rsidRDefault="0068538E" w:rsidP="00084A0B">
            <w:pPr>
              <w:jc w:val="center"/>
              <w:rPr>
                <w:b/>
                <w:bCs/>
                <w:sz w:val="20"/>
                <w:szCs w:val="20"/>
              </w:rPr>
            </w:pPr>
            <w:r>
              <w:rPr>
                <w:b/>
                <w:bCs/>
                <w:sz w:val="20"/>
                <w:szCs w:val="20"/>
              </w:rPr>
              <w:t>-0.5</w:t>
            </w:r>
          </w:p>
        </w:tc>
      </w:tr>
      <w:tr w:rsidR="0068538E" w:rsidRPr="005A09AB" w14:paraId="3C915D7D" w14:textId="77777777" w:rsidTr="00084A0B">
        <w:tc>
          <w:tcPr>
            <w:tcW w:w="3031" w:type="dxa"/>
          </w:tcPr>
          <w:p w14:paraId="62F74701" w14:textId="77777777" w:rsidR="0068538E" w:rsidRPr="005A09AB" w:rsidRDefault="0068538E" w:rsidP="00084A0B">
            <w:pPr>
              <w:jc w:val="center"/>
              <w:rPr>
                <w:sz w:val="20"/>
                <w:szCs w:val="20"/>
              </w:rPr>
            </w:pPr>
          </w:p>
        </w:tc>
        <w:tc>
          <w:tcPr>
            <w:tcW w:w="965" w:type="dxa"/>
          </w:tcPr>
          <w:p w14:paraId="436BE8E0" w14:textId="77777777" w:rsidR="0068538E" w:rsidRPr="005A09AB" w:rsidRDefault="0068538E" w:rsidP="00084A0B">
            <w:pPr>
              <w:jc w:val="center"/>
              <w:rPr>
                <w:sz w:val="20"/>
                <w:szCs w:val="20"/>
              </w:rPr>
            </w:pPr>
          </w:p>
        </w:tc>
        <w:tc>
          <w:tcPr>
            <w:tcW w:w="1037" w:type="dxa"/>
          </w:tcPr>
          <w:p w14:paraId="1DD1A85A" w14:textId="77777777" w:rsidR="0068538E" w:rsidRPr="005A09AB" w:rsidRDefault="0068538E" w:rsidP="00084A0B">
            <w:pPr>
              <w:jc w:val="center"/>
              <w:rPr>
                <w:sz w:val="20"/>
                <w:szCs w:val="20"/>
              </w:rPr>
            </w:pPr>
          </w:p>
        </w:tc>
        <w:tc>
          <w:tcPr>
            <w:tcW w:w="1080" w:type="dxa"/>
          </w:tcPr>
          <w:p w14:paraId="0F344968" w14:textId="77777777" w:rsidR="0068538E" w:rsidRPr="005A09AB" w:rsidRDefault="0068538E" w:rsidP="00084A0B">
            <w:pPr>
              <w:jc w:val="center"/>
              <w:rPr>
                <w:sz w:val="20"/>
                <w:szCs w:val="20"/>
              </w:rPr>
            </w:pPr>
          </w:p>
        </w:tc>
        <w:tc>
          <w:tcPr>
            <w:tcW w:w="1037" w:type="dxa"/>
          </w:tcPr>
          <w:p w14:paraId="63F0E3E9" w14:textId="77777777" w:rsidR="0068538E" w:rsidRPr="005A09AB" w:rsidRDefault="0068538E" w:rsidP="00084A0B">
            <w:pPr>
              <w:jc w:val="center"/>
              <w:rPr>
                <w:sz w:val="20"/>
                <w:szCs w:val="20"/>
              </w:rPr>
            </w:pPr>
          </w:p>
        </w:tc>
        <w:tc>
          <w:tcPr>
            <w:tcW w:w="1542" w:type="dxa"/>
          </w:tcPr>
          <w:p w14:paraId="2B644646" w14:textId="77777777" w:rsidR="0068538E" w:rsidRPr="004B2470" w:rsidRDefault="0068538E" w:rsidP="00084A0B">
            <w:pPr>
              <w:jc w:val="center"/>
              <w:rPr>
                <w:b/>
                <w:bCs/>
                <w:sz w:val="20"/>
                <w:szCs w:val="20"/>
              </w:rPr>
            </w:pPr>
          </w:p>
        </w:tc>
        <w:tc>
          <w:tcPr>
            <w:tcW w:w="1542" w:type="dxa"/>
          </w:tcPr>
          <w:p w14:paraId="40E8C319" w14:textId="77777777" w:rsidR="0068538E" w:rsidRPr="004B2470" w:rsidRDefault="0068538E" w:rsidP="00084A0B">
            <w:pPr>
              <w:jc w:val="center"/>
              <w:rPr>
                <w:b/>
                <w:bCs/>
                <w:sz w:val="20"/>
                <w:szCs w:val="20"/>
              </w:rPr>
            </w:pPr>
          </w:p>
        </w:tc>
      </w:tr>
      <w:tr w:rsidR="0068538E" w:rsidRPr="005A09AB" w14:paraId="4FB87594" w14:textId="77777777" w:rsidTr="00084A0B">
        <w:tc>
          <w:tcPr>
            <w:tcW w:w="3031" w:type="dxa"/>
          </w:tcPr>
          <w:p w14:paraId="2FBC6239" w14:textId="77777777" w:rsidR="0068538E" w:rsidRPr="0076251D" w:rsidRDefault="0068538E" w:rsidP="00084A0B">
            <w:pPr>
              <w:rPr>
                <w:i/>
                <w:iCs/>
                <w:sz w:val="20"/>
                <w:szCs w:val="20"/>
              </w:rPr>
            </w:pPr>
            <w:r w:rsidRPr="0076251D">
              <w:rPr>
                <w:i/>
                <w:iCs/>
                <w:sz w:val="20"/>
                <w:szCs w:val="20"/>
              </w:rPr>
              <w:t>Age at Closure</w:t>
            </w:r>
          </w:p>
        </w:tc>
        <w:tc>
          <w:tcPr>
            <w:tcW w:w="965" w:type="dxa"/>
          </w:tcPr>
          <w:p w14:paraId="6910E811" w14:textId="77777777" w:rsidR="0068538E" w:rsidRPr="005A09AB" w:rsidRDefault="0068538E" w:rsidP="00084A0B">
            <w:pPr>
              <w:jc w:val="center"/>
              <w:rPr>
                <w:sz w:val="20"/>
                <w:szCs w:val="20"/>
              </w:rPr>
            </w:pPr>
          </w:p>
        </w:tc>
        <w:tc>
          <w:tcPr>
            <w:tcW w:w="1037" w:type="dxa"/>
          </w:tcPr>
          <w:p w14:paraId="48A3B954" w14:textId="77777777" w:rsidR="0068538E" w:rsidRPr="005A09AB" w:rsidRDefault="0068538E" w:rsidP="00084A0B">
            <w:pPr>
              <w:jc w:val="center"/>
              <w:rPr>
                <w:sz w:val="20"/>
                <w:szCs w:val="20"/>
              </w:rPr>
            </w:pPr>
          </w:p>
        </w:tc>
        <w:tc>
          <w:tcPr>
            <w:tcW w:w="1080" w:type="dxa"/>
          </w:tcPr>
          <w:p w14:paraId="4C09AD99" w14:textId="77777777" w:rsidR="0068538E" w:rsidRPr="005A09AB" w:rsidRDefault="0068538E" w:rsidP="00084A0B">
            <w:pPr>
              <w:jc w:val="center"/>
              <w:rPr>
                <w:sz w:val="20"/>
                <w:szCs w:val="20"/>
              </w:rPr>
            </w:pPr>
          </w:p>
        </w:tc>
        <w:tc>
          <w:tcPr>
            <w:tcW w:w="1037" w:type="dxa"/>
          </w:tcPr>
          <w:p w14:paraId="2A559782" w14:textId="77777777" w:rsidR="0068538E" w:rsidRPr="005A09AB" w:rsidRDefault="0068538E" w:rsidP="00084A0B">
            <w:pPr>
              <w:jc w:val="center"/>
              <w:rPr>
                <w:sz w:val="20"/>
                <w:szCs w:val="20"/>
              </w:rPr>
            </w:pPr>
          </w:p>
        </w:tc>
        <w:tc>
          <w:tcPr>
            <w:tcW w:w="1542" w:type="dxa"/>
          </w:tcPr>
          <w:p w14:paraId="30A2104C" w14:textId="77777777" w:rsidR="0068538E" w:rsidRPr="004B2470" w:rsidRDefault="0068538E" w:rsidP="00084A0B">
            <w:pPr>
              <w:jc w:val="center"/>
              <w:rPr>
                <w:b/>
                <w:bCs/>
                <w:sz w:val="20"/>
                <w:szCs w:val="20"/>
              </w:rPr>
            </w:pPr>
          </w:p>
        </w:tc>
        <w:tc>
          <w:tcPr>
            <w:tcW w:w="1542" w:type="dxa"/>
          </w:tcPr>
          <w:p w14:paraId="545804AE" w14:textId="77777777" w:rsidR="0068538E" w:rsidRPr="004B2470" w:rsidRDefault="0068538E" w:rsidP="00084A0B">
            <w:pPr>
              <w:jc w:val="center"/>
              <w:rPr>
                <w:b/>
                <w:bCs/>
                <w:sz w:val="20"/>
                <w:szCs w:val="20"/>
              </w:rPr>
            </w:pPr>
          </w:p>
        </w:tc>
      </w:tr>
      <w:tr w:rsidR="0068538E" w:rsidRPr="005A09AB" w14:paraId="4F3BFD1C" w14:textId="77777777" w:rsidTr="00084A0B">
        <w:tc>
          <w:tcPr>
            <w:tcW w:w="3031" w:type="dxa"/>
          </w:tcPr>
          <w:p w14:paraId="72839DF5" w14:textId="77777777" w:rsidR="0068538E" w:rsidRPr="005A09AB" w:rsidRDefault="0068538E" w:rsidP="00084A0B">
            <w:pPr>
              <w:jc w:val="right"/>
              <w:rPr>
                <w:sz w:val="20"/>
                <w:szCs w:val="20"/>
              </w:rPr>
            </w:pPr>
            <w:r w:rsidRPr="005A09AB">
              <w:rPr>
                <w:sz w:val="20"/>
                <w:szCs w:val="20"/>
              </w:rPr>
              <w:t>Less than 23</w:t>
            </w:r>
          </w:p>
        </w:tc>
        <w:tc>
          <w:tcPr>
            <w:tcW w:w="965" w:type="dxa"/>
          </w:tcPr>
          <w:p w14:paraId="3E4FAF1F" w14:textId="77777777" w:rsidR="0068538E" w:rsidRPr="005A09AB" w:rsidRDefault="0068538E" w:rsidP="00084A0B">
            <w:pPr>
              <w:jc w:val="center"/>
              <w:rPr>
                <w:sz w:val="20"/>
                <w:szCs w:val="20"/>
              </w:rPr>
            </w:pPr>
            <w:r>
              <w:rPr>
                <w:sz w:val="20"/>
                <w:szCs w:val="20"/>
              </w:rPr>
              <w:t>1,113</w:t>
            </w:r>
          </w:p>
        </w:tc>
        <w:tc>
          <w:tcPr>
            <w:tcW w:w="1037" w:type="dxa"/>
          </w:tcPr>
          <w:p w14:paraId="11FE207D" w14:textId="77777777" w:rsidR="0068538E" w:rsidRPr="005A09AB" w:rsidRDefault="0068538E" w:rsidP="00084A0B">
            <w:pPr>
              <w:jc w:val="center"/>
              <w:rPr>
                <w:sz w:val="20"/>
                <w:szCs w:val="20"/>
              </w:rPr>
            </w:pPr>
            <w:r>
              <w:rPr>
                <w:sz w:val="20"/>
                <w:szCs w:val="20"/>
              </w:rPr>
              <w:t>32.8</w:t>
            </w:r>
          </w:p>
        </w:tc>
        <w:tc>
          <w:tcPr>
            <w:tcW w:w="1080" w:type="dxa"/>
          </w:tcPr>
          <w:p w14:paraId="5D312849" w14:textId="77777777" w:rsidR="0068538E" w:rsidRPr="005A09AB" w:rsidRDefault="0068538E" w:rsidP="00084A0B">
            <w:pPr>
              <w:jc w:val="center"/>
              <w:rPr>
                <w:sz w:val="20"/>
                <w:szCs w:val="20"/>
              </w:rPr>
            </w:pPr>
            <w:r>
              <w:rPr>
                <w:sz w:val="20"/>
                <w:szCs w:val="20"/>
              </w:rPr>
              <w:t>886</w:t>
            </w:r>
          </w:p>
        </w:tc>
        <w:tc>
          <w:tcPr>
            <w:tcW w:w="1037" w:type="dxa"/>
          </w:tcPr>
          <w:p w14:paraId="41E3604C" w14:textId="77777777" w:rsidR="0068538E" w:rsidRPr="005A09AB" w:rsidRDefault="0068538E" w:rsidP="00084A0B">
            <w:pPr>
              <w:jc w:val="center"/>
              <w:rPr>
                <w:sz w:val="20"/>
                <w:szCs w:val="20"/>
              </w:rPr>
            </w:pPr>
            <w:r>
              <w:rPr>
                <w:sz w:val="20"/>
                <w:szCs w:val="20"/>
              </w:rPr>
              <w:t>30.6</w:t>
            </w:r>
          </w:p>
        </w:tc>
        <w:tc>
          <w:tcPr>
            <w:tcW w:w="1542" w:type="dxa"/>
          </w:tcPr>
          <w:p w14:paraId="4AF20D0A" w14:textId="77777777" w:rsidR="0068538E" w:rsidRPr="004B2470" w:rsidRDefault="0068538E" w:rsidP="00084A0B">
            <w:pPr>
              <w:jc w:val="center"/>
              <w:rPr>
                <w:b/>
                <w:bCs/>
                <w:sz w:val="20"/>
                <w:szCs w:val="20"/>
              </w:rPr>
            </w:pPr>
            <w:r>
              <w:rPr>
                <w:b/>
                <w:bCs/>
                <w:sz w:val="20"/>
                <w:szCs w:val="20"/>
              </w:rPr>
              <w:t>-25.6</w:t>
            </w:r>
          </w:p>
        </w:tc>
        <w:tc>
          <w:tcPr>
            <w:tcW w:w="1542" w:type="dxa"/>
          </w:tcPr>
          <w:p w14:paraId="42EB12C6" w14:textId="77777777" w:rsidR="0068538E" w:rsidRPr="004B2470" w:rsidRDefault="0068538E" w:rsidP="00084A0B">
            <w:pPr>
              <w:jc w:val="center"/>
              <w:rPr>
                <w:b/>
                <w:bCs/>
                <w:sz w:val="20"/>
                <w:szCs w:val="20"/>
              </w:rPr>
            </w:pPr>
            <w:r>
              <w:rPr>
                <w:b/>
                <w:bCs/>
                <w:sz w:val="20"/>
                <w:szCs w:val="20"/>
              </w:rPr>
              <w:t>-2.2</w:t>
            </w:r>
          </w:p>
        </w:tc>
      </w:tr>
      <w:tr w:rsidR="0068538E" w:rsidRPr="005A09AB" w14:paraId="144063AA" w14:textId="77777777" w:rsidTr="00084A0B">
        <w:tc>
          <w:tcPr>
            <w:tcW w:w="3031" w:type="dxa"/>
          </w:tcPr>
          <w:p w14:paraId="4B6A0A71" w14:textId="77777777" w:rsidR="0068538E" w:rsidRPr="005A09AB" w:rsidRDefault="0068538E" w:rsidP="00084A0B">
            <w:pPr>
              <w:jc w:val="right"/>
              <w:rPr>
                <w:sz w:val="20"/>
                <w:szCs w:val="20"/>
              </w:rPr>
            </w:pPr>
            <w:r w:rsidRPr="005A09AB">
              <w:rPr>
                <w:sz w:val="20"/>
                <w:szCs w:val="20"/>
              </w:rPr>
              <w:t>23-54</w:t>
            </w:r>
          </w:p>
        </w:tc>
        <w:tc>
          <w:tcPr>
            <w:tcW w:w="965" w:type="dxa"/>
          </w:tcPr>
          <w:p w14:paraId="3E1F60C6" w14:textId="77777777" w:rsidR="0068538E" w:rsidRPr="005A09AB" w:rsidRDefault="0068538E" w:rsidP="00084A0B">
            <w:pPr>
              <w:jc w:val="center"/>
              <w:rPr>
                <w:sz w:val="20"/>
                <w:szCs w:val="20"/>
              </w:rPr>
            </w:pPr>
            <w:r>
              <w:rPr>
                <w:sz w:val="20"/>
                <w:szCs w:val="20"/>
              </w:rPr>
              <w:t>1,727</w:t>
            </w:r>
          </w:p>
        </w:tc>
        <w:tc>
          <w:tcPr>
            <w:tcW w:w="1037" w:type="dxa"/>
          </w:tcPr>
          <w:p w14:paraId="54D06FF5" w14:textId="77777777" w:rsidR="0068538E" w:rsidRPr="005A09AB" w:rsidRDefault="0068538E" w:rsidP="00084A0B">
            <w:pPr>
              <w:jc w:val="center"/>
              <w:rPr>
                <w:sz w:val="20"/>
                <w:szCs w:val="20"/>
              </w:rPr>
            </w:pPr>
            <w:r>
              <w:rPr>
                <w:sz w:val="20"/>
                <w:szCs w:val="20"/>
              </w:rPr>
              <w:t>50.9</w:t>
            </w:r>
          </w:p>
        </w:tc>
        <w:tc>
          <w:tcPr>
            <w:tcW w:w="1080" w:type="dxa"/>
          </w:tcPr>
          <w:p w14:paraId="5B63F6A6" w14:textId="77777777" w:rsidR="0068538E" w:rsidRPr="005A09AB" w:rsidRDefault="0068538E" w:rsidP="00084A0B">
            <w:pPr>
              <w:jc w:val="center"/>
              <w:rPr>
                <w:sz w:val="20"/>
                <w:szCs w:val="20"/>
              </w:rPr>
            </w:pPr>
            <w:r>
              <w:rPr>
                <w:sz w:val="20"/>
                <w:szCs w:val="20"/>
              </w:rPr>
              <w:t>1,526</w:t>
            </w:r>
          </w:p>
        </w:tc>
        <w:tc>
          <w:tcPr>
            <w:tcW w:w="1037" w:type="dxa"/>
          </w:tcPr>
          <w:p w14:paraId="24FA26AF" w14:textId="77777777" w:rsidR="0068538E" w:rsidRPr="005A09AB" w:rsidRDefault="0068538E" w:rsidP="00084A0B">
            <w:pPr>
              <w:jc w:val="center"/>
              <w:rPr>
                <w:sz w:val="20"/>
                <w:szCs w:val="20"/>
              </w:rPr>
            </w:pPr>
            <w:r>
              <w:rPr>
                <w:sz w:val="20"/>
                <w:szCs w:val="20"/>
              </w:rPr>
              <w:t>52.8</w:t>
            </w:r>
          </w:p>
        </w:tc>
        <w:tc>
          <w:tcPr>
            <w:tcW w:w="1542" w:type="dxa"/>
          </w:tcPr>
          <w:p w14:paraId="2BAABC07" w14:textId="77777777" w:rsidR="0068538E" w:rsidRPr="004B2470" w:rsidRDefault="0068538E" w:rsidP="00084A0B">
            <w:pPr>
              <w:jc w:val="center"/>
              <w:rPr>
                <w:b/>
                <w:bCs/>
                <w:sz w:val="20"/>
                <w:szCs w:val="20"/>
              </w:rPr>
            </w:pPr>
            <w:r>
              <w:rPr>
                <w:b/>
                <w:bCs/>
                <w:sz w:val="20"/>
                <w:szCs w:val="20"/>
              </w:rPr>
              <w:t>-13.2</w:t>
            </w:r>
          </w:p>
        </w:tc>
        <w:tc>
          <w:tcPr>
            <w:tcW w:w="1542" w:type="dxa"/>
          </w:tcPr>
          <w:p w14:paraId="4FFC11B6" w14:textId="77777777" w:rsidR="0068538E" w:rsidRPr="004B2470" w:rsidRDefault="0068538E" w:rsidP="00084A0B">
            <w:pPr>
              <w:jc w:val="center"/>
              <w:rPr>
                <w:b/>
                <w:bCs/>
                <w:sz w:val="20"/>
                <w:szCs w:val="20"/>
              </w:rPr>
            </w:pPr>
            <w:r>
              <w:rPr>
                <w:b/>
                <w:bCs/>
                <w:sz w:val="20"/>
                <w:szCs w:val="20"/>
              </w:rPr>
              <w:t>1.9</w:t>
            </w:r>
          </w:p>
        </w:tc>
      </w:tr>
      <w:tr w:rsidR="0068538E" w:rsidRPr="005A09AB" w14:paraId="10B88A67" w14:textId="77777777" w:rsidTr="00084A0B">
        <w:tc>
          <w:tcPr>
            <w:tcW w:w="3031" w:type="dxa"/>
          </w:tcPr>
          <w:p w14:paraId="053C1D7E" w14:textId="77777777" w:rsidR="0068538E" w:rsidRPr="005A09AB" w:rsidRDefault="0068538E" w:rsidP="00084A0B">
            <w:pPr>
              <w:jc w:val="right"/>
              <w:rPr>
                <w:sz w:val="20"/>
                <w:szCs w:val="20"/>
              </w:rPr>
            </w:pPr>
            <w:r w:rsidRPr="005A09AB">
              <w:rPr>
                <w:sz w:val="20"/>
                <w:szCs w:val="20"/>
              </w:rPr>
              <w:t>55-65</w:t>
            </w:r>
          </w:p>
        </w:tc>
        <w:tc>
          <w:tcPr>
            <w:tcW w:w="965" w:type="dxa"/>
          </w:tcPr>
          <w:p w14:paraId="6E442F1B" w14:textId="77777777" w:rsidR="0068538E" w:rsidRPr="005A09AB" w:rsidRDefault="0068538E" w:rsidP="00084A0B">
            <w:pPr>
              <w:jc w:val="center"/>
              <w:rPr>
                <w:sz w:val="20"/>
                <w:szCs w:val="20"/>
              </w:rPr>
            </w:pPr>
            <w:r>
              <w:rPr>
                <w:sz w:val="20"/>
                <w:szCs w:val="20"/>
              </w:rPr>
              <w:t>443</w:t>
            </w:r>
          </w:p>
        </w:tc>
        <w:tc>
          <w:tcPr>
            <w:tcW w:w="1037" w:type="dxa"/>
          </w:tcPr>
          <w:p w14:paraId="48D011D3" w14:textId="77777777" w:rsidR="0068538E" w:rsidRPr="005A09AB" w:rsidRDefault="0068538E" w:rsidP="00084A0B">
            <w:pPr>
              <w:jc w:val="center"/>
              <w:rPr>
                <w:sz w:val="20"/>
                <w:szCs w:val="20"/>
              </w:rPr>
            </w:pPr>
            <w:r>
              <w:rPr>
                <w:sz w:val="20"/>
                <w:szCs w:val="20"/>
              </w:rPr>
              <w:t>13.0</w:t>
            </w:r>
          </w:p>
        </w:tc>
        <w:tc>
          <w:tcPr>
            <w:tcW w:w="1080" w:type="dxa"/>
          </w:tcPr>
          <w:p w14:paraId="71489E98" w14:textId="77777777" w:rsidR="0068538E" w:rsidRPr="005A09AB" w:rsidRDefault="0068538E" w:rsidP="00084A0B">
            <w:pPr>
              <w:jc w:val="center"/>
              <w:rPr>
                <w:sz w:val="20"/>
                <w:szCs w:val="20"/>
              </w:rPr>
            </w:pPr>
            <w:r>
              <w:rPr>
                <w:sz w:val="20"/>
                <w:szCs w:val="20"/>
              </w:rPr>
              <w:t>345</w:t>
            </w:r>
          </w:p>
        </w:tc>
        <w:tc>
          <w:tcPr>
            <w:tcW w:w="1037" w:type="dxa"/>
          </w:tcPr>
          <w:p w14:paraId="09F93059" w14:textId="77777777" w:rsidR="0068538E" w:rsidRPr="005A09AB" w:rsidRDefault="0068538E" w:rsidP="00084A0B">
            <w:pPr>
              <w:jc w:val="center"/>
              <w:rPr>
                <w:sz w:val="20"/>
                <w:szCs w:val="20"/>
              </w:rPr>
            </w:pPr>
            <w:r>
              <w:rPr>
                <w:sz w:val="20"/>
                <w:szCs w:val="20"/>
              </w:rPr>
              <w:t>11.9</w:t>
            </w:r>
          </w:p>
        </w:tc>
        <w:tc>
          <w:tcPr>
            <w:tcW w:w="1542" w:type="dxa"/>
          </w:tcPr>
          <w:p w14:paraId="37C07503" w14:textId="77777777" w:rsidR="0068538E" w:rsidRPr="004B2470" w:rsidRDefault="0068538E" w:rsidP="00084A0B">
            <w:pPr>
              <w:jc w:val="center"/>
              <w:rPr>
                <w:b/>
                <w:bCs/>
                <w:sz w:val="20"/>
                <w:szCs w:val="20"/>
              </w:rPr>
            </w:pPr>
            <w:r>
              <w:rPr>
                <w:b/>
                <w:bCs/>
                <w:sz w:val="20"/>
                <w:szCs w:val="20"/>
              </w:rPr>
              <w:t>-28.4</w:t>
            </w:r>
          </w:p>
        </w:tc>
        <w:tc>
          <w:tcPr>
            <w:tcW w:w="1542" w:type="dxa"/>
          </w:tcPr>
          <w:p w14:paraId="6D55D425" w14:textId="77777777" w:rsidR="0068538E" w:rsidRPr="004B2470" w:rsidRDefault="0068538E" w:rsidP="00084A0B">
            <w:pPr>
              <w:jc w:val="center"/>
              <w:rPr>
                <w:b/>
                <w:bCs/>
                <w:sz w:val="20"/>
                <w:szCs w:val="20"/>
              </w:rPr>
            </w:pPr>
            <w:r>
              <w:rPr>
                <w:b/>
                <w:bCs/>
                <w:sz w:val="20"/>
                <w:szCs w:val="20"/>
              </w:rPr>
              <w:t>-1.1</w:t>
            </w:r>
          </w:p>
        </w:tc>
      </w:tr>
      <w:tr w:rsidR="0068538E" w:rsidRPr="005A09AB" w14:paraId="6BAE67F6" w14:textId="77777777" w:rsidTr="00084A0B">
        <w:tc>
          <w:tcPr>
            <w:tcW w:w="3031" w:type="dxa"/>
          </w:tcPr>
          <w:p w14:paraId="12A247BE" w14:textId="77777777" w:rsidR="0068538E" w:rsidRPr="005A09AB" w:rsidRDefault="0068538E" w:rsidP="00084A0B">
            <w:pPr>
              <w:jc w:val="right"/>
              <w:rPr>
                <w:sz w:val="20"/>
                <w:szCs w:val="20"/>
              </w:rPr>
            </w:pPr>
            <w:r w:rsidRPr="005A09AB">
              <w:rPr>
                <w:sz w:val="20"/>
                <w:szCs w:val="20"/>
              </w:rPr>
              <w:t>Over 65</w:t>
            </w:r>
          </w:p>
        </w:tc>
        <w:tc>
          <w:tcPr>
            <w:tcW w:w="965" w:type="dxa"/>
          </w:tcPr>
          <w:p w14:paraId="76A711F2" w14:textId="77777777" w:rsidR="0068538E" w:rsidRPr="005A09AB" w:rsidRDefault="0068538E" w:rsidP="00084A0B">
            <w:pPr>
              <w:jc w:val="center"/>
              <w:rPr>
                <w:sz w:val="20"/>
                <w:szCs w:val="20"/>
              </w:rPr>
            </w:pPr>
            <w:r>
              <w:rPr>
                <w:sz w:val="20"/>
                <w:szCs w:val="20"/>
              </w:rPr>
              <w:t>113</w:t>
            </w:r>
          </w:p>
        </w:tc>
        <w:tc>
          <w:tcPr>
            <w:tcW w:w="1037" w:type="dxa"/>
          </w:tcPr>
          <w:p w14:paraId="02686D86" w14:textId="77777777" w:rsidR="0068538E" w:rsidRPr="005A09AB" w:rsidRDefault="0068538E" w:rsidP="00084A0B">
            <w:pPr>
              <w:jc w:val="center"/>
              <w:rPr>
                <w:sz w:val="20"/>
                <w:szCs w:val="20"/>
              </w:rPr>
            </w:pPr>
            <w:r>
              <w:rPr>
                <w:sz w:val="20"/>
                <w:szCs w:val="20"/>
              </w:rPr>
              <w:t>3.3</w:t>
            </w:r>
          </w:p>
        </w:tc>
        <w:tc>
          <w:tcPr>
            <w:tcW w:w="1080" w:type="dxa"/>
          </w:tcPr>
          <w:p w14:paraId="7B3E63D9" w14:textId="77777777" w:rsidR="0068538E" w:rsidRPr="005A09AB" w:rsidRDefault="0068538E" w:rsidP="00084A0B">
            <w:pPr>
              <w:jc w:val="center"/>
              <w:rPr>
                <w:sz w:val="20"/>
                <w:szCs w:val="20"/>
              </w:rPr>
            </w:pPr>
            <w:r>
              <w:rPr>
                <w:sz w:val="20"/>
                <w:szCs w:val="20"/>
              </w:rPr>
              <w:t>134</w:t>
            </w:r>
          </w:p>
        </w:tc>
        <w:tc>
          <w:tcPr>
            <w:tcW w:w="1037" w:type="dxa"/>
          </w:tcPr>
          <w:p w14:paraId="2389888D" w14:textId="77777777" w:rsidR="0068538E" w:rsidRPr="005A09AB" w:rsidRDefault="0068538E" w:rsidP="00084A0B">
            <w:pPr>
              <w:jc w:val="center"/>
              <w:rPr>
                <w:sz w:val="20"/>
                <w:szCs w:val="20"/>
              </w:rPr>
            </w:pPr>
            <w:r>
              <w:rPr>
                <w:sz w:val="20"/>
                <w:szCs w:val="20"/>
              </w:rPr>
              <w:t>4.6</w:t>
            </w:r>
          </w:p>
        </w:tc>
        <w:tc>
          <w:tcPr>
            <w:tcW w:w="1542" w:type="dxa"/>
          </w:tcPr>
          <w:p w14:paraId="6E48586B" w14:textId="77777777" w:rsidR="0068538E" w:rsidRPr="004B2470" w:rsidRDefault="0068538E" w:rsidP="00084A0B">
            <w:pPr>
              <w:jc w:val="center"/>
              <w:rPr>
                <w:b/>
                <w:bCs/>
                <w:sz w:val="20"/>
                <w:szCs w:val="20"/>
              </w:rPr>
            </w:pPr>
            <w:r>
              <w:rPr>
                <w:b/>
                <w:bCs/>
                <w:sz w:val="20"/>
                <w:szCs w:val="20"/>
              </w:rPr>
              <w:t>15.7</w:t>
            </w:r>
          </w:p>
        </w:tc>
        <w:tc>
          <w:tcPr>
            <w:tcW w:w="1542" w:type="dxa"/>
          </w:tcPr>
          <w:p w14:paraId="687500D9" w14:textId="77777777" w:rsidR="0068538E" w:rsidRPr="004B2470" w:rsidRDefault="0068538E" w:rsidP="00084A0B">
            <w:pPr>
              <w:jc w:val="center"/>
              <w:rPr>
                <w:b/>
                <w:bCs/>
                <w:sz w:val="20"/>
                <w:szCs w:val="20"/>
              </w:rPr>
            </w:pPr>
            <w:r>
              <w:rPr>
                <w:b/>
                <w:bCs/>
                <w:sz w:val="20"/>
                <w:szCs w:val="20"/>
              </w:rPr>
              <w:t>1.3</w:t>
            </w:r>
          </w:p>
        </w:tc>
      </w:tr>
      <w:tr w:rsidR="0068538E" w:rsidRPr="005A09AB" w14:paraId="478A3DD6" w14:textId="77777777" w:rsidTr="00084A0B">
        <w:tc>
          <w:tcPr>
            <w:tcW w:w="3031" w:type="dxa"/>
          </w:tcPr>
          <w:p w14:paraId="1CD72E1F" w14:textId="77777777" w:rsidR="0068538E" w:rsidRPr="005A09AB" w:rsidRDefault="0068538E" w:rsidP="00084A0B">
            <w:pPr>
              <w:jc w:val="center"/>
              <w:rPr>
                <w:sz w:val="20"/>
                <w:szCs w:val="20"/>
              </w:rPr>
            </w:pPr>
          </w:p>
        </w:tc>
        <w:tc>
          <w:tcPr>
            <w:tcW w:w="965" w:type="dxa"/>
          </w:tcPr>
          <w:p w14:paraId="06112884" w14:textId="77777777" w:rsidR="0068538E" w:rsidRPr="005A09AB" w:rsidRDefault="0068538E" w:rsidP="00084A0B">
            <w:pPr>
              <w:jc w:val="center"/>
              <w:rPr>
                <w:sz w:val="20"/>
                <w:szCs w:val="20"/>
              </w:rPr>
            </w:pPr>
          </w:p>
        </w:tc>
        <w:tc>
          <w:tcPr>
            <w:tcW w:w="1037" w:type="dxa"/>
          </w:tcPr>
          <w:p w14:paraId="5B4C0DD8" w14:textId="77777777" w:rsidR="0068538E" w:rsidRPr="005A09AB" w:rsidRDefault="0068538E" w:rsidP="00084A0B">
            <w:pPr>
              <w:jc w:val="center"/>
              <w:rPr>
                <w:sz w:val="20"/>
                <w:szCs w:val="20"/>
              </w:rPr>
            </w:pPr>
          </w:p>
        </w:tc>
        <w:tc>
          <w:tcPr>
            <w:tcW w:w="1080" w:type="dxa"/>
          </w:tcPr>
          <w:p w14:paraId="0FBBF2A9" w14:textId="77777777" w:rsidR="0068538E" w:rsidRPr="005A09AB" w:rsidRDefault="0068538E" w:rsidP="00084A0B">
            <w:pPr>
              <w:jc w:val="center"/>
              <w:rPr>
                <w:sz w:val="20"/>
                <w:szCs w:val="20"/>
              </w:rPr>
            </w:pPr>
          </w:p>
        </w:tc>
        <w:tc>
          <w:tcPr>
            <w:tcW w:w="1037" w:type="dxa"/>
          </w:tcPr>
          <w:p w14:paraId="3858F30B" w14:textId="77777777" w:rsidR="0068538E" w:rsidRPr="005A09AB" w:rsidRDefault="0068538E" w:rsidP="00084A0B">
            <w:pPr>
              <w:jc w:val="center"/>
              <w:rPr>
                <w:sz w:val="20"/>
                <w:szCs w:val="20"/>
              </w:rPr>
            </w:pPr>
          </w:p>
        </w:tc>
        <w:tc>
          <w:tcPr>
            <w:tcW w:w="1542" w:type="dxa"/>
          </w:tcPr>
          <w:p w14:paraId="4770C8EF" w14:textId="77777777" w:rsidR="0068538E" w:rsidRPr="004B2470" w:rsidRDefault="0068538E" w:rsidP="00084A0B">
            <w:pPr>
              <w:jc w:val="center"/>
              <w:rPr>
                <w:b/>
                <w:bCs/>
                <w:sz w:val="20"/>
                <w:szCs w:val="20"/>
              </w:rPr>
            </w:pPr>
          </w:p>
        </w:tc>
        <w:tc>
          <w:tcPr>
            <w:tcW w:w="1542" w:type="dxa"/>
          </w:tcPr>
          <w:p w14:paraId="4CD94DCB" w14:textId="77777777" w:rsidR="0068538E" w:rsidRPr="004B2470" w:rsidRDefault="0068538E" w:rsidP="00084A0B">
            <w:pPr>
              <w:jc w:val="center"/>
              <w:rPr>
                <w:b/>
                <w:bCs/>
                <w:sz w:val="20"/>
                <w:szCs w:val="20"/>
              </w:rPr>
            </w:pPr>
          </w:p>
        </w:tc>
      </w:tr>
      <w:tr w:rsidR="0068538E" w:rsidRPr="005A09AB" w14:paraId="094FB6C9" w14:textId="77777777" w:rsidTr="00084A0B">
        <w:tc>
          <w:tcPr>
            <w:tcW w:w="3031" w:type="dxa"/>
            <w:shd w:val="clear" w:color="auto" w:fill="auto"/>
          </w:tcPr>
          <w:p w14:paraId="1D731376" w14:textId="77777777" w:rsidR="0068538E" w:rsidRPr="007D591C" w:rsidRDefault="0068538E" w:rsidP="00084A0B">
            <w:pPr>
              <w:rPr>
                <w:i/>
                <w:iCs/>
                <w:sz w:val="20"/>
                <w:szCs w:val="20"/>
              </w:rPr>
            </w:pPr>
            <w:r w:rsidRPr="007D591C">
              <w:rPr>
                <w:i/>
                <w:iCs/>
                <w:sz w:val="20"/>
                <w:szCs w:val="20"/>
              </w:rPr>
              <w:t>Education*</w:t>
            </w:r>
          </w:p>
        </w:tc>
        <w:tc>
          <w:tcPr>
            <w:tcW w:w="965" w:type="dxa"/>
            <w:shd w:val="clear" w:color="auto" w:fill="auto"/>
          </w:tcPr>
          <w:p w14:paraId="62BE4BBD" w14:textId="77777777" w:rsidR="0068538E" w:rsidRPr="007D591C" w:rsidRDefault="0068538E" w:rsidP="00084A0B">
            <w:pPr>
              <w:jc w:val="center"/>
              <w:rPr>
                <w:sz w:val="20"/>
                <w:szCs w:val="20"/>
              </w:rPr>
            </w:pPr>
          </w:p>
        </w:tc>
        <w:tc>
          <w:tcPr>
            <w:tcW w:w="1037" w:type="dxa"/>
            <w:shd w:val="clear" w:color="auto" w:fill="auto"/>
          </w:tcPr>
          <w:p w14:paraId="396C8281" w14:textId="77777777" w:rsidR="0068538E" w:rsidRPr="007D591C" w:rsidRDefault="0068538E" w:rsidP="00084A0B">
            <w:pPr>
              <w:jc w:val="center"/>
              <w:rPr>
                <w:sz w:val="20"/>
                <w:szCs w:val="20"/>
              </w:rPr>
            </w:pPr>
          </w:p>
        </w:tc>
        <w:tc>
          <w:tcPr>
            <w:tcW w:w="1080" w:type="dxa"/>
            <w:shd w:val="clear" w:color="auto" w:fill="auto"/>
          </w:tcPr>
          <w:p w14:paraId="12D75779" w14:textId="77777777" w:rsidR="0068538E" w:rsidRPr="007D591C" w:rsidRDefault="0068538E" w:rsidP="00084A0B">
            <w:pPr>
              <w:jc w:val="center"/>
              <w:rPr>
                <w:sz w:val="20"/>
                <w:szCs w:val="20"/>
              </w:rPr>
            </w:pPr>
          </w:p>
        </w:tc>
        <w:tc>
          <w:tcPr>
            <w:tcW w:w="1037" w:type="dxa"/>
            <w:shd w:val="clear" w:color="auto" w:fill="auto"/>
          </w:tcPr>
          <w:p w14:paraId="6A4370CE" w14:textId="77777777" w:rsidR="0068538E" w:rsidRPr="007D591C" w:rsidRDefault="0068538E" w:rsidP="00084A0B">
            <w:pPr>
              <w:jc w:val="center"/>
              <w:rPr>
                <w:sz w:val="20"/>
                <w:szCs w:val="20"/>
              </w:rPr>
            </w:pPr>
          </w:p>
        </w:tc>
        <w:tc>
          <w:tcPr>
            <w:tcW w:w="1542" w:type="dxa"/>
            <w:shd w:val="clear" w:color="auto" w:fill="auto"/>
          </w:tcPr>
          <w:p w14:paraId="384B835A" w14:textId="77777777" w:rsidR="0068538E" w:rsidRPr="007D591C" w:rsidRDefault="0068538E" w:rsidP="00084A0B">
            <w:pPr>
              <w:jc w:val="center"/>
              <w:rPr>
                <w:b/>
                <w:bCs/>
                <w:sz w:val="20"/>
                <w:szCs w:val="20"/>
              </w:rPr>
            </w:pPr>
          </w:p>
        </w:tc>
        <w:tc>
          <w:tcPr>
            <w:tcW w:w="1542" w:type="dxa"/>
            <w:shd w:val="clear" w:color="auto" w:fill="auto"/>
          </w:tcPr>
          <w:p w14:paraId="43FAD87B" w14:textId="77777777" w:rsidR="0068538E" w:rsidRPr="007D591C" w:rsidRDefault="0068538E" w:rsidP="00084A0B">
            <w:pPr>
              <w:jc w:val="center"/>
              <w:rPr>
                <w:b/>
                <w:bCs/>
                <w:sz w:val="20"/>
                <w:szCs w:val="20"/>
              </w:rPr>
            </w:pPr>
          </w:p>
        </w:tc>
      </w:tr>
      <w:tr w:rsidR="0068538E" w:rsidRPr="005A09AB" w14:paraId="5D0D36FB" w14:textId="77777777" w:rsidTr="00084A0B">
        <w:tc>
          <w:tcPr>
            <w:tcW w:w="3031" w:type="dxa"/>
            <w:shd w:val="clear" w:color="auto" w:fill="auto"/>
          </w:tcPr>
          <w:p w14:paraId="5223F72A" w14:textId="77777777" w:rsidR="0068538E" w:rsidRPr="007D591C" w:rsidRDefault="0068538E" w:rsidP="00084A0B">
            <w:pPr>
              <w:jc w:val="right"/>
              <w:rPr>
                <w:sz w:val="20"/>
                <w:szCs w:val="20"/>
              </w:rPr>
            </w:pPr>
            <w:r w:rsidRPr="007D591C">
              <w:rPr>
                <w:sz w:val="20"/>
                <w:szCs w:val="20"/>
              </w:rPr>
              <w:t>Less than HS</w:t>
            </w:r>
          </w:p>
        </w:tc>
        <w:tc>
          <w:tcPr>
            <w:tcW w:w="965" w:type="dxa"/>
            <w:shd w:val="clear" w:color="auto" w:fill="auto"/>
          </w:tcPr>
          <w:p w14:paraId="48CDDE4C" w14:textId="77777777" w:rsidR="0068538E" w:rsidRPr="007D591C" w:rsidRDefault="0068538E" w:rsidP="00084A0B">
            <w:pPr>
              <w:jc w:val="center"/>
              <w:rPr>
                <w:sz w:val="20"/>
                <w:szCs w:val="20"/>
              </w:rPr>
            </w:pPr>
            <w:r w:rsidRPr="007D591C">
              <w:rPr>
                <w:sz w:val="20"/>
                <w:szCs w:val="20"/>
              </w:rPr>
              <w:t>667</w:t>
            </w:r>
          </w:p>
        </w:tc>
        <w:tc>
          <w:tcPr>
            <w:tcW w:w="1037" w:type="dxa"/>
            <w:shd w:val="clear" w:color="auto" w:fill="auto"/>
          </w:tcPr>
          <w:p w14:paraId="1CD5F3DC" w14:textId="77777777" w:rsidR="0068538E" w:rsidRPr="007D591C" w:rsidRDefault="0068538E" w:rsidP="00084A0B">
            <w:pPr>
              <w:jc w:val="center"/>
              <w:rPr>
                <w:sz w:val="20"/>
                <w:szCs w:val="20"/>
              </w:rPr>
            </w:pPr>
            <w:r w:rsidRPr="007D591C">
              <w:rPr>
                <w:sz w:val="20"/>
                <w:szCs w:val="20"/>
              </w:rPr>
              <w:t>19.6</w:t>
            </w:r>
          </w:p>
        </w:tc>
        <w:tc>
          <w:tcPr>
            <w:tcW w:w="1080" w:type="dxa"/>
            <w:shd w:val="clear" w:color="auto" w:fill="auto"/>
          </w:tcPr>
          <w:p w14:paraId="56F90820" w14:textId="77777777" w:rsidR="0068538E" w:rsidRPr="007D591C" w:rsidRDefault="0068538E" w:rsidP="00084A0B">
            <w:pPr>
              <w:jc w:val="center"/>
              <w:rPr>
                <w:sz w:val="20"/>
                <w:szCs w:val="20"/>
              </w:rPr>
            </w:pPr>
            <w:r w:rsidRPr="007D591C">
              <w:rPr>
                <w:sz w:val="20"/>
                <w:szCs w:val="20"/>
              </w:rPr>
              <w:t>772</w:t>
            </w:r>
          </w:p>
        </w:tc>
        <w:tc>
          <w:tcPr>
            <w:tcW w:w="1037" w:type="dxa"/>
            <w:shd w:val="clear" w:color="auto" w:fill="auto"/>
          </w:tcPr>
          <w:p w14:paraId="2AB99F39" w14:textId="77777777" w:rsidR="0068538E" w:rsidRPr="007D591C" w:rsidRDefault="0068538E" w:rsidP="00084A0B">
            <w:pPr>
              <w:jc w:val="center"/>
              <w:rPr>
                <w:sz w:val="20"/>
                <w:szCs w:val="20"/>
              </w:rPr>
            </w:pPr>
            <w:r w:rsidRPr="007D591C">
              <w:rPr>
                <w:sz w:val="20"/>
                <w:szCs w:val="20"/>
              </w:rPr>
              <w:t>22.7</w:t>
            </w:r>
          </w:p>
        </w:tc>
        <w:tc>
          <w:tcPr>
            <w:tcW w:w="1542" w:type="dxa"/>
            <w:shd w:val="clear" w:color="auto" w:fill="auto"/>
          </w:tcPr>
          <w:p w14:paraId="2E1E2141" w14:textId="77777777" w:rsidR="0068538E" w:rsidRPr="007D591C" w:rsidRDefault="0068538E" w:rsidP="00084A0B">
            <w:pPr>
              <w:jc w:val="center"/>
              <w:rPr>
                <w:b/>
                <w:bCs/>
                <w:sz w:val="20"/>
                <w:szCs w:val="20"/>
              </w:rPr>
            </w:pPr>
            <w:r w:rsidRPr="007D591C">
              <w:rPr>
                <w:b/>
                <w:bCs/>
                <w:sz w:val="20"/>
                <w:szCs w:val="20"/>
              </w:rPr>
              <w:t>13.6</w:t>
            </w:r>
          </w:p>
        </w:tc>
        <w:tc>
          <w:tcPr>
            <w:tcW w:w="1542" w:type="dxa"/>
            <w:shd w:val="clear" w:color="auto" w:fill="auto"/>
          </w:tcPr>
          <w:p w14:paraId="54EE8265" w14:textId="77777777" w:rsidR="0068538E" w:rsidRPr="007D591C" w:rsidRDefault="0068538E" w:rsidP="00084A0B">
            <w:pPr>
              <w:jc w:val="center"/>
              <w:rPr>
                <w:b/>
                <w:bCs/>
                <w:sz w:val="20"/>
                <w:szCs w:val="20"/>
              </w:rPr>
            </w:pPr>
            <w:r w:rsidRPr="007D591C">
              <w:rPr>
                <w:b/>
                <w:bCs/>
                <w:sz w:val="20"/>
                <w:szCs w:val="20"/>
              </w:rPr>
              <w:t>3.1</w:t>
            </w:r>
          </w:p>
        </w:tc>
      </w:tr>
      <w:tr w:rsidR="0068538E" w:rsidRPr="005A09AB" w14:paraId="18D23E3F" w14:textId="77777777" w:rsidTr="00084A0B">
        <w:tc>
          <w:tcPr>
            <w:tcW w:w="3031" w:type="dxa"/>
            <w:shd w:val="clear" w:color="auto" w:fill="auto"/>
          </w:tcPr>
          <w:p w14:paraId="5F03104D" w14:textId="77777777" w:rsidR="0068538E" w:rsidRPr="007D591C" w:rsidRDefault="0068538E" w:rsidP="00084A0B">
            <w:pPr>
              <w:jc w:val="right"/>
              <w:rPr>
                <w:sz w:val="20"/>
                <w:szCs w:val="20"/>
              </w:rPr>
            </w:pPr>
            <w:r w:rsidRPr="007D591C">
              <w:rPr>
                <w:sz w:val="20"/>
                <w:szCs w:val="20"/>
              </w:rPr>
              <w:t>HS or Equivalent</w:t>
            </w:r>
          </w:p>
        </w:tc>
        <w:tc>
          <w:tcPr>
            <w:tcW w:w="965" w:type="dxa"/>
            <w:shd w:val="clear" w:color="auto" w:fill="auto"/>
          </w:tcPr>
          <w:p w14:paraId="13954101" w14:textId="77777777" w:rsidR="0068538E" w:rsidRPr="007D591C" w:rsidRDefault="0068538E" w:rsidP="00084A0B">
            <w:pPr>
              <w:jc w:val="center"/>
              <w:rPr>
                <w:sz w:val="20"/>
                <w:szCs w:val="20"/>
              </w:rPr>
            </w:pPr>
            <w:r w:rsidRPr="007D591C">
              <w:rPr>
                <w:sz w:val="20"/>
                <w:szCs w:val="20"/>
              </w:rPr>
              <w:t>1,754</w:t>
            </w:r>
          </w:p>
        </w:tc>
        <w:tc>
          <w:tcPr>
            <w:tcW w:w="1037" w:type="dxa"/>
            <w:shd w:val="clear" w:color="auto" w:fill="auto"/>
          </w:tcPr>
          <w:p w14:paraId="5FEB6D79" w14:textId="77777777" w:rsidR="0068538E" w:rsidRPr="007D591C" w:rsidRDefault="0068538E" w:rsidP="00084A0B">
            <w:pPr>
              <w:jc w:val="center"/>
              <w:rPr>
                <w:sz w:val="20"/>
                <w:szCs w:val="20"/>
              </w:rPr>
            </w:pPr>
            <w:r w:rsidRPr="007D591C">
              <w:rPr>
                <w:sz w:val="20"/>
                <w:szCs w:val="20"/>
              </w:rPr>
              <w:t>51.6</w:t>
            </w:r>
          </w:p>
        </w:tc>
        <w:tc>
          <w:tcPr>
            <w:tcW w:w="1080" w:type="dxa"/>
            <w:shd w:val="clear" w:color="auto" w:fill="auto"/>
          </w:tcPr>
          <w:p w14:paraId="65D397F1" w14:textId="77777777" w:rsidR="0068538E" w:rsidRPr="007D591C" w:rsidRDefault="0068538E" w:rsidP="00084A0B">
            <w:pPr>
              <w:jc w:val="center"/>
              <w:rPr>
                <w:sz w:val="20"/>
                <w:szCs w:val="20"/>
              </w:rPr>
            </w:pPr>
            <w:r w:rsidRPr="007D591C">
              <w:rPr>
                <w:sz w:val="20"/>
                <w:szCs w:val="20"/>
              </w:rPr>
              <w:t>1,908</w:t>
            </w:r>
          </w:p>
        </w:tc>
        <w:tc>
          <w:tcPr>
            <w:tcW w:w="1037" w:type="dxa"/>
            <w:shd w:val="clear" w:color="auto" w:fill="auto"/>
          </w:tcPr>
          <w:p w14:paraId="0178E25B" w14:textId="77777777" w:rsidR="0068538E" w:rsidRPr="007D591C" w:rsidRDefault="0068538E" w:rsidP="00084A0B">
            <w:pPr>
              <w:jc w:val="center"/>
              <w:rPr>
                <w:sz w:val="20"/>
                <w:szCs w:val="20"/>
              </w:rPr>
            </w:pPr>
            <w:r w:rsidRPr="007D591C">
              <w:rPr>
                <w:sz w:val="20"/>
                <w:szCs w:val="20"/>
              </w:rPr>
              <w:t>56.2</w:t>
            </w:r>
          </w:p>
        </w:tc>
        <w:tc>
          <w:tcPr>
            <w:tcW w:w="1542" w:type="dxa"/>
            <w:shd w:val="clear" w:color="auto" w:fill="auto"/>
          </w:tcPr>
          <w:p w14:paraId="15905C75" w14:textId="77777777" w:rsidR="0068538E" w:rsidRPr="007D591C" w:rsidRDefault="0068538E" w:rsidP="00084A0B">
            <w:pPr>
              <w:jc w:val="center"/>
              <w:rPr>
                <w:b/>
                <w:bCs/>
                <w:sz w:val="20"/>
                <w:szCs w:val="20"/>
              </w:rPr>
            </w:pPr>
            <w:r w:rsidRPr="007D591C">
              <w:rPr>
                <w:b/>
                <w:bCs/>
                <w:sz w:val="20"/>
                <w:szCs w:val="20"/>
              </w:rPr>
              <w:t>8.1</w:t>
            </w:r>
          </w:p>
        </w:tc>
        <w:tc>
          <w:tcPr>
            <w:tcW w:w="1542" w:type="dxa"/>
            <w:shd w:val="clear" w:color="auto" w:fill="auto"/>
          </w:tcPr>
          <w:p w14:paraId="5E37AC1A" w14:textId="77777777" w:rsidR="0068538E" w:rsidRPr="007D591C" w:rsidRDefault="0068538E" w:rsidP="00084A0B">
            <w:pPr>
              <w:jc w:val="center"/>
              <w:rPr>
                <w:b/>
                <w:bCs/>
                <w:sz w:val="20"/>
                <w:szCs w:val="20"/>
              </w:rPr>
            </w:pPr>
            <w:r w:rsidRPr="007D591C">
              <w:rPr>
                <w:b/>
                <w:bCs/>
                <w:sz w:val="20"/>
                <w:szCs w:val="20"/>
              </w:rPr>
              <w:t>4.6</w:t>
            </w:r>
          </w:p>
        </w:tc>
      </w:tr>
      <w:tr w:rsidR="0068538E" w:rsidRPr="005A09AB" w14:paraId="0785F0D0" w14:textId="77777777" w:rsidTr="00084A0B">
        <w:tc>
          <w:tcPr>
            <w:tcW w:w="3031" w:type="dxa"/>
            <w:shd w:val="clear" w:color="auto" w:fill="auto"/>
          </w:tcPr>
          <w:p w14:paraId="54AABC1F" w14:textId="77777777" w:rsidR="0068538E" w:rsidRPr="007D591C" w:rsidRDefault="0068538E" w:rsidP="00084A0B">
            <w:pPr>
              <w:jc w:val="right"/>
              <w:rPr>
                <w:sz w:val="20"/>
                <w:szCs w:val="20"/>
              </w:rPr>
            </w:pPr>
            <w:r w:rsidRPr="007D591C">
              <w:rPr>
                <w:sz w:val="20"/>
                <w:szCs w:val="20"/>
              </w:rPr>
              <w:t>Some College</w:t>
            </w:r>
          </w:p>
        </w:tc>
        <w:tc>
          <w:tcPr>
            <w:tcW w:w="965" w:type="dxa"/>
            <w:shd w:val="clear" w:color="auto" w:fill="auto"/>
          </w:tcPr>
          <w:p w14:paraId="34FFC4CF" w14:textId="77777777" w:rsidR="0068538E" w:rsidRPr="007D591C" w:rsidRDefault="0068538E" w:rsidP="00084A0B">
            <w:pPr>
              <w:jc w:val="center"/>
              <w:rPr>
                <w:sz w:val="20"/>
                <w:szCs w:val="20"/>
              </w:rPr>
            </w:pPr>
            <w:r w:rsidRPr="007D591C">
              <w:rPr>
                <w:sz w:val="20"/>
                <w:szCs w:val="20"/>
              </w:rPr>
              <w:t>351</w:t>
            </w:r>
          </w:p>
        </w:tc>
        <w:tc>
          <w:tcPr>
            <w:tcW w:w="1037" w:type="dxa"/>
            <w:shd w:val="clear" w:color="auto" w:fill="auto"/>
          </w:tcPr>
          <w:p w14:paraId="532E00FB" w14:textId="77777777" w:rsidR="0068538E" w:rsidRPr="007D591C" w:rsidRDefault="0068538E" w:rsidP="00084A0B">
            <w:pPr>
              <w:jc w:val="center"/>
              <w:rPr>
                <w:sz w:val="20"/>
                <w:szCs w:val="20"/>
              </w:rPr>
            </w:pPr>
            <w:r w:rsidRPr="007D591C">
              <w:rPr>
                <w:sz w:val="20"/>
                <w:szCs w:val="20"/>
              </w:rPr>
              <w:t>10.3</w:t>
            </w:r>
          </w:p>
        </w:tc>
        <w:tc>
          <w:tcPr>
            <w:tcW w:w="1080" w:type="dxa"/>
            <w:shd w:val="clear" w:color="auto" w:fill="auto"/>
          </w:tcPr>
          <w:p w14:paraId="26E87779" w14:textId="77777777" w:rsidR="0068538E" w:rsidRPr="007D591C" w:rsidRDefault="0068538E" w:rsidP="00084A0B">
            <w:pPr>
              <w:jc w:val="center"/>
              <w:rPr>
                <w:sz w:val="20"/>
                <w:szCs w:val="20"/>
              </w:rPr>
            </w:pPr>
            <w:r w:rsidRPr="007D591C">
              <w:rPr>
                <w:sz w:val="20"/>
                <w:szCs w:val="20"/>
              </w:rPr>
              <w:t>513</w:t>
            </w:r>
          </w:p>
        </w:tc>
        <w:tc>
          <w:tcPr>
            <w:tcW w:w="1037" w:type="dxa"/>
            <w:shd w:val="clear" w:color="auto" w:fill="auto"/>
          </w:tcPr>
          <w:p w14:paraId="3F3C3213" w14:textId="77777777" w:rsidR="0068538E" w:rsidRPr="007D591C" w:rsidRDefault="0068538E" w:rsidP="00084A0B">
            <w:pPr>
              <w:jc w:val="center"/>
              <w:rPr>
                <w:sz w:val="20"/>
                <w:szCs w:val="20"/>
              </w:rPr>
            </w:pPr>
            <w:r w:rsidRPr="007D591C">
              <w:rPr>
                <w:sz w:val="20"/>
                <w:szCs w:val="20"/>
              </w:rPr>
              <w:t>15.1</w:t>
            </w:r>
          </w:p>
        </w:tc>
        <w:tc>
          <w:tcPr>
            <w:tcW w:w="1542" w:type="dxa"/>
            <w:shd w:val="clear" w:color="auto" w:fill="auto"/>
          </w:tcPr>
          <w:p w14:paraId="0359E9EF" w14:textId="77777777" w:rsidR="0068538E" w:rsidRPr="007D591C" w:rsidRDefault="0068538E" w:rsidP="00084A0B">
            <w:pPr>
              <w:jc w:val="center"/>
              <w:rPr>
                <w:b/>
                <w:bCs/>
                <w:sz w:val="20"/>
                <w:szCs w:val="20"/>
              </w:rPr>
            </w:pPr>
            <w:r w:rsidRPr="007D591C">
              <w:rPr>
                <w:b/>
                <w:bCs/>
                <w:sz w:val="20"/>
                <w:szCs w:val="20"/>
              </w:rPr>
              <w:t>31.6</w:t>
            </w:r>
          </w:p>
        </w:tc>
        <w:tc>
          <w:tcPr>
            <w:tcW w:w="1542" w:type="dxa"/>
            <w:shd w:val="clear" w:color="auto" w:fill="auto"/>
          </w:tcPr>
          <w:p w14:paraId="2B701FEF" w14:textId="77777777" w:rsidR="0068538E" w:rsidRPr="007D591C" w:rsidRDefault="0068538E" w:rsidP="00084A0B">
            <w:pPr>
              <w:jc w:val="center"/>
              <w:rPr>
                <w:b/>
                <w:bCs/>
                <w:sz w:val="20"/>
                <w:szCs w:val="20"/>
              </w:rPr>
            </w:pPr>
            <w:r w:rsidRPr="007D591C">
              <w:rPr>
                <w:b/>
                <w:bCs/>
                <w:sz w:val="20"/>
                <w:szCs w:val="20"/>
              </w:rPr>
              <w:t>4.8</w:t>
            </w:r>
          </w:p>
        </w:tc>
      </w:tr>
      <w:tr w:rsidR="0068538E" w:rsidRPr="005A09AB" w14:paraId="1D955C48" w14:textId="77777777" w:rsidTr="00084A0B">
        <w:tc>
          <w:tcPr>
            <w:tcW w:w="3031" w:type="dxa"/>
            <w:shd w:val="clear" w:color="auto" w:fill="auto"/>
          </w:tcPr>
          <w:p w14:paraId="38741F00" w14:textId="77777777" w:rsidR="0068538E" w:rsidRPr="007D591C" w:rsidRDefault="0068538E" w:rsidP="00084A0B">
            <w:pPr>
              <w:jc w:val="right"/>
              <w:rPr>
                <w:sz w:val="20"/>
                <w:szCs w:val="20"/>
              </w:rPr>
            </w:pPr>
            <w:r w:rsidRPr="007D591C">
              <w:rPr>
                <w:sz w:val="20"/>
                <w:szCs w:val="20"/>
              </w:rPr>
              <w:t>College or More</w:t>
            </w:r>
          </w:p>
        </w:tc>
        <w:tc>
          <w:tcPr>
            <w:tcW w:w="965" w:type="dxa"/>
            <w:shd w:val="clear" w:color="auto" w:fill="auto"/>
          </w:tcPr>
          <w:p w14:paraId="59D608C2" w14:textId="77777777" w:rsidR="0068538E" w:rsidRPr="007D591C" w:rsidRDefault="0068538E" w:rsidP="00084A0B">
            <w:pPr>
              <w:jc w:val="center"/>
              <w:rPr>
                <w:sz w:val="20"/>
                <w:szCs w:val="20"/>
              </w:rPr>
            </w:pPr>
            <w:r w:rsidRPr="007D591C">
              <w:rPr>
                <w:sz w:val="20"/>
                <w:szCs w:val="20"/>
              </w:rPr>
              <w:t>624</w:t>
            </w:r>
          </w:p>
        </w:tc>
        <w:tc>
          <w:tcPr>
            <w:tcW w:w="1037" w:type="dxa"/>
            <w:shd w:val="clear" w:color="auto" w:fill="auto"/>
          </w:tcPr>
          <w:p w14:paraId="031AD871" w14:textId="77777777" w:rsidR="0068538E" w:rsidRPr="007D591C" w:rsidRDefault="0068538E" w:rsidP="00084A0B">
            <w:pPr>
              <w:jc w:val="center"/>
              <w:rPr>
                <w:sz w:val="20"/>
                <w:szCs w:val="20"/>
              </w:rPr>
            </w:pPr>
            <w:r w:rsidRPr="007D591C">
              <w:rPr>
                <w:sz w:val="20"/>
                <w:szCs w:val="20"/>
              </w:rPr>
              <w:t>18.4</w:t>
            </w:r>
          </w:p>
        </w:tc>
        <w:tc>
          <w:tcPr>
            <w:tcW w:w="1080" w:type="dxa"/>
            <w:shd w:val="clear" w:color="auto" w:fill="auto"/>
          </w:tcPr>
          <w:p w14:paraId="37EE11FC" w14:textId="77777777" w:rsidR="0068538E" w:rsidRPr="007D591C" w:rsidRDefault="0068538E" w:rsidP="00084A0B">
            <w:pPr>
              <w:jc w:val="center"/>
              <w:rPr>
                <w:sz w:val="20"/>
                <w:szCs w:val="20"/>
              </w:rPr>
            </w:pPr>
            <w:r w:rsidRPr="007D591C">
              <w:rPr>
                <w:sz w:val="20"/>
                <w:szCs w:val="20"/>
              </w:rPr>
              <w:t>203</w:t>
            </w:r>
          </w:p>
        </w:tc>
        <w:tc>
          <w:tcPr>
            <w:tcW w:w="1037" w:type="dxa"/>
            <w:shd w:val="clear" w:color="auto" w:fill="auto"/>
          </w:tcPr>
          <w:p w14:paraId="4334CD76" w14:textId="77777777" w:rsidR="0068538E" w:rsidRPr="007D591C" w:rsidRDefault="0068538E" w:rsidP="00084A0B">
            <w:pPr>
              <w:jc w:val="center"/>
              <w:rPr>
                <w:sz w:val="20"/>
                <w:szCs w:val="20"/>
              </w:rPr>
            </w:pPr>
            <w:r w:rsidRPr="007D591C">
              <w:rPr>
                <w:sz w:val="20"/>
                <w:szCs w:val="20"/>
              </w:rPr>
              <w:t>6.0</w:t>
            </w:r>
          </w:p>
        </w:tc>
        <w:tc>
          <w:tcPr>
            <w:tcW w:w="1542" w:type="dxa"/>
            <w:shd w:val="clear" w:color="auto" w:fill="auto"/>
          </w:tcPr>
          <w:p w14:paraId="5BBAFB56" w14:textId="77777777" w:rsidR="0068538E" w:rsidRPr="007D591C" w:rsidRDefault="0068538E" w:rsidP="00084A0B">
            <w:pPr>
              <w:jc w:val="center"/>
              <w:rPr>
                <w:b/>
                <w:bCs/>
                <w:sz w:val="20"/>
                <w:szCs w:val="20"/>
              </w:rPr>
            </w:pPr>
            <w:r w:rsidRPr="007D591C">
              <w:rPr>
                <w:b/>
                <w:bCs/>
                <w:sz w:val="20"/>
                <w:szCs w:val="20"/>
              </w:rPr>
              <w:t>-207.3</w:t>
            </w:r>
          </w:p>
        </w:tc>
        <w:tc>
          <w:tcPr>
            <w:tcW w:w="1542" w:type="dxa"/>
            <w:shd w:val="clear" w:color="auto" w:fill="auto"/>
          </w:tcPr>
          <w:p w14:paraId="2F48F96B" w14:textId="77777777" w:rsidR="0068538E" w:rsidRPr="007D591C" w:rsidRDefault="0068538E" w:rsidP="00084A0B">
            <w:pPr>
              <w:jc w:val="center"/>
              <w:rPr>
                <w:b/>
                <w:bCs/>
                <w:sz w:val="20"/>
                <w:szCs w:val="20"/>
              </w:rPr>
            </w:pPr>
            <w:r w:rsidRPr="007D591C">
              <w:rPr>
                <w:b/>
                <w:bCs/>
                <w:sz w:val="20"/>
                <w:szCs w:val="20"/>
              </w:rPr>
              <w:t>-12.4</w:t>
            </w:r>
          </w:p>
        </w:tc>
      </w:tr>
      <w:tr w:rsidR="0068538E" w:rsidRPr="005A09AB" w14:paraId="1769041B" w14:textId="77777777" w:rsidTr="00084A0B">
        <w:tc>
          <w:tcPr>
            <w:tcW w:w="10234" w:type="dxa"/>
            <w:gridSpan w:val="7"/>
            <w:shd w:val="clear" w:color="auto" w:fill="auto"/>
          </w:tcPr>
          <w:p w14:paraId="06020AE7" w14:textId="77777777" w:rsidR="0068538E" w:rsidRPr="007D591C" w:rsidRDefault="0068538E" w:rsidP="00084A0B">
            <w:pPr>
              <w:rPr>
                <w:b/>
                <w:bCs/>
                <w:i/>
                <w:iCs/>
                <w:sz w:val="20"/>
                <w:szCs w:val="20"/>
              </w:rPr>
            </w:pPr>
            <w:r w:rsidRPr="007D591C">
              <w:rPr>
                <w:i/>
                <w:iCs/>
                <w:sz w:val="16"/>
                <w:szCs w:val="16"/>
              </w:rPr>
              <w:t>* FFY 2019 Education information was collected at application; FFY 2023 Education information was collected at plan development</w:t>
            </w:r>
          </w:p>
        </w:tc>
      </w:tr>
      <w:tr w:rsidR="0068538E" w:rsidRPr="005A09AB" w14:paraId="2E878522" w14:textId="77777777" w:rsidTr="00084A0B">
        <w:tc>
          <w:tcPr>
            <w:tcW w:w="3031" w:type="dxa"/>
          </w:tcPr>
          <w:p w14:paraId="32CF3E86" w14:textId="77777777" w:rsidR="0068538E" w:rsidRPr="005A09AB" w:rsidRDefault="0068538E" w:rsidP="00084A0B">
            <w:pPr>
              <w:jc w:val="center"/>
              <w:rPr>
                <w:sz w:val="20"/>
                <w:szCs w:val="20"/>
              </w:rPr>
            </w:pPr>
          </w:p>
        </w:tc>
        <w:tc>
          <w:tcPr>
            <w:tcW w:w="965" w:type="dxa"/>
          </w:tcPr>
          <w:p w14:paraId="539E75CB" w14:textId="77777777" w:rsidR="0068538E" w:rsidRPr="005A09AB" w:rsidRDefault="0068538E" w:rsidP="00084A0B">
            <w:pPr>
              <w:jc w:val="center"/>
              <w:rPr>
                <w:sz w:val="20"/>
                <w:szCs w:val="20"/>
              </w:rPr>
            </w:pPr>
          </w:p>
        </w:tc>
        <w:tc>
          <w:tcPr>
            <w:tcW w:w="1037" w:type="dxa"/>
          </w:tcPr>
          <w:p w14:paraId="0119C1CB" w14:textId="77777777" w:rsidR="0068538E" w:rsidRPr="005A09AB" w:rsidRDefault="0068538E" w:rsidP="00084A0B">
            <w:pPr>
              <w:jc w:val="center"/>
              <w:rPr>
                <w:sz w:val="20"/>
                <w:szCs w:val="20"/>
              </w:rPr>
            </w:pPr>
          </w:p>
        </w:tc>
        <w:tc>
          <w:tcPr>
            <w:tcW w:w="1080" w:type="dxa"/>
          </w:tcPr>
          <w:p w14:paraId="542C4271" w14:textId="77777777" w:rsidR="0068538E" w:rsidRPr="005A09AB" w:rsidRDefault="0068538E" w:rsidP="00084A0B">
            <w:pPr>
              <w:jc w:val="center"/>
              <w:rPr>
                <w:sz w:val="20"/>
                <w:szCs w:val="20"/>
              </w:rPr>
            </w:pPr>
          </w:p>
        </w:tc>
        <w:tc>
          <w:tcPr>
            <w:tcW w:w="1037" w:type="dxa"/>
          </w:tcPr>
          <w:p w14:paraId="40FDBDA5" w14:textId="77777777" w:rsidR="0068538E" w:rsidRPr="005A09AB" w:rsidRDefault="0068538E" w:rsidP="00084A0B">
            <w:pPr>
              <w:jc w:val="center"/>
              <w:rPr>
                <w:sz w:val="20"/>
                <w:szCs w:val="20"/>
              </w:rPr>
            </w:pPr>
          </w:p>
        </w:tc>
        <w:tc>
          <w:tcPr>
            <w:tcW w:w="1542" w:type="dxa"/>
          </w:tcPr>
          <w:p w14:paraId="61614B04" w14:textId="77777777" w:rsidR="0068538E" w:rsidRPr="004B2470" w:rsidRDefault="0068538E" w:rsidP="00084A0B">
            <w:pPr>
              <w:jc w:val="center"/>
              <w:rPr>
                <w:b/>
                <w:bCs/>
                <w:sz w:val="20"/>
                <w:szCs w:val="20"/>
              </w:rPr>
            </w:pPr>
          </w:p>
        </w:tc>
        <w:tc>
          <w:tcPr>
            <w:tcW w:w="1542" w:type="dxa"/>
          </w:tcPr>
          <w:p w14:paraId="6C87BDC1" w14:textId="77777777" w:rsidR="0068538E" w:rsidRPr="004B2470" w:rsidRDefault="0068538E" w:rsidP="00084A0B">
            <w:pPr>
              <w:jc w:val="center"/>
              <w:rPr>
                <w:b/>
                <w:bCs/>
                <w:sz w:val="20"/>
                <w:szCs w:val="20"/>
              </w:rPr>
            </w:pPr>
          </w:p>
        </w:tc>
      </w:tr>
      <w:tr w:rsidR="0068538E" w:rsidRPr="005A09AB" w14:paraId="0E4A35BA" w14:textId="77777777" w:rsidTr="00084A0B">
        <w:tc>
          <w:tcPr>
            <w:tcW w:w="3031" w:type="dxa"/>
          </w:tcPr>
          <w:p w14:paraId="200B321C" w14:textId="77777777" w:rsidR="0068538E" w:rsidRPr="0076251D" w:rsidRDefault="0068538E" w:rsidP="00084A0B">
            <w:pPr>
              <w:rPr>
                <w:i/>
                <w:iCs/>
                <w:sz w:val="20"/>
                <w:szCs w:val="20"/>
              </w:rPr>
            </w:pPr>
            <w:r w:rsidRPr="0076251D">
              <w:rPr>
                <w:i/>
                <w:iCs/>
                <w:sz w:val="20"/>
                <w:szCs w:val="20"/>
              </w:rPr>
              <w:t>Gender</w:t>
            </w:r>
          </w:p>
        </w:tc>
        <w:tc>
          <w:tcPr>
            <w:tcW w:w="965" w:type="dxa"/>
          </w:tcPr>
          <w:p w14:paraId="688E1DF5" w14:textId="77777777" w:rsidR="0068538E" w:rsidRPr="005A09AB" w:rsidRDefault="0068538E" w:rsidP="00084A0B">
            <w:pPr>
              <w:jc w:val="center"/>
              <w:rPr>
                <w:sz w:val="20"/>
                <w:szCs w:val="20"/>
              </w:rPr>
            </w:pPr>
          </w:p>
        </w:tc>
        <w:tc>
          <w:tcPr>
            <w:tcW w:w="1037" w:type="dxa"/>
          </w:tcPr>
          <w:p w14:paraId="2F202C47" w14:textId="77777777" w:rsidR="0068538E" w:rsidRPr="005A09AB" w:rsidRDefault="0068538E" w:rsidP="00084A0B">
            <w:pPr>
              <w:jc w:val="center"/>
              <w:rPr>
                <w:sz w:val="20"/>
                <w:szCs w:val="20"/>
              </w:rPr>
            </w:pPr>
          </w:p>
        </w:tc>
        <w:tc>
          <w:tcPr>
            <w:tcW w:w="1080" w:type="dxa"/>
          </w:tcPr>
          <w:p w14:paraId="004F6555" w14:textId="77777777" w:rsidR="0068538E" w:rsidRPr="005A09AB" w:rsidRDefault="0068538E" w:rsidP="00084A0B">
            <w:pPr>
              <w:jc w:val="center"/>
              <w:rPr>
                <w:sz w:val="20"/>
                <w:szCs w:val="20"/>
              </w:rPr>
            </w:pPr>
          </w:p>
        </w:tc>
        <w:tc>
          <w:tcPr>
            <w:tcW w:w="1037" w:type="dxa"/>
          </w:tcPr>
          <w:p w14:paraId="00EF1093" w14:textId="77777777" w:rsidR="0068538E" w:rsidRPr="005A09AB" w:rsidRDefault="0068538E" w:rsidP="00084A0B">
            <w:pPr>
              <w:jc w:val="center"/>
              <w:rPr>
                <w:sz w:val="20"/>
                <w:szCs w:val="20"/>
              </w:rPr>
            </w:pPr>
          </w:p>
        </w:tc>
        <w:tc>
          <w:tcPr>
            <w:tcW w:w="1542" w:type="dxa"/>
          </w:tcPr>
          <w:p w14:paraId="6E5B8EB3" w14:textId="77777777" w:rsidR="0068538E" w:rsidRPr="004B2470" w:rsidRDefault="0068538E" w:rsidP="00084A0B">
            <w:pPr>
              <w:jc w:val="center"/>
              <w:rPr>
                <w:b/>
                <w:bCs/>
                <w:sz w:val="20"/>
                <w:szCs w:val="20"/>
              </w:rPr>
            </w:pPr>
          </w:p>
        </w:tc>
        <w:tc>
          <w:tcPr>
            <w:tcW w:w="1542" w:type="dxa"/>
          </w:tcPr>
          <w:p w14:paraId="497E5330" w14:textId="77777777" w:rsidR="0068538E" w:rsidRPr="004B2470" w:rsidRDefault="0068538E" w:rsidP="00084A0B">
            <w:pPr>
              <w:jc w:val="center"/>
              <w:rPr>
                <w:b/>
                <w:bCs/>
                <w:sz w:val="20"/>
                <w:szCs w:val="20"/>
              </w:rPr>
            </w:pPr>
          </w:p>
        </w:tc>
      </w:tr>
      <w:tr w:rsidR="0068538E" w:rsidRPr="005A09AB" w14:paraId="7CCCE5FA" w14:textId="77777777" w:rsidTr="00084A0B">
        <w:tc>
          <w:tcPr>
            <w:tcW w:w="3031" w:type="dxa"/>
          </w:tcPr>
          <w:p w14:paraId="4FFBD984" w14:textId="77777777" w:rsidR="0068538E" w:rsidRPr="005A09AB" w:rsidRDefault="0068538E" w:rsidP="00084A0B">
            <w:pPr>
              <w:jc w:val="right"/>
              <w:rPr>
                <w:sz w:val="20"/>
                <w:szCs w:val="20"/>
              </w:rPr>
            </w:pPr>
            <w:r w:rsidRPr="005A09AB">
              <w:rPr>
                <w:sz w:val="20"/>
                <w:szCs w:val="20"/>
              </w:rPr>
              <w:t>Does Not Wish to Self-Identify</w:t>
            </w:r>
            <w:r>
              <w:rPr>
                <w:sz w:val="20"/>
                <w:szCs w:val="20"/>
              </w:rPr>
              <w:t>**</w:t>
            </w:r>
          </w:p>
        </w:tc>
        <w:tc>
          <w:tcPr>
            <w:tcW w:w="965" w:type="dxa"/>
          </w:tcPr>
          <w:p w14:paraId="0BD47898" w14:textId="77777777" w:rsidR="0068538E" w:rsidRPr="005A09AB" w:rsidRDefault="0068538E" w:rsidP="00084A0B">
            <w:pPr>
              <w:jc w:val="center"/>
              <w:rPr>
                <w:sz w:val="20"/>
                <w:szCs w:val="20"/>
              </w:rPr>
            </w:pPr>
            <w:r>
              <w:rPr>
                <w:sz w:val="20"/>
                <w:szCs w:val="20"/>
              </w:rPr>
              <w:t>-</w:t>
            </w:r>
          </w:p>
        </w:tc>
        <w:tc>
          <w:tcPr>
            <w:tcW w:w="1037" w:type="dxa"/>
          </w:tcPr>
          <w:p w14:paraId="71231850" w14:textId="77777777" w:rsidR="0068538E" w:rsidRPr="005A09AB" w:rsidRDefault="0068538E" w:rsidP="00084A0B">
            <w:pPr>
              <w:jc w:val="center"/>
              <w:rPr>
                <w:sz w:val="20"/>
                <w:szCs w:val="20"/>
              </w:rPr>
            </w:pPr>
            <w:r>
              <w:rPr>
                <w:sz w:val="20"/>
                <w:szCs w:val="20"/>
              </w:rPr>
              <w:t>-</w:t>
            </w:r>
          </w:p>
        </w:tc>
        <w:tc>
          <w:tcPr>
            <w:tcW w:w="1080" w:type="dxa"/>
          </w:tcPr>
          <w:p w14:paraId="6A689EA2" w14:textId="77777777" w:rsidR="0068538E" w:rsidRPr="005A09AB" w:rsidRDefault="0068538E" w:rsidP="00084A0B">
            <w:pPr>
              <w:jc w:val="center"/>
              <w:rPr>
                <w:sz w:val="20"/>
                <w:szCs w:val="20"/>
              </w:rPr>
            </w:pPr>
            <w:r>
              <w:rPr>
                <w:sz w:val="20"/>
                <w:szCs w:val="20"/>
              </w:rPr>
              <w:t>29</w:t>
            </w:r>
          </w:p>
        </w:tc>
        <w:tc>
          <w:tcPr>
            <w:tcW w:w="1037" w:type="dxa"/>
          </w:tcPr>
          <w:p w14:paraId="4A9AAA82" w14:textId="77777777" w:rsidR="0068538E" w:rsidRPr="005A09AB" w:rsidRDefault="0068538E" w:rsidP="00084A0B">
            <w:pPr>
              <w:jc w:val="center"/>
              <w:rPr>
                <w:sz w:val="20"/>
                <w:szCs w:val="20"/>
              </w:rPr>
            </w:pPr>
            <w:r>
              <w:rPr>
                <w:sz w:val="20"/>
                <w:szCs w:val="20"/>
              </w:rPr>
              <w:t>1.0</w:t>
            </w:r>
          </w:p>
        </w:tc>
        <w:tc>
          <w:tcPr>
            <w:tcW w:w="1542" w:type="dxa"/>
          </w:tcPr>
          <w:p w14:paraId="2A8C0828" w14:textId="77777777" w:rsidR="0068538E" w:rsidRPr="004B2470" w:rsidRDefault="0068538E" w:rsidP="00084A0B">
            <w:pPr>
              <w:jc w:val="center"/>
              <w:rPr>
                <w:b/>
                <w:bCs/>
                <w:sz w:val="20"/>
                <w:szCs w:val="20"/>
              </w:rPr>
            </w:pPr>
            <w:r>
              <w:rPr>
                <w:b/>
                <w:bCs/>
                <w:sz w:val="20"/>
                <w:szCs w:val="20"/>
              </w:rPr>
              <w:t>N/A</w:t>
            </w:r>
          </w:p>
        </w:tc>
        <w:tc>
          <w:tcPr>
            <w:tcW w:w="1542" w:type="dxa"/>
          </w:tcPr>
          <w:p w14:paraId="5921B295" w14:textId="77777777" w:rsidR="0068538E" w:rsidRPr="004B2470" w:rsidRDefault="0068538E" w:rsidP="00084A0B">
            <w:pPr>
              <w:jc w:val="center"/>
              <w:rPr>
                <w:b/>
                <w:bCs/>
                <w:sz w:val="20"/>
                <w:szCs w:val="20"/>
              </w:rPr>
            </w:pPr>
            <w:r>
              <w:rPr>
                <w:b/>
                <w:bCs/>
                <w:sz w:val="20"/>
                <w:szCs w:val="20"/>
              </w:rPr>
              <w:t>N/A</w:t>
            </w:r>
          </w:p>
        </w:tc>
      </w:tr>
      <w:tr w:rsidR="0068538E" w:rsidRPr="005A09AB" w14:paraId="01D02766" w14:textId="77777777" w:rsidTr="00084A0B">
        <w:tc>
          <w:tcPr>
            <w:tcW w:w="3031" w:type="dxa"/>
          </w:tcPr>
          <w:p w14:paraId="5B9F9E95" w14:textId="77777777" w:rsidR="0068538E" w:rsidRPr="005A09AB" w:rsidRDefault="0068538E" w:rsidP="00084A0B">
            <w:pPr>
              <w:jc w:val="right"/>
              <w:rPr>
                <w:sz w:val="20"/>
                <w:szCs w:val="20"/>
              </w:rPr>
            </w:pPr>
            <w:r w:rsidRPr="005A09AB">
              <w:rPr>
                <w:sz w:val="20"/>
                <w:szCs w:val="20"/>
              </w:rPr>
              <w:t>Female</w:t>
            </w:r>
          </w:p>
        </w:tc>
        <w:tc>
          <w:tcPr>
            <w:tcW w:w="965" w:type="dxa"/>
          </w:tcPr>
          <w:p w14:paraId="15939039" w14:textId="77777777" w:rsidR="0068538E" w:rsidRPr="005A09AB" w:rsidRDefault="0068538E" w:rsidP="00084A0B">
            <w:pPr>
              <w:jc w:val="center"/>
              <w:rPr>
                <w:sz w:val="20"/>
                <w:szCs w:val="20"/>
              </w:rPr>
            </w:pPr>
            <w:r>
              <w:rPr>
                <w:sz w:val="20"/>
                <w:szCs w:val="20"/>
              </w:rPr>
              <w:t>1,486</w:t>
            </w:r>
          </w:p>
        </w:tc>
        <w:tc>
          <w:tcPr>
            <w:tcW w:w="1037" w:type="dxa"/>
          </w:tcPr>
          <w:p w14:paraId="5910A93B" w14:textId="77777777" w:rsidR="0068538E" w:rsidRPr="005A09AB" w:rsidRDefault="0068538E" w:rsidP="00084A0B">
            <w:pPr>
              <w:jc w:val="center"/>
              <w:rPr>
                <w:sz w:val="20"/>
                <w:szCs w:val="20"/>
              </w:rPr>
            </w:pPr>
            <w:r>
              <w:rPr>
                <w:sz w:val="20"/>
                <w:szCs w:val="20"/>
              </w:rPr>
              <w:t>43.8</w:t>
            </w:r>
          </w:p>
        </w:tc>
        <w:tc>
          <w:tcPr>
            <w:tcW w:w="1080" w:type="dxa"/>
          </w:tcPr>
          <w:p w14:paraId="6F39240F" w14:textId="77777777" w:rsidR="0068538E" w:rsidRPr="005A09AB" w:rsidRDefault="0068538E" w:rsidP="00084A0B">
            <w:pPr>
              <w:jc w:val="center"/>
              <w:rPr>
                <w:sz w:val="20"/>
                <w:szCs w:val="20"/>
              </w:rPr>
            </w:pPr>
            <w:r>
              <w:rPr>
                <w:sz w:val="20"/>
                <w:szCs w:val="20"/>
              </w:rPr>
              <w:t>1,176</w:t>
            </w:r>
          </w:p>
        </w:tc>
        <w:tc>
          <w:tcPr>
            <w:tcW w:w="1037" w:type="dxa"/>
          </w:tcPr>
          <w:p w14:paraId="7E29354D" w14:textId="77777777" w:rsidR="0068538E" w:rsidRPr="005A09AB" w:rsidRDefault="0068538E" w:rsidP="00084A0B">
            <w:pPr>
              <w:jc w:val="center"/>
              <w:rPr>
                <w:sz w:val="20"/>
                <w:szCs w:val="20"/>
              </w:rPr>
            </w:pPr>
            <w:r>
              <w:rPr>
                <w:sz w:val="20"/>
                <w:szCs w:val="20"/>
              </w:rPr>
              <w:t>40.7</w:t>
            </w:r>
          </w:p>
        </w:tc>
        <w:tc>
          <w:tcPr>
            <w:tcW w:w="1542" w:type="dxa"/>
          </w:tcPr>
          <w:p w14:paraId="0DEED3DF" w14:textId="77777777" w:rsidR="0068538E" w:rsidRPr="004B2470" w:rsidRDefault="0068538E" w:rsidP="00084A0B">
            <w:pPr>
              <w:jc w:val="center"/>
              <w:rPr>
                <w:b/>
                <w:bCs/>
                <w:sz w:val="20"/>
                <w:szCs w:val="20"/>
              </w:rPr>
            </w:pPr>
            <w:r>
              <w:rPr>
                <w:b/>
                <w:bCs/>
                <w:sz w:val="20"/>
                <w:szCs w:val="20"/>
              </w:rPr>
              <w:t>-26.2</w:t>
            </w:r>
          </w:p>
        </w:tc>
        <w:tc>
          <w:tcPr>
            <w:tcW w:w="1542" w:type="dxa"/>
          </w:tcPr>
          <w:p w14:paraId="1E42C018" w14:textId="77777777" w:rsidR="0068538E" w:rsidRPr="004B2470" w:rsidRDefault="0068538E" w:rsidP="00084A0B">
            <w:pPr>
              <w:jc w:val="center"/>
              <w:rPr>
                <w:b/>
                <w:bCs/>
                <w:sz w:val="20"/>
                <w:szCs w:val="20"/>
              </w:rPr>
            </w:pPr>
            <w:r>
              <w:rPr>
                <w:b/>
                <w:bCs/>
                <w:sz w:val="20"/>
                <w:szCs w:val="20"/>
              </w:rPr>
              <w:t>-3.1</w:t>
            </w:r>
          </w:p>
        </w:tc>
      </w:tr>
      <w:tr w:rsidR="0068538E" w:rsidRPr="005A09AB" w14:paraId="493704F6" w14:textId="77777777" w:rsidTr="00084A0B">
        <w:tc>
          <w:tcPr>
            <w:tcW w:w="3031" w:type="dxa"/>
          </w:tcPr>
          <w:p w14:paraId="29841CE4" w14:textId="77777777" w:rsidR="0068538E" w:rsidRPr="005A09AB" w:rsidRDefault="0068538E" w:rsidP="00084A0B">
            <w:pPr>
              <w:jc w:val="right"/>
              <w:rPr>
                <w:sz w:val="20"/>
                <w:szCs w:val="20"/>
              </w:rPr>
            </w:pPr>
            <w:r w:rsidRPr="005A09AB">
              <w:rPr>
                <w:sz w:val="20"/>
                <w:szCs w:val="20"/>
              </w:rPr>
              <w:t>Male</w:t>
            </w:r>
          </w:p>
        </w:tc>
        <w:tc>
          <w:tcPr>
            <w:tcW w:w="965" w:type="dxa"/>
          </w:tcPr>
          <w:p w14:paraId="4C553072" w14:textId="77777777" w:rsidR="0068538E" w:rsidRPr="005A09AB" w:rsidRDefault="0068538E" w:rsidP="00084A0B">
            <w:pPr>
              <w:jc w:val="center"/>
              <w:rPr>
                <w:sz w:val="20"/>
                <w:szCs w:val="20"/>
              </w:rPr>
            </w:pPr>
            <w:r>
              <w:rPr>
                <w:sz w:val="20"/>
                <w:szCs w:val="20"/>
              </w:rPr>
              <w:t>1,910</w:t>
            </w:r>
          </w:p>
        </w:tc>
        <w:tc>
          <w:tcPr>
            <w:tcW w:w="1037" w:type="dxa"/>
          </w:tcPr>
          <w:p w14:paraId="7B30592E" w14:textId="77777777" w:rsidR="0068538E" w:rsidRPr="005A09AB" w:rsidRDefault="0068538E" w:rsidP="00084A0B">
            <w:pPr>
              <w:jc w:val="center"/>
              <w:rPr>
                <w:sz w:val="20"/>
                <w:szCs w:val="20"/>
              </w:rPr>
            </w:pPr>
            <w:r>
              <w:rPr>
                <w:sz w:val="20"/>
                <w:szCs w:val="20"/>
              </w:rPr>
              <w:t>56.2</w:t>
            </w:r>
          </w:p>
        </w:tc>
        <w:tc>
          <w:tcPr>
            <w:tcW w:w="1080" w:type="dxa"/>
          </w:tcPr>
          <w:p w14:paraId="08DA3CC4" w14:textId="77777777" w:rsidR="0068538E" w:rsidRPr="005A09AB" w:rsidRDefault="0068538E" w:rsidP="00084A0B">
            <w:pPr>
              <w:jc w:val="center"/>
              <w:rPr>
                <w:sz w:val="20"/>
                <w:szCs w:val="20"/>
              </w:rPr>
            </w:pPr>
            <w:r>
              <w:rPr>
                <w:sz w:val="20"/>
                <w:szCs w:val="20"/>
              </w:rPr>
              <w:t>1,654</w:t>
            </w:r>
          </w:p>
        </w:tc>
        <w:tc>
          <w:tcPr>
            <w:tcW w:w="1037" w:type="dxa"/>
          </w:tcPr>
          <w:p w14:paraId="3759D2D7" w14:textId="77777777" w:rsidR="0068538E" w:rsidRPr="005A09AB" w:rsidRDefault="0068538E" w:rsidP="00084A0B">
            <w:pPr>
              <w:jc w:val="center"/>
              <w:rPr>
                <w:sz w:val="20"/>
                <w:szCs w:val="20"/>
              </w:rPr>
            </w:pPr>
            <w:r>
              <w:rPr>
                <w:sz w:val="20"/>
                <w:szCs w:val="20"/>
              </w:rPr>
              <w:t>57.3</w:t>
            </w:r>
          </w:p>
        </w:tc>
        <w:tc>
          <w:tcPr>
            <w:tcW w:w="1542" w:type="dxa"/>
          </w:tcPr>
          <w:p w14:paraId="0BFA5F52" w14:textId="77777777" w:rsidR="0068538E" w:rsidRPr="004B2470" w:rsidRDefault="0068538E" w:rsidP="00084A0B">
            <w:pPr>
              <w:jc w:val="center"/>
              <w:rPr>
                <w:b/>
                <w:bCs/>
                <w:sz w:val="20"/>
                <w:szCs w:val="20"/>
              </w:rPr>
            </w:pPr>
            <w:r>
              <w:rPr>
                <w:b/>
                <w:bCs/>
                <w:sz w:val="20"/>
                <w:szCs w:val="20"/>
              </w:rPr>
              <w:t>-15.5</w:t>
            </w:r>
          </w:p>
        </w:tc>
        <w:tc>
          <w:tcPr>
            <w:tcW w:w="1542" w:type="dxa"/>
          </w:tcPr>
          <w:p w14:paraId="1F277EC5" w14:textId="77777777" w:rsidR="0068538E" w:rsidRPr="004B2470" w:rsidRDefault="0068538E" w:rsidP="00084A0B">
            <w:pPr>
              <w:jc w:val="center"/>
              <w:rPr>
                <w:b/>
                <w:bCs/>
                <w:sz w:val="20"/>
                <w:szCs w:val="20"/>
              </w:rPr>
            </w:pPr>
            <w:r>
              <w:rPr>
                <w:b/>
                <w:bCs/>
                <w:sz w:val="20"/>
                <w:szCs w:val="20"/>
              </w:rPr>
              <w:t>1.1</w:t>
            </w:r>
          </w:p>
        </w:tc>
      </w:tr>
      <w:tr w:rsidR="0068538E" w:rsidRPr="005A09AB" w14:paraId="70F69215" w14:textId="77777777" w:rsidTr="00084A0B">
        <w:tc>
          <w:tcPr>
            <w:tcW w:w="3031" w:type="dxa"/>
          </w:tcPr>
          <w:p w14:paraId="5EC63073" w14:textId="77777777" w:rsidR="0068538E" w:rsidRPr="005A09AB" w:rsidRDefault="0068538E" w:rsidP="00084A0B">
            <w:pPr>
              <w:jc w:val="right"/>
              <w:rPr>
                <w:sz w:val="20"/>
                <w:szCs w:val="20"/>
              </w:rPr>
            </w:pPr>
            <w:r w:rsidRPr="005A09AB">
              <w:rPr>
                <w:sz w:val="20"/>
                <w:szCs w:val="20"/>
              </w:rPr>
              <w:t>Non-Binary</w:t>
            </w:r>
            <w:r>
              <w:rPr>
                <w:sz w:val="20"/>
                <w:szCs w:val="20"/>
              </w:rPr>
              <w:t>**</w:t>
            </w:r>
          </w:p>
        </w:tc>
        <w:tc>
          <w:tcPr>
            <w:tcW w:w="965" w:type="dxa"/>
          </w:tcPr>
          <w:p w14:paraId="743D98DF" w14:textId="77777777" w:rsidR="0068538E" w:rsidRPr="005A09AB" w:rsidRDefault="0068538E" w:rsidP="00084A0B">
            <w:pPr>
              <w:jc w:val="center"/>
              <w:rPr>
                <w:sz w:val="20"/>
                <w:szCs w:val="20"/>
              </w:rPr>
            </w:pPr>
            <w:r>
              <w:rPr>
                <w:sz w:val="20"/>
                <w:szCs w:val="20"/>
              </w:rPr>
              <w:t>-</w:t>
            </w:r>
          </w:p>
        </w:tc>
        <w:tc>
          <w:tcPr>
            <w:tcW w:w="1037" w:type="dxa"/>
          </w:tcPr>
          <w:p w14:paraId="7A1E8ED5" w14:textId="77777777" w:rsidR="0068538E" w:rsidRPr="005A09AB" w:rsidRDefault="0068538E" w:rsidP="00084A0B">
            <w:pPr>
              <w:jc w:val="center"/>
              <w:rPr>
                <w:sz w:val="20"/>
                <w:szCs w:val="20"/>
              </w:rPr>
            </w:pPr>
            <w:r>
              <w:rPr>
                <w:sz w:val="20"/>
                <w:szCs w:val="20"/>
              </w:rPr>
              <w:t>-</w:t>
            </w:r>
          </w:p>
        </w:tc>
        <w:tc>
          <w:tcPr>
            <w:tcW w:w="1080" w:type="dxa"/>
          </w:tcPr>
          <w:p w14:paraId="015A69E8" w14:textId="77777777" w:rsidR="0068538E" w:rsidRPr="005A09AB" w:rsidRDefault="0068538E" w:rsidP="00084A0B">
            <w:pPr>
              <w:jc w:val="center"/>
              <w:rPr>
                <w:sz w:val="20"/>
                <w:szCs w:val="20"/>
              </w:rPr>
            </w:pPr>
            <w:r>
              <w:rPr>
                <w:sz w:val="20"/>
                <w:szCs w:val="20"/>
              </w:rPr>
              <w:t>28</w:t>
            </w:r>
          </w:p>
        </w:tc>
        <w:tc>
          <w:tcPr>
            <w:tcW w:w="1037" w:type="dxa"/>
          </w:tcPr>
          <w:p w14:paraId="049DABBF" w14:textId="77777777" w:rsidR="0068538E" w:rsidRPr="005A09AB" w:rsidRDefault="0068538E" w:rsidP="00084A0B">
            <w:pPr>
              <w:jc w:val="center"/>
              <w:rPr>
                <w:sz w:val="20"/>
                <w:szCs w:val="20"/>
              </w:rPr>
            </w:pPr>
            <w:r>
              <w:rPr>
                <w:sz w:val="20"/>
                <w:szCs w:val="20"/>
              </w:rPr>
              <w:t>1.0</w:t>
            </w:r>
          </w:p>
        </w:tc>
        <w:tc>
          <w:tcPr>
            <w:tcW w:w="1542" w:type="dxa"/>
          </w:tcPr>
          <w:p w14:paraId="2FD27649" w14:textId="77777777" w:rsidR="0068538E" w:rsidRPr="004B2470" w:rsidRDefault="0068538E" w:rsidP="00084A0B">
            <w:pPr>
              <w:jc w:val="center"/>
              <w:rPr>
                <w:b/>
                <w:bCs/>
                <w:sz w:val="20"/>
                <w:szCs w:val="20"/>
              </w:rPr>
            </w:pPr>
            <w:r>
              <w:rPr>
                <w:b/>
                <w:bCs/>
                <w:sz w:val="20"/>
                <w:szCs w:val="20"/>
              </w:rPr>
              <w:t>N/A</w:t>
            </w:r>
          </w:p>
        </w:tc>
        <w:tc>
          <w:tcPr>
            <w:tcW w:w="1542" w:type="dxa"/>
          </w:tcPr>
          <w:p w14:paraId="3810A0D3" w14:textId="77777777" w:rsidR="0068538E" w:rsidRPr="004B2470" w:rsidRDefault="0068538E" w:rsidP="00084A0B">
            <w:pPr>
              <w:jc w:val="center"/>
              <w:rPr>
                <w:b/>
                <w:bCs/>
                <w:sz w:val="20"/>
                <w:szCs w:val="20"/>
              </w:rPr>
            </w:pPr>
            <w:r>
              <w:rPr>
                <w:b/>
                <w:bCs/>
                <w:sz w:val="20"/>
                <w:szCs w:val="20"/>
              </w:rPr>
              <w:t>N/A</w:t>
            </w:r>
          </w:p>
        </w:tc>
      </w:tr>
      <w:tr w:rsidR="0068538E" w:rsidRPr="005A09AB" w14:paraId="4A75AB8A" w14:textId="77777777" w:rsidTr="00084A0B">
        <w:tc>
          <w:tcPr>
            <w:tcW w:w="3031" w:type="dxa"/>
          </w:tcPr>
          <w:p w14:paraId="3E4F2677" w14:textId="77777777" w:rsidR="0068538E" w:rsidRPr="009534E3" w:rsidRDefault="0068538E" w:rsidP="00084A0B">
            <w:pPr>
              <w:rPr>
                <w:i/>
                <w:iCs/>
                <w:sz w:val="16"/>
                <w:szCs w:val="16"/>
              </w:rPr>
            </w:pPr>
            <w:r w:rsidRPr="009534E3">
              <w:rPr>
                <w:i/>
                <w:iCs/>
                <w:sz w:val="16"/>
                <w:szCs w:val="16"/>
              </w:rPr>
              <w:t>*</w:t>
            </w:r>
            <w:r>
              <w:rPr>
                <w:i/>
                <w:iCs/>
                <w:sz w:val="16"/>
                <w:szCs w:val="16"/>
              </w:rPr>
              <w:t>*</w:t>
            </w:r>
            <w:r w:rsidRPr="009534E3">
              <w:rPr>
                <w:i/>
                <w:iCs/>
                <w:sz w:val="16"/>
                <w:szCs w:val="16"/>
              </w:rPr>
              <w:t xml:space="preserve"> Not collected for FFY 2019</w:t>
            </w:r>
          </w:p>
        </w:tc>
        <w:tc>
          <w:tcPr>
            <w:tcW w:w="965" w:type="dxa"/>
          </w:tcPr>
          <w:p w14:paraId="7D83805D" w14:textId="77777777" w:rsidR="0068538E" w:rsidRDefault="0068538E" w:rsidP="00084A0B">
            <w:pPr>
              <w:jc w:val="center"/>
              <w:rPr>
                <w:sz w:val="20"/>
                <w:szCs w:val="20"/>
              </w:rPr>
            </w:pPr>
          </w:p>
        </w:tc>
        <w:tc>
          <w:tcPr>
            <w:tcW w:w="1037" w:type="dxa"/>
          </w:tcPr>
          <w:p w14:paraId="38E06785" w14:textId="77777777" w:rsidR="0068538E" w:rsidRDefault="0068538E" w:rsidP="00084A0B">
            <w:pPr>
              <w:jc w:val="center"/>
              <w:rPr>
                <w:sz w:val="20"/>
                <w:szCs w:val="20"/>
              </w:rPr>
            </w:pPr>
          </w:p>
        </w:tc>
        <w:tc>
          <w:tcPr>
            <w:tcW w:w="1080" w:type="dxa"/>
          </w:tcPr>
          <w:p w14:paraId="13F03D59" w14:textId="77777777" w:rsidR="0068538E" w:rsidRPr="005A09AB" w:rsidRDefault="0068538E" w:rsidP="00084A0B">
            <w:pPr>
              <w:jc w:val="center"/>
              <w:rPr>
                <w:sz w:val="20"/>
                <w:szCs w:val="20"/>
              </w:rPr>
            </w:pPr>
          </w:p>
        </w:tc>
        <w:tc>
          <w:tcPr>
            <w:tcW w:w="1037" w:type="dxa"/>
          </w:tcPr>
          <w:p w14:paraId="026E459E" w14:textId="77777777" w:rsidR="0068538E" w:rsidRPr="005A09AB" w:rsidRDefault="0068538E" w:rsidP="00084A0B">
            <w:pPr>
              <w:jc w:val="center"/>
              <w:rPr>
                <w:sz w:val="20"/>
                <w:szCs w:val="20"/>
              </w:rPr>
            </w:pPr>
          </w:p>
        </w:tc>
        <w:tc>
          <w:tcPr>
            <w:tcW w:w="1542" w:type="dxa"/>
          </w:tcPr>
          <w:p w14:paraId="5B718069" w14:textId="77777777" w:rsidR="0068538E" w:rsidRPr="004B2470" w:rsidRDefault="0068538E" w:rsidP="00084A0B">
            <w:pPr>
              <w:jc w:val="center"/>
              <w:rPr>
                <w:b/>
                <w:bCs/>
                <w:sz w:val="20"/>
                <w:szCs w:val="20"/>
              </w:rPr>
            </w:pPr>
          </w:p>
        </w:tc>
        <w:tc>
          <w:tcPr>
            <w:tcW w:w="1542" w:type="dxa"/>
          </w:tcPr>
          <w:p w14:paraId="2C5816F6" w14:textId="77777777" w:rsidR="0068538E" w:rsidRPr="004B2470" w:rsidRDefault="0068538E" w:rsidP="00084A0B">
            <w:pPr>
              <w:jc w:val="center"/>
              <w:rPr>
                <w:b/>
                <w:bCs/>
                <w:sz w:val="20"/>
                <w:szCs w:val="20"/>
              </w:rPr>
            </w:pPr>
          </w:p>
        </w:tc>
      </w:tr>
      <w:tr w:rsidR="0068538E" w:rsidRPr="005A09AB" w14:paraId="3D2C4751" w14:textId="77777777" w:rsidTr="00084A0B">
        <w:tc>
          <w:tcPr>
            <w:tcW w:w="3031" w:type="dxa"/>
          </w:tcPr>
          <w:p w14:paraId="1F42B49C" w14:textId="77777777" w:rsidR="0068538E" w:rsidRPr="005A09AB" w:rsidRDefault="0068538E" w:rsidP="00084A0B">
            <w:pPr>
              <w:jc w:val="right"/>
              <w:rPr>
                <w:sz w:val="20"/>
                <w:szCs w:val="20"/>
              </w:rPr>
            </w:pPr>
          </w:p>
        </w:tc>
        <w:tc>
          <w:tcPr>
            <w:tcW w:w="965" w:type="dxa"/>
          </w:tcPr>
          <w:p w14:paraId="5D179897" w14:textId="77777777" w:rsidR="0068538E" w:rsidRPr="005A09AB" w:rsidRDefault="0068538E" w:rsidP="00084A0B">
            <w:pPr>
              <w:jc w:val="center"/>
              <w:rPr>
                <w:sz w:val="20"/>
                <w:szCs w:val="20"/>
              </w:rPr>
            </w:pPr>
          </w:p>
        </w:tc>
        <w:tc>
          <w:tcPr>
            <w:tcW w:w="1037" w:type="dxa"/>
          </w:tcPr>
          <w:p w14:paraId="6D45C37A" w14:textId="77777777" w:rsidR="0068538E" w:rsidRPr="005A09AB" w:rsidRDefault="0068538E" w:rsidP="00084A0B">
            <w:pPr>
              <w:jc w:val="center"/>
              <w:rPr>
                <w:sz w:val="20"/>
                <w:szCs w:val="20"/>
              </w:rPr>
            </w:pPr>
          </w:p>
        </w:tc>
        <w:tc>
          <w:tcPr>
            <w:tcW w:w="1080" w:type="dxa"/>
          </w:tcPr>
          <w:p w14:paraId="28690B5E" w14:textId="77777777" w:rsidR="0068538E" w:rsidRPr="005A09AB" w:rsidRDefault="0068538E" w:rsidP="00084A0B">
            <w:pPr>
              <w:jc w:val="center"/>
              <w:rPr>
                <w:sz w:val="20"/>
                <w:szCs w:val="20"/>
              </w:rPr>
            </w:pPr>
          </w:p>
        </w:tc>
        <w:tc>
          <w:tcPr>
            <w:tcW w:w="1037" w:type="dxa"/>
          </w:tcPr>
          <w:p w14:paraId="60E5EC4A" w14:textId="77777777" w:rsidR="0068538E" w:rsidRPr="005A09AB" w:rsidRDefault="0068538E" w:rsidP="00084A0B">
            <w:pPr>
              <w:jc w:val="center"/>
              <w:rPr>
                <w:sz w:val="20"/>
                <w:szCs w:val="20"/>
              </w:rPr>
            </w:pPr>
          </w:p>
        </w:tc>
        <w:tc>
          <w:tcPr>
            <w:tcW w:w="1542" w:type="dxa"/>
          </w:tcPr>
          <w:p w14:paraId="6FA6B63C" w14:textId="77777777" w:rsidR="0068538E" w:rsidRPr="004B2470" w:rsidRDefault="0068538E" w:rsidP="00084A0B">
            <w:pPr>
              <w:jc w:val="center"/>
              <w:rPr>
                <w:b/>
                <w:bCs/>
                <w:sz w:val="20"/>
                <w:szCs w:val="20"/>
              </w:rPr>
            </w:pPr>
          </w:p>
        </w:tc>
        <w:tc>
          <w:tcPr>
            <w:tcW w:w="1542" w:type="dxa"/>
          </w:tcPr>
          <w:p w14:paraId="69AA1674" w14:textId="77777777" w:rsidR="0068538E" w:rsidRPr="004B2470" w:rsidRDefault="0068538E" w:rsidP="00084A0B">
            <w:pPr>
              <w:jc w:val="center"/>
              <w:rPr>
                <w:b/>
                <w:bCs/>
                <w:sz w:val="20"/>
                <w:szCs w:val="20"/>
              </w:rPr>
            </w:pPr>
          </w:p>
        </w:tc>
      </w:tr>
      <w:tr w:rsidR="0068538E" w:rsidRPr="005A09AB" w14:paraId="38EE1B7F" w14:textId="77777777" w:rsidTr="00084A0B">
        <w:tc>
          <w:tcPr>
            <w:tcW w:w="3031" w:type="dxa"/>
          </w:tcPr>
          <w:p w14:paraId="66B8CCD5" w14:textId="77777777" w:rsidR="0068538E" w:rsidRPr="0076251D" w:rsidRDefault="0068538E" w:rsidP="00084A0B">
            <w:pPr>
              <w:rPr>
                <w:i/>
                <w:iCs/>
                <w:sz w:val="20"/>
                <w:szCs w:val="20"/>
              </w:rPr>
            </w:pPr>
            <w:r w:rsidRPr="0076251D">
              <w:rPr>
                <w:i/>
                <w:iCs/>
                <w:sz w:val="20"/>
                <w:szCs w:val="20"/>
              </w:rPr>
              <w:t>Race</w:t>
            </w:r>
          </w:p>
        </w:tc>
        <w:tc>
          <w:tcPr>
            <w:tcW w:w="965" w:type="dxa"/>
          </w:tcPr>
          <w:p w14:paraId="5A97027C" w14:textId="77777777" w:rsidR="0068538E" w:rsidRPr="005A09AB" w:rsidRDefault="0068538E" w:rsidP="00084A0B">
            <w:pPr>
              <w:jc w:val="center"/>
              <w:rPr>
                <w:sz w:val="20"/>
                <w:szCs w:val="20"/>
              </w:rPr>
            </w:pPr>
          </w:p>
        </w:tc>
        <w:tc>
          <w:tcPr>
            <w:tcW w:w="1037" w:type="dxa"/>
          </w:tcPr>
          <w:p w14:paraId="6E473998" w14:textId="77777777" w:rsidR="0068538E" w:rsidRPr="005A09AB" w:rsidRDefault="0068538E" w:rsidP="00084A0B">
            <w:pPr>
              <w:jc w:val="center"/>
              <w:rPr>
                <w:sz w:val="20"/>
                <w:szCs w:val="20"/>
              </w:rPr>
            </w:pPr>
          </w:p>
        </w:tc>
        <w:tc>
          <w:tcPr>
            <w:tcW w:w="1080" w:type="dxa"/>
          </w:tcPr>
          <w:p w14:paraId="3D79614C" w14:textId="77777777" w:rsidR="0068538E" w:rsidRPr="005A09AB" w:rsidRDefault="0068538E" w:rsidP="00084A0B">
            <w:pPr>
              <w:jc w:val="center"/>
              <w:rPr>
                <w:sz w:val="20"/>
                <w:szCs w:val="20"/>
              </w:rPr>
            </w:pPr>
          </w:p>
        </w:tc>
        <w:tc>
          <w:tcPr>
            <w:tcW w:w="1037" w:type="dxa"/>
          </w:tcPr>
          <w:p w14:paraId="74967BCB" w14:textId="77777777" w:rsidR="0068538E" w:rsidRPr="005A09AB" w:rsidRDefault="0068538E" w:rsidP="00084A0B">
            <w:pPr>
              <w:jc w:val="center"/>
              <w:rPr>
                <w:sz w:val="20"/>
                <w:szCs w:val="20"/>
              </w:rPr>
            </w:pPr>
          </w:p>
        </w:tc>
        <w:tc>
          <w:tcPr>
            <w:tcW w:w="1542" w:type="dxa"/>
          </w:tcPr>
          <w:p w14:paraId="4C181D1F" w14:textId="77777777" w:rsidR="0068538E" w:rsidRPr="004B2470" w:rsidRDefault="0068538E" w:rsidP="00084A0B">
            <w:pPr>
              <w:jc w:val="center"/>
              <w:rPr>
                <w:b/>
                <w:bCs/>
                <w:sz w:val="20"/>
                <w:szCs w:val="20"/>
              </w:rPr>
            </w:pPr>
          </w:p>
        </w:tc>
        <w:tc>
          <w:tcPr>
            <w:tcW w:w="1542" w:type="dxa"/>
          </w:tcPr>
          <w:p w14:paraId="54220A33" w14:textId="77777777" w:rsidR="0068538E" w:rsidRPr="004B2470" w:rsidRDefault="0068538E" w:rsidP="00084A0B">
            <w:pPr>
              <w:jc w:val="center"/>
              <w:rPr>
                <w:b/>
                <w:bCs/>
                <w:sz w:val="20"/>
                <w:szCs w:val="20"/>
              </w:rPr>
            </w:pPr>
          </w:p>
        </w:tc>
      </w:tr>
      <w:tr w:rsidR="0068538E" w:rsidRPr="005A09AB" w14:paraId="1A3416AF" w14:textId="77777777" w:rsidTr="00084A0B">
        <w:tc>
          <w:tcPr>
            <w:tcW w:w="3031" w:type="dxa"/>
          </w:tcPr>
          <w:p w14:paraId="21A1B03B" w14:textId="77777777" w:rsidR="0068538E" w:rsidRPr="005A09AB" w:rsidRDefault="0068538E" w:rsidP="00084A0B">
            <w:pPr>
              <w:jc w:val="right"/>
              <w:rPr>
                <w:sz w:val="20"/>
                <w:szCs w:val="20"/>
              </w:rPr>
            </w:pPr>
            <w:r w:rsidRPr="005A09AB">
              <w:rPr>
                <w:sz w:val="20"/>
                <w:szCs w:val="20"/>
              </w:rPr>
              <w:t>White</w:t>
            </w:r>
          </w:p>
        </w:tc>
        <w:tc>
          <w:tcPr>
            <w:tcW w:w="965" w:type="dxa"/>
          </w:tcPr>
          <w:p w14:paraId="52F279C9" w14:textId="77777777" w:rsidR="0068538E" w:rsidRPr="005A09AB" w:rsidRDefault="0068538E" w:rsidP="00084A0B">
            <w:pPr>
              <w:jc w:val="center"/>
              <w:rPr>
                <w:sz w:val="20"/>
                <w:szCs w:val="20"/>
              </w:rPr>
            </w:pPr>
            <w:r>
              <w:rPr>
                <w:sz w:val="20"/>
                <w:szCs w:val="20"/>
              </w:rPr>
              <w:t>3,121</w:t>
            </w:r>
          </w:p>
        </w:tc>
        <w:tc>
          <w:tcPr>
            <w:tcW w:w="1037" w:type="dxa"/>
          </w:tcPr>
          <w:p w14:paraId="3B36F042" w14:textId="77777777" w:rsidR="0068538E" w:rsidRPr="005A09AB" w:rsidRDefault="0068538E" w:rsidP="00084A0B">
            <w:pPr>
              <w:jc w:val="center"/>
              <w:rPr>
                <w:sz w:val="20"/>
                <w:szCs w:val="20"/>
              </w:rPr>
            </w:pPr>
            <w:r>
              <w:rPr>
                <w:sz w:val="20"/>
                <w:szCs w:val="20"/>
              </w:rPr>
              <w:t>91.9</w:t>
            </w:r>
          </w:p>
        </w:tc>
        <w:tc>
          <w:tcPr>
            <w:tcW w:w="1080" w:type="dxa"/>
          </w:tcPr>
          <w:p w14:paraId="45ABDE75" w14:textId="77777777" w:rsidR="0068538E" w:rsidRPr="005A09AB" w:rsidRDefault="0068538E" w:rsidP="00084A0B">
            <w:pPr>
              <w:jc w:val="center"/>
              <w:rPr>
                <w:sz w:val="20"/>
                <w:szCs w:val="20"/>
              </w:rPr>
            </w:pPr>
            <w:r>
              <w:rPr>
                <w:sz w:val="20"/>
                <w:szCs w:val="20"/>
              </w:rPr>
              <w:t>2,601</w:t>
            </w:r>
          </w:p>
        </w:tc>
        <w:tc>
          <w:tcPr>
            <w:tcW w:w="1037" w:type="dxa"/>
          </w:tcPr>
          <w:p w14:paraId="6D81F71B" w14:textId="77777777" w:rsidR="0068538E" w:rsidRPr="005A09AB" w:rsidRDefault="0068538E" w:rsidP="00084A0B">
            <w:pPr>
              <w:jc w:val="center"/>
              <w:rPr>
                <w:sz w:val="20"/>
                <w:szCs w:val="20"/>
              </w:rPr>
            </w:pPr>
            <w:r>
              <w:rPr>
                <w:sz w:val="20"/>
                <w:szCs w:val="20"/>
              </w:rPr>
              <w:t>90.1</w:t>
            </w:r>
          </w:p>
        </w:tc>
        <w:tc>
          <w:tcPr>
            <w:tcW w:w="1542" w:type="dxa"/>
          </w:tcPr>
          <w:p w14:paraId="2DF1C763" w14:textId="77777777" w:rsidR="0068538E" w:rsidRPr="004B2470" w:rsidRDefault="0068538E" w:rsidP="00084A0B">
            <w:pPr>
              <w:jc w:val="center"/>
              <w:rPr>
                <w:b/>
                <w:bCs/>
                <w:sz w:val="20"/>
                <w:szCs w:val="20"/>
              </w:rPr>
            </w:pPr>
            <w:r>
              <w:rPr>
                <w:b/>
                <w:bCs/>
                <w:sz w:val="20"/>
                <w:szCs w:val="20"/>
              </w:rPr>
              <w:t>-20.0</w:t>
            </w:r>
          </w:p>
        </w:tc>
        <w:tc>
          <w:tcPr>
            <w:tcW w:w="1542" w:type="dxa"/>
          </w:tcPr>
          <w:p w14:paraId="2F7AEF1E" w14:textId="77777777" w:rsidR="0068538E" w:rsidRPr="004B2470" w:rsidRDefault="0068538E" w:rsidP="00084A0B">
            <w:pPr>
              <w:jc w:val="center"/>
              <w:rPr>
                <w:b/>
                <w:bCs/>
                <w:sz w:val="20"/>
                <w:szCs w:val="20"/>
              </w:rPr>
            </w:pPr>
            <w:r>
              <w:rPr>
                <w:b/>
                <w:bCs/>
                <w:sz w:val="20"/>
                <w:szCs w:val="20"/>
              </w:rPr>
              <w:t>-1.8</w:t>
            </w:r>
          </w:p>
        </w:tc>
      </w:tr>
      <w:tr w:rsidR="0068538E" w:rsidRPr="005A09AB" w14:paraId="477E8119" w14:textId="77777777" w:rsidTr="00084A0B">
        <w:tc>
          <w:tcPr>
            <w:tcW w:w="3031" w:type="dxa"/>
          </w:tcPr>
          <w:p w14:paraId="5B5707AC" w14:textId="77777777" w:rsidR="0068538E" w:rsidRPr="005A09AB" w:rsidRDefault="0068538E" w:rsidP="00084A0B">
            <w:pPr>
              <w:jc w:val="right"/>
              <w:rPr>
                <w:sz w:val="20"/>
                <w:szCs w:val="20"/>
              </w:rPr>
            </w:pPr>
            <w:r w:rsidRPr="005A09AB">
              <w:rPr>
                <w:sz w:val="20"/>
                <w:szCs w:val="20"/>
              </w:rPr>
              <w:t>Racial/Ethnic Minority</w:t>
            </w:r>
          </w:p>
        </w:tc>
        <w:tc>
          <w:tcPr>
            <w:tcW w:w="965" w:type="dxa"/>
          </w:tcPr>
          <w:p w14:paraId="34CE31FE" w14:textId="77777777" w:rsidR="0068538E" w:rsidRPr="005A09AB" w:rsidRDefault="0068538E" w:rsidP="00084A0B">
            <w:pPr>
              <w:jc w:val="center"/>
              <w:rPr>
                <w:sz w:val="20"/>
                <w:szCs w:val="20"/>
              </w:rPr>
            </w:pPr>
            <w:r>
              <w:rPr>
                <w:sz w:val="20"/>
                <w:szCs w:val="20"/>
              </w:rPr>
              <w:t>275</w:t>
            </w:r>
          </w:p>
        </w:tc>
        <w:tc>
          <w:tcPr>
            <w:tcW w:w="1037" w:type="dxa"/>
          </w:tcPr>
          <w:p w14:paraId="6560B550" w14:textId="77777777" w:rsidR="0068538E" w:rsidRPr="005A09AB" w:rsidRDefault="0068538E" w:rsidP="00084A0B">
            <w:pPr>
              <w:jc w:val="center"/>
              <w:rPr>
                <w:sz w:val="20"/>
                <w:szCs w:val="20"/>
              </w:rPr>
            </w:pPr>
            <w:r>
              <w:rPr>
                <w:sz w:val="20"/>
                <w:szCs w:val="20"/>
              </w:rPr>
              <w:t>8.1</w:t>
            </w:r>
          </w:p>
        </w:tc>
        <w:tc>
          <w:tcPr>
            <w:tcW w:w="1080" w:type="dxa"/>
          </w:tcPr>
          <w:p w14:paraId="4A18A84F" w14:textId="77777777" w:rsidR="0068538E" w:rsidRPr="005A09AB" w:rsidRDefault="0068538E" w:rsidP="00084A0B">
            <w:pPr>
              <w:jc w:val="center"/>
              <w:rPr>
                <w:sz w:val="20"/>
                <w:szCs w:val="20"/>
              </w:rPr>
            </w:pPr>
            <w:r>
              <w:rPr>
                <w:sz w:val="20"/>
                <w:szCs w:val="20"/>
              </w:rPr>
              <w:t>254</w:t>
            </w:r>
          </w:p>
        </w:tc>
        <w:tc>
          <w:tcPr>
            <w:tcW w:w="1037" w:type="dxa"/>
          </w:tcPr>
          <w:p w14:paraId="2EFDCE45" w14:textId="77777777" w:rsidR="0068538E" w:rsidRPr="005A09AB" w:rsidRDefault="0068538E" w:rsidP="00084A0B">
            <w:pPr>
              <w:jc w:val="center"/>
              <w:rPr>
                <w:sz w:val="20"/>
                <w:szCs w:val="20"/>
              </w:rPr>
            </w:pPr>
            <w:r>
              <w:rPr>
                <w:sz w:val="20"/>
                <w:szCs w:val="20"/>
              </w:rPr>
              <w:t>8.8</w:t>
            </w:r>
          </w:p>
        </w:tc>
        <w:tc>
          <w:tcPr>
            <w:tcW w:w="1542" w:type="dxa"/>
          </w:tcPr>
          <w:p w14:paraId="59DEF24D" w14:textId="77777777" w:rsidR="0068538E" w:rsidRPr="004B2470" w:rsidRDefault="0068538E" w:rsidP="00084A0B">
            <w:pPr>
              <w:jc w:val="center"/>
              <w:rPr>
                <w:b/>
                <w:bCs/>
                <w:sz w:val="20"/>
                <w:szCs w:val="20"/>
              </w:rPr>
            </w:pPr>
            <w:r>
              <w:rPr>
                <w:b/>
                <w:bCs/>
                <w:sz w:val="20"/>
                <w:szCs w:val="20"/>
              </w:rPr>
              <w:t>-8.3</w:t>
            </w:r>
          </w:p>
        </w:tc>
        <w:tc>
          <w:tcPr>
            <w:tcW w:w="1542" w:type="dxa"/>
          </w:tcPr>
          <w:p w14:paraId="59024784" w14:textId="77777777" w:rsidR="0068538E" w:rsidRPr="004B2470" w:rsidRDefault="0068538E" w:rsidP="00084A0B">
            <w:pPr>
              <w:jc w:val="center"/>
              <w:rPr>
                <w:b/>
                <w:bCs/>
                <w:sz w:val="20"/>
                <w:szCs w:val="20"/>
              </w:rPr>
            </w:pPr>
            <w:r>
              <w:rPr>
                <w:b/>
                <w:bCs/>
                <w:sz w:val="20"/>
                <w:szCs w:val="20"/>
              </w:rPr>
              <w:t>0.7</w:t>
            </w:r>
          </w:p>
        </w:tc>
      </w:tr>
      <w:tr w:rsidR="0068538E" w:rsidRPr="005A09AB" w14:paraId="4242BB61" w14:textId="77777777" w:rsidTr="00084A0B">
        <w:tc>
          <w:tcPr>
            <w:tcW w:w="3031" w:type="dxa"/>
          </w:tcPr>
          <w:p w14:paraId="5B2B765F" w14:textId="77777777" w:rsidR="0068538E" w:rsidRPr="005A09AB" w:rsidRDefault="0068538E" w:rsidP="00084A0B">
            <w:pPr>
              <w:jc w:val="right"/>
              <w:rPr>
                <w:sz w:val="20"/>
                <w:szCs w:val="20"/>
              </w:rPr>
            </w:pPr>
          </w:p>
        </w:tc>
        <w:tc>
          <w:tcPr>
            <w:tcW w:w="965" w:type="dxa"/>
          </w:tcPr>
          <w:p w14:paraId="2D68EFA2" w14:textId="77777777" w:rsidR="0068538E" w:rsidRPr="005A09AB" w:rsidRDefault="0068538E" w:rsidP="00084A0B">
            <w:pPr>
              <w:jc w:val="center"/>
              <w:rPr>
                <w:sz w:val="20"/>
                <w:szCs w:val="20"/>
              </w:rPr>
            </w:pPr>
          </w:p>
        </w:tc>
        <w:tc>
          <w:tcPr>
            <w:tcW w:w="1037" w:type="dxa"/>
          </w:tcPr>
          <w:p w14:paraId="2DBDDA84" w14:textId="77777777" w:rsidR="0068538E" w:rsidRPr="005A09AB" w:rsidRDefault="0068538E" w:rsidP="00084A0B">
            <w:pPr>
              <w:jc w:val="center"/>
              <w:rPr>
                <w:sz w:val="20"/>
                <w:szCs w:val="20"/>
              </w:rPr>
            </w:pPr>
          </w:p>
        </w:tc>
        <w:tc>
          <w:tcPr>
            <w:tcW w:w="1080" w:type="dxa"/>
          </w:tcPr>
          <w:p w14:paraId="6774CA6D" w14:textId="77777777" w:rsidR="0068538E" w:rsidRPr="005A09AB" w:rsidRDefault="0068538E" w:rsidP="00084A0B">
            <w:pPr>
              <w:jc w:val="center"/>
              <w:rPr>
                <w:sz w:val="20"/>
                <w:szCs w:val="20"/>
              </w:rPr>
            </w:pPr>
          </w:p>
        </w:tc>
        <w:tc>
          <w:tcPr>
            <w:tcW w:w="1037" w:type="dxa"/>
          </w:tcPr>
          <w:p w14:paraId="06869496" w14:textId="77777777" w:rsidR="0068538E" w:rsidRPr="005A09AB" w:rsidRDefault="0068538E" w:rsidP="00084A0B">
            <w:pPr>
              <w:jc w:val="center"/>
              <w:rPr>
                <w:sz w:val="20"/>
                <w:szCs w:val="20"/>
              </w:rPr>
            </w:pPr>
          </w:p>
        </w:tc>
        <w:tc>
          <w:tcPr>
            <w:tcW w:w="1542" w:type="dxa"/>
          </w:tcPr>
          <w:p w14:paraId="73FF01ED" w14:textId="77777777" w:rsidR="0068538E" w:rsidRPr="004B2470" w:rsidRDefault="0068538E" w:rsidP="00084A0B">
            <w:pPr>
              <w:jc w:val="center"/>
              <w:rPr>
                <w:b/>
                <w:bCs/>
                <w:sz w:val="20"/>
                <w:szCs w:val="20"/>
              </w:rPr>
            </w:pPr>
          </w:p>
        </w:tc>
        <w:tc>
          <w:tcPr>
            <w:tcW w:w="1542" w:type="dxa"/>
          </w:tcPr>
          <w:p w14:paraId="18F9CD39" w14:textId="77777777" w:rsidR="0068538E" w:rsidRPr="004B2470" w:rsidRDefault="0068538E" w:rsidP="00084A0B">
            <w:pPr>
              <w:jc w:val="center"/>
              <w:rPr>
                <w:b/>
                <w:bCs/>
                <w:sz w:val="20"/>
                <w:szCs w:val="20"/>
              </w:rPr>
            </w:pPr>
          </w:p>
        </w:tc>
      </w:tr>
      <w:tr w:rsidR="0068538E" w:rsidRPr="005A09AB" w14:paraId="193BC589" w14:textId="77777777" w:rsidTr="00084A0B">
        <w:tc>
          <w:tcPr>
            <w:tcW w:w="3031" w:type="dxa"/>
          </w:tcPr>
          <w:p w14:paraId="151B5082" w14:textId="77777777" w:rsidR="0068538E" w:rsidRPr="0076251D" w:rsidRDefault="0068538E" w:rsidP="00084A0B">
            <w:pPr>
              <w:rPr>
                <w:i/>
                <w:iCs/>
                <w:sz w:val="20"/>
                <w:szCs w:val="20"/>
              </w:rPr>
            </w:pPr>
            <w:r w:rsidRPr="0076251D">
              <w:rPr>
                <w:i/>
                <w:iCs/>
                <w:sz w:val="20"/>
                <w:szCs w:val="20"/>
              </w:rPr>
              <w:t>SSI Income</w:t>
            </w:r>
          </w:p>
        </w:tc>
        <w:tc>
          <w:tcPr>
            <w:tcW w:w="965" w:type="dxa"/>
          </w:tcPr>
          <w:p w14:paraId="53EC3DA7" w14:textId="77777777" w:rsidR="0068538E" w:rsidRPr="005A09AB" w:rsidRDefault="0068538E" w:rsidP="00084A0B">
            <w:pPr>
              <w:jc w:val="center"/>
              <w:rPr>
                <w:sz w:val="20"/>
                <w:szCs w:val="20"/>
              </w:rPr>
            </w:pPr>
          </w:p>
        </w:tc>
        <w:tc>
          <w:tcPr>
            <w:tcW w:w="1037" w:type="dxa"/>
          </w:tcPr>
          <w:p w14:paraId="290612E0" w14:textId="77777777" w:rsidR="0068538E" w:rsidRPr="005A09AB" w:rsidRDefault="0068538E" w:rsidP="00084A0B">
            <w:pPr>
              <w:jc w:val="center"/>
              <w:rPr>
                <w:sz w:val="20"/>
                <w:szCs w:val="20"/>
              </w:rPr>
            </w:pPr>
          </w:p>
        </w:tc>
        <w:tc>
          <w:tcPr>
            <w:tcW w:w="1080" w:type="dxa"/>
          </w:tcPr>
          <w:p w14:paraId="690EE1BB" w14:textId="77777777" w:rsidR="0068538E" w:rsidRPr="005A09AB" w:rsidRDefault="0068538E" w:rsidP="00084A0B">
            <w:pPr>
              <w:jc w:val="center"/>
              <w:rPr>
                <w:sz w:val="20"/>
                <w:szCs w:val="20"/>
              </w:rPr>
            </w:pPr>
          </w:p>
        </w:tc>
        <w:tc>
          <w:tcPr>
            <w:tcW w:w="1037" w:type="dxa"/>
          </w:tcPr>
          <w:p w14:paraId="7AF6B246" w14:textId="77777777" w:rsidR="0068538E" w:rsidRPr="005A09AB" w:rsidRDefault="0068538E" w:rsidP="00084A0B">
            <w:pPr>
              <w:jc w:val="center"/>
              <w:rPr>
                <w:sz w:val="20"/>
                <w:szCs w:val="20"/>
              </w:rPr>
            </w:pPr>
          </w:p>
        </w:tc>
        <w:tc>
          <w:tcPr>
            <w:tcW w:w="1542" w:type="dxa"/>
          </w:tcPr>
          <w:p w14:paraId="6522247C" w14:textId="77777777" w:rsidR="0068538E" w:rsidRPr="004B2470" w:rsidRDefault="0068538E" w:rsidP="00084A0B">
            <w:pPr>
              <w:jc w:val="center"/>
              <w:rPr>
                <w:b/>
                <w:bCs/>
                <w:sz w:val="20"/>
                <w:szCs w:val="20"/>
              </w:rPr>
            </w:pPr>
          </w:p>
        </w:tc>
        <w:tc>
          <w:tcPr>
            <w:tcW w:w="1542" w:type="dxa"/>
          </w:tcPr>
          <w:p w14:paraId="69DE8907" w14:textId="77777777" w:rsidR="0068538E" w:rsidRPr="004B2470" w:rsidRDefault="0068538E" w:rsidP="00084A0B">
            <w:pPr>
              <w:jc w:val="center"/>
              <w:rPr>
                <w:b/>
                <w:bCs/>
                <w:sz w:val="20"/>
                <w:szCs w:val="20"/>
              </w:rPr>
            </w:pPr>
          </w:p>
        </w:tc>
      </w:tr>
      <w:tr w:rsidR="0068538E" w:rsidRPr="005A09AB" w14:paraId="4EE38480" w14:textId="77777777" w:rsidTr="00084A0B">
        <w:tc>
          <w:tcPr>
            <w:tcW w:w="3031" w:type="dxa"/>
          </w:tcPr>
          <w:p w14:paraId="2515D324" w14:textId="77777777" w:rsidR="0068538E" w:rsidRPr="005A09AB" w:rsidRDefault="0068538E" w:rsidP="00084A0B">
            <w:pPr>
              <w:jc w:val="right"/>
              <w:rPr>
                <w:sz w:val="20"/>
                <w:szCs w:val="20"/>
              </w:rPr>
            </w:pPr>
            <w:r w:rsidRPr="005A09AB">
              <w:rPr>
                <w:sz w:val="20"/>
                <w:szCs w:val="20"/>
              </w:rPr>
              <w:t>Received SSI Income</w:t>
            </w:r>
          </w:p>
        </w:tc>
        <w:tc>
          <w:tcPr>
            <w:tcW w:w="965" w:type="dxa"/>
          </w:tcPr>
          <w:p w14:paraId="5151D2A9" w14:textId="77777777" w:rsidR="0068538E" w:rsidRPr="005A09AB" w:rsidRDefault="0068538E" w:rsidP="00084A0B">
            <w:pPr>
              <w:jc w:val="center"/>
              <w:rPr>
                <w:sz w:val="20"/>
                <w:szCs w:val="20"/>
              </w:rPr>
            </w:pPr>
            <w:r>
              <w:rPr>
                <w:sz w:val="20"/>
                <w:szCs w:val="20"/>
              </w:rPr>
              <w:t>886</w:t>
            </w:r>
          </w:p>
        </w:tc>
        <w:tc>
          <w:tcPr>
            <w:tcW w:w="1037" w:type="dxa"/>
          </w:tcPr>
          <w:p w14:paraId="4B0B7B48" w14:textId="77777777" w:rsidR="0068538E" w:rsidRPr="005A09AB" w:rsidRDefault="0068538E" w:rsidP="00084A0B">
            <w:pPr>
              <w:jc w:val="center"/>
              <w:rPr>
                <w:sz w:val="20"/>
                <w:szCs w:val="20"/>
              </w:rPr>
            </w:pPr>
            <w:r>
              <w:rPr>
                <w:sz w:val="20"/>
                <w:szCs w:val="20"/>
              </w:rPr>
              <w:t>26.1</w:t>
            </w:r>
          </w:p>
        </w:tc>
        <w:tc>
          <w:tcPr>
            <w:tcW w:w="1080" w:type="dxa"/>
          </w:tcPr>
          <w:p w14:paraId="1285437D" w14:textId="77777777" w:rsidR="0068538E" w:rsidRPr="005A09AB" w:rsidRDefault="0068538E" w:rsidP="00084A0B">
            <w:pPr>
              <w:jc w:val="center"/>
              <w:rPr>
                <w:sz w:val="20"/>
                <w:szCs w:val="20"/>
              </w:rPr>
            </w:pPr>
            <w:r>
              <w:rPr>
                <w:sz w:val="20"/>
                <w:szCs w:val="20"/>
              </w:rPr>
              <w:t>700</w:t>
            </w:r>
          </w:p>
        </w:tc>
        <w:tc>
          <w:tcPr>
            <w:tcW w:w="1037" w:type="dxa"/>
          </w:tcPr>
          <w:p w14:paraId="1D7ACD15" w14:textId="77777777" w:rsidR="0068538E" w:rsidRPr="005A09AB" w:rsidRDefault="0068538E" w:rsidP="00084A0B">
            <w:pPr>
              <w:jc w:val="center"/>
              <w:rPr>
                <w:sz w:val="20"/>
                <w:szCs w:val="20"/>
              </w:rPr>
            </w:pPr>
            <w:r>
              <w:rPr>
                <w:sz w:val="20"/>
                <w:szCs w:val="20"/>
              </w:rPr>
              <w:t>24.2</w:t>
            </w:r>
          </w:p>
        </w:tc>
        <w:tc>
          <w:tcPr>
            <w:tcW w:w="1542" w:type="dxa"/>
          </w:tcPr>
          <w:p w14:paraId="0B1A5ABA" w14:textId="77777777" w:rsidR="0068538E" w:rsidRPr="004B2470" w:rsidRDefault="0068538E" w:rsidP="00084A0B">
            <w:pPr>
              <w:jc w:val="center"/>
              <w:rPr>
                <w:b/>
                <w:bCs/>
                <w:sz w:val="20"/>
                <w:szCs w:val="20"/>
              </w:rPr>
            </w:pPr>
            <w:r>
              <w:rPr>
                <w:b/>
                <w:bCs/>
                <w:sz w:val="20"/>
                <w:szCs w:val="20"/>
              </w:rPr>
              <w:t>-26.6</w:t>
            </w:r>
          </w:p>
        </w:tc>
        <w:tc>
          <w:tcPr>
            <w:tcW w:w="1542" w:type="dxa"/>
          </w:tcPr>
          <w:p w14:paraId="0D17389D" w14:textId="77777777" w:rsidR="0068538E" w:rsidRPr="004B2470" w:rsidRDefault="0068538E" w:rsidP="00084A0B">
            <w:pPr>
              <w:jc w:val="center"/>
              <w:rPr>
                <w:b/>
                <w:bCs/>
                <w:sz w:val="20"/>
                <w:szCs w:val="20"/>
              </w:rPr>
            </w:pPr>
            <w:r>
              <w:rPr>
                <w:b/>
                <w:bCs/>
                <w:sz w:val="20"/>
                <w:szCs w:val="20"/>
              </w:rPr>
              <w:t>-1.9</w:t>
            </w:r>
          </w:p>
        </w:tc>
      </w:tr>
      <w:tr w:rsidR="0068538E" w:rsidRPr="005A09AB" w14:paraId="0F7D545D" w14:textId="77777777" w:rsidTr="00084A0B">
        <w:tc>
          <w:tcPr>
            <w:tcW w:w="3031" w:type="dxa"/>
          </w:tcPr>
          <w:p w14:paraId="095EF573" w14:textId="77777777" w:rsidR="0068538E" w:rsidRPr="005A09AB" w:rsidRDefault="0068538E" w:rsidP="00084A0B">
            <w:pPr>
              <w:jc w:val="right"/>
              <w:rPr>
                <w:sz w:val="20"/>
                <w:szCs w:val="20"/>
              </w:rPr>
            </w:pPr>
            <w:r w:rsidRPr="005A09AB">
              <w:rPr>
                <w:sz w:val="20"/>
                <w:szCs w:val="20"/>
              </w:rPr>
              <w:t>Did not receive SSI Income</w:t>
            </w:r>
          </w:p>
        </w:tc>
        <w:tc>
          <w:tcPr>
            <w:tcW w:w="965" w:type="dxa"/>
          </w:tcPr>
          <w:p w14:paraId="1AFAF32E" w14:textId="77777777" w:rsidR="0068538E" w:rsidRPr="005A09AB" w:rsidRDefault="0068538E" w:rsidP="00084A0B">
            <w:pPr>
              <w:jc w:val="center"/>
              <w:rPr>
                <w:sz w:val="20"/>
                <w:szCs w:val="20"/>
              </w:rPr>
            </w:pPr>
            <w:r>
              <w:rPr>
                <w:sz w:val="20"/>
                <w:szCs w:val="20"/>
              </w:rPr>
              <w:t>2,510</w:t>
            </w:r>
          </w:p>
        </w:tc>
        <w:tc>
          <w:tcPr>
            <w:tcW w:w="1037" w:type="dxa"/>
          </w:tcPr>
          <w:p w14:paraId="284FDA3E" w14:textId="77777777" w:rsidR="0068538E" w:rsidRPr="005A09AB" w:rsidRDefault="0068538E" w:rsidP="00084A0B">
            <w:pPr>
              <w:jc w:val="center"/>
              <w:rPr>
                <w:sz w:val="20"/>
                <w:szCs w:val="20"/>
              </w:rPr>
            </w:pPr>
            <w:r>
              <w:rPr>
                <w:sz w:val="20"/>
                <w:szCs w:val="20"/>
              </w:rPr>
              <w:t>73.9</w:t>
            </w:r>
          </w:p>
        </w:tc>
        <w:tc>
          <w:tcPr>
            <w:tcW w:w="1080" w:type="dxa"/>
          </w:tcPr>
          <w:p w14:paraId="1A744EA6" w14:textId="77777777" w:rsidR="0068538E" w:rsidRPr="005A09AB" w:rsidRDefault="0068538E" w:rsidP="00084A0B">
            <w:pPr>
              <w:jc w:val="center"/>
              <w:rPr>
                <w:sz w:val="20"/>
                <w:szCs w:val="20"/>
              </w:rPr>
            </w:pPr>
            <w:r>
              <w:rPr>
                <w:sz w:val="20"/>
                <w:szCs w:val="20"/>
              </w:rPr>
              <w:t>2,191</w:t>
            </w:r>
          </w:p>
        </w:tc>
        <w:tc>
          <w:tcPr>
            <w:tcW w:w="1037" w:type="dxa"/>
          </w:tcPr>
          <w:p w14:paraId="7AF9ECC6" w14:textId="77777777" w:rsidR="0068538E" w:rsidRPr="005A09AB" w:rsidRDefault="0068538E" w:rsidP="00084A0B">
            <w:pPr>
              <w:jc w:val="center"/>
              <w:rPr>
                <w:sz w:val="20"/>
                <w:szCs w:val="20"/>
              </w:rPr>
            </w:pPr>
            <w:r>
              <w:rPr>
                <w:sz w:val="20"/>
                <w:szCs w:val="20"/>
              </w:rPr>
              <w:t>75.8</w:t>
            </w:r>
          </w:p>
        </w:tc>
        <w:tc>
          <w:tcPr>
            <w:tcW w:w="1542" w:type="dxa"/>
          </w:tcPr>
          <w:p w14:paraId="60FD6A27" w14:textId="77777777" w:rsidR="0068538E" w:rsidRPr="004B2470" w:rsidRDefault="0068538E" w:rsidP="00084A0B">
            <w:pPr>
              <w:jc w:val="center"/>
              <w:rPr>
                <w:b/>
                <w:bCs/>
                <w:sz w:val="20"/>
                <w:szCs w:val="20"/>
              </w:rPr>
            </w:pPr>
            <w:r>
              <w:rPr>
                <w:b/>
                <w:bCs/>
                <w:sz w:val="20"/>
                <w:szCs w:val="20"/>
              </w:rPr>
              <w:t>-14.6</w:t>
            </w:r>
          </w:p>
        </w:tc>
        <w:tc>
          <w:tcPr>
            <w:tcW w:w="1542" w:type="dxa"/>
          </w:tcPr>
          <w:p w14:paraId="74DE4EAE" w14:textId="77777777" w:rsidR="0068538E" w:rsidRPr="004B2470" w:rsidRDefault="0068538E" w:rsidP="00084A0B">
            <w:pPr>
              <w:jc w:val="center"/>
              <w:rPr>
                <w:b/>
                <w:bCs/>
                <w:sz w:val="20"/>
                <w:szCs w:val="20"/>
              </w:rPr>
            </w:pPr>
            <w:r>
              <w:rPr>
                <w:b/>
                <w:bCs/>
                <w:sz w:val="20"/>
                <w:szCs w:val="20"/>
              </w:rPr>
              <w:t>1.9</w:t>
            </w:r>
          </w:p>
        </w:tc>
      </w:tr>
      <w:tr w:rsidR="0068538E" w:rsidRPr="005A09AB" w14:paraId="50E25C7C" w14:textId="77777777" w:rsidTr="00084A0B">
        <w:tc>
          <w:tcPr>
            <w:tcW w:w="3031" w:type="dxa"/>
          </w:tcPr>
          <w:p w14:paraId="561A1DAB" w14:textId="77777777" w:rsidR="0068538E" w:rsidRPr="005A09AB" w:rsidRDefault="0068538E" w:rsidP="00084A0B">
            <w:pPr>
              <w:jc w:val="right"/>
              <w:rPr>
                <w:sz w:val="20"/>
                <w:szCs w:val="20"/>
              </w:rPr>
            </w:pPr>
          </w:p>
        </w:tc>
        <w:tc>
          <w:tcPr>
            <w:tcW w:w="965" w:type="dxa"/>
          </w:tcPr>
          <w:p w14:paraId="42F11791" w14:textId="77777777" w:rsidR="0068538E" w:rsidRPr="005A09AB" w:rsidRDefault="0068538E" w:rsidP="00084A0B">
            <w:pPr>
              <w:jc w:val="center"/>
              <w:rPr>
                <w:sz w:val="20"/>
                <w:szCs w:val="20"/>
              </w:rPr>
            </w:pPr>
          </w:p>
        </w:tc>
        <w:tc>
          <w:tcPr>
            <w:tcW w:w="1037" w:type="dxa"/>
          </w:tcPr>
          <w:p w14:paraId="3621E57A" w14:textId="77777777" w:rsidR="0068538E" w:rsidRPr="005A09AB" w:rsidRDefault="0068538E" w:rsidP="00084A0B">
            <w:pPr>
              <w:jc w:val="center"/>
              <w:rPr>
                <w:sz w:val="20"/>
                <w:szCs w:val="20"/>
              </w:rPr>
            </w:pPr>
          </w:p>
        </w:tc>
        <w:tc>
          <w:tcPr>
            <w:tcW w:w="1080" w:type="dxa"/>
          </w:tcPr>
          <w:p w14:paraId="4D6D3DF4" w14:textId="77777777" w:rsidR="0068538E" w:rsidRPr="005A09AB" w:rsidRDefault="0068538E" w:rsidP="00084A0B">
            <w:pPr>
              <w:jc w:val="center"/>
              <w:rPr>
                <w:sz w:val="20"/>
                <w:szCs w:val="20"/>
              </w:rPr>
            </w:pPr>
          </w:p>
        </w:tc>
        <w:tc>
          <w:tcPr>
            <w:tcW w:w="1037" w:type="dxa"/>
          </w:tcPr>
          <w:p w14:paraId="72EEA22A" w14:textId="77777777" w:rsidR="0068538E" w:rsidRPr="005A09AB" w:rsidRDefault="0068538E" w:rsidP="00084A0B">
            <w:pPr>
              <w:jc w:val="center"/>
              <w:rPr>
                <w:sz w:val="20"/>
                <w:szCs w:val="20"/>
              </w:rPr>
            </w:pPr>
          </w:p>
        </w:tc>
        <w:tc>
          <w:tcPr>
            <w:tcW w:w="1542" w:type="dxa"/>
          </w:tcPr>
          <w:p w14:paraId="47D00E02" w14:textId="77777777" w:rsidR="0068538E" w:rsidRPr="004B2470" w:rsidRDefault="0068538E" w:rsidP="00084A0B">
            <w:pPr>
              <w:jc w:val="center"/>
              <w:rPr>
                <w:b/>
                <w:bCs/>
                <w:sz w:val="20"/>
                <w:szCs w:val="20"/>
              </w:rPr>
            </w:pPr>
          </w:p>
        </w:tc>
        <w:tc>
          <w:tcPr>
            <w:tcW w:w="1542" w:type="dxa"/>
          </w:tcPr>
          <w:p w14:paraId="13B63A2C" w14:textId="77777777" w:rsidR="0068538E" w:rsidRPr="004B2470" w:rsidRDefault="0068538E" w:rsidP="00084A0B">
            <w:pPr>
              <w:jc w:val="center"/>
              <w:rPr>
                <w:b/>
                <w:bCs/>
                <w:sz w:val="20"/>
                <w:szCs w:val="20"/>
              </w:rPr>
            </w:pPr>
          </w:p>
        </w:tc>
      </w:tr>
      <w:tr w:rsidR="0068538E" w:rsidRPr="005A09AB" w14:paraId="56917043" w14:textId="77777777" w:rsidTr="00084A0B">
        <w:tc>
          <w:tcPr>
            <w:tcW w:w="3031" w:type="dxa"/>
          </w:tcPr>
          <w:p w14:paraId="1702EB39" w14:textId="77777777" w:rsidR="0068538E" w:rsidRPr="0076251D" w:rsidRDefault="0068538E" w:rsidP="00084A0B">
            <w:pPr>
              <w:rPr>
                <w:i/>
                <w:iCs/>
                <w:sz w:val="20"/>
                <w:szCs w:val="20"/>
              </w:rPr>
            </w:pPr>
            <w:r w:rsidRPr="0076251D">
              <w:rPr>
                <w:i/>
                <w:iCs/>
                <w:sz w:val="20"/>
                <w:szCs w:val="20"/>
              </w:rPr>
              <w:t>SSDI Income</w:t>
            </w:r>
          </w:p>
        </w:tc>
        <w:tc>
          <w:tcPr>
            <w:tcW w:w="965" w:type="dxa"/>
          </w:tcPr>
          <w:p w14:paraId="6606ABF1" w14:textId="77777777" w:rsidR="0068538E" w:rsidRPr="005A09AB" w:rsidRDefault="0068538E" w:rsidP="00084A0B">
            <w:pPr>
              <w:jc w:val="center"/>
              <w:rPr>
                <w:sz w:val="20"/>
                <w:szCs w:val="20"/>
              </w:rPr>
            </w:pPr>
          </w:p>
        </w:tc>
        <w:tc>
          <w:tcPr>
            <w:tcW w:w="1037" w:type="dxa"/>
          </w:tcPr>
          <w:p w14:paraId="28FF2C45" w14:textId="77777777" w:rsidR="0068538E" w:rsidRPr="005A09AB" w:rsidRDefault="0068538E" w:rsidP="00084A0B">
            <w:pPr>
              <w:jc w:val="center"/>
              <w:rPr>
                <w:sz w:val="20"/>
                <w:szCs w:val="20"/>
              </w:rPr>
            </w:pPr>
          </w:p>
        </w:tc>
        <w:tc>
          <w:tcPr>
            <w:tcW w:w="1080" w:type="dxa"/>
          </w:tcPr>
          <w:p w14:paraId="6052263C" w14:textId="77777777" w:rsidR="0068538E" w:rsidRPr="005A09AB" w:rsidRDefault="0068538E" w:rsidP="00084A0B">
            <w:pPr>
              <w:jc w:val="center"/>
              <w:rPr>
                <w:sz w:val="20"/>
                <w:szCs w:val="20"/>
              </w:rPr>
            </w:pPr>
          </w:p>
        </w:tc>
        <w:tc>
          <w:tcPr>
            <w:tcW w:w="1037" w:type="dxa"/>
          </w:tcPr>
          <w:p w14:paraId="4A91BD76" w14:textId="77777777" w:rsidR="0068538E" w:rsidRPr="005A09AB" w:rsidRDefault="0068538E" w:rsidP="00084A0B">
            <w:pPr>
              <w:jc w:val="center"/>
              <w:rPr>
                <w:sz w:val="20"/>
                <w:szCs w:val="20"/>
              </w:rPr>
            </w:pPr>
          </w:p>
        </w:tc>
        <w:tc>
          <w:tcPr>
            <w:tcW w:w="1542" w:type="dxa"/>
          </w:tcPr>
          <w:p w14:paraId="541E46C3" w14:textId="77777777" w:rsidR="0068538E" w:rsidRPr="004B2470" w:rsidRDefault="0068538E" w:rsidP="00084A0B">
            <w:pPr>
              <w:jc w:val="center"/>
              <w:rPr>
                <w:b/>
                <w:bCs/>
                <w:sz w:val="20"/>
                <w:szCs w:val="20"/>
              </w:rPr>
            </w:pPr>
          </w:p>
        </w:tc>
        <w:tc>
          <w:tcPr>
            <w:tcW w:w="1542" w:type="dxa"/>
          </w:tcPr>
          <w:p w14:paraId="288D7A16" w14:textId="77777777" w:rsidR="0068538E" w:rsidRPr="004B2470" w:rsidRDefault="0068538E" w:rsidP="00084A0B">
            <w:pPr>
              <w:jc w:val="center"/>
              <w:rPr>
                <w:b/>
                <w:bCs/>
                <w:sz w:val="20"/>
                <w:szCs w:val="20"/>
              </w:rPr>
            </w:pPr>
          </w:p>
        </w:tc>
      </w:tr>
      <w:tr w:rsidR="0068538E" w:rsidRPr="005A09AB" w14:paraId="74092FCC" w14:textId="77777777" w:rsidTr="00084A0B">
        <w:tc>
          <w:tcPr>
            <w:tcW w:w="3031" w:type="dxa"/>
          </w:tcPr>
          <w:p w14:paraId="248CA51D" w14:textId="77777777" w:rsidR="0068538E" w:rsidRPr="005A09AB" w:rsidRDefault="0068538E" w:rsidP="00084A0B">
            <w:pPr>
              <w:jc w:val="right"/>
              <w:rPr>
                <w:sz w:val="20"/>
                <w:szCs w:val="20"/>
              </w:rPr>
            </w:pPr>
            <w:r w:rsidRPr="005A09AB">
              <w:rPr>
                <w:sz w:val="20"/>
                <w:szCs w:val="20"/>
              </w:rPr>
              <w:t>Received SSDI Income</w:t>
            </w:r>
          </w:p>
        </w:tc>
        <w:tc>
          <w:tcPr>
            <w:tcW w:w="965" w:type="dxa"/>
          </w:tcPr>
          <w:p w14:paraId="42A71D28" w14:textId="77777777" w:rsidR="0068538E" w:rsidRPr="005A09AB" w:rsidRDefault="0068538E" w:rsidP="00084A0B">
            <w:pPr>
              <w:jc w:val="center"/>
              <w:rPr>
                <w:sz w:val="20"/>
                <w:szCs w:val="20"/>
              </w:rPr>
            </w:pPr>
            <w:r>
              <w:rPr>
                <w:sz w:val="20"/>
                <w:szCs w:val="20"/>
              </w:rPr>
              <w:t>701</w:t>
            </w:r>
          </w:p>
        </w:tc>
        <w:tc>
          <w:tcPr>
            <w:tcW w:w="1037" w:type="dxa"/>
          </w:tcPr>
          <w:p w14:paraId="20165648" w14:textId="77777777" w:rsidR="0068538E" w:rsidRPr="005A09AB" w:rsidRDefault="0068538E" w:rsidP="00084A0B">
            <w:pPr>
              <w:jc w:val="center"/>
              <w:rPr>
                <w:sz w:val="20"/>
                <w:szCs w:val="20"/>
              </w:rPr>
            </w:pPr>
            <w:r>
              <w:rPr>
                <w:sz w:val="20"/>
                <w:szCs w:val="20"/>
              </w:rPr>
              <w:t>20.6</w:t>
            </w:r>
          </w:p>
        </w:tc>
        <w:tc>
          <w:tcPr>
            <w:tcW w:w="1080" w:type="dxa"/>
          </w:tcPr>
          <w:p w14:paraId="13F8DE54" w14:textId="77777777" w:rsidR="0068538E" w:rsidRPr="005A09AB" w:rsidRDefault="0068538E" w:rsidP="00084A0B">
            <w:pPr>
              <w:jc w:val="center"/>
              <w:rPr>
                <w:sz w:val="20"/>
                <w:szCs w:val="20"/>
              </w:rPr>
            </w:pPr>
            <w:r>
              <w:rPr>
                <w:sz w:val="20"/>
                <w:szCs w:val="20"/>
              </w:rPr>
              <w:t>514</w:t>
            </w:r>
          </w:p>
        </w:tc>
        <w:tc>
          <w:tcPr>
            <w:tcW w:w="1037" w:type="dxa"/>
          </w:tcPr>
          <w:p w14:paraId="4D75EBA5" w14:textId="77777777" w:rsidR="0068538E" w:rsidRPr="005A09AB" w:rsidRDefault="0068538E" w:rsidP="00084A0B">
            <w:pPr>
              <w:jc w:val="center"/>
              <w:rPr>
                <w:sz w:val="20"/>
                <w:szCs w:val="20"/>
              </w:rPr>
            </w:pPr>
            <w:r>
              <w:rPr>
                <w:sz w:val="20"/>
                <w:szCs w:val="20"/>
              </w:rPr>
              <w:t>17.8</w:t>
            </w:r>
          </w:p>
        </w:tc>
        <w:tc>
          <w:tcPr>
            <w:tcW w:w="1542" w:type="dxa"/>
          </w:tcPr>
          <w:p w14:paraId="3FDDFC72" w14:textId="77777777" w:rsidR="0068538E" w:rsidRPr="004B2470" w:rsidRDefault="0068538E" w:rsidP="00084A0B">
            <w:pPr>
              <w:jc w:val="center"/>
              <w:rPr>
                <w:b/>
                <w:bCs/>
                <w:sz w:val="20"/>
                <w:szCs w:val="20"/>
              </w:rPr>
            </w:pPr>
            <w:r>
              <w:rPr>
                <w:b/>
                <w:bCs/>
                <w:sz w:val="20"/>
                <w:szCs w:val="20"/>
              </w:rPr>
              <w:t>-36.4</w:t>
            </w:r>
          </w:p>
        </w:tc>
        <w:tc>
          <w:tcPr>
            <w:tcW w:w="1542" w:type="dxa"/>
          </w:tcPr>
          <w:p w14:paraId="422A83A5" w14:textId="77777777" w:rsidR="0068538E" w:rsidRPr="004B2470" w:rsidRDefault="0068538E" w:rsidP="00084A0B">
            <w:pPr>
              <w:jc w:val="center"/>
              <w:rPr>
                <w:b/>
                <w:bCs/>
                <w:sz w:val="20"/>
                <w:szCs w:val="20"/>
              </w:rPr>
            </w:pPr>
            <w:r>
              <w:rPr>
                <w:b/>
                <w:bCs/>
                <w:sz w:val="20"/>
                <w:szCs w:val="20"/>
              </w:rPr>
              <w:t>-2.8</w:t>
            </w:r>
          </w:p>
        </w:tc>
      </w:tr>
      <w:tr w:rsidR="0068538E" w:rsidRPr="005A09AB" w14:paraId="16D450D1" w14:textId="77777777" w:rsidTr="00084A0B">
        <w:tc>
          <w:tcPr>
            <w:tcW w:w="3031" w:type="dxa"/>
          </w:tcPr>
          <w:p w14:paraId="1F7BA3AA" w14:textId="77777777" w:rsidR="0068538E" w:rsidRPr="005A09AB" w:rsidRDefault="0068538E" w:rsidP="00084A0B">
            <w:pPr>
              <w:jc w:val="right"/>
              <w:rPr>
                <w:sz w:val="20"/>
                <w:szCs w:val="20"/>
              </w:rPr>
            </w:pPr>
            <w:r w:rsidRPr="005A09AB">
              <w:rPr>
                <w:sz w:val="20"/>
                <w:szCs w:val="20"/>
              </w:rPr>
              <w:t>Did not receive SSDI Income</w:t>
            </w:r>
          </w:p>
        </w:tc>
        <w:tc>
          <w:tcPr>
            <w:tcW w:w="965" w:type="dxa"/>
          </w:tcPr>
          <w:p w14:paraId="654282A7" w14:textId="77777777" w:rsidR="0068538E" w:rsidRPr="005A09AB" w:rsidRDefault="0068538E" w:rsidP="00084A0B">
            <w:pPr>
              <w:jc w:val="center"/>
              <w:rPr>
                <w:sz w:val="20"/>
                <w:szCs w:val="20"/>
              </w:rPr>
            </w:pPr>
            <w:r>
              <w:rPr>
                <w:sz w:val="20"/>
                <w:szCs w:val="20"/>
              </w:rPr>
              <w:t>2,696</w:t>
            </w:r>
          </w:p>
        </w:tc>
        <w:tc>
          <w:tcPr>
            <w:tcW w:w="1037" w:type="dxa"/>
          </w:tcPr>
          <w:p w14:paraId="439B2EF6" w14:textId="77777777" w:rsidR="0068538E" w:rsidRPr="005A09AB" w:rsidRDefault="0068538E" w:rsidP="00084A0B">
            <w:pPr>
              <w:jc w:val="center"/>
              <w:rPr>
                <w:sz w:val="20"/>
                <w:szCs w:val="20"/>
              </w:rPr>
            </w:pPr>
            <w:r>
              <w:rPr>
                <w:sz w:val="20"/>
                <w:szCs w:val="20"/>
              </w:rPr>
              <w:t>79.4</w:t>
            </w:r>
          </w:p>
        </w:tc>
        <w:tc>
          <w:tcPr>
            <w:tcW w:w="1080" w:type="dxa"/>
          </w:tcPr>
          <w:p w14:paraId="33657B98" w14:textId="77777777" w:rsidR="0068538E" w:rsidRPr="005A09AB" w:rsidRDefault="0068538E" w:rsidP="00084A0B">
            <w:pPr>
              <w:jc w:val="center"/>
              <w:rPr>
                <w:sz w:val="20"/>
                <w:szCs w:val="20"/>
              </w:rPr>
            </w:pPr>
            <w:r>
              <w:rPr>
                <w:sz w:val="20"/>
                <w:szCs w:val="20"/>
              </w:rPr>
              <w:t>2,377</w:t>
            </w:r>
          </w:p>
        </w:tc>
        <w:tc>
          <w:tcPr>
            <w:tcW w:w="1037" w:type="dxa"/>
          </w:tcPr>
          <w:p w14:paraId="57434318" w14:textId="77777777" w:rsidR="0068538E" w:rsidRPr="005A09AB" w:rsidRDefault="0068538E" w:rsidP="00084A0B">
            <w:pPr>
              <w:jc w:val="center"/>
              <w:rPr>
                <w:sz w:val="20"/>
                <w:szCs w:val="20"/>
              </w:rPr>
            </w:pPr>
            <w:r>
              <w:rPr>
                <w:sz w:val="20"/>
                <w:szCs w:val="20"/>
              </w:rPr>
              <w:t>82.2</w:t>
            </w:r>
          </w:p>
        </w:tc>
        <w:tc>
          <w:tcPr>
            <w:tcW w:w="1542" w:type="dxa"/>
          </w:tcPr>
          <w:p w14:paraId="4A71D77E" w14:textId="77777777" w:rsidR="0068538E" w:rsidRPr="004B2470" w:rsidRDefault="0068538E" w:rsidP="00084A0B">
            <w:pPr>
              <w:jc w:val="center"/>
              <w:rPr>
                <w:b/>
                <w:bCs/>
                <w:sz w:val="20"/>
                <w:szCs w:val="20"/>
              </w:rPr>
            </w:pPr>
            <w:r>
              <w:rPr>
                <w:b/>
                <w:bCs/>
                <w:sz w:val="20"/>
                <w:szCs w:val="20"/>
              </w:rPr>
              <w:t>-13.4</w:t>
            </w:r>
          </w:p>
        </w:tc>
        <w:tc>
          <w:tcPr>
            <w:tcW w:w="1542" w:type="dxa"/>
          </w:tcPr>
          <w:p w14:paraId="0C64EC92" w14:textId="77777777" w:rsidR="0068538E" w:rsidRPr="004B2470" w:rsidRDefault="0068538E" w:rsidP="00084A0B">
            <w:pPr>
              <w:jc w:val="center"/>
              <w:rPr>
                <w:b/>
                <w:bCs/>
                <w:sz w:val="20"/>
                <w:szCs w:val="20"/>
              </w:rPr>
            </w:pPr>
            <w:r>
              <w:rPr>
                <w:b/>
                <w:bCs/>
                <w:sz w:val="20"/>
                <w:szCs w:val="20"/>
              </w:rPr>
              <w:t>2.8</w:t>
            </w:r>
          </w:p>
        </w:tc>
      </w:tr>
    </w:tbl>
    <w:p w14:paraId="6A2D291B" w14:textId="77777777" w:rsidR="0068538E" w:rsidRPr="0076251D" w:rsidRDefault="0068538E" w:rsidP="0068538E">
      <w:pPr>
        <w:rPr>
          <w:i/>
          <w:iCs/>
          <w:sz w:val="16"/>
          <w:szCs w:val="16"/>
        </w:rPr>
      </w:pPr>
      <w:r w:rsidRPr="0076251D">
        <w:rPr>
          <w:i/>
          <w:iCs/>
          <w:sz w:val="16"/>
          <w:szCs w:val="16"/>
        </w:rPr>
        <w:t>DVR client characteristics data is for ALL cases closed during the Federal Fiscal Year. Characteristics are based on information recorded at time of application, unless otherwise noted. Some totals do not equal the number of clients served because the information was not available for all cases as applicants.</w:t>
      </w:r>
    </w:p>
    <w:p w14:paraId="618EE013" w14:textId="77777777" w:rsidR="0068538E" w:rsidRPr="0076251D" w:rsidRDefault="0068538E" w:rsidP="0068538E">
      <w:pPr>
        <w:spacing w:after="0"/>
        <w:rPr>
          <w:sz w:val="18"/>
          <w:szCs w:val="18"/>
          <w:u w:val="single"/>
        </w:rPr>
      </w:pPr>
      <w:r w:rsidRPr="0076251D">
        <w:rPr>
          <w:sz w:val="18"/>
          <w:szCs w:val="18"/>
          <w:u w:val="single"/>
        </w:rPr>
        <w:t xml:space="preserve">Sources: </w:t>
      </w:r>
    </w:p>
    <w:p w14:paraId="41372EFD" w14:textId="77777777" w:rsidR="0068538E" w:rsidRDefault="0068538E" w:rsidP="0068538E">
      <w:pPr>
        <w:pStyle w:val="ListParagraph"/>
        <w:numPr>
          <w:ilvl w:val="0"/>
          <w:numId w:val="2"/>
        </w:numPr>
        <w:spacing w:after="0"/>
        <w:contextualSpacing w:val="0"/>
        <w:rPr>
          <w:sz w:val="18"/>
          <w:szCs w:val="18"/>
        </w:rPr>
      </w:pPr>
      <w:r w:rsidRPr="0076251D">
        <w:rPr>
          <w:sz w:val="18"/>
          <w:szCs w:val="18"/>
        </w:rPr>
        <w:t xml:space="preserve">biAdaptor DVR Cases_VR Query  </w:t>
      </w:r>
    </w:p>
    <w:p w14:paraId="7D1283F0" w14:textId="77777777" w:rsidR="0068538E" w:rsidRDefault="0068538E" w:rsidP="0068538E">
      <w:pPr>
        <w:pStyle w:val="ListParagraph"/>
        <w:numPr>
          <w:ilvl w:val="0"/>
          <w:numId w:val="2"/>
        </w:numPr>
        <w:rPr>
          <w:sz w:val="18"/>
          <w:szCs w:val="18"/>
        </w:rPr>
      </w:pPr>
      <w:r w:rsidRPr="0076251D">
        <w:rPr>
          <w:sz w:val="18"/>
          <w:szCs w:val="18"/>
        </w:rPr>
        <w:t>Aware Case Management System</w:t>
      </w:r>
    </w:p>
    <w:p w14:paraId="164BE861" w14:textId="77777777" w:rsidR="0068538E" w:rsidRDefault="0068538E" w:rsidP="0068538E">
      <w:pPr>
        <w:pStyle w:val="ListParagraph"/>
        <w:rPr>
          <w:sz w:val="18"/>
          <w:szCs w:val="18"/>
        </w:rPr>
      </w:pPr>
    </w:p>
    <w:p w14:paraId="4019E8B3" w14:textId="77777777" w:rsidR="00D27542" w:rsidRDefault="00D27542" w:rsidP="0068538E">
      <w:pPr>
        <w:pStyle w:val="ListParagraph"/>
        <w:rPr>
          <w:sz w:val="18"/>
          <w:szCs w:val="18"/>
        </w:rPr>
      </w:pPr>
    </w:p>
    <w:p w14:paraId="65A83DE2" w14:textId="77777777" w:rsidR="00D27542" w:rsidRDefault="00D27542" w:rsidP="0068538E">
      <w:pPr>
        <w:pStyle w:val="ListParagraph"/>
        <w:rPr>
          <w:sz w:val="18"/>
          <w:szCs w:val="18"/>
        </w:rPr>
      </w:pPr>
    </w:p>
    <w:p w14:paraId="67EA3426" w14:textId="5F5E9459" w:rsidR="0068538E" w:rsidRDefault="0068538E" w:rsidP="0068538E">
      <w:pPr>
        <w:pStyle w:val="ListParagraph"/>
        <w:numPr>
          <w:ilvl w:val="1"/>
          <w:numId w:val="1"/>
        </w:numPr>
        <w:rPr>
          <w:b/>
          <w:bCs/>
        </w:rPr>
      </w:pPr>
      <w:r>
        <w:rPr>
          <w:b/>
          <w:bCs/>
        </w:rPr>
        <w:t>Process Flow</w:t>
      </w:r>
    </w:p>
    <w:p w14:paraId="794B15FD" w14:textId="30CBE86F" w:rsidR="0068538E" w:rsidRDefault="0068538E" w:rsidP="0068538E">
      <w:pPr>
        <w:pStyle w:val="ListParagraph"/>
        <w:ind w:left="1440"/>
        <w:rPr>
          <w:b/>
          <w:bCs/>
        </w:rPr>
      </w:pPr>
    </w:p>
    <w:p w14:paraId="7BB38F5F" w14:textId="51D7087F" w:rsidR="0068538E" w:rsidRPr="00D27542" w:rsidRDefault="0068538E" w:rsidP="00D27542">
      <w:pPr>
        <w:jc w:val="center"/>
        <w:rPr>
          <w:b/>
          <w:bCs/>
        </w:rPr>
      </w:pPr>
      <w:r w:rsidRPr="00D27542">
        <w:rPr>
          <w:b/>
          <w:bCs/>
        </w:rPr>
        <w:t>Chart 1</w:t>
      </w:r>
    </w:p>
    <w:p w14:paraId="2FC72101" w14:textId="122DB5A8" w:rsidR="0068538E" w:rsidRPr="00D27542" w:rsidRDefault="0068538E" w:rsidP="00D27542">
      <w:pPr>
        <w:jc w:val="center"/>
        <w:rPr>
          <w:b/>
          <w:bCs/>
        </w:rPr>
      </w:pPr>
      <w:r w:rsidRPr="00D27542">
        <w:rPr>
          <w:b/>
          <w:bCs/>
        </w:rPr>
        <w:t>Total Applications, Plans Developed, and Closures between Federal Fiscal Year 2021 and 2023</w:t>
      </w:r>
    </w:p>
    <w:p w14:paraId="0BA85085" w14:textId="190DEA24" w:rsidR="0068538E" w:rsidRPr="00D27542" w:rsidRDefault="0068538E" w:rsidP="00D27542">
      <w:pPr>
        <w:jc w:val="center"/>
        <w:rPr>
          <w:b/>
          <w:bCs/>
        </w:rPr>
      </w:pPr>
      <w:r w:rsidRPr="00D17DA9">
        <w:rPr>
          <w:noProof/>
        </w:rPr>
        <w:lastRenderedPageBreak/>
        <w:drawing>
          <wp:inline distT="0" distB="0" distL="0" distR="0" wp14:anchorId="45DC2292" wp14:editId="29271D6C">
            <wp:extent cx="5486400" cy="32004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9CE858F" w14:textId="77777777" w:rsidR="0068538E" w:rsidRDefault="0068538E" w:rsidP="0068538E">
      <w:pPr>
        <w:pStyle w:val="ListParagraph"/>
        <w:ind w:left="1440"/>
        <w:rPr>
          <w:b/>
          <w:bCs/>
        </w:rPr>
      </w:pPr>
    </w:p>
    <w:p w14:paraId="21CD5B51" w14:textId="77777777" w:rsidR="00D27542" w:rsidRDefault="00D27542" w:rsidP="0068538E">
      <w:pPr>
        <w:pStyle w:val="ListParagraph"/>
        <w:ind w:left="1440"/>
        <w:rPr>
          <w:b/>
          <w:bCs/>
        </w:rPr>
      </w:pPr>
    </w:p>
    <w:p w14:paraId="32E54CBB" w14:textId="77777777" w:rsidR="00D27542" w:rsidRDefault="00D27542" w:rsidP="0068538E">
      <w:pPr>
        <w:pStyle w:val="ListParagraph"/>
        <w:ind w:left="1440"/>
        <w:rPr>
          <w:b/>
          <w:bCs/>
        </w:rPr>
      </w:pPr>
    </w:p>
    <w:p w14:paraId="7CC0D26B" w14:textId="77777777" w:rsidR="00D27542" w:rsidRDefault="00D27542" w:rsidP="0068538E">
      <w:pPr>
        <w:pStyle w:val="ListParagraph"/>
        <w:ind w:left="1440"/>
        <w:rPr>
          <w:b/>
          <w:bCs/>
        </w:rPr>
      </w:pPr>
    </w:p>
    <w:p w14:paraId="3F5B3D58" w14:textId="77777777" w:rsidR="00D27542" w:rsidRDefault="00D27542" w:rsidP="0068538E">
      <w:pPr>
        <w:pStyle w:val="ListParagraph"/>
        <w:ind w:left="1440"/>
        <w:rPr>
          <w:b/>
          <w:bCs/>
        </w:rPr>
      </w:pPr>
    </w:p>
    <w:p w14:paraId="6D473084" w14:textId="77777777" w:rsidR="00D27542" w:rsidRDefault="00D27542" w:rsidP="0068538E">
      <w:pPr>
        <w:pStyle w:val="ListParagraph"/>
        <w:ind w:left="1440"/>
        <w:rPr>
          <w:b/>
          <w:bCs/>
        </w:rPr>
      </w:pPr>
    </w:p>
    <w:p w14:paraId="1260DBFE" w14:textId="213ACDE7" w:rsidR="0068538E" w:rsidRDefault="00024D6C" w:rsidP="0068538E">
      <w:pPr>
        <w:pStyle w:val="ListParagraph"/>
        <w:ind w:left="1440"/>
        <w:rPr>
          <w:b/>
          <w:bCs/>
        </w:rPr>
      </w:pPr>
      <w:r>
        <w:rPr>
          <w:b/>
          <w:bCs/>
        </w:rPr>
        <w:t>Fi</w:t>
      </w:r>
      <w:r w:rsidR="0068538E">
        <w:rPr>
          <w:b/>
          <w:bCs/>
        </w:rPr>
        <w:t>ndings:</w:t>
      </w:r>
    </w:p>
    <w:p w14:paraId="47645300" w14:textId="7CD1946E" w:rsidR="00024D6C" w:rsidRDefault="00024D6C" w:rsidP="00024D6C">
      <w:pPr>
        <w:pStyle w:val="ListParagraph"/>
        <w:numPr>
          <w:ilvl w:val="0"/>
          <w:numId w:val="3"/>
        </w:numPr>
        <w:rPr>
          <w:b/>
          <w:bCs/>
        </w:rPr>
      </w:pPr>
      <w:r>
        <w:rPr>
          <w:b/>
          <w:bCs/>
        </w:rPr>
        <w:t>The number of new applications has rebounded to meet or surpass pre-pandemic levels</w:t>
      </w:r>
    </w:p>
    <w:p w14:paraId="7C0DDC7C" w14:textId="6FF9739C" w:rsidR="00024D6C" w:rsidRDefault="00024D6C" w:rsidP="00024D6C">
      <w:pPr>
        <w:pStyle w:val="ListParagraph"/>
        <w:numPr>
          <w:ilvl w:val="0"/>
          <w:numId w:val="3"/>
        </w:numPr>
        <w:rPr>
          <w:b/>
          <w:bCs/>
        </w:rPr>
      </w:pPr>
      <w:r>
        <w:rPr>
          <w:b/>
          <w:bCs/>
        </w:rPr>
        <w:t xml:space="preserve">The number of new Individualized Plans for Employment has also significantly increased in keeping with the number of new applicants </w:t>
      </w:r>
    </w:p>
    <w:p w14:paraId="3D4B266F" w14:textId="77777777" w:rsidR="00024D6C" w:rsidRDefault="00024D6C" w:rsidP="00024D6C">
      <w:pPr>
        <w:rPr>
          <w:b/>
          <w:bCs/>
        </w:rPr>
      </w:pPr>
    </w:p>
    <w:p w14:paraId="7A728978" w14:textId="77777777" w:rsidR="00024D6C" w:rsidRDefault="00024D6C" w:rsidP="00024D6C">
      <w:pPr>
        <w:rPr>
          <w:b/>
          <w:bCs/>
        </w:rPr>
      </w:pPr>
    </w:p>
    <w:p w14:paraId="76FDD83B" w14:textId="77777777" w:rsidR="00024D6C" w:rsidRDefault="00024D6C" w:rsidP="00024D6C">
      <w:pPr>
        <w:rPr>
          <w:b/>
          <w:bCs/>
        </w:rPr>
      </w:pPr>
    </w:p>
    <w:p w14:paraId="2F0403AF" w14:textId="77777777" w:rsidR="00024D6C" w:rsidRDefault="00024D6C" w:rsidP="00024D6C">
      <w:pPr>
        <w:rPr>
          <w:b/>
          <w:bCs/>
        </w:rPr>
      </w:pPr>
    </w:p>
    <w:p w14:paraId="5F33BC12" w14:textId="77777777" w:rsidR="00024D6C" w:rsidRDefault="00024D6C" w:rsidP="00024D6C">
      <w:pPr>
        <w:rPr>
          <w:b/>
          <w:bCs/>
        </w:rPr>
      </w:pPr>
    </w:p>
    <w:p w14:paraId="769D1442" w14:textId="77777777" w:rsidR="00024D6C" w:rsidRDefault="00024D6C" w:rsidP="00024D6C">
      <w:pPr>
        <w:rPr>
          <w:b/>
          <w:bCs/>
        </w:rPr>
      </w:pPr>
    </w:p>
    <w:p w14:paraId="5AA07DB3" w14:textId="77777777" w:rsidR="00024D6C" w:rsidRDefault="00024D6C" w:rsidP="00024D6C">
      <w:pPr>
        <w:rPr>
          <w:b/>
          <w:bCs/>
        </w:rPr>
      </w:pPr>
    </w:p>
    <w:p w14:paraId="44CC5E6B" w14:textId="77777777" w:rsidR="00024D6C" w:rsidRDefault="00024D6C" w:rsidP="00024D6C">
      <w:pPr>
        <w:rPr>
          <w:b/>
          <w:bCs/>
        </w:rPr>
      </w:pPr>
    </w:p>
    <w:p w14:paraId="43679E4F" w14:textId="77777777" w:rsidR="00024D6C" w:rsidRPr="00024D6C" w:rsidRDefault="00024D6C" w:rsidP="00024D6C">
      <w:pPr>
        <w:rPr>
          <w:b/>
          <w:bCs/>
        </w:rPr>
      </w:pPr>
    </w:p>
    <w:p w14:paraId="199FC847" w14:textId="77777777" w:rsidR="00D27542" w:rsidRDefault="00D27542" w:rsidP="00D27542">
      <w:pPr>
        <w:rPr>
          <w:b/>
          <w:bCs/>
        </w:rPr>
      </w:pPr>
    </w:p>
    <w:p w14:paraId="71917068" w14:textId="77777777" w:rsidR="00D27542" w:rsidRDefault="0068538E" w:rsidP="00D27542">
      <w:pPr>
        <w:jc w:val="center"/>
        <w:rPr>
          <w:b/>
          <w:bCs/>
        </w:rPr>
      </w:pPr>
      <w:r w:rsidRPr="00D27542">
        <w:rPr>
          <w:b/>
          <w:bCs/>
        </w:rPr>
        <w:t>Chart 2</w:t>
      </w:r>
    </w:p>
    <w:p w14:paraId="21B52886" w14:textId="5CEFAB74" w:rsidR="0068538E" w:rsidRPr="00D27542" w:rsidRDefault="0068538E" w:rsidP="00D27542">
      <w:pPr>
        <w:jc w:val="center"/>
        <w:rPr>
          <w:b/>
          <w:bCs/>
        </w:rPr>
      </w:pPr>
      <w:r w:rsidRPr="00D27542">
        <w:rPr>
          <w:b/>
          <w:bCs/>
        </w:rPr>
        <w:t>Active Caseload Status End of Fiscal Year Snapshot for Federal Fiscal Year 2021 and 2023</w:t>
      </w:r>
    </w:p>
    <w:p w14:paraId="3A8D1610" w14:textId="683BD4D5" w:rsidR="0068538E" w:rsidRPr="00D27542" w:rsidRDefault="0068538E" w:rsidP="00D27542">
      <w:pPr>
        <w:jc w:val="center"/>
        <w:rPr>
          <w:b/>
          <w:bCs/>
        </w:rPr>
      </w:pPr>
      <w:r>
        <w:rPr>
          <w:noProof/>
        </w:rPr>
        <w:lastRenderedPageBreak/>
        <w:drawing>
          <wp:inline distT="0" distB="0" distL="0" distR="0" wp14:anchorId="5A60E3D1" wp14:editId="5210AD1B">
            <wp:extent cx="5486400" cy="32004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DCE2C54" w14:textId="77777777" w:rsidR="0068538E" w:rsidRDefault="0068538E" w:rsidP="0068538E">
      <w:pPr>
        <w:pStyle w:val="ListParagraph"/>
        <w:ind w:left="1440"/>
        <w:jc w:val="center"/>
        <w:rPr>
          <w:b/>
          <w:bCs/>
        </w:rPr>
      </w:pPr>
    </w:p>
    <w:p w14:paraId="2697A74F" w14:textId="77777777" w:rsidR="0068538E" w:rsidRDefault="0068538E" w:rsidP="0068538E">
      <w:pPr>
        <w:pStyle w:val="ListParagraph"/>
        <w:ind w:left="1440"/>
        <w:rPr>
          <w:b/>
          <w:bCs/>
        </w:rPr>
      </w:pPr>
    </w:p>
    <w:p w14:paraId="75AE3BCF" w14:textId="77777777" w:rsidR="0068538E" w:rsidRDefault="0068538E" w:rsidP="0068538E">
      <w:pPr>
        <w:pStyle w:val="ListParagraph"/>
        <w:ind w:left="1440"/>
        <w:rPr>
          <w:b/>
          <w:bCs/>
        </w:rPr>
      </w:pPr>
    </w:p>
    <w:p w14:paraId="0B95CED0" w14:textId="42DCFFF5" w:rsidR="0068538E" w:rsidRDefault="0068538E" w:rsidP="0068538E">
      <w:pPr>
        <w:pStyle w:val="ListParagraph"/>
        <w:ind w:left="1440"/>
        <w:rPr>
          <w:b/>
          <w:bCs/>
        </w:rPr>
      </w:pPr>
      <w:r>
        <w:rPr>
          <w:b/>
          <w:bCs/>
        </w:rPr>
        <w:t>Findings:</w:t>
      </w:r>
      <w:r w:rsidR="00024D6C">
        <w:rPr>
          <w:b/>
          <w:bCs/>
        </w:rPr>
        <w:t xml:space="preserve"> </w:t>
      </w:r>
    </w:p>
    <w:p w14:paraId="407275D9" w14:textId="77777777" w:rsidR="00024D6C" w:rsidRDefault="00024D6C" w:rsidP="0068538E">
      <w:pPr>
        <w:pStyle w:val="ListParagraph"/>
        <w:ind w:left="1440"/>
        <w:rPr>
          <w:b/>
          <w:bCs/>
        </w:rPr>
      </w:pPr>
    </w:p>
    <w:p w14:paraId="1B5620D9" w14:textId="43C0CF43" w:rsidR="00024D6C" w:rsidRDefault="00024D6C" w:rsidP="00024D6C">
      <w:pPr>
        <w:pStyle w:val="ListParagraph"/>
        <w:numPr>
          <w:ilvl w:val="0"/>
          <w:numId w:val="5"/>
        </w:numPr>
        <w:rPr>
          <w:b/>
          <w:bCs/>
        </w:rPr>
      </w:pPr>
      <w:r>
        <w:rPr>
          <w:b/>
          <w:bCs/>
        </w:rPr>
        <w:t>The number of clients who were actively engaged in an Individualized Plan for Employment nearly doubled between FFY 2022 and FFY 2023</w:t>
      </w:r>
    </w:p>
    <w:p w14:paraId="54DF4C78" w14:textId="20DB37C8" w:rsidR="00024D6C" w:rsidRPr="00024D6C" w:rsidRDefault="00024D6C" w:rsidP="00024D6C">
      <w:pPr>
        <w:pStyle w:val="ListParagraph"/>
        <w:numPr>
          <w:ilvl w:val="0"/>
          <w:numId w:val="5"/>
        </w:numPr>
        <w:rPr>
          <w:b/>
          <w:bCs/>
        </w:rPr>
      </w:pPr>
      <w:r>
        <w:rPr>
          <w:b/>
          <w:bCs/>
        </w:rPr>
        <w:t xml:space="preserve">DVR continues to work at reducing </w:t>
      </w:r>
      <w:r w:rsidR="00163B43">
        <w:rPr>
          <w:b/>
          <w:bCs/>
        </w:rPr>
        <w:t xml:space="preserve">the numbers of individuals who close without an employment outcome (“early exiters”), while the number remained stable between FFY 2022 and FFY 2023 –  percentage of early exiters to overall participants significantly decreased – indicating progress. </w:t>
      </w:r>
    </w:p>
    <w:p w14:paraId="18F53D56" w14:textId="77777777" w:rsidR="00D27542" w:rsidRDefault="00D27542" w:rsidP="00D27542">
      <w:pPr>
        <w:jc w:val="center"/>
        <w:rPr>
          <w:b/>
          <w:bCs/>
        </w:rPr>
      </w:pPr>
    </w:p>
    <w:p w14:paraId="7BEA93FC" w14:textId="77777777" w:rsidR="00163B43" w:rsidRDefault="00163B43" w:rsidP="00D27542">
      <w:pPr>
        <w:jc w:val="center"/>
        <w:rPr>
          <w:b/>
          <w:bCs/>
        </w:rPr>
      </w:pPr>
    </w:p>
    <w:p w14:paraId="2CFE90F6" w14:textId="77777777" w:rsidR="00163B43" w:rsidRDefault="00163B43" w:rsidP="00D27542">
      <w:pPr>
        <w:jc w:val="center"/>
        <w:rPr>
          <w:b/>
          <w:bCs/>
        </w:rPr>
      </w:pPr>
    </w:p>
    <w:p w14:paraId="11F6087F" w14:textId="77777777" w:rsidR="00163B43" w:rsidRDefault="00163B43" w:rsidP="00D27542">
      <w:pPr>
        <w:jc w:val="center"/>
        <w:rPr>
          <w:b/>
          <w:bCs/>
        </w:rPr>
      </w:pPr>
    </w:p>
    <w:p w14:paraId="643EF026" w14:textId="77777777" w:rsidR="00163B43" w:rsidRDefault="00163B43" w:rsidP="00D27542">
      <w:pPr>
        <w:jc w:val="center"/>
        <w:rPr>
          <w:b/>
          <w:bCs/>
        </w:rPr>
      </w:pPr>
    </w:p>
    <w:p w14:paraId="72968724" w14:textId="77777777" w:rsidR="00163B43" w:rsidRDefault="00163B43" w:rsidP="00D27542">
      <w:pPr>
        <w:jc w:val="center"/>
        <w:rPr>
          <w:b/>
          <w:bCs/>
        </w:rPr>
      </w:pPr>
    </w:p>
    <w:p w14:paraId="7A387E98" w14:textId="77777777" w:rsidR="00163B43" w:rsidRDefault="00163B43" w:rsidP="00D27542">
      <w:pPr>
        <w:jc w:val="center"/>
        <w:rPr>
          <w:b/>
          <w:bCs/>
        </w:rPr>
      </w:pPr>
    </w:p>
    <w:p w14:paraId="75A2478F" w14:textId="77777777" w:rsidR="00163B43" w:rsidRDefault="00163B43" w:rsidP="00D27542">
      <w:pPr>
        <w:jc w:val="center"/>
        <w:rPr>
          <w:b/>
          <w:bCs/>
        </w:rPr>
      </w:pPr>
    </w:p>
    <w:p w14:paraId="36AEFFA3" w14:textId="77777777" w:rsidR="00163B43" w:rsidRDefault="00163B43" w:rsidP="00D27542">
      <w:pPr>
        <w:jc w:val="center"/>
        <w:rPr>
          <w:b/>
          <w:bCs/>
        </w:rPr>
      </w:pPr>
    </w:p>
    <w:p w14:paraId="622BF400" w14:textId="77777777" w:rsidR="00163B43" w:rsidRDefault="00163B43" w:rsidP="00D27542">
      <w:pPr>
        <w:jc w:val="center"/>
        <w:rPr>
          <w:b/>
          <w:bCs/>
        </w:rPr>
      </w:pPr>
    </w:p>
    <w:p w14:paraId="6ABFF242" w14:textId="77777777" w:rsidR="00163B43" w:rsidRDefault="00163B43" w:rsidP="00D27542">
      <w:pPr>
        <w:jc w:val="center"/>
        <w:rPr>
          <w:b/>
          <w:bCs/>
        </w:rPr>
      </w:pPr>
    </w:p>
    <w:p w14:paraId="2DDF2D10" w14:textId="77777777" w:rsidR="00D27542" w:rsidRPr="00BA7809" w:rsidRDefault="0068538E" w:rsidP="00D27542">
      <w:pPr>
        <w:jc w:val="center"/>
        <w:rPr>
          <w:b/>
          <w:bCs/>
        </w:rPr>
      </w:pPr>
      <w:r w:rsidRPr="00BA7809">
        <w:rPr>
          <w:b/>
          <w:bCs/>
        </w:rPr>
        <w:t>Chart 3</w:t>
      </w:r>
    </w:p>
    <w:p w14:paraId="5915A8FC" w14:textId="60CCDA4A" w:rsidR="0068538E" w:rsidRPr="00D27542" w:rsidRDefault="0068538E" w:rsidP="00D27542">
      <w:pPr>
        <w:jc w:val="center"/>
        <w:rPr>
          <w:b/>
          <w:bCs/>
        </w:rPr>
      </w:pPr>
      <w:r w:rsidRPr="00D27542">
        <w:rPr>
          <w:b/>
          <w:bCs/>
        </w:rPr>
        <w:t>All Case Closures by Closure Type between FFY 2021 and 2023</w:t>
      </w:r>
    </w:p>
    <w:p w14:paraId="154BA655" w14:textId="69AE99C6" w:rsidR="0068538E" w:rsidRPr="00D27542" w:rsidRDefault="0068538E" w:rsidP="00D27542">
      <w:pPr>
        <w:jc w:val="center"/>
        <w:rPr>
          <w:b/>
          <w:bCs/>
        </w:rPr>
      </w:pPr>
      <w:r w:rsidRPr="00D17DA9">
        <w:rPr>
          <w:noProof/>
        </w:rPr>
        <w:lastRenderedPageBreak/>
        <w:drawing>
          <wp:inline distT="0" distB="0" distL="0" distR="0" wp14:anchorId="6A4E23FC" wp14:editId="00290637">
            <wp:extent cx="6318913" cy="4251278"/>
            <wp:effectExtent l="0" t="0" r="5715"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6E5C6EC" w14:textId="77777777" w:rsidR="0068538E" w:rsidRDefault="0068538E" w:rsidP="0068538E">
      <w:pPr>
        <w:pStyle w:val="ListParagraph"/>
        <w:ind w:left="1440"/>
        <w:jc w:val="center"/>
        <w:rPr>
          <w:b/>
          <w:bCs/>
        </w:rPr>
      </w:pPr>
    </w:p>
    <w:p w14:paraId="79A6FE6E" w14:textId="77777777" w:rsidR="00D27542" w:rsidRDefault="00D27542" w:rsidP="0068538E">
      <w:pPr>
        <w:pStyle w:val="ListParagraph"/>
        <w:ind w:left="1440"/>
        <w:rPr>
          <w:b/>
          <w:bCs/>
        </w:rPr>
      </w:pPr>
    </w:p>
    <w:p w14:paraId="07CF7376" w14:textId="47763720" w:rsidR="0068538E" w:rsidRDefault="0068538E" w:rsidP="0068538E">
      <w:pPr>
        <w:pStyle w:val="ListParagraph"/>
        <w:ind w:left="1440"/>
        <w:rPr>
          <w:b/>
          <w:bCs/>
        </w:rPr>
      </w:pPr>
      <w:r>
        <w:rPr>
          <w:b/>
          <w:bCs/>
        </w:rPr>
        <w:t>Findings:</w:t>
      </w:r>
    </w:p>
    <w:p w14:paraId="6A11E99C" w14:textId="5A34B999" w:rsidR="00163B43" w:rsidRDefault="00163B43" w:rsidP="00163B43">
      <w:pPr>
        <w:pStyle w:val="ListParagraph"/>
        <w:numPr>
          <w:ilvl w:val="0"/>
          <w:numId w:val="6"/>
        </w:numPr>
        <w:rPr>
          <w:b/>
          <w:bCs/>
        </w:rPr>
      </w:pPr>
      <w:r>
        <w:rPr>
          <w:b/>
          <w:bCs/>
        </w:rPr>
        <w:t>The increase in individuals exiting from Delayed status reflects an effort to contact all</w:t>
      </w:r>
      <w:r w:rsidR="00FA0B54">
        <w:rPr>
          <w:b/>
          <w:bCs/>
        </w:rPr>
        <w:t xml:space="preserve"> individuals on the wait list in preparation for reopening Order of Selection categories 3 and 4. </w:t>
      </w:r>
    </w:p>
    <w:p w14:paraId="0E5B6481" w14:textId="2A505682" w:rsidR="00FA0B54" w:rsidRDefault="00FA0B54" w:rsidP="00163B43">
      <w:pPr>
        <w:pStyle w:val="ListParagraph"/>
        <w:numPr>
          <w:ilvl w:val="0"/>
          <w:numId w:val="6"/>
        </w:numPr>
        <w:rPr>
          <w:b/>
          <w:bCs/>
        </w:rPr>
      </w:pPr>
      <w:r>
        <w:rPr>
          <w:b/>
          <w:bCs/>
        </w:rPr>
        <w:t>The decrease in numbers of individuals exiting while in an active Individualized Plan for Employment (Service Status) is a positive indicator.</w:t>
      </w:r>
    </w:p>
    <w:p w14:paraId="74CFC6EA" w14:textId="7B254F78" w:rsidR="00FA0B54" w:rsidRDefault="00FA0B54" w:rsidP="00163B43">
      <w:pPr>
        <w:pStyle w:val="ListParagraph"/>
        <w:numPr>
          <w:ilvl w:val="0"/>
          <w:numId w:val="6"/>
        </w:numPr>
        <w:rPr>
          <w:b/>
          <w:bCs/>
        </w:rPr>
      </w:pPr>
      <w:r>
        <w:rPr>
          <w:b/>
          <w:bCs/>
        </w:rPr>
        <w:t>With days from application to eligibility improved, DVR will examine other factors that may be influencing closure while in application status. Early information from the Intake Unit points at some applicants having applied or having someone apply on their behalf  - without an understanding of VR services. DVR is now offering an (optional) monthly virtual orientation session to help increase awareness of VR services pre-application.</w:t>
      </w:r>
    </w:p>
    <w:p w14:paraId="318164AD" w14:textId="77777777" w:rsidR="00163B43" w:rsidRDefault="00163B43" w:rsidP="0068538E">
      <w:pPr>
        <w:pStyle w:val="ListParagraph"/>
        <w:ind w:left="1440"/>
        <w:rPr>
          <w:b/>
          <w:bCs/>
        </w:rPr>
      </w:pPr>
    </w:p>
    <w:p w14:paraId="377A8CBC" w14:textId="77777777" w:rsidR="00163B43" w:rsidRDefault="00163B43" w:rsidP="0068538E">
      <w:pPr>
        <w:pStyle w:val="ListParagraph"/>
        <w:ind w:left="1440"/>
        <w:rPr>
          <w:b/>
          <w:bCs/>
        </w:rPr>
      </w:pPr>
    </w:p>
    <w:p w14:paraId="0D4BA090" w14:textId="77777777" w:rsidR="00163B43" w:rsidRDefault="00163B43" w:rsidP="0068538E">
      <w:pPr>
        <w:pStyle w:val="ListParagraph"/>
        <w:ind w:left="1440"/>
        <w:rPr>
          <w:b/>
          <w:bCs/>
        </w:rPr>
      </w:pPr>
    </w:p>
    <w:p w14:paraId="31AC8D70" w14:textId="77777777" w:rsidR="00163B43" w:rsidRDefault="00163B43" w:rsidP="0068538E">
      <w:pPr>
        <w:pStyle w:val="ListParagraph"/>
        <w:ind w:left="1440"/>
        <w:rPr>
          <w:b/>
          <w:bCs/>
        </w:rPr>
      </w:pPr>
    </w:p>
    <w:p w14:paraId="6F4E80B3" w14:textId="77777777" w:rsidR="00163B43" w:rsidRDefault="00163B43" w:rsidP="0068538E">
      <w:pPr>
        <w:pStyle w:val="ListParagraph"/>
        <w:ind w:left="1440"/>
        <w:rPr>
          <w:b/>
          <w:bCs/>
        </w:rPr>
      </w:pPr>
    </w:p>
    <w:p w14:paraId="20567313" w14:textId="77777777" w:rsidR="0068538E" w:rsidRDefault="0068538E" w:rsidP="0068538E">
      <w:pPr>
        <w:pStyle w:val="ListParagraph"/>
        <w:ind w:left="1440"/>
        <w:rPr>
          <w:b/>
          <w:bCs/>
        </w:rPr>
      </w:pPr>
    </w:p>
    <w:p w14:paraId="4B35E5A6" w14:textId="0BE61F04" w:rsidR="0068538E" w:rsidRPr="00D27542" w:rsidRDefault="0068538E" w:rsidP="00D27542">
      <w:pPr>
        <w:jc w:val="center"/>
        <w:rPr>
          <w:b/>
          <w:bCs/>
        </w:rPr>
      </w:pPr>
      <w:r w:rsidRPr="00D27542">
        <w:rPr>
          <w:b/>
          <w:bCs/>
        </w:rPr>
        <w:t>Chart 4</w:t>
      </w:r>
    </w:p>
    <w:p w14:paraId="19EE7DE5" w14:textId="5CE597E6" w:rsidR="0068538E" w:rsidRPr="00D27542" w:rsidRDefault="0068538E" w:rsidP="00D27542">
      <w:pPr>
        <w:jc w:val="center"/>
        <w:rPr>
          <w:b/>
          <w:bCs/>
        </w:rPr>
      </w:pPr>
      <w:r w:rsidRPr="00D27542">
        <w:rPr>
          <w:b/>
          <w:bCs/>
        </w:rPr>
        <w:t>Average Months in VR Process for Successful Closures between Federal Fiscal Year 2021 and 2023</w:t>
      </w:r>
    </w:p>
    <w:p w14:paraId="45BA5A98" w14:textId="01981561" w:rsidR="0068538E" w:rsidRPr="00D27542" w:rsidRDefault="0068538E" w:rsidP="00D27542">
      <w:pPr>
        <w:jc w:val="center"/>
        <w:rPr>
          <w:b/>
          <w:bCs/>
        </w:rPr>
      </w:pPr>
      <w:r w:rsidRPr="00D17DA9">
        <w:rPr>
          <w:noProof/>
        </w:rPr>
        <w:lastRenderedPageBreak/>
        <w:drawing>
          <wp:inline distT="0" distB="0" distL="0" distR="0" wp14:anchorId="4278EB5A" wp14:editId="33E9AF9E">
            <wp:extent cx="5486400" cy="32004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CE20B74" w14:textId="77777777" w:rsidR="0068538E" w:rsidRDefault="0068538E" w:rsidP="0068538E">
      <w:pPr>
        <w:pStyle w:val="ListParagraph"/>
        <w:ind w:left="1440"/>
        <w:rPr>
          <w:b/>
          <w:bCs/>
        </w:rPr>
      </w:pPr>
    </w:p>
    <w:p w14:paraId="28D6BB4D" w14:textId="77777777" w:rsidR="00D27542" w:rsidRDefault="00D27542" w:rsidP="0068538E">
      <w:pPr>
        <w:pStyle w:val="ListParagraph"/>
        <w:ind w:left="1440"/>
        <w:rPr>
          <w:b/>
          <w:bCs/>
        </w:rPr>
      </w:pPr>
    </w:p>
    <w:p w14:paraId="2A48CD74" w14:textId="77777777" w:rsidR="00D27542" w:rsidRDefault="00D27542" w:rsidP="0068538E">
      <w:pPr>
        <w:pStyle w:val="ListParagraph"/>
        <w:ind w:left="1440"/>
        <w:rPr>
          <w:b/>
          <w:bCs/>
        </w:rPr>
      </w:pPr>
    </w:p>
    <w:p w14:paraId="527E2BE3" w14:textId="77777777" w:rsidR="00D27542" w:rsidRDefault="00D27542" w:rsidP="0068538E">
      <w:pPr>
        <w:pStyle w:val="ListParagraph"/>
        <w:ind w:left="1440"/>
        <w:rPr>
          <w:b/>
          <w:bCs/>
        </w:rPr>
      </w:pPr>
    </w:p>
    <w:p w14:paraId="71F5B314" w14:textId="77777777" w:rsidR="00D27542" w:rsidRDefault="00D27542" w:rsidP="0068538E">
      <w:pPr>
        <w:pStyle w:val="ListParagraph"/>
        <w:ind w:left="1440"/>
        <w:rPr>
          <w:b/>
          <w:bCs/>
        </w:rPr>
      </w:pPr>
    </w:p>
    <w:p w14:paraId="7A4C7587" w14:textId="2063F4D5" w:rsidR="0068538E" w:rsidRDefault="0068538E" w:rsidP="0068538E">
      <w:pPr>
        <w:pStyle w:val="ListParagraph"/>
        <w:ind w:left="1440"/>
        <w:rPr>
          <w:b/>
          <w:bCs/>
        </w:rPr>
      </w:pPr>
      <w:r>
        <w:rPr>
          <w:b/>
          <w:bCs/>
        </w:rPr>
        <w:t>Findings:</w:t>
      </w:r>
    </w:p>
    <w:p w14:paraId="4132D11B" w14:textId="77777777" w:rsidR="00000AC8" w:rsidRDefault="00000AC8" w:rsidP="0068538E">
      <w:pPr>
        <w:pStyle w:val="ListParagraph"/>
        <w:ind w:left="1440"/>
        <w:rPr>
          <w:b/>
          <w:bCs/>
        </w:rPr>
      </w:pPr>
    </w:p>
    <w:p w14:paraId="13F05935" w14:textId="1222C6F6" w:rsidR="00000AC8" w:rsidRDefault="00BB37CA" w:rsidP="00BB37CA">
      <w:pPr>
        <w:pStyle w:val="ListParagraph"/>
        <w:numPr>
          <w:ilvl w:val="0"/>
          <w:numId w:val="7"/>
        </w:numPr>
        <w:rPr>
          <w:b/>
          <w:bCs/>
        </w:rPr>
      </w:pPr>
      <w:r>
        <w:rPr>
          <w:b/>
          <w:bCs/>
        </w:rPr>
        <w:t>Time for Application to Eligibility continues to decline</w:t>
      </w:r>
      <w:r w:rsidR="000F69DD">
        <w:rPr>
          <w:b/>
          <w:bCs/>
        </w:rPr>
        <w:t xml:space="preserve">. Research has demonstrated that </w:t>
      </w:r>
      <w:r w:rsidR="00800431">
        <w:rPr>
          <w:b/>
          <w:bCs/>
        </w:rPr>
        <w:t>rapid engagement correlates to more successful employment closures.</w:t>
      </w:r>
    </w:p>
    <w:p w14:paraId="3C15C3B7" w14:textId="69A313FB" w:rsidR="00BB37CA" w:rsidRDefault="00A550CA" w:rsidP="00BB37CA">
      <w:pPr>
        <w:pStyle w:val="ListParagraph"/>
        <w:numPr>
          <w:ilvl w:val="0"/>
          <w:numId w:val="7"/>
        </w:numPr>
        <w:rPr>
          <w:b/>
          <w:bCs/>
        </w:rPr>
      </w:pPr>
      <w:r>
        <w:rPr>
          <w:b/>
          <w:bCs/>
        </w:rPr>
        <w:t xml:space="preserve">With over 40% of clients transition-age youth, it is not unexpected to see </w:t>
      </w:r>
      <w:r w:rsidR="001B2FDC">
        <w:rPr>
          <w:b/>
          <w:bCs/>
        </w:rPr>
        <w:t>case lengths increase (as they apply in high school and stay engaged with DVR through post-secondary education and training and first employment)</w:t>
      </w:r>
    </w:p>
    <w:p w14:paraId="7D883910" w14:textId="3D7DD701" w:rsidR="001B2FDC" w:rsidRDefault="001B2FDC" w:rsidP="00BB37CA">
      <w:pPr>
        <w:pStyle w:val="ListParagraph"/>
        <w:numPr>
          <w:ilvl w:val="0"/>
          <w:numId w:val="7"/>
        </w:numPr>
        <w:rPr>
          <w:b/>
          <w:bCs/>
        </w:rPr>
      </w:pPr>
      <w:r>
        <w:rPr>
          <w:b/>
          <w:bCs/>
        </w:rPr>
        <w:t xml:space="preserve">Use of Career Pathways (such as Registered Apprenticeship) may also extend case length as clients </w:t>
      </w:r>
      <w:r w:rsidR="001B56B0">
        <w:rPr>
          <w:b/>
          <w:bCs/>
        </w:rPr>
        <w:t>focus on achieving credential attainment before DVR exit.</w:t>
      </w:r>
    </w:p>
    <w:p w14:paraId="76E8D974" w14:textId="77777777" w:rsidR="001B56B0" w:rsidRDefault="001B56B0" w:rsidP="001B56B0">
      <w:pPr>
        <w:rPr>
          <w:b/>
          <w:bCs/>
        </w:rPr>
      </w:pPr>
    </w:p>
    <w:p w14:paraId="43CD0FC7" w14:textId="77777777" w:rsidR="001B56B0" w:rsidRDefault="001B56B0" w:rsidP="001B56B0">
      <w:pPr>
        <w:rPr>
          <w:b/>
          <w:bCs/>
        </w:rPr>
      </w:pPr>
    </w:p>
    <w:p w14:paraId="21A6BC15" w14:textId="77777777" w:rsidR="001B56B0" w:rsidRDefault="001B56B0" w:rsidP="001B56B0">
      <w:pPr>
        <w:rPr>
          <w:b/>
          <w:bCs/>
        </w:rPr>
      </w:pPr>
    </w:p>
    <w:p w14:paraId="180271D4" w14:textId="77777777" w:rsidR="001B56B0" w:rsidRDefault="001B56B0" w:rsidP="001B56B0">
      <w:pPr>
        <w:rPr>
          <w:b/>
          <w:bCs/>
        </w:rPr>
      </w:pPr>
    </w:p>
    <w:p w14:paraId="0DECFC3A" w14:textId="77777777" w:rsidR="001B56B0" w:rsidRDefault="001B56B0" w:rsidP="001B56B0">
      <w:pPr>
        <w:rPr>
          <w:b/>
          <w:bCs/>
        </w:rPr>
      </w:pPr>
    </w:p>
    <w:p w14:paraId="0B32B620" w14:textId="77777777" w:rsidR="001B56B0" w:rsidRDefault="001B56B0" w:rsidP="001B56B0">
      <w:pPr>
        <w:rPr>
          <w:b/>
          <w:bCs/>
        </w:rPr>
      </w:pPr>
    </w:p>
    <w:p w14:paraId="0EF05A8F" w14:textId="77777777" w:rsidR="001B56B0" w:rsidRDefault="001B56B0" w:rsidP="001B56B0">
      <w:pPr>
        <w:rPr>
          <w:b/>
          <w:bCs/>
        </w:rPr>
      </w:pPr>
    </w:p>
    <w:p w14:paraId="5CB115D3" w14:textId="77777777" w:rsidR="001B56B0" w:rsidRDefault="001B56B0" w:rsidP="001B56B0">
      <w:pPr>
        <w:rPr>
          <w:b/>
          <w:bCs/>
        </w:rPr>
      </w:pPr>
    </w:p>
    <w:p w14:paraId="4692BB0D" w14:textId="77777777" w:rsidR="001B56B0" w:rsidRDefault="001B56B0" w:rsidP="001B56B0">
      <w:pPr>
        <w:rPr>
          <w:b/>
          <w:bCs/>
        </w:rPr>
      </w:pPr>
    </w:p>
    <w:p w14:paraId="63F9CFD4" w14:textId="77777777" w:rsidR="00000AC8" w:rsidRDefault="00000AC8" w:rsidP="0068538E">
      <w:pPr>
        <w:pStyle w:val="ListParagraph"/>
        <w:ind w:left="1440"/>
        <w:rPr>
          <w:b/>
          <w:bCs/>
        </w:rPr>
      </w:pPr>
    </w:p>
    <w:p w14:paraId="78A80666" w14:textId="77777777" w:rsidR="00000AC8" w:rsidRDefault="00000AC8" w:rsidP="0068538E">
      <w:pPr>
        <w:pStyle w:val="ListParagraph"/>
        <w:ind w:left="1440"/>
        <w:rPr>
          <w:b/>
          <w:bCs/>
        </w:rPr>
      </w:pPr>
    </w:p>
    <w:p w14:paraId="5A3DF813" w14:textId="77777777" w:rsidR="00D27542" w:rsidRDefault="0068538E" w:rsidP="00D27542">
      <w:pPr>
        <w:jc w:val="center"/>
        <w:rPr>
          <w:b/>
          <w:bCs/>
        </w:rPr>
      </w:pPr>
      <w:r w:rsidRPr="00D27542">
        <w:rPr>
          <w:b/>
          <w:bCs/>
        </w:rPr>
        <w:lastRenderedPageBreak/>
        <w:t>Chart 5</w:t>
      </w:r>
    </w:p>
    <w:p w14:paraId="12C7858B" w14:textId="6932BB07" w:rsidR="0068538E" w:rsidRPr="00D27542" w:rsidRDefault="0068538E" w:rsidP="00D27542">
      <w:pPr>
        <w:jc w:val="center"/>
        <w:rPr>
          <w:b/>
          <w:bCs/>
        </w:rPr>
      </w:pPr>
      <w:r w:rsidRPr="00D27542">
        <w:rPr>
          <w:b/>
          <w:bCs/>
        </w:rPr>
        <w:t>Average Months in VR Process by Closure Type between Federal Fiscal Year 2021 and 2023</w:t>
      </w:r>
    </w:p>
    <w:p w14:paraId="22936D71" w14:textId="369D531E" w:rsidR="0068538E" w:rsidRPr="00D27542" w:rsidRDefault="0068538E" w:rsidP="00D27542">
      <w:pPr>
        <w:jc w:val="center"/>
        <w:rPr>
          <w:b/>
          <w:bCs/>
        </w:rPr>
      </w:pPr>
      <w:r w:rsidRPr="001F1A31">
        <w:rPr>
          <w:noProof/>
        </w:rPr>
        <w:drawing>
          <wp:inline distT="0" distB="0" distL="0" distR="0" wp14:anchorId="4C8A7EEA" wp14:editId="7833A8C0">
            <wp:extent cx="5753100" cy="320040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17601EF" w14:textId="77777777" w:rsidR="0068538E" w:rsidRDefault="0068538E" w:rsidP="0068538E">
      <w:pPr>
        <w:pStyle w:val="ListParagraph"/>
        <w:ind w:left="1440"/>
        <w:rPr>
          <w:b/>
          <w:bCs/>
        </w:rPr>
      </w:pPr>
    </w:p>
    <w:p w14:paraId="379F8FB1" w14:textId="77777777" w:rsidR="00D27542" w:rsidRDefault="00D27542" w:rsidP="0068538E">
      <w:pPr>
        <w:pStyle w:val="ListParagraph"/>
        <w:ind w:left="1440"/>
        <w:rPr>
          <w:b/>
          <w:bCs/>
        </w:rPr>
      </w:pPr>
    </w:p>
    <w:p w14:paraId="7AEA78B4" w14:textId="77777777" w:rsidR="00D27542" w:rsidRDefault="00D27542" w:rsidP="0068538E">
      <w:pPr>
        <w:pStyle w:val="ListParagraph"/>
        <w:ind w:left="1440"/>
        <w:rPr>
          <w:b/>
          <w:bCs/>
        </w:rPr>
      </w:pPr>
    </w:p>
    <w:p w14:paraId="620B1EA2" w14:textId="449ADB03" w:rsidR="00D27542" w:rsidRDefault="00F14EE0" w:rsidP="0068538E">
      <w:pPr>
        <w:pStyle w:val="ListParagraph"/>
        <w:ind w:left="1440"/>
        <w:rPr>
          <w:b/>
          <w:bCs/>
        </w:rPr>
      </w:pPr>
      <w:r>
        <w:rPr>
          <w:b/>
          <w:bCs/>
        </w:rPr>
        <w:t>Findings:</w:t>
      </w:r>
    </w:p>
    <w:p w14:paraId="554B6DBB" w14:textId="77777777" w:rsidR="00D9547D" w:rsidRDefault="00D9547D" w:rsidP="0068538E">
      <w:pPr>
        <w:pStyle w:val="ListParagraph"/>
        <w:ind w:left="1440"/>
        <w:rPr>
          <w:b/>
          <w:bCs/>
        </w:rPr>
      </w:pPr>
    </w:p>
    <w:p w14:paraId="0789962E" w14:textId="27A2CA7D" w:rsidR="00D9547D" w:rsidRDefault="00D9547D" w:rsidP="00D9547D">
      <w:pPr>
        <w:pStyle w:val="ListParagraph"/>
        <w:numPr>
          <w:ilvl w:val="0"/>
          <w:numId w:val="8"/>
        </w:numPr>
        <w:rPr>
          <w:b/>
          <w:bCs/>
        </w:rPr>
      </w:pPr>
      <w:r>
        <w:rPr>
          <w:b/>
          <w:bCs/>
        </w:rPr>
        <w:t xml:space="preserve">Receiving </w:t>
      </w:r>
      <w:r w:rsidR="00DD161B">
        <w:rPr>
          <w:b/>
          <w:bCs/>
        </w:rPr>
        <w:t>appropriate and timely IPE Services is critical to engagement and employment success</w:t>
      </w:r>
    </w:p>
    <w:p w14:paraId="4481AE0F" w14:textId="2227878F" w:rsidR="00106022" w:rsidRDefault="00106022" w:rsidP="00D9547D">
      <w:pPr>
        <w:pStyle w:val="ListParagraph"/>
        <w:numPr>
          <w:ilvl w:val="0"/>
          <w:numId w:val="8"/>
        </w:numPr>
        <w:rPr>
          <w:b/>
          <w:bCs/>
        </w:rPr>
      </w:pPr>
      <w:r>
        <w:rPr>
          <w:b/>
          <w:bCs/>
        </w:rPr>
        <w:t>Delays in IPE development increase</w:t>
      </w:r>
      <w:r w:rsidR="00D8177F">
        <w:rPr>
          <w:b/>
          <w:bCs/>
        </w:rPr>
        <w:t xml:space="preserve"> </w:t>
      </w:r>
      <w:r w:rsidR="00CB748A">
        <w:rPr>
          <w:b/>
          <w:bCs/>
        </w:rPr>
        <w:t>the l</w:t>
      </w:r>
      <w:r w:rsidR="00D8177F">
        <w:rPr>
          <w:b/>
          <w:bCs/>
        </w:rPr>
        <w:t>ikelihood of unsuccessful closure and early exit.</w:t>
      </w:r>
      <w:r w:rsidR="00CB748A">
        <w:rPr>
          <w:b/>
          <w:bCs/>
        </w:rPr>
        <w:t xml:space="preserve"> </w:t>
      </w:r>
      <w:r w:rsidR="009021FF">
        <w:rPr>
          <w:b/>
          <w:bCs/>
        </w:rPr>
        <w:t>Clients who</w:t>
      </w:r>
      <w:r w:rsidR="00177A0A">
        <w:rPr>
          <w:b/>
          <w:bCs/>
        </w:rPr>
        <w:t xml:space="preserve"> were successful in</w:t>
      </w:r>
      <w:r w:rsidR="0022520B">
        <w:rPr>
          <w:b/>
          <w:bCs/>
        </w:rPr>
        <w:t xml:space="preserve"> employment </w:t>
      </w:r>
      <w:r w:rsidR="007873A8">
        <w:rPr>
          <w:b/>
          <w:bCs/>
        </w:rPr>
        <w:t xml:space="preserve">moved to Service status in half the time, on average, of unsuccessful closures. </w:t>
      </w:r>
    </w:p>
    <w:p w14:paraId="7CEE5E03" w14:textId="77777777" w:rsidR="00F14EE0" w:rsidRDefault="00F14EE0" w:rsidP="0068538E">
      <w:pPr>
        <w:pStyle w:val="ListParagraph"/>
        <w:ind w:left="1440"/>
        <w:rPr>
          <w:b/>
          <w:bCs/>
        </w:rPr>
      </w:pPr>
    </w:p>
    <w:p w14:paraId="20B7B9B9" w14:textId="77777777" w:rsidR="00F14EE0" w:rsidRDefault="00F14EE0" w:rsidP="0068538E">
      <w:pPr>
        <w:pStyle w:val="ListParagraph"/>
        <w:ind w:left="1440"/>
        <w:rPr>
          <w:b/>
          <w:bCs/>
        </w:rPr>
      </w:pPr>
    </w:p>
    <w:p w14:paraId="54F299E4" w14:textId="77777777" w:rsidR="00F14EE0" w:rsidRDefault="00F14EE0" w:rsidP="0068538E">
      <w:pPr>
        <w:pStyle w:val="ListParagraph"/>
        <w:ind w:left="1440"/>
        <w:rPr>
          <w:b/>
          <w:bCs/>
        </w:rPr>
      </w:pPr>
    </w:p>
    <w:p w14:paraId="6AA0E286" w14:textId="77777777" w:rsidR="00F14EE0" w:rsidRDefault="00F14EE0" w:rsidP="0068538E">
      <w:pPr>
        <w:pStyle w:val="ListParagraph"/>
        <w:ind w:left="1440"/>
        <w:rPr>
          <w:b/>
          <w:bCs/>
        </w:rPr>
      </w:pPr>
    </w:p>
    <w:p w14:paraId="79260A80" w14:textId="77777777" w:rsidR="00F14EE0" w:rsidRDefault="00F14EE0" w:rsidP="0068538E">
      <w:pPr>
        <w:pStyle w:val="ListParagraph"/>
        <w:ind w:left="1440"/>
        <w:rPr>
          <w:b/>
          <w:bCs/>
        </w:rPr>
      </w:pPr>
    </w:p>
    <w:p w14:paraId="6406BC80" w14:textId="77777777" w:rsidR="00F14EE0" w:rsidRDefault="00F14EE0" w:rsidP="0068538E">
      <w:pPr>
        <w:pStyle w:val="ListParagraph"/>
        <w:ind w:left="1440"/>
        <w:rPr>
          <w:b/>
          <w:bCs/>
        </w:rPr>
      </w:pPr>
    </w:p>
    <w:p w14:paraId="021884B2" w14:textId="77777777" w:rsidR="00F14EE0" w:rsidRDefault="00F14EE0" w:rsidP="0068538E">
      <w:pPr>
        <w:pStyle w:val="ListParagraph"/>
        <w:ind w:left="1440"/>
        <w:rPr>
          <w:b/>
          <w:bCs/>
        </w:rPr>
      </w:pPr>
    </w:p>
    <w:p w14:paraId="0D36A507" w14:textId="77777777" w:rsidR="00F14EE0" w:rsidRDefault="00F14EE0" w:rsidP="0068538E">
      <w:pPr>
        <w:pStyle w:val="ListParagraph"/>
        <w:ind w:left="1440"/>
        <w:rPr>
          <w:b/>
          <w:bCs/>
        </w:rPr>
      </w:pPr>
    </w:p>
    <w:p w14:paraId="4F60E12D" w14:textId="77777777" w:rsidR="00F14EE0" w:rsidRDefault="00F14EE0" w:rsidP="0068538E">
      <w:pPr>
        <w:pStyle w:val="ListParagraph"/>
        <w:ind w:left="1440"/>
        <w:rPr>
          <w:b/>
          <w:bCs/>
        </w:rPr>
      </w:pPr>
    </w:p>
    <w:p w14:paraId="129E8446" w14:textId="77777777" w:rsidR="00F14EE0" w:rsidRDefault="00F14EE0" w:rsidP="0068538E">
      <w:pPr>
        <w:pStyle w:val="ListParagraph"/>
        <w:ind w:left="1440"/>
        <w:rPr>
          <w:b/>
          <w:bCs/>
        </w:rPr>
      </w:pPr>
    </w:p>
    <w:p w14:paraId="2D26E06C" w14:textId="77777777" w:rsidR="002F4A09" w:rsidRDefault="002F4A09" w:rsidP="0068538E">
      <w:pPr>
        <w:pStyle w:val="ListParagraph"/>
        <w:ind w:left="1440"/>
        <w:rPr>
          <w:b/>
          <w:bCs/>
        </w:rPr>
      </w:pPr>
    </w:p>
    <w:p w14:paraId="08910855" w14:textId="77777777" w:rsidR="00F14EE0" w:rsidRDefault="00F14EE0" w:rsidP="0068538E">
      <w:pPr>
        <w:pStyle w:val="ListParagraph"/>
        <w:ind w:left="1440"/>
        <w:rPr>
          <w:b/>
          <w:bCs/>
        </w:rPr>
      </w:pPr>
    </w:p>
    <w:p w14:paraId="7F15A8D9" w14:textId="77777777" w:rsidR="00F14EE0" w:rsidRDefault="00F14EE0" w:rsidP="0068538E">
      <w:pPr>
        <w:pStyle w:val="ListParagraph"/>
        <w:ind w:left="1440"/>
        <w:rPr>
          <w:b/>
          <w:bCs/>
        </w:rPr>
      </w:pPr>
    </w:p>
    <w:p w14:paraId="58057389" w14:textId="77777777" w:rsidR="00F14EE0" w:rsidRDefault="00F14EE0" w:rsidP="0068538E">
      <w:pPr>
        <w:pStyle w:val="ListParagraph"/>
        <w:ind w:left="1440"/>
        <w:rPr>
          <w:b/>
          <w:bCs/>
        </w:rPr>
      </w:pPr>
    </w:p>
    <w:p w14:paraId="5A34B634" w14:textId="77777777" w:rsidR="00F14EE0" w:rsidRDefault="00F14EE0" w:rsidP="0068538E">
      <w:pPr>
        <w:pStyle w:val="ListParagraph"/>
        <w:ind w:left="1440"/>
        <w:rPr>
          <w:b/>
          <w:bCs/>
        </w:rPr>
      </w:pPr>
    </w:p>
    <w:p w14:paraId="32245F1D" w14:textId="09C43445" w:rsidR="0068538E" w:rsidRDefault="0068538E" w:rsidP="0068538E">
      <w:pPr>
        <w:pStyle w:val="ListParagraph"/>
        <w:numPr>
          <w:ilvl w:val="1"/>
          <w:numId w:val="1"/>
        </w:numPr>
        <w:rPr>
          <w:b/>
          <w:bCs/>
        </w:rPr>
      </w:pPr>
      <w:r>
        <w:rPr>
          <w:b/>
          <w:bCs/>
        </w:rPr>
        <w:t>Outcomes</w:t>
      </w:r>
    </w:p>
    <w:p w14:paraId="59FAAB50" w14:textId="77777777" w:rsidR="00D27542" w:rsidRDefault="00D27542" w:rsidP="00D27542">
      <w:pPr>
        <w:jc w:val="center"/>
        <w:rPr>
          <w:b/>
          <w:bCs/>
        </w:rPr>
      </w:pPr>
    </w:p>
    <w:p w14:paraId="1DC4F63E" w14:textId="1477FB91" w:rsidR="0068538E" w:rsidRPr="00D27542" w:rsidRDefault="0068538E" w:rsidP="00D27542">
      <w:pPr>
        <w:jc w:val="center"/>
        <w:rPr>
          <w:b/>
          <w:bCs/>
        </w:rPr>
      </w:pPr>
      <w:r w:rsidRPr="00D27542">
        <w:rPr>
          <w:b/>
          <w:bCs/>
        </w:rPr>
        <w:lastRenderedPageBreak/>
        <w:t>Chart 6</w:t>
      </w:r>
    </w:p>
    <w:p w14:paraId="0DBB13D0" w14:textId="282A1D16" w:rsidR="0068538E" w:rsidRPr="00D27542" w:rsidRDefault="0068538E" w:rsidP="00D27542">
      <w:pPr>
        <w:jc w:val="center"/>
        <w:rPr>
          <w:b/>
          <w:bCs/>
        </w:rPr>
      </w:pPr>
      <w:r w:rsidRPr="00D27542">
        <w:rPr>
          <w:b/>
          <w:bCs/>
        </w:rPr>
        <w:t xml:space="preserve">Rehabilitation Rate by </w:t>
      </w:r>
      <w:r w:rsidR="00894EB3">
        <w:rPr>
          <w:b/>
          <w:bCs/>
        </w:rPr>
        <w:t xml:space="preserve">Primary </w:t>
      </w:r>
      <w:r w:rsidRPr="00D27542">
        <w:rPr>
          <w:b/>
          <w:bCs/>
        </w:rPr>
        <w:t>Disability Type between Federal Fiscal Year 2021 and 2023</w:t>
      </w:r>
    </w:p>
    <w:p w14:paraId="6AB0EF3F" w14:textId="41109D4F" w:rsidR="0068538E" w:rsidRDefault="0068538E" w:rsidP="00D27542">
      <w:pPr>
        <w:jc w:val="center"/>
        <w:rPr>
          <w:b/>
          <w:bCs/>
        </w:rPr>
      </w:pPr>
      <w:r w:rsidRPr="00DB17CE">
        <w:rPr>
          <w:noProof/>
        </w:rPr>
        <w:drawing>
          <wp:inline distT="0" distB="0" distL="0" distR="0" wp14:anchorId="356FC348" wp14:editId="7398C9D3">
            <wp:extent cx="5648325" cy="2762250"/>
            <wp:effectExtent l="0" t="0" r="9525"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1BBDF18" w14:textId="77777777" w:rsidR="00894EB3" w:rsidRPr="00D27542" w:rsidRDefault="00894EB3" w:rsidP="00D27542">
      <w:pPr>
        <w:jc w:val="center"/>
        <w:rPr>
          <w:b/>
          <w:bCs/>
        </w:rPr>
      </w:pPr>
    </w:p>
    <w:p w14:paraId="36EC271D" w14:textId="77777777" w:rsidR="0068538E" w:rsidRDefault="0068538E" w:rsidP="0068538E">
      <w:pPr>
        <w:pStyle w:val="ListParagraph"/>
        <w:ind w:left="1440"/>
        <w:rPr>
          <w:b/>
          <w:bCs/>
        </w:rPr>
      </w:pPr>
    </w:p>
    <w:p w14:paraId="336AE3A8" w14:textId="77777777" w:rsidR="0068538E" w:rsidRDefault="0068538E" w:rsidP="0068538E">
      <w:pPr>
        <w:pStyle w:val="ListParagraph"/>
        <w:ind w:left="1440"/>
        <w:rPr>
          <w:b/>
          <w:bCs/>
        </w:rPr>
      </w:pPr>
    </w:p>
    <w:p w14:paraId="3A967901" w14:textId="77777777" w:rsidR="00BB4859" w:rsidRDefault="00BB4859" w:rsidP="00BB4859">
      <w:pPr>
        <w:pStyle w:val="ListParagraph"/>
        <w:ind w:left="1440"/>
        <w:rPr>
          <w:b/>
          <w:bCs/>
        </w:rPr>
      </w:pPr>
      <w:r>
        <w:rPr>
          <w:b/>
          <w:bCs/>
        </w:rPr>
        <w:t>Findings:</w:t>
      </w:r>
    </w:p>
    <w:p w14:paraId="40351EE7" w14:textId="11C1B63A" w:rsidR="0068538E" w:rsidRDefault="00BB4859" w:rsidP="00BB4859">
      <w:pPr>
        <w:pStyle w:val="ListParagraph"/>
        <w:numPr>
          <w:ilvl w:val="0"/>
          <w:numId w:val="9"/>
        </w:numPr>
        <w:rPr>
          <w:b/>
          <w:bCs/>
        </w:rPr>
      </w:pPr>
      <w:r>
        <w:rPr>
          <w:b/>
          <w:bCs/>
        </w:rPr>
        <w:t xml:space="preserve">Increased strategies are needed to assist individuals with mental health </w:t>
      </w:r>
      <w:r w:rsidR="00B15B1D">
        <w:rPr>
          <w:b/>
          <w:bCs/>
        </w:rPr>
        <w:t>disabilities to reach rehabilitation. DVR is</w:t>
      </w:r>
      <w:r w:rsidR="00353026">
        <w:rPr>
          <w:b/>
          <w:bCs/>
        </w:rPr>
        <w:t xml:space="preserve"> increasing training on Motivational Interviewing  and is partnering with the Office of Behavioral Health on </w:t>
      </w:r>
      <w:r w:rsidR="0077723F">
        <w:rPr>
          <w:b/>
          <w:bCs/>
        </w:rPr>
        <w:t xml:space="preserve">the evidence-based </w:t>
      </w:r>
      <w:r w:rsidR="00353026">
        <w:rPr>
          <w:b/>
          <w:bCs/>
        </w:rPr>
        <w:t xml:space="preserve">Individualized Placement and Support </w:t>
      </w:r>
      <w:r w:rsidR="00483CB2">
        <w:rPr>
          <w:b/>
          <w:bCs/>
        </w:rPr>
        <w:t>(IPS) training and awareness for VR counselors</w:t>
      </w:r>
      <w:r w:rsidR="0077723F">
        <w:rPr>
          <w:b/>
          <w:bCs/>
        </w:rPr>
        <w:t xml:space="preserve"> – as two possible strategies.</w:t>
      </w:r>
    </w:p>
    <w:p w14:paraId="3BB87F19" w14:textId="075EBFEE" w:rsidR="00483CB2" w:rsidRDefault="00DA6EA7" w:rsidP="00BB4859">
      <w:pPr>
        <w:pStyle w:val="ListParagraph"/>
        <w:numPr>
          <w:ilvl w:val="0"/>
          <w:numId w:val="9"/>
        </w:numPr>
        <w:rPr>
          <w:b/>
          <w:bCs/>
        </w:rPr>
      </w:pPr>
      <w:r>
        <w:rPr>
          <w:b/>
          <w:bCs/>
        </w:rPr>
        <w:t xml:space="preserve">The rehabilitation rate has remained </w:t>
      </w:r>
      <w:r w:rsidR="007A77F6">
        <w:rPr>
          <w:b/>
          <w:bCs/>
        </w:rPr>
        <w:t>relatively flat for individuals with cognitive disabilities</w:t>
      </w:r>
      <w:r w:rsidR="004F3D3F">
        <w:rPr>
          <w:b/>
          <w:bCs/>
        </w:rPr>
        <w:t xml:space="preserve">. With increasing numbers of individuals with Intellectual/Developmental Disabilities (IDD) </w:t>
      </w:r>
      <w:r w:rsidR="00036A7C">
        <w:rPr>
          <w:b/>
          <w:bCs/>
        </w:rPr>
        <w:t>seeking employment, DVR has added four (4) ne</w:t>
      </w:r>
      <w:r w:rsidR="000D423B">
        <w:rPr>
          <w:b/>
          <w:bCs/>
        </w:rPr>
        <w:t xml:space="preserve">w Targeted Caseload VR </w:t>
      </w:r>
      <w:r w:rsidR="0066324F">
        <w:rPr>
          <w:b/>
          <w:bCs/>
        </w:rPr>
        <w:t>c</w:t>
      </w:r>
      <w:r w:rsidR="000D423B">
        <w:rPr>
          <w:b/>
          <w:bCs/>
        </w:rPr>
        <w:t>ounselors</w:t>
      </w:r>
      <w:r w:rsidR="00F05CA6">
        <w:rPr>
          <w:b/>
          <w:bCs/>
        </w:rPr>
        <w:t xml:space="preserve"> who will have special training and will work closely with the Office of Aging and Disability Services </w:t>
      </w:r>
      <w:r w:rsidR="00805398">
        <w:rPr>
          <w:b/>
          <w:bCs/>
        </w:rPr>
        <w:t xml:space="preserve">to focus efforts increasing Competitive Integrated </w:t>
      </w:r>
      <w:r w:rsidR="00684E91">
        <w:rPr>
          <w:b/>
          <w:bCs/>
        </w:rPr>
        <w:t xml:space="preserve">Employment for this population. </w:t>
      </w:r>
    </w:p>
    <w:p w14:paraId="712579CF" w14:textId="2E6B9F58" w:rsidR="00684E91" w:rsidRDefault="00AE27CA" w:rsidP="00BB4859">
      <w:pPr>
        <w:pStyle w:val="ListParagraph"/>
        <w:numPr>
          <w:ilvl w:val="0"/>
          <w:numId w:val="9"/>
        </w:numPr>
        <w:rPr>
          <w:b/>
          <w:bCs/>
        </w:rPr>
      </w:pPr>
      <w:r>
        <w:rPr>
          <w:b/>
          <w:bCs/>
        </w:rPr>
        <w:t xml:space="preserve">The decrease in the rehabilitation rate for individuals with sensory disabilities is concerning. </w:t>
      </w:r>
      <w:r w:rsidR="00C53A76">
        <w:rPr>
          <w:b/>
          <w:bCs/>
        </w:rPr>
        <w:t xml:space="preserve">Individuals with hearing loss are overrepresented </w:t>
      </w:r>
      <w:r w:rsidR="00EE19A0">
        <w:rPr>
          <w:b/>
          <w:bCs/>
        </w:rPr>
        <w:t>on the waitlist for services (Order of Selection categories 3 and 4)</w:t>
      </w:r>
      <w:r w:rsidR="00C175C6">
        <w:rPr>
          <w:b/>
          <w:bCs/>
        </w:rPr>
        <w:t xml:space="preserve">, and this is one of the factors in DVR’s goal of opening all categories by July 1, 2024. DVR and DBVI are also </w:t>
      </w:r>
      <w:r w:rsidR="00C47A35">
        <w:rPr>
          <w:b/>
          <w:bCs/>
        </w:rPr>
        <w:t>revisiting current guidance on shared cases to ensure this process is well understood</w:t>
      </w:r>
      <w:r w:rsidR="0066324F">
        <w:rPr>
          <w:b/>
          <w:bCs/>
        </w:rPr>
        <w:t xml:space="preserve"> by VR counselors in both Divisions. </w:t>
      </w:r>
    </w:p>
    <w:p w14:paraId="098DD16B" w14:textId="77777777" w:rsidR="0068538E" w:rsidRDefault="0068538E" w:rsidP="0068538E">
      <w:pPr>
        <w:pStyle w:val="ListParagraph"/>
        <w:ind w:left="1440"/>
        <w:rPr>
          <w:b/>
          <w:bCs/>
        </w:rPr>
      </w:pPr>
    </w:p>
    <w:p w14:paraId="5E2949B2" w14:textId="77777777" w:rsidR="0068538E" w:rsidRDefault="0068538E" w:rsidP="0068538E">
      <w:pPr>
        <w:pStyle w:val="ListParagraph"/>
        <w:ind w:left="1440"/>
        <w:rPr>
          <w:b/>
          <w:bCs/>
        </w:rPr>
      </w:pPr>
    </w:p>
    <w:p w14:paraId="3A7D99B2" w14:textId="77777777" w:rsidR="0068538E" w:rsidRDefault="0068538E" w:rsidP="0068538E">
      <w:pPr>
        <w:pStyle w:val="ListParagraph"/>
        <w:ind w:left="1440"/>
        <w:rPr>
          <w:b/>
          <w:bCs/>
        </w:rPr>
      </w:pPr>
    </w:p>
    <w:p w14:paraId="217F51BB" w14:textId="77777777" w:rsidR="0068538E" w:rsidRDefault="0068538E" w:rsidP="0068538E">
      <w:pPr>
        <w:pStyle w:val="ListParagraph"/>
        <w:ind w:left="1440"/>
        <w:rPr>
          <w:b/>
          <w:bCs/>
        </w:rPr>
      </w:pPr>
    </w:p>
    <w:p w14:paraId="4E3AD2EF" w14:textId="77777777" w:rsidR="00D27542" w:rsidRDefault="00D27542" w:rsidP="0068538E">
      <w:pPr>
        <w:pStyle w:val="ListParagraph"/>
        <w:ind w:left="1440"/>
        <w:rPr>
          <w:b/>
          <w:bCs/>
        </w:rPr>
      </w:pPr>
    </w:p>
    <w:p w14:paraId="3D3D4470" w14:textId="77777777" w:rsidR="00D27542" w:rsidRDefault="00D27542" w:rsidP="0068538E">
      <w:pPr>
        <w:pStyle w:val="ListParagraph"/>
        <w:ind w:left="1440"/>
        <w:rPr>
          <w:b/>
          <w:bCs/>
        </w:rPr>
      </w:pPr>
    </w:p>
    <w:p w14:paraId="62AEB795" w14:textId="1368A10B" w:rsidR="0068538E" w:rsidRPr="00BA7809" w:rsidRDefault="00BB2D1A" w:rsidP="00D27542">
      <w:pPr>
        <w:jc w:val="center"/>
        <w:rPr>
          <w:b/>
          <w:bCs/>
        </w:rPr>
      </w:pPr>
      <w:r w:rsidRPr="00BA7809">
        <w:rPr>
          <w:b/>
          <w:bCs/>
        </w:rPr>
        <w:t>Chart 7</w:t>
      </w:r>
    </w:p>
    <w:p w14:paraId="534A1B9D" w14:textId="6DB3C434" w:rsidR="0068538E" w:rsidRPr="00D27542" w:rsidRDefault="0068538E" w:rsidP="00D27542">
      <w:pPr>
        <w:jc w:val="center"/>
        <w:rPr>
          <w:b/>
          <w:bCs/>
        </w:rPr>
      </w:pPr>
      <w:r w:rsidRPr="00D27542">
        <w:rPr>
          <w:b/>
          <w:bCs/>
        </w:rPr>
        <w:t xml:space="preserve">Average </w:t>
      </w:r>
      <w:r w:rsidR="003B21C6">
        <w:rPr>
          <w:b/>
          <w:bCs/>
        </w:rPr>
        <w:t xml:space="preserve">Quarterly </w:t>
      </w:r>
      <w:r w:rsidRPr="00D27542">
        <w:rPr>
          <w:b/>
          <w:bCs/>
        </w:rPr>
        <w:t>Earnings at Application and Closure for All Successful Closures Federal Fiscal Year 2022</w:t>
      </w:r>
    </w:p>
    <w:tbl>
      <w:tblPr>
        <w:tblStyle w:val="TableGrid"/>
        <w:tblW w:w="0" w:type="auto"/>
        <w:jc w:val="center"/>
        <w:tblLook w:val="04A0" w:firstRow="1" w:lastRow="0" w:firstColumn="1" w:lastColumn="0" w:noHBand="0" w:noVBand="1"/>
      </w:tblPr>
      <w:tblGrid>
        <w:gridCol w:w="3071"/>
        <w:gridCol w:w="2158"/>
        <w:gridCol w:w="2158"/>
        <w:gridCol w:w="2158"/>
      </w:tblGrid>
      <w:tr w:rsidR="00205D18" w14:paraId="2F0C4185" w14:textId="77777777" w:rsidTr="008A7B61">
        <w:trPr>
          <w:jc w:val="center"/>
        </w:trPr>
        <w:tc>
          <w:tcPr>
            <w:tcW w:w="3071" w:type="dxa"/>
          </w:tcPr>
          <w:p w14:paraId="58BE114B" w14:textId="03E890E8" w:rsidR="00205D18" w:rsidRDefault="00205D18" w:rsidP="00E33FD2">
            <w:pPr>
              <w:pStyle w:val="ListParagraph"/>
              <w:ind w:left="0"/>
              <w:jc w:val="center"/>
              <w:rPr>
                <w:b/>
                <w:bCs/>
              </w:rPr>
            </w:pPr>
            <w:r>
              <w:rPr>
                <w:b/>
                <w:bCs/>
              </w:rPr>
              <w:lastRenderedPageBreak/>
              <w:t>Reference Period</w:t>
            </w:r>
          </w:p>
        </w:tc>
        <w:tc>
          <w:tcPr>
            <w:tcW w:w="2158" w:type="dxa"/>
          </w:tcPr>
          <w:p w14:paraId="0EAA53E6" w14:textId="60040446" w:rsidR="00205D18" w:rsidRDefault="00205D18" w:rsidP="00E33FD2">
            <w:pPr>
              <w:pStyle w:val="ListParagraph"/>
              <w:ind w:left="0"/>
              <w:jc w:val="center"/>
              <w:rPr>
                <w:b/>
                <w:bCs/>
              </w:rPr>
            </w:pPr>
            <w:r>
              <w:rPr>
                <w:b/>
                <w:bCs/>
              </w:rPr>
              <w:t>Number with Wages</w:t>
            </w:r>
          </w:p>
        </w:tc>
        <w:tc>
          <w:tcPr>
            <w:tcW w:w="2158" w:type="dxa"/>
          </w:tcPr>
          <w:p w14:paraId="37615661" w14:textId="04E22827" w:rsidR="00205D18" w:rsidRDefault="00205D18" w:rsidP="00E33FD2">
            <w:pPr>
              <w:pStyle w:val="ListParagraph"/>
              <w:ind w:left="0"/>
              <w:jc w:val="center"/>
              <w:rPr>
                <w:b/>
                <w:bCs/>
              </w:rPr>
            </w:pPr>
            <w:r>
              <w:rPr>
                <w:b/>
                <w:bCs/>
              </w:rPr>
              <w:t>Median Wage (of those with wages)</w:t>
            </w:r>
          </w:p>
        </w:tc>
        <w:tc>
          <w:tcPr>
            <w:tcW w:w="2158" w:type="dxa"/>
          </w:tcPr>
          <w:p w14:paraId="2C3B8714" w14:textId="64C02357" w:rsidR="00205D18" w:rsidRDefault="00205D18" w:rsidP="00E33FD2">
            <w:pPr>
              <w:pStyle w:val="ListParagraph"/>
              <w:ind w:left="0"/>
              <w:jc w:val="center"/>
              <w:rPr>
                <w:b/>
                <w:bCs/>
              </w:rPr>
            </w:pPr>
            <w:r>
              <w:rPr>
                <w:b/>
                <w:bCs/>
              </w:rPr>
              <w:t>Average Wage (of those with wages)</w:t>
            </w:r>
          </w:p>
        </w:tc>
      </w:tr>
      <w:tr w:rsidR="00205D18" w14:paraId="685EBC6F" w14:textId="77777777" w:rsidTr="008A7B61">
        <w:trPr>
          <w:jc w:val="center"/>
        </w:trPr>
        <w:tc>
          <w:tcPr>
            <w:tcW w:w="3071" w:type="dxa"/>
          </w:tcPr>
          <w:p w14:paraId="043A4AA3" w14:textId="2206695D" w:rsidR="00205D18" w:rsidRPr="008A7B61" w:rsidRDefault="00205D18" w:rsidP="00205D18">
            <w:pPr>
              <w:pStyle w:val="ListParagraph"/>
              <w:ind w:left="0"/>
            </w:pPr>
            <w:r w:rsidRPr="008A7B61">
              <w:t>Quarter of Application Date</w:t>
            </w:r>
          </w:p>
        </w:tc>
        <w:tc>
          <w:tcPr>
            <w:tcW w:w="2158" w:type="dxa"/>
          </w:tcPr>
          <w:p w14:paraId="4B4E05FD" w14:textId="5BBD098E" w:rsidR="00205D18" w:rsidRPr="008A7B61" w:rsidRDefault="00205D18" w:rsidP="00E33FD2">
            <w:pPr>
              <w:pStyle w:val="ListParagraph"/>
              <w:ind w:left="0"/>
              <w:jc w:val="center"/>
            </w:pPr>
            <w:r w:rsidRPr="008A7B61">
              <w:t>224</w:t>
            </w:r>
          </w:p>
        </w:tc>
        <w:tc>
          <w:tcPr>
            <w:tcW w:w="2158" w:type="dxa"/>
          </w:tcPr>
          <w:p w14:paraId="0B488C49" w14:textId="659E5907" w:rsidR="00205D18" w:rsidRPr="008A7B61" w:rsidRDefault="00205D18" w:rsidP="00E33FD2">
            <w:pPr>
              <w:pStyle w:val="ListParagraph"/>
              <w:ind w:left="0"/>
              <w:jc w:val="center"/>
            </w:pPr>
            <w:r w:rsidRPr="008A7B61">
              <w:t>$4,876</w:t>
            </w:r>
          </w:p>
        </w:tc>
        <w:tc>
          <w:tcPr>
            <w:tcW w:w="2158" w:type="dxa"/>
          </w:tcPr>
          <w:p w14:paraId="793A8A08" w14:textId="013DBBAF" w:rsidR="00205D18" w:rsidRPr="008A7B61" w:rsidRDefault="00205D18" w:rsidP="00E33FD2">
            <w:pPr>
              <w:pStyle w:val="ListParagraph"/>
              <w:ind w:left="0"/>
              <w:jc w:val="center"/>
            </w:pPr>
            <w:r w:rsidRPr="008A7B61">
              <w:t>$7,887</w:t>
            </w:r>
          </w:p>
        </w:tc>
      </w:tr>
      <w:tr w:rsidR="00205D18" w14:paraId="2D0A58DD" w14:textId="77777777" w:rsidTr="008A7B61">
        <w:trPr>
          <w:jc w:val="center"/>
        </w:trPr>
        <w:tc>
          <w:tcPr>
            <w:tcW w:w="3071" w:type="dxa"/>
          </w:tcPr>
          <w:p w14:paraId="0F699D06" w14:textId="58548E70" w:rsidR="00205D18" w:rsidRPr="008A7B61" w:rsidRDefault="00205D18" w:rsidP="00E33FD2">
            <w:pPr>
              <w:pStyle w:val="ListParagraph"/>
              <w:ind w:left="0"/>
              <w:jc w:val="center"/>
            </w:pPr>
            <w:r w:rsidRPr="008A7B61">
              <w:t>Quarter After Closure</w:t>
            </w:r>
          </w:p>
        </w:tc>
        <w:tc>
          <w:tcPr>
            <w:tcW w:w="2158" w:type="dxa"/>
          </w:tcPr>
          <w:p w14:paraId="61B9AA5F" w14:textId="62311AF5" w:rsidR="00205D18" w:rsidRPr="008A7B61" w:rsidRDefault="00205D18" w:rsidP="00E33FD2">
            <w:pPr>
              <w:pStyle w:val="ListParagraph"/>
              <w:ind w:left="0"/>
              <w:jc w:val="center"/>
            </w:pPr>
            <w:r w:rsidRPr="008A7B61">
              <w:t>203</w:t>
            </w:r>
          </w:p>
        </w:tc>
        <w:tc>
          <w:tcPr>
            <w:tcW w:w="2158" w:type="dxa"/>
          </w:tcPr>
          <w:p w14:paraId="2AC9EB62" w14:textId="6B926A8C" w:rsidR="00205D18" w:rsidRPr="008A7B61" w:rsidRDefault="00205D18" w:rsidP="00E33FD2">
            <w:pPr>
              <w:pStyle w:val="ListParagraph"/>
              <w:ind w:left="0"/>
              <w:jc w:val="center"/>
            </w:pPr>
            <w:r w:rsidRPr="008A7B61">
              <w:t>$8,121</w:t>
            </w:r>
          </w:p>
        </w:tc>
        <w:tc>
          <w:tcPr>
            <w:tcW w:w="2158" w:type="dxa"/>
          </w:tcPr>
          <w:p w14:paraId="1F57E585" w14:textId="4C2369FD" w:rsidR="00205D18" w:rsidRPr="008A7B61" w:rsidRDefault="00205D18" w:rsidP="00E33FD2">
            <w:pPr>
              <w:pStyle w:val="ListParagraph"/>
              <w:ind w:left="0"/>
              <w:jc w:val="center"/>
            </w:pPr>
            <w:r w:rsidRPr="008A7B61">
              <w:t>$</w:t>
            </w:r>
            <w:r w:rsidR="008A7B61" w:rsidRPr="008A7B61">
              <w:t>9,209</w:t>
            </w:r>
          </w:p>
        </w:tc>
      </w:tr>
    </w:tbl>
    <w:p w14:paraId="79245137" w14:textId="77777777" w:rsidR="00841A02" w:rsidRDefault="00841A02" w:rsidP="00E33FD2">
      <w:pPr>
        <w:pStyle w:val="ListParagraph"/>
        <w:ind w:left="0"/>
        <w:jc w:val="center"/>
        <w:rPr>
          <w:b/>
          <w:bCs/>
        </w:rPr>
      </w:pPr>
    </w:p>
    <w:p w14:paraId="0ABD229F" w14:textId="77777777" w:rsidR="00D20736" w:rsidRDefault="00D20736" w:rsidP="00E33FD2">
      <w:pPr>
        <w:pStyle w:val="ListParagraph"/>
        <w:ind w:left="0"/>
        <w:jc w:val="center"/>
        <w:rPr>
          <w:b/>
          <w:bCs/>
        </w:rPr>
      </w:pPr>
    </w:p>
    <w:p w14:paraId="0A4FB146" w14:textId="62DDDCE8" w:rsidR="00D20736" w:rsidRDefault="00D20736" w:rsidP="00D20736">
      <w:pPr>
        <w:pStyle w:val="ListParagraph"/>
        <w:ind w:left="0" w:firstLine="720"/>
        <w:rPr>
          <w:b/>
          <w:bCs/>
        </w:rPr>
      </w:pPr>
      <w:r>
        <w:rPr>
          <w:b/>
          <w:bCs/>
        </w:rPr>
        <w:t>Findings:</w:t>
      </w:r>
    </w:p>
    <w:p w14:paraId="1DE26841" w14:textId="77777777" w:rsidR="00D20736" w:rsidRDefault="00D20736" w:rsidP="00D20736">
      <w:pPr>
        <w:pStyle w:val="ListParagraph"/>
        <w:ind w:left="0" w:firstLine="720"/>
        <w:rPr>
          <w:b/>
          <w:bCs/>
        </w:rPr>
      </w:pPr>
    </w:p>
    <w:p w14:paraId="7D4C703B" w14:textId="58F81D1F" w:rsidR="00D20736" w:rsidRDefault="0012642E" w:rsidP="0012642E">
      <w:pPr>
        <w:pStyle w:val="ListParagraph"/>
        <w:numPr>
          <w:ilvl w:val="0"/>
          <w:numId w:val="10"/>
        </w:numPr>
        <w:rPr>
          <w:b/>
          <w:bCs/>
        </w:rPr>
      </w:pPr>
      <w:r>
        <w:rPr>
          <w:b/>
          <w:bCs/>
        </w:rPr>
        <w:t xml:space="preserve">More study </w:t>
      </w:r>
      <w:r w:rsidR="00686AA6">
        <w:rPr>
          <w:b/>
          <w:bCs/>
        </w:rPr>
        <w:t>is needed on wage data for successful closures</w:t>
      </w:r>
    </w:p>
    <w:p w14:paraId="35D68F99" w14:textId="5CAE493A" w:rsidR="00686AA6" w:rsidRDefault="00686AA6" w:rsidP="0012642E">
      <w:pPr>
        <w:pStyle w:val="ListParagraph"/>
        <w:numPr>
          <w:ilvl w:val="0"/>
          <w:numId w:val="10"/>
        </w:numPr>
        <w:rPr>
          <w:b/>
          <w:bCs/>
        </w:rPr>
      </w:pPr>
      <w:r>
        <w:rPr>
          <w:b/>
          <w:bCs/>
        </w:rPr>
        <w:t>Median wage</w:t>
      </w:r>
      <w:r w:rsidR="005513D6">
        <w:rPr>
          <w:b/>
          <w:bCs/>
        </w:rPr>
        <w:t xml:space="preserve"> nearly doubled from application to closure, reinforcing the value of VR services to economic </w:t>
      </w:r>
      <w:r w:rsidR="00322AE9">
        <w:rPr>
          <w:b/>
          <w:bCs/>
        </w:rPr>
        <w:t xml:space="preserve">security for people with disabilities </w:t>
      </w:r>
      <w:r w:rsidR="005513D6">
        <w:rPr>
          <w:b/>
          <w:bCs/>
        </w:rPr>
        <w:t xml:space="preserve"> </w:t>
      </w:r>
    </w:p>
    <w:p w14:paraId="43B115AF" w14:textId="77777777" w:rsidR="00686AA6" w:rsidRDefault="00686AA6" w:rsidP="00686AA6">
      <w:pPr>
        <w:rPr>
          <w:b/>
          <w:bCs/>
        </w:rPr>
      </w:pPr>
    </w:p>
    <w:p w14:paraId="4A0911AE" w14:textId="77777777" w:rsidR="00686AA6" w:rsidRPr="00686AA6" w:rsidRDefault="00686AA6" w:rsidP="00686AA6">
      <w:pPr>
        <w:rPr>
          <w:b/>
          <w:bCs/>
        </w:rPr>
      </w:pPr>
    </w:p>
    <w:p w14:paraId="752D88E9" w14:textId="77777777" w:rsidR="00841A02" w:rsidRDefault="00841A02" w:rsidP="0068538E">
      <w:pPr>
        <w:pStyle w:val="ListParagraph"/>
        <w:ind w:left="1440"/>
        <w:jc w:val="center"/>
        <w:rPr>
          <w:b/>
          <w:bCs/>
        </w:rPr>
      </w:pPr>
    </w:p>
    <w:p w14:paraId="3B2E5DEA" w14:textId="77777777" w:rsidR="00841A02" w:rsidRDefault="00841A02" w:rsidP="00841A02">
      <w:pPr>
        <w:pStyle w:val="ListParagraph"/>
        <w:ind w:left="1440"/>
        <w:rPr>
          <w:b/>
          <w:bCs/>
        </w:rPr>
      </w:pPr>
    </w:p>
    <w:p w14:paraId="77828B11" w14:textId="77777777" w:rsidR="00D27542" w:rsidRDefault="00D27542" w:rsidP="00841A02">
      <w:pPr>
        <w:pStyle w:val="ListParagraph"/>
        <w:ind w:left="1440"/>
        <w:rPr>
          <w:b/>
          <w:bCs/>
        </w:rPr>
      </w:pPr>
    </w:p>
    <w:p w14:paraId="281D8BC8" w14:textId="77777777" w:rsidR="00D27542" w:rsidRDefault="00D27542" w:rsidP="00841A02">
      <w:pPr>
        <w:pStyle w:val="ListParagraph"/>
        <w:ind w:left="1440"/>
        <w:rPr>
          <w:b/>
          <w:bCs/>
        </w:rPr>
      </w:pPr>
    </w:p>
    <w:p w14:paraId="5350247F" w14:textId="77777777" w:rsidR="00D27542" w:rsidRDefault="00D27542" w:rsidP="00841A02">
      <w:pPr>
        <w:pStyle w:val="ListParagraph"/>
        <w:ind w:left="1440"/>
        <w:rPr>
          <w:b/>
          <w:bCs/>
        </w:rPr>
      </w:pPr>
    </w:p>
    <w:p w14:paraId="22FD9A5D" w14:textId="77777777" w:rsidR="00D27542" w:rsidRDefault="00D27542" w:rsidP="00841A02">
      <w:pPr>
        <w:pStyle w:val="ListParagraph"/>
        <w:ind w:left="1440"/>
        <w:rPr>
          <w:b/>
          <w:bCs/>
        </w:rPr>
      </w:pPr>
    </w:p>
    <w:p w14:paraId="04300136" w14:textId="77777777" w:rsidR="00D27542" w:rsidRDefault="00D27542" w:rsidP="00841A02">
      <w:pPr>
        <w:pStyle w:val="ListParagraph"/>
        <w:ind w:left="1440"/>
        <w:rPr>
          <w:b/>
          <w:bCs/>
        </w:rPr>
      </w:pPr>
    </w:p>
    <w:p w14:paraId="0092B961" w14:textId="77777777" w:rsidR="00D27542" w:rsidRDefault="00D27542" w:rsidP="00841A02">
      <w:pPr>
        <w:pStyle w:val="ListParagraph"/>
        <w:ind w:left="1440"/>
        <w:rPr>
          <w:b/>
          <w:bCs/>
        </w:rPr>
      </w:pPr>
    </w:p>
    <w:p w14:paraId="4A86D91F" w14:textId="77777777" w:rsidR="00D27542" w:rsidRDefault="00D27542" w:rsidP="00841A02">
      <w:pPr>
        <w:pStyle w:val="ListParagraph"/>
        <w:ind w:left="1440"/>
        <w:rPr>
          <w:b/>
          <w:bCs/>
        </w:rPr>
      </w:pPr>
    </w:p>
    <w:p w14:paraId="01B8D277" w14:textId="77777777" w:rsidR="00D27542" w:rsidRDefault="00D27542" w:rsidP="00841A02">
      <w:pPr>
        <w:pStyle w:val="ListParagraph"/>
        <w:ind w:left="1440"/>
        <w:rPr>
          <w:b/>
          <w:bCs/>
        </w:rPr>
      </w:pPr>
    </w:p>
    <w:p w14:paraId="7970B199" w14:textId="77777777" w:rsidR="00D27542" w:rsidRDefault="00D27542" w:rsidP="00841A02">
      <w:pPr>
        <w:pStyle w:val="ListParagraph"/>
        <w:ind w:left="1440"/>
        <w:rPr>
          <w:b/>
          <w:bCs/>
        </w:rPr>
      </w:pPr>
    </w:p>
    <w:p w14:paraId="643E08D7" w14:textId="77777777" w:rsidR="00D27542" w:rsidRDefault="00D27542" w:rsidP="00841A02">
      <w:pPr>
        <w:pStyle w:val="ListParagraph"/>
        <w:ind w:left="1440"/>
        <w:rPr>
          <w:b/>
          <w:bCs/>
        </w:rPr>
      </w:pPr>
    </w:p>
    <w:p w14:paraId="279ADD95" w14:textId="77777777" w:rsidR="00D27542" w:rsidRDefault="00D27542" w:rsidP="00841A02">
      <w:pPr>
        <w:pStyle w:val="ListParagraph"/>
        <w:ind w:left="1440"/>
        <w:rPr>
          <w:b/>
          <w:bCs/>
        </w:rPr>
      </w:pPr>
    </w:p>
    <w:p w14:paraId="7E2333E3" w14:textId="77777777" w:rsidR="00D27542" w:rsidRDefault="00D27542" w:rsidP="00841A02">
      <w:pPr>
        <w:pStyle w:val="ListParagraph"/>
        <w:ind w:left="1440"/>
        <w:rPr>
          <w:b/>
          <w:bCs/>
        </w:rPr>
      </w:pPr>
    </w:p>
    <w:p w14:paraId="07510590" w14:textId="77777777" w:rsidR="00D27542" w:rsidRDefault="00D27542" w:rsidP="00841A02">
      <w:pPr>
        <w:pStyle w:val="ListParagraph"/>
        <w:ind w:left="1440"/>
        <w:rPr>
          <w:b/>
          <w:bCs/>
        </w:rPr>
      </w:pPr>
    </w:p>
    <w:p w14:paraId="5984D763" w14:textId="77777777" w:rsidR="00D27542" w:rsidRDefault="00D27542" w:rsidP="00841A02">
      <w:pPr>
        <w:pStyle w:val="ListParagraph"/>
        <w:ind w:left="1440"/>
        <w:rPr>
          <w:b/>
          <w:bCs/>
        </w:rPr>
      </w:pPr>
    </w:p>
    <w:p w14:paraId="5721DCA7" w14:textId="77777777" w:rsidR="00D27542" w:rsidRDefault="00D27542" w:rsidP="00841A02">
      <w:pPr>
        <w:pStyle w:val="ListParagraph"/>
        <w:ind w:left="1440"/>
        <w:rPr>
          <w:b/>
          <w:bCs/>
        </w:rPr>
      </w:pPr>
    </w:p>
    <w:p w14:paraId="233013E5" w14:textId="77777777" w:rsidR="00D27542" w:rsidRDefault="00D27542" w:rsidP="00841A02">
      <w:pPr>
        <w:pStyle w:val="ListParagraph"/>
        <w:ind w:left="1440"/>
        <w:rPr>
          <w:b/>
          <w:bCs/>
        </w:rPr>
      </w:pPr>
    </w:p>
    <w:p w14:paraId="424828E7" w14:textId="77777777" w:rsidR="00D27542" w:rsidRDefault="00D27542" w:rsidP="00841A02">
      <w:pPr>
        <w:pStyle w:val="ListParagraph"/>
        <w:ind w:left="1440"/>
        <w:rPr>
          <w:b/>
          <w:bCs/>
        </w:rPr>
      </w:pPr>
    </w:p>
    <w:p w14:paraId="31C28A4F" w14:textId="77777777" w:rsidR="00D27542" w:rsidRDefault="00D27542" w:rsidP="00841A02">
      <w:pPr>
        <w:pStyle w:val="ListParagraph"/>
        <w:ind w:left="1440"/>
        <w:rPr>
          <w:b/>
          <w:bCs/>
        </w:rPr>
      </w:pPr>
    </w:p>
    <w:p w14:paraId="450AA79B" w14:textId="77777777" w:rsidR="00D27542" w:rsidRDefault="00D27542" w:rsidP="00841A02">
      <w:pPr>
        <w:pStyle w:val="ListParagraph"/>
        <w:ind w:left="1440"/>
        <w:rPr>
          <w:b/>
          <w:bCs/>
        </w:rPr>
      </w:pPr>
    </w:p>
    <w:p w14:paraId="7EBC7BBD" w14:textId="77777777" w:rsidR="00D27542" w:rsidRDefault="00D27542" w:rsidP="00841A02">
      <w:pPr>
        <w:pStyle w:val="ListParagraph"/>
        <w:ind w:left="1440"/>
        <w:rPr>
          <w:b/>
          <w:bCs/>
        </w:rPr>
      </w:pPr>
    </w:p>
    <w:p w14:paraId="0992A82D" w14:textId="77777777" w:rsidR="00D27542" w:rsidRDefault="00D27542" w:rsidP="00841A02">
      <w:pPr>
        <w:pStyle w:val="ListParagraph"/>
        <w:ind w:left="1440"/>
        <w:rPr>
          <w:b/>
          <w:bCs/>
        </w:rPr>
      </w:pPr>
    </w:p>
    <w:p w14:paraId="7644846A" w14:textId="77777777" w:rsidR="00D27542" w:rsidRDefault="00D27542" w:rsidP="00841A02">
      <w:pPr>
        <w:pStyle w:val="ListParagraph"/>
        <w:ind w:left="1440"/>
        <w:rPr>
          <w:b/>
          <w:bCs/>
        </w:rPr>
      </w:pPr>
    </w:p>
    <w:p w14:paraId="2CCDA624" w14:textId="77777777" w:rsidR="00D27542" w:rsidRDefault="00D27542" w:rsidP="00841A02">
      <w:pPr>
        <w:pStyle w:val="ListParagraph"/>
        <w:ind w:left="1440"/>
        <w:rPr>
          <w:b/>
          <w:bCs/>
        </w:rPr>
      </w:pPr>
    </w:p>
    <w:p w14:paraId="00FB85B2" w14:textId="77777777" w:rsidR="00D27542" w:rsidRDefault="00D27542" w:rsidP="00841A02">
      <w:pPr>
        <w:pStyle w:val="ListParagraph"/>
        <w:ind w:left="1440"/>
        <w:rPr>
          <w:b/>
          <w:bCs/>
        </w:rPr>
      </w:pPr>
    </w:p>
    <w:p w14:paraId="7F92032C" w14:textId="77777777" w:rsidR="00D27542" w:rsidRDefault="00D27542" w:rsidP="00841A02">
      <w:pPr>
        <w:pStyle w:val="ListParagraph"/>
        <w:ind w:left="1440"/>
        <w:rPr>
          <w:b/>
          <w:bCs/>
        </w:rPr>
      </w:pPr>
    </w:p>
    <w:p w14:paraId="0EDC7C53" w14:textId="77777777" w:rsidR="00D27542" w:rsidRDefault="00D27542" w:rsidP="00841A02">
      <w:pPr>
        <w:pStyle w:val="ListParagraph"/>
        <w:ind w:left="1440"/>
        <w:rPr>
          <w:b/>
          <w:bCs/>
        </w:rPr>
      </w:pPr>
    </w:p>
    <w:p w14:paraId="235339FC" w14:textId="77777777" w:rsidR="00D27542" w:rsidRDefault="00D27542" w:rsidP="00841A02">
      <w:pPr>
        <w:pStyle w:val="ListParagraph"/>
        <w:ind w:left="1440"/>
        <w:rPr>
          <w:b/>
          <w:bCs/>
        </w:rPr>
      </w:pPr>
    </w:p>
    <w:p w14:paraId="301A811A" w14:textId="77777777" w:rsidR="00D27542" w:rsidRDefault="00D27542" w:rsidP="00841A02">
      <w:pPr>
        <w:pStyle w:val="ListParagraph"/>
        <w:ind w:left="1440"/>
        <w:rPr>
          <w:b/>
          <w:bCs/>
        </w:rPr>
      </w:pPr>
    </w:p>
    <w:p w14:paraId="7E32351D" w14:textId="77777777" w:rsidR="00D27542" w:rsidRDefault="00D27542" w:rsidP="00841A02">
      <w:pPr>
        <w:pStyle w:val="ListParagraph"/>
        <w:ind w:left="1440"/>
        <w:rPr>
          <w:b/>
          <w:bCs/>
        </w:rPr>
      </w:pPr>
    </w:p>
    <w:p w14:paraId="36ED03FE" w14:textId="77777777" w:rsidR="00D27542" w:rsidRDefault="00D27542" w:rsidP="00841A02">
      <w:pPr>
        <w:pStyle w:val="ListParagraph"/>
        <w:ind w:left="1440"/>
        <w:rPr>
          <w:b/>
          <w:bCs/>
        </w:rPr>
      </w:pPr>
    </w:p>
    <w:p w14:paraId="651E95BF" w14:textId="77777777" w:rsidR="00D27542" w:rsidRDefault="00D27542" w:rsidP="00841A02">
      <w:pPr>
        <w:pStyle w:val="ListParagraph"/>
        <w:ind w:left="1440"/>
        <w:rPr>
          <w:b/>
          <w:bCs/>
        </w:rPr>
      </w:pPr>
    </w:p>
    <w:p w14:paraId="47EC348A" w14:textId="77777777" w:rsidR="00D27542" w:rsidRDefault="00D27542" w:rsidP="00841A02">
      <w:pPr>
        <w:pStyle w:val="ListParagraph"/>
        <w:ind w:left="1440"/>
        <w:rPr>
          <w:b/>
          <w:bCs/>
        </w:rPr>
      </w:pPr>
    </w:p>
    <w:p w14:paraId="18A49139" w14:textId="77777777" w:rsidR="00D27542" w:rsidRDefault="00D27542" w:rsidP="00841A02">
      <w:pPr>
        <w:pStyle w:val="ListParagraph"/>
        <w:ind w:left="1440"/>
        <w:rPr>
          <w:b/>
          <w:bCs/>
        </w:rPr>
      </w:pPr>
    </w:p>
    <w:p w14:paraId="24B76868" w14:textId="77777777" w:rsidR="00D27542" w:rsidRDefault="00D27542" w:rsidP="00841A02">
      <w:pPr>
        <w:pStyle w:val="ListParagraph"/>
        <w:ind w:left="1440"/>
        <w:rPr>
          <w:b/>
          <w:bCs/>
        </w:rPr>
      </w:pPr>
    </w:p>
    <w:p w14:paraId="7CF5CBE2" w14:textId="77777777" w:rsidR="00D27542" w:rsidRDefault="00D27542" w:rsidP="00841A02">
      <w:pPr>
        <w:pStyle w:val="ListParagraph"/>
        <w:ind w:left="1440"/>
        <w:rPr>
          <w:b/>
          <w:bCs/>
        </w:rPr>
      </w:pPr>
    </w:p>
    <w:p w14:paraId="437E2852" w14:textId="33392291" w:rsidR="00841A02" w:rsidRPr="00D27542" w:rsidRDefault="00841A02" w:rsidP="00D27542">
      <w:pPr>
        <w:jc w:val="center"/>
        <w:rPr>
          <w:b/>
          <w:bCs/>
        </w:rPr>
      </w:pPr>
      <w:r w:rsidRPr="00D27542">
        <w:rPr>
          <w:b/>
          <w:bCs/>
        </w:rPr>
        <w:t>Chart 8</w:t>
      </w:r>
    </w:p>
    <w:p w14:paraId="58D27B56" w14:textId="0610AB22" w:rsidR="00841A02" w:rsidRPr="00D27542" w:rsidRDefault="00841A02" w:rsidP="00D27542">
      <w:pPr>
        <w:jc w:val="center"/>
        <w:rPr>
          <w:b/>
          <w:bCs/>
        </w:rPr>
      </w:pPr>
      <w:r w:rsidRPr="00D27542">
        <w:rPr>
          <w:b/>
          <w:bCs/>
        </w:rPr>
        <w:t>Average Weekly Wages and Hours for Successful Closures in Federal Fiscal Year 2023</w:t>
      </w:r>
    </w:p>
    <w:p w14:paraId="26D4BF42" w14:textId="18DB260B" w:rsidR="00841A02" w:rsidRPr="00D27542" w:rsidRDefault="00841A02" w:rsidP="00D27542">
      <w:pPr>
        <w:jc w:val="center"/>
        <w:rPr>
          <w:b/>
          <w:bCs/>
        </w:rPr>
      </w:pPr>
      <w:r w:rsidRPr="00D17DA9">
        <w:rPr>
          <w:noProof/>
        </w:rPr>
        <w:drawing>
          <wp:inline distT="0" distB="0" distL="0" distR="0" wp14:anchorId="2A4F32DD" wp14:editId="0C1B9CEB">
            <wp:extent cx="5486400" cy="3200400"/>
            <wp:effectExtent l="0" t="0" r="0" b="0"/>
            <wp:docPr id="445396505" name="Chart 44539650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CD14A0E" w14:textId="77777777" w:rsidR="0068538E" w:rsidRDefault="0068538E" w:rsidP="0068538E">
      <w:pPr>
        <w:pStyle w:val="ListParagraph"/>
        <w:ind w:left="1440"/>
        <w:jc w:val="center"/>
        <w:rPr>
          <w:b/>
          <w:bCs/>
        </w:rPr>
      </w:pPr>
    </w:p>
    <w:p w14:paraId="10C1939F" w14:textId="77777777" w:rsidR="00422139" w:rsidRDefault="00422139" w:rsidP="0068538E">
      <w:pPr>
        <w:pStyle w:val="ListParagraph"/>
        <w:ind w:left="1440"/>
        <w:jc w:val="center"/>
        <w:rPr>
          <w:b/>
          <w:bCs/>
        </w:rPr>
      </w:pPr>
    </w:p>
    <w:p w14:paraId="17BA68D8" w14:textId="77777777" w:rsidR="00322AE9" w:rsidRDefault="00322AE9" w:rsidP="00322AE9">
      <w:pPr>
        <w:pStyle w:val="ListParagraph"/>
        <w:ind w:left="1440"/>
        <w:rPr>
          <w:b/>
          <w:bCs/>
        </w:rPr>
      </w:pPr>
      <w:r>
        <w:rPr>
          <w:b/>
          <w:bCs/>
        </w:rPr>
        <w:t>Findings:</w:t>
      </w:r>
    </w:p>
    <w:p w14:paraId="4609303E" w14:textId="77777777" w:rsidR="00322AE9" w:rsidRDefault="00322AE9" w:rsidP="00322AE9">
      <w:pPr>
        <w:pStyle w:val="ListParagraph"/>
        <w:ind w:left="1440"/>
        <w:rPr>
          <w:b/>
          <w:bCs/>
        </w:rPr>
      </w:pPr>
    </w:p>
    <w:p w14:paraId="6DE0A148" w14:textId="51866746" w:rsidR="00322AE9" w:rsidRDefault="005739B4" w:rsidP="005739B4">
      <w:pPr>
        <w:pStyle w:val="ListParagraph"/>
        <w:numPr>
          <w:ilvl w:val="0"/>
          <w:numId w:val="11"/>
        </w:numPr>
        <w:rPr>
          <w:b/>
          <w:bCs/>
        </w:rPr>
      </w:pPr>
      <w:r>
        <w:rPr>
          <w:b/>
          <w:bCs/>
        </w:rPr>
        <w:t xml:space="preserve">Individuals with Hearing Loss continue to work </w:t>
      </w:r>
      <w:r w:rsidR="00A549BC">
        <w:rPr>
          <w:b/>
          <w:bCs/>
        </w:rPr>
        <w:t>the greatest</w:t>
      </w:r>
      <w:r>
        <w:rPr>
          <w:b/>
          <w:bCs/>
        </w:rPr>
        <w:t xml:space="preserve"> number of hours on average and have the highest average weekly </w:t>
      </w:r>
      <w:r w:rsidR="00BD709E">
        <w:rPr>
          <w:b/>
          <w:bCs/>
        </w:rPr>
        <w:t>wage</w:t>
      </w:r>
    </w:p>
    <w:p w14:paraId="2A566B3F" w14:textId="69C5F729" w:rsidR="005739B4" w:rsidRDefault="00831C34" w:rsidP="005739B4">
      <w:pPr>
        <w:pStyle w:val="ListParagraph"/>
        <w:numPr>
          <w:ilvl w:val="0"/>
          <w:numId w:val="11"/>
        </w:numPr>
        <w:rPr>
          <w:b/>
          <w:bCs/>
        </w:rPr>
      </w:pPr>
      <w:r>
        <w:rPr>
          <w:b/>
          <w:bCs/>
        </w:rPr>
        <w:t>Individuals with cognitive disabilities are often successfully closed at a lower number of hours</w:t>
      </w:r>
      <w:r w:rsidR="00BD709E">
        <w:rPr>
          <w:b/>
          <w:bCs/>
        </w:rPr>
        <w:t xml:space="preserve"> worked per week</w:t>
      </w:r>
      <w:r w:rsidR="001E0352">
        <w:rPr>
          <w:b/>
          <w:bCs/>
        </w:rPr>
        <w:t xml:space="preserve"> compared to</w:t>
      </w:r>
      <w:r>
        <w:rPr>
          <w:b/>
          <w:bCs/>
        </w:rPr>
        <w:t xml:space="preserve"> other disability groups. With the support of benefits counselors and education for family members, case managers – and VR counselors, DVR will work to challenge misconceptions about the ability of individuals with cognitive disabilities to engage</w:t>
      </w:r>
      <w:r w:rsidR="001E0352">
        <w:rPr>
          <w:b/>
          <w:bCs/>
        </w:rPr>
        <w:t xml:space="preserve"> in meaningful employment. This will be aided by the addition of four(4) new targeted caseload VR counselors</w:t>
      </w:r>
      <w:r w:rsidR="00563288">
        <w:rPr>
          <w:b/>
          <w:bCs/>
        </w:rPr>
        <w:t xml:space="preserve"> across the state. </w:t>
      </w:r>
    </w:p>
    <w:p w14:paraId="22CB819E" w14:textId="77777777" w:rsidR="00422139" w:rsidRDefault="00422139" w:rsidP="00322AE9">
      <w:pPr>
        <w:pStyle w:val="ListParagraph"/>
        <w:ind w:left="1440"/>
        <w:rPr>
          <w:b/>
          <w:bCs/>
        </w:rPr>
      </w:pPr>
    </w:p>
    <w:p w14:paraId="2F902AAF" w14:textId="77777777" w:rsidR="00422139" w:rsidRDefault="00422139" w:rsidP="0068538E">
      <w:pPr>
        <w:pStyle w:val="ListParagraph"/>
        <w:ind w:left="1440"/>
        <w:jc w:val="center"/>
        <w:rPr>
          <w:b/>
          <w:bCs/>
        </w:rPr>
      </w:pPr>
    </w:p>
    <w:p w14:paraId="5E26454A" w14:textId="77777777" w:rsidR="00422139" w:rsidRDefault="00422139" w:rsidP="0068538E">
      <w:pPr>
        <w:pStyle w:val="ListParagraph"/>
        <w:ind w:left="1440"/>
        <w:jc w:val="center"/>
        <w:rPr>
          <w:b/>
          <w:bCs/>
        </w:rPr>
      </w:pPr>
    </w:p>
    <w:p w14:paraId="282D2B3E" w14:textId="77777777" w:rsidR="00422139" w:rsidRDefault="00422139" w:rsidP="0068538E">
      <w:pPr>
        <w:pStyle w:val="ListParagraph"/>
        <w:ind w:left="1440"/>
        <w:jc w:val="center"/>
        <w:rPr>
          <w:b/>
          <w:bCs/>
        </w:rPr>
      </w:pPr>
    </w:p>
    <w:p w14:paraId="3371A6F1" w14:textId="77777777" w:rsidR="00422139" w:rsidRDefault="00422139" w:rsidP="0068538E">
      <w:pPr>
        <w:pStyle w:val="ListParagraph"/>
        <w:ind w:left="1440"/>
        <w:jc w:val="center"/>
        <w:rPr>
          <w:b/>
          <w:bCs/>
        </w:rPr>
      </w:pPr>
    </w:p>
    <w:p w14:paraId="66759DB4" w14:textId="77777777" w:rsidR="00422139" w:rsidRDefault="00422139" w:rsidP="0068538E">
      <w:pPr>
        <w:pStyle w:val="ListParagraph"/>
        <w:ind w:left="1440"/>
        <w:jc w:val="center"/>
        <w:rPr>
          <w:b/>
          <w:bCs/>
        </w:rPr>
      </w:pPr>
    </w:p>
    <w:p w14:paraId="5161D895" w14:textId="77777777" w:rsidR="00422139" w:rsidRDefault="00422139" w:rsidP="0068538E">
      <w:pPr>
        <w:pStyle w:val="ListParagraph"/>
        <w:ind w:left="1440"/>
        <w:jc w:val="center"/>
        <w:rPr>
          <w:b/>
          <w:bCs/>
        </w:rPr>
      </w:pPr>
    </w:p>
    <w:p w14:paraId="784E3FA5" w14:textId="77777777" w:rsidR="00422139" w:rsidRDefault="00422139" w:rsidP="0068538E">
      <w:pPr>
        <w:pStyle w:val="ListParagraph"/>
        <w:ind w:left="1440"/>
        <w:jc w:val="center"/>
        <w:rPr>
          <w:b/>
          <w:bCs/>
        </w:rPr>
      </w:pPr>
    </w:p>
    <w:p w14:paraId="4A727BEA" w14:textId="77777777" w:rsidR="00422139" w:rsidRDefault="00422139" w:rsidP="0068538E">
      <w:pPr>
        <w:pStyle w:val="ListParagraph"/>
        <w:ind w:left="1440"/>
        <w:jc w:val="center"/>
        <w:rPr>
          <w:b/>
          <w:bCs/>
        </w:rPr>
      </w:pPr>
    </w:p>
    <w:p w14:paraId="5744DD05" w14:textId="77777777" w:rsidR="00422139" w:rsidRDefault="00422139" w:rsidP="0068538E">
      <w:pPr>
        <w:pStyle w:val="ListParagraph"/>
        <w:ind w:left="1440"/>
        <w:jc w:val="center"/>
        <w:rPr>
          <w:b/>
          <w:bCs/>
        </w:rPr>
      </w:pPr>
    </w:p>
    <w:p w14:paraId="32C7DB8D" w14:textId="77777777" w:rsidR="00422139" w:rsidRDefault="00422139" w:rsidP="0068538E">
      <w:pPr>
        <w:pStyle w:val="ListParagraph"/>
        <w:ind w:left="1440"/>
        <w:jc w:val="center"/>
        <w:rPr>
          <w:b/>
          <w:bCs/>
        </w:rPr>
      </w:pPr>
    </w:p>
    <w:p w14:paraId="100F9B6B" w14:textId="746CB824" w:rsidR="0095530C" w:rsidRDefault="0095530C" w:rsidP="0095530C">
      <w:pPr>
        <w:pStyle w:val="ListParagraph"/>
        <w:numPr>
          <w:ilvl w:val="1"/>
          <w:numId w:val="1"/>
        </w:numPr>
        <w:rPr>
          <w:b/>
          <w:bCs/>
        </w:rPr>
      </w:pPr>
      <w:r>
        <w:rPr>
          <w:b/>
          <w:bCs/>
        </w:rPr>
        <w:t>Services and Expenditures Costs</w:t>
      </w:r>
    </w:p>
    <w:p w14:paraId="164FC01D" w14:textId="2C6AAEBD" w:rsidR="0095530C" w:rsidRPr="00D27542" w:rsidRDefault="00BA2C94" w:rsidP="00D27542">
      <w:pPr>
        <w:jc w:val="center"/>
        <w:rPr>
          <w:b/>
          <w:bCs/>
        </w:rPr>
      </w:pPr>
      <w:r w:rsidRPr="00D27542">
        <w:rPr>
          <w:b/>
          <w:bCs/>
        </w:rPr>
        <w:t xml:space="preserve">Figure </w:t>
      </w:r>
      <w:r w:rsidR="00BB2D1A">
        <w:rPr>
          <w:b/>
          <w:bCs/>
        </w:rPr>
        <w:t>1</w:t>
      </w:r>
    </w:p>
    <w:p w14:paraId="3C7B76B6" w14:textId="4DEC4028" w:rsidR="00BA2C94" w:rsidRPr="00D27542" w:rsidRDefault="00BA2C94" w:rsidP="00D27542">
      <w:pPr>
        <w:jc w:val="center"/>
        <w:rPr>
          <w:b/>
          <w:bCs/>
        </w:rPr>
      </w:pPr>
      <w:r w:rsidRPr="00D27542">
        <w:rPr>
          <w:b/>
          <w:bCs/>
        </w:rPr>
        <w:lastRenderedPageBreak/>
        <w:t>Description of Vocational Rehabilitation Services Groups</w:t>
      </w:r>
    </w:p>
    <w:tbl>
      <w:tblPr>
        <w:tblStyle w:val="TableGrid"/>
        <w:tblW w:w="0" w:type="auto"/>
        <w:jc w:val="center"/>
        <w:tblLook w:val="04A0" w:firstRow="1" w:lastRow="0" w:firstColumn="1" w:lastColumn="0" w:noHBand="0" w:noVBand="1"/>
      </w:tblPr>
      <w:tblGrid>
        <w:gridCol w:w="5395"/>
        <w:gridCol w:w="5395"/>
      </w:tblGrid>
      <w:tr w:rsidR="00422139" w:rsidRPr="00A5739B" w14:paraId="339F3C83" w14:textId="77777777" w:rsidTr="00D27542">
        <w:trPr>
          <w:jc w:val="center"/>
        </w:trPr>
        <w:tc>
          <w:tcPr>
            <w:tcW w:w="5395" w:type="dxa"/>
            <w:shd w:val="clear" w:color="auto" w:fill="ADADAD" w:themeFill="background2" w:themeFillShade="BF"/>
          </w:tcPr>
          <w:p w14:paraId="32E235C3" w14:textId="77777777" w:rsidR="00422139" w:rsidRPr="00A5739B" w:rsidRDefault="00422139" w:rsidP="00084A0B">
            <w:pPr>
              <w:jc w:val="center"/>
              <w:rPr>
                <w:b/>
                <w:bCs/>
              </w:rPr>
            </w:pPr>
            <w:r>
              <w:rPr>
                <w:b/>
                <w:bCs/>
              </w:rPr>
              <w:t>VR Service Group</w:t>
            </w:r>
          </w:p>
        </w:tc>
        <w:tc>
          <w:tcPr>
            <w:tcW w:w="5395" w:type="dxa"/>
            <w:shd w:val="clear" w:color="auto" w:fill="ADADAD" w:themeFill="background2" w:themeFillShade="BF"/>
          </w:tcPr>
          <w:p w14:paraId="2B353782" w14:textId="77777777" w:rsidR="00422139" w:rsidRPr="00A5739B" w:rsidRDefault="00422139" w:rsidP="00084A0B">
            <w:pPr>
              <w:jc w:val="center"/>
              <w:rPr>
                <w:b/>
                <w:bCs/>
              </w:rPr>
            </w:pPr>
            <w:r>
              <w:rPr>
                <w:b/>
                <w:bCs/>
              </w:rPr>
              <w:t>Examples of Services</w:t>
            </w:r>
          </w:p>
        </w:tc>
      </w:tr>
      <w:tr w:rsidR="00422139" w14:paraId="3C0C4F03" w14:textId="77777777" w:rsidTr="00D27542">
        <w:trPr>
          <w:jc w:val="center"/>
        </w:trPr>
        <w:tc>
          <w:tcPr>
            <w:tcW w:w="5395" w:type="dxa"/>
          </w:tcPr>
          <w:p w14:paraId="7EE12F99" w14:textId="77777777" w:rsidR="00422139" w:rsidRDefault="00422139" w:rsidP="00084A0B">
            <w:r>
              <w:t>Job Development &amp; Placement</w:t>
            </w:r>
          </w:p>
        </w:tc>
        <w:tc>
          <w:tcPr>
            <w:tcW w:w="5395" w:type="dxa"/>
          </w:tcPr>
          <w:p w14:paraId="1FEC01C3" w14:textId="77777777" w:rsidR="00422139" w:rsidRDefault="00422139" w:rsidP="00084A0B">
            <w:r>
              <w:t>Job Development, Analysis, Placement &amp; Referral</w:t>
            </w:r>
          </w:p>
        </w:tc>
      </w:tr>
      <w:tr w:rsidR="00422139" w14:paraId="501CC197" w14:textId="77777777" w:rsidTr="00D27542">
        <w:trPr>
          <w:jc w:val="center"/>
        </w:trPr>
        <w:tc>
          <w:tcPr>
            <w:tcW w:w="5395" w:type="dxa"/>
          </w:tcPr>
          <w:p w14:paraId="3F3FF045" w14:textId="77777777" w:rsidR="00422139" w:rsidRDefault="00422139" w:rsidP="00084A0B">
            <w:r>
              <w:t>College or University Training</w:t>
            </w:r>
          </w:p>
        </w:tc>
        <w:tc>
          <w:tcPr>
            <w:tcW w:w="5395" w:type="dxa"/>
          </w:tcPr>
          <w:p w14:paraId="12F15A2A" w14:textId="77777777" w:rsidR="00422139" w:rsidRDefault="00422139" w:rsidP="00084A0B">
            <w:r>
              <w:t>Tuition, Boarding, Fees, Books, School Supplies</w:t>
            </w:r>
          </w:p>
        </w:tc>
      </w:tr>
      <w:tr w:rsidR="00422139" w14:paraId="31D60D0C" w14:textId="77777777" w:rsidTr="00D27542">
        <w:trPr>
          <w:jc w:val="center"/>
        </w:trPr>
        <w:tc>
          <w:tcPr>
            <w:tcW w:w="5395" w:type="dxa"/>
          </w:tcPr>
          <w:p w14:paraId="7A3BB0DE" w14:textId="77777777" w:rsidR="00422139" w:rsidRDefault="00422139" w:rsidP="00084A0B">
            <w:r>
              <w:t>Assessment</w:t>
            </w:r>
          </w:p>
        </w:tc>
        <w:tc>
          <w:tcPr>
            <w:tcW w:w="5395" w:type="dxa"/>
          </w:tcPr>
          <w:p w14:paraId="5EFD2DE2" w14:textId="77777777" w:rsidR="00422139" w:rsidRDefault="00422139" w:rsidP="00084A0B">
            <w:r>
              <w:t>Community Based Situational Assessments and Disability Related Evaluations</w:t>
            </w:r>
          </w:p>
        </w:tc>
      </w:tr>
      <w:tr w:rsidR="00422139" w14:paraId="23BA8DD7" w14:textId="77777777" w:rsidTr="00D27542">
        <w:trPr>
          <w:jc w:val="center"/>
        </w:trPr>
        <w:tc>
          <w:tcPr>
            <w:tcW w:w="5395" w:type="dxa"/>
          </w:tcPr>
          <w:p w14:paraId="7BBF45F2" w14:textId="77777777" w:rsidR="00422139" w:rsidRDefault="00422139" w:rsidP="00084A0B">
            <w:r>
              <w:t>On-The-Job Supports</w:t>
            </w:r>
          </w:p>
        </w:tc>
        <w:tc>
          <w:tcPr>
            <w:tcW w:w="5395" w:type="dxa"/>
          </w:tcPr>
          <w:p w14:paraId="73EB44C7" w14:textId="77777777" w:rsidR="00422139" w:rsidRDefault="00422139" w:rsidP="00084A0B">
            <w:r>
              <w:t>Job Coaching (both at work and off site) and On-The-Job Training</w:t>
            </w:r>
          </w:p>
        </w:tc>
      </w:tr>
      <w:tr w:rsidR="00422139" w14:paraId="420F31D8" w14:textId="77777777" w:rsidTr="00D27542">
        <w:trPr>
          <w:jc w:val="center"/>
        </w:trPr>
        <w:tc>
          <w:tcPr>
            <w:tcW w:w="5395" w:type="dxa"/>
          </w:tcPr>
          <w:p w14:paraId="46E03B36" w14:textId="77777777" w:rsidR="00422139" w:rsidRDefault="00422139" w:rsidP="00084A0B">
            <w:r>
              <w:t>All Other Services</w:t>
            </w:r>
          </w:p>
        </w:tc>
        <w:tc>
          <w:tcPr>
            <w:tcW w:w="5395" w:type="dxa"/>
          </w:tcPr>
          <w:p w14:paraId="234C52BF" w14:textId="77777777" w:rsidR="00422139" w:rsidRDefault="00422139" w:rsidP="00084A0B">
            <w:r>
              <w:t>Readers/Interpreters, Occupational Tools &amp; Equipment, Services to Family Members, Purchased Counseling &amp; Guidance</w:t>
            </w:r>
          </w:p>
        </w:tc>
      </w:tr>
      <w:tr w:rsidR="00422139" w:rsidRPr="002754ED" w14:paraId="30A42CB1" w14:textId="77777777" w:rsidTr="00D27542">
        <w:trPr>
          <w:jc w:val="center"/>
        </w:trPr>
        <w:tc>
          <w:tcPr>
            <w:tcW w:w="5395" w:type="dxa"/>
          </w:tcPr>
          <w:p w14:paraId="5BF7F7BF" w14:textId="77777777" w:rsidR="00422139" w:rsidRPr="002754ED" w:rsidRDefault="00422139" w:rsidP="00084A0B">
            <w:r w:rsidRPr="002754ED">
              <w:t>Pre-Employment Transition Services</w:t>
            </w:r>
          </w:p>
        </w:tc>
        <w:tc>
          <w:tcPr>
            <w:tcW w:w="5395" w:type="dxa"/>
          </w:tcPr>
          <w:p w14:paraId="52E830C7" w14:textId="77777777" w:rsidR="00422139" w:rsidRPr="002754ED" w:rsidRDefault="00422139" w:rsidP="00084A0B">
            <w:r>
              <w:t>Job Exploration Counseling, Work-Based Learning Experience, Counseling on Enrollment Opportunities, Workplace Readiness Training, Instruction in Self Advocacy</w:t>
            </w:r>
          </w:p>
        </w:tc>
      </w:tr>
      <w:tr w:rsidR="00422139" w14:paraId="20439514" w14:textId="77777777" w:rsidTr="00D27542">
        <w:trPr>
          <w:jc w:val="center"/>
        </w:trPr>
        <w:tc>
          <w:tcPr>
            <w:tcW w:w="5395" w:type="dxa"/>
          </w:tcPr>
          <w:p w14:paraId="25535972" w14:textId="77777777" w:rsidR="00422139" w:rsidRDefault="00422139" w:rsidP="00084A0B">
            <w:r>
              <w:t>Occupational/Vocational &amp; Other Training</w:t>
            </w:r>
          </w:p>
        </w:tc>
        <w:tc>
          <w:tcPr>
            <w:tcW w:w="5395" w:type="dxa"/>
          </w:tcPr>
          <w:p w14:paraId="099B2769" w14:textId="77777777" w:rsidR="00422139" w:rsidRDefault="00422139" w:rsidP="00084A0B">
            <w:r>
              <w:t>Business/Vocational Training, Books, Supplies, Boarding, Tutoring, Fees, Adult Education, Literacy, Mobility Training, Truck Driving School, etc.</w:t>
            </w:r>
          </w:p>
        </w:tc>
      </w:tr>
      <w:tr w:rsidR="00422139" w14:paraId="394949B4" w14:textId="77777777" w:rsidTr="00D27542">
        <w:trPr>
          <w:jc w:val="center"/>
        </w:trPr>
        <w:tc>
          <w:tcPr>
            <w:tcW w:w="5395" w:type="dxa"/>
          </w:tcPr>
          <w:p w14:paraId="5BBAE101" w14:textId="77777777" w:rsidR="00422139" w:rsidRDefault="00422139" w:rsidP="00084A0B">
            <w:r>
              <w:t>Hearing Aid</w:t>
            </w:r>
          </w:p>
        </w:tc>
        <w:tc>
          <w:tcPr>
            <w:tcW w:w="5395" w:type="dxa"/>
          </w:tcPr>
          <w:p w14:paraId="2B56BACE" w14:textId="77777777" w:rsidR="00422139" w:rsidRDefault="00422139" w:rsidP="00084A0B">
            <w:r>
              <w:t>Provision of Hearing Aids, Molds, and Repair</w:t>
            </w:r>
          </w:p>
        </w:tc>
      </w:tr>
      <w:tr w:rsidR="00422139" w14:paraId="34A9C658" w14:textId="77777777" w:rsidTr="00D27542">
        <w:trPr>
          <w:jc w:val="center"/>
        </w:trPr>
        <w:tc>
          <w:tcPr>
            <w:tcW w:w="5395" w:type="dxa"/>
          </w:tcPr>
          <w:p w14:paraId="4B9D4233" w14:textId="77777777" w:rsidR="00422139" w:rsidRDefault="00422139" w:rsidP="00084A0B">
            <w:r>
              <w:t>Transportation</w:t>
            </w:r>
          </w:p>
        </w:tc>
        <w:tc>
          <w:tcPr>
            <w:tcW w:w="5395" w:type="dxa"/>
          </w:tcPr>
          <w:p w14:paraId="6B018720" w14:textId="77777777" w:rsidR="00422139" w:rsidRDefault="00422139" w:rsidP="00084A0B">
            <w:r>
              <w:t>Cab/Bus Fares, Car Repairs, Gas</w:t>
            </w:r>
          </w:p>
        </w:tc>
      </w:tr>
      <w:tr w:rsidR="00422139" w14:paraId="26C18B2D" w14:textId="77777777" w:rsidTr="00D27542">
        <w:trPr>
          <w:jc w:val="center"/>
        </w:trPr>
        <w:tc>
          <w:tcPr>
            <w:tcW w:w="5395" w:type="dxa"/>
          </w:tcPr>
          <w:p w14:paraId="702AF136" w14:textId="77777777" w:rsidR="00422139" w:rsidRDefault="00422139" w:rsidP="00084A0B">
            <w:r>
              <w:t>Rehabilitation Technology</w:t>
            </w:r>
          </w:p>
        </w:tc>
        <w:tc>
          <w:tcPr>
            <w:tcW w:w="5395" w:type="dxa"/>
          </w:tcPr>
          <w:p w14:paraId="3A749D41" w14:textId="77777777" w:rsidR="00422139" w:rsidRDefault="00422139" w:rsidP="00084A0B">
            <w:r>
              <w:t>Computer Equipment, Software, Training, Home/Building or Vehicle Modifications</w:t>
            </w:r>
          </w:p>
        </w:tc>
      </w:tr>
      <w:tr w:rsidR="00422139" w14:paraId="64430447" w14:textId="77777777" w:rsidTr="00D27542">
        <w:trPr>
          <w:jc w:val="center"/>
        </w:trPr>
        <w:tc>
          <w:tcPr>
            <w:tcW w:w="5395" w:type="dxa"/>
          </w:tcPr>
          <w:p w14:paraId="6A04F88A" w14:textId="77777777" w:rsidR="00422139" w:rsidRDefault="00422139" w:rsidP="00084A0B">
            <w:r>
              <w:t>Maintenance</w:t>
            </w:r>
          </w:p>
        </w:tc>
        <w:tc>
          <w:tcPr>
            <w:tcW w:w="5395" w:type="dxa"/>
          </w:tcPr>
          <w:p w14:paraId="5BBFB301" w14:textId="77777777" w:rsidR="00422139" w:rsidRDefault="00422139" w:rsidP="00084A0B">
            <w:r>
              <w:t>Clothing, Child Care, Food and Shelter to Enable IPE</w:t>
            </w:r>
          </w:p>
        </w:tc>
      </w:tr>
      <w:tr w:rsidR="00422139" w14:paraId="0858C7DD" w14:textId="77777777" w:rsidTr="00D27542">
        <w:trPr>
          <w:jc w:val="center"/>
        </w:trPr>
        <w:tc>
          <w:tcPr>
            <w:tcW w:w="5395" w:type="dxa"/>
          </w:tcPr>
          <w:p w14:paraId="7A080C9A" w14:textId="77777777" w:rsidR="00422139" w:rsidRDefault="00422139" w:rsidP="00084A0B">
            <w:r>
              <w:t>Diagnosis &amp; Treatment</w:t>
            </w:r>
          </w:p>
        </w:tc>
        <w:tc>
          <w:tcPr>
            <w:tcW w:w="5395" w:type="dxa"/>
          </w:tcPr>
          <w:p w14:paraId="21D876F8" w14:textId="77777777" w:rsidR="00422139" w:rsidRDefault="00422139" w:rsidP="00084A0B">
            <w:r>
              <w:t>Medical Exams, Treatment, Therapy &amp; Counseling</w:t>
            </w:r>
          </w:p>
        </w:tc>
      </w:tr>
    </w:tbl>
    <w:p w14:paraId="166B8A11" w14:textId="77777777" w:rsidR="00BA2C94" w:rsidRDefault="00BA2C94" w:rsidP="00BA2C94">
      <w:pPr>
        <w:pStyle w:val="ListParagraph"/>
        <w:ind w:left="1440"/>
        <w:jc w:val="center"/>
        <w:rPr>
          <w:b/>
          <w:bCs/>
        </w:rPr>
      </w:pPr>
    </w:p>
    <w:p w14:paraId="033A0682" w14:textId="77777777" w:rsidR="002154AE" w:rsidRDefault="002154AE" w:rsidP="006A719B">
      <w:pPr>
        <w:pStyle w:val="ListParagraph"/>
        <w:ind w:left="1440"/>
        <w:rPr>
          <w:b/>
          <w:bCs/>
        </w:rPr>
      </w:pPr>
    </w:p>
    <w:p w14:paraId="15055E70" w14:textId="77777777" w:rsidR="002154AE" w:rsidRDefault="002154AE" w:rsidP="006A719B">
      <w:pPr>
        <w:pStyle w:val="ListParagraph"/>
        <w:ind w:left="1440"/>
        <w:rPr>
          <w:b/>
          <w:bCs/>
        </w:rPr>
      </w:pPr>
    </w:p>
    <w:p w14:paraId="72E447DA" w14:textId="77777777" w:rsidR="002154AE" w:rsidRDefault="002154AE" w:rsidP="006A719B">
      <w:pPr>
        <w:pStyle w:val="ListParagraph"/>
        <w:ind w:left="1440"/>
        <w:rPr>
          <w:b/>
          <w:bCs/>
        </w:rPr>
      </w:pPr>
    </w:p>
    <w:p w14:paraId="7815404D" w14:textId="77777777" w:rsidR="002154AE" w:rsidRDefault="002154AE" w:rsidP="006A719B">
      <w:pPr>
        <w:pStyle w:val="ListParagraph"/>
        <w:ind w:left="1440"/>
        <w:rPr>
          <w:b/>
          <w:bCs/>
        </w:rPr>
      </w:pPr>
    </w:p>
    <w:p w14:paraId="4CF679B9" w14:textId="77777777" w:rsidR="002154AE" w:rsidRDefault="002154AE" w:rsidP="006A719B">
      <w:pPr>
        <w:pStyle w:val="ListParagraph"/>
        <w:ind w:left="1440"/>
        <w:rPr>
          <w:b/>
          <w:bCs/>
        </w:rPr>
      </w:pPr>
    </w:p>
    <w:p w14:paraId="2A47283B" w14:textId="77777777" w:rsidR="002154AE" w:rsidRDefault="002154AE" w:rsidP="006A719B">
      <w:pPr>
        <w:pStyle w:val="ListParagraph"/>
        <w:ind w:left="1440"/>
        <w:rPr>
          <w:b/>
          <w:bCs/>
        </w:rPr>
      </w:pPr>
    </w:p>
    <w:p w14:paraId="3B93F063" w14:textId="77777777" w:rsidR="002154AE" w:rsidRDefault="002154AE" w:rsidP="006A719B">
      <w:pPr>
        <w:pStyle w:val="ListParagraph"/>
        <w:ind w:left="1440"/>
        <w:rPr>
          <w:b/>
          <w:bCs/>
        </w:rPr>
      </w:pPr>
    </w:p>
    <w:p w14:paraId="20A846B5" w14:textId="77777777" w:rsidR="002154AE" w:rsidRDefault="002154AE" w:rsidP="006A719B">
      <w:pPr>
        <w:pStyle w:val="ListParagraph"/>
        <w:ind w:left="1440"/>
        <w:rPr>
          <w:b/>
          <w:bCs/>
        </w:rPr>
      </w:pPr>
    </w:p>
    <w:p w14:paraId="7DB48EB2" w14:textId="77777777" w:rsidR="002154AE" w:rsidRDefault="002154AE" w:rsidP="006A719B">
      <w:pPr>
        <w:pStyle w:val="ListParagraph"/>
        <w:ind w:left="1440"/>
        <w:rPr>
          <w:b/>
          <w:bCs/>
        </w:rPr>
      </w:pPr>
    </w:p>
    <w:p w14:paraId="4B1E2E66" w14:textId="77777777" w:rsidR="002154AE" w:rsidRDefault="002154AE" w:rsidP="006A719B">
      <w:pPr>
        <w:pStyle w:val="ListParagraph"/>
        <w:ind w:left="1440"/>
        <w:rPr>
          <w:b/>
          <w:bCs/>
        </w:rPr>
      </w:pPr>
    </w:p>
    <w:p w14:paraId="36A2B4C9" w14:textId="77777777" w:rsidR="002154AE" w:rsidRDefault="002154AE" w:rsidP="006A719B">
      <w:pPr>
        <w:pStyle w:val="ListParagraph"/>
        <w:ind w:left="1440"/>
        <w:rPr>
          <w:b/>
          <w:bCs/>
        </w:rPr>
      </w:pPr>
    </w:p>
    <w:p w14:paraId="2AE4199B" w14:textId="77777777" w:rsidR="002154AE" w:rsidRDefault="002154AE" w:rsidP="006A719B">
      <w:pPr>
        <w:pStyle w:val="ListParagraph"/>
        <w:ind w:left="1440"/>
        <w:rPr>
          <w:b/>
          <w:bCs/>
        </w:rPr>
      </w:pPr>
    </w:p>
    <w:p w14:paraId="08C7359D" w14:textId="77777777" w:rsidR="002154AE" w:rsidRDefault="002154AE" w:rsidP="006A719B">
      <w:pPr>
        <w:pStyle w:val="ListParagraph"/>
        <w:ind w:left="1440"/>
        <w:rPr>
          <w:b/>
          <w:bCs/>
        </w:rPr>
      </w:pPr>
    </w:p>
    <w:p w14:paraId="5C2F6293" w14:textId="77777777" w:rsidR="002154AE" w:rsidRDefault="002154AE" w:rsidP="006A719B">
      <w:pPr>
        <w:pStyle w:val="ListParagraph"/>
        <w:ind w:left="1440"/>
        <w:rPr>
          <w:b/>
          <w:bCs/>
        </w:rPr>
      </w:pPr>
    </w:p>
    <w:p w14:paraId="228FBED7" w14:textId="77777777" w:rsidR="002154AE" w:rsidRDefault="002154AE" w:rsidP="006A719B">
      <w:pPr>
        <w:pStyle w:val="ListParagraph"/>
        <w:ind w:left="1440"/>
        <w:rPr>
          <w:b/>
          <w:bCs/>
        </w:rPr>
      </w:pPr>
    </w:p>
    <w:p w14:paraId="2A4A895D" w14:textId="77777777" w:rsidR="002154AE" w:rsidRDefault="002154AE" w:rsidP="006A719B">
      <w:pPr>
        <w:pStyle w:val="ListParagraph"/>
        <w:ind w:left="1440"/>
        <w:rPr>
          <w:b/>
          <w:bCs/>
        </w:rPr>
      </w:pPr>
    </w:p>
    <w:p w14:paraId="5B7B1A2E" w14:textId="77777777" w:rsidR="002154AE" w:rsidRDefault="002154AE" w:rsidP="006A719B">
      <w:pPr>
        <w:pStyle w:val="ListParagraph"/>
        <w:ind w:left="1440"/>
        <w:rPr>
          <w:b/>
          <w:bCs/>
        </w:rPr>
      </w:pPr>
    </w:p>
    <w:p w14:paraId="00186C53" w14:textId="77777777" w:rsidR="002154AE" w:rsidRDefault="002154AE" w:rsidP="006A719B">
      <w:pPr>
        <w:pStyle w:val="ListParagraph"/>
        <w:ind w:left="1440"/>
        <w:rPr>
          <w:b/>
          <w:bCs/>
        </w:rPr>
      </w:pPr>
    </w:p>
    <w:p w14:paraId="5B678BEC" w14:textId="77777777" w:rsidR="002154AE" w:rsidRDefault="002154AE" w:rsidP="006A719B">
      <w:pPr>
        <w:pStyle w:val="ListParagraph"/>
        <w:ind w:left="1440"/>
        <w:rPr>
          <w:b/>
          <w:bCs/>
        </w:rPr>
      </w:pPr>
    </w:p>
    <w:p w14:paraId="102BE686" w14:textId="77777777" w:rsidR="002154AE" w:rsidRDefault="002154AE" w:rsidP="006A719B">
      <w:pPr>
        <w:pStyle w:val="ListParagraph"/>
        <w:ind w:left="1440"/>
        <w:rPr>
          <w:b/>
          <w:bCs/>
        </w:rPr>
      </w:pPr>
    </w:p>
    <w:p w14:paraId="0A4FBE6E" w14:textId="77777777" w:rsidR="002154AE" w:rsidRDefault="002154AE" w:rsidP="006A719B">
      <w:pPr>
        <w:pStyle w:val="ListParagraph"/>
        <w:ind w:left="1440"/>
        <w:rPr>
          <w:b/>
          <w:bCs/>
        </w:rPr>
      </w:pPr>
    </w:p>
    <w:p w14:paraId="02E7631F" w14:textId="77777777" w:rsidR="002154AE" w:rsidRDefault="002154AE" w:rsidP="006A719B">
      <w:pPr>
        <w:pStyle w:val="ListParagraph"/>
        <w:ind w:left="1440"/>
        <w:rPr>
          <w:b/>
          <w:bCs/>
        </w:rPr>
      </w:pPr>
    </w:p>
    <w:p w14:paraId="3E8987E7" w14:textId="77777777" w:rsidR="00D27542" w:rsidRPr="00BA7809" w:rsidRDefault="006A719B" w:rsidP="00D27542">
      <w:pPr>
        <w:jc w:val="center"/>
        <w:rPr>
          <w:b/>
          <w:bCs/>
        </w:rPr>
      </w:pPr>
      <w:r w:rsidRPr="00BA7809">
        <w:rPr>
          <w:b/>
          <w:bCs/>
        </w:rPr>
        <w:t>Table 2</w:t>
      </w:r>
    </w:p>
    <w:p w14:paraId="2573019D" w14:textId="7F7ECCF3" w:rsidR="006A719B" w:rsidRPr="00D27542" w:rsidRDefault="006A719B" w:rsidP="00D27542">
      <w:pPr>
        <w:jc w:val="center"/>
        <w:rPr>
          <w:b/>
          <w:bCs/>
        </w:rPr>
      </w:pPr>
      <w:r w:rsidRPr="00D27542">
        <w:rPr>
          <w:b/>
          <w:bCs/>
        </w:rPr>
        <w:t>Case Costs by Service Group and Federal Fiscal Year between 2021 and 2023</w:t>
      </w:r>
    </w:p>
    <w:tbl>
      <w:tblPr>
        <w:tblStyle w:val="TableGrid"/>
        <w:tblW w:w="0" w:type="auto"/>
        <w:jc w:val="center"/>
        <w:tblLook w:val="04A0" w:firstRow="1" w:lastRow="0" w:firstColumn="1" w:lastColumn="0" w:noHBand="0" w:noVBand="1"/>
      </w:tblPr>
      <w:tblGrid>
        <w:gridCol w:w="2610"/>
        <w:gridCol w:w="2063"/>
        <w:gridCol w:w="2064"/>
        <w:gridCol w:w="2064"/>
        <w:gridCol w:w="1989"/>
      </w:tblGrid>
      <w:tr w:rsidR="002154AE" w14:paraId="477ED0F5" w14:textId="77777777" w:rsidTr="00D27542">
        <w:trPr>
          <w:jc w:val="center"/>
        </w:trPr>
        <w:tc>
          <w:tcPr>
            <w:tcW w:w="2158" w:type="dxa"/>
            <w:shd w:val="clear" w:color="auto" w:fill="ADADAD" w:themeFill="background2" w:themeFillShade="BF"/>
          </w:tcPr>
          <w:p w14:paraId="58B5B75B" w14:textId="77777777" w:rsidR="002154AE" w:rsidRPr="003D30B4" w:rsidRDefault="002154AE" w:rsidP="00084A0B">
            <w:pPr>
              <w:jc w:val="center"/>
              <w:rPr>
                <w:b/>
                <w:bCs/>
              </w:rPr>
            </w:pPr>
            <w:r>
              <w:rPr>
                <w:b/>
                <w:bCs/>
              </w:rPr>
              <w:lastRenderedPageBreak/>
              <w:t>VR Service Group</w:t>
            </w:r>
          </w:p>
        </w:tc>
        <w:tc>
          <w:tcPr>
            <w:tcW w:w="2158" w:type="dxa"/>
            <w:shd w:val="clear" w:color="auto" w:fill="ADADAD" w:themeFill="background2" w:themeFillShade="BF"/>
          </w:tcPr>
          <w:p w14:paraId="4E48017D" w14:textId="77777777" w:rsidR="002154AE" w:rsidRPr="003D30B4" w:rsidRDefault="002154AE" w:rsidP="00084A0B">
            <w:pPr>
              <w:jc w:val="center"/>
              <w:rPr>
                <w:b/>
                <w:bCs/>
              </w:rPr>
            </w:pPr>
            <w:r>
              <w:rPr>
                <w:b/>
                <w:bCs/>
              </w:rPr>
              <w:t>FFY 2021</w:t>
            </w:r>
          </w:p>
        </w:tc>
        <w:tc>
          <w:tcPr>
            <w:tcW w:w="2158" w:type="dxa"/>
            <w:shd w:val="clear" w:color="auto" w:fill="ADADAD" w:themeFill="background2" w:themeFillShade="BF"/>
          </w:tcPr>
          <w:p w14:paraId="3B6DF3AC" w14:textId="77777777" w:rsidR="002154AE" w:rsidRPr="003D30B4" w:rsidRDefault="002154AE" w:rsidP="00084A0B">
            <w:pPr>
              <w:jc w:val="center"/>
              <w:rPr>
                <w:b/>
                <w:bCs/>
              </w:rPr>
            </w:pPr>
            <w:r>
              <w:rPr>
                <w:b/>
                <w:bCs/>
              </w:rPr>
              <w:t>FFY 2022</w:t>
            </w:r>
          </w:p>
        </w:tc>
        <w:tc>
          <w:tcPr>
            <w:tcW w:w="2158" w:type="dxa"/>
            <w:shd w:val="clear" w:color="auto" w:fill="ADADAD" w:themeFill="background2" w:themeFillShade="BF"/>
          </w:tcPr>
          <w:p w14:paraId="0429F078" w14:textId="77777777" w:rsidR="002154AE" w:rsidRPr="003D30B4" w:rsidRDefault="002154AE" w:rsidP="00084A0B">
            <w:pPr>
              <w:jc w:val="center"/>
              <w:rPr>
                <w:b/>
                <w:bCs/>
              </w:rPr>
            </w:pPr>
            <w:r>
              <w:rPr>
                <w:b/>
                <w:bCs/>
              </w:rPr>
              <w:t>FFY 2023</w:t>
            </w:r>
          </w:p>
        </w:tc>
        <w:tc>
          <w:tcPr>
            <w:tcW w:w="2158" w:type="dxa"/>
            <w:shd w:val="clear" w:color="auto" w:fill="ADADAD" w:themeFill="background2" w:themeFillShade="BF"/>
          </w:tcPr>
          <w:p w14:paraId="57FADD0C" w14:textId="77777777" w:rsidR="002154AE" w:rsidRPr="00775D83" w:rsidRDefault="002154AE" w:rsidP="00084A0B">
            <w:pPr>
              <w:jc w:val="center"/>
              <w:rPr>
                <w:b/>
                <w:bCs/>
              </w:rPr>
            </w:pPr>
            <w:r w:rsidRPr="00775D83">
              <w:rPr>
                <w:b/>
                <w:bCs/>
              </w:rPr>
              <w:t xml:space="preserve">% Change FFY </w:t>
            </w:r>
          </w:p>
          <w:p w14:paraId="4DFEEAB4" w14:textId="6D7E8C1E" w:rsidR="002154AE" w:rsidRPr="003D30B4" w:rsidRDefault="002154AE" w:rsidP="00084A0B">
            <w:pPr>
              <w:jc w:val="center"/>
              <w:rPr>
                <w:b/>
                <w:bCs/>
              </w:rPr>
            </w:pPr>
            <w:r w:rsidRPr="00775D83">
              <w:rPr>
                <w:b/>
                <w:bCs/>
              </w:rPr>
              <w:t>20</w:t>
            </w:r>
            <w:r w:rsidR="00775D83" w:rsidRPr="00775D83">
              <w:rPr>
                <w:b/>
                <w:bCs/>
              </w:rPr>
              <w:t>21</w:t>
            </w:r>
            <w:r w:rsidRPr="00775D83">
              <w:rPr>
                <w:b/>
                <w:bCs/>
              </w:rPr>
              <w:t>-2023</w:t>
            </w:r>
          </w:p>
        </w:tc>
      </w:tr>
      <w:tr w:rsidR="002154AE" w14:paraId="187E0235" w14:textId="77777777" w:rsidTr="00D27542">
        <w:trPr>
          <w:jc w:val="center"/>
        </w:trPr>
        <w:tc>
          <w:tcPr>
            <w:tcW w:w="2158" w:type="dxa"/>
            <w:shd w:val="clear" w:color="auto" w:fill="auto"/>
          </w:tcPr>
          <w:p w14:paraId="6723317A" w14:textId="77777777" w:rsidR="002154AE" w:rsidRDefault="002154AE" w:rsidP="00084A0B">
            <w:r>
              <w:t>Job Development &amp; Placement</w:t>
            </w:r>
          </w:p>
        </w:tc>
        <w:tc>
          <w:tcPr>
            <w:tcW w:w="2158" w:type="dxa"/>
            <w:shd w:val="clear" w:color="auto" w:fill="auto"/>
            <w:vAlign w:val="center"/>
          </w:tcPr>
          <w:p w14:paraId="4C2DF36E" w14:textId="77777777" w:rsidR="002154AE" w:rsidRPr="002877F2" w:rsidRDefault="002154AE" w:rsidP="00084A0B">
            <w:pPr>
              <w:jc w:val="center"/>
            </w:pPr>
            <w:r w:rsidRPr="002877F2">
              <w:rPr>
                <w:rFonts w:ascii="Calibri" w:hAnsi="Calibri" w:cs="Calibri"/>
                <w:color w:val="000000"/>
              </w:rPr>
              <w:t>$2,450,183.45</w:t>
            </w:r>
          </w:p>
        </w:tc>
        <w:tc>
          <w:tcPr>
            <w:tcW w:w="2158" w:type="dxa"/>
            <w:shd w:val="clear" w:color="auto" w:fill="auto"/>
            <w:vAlign w:val="center"/>
          </w:tcPr>
          <w:p w14:paraId="19E0A233" w14:textId="77777777" w:rsidR="002154AE" w:rsidRPr="00654689" w:rsidRDefault="002154AE" w:rsidP="00084A0B">
            <w:pPr>
              <w:jc w:val="center"/>
            </w:pPr>
            <w:r w:rsidRPr="00654689">
              <w:rPr>
                <w:rFonts w:ascii="Calibri" w:hAnsi="Calibri" w:cs="Calibri"/>
                <w:color w:val="000000"/>
              </w:rPr>
              <w:t>$3,217,211.74</w:t>
            </w:r>
          </w:p>
        </w:tc>
        <w:tc>
          <w:tcPr>
            <w:tcW w:w="2158" w:type="dxa"/>
            <w:shd w:val="clear" w:color="auto" w:fill="auto"/>
            <w:vAlign w:val="center"/>
          </w:tcPr>
          <w:p w14:paraId="59BB2CD5" w14:textId="77777777" w:rsidR="002154AE" w:rsidRDefault="002154AE" w:rsidP="00084A0B">
            <w:pPr>
              <w:jc w:val="center"/>
            </w:pPr>
            <w:r>
              <w:rPr>
                <w:rFonts w:ascii="Calibri" w:hAnsi="Calibri" w:cs="Calibri"/>
                <w:color w:val="000000"/>
              </w:rPr>
              <w:t>$3,793,313.50</w:t>
            </w:r>
          </w:p>
        </w:tc>
        <w:tc>
          <w:tcPr>
            <w:tcW w:w="2158" w:type="dxa"/>
            <w:shd w:val="clear" w:color="auto" w:fill="auto"/>
            <w:vAlign w:val="center"/>
          </w:tcPr>
          <w:p w14:paraId="7CB3CAF5" w14:textId="703CE1E2" w:rsidR="002154AE" w:rsidRPr="00762376" w:rsidRDefault="00AF6D96" w:rsidP="00084A0B">
            <w:pPr>
              <w:jc w:val="center"/>
            </w:pPr>
            <w:r>
              <w:t>54.8</w:t>
            </w:r>
          </w:p>
        </w:tc>
      </w:tr>
      <w:tr w:rsidR="002154AE" w14:paraId="3F451F01" w14:textId="77777777" w:rsidTr="00D27542">
        <w:trPr>
          <w:jc w:val="center"/>
        </w:trPr>
        <w:tc>
          <w:tcPr>
            <w:tcW w:w="2158" w:type="dxa"/>
            <w:shd w:val="clear" w:color="auto" w:fill="auto"/>
          </w:tcPr>
          <w:p w14:paraId="35275FA1" w14:textId="77777777" w:rsidR="002154AE" w:rsidRDefault="002154AE" w:rsidP="00084A0B">
            <w:r>
              <w:t>College or University Training</w:t>
            </w:r>
          </w:p>
        </w:tc>
        <w:tc>
          <w:tcPr>
            <w:tcW w:w="2158" w:type="dxa"/>
            <w:shd w:val="clear" w:color="auto" w:fill="auto"/>
            <w:vAlign w:val="center"/>
          </w:tcPr>
          <w:p w14:paraId="428C7C0E" w14:textId="77777777" w:rsidR="002154AE" w:rsidRPr="002877F2" w:rsidRDefault="002154AE" w:rsidP="00084A0B">
            <w:pPr>
              <w:jc w:val="center"/>
            </w:pPr>
            <w:r w:rsidRPr="002877F2">
              <w:rPr>
                <w:rFonts w:ascii="Calibri" w:hAnsi="Calibri" w:cs="Calibri"/>
                <w:color w:val="000000"/>
              </w:rPr>
              <w:t>$498,307.21</w:t>
            </w:r>
          </w:p>
        </w:tc>
        <w:tc>
          <w:tcPr>
            <w:tcW w:w="2158" w:type="dxa"/>
            <w:shd w:val="clear" w:color="auto" w:fill="auto"/>
            <w:vAlign w:val="center"/>
          </w:tcPr>
          <w:p w14:paraId="227FF363" w14:textId="77777777" w:rsidR="002154AE" w:rsidRPr="00654689" w:rsidRDefault="002154AE" w:rsidP="00084A0B">
            <w:pPr>
              <w:jc w:val="center"/>
            </w:pPr>
            <w:r w:rsidRPr="00654689">
              <w:rPr>
                <w:rFonts w:ascii="Calibri" w:hAnsi="Calibri" w:cs="Calibri"/>
                <w:color w:val="000000"/>
              </w:rPr>
              <w:t>$432,324.25</w:t>
            </w:r>
          </w:p>
        </w:tc>
        <w:tc>
          <w:tcPr>
            <w:tcW w:w="2158" w:type="dxa"/>
            <w:shd w:val="clear" w:color="auto" w:fill="auto"/>
            <w:vAlign w:val="center"/>
          </w:tcPr>
          <w:p w14:paraId="21A8EFB0" w14:textId="77777777" w:rsidR="002154AE" w:rsidRDefault="002154AE" w:rsidP="00084A0B">
            <w:pPr>
              <w:jc w:val="center"/>
            </w:pPr>
            <w:r>
              <w:rPr>
                <w:rFonts w:ascii="Calibri" w:hAnsi="Calibri" w:cs="Calibri"/>
                <w:color w:val="000000"/>
              </w:rPr>
              <w:t>$671,142.62</w:t>
            </w:r>
          </w:p>
        </w:tc>
        <w:tc>
          <w:tcPr>
            <w:tcW w:w="2158" w:type="dxa"/>
            <w:shd w:val="clear" w:color="auto" w:fill="auto"/>
            <w:vAlign w:val="center"/>
          </w:tcPr>
          <w:p w14:paraId="68FFFACB" w14:textId="51DB85C6" w:rsidR="002154AE" w:rsidRPr="00762376" w:rsidRDefault="006B452C" w:rsidP="00084A0B">
            <w:pPr>
              <w:jc w:val="center"/>
            </w:pPr>
            <w:r>
              <w:t>34.7</w:t>
            </w:r>
          </w:p>
        </w:tc>
      </w:tr>
      <w:tr w:rsidR="002154AE" w14:paraId="5EB08542" w14:textId="77777777" w:rsidTr="00D27542">
        <w:trPr>
          <w:jc w:val="center"/>
        </w:trPr>
        <w:tc>
          <w:tcPr>
            <w:tcW w:w="2158" w:type="dxa"/>
            <w:shd w:val="clear" w:color="auto" w:fill="auto"/>
          </w:tcPr>
          <w:p w14:paraId="59C33A5C" w14:textId="77777777" w:rsidR="002154AE" w:rsidRDefault="002154AE" w:rsidP="00084A0B">
            <w:r>
              <w:t>Assessment</w:t>
            </w:r>
          </w:p>
        </w:tc>
        <w:tc>
          <w:tcPr>
            <w:tcW w:w="2158" w:type="dxa"/>
            <w:shd w:val="clear" w:color="auto" w:fill="auto"/>
            <w:vAlign w:val="center"/>
          </w:tcPr>
          <w:p w14:paraId="31A2C2D3" w14:textId="77777777" w:rsidR="002154AE" w:rsidRPr="002877F2" w:rsidRDefault="002154AE" w:rsidP="00084A0B">
            <w:pPr>
              <w:jc w:val="center"/>
            </w:pPr>
            <w:r w:rsidRPr="002877F2">
              <w:rPr>
                <w:rFonts w:ascii="Calibri" w:hAnsi="Calibri" w:cs="Calibri"/>
                <w:color w:val="000000"/>
              </w:rPr>
              <w:t>$143,077.14</w:t>
            </w:r>
          </w:p>
        </w:tc>
        <w:tc>
          <w:tcPr>
            <w:tcW w:w="2158" w:type="dxa"/>
            <w:shd w:val="clear" w:color="auto" w:fill="auto"/>
            <w:vAlign w:val="center"/>
          </w:tcPr>
          <w:p w14:paraId="4C18E59A" w14:textId="77777777" w:rsidR="002154AE" w:rsidRPr="00654689" w:rsidRDefault="002154AE" w:rsidP="00084A0B">
            <w:pPr>
              <w:jc w:val="center"/>
            </w:pPr>
            <w:r w:rsidRPr="00654689">
              <w:rPr>
                <w:rFonts w:ascii="Calibri" w:hAnsi="Calibri" w:cs="Calibri"/>
                <w:color w:val="000000"/>
              </w:rPr>
              <w:t>$1</w:t>
            </w:r>
            <w:r>
              <w:rPr>
                <w:rFonts w:ascii="Calibri" w:hAnsi="Calibri" w:cs="Calibri"/>
                <w:color w:val="000000"/>
              </w:rPr>
              <w:t>85,905.01</w:t>
            </w:r>
          </w:p>
        </w:tc>
        <w:tc>
          <w:tcPr>
            <w:tcW w:w="2158" w:type="dxa"/>
            <w:shd w:val="clear" w:color="auto" w:fill="auto"/>
            <w:vAlign w:val="center"/>
          </w:tcPr>
          <w:p w14:paraId="722D33B0" w14:textId="77777777" w:rsidR="002154AE" w:rsidRDefault="002154AE" w:rsidP="00084A0B">
            <w:pPr>
              <w:jc w:val="center"/>
            </w:pPr>
            <w:r>
              <w:rPr>
                <w:rFonts w:ascii="Calibri" w:hAnsi="Calibri" w:cs="Calibri"/>
                <w:color w:val="000000"/>
              </w:rPr>
              <w:t>$120,275.34</w:t>
            </w:r>
          </w:p>
        </w:tc>
        <w:tc>
          <w:tcPr>
            <w:tcW w:w="2158" w:type="dxa"/>
            <w:shd w:val="clear" w:color="auto" w:fill="auto"/>
            <w:vAlign w:val="center"/>
          </w:tcPr>
          <w:p w14:paraId="4B24D29C" w14:textId="0A686DE8" w:rsidR="002154AE" w:rsidRPr="00762376" w:rsidRDefault="00FF5DEB" w:rsidP="00084A0B">
            <w:pPr>
              <w:jc w:val="center"/>
            </w:pPr>
            <w:r>
              <w:t>-15.9</w:t>
            </w:r>
          </w:p>
        </w:tc>
      </w:tr>
      <w:tr w:rsidR="002154AE" w14:paraId="6198EA95" w14:textId="77777777" w:rsidTr="00D27542">
        <w:trPr>
          <w:jc w:val="center"/>
        </w:trPr>
        <w:tc>
          <w:tcPr>
            <w:tcW w:w="2158" w:type="dxa"/>
            <w:shd w:val="clear" w:color="auto" w:fill="auto"/>
          </w:tcPr>
          <w:p w14:paraId="34F525F8" w14:textId="77777777" w:rsidR="002154AE" w:rsidRDefault="002154AE" w:rsidP="00084A0B">
            <w:r>
              <w:t>On-The-Job Supports</w:t>
            </w:r>
          </w:p>
        </w:tc>
        <w:tc>
          <w:tcPr>
            <w:tcW w:w="2158" w:type="dxa"/>
            <w:shd w:val="clear" w:color="auto" w:fill="auto"/>
            <w:vAlign w:val="center"/>
          </w:tcPr>
          <w:p w14:paraId="3BBE71A3" w14:textId="77777777" w:rsidR="002154AE" w:rsidRPr="002877F2" w:rsidRDefault="002154AE" w:rsidP="00084A0B">
            <w:pPr>
              <w:jc w:val="center"/>
            </w:pPr>
            <w:r w:rsidRPr="002877F2">
              <w:rPr>
                <w:rFonts w:ascii="Calibri" w:hAnsi="Calibri" w:cs="Calibri"/>
                <w:color w:val="000000"/>
              </w:rPr>
              <w:t>$162,683.30</w:t>
            </w:r>
          </w:p>
        </w:tc>
        <w:tc>
          <w:tcPr>
            <w:tcW w:w="2158" w:type="dxa"/>
            <w:shd w:val="clear" w:color="auto" w:fill="auto"/>
            <w:vAlign w:val="center"/>
          </w:tcPr>
          <w:p w14:paraId="141A4C30" w14:textId="77777777" w:rsidR="002154AE" w:rsidRPr="00654689" w:rsidRDefault="002154AE" w:rsidP="00084A0B">
            <w:pPr>
              <w:jc w:val="center"/>
            </w:pPr>
            <w:r w:rsidRPr="00654689">
              <w:rPr>
                <w:rFonts w:ascii="Calibri" w:hAnsi="Calibri" w:cs="Calibri"/>
                <w:color w:val="000000"/>
              </w:rPr>
              <w:t>$274,540.48</w:t>
            </w:r>
          </w:p>
        </w:tc>
        <w:tc>
          <w:tcPr>
            <w:tcW w:w="2158" w:type="dxa"/>
            <w:shd w:val="clear" w:color="auto" w:fill="auto"/>
            <w:vAlign w:val="center"/>
          </w:tcPr>
          <w:p w14:paraId="4FE99C56" w14:textId="77777777" w:rsidR="002154AE" w:rsidRDefault="002154AE" w:rsidP="00084A0B">
            <w:pPr>
              <w:jc w:val="center"/>
            </w:pPr>
            <w:r>
              <w:rPr>
                <w:rFonts w:ascii="Calibri" w:hAnsi="Calibri" w:cs="Calibri"/>
                <w:color w:val="000000"/>
              </w:rPr>
              <w:t>$398,824.97</w:t>
            </w:r>
          </w:p>
        </w:tc>
        <w:tc>
          <w:tcPr>
            <w:tcW w:w="2158" w:type="dxa"/>
            <w:shd w:val="clear" w:color="auto" w:fill="auto"/>
            <w:vAlign w:val="center"/>
          </w:tcPr>
          <w:p w14:paraId="501F7359" w14:textId="057B71E9" w:rsidR="002154AE" w:rsidRPr="005513C9" w:rsidRDefault="00194F7F" w:rsidP="00084A0B">
            <w:pPr>
              <w:jc w:val="center"/>
            </w:pPr>
            <w:r>
              <w:t>145.2</w:t>
            </w:r>
          </w:p>
        </w:tc>
      </w:tr>
      <w:tr w:rsidR="002154AE" w14:paraId="30D4D198" w14:textId="77777777" w:rsidTr="00D27542">
        <w:trPr>
          <w:jc w:val="center"/>
        </w:trPr>
        <w:tc>
          <w:tcPr>
            <w:tcW w:w="2158" w:type="dxa"/>
            <w:shd w:val="clear" w:color="auto" w:fill="auto"/>
          </w:tcPr>
          <w:p w14:paraId="426C3A62" w14:textId="22FB16CA" w:rsidR="002154AE" w:rsidRDefault="002154AE" w:rsidP="00084A0B">
            <w:r>
              <w:t>All Other Services</w:t>
            </w:r>
          </w:p>
        </w:tc>
        <w:tc>
          <w:tcPr>
            <w:tcW w:w="2158" w:type="dxa"/>
            <w:shd w:val="clear" w:color="auto" w:fill="auto"/>
            <w:vAlign w:val="center"/>
          </w:tcPr>
          <w:p w14:paraId="4D089CCA" w14:textId="77777777" w:rsidR="002154AE" w:rsidRPr="002877F2" w:rsidRDefault="002154AE" w:rsidP="00084A0B">
            <w:pPr>
              <w:jc w:val="center"/>
            </w:pPr>
            <w:r w:rsidRPr="002877F2">
              <w:rPr>
                <w:rFonts w:ascii="Calibri" w:hAnsi="Calibri" w:cs="Calibri"/>
                <w:color w:val="000000"/>
              </w:rPr>
              <w:t>$497,077.92</w:t>
            </w:r>
          </w:p>
        </w:tc>
        <w:tc>
          <w:tcPr>
            <w:tcW w:w="2158" w:type="dxa"/>
            <w:shd w:val="clear" w:color="auto" w:fill="auto"/>
            <w:vAlign w:val="center"/>
          </w:tcPr>
          <w:p w14:paraId="5E73CD65" w14:textId="77777777" w:rsidR="002154AE" w:rsidRPr="00654689" w:rsidRDefault="002154AE" w:rsidP="00084A0B">
            <w:pPr>
              <w:jc w:val="center"/>
            </w:pPr>
            <w:r w:rsidRPr="00654689">
              <w:rPr>
                <w:rFonts w:ascii="Calibri" w:hAnsi="Calibri" w:cs="Calibri"/>
                <w:color w:val="000000"/>
              </w:rPr>
              <w:t>$625,557.58</w:t>
            </w:r>
          </w:p>
        </w:tc>
        <w:tc>
          <w:tcPr>
            <w:tcW w:w="2158" w:type="dxa"/>
            <w:shd w:val="clear" w:color="auto" w:fill="auto"/>
            <w:vAlign w:val="center"/>
          </w:tcPr>
          <w:p w14:paraId="1B9B77A2" w14:textId="77777777" w:rsidR="002154AE" w:rsidRDefault="002154AE" w:rsidP="00084A0B">
            <w:pPr>
              <w:jc w:val="center"/>
            </w:pPr>
            <w:r>
              <w:rPr>
                <w:rFonts w:ascii="Calibri" w:hAnsi="Calibri" w:cs="Calibri"/>
                <w:color w:val="000000"/>
              </w:rPr>
              <w:t>$265,355.22</w:t>
            </w:r>
          </w:p>
        </w:tc>
        <w:tc>
          <w:tcPr>
            <w:tcW w:w="2158" w:type="dxa"/>
            <w:shd w:val="clear" w:color="auto" w:fill="auto"/>
            <w:vAlign w:val="center"/>
          </w:tcPr>
          <w:p w14:paraId="36493075" w14:textId="4F2F98E1" w:rsidR="002154AE" w:rsidRPr="005513C9" w:rsidRDefault="00285BEA" w:rsidP="00084A0B">
            <w:pPr>
              <w:jc w:val="center"/>
            </w:pPr>
            <w:r>
              <w:t>-46.6</w:t>
            </w:r>
          </w:p>
        </w:tc>
      </w:tr>
      <w:tr w:rsidR="002154AE" w14:paraId="77BDA13C" w14:textId="77777777" w:rsidTr="00D27542">
        <w:trPr>
          <w:jc w:val="center"/>
        </w:trPr>
        <w:tc>
          <w:tcPr>
            <w:tcW w:w="2158" w:type="dxa"/>
            <w:shd w:val="clear" w:color="auto" w:fill="auto"/>
          </w:tcPr>
          <w:p w14:paraId="6F798CEE" w14:textId="15A614C2" w:rsidR="002154AE" w:rsidRDefault="002154AE" w:rsidP="00084A0B">
            <w:r w:rsidRPr="00710314">
              <w:t>Pre-Employment Transition Services</w:t>
            </w:r>
          </w:p>
        </w:tc>
        <w:tc>
          <w:tcPr>
            <w:tcW w:w="2158" w:type="dxa"/>
            <w:shd w:val="clear" w:color="auto" w:fill="auto"/>
            <w:vAlign w:val="center"/>
          </w:tcPr>
          <w:p w14:paraId="25208910" w14:textId="77777777" w:rsidR="002154AE" w:rsidRPr="002877F2" w:rsidRDefault="002154AE" w:rsidP="00084A0B">
            <w:pPr>
              <w:jc w:val="center"/>
            </w:pPr>
            <w:r w:rsidRPr="002877F2">
              <w:rPr>
                <w:rFonts w:ascii="Calibri" w:hAnsi="Calibri" w:cs="Calibri"/>
                <w:color w:val="000000"/>
              </w:rPr>
              <w:t>$641,811.66</w:t>
            </w:r>
          </w:p>
        </w:tc>
        <w:tc>
          <w:tcPr>
            <w:tcW w:w="2158" w:type="dxa"/>
            <w:shd w:val="clear" w:color="auto" w:fill="auto"/>
            <w:vAlign w:val="center"/>
          </w:tcPr>
          <w:p w14:paraId="6C36F55D" w14:textId="77777777" w:rsidR="002154AE" w:rsidRPr="00654689" w:rsidRDefault="002154AE" w:rsidP="00084A0B">
            <w:pPr>
              <w:jc w:val="center"/>
            </w:pPr>
            <w:r w:rsidRPr="00654689">
              <w:rPr>
                <w:rFonts w:ascii="Calibri" w:hAnsi="Calibri" w:cs="Calibri"/>
                <w:color w:val="000000"/>
              </w:rPr>
              <w:t>$8</w:t>
            </w:r>
            <w:r>
              <w:rPr>
                <w:rFonts w:ascii="Calibri" w:hAnsi="Calibri" w:cs="Calibri"/>
                <w:color w:val="000000"/>
              </w:rPr>
              <w:t>97,607.12</w:t>
            </w:r>
          </w:p>
        </w:tc>
        <w:tc>
          <w:tcPr>
            <w:tcW w:w="2158" w:type="dxa"/>
            <w:shd w:val="clear" w:color="auto" w:fill="auto"/>
            <w:vAlign w:val="center"/>
          </w:tcPr>
          <w:p w14:paraId="136FE6BA" w14:textId="77777777" w:rsidR="002154AE" w:rsidRDefault="002154AE" w:rsidP="00084A0B">
            <w:pPr>
              <w:jc w:val="center"/>
            </w:pPr>
            <w:r>
              <w:rPr>
                <w:rFonts w:ascii="Calibri" w:hAnsi="Calibri" w:cs="Calibri"/>
                <w:color w:val="000000"/>
              </w:rPr>
              <w:t>$1,261,393.12</w:t>
            </w:r>
          </w:p>
        </w:tc>
        <w:tc>
          <w:tcPr>
            <w:tcW w:w="2158" w:type="dxa"/>
            <w:shd w:val="clear" w:color="auto" w:fill="auto"/>
            <w:vAlign w:val="center"/>
          </w:tcPr>
          <w:p w14:paraId="46F31D73" w14:textId="050F0A65" w:rsidR="002154AE" w:rsidRPr="005513C9" w:rsidRDefault="00B057E4" w:rsidP="00084A0B">
            <w:pPr>
              <w:jc w:val="center"/>
            </w:pPr>
            <w:r>
              <w:t>96.5</w:t>
            </w:r>
          </w:p>
        </w:tc>
      </w:tr>
      <w:tr w:rsidR="002154AE" w14:paraId="18C5029A" w14:textId="77777777" w:rsidTr="00D27542">
        <w:trPr>
          <w:jc w:val="center"/>
        </w:trPr>
        <w:tc>
          <w:tcPr>
            <w:tcW w:w="2158" w:type="dxa"/>
            <w:shd w:val="clear" w:color="auto" w:fill="auto"/>
          </w:tcPr>
          <w:p w14:paraId="40DF808B" w14:textId="77777777" w:rsidR="002154AE" w:rsidRDefault="002154AE" w:rsidP="00084A0B">
            <w:r>
              <w:t>Occupational/Vocational &amp; Other Training</w:t>
            </w:r>
          </w:p>
        </w:tc>
        <w:tc>
          <w:tcPr>
            <w:tcW w:w="2158" w:type="dxa"/>
            <w:shd w:val="clear" w:color="auto" w:fill="auto"/>
            <w:vAlign w:val="center"/>
          </w:tcPr>
          <w:p w14:paraId="5953372D" w14:textId="77777777" w:rsidR="002154AE" w:rsidRDefault="002154AE" w:rsidP="00084A0B">
            <w:pPr>
              <w:jc w:val="center"/>
            </w:pPr>
            <w:r>
              <w:rPr>
                <w:rFonts w:ascii="Calibri" w:hAnsi="Calibri" w:cs="Calibri"/>
                <w:color w:val="000000"/>
              </w:rPr>
              <w:t>$309,576.61</w:t>
            </w:r>
          </w:p>
        </w:tc>
        <w:tc>
          <w:tcPr>
            <w:tcW w:w="2158" w:type="dxa"/>
            <w:shd w:val="clear" w:color="auto" w:fill="auto"/>
            <w:vAlign w:val="center"/>
          </w:tcPr>
          <w:p w14:paraId="68789BA7" w14:textId="77777777" w:rsidR="002154AE" w:rsidRDefault="002154AE" w:rsidP="00084A0B">
            <w:pPr>
              <w:jc w:val="center"/>
            </w:pPr>
            <w:r>
              <w:rPr>
                <w:rFonts w:ascii="Calibri" w:hAnsi="Calibri" w:cs="Calibri"/>
                <w:color w:val="000000"/>
              </w:rPr>
              <w:t>$229,390.31</w:t>
            </w:r>
          </w:p>
        </w:tc>
        <w:tc>
          <w:tcPr>
            <w:tcW w:w="2158" w:type="dxa"/>
            <w:shd w:val="clear" w:color="auto" w:fill="auto"/>
            <w:vAlign w:val="center"/>
          </w:tcPr>
          <w:p w14:paraId="75F83B7E" w14:textId="77777777" w:rsidR="002154AE" w:rsidRDefault="002154AE" w:rsidP="00084A0B">
            <w:pPr>
              <w:jc w:val="center"/>
            </w:pPr>
            <w:r>
              <w:rPr>
                <w:rFonts w:ascii="Calibri" w:hAnsi="Calibri" w:cs="Calibri"/>
                <w:color w:val="000000"/>
              </w:rPr>
              <w:t>$236,117.56</w:t>
            </w:r>
          </w:p>
        </w:tc>
        <w:tc>
          <w:tcPr>
            <w:tcW w:w="2158" w:type="dxa"/>
            <w:shd w:val="clear" w:color="auto" w:fill="auto"/>
            <w:vAlign w:val="center"/>
          </w:tcPr>
          <w:p w14:paraId="4F0F4B35" w14:textId="5E673311" w:rsidR="002154AE" w:rsidRPr="005513C9" w:rsidRDefault="00FE6A80" w:rsidP="00084A0B">
            <w:pPr>
              <w:jc w:val="center"/>
            </w:pPr>
            <w:r>
              <w:t>-23.7</w:t>
            </w:r>
          </w:p>
        </w:tc>
      </w:tr>
      <w:tr w:rsidR="002154AE" w14:paraId="79A17524" w14:textId="77777777" w:rsidTr="00D27542">
        <w:trPr>
          <w:jc w:val="center"/>
        </w:trPr>
        <w:tc>
          <w:tcPr>
            <w:tcW w:w="2158" w:type="dxa"/>
            <w:shd w:val="clear" w:color="auto" w:fill="auto"/>
          </w:tcPr>
          <w:p w14:paraId="59019952" w14:textId="77777777" w:rsidR="002154AE" w:rsidRDefault="002154AE" w:rsidP="00084A0B">
            <w:r>
              <w:t>Hearing Aid</w:t>
            </w:r>
          </w:p>
        </w:tc>
        <w:tc>
          <w:tcPr>
            <w:tcW w:w="2158" w:type="dxa"/>
            <w:shd w:val="clear" w:color="auto" w:fill="auto"/>
            <w:vAlign w:val="center"/>
          </w:tcPr>
          <w:p w14:paraId="2D63D4A7" w14:textId="77777777" w:rsidR="002154AE" w:rsidRDefault="002154AE" w:rsidP="00084A0B">
            <w:pPr>
              <w:jc w:val="center"/>
            </w:pPr>
            <w:r>
              <w:rPr>
                <w:rFonts w:ascii="Calibri" w:hAnsi="Calibri" w:cs="Calibri"/>
                <w:color w:val="000000"/>
              </w:rPr>
              <w:t>$365,428.79</w:t>
            </w:r>
          </w:p>
        </w:tc>
        <w:tc>
          <w:tcPr>
            <w:tcW w:w="2158" w:type="dxa"/>
            <w:shd w:val="clear" w:color="auto" w:fill="auto"/>
            <w:vAlign w:val="center"/>
          </w:tcPr>
          <w:p w14:paraId="69E1D9CA" w14:textId="77777777" w:rsidR="002154AE" w:rsidRDefault="002154AE" w:rsidP="00084A0B">
            <w:pPr>
              <w:jc w:val="center"/>
            </w:pPr>
            <w:r>
              <w:rPr>
                <w:rFonts w:ascii="Calibri" w:hAnsi="Calibri" w:cs="Calibri"/>
                <w:color w:val="000000"/>
              </w:rPr>
              <w:t>$299,394.57</w:t>
            </w:r>
          </w:p>
        </w:tc>
        <w:tc>
          <w:tcPr>
            <w:tcW w:w="2158" w:type="dxa"/>
            <w:shd w:val="clear" w:color="auto" w:fill="auto"/>
            <w:vAlign w:val="center"/>
          </w:tcPr>
          <w:p w14:paraId="186D1365" w14:textId="77777777" w:rsidR="002154AE" w:rsidRDefault="002154AE" w:rsidP="00084A0B">
            <w:pPr>
              <w:jc w:val="center"/>
            </w:pPr>
            <w:r>
              <w:rPr>
                <w:rFonts w:ascii="Calibri" w:hAnsi="Calibri" w:cs="Calibri"/>
                <w:color w:val="000000"/>
              </w:rPr>
              <w:t>$332,200.06</w:t>
            </w:r>
          </w:p>
        </w:tc>
        <w:tc>
          <w:tcPr>
            <w:tcW w:w="2158" w:type="dxa"/>
            <w:shd w:val="clear" w:color="auto" w:fill="auto"/>
            <w:vAlign w:val="center"/>
          </w:tcPr>
          <w:p w14:paraId="2B8DCA95" w14:textId="2FD7F848" w:rsidR="002154AE" w:rsidRPr="005513C9" w:rsidRDefault="0063469B" w:rsidP="00084A0B">
            <w:pPr>
              <w:jc w:val="center"/>
            </w:pPr>
            <w:r>
              <w:t>-9.1</w:t>
            </w:r>
          </w:p>
        </w:tc>
      </w:tr>
      <w:tr w:rsidR="002154AE" w14:paraId="1E66E02C" w14:textId="77777777" w:rsidTr="00D27542">
        <w:trPr>
          <w:jc w:val="center"/>
        </w:trPr>
        <w:tc>
          <w:tcPr>
            <w:tcW w:w="2158" w:type="dxa"/>
            <w:shd w:val="clear" w:color="auto" w:fill="auto"/>
          </w:tcPr>
          <w:p w14:paraId="4217DD10" w14:textId="77777777" w:rsidR="002154AE" w:rsidRDefault="002154AE" w:rsidP="00084A0B">
            <w:r>
              <w:t>Transportation</w:t>
            </w:r>
          </w:p>
        </w:tc>
        <w:tc>
          <w:tcPr>
            <w:tcW w:w="2158" w:type="dxa"/>
            <w:shd w:val="clear" w:color="auto" w:fill="auto"/>
            <w:vAlign w:val="center"/>
          </w:tcPr>
          <w:p w14:paraId="288899BD" w14:textId="77777777" w:rsidR="002154AE" w:rsidRDefault="002154AE" w:rsidP="00084A0B">
            <w:pPr>
              <w:jc w:val="center"/>
            </w:pPr>
            <w:r>
              <w:rPr>
                <w:rFonts w:ascii="Calibri" w:hAnsi="Calibri" w:cs="Calibri"/>
                <w:color w:val="000000"/>
              </w:rPr>
              <w:t>$99,307.36</w:t>
            </w:r>
          </w:p>
        </w:tc>
        <w:tc>
          <w:tcPr>
            <w:tcW w:w="2158" w:type="dxa"/>
            <w:shd w:val="clear" w:color="auto" w:fill="auto"/>
            <w:vAlign w:val="center"/>
          </w:tcPr>
          <w:p w14:paraId="1B7EA2DB" w14:textId="77777777" w:rsidR="002154AE" w:rsidRDefault="002154AE" w:rsidP="00084A0B">
            <w:pPr>
              <w:jc w:val="center"/>
            </w:pPr>
            <w:r>
              <w:rPr>
                <w:rFonts w:ascii="Calibri" w:hAnsi="Calibri" w:cs="Calibri"/>
                <w:color w:val="000000"/>
              </w:rPr>
              <w:t>$124,558.83</w:t>
            </w:r>
          </w:p>
        </w:tc>
        <w:tc>
          <w:tcPr>
            <w:tcW w:w="2158" w:type="dxa"/>
            <w:shd w:val="clear" w:color="auto" w:fill="auto"/>
            <w:vAlign w:val="center"/>
          </w:tcPr>
          <w:p w14:paraId="643A7210" w14:textId="77777777" w:rsidR="002154AE" w:rsidRDefault="002154AE" w:rsidP="00084A0B">
            <w:pPr>
              <w:jc w:val="center"/>
            </w:pPr>
            <w:r>
              <w:rPr>
                <w:rFonts w:ascii="Calibri" w:hAnsi="Calibri" w:cs="Calibri"/>
                <w:color w:val="000000"/>
              </w:rPr>
              <w:t>$150,311.91</w:t>
            </w:r>
          </w:p>
        </w:tc>
        <w:tc>
          <w:tcPr>
            <w:tcW w:w="2158" w:type="dxa"/>
            <w:shd w:val="clear" w:color="auto" w:fill="auto"/>
            <w:vAlign w:val="center"/>
          </w:tcPr>
          <w:p w14:paraId="3136CD18" w14:textId="780F87D6" w:rsidR="002154AE" w:rsidRPr="005513C9" w:rsidRDefault="00F51DB5" w:rsidP="00084A0B">
            <w:pPr>
              <w:jc w:val="center"/>
            </w:pPr>
            <w:r>
              <w:t>51.4</w:t>
            </w:r>
          </w:p>
        </w:tc>
      </w:tr>
      <w:tr w:rsidR="002154AE" w14:paraId="078971F1" w14:textId="77777777" w:rsidTr="00D27542">
        <w:trPr>
          <w:jc w:val="center"/>
        </w:trPr>
        <w:tc>
          <w:tcPr>
            <w:tcW w:w="2158" w:type="dxa"/>
            <w:shd w:val="clear" w:color="auto" w:fill="auto"/>
          </w:tcPr>
          <w:p w14:paraId="6BB2B247" w14:textId="77777777" w:rsidR="002154AE" w:rsidRDefault="002154AE" w:rsidP="00084A0B">
            <w:r>
              <w:t>Rehabilitation Technology</w:t>
            </w:r>
          </w:p>
        </w:tc>
        <w:tc>
          <w:tcPr>
            <w:tcW w:w="2158" w:type="dxa"/>
            <w:shd w:val="clear" w:color="auto" w:fill="auto"/>
            <w:vAlign w:val="center"/>
          </w:tcPr>
          <w:p w14:paraId="416E33C5" w14:textId="77777777" w:rsidR="002154AE" w:rsidRDefault="002154AE" w:rsidP="00084A0B">
            <w:pPr>
              <w:jc w:val="center"/>
            </w:pPr>
            <w:r>
              <w:rPr>
                <w:rFonts w:ascii="Calibri" w:hAnsi="Calibri" w:cs="Calibri"/>
                <w:color w:val="000000"/>
              </w:rPr>
              <w:t>$164,896.73</w:t>
            </w:r>
          </w:p>
        </w:tc>
        <w:tc>
          <w:tcPr>
            <w:tcW w:w="2158" w:type="dxa"/>
            <w:shd w:val="clear" w:color="auto" w:fill="auto"/>
            <w:vAlign w:val="center"/>
          </w:tcPr>
          <w:p w14:paraId="3BC4EEA6" w14:textId="77777777" w:rsidR="002154AE" w:rsidRDefault="002154AE" w:rsidP="00084A0B">
            <w:pPr>
              <w:jc w:val="center"/>
            </w:pPr>
            <w:r>
              <w:rPr>
                <w:rFonts w:ascii="Calibri" w:hAnsi="Calibri" w:cs="Calibri"/>
                <w:color w:val="000000"/>
              </w:rPr>
              <w:t>$129,395.38</w:t>
            </w:r>
          </w:p>
        </w:tc>
        <w:tc>
          <w:tcPr>
            <w:tcW w:w="2158" w:type="dxa"/>
            <w:shd w:val="clear" w:color="auto" w:fill="auto"/>
            <w:vAlign w:val="center"/>
          </w:tcPr>
          <w:p w14:paraId="0D04273B" w14:textId="77777777" w:rsidR="002154AE" w:rsidRDefault="002154AE" w:rsidP="00084A0B">
            <w:pPr>
              <w:jc w:val="center"/>
            </w:pPr>
            <w:r>
              <w:rPr>
                <w:rFonts w:ascii="Calibri" w:hAnsi="Calibri" w:cs="Calibri"/>
                <w:color w:val="000000"/>
              </w:rPr>
              <w:t>$106,227.18</w:t>
            </w:r>
          </w:p>
        </w:tc>
        <w:tc>
          <w:tcPr>
            <w:tcW w:w="2158" w:type="dxa"/>
            <w:shd w:val="clear" w:color="auto" w:fill="auto"/>
            <w:vAlign w:val="center"/>
          </w:tcPr>
          <w:p w14:paraId="7361BC80" w14:textId="4E42ABED" w:rsidR="002154AE" w:rsidRPr="005513C9" w:rsidRDefault="00E70419" w:rsidP="00084A0B">
            <w:pPr>
              <w:jc w:val="center"/>
            </w:pPr>
            <w:r>
              <w:t>-35.6</w:t>
            </w:r>
          </w:p>
        </w:tc>
      </w:tr>
      <w:tr w:rsidR="002154AE" w14:paraId="1BC6F791" w14:textId="77777777" w:rsidTr="00D27542">
        <w:trPr>
          <w:jc w:val="center"/>
        </w:trPr>
        <w:tc>
          <w:tcPr>
            <w:tcW w:w="2158" w:type="dxa"/>
            <w:shd w:val="clear" w:color="auto" w:fill="auto"/>
          </w:tcPr>
          <w:p w14:paraId="3EE4CC58" w14:textId="77777777" w:rsidR="002154AE" w:rsidRDefault="002154AE" w:rsidP="00084A0B">
            <w:r>
              <w:t>Maintenance</w:t>
            </w:r>
          </w:p>
        </w:tc>
        <w:tc>
          <w:tcPr>
            <w:tcW w:w="2158" w:type="dxa"/>
            <w:shd w:val="clear" w:color="auto" w:fill="auto"/>
            <w:vAlign w:val="center"/>
          </w:tcPr>
          <w:p w14:paraId="6A8022BC" w14:textId="77777777" w:rsidR="002154AE" w:rsidRDefault="002154AE" w:rsidP="00084A0B">
            <w:pPr>
              <w:jc w:val="center"/>
            </w:pPr>
            <w:r>
              <w:rPr>
                <w:rFonts w:ascii="Calibri" w:hAnsi="Calibri" w:cs="Calibri"/>
                <w:color w:val="000000"/>
              </w:rPr>
              <w:t>$62,358.72</w:t>
            </w:r>
          </w:p>
        </w:tc>
        <w:tc>
          <w:tcPr>
            <w:tcW w:w="2158" w:type="dxa"/>
            <w:shd w:val="clear" w:color="auto" w:fill="auto"/>
            <w:vAlign w:val="center"/>
          </w:tcPr>
          <w:p w14:paraId="50C16D2C" w14:textId="77777777" w:rsidR="002154AE" w:rsidRDefault="002154AE" w:rsidP="00084A0B">
            <w:pPr>
              <w:jc w:val="center"/>
            </w:pPr>
            <w:r>
              <w:rPr>
                <w:rFonts w:ascii="Calibri" w:hAnsi="Calibri" w:cs="Calibri"/>
                <w:color w:val="000000"/>
              </w:rPr>
              <w:t>$35,414.70</w:t>
            </w:r>
          </w:p>
        </w:tc>
        <w:tc>
          <w:tcPr>
            <w:tcW w:w="2158" w:type="dxa"/>
            <w:shd w:val="clear" w:color="auto" w:fill="auto"/>
            <w:vAlign w:val="center"/>
          </w:tcPr>
          <w:p w14:paraId="278619E3" w14:textId="77777777" w:rsidR="002154AE" w:rsidRDefault="002154AE" w:rsidP="00084A0B">
            <w:pPr>
              <w:jc w:val="center"/>
            </w:pPr>
            <w:r>
              <w:rPr>
                <w:rFonts w:ascii="Calibri" w:hAnsi="Calibri" w:cs="Calibri"/>
                <w:color w:val="000000"/>
              </w:rPr>
              <w:t>$52,356.23</w:t>
            </w:r>
          </w:p>
        </w:tc>
        <w:tc>
          <w:tcPr>
            <w:tcW w:w="2158" w:type="dxa"/>
            <w:shd w:val="clear" w:color="auto" w:fill="auto"/>
            <w:vAlign w:val="center"/>
          </w:tcPr>
          <w:p w14:paraId="5E9BD854" w14:textId="5BE27F9D" w:rsidR="002154AE" w:rsidRPr="005513C9" w:rsidRDefault="00A55ED8" w:rsidP="00084A0B">
            <w:pPr>
              <w:jc w:val="center"/>
            </w:pPr>
            <w:r>
              <w:t>-16.0</w:t>
            </w:r>
          </w:p>
        </w:tc>
      </w:tr>
      <w:tr w:rsidR="002154AE" w14:paraId="53C5087C" w14:textId="77777777" w:rsidTr="00D27542">
        <w:trPr>
          <w:jc w:val="center"/>
        </w:trPr>
        <w:tc>
          <w:tcPr>
            <w:tcW w:w="2158" w:type="dxa"/>
            <w:shd w:val="clear" w:color="auto" w:fill="auto"/>
          </w:tcPr>
          <w:p w14:paraId="3B14427A" w14:textId="77777777" w:rsidR="002154AE" w:rsidRDefault="002154AE" w:rsidP="00084A0B">
            <w:r>
              <w:t>Diagnosis &amp; Treatment</w:t>
            </w:r>
          </w:p>
        </w:tc>
        <w:tc>
          <w:tcPr>
            <w:tcW w:w="2158" w:type="dxa"/>
            <w:shd w:val="clear" w:color="auto" w:fill="auto"/>
            <w:vAlign w:val="center"/>
          </w:tcPr>
          <w:p w14:paraId="13472321" w14:textId="77777777" w:rsidR="002154AE" w:rsidRDefault="002154AE" w:rsidP="00084A0B">
            <w:pPr>
              <w:jc w:val="center"/>
            </w:pPr>
            <w:r>
              <w:rPr>
                <w:rFonts w:ascii="Calibri" w:hAnsi="Calibri" w:cs="Calibri"/>
                <w:color w:val="000000"/>
              </w:rPr>
              <w:t>$69,996.39</w:t>
            </w:r>
          </w:p>
        </w:tc>
        <w:tc>
          <w:tcPr>
            <w:tcW w:w="2158" w:type="dxa"/>
            <w:shd w:val="clear" w:color="auto" w:fill="auto"/>
            <w:vAlign w:val="center"/>
          </w:tcPr>
          <w:p w14:paraId="2B1B768A" w14:textId="77777777" w:rsidR="002154AE" w:rsidRDefault="002154AE" w:rsidP="00084A0B">
            <w:pPr>
              <w:jc w:val="center"/>
            </w:pPr>
            <w:r>
              <w:rPr>
                <w:rFonts w:ascii="Calibri" w:hAnsi="Calibri" w:cs="Calibri"/>
                <w:color w:val="000000"/>
              </w:rPr>
              <w:t>$78,895.99</w:t>
            </w:r>
          </w:p>
        </w:tc>
        <w:tc>
          <w:tcPr>
            <w:tcW w:w="2158" w:type="dxa"/>
            <w:shd w:val="clear" w:color="auto" w:fill="auto"/>
            <w:vAlign w:val="center"/>
          </w:tcPr>
          <w:p w14:paraId="579F65E5" w14:textId="77777777" w:rsidR="002154AE" w:rsidRDefault="002154AE" w:rsidP="00084A0B">
            <w:pPr>
              <w:jc w:val="center"/>
            </w:pPr>
            <w:r>
              <w:rPr>
                <w:rFonts w:ascii="Calibri" w:hAnsi="Calibri" w:cs="Calibri"/>
                <w:color w:val="000000"/>
              </w:rPr>
              <w:t>$60,122.96</w:t>
            </w:r>
          </w:p>
        </w:tc>
        <w:tc>
          <w:tcPr>
            <w:tcW w:w="2158" w:type="dxa"/>
            <w:shd w:val="clear" w:color="auto" w:fill="auto"/>
            <w:vAlign w:val="center"/>
          </w:tcPr>
          <w:p w14:paraId="1914F343" w14:textId="3B81AA74" w:rsidR="002154AE" w:rsidRPr="005513C9" w:rsidRDefault="006903DB" w:rsidP="00084A0B">
            <w:pPr>
              <w:jc w:val="center"/>
            </w:pPr>
            <w:r>
              <w:t>-14.1</w:t>
            </w:r>
          </w:p>
        </w:tc>
      </w:tr>
      <w:tr w:rsidR="002154AE" w14:paraId="0988183A" w14:textId="77777777" w:rsidTr="00D27542">
        <w:trPr>
          <w:jc w:val="center"/>
        </w:trPr>
        <w:tc>
          <w:tcPr>
            <w:tcW w:w="2158" w:type="dxa"/>
            <w:shd w:val="clear" w:color="auto" w:fill="auto"/>
          </w:tcPr>
          <w:p w14:paraId="48E37143" w14:textId="77777777" w:rsidR="002154AE" w:rsidRPr="00BC1999" w:rsidRDefault="002154AE" w:rsidP="00084A0B">
            <w:pPr>
              <w:rPr>
                <w:b/>
                <w:bCs/>
              </w:rPr>
            </w:pPr>
            <w:r>
              <w:rPr>
                <w:b/>
                <w:bCs/>
              </w:rPr>
              <w:t>Total</w:t>
            </w:r>
          </w:p>
        </w:tc>
        <w:tc>
          <w:tcPr>
            <w:tcW w:w="2158" w:type="dxa"/>
            <w:shd w:val="clear" w:color="auto" w:fill="auto"/>
            <w:vAlign w:val="center"/>
          </w:tcPr>
          <w:p w14:paraId="587CE69D" w14:textId="77777777" w:rsidR="002154AE" w:rsidRPr="002877F2" w:rsidRDefault="002154AE" w:rsidP="00084A0B">
            <w:pPr>
              <w:jc w:val="center"/>
              <w:rPr>
                <w:rFonts w:ascii="Calibri" w:hAnsi="Calibri" w:cs="Calibri"/>
                <w:b/>
                <w:bCs/>
                <w:color w:val="000000"/>
              </w:rPr>
            </w:pPr>
            <w:r w:rsidRPr="002877F2">
              <w:rPr>
                <w:rFonts w:ascii="Calibri" w:hAnsi="Calibri" w:cs="Calibri"/>
                <w:b/>
                <w:bCs/>
                <w:color w:val="000000"/>
              </w:rPr>
              <w:t xml:space="preserve">$5,464,705.28 </w:t>
            </w:r>
          </w:p>
        </w:tc>
        <w:tc>
          <w:tcPr>
            <w:tcW w:w="2158" w:type="dxa"/>
            <w:shd w:val="clear" w:color="auto" w:fill="auto"/>
            <w:vAlign w:val="center"/>
          </w:tcPr>
          <w:p w14:paraId="4AA7F59E" w14:textId="77777777" w:rsidR="002154AE" w:rsidRDefault="002154AE" w:rsidP="00084A0B">
            <w:pPr>
              <w:jc w:val="center"/>
            </w:pPr>
            <w:r w:rsidRPr="00654689">
              <w:rPr>
                <w:rFonts w:ascii="Calibri" w:hAnsi="Calibri" w:cs="Calibri"/>
                <w:b/>
                <w:bCs/>
                <w:color w:val="000000"/>
              </w:rPr>
              <w:t>$6,5</w:t>
            </w:r>
            <w:r>
              <w:rPr>
                <w:rFonts w:ascii="Calibri" w:hAnsi="Calibri" w:cs="Calibri"/>
                <w:b/>
                <w:bCs/>
                <w:color w:val="000000"/>
              </w:rPr>
              <w:t>30,195.96</w:t>
            </w:r>
            <w:r w:rsidRPr="00654689">
              <w:rPr>
                <w:rFonts w:ascii="Calibri" w:hAnsi="Calibri" w:cs="Calibri"/>
                <w:b/>
                <w:bCs/>
                <w:color w:val="000000"/>
              </w:rPr>
              <w:t xml:space="preserve"> </w:t>
            </w:r>
          </w:p>
        </w:tc>
        <w:tc>
          <w:tcPr>
            <w:tcW w:w="2158" w:type="dxa"/>
            <w:shd w:val="clear" w:color="auto" w:fill="auto"/>
            <w:vAlign w:val="center"/>
          </w:tcPr>
          <w:p w14:paraId="28868D69" w14:textId="77777777" w:rsidR="002154AE" w:rsidRPr="00D61A26" w:rsidRDefault="002154AE" w:rsidP="00084A0B">
            <w:pPr>
              <w:jc w:val="center"/>
              <w:rPr>
                <w:rFonts w:ascii="Calibri" w:hAnsi="Calibri" w:cs="Calibri"/>
                <w:b/>
                <w:bCs/>
                <w:color w:val="000000"/>
              </w:rPr>
            </w:pPr>
            <w:r w:rsidRPr="00D61A26">
              <w:rPr>
                <w:rFonts w:ascii="Calibri" w:hAnsi="Calibri" w:cs="Calibri"/>
                <w:b/>
                <w:bCs/>
                <w:color w:val="000000"/>
              </w:rPr>
              <w:t>$7,4</w:t>
            </w:r>
            <w:r>
              <w:rPr>
                <w:rFonts w:ascii="Calibri" w:hAnsi="Calibri" w:cs="Calibri"/>
                <w:b/>
                <w:bCs/>
                <w:color w:val="000000"/>
              </w:rPr>
              <w:t>47,640.67</w:t>
            </w:r>
          </w:p>
        </w:tc>
        <w:tc>
          <w:tcPr>
            <w:tcW w:w="2158" w:type="dxa"/>
            <w:shd w:val="clear" w:color="auto" w:fill="auto"/>
            <w:vAlign w:val="center"/>
          </w:tcPr>
          <w:p w14:paraId="4CEBB4E8" w14:textId="5C46EBDC" w:rsidR="002154AE" w:rsidRPr="005513C9" w:rsidRDefault="00F76E07" w:rsidP="00084A0B">
            <w:pPr>
              <w:jc w:val="center"/>
              <w:rPr>
                <w:b/>
                <w:bCs/>
              </w:rPr>
            </w:pPr>
            <w:r>
              <w:rPr>
                <w:b/>
                <w:bCs/>
              </w:rPr>
              <w:t>36.3</w:t>
            </w:r>
          </w:p>
        </w:tc>
      </w:tr>
    </w:tbl>
    <w:p w14:paraId="77ADEB63" w14:textId="77777777" w:rsidR="006A719B" w:rsidRDefault="006A719B" w:rsidP="006A719B">
      <w:pPr>
        <w:pStyle w:val="ListParagraph"/>
        <w:ind w:left="1440"/>
        <w:jc w:val="center"/>
        <w:rPr>
          <w:b/>
          <w:bCs/>
        </w:rPr>
      </w:pPr>
    </w:p>
    <w:p w14:paraId="2FAE1F77" w14:textId="77777777" w:rsidR="00D27542" w:rsidRDefault="00D27542" w:rsidP="00D27542">
      <w:pPr>
        <w:pStyle w:val="ListParagraph"/>
        <w:ind w:left="1440"/>
        <w:rPr>
          <w:b/>
          <w:bCs/>
        </w:rPr>
      </w:pPr>
    </w:p>
    <w:p w14:paraId="1D55F5EB" w14:textId="0E11D796" w:rsidR="00D27542" w:rsidRDefault="00563288" w:rsidP="00D27542">
      <w:pPr>
        <w:pStyle w:val="ListParagraph"/>
        <w:ind w:left="1440"/>
        <w:rPr>
          <w:b/>
          <w:bCs/>
        </w:rPr>
      </w:pPr>
      <w:r>
        <w:rPr>
          <w:b/>
          <w:bCs/>
        </w:rPr>
        <w:t>Findings:</w:t>
      </w:r>
    </w:p>
    <w:p w14:paraId="521ECFD9" w14:textId="77777777" w:rsidR="00563288" w:rsidRDefault="00563288" w:rsidP="00D27542">
      <w:pPr>
        <w:pStyle w:val="ListParagraph"/>
        <w:ind w:left="1440"/>
        <w:rPr>
          <w:b/>
          <w:bCs/>
        </w:rPr>
      </w:pPr>
    </w:p>
    <w:p w14:paraId="6328A7AB" w14:textId="06EFB921" w:rsidR="00563288" w:rsidRDefault="00320640" w:rsidP="007537CB">
      <w:pPr>
        <w:pStyle w:val="ListParagraph"/>
        <w:numPr>
          <w:ilvl w:val="0"/>
          <w:numId w:val="12"/>
        </w:numPr>
        <w:rPr>
          <w:b/>
          <w:bCs/>
        </w:rPr>
      </w:pPr>
      <w:r>
        <w:rPr>
          <w:b/>
          <w:bCs/>
        </w:rPr>
        <w:t>As expected, p</w:t>
      </w:r>
      <w:r w:rsidR="007537CB">
        <w:rPr>
          <w:b/>
          <w:bCs/>
        </w:rPr>
        <w:t xml:space="preserve">ost-COVID 19 reengagement has increased expenditures </w:t>
      </w:r>
      <w:r>
        <w:rPr>
          <w:b/>
          <w:bCs/>
        </w:rPr>
        <w:t>across many service categories over the last three years. This is particularly notable for Pre-Employment Transition Services. With schools back in session and students able to once again be safely engaged in community and</w:t>
      </w:r>
      <w:r w:rsidR="000A77B0">
        <w:rPr>
          <w:b/>
          <w:bCs/>
        </w:rPr>
        <w:t xml:space="preserve"> work activities, spending on those services has rebounded.</w:t>
      </w:r>
    </w:p>
    <w:p w14:paraId="2DB5984E" w14:textId="306FABB6" w:rsidR="00320640" w:rsidRDefault="000A77B0" w:rsidP="007537CB">
      <w:pPr>
        <w:pStyle w:val="ListParagraph"/>
        <w:numPr>
          <w:ilvl w:val="0"/>
          <w:numId w:val="12"/>
        </w:numPr>
        <w:rPr>
          <w:b/>
          <w:bCs/>
        </w:rPr>
      </w:pPr>
      <w:r>
        <w:rPr>
          <w:b/>
          <w:bCs/>
        </w:rPr>
        <w:t>Costs for services and goods - and salaries for employment support staffing -  have all signific</w:t>
      </w:r>
      <w:r w:rsidR="00B01960">
        <w:rPr>
          <w:b/>
          <w:bCs/>
        </w:rPr>
        <w:t>antly increased post-pandemic. While</w:t>
      </w:r>
      <w:r w:rsidR="0071044B">
        <w:rPr>
          <w:b/>
          <w:bCs/>
        </w:rPr>
        <w:t xml:space="preserve"> the numbers of clients participating</w:t>
      </w:r>
      <w:r w:rsidR="00B01960">
        <w:rPr>
          <w:b/>
          <w:bCs/>
        </w:rPr>
        <w:t xml:space="preserve"> in services has increased so too has the cost of those services. </w:t>
      </w:r>
    </w:p>
    <w:p w14:paraId="751502E0" w14:textId="6F5B5B8A" w:rsidR="00B01960" w:rsidRDefault="0039629E" w:rsidP="007537CB">
      <w:pPr>
        <w:pStyle w:val="ListParagraph"/>
        <w:numPr>
          <w:ilvl w:val="0"/>
          <w:numId w:val="12"/>
        </w:numPr>
        <w:rPr>
          <w:b/>
          <w:bCs/>
        </w:rPr>
      </w:pPr>
      <w:r>
        <w:rPr>
          <w:b/>
          <w:bCs/>
        </w:rPr>
        <w:t>Occupationa</w:t>
      </w:r>
      <w:r w:rsidR="00632256">
        <w:rPr>
          <w:b/>
          <w:bCs/>
        </w:rPr>
        <w:t>l</w:t>
      </w:r>
      <w:r>
        <w:rPr>
          <w:b/>
          <w:bCs/>
        </w:rPr>
        <w:t xml:space="preserve">/vocational </w:t>
      </w:r>
      <w:r w:rsidR="00632256">
        <w:rPr>
          <w:b/>
          <w:bCs/>
        </w:rPr>
        <w:t xml:space="preserve">training is one area where costs have not increased. This may be in large part due to free or low-cost training that was made available across the state thanks to American </w:t>
      </w:r>
      <w:r w:rsidR="00EE658B">
        <w:rPr>
          <w:b/>
          <w:bCs/>
        </w:rPr>
        <w:t xml:space="preserve">Rescue Plan Act of 2021 funds that flowed to Maine. </w:t>
      </w:r>
    </w:p>
    <w:p w14:paraId="567FF261" w14:textId="414F24C6" w:rsidR="00146CB0" w:rsidRDefault="00146CB0" w:rsidP="007537CB">
      <w:pPr>
        <w:pStyle w:val="ListParagraph"/>
        <w:numPr>
          <w:ilvl w:val="0"/>
          <w:numId w:val="12"/>
        </w:numPr>
        <w:rPr>
          <w:b/>
          <w:bCs/>
        </w:rPr>
      </w:pPr>
      <w:r>
        <w:rPr>
          <w:b/>
          <w:bCs/>
        </w:rPr>
        <w:t xml:space="preserve">Spending on Rehabilitation Technology </w:t>
      </w:r>
      <w:r w:rsidR="00382AEF">
        <w:rPr>
          <w:b/>
          <w:bCs/>
        </w:rPr>
        <w:t xml:space="preserve">decreased in 2023. While some of that decrease may be due to </w:t>
      </w:r>
      <w:r w:rsidR="00B4479E">
        <w:rPr>
          <w:b/>
          <w:bCs/>
        </w:rPr>
        <w:t xml:space="preserve">increased universal design and accessibility </w:t>
      </w:r>
      <w:r w:rsidR="0014708A">
        <w:rPr>
          <w:b/>
          <w:bCs/>
        </w:rPr>
        <w:t xml:space="preserve">in services and goods, Maine DVR will add a strategy to </w:t>
      </w:r>
      <w:r w:rsidR="00877CD5">
        <w:rPr>
          <w:b/>
          <w:bCs/>
        </w:rPr>
        <w:t xml:space="preserve">ensure that all VR counselors are aware of and promoting the use of best practices in rehabilitation technology. </w:t>
      </w:r>
    </w:p>
    <w:p w14:paraId="617ED7B3" w14:textId="77777777" w:rsidR="00D27542" w:rsidRDefault="00D27542" w:rsidP="00D27542">
      <w:pPr>
        <w:pStyle w:val="ListParagraph"/>
        <w:ind w:left="1440"/>
        <w:rPr>
          <w:b/>
          <w:bCs/>
        </w:rPr>
      </w:pPr>
    </w:p>
    <w:p w14:paraId="7B200B63" w14:textId="77777777" w:rsidR="00D27542" w:rsidRDefault="00D27542" w:rsidP="00D27542">
      <w:pPr>
        <w:pStyle w:val="ListParagraph"/>
        <w:ind w:left="1440"/>
        <w:rPr>
          <w:b/>
          <w:bCs/>
        </w:rPr>
      </w:pPr>
    </w:p>
    <w:p w14:paraId="205837A4" w14:textId="77777777" w:rsidR="00D27542" w:rsidRDefault="00D27542" w:rsidP="00D27542">
      <w:pPr>
        <w:pStyle w:val="ListParagraph"/>
        <w:ind w:left="1440"/>
        <w:rPr>
          <w:b/>
          <w:bCs/>
        </w:rPr>
      </w:pPr>
    </w:p>
    <w:p w14:paraId="1320D54C" w14:textId="77777777" w:rsidR="00D27542" w:rsidRDefault="00D27542" w:rsidP="00D27542">
      <w:pPr>
        <w:pStyle w:val="ListParagraph"/>
        <w:ind w:left="1440"/>
        <w:rPr>
          <w:b/>
          <w:bCs/>
        </w:rPr>
      </w:pPr>
    </w:p>
    <w:p w14:paraId="36845029" w14:textId="77777777" w:rsidR="00D27542" w:rsidRDefault="00D27542" w:rsidP="00D27542">
      <w:pPr>
        <w:pStyle w:val="ListParagraph"/>
        <w:ind w:left="1440"/>
        <w:rPr>
          <w:b/>
          <w:bCs/>
        </w:rPr>
      </w:pPr>
    </w:p>
    <w:p w14:paraId="0AAC9045" w14:textId="1DDB009E" w:rsidR="00D27542" w:rsidRDefault="00D27542" w:rsidP="00D27542">
      <w:pPr>
        <w:pStyle w:val="ListParagraph"/>
        <w:ind w:left="1440"/>
        <w:rPr>
          <w:b/>
          <w:bCs/>
        </w:rPr>
      </w:pPr>
    </w:p>
    <w:p w14:paraId="47460ABD" w14:textId="75B372EE" w:rsidR="000952A6" w:rsidRDefault="00394DDB" w:rsidP="000952A6">
      <w:pPr>
        <w:jc w:val="center"/>
        <w:rPr>
          <w:b/>
          <w:bCs/>
        </w:rPr>
      </w:pPr>
      <w:r>
        <w:rPr>
          <w:b/>
          <w:bCs/>
        </w:rPr>
        <w:t>C</w:t>
      </w:r>
      <w:r w:rsidR="000952A6">
        <w:rPr>
          <w:b/>
          <w:bCs/>
        </w:rPr>
        <w:t xml:space="preserve">hart </w:t>
      </w:r>
      <w:r w:rsidR="00724270">
        <w:rPr>
          <w:b/>
          <w:bCs/>
        </w:rPr>
        <w:t>9</w:t>
      </w:r>
    </w:p>
    <w:p w14:paraId="6676EC52" w14:textId="37B3CF97" w:rsidR="000952A6" w:rsidRDefault="000952A6" w:rsidP="000952A6">
      <w:pPr>
        <w:jc w:val="center"/>
        <w:rPr>
          <w:b/>
          <w:bCs/>
        </w:rPr>
      </w:pPr>
      <w:r>
        <w:rPr>
          <w:b/>
          <w:bCs/>
        </w:rPr>
        <w:t>Case Costs by Service Group in Federal Fiscal Year 2023</w:t>
      </w:r>
    </w:p>
    <w:p w14:paraId="28C5703A" w14:textId="396F179E" w:rsidR="000952A6" w:rsidRDefault="000952A6" w:rsidP="000952A6">
      <w:pPr>
        <w:jc w:val="center"/>
        <w:rPr>
          <w:b/>
          <w:bCs/>
        </w:rPr>
      </w:pPr>
      <w:r>
        <w:rPr>
          <w:b/>
          <w:bCs/>
          <w:noProof/>
        </w:rPr>
        <w:lastRenderedPageBreak/>
        <w:drawing>
          <wp:inline distT="0" distB="0" distL="0" distR="0" wp14:anchorId="75E9EB3A" wp14:editId="35010794">
            <wp:extent cx="6858000" cy="4858907"/>
            <wp:effectExtent l="0" t="0" r="0" b="1841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995F277" w14:textId="6D321B75" w:rsidR="000952A6" w:rsidRDefault="000952A6" w:rsidP="000952A6">
      <w:pPr>
        <w:rPr>
          <w:b/>
          <w:bCs/>
        </w:rPr>
      </w:pPr>
      <w:r>
        <w:rPr>
          <w:b/>
          <w:bCs/>
        </w:rPr>
        <w:tab/>
      </w:r>
      <w:r>
        <w:rPr>
          <w:b/>
          <w:bCs/>
        </w:rPr>
        <w:tab/>
      </w:r>
    </w:p>
    <w:p w14:paraId="282ED28D" w14:textId="77777777" w:rsidR="00394DDB" w:rsidRDefault="00394DDB" w:rsidP="00394DDB">
      <w:pPr>
        <w:pStyle w:val="ListParagraph"/>
        <w:ind w:left="1440"/>
        <w:rPr>
          <w:b/>
          <w:bCs/>
        </w:rPr>
      </w:pPr>
      <w:r>
        <w:rPr>
          <w:b/>
          <w:bCs/>
        </w:rPr>
        <w:t>Findings:</w:t>
      </w:r>
    </w:p>
    <w:p w14:paraId="2031018E" w14:textId="77777777" w:rsidR="009C71A6" w:rsidRDefault="009C71A6" w:rsidP="00394DDB">
      <w:pPr>
        <w:pStyle w:val="ListParagraph"/>
        <w:ind w:left="1440"/>
        <w:rPr>
          <w:b/>
          <w:bCs/>
        </w:rPr>
      </w:pPr>
    </w:p>
    <w:p w14:paraId="3738F475" w14:textId="3F5D12DE" w:rsidR="009C71A6" w:rsidRDefault="009C71A6" w:rsidP="009C71A6">
      <w:pPr>
        <w:pStyle w:val="ListParagraph"/>
        <w:numPr>
          <w:ilvl w:val="0"/>
          <w:numId w:val="13"/>
        </w:numPr>
        <w:rPr>
          <w:b/>
          <w:bCs/>
        </w:rPr>
      </w:pPr>
      <w:r>
        <w:rPr>
          <w:b/>
          <w:bCs/>
        </w:rPr>
        <w:t>Job Development and Placement represent over half of all case service expenditures</w:t>
      </w:r>
      <w:r w:rsidR="004F5D07">
        <w:rPr>
          <w:b/>
          <w:bCs/>
        </w:rPr>
        <w:t xml:space="preserve">. </w:t>
      </w:r>
    </w:p>
    <w:p w14:paraId="2B5C3AAD" w14:textId="4475CD3D" w:rsidR="009C71A6" w:rsidRDefault="009C71A6" w:rsidP="009C71A6">
      <w:pPr>
        <w:pStyle w:val="ListParagraph"/>
        <w:numPr>
          <w:ilvl w:val="0"/>
          <w:numId w:val="13"/>
        </w:numPr>
        <w:rPr>
          <w:b/>
          <w:bCs/>
        </w:rPr>
      </w:pPr>
      <w:r>
        <w:rPr>
          <w:b/>
          <w:bCs/>
        </w:rPr>
        <w:t xml:space="preserve">College/University Training spending is impacted by implementation of free community college tuition for recent high school graduates. </w:t>
      </w:r>
    </w:p>
    <w:p w14:paraId="62B19FDE" w14:textId="3F190D38" w:rsidR="009C71A6" w:rsidRDefault="009C71A6" w:rsidP="009C71A6">
      <w:pPr>
        <w:pStyle w:val="ListParagraph"/>
        <w:numPr>
          <w:ilvl w:val="0"/>
          <w:numId w:val="13"/>
        </w:numPr>
        <w:rPr>
          <w:b/>
          <w:bCs/>
        </w:rPr>
      </w:pPr>
      <w:r>
        <w:rPr>
          <w:b/>
          <w:bCs/>
        </w:rPr>
        <w:t xml:space="preserve">VR counselors are trained to use as much existing information as possible to determine eligibility for services. This limits unnecessary spending on assessment for eligibility determination – and also </w:t>
      </w:r>
      <w:r w:rsidR="004F5D07">
        <w:rPr>
          <w:b/>
          <w:bCs/>
        </w:rPr>
        <w:t>promotes rapid engagement</w:t>
      </w:r>
    </w:p>
    <w:p w14:paraId="422EDE00" w14:textId="77777777" w:rsidR="009C71A6" w:rsidRDefault="009C71A6" w:rsidP="00394DDB">
      <w:pPr>
        <w:pStyle w:val="ListParagraph"/>
        <w:ind w:left="1440"/>
        <w:rPr>
          <w:b/>
          <w:bCs/>
        </w:rPr>
      </w:pPr>
    </w:p>
    <w:p w14:paraId="07BAC40F" w14:textId="77777777" w:rsidR="009C71A6" w:rsidRDefault="009C71A6" w:rsidP="00394DDB">
      <w:pPr>
        <w:pStyle w:val="ListParagraph"/>
        <w:ind w:left="1440"/>
        <w:rPr>
          <w:b/>
          <w:bCs/>
        </w:rPr>
      </w:pPr>
    </w:p>
    <w:p w14:paraId="033292FB" w14:textId="77777777" w:rsidR="00394DDB" w:rsidRDefault="00394DDB" w:rsidP="00394DDB">
      <w:pPr>
        <w:pStyle w:val="ListParagraph"/>
        <w:ind w:left="1440"/>
        <w:rPr>
          <w:b/>
          <w:bCs/>
        </w:rPr>
      </w:pPr>
    </w:p>
    <w:p w14:paraId="3D163CB0" w14:textId="77777777" w:rsidR="00394DDB" w:rsidRDefault="00394DDB" w:rsidP="00394DDB">
      <w:pPr>
        <w:pStyle w:val="ListParagraph"/>
        <w:ind w:left="1440"/>
        <w:rPr>
          <w:b/>
          <w:bCs/>
        </w:rPr>
      </w:pPr>
    </w:p>
    <w:p w14:paraId="5820C144" w14:textId="77777777" w:rsidR="000952A6" w:rsidRDefault="000952A6" w:rsidP="000952A6">
      <w:pPr>
        <w:rPr>
          <w:b/>
          <w:bCs/>
        </w:rPr>
      </w:pPr>
    </w:p>
    <w:p w14:paraId="3D2DF14C" w14:textId="77777777" w:rsidR="000952A6" w:rsidRDefault="000952A6" w:rsidP="000952A6">
      <w:pPr>
        <w:rPr>
          <w:b/>
          <w:bCs/>
        </w:rPr>
      </w:pPr>
    </w:p>
    <w:p w14:paraId="4F8928FB" w14:textId="77777777" w:rsidR="000952A6" w:rsidRDefault="000952A6" w:rsidP="000952A6">
      <w:pPr>
        <w:rPr>
          <w:b/>
          <w:bCs/>
        </w:rPr>
      </w:pPr>
    </w:p>
    <w:p w14:paraId="5F1C6FC9" w14:textId="77777777" w:rsidR="000952A6" w:rsidRDefault="000952A6" w:rsidP="000952A6">
      <w:pPr>
        <w:rPr>
          <w:b/>
          <w:bCs/>
        </w:rPr>
      </w:pPr>
    </w:p>
    <w:p w14:paraId="4059244B" w14:textId="5B38BBDA" w:rsidR="000952A6" w:rsidRDefault="000952A6" w:rsidP="000952A6">
      <w:pPr>
        <w:rPr>
          <w:b/>
          <w:bCs/>
        </w:rPr>
      </w:pPr>
      <w:r>
        <w:rPr>
          <w:b/>
          <w:bCs/>
        </w:rPr>
        <w:tab/>
      </w:r>
      <w:r>
        <w:rPr>
          <w:b/>
          <w:bCs/>
        </w:rPr>
        <w:tab/>
      </w:r>
    </w:p>
    <w:p w14:paraId="2BCD6411" w14:textId="5AA3C708" w:rsidR="000952A6" w:rsidRDefault="000952A6" w:rsidP="000952A6">
      <w:pPr>
        <w:jc w:val="center"/>
        <w:rPr>
          <w:b/>
          <w:bCs/>
        </w:rPr>
      </w:pPr>
      <w:r>
        <w:rPr>
          <w:b/>
          <w:bCs/>
        </w:rPr>
        <w:lastRenderedPageBreak/>
        <w:t>Chart 1</w:t>
      </w:r>
      <w:r w:rsidR="00E60190">
        <w:rPr>
          <w:b/>
          <w:bCs/>
        </w:rPr>
        <w:t>0</w:t>
      </w:r>
    </w:p>
    <w:p w14:paraId="5D97AFC9" w14:textId="72BB9E97" w:rsidR="000952A6" w:rsidRDefault="000952A6" w:rsidP="000952A6">
      <w:pPr>
        <w:jc w:val="center"/>
        <w:rPr>
          <w:b/>
          <w:bCs/>
        </w:rPr>
      </w:pPr>
      <w:r>
        <w:rPr>
          <w:b/>
          <w:bCs/>
        </w:rPr>
        <w:t>Top 6 Service Groups by Federal Fiscal Year</w:t>
      </w:r>
    </w:p>
    <w:p w14:paraId="3755303E" w14:textId="09F1717D" w:rsidR="000952A6" w:rsidRDefault="0094554C" w:rsidP="000952A6">
      <w:pPr>
        <w:jc w:val="center"/>
        <w:rPr>
          <w:b/>
          <w:bCs/>
        </w:rPr>
      </w:pPr>
      <w:r>
        <w:rPr>
          <w:noProof/>
        </w:rPr>
        <w:drawing>
          <wp:inline distT="0" distB="0" distL="0" distR="0" wp14:anchorId="0E9B6CAE" wp14:editId="09BE1CE8">
            <wp:extent cx="6858000" cy="3526178"/>
            <wp:effectExtent l="0" t="0" r="0" b="1714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B753917" w14:textId="77777777" w:rsidR="0094554C" w:rsidRDefault="0094554C" w:rsidP="0094554C">
      <w:pPr>
        <w:rPr>
          <w:b/>
          <w:bCs/>
        </w:rPr>
      </w:pPr>
    </w:p>
    <w:p w14:paraId="395DE1D0" w14:textId="6B9FC0D1" w:rsidR="004F5D07" w:rsidRDefault="004F5D07" w:rsidP="004F5D07">
      <w:pPr>
        <w:ind w:firstLine="720"/>
        <w:rPr>
          <w:b/>
          <w:bCs/>
        </w:rPr>
      </w:pPr>
      <w:r>
        <w:rPr>
          <w:b/>
          <w:bCs/>
        </w:rPr>
        <w:t>Findings:</w:t>
      </w:r>
    </w:p>
    <w:p w14:paraId="3D94042F" w14:textId="74A5F54F" w:rsidR="004F5D07" w:rsidRDefault="004F5D07" w:rsidP="00093DB6">
      <w:pPr>
        <w:pStyle w:val="ListParagraph"/>
        <w:numPr>
          <w:ilvl w:val="0"/>
          <w:numId w:val="14"/>
        </w:numPr>
        <w:rPr>
          <w:b/>
          <w:bCs/>
        </w:rPr>
      </w:pPr>
      <w:r w:rsidRPr="004F5D07">
        <w:rPr>
          <w:b/>
          <w:bCs/>
        </w:rPr>
        <w:t xml:space="preserve">Hearing aid expenditures remain flat over time. DVR anticipated a decrease in demand for hearing aids due to a requirement that Maine insurers cover some hearing aid costs – but that has not materialized. </w:t>
      </w:r>
    </w:p>
    <w:p w14:paraId="2DCEF368" w14:textId="77777777" w:rsidR="004F5D07" w:rsidRPr="004F5D07" w:rsidRDefault="004F5D07" w:rsidP="004F5D07">
      <w:pPr>
        <w:pStyle w:val="ListParagraph"/>
        <w:ind w:left="1440"/>
        <w:rPr>
          <w:b/>
          <w:bCs/>
        </w:rPr>
      </w:pPr>
    </w:p>
    <w:p w14:paraId="250D1C88" w14:textId="0A9D3332" w:rsidR="0094554C" w:rsidRDefault="0094554C" w:rsidP="0094554C">
      <w:pPr>
        <w:rPr>
          <w:b/>
          <w:bCs/>
        </w:rPr>
      </w:pPr>
      <w:r>
        <w:rPr>
          <w:b/>
          <w:bCs/>
        </w:rPr>
        <w:tab/>
      </w:r>
      <w:r>
        <w:rPr>
          <w:b/>
          <w:bCs/>
        </w:rPr>
        <w:tab/>
      </w:r>
    </w:p>
    <w:p w14:paraId="634263D1" w14:textId="77777777" w:rsidR="0094554C" w:rsidRDefault="0094554C" w:rsidP="0094554C">
      <w:pPr>
        <w:rPr>
          <w:b/>
          <w:bCs/>
        </w:rPr>
      </w:pPr>
    </w:p>
    <w:p w14:paraId="5BE4DBCD" w14:textId="77777777" w:rsidR="0094554C" w:rsidRDefault="0094554C" w:rsidP="0094554C">
      <w:pPr>
        <w:rPr>
          <w:b/>
          <w:bCs/>
        </w:rPr>
      </w:pPr>
    </w:p>
    <w:p w14:paraId="7251133C" w14:textId="77777777" w:rsidR="0094554C" w:rsidRDefault="0094554C" w:rsidP="0094554C">
      <w:pPr>
        <w:rPr>
          <w:b/>
          <w:bCs/>
        </w:rPr>
      </w:pPr>
    </w:p>
    <w:p w14:paraId="7AEF3679" w14:textId="77777777" w:rsidR="0094554C" w:rsidRDefault="0094554C" w:rsidP="0094554C">
      <w:pPr>
        <w:rPr>
          <w:b/>
          <w:bCs/>
        </w:rPr>
      </w:pPr>
    </w:p>
    <w:p w14:paraId="7FE9CD88" w14:textId="77777777" w:rsidR="0094554C" w:rsidRDefault="0094554C" w:rsidP="0094554C">
      <w:pPr>
        <w:rPr>
          <w:b/>
          <w:bCs/>
        </w:rPr>
      </w:pPr>
    </w:p>
    <w:p w14:paraId="670016BA" w14:textId="77777777" w:rsidR="0094554C" w:rsidRDefault="0094554C" w:rsidP="0094554C">
      <w:pPr>
        <w:rPr>
          <w:b/>
          <w:bCs/>
        </w:rPr>
      </w:pPr>
    </w:p>
    <w:p w14:paraId="608A07D6" w14:textId="77777777" w:rsidR="0094554C" w:rsidRDefault="0094554C" w:rsidP="0094554C">
      <w:pPr>
        <w:rPr>
          <w:b/>
          <w:bCs/>
        </w:rPr>
      </w:pPr>
    </w:p>
    <w:p w14:paraId="154DBC5C" w14:textId="77777777" w:rsidR="0094554C" w:rsidRDefault="0094554C" w:rsidP="0094554C">
      <w:pPr>
        <w:rPr>
          <w:b/>
          <w:bCs/>
        </w:rPr>
      </w:pPr>
    </w:p>
    <w:p w14:paraId="4555825B" w14:textId="77777777" w:rsidR="0094554C" w:rsidRDefault="0094554C" w:rsidP="0094554C">
      <w:pPr>
        <w:rPr>
          <w:b/>
          <w:bCs/>
        </w:rPr>
      </w:pPr>
    </w:p>
    <w:p w14:paraId="42C275C3" w14:textId="54FB274B" w:rsidR="0094554C" w:rsidRDefault="0094554C" w:rsidP="0094554C">
      <w:pPr>
        <w:rPr>
          <w:b/>
          <w:bCs/>
        </w:rPr>
      </w:pPr>
      <w:r>
        <w:rPr>
          <w:b/>
          <w:bCs/>
        </w:rPr>
        <w:tab/>
      </w:r>
    </w:p>
    <w:p w14:paraId="14783933" w14:textId="14360906" w:rsidR="0094554C" w:rsidRDefault="0094554C" w:rsidP="0094554C">
      <w:pPr>
        <w:jc w:val="center"/>
        <w:rPr>
          <w:b/>
          <w:bCs/>
        </w:rPr>
      </w:pPr>
      <w:r w:rsidRPr="004F5D07">
        <w:rPr>
          <w:b/>
          <w:bCs/>
        </w:rPr>
        <w:t>Chart 1</w:t>
      </w:r>
      <w:r w:rsidR="00E60190" w:rsidRPr="004F5D07">
        <w:rPr>
          <w:b/>
          <w:bCs/>
        </w:rPr>
        <w:t>1</w:t>
      </w:r>
    </w:p>
    <w:p w14:paraId="05247CD0" w14:textId="77777777" w:rsidR="006D6F17" w:rsidRDefault="0094554C" w:rsidP="0094554C">
      <w:pPr>
        <w:jc w:val="center"/>
        <w:rPr>
          <w:b/>
          <w:bCs/>
        </w:rPr>
      </w:pPr>
      <w:r>
        <w:rPr>
          <w:b/>
          <w:bCs/>
        </w:rPr>
        <w:lastRenderedPageBreak/>
        <w:t>Average Cost per Closure between Federal Fiscal Year 2021 and 2023</w:t>
      </w:r>
      <w:r w:rsidR="00776620">
        <w:rPr>
          <w:b/>
          <w:bCs/>
        </w:rPr>
        <w:t xml:space="preserve"> </w:t>
      </w:r>
    </w:p>
    <w:p w14:paraId="34C6B7C1" w14:textId="3178DF8A" w:rsidR="0094554C" w:rsidRPr="00DC1E15" w:rsidRDefault="00776620" w:rsidP="0094554C">
      <w:pPr>
        <w:jc w:val="center"/>
      </w:pPr>
      <w:r w:rsidRPr="00DC1E15">
        <w:t>(Including P</w:t>
      </w:r>
      <w:r w:rsidR="006D6F17" w:rsidRPr="00DC1E15">
        <w:t>otentially Eligible Students with a Disability</w:t>
      </w:r>
      <w:r w:rsidRPr="00DC1E15">
        <w:t>)</w:t>
      </w:r>
    </w:p>
    <w:p w14:paraId="444252D4" w14:textId="3F706615" w:rsidR="00776620" w:rsidRDefault="00776620" w:rsidP="005429F5">
      <w:pPr>
        <w:jc w:val="center"/>
        <w:rPr>
          <w:b/>
          <w:bCs/>
        </w:rPr>
      </w:pPr>
      <w:r w:rsidRPr="00D17DA9">
        <w:rPr>
          <w:b/>
          <w:noProof/>
        </w:rPr>
        <w:drawing>
          <wp:inline distT="0" distB="0" distL="0" distR="0" wp14:anchorId="56091004" wp14:editId="097E60CC">
            <wp:extent cx="5753100" cy="32004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622CB34" w14:textId="77777777" w:rsidR="00DC1E15" w:rsidRDefault="00776620" w:rsidP="0094554C">
      <w:pPr>
        <w:jc w:val="center"/>
        <w:rPr>
          <w:b/>
          <w:bCs/>
        </w:rPr>
      </w:pPr>
      <w:r>
        <w:rPr>
          <w:b/>
          <w:bCs/>
        </w:rPr>
        <w:t>Average Cost per Closure between Federal Fiscal Year 2021 and 2023</w:t>
      </w:r>
    </w:p>
    <w:p w14:paraId="71A62FC7" w14:textId="6C0BF9F3" w:rsidR="00820070" w:rsidRDefault="00776620" w:rsidP="00DC1E15">
      <w:pPr>
        <w:tabs>
          <w:tab w:val="left" w:pos="8280"/>
        </w:tabs>
        <w:jc w:val="center"/>
        <w:rPr>
          <w:b/>
          <w:bCs/>
        </w:rPr>
      </w:pPr>
      <w:r w:rsidRPr="00DC1E15">
        <w:t>(Excluding P</w:t>
      </w:r>
      <w:r w:rsidR="00DC1E15" w:rsidRPr="00DC1E15">
        <w:t>otentially Eligible Students with a Disability</w:t>
      </w:r>
      <w:r w:rsidR="00DC1E15">
        <w:t>)</w:t>
      </w:r>
      <w:r w:rsidRPr="00D17DA9">
        <w:rPr>
          <w:b/>
          <w:noProof/>
        </w:rPr>
        <w:drawing>
          <wp:inline distT="0" distB="0" distL="0" distR="0" wp14:anchorId="680270F8" wp14:editId="7B2B62D3">
            <wp:extent cx="5753100" cy="3200400"/>
            <wp:effectExtent l="0" t="0" r="0" b="0"/>
            <wp:docPr id="1391181441" name="Chart 139118144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F0B6D49" w14:textId="7883437C" w:rsidR="00820070" w:rsidRDefault="00534829" w:rsidP="0094554C">
      <w:pPr>
        <w:jc w:val="center"/>
      </w:pPr>
      <w:r>
        <w:t>* Work-based Learning Wages are not included</w:t>
      </w:r>
      <w:r w:rsidR="00DC1E15">
        <w:t xml:space="preserve"> in overall costs for </w:t>
      </w:r>
      <w:r w:rsidR="005429F5">
        <w:t>2021 and 2022</w:t>
      </w:r>
    </w:p>
    <w:p w14:paraId="296AEE0D" w14:textId="758B4EC9" w:rsidR="005429F5" w:rsidRDefault="005429F5" w:rsidP="005429F5">
      <w:pPr>
        <w:ind w:firstLine="720"/>
        <w:rPr>
          <w:b/>
          <w:bCs/>
        </w:rPr>
      </w:pPr>
      <w:r w:rsidRPr="005429F5">
        <w:rPr>
          <w:b/>
          <w:bCs/>
        </w:rPr>
        <w:t>Finding</w:t>
      </w:r>
      <w:r w:rsidR="00BD156D">
        <w:rPr>
          <w:b/>
          <w:bCs/>
        </w:rPr>
        <w:t>: For FFY 2023, average cost per person was nearly equal across all closures</w:t>
      </w:r>
    </w:p>
    <w:p w14:paraId="22165154" w14:textId="77777777" w:rsidR="00644614" w:rsidRPr="005429F5" w:rsidRDefault="00644614" w:rsidP="005429F5">
      <w:pPr>
        <w:ind w:firstLine="720"/>
        <w:rPr>
          <w:b/>
          <w:bCs/>
        </w:rPr>
      </w:pPr>
    </w:p>
    <w:p w14:paraId="35B0FF75" w14:textId="77777777" w:rsidR="00DC1E15" w:rsidRDefault="00DC1E15" w:rsidP="0094554C">
      <w:pPr>
        <w:jc w:val="center"/>
      </w:pPr>
    </w:p>
    <w:p w14:paraId="7FDF3484" w14:textId="77777777" w:rsidR="00DC1E15" w:rsidRDefault="00DC1E15" w:rsidP="0094554C">
      <w:pPr>
        <w:jc w:val="center"/>
        <w:rPr>
          <w:b/>
          <w:bCs/>
        </w:rPr>
      </w:pPr>
    </w:p>
    <w:p w14:paraId="1EB201D6" w14:textId="282AB640" w:rsidR="00820070" w:rsidRDefault="00820070" w:rsidP="00820070">
      <w:pPr>
        <w:pStyle w:val="ListParagraph"/>
        <w:numPr>
          <w:ilvl w:val="0"/>
          <w:numId w:val="1"/>
        </w:numPr>
        <w:rPr>
          <w:b/>
          <w:bCs/>
        </w:rPr>
      </w:pPr>
      <w:r>
        <w:rPr>
          <w:b/>
          <w:bCs/>
        </w:rPr>
        <w:lastRenderedPageBreak/>
        <w:t>ESTIMATING POPULATION ELIGIBLE FOR DVR SERVICES AND UNMET NEEDS</w:t>
      </w:r>
    </w:p>
    <w:p w14:paraId="1DCE119D" w14:textId="623EB9E5" w:rsidR="00820070" w:rsidRDefault="00820070" w:rsidP="00820070">
      <w:pPr>
        <w:pStyle w:val="ListParagraph"/>
        <w:numPr>
          <w:ilvl w:val="1"/>
          <w:numId w:val="1"/>
        </w:numPr>
        <w:rPr>
          <w:b/>
          <w:bCs/>
        </w:rPr>
      </w:pPr>
      <w:r>
        <w:rPr>
          <w:b/>
          <w:bCs/>
        </w:rPr>
        <w:t>American Community Survey (ACS)</w:t>
      </w:r>
    </w:p>
    <w:p w14:paraId="7452C57B" w14:textId="1F4494FD" w:rsidR="00820070" w:rsidRDefault="00820070" w:rsidP="00820070">
      <w:pPr>
        <w:pStyle w:val="ListParagraph"/>
        <w:numPr>
          <w:ilvl w:val="1"/>
          <w:numId w:val="1"/>
        </w:numPr>
        <w:rPr>
          <w:b/>
          <w:bCs/>
        </w:rPr>
      </w:pPr>
      <w:r>
        <w:rPr>
          <w:b/>
          <w:bCs/>
        </w:rPr>
        <w:t>ACS Disability Characteristics</w:t>
      </w:r>
    </w:p>
    <w:p w14:paraId="1A9B1C9F" w14:textId="0048F46A" w:rsidR="00820070" w:rsidRDefault="00820070" w:rsidP="00820070">
      <w:pPr>
        <w:pStyle w:val="ListParagraph"/>
        <w:numPr>
          <w:ilvl w:val="1"/>
          <w:numId w:val="1"/>
        </w:numPr>
        <w:rPr>
          <w:b/>
          <w:bCs/>
        </w:rPr>
      </w:pPr>
      <w:r>
        <w:rPr>
          <w:b/>
          <w:bCs/>
        </w:rPr>
        <w:t xml:space="preserve">Are DVR Services Reaching the Eligible </w:t>
      </w:r>
      <w:r w:rsidR="00B57935">
        <w:rPr>
          <w:b/>
          <w:bCs/>
        </w:rPr>
        <w:t>Population</w:t>
      </w:r>
      <w:r>
        <w:rPr>
          <w:b/>
          <w:bCs/>
        </w:rPr>
        <w:t>?</w:t>
      </w:r>
    </w:p>
    <w:p w14:paraId="1942C9C3" w14:textId="77777777" w:rsidR="00820070" w:rsidRDefault="00820070" w:rsidP="00820070">
      <w:pPr>
        <w:pStyle w:val="ListParagraph"/>
        <w:ind w:left="1440"/>
        <w:rPr>
          <w:b/>
          <w:bCs/>
        </w:rPr>
      </w:pPr>
    </w:p>
    <w:p w14:paraId="589AD560" w14:textId="6F37952E" w:rsidR="00820070" w:rsidRDefault="00820070" w:rsidP="00820070">
      <w:pPr>
        <w:jc w:val="center"/>
        <w:rPr>
          <w:b/>
          <w:bCs/>
        </w:rPr>
      </w:pPr>
      <w:r>
        <w:rPr>
          <w:b/>
          <w:bCs/>
        </w:rPr>
        <w:t xml:space="preserve">Table </w:t>
      </w:r>
      <w:r w:rsidR="00E60190">
        <w:rPr>
          <w:b/>
          <w:bCs/>
        </w:rPr>
        <w:t>3</w:t>
      </w:r>
    </w:p>
    <w:p w14:paraId="16AC7EE9" w14:textId="5DDF8434" w:rsidR="00820070" w:rsidRDefault="00820070" w:rsidP="00820070">
      <w:pPr>
        <w:jc w:val="center"/>
        <w:rPr>
          <w:b/>
          <w:bCs/>
        </w:rPr>
      </w:pPr>
      <w:r>
        <w:rPr>
          <w:b/>
          <w:bCs/>
        </w:rPr>
        <w:t>Client Characteristics and Selected Comparisons to ACS Population</w:t>
      </w:r>
    </w:p>
    <w:tbl>
      <w:tblPr>
        <w:tblStyle w:val="TableGrid"/>
        <w:tblW w:w="10682" w:type="dxa"/>
        <w:tblLook w:val="04A0" w:firstRow="1" w:lastRow="0" w:firstColumn="1" w:lastColumn="0" w:noHBand="0" w:noVBand="1"/>
      </w:tblPr>
      <w:tblGrid>
        <w:gridCol w:w="3433"/>
        <w:gridCol w:w="2337"/>
        <w:gridCol w:w="2574"/>
        <w:gridCol w:w="2338"/>
      </w:tblGrid>
      <w:tr w:rsidR="00690B59" w14:paraId="2597ADC5" w14:textId="77777777" w:rsidTr="00084A0B">
        <w:tc>
          <w:tcPr>
            <w:tcW w:w="3433" w:type="dxa"/>
          </w:tcPr>
          <w:p w14:paraId="12E79C56" w14:textId="77777777" w:rsidR="00690B59" w:rsidRDefault="00690B59" w:rsidP="00084A0B">
            <w:pPr>
              <w:jc w:val="center"/>
            </w:pPr>
          </w:p>
        </w:tc>
        <w:tc>
          <w:tcPr>
            <w:tcW w:w="2337" w:type="dxa"/>
          </w:tcPr>
          <w:p w14:paraId="5A655034" w14:textId="77777777" w:rsidR="00690B59" w:rsidRPr="00913415" w:rsidRDefault="00690B59" w:rsidP="00084A0B">
            <w:pPr>
              <w:jc w:val="center"/>
              <w:rPr>
                <w:b/>
                <w:bCs/>
                <w:sz w:val="20"/>
                <w:szCs w:val="20"/>
              </w:rPr>
            </w:pPr>
            <w:r w:rsidRPr="00913415">
              <w:rPr>
                <w:b/>
                <w:bCs/>
                <w:sz w:val="20"/>
                <w:szCs w:val="20"/>
              </w:rPr>
              <w:t>DVR Clients, FFY 2023*</w:t>
            </w:r>
          </w:p>
        </w:tc>
        <w:tc>
          <w:tcPr>
            <w:tcW w:w="2574" w:type="dxa"/>
          </w:tcPr>
          <w:p w14:paraId="7BC2C73C" w14:textId="77777777" w:rsidR="00690B59" w:rsidRPr="00913415" w:rsidRDefault="00690B59" w:rsidP="00084A0B">
            <w:pPr>
              <w:jc w:val="center"/>
              <w:rPr>
                <w:b/>
                <w:bCs/>
                <w:sz w:val="20"/>
                <w:szCs w:val="20"/>
              </w:rPr>
            </w:pPr>
            <w:r w:rsidRPr="00913415">
              <w:rPr>
                <w:b/>
                <w:bCs/>
                <w:sz w:val="20"/>
                <w:szCs w:val="20"/>
              </w:rPr>
              <w:t>Comparison Population**</w:t>
            </w:r>
          </w:p>
        </w:tc>
        <w:tc>
          <w:tcPr>
            <w:tcW w:w="2338" w:type="dxa"/>
          </w:tcPr>
          <w:p w14:paraId="7A623BA9" w14:textId="77777777" w:rsidR="00690B59" w:rsidRPr="00913415" w:rsidRDefault="00690B59" w:rsidP="00084A0B">
            <w:pPr>
              <w:jc w:val="center"/>
              <w:rPr>
                <w:b/>
                <w:bCs/>
              </w:rPr>
            </w:pPr>
          </w:p>
        </w:tc>
      </w:tr>
      <w:tr w:rsidR="00690B59" w14:paraId="2255A808" w14:textId="77777777" w:rsidTr="00084A0B">
        <w:tc>
          <w:tcPr>
            <w:tcW w:w="3433" w:type="dxa"/>
          </w:tcPr>
          <w:p w14:paraId="46F21D48" w14:textId="77777777" w:rsidR="00690B59" w:rsidRDefault="00690B59" w:rsidP="00084A0B">
            <w:pPr>
              <w:jc w:val="center"/>
            </w:pPr>
          </w:p>
        </w:tc>
        <w:tc>
          <w:tcPr>
            <w:tcW w:w="2337" w:type="dxa"/>
          </w:tcPr>
          <w:p w14:paraId="515A2E45" w14:textId="77777777" w:rsidR="00690B59" w:rsidRPr="00913415" w:rsidRDefault="00690B59" w:rsidP="00084A0B">
            <w:pPr>
              <w:jc w:val="center"/>
              <w:rPr>
                <w:b/>
                <w:bCs/>
              </w:rPr>
            </w:pPr>
            <w:r w:rsidRPr="00913415">
              <w:rPr>
                <w:b/>
                <w:bCs/>
              </w:rPr>
              <w:t>Percent</w:t>
            </w:r>
          </w:p>
        </w:tc>
        <w:tc>
          <w:tcPr>
            <w:tcW w:w="2574" w:type="dxa"/>
          </w:tcPr>
          <w:p w14:paraId="0BADE21D" w14:textId="77777777" w:rsidR="00690B59" w:rsidRPr="00913415" w:rsidRDefault="00690B59" w:rsidP="00084A0B">
            <w:pPr>
              <w:jc w:val="center"/>
              <w:rPr>
                <w:b/>
                <w:bCs/>
              </w:rPr>
            </w:pPr>
            <w:r w:rsidRPr="00913415">
              <w:rPr>
                <w:b/>
                <w:bCs/>
              </w:rPr>
              <w:t>Percent</w:t>
            </w:r>
          </w:p>
        </w:tc>
        <w:tc>
          <w:tcPr>
            <w:tcW w:w="2338" w:type="dxa"/>
          </w:tcPr>
          <w:p w14:paraId="28C82C3B" w14:textId="77777777" w:rsidR="00690B59" w:rsidRPr="00913415" w:rsidRDefault="00690B59" w:rsidP="00084A0B">
            <w:pPr>
              <w:jc w:val="center"/>
              <w:rPr>
                <w:b/>
                <w:bCs/>
              </w:rPr>
            </w:pPr>
            <w:r w:rsidRPr="00913415">
              <w:rPr>
                <w:b/>
                <w:bCs/>
              </w:rPr>
              <w:t>Difference</w:t>
            </w:r>
          </w:p>
        </w:tc>
      </w:tr>
      <w:tr w:rsidR="00690B59" w14:paraId="518A7B5C" w14:textId="77777777" w:rsidTr="00084A0B">
        <w:tc>
          <w:tcPr>
            <w:tcW w:w="3433" w:type="dxa"/>
          </w:tcPr>
          <w:p w14:paraId="4B1BF127" w14:textId="77777777" w:rsidR="00690B59" w:rsidRPr="00913415" w:rsidRDefault="00690B59" w:rsidP="00084A0B">
            <w:pPr>
              <w:rPr>
                <w:b/>
                <w:bCs/>
              </w:rPr>
            </w:pPr>
            <w:r w:rsidRPr="00913415">
              <w:rPr>
                <w:b/>
                <w:bCs/>
              </w:rPr>
              <w:t>Primary Disability Type (DVR)</w:t>
            </w:r>
          </w:p>
        </w:tc>
        <w:tc>
          <w:tcPr>
            <w:tcW w:w="2337" w:type="dxa"/>
          </w:tcPr>
          <w:p w14:paraId="09FF527E" w14:textId="77777777" w:rsidR="00690B59" w:rsidRDefault="00690B59" w:rsidP="00084A0B">
            <w:pPr>
              <w:jc w:val="center"/>
            </w:pPr>
          </w:p>
        </w:tc>
        <w:tc>
          <w:tcPr>
            <w:tcW w:w="2574" w:type="dxa"/>
          </w:tcPr>
          <w:p w14:paraId="230C5FC7" w14:textId="77777777" w:rsidR="00690B59" w:rsidRDefault="00690B59" w:rsidP="00084A0B">
            <w:pPr>
              <w:jc w:val="center"/>
            </w:pPr>
          </w:p>
        </w:tc>
        <w:tc>
          <w:tcPr>
            <w:tcW w:w="2338" w:type="dxa"/>
          </w:tcPr>
          <w:p w14:paraId="2CC30B05" w14:textId="77777777" w:rsidR="00690B59" w:rsidRDefault="00690B59" w:rsidP="00084A0B">
            <w:pPr>
              <w:jc w:val="center"/>
            </w:pPr>
          </w:p>
        </w:tc>
      </w:tr>
      <w:tr w:rsidR="00690B59" w14:paraId="78C957FC" w14:textId="77777777" w:rsidTr="00084A0B">
        <w:tc>
          <w:tcPr>
            <w:tcW w:w="3433" w:type="dxa"/>
          </w:tcPr>
          <w:p w14:paraId="48AB4945" w14:textId="77777777" w:rsidR="00690B59" w:rsidRPr="00913415" w:rsidRDefault="00690B59" w:rsidP="00084A0B">
            <w:pPr>
              <w:jc w:val="right"/>
              <w:rPr>
                <w:sz w:val="20"/>
                <w:szCs w:val="20"/>
              </w:rPr>
            </w:pPr>
            <w:r w:rsidRPr="00913415">
              <w:rPr>
                <w:sz w:val="20"/>
                <w:szCs w:val="20"/>
              </w:rPr>
              <w:t>No Impairment</w:t>
            </w:r>
          </w:p>
        </w:tc>
        <w:tc>
          <w:tcPr>
            <w:tcW w:w="2337" w:type="dxa"/>
          </w:tcPr>
          <w:p w14:paraId="6E26B587" w14:textId="77777777" w:rsidR="00690B59" w:rsidRDefault="00690B59" w:rsidP="00084A0B">
            <w:pPr>
              <w:jc w:val="center"/>
            </w:pPr>
            <w:r>
              <w:t>17.6</w:t>
            </w:r>
          </w:p>
        </w:tc>
        <w:tc>
          <w:tcPr>
            <w:tcW w:w="2574" w:type="dxa"/>
            <w:vMerge w:val="restart"/>
            <w:vAlign w:val="center"/>
          </w:tcPr>
          <w:p w14:paraId="5E0EF799" w14:textId="77777777" w:rsidR="00690B59" w:rsidRDefault="00690B59" w:rsidP="00084A0B">
            <w:pPr>
              <w:jc w:val="center"/>
            </w:pPr>
            <w:r>
              <w:t>Disability type information is not comparable.</w:t>
            </w:r>
          </w:p>
        </w:tc>
        <w:tc>
          <w:tcPr>
            <w:tcW w:w="2338" w:type="dxa"/>
            <w:vMerge w:val="restart"/>
            <w:vAlign w:val="center"/>
          </w:tcPr>
          <w:p w14:paraId="7F3D96A6" w14:textId="77777777" w:rsidR="00690B59" w:rsidRDefault="00690B59" w:rsidP="00084A0B">
            <w:pPr>
              <w:jc w:val="center"/>
            </w:pPr>
            <w:r>
              <w:t>N/A</w:t>
            </w:r>
          </w:p>
        </w:tc>
      </w:tr>
      <w:tr w:rsidR="00690B59" w14:paraId="38177EB3" w14:textId="77777777" w:rsidTr="00084A0B">
        <w:tc>
          <w:tcPr>
            <w:tcW w:w="3433" w:type="dxa"/>
          </w:tcPr>
          <w:p w14:paraId="5F415E26" w14:textId="77777777" w:rsidR="00690B59" w:rsidRPr="00913415" w:rsidRDefault="00690B59" w:rsidP="00084A0B">
            <w:pPr>
              <w:jc w:val="right"/>
              <w:rPr>
                <w:sz w:val="20"/>
                <w:szCs w:val="20"/>
              </w:rPr>
            </w:pPr>
            <w:r w:rsidRPr="00913415">
              <w:rPr>
                <w:sz w:val="20"/>
                <w:szCs w:val="20"/>
              </w:rPr>
              <w:t>Sensory</w:t>
            </w:r>
          </w:p>
        </w:tc>
        <w:tc>
          <w:tcPr>
            <w:tcW w:w="2337" w:type="dxa"/>
          </w:tcPr>
          <w:p w14:paraId="69C5BE87" w14:textId="77777777" w:rsidR="00690B59" w:rsidRDefault="00690B59" w:rsidP="00084A0B">
            <w:pPr>
              <w:jc w:val="center"/>
            </w:pPr>
            <w:r>
              <w:t>11.6</w:t>
            </w:r>
          </w:p>
        </w:tc>
        <w:tc>
          <w:tcPr>
            <w:tcW w:w="2574" w:type="dxa"/>
            <w:vMerge/>
          </w:tcPr>
          <w:p w14:paraId="622B425E" w14:textId="77777777" w:rsidR="00690B59" w:rsidRDefault="00690B59" w:rsidP="00084A0B">
            <w:pPr>
              <w:jc w:val="center"/>
            </w:pPr>
          </w:p>
        </w:tc>
        <w:tc>
          <w:tcPr>
            <w:tcW w:w="2338" w:type="dxa"/>
            <w:vMerge/>
          </w:tcPr>
          <w:p w14:paraId="309DFD9F" w14:textId="77777777" w:rsidR="00690B59" w:rsidRDefault="00690B59" w:rsidP="00084A0B">
            <w:pPr>
              <w:jc w:val="center"/>
            </w:pPr>
          </w:p>
        </w:tc>
      </w:tr>
      <w:tr w:rsidR="00690B59" w14:paraId="3996EE34" w14:textId="77777777" w:rsidTr="00084A0B">
        <w:tc>
          <w:tcPr>
            <w:tcW w:w="3433" w:type="dxa"/>
          </w:tcPr>
          <w:p w14:paraId="78646CDE" w14:textId="77777777" w:rsidR="00690B59" w:rsidRPr="00913415" w:rsidRDefault="00690B59" w:rsidP="00084A0B">
            <w:pPr>
              <w:jc w:val="right"/>
              <w:rPr>
                <w:sz w:val="20"/>
                <w:szCs w:val="20"/>
              </w:rPr>
            </w:pPr>
            <w:r w:rsidRPr="00913415">
              <w:rPr>
                <w:sz w:val="20"/>
                <w:szCs w:val="20"/>
              </w:rPr>
              <w:t>Physical</w:t>
            </w:r>
          </w:p>
        </w:tc>
        <w:tc>
          <w:tcPr>
            <w:tcW w:w="2337" w:type="dxa"/>
          </w:tcPr>
          <w:p w14:paraId="3FB18AAB" w14:textId="77777777" w:rsidR="00690B59" w:rsidRDefault="00690B59" w:rsidP="00084A0B">
            <w:pPr>
              <w:jc w:val="center"/>
            </w:pPr>
            <w:r>
              <w:t>10.7</w:t>
            </w:r>
          </w:p>
        </w:tc>
        <w:tc>
          <w:tcPr>
            <w:tcW w:w="2574" w:type="dxa"/>
            <w:vMerge/>
          </w:tcPr>
          <w:p w14:paraId="19218C14" w14:textId="77777777" w:rsidR="00690B59" w:rsidRDefault="00690B59" w:rsidP="00084A0B">
            <w:pPr>
              <w:jc w:val="center"/>
            </w:pPr>
          </w:p>
        </w:tc>
        <w:tc>
          <w:tcPr>
            <w:tcW w:w="2338" w:type="dxa"/>
            <w:vMerge/>
          </w:tcPr>
          <w:p w14:paraId="37079975" w14:textId="77777777" w:rsidR="00690B59" w:rsidRDefault="00690B59" w:rsidP="00084A0B">
            <w:pPr>
              <w:jc w:val="center"/>
            </w:pPr>
          </w:p>
        </w:tc>
      </w:tr>
      <w:tr w:rsidR="00690B59" w14:paraId="6F1E18C7" w14:textId="77777777" w:rsidTr="00084A0B">
        <w:tc>
          <w:tcPr>
            <w:tcW w:w="3433" w:type="dxa"/>
          </w:tcPr>
          <w:p w14:paraId="6E3D0C6A" w14:textId="77777777" w:rsidR="00690B59" w:rsidRPr="00913415" w:rsidRDefault="00690B59" w:rsidP="00084A0B">
            <w:pPr>
              <w:jc w:val="right"/>
              <w:rPr>
                <w:sz w:val="20"/>
                <w:szCs w:val="20"/>
              </w:rPr>
            </w:pPr>
            <w:r w:rsidRPr="00913415">
              <w:rPr>
                <w:sz w:val="20"/>
                <w:szCs w:val="20"/>
              </w:rPr>
              <w:t>Mental Illness</w:t>
            </w:r>
          </w:p>
        </w:tc>
        <w:tc>
          <w:tcPr>
            <w:tcW w:w="2337" w:type="dxa"/>
          </w:tcPr>
          <w:p w14:paraId="3712424F" w14:textId="77777777" w:rsidR="00690B59" w:rsidRDefault="00690B59" w:rsidP="00084A0B">
            <w:pPr>
              <w:jc w:val="center"/>
            </w:pPr>
            <w:r>
              <w:t>30.8</w:t>
            </w:r>
          </w:p>
        </w:tc>
        <w:tc>
          <w:tcPr>
            <w:tcW w:w="2574" w:type="dxa"/>
            <w:vMerge/>
          </w:tcPr>
          <w:p w14:paraId="528697A8" w14:textId="77777777" w:rsidR="00690B59" w:rsidRDefault="00690B59" w:rsidP="00084A0B">
            <w:pPr>
              <w:jc w:val="center"/>
            </w:pPr>
          </w:p>
        </w:tc>
        <w:tc>
          <w:tcPr>
            <w:tcW w:w="2338" w:type="dxa"/>
            <w:vMerge/>
          </w:tcPr>
          <w:p w14:paraId="1074E266" w14:textId="77777777" w:rsidR="00690B59" w:rsidRDefault="00690B59" w:rsidP="00084A0B">
            <w:pPr>
              <w:jc w:val="center"/>
            </w:pPr>
          </w:p>
        </w:tc>
      </w:tr>
      <w:tr w:rsidR="00690B59" w14:paraId="1774F1FF" w14:textId="77777777" w:rsidTr="00084A0B">
        <w:tc>
          <w:tcPr>
            <w:tcW w:w="3433" w:type="dxa"/>
          </w:tcPr>
          <w:p w14:paraId="70A96D32" w14:textId="77777777" w:rsidR="00690B59" w:rsidRPr="00913415" w:rsidRDefault="00690B59" w:rsidP="00084A0B">
            <w:pPr>
              <w:jc w:val="right"/>
              <w:rPr>
                <w:sz w:val="20"/>
                <w:szCs w:val="20"/>
              </w:rPr>
            </w:pPr>
            <w:r w:rsidRPr="00913415">
              <w:rPr>
                <w:sz w:val="20"/>
                <w:szCs w:val="20"/>
              </w:rPr>
              <w:t>Cognitive</w:t>
            </w:r>
          </w:p>
        </w:tc>
        <w:tc>
          <w:tcPr>
            <w:tcW w:w="2337" w:type="dxa"/>
          </w:tcPr>
          <w:p w14:paraId="2ECF0E60" w14:textId="77777777" w:rsidR="00690B59" w:rsidRDefault="00690B59" w:rsidP="00084A0B">
            <w:pPr>
              <w:jc w:val="center"/>
            </w:pPr>
            <w:r>
              <w:t>29.3</w:t>
            </w:r>
          </w:p>
        </w:tc>
        <w:tc>
          <w:tcPr>
            <w:tcW w:w="2574" w:type="dxa"/>
            <w:vMerge/>
          </w:tcPr>
          <w:p w14:paraId="5867526A" w14:textId="77777777" w:rsidR="00690B59" w:rsidRDefault="00690B59" w:rsidP="00084A0B">
            <w:pPr>
              <w:jc w:val="center"/>
            </w:pPr>
          </w:p>
        </w:tc>
        <w:tc>
          <w:tcPr>
            <w:tcW w:w="2338" w:type="dxa"/>
            <w:vMerge/>
          </w:tcPr>
          <w:p w14:paraId="0ED188AC" w14:textId="77777777" w:rsidR="00690B59" w:rsidRDefault="00690B59" w:rsidP="00084A0B">
            <w:pPr>
              <w:jc w:val="center"/>
            </w:pPr>
          </w:p>
        </w:tc>
      </w:tr>
      <w:tr w:rsidR="00690B59" w14:paraId="6978259D" w14:textId="77777777" w:rsidTr="00084A0B">
        <w:tc>
          <w:tcPr>
            <w:tcW w:w="3433" w:type="dxa"/>
          </w:tcPr>
          <w:p w14:paraId="7C74905C" w14:textId="77777777" w:rsidR="00690B59" w:rsidRPr="00913415" w:rsidRDefault="00690B59" w:rsidP="00084A0B">
            <w:pPr>
              <w:rPr>
                <w:b/>
                <w:bCs/>
              </w:rPr>
            </w:pPr>
            <w:r w:rsidRPr="00913415">
              <w:rPr>
                <w:b/>
                <w:bCs/>
              </w:rPr>
              <w:t>Disability Type (ACS)</w:t>
            </w:r>
          </w:p>
        </w:tc>
        <w:tc>
          <w:tcPr>
            <w:tcW w:w="2337" w:type="dxa"/>
          </w:tcPr>
          <w:p w14:paraId="1ED319A0" w14:textId="77777777" w:rsidR="00690B59" w:rsidRDefault="00690B59" w:rsidP="00084A0B">
            <w:pPr>
              <w:jc w:val="center"/>
            </w:pPr>
          </w:p>
        </w:tc>
        <w:tc>
          <w:tcPr>
            <w:tcW w:w="2574" w:type="dxa"/>
          </w:tcPr>
          <w:p w14:paraId="238AE0E0" w14:textId="77777777" w:rsidR="00690B59" w:rsidRDefault="00690B59" w:rsidP="00084A0B">
            <w:pPr>
              <w:jc w:val="center"/>
            </w:pPr>
          </w:p>
        </w:tc>
        <w:tc>
          <w:tcPr>
            <w:tcW w:w="2338" w:type="dxa"/>
          </w:tcPr>
          <w:p w14:paraId="21E1AB5F" w14:textId="77777777" w:rsidR="00690B59" w:rsidRDefault="00690B59" w:rsidP="00084A0B">
            <w:pPr>
              <w:jc w:val="center"/>
            </w:pPr>
          </w:p>
        </w:tc>
      </w:tr>
      <w:tr w:rsidR="00690B59" w14:paraId="02224EB8" w14:textId="77777777" w:rsidTr="00084A0B">
        <w:tc>
          <w:tcPr>
            <w:tcW w:w="3433" w:type="dxa"/>
          </w:tcPr>
          <w:p w14:paraId="4147EA87" w14:textId="77777777" w:rsidR="00690B59" w:rsidRPr="00913415" w:rsidRDefault="00690B59" w:rsidP="00084A0B">
            <w:pPr>
              <w:jc w:val="right"/>
              <w:rPr>
                <w:sz w:val="20"/>
                <w:szCs w:val="20"/>
              </w:rPr>
            </w:pPr>
            <w:r>
              <w:rPr>
                <w:sz w:val="20"/>
                <w:szCs w:val="20"/>
              </w:rPr>
              <w:t>Self-Care</w:t>
            </w:r>
          </w:p>
        </w:tc>
        <w:tc>
          <w:tcPr>
            <w:tcW w:w="2337" w:type="dxa"/>
            <w:vMerge w:val="restart"/>
            <w:vAlign w:val="center"/>
          </w:tcPr>
          <w:p w14:paraId="7EFD057F" w14:textId="77777777" w:rsidR="00690B59" w:rsidRDefault="00690B59" w:rsidP="00084A0B">
            <w:pPr>
              <w:jc w:val="center"/>
            </w:pPr>
            <w:r>
              <w:t>Disability type information is not comparable.</w:t>
            </w:r>
          </w:p>
        </w:tc>
        <w:tc>
          <w:tcPr>
            <w:tcW w:w="2574" w:type="dxa"/>
          </w:tcPr>
          <w:p w14:paraId="4BC8CBC7" w14:textId="77777777" w:rsidR="00690B59" w:rsidRDefault="00690B59" w:rsidP="00084A0B">
            <w:pPr>
              <w:jc w:val="center"/>
            </w:pPr>
            <w:r>
              <w:t>1.7</w:t>
            </w:r>
          </w:p>
        </w:tc>
        <w:tc>
          <w:tcPr>
            <w:tcW w:w="2338" w:type="dxa"/>
            <w:vMerge w:val="restart"/>
            <w:vAlign w:val="center"/>
          </w:tcPr>
          <w:p w14:paraId="713E67D5" w14:textId="77777777" w:rsidR="00690B59" w:rsidRDefault="00690B59" w:rsidP="00084A0B">
            <w:pPr>
              <w:jc w:val="center"/>
            </w:pPr>
            <w:r>
              <w:t>N/A</w:t>
            </w:r>
          </w:p>
        </w:tc>
      </w:tr>
      <w:tr w:rsidR="00690B59" w14:paraId="45092CD5" w14:textId="77777777" w:rsidTr="00084A0B">
        <w:tc>
          <w:tcPr>
            <w:tcW w:w="3433" w:type="dxa"/>
          </w:tcPr>
          <w:p w14:paraId="79329187" w14:textId="77777777" w:rsidR="00690B59" w:rsidRPr="00913415" w:rsidRDefault="00690B59" w:rsidP="00084A0B">
            <w:pPr>
              <w:jc w:val="right"/>
              <w:rPr>
                <w:sz w:val="20"/>
                <w:szCs w:val="20"/>
              </w:rPr>
            </w:pPr>
            <w:r>
              <w:rPr>
                <w:sz w:val="20"/>
                <w:szCs w:val="20"/>
              </w:rPr>
              <w:t>Cognitive</w:t>
            </w:r>
          </w:p>
        </w:tc>
        <w:tc>
          <w:tcPr>
            <w:tcW w:w="2337" w:type="dxa"/>
            <w:vMerge/>
          </w:tcPr>
          <w:p w14:paraId="2405DA17" w14:textId="77777777" w:rsidR="00690B59" w:rsidRDefault="00690B59" w:rsidP="00084A0B">
            <w:pPr>
              <w:jc w:val="center"/>
            </w:pPr>
          </w:p>
        </w:tc>
        <w:tc>
          <w:tcPr>
            <w:tcW w:w="2574" w:type="dxa"/>
          </w:tcPr>
          <w:p w14:paraId="0F8C5A15" w14:textId="77777777" w:rsidR="00690B59" w:rsidRDefault="00690B59" w:rsidP="00084A0B">
            <w:pPr>
              <w:jc w:val="center"/>
            </w:pPr>
            <w:r>
              <w:t>5.2</w:t>
            </w:r>
          </w:p>
        </w:tc>
        <w:tc>
          <w:tcPr>
            <w:tcW w:w="2338" w:type="dxa"/>
            <w:vMerge/>
          </w:tcPr>
          <w:p w14:paraId="1668942D" w14:textId="77777777" w:rsidR="00690B59" w:rsidRDefault="00690B59" w:rsidP="00084A0B">
            <w:pPr>
              <w:jc w:val="center"/>
            </w:pPr>
          </w:p>
        </w:tc>
      </w:tr>
      <w:tr w:rsidR="00690B59" w14:paraId="42E46092" w14:textId="77777777" w:rsidTr="00084A0B">
        <w:tc>
          <w:tcPr>
            <w:tcW w:w="3433" w:type="dxa"/>
          </w:tcPr>
          <w:p w14:paraId="0C09C0D9" w14:textId="77777777" w:rsidR="00690B59" w:rsidRPr="00913415" w:rsidRDefault="00690B59" w:rsidP="00084A0B">
            <w:pPr>
              <w:jc w:val="right"/>
              <w:rPr>
                <w:sz w:val="20"/>
                <w:szCs w:val="20"/>
              </w:rPr>
            </w:pPr>
            <w:r>
              <w:rPr>
                <w:sz w:val="20"/>
                <w:szCs w:val="20"/>
              </w:rPr>
              <w:t>Ambulatory</w:t>
            </w:r>
          </w:p>
        </w:tc>
        <w:tc>
          <w:tcPr>
            <w:tcW w:w="2337" w:type="dxa"/>
            <w:vMerge/>
          </w:tcPr>
          <w:p w14:paraId="6D37F3A9" w14:textId="77777777" w:rsidR="00690B59" w:rsidRDefault="00690B59" w:rsidP="00084A0B">
            <w:pPr>
              <w:jc w:val="center"/>
            </w:pPr>
          </w:p>
        </w:tc>
        <w:tc>
          <w:tcPr>
            <w:tcW w:w="2574" w:type="dxa"/>
          </w:tcPr>
          <w:p w14:paraId="168B8864" w14:textId="77777777" w:rsidR="00690B59" w:rsidRDefault="00690B59" w:rsidP="00084A0B">
            <w:pPr>
              <w:jc w:val="center"/>
            </w:pPr>
            <w:r>
              <w:t>4.4</w:t>
            </w:r>
          </w:p>
        </w:tc>
        <w:tc>
          <w:tcPr>
            <w:tcW w:w="2338" w:type="dxa"/>
            <w:vMerge/>
          </w:tcPr>
          <w:p w14:paraId="01FC30AF" w14:textId="77777777" w:rsidR="00690B59" w:rsidRDefault="00690B59" w:rsidP="00084A0B">
            <w:pPr>
              <w:jc w:val="center"/>
            </w:pPr>
          </w:p>
        </w:tc>
      </w:tr>
      <w:tr w:rsidR="00690B59" w14:paraId="4A3C1CF7" w14:textId="77777777" w:rsidTr="00084A0B">
        <w:tc>
          <w:tcPr>
            <w:tcW w:w="3433" w:type="dxa"/>
          </w:tcPr>
          <w:p w14:paraId="4E59A751" w14:textId="77777777" w:rsidR="00690B59" w:rsidRPr="00913415" w:rsidRDefault="00690B59" w:rsidP="00084A0B">
            <w:pPr>
              <w:jc w:val="right"/>
              <w:rPr>
                <w:sz w:val="20"/>
                <w:szCs w:val="20"/>
              </w:rPr>
            </w:pPr>
            <w:r>
              <w:rPr>
                <w:sz w:val="20"/>
                <w:szCs w:val="20"/>
              </w:rPr>
              <w:t>Hearing</w:t>
            </w:r>
          </w:p>
        </w:tc>
        <w:tc>
          <w:tcPr>
            <w:tcW w:w="2337" w:type="dxa"/>
            <w:vMerge/>
          </w:tcPr>
          <w:p w14:paraId="6074BCF1" w14:textId="77777777" w:rsidR="00690B59" w:rsidRDefault="00690B59" w:rsidP="00084A0B">
            <w:pPr>
              <w:jc w:val="center"/>
            </w:pPr>
          </w:p>
        </w:tc>
        <w:tc>
          <w:tcPr>
            <w:tcW w:w="2574" w:type="dxa"/>
          </w:tcPr>
          <w:p w14:paraId="798166AE" w14:textId="77777777" w:rsidR="00690B59" w:rsidRDefault="00690B59" w:rsidP="00084A0B">
            <w:pPr>
              <w:jc w:val="center"/>
            </w:pPr>
            <w:r>
              <w:t>2.0</w:t>
            </w:r>
          </w:p>
        </w:tc>
        <w:tc>
          <w:tcPr>
            <w:tcW w:w="2338" w:type="dxa"/>
            <w:vMerge/>
          </w:tcPr>
          <w:p w14:paraId="744D0816" w14:textId="77777777" w:rsidR="00690B59" w:rsidRDefault="00690B59" w:rsidP="00084A0B">
            <w:pPr>
              <w:jc w:val="center"/>
            </w:pPr>
          </w:p>
        </w:tc>
      </w:tr>
      <w:tr w:rsidR="00690B59" w14:paraId="5437B189" w14:textId="77777777" w:rsidTr="00084A0B">
        <w:tc>
          <w:tcPr>
            <w:tcW w:w="3433" w:type="dxa"/>
          </w:tcPr>
          <w:p w14:paraId="7F301C00" w14:textId="77777777" w:rsidR="00690B59" w:rsidRPr="00913415" w:rsidRDefault="00690B59" w:rsidP="00084A0B">
            <w:pPr>
              <w:jc w:val="right"/>
              <w:rPr>
                <w:sz w:val="20"/>
                <w:szCs w:val="20"/>
              </w:rPr>
            </w:pPr>
            <w:r>
              <w:rPr>
                <w:sz w:val="20"/>
                <w:szCs w:val="20"/>
              </w:rPr>
              <w:t>Visual</w:t>
            </w:r>
          </w:p>
        </w:tc>
        <w:tc>
          <w:tcPr>
            <w:tcW w:w="2337" w:type="dxa"/>
            <w:vMerge/>
          </w:tcPr>
          <w:p w14:paraId="73AF17E5" w14:textId="77777777" w:rsidR="00690B59" w:rsidRDefault="00690B59" w:rsidP="00084A0B">
            <w:pPr>
              <w:jc w:val="center"/>
            </w:pPr>
          </w:p>
        </w:tc>
        <w:tc>
          <w:tcPr>
            <w:tcW w:w="2574" w:type="dxa"/>
          </w:tcPr>
          <w:p w14:paraId="1F349B9D" w14:textId="77777777" w:rsidR="00690B59" w:rsidRDefault="00690B59" w:rsidP="00084A0B">
            <w:pPr>
              <w:jc w:val="center"/>
            </w:pPr>
            <w:r>
              <w:t>2.1</w:t>
            </w:r>
          </w:p>
        </w:tc>
        <w:tc>
          <w:tcPr>
            <w:tcW w:w="2338" w:type="dxa"/>
            <w:vMerge/>
          </w:tcPr>
          <w:p w14:paraId="40428D68" w14:textId="77777777" w:rsidR="00690B59" w:rsidRDefault="00690B59" w:rsidP="00084A0B">
            <w:pPr>
              <w:jc w:val="center"/>
            </w:pPr>
          </w:p>
        </w:tc>
      </w:tr>
      <w:tr w:rsidR="00690B59" w14:paraId="5752EE38" w14:textId="77777777" w:rsidTr="00084A0B">
        <w:tc>
          <w:tcPr>
            <w:tcW w:w="3433" w:type="dxa"/>
          </w:tcPr>
          <w:p w14:paraId="77A2BE0A" w14:textId="77777777" w:rsidR="00690B59" w:rsidRDefault="00690B59" w:rsidP="00084A0B">
            <w:pPr>
              <w:jc w:val="right"/>
              <w:rPr>
                <w:sz w:val="20"/>
                <w:szCs w:val="20"/>
              </w:rPr>
            </w:pPr>
            <w:r>
              <w:rPr>
                <w:sz w:val="20"/>
                <w:szCs w:val="20"/>
              </w:rPr>
              <w:t>Any Disability</w:t>
            </w:r>
          </w:p>
        </w:tc>
        <w:tc>
          <w:tcPr>
            <w:tcW w:w="2337" w:type="dxa"/>
            <w:vMerge/>
          </w:tcPr>
          <w:p w14:paraId="39618DB4" w14:textId="77777777" w:rsidR="00690B59" w:rsidRDefault="00690B59" w:rsidP="00084A0B">
            <w:pPr>
              <w:jc w:val="center"/>
            </w:pPr>
          </w:p>
        </w:tc>
        <w:tc>
          <w:tcPr>
            <w:tcW w:w="2574" w:type="dxa"/>
          </w:tcPr>
          <w:p w14:paraId="6E8606D5" w14:textId="77777777" w:rsidR="00690B59" w:rsidRDefault="00690B59" w:rsidP="00084A0B">
            <w:pPr>
              <w:jc w:val="center"/>
            </w:pPr>
            <w:r>
              <w:t>3.9</w:t>
            </w:r>
          </w:p>
        </w:tc>
        <w:tc>
          <w:tcPr>
            <w:tcW w:w="2338" w:type="dxa"/>
            <w:vMerge/>
          </w:tcPr>
          <w:p w14:paraId="26C10E6B" w14:textId="77777777" w:rsidR="00690B59" w:rsidRDefault="00690B59" w:rsidP="00084A0B">
            <w:pPr>
              <w:jc w:val="center"/>
            </w:pPr>
          </w:p>
        </w:tc>
      </w:tr>
      <w:tr w:rsidR="00690B59" w14:paraId="4D994698" w14:textId="77777777" w:rsidTr="00084A0B">
        <w:tc>
          <w:tcPr>
            <w:tcW w:w="3433" w:type="dxa"/>
            <w:shd w:val="clear" w:color="auto" w:fill="auto"/>
          </w:tcPr>
          <w:p w14:paraId="2389C1E6" w14:textId="77777777" w:rsidR="00690B59" w:rsidRPr="00D434C2" w:rsidRDefault="00690B59" w:rsidP="00084A0B">
            <w:pPr>
              <w:rPr>
                <w:b/>
                <w:bCs/>
              </w:rPr>
            </w:pPr>
            <w:r w:rsidRPr="00D434C2">
              <w:rPr>
                <w:b/>
                <w:bCs/>
              </w:rPr>
              <w:t>Age at Closure</w:t>
            </w:r>
          </w:p>
        </w:tc>
        <w:tc>
          <w:tcPr>
            <w:tcW w:w="2337" w:type="dxa"/>
            <w:shd w:val="clear" w:color="auto" w:fill="auto"/>
          </w:tcPr>
          <w:p w14:paraId="76E04914" w14:textId="77777777" w:rsidR="00690B59" w:rsidRPr="00D434C2" w:rsidRDefault="00690B59" w:rsidP="00084A0B">
            <w:pPr>
              <w:jc w:val="center"/>
            </w:pPr>
          </w:p>
        </w:tc>
        <w:tc>
          <w:tcPr>
            <w:tcW w:w="2574" w:type="dxa"/>
            <w:shd w:val="clear" w:color="auto" w:fill="auto"/>
          </w:tcPr>
          <w:p w14:paraId="15606AC5" w14:textId="77777777" w:rsidR="00690B59" w:rsidRPr="00D434C2" w:rsidRDefault="00690B59" w:rsidP="00084A0B">
            <w:pPr>
              <w:jc w:val="center"/>
            </w:pPr>
          </w:p>
        </w:tc>
        <w:tc>
          <w:tcPr>
            <w:tcW w:w="2338" w:type="dxa"/>
            <w:shd w:val="clear" w:color="auto" w:fill="auto"/>
          </w:tcPr>
          <w:p w14:paraId="2EECCDA0" w14:textId="77777777" w:rsidR="00690B59" w:rsidRPr="00D434C2" w:rsidRDefault="00690B59" w:rsidP="00084A0B">
            <w:pPr>
              <w:jc w:val="center"/>
            </w:pPr>
          </w:p>
        </w:tc>
      </w:tr>
      <w:tr w:rsidR="00690B59" w14:paraId="45BB62A0" w14:textId="77777777" w:rsidTr="00084A0B">
        <w:tc>
          <w:tcPr>
            <w:tcW w:w="3433" w:type="dxa"/>
            <w:shd w:val="clear" w:color="auto" w:fill="auto"/>
          </w:tcPr>
          <w:p w14:paraId="0C361C66" w14:textId="77777777" w:rsidR="00690B59" w:rsidRPr="00D434C2" w:rsidRDefault="00690B59" w:rsidP="00084A0B">
            <w:pPr>
              <w:jc w:val="right"/>
              <w:rPr>
                <w:sz w:val="20"/>
                <w:szCs w:val="20"/>
              </w:rPr>
            </w:pPr>
            <w:r w:rsidRPr="00D434C2">
              <w:rPr>
                <w:sz w:val="20"/>
                <w:szCs w:val="20"/>
              </w:rPr>
              <w:t>Less than 18</w:t>
            </w:r>
          </w:p>
        </w:tc>
        <w:tc>
          <w:tcPr>
            <w:tcW w:w="2337" w:type="dxa"/>
            <w:shd w:val="clear" w:color="auto" w:fill="auto"/>
          </w:tcPr>
          <w:p w14:paraId="12EC2D1B" w14:textId="77777777" w:rsidR="00690B59" w:rsidRPr="00D434C2" w:rsidRDefault="00690B59" w:rsidP="00084A0B">
            <w:pPr>
              <w:jc w:val="center"/>
            </w:pPr>
            <w:r w:rsidRPr="00D434C2">
              <w:t>5.2</w:t>
            </w:r>
          </w:p>
        </w:tc>
        <w:tc>
          <w:tcPr>
            <w:tcW w:w="2574" w:type="dxa"/>
            <w:vMerge w:val="restart"/>
            <w:shd w:val="clear" w:color="auto" w:fill="auto"/>
            <w:vAlign w:val="center"/>
          </w:tcPr>
          <w:p w14:paraId="098B1331" w14:textId="77777777" w:rsidR="00690B59" w:rsidRPr="00D434C2" w:rsidRDefault="00690B59" w:rsidP="00084A0B">
            <w:pPr>
              <w:jc w:val="center"/>
            </w:pPr>
            <w:r w:rsidRPr="00D434C2">
              <w:t>N/A</w:t>
            </w:r>
          </w:p>
        </w:tc>
        <w:tc>
          <w:tcPr>
            <w:tcW w:w="2338" w:type="dxa"/>
            <w:vMerge w:val="restart"/>
            <w:shd w:val="clear" w:color="auto" w:fill="auto"/>
            <w:vAlign w:val="center"/>
          </w:tcPr>
          <w:p w14:paraId="376C02FD" w14:textId="77777777" w:rsidR="00690B59" w:rsidRPr="00D434C2" w:rsidRDefault="00690B59" w:rsidP="00084A0B">
            <w:pPr>
              <w:jc w:val="center"/>
            </w:pPr>
            <w:r>
              <w:t>N/A</w:t>
            </w:r>
          </w:p>
        </w:tc>
      </w:tr>
      <w:tr w:rsidR="00690B59" w14:paraId="742DC39F" w14:textId="77777777" w:rsidTr="00084A0B">
        <w:tc>
          <w:tcPr>
            <w:tcW w:w="3433" w:type="dxa"/>
            <w:shd w:val="clear" w:color="auto" w:fill="auto"/>
          </w:tcPr>
          <w:p w14:paraId="40C36F3D" w14:textId="77777777" w:rsidR="00690B59" w:rsidRPr="00D434C2" w:rsidRDefault="00690B59" w:rsidP="00084A0B">
            <w:pPr>
              <w:jc w:val="right"/>
              <w:rPr>
                <w:sz w:val="20"/>
                <w:szCs w:val="20"/>
              </w:rPr>
            </w:pPr>
            <w:r w:rsidRPr="00D434C2">
              <w:rPr>
                <w:sz w:val="20"/>
                <w:szCs w:val="20"/>
              </w:rPr>
              <w:t>18 to 64</w:t>
            </w:r>
          </w:p>
        </w:tc>
        <w:tc>
          <w:tcPr>
            <w:tcW w:w="2337" w:type="dxa"/>
            <w:shd w:val="clear" w:color="auto" w:fill="auto"/>
          </w:tcPr>
          <w:p w14:paraId="248F4C35" w14:textId="77777777" w:rsidR="00690B59" w:rsidRPr="00D434C2" w:rsidRDefault="00690B59" w:rsidP="00084A0B">
            <w:pPr>
              <w:jc w:val="center"/>
            </w:pPr>
            <w:r w:rsidRPr="00D434C2">
              <w:t>94.8</w:t>
            </w:r>
          </w:p>
        </w:tc>
        <w:tc>
          <w:tcPr>
            <w:tcW w:w="2574" w:type="dxa"/>
            <w:vMerge/>
            <w:shd w:val="clear" w:color="auto" w:fill="auto"/>
          </w:tcPr>
          <w:p w14:paraId="286B46F3" w14:textId="77777777" w:rsidR="00690B59" w:rsidRPr="00D434C2" w:rsidRDefault="00690B59" w:rsidP="00084A0B">
            <w:pPr>
              <w:jc w:val="center"/>
            </w:pPr>
          </w:p>
        </w:tc>
        <w:tc>
          <w:tcPr>
            <w:tcW w:w="2338" w:type="dxa"/>
            <w:vMerge/>
            <w:shd w:val="clear" w:color="auto" w:fill="auto"/>
          </w:tcPr>
          <w:p w14:paraId="368DACDF" w14:textId="77777777" w:rsidR="00690B59" w:rsidRPr="00D434C2" w:rsidRDefault="00690B59" w:rsidP="00084A0B">
            <w:pPr>
              <w:jc w:val="center"/>
            </w:pPr>
          </w:p>
        </w:tc>
      </w:tr>
      <w:tr w:rsidR="00690B59" w14:paraId="6D9792A3" w14:textId="77777777" w:rsidTr="00084A0B">
        <w:tc>
          <w:tcPr>
            <w:tcW w:w="3433" w:type="dxa"/>
            <w:shd w:val="clear" w:color="auto" w:fill="auto"/>
          </w:tcPr>
          <w:p w14:paraId="1AB69816" w14:textId="77777777" w:rsidR="00690B59" w:rsidRPr="00913415" w:rsidRDefault="00690B59" w:rsidP="00084A0B">
            <w:pPr>
              <w:rPr>
                <w:b/>
                <w:bCs/>
              </w:rPr>
            </w:pPr>
            <w:r w:rsidRPr="00913415">
              <w:rPr>
                <w:b/>
                <w:bCs/>
              </w:rPr>
              <w:t>Education</w:t>
            </w:r>
          </w:p>
        </w:tc>
        <w:tc>
          <w:tcPr>
            <w:tcW w:w="2337" w:type="dxa"/>
            <w:shd w:val="clear" w:color="auto" w:fill="auto"/>
          </w:tcPr>
          <w:p w14:paraId="69F53811" w14:textId="77777777" w:rsidR="00690B59" w:rsidRDefault="00690B59" w:rsidP="00084A0B">
            <w:pPr>
              <w:jc w:val="center"/>
            </w:pPr>
          </w:p>
        </w:tc>
        <w:tc>
          <w:tcPr>
            <w:tcW w:w="2574" w:type="dxa"/>
            <w:shd w:val="clear" w:color="auto" w:fill="auto"/>
          </w:tcPr>
          <w:p w14:paraId="7F74C73A" w14:textId="77777777" w:rsidR="00690B59" w:rsidRDefault="00690B59" w:rsidP="00084A0B">
            <w:pPr>
              <w:jc w:val="center"/>
            </w:pPr>
          </w:p>
        </w:tc>
        <w:tc>
          <w:tcPr>
            <w:tcW w:w="2338" w:type="dxa"/>
            <w:shd w:val="clear" w:color="auto" w:fill="auto"/>
          </w:tcPr>
          <w:p w14:paraId="3E0C0138" w14:textId="77777777" w:rsidR="00690B59" w:rsidRDefault="00690B59" w:rsidP="00084A0B">
            <w:pPr>
              <w:jc w:val="center"/>
            </w:pPr>
          </w:p>
        </w:tc>
      </w:tr>
      <w:tr w:rsidR="00690B59" w14:paraId="425BC213" w14:textId="77777777" w:rsidTr="00084A0B">
        <w:tc>
          <w:tcPr>
            <w:tcW w:w="3433" w:type="dxa"/>
            <w:shd w:val="clear" w:color="auto" w:fill="auto"/>
          </w:tcPr>
          <w:p w14:paraId="6AE17A7D" w14:textId="77777777" w:rsidR="00690B59" w:rsidRPr="00913415" w:rsidRDefault="00690B59" w:rsidP="00084A0B">
            <w:pPr>
              <w:jc w:val="right"/>
              <w:rPr>
                <w:sz w:val="20"/>
                <w:szCs w:val="20"/>
              </w:rPr>
            </w:pPr>
            <w:r w:rsidRPr="00913415">
              <w:rPr>
                <w:sz w:val="20"/>
                <w:szCs w:val="20"/>
              </w:rPr>
              <w:t>Less than HS</w:t>
            </w:r>
          </w:p>
        </w:tc>
        <w:tc>
          <w:tcPr>
            <w:tcW w:w="2337" w:type="dxa"/>
            <w:shd w:val="clear" w:color="auto" w:fill="auto"/>
          </w:tcPr>
          <w:p w14:paraId="6724F03D" w14:textId="77777777" w:rsidR="00690B59" w:rsidRPr="001F46FE" w:rsidRDefault="00690B59" w:rsidP="00084A0B">
            <w:pPr>
              <w:jc w:val="center"/>
            </w:pPr>
            <w:r w:rsidRPr="001F46FE">
              <w:t>19.6</w:t>
            </w:r>
          </w:p>
        </w:tc>
        <w:tc>
          <w:tcPr>
            <w:tcW w:w="2574" w:type="dxa"/>
            <w:shd w:val="clear" w:color="auto" w:fill="auto"/>
          </w:tcPr>
          <w:p w14:paraId="0F21447B" w14:textId="77777777" w:rsidR="00690B59" w:rsidRPr="00A81CA7" w:rsidRDefault="00690B59" w:rsidP="00084A0B">
            <w:pPr>
              <w:jc w:val="center"/>
            </w:pPr>
            <w:r w:rsidRPr="00A81CA7">
              <w:t>12.0</w:t>
            </w:r>
          </w:p>
        </w:tc>
        <w:tc>
          <w:tcPr>
            <w:tcW w:w="2338" w:type="dxa"/>
            <w:shd w:val="clear" w:color="auto" w:fill="auto"/>
          </w:tcPr>
          <w:p w14:paraId="0A4CE0E1" w14:textId="77777777" w:rsidR="00690B59" w:rsidRDefault="00690B59" w:rsidP="00084A0B">
            <w:pPr>
              <w:jc w:val="center"/>
            </w:pPr>
            <w:r>
              <w:t>-7.6</w:t>
            </w:r>
          </w:p>
        </w:tc>
      </w:tr>
      <w:tr w:rsidR="00690B59" w14:paraId="4B399856" w14:textId="77777777" w:rsidTr="00084A0B">
        <w:tc>
          <w:tcPr>
            <w:tcW w:w="3433" w:type="dxa"/>
            <w:shd w:val="clear" w:color="auto" w:fill="auto"/>
          </w:tcPr>
          <w:p w14:paraId="55311E6E" w14:textId="77777777" w:rsidR="00690B59" w:rsidRPr="00913415" w:rsidRDefault="00690B59" w:rsidP="00084A0B">
            <w:pPr>
              <w:jc w:val="right"/>
              <w:rPr>
                <w:sz w:val="20"/>
                <w:szCs w:val="20"/>
              </w:rPr>
            </w:pPr>
            <w:r w:rsidRPr="00913415">
              <w:rPr>
                <w:sz w:val="20"/>
                <w:szCs w:val="20"/>
              </w:rPr>
              <w:t>HS or equivalent</w:t>
            </w:r>
          </w:p>
        </w:tc>
        <w:tc>
          <w:tcPr>
            <w:tcW w:w="2337" w:type="dxa"/>
            <w:shd w:val="clear" w:color="auto" w:fill="auto"/>
          </w:tcPr>
          <w:p w14:paraId="58693F65" w14:textId="77777777" w:rsidR="00690B59" w:rsidRPr="001F46FE" w:rsidRDefault="00690B59" w:rsidP="00084A0B">
            <w:pPr>
              <w:jc w:val="center"/>
            </w:pPr>
            <w:r w:rsidRPr="001F46FE">
              <w:t>51.6</w:t>
            </w:r>
          </w:p>
        </w:tc>
        <w:tc>
          <w:tcPr>
            <w:tcW w:w="2574" w:type="dxa"/>
            <w:shd w:val="clear" w:color="auto" w:fill="auto"/>
          </w:tcPr>
          <w:p w14:paraId="58B1F2F0" w14:textId="77777777" w:rsidR="00690B59" w:rsidRPr="00A81CA7" w:rsidRDefault="00690B59" w:rsidP="00084A0B">
            <w:pPr>
              <w:jc w:val="center"/>
            </w:pPr>
            <w:r w:rsidRPr="00A81CA7">
              <w:t>39.5</w:t>
            </w:r>
          </w:p>
        </w:tc>
        <w:tc>
          <w:tcPr>
            <w:tcW w:w="2338" w:type="dxa"/>
            <w:shd w:val="clear" w:color="auto" w:fill="auto"/>
          </w:tcPr>
          <w:p w14:paraId="3DC1B495" w14:textId="77777777" w:rsidR="00690B59" w:rsidRDefault="00690B59" w:rsidP="00084A0B">
            <w:pPr>
              <w:jc w:val="center"/>
            </w:pPr>
            <w:r>
              <w:t>-12.1</w:t>
            </w:r>
          </w:p>
        </w:tc>
      </w:tr>
      <w:tr w:rsidR="00690B59" w14:paraId="5DEB426D" w14:textId="77777777" w:rsidTr="00084A0B">
        <w:tc>
          <w:tcPr>
            <w:tcW w:w="3433" w:type="dxa"/>
            <w:shd w:val="clear" w:color="auto" w:fill="auto"/>
          </w:tcPr>
          <w:p w14:paraId="7B95FDC5" w14:textId="77777777" w:rsidR="00690B59" w:rsidRPr="00913415" w:rsidRDefault="00690B59" w:rsidP="00084A0B">
            <w:pPr>
              <w:jc w:val="right"/>
              <w:rPr>
                <w:sz w:val="20"/>
                <w:szCs w:val="20"/>
              </w:rPr>
            </w:pPr>
            <w:r w:rsidRPr="00913415">
              <w:rPr>
                <w:sz w:val="20"/>
                <w:szCs w:val="20"/>
              </w:rPr>
              <w:t>Some College (includes AA degree)</w:t>
            </w:r>
          </w:p>
        </w:tc>
        <w:tc>
          <w:tcPr>
            <w:tcW w:w="2337" w:type="dxa"/>
            <w:shd w:val="clear" w:color="auto" w:fill="auto"/>
          </w:tcPr>
          <w:p w14:paraId="4435694D" w14:textId="77777777" w:rsidR="00690B59" w:rsidRPr="001F46FE" w:rsidRDefault="00690B59" w:rsidP="00084A0B">
            <w:pPr>
              <w:jc w:val="center"/>
            </w:pPr>
            <w:r w:rsidRPr="001F46FE">
              <w:t>10.3</w:t>
            </w:r>
          </w:p>
        </w:tc>
        <w:tc>
          <w:tcPr>
            <w:tcW w:w="2574" w:type="dxa"/>
            <w:shd w:val="clear" w:color="auto" w:fill="auto"/>
          </w:tcPr>
          <w:p w14:paraId="501576D4" w14:textId="77777777" w:rsidR="00690B59" w:rsidRPr="00A81CA7" w:rsidRDefault="00690B59" w:rsidP="00084A0B">
            <w:pPr>
              <w:jc w:val="center"/>
            </w:pPr>
            <w:r w:rsidRPr="00A81CA7">
              <w:t>29.0</w:t>
            </w:r>
          </w:p>
        </w:tc>
        <w:tc>
          <w:tcPr>
            <w:tcW w:w="2338" w:type="dxa"/>
            <w:shd w:val="clear" w:color="auto" w:fill="auto"/>
          </w:tcPr>
          <w:p w14:paraId="627C8445" w14:textId="77777777" w:rsidR="00690B59" w:rsidRDefault="00690B59" w:rsidP="00084A0B">
            <w:pPr>
              <w:jc w:val="center"/>
            </w:pPr>
            <w:r>
              <w:t>18.7</w:t>
            </w:r>
          </w:p>
        </w:tc>
      </w:tr>
      <w:tr w:rsidR="00690B59" w14:paraId="6A4038AA" w14:textId="77777777" w:rsidTr="00084A0B">
        <w:tc>
          <w:tcPr>
            <w:tcW w:w="3433" w:type="dxa"/>
            <w:shd w:val="clear" w:color="auto" w:fill="auto"/>
          </w:tcPr>
          <w:p w14:paraId="25603700" w14:textId="77777777" w:rsidR="00690B59" w:rsidRPr="00913415" w:rsidRDefault="00690B59" w:rsidP="00084A0B">
            <w:pPr>
              <w:jc w:val="right"/>
              <w:rPr>
                <w:sz w:val="20"/>
                <w:szCs w:val="20"/>
              </w:rPr>
            </w:pPr>
            <w:r w:rsidRPr="00913415">
              <w:rPr>
                <w:sz w:val="20"/>
                <w:szCs w:val="20"/>
              </w:rPr>
              <w:t>College or More (BA or higher)</w:t>
            </w:r>
          </w:p>
        </w:tc>
        <w:tc>
          <w:tcPr>
            <w:tcW w:w="2337" w:type="dxa"/>
            <w:shd w:val="clear" w:color="auto" w:fill="auto"/>
          </w:tcPr>
          <w:p w14:paraId="772AC7F3" w14:textId="77777777" w:rsidR="00690B59" w:rsidRPr="001F46FE" w:rsidRDefault="00690B59" w:rsidP="00084A0B">
            <w:pPr>
              <w:jc w:val="center"/>
            </w:pPr>
            <w:r w:rsidRPr="001F46FE">
              <w:t>18.4</w:t>
            </w:r>
          </w:p>
        </w:tc>
        <w:tc>
          <w:tcPr>
            <w:tcW w:w="2574" w:type="dxa"/>
            <w:shd w:val="clear" w:color="auto" w:fill="auto"/>
          </w:tcPr>
          <w:p w14:paraId="3F45A406" w14:textId="77777777" w:rsidR="00690B59" w:rsidRPr="00A81CA7" w:rsidRDefault="00690B59" w:rsidP="00084A0B">
            <w:pPr>
              <w:jc w:val="center"/>
            </w:pPr>
            <w:r w:rsidRPr="00A81CA7">
              <w:t>20.0</w:t>
            </w:r>
          </w:p>
        </w:tc>
        <w:tc>
          <w:tcPr>
            <w:tcW w:w="2338" w:type="dxa"/>
            <w:shd w:val="clear" w:color="auto" w:fill="auto"/>
          </w:tcPr>
          <w:p w14:paraId="6DB23FA3" w14:textId="77777777" w:rsidR="00690B59" w:rsidRDefault="00690B59" w:rsidP="00084A0B">
            <w:pPr>
              <w:jc w:val="center"/>
            </w:pPr>
            <w:r>
              <w:t>1.6</w:t>
            </w:r>
          </w:p>
        </w:tc>
      </w:tr>
      <w:tr w:rsidR="00690B59" w14:paraId="304FD176" w14:textId="77777777" w:rsidTr="00084A0B">
        <w:tc>
          <w:tcPr>
            <w:tcW w:w="3433" w:type="dxa"/>
          </w:tcPr>
          <w:p w14:paraId="3CCAB3B1" w14:textId="77777777" w:rsidR="00690B59" w:rsidRPr="00913415" w:rsidRDefault="00690B59" w:rsidP="00084A0B">
            <w:pPr>
              <w:rPr>
                <w:b/>
                <w:bCs/>
              </w:rPr>
            </w:pPr>
            <w:r w:rsidRPr="00913415">
              <w:rPr>
                <w:b/>
                <w:bCs/>
              </w:rPr>
              <w:t>Gender</w:t>
            </w:r>
          </w:p>
        </w:tc>
        <w:tc>
          <w:tcPr>
            <w:tcW w:w="2337" w:type="dxa"/>
          </w:tcPr>
          <w:p w14:paraId="475C5049" w14:textId="77777777" w:rsidR="00690B59" w:rsidRPr="001F46FE" w:rsidRDefault="00690B59" w:rsidP="00084A0B">
            <w:pPr>
              <w:jc w:val="center"/>
            </w:pPr>
          </w:p>
        </w:tc>
        <w:tc>
          <w:tcPr>
            <w:tcW w:w="2574" w:type="dxa"/>
            <w:shd w:val="clear" w:color="auto" w:fill="auto"/>
          </w:tcPr>
          <w:p w14:paraId="3B80E932" w14:textId="77777777" w:rsidR="00690B59" w:rsidRDefault="00690B59" w:rsidP="00084A0B">
            <w:pPr>
              <w:jc w:val="center"/>
            </w:pPr>
          </w:p>
        </w:tc>
        <w:tc>
          <w:tcPr>
            <w:tcW w:w="2338" w:type="dxa"/>
          </w:tcPr>
          <w:p w14:paraId="5B7EF37C" w14:textId="77777777" w:rsidR="00690B59" w:rsidRDefault="00690B59" w:rsidP="00084A0B">
            <w:pPr>
              <w:jc w:val="center"/>
            </w:pPr>
          </w:p>
        </w:tc>
      </w:tr>
      <w:tr w:rsidR="00690B59" w14:paraId="78BC05F0" w14:textId="77777777" w:rsidTr="00084A0B">
        <w:tc>
          <w:tcPr>
            <w:tcW w:w="3433" w:type="dxa"/>
          </w:tcPr>
          <w:p w14:paraId="0123678D" w14:textId="77777777" w:rsidR="00690B59" w:rsidRPr="00913415" w:rsidRDefault="00690B59" w:rsidP="00084A0B">
            <w:pPr>
              <w:jc w:val="right"/>
              <w:rPr>
                <w:sz w:val="20"/>
                <w:szCs w:val="20"/>
              </w:rPr>
            </w:pPr>
            <w:r w:rsidRPr="00913415">
              <w:rPr>
                <w:sz w:val="20"/>
                <w:szCs w:val="20"/>
              </w:rPr>
              <w:t>Does not wish to self-identify</w:t>
            </w:r>
          </w:p>
        </w:tc>
        <w:tc>
          <w:tcPr>
            <w:tcW w:w="2337" w:type="dxa"/>
          </w:tcPr>
          <w:p w14:paraId="46482ADE" w14:textId="77777777" w:rsidR="00690B59" w:rsidRPr="001F46FE" w:rsidRDefault="00690B59" w:rsidP="00084A0B">
            <w:pPr>
              <w:jc w:val="center"/>
            </w:pPr>
            <w:r w:rsidRPr="001F46FE">
              <w:t>1.0</w:t>
            </w:r>
          </w:p>
        </w:tc>
        <w:tc>
          <w:tcPr>
            <w:tcW w:w="2574" w:type="dxa"/>
            <w:shd w:val="clear" w:color="auto" w:fill="auto"/>
          </w:tcPr>
          <w:p w14:paraId="59A16BA7" w14:textId="77777777" w:rsidR="00690B59" w:rsidRDefault="00690B59" w:rsidP="00084A0B">
            <w:pPr>
              <w:jc w:val="center"/>
            </w:pPr>
            <w:r>
              <w:t>--</w:t>
            </w:r>
          </w:p>
        </w:tc>
        <w:tc>
          <w:tcPr>
            <w:tcW w:w="2338" w:type="dxa"/>
          </w:tcPr>
          <w:p w14:paraId="20ABC547" w14:textId="77777777" w:rsidR="00690B59" w:rsidRDefault="00690B59" w:rsidP="00084A0B">
            <w:pPr>
              <w:jc w:val="center"/>
            </w:pPr>
            <w:r>
              <w:t>--</w:t>
            </w:r>
          </w:p>
        </w:tc>
      </w:tr>
      <w:tr w:rsidR="00690B59" w14:paraId="0A92C83E" w14:textId="77777777" w:rsidTr="00084A0B">
        <w:tc>
          <w:tcPr>
            <w:tcW w:w="3433" w:type="dxa"/>
          </w:tcPr>
          <w:p w14:paraId="603CBD86" w14:textId="77777777" w:rsidR="00690B59" w:rsidRPr="00913415" w:rsidRDefault="00690B59" w:rsidP="00084A0B">
            <w:pPr>
              <w:jc w:val="right"/>
              <w:rPr>
                <w:sz w:val="20"/>
                <w:szCs w:val="20"/>
              </w:rPr>
            </w:pPr>
            <w:r w:rsidRPr="00913415">
              <w:rPr>
                <w:sz w:val="20"/>
                <w:szCs w:val="20"/>
              </w:rPr>
              <w:t>Female</w:t>
            </w:r>
          </w:p>
        </w:tc>
        <w:tc>
          <w:tcPr>
            <w:tcW w:w="2337" w:type="dxa"/>
          </w:tcPr>
          <w:p w14:paraId="153FA8E8" w14:textId="77777777" w:rsidR="00690B59" w:rsidRDefault="00690B59" w:rsidP="00084A0B">
            <w:pPr>
              <w:jc w:val="center"/>
            </w:pPr>
            <w:r>
              <w:t>40.7</w:t>
            </w:r>
          </w:p>
        </w:tc>
        <w:tc>
          <w:tcPr>
            <w:tcW w:w="2574" w:type="dxa"/>
            <w:shd w:val="clear" w:color="auto" w:fill="auto"/>
          </w:tcPr>
          <w:p w14:paraId="463F7CFC" w14:textId="77777777" w:rsidR="00690B59" w:rsidRDefault="00690B59" w:rsidP="00084A0B">
            <w:pPr>
              <w:jc w:val="center"/>
            </w:pPr>
            <w:r>
              <w:t>50.7</w:t>
            </w:r>
          </w:p>
        </w:tc>
        <w:tc>
          <w:tcPr>
            <w:tcW w:w="2338" w:type="dxa"/>
          </w:tcPr>
          <w:p w14:paraId="0CAAABF0" w14:textId="77777777" w:rsidR="00690B59" w:rsidRDefault="00690B59" w:rsidP="00084A0B">
            <w:pPr>
              <w:jc w:val="center"/>
            </w:pPr>
            <w:r>
              <w:t>-10.0</w:t>
            </w:r>
          </w:p>
        </w:tc>
      </w:tr>
      <w:tr w:rsidR="00690B59" w14:paraId="4F4E882A" w14:textId="77777777" w:rsidTr="00084A0B">
        <w:tc>
          <w:tcPr>
            <w:tcW w:w="3433" w:type="dxa"/>
          </w:tcPr>
          <w:p w14:paraId="3C18B2E3" w14:textId="77777777" w:rsidR="00690B59" w:rsidRPr="00913415" w:rsidRDefault="00690B59" w:rsidP="00084A0B">
            <w:pPr>
              <w:jc w:val="right"/>
              <w:rPr>
                <w:sz w:val="20"/>
                <w:szCs w:val="20"/>
              </w:rPr>
            </w:pPr>
            <w:r w:rsidRPr="00913415">
              <w:rPr>
                <w:sz w:val="20"/>
                <w:szCs w:val="20"/>
              </w:rPr>
              <w:t>Male</w:t>
            </w:r>
          </w:p>
        </w:tc>
        <w:tc>
          <w:tcPr>
            <w:tcW w:w="2337" w:type="dxa"/>
          </w:tcPr>
          <w:p w14:paraId="1A93896E" w14:textId="77777777" w:rsidR="00690B59" w:rsidRDefault="00690B59" w:rsidP="00084A0B">
            <w:pPr>
              <w:jc w:val="center"/>
            </w:pPr>
            <w:r>
              <w:t>57.3</w:t>
            </w:r>
          </w:p>
        </w:tc>
        <w:tc>
          <w:tcPr>
            <w:tcW w:w="2574" w:type="dxa"/>
            <w:shd w:val="clear" w:color="auto" w:fill="auto"/>
          </w:tcPr>
          <w:p w14:paraId="290C0812" w14:textId="77777777" w:rsidR="00690B59" w:rsidRDefault="00690B59" w:rsidP="00084A0B">
            <w:pPr>
              <w:jc w:val="center"/>
            </w:pPr>
            <w:r>
              <w:t>49.3</w:t>
            </w:r>
          </w:p>
        </w:tc>
        <w:tc>
          <w:tcPr>
            <w:tcW w:w="2338" w:type="dxa"/>
          </w:tcPr>
          <w:p w14:paraId="4D9E5C7A" w14:textId="77777777" w:rsidR="00690B59" w:rsidRDefault="00690B59" w:rsidP="00084A0B">
            <w:pPr>
              <w:jc w:val="center"/>
            </w:pPr>
            <w:r>
              <w:t>8.0</w:t>
            </w:r>
          </w:p>
        </w:tc>
      </w:tr>
      <w:tr w:rsidR="00690B59" w14:paraId="6264CFE9" w14:textId="77777777" w:rsidTr="00084A0B">
        <w:tc>
          <w:tcPr>
            <w:tcW w:w="3433" w:type="dxa"/>
          </w:tcPr>
          <w:p w14:paraId="12CA96EA" w14:textId="77777777" w:rsidR="00690B59" w:rsidRPr="00913415" w:rsidRDefault="00690B59" w:rsidP="00084A0B">
            <w:pPr>
              <w:jc w:val="right"/>
              <w:rPr>
                <w:sz w:val="20"/>
                <w:szCs w:val="20"/>
              </w:rPr>
            </w:pPr>
            <w:r w:rsidRPr="00913415">
              <w:rPr>
                <w:sz w:val="20"/>
                <w:szCs w:val="20"/>
              </w:rPr>
              <w:t>Non-Binary</w:t>
            </w:r>
          </w:p>
        </w:tc>
        <w:tc>
          <w:tcPr>
            <w:tcW w:w="2337" w:type="dxa"/>
          </w:tcPr>
          <w:p w14:paraId="010C58D1" w14:textId="77777777" w:rsidR="00690B59" w:rsidRDefault="00690B59" w:rsidP="00084A0B">
            <w:pPr>
              <w:jc w:val="center"/>
            </w:pPr>
            <w:r>
              <w:t>1.0</w:t>
            </w:r>
          </w:p>
        </w:tc>
        <w:tc>
          <w:tcPr>
            <w:tcW w:w="2574" w:type="dxa"/>
            <w:shd w:val="clear" w:color="auto" w:fill="auto"/>
          </w:tcPr>
          <w:p w14:paraId="51B7FA2E" w14:textId="77777777" w:rsidR="00690B59" w:rsidRDefault="00690B59" w:rsidP="00084A0B">
            <w:pPr>
              <w:jc w:val="center"/>
            </w:pPr>
            <w:r>
              <w:t>--</w:t>
            </w:r>
          </w:p>
        </w:tc>
        <w:tc>
          <w:tcPr>
            <w:tcW w:w="2338" w:type="dxa"/>
          </w:tcPr>
          <w:p w14:paraId="1A058FA8" w14:textId="77777777" w:rsidR="00690B59" w:rsidRDefault="00690B59" w:rsidP="00084A0B">
            <w:pPr>
              <w:jc w:val="center"/>
            </w:pPr>
            <w:r>
              <w:t>--</w:t>
            </w:r>
          </w:p>
        </w:tc>
      </w:tr>
      <w:tr w:rsidR="00690B59" w14:paraId="3136B0D9" w14:textId="77777777" w:rsidTr="00084A0B">
        <w:tc>
          <w:tcPr>
            <w:tcW w:w="3433" w:type="dxa"/>
          </w:tcPr>
          <w:p w14:paraId="5088FA1B" w14:textId="77777777" w:rsidR="00690B59" w:rsidRPr="00913415" w:rsidRDefault="00690B59" w:rsidP="00084A0B">
            <w:pPr>
              <w:rPr>
                <w:b/>
                <w:bCs/>
              </w:rPr>
            </w:pPr>
            <w:r w:rsidRPr="00913415">
              <w:rPr>
                <w:b/>
                <w:bCs/>
              </w:rPr>
              <w:t>Race</w:t>
            </w:r>
          </w:p>
        </w:tc>
        <w:tc>
          <w:tcPr>
            <w:tcW w:w="2337" w:type="dxa"/>
          </w:tcPr>
          <w:p w14:paraId="31EFBD32" w14:textId="77777777" w:rsidR="00690B59" w:rsidRDefault="00690B59" w:rsidP="00084A0B">
            <w:pPr>
              <w:jc w:val="center"/>
            </w:pPr>
          </w:p>
        </w:tc>
        <w:tc>
          <w:tcPr>
            <w:tcW w:w="2574" w:type="dxa"/>
            <w:shd w:val="clear" w:color="auto" w:fill="auto"/>
          </w:tcPr>
          <w:p w14:paraId="5539E368" w14:textId="77777777" w:rsidR="00690B59" w:rsidRDefault="00690B59" w:rsidP="00084A0B">
            <w:pPr>
              <w:jc w:val="center"/>
            </w:pPr>
          </w:p>
        </w:tc>
        <w:tc>
          <w:tcPr>
            <w:tcW w:w="2338" w:type="dxa"/>
          </w:tcPr>
          <w:p w14:paraId="28D5E81F" w14:textId="77777777" w:rsidR="00690B59" w:rsidRDefault="00690B59" w:rsidP="00084A0B">
            <w:pPr>
              <w:jc w:val="center"/>
            </w:pPr>
          </w:p>
        </w:tc>
      </w:tr>
      <w:tr w:rsidR="00690B59" w14:paraId="1651C0DD" w14:textId="77777777" w:rsidTr="00084A0B">
        <w:tc>
          <w:tcPr>
            <w:tcW w:w="3433" w:type="dxa"/>
          </w:tcPr>
          <w:p w14:paraId="1A2B4888" w14:textId="77777777" w:rsidR="00690B59" w:rsidRDefault="00690B59" w:rsidP="00084A0B">
            <w:pPr>
              <w:jc w:val="right"/>
            </w:pPr>
            <w:r>
              <w:t>White</w:t>
            </w:r>
          </w:p>
        </w:tc>
        <w:tc>
          <w:tcPr>
            <w:tcW w:w="2337" w:type="dxa"/>
          </w:tcPr>
          <w:p w14:paraId="098A38C4" w14:textId="77777777" w:rsidR="00690B59" w:rsidRDefault="00690B59" w:rsidP="00084A0B">
            <w:pPr>
              <w:jc w:val="center"/>
            </w:pPr>
            <w:r>
              <w:t>90.1</w:t>
            </w:r>
          </w:p>
        </w:tc>
        <w:tc>
          <w:tcPr>
            <w:tcW w:w="2574" w:type="dxa"/>
            <w:shd w:val="clear" w:color="auto" w:fill="auto"/>
          </w:tcPr>
          <w:p w14:paraId="16B062E4" w14:textId="77777777" w:rsidR="00690B59" w:rsidRDefault="00690B59" w:rsidP="00084A0B">
            <w:pPr>
              <w:jc w:val="center"/>
            </w:pPr>
            <w:r>
              <w:t>93.9</w:t>
            </w:r>
          </w:p>
        </w:tc>
        <w:tc>
          <w:tcPr>
            <w:tcW w:w="2338" w:type="dxa"/>
          </w:tcPr>
          <w:p w14:paraId="07CE7456" w14:textId="77777777" w:rsidR="00690B59" w:rsidRDefault="00690B59" w:rsidP="00084A0B">
            <w:pPr>
              <w:jc w:val="center"/>
            </w:pPr>
            <w:r>
              <w:t>-3.8</w:t>
            </w:r>
          </w:p>
        </w:tc>
      </w:tr>
      <w:tr w:rsidR="00690B59" w14:paraId="5DFC1F6B" w14:textId="77777777" w:rsidTr="00084A0B">
        <w:tc>
          <w:tcPr>
            <w:tcW w:w="3433" w:type="dxa"/>
          </w:tcPr>
          <w:p w14:paraId="5960ABE9" w14:textId="77777777" w:rsidR="00690B59" w:rsidRDefault="00690B59" w:rsidP="00084A0B">
            <w:pPr>
              <w:jc w:val="right"/>
            </w:pPr>
            <w:r>
              <w:t>Racial/Ethnic Minority</w:t>
            </w:r>
          </w:p>
        </w:tc>
        <w:tc>
          <w:tcPr>
            <w:tcW w:w="2337" w:type="dxa"/>
          </w:tcPr>
          <w:p w14:paraId="6CAFEA60" w14:textId="77777777" w:rsidR="00690B59" w:rsidRDefault="00690B59" w:rsidP="00084A0B">
            <w:pPr>
              <w:jc w:val="center"/>
            </w:pPr>
            <w:r>
              <w:t>8.8</w:t>
            </w:r>
          </w:p>
        </w:tc>
        <w:tc>
          <w:tcPr>
            <w:tcW w:w="2574" w:type="dxa"/>
            <w:shd w:val="clear" w:color="auto" w:fill="auto"/>
          </w:tcPr>
          <w:p w14:paraId="33BF51D2" w14:textId="77777777" w:rsidR="00690B59" w:rsidRDefault="00690B59" w:rsidP="00084A0B">
            <w:pPr>
              <w:jc w:val="center"/>
            </w:pPr>
            <w:r>
              <w:t>6.1</w:t>
            </w:r>
          </w:p>
        </w:tc>
        <w:tc>
          <w:tcPr>
            <w:tcW w:w="2338" w:type="dxa"/>
          </w:tcPr>
          <w:p w14:paraId="4DB2C353" w14:textId="77777777" w:rsidR="00690B59" w:rsidRDefault="00690B59" w:rsidP="00084A0B">
            <w:pPr>
              <w:jc w:val="center"/>
            </w:pPr>
            <w:r>
              <w:t>2.7</w:t>
            </w:r>
          </w:p>
        </w:tc>
      </w:tr>
      <w:tr w:rsidR="00690B59" w14:paraId="02418B46" w14:textId="77777777" w:rsidTr="00084A0B">
        <w:tc>
          <w:tcPr>
            <w:tcW w:w="3433" w:type="dxa"/>
          </w:tcPr>
          <w:p w14:paraId="2C4E24AA" w14:textId="77777777" w:rsidR="00690B59" w:rsidRDefault="00690B59" w:rsidP="00084A0B">
            <w:pPr>
              <w:jc w:val="right"/>
            </w:pPr>
            <w:r>
              <w:t>Does Not Wish to Identify</w:t>
            </w:r>
          </w:p>
        </w:tc>
        <w:tc>
          <w:tcPr>
            <w:tcW w:w="2337" w:type="dxa"/>
          </w:tcPr>
          <w:p w14:paraId="4CE14A99" w14:textId="77777777" w:rsidR="00690B59" w:rsidRDefault="00690B59" w:rsidP="00084A0B">
            <w:pPr>
              <w:jc w:val="center"/>
            </w:pPr>
            <w:r>
              <w:t>1.1</w:t>
            </w:r>
          </w:p>
        </w:tc>
        <w:tc>
          <w:tcPr>
            <w:tcW w:w="2574" w:type="dxa"/>
            <w:shd w:val="clear" w:color="auto" w:fill="auto"/>
          </w:tcPr>
          <w:p w14:paraId="79F7BC4D" w14:textId="77777777" w:rsidR="00690B59" w:rsidRDefault="00690B59" w:rsidP="00084A0B">
            <w:pPr>
              <w:jc w:val="center"/>
            </w:pPr>
            <w:r>
              <w:t>--</w:t>
            </w:r>
          </w:p>
        </w:tc>
        <w:tc>
          <w:tcPr>
            <w:tcW w:w="2338" w:type="dxa"/>
          </w:tcPr>
          <w:p w14:paraId="2FFFC551" w14:textId="77777777" w:rsidR="00690B59" w:rsidRDefault="00690B59" w:rsidP="00084A0B">
            <w:pPr>
              <w:jc w:val="center"/>
            </w:pPr>
            <w:r>
              <w:t>--</w:t>
            </w:r>
          </w:p>
        </w:tc>
      </w:tr>
      <w:tr w:rsidR="00690B59" w14:paraId="7D352221" w14:textId="77777777" w:rsidTr="00084A0B">
        <w:tc>
          <w:tcPr>
            <w:tcW w:w="3433" w:type="dxa"/>
          </w:tcPr>
          <w:p w14:paraId="27889D8D" w14:textId="77777777" w:rsidR="00690B59" w:rsidRPr="00913415" w:rsidRDefault="00690B59" w:rsidP="00084A0B">
            <w:pPr>
              <w:rPr>
                <w:b/>
                <w:bCs/>
              </w:rPr>
            </w:pPr>
            <w:r w:rsidRPr="00913415">
              <w:rPr>
                <w:b/>
                <w:bCs/>
              </w:rPr>
              <w:t>SSI Income</w:t>
            </w:r>
          </w:p>
        </w:tc>
        <w:tc>
          <w:tcPr>
            <w:tcW w:w="2337" w:type="dxa"/>
          </w:tcPr>
          <w:p w14:paraId="3F10E8A4" w14:textId="77777777" w:rsidR="00690B59" w:rsidRDefault="00690B59" w:rsidP="00084A0B">
            <w:pPr>
              <w:jc w:val="center"/>
            </w:pPr>
          </w:p>
        </w:tc>
        <w:tc>
          <w:tcPr>
            <w:tcW w:w="2574" w:type="dxa"/>
            <w:shd w:val="clear" w:color="auto" w:fill="auto"/>
          </w:tcPr>
          <w:p w14:paraId="06B9B1D3" w14:textId="77777777" w:rsidR="00690B59" w:rsidRDefault="00690B59" w:rsidP="00084A0B">
            <w:pPr>
              <w:jc w:val="center"/>
            </w:pPr>
          </w:p>
        </w:tc>
        <w:tc>
          <w:tcPr>
            <w:tcW w:w="2338" w:type="dxa"/>
          </w:tcPr>
          <w:p w14:paraId="1CE7A1C1" w14:textId="77777777" w:rsidR="00690B59" w:rsidRDefault="00690B59" w:rsidP="00084A0B">
            <w:pPr>
              <w:jc w:val="center"/>
            </w:pPr>
          </w:p>
        </w:tc>
      </w:tr>
      <w:tr w:rsidR="00690B59" w14:paraId="69FE28C4" w14:textId="77777777" w:rsidTr="00084A0B">
        <w:tc>
          <w:tcPr>
            <w:tcW w:w="3433" w:type="dxa"/>
          </w:tcPr>
          <w:p w14:paraId="7A6B54F4" w14:textId="77777777" w:rsidR="00690B59" w:rsidRPr="00913415" w:rsidRDefault="00690B59" w:rsidP="00084A0B">
            <w:pPr>
              <w:jc w:val="right"/>
              <w:rPr>
                <w:sz w:val="20"/>
                <w:szCs w:val="20"/>
              </w:rPr>
            </w:pPr>
            <w:r w:rsidRPr="00913415">
              <w:rPr>
                <w:sz w:val="20"/>
                <w:szCs w:val="20"/>
              </w:rPr>
              <w:t>Received SSI income at application (ACS: in past year)</w:t>
            </w:r>
          </w:p>
        </w:tc>
        <w:tc>
          <w:tcPr>
            <w:tcW w:w="2337" w:type="dxa"/>
          </w:tcPr>
          <w:p w14:paraId="02A71658" w14:textId="77777777" w:rsidR="00690B59" w:rsidRDefault="00690B59" w:rsidP="00084A0B">
            <w:pPr>
              <w:jc w:val="center"/>
            </w:pPr>
            <w:r>
              <w:t>24.2</w:t>
            </w:r>
          </w:p>
        </w:tc>
        <w:tc>
          <w:tcPr>
            <w:tcW w:w="2574" w:type="dxa"/>
            <w:shd w:val="clear" w:color="auto" w:fill="auto"/>
          </w:tcPr>
          <w:p w14:paraId="5F10F1A1" w14:textId="77777777" w:rsidR="00690B59" w:rsidRDefault="00690B59" w:rsidP="00084A0B">
            <w:pPr>
              <w:jc w:val="center"/>
            </w:pPr>
            <w:r>
              <w:t>30.0</w:t>
            </w:r>
          </w:p>
        </w:tc>
        <w:tc>
          <w:tcPr>
            <w:tcW w:w="2338" w:type="dxa"/>
          </w:tcPr>
          <w:p w14:paraId="28128828" w14:textId="77777777" w:rsidR="00690B59" w:rsidRDefault="00690B59" w:rsidP="00084A0B">
            <w:pPr>
              <w:jc w:val="center"/>
            </w:pPr>
            <w:r>
              <w:t>-5.8</w:t>
            </w:r>
          </w:p>
        </w:tc>
      </w:tr>
      <w:tr w:rsidR="00690B59" w14:paraId="7EC3DD5E" w14:textId="77777777" w:rsidTr="00084A0B">
        <w:tc>
          <w:tcPr>
            <w:tcW w:w="3433" w:type="dxa"/>
          </w:tcPr>
          <w:p w14:paraId="566ED6EC" w14:textId="77777777" w:rsidR="00690B59" w:rsidRPr="00913415" w:rsidRDefault="00690B59" w:rsidP="00084A0B">
            <w:pPr>
              <w:jc w:val="right"/>
              <w:rPr>
                <w:sz w:val="20"/>
                <w:szCs w:val="20"/>
              </w:rPr>
            </w:pPr>
            <w:r w:rsidRPr="00913415">
              <w:rPr>
                <w:sz w:val="20"/>
                <w:szCs w:val="20"/>
              </w:rPr>
              <w:t>Did not receive SSI Income</w:t>
            </w:r>
          </w:p>
        </w:tc>
        <w:tc>
          <w:tcPr>
            <w:tcW w:w="2337" w:type="dxa"/>
          </w:tcPr>
          <w:p w14:paraId="7537EEE7" w14:textId="77777777" w:rsidR="00690B59" w:rsidRDefault="00690B59" w:rsidP="00084A0B">
            <w:pPr>
              <w:jc w:val="center"/>
            </w:pPr>
            <w:r>
              <w:t>75.8</w:t>
            </w:r>
          </w:p>
        </w:tc>
        <w:tc>
          <w:tcPr>
            <w:tcW w:w="2574" w:type="dxa"/>
            <w:shd w:val="clear" w:color="auto" w:fill="auto"/>
          </w:tcPr>
          <w:p w14:paraId="7DD50595" w14:textId="77777777" w:rsidR="00690B59" w:rsidRDefault="00690B59" w:rsidP="00084A0B">
            <w:pPr>
              <w:jc w:val="center"/>
            </w:pPr>
            <w:r>
              <w:t>70.0</w:t>
            </w:r>
          </w:p>
        </w:tc>
        <w:tc>
          <w:tcPr>
            <w:tcW w:w="2338" w:type="dxa"/>
          </w:tcPr>
          <w:p w14:paraId="70441418" w14:textId="77777777" w:rsidR="00690B59" w:rsidRDefault="00690B59" w:rsidP="00084A0B">
            <w:pPr>
              <w:jc w:val="center"/>
            </w:pPr>
            <w:r>
              <w:t>5.8</w:t>
            </w:r>
          </w:p>
        </w:tc>
      </w:tr>
      <w:tr w:rsidR="00690B59" w14:paraId="5FA78493" w14:textId="77777777" w:rsidTr="00084A0B">
        <w:tc>
          <w:tcPr>
            <w:tcW w:w="3433" w:type="dxa"/>
          </w:tcPr>
          <w:p w14:paraId="3B105AB5" w14:textId="77777777" w:rsidR="00690B59" w:rsidRPr="00913415" w:rsidRDefault="00690B59" w:rsidP="00084A0B">
            <w:pPr>
              <w:rPr>
                <w:b/>
                <w:bCs/>
              </w:rPr>
            </w:pPr>
            <w:r w:rsidRPr="00913415">
              <w:rPr>
                <w:b/>
                <w:bCs/>
              </w:rPr>
              <w:t>SSDI Income</w:t>
            </w:r>
          </w:p>
        </w:tc>
        <w:tc>
          <w:tcPr>
            <w:tcW w:w="2337" w:type="dxa"/>
          </w:tcPr>
          <w:p w14:paraId="7D749975" w14:textId="77777777" w:rsidR="00690B59" w:rsidRDefault="00690B59" w:rsidP="00084A0B">
            <w:pPr>
              <w:jc w:val="center"/>
            </w:pPr>
          </w:p>
        </w:tc>
        <w:tc>
          <w:tcPr>
            <w:tcW w:w="2574" w:type="dxa"/>
            <w:shd w:val="clear" w:color="auto" w:fill="auto"/>
          </w:tcPr>
          <w:p w14:paraId="7D30172F" w14:textId="77777777" w:rsidR="00690B59" w:rsidRDefault="00690B59" w:rsidP="00084A0B">
            <w:pPr>
              <w:jc w:val="center"/>
            </w:pPr>
          </w:p>
        </w:tc>
        <w:tc>
          <w:tcPr>
            <w:tcW w:w="2338" w:type="dxa"/>
          </w:tcPr>
          <w:p w14:paraId="38F665AE" w14:textId="77777777" w:rsidR="00690B59" w:rsidRDefault="00690B59" w:rsidP="00084A0B">
            <w:pPr>
              <w:jc w:val="center"/>
            </w:pPr>
          </w:p>
        </w:tc>
      </w:tr>
      <w:tr w:rsidR="00690B59" w14:paraId="159FF6DA" w14:textId="77777777" w:rsidTr="00084A0B">
        <w:tc>
          <w:tcPr>
            <w:tcW w:w="3433" w:type="dxa"/>
          </w:tcPr>
          <w:p w14:paraId="3895D65E" w14:textId="77777777" w:rsidR="00690B59" w:rsidRPr="00913415" w:rsidRDefault="00690B59" w:rsidP="00084A0B">
            <w:pPr>
              <w:jc w:val="right"/>
              <w:rPr>
                <w:sz w:val="20"/>
                <w:szCs w:val="20"/>
              </w:rPr>
            </w:pPr>
            <w:r w:rsidRPr="00913415">
              <w:rPr>
                <w:sz w:val="20"/>
                <w:szCs w:val="20"/>
              </w:rPr>
              <w:t>Received SSDI income at application (ACS: in past year)</w:t>
            </w:r>
          </w:p>
        </w:tc>
        <w:tc>
          <w:tcPr>
            <w:tcW w:w="2337" w:type="dxa"/>
          </w:tcPr>
          <w:p w14:paraId="674D9B41" w14:textId="77777777" w:rsidR="00690B59" w:rsidRDefault="00690B59" w:rsidP="00084A0B">
            <w:pPr>
              <w:jc w:val="center"/>
            </w:pPr>
            <w:r>
              <w:t>17.8</w:t>
            </w:r>
          </w:p>
        </w:tc>
        <w:tc>
          <w:tcPr>
            <w:tcW w:w="2574" w:type="dxa"/>
            <w:shd w:val="clear" w:color="auto" w:fill="auto"/>
          </w:tcPr>
          <w:p w14:paraId="2749F4EA" w14:textId="77777777" w:rsidR="00690B59" w:rsidRDefault="00690B59" w:rsidP="00084A0B">
            <w:pPr>
              <w:jc w:val="center"/>
            </w:pPr>
            <w:r>
              <w:t>60.5</w:t>
            </w:r>
          </w:p>
        </w:tc>
        <w:tc>
          <w:tcPr>
            <w:tcW w:w="2338" w:type="dxa"/>
          </w:tcPr>
          <w:p w14:paraId="5B4588DA" w14:textId="77777777" w:rsidR="00690B59" w:rsidRDefault="00690B59" w:rsidP="00084A0B">
            <w:pPr>
              <w:jc w:val="center"/>
            </w:pPr>
            <w:r>
              <w:t>-42.7</w:t>
            </w:r>
          </w:p>
        </w:tc>
      </w:tr>
      <w:tr w:rsidR="00690B59" w14:paraId="45EF3F15" w14:textId="77777777" w:rsidTr="00084A0B">
        <w:tc>
          <w:tcPr>
            <w:tcW w:w="3433" w:type="dxa"/>
          </w:tcPr>
          <w:p w14:paraId="34CDD300" w14:textId="77777777" w:rsidR="00690B59" w:rsidRPr="00913415" w:rsidRDefault="00690B59" w:rsidP="00084A0B">
            <w:pPr>
              <w:jc w:val="right"/>
              <w:rPr>
                <w:sz w:val="20"/>
                <w:szCs w:val="20"/>
              </w:rPr>
            </w:pPr>
            <w:r w:rsidRPr="00913415">
              <w:rPr>
                <w:sz w:val="20"/>
                <w:szCs w:val="20"/>
              </w:rPr>
              <w:t>Did not receive SSDI income</w:t>
            </w:r>
          </w:p>
        </w:tc>
        <w:tc>
          <w:tcPr>
            <w:tcW w:w="2337" w:type="dxa"/>
          </w:tcPr>
          <w:p w14:paraId="57247D9E" w14:textId="77777777" w:rsidR="00690B59" w:rsidRDefault="00690B59" w:rsidP="00084A0B">
            <w:pPr>
              <w:jc w:val="center"/>
            </w:pPr>
            <w:r>
              <w:t>82.2</w:t>
            </w:r>
          </w:p>
        </w:tc>
        <w:tc>
          <w:tcPr>
            <w:tcW w:w="2574" w:type="dxa"/>
            <w:shd w:val="clear" w:color="auto" w:fill="auto"/>
          </w:tcPr>
          <w:p w14:paraId="2DF3EF57" w14:textId="77777777" w:rsidR="00690B59" w:rsidRDefault="00690B59" w:rsidP="00084A0B">
            <w:pPr>
              <w:jc w:val="center"/>
            </w:pPr>
            <w:r>
              <w:t>39.5</w:t>
            </w:r>
          </w:p>
        </w:tc>
        <w:tc>
          <w:tcPr>
            <w:tcW w:w="2338" w:type="dxa"/>
          </w:tcPr>
          <w:p w14:paraId="0231A763" w14:textId="77777777" w:rsidR="00690B59" w:rsidRDefault="00690B59" w:rsidP="00084A0B">
            <w:pPr>
              <w:jc w:val="center"/>
            </w:pPr>
            <w:r>
              <w:t>42.7</w:t>
            </w:r>
          </w:p>
        </w:tc>
      </w:tr>
    </w:tbl>
    <w:p w14:paraId="0653D25D" w14:textId="77777777" w:rsidR="00690B59" w:rsidRDefault="00690B59" w:rsidP="00690B59">
      <w:r>
        <w:br/>
        <w:t>* DVR client characteristic data is for all cases closed in FFY 2023, including both successful and unsuccessful closures. Characteristics are based on information recorded at application unless otherwise noted.</w:t>
      </w:r>
    </w:p>
    <w:p w14:paraId="2CF36980" w14:textId="1B7CE618" w:rsidR="00690B59" w:rsidRDefault="00690B59" w:rsidP="00690B59">
      <w:r>
        <w:lastRenderedPageBreak/>
        <w:t>** Comparison population defined as individuals ages 18 to 64 with a non-visual disability who do NOT report working in the past week (or being on temporary leave). Source: Maine DVR Data; CWRI Website Reports; 2022 Disability Status Reports from ACS</w:t>
      </w:r>
    </w:p>
    <w:p w14:paraId="425148E0" w14:textId="77777777" w:rsidR="00962076" w:rsidRDefault="00962076" w:rsidP="00690B59"/>
    <w:p w14:paraId="2C4605B6" w14:textId="39821BDD" w:rsidR="00962076" w:rsidRDefault="00962076" w:rsidP="00690B59">
      <w:pPr>
        <w:rPr>
          <w:b/>
          <w:bCs/>
        </w:rPr>
      </w:pPr>
      <w:r w:rsidRPr="00962076">
        <w:rPr>
          <w:b/>
          <w:bCs/>
        </w:rPr>
        <w:t xml:space="preserve">Findings: </w:t>
      </w:r>
    </w:p>
    <w:p w14:paraId="25DC1D1F" w14:textId="7C697B07" w:rsidR="00962076" w:rsidRDefault="00B71CDF" w:rsidP="00962076">
      <w:pPr>
        <w:pStyle w:val="ListParagraph"/>
        <w:numPr>
          <w:ilvl w:val="0"/>
          <w:numId w:val="14"/>
        </w:numPr>
        <w:rPr>
          <w:b/>
          <w:bCs/>
        </w:rPr>
      </w:pPr>
      <w:r>
        <w:rPr>
          <w:b/>
          <w:bCs/>
        </w:rPr>
        <w:t>DVR serves a higher percentage of male clients in comparison to the broader population</w:t>
      </w:r>
    </w:p>
    <w:p w14:paraId="55E66000" w14:textId="4DA02570" w:rsidR="00B71CDF" w:rsidRDefault="007579F5" w:rsidP="00962076">
      <w:pPr>
        <w:pStyle w:val="ListParagraph"/>
        <w:numPr>
          <w:ilvl w:val="0"/>
          <w:numId w:val="14"/>
        </w:numPr>
        <w:rPr>
          <w:b/>
          <w:bCs/>
        </w:rPr>
      </w:pPr>
      <w:r>
        <w:rPr>
          <w:b/>
          <w:bCs/>
        </w:rPr>
        <w:t>DVR clients are more diverse in comparison to the overall population of people with a disability in Maine.</w:t>
      </w:r>
    </w:p>
    <w:p w14:paraId="00937088" w14:textId="4CF2F9AE" w:rsidR="00073069" w:rsidRPr="00962076" w:rsidRDefault="00073069" w:rsidP="00CF4BDF">
      <w:pPr>
        <w:pStyle w:val="ListParagraph"/>
        <w:ind w:left="1440"/>
        <w:rPr>
          <w:b/>
          <w:bCs/>
        </w:rPr>
      </w:pPr>
    </w:p>
    <w:p w14:paraId="09BB0062" w14:textId="77777777" w:rsidR="00690B59" w:rsidRDefault="00690B59" w:rsidP="00690B59"/>
    <w:p w14:paraId="35574128" w14:textId="77777777" w:rsidR="00690B59" w:rsidRDefault="00690B59" w:rsidP="00690B59"/>
    <w:p w14:paraId="0823B374" w14:textId="77777777" w:rsidR="00690B59" w:rsidRDefault="00690B59" w:rsidP="00690B59"/>
    <w:p w14:paraId="3B7247A3" w14:textId="77777777" w:rsidR="00690B59" w:rsidRDefault="00690B59" w:rsidP="00690B59"/>
    <w:p w14:paraId="01B91240" w14:textId="77777777" w:rsidR="00690B59" w:rsidRDefault="00690B59" w:rsidP="00690B59"/>
    <w:p w14:paraId="28DA17A6" w14:textId="77777777" w:rsidR="00690B59" w:rsidRDefault="00690B59" w:rsidP="00690B59"/>
    <w:p w14:paraId="4BC8D598" w14:textId="77777777" w:rsidR="00690B59" w:rsidRDefault="00690B59" w:rsidP="00690B59"/>
    <w:p w14:paraId="72412655" w14:textId="77777777" w:rsidR="00690B59" w:rsidRDefault="00690B59" w:rsidP="00690B59"/>
    <w:p w14:paraId="6DC37557" w14:textId="77777777" w:rsidR="00690B59" w:rsidRDefault="00690B59" w:rsidP="00690B59"/>
    <w:p w14:paraId="13D846AD" w14:textId="77777777" w:rsidR="00690B59" w:rsidRDefault="00690B59" w:rsidP="00690B59"/>
    <w:p w14:paraId="2FF0C5B8" w14:textId="77777777" w:rsidR="00690B59" w:rsidRDefault="00690B59" w:rsidP="00690B59"/>
    <w:p w14:paraId="5914F759" w14:textId="77777777" w:rsidR="00690B59" w:rsidRDefault="00690B59" w:rsidP="00690B59"/>
    <w:p w14:paraId="0EC96328" w14:textId="77777777" w:rsidR="00690B59" w:rsidRDefault="00690B59" w:rsidP="00690B59"/>
    <w:p w14:paraId="5D880E43" w14:textId="77777777" w:rsidR="00690B59" w:rsidRDefault="00690B59" w:rsidP="00690B59"/>
    <w:p w14:paraId="2C76C79C" w14:textId="77777777" w:rsidR="00690B59" w:rsidRDefault="00690B59" w:rsidP="00690B59"/>
    <w:p w14:paraId="674CEFB7" w14:textId="77777777" w:rsidR="00690B59" w:rsidRDefault="00690B59" w:rsidP="00690B59"/>
    <w:p w14:paraId="2C71EB08" w14:textId="77777777" w:rsidR="00690B59" w:rsidRDefault="00690B59" w:rsidP="00690B59"/>
    <w:p w14:paraId="56F9F2B8" w14:textId="77777777" w:rsidR="00690B59" w:rsidRDefault="00690B59" w:rsidP="00690B59"/>
    <w:p w14:paraId="577F97FD" w14:textId="77777777" w:rsidR="00690B59" w:rsidRDefault="00690B59" w:rsidP="00690B59"/>
    <w:p w14:paraId="158DEDE8" w14:textId="77777777" w:rsidR="00690B59" w:rsidRDefault="00690B59" w:rsidP="00690B59"/>
    <w:p w14:paraId="0F09EDAF" w14:textId="77777777" w:rsidR="00690B59" w:rsidRDefault="00690B59" w:rsidP="00690B59"/>
    <w:p w14:paraId="38B15508" w14:textId="77777777" w:rsidR="00690B59" w:rsidRDefault="00690B59" w:rsidP="00690B59"/>
    <w:p w14:paraId="34C4109D" w14:textId="6D07DF31" w:rsidR="00690B59" w:rsidRDefault="00690B59" w:rsidP="00690B59">
      <w:pPr>
        <w:pStyle w:val="ListParagraph"/>
        <w:numPr>
          <w:ilvl w:val="1"/>
          <w:numId w:val="1"/>
        </w:numPr>
        <w:rPr>
          <w:b/>
          <w:bCs/>
        </w:rPr>
      </w:pPr>
      <w:r>
        <w:rPr>
          <w:b/>
          <w:bCs/>
        </w:rPr>
        <w:t>Social Security Recipients in Maine</w:t>
      </w:r>
    </w:p>
    <w:p w14:paraId="75197EF5" w14:textId="6C7C2D07" w:rsidR="00690B59" w:rsidRDefault="00690B59" w:rsidP="00690B59">
      <w:pPr>
        <w:jc w:val="center"/>
        <w:rPr>
          <w:b/>
          <w:bCs/>
        </w:rPr>
      </w:pPr>
      <w:r>
        <w:rPr>
          <w:b/>
          <w:bCs/>
        </w:rPr>
        <w:t xml:space="preserve">Table </w:t>
      </w:r>
      <w:r w:rsidR="00E60190">
        <w:rPr>
          <w:b/>
          <w:bCs/>
        </w:rPr>
        <w:t>4</w:t>
      </w:r>
    </w:p>
    <w:p w14:paraId="77A6A60A" w14:textId="63DB4AAA" w:rsidR="00690B59" w:rsidRDefault="00690B59" w:rsidP="00690B59">
      <w:pPr>
        <w:jc w:val="center"/>
        <w:rPr>
          <w:b/>
          <w:bCs/>
        </w:rPr>
      </w:pPr>
      <w:r>
        <w:rPr>
          <w:b/>
          <w:bCs/>
        </w:rPr>
        <w:t>Open Maine DVR Cases with SSI and SSDI Recipients in Federal Fiscal Year 2023</w:t>
      </w:r>
    </w:p>
    <w:tbl>
      <w:tblPr>
        <w:tblStyle w:val="TableGrid"/>
        <w:tblW w:w="10903" w:type="dxa"/>
        <w:tblLook w:val="04A0" w:firstRow="1" w:lastRow="0" w:firstColumn="1" w:lastColumn="0" w:noHBand="0" w:noVBand="1"/>
      </w:tblPr>
      <w:tblGrid>
        <w:gridCol w:w="4591"/>
        <w:gridCol w:w="1075"/>
        <w:gridCol w:w="1029"/>
        <w:gridCol w:w="1075"/>
        <w:gridCol w:w="1029"/>
        <w:gridCol w:w="1075"/>
        <w:gridCol w:w="1029"/>
      </w:tblGrid>
      <w:tr w:rsidR="00633DAC" w:rsidRPr="000515CD" w14:paraId="314534CA" w14:textId="77777777" w:rsidTr="00084A0B">
        <w:tc>
          <w:tcPr>
            <w:tcW w:w="4591" w:type="dxa"/>
          </w:tcPr>
          <w:p w14:paraId="3CB49E95" w14:textId="77777777" w:rsidR="00633DAC" w:rsidRDefault="00633DAC" w:rsidP="00084A0B">
            <w:pPr>
              <w:jc w:val="center"/>
            </w:pPr>
          </w:p>
        </w:tc>
        <w:tc>
          <w:tcPr>
            <w:tcW w:w="2104" w:type="dxa"/>
            <w:gridSpan w:val="2"/>
          </w:tcPr>
          <w:p w14:paraId="783495FD" w14:textId="77777777" w:rsidR="00633DAC" w:rsidRPr="000515CD" w:rsidRDefault="00633DAC" w:rsidP="00084A0B">
            <w:pPr>
              <w:jc w:val="center"/>
              <w:rPr>
                <w:b/>
                <w:bCs/>
              </w:rPr>
            </w:pPr>
            <w:r w:rsidRPr="000515CD">
              <w:rPr>
                <w:b/>
                <w:bCs/>
              </w:rPr>
              <w:t>Open DVR Cases</w:t>
            </w:r>
          </w:p>
        </w:tc>
        <w:tc>
          <w:tcPr>
            <w:tcW w:w="2104" w:type="dxa"/>
            <w:gridSpan w:val="2"/>
          </w:tcPr>
          <w:p w14:paraId="146AFF47" w14:textId="77777777" w:rsidR="00633DAC" w:rsidRPr="000515CD" w:rsidRDefault="00633DAC" w:rsidP="00084A0B">
            <w:pPr>
              <w:jc w:val="center"/>
              <w:rPr>
                <w:b/>
                <w:bCs/>
              </w:rPr>
            </w:pPr>
            <w:r w:rsidRPr="000515CD">
              <w:rPr>
                <w:b/>
                <w:bCs/>
              </w:rPr>
              <w:t>SSI Recipients</w:t>
            </w:r>
          </w:p>
        </w:tc>
        <w:tc>
          <w:tcPr>
            <w:tcW w:w="2104" w:type="dxa"/>
            <w:gridSpan w:val="2"/>
          </w:tcPr>
          <w:p w14:paraId="67CFFDB7" w14:textId="77777777" w:rsidR="00633DAC" w:rsidRPr="000515CD" w:rsidRDefault="00633DAC" w:rsidP="00084A0B">
            <w:pPr>
              <w:jc w:val="center"/>
              <w:rPr>
                <w:b/>
                <w:bCs/>
              </w:rPr>
            </w:pPr>
            <w:r w:rsidRPr="000515CD">
              <w:rPr>
                <w:b/>
                <w:bCs/>
              </w:rPr>
              <w:t>SSDI Recipients</w:t>
            </w:r>
          </w:p>
        </w:tc>
      </w:tr>
      <w:tr w:rsidR="00633DAC" w:rsidRPr="000515CD" w14:paraId="251B159B" w14:textId="77777777" w:rsidTr="00084A0B">
        <w:tc>
          <w:tcPr>
            <w:tcW w:w="4591" w:type="dxa"/>
          </w:tcPr>
          <w:p w14:paraId="47070505" w14:textId="77777777" w:rsidR="00633DAC" w:rsidRPr="000515CD" w:rsidRDefault="00633DAC" w:rsidP="00084A0B">
            <w:pPr>
              <w:rPr>
                <w:b/>
                <w:bCs/>
              </w:rPr>
            </w:pPr>
            <w:r>
              <w:rPr>
                <w:b/>
                <w:bCs/>
              </w:rPr>
              <w:t>VR Region</w:t>
            </w:r>
          </w:p>
        </w:tc>
        <w:tc>
          <w:tcPr>
            <w:tcW w:w="1075" w:type="dxa"/>
          </w:tcPr>
          <w:p w14:paraId="73587046" w14:textId="77777777" w:rsidR="00633DAC" w:rsidRPr="000515CD" w:rsidRDefault="00633DAC" w:rsidP="00084A0B">
            <w:pPr>
              <w:jc w:val="center"/>
              <w:rPr>
                <w:b/>
                <w:bCs/>
              </w:rPr>
            </w:pPr>
            <w:r w:rsidRPr="000515CD">
              <w:rPr>
                <w:b/>
                <w:bCs/>
              </w:rPr>
              <w:t>Number</w:t>
            </w:r>
          </w:p>
        </w:tc>
        <w:tc>
          <w:tcPr>
            <w:tcW w:w="1029" w:type="dxa"/>
          </w:tcPr>
          <w:p w14:paraId="22D81701" w14:textId="77777777" w:rsidR="00633DAC" w:rsidRPr="000515CD" w:rsidRDefault="00633DAC" w:rsidP="00084A0B">
            <w:pPr>
              <w:jc w:val="center"/>
              <w:rPr>
                <w:b/>
                <w:bCs/>
              </w:rPr>
            </w:pPr>
            <w:r w:rsidRPr="000515CD">
              <w:rPr>
                <w:b/>
                <w:bCs/>
              </w:rPr>
              <w:t>Percent</w:t>
            </w:r>
          </w:p>
        </w:tc>
        <w:tc>
          <w:tcPr>
            <w:tcW w:w="1075" w:type="dxa"/>
          </w:tcPr>
          <w:p w14:paraId="56F758A7" w14:textId="77777777" w:rsidR="00633DAC" w:rsidRPr="000515CD" w:rsidRDefault="00633DAC" w:rsidP="00084A0B">
            <w:pPr>
              <w:jc w:val="center"/>
              <w:rPr>
                <w:b/>
                <w:bCs/>
              </w:rPr>
            </w:pPr>
            <w:r w:rsidRPr="000515CD">
              <w:rPr>
                <w:b/>
                <w:bCs/>
              </w:rPr>
              <w:t>Number</w:t>
            </w:r>
          </w:p>
        </w:tc>
        <w:tc>
          <w:tcPr>
            <w:tcW w:w="1029" w:type="dxa"/>
          </w:tcPr>
          <w:p w14:paraId="6A10EFF5" w14:textId="77777777" w:rsidR="00633DAC" w:rsidRPr="000515CD" w:rsidRDefault="00633DAC" w:rsidP="00084A0B">
            <w:pPr>
              <w:jc w:val="center"/>
              <w:rPr>
                <w:b/>
                <w:bCs/>
              </w:rPr>
            </w:pPr>
            <w:r w:rsidRPr="000515CD">
              <w:rPr>
                <w:b/>
                <w:bCs/>
              </w:rPr>
              <w:t>Percent</w:t>
            </w:r>
          </w:p>
        </w:tc>
        <w:tc>
          <w:tcPr>
            <w:tcW w:w="1075" w:type="dxa"/>
          </w:tcPr>
          <w:p w14:paraId="26D27C6C" w14:textId="77777777" w:rsidR="00633DAC" w:rsidRPr="000515CD" w:rsidRDefault="00633DAC" w:rsidP="00084A0B">
            <w:pPr>
              <w:jc w:val="center"/>
              <w:rPr>
                <w:b/>
                <w:bCs/>
              </w:rPr>
            </w:pPr>
            <w:r w:rsidRPr="000515CD">
              <w:rPr>
                <w:b/>
                <w:bCs/>
              </w:rPr>
              <w:t>Number</w:t>
            </w:r>
          </w:p>
        </w:tc>
        <w:tc>
          <w:tcPr>
            <w:tcW w:w="1029" w:type="dxa"/>
          </w:tcPr>
          <w:p w14:paraId="73FBFCB8" w14:textId="77777777" w:rsidR="00633DAC" w:rsidRPr="000515CD" w:rsidRDefault="00633DAC" w:rsidP="00084A0B">
            <w:pPr>
              <w:jc w:val="center"/>
              <w:rPr>
                <w:b/>
                <w:bCs/>
              </w:rPr>
            </w:pPr>
            <w:r w:rsidRPr="000515CD">
              <w:rPr>
                <w:b/>
                <w:bCs/>
              </w:rPr>
              <w:t>Percent</w:t>
            </w:r>
          </w:p>
        </w:tc>
      </w:tr>
      <w:tr w:rsidR="00633DAC" w:rsidRPr="000515CD" w14:paraId="32CDFD5E" w14:textId="77777777" w:rsidTr="00084A0B">
        <w:tc>
          <w:tcPr>
            <w:tcW w:w="4591" w:type="dxa"/>
            <w:shd w:val="clear" w:color="auto" w:fill="7F7F7F" w:themeFill="text1" w:themeFillTint="80"/>
          </w:tcPr>
          <w:p w14:paraId="1B18B167" w14:textId="77777777" w:rsidR="00633DAC" w:rsidRPr="000515CD" w:rsidRDefault="00633DAC" w:rsidP="00084A0B">
            <w:pPr>
              <w:rPr>
                <w:b/>
                <w:bCs/>
                <w:color w:val="FFFFFF" w:themeColor="background1"/>
              </w:rPr>
            </w:pPr>
            <w:r w:rsidRPr="000515CD">
              <w:rPr>
                <w:b/>
                <w:bCs/>
                <w:color w:val="FFFFFF" w:themeColor="background1"/>
              </w:rPr>
              <w:t>Region I</w:t>
            </w:r>
          </w:p>
        </w:tc>
        <w:tc>
          <w:tcPr>
            <w:tcW w:w="1075" w:type="dxa"/>
            <w:shd w:val="clear" w:color="auto" w:fill="7F7F7F" w:themeFill="text1" w:themeFillTint="80"/>
          </w:tcPr>
          <w:p w14:paraId="1D5A8AF2" w14:textId="77777777" w:rsidR="00633DAC" w:rsidRPr="000515CD" w:rsidRDefault="00633DAC" w:rsidP="00084A0B">
            <w:pPr>
              <w:jc w:val="center"/>
              <w:rPr>
                <w:color w:val="FFFFFF" w:themeColor="background1"/>
              </w:rPr>
            </w:pPr>
          </w:p>
        </w:tc>
        <w:tc>
          <w:tcPr>
            <w:tcW w:w="1029" w:type="dxa"/>
            <w:shd w:val="clear" w:color="auto" w:fill="7F7F7F" w:themeFill="text1" w:themeFillTint="80"/>
          </w:tcPr>
          <w:p w14:paraId="3591272D" w14:textId="77777777" w:rsidR="00633DAC" w:rsidRPr="000515CD" w:rsidRDefault="00633DAC" w:rsidP="00084A0B">
            <w:pPr>
              <w:jc w:val="center"/>
              <w:rPr>
                <w:color w:val="FFFFFF" w:themeColor="background1"/>
              </w:rPr>
            </w:pPr>
          </w:p>
        </w:tc>
        <w:tc>
          <w:tcPr>
            <w:tcW w:w="1075" w:type="dxa"/>
            <w:shd w:val="clear" w:color="auto" w:fill="7F7F7F" w:themeFill="text1" w:themeFillTint="80"/>
          </w:tcPr>
          <w:p w14:paraId="1C98CB35" w14:textId="77777777" w:rsidR="00633DAC" w:rsidRPr="000515CD" w:rsidRDefault="00633DAC" w:rsidP="00084A0B">
            <w:pPr>
              <w:jc w:val="center"/>
              <w:rPr>
                <w:color w:val="FFFFFF" w:themeColor="background1"/>
              </w:rPr>
            </w:pPr>
          </w:p>
        </w:tc>
        <w:tc>
          <w:tcPr>
            <w:tcW w:w="1029" w:type="dxa"/>
            <w:shd w:val="clear" w:color="auto" w:fill="7F7F7F" w:themeFill="text1" w:themeFillTint="80"/>
          </w:tcPr>
          <w:p w14:paraId="2CB86C46" w14:textId="77777777" w:rsidR="00633DAC" w:rsidRPr="000515CD" w:rsidRDefault="00633DAC" w:rsidP="00084A0B">
            <w:pPr>
              <w:jc w:val="center"/>
              <w:rPr>
                <w:color w:val="FFFFFF" w:themeColor="background1"/>
              </w:rPr>
            </w:pPr>
          </w:p>
        </w:tc>
        <w:tc>
          <w:tcPr>
            <w:tcW w:w="1075" w:type="dxa"/>
            <w:shd w:val="clear" w:color="auto" w:fill="7F7F7F" w:themeFill="text1" w:themeFillTint="80"/>
          </w:tcPr>
          <w:p w14:paraId="3A1E7FDD" w14:textId="77777777" w:rsidR="00633DAC" w:rsidRPr="000515CD" w:rsidRDefault="00633DAC" w:rsidP="00084A0B">
            <w:pPr>
              <w:jc w:val="center"/>
              <w:rPr>
                <w:color w:val="FFFFFF" w:themeColor="background1"/>
              </w:rPr>
            </w:pPr>
          </w:p>
        </w:tc>
        <w:tc>
          <w:tcPr>
            <w:tcW w:w="1029" w:type="dxa"/>
            <w:shd w:val="clear" w:color="auto" w:fill="7F7F7F" w:themeFill="text1" w:themeFillTint="80"/>
          </w:tcPr>
          <w:p w14:paraId="3F1C113C" w14:textId="77777777" w:rsidR="00633DAC" w:rsidRPr="000515CD" w:rsidRDefault="00633DAC" w:rsidP="00084A0B">
            <w:pPr>
              <w:jc w:val="center"/>
              <w:rPr>
                <w:color w:val="FFFFFF" w:themeColor="background1"/>
              </w:rPr>
            </w:pPr>
          </w:p>
        </w:tc>
      </w:tr>
      <w:tr w:rsidR="00633DAC" w14:paraId="5A95C4F3" w14:textId="77777777" w:rsidTr="00084A0B">
        <w:tc>
          <w:tcPr>
            <w:tcW w:w="4591" w:type="dxa"/>
          </w:tcPr>
          <w:p w14:paraId="237DDF6F" w14:textId="77777777" w:rsidR="00633DAC" w:rsidRDefault="00633DAC" w:rsidP="00084A0B">
            <w:pPr>
              <w:jc w:val="right"/>
            </w:pPr>
            <w:r>
              <w:t>Counties: Cumberland, York</w:t>
            </w:r>
          </w:p>
        </w:tc>
        <w:tc>
          <w:tcPr>
            <w:tcW w:w="1075" w:type="dxa"/>
          </w:tcPr>
          <w:p w14:paraId="2EF16876" w14:textId="77777777" w:rsidR="00633DAC" w:rsidRDefault="00633DAC" w:rsidP="00084A0B">
            <w:pPr>
              <w:jc w:val="center"/>
            </w:pPr>
            <w:r>
              <w:t>201</w:t>
            </w:r>
          </w:p>
        </w:tc>
        <w:tc>
          <w:tcPr>
            <w:tcW w:w="1029" w:type="dxa"/>
          </w:tcPr>
          <w:p w14:paraId="7E41471D" w14:textId="77777777" w:rsidR="00633DAC" w:rsidRDefault="00633DAC" w:rsidP="00084A0B">
            <w:pPr>
              <w:jc w:val="center"/>
            </w:pPr>
            <w:r>
              <w:t>28.5%</w:t>
            </w:r>
          </w:p>
        </w:tc>
        <w:tc>
          <w:tcPr>
            <w:tcW w:w="1075" w:type="dxa"/>
          </w:tcPr>
          <w:p w14:paraId="295211FB" w14:textId="77777777" w:rsidR="00633DAC" w:rsidRDefault="00633DAC" w:rsidP="00084A0B">
            <w:pPr>
              <w:jc w:val="center"/>
            </w:pPr>
            <w:r>
              <w:t>8,213</w:t>
            </w:r>
          </w:p>
        </w:tc>
        <w:tc>
          <w:tcPr>
            <w:tcW w:w="1029" w:type="dxa"/>
          </w:tcPr>
          <w:p w14:paraId="4C889A22" w14:textId="77777777" w:rsidR="00633DAC" w:rsidRDefault="00633DAC" w:rsidP="00084A0B">
            <w:pPr>
              <w:jc w:val="center"/>
            </w:pPr>
            <w:r>
              <w:t>24.1%</w:t>
            </w:r>
          </w:p>
        </w:tc>
        <w:tc>
          <w:tcPr>
            <w:tcW w:w="1075" w:type="dxa"/>
          </w:tcPr>
          <w:p w14:paraId="2F8DDCED" w14:textId="77777777" w:rsidR="00633DAC" w:rsidRDefault="00633DAC" w:rsidP="00084A0B">
            <w:pPr>
              <w:jc w:val="center"/>
            </w:pPr>
            <w:r>
              <w:t>16,025</w:t>
            </w:r>
          </w:p>
        </w:tc>
        <w:tc>
          <w:tcPr>
            <w:tcW w:w="1029" w:type="dxa"/>
          </w:tcPr>
          <w:p w14:paraId="70612A04" w14:textId="77777777" w:rsidR="00633DAC" w:rsidRDefault="00633DAC" w:rsidP="00084A0B">
            <w:pPr>
              <w:jc w:val="center"/>
            </w:pPr>
            <w:r>
              <w:t>27.7%</w:t>
            </w:r>
          </w:p>
        </w:tc>
      </w:tr>
      <w:tr w:rsidR="00633DAC" w:rsidRPr="000515CD" w14:paraId="3713AC57" w14:textId="77777777" w:rsidTr="00084A0B">
        <w:tc>
          <w:tcPr>
            <w:tcW w:w="4591" w:type="dxa"/>
            <w:shd w:val="clear" w:color="auto" w:fill="7F7F7F" w:themeFill="text1" w:themeFillTint="80"/>
          </w:tcPr>
          <w:p w14:paraId="3EB194E4" w14:textId="77777777" w:rsidR="00633DAC" w:rsidRPr="000515CD" w:rsidRDefault="00633DAC" w:rsidP="00084A0B">
            <w:pPr>
              <w:rPr>
                <w:b/>
                <w:bCs/>
                <w:color w:val="FFFFFF" w:themeColor="background1"/>
              </w:rPr>
            </w:pPr>
            <w:r w:rsidRPr="000515CD">
              <w:rPr>
                <w:b/>
                <w:bCs/>
                <w:color w:val="FFFFFF" w:themeColor="background1"/>
              </w:rPr>
              <w:t>Region II</w:t>
            </w:r>
          </w:p>
        </w:tc>
        <w:tc>
          <w:tcPr>
            <w:tcW w:w="1075" w:type="dxa"/>
            <w:shd w:val="clear" w:color="auto" w:fill="7F7F7F" w:themeFill="text1" w:themeFillTint="80"/>
          </w:tcPr>
          <w:p w14:paraId="3DA9B6E9" w14:textId="77777777" w:rsidR="00633DAC" w:rsidRPr="000515CD" w:rsidRDefault="00633DAC" w:rsidP="00084A0B">
            <w:pPr>
              <w:jc w:val="center"/>
              <w:rPr>
                <w:color w:val="FFFFFF" w:themeColor="background1"/>
              </w:rPr>
            </w:pPr>
          </w:p>
        </w:tc>
        <w:tc>
          <w:tcPr>
            <w:tcW w:w="1029" w:type="dxa"/>
            <w:shd w:val="clear" w:color="auto" w:fill="7F7F7F" w:themeFill="text1" w:themeFillTint="80"/>
          </w:tcPr>
          <w:p w14:paraId="32DAD872" w14:textId="77777777" w:rsidR="00633DAC" w:rsidRPr="000515CD" w:rsidRDefault="00633DAC" w:rsidP="00084A0B">
            <w:pPr>
              <w:jc w:val="center"/>
              <w:rPr>
                <w:color w:val="FFFFFF" w:themeColor="background1"/>
              </w:rPr>
            </w:pPr>
          </w:p>
        </w:tc>
        <w:tc>
          <w:tcPr>
            <w:tcW w:w="1075" w:type="dxa"/>
            <w:shd w:val="clear" w:color="auto" w:fill="7F7F7F" w:themeFill="text1" w:themeFillTint="80"/>
          </w:tcPr>
          <w:p w14:paraId="10AE520D" w14:textId="77777777" w:rsidR="00633DAC" w:rsidRPr="000515CD" w:rsidRDefault="00633DAC" w:rsidP="00084A0B">
            <w:pPr>
              <w:jc w:val="center"/>
              <w:rPr>
                <w:color w:val="FFFFFF" w:themeColor="background1"/>
              </w:rPr>
            </w:pPr>
          </w:p>
        </w:tc>
        <w:tc>
          <w:tcPr>
            <w:tcW w:w="1029" w:type="dxa"/>
            <w:shd w:val="clear" w:color="auto" w:fill="7F7F7F" w:themeFill="text1" w:themeFillTint="80"/>
          </w:tcPr>
          <w:p w14:paraId="0A8E7EE3" w14:textId="77777777" w:rsidR="00633DAC" w:rsidRPr="000515CD" w:rsidRDefault="00633DAC" w:rsidP="00084A0B">
            <w:pPr>
              <w:jc w:val="center"/>
              <w:rPr>
                <w:color w:val="FFFFFF" w:themeColor="background1"/>
              </w:rPr>
            </w:pPr>
          </w:p>
        </w:tc>
        <w:tc>
          <w:tcPr>
            <w:tcW w:w="1075" w:type="dxa"/>
            <w:shd w:val="clear" w:color="auto" w:fill="7F7F7F" w:themeFill="text1" w:themeFillTint="80"/>
          </w:tcPr>
          <w:p w14:paraId="17A68CDB" w14:textId="77777777" w:rsidR="00633DAC" w:rsidRPr="000515CD" w:rsidRDefault="00633DAC" w:rsidP="00084A0B">
            <w:pPr>
              <w:jc w:val="center"/>
              <w:rPr>
                <w:color w:val="FFFFFF" w:themeColor="background1"/>
              </w:rPr>
            </w:pPr>
          </w:p>
        </w:tc>
        <w:tc>
          <w:tcPr>
            <w:tcW w:w="1029" w:type="dxa"/>
            <w:shd w:val="clear" w:color="auto" w:fill="7F7F7F" w:themeFill="text1" w:themeFillTint="80"/>
          </w:tcPr>
          <w:p w14:paraId="6B765E7C" w14:textId="77777777" w:rsidR="00633DAC" w:rsidRPr="000515CD" w:rsidRDefault="00633DAC" w:rsidP="00084A0B">
            <w:pPr>
              <w:jc w:val="center"/>
              <w:rPr>
                <w:color w:val="FFFFFF" w:themeColor="background1"/>
              </w:rPr>
            </w:pPr>
          </w:p>
        </w:tc>
      </w:tr>
      <w:tr w:rsidR="00633DAC" w14:paraId="207AE5E9" w14:textId="77777777" w:rsidTr="00084A0B">
        <w:tc>
          <w:tcPr>
            <w:tcW w:w="4591" w:type="dxa"/>
          </w:tcPr>
          <w:p w14:paraId="08C751A9" w14:textId="77777777" w:rsidR="00633DAC" w:rsidRDefault="00633DAC" w:rsidP="00084A0B">
            <w:pPr>
              <w:jc w:val="right"/>
            </w:pPr>
            <w:r>
              <w:t>Counties: Androscoggin, Franklin, Oxford, Sagadahoc</w:t>
            </w:r>
          </w:p>
        </w:tc>
        <w:tc>
          <w:tcPr>
            <w:tcW w:w="1075" w:type="dxa"/>
            <w:vAlign w:val="center"/>
          </w:tcPr>
          <w:p w14:paraId="619481E1" w14:textId="77777777" w:rsidR="00633DAC" w:rsidRDefault="00633DAC" w:rsidP="00084A0B">
            <w:pPr>
              <w:jc w:val="center"/>
            </w:pPr>
            <w:r>
              <w:t>133</w:t>
            </w:r>
          </w:p>
        </w:tc>
        <w:tc>
          <w:tcPr>
            <w:tcW w:w="1029" w:type="dxa"/>
            <w:vAlign w:val="center"/>
          </w:tcPr>
          <w:p w14:paraId="19478B81" w14:textId="77777777" w:rsidR="00633DAC" w:rsidRDefault="00633DAC" w:rsidP="00084A0B">
            <w:pPr>
              <w:jc w:val="center"/>
            </w:pPr>
            <w:r>
              <w:t>18.9%</w:t>
            </w:r>
          </w:p>
        </w:tc>
        <w:tc>
          <w:tcPr>
            <w:tcW w:w="1075" w:type="dxa"/>
            <w:vAlign w:val="center"/>
          </w:tcPr>
          <w:p w14:paraId="68BF8384" w14:textId="77777777" w:rsidR="00633DAC" w:rsidRDefault="00633DAC" w:rsidP="00084A0B">
            <w:pPr>
              <w:jc w:val="center"/>
            </w:pPr>
            <w:r>
              <w:t>7,136</w:t>
            </w:r>
          </w:p>
        </w:tc>
        <w:tc>
          <w:tcPr>
            <w:tcW w:w="1029" w:type="dxa"/>
            <w:vAlign w:val="center"/>
          </w:tcPr>
          <w:p w14:paraId="16254CE0" w14:textId="77777777" w:rsidR="00633DAC" w:rsidRDefault="00633DAC" w:rsidP="00084A0B">
            <w:pPr>
              <w:jc w:val="center"/>
            </w:pPr>
            <w:r>
              <w:t>20.9%</w:t>
            </w:r>
          </w:p>
        </w:tc>
        <w:tc>
          <w:tcPr>
            <w:tcW w:w="1075" w:type="dxa"/>
            <w:vAlign w:val="center"/>
          </w:tcPr>
          <w:p w14:paraId="3002F2C3" w14:textId="77777777" w:rsidR="00633DAC" w:rsidRDefault="00633DAC" w:rsidP="00084A0B">
            <w:pPr>
              <w:jc w:val="center"/>
            </w:pPr>
            <w:r>
              <w:t>11,540</w:t>
            </w:r>
          </w:p>
        </w:tc>
        <w:tc>
          <w:tcPr>
            <w:tcW w:w="1029" w:type="dxa"/>
            <w:vAlign w:val="center"/>
          </w:tcPr>
          <w:p w14:paraId="7C27DDF4" w14:textId="77777777" w:rsidR="00633DAC" w:rsidRDefault="00633DAC" w:rsidP="00084A0B">
            <w:pPr>
              <w:jc w:val="center"/>
            </w:pPr>
            <w:r>
              <w:t>20.0%</w:t>
            </w:r>
          </w:p>
        </w:tc>
      </w:tr>
      <w:tr w:rsidR="00633DAC" w:rsidRPr="000515CD" w14:paraId="39A08AB8" w14:textId="77777777" w:rsidTr="00084A0B">
        <w:tc>
          <w:tcPr>
            <w:tcW w:w="4591" w:type="dxa"/>
            <w:shd w:val="clear" w:color="auto" w:fill="7F7F7F" w:themeFill="text1" w:themeFillTint="80"/>
          </w:tcPr>
          <w:p w14:paraId="25D2D052" w14:textId="77777777" w:rsidR="00633DAC" w:rsidRPr="000515CD" w:rsidRDefault="00633DAC" w:rsidP="00084A0B">
            <w:pPr>
              <w:rPr>
                <w:b/>
                <w:bCs/>
                <w:color w:val="FFFFFF" w:themeColor="background1"/>
              </w:rPr>
            </w:pPr>
            <w:r w:rsidRPr="000515CD">
              <w:rPr>
                <w:b/>
                <w:bCs/>
                <w:color w:val="FFFFFF" w:themeColor="background1"/>
              </w:rPr>
              <w:t>Region III</w:t>
            </w:r>
          </w:p>
        </w:tc>
        <w:tc>
          <w:tcPr>
            <w:tcW w:w="1075" w:type="dxa"/>
            <w:shd w:val="clear" w:color="auto" w:fill="7F7F7F" w:themeFill="text1" w:themeFillTint="80"/>
          </w:tcPr>
          <w:p w14:paraId="238EA7DE" w14:textId="77777777" w:rsidR="00633DAC" w:rsidRPr="000515CD" w:rsidRDefault="00633DAC" w:rsidP="00084A0B">
            <w:pPr>
              <w:jc w:val="center"/>
              <w:rPr>
                <w:color w:val="FFFFFF" w:themeColor="background1"/>
              </w:rPr>
            </w:pPr>
          </w:p>
        </w:tc>
        <w:tc>
          <w:tcPr>
            <w:tcW w:w="1029" w:type="dxa"/>
            <w:shd w:val="clear" w:color="auto" w:fill="7F7F7F" w:themeFill="text1" w:themeFillTint="80"/>
          </w:tcPr>
          <w:p w14:paraId="32CAAD77" w14:textId="77777777" w:rsidR="00633DAC" w:rsidRPr="000515CD" w:rsidRDefault="00633DAC" w:rsidP="00084A0B">
            <w:pPr>
              <w:jc w:val="center"/>
              <w:rPr>
                <w:color w:val="FFFFFF" w:themeColor="background1"/>
              </w:rPr>
            </w:pPr>
          </w:p>
        </w:tc>
        <w:tc>
          <w:tcPr>
            <w:tcW w:w="1075" w:type="dxa"/>
            <w:shd w:val="clear" w:color="auto" w:fill="7F7F7F" w:themeFill="text1" w:themeFillTint="80"/>
          </w:tcPr>
          <w:p w14:paraId="246D8274" w14:textId="77777777" w:rsidR="00633DAC" w:rsidRPr="000515CD" w:rsidRDefault="00633DAC" w:rsidP="00084A0B">
            <w:pPr>
              <w:jc w:val="center"/>
              <w:rPr>
                <w:color w:val="FFFFFF" w:themeColor="background1"/>
              </w:rPr>
            </w:pPr>
          </w:p>
        </w:tc>
        <w:tc>
          <w:tcPr>
            <w:tcW w:w="1029" w:type="dxa"/>
            <w:shd w:val="clear" w:color="auto" w:fill="7F7F7F" w:themeFill="text1" w:themeFillTint="80"/>
          </w:tcPr>
          <w:p w14:paraId="183255EA" w14:textId="77777777" w:rsidR="00633DAC" w:rsidRPr="000515CD" w:rsidRDefault="00633DAC" w:rsidP="00084A0B">
            <w:pPr>
              <w:jc w:val="center"/>
              <w:rPr>
                <w:color w:val="FFFFFF" w:themeColor="background1"/>
              </w:rPr>
            </w:pPr>
          </w:p>
        </w:tc>
        <w:tc>
          <w:tcPr>
            <w:tcW w:w="1075" w:type="dxa"/>
            <w:shd w:val="clear" w:color="auto" w:fill="7F7F7F" w:themeFill="text1" w:themeFillTint="80"/>
          </w:tcPr>
          <w:p w14:paraId="5E16A735" w14:textId="77777777" w:rsidR="00633DAC" w:rsidRPr="000515CD" w:rsidRDefault="00633DAC" w:rsidP="00084A0B">
            <w:pPr>
              <w:jc w:val="center"/>
              <w:rPr>
                <w:color w:val="FFFFFF" w:themeColor="background1"/>
              </w:rPr>
            </w:pPr>
          </w:p>
        </w:tc>
        <w:tc>
          <w:tcPr>
            <w:tcW w:w="1029" w:type="dxa"/>
            <w:shd w:val="clear" w:color="auto" w:fill="7F7F7F" w:themeFill="text1" w:themeFillTint="80"/>
          </w:tcPr>
          <w:p w14:paraId="261974BF" w14:textId="77777777" w:rsidR="00633DAC" w:rsidRPr="000515CD" w:rsidRDefault="00633DAC" w:rsidP="00084A0B">
            <w:pPr>
              <w:jc w:val="center"/>
              <w:rPr>
                <w:color w:val="FFFFFF" w:themeColor="background1"/>
              </w:rPr>
            </w:pPr>
          </w:p>
        </w:tc>
      </w:tr>
      <w:tr w:rsidR="00633DAC" w14:paraId="5E3EDDE9" w14:textId="77777777" w:rsidTr="00084A0B">
        <w:tc>
          <w:tcPr>
            <w:tcW w:w="4591" w:type="dxa"/>
          </w:tcPr>
          <w:p w14:paraId="5EF68BAF" w14:textId="77777777" w:rsidR="00633DAC" w:rsidRDefault="00633DAC" w:rsidP="00084A0B">
            <w:pPr>
              <w:jc w:val="right"/>
            </w:pPr>
            <w:r>
              <w:t>Counties: Kennebec, Knox, Lincoln, Somerset, Waldo</w:t>
            </w:r>
          </w:p>
        </w:tc>
        <w:tc>
          <w:tcPr>
            <w:tcW w:w="1075" w:type="dxa"/>
            <w:vAlign w:val="center"/>
          </w:tcPr>
          <w:p w14:paraId="3359A66C" w14:textId="77777777" w:rsidR="00633DAC" w:rsidRDefault="00633DAC" w:rsidP="00084A0B">
            <w:pPr>
              <w:jc w:val="center"/>
            </w:pPr>
            <w:r>
              <w:t>198</w:t>
            </w:r>
          </w:p>
        </w:tc>
        <w:tc>
          <w:tcPr>
            <w:tcW w:w="1029" w:type="dxa"/>
            <w:vAlign w:val="center"/>
          </w:tcPr>
          <w:p w14:paraId="11523BA7" w14:textId="77777777" w:rsidR="00633DAC" w:rsidRDefault="00633DAC" w:rsidP="00084A0B">
            <w:pPr>
              <w:jc w:val="center"/>
            </w:pPr>
            <w:r>
              <w:t>28.1%</w:t>
            </w:r>
          </w:p>
        </w:tc>
        <w:tc>
          <w:tcPr>
            <w:tcW w:w="1075" w:type="dxa"/>
            <w:vAlign w:val="center"/>
          </w:tcPr>
          <w:p w14:paraId="1AC734E9" w14:textId="77777777" w:rsidR="00633DAC" w:rsidRDefault="00633DAC" w:rsidP="00084A0B">
            <w:pPr>
              <w:jc w:val="center"/>
            </w:pPr>
            <w:r>
              <w:t>8,330</w:t>
            </w:r>
          </w:p>
        </w:tc>
        <w:tc>
          <w:tcPr>
            <w:tcW w:w="1029" w:type="dxa"/>
            <w:vAlign w:val="center"/>
          </w:tcPr>
          <w:p w14:paraId="67458DCF" w14:textId="77777777" w:rsidR="00633DAC" w:rsidRDefault="00633DAC" w:rsidP="00084A0B">
            <w:pPr>
              <w:jc w:val="center"/>
            </w:pPr>
            <w:r>
              <w:t>24.4%</w:t>
            </w:r>
          </w:p>
        </w:tc>
        <w:tc>
          <w:tcPr>
            <w:tcW w:w="1075" w:type="dxa"/>
            <w:vAlign w:val="center"/>
          </w:tcPr>
          <w:p w14:paraId="725E1CC2" w14:textId="77777777" w:rsidR="00633DAC" w:rsidRDefault="00633DAC" w:rsidP="00084A0B">
            <w:pPr>
              <w:jc w:val="center"/>
            </w:pPr>
            <w:r>
              <w:t>14,025</w:t>
            </w:r>
          </w:p>
        </w:tc>
        <w:tc>
          <w:tcPr>
            <w:tcW w:w="1029" w:type="dxa"/>
            <w:vAlign w:val="center"/>
          </w:tcPr>
          <w:p w14:paraId="1F822129" w14:textId="77777777" w:rsidR="00633DAC" w:rsidRDefault="00633DAC" w:rsidP="00084A0B">
            <w:pPr>
              <w:jc w:val="center"/>
            </w:pPr>
            <w:r>
              <w:t>24.2%</w:t>
            </w:r>
          </w:p>
        </w:tc>
      </w:tr>
      <w:tr w:rsidR="00633DAC" w:rsidRPr="000515CD" w14:paraId="3FFC7220" w14:textId="77777777" w:rsidTr="00084A0B">
        <w:tc>
          <w:tcPr>
            <w:tcW w:w="4591" w:type="dxa"/>
            <w:shd w:val="clear" w:color="auto" w:fill="7F7F7F" w:themeFill="text1" w:themeFillTint="80"/>
          </w:tcPr>
          <w:p w14:paraId="2CD42071" w14:textId="77777777" w:rsidR="00633DAC" w:rsidRPr="000515CD" w:rsidRDefault="00633DAC" w:rsidP="00084A0B">
            <w:pPr>
              <w:rPr>
                <w:b/>
                <w:bCs/>
                <w:color w:val="FFFFFF" w:themeColor="background1"/>
              </w:rPr>
            </w:pPr>
            <w:r w:rsidRPr="000515CD">
              <w:rPr>
                <w:b/>
                <w:bCs/>
                <w:color w:val="FFFFFF" w:themeColor="background1"/>
              </w:rPr>
              <w:t>Region IV</w:t>
            </w:r>
          </w:p>
        </w:tc>
        <w:tc>
          <w:tcPr>
            <w:tcW w:w="1075" w:type="dxa"/>
            <w:shd w:val="clear" w:color="auto" w:fill="7F7F7F" w:themeFill="text1" w:themeFillTint="80"/>
          </w:tcPr>
          <w:p w14:paraId="60ED5EFF" w14:textId="77777777" w:rsidR="00633DAC" w:rsidRPr="000515CD" w:rsidRDefault="00633DAC" w:rsidP="00084A0B">
            <w:pPr>
              <w:jc w:val="center"/>
              <w:rPr>
                <w:color w:val="FFFFFF" w:themeColor="background1"/>
              </w:rPr>
            </w:pPr>
          </w:p>
        </w:tc>
        <w:tc>
          <w:tcPr>
            <w:tcW w:w="1029" w:type="dxa"/>
            <w:shd w:val="clear" w:color="auto" w:fill="7F7F7F" w:themeFill="text1" w:themeFillTint="80"/>
          </w:tcPr>
          <w:p w14:paraId="0D625593" w14:textId="77777777" w:rsidR="00633DAC" w:rsidRPr="000515CD" w:rsidRDefault="00633DAC" w:rsidP="00084A0B">
            <w:pPr>
              <w:jc w:val="center"/>
              <w:rPr>
                <w:color w:val="FFFFFF" w:themeColor="background1"/>
              </w:rPr>
            </w:pPr>
          </w:p>
        </w:tc>
        <w:tc>
          <w:tcPr>
            <w:tcW w:w="1075" w:type="dxa"/>
            <w:shd w:val="clear" w:color="auto" w:fill="7F7F7F" w:themeFill="text1" w:themeFillTint="80"/>
          </w:tcPr>
          <w:p w14:paraId="1079A253" w14:textId="77777777" w:rsidR="00633DAC" w:rsidRPr="000515CD" w:rsidRDefault="00633DAC" w:rsidP="00084A0B">
            <w:pPr>
              <w:jc w:val="center"/>
              <w:rPr>
                <w:color w:val="FFFFFF" w:themeColor="background1"/>
              </w:rPr>
            </w:pPr>
          </w:p>
        </w:tc>
        <w:tc>
          <w:tcPr>
            <w:tcW w:w="1029" w:type="dxa"/>
            <w:shd w:val="clear" w:color="auto" w:fill="7F7F7F" w:themeFill="text1" w:themeFillTint="80"/>
          </w:tcPr>
          <w:p w14:paraId="25550D4A" w14:textId="77777777" w:rsidR="00633DAC" w:rsidRPr="000515CD" w:rsidRDefault="00633DAC" w:rsidP="00084A0B">
            <w:pPr>
              <w:jc w:val="center"/>
              <w:rPr>
                <w:color w:val="FFFFFF" w:themeColor="background1"/>
              </w:rPr>
            </w:pPr>
          </w:p>
        </w:tc>
        <w:tc>
          <w:tcPr>
            <w:tcW w:w="1075" w:type="dxa"/>
            <w:shd w:val="clear" w:color="auto" w:fill="7F7F7F" w:themeFill="text1" w:themeFillTint="80"/>
          </w:tcPr>
          <w:p w14:paraId="4AEBA021" w14:textId="77777777" w:rsidR="00633DAC" w:rsidRPr="000515CD" w:rsidRDefault="00633DAC" w:rsidP="00084A0B">
            <w:pPr>
              <w:jc w:val="center"/>
              <w:rPr>
                <w:color w:val="FFFFFF" w:themeColor="background1"/>
              </w:rPr>
            </w:pPr>
          </w:p>
        </w:tc>
        <w:tc>
          <w:tcPr>
            <w:tcW w:w="1029" w:type="dxa"/>
            <w:shd w:val="clear" w:color="auto" w:fill="7F7F7F" w:themeFill="text1" w:themeFillTint="80"/>
          </w:tcPr>
          <w:p w14:paraId="4C6B006F" w14:textId="77777777" w:rsidR="00633DAC" w:rsidRPr="000515CD" w:rsidRDefault="00633DAC" w:rsidP="00084A0B">
            <w:pPr>
              <w:jc w:val="center"/>
              <w:rPr>
                <w:color w:val="FFFFFF" w:themeColor="background1"/>
              </w:rPr>
            </w:pPr>
          </w:p>
        </w:tc>
      </w:tr>
      <w:tr w:rsidR="00633DAC" w14:paraId="37DE5222" w14:textId="77777777" w:rsidTr="00084A0B">
        <w:tc>
          <w:tcPr>
            <w:tcW w:w="4591" w:type="dxa"/>
          </w:tcPr>
          <w:p w14:paraId="52B2FA42" w14:textId="77777777" w:rsidR="00633DAC" w:rsidRDefault="00633DAC" w:rsidP="00084A0B">
            <w:pPr>
              <w:jc w:val="right"/>
            </w:pPr>
            <w:r>
              <w:t>Counties: Hancock, Penobscot, Piscataquis, Washington</w:t>
            </w:r>
          </w:p>
        </w:tc>
        <w:tc>
          <w:tcPr>
            <w:tcW w:w="1075" w:type="dxa"/>
            <w:vAlign w:val="center"/>
          </w:tcPr>
          <w:p w14:paraId="37379E81" w14:textId="77777777" w:rsidR="00633DAC" w:rsidRDefault="00633DAC" w:rsidP="00084A0B">
            <w:pPr>
              <w:jc w:val="center"/>
            </w:pPr>
            <w:r>
              <w:t>143</w:t>
            </w:r>
          </w:p>
        </w:tc>
        <w:tc>
          <w:tcPr>
            <w:tcW w:w="1029" w:type="dxa"/>
            <w:vAlign w:val="center"/>
          </w:tcPr>
          <w:p w14:paraId="6BC87D3F" w14:textId="77777777" w:rsidR="00633DAC" w:rsidRDefault="00633DAC" w:rsidP="00084A0B">
            <w:pPr>
              <w:jc w:val="center"/>
            </w:pPr>
            <w:r>
              <w:t>20.3%</w:t>
            </w:r>
          </w:p>
        </w:tc>
        <w:tc>
          <w:tcPr>
            <w:tcW w:w="1075" w:type="dxa"/>
            <w:vAlign w:val="center"/>
          </w:tcPr>
          <w:p w14:paraId="0579D78C" w14:textId="77777777" w:rsidR="00633DAC" w:rsidRDefault="00633DAC" w:rsidP="00084A0B">
            <w:pPr>
              <w:jc w:val="center"/>
            </w:pPr>
            <w:r>
              <w:t>7,976</w:t>
            </w:r>
          </w:p>
        </w:tc>
        <w:tc>
          <w:tcPr>
            <w:tcW w:w="1029" w:type="dxa"/>
            <w:vAlign w:val="center"/>
          </w:tcPr>
          <w:p w14:paraId="2E4EBA80" w14:textId="77777777" w:rsidR="00633DAC" w:rsidRDefault="00633DAC" w:rsidP="00084A0B">
            <w:pPr>
              <w:jc w:val="center"/>
            </w:pPr>
            <w:r>
              <w:t>23.4%</w:t>
            </w:r>
          </w:p>
        </w:tc>
        <w:tc>
          <w:tcPr>
            <w:tcW w:w="1075" w:type="dxa"/>
            <w:vAlign w:val="center"/>
          </w:tcPr>
          <w:p w14:paraId="1D559386" w14:textId="77777777" w:rsidR="00633DAC" w:rsidRDefault="00633DAC" w:rsidP="00084A0B">
            <w:pPr>
              <w:jc w:val="center"/>
            </w:pPr>
            <w:r>
              <w:t>12,375</w:t>
            </w:r>
          </w:p>
        </w:tc>
        <w:tc>
          <w:tcPr>
            <w:tcW w:w="1029" w:type="dxa"/>
            <w:vAlign w:val="center"/>
          </w:tcPr>
          <w:p w14:paraId="7709390B" w14:textId="77777777" w:rsidR="00633DAC" w:rsidRDefault="00633DAC" w:rsidP="00084A0B">
            <w:pPr>
              <w:jc w:val="center"/>
            </w:pPr>
            <w:r>
              <w:t>21.4%</w:t>
            </w:r>
          </w:p>
        </w:tc>
      </w:tr>
      <w:tr w:rsidR="00633DAC" w14:paraId="09DC2D15" w14:textId="77777777" w:rsidTr="00084A0B">
        <w:tc>
          <w:tcPr>
            <w:tcW w:w="4591" w:type="dxa"/>
            <w:shd w:val="clear" w:color="auto" w:fill="7F7F7F" w:themeFill="text1" w:themeFillTint="80"/>
          </w:tcPr>
          <w:p w14:paraId="6701B4FF" w14:textId="77777777" w:rsidR="00633DAC" w:rsidRDefault="00633DAC" w:rsidP="00084A0B">
            <w:r w:rsidRPr="000515CD">
              <w:rPr>
                <w:b/>
                <w:bCs/>
                <w:color w:val="FFFFFF" w:themeColor="background1"/>
              </w:rPr>
              <w:t>Region IV</w:t>
            </w:r>
          </w:p>
        </w:tc>
        <w:tc>
          <w:tcPr>
            <w:tcW w:w="1075" w:type="dxa"/>
            <w:shd w:val="clear" w:color="auto" w:fill="7F7F7F" w:themeFill="text1" w:themeFillTint="80"/>
          </w:tcPr>
          <w:p w14:paraId="478981E3" w14:textId="77777777" w:rsidR="00633DAC" w:rsidRDefault="00633DAC" w:rsidP="00084A0B">
            <w:pPr>
              <w:jc w:val="center"/>
            </w:pPr>
          </w:p>
        </w:tc>
        <w:tc>
          <w:tcPr>
            <w:tcW w:w="1029" w:type="dxa"/>
            <w:shd w:val="clear" w:color="auto" w:fill="7F7F7F" w:themeFill="text1" w:themeFillTint="80"/>
          </w:tcPr>
          <w:p w14:paraId="0148C6D9" w14:textId="77777777" w:rsidR="00633DAC" w:rsidRDefault="00633DAC" w:rsidP="00084A0B">
            <w:pPr>
              <w:jc w:val="center"/>
            </w:pPr>
          </w:p>
        </w:tc>
        <w:tc>
          <w:tcPr>
            <w:tcW w:w="1075" w:type="dxa"/>
            <w:shd w:val="clear" w:color="auto" w:fill="7F7F7F" w:themeFill="text1" w:themeFillTint="80"/>
          </w:tcPr>
          <w:p w14:paraId="60011D17" w14:textId="77777777" w:rsidR="00633DAC" w:rsidRDefault="00633DAC" w:rsidP="00084A0B">
            <w:pPr>
              <w:jc w:val="center"/>
            </w:pPr>
          </w:p>
        </w:tc>
        <w:tc>
          <w:tcPr>
            <w:tcW w:w="1029" w:type="dxa"/>
            <w:shd w:val="clear" w:color="auto" w:fill="7F7F7F" w:themeFill="text1" w:themeFillTint="80"/>
          </w:tcPr>
          <w:p w14:paraId="25C5E648" w14:textId="77777777" w:rsidR="00633DAC" w:rsidRDefault="00633DAC" w:rsidP="00084A0B">
            <w:pPr>
              <w:jc w:val="center"/>
            </w:pPr>
          </w:p>
        </w:tc>
        <w:tc>
          <w:tcPr>
            <w:tcW w:w="1075" w:type="dxa"/>
            <w:shd w:val="clear" w:color="auto" w:fill="7F7F7F" w:themeFill="text1" w:themeFillTint="80"/>
          </w:tcPr>
          <w:p w14:paraId="34201ED1" w14:textId="77777777" w:rsidR="00633DAC" w:rsidRDefault="00633DAC" w:rsidP="00084A0B">
            <w:pPr>
              <w:jc w:val="center"/>
            </w:pPr>
          </w:p>
        </w:tc>
        <w:tc>
          <w:tcPr>
            <w:tcW w:w="1029" w:type="dxa"/>
            <w:shd w:val="clear" w:color="auto" w:fill="7F7F7F" w:themeFill="text1" w:themeFillTint="80"/>
          </w:tcPr>
          <w:p w14:paraId="4F4AF66A" w14:textId="77777777" w:rsidR="00633DAC" w:rsidRDefault="00633DAC" w:rsidP="00084A0B">
            <w:pPr>
              <w:jc w:val="center"/>
            </w:pPr>
          </w:p>
        </w:tc>
      </w:tr>
      <w:tr w:rsidR="00633DAC" w14:paraId="125BD7DB" w14:textId="77777777" w:rsidTr="00084A0B">
        <w:tc>
          <w:tcPr>
            <w:tcW w:w="4591" w:type="dxa"/>
          </w:tcPr>
          <w:p w14:paraId="5EBA39AC" w14:textId="77777777" w:rsidR="00633DAC" w:rsidRPr="001C57E0" w:rsidRDefault="00633DAC" w:rsidP="00084A0B">
            <w:pPr>
              <w:jc w:val="right"/>
            </w:pPr>
            <w:r>
              <w:t>County: Aroostook</w:t>
            </w:r>
          </w:p>
        </w:tc>
        <w:tc>
          <w:tcPr>
            <w:tcW w:w="1075" w:type="dxa"/>
          </w:tcPr>
          <w:p w14:paraId="29435A6C" w14:textId="77777777" w:rsidR="00633DAC" w:rsidRDefault="00633DAC" w:rsidP="00084A0B">
            <w:pPr>
              <w:jc w:val="center"/>
            </w:pPr>
            <w:r>
              <w:t>30</w:t>
            </w:r>
          </w:p>
        </w:tc>
        <w:tc>
          <w:tcPr>
            <w:tcW w:w="1029" w:type="dxa"/>
          </w:tcPr>
          <w:p w14:paraId="17F09A08" w14:textId="77777777" w:rsidR="00633DAC" w:rsidRDefault="00633DAC" w:rsidP="00084A0B">
            <w:pPr>
              <w:jc w:val="center"/>
            </w:pPr>
            <w:r>
              <w:t>4.3%</w:t>
            </w:r>
          </w:p>
        </w:tc>
        <w:tc>
          <w:tcPr>
            <w:tcW w:w="1075" w:type="dxa"/>
          </w:tcPr>
          <w:p w14:paraId="0451F29C" w14:textId="77777777" w:rsidR="00633DAC" w:rsidRDefault="00633DAC" w:rsidP="00084A0B">
            <w:pPr>
              <w:jc w:val="center"/>
            </w:pPr>
            <w:r>
              <w:t>2,436</w:t>
            </w:r>
          </w:p>
        </w:tc>
        <w:tc>
          <w:tcPr>
            <w:tcW w:w="1029" w:type="dxa"/>
          </w:tcPr>
          <w:p w14:paraId="56D50C02" w14:textId="77777777" w:rsidR="00633DAC" w:rsidRDefault="00633DAC" w:rsidP="00084A0B">
            <w:pPr>
              <w:jc w:val="center"/>
            </w:pPr>
            <w:r>
              <w:t>7.1%</w:t>
            </w:r>
          </w:p>
        </w:tc>
        <w:tc>
          <w:tcPr>
            <w:tcW w:w="1075" w:type="dxa"/>
          </w:tcPr>
          <w:p w14:paraId="463A918D" w14:textId="77777777" w:rsidR="00633DAC" w:rsidRDefault="00633DAC" w:rsidP="00084A0B">
            <w:pPr>
              <w:jc w:val="center"/>
            </w:pPr>
            <w:r>
              <w:t>3,875</w:t>
            </w:r>
          </w:p>
        </w:tc>
        <w:tc>
          <w:tcPr>
            <w:tcW w:w="1029" w:type="dxa"/>
          </w:tcPr>
          <w:p w14:paraId="4FEEAC7B" w14:textId="77777777" w:rsidR="00633DAC" w:rsidRDefault="00633DAC" w:rsidP="00084A0B">
            <w:pPr>
              <w:jc w:val="center"/>
            </w:pPr>
            <w:r>
              <w:t>6.7%</w:t>
            </w:r>
          </w:p>
        </w:tc>
      </w:tr>
      <w:tr w:rsidR="00633DAC" w:rsidRPr="001C57E0" w14:paraId="051454D2" w14:textId="77777777" w:rsidTr="00084A0B">
        <w:tc>
          <w:tcPr>
            <w:tcW w:w="4591" w:type="dxa"/>
          </w:tcPr>
          <w:p w14:paraId="6874B8FC" w14:textId="77777777" w:rsidR="00633DAC" w:rsidRPr="001C57E0" w:rsidRDefault="00633DAC" w:rsidP="00084A0B">
            <w:pPr>
              <w:jc w:val="right"/>
              <w:rPr>
                <w:b/>
                <w:bCs/>
              </w:rPr>
            </w:pPr>
            <w:r w:rsidRPr="001C57E0">
              <w:rPr>
                <w:b/>
                <w:bCs/>
              </w:rPr>
              <w:t>TOTAL</w:t>
            </w:r>
          </w:p>
        </w:tc>
        <w:tc>
          <w:tcPr>
            <w:tcW w:w="1075" w:type="dxa"/>
          </w:tcPr>
          <w:p w14:paraId="60E97FE0" w14:textId="77777777" w:rsidR="00633DAC" w:rsidRPr="001C57E0" w:rsidRDefault="00633DAC" w:rsidP="00084A0B">
            <w:pPr>
              <w:jc w:val="center"/>
              <w:rPr>
                <w:b/>
                <w:bCs/>
              </w:rPr>
            </w:pPr>
            <w:r>
              <w:rPr>
                <w:b/>
                <w:bCs/>
              </w:rPr>
              <w:t>705</w:t>
            </w:r>
          </w:p>
        </w:tc>
        <w:tc>
          <w:tcPr>
            <w:tcW w:w="1029" w:type="dxa"/>
          </w:tcPr>
          <w:p w14:paraId="78DB9687" w14:textId="77777777" w:rsidR="00633DAC" w:rsidRPr="001C57E0" w:rsidRDefault="00633DAC" w:rsidP="00084A0B">
            <w:pPr>
              <w:jc w:val="center"/>
              <w:rPr>
                <w:b/>
                <w:bCs/>
              </w:rPr>
            </w:pPr>
            <w:r>
              <w:rPr>
                <w:b/>
                <w:bCs/>
              </w:rPr>
              <w:t>100%</w:t>
            </w:r>
          </w:p>
        </w:tc>
        <w:tc>
          <w:tcPr>
            <w:tcW w:w="1075" w:type="dxa"/>
          </w:tcPr>
          <w:p w14:paraId="1B2AB74D" w14:textId="77777777" w:rsidR="00633DAC" w:rsidRPr="001C57E0" w:rsidRDefault="00633DAC" w:rsidP="00084A0B">
            <w:pPr>
              <w:jc w:val="center"/>
              <w:rPr>
                <w:b/>
                <w:bCs/>
              </w:rPr>
            </w:pPr>
            <w:r w:rsidRPr="001C57E0">
              <w:rPr>
                <w:b/>
                <w:bCs/>
              </w:rPr>
              <w:t>34,091</w:t>
            </w:r>
          </w:p>
        </w:tc>
        <w:tc>
          <w:tcPr>
            <w:tcW w:w="1029" w:type="dxa"/>
          </w:tcPr>
          <w:p w14:paraId="50C6BAFF" w14:textId="77777777" w:rsidR="00633DAC" w:rsidRPr="001C57E0" w:rsidRDefault="00633DAC" w:rsidP="00084A0B">
            <w:pPr>
              <w:jc w:val="center"/>
              <w:rPr>
                <w:b/>
                <w:bCs/>
              </w:rPr>
            </w:pPr>
            <w:r>
              <w:rPr>
                <w:b/>
                <w:bCs/>
              </w:rPr>
              <w:t>100%</w:t>
            </w:r>
          </w:p>
        </w:tc>
        <w:tc>
          <w:tcPr>
            <w:tcW w:w="1075" w:type="dxa"/>
          </w:tcPr>
          <w:p w14:paraId="7300A10D" w14:textId="77777777" w:rsidR="00633DAC" w:rsidRPr="001C57E0" w:rsidRDefault="00633DAC" w:rsidP="00084A0B">
            <w:pPr>
              <w:jc w:val="center"/>
              <w:rPr>
                <w:b/>
                <w:bCs/>
              </w:rPr>
            </w:pPr>
            <w:r>
              <w:rPr>
                <w:b/>
                <w:bCs/>
              </w:rPr>
              <w:t>57,840</w:t>
            </w:r>
          </w:p>
        </w:tc>
        <w:tc>
          <w:tcPr>
            <w:tcW w:w="1029" w:type="dxa"/>
          </w:tcPr>
          <w:p w14:paraId="7A2F5672" w14:textId="77777777" w:rsidR="00633DAC" w:rsidRPr="001C57E0" w:rsidRDefault="00633DAC" w:rsidP="00084A0B">
            <w:pPr>
              <w:jc w:val="center"/>
              <w:rPr>
                <w:b/>
                <w:bCs/>
              </w:rPr>
            </w:pPr>
            <w:r>
              <w:rPr>
                <w:b/>
                <w:bCs/>
              </w:rPr>
              <w:t>100%</w:t>
            </w:r>
          </w:p>
        </w:tc>
      </w:tr>
    </w:tbl>
    <w:p w14:paraId="4935B8A7" w14:textId="77777777" w:rsidR="00DC351B" w:rsidRDefault="00DC351B" w:rsidP="00DC351B">
      <w:r>
        <w:t>Source: Social Security Administration, Master Beneficiary Record and Supplemental Security Record, 100 Percent data; and U.S. Postal Service geographic data</w:t>
      </w:r>
    </w:p>
    <w:p w14:paraId="2C4C9443" w14:textId="26086AF4" w:rsidR="007456A6" w:rsidRDefault="00E54F8F" w:rsidP="00E54F8F">
      <w:pPr>
        <w:rPr>
          <w:rStyle w:val="Hyperlink"/>
        </w:rPr>
      </w:pPr>
      <w:r w:rsidRPr="000515CD">
        <w:t>File available from:</w:t>
      </w:r>
      <w:r w:rsidRPr="000515CD">
        <w:br/>
        <w:t>U.S. Social Security Administration • Office of Retirement and Disability Policy • Office of Research, Evaluation, and Statistics</w:t>
      </w:r>
      <w:r w:rsidRPr="000515CD">
        <w:br/>
      </w:r>
      <w:r w:rsidRPr="000515CD">
        <w:rPr>
          <w:i/>
          <w:iCs/>
        </w:rPr>
        <w:t>SSI Recipients by State and County, 2022</w:t>
      </w:r>
      <w:r w:rsidRPr="000515CD">
        <w:br/>
      </w:r>
      <w:hyperlink r:id="rId18" w:history="1">
        <w:r w:rsidRPr="007D5B60">
          <w:rPr>
            <w:rStyle w:val="Hyperlink"/>
          </w:rPr>
          <w:t>https://www.ssa.gov/policy/docs/statcomps/ssi_sc/2022/</w:t>
        </w:r>
      </w:hyperlink>
    </w:p>
    <w:p w14:paraId="12C0DF7E" w14:textId="4939B88D" w:rsidR="007456A6" w:rsidRDefault="00000000" w:rsidP="00BD7222">
      <w:hyperlink r:id="rId19" w:history="1">
        <w:r w:rsidR="00BD7222" w:rsidRPr="00872D05">
          <w:rPr>
            <w:rStyle w:val="Hyperlink"/>
          </w:rPr>
          <w:t>OASI Beneficiaries by State and County, 2022 (ssa.gov)</w:t>
        </w:r>
      </w:hyperlink>
    </w:p>
    <w:p w14:paraId="33F64A3D" w14:textId="4E0C1FF6" w:rsidR="00C254A0" w:rsidRDefault="00000000" w:rsidP="00BD7222">
      <w:pPr>
        <w:rPr>
          <w:rStyle w:val="Hyperlink"/>
          <w:rFonts w:ascii="Calibri" w:hAnsi="Calibri" w:cs="Calibri"/>
        </w:rPr>
      </w:pPr>
      <w:hyperlink r:id="rId20" w:history="1">
        <w:r w:rsidR="007456A6" w:rsidRPr="00D176EE">
          <w:rPr>
            <w:rStyle w:val="Hyperlink"/>
            <w:rFonts w:ascii="Calibri" w:hAnsi="Calibri" w:cs="Calibri"/>
          </w:rPr>
          <w:t>https://www.ssa.gov/policy/docs/statcomps/oasdi_sc/2022/me.xlsx</w:t>
        </w:r>
      </w:hyperlink>
      <w:r w:rsidR="00C254A0">
        <w:rPr>
          <w:rStyle w:val="Hyperlink"/>
          <w:rFonts w:ascii="Calibri" w:hAnsi="Calibri" w:cs="Calibri"/>
        </w:rPr>
        <w:t>G</w:t>
      </w:r>
    </w:p>
    <w:p w14:paraId="45A9F923" w14:textId="77777777" w:rsidR="00C254A0" w:rsidRPr="00690B59" w:rsidRDefault="00C254A0" w:rsidP="00BD7222">
      <w:pPr>
        <w:rPr>
          <w:b/>
          <w:bCs/>
        </w:rPr>
      </w:pPr>
    </w:p>
    <w:p w14:paraId="36E79020" w14:textId="2E7A2CE2" w:rsidR="00820070" w:rsidRDefault="00C254A0" w:rsidP="00BD7222">
      <w:pPr>
        <w:rPr>
          <w:b/>
          <w:bCs/>
        </w:rPr>
      </w:pPr>
      <w:r>
        <w:rPr>
          <w:b/>
          <w:bCs/>
        </w:rPr>
        <w:t xml:space="preserve">Findings: </w:t>
      </w:r>
    </w:p>
    <w:p w14:paraId="6EAAB6FF" w14:textId="3FF04EF3" w:rsidR="00C254A0" w:rsidRDefault="0031385C" w:rsidP="00C254A0">
      <w:pPr>
        <w:pStyle w:val="ListParagraph"/>
        <w:numPr>
          <w:ilvl w:val="0"/>
          <w:numId w:val="15"/>
        </w:numPr>
        <w:rPr>
          <w:b/>
          <w:bCs/>
        </w:rPr>
      </w:pPr>
      <w:r>
        <w:rPr>
          <w:b/>
          <w:bCs/>
        </w:rPr>
        <w:t>DVR presumes eligibility for individuals who receive SSI/SSDI</w:t>
      </w:r>
    </w:p>
    <w:p w14:paraId="1DA547CD" w14:textId="2A257DE3" w:rsidR="0031385C" w:rsidRDefault="00495454" w:rsidP="00C254A0">
      <w:pPr>
        <w:pStyle w:val="ListParagraph"/>
        <w:numPr>
          <w:ilvl w:val="0"/>
          <w:numId w:val="15"/>
        </w:numPr>
        <w:rPr>
          <w:b/>
          <w:bCs/>
        </w:rPr>
      </w:pPr>
      <w:r>
        <w:rPr>
          <w:b/>
          <w:bCs/>
        </w:rPr>
        <w:t>In any given year only a small percentage of individuals who receive SSI/SSDI in Maine receive services through DVR</w:t>
      </w:r>
    </w:p>
    <w:p w14:paraId="77249481" w14:textId="50F26755" w:rsidR="00495454" w:rsidRPr="00C254A0" w:rsidRDefault="00B033AD" w:rsidP="00C254A0">
      <w:pPr>
        <w:pStyle w:val="ListParagraph"/>
        <w:numPr>
          <w:ilvl w:val="0"/>
          <w:numId w:val="15"/>
        </w:numPr>
        <w:rPr>
          <w:b/>
          <w:bCs/>
        </w:rPr>
      </w:pPr>
      <w:r>
        <w:rPr>
          <w:b/>
          <w:bCs/>
        </w:rPr>
        <w:t xml:space="preserve">Individuals who receive SSI/SSDI may or may not be in need of Vocational Rehabilitation services. Some individuals </w:t>
      </w:r>
      <w:r w:rsidR="005B44BC">
        <w:rPr>
          <w:b/>
          <w:bCs/>
        </w:rPr>
        <w:t>do</w:t>
      </w:r>
      <w:r>
        <w:rPr>
          <w:b/>
          <w:bCs/>
        </w:rPr>
        <w:t xml:space="preserve"> seek </w:t>
      </w:r>
      <w:r w:rsidR="005B44BC">
        <w:rPr>
          <w:b/>
          <w:bCs/>
        </w:rPr>
        <w:t>and receive services through Maine’s CareerCenter network (American Job Centers).</w:t>
      </w:r>
    </w:p>
    <w:p w14:paraId="65069C28" w14:textId="77777777" w:rsidR="00BD7222" w:rsidRDefault="00BD7222" w:rsidP="00BD7222">
      <w:pPr>
        <w:rPr>
          <w:b/>
          <w:bCs/>
        </w:rPr>
      </w:pPr>
    </w:p>
    <w:p w14:paraId="54B07E90" w14:textId="77777777" w:rsidR="00BD7222" w:rsidRDefault="00BD7222" w:rsidP="00BD7222">
      <w:pPr>
        <w:rPr>
          <w:b/>
          <w:bCs/>
        </w:rPr>
      </w:pPr>
    </w:p>
    <w:p w14:paraId="6064CF22" w14:textId="77777777" w:rsidR="00BD7222" w:rsidRDefault="00BD7222" w:rsidP="00BD7222">
      <w:pPr>
        <w:rPr>
          <w:b/>
          <w:bCs/>
        </w:rPr>
      </w:pPr>
    </w:p>
    <w:p w14:paraId="27DA9656" w14:textId="77777777" w:rsidR="00BD7222" w:rsidRDefault="00BD7222" w:rsidP="00BD7222">
      <w:pPr>
        <w:rPr>
          <w:b/>
          <w:bCs/>
        </w:rPr>
      </w:pPr>
    </w:p>
    <w:p w14:paraId="5840440B" w14:textId="77777777" w:rsidR="00BD7222" w:rsidRDefault="00BD7222" w:rsidP="00BD7222">
      <w:pPr>
        <w:rPr>
          <w:b/>
          <w:bCs/>
        </w:rPr>
      </w:pPr>
    </w:p>
    <w:p w14:paraId="12F3BC61" w14:textId="77777777" w:rsidR="00BD7222" w:rsidRDefault="00BD7222" w:rsidP="00BD7222">
      <w:pPr>
        <w:rPr>
          <w:b/>
          <w:bCs/>
        </w:rPr>
      </w:pPr>
    </w:p>
    <w:p w14:paraId="14A9F6F8" w14:textId="77777777" w:rsidR="00BD7222" w:rsidRDefault="00BD7222" w:rsidP="00BD7222">
      <w:pPr>
        <w:rPr>
          <w:b/>
          <w:bCs/>
        </w:rPr>
      </w:pPr>
    </w:p>
    <w:p w14:paraId="20D924D1" w14:textId="77777777" w:rsidR="00BD7222" w:rsidRDefault="00BD7222" w:rsidP="00BD7222">
      <w:pPr>
        <w:rPr>
          <w:b/>
          <w:bCs/>
        </w:rPr>
      </w:pPr>
    </w:p>
    <w:p w14:paraId="38AEFAD8" w14:textId="705FDDC1" w:rsidR="00BD7222" w:rsidRDefault="00BD7222" w:rsidP="00BD7222">
      <w:pPr>
        <w:jc w:val="center"/>
        <w:rPr>
          <w:b/>
          <w:bCs/>
        </w:rPr>
      </w:pPr>
      <w:r>
        <w:rPr>
          <w:b/>
          <w:bCs/>
        </w:rPr>
        <w:t>Chart 1</w:t>
      </w:r>
      <w:r w:rsidR="00E60190">
        <w:rPr>
          <w:b/>
          <w:bCs/>
        </w:rPr>
        <w:t>2</w:t>
      </w:r>
    </w:p>
    <w:p w14:paraId="46ADC127" w14:textId="6945534F" w:rsidR="00BD7222" w:rsidRDefault="00BD7222" w:rsidP="00BD7222">
      <w:pPr>
        <w:jc w:val="center"/>
        <w:rPr>
          <w:b/>
          <w:bCs/>
        </w:rPr>
      </w:pPr>
      <w:r>
        <w:rPr>
          <w:b/>
          <w:bCs/>
        </w:rPr>
        <w:lastRenderedPageBreak/>
        <w:t>Distribution of Open Maine DVR Cases with SSI and SSDI Recipients in Federal Fiscal Year 2023</w:t>
      </w:r>
    </w:p>
    <w:p w14:paraId="6D90020D" w14:textId="48AB9852" w:rsidR="00D4023F" w:rsidRDefault="00D4023F" w:rsidP="00BD7222">
      <w:pPr>
        <w:jc w:val="center"/>
        <w:rPr>
          <w:b/>
          <w:bCs/>
        </w:rPr>
      </w:pPr>
      <w:r w:rsidRPr="00D17DA9">
        <w:rPr>
          <w:b/>
          <w:noProof/>
        </w:rPr>
        <w:drawing>
          <wp:inline distT="0" distB="0" distL="0" distR="0" wp14:anchorId="79FF5555" wp14:editId="53798C06">
            <wp:extent cx="5804263" cy="3644537"/>
            <wp:effectExtent l="0" t="0" r="635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784A43E" w14:textId="77777777" w:rsidR="00D4023F" w:rsidRDefault="00D4023F" w:rsidP="00BD7222">
      <w:pPr>
        <w:jc w:val="center"/>
        <w:rPr>
          <w:b/>
          <w:bCs/>
        </w:rPr>
      </w:pPr>
    </w:p>
    <w:p w14:paraId="131B0A0B" w14:textId="5BAB1462" w:rsidR="00D4023F" w:rsidRDefault="005B44BC" w:rsidP="005B44BC">
      <w:pPr>
        <w:rPr>
          <w:b/>
          <w:bCs/>
        </w:rPr>
      </w:pPr>
      <w:r>
        <w:rPr>
          <w:b/>
          <w:bCs/>
        </w:rPr>
        <w:t>Findings:</w:t>
      </w:r>
    </w:p>
    <w:p w14:paraId="3F572508" w14:textId="578D78DC" w:rsidR="005B44BC" w:rsidRDefault="005B44BC" w:rsidP="005B44BC">
      <w:pPr>
        <w:pStyle w:val="ListParagraph"/>
        <w:numPr>
          <w:ilvl w:val="0"/>
          <w:numId w:val="16"/>
        </w:numPr>
        <w:rPr>
          <w:b/>
          <w:bCs/>
        </w:rPr>
      </w:pPr>
      <w:r>
        <w:rPr>
          <w:b/>
          <w:bCs/>
        </w:rPr>
        <w:t xml:space="preserve">The percentage </w:t>
      </w:r>
      <w:r w:rsidR="003C0811">
        <w:rPr>
          <w:b/>
          <w:bCs/>
        </w:rPr>
        <w:t xml:space="preserve">individuals with </w:t>
      </w:r>
      <w:r w:rsidR="00736B2D">
        <w:rPr>
          <w:b/>
          <w:bCs/>
        </w:rPr>
        <w:t xml:space="preserve">SSI/DI benefits who are </w:t>
      </w:r>
      <w:r w:rsidR="003C0811">
        <w:rPr>
          <w:b/>
          <w:bCs/>
        </w:rPr>
        <w:t xml:space="preserve">open DVR cases in each region is proportional to the distribution of </w:t>
      </w:r>
      <w:r w:rsidR="00736B2D">
        <w:rPr>
          <w:b/>
          <w:bCs/>
        </w:rPr>
        <w:t xml:space="preserve">SSI and SSDI recipients </w:t>
      </w:r>
      <w:r w:rsidR="008553D5">
        <w:rPr>
          <w:b/>
          <w:bCs/>
        </w:rPr>
        <w:t>across the state.</w:t>
      </w:r>
    </w:p>
    <w:p w14:paraId="0021E05D" w14:textId="77777777" w:rsidR="00D4023F" w:rsidRDefault="00D4023F" w:rsidP="00BD7222">
      <w:pPr>
        <w:jc w:val="center"/>
        <w:rPr>
          <w:b/>
          <w:bCs/>
        </w:rPr>
      </w:pPr>
    </w:p>
    <w:p w14:paraId="222EB2B3" w14:textId="77777777" w:rsidR="00D4023F" w:rsidRDefault="00D4023F" w:rsidP="00BD7222">
      <w:pPr>
        <w:jc w:val="center"/>
        <w:rPr>
          <w:b/>
          <w:bCs/>
        </w:rPr>
      </w:pPr>
    </w:p>
    <w:p w14:paraId="785EC966" w14:textId="77777777" w:rsidR="00D4023F" w:rsidRDefault="00D4023F" w:rsidP="00BD7222">
      <w:pPr>
        <w:jc w:val="center"/>
        <w:rPr>
          <w:b/>
          <w:bCs/>
        </w:rPr>
      </w:pPr>
    </w:p>
    <w:p w14:paraId="18242CD5" w14:textId="77777777" w:rsidR="00D4023F" w:rsidRDefault="00D4023F" w:rsidP="00BD7222">
      <w:pPr>
        <w:jc w:val="center"/>
        <w:rPr>
          <w:b/>
          <w:bCs/>
        </w:rPr>
      </w:pPr>
    </w:p>
    <w:p w14:paraId="1A9388E0" w14:textId="77777777" w:rsidR="00D4023F" w:rsidRDefault="00D4023F" w:rsidP="00BD7222">
      <w:pPr>
        <w:jc w:val="center"/>
        <w:rPr>
          <w:b/>
          <w:bCs/>
        </w:rPr>
      </w:pPr>
    </w:p>
    <w:p w14:paraId="1B23CF6E" w14:textId="77777777" w:rsidR="00D4023F" w:rsidRDefault="00D4023F" w:rsidP="00BD7222">
      <w:pPr>
        <w:jc w:val="center"/>
        <w:rPr>
          <w:b/>
          <w:bCs/>
        </w:rPr>
      </w:pPr>
    </w:p>
    <w:p w14:paraId="7A79CAA8" w14:textId="77777777" w:rsidR="00D4023F" w:rsidRDefault="00D4023F" w:rsidP="00BD7222">
      <w:pPr>
        <w:jc w:val="center"/>
        <w:rPr>
          <w:b/>
          <w:bCs/>
        </w:rPr>
      </w:pPr>
    </w:p>
    <w:p w14:paraId="6BFF26FE" w14:textId="77777777" w:rsidR="00D4023F" w:rsidRDefault="00D4023F" w:rsidP="00BD7222">
      <w:pPr>
        <w:jc w:val="center"/>
        <w:rPr>
          <w:b/>
          <w:bCs/>
        </w:rPr>
      </w:pPr>
    </w:p>
    <w:p w14:paraId="13FBF0D4" w14:textId="77777777" w:rsidR="00D4023F" w:rsidRDefault="00D4023F" w:rsidP="00BD7222">
      <w:pPr>
        <w:jc w:val="center"/>
        <w:rPr>
          <w:b/>
          <w:bCs/>
        </w:rPr>
      </w:pPr>
    </w:p>
    <w:p w14:paraId="564A4D9B" w14:textId="77777777" w:rsidR="00D4023F" w:rsidRDefault="00D4023F" w:rsidP="00BD7222">
      <w:pPr>
        <w:jc w:val="center"/>
        <w:rPr>
          <w:b/>
          <w:bCs/>
        </w:rPr>
      </w:pPr>
    </w:p>
    <w:p w14:paraId="632C7BC1" w14:textId="77777777" w:rsidR="00D4023F" w:rsidRDefault="00D4023F" w:rsidP="00BD7222">
      <w:pPr>
        <w:jc w:val="center"/>
        <w:rPr>
          <w:b/>
          <w:bCs/>
        </w:rPr>
      </w:pPr>
    </w:p>
    <w:p w14:paraId="2B035084" w14:textId="77777777" w:rsidR="00D4023F" w:rsidRDefault="00D4023F" w:rsidP="00BD7222">
      <w:pPr>
        <w:jc w:val="center"/>
        <w:rPr>
          <w:b/>
          <w:bCs/>
        </w:rPr>
      </w:pPr>
    </w:p>
    <w:p w14:paraId="319078B8" w14:textId="77777777" w:rsidR="00D4023F" w:rsidRDefault="00D4023F" w:rsidP="00BD7222">
      <w:pPr>
        <w:jc w:val="center"/>
        <w:rPr>
          <w:b/>
          <w:bCs/>
        </w:rPr>
      </w:pPr>
    </w:p>
    <w:p w14:paraId="10B423FA" w14:textId="77777777" w:rsidR="00D4023F" w:rsidRDefault="00D4023F" w:rsidP="00BD7222">
      <w:pPr>
        <w:jc w:val="center"/>
        <w:rPr>
          <w:b/>
          <w:bCs/>
        </w:rPr>
      </w:pPr>
    </w:p>
    <w:p w14:paraId="66DCD153" w14:textId="24C1DBF5" w:rsidR="00D4023F" w:rsidRDefault="00D4023F" w:rsidP="00D4023F">
      <w:pPr>
        <w:pStyle w:val="ListParagraph"/>
        <w:numPr>
          <w:ilvl w:val="1"/>
          <w:numId w:val="1"/>
        </w:numPr>
        <w:rPr>
          <w:b/>
          <w:bCs/>
        </w:rPr>
      </w:pPr>
      <w:r>
        <w:rPr>
          <w:b/>
          <w:bCs/>
        </w:rPr>
        <w:lastRenderedPageBreak/>
        <w:t>Minority Populations in Maine</w:t>
      </w:r>
    </w:p>
    <w:p w14:paraId="355BCB32" w14:textId="75306D04" w:rsidR="00D4023F" w:rsidRDefault="00D4023F" w:rsidP="00D4023F">
      <w:pPr>
        <w:pStyle w:val="ListParagraph"/>
        <w:ind w:left="1440"/>
        <w:rPr>
          <w:b/>
          <w:bCs/>
        </w:rPr>
      </w:pPr>
    </w:p>
    <w:p w14:paraId="31ACD49B" w14:textId="77777777" w:rsidR="00D4023F" w:rsidRDefault="00D4023F" w:rsidP="00D4023F">
      <w:pPr>
        <w:rPr>
          <w:b/>
          <w:bCs/>
        </w:rPr>
      </w:pPr>
    </w:p>
    <w:p w14:paraId="13ED63C1" w14:textId="5DB8A267" w:rsidR="00D4023F" w:rsidRDefault="00D4023F" w:rsidP="00D4023F">
      <w:pPr>
        <w:jc w:val="center"/>
        <w:rPr>
          <w:b/>
          <w:bCs/>
        </w:rPr>
      </w:pPr>
      <w:r>
        <w:rPr>
          <w:b/>
          <w:bCs/>
        </w:rPr>
        <w:t xml:space="preserve">Table </w:t>
      </w:r>
      <w:r w:rsidR="008A1ACD">
        <w:rPr>
          <w:b/>
          <w:bCs/>
        </w:rPr>
        <w:t>5</w:t>
      </w:r>
      <w:r>
        <w:rPr>
          <w:b/>
          <w:bCs/>
        </w:rPr>
        <w:t>A</w:t>
      </w:r>
    </w:p>
    <w:p w14:paraId="6B9D5D95" w14:textId="66F7F303" w:rsidR="00D4023F" w:rsidRDefault="00D4023F" w:rsidP="00D4023F">
      <w:pPr>
        <w:jc w:val="center"/>
        <w:rPr>
          <w:b/>
          <w:bCs/>
        </w:rPr>
      </w:pPr>
      <w:r>
        <w:rPr>
          <w:b/>
          <w:bCs/>
        </w:rPr>
        <w:t>Maine DVR Minorities Served</w:t>
      </w:r>
    </w:p>
    <w:p w14:paraId="5987BA1C" w14:textId="77777777" w:rsidR="00EB2920" w:rsidRDefault="00EB2920" w:rsidP="00EB2920">
      <w:pPr>
        <w:jc w:val="center"/>
        <w:rPr>
          <w:b/>
          <w:bCs/>
        </w:rPr>
      </w:pPr>
      <w:r>
        <w:t>D</w:t>
      </w:r>
      <w:r w:rsidRPr="00624D02">
        <w:t>istribution by minority group for all cases closed</w:t>
      </w:r>
      <w:r>
        <w:t xml:space="preserve"> between Federal Fiscal Year 2021 and 2023</w:t>
      </w:r>
    </w:p>
    <w:tbl>
      <w:tblPr>
        <w:tblStyle w:val="TableGrid"/>
        <w:tblW w:w="0" w:type="auto"/>
        <w:jc w:val="center"/>
        <w:tblLook w:val="04A0" w:firstRow="1" w:lastRow="0" w:firstColumn="1" w:lastColumn="0" w:noHBand="0" w:noVBand="1"/>
      </w:tblPr>
      <w:tblGrid>
        <w:gridCol w:w="3100"/>
        <w:gridCol w:w="1199"/>
        <w:gridCol w:w="1199"/>
        <w:gridCol w:w="1199"/>
        <w:gridCol w:w="1199"/>
        <w:gridCol w:w="1199"/>
        <w:gridCol w:w="1199"/>
      </w:tblGrid>
      <w:tr w:rsidR="00EB2920" w14:paraId="67146C92" w14:textId="77777777" w:rsidTr="00A16322">
        <w:trPr>
          <w:jc w:val="center"/>
        </w:trPr>
        <w:tc>
          <w:tcPr>
            <w:tcW w:w="3100" w:type="dxa"/>
            <w:shd w:val="clear" w:color="auto" w:fill="ADADAD" w:themeFill="background2" w:themeFillShade="BF"/>
          </w:tcPr>
          <w:p w14:paraId="46FBBA8F" w14:textId="77777777" w:rsidR="00EB2920" w:rsidRDefault="00EB2920" w:rsidP="00084A0B">
            <w:pPr>
              <w:jc w:val="center"/>
            </w:pPr>
          </w:p>
        </w:tc>
        <w:tc>
          <w:tcPr>
            <w:tcW w:w="7194" w:type="dxa"/>
            <w:gridSpan w:val="6"/>
            <w:shd w:val="clear" w:color="auto" w:fill="ADADAD" w:themeFill="background2" w:themeFillShade="BF"/>
          </w:tcPr>
          <w:p w14:paraId="4230D97D" w14:textId="77777777" w:rsidR="00EB2920" w:rsidRPr="0005676A" w:rsidRDefault="00EB2920" w:rsidP="00084A0B">
            <w:pPr>
              <w:jc w:val="center"/>
              <w:rPr>
                <w:b/>
                <w:bCs/>
              </w:rPr>
            </w:pPr>
            <w:r>
              <w:rPr>
                <w:b/>
                <w:bCs/>
              </w:rPr>
              <w:t>Maine DVR</w:t>
            </w:r>
          </w:p>
        </w:tc>
      </w:tr>
      <w:tr w:rsidR="00EB2920" w14:paraId="052B6C5C" w14:textId="77777777" w:rsidTr="00A16322">
        <w:trPr>
          <w:jc w:val="center"/>
        </w:trPr>
        <w:tc>
          <w:tcPr>
            <w:tcW w:w="3100" w:type="dxa"/>
            <w:shd w:val="clear" w:color="auto" w:fill="ADADAD" w:themeFill="background2" w:themeFillShade="BF"/>
          </w:tcPr>
          <w:p w14:paraId="159606EA" w14:textId="77777777" w:rsidR="00EB2920" w:rsidRDefault="00EB2920" w:rsidP="00084A0B">
            <w:pPr>
              <w:jc w:val="center"/>
            </w:pPr>
          </w:p>
        </w:tc>
        <w:tc>
          <w:tcPr>
            <w:tcW w:w="2398" w:type="dxa"/>
            <w:gridSpan w:val="2"/>
            <w:shd w:val="clear" w:color="auto" w:fill="ADADAD" w:themeFill="background2" w:themeFillShade="BF"/>
          </w:tcPr>
          <w:p w14:paraId="37940BBC" w14:textId="77777777" w:rsidR="00EB2920" w:rsidRPr="0005676A" w:rsidRDefault="00EB2920" w:rsidP="00084A0B">
            <w:pPr>
              <w:jc w:val="center"/>
              <w:rPr>
                <w:b/>
                <w:bCs/>
              </w:rPr>
            </w:pPr>
            <w:r>
              <w:rPr>
                <w:b/>
                <w:bCs/>
              </w:rPr>
              <w:t>FFY 2021</w:t>
            </w:r>
          </w:p>
        </w:tc>
        <w:tc>
          <w:tcPr>
            <w:tcW w:w="2398" w:type="dxa"/>
            <w:gridSpan w:val="2"/>
            <w:shd w:val="clear" w:color="auto" w:fill="ADADAD" w:themeFill="background2" w:themeFillShade="BF"/>
          </w:tcPr>
          <w:p w14:paraId="45930523" w14:textId="77777777" w:rsidR="00EB2920" w:rsidRPr="0005676A" w:rsidRDefault="00EB2920" w:rsidP="00084A0B">
            <w:pPr>
              <w:jc w:val="center"/>
              <w:rPr>
                <w:b/>
                <w:bCs/>
              </w:rPr>
            </w:pPr>
            <w:r w:rsidRPr="0005676A">
              <w:rPr>
                <w:b/>
                <w:bCs/>
              </w:rPr>
              <w:t>FFY 2022</w:t>
            </w:r>
          </w:p>
        </w:tc>
        <w:tc>
          <w:tcPr>
            <w:tcW w:w="2398" w:type="dxa"/>
            <w:gridSpan w:val="2"/>
            <w:shd w:val="clear" w:color="auto" w:fill="ADADAD" w:themeFill="background2" w:themeFillShade="BF"/>
          </w:tcPr>
          <w:p w14:paraId="3438E163" w14:textId="77777777" w:rsidR="00EB2920" w:rsidRPr="0005676A" w:rsidRDefault="00EB2920" w:rsidP="00084A0B">
            <w:pPr>
              <w:jc w:val="center"/>
              <w:rPr>
                <w:b/>
                <w:bCs/>
              </w:rPr>
            </w:pPr>
            <w:r>
              <w:rPr>
                <w:b/>
                <w:bCs/>
              </w:rPr>
              <w:t>FFY 2023</w:t>
            </w:r>
          </w:p>
        </w:tc>
      </w:tr>
      <w:tr w:rsidR="00EB2920" w14:paraId="3C454BFD" w14:textId="77777777" w:rsidTr="00084A0B">
        <w:trPr>
          <w:jc w:val="center"/>
        </w:trPr>
        <w:tc>
          <w:tcPr>
            <w:tcW w:w="3100" w:type="dxa"/>
          </w:tcPr>
          <w:p w14:paraId="6DE8AD48" w14:textId="77777777" w:rsidR="00EB2920" w:rsidRDefault="00EB2920" w:rsidP="00084A0B">
            <w:pPr>
              <w:jc w:val="center"/>
            </w:pPr>
          </w:p>
        </w:tc>
        <w:tc>
          <w:tcPr>
            <w:tcW w:w="1199" w:type="dxa"/>
          </w:tcPr>
          <w:p w14:paraId="124C9546" w14:textId="77777777" w:rsidR="00EB2920" w:rsidRPr="0005676A" w:rsidRDefault="00EB2920" w:rsidP="00084A0B">
            <w:pPr>
              <w:jc w:val="center"/>
              <w:rPr>
                <w:b/>
                <w:bCs/>
              </w:rPr>
            </w:pPr>
            <w:r>
              <w:rPr>
                <w:b/>
                <w:bCs/>
              </w:rPr>
              <w:t>Count</w:t>
            </w:r>
          </w:p>
        </w:tc>
        <w:tc>
          <w:tcPr>
            <w:tcW w:w="1199" w:type="dxa"/>
          </w:tcPr>
          <w:p w14:paraId="1F076A7C" w14:textId="77777777" w:rsidR="00EB2920" w:rsidRPr="0005676A" w:rsidRDefault="00EB2920" w:rsidP="00084A0B">
            <w:pPr>
              <w:jc w:val="center"/>
              <w:rPr>
                <w:b/>
                <w:bCs/>
              </w:rPr>
            </w:pPr>
            <w:r>
              <w:rPr>
                <w:b/>
                <w:bCs/>
              </w:rPr>
              <w:t>Percent</w:t>
            </w:r>
          </w:p>
        </w:tc>
        <w:tc>
          <w:tcPr>
            <w:tcW w:w="1199" w:type="dxa"/>
          </w:tcPr>
          <w:p w14:paraId="7A8CD888" w14:textId="77777777" w:rsidR="00EB2920" w:rsidRPr="0005676A" w:rsidRDefault="00EB2920" w:rsidP="00084A0B">
            <w:pPr>
              <w:jc w:val="center"/>
              <w:rPr>
                <w:b/>
                <w:bCs/>
              </w:rPr>
            </w:pPr>
            <w:r>
              <w:rPr>
                <w:b/>
                <w:bCs/>
              </w:rPr>
              <w:t>Count</w:t>
            </w:r>
          </w:p>
        </w:tc>
        <w:tc>
          <w:tcPr>
            <w:tcW w:w="1199" w:type="dxa"/>
          </w:tcPr>
          <w:p w14:paraId="085BD02C" w14:textId="77777777" w:rsidR="00EB2920" w:rsidRPr="0005676A" w:rsidRDefault="00EB2920" w:rsidP="00084A0B">
            <w:pPr>
              <w:jc w:val="center"/>
              <w:rPr>
                <w:b/>
                <w:bCs/>
              </w:rPr>
            </w:pPr>
            <w:r>
              <w:rPr>
                <w:b/>
                <w:bCs/>
              </w:rPr>
              <w:t>Percent</w:t>
            </w:r>
          </w:p>
        </w:tc>
        <w:tc>
          <w:tcPr>
            <w:tcW w:w="1199" w:type="dxa"/>
          </w:tcPr>
          <w:p w14:paraId="454DD7B7" w14:textId="77777777" w:rsidR="00EB2920" w:rsidRPr="0005676A" w:rsidRDefault="00EB2920" w:rsidP="00084A0B">
            <w:pPr>
              <w:jc w:val="center"/>
              <w:rPr>
                <w:b/>
                <w:bCs/>
              </w:rPr>
            </w:pPr>
            <w:r>
              <w:rPr>
                <w:b/>
                <w:bCs/>
              </w:rPr>
              <w:t>Count</w:t>
            </w:r>
          </w:p>
        </w:tc>
        <w:tc>
          <w:tcPr>
            <w:tcW w:w="1199" w:type="dxa"/>
          </w:tcPr>
          <w:p w14:paraId="56595601" w14:textId="77777777" w:rsidR="00EB2920" w:rsidRPr="0005676A" w:rsidRDefault="00EB2920" w:rsidP="00084A0B">
            <w:pPr>
              <w:jc w:val="center"/>
              <w:rPr>
                <w:b/>
                <w:bCs/>
              </w:rPr>
            </w:pPr>
            <w:r>
              <w:rPr>
                <w:b/>
                <w:bCs/>
              </w:rPr>
              <w:t>Percent</w:t>
            </w:r>
          </w:p>
        </w:tc>
      </w:tr>
      <w:tr w:rsidR="00EB2920" w14:paraId="30EBEDEE" w14:textId="77777777" w:rsidTr="00084A0B">
        <w:trPr>
          <w:jc w:val="center"/>
        </w:trPr>
        <w:tc>
          <w:tcPr>
            <w:tcW w:w="3100" w:type="dxa"/>
          </w:tcPr>
          <w:p w14:paraId="49810AC4" w14:textId="77777777" w:rsidR="00EB2920" w:rsidRDefault="00EB2920" w:rsidP="00084A0B">
            <w:r>
              <w:t>All</w:t>
            </w:r>
          </w:p>
        </w:tc>
        <w:tc>
          <w:tcPr>
            <w:tcW w:w="1199" w:type="dxa"/>
          </w:tcPr>
          <w:p w14:paraId="7686E395" w14:textId="77777777" w:rsidR="00EB2920" w:rsidRDefault="00EB2920" w:rsidP="00084A0B">
            <w:pPr>
              <w:jc w:val="center"/>
            </w:pPr>
            <w:r>
              <w:t>2,599</w:t>
            </w:r>
          </w:p>
        </w:tc>
        <w:tc>
          <w:tcPr>
            <w:tcW w:w="1199" w:type="dxa"/>
          </w:tcPr>
          <w:p w14:paraId="2FD5B7ED" w14:textId="77777777" w:rsidR="00EB2920" w:rsidRDefault="00EB2920" w:rsidP="00084A0B">
            <w:pPr>
              <w:jc w:val="center"/>
            </w:pPr>
            <w:r>
              <w:t>--</w:t>
            </w:r>
          </w:p>
        </w:tc>
        <w:tc>
          <w:tcPr>
            <w:tcW w:w="1199" w:type="dxa"/>
          </w:tcPr>
          <w:p w14:paraId="34FDCF0C" w14:textId="77777777" w:rsidR="00EB2920" w:rsidRDefault="00EB2920" w:rsidP="00084A0B">
            <w:pPr>
              <w:jc w:val="center"/>
            </w:pPr>
            <w:r>
              <w:t>3,064</w:t>
            </w:r>
          </w:p>
        </w:tc>
        <w:tc>
          <w:tcPr>
            <w:tcW w:w="1199" w:type="dxa"/>
          </w:tcPr>
          <w:p w14:paraId="07FCD1EF" w14:textId="77777777" w:rsidR="00EB2920" w:rsidRDefault="00EB2920" w:rsidP="00084A0B">
            <w:pPr>
              <w:jc w:val="center"/>
            </w:pPr>
            <w:r>
              <w:t>--</w:t>
            </w:r>
          </w:p>
        </w:tc>
        <w:tc>
          <w:tcPr>
            <w:tcW w:w="1199" w:type="dxa"/>
          </w:tcPr>
          <w:p w14:paraId="090E77BF" w14:textId="77777777" w:rsidR="00EB2920" w:rsidRDefault="00EB2920" w:rsidP="00084A0B">
            <w:pPr>
              <w:jc w:val="center"/>
            </w:pPr>
            <w:r>
              <w:t>3,007</w:t>
            </w:r>
          </w:p>
        </w:tc>
        <w:tc>
          <w:tcPr>
            <w:tcW w:w="1199" w:type="dxa"/>
          </w:tcPr>
          <w:p w14:paraId="0B149D87" w14:textId="77777777" w:rsidR="00EB2920" w:rsidRDefault="00EB2920" w:rsidP="00084A0B">
            <w:pPr>
              <w:jc w:val="center"/>
            </w:pPr>
            <w:r>
              <w:t>--</w:t>
            </w:r>
          </w:p>
        </w:tc>
      </w:tr>
      <w:tr w:rsidR="00EB2920" w14:paraId="4513C0F2" w14:textId="77777777" w:rsidTr="00084A0B">
        <w:trPr>
          <w:jc w:val="center"/>
        </w:trPr>
        <w:tc>
          <w:tcPr>
            <w:tcW w:w="3100" w:type="dxa"/>
          </w:tcPr>
          <w:p w14:paraId="66138B8A" w14:textId="77777777" w:rsidR="00EB2920" w:rsidRDefault="00EB2920" w:rsidP="00084A0B">
            <w:r>
              <w:t>White</w:t>
            </w:r>
          </w:p>
        </w:tc>
        <w:tc>
          <w:tcPr>
            <w:tcW w:w="1199" w:type="dxa"/>
          </w:tcPr>
          <w:p w14:paraId="16DD234C" w14:textId="77777777" w:rsidR="00EB2920" w:rsidRDefault="00EB2920" w:rsidP="00084A0B">
            <w:pPr>
              <w:jc w:val="center"/>
            </w:pPr>
            <w:r>
              <w:t>2,367</w:t>
            </w:r>
          </w:p>
        </w:tc>
        <w:tc>
          <w:tcPr>
            <w:tcW w:w="1199" w:type="dxa"/>
          </w:tcPr>
          <w:p w14:paraId="3C9FDF3F" w14:textId="77777777" w:rsidR="00EB2920" w:rsidRDefault="00EB2920" w:rsidP="00084A0B">
            <w:pPr>
              <w:jc w:val="center"/>
            </w:pPr>
            <w:r>
              <w:t>91.1%</w:t>
            </w:r>
          </w:p>
        </w:tc>
        <w:tc>
          <w:tcPr>
            <w:tcW w:w="1199" w:type="dxa"/>
          </w:tcPr>
          <w:p w14:paraId="5C44360C" w14:textId="77777777" w:rsidR="00EB2920" w:rsidRDefault="00EB2920" w:rsidP="00084A0B">
            <w:pPr>
              <w:jc w:val="center"/>
            </w:pPr>
            <w:r>
              <w:t>2,807</w:t>
            </w:r>
          </w:p>
        </w:tc>
        <w:tc>
          <w:tcPr>
            <w:tcW w:w="1199" w:type="dxa"/>
          </w:tcPr>
          <w:p w14:paraId="3FDA531C" w14:textId="77777777" w:rsidR="00EB2920" w:rsidRDefault="00EB2920" w:rsidP="00084A0B">
            <w:pPr>
              <w:jc w:val="center"/>
            </w:pPr>
            <w:r>
              <w:t>91.6%</w:t>
            </w:r>
          </w:p>
        </w:tc>
        <w:tc>
          <w:tcPr>
            <w:tcW w:w="1199" w:type="dxa"/>
          </w:tcPr>
          <w:p w14:paraId="35B33077" w14:textId="77777777" w:rsidR="00EB2920" w:rsidRDefault="00EB2920" w:rsidP="00084A0B">
            <w:pPr>
              <w:jc w:val="center"/>
            </w:pPr>
            <w:r>
              <w:t>2,724</w:t>
            </w:r>
          </w:p>
        </w:tc>
        <w:tc>
          <w:tcPr>
            <w:tcW w:w="1199" w:type="dxa"/>
          </w:tcPr>
          <w:p w14:paraId="36571029" w14:textId="77777777" w:rsidR="00EB2920" w:rsidRDefault="00EB2920" w:rsidP="00084A0B">
            <w:pPr>
              <w:jc w:val="center"/>
            </w:pPr>
            <w:r>
              <w:t>90.6%</w:t>
            </w:r>
          </w:p>
        </w:tc>
      </w:tr>
      <w:tr w:rsidR="00EB2920" w14:paraId="39D18E10" w14:textId="77777777" w:rsidTr="00084A0B">
        <w:trPr>
          <w:jc w:val="center"/>
        </w:trPr>
        <w:tc>
          <w:tcPr>
            <w:tcW w:w="3100" w:type="dxa"/>
          </w:tcPr>
          <w:p w14:paraId="21DDEBC4" w14:textId="77777777" w:rsidR="00EB2920" w:rsidRDefault="00EB2920" w:rsidP="00084A0B">
            <w:r>
              <w:t>Black/African American</w:t>
            </w:r>
          </w:p>
        </w:tc>
        <w:tc>
          <w:tcPr>
            <w:tcW w:w="1199" w:type="dxa"/>
          </w:tcPr>
          <w:p w14:paraId="59AA8E9A" w14:textId="77777777" w:rsidR="00EB2920" w:rsidRDefault="00EB2920" w:rsidP="00084A0B">
            <w:pPr>
              <w:jc w:val="center"/>
            </w:pPr>
            <w:r>
              <w:t>90</w:t>
            </w:r>
          </w:p>
        </w:tc>
        <w:tc>
          <w:tcPr>
            <w:tcW w:w="1199" w:type="dxa"/>
          </w:tcPr>
          <w:p w14:paraId="7F2D7FF6" w14:textId="77777777" w:rsidR="00EB2920" w:rsidRDefault="00EB2920" w:rsidP="00084A0B">
            <w:pPr>
              <w:jc w:val="center"/>
            </w:pPr>
            <w:r>
              <w:t>3.5%</w:t>
            </w:r>
          </w:p>
        </w:tc>
        <w:tc>
          <w:tcPr>
            <w:tcW w:w="1199" w:type="dxa"/>
          </w:tcPr>
          <w:p w14:paraId="0F92EE4A" w14:textId="77777777" w:rsidR="00EB2920" w:rsidRDefault="00EB2920" w:rsidP="00084A0B">
            <w:pPr>
              <w:jc w:val="center"/>
            </w:pPr>
            <w:r>
              <w:t>97</w:t>
            </w:r>
          </w:p>
        </w:tc>
        <w:tc>
          <w:tcPr>
            <w:tcW w:w="1199" w:type="dxa"/>
          </w:tcPr>
          <w:p w14:paraId="12CC5258" w14:textId="77777777" w:rsidR="00EB2920" w:rsidRDefault="00EB2920" w:rsidP="00084A0B">
            <w:pPr>
              <w:jc w:val="center"/>
            </w:pPr>
            <w:r>
              <w:t>3.2%</w:t>
            </w:r>
          </w:p>
        </w:tc>
        <w:tc>
          <w:tcPr>
            <w:tcW w:w="1199" w:type="dxa"/>
          </w:tcPr>
          <w:p w14:paraId="437FBC0E" w14:textId="77777777" w:rsidR="00EB2920" w:rsidRDefault="00EB2920" w:rsidP="00084A0B">
            <w:pPr>
              <w:jc w:val="center"/>
            </w:pPr>
            <w:r>
              <w:t>109</w:t>
            </w:r>
          </w:p>
        </w:tc>
        <w:tc>
          <w:tcPr>
            <w:tcW w:w="1199" w:type="dxa"/>
          </w:tcPr>
          <w:p w14:paraId="165E46DF" w14:textId="77777777" w:rsidR="00EB2920" w:rsidRDefault="00EB2920" w:rsidP="00084A0B">
            <w:pPr>
              <w:jc w:val="center"/>
            </w:pPr>
            <w:r>
              <w:t>3.6%</w:t>
            </w:r>
          </w:p>
        </w:tc>
      </w:tr>
      <w:tr w:rsidR="00EB2920" w14:paraId="13773089" w14:textId="77777777" w:rsidTr="00084A0B">
        <w:trPr>
          <w:jc w:val="center"/>
        </w:trPr>
        <w:tc>
          <w:tcPr>
            <w:tcW w:w="3100" w:type="dxa"/>
          </w:tcPr>
          <w:p w14:paraId="3743C65E" w14:textId="77777777" w:rsidR="00EB2920" w:rsidRDefault="00EB2920" w:rsidP="00084A0B">
            <w:r>
              <w:t>Native American/Alaska Native</w:t>
            </w:r>
          </w:p>
        </w:tc>
        <w:tc>
          <w:tcPr>
            <w:tcW w:w="1199" w:type="dxa"/>
          </w:tcPr>
          <w:p w14:paraId="3E1DD3B9" w14:textId="77777777" w:rsidR="00EB2920" w:rsidRDefault="00EB2920" w:rsidP="00084A0B">
            <w:pPr>
              <w:jc w:val="center"/>
            </w:pPr>
            <w:r>
              <w:t>59</w:t>
            </w:r>
          </w:p>
        </w:tc>
        <w:tc>
          <w:tcPr>
            <w:tcW w:w="1199" w:type="dxa"/>
          </w:tcPr>
          <w:p w14:paraId="1950364D" w14:textId="77777777" w:rsidR="00EB2920" w:rsidRDefault="00EB2920" w:rsidP="00084A0B">
            <w:pPr>
              <w:jc w:val="center"/>
            </w:pPr>
            <w:r>
              <w:t>2.3%</w:t>
            </w:r>
          </w:p>
        </w:tc>
        <w:tc>
          <w:tcPr>
            <w:tcW w:w="1199" w:type="dxa"/>
          </w:tcPr>
          <w:p w14:paraId="353FF680" w14:textId="77777777" w:rsidR="00EB2920" w:rsidRDefault="00EB2920" w:rsidP="00084A0B">
            <w:pPr>
              <w:jc w:val="center"/>
            </w:pPr>
            <w:r>
              <w:t>70</w:t>
            </w:r>
          </w:p>
        </w:tc>
        <w:tc>
          <w:tcPr>
            <w:tcW w:w="1199" w:type="dxa"/>
          </w:tcPr>
          <w:p w14:paraId="71E04DC3" w14:textId="77777777" w:rsidR="00EB2920" w:rsidRDefault="00EB2920" w:rsidP="00084A0B">
            <w:pPr>
              <w:jc w:val="center"/>
            </w:pPr>
            <w:r>
              <w:t>2.3%</w:t>
            </w:r>
          </w:p>
        </w:tc>
        <w:tc>
          <w:tcPr>
            <w:tcW w:w="1199" w:type="dxa"/>
          </w:tcPr>
          <w:p w14:paraId="451413B2" w14:textId="77777777" w:rsidR="00EB2920" w:rsidRDefault="00EB2920" w:rsidP="00084A0B">
            <w:pPr>
              <w:jc w:val="center"/>
            </w:pPr>
            <w:r>
              <w:t>74</w:t>
            </w:r>
          </w:p>
        </w:tc>
        <w:tc>
          <w:tcPr>
            <w:tcW w:w="1199" w:type="dxa"/>
          </w:tcPr>
          <w:p w14:paraId="2E447632" w14:textId="77777777" w:rsidR="00EB2920" w:rsidRDefault="00EB2920" w:rsidP="00084A0B">
            <w:pPr>
              <w:jc w:val="center"/>
            </w:pPr>
            <w:r>
              <w:t>2.5%</w:t>
            </w:r>
          </w:p>
        </w:tc>
      </w:tr>
      <w:tr w:rsidR="00EB2920" w14:paraId="2CA39D47" w14:textId="77777777" w:rsidTr="00084A0B">
        <w:trPr>
          <w:jc w:val="center"/>
        </w:trPr>
        <w:tc>
          <w:tcPr>
            <w:tcW w:w="3100" w:type="dxa"/>
          </w:tcPr>
          <w:p w14:paraId="5E8DBF79" w14:textId="77777777" w:rsidR="00EB2920" w:rsidRDefault="00EB2920" w:rsidP="00084A0B">
            <w:r>
              <w:t>Asian</w:t>
            </w:r>
          </w:p>
        </w:tc>
        <w:tc>
          <w:tcPr>
            <w:tcW w:w="1199" w:type="dxa"/>
          </w:tcPr>
          <w:p w14:paraId="7EF77EA3" w14:textId="77777777" w:rsidR="00EB2920" w:rsidRDefault="00EB2920" w:rsidP="00084A0B">
            <w:pPr>
              <w:jc w:val="center"/>
            </w:pPr>
            <w:r>
              <w:t>25</w:t>
            </w:r>
          </w:p>
        </w:tc>
        <w:tc>
          <w:tcPr>
            <w:tcW w:w="1199" w:type="dxa"/>
          </w:tcPr>
          <w:p w14:paraId="77C232D1" w14:textId="77777777" w:rsidR="00EB2920" w:rsidRDefault="00EB2920" w:rsidP="00084A0B">
            <w:pPr>
              <w:jc w:val="center"/>
            </w:pPr>
            <w:r>
              <w:t>1.0%</w:t>
            </w:r>
          </w:p>
        </w:tc>
        <w:tc>
          <w:tcPr>
            <w:tcW w:w="1199" w:type="dxa"/>
          </w:tcPr>
          <w:p w14:paraId="702462A6" w14:textId="77777777" w:rsidR="00EB2920" w:rsidRDefault="00EB2920" w:rsidP="00084A0B">
            <w:pPr>
              <w:jc w:val="center"/>
            </w:pPr>
            <w:r>
              <w:t>34</w:t>
            </w:r>
          </w:p>
        </w:tc>
        <w:tc>
          <w:tcPr>
            <w:tcW w:w="1199" w:type="dxa"/>
          </w:tcPr>
          <w:p w14:paraId="3EE97BB5" w14:textId="77777777" w:rsidR="00EB2920" w:rsidRDefault="00EB2920" w:rsidP="00084A0B">
            <w:pPr>
              <w:jc w:val="center"/>
            </w:pPr>
            <w:r>
              <w:t>1.1%</w:t>
            </w:r>
          </w:p>
        </w:tc>
        <w:tc>
          <w:tcPr>
            <w:tcW w:w="1199" w:type="dxa"/>
          </w:tcPr>
          <w:p w14:paraId="1E3B9CE8" w14:textId="77777777" w:rsidR="00EB2920" w:rsidRDefault="00EB2920" w:rsidP="00084A0B">
            <w:pPr>
              <w:jc w:val="center"/>
            </w:pPr>
            <w:r>
              <w:t>28</w:t>
            </w:r>
          </w:p>
        </w:tc>
        <w:tc>
          <w:tcPr>
            <w:tcW w:w="1199" w:type="dxa"/>
          </w:tcPr>
          <w:p w14:paraId="6FFF3510" w14:textId="77777777" w:rsidR="00EB2920" w:rsidRDefault="00EB2920" w:rsidP="00084A0B">
            <w:pPr>
              <w:jc w:val="center"/>
            </w:pPr>
            <w:r>
              <w:t>0.9%</w:t>
            </w:r>
          </w:p>
        </w:tc>
      </w:tr>
      <w:tr w:rsidR="00EB2920" w14:paraId="0E292926" w14:textId="77777777" w:rsidTr="00084A0B">
        <w:trPr>
          <w:jc w:val="center"/>
        </w:trPr>
        <w:tc>
          <w:tcPr>
            <w:tcW w:w="3100" w:type="dxa"/>
          </w:tcPr>
          <w:p w14:paraId="1BD56704" w14:textId="77777777" w:rsidR="00EB2920" w:rsidRDefault="00EB2920" w:rsidP="00084A0B">
            <w:r>
              <w:t>Native Hawaiian/Pacific Islander</w:t>
            </w:r>
          </w:p>
        </w:tc>
        <w:tc>
          <w:tcPr>
            <w:tcW w:w="1199" w:type="dxa"/>
          </w:tcPr>
          <w:p w14:paraId="64DDBD19" w14:textId="77777777" w:rsidR="00EB2920" w:rsidRDefault="00EB2920" w:rsidP="00084A0B">
            <w:pPr>
              <w:jc w:val="center"/>
            </w:pPr>
            <w:r>
              <w:t>10</w:t>
            </w:r>
          </w:p>
        </w:tc>
        <w:tc>
          <w:tcPr>
            <w:tcW w:w="1199" w:type="dxa"/>
          </w:tcPr>
          <w:p w14:paraId="29AC4E36" w14:textId="77777777" w:rsidR="00EB2920" w:rsidRDefault="00EB2920" w:rsidP="00084A0B">
            <w:pPr>
              <w:jc w:val="center"/>
            </w:pPr>
            <w:r>
              <w:t>0.4%</w:t>
            </w:r>
          </w:p>
        </w:tc>
        <w:tc>
          <w:tcPr>
            <w:tcW w:w="1199" w:type="dxa"/>
          </w:tcPr>
          <w:p w14:paraId="52413732" w14:textId="77777777" w:rsidR="00EB2920" w:rsidRDefault="00EB2920" w:rsidP="00084A0B">
            <w:pPr>
              <w:jc w:val="center"/>
            </w:pPr>
            <w:r>
              <w:t>6</w:t>
            </w:r>
          </w:p>
        </w:tc>
        <w:tc>
          <w:tcPr>
            <w:tcW w:w="1199" w:type="dxa"/>
          </w:tcPr>
          <w:p w14:paraId="2AEF613E" w14:textId="77777777" w:rsidR="00EB2920" w:rsidRDefault="00EB2920" w:rsidP="00084A0B">
            <w:pPr>
              <w:jc w:val="center"/>
            </w:pPr>
            <w:r>
              <w:t>0.2%</w:t>
            </w:r>
          </w:p>
        </w:tc>
        <w:tc>
          <w:tcPr>
            <w:tcW w:w="1199" w:type="dxa"/>
          </w:tcPr>
          <w:p w14:paraId="3C724677" w14:textId="77777777" w:rsidR="00EB2920" w:rsidRDefault="00EB2920" w:rsidP="00084A0B">
            <w:pPr>
              <w:jc w:val="center"/>
            </w:pPr>
            <w:r>
              <w:t>7</w:t>
            </w:r>
          </w:p>
        </w:tc>
        <w:tc>
          <w:tcPr>
            <w:tcW w:w="1199" w:type="dxa"/>
          </w:tcPr>
          <w:p w14:paraId="07060CE4" w14:textId="77777777" w:rsidR="00EB2920" w:rsidRDefault="00EB2920" w:rsidP="00084A0B">
            <w:pPr>
              <w:jc w:val="center"/>
            </w:pPr>
            <w:r>
              <w:t>0.2%</w:t>
            </w:r>
          </w:p>
        </w:tc>
      </w:tr>
      <w:tr w:rsidR="00EB2920" w14:paraId="0B2EAFC8" w14:textId="77777777" w:rsidTr="00084A0B">
        <w:trPr>
          <w:jc w:val="center"/>
        </w:trPr>
        <w:tc>
          <w:tcPr>
            <w:tcW w:w="3100" w:type="dxa"/>
          </w:tcPr>
          <w:p w14:paraId="5C1C519F" w14:textId="77777777" w:rsidR="00EB2920" w:rsidRDefault="00EB2920" w:rsidP="00084A0B">
            <w:r>
              <w:t>Hispanic/Latino</w:t>
            </w:r>
          </w:p>
        </w:tc>
        <w:tc>
          <w:tcPr>
            <w:tcW w:w="1199" w:type="dxa"/>
          </w:tcPr>
          <w:p w14:paraId="45743127" w14:textId="77777777" w:rsidR="00EB2920" w:rsidRDefault="00EB2920" w:rsidP="00084A0B">
            <w:pPr>
              <w:jc w:val="center"/>
            </w:pPr>
            <w:r>
              <w:t>47</w:t>
            </w:r>
          </w:p>
        </w:tc>
        <w:tc>
          <w:tcPr>
            <w:tcW w:w="1199" w:type="dxa"/>
          </w:tcPr>
          <w:p w14:paraId="158E90B1" w14:textId="77777777" w:rsidR="00EB2920" w:rsidRDefault="00EB2920" w:rsidP="00084A0B">
            <w:pPr>
              <w:jc w:val="center"/>
            </w:pPr>
            <w:r>
              <w:t>1.8%</w:t>
            </w:r>
          </w:p>
        </w:tc>
        <w:tc>
          <w:tcPr>
            <w:tcW w:w="1199" w:type="dxa"/>
          </w:tcPr>
          <w:p w14:paraId="1951A2E1" w14:textId="77777777" w:rsidR="00EB2920" w:rsidRDefault="00EB2920" w:rsidP="00084A0B">
            <w:pPr>
              <w:jc w:val="center"/>
            </w:pPr>
            <w:r>
              <w:t>50</w:t>
            </w:r>
          </w:p>
        </w:tc>
        <w:tc>
          <w:tcPr>
            <w:tcW w:w="1199" w:type="dxa"/>
          </w:tcPr>
          <w:p w14:paraId="6BE25DA3" w14:textId="77777777" w:rsidR="00EB2920" w:rsidRDefault="00EB2920" w:rsidP="00084A0B">
            <w:pPr>
              <w:jc w:val="center"/>
            </w:pPr>
            <w:r>
              <w:t>1.6%</w:t>
            </w:r>
          </w:p>
        </w:tc>
        <w:tc>
          <w:tcPr>
            <w:tcW w:w="1199" w:type="dxa"/>
          </w:tcPr>
          <w:p w14:paraId="662F367D" w14:textId="77777777" w:rsidR="00EB2920" w:rsidRDefault="00EB2920" w:rsidP="00084A0B">
            <w:pPr>
              <w:jc w:val="center"/>
            </w:pPr>
            <w:r>
              <w:t>65</w:t>
            </w:r>
          </w:p>
        </w:tc>
        <w:tc>
          <w:tcPr>
            <w:tcW w:w="1199" w:type="dxa"/>
          </w:tcPr>
          <w:p w14:paraId="3C4A586A" w14:textId="77777777" w:rsidR="00EB2920" w:rsidRDefault="00EB2920" w:rsidP="00084A0B">
            <w:pPr>
              <w:jc w:val="center"/>
            </w:pPr>
            <w:r>
              <w:t>2.2%</w:t>
            </w:r>
          </w:p>
        </w:tc>
      </w:tr>
      <w:tr w:rsidR="00EB2920" w14:paraId="0A6386BC" w14:textId="77777777" w:rsidTr="00084A0B">
        <w:trPr>
          <w:jc w:val="center"/>
        </w:trPr>
        <w:tc>
          <w:tcPr>
            <w:tcW w:w="3100" w:type="dxa"/>
          </w:tcPr>
          <w:p w14:paraId="191A33E5" w14:textId="77777777" w:rsidR="00EB2920" w:rsidRDefault="00EB2920" w:rsidP="00084A0B">
            <w:r>
              <w:t>Total Number of Minorities</w:t>
            </w:r>
          </w:p>
        </w:tc>
        <w:tc>
          <w:tcPr>
            <w:tcW w:w="1199" w:type="dxa"/>
          </w:tcPr>
          <w:p w14:paraId="1D45A06D" w14:textId="77777777" w:rsidR="00EB2920" w:rsidRDefault="00EB2920" w:rsidP="00084A0B">
            <w:pPr>
              <w:jc w:val="center"/>
            </w:pPr>
            <w:r>
              <w:t>231</w:t>
            </w:r>
          </w:p>
        </w:tc>
        <w:tc>
          <w:tcPr>
            <w:tcW w:w="1199" w:type="dxa"/>
          </w:tcPr>
          <w:p w14:paraId="13282CF9" w14:textId="77777777" w:rsidR="00EB2920" w:rsidRDefault="00EB2920" w:rsidP="00084A0B">
            <w:pPr>
              <w:jc w:val="center"/>
            </w:pPr>
            <w:r>
              <w:t>8.9%</w:t>
            </w:r>
          </w:p>
        </w:tc>
        <w:tc>
          <w:tcPr>
            <w:tcW w:w="1199" w:type="dxa"/>
          </w:tcPr>
          <w:p w14:paraId="075208DA" w14:textId="77777777" w:rsidR="00EB2920" w:rsidRDefault="00EB2920" w:rsidP="00084A0B">
            <w:pPr>
              <w:jc w:val="center"/>
            </w:pPr>
            <w:r>
              <w:t>257</w:t>
            </w:r>
          </w:p>
        </w:tc>
        <w:tc>
          <w:tcPr>
            <w:tcW w:w="1199" w:type="dxa"/>
          </w:tcPr>
          <w:p w14:paraId="712A561B" w14:textId="77777777" w:rsidR="00EB2920" w:rsidRDefault="00EB2920" w:rsidP="00084A0B">
            <w:pPr>
              <w:jc w:val="center"/>
            </w:pPr>
            <w:r>
              <w:t>8.4%</w:t>
            </w:r>
          </w:p>
        </w:tc>
        <w:tc>
          <w:tcPr>
            <w:tcW w:w="1199" w:type="dxa"/>
          </w:tcPr>
          <w:p w14:paraId="00362B85" w14:textId="77777777" w:rsidR="00EB2920" w:rsidRDefault="00EB2920" w:rsidP="00084A0B">
            <w:pPr>
              <w:jc w:val="center"/>
            </w:pPr>
            <w:r>
              <w:t>283</w:t>
            </w:r>
          </w:p>
        </w:tc>
        <w:tc>
          <w:tcPr>
            <w:tcW w:w="1199" w:type="dxa"/>
          </w:tcPr>
          <w:p w14:paraId="39303B66" w14:textId="77777777" w:rsidR="00EB2920" w:rsidRDefault="00EB2920" w:rsidP="00084A0B">
            <w:pPr>
              <w:jc w:val="center"/>
            </w:pPr>
            <w:r>
              <w:t>9.4%</w:t>
            </w:r>
          </w:p>
        </w:tc>
      </w:tr>
    </w:tbl>
    <w:p w14:paraId="27349185" w14:textId="77777777" w:rsidR="00EB2920" w:rsidRDefault="00EB2920" w:rsidP="00EB2920">
      <w:r>
        <w:t>Note: The total exceeds the number of clients because individuals may list multiple race/ethnicity groups.</w:t>
      </w:r>
    </w:p>
    <w:p w14:paraId="470BE95D" w14:textId="17CE2918" w:rsidR="00EB2920" w:rsidRDefault="00EB2920" w:rsidP="00EB2920">
      <w:pPr>
        <w:rPr>
          <w:b/>
          <w:bCs/>
        </w:rPr>
      </w:pPr>
      <w:r>
        <w:rPr>
          <w:b/>
          <w:bCs/>
        </w:rPr>
        <w:tab/>
      </w:r>
    </w:p>
    <w:p w14:paraId="5911A9D3" w14:textId="69737B8A" w:rsidR="00EB2920" w:rsidRDefault="00EB2920" w:rsidP="00EB2920">
      <w:pPr>
        <w:rPr>
          <w:b/>
          <w:bCs/>
        </w:rPr>
      </w:pPr>
      <w:r>
        <w:rPr>
          <w:b/>
          <w:bCs/>
        </w:rPr>
        <w:tab/>
      </w:r>
      <w:r>
        <w:rPr>
          <w:b/>
          <w:bCs/>
        </w:rPr>
        <w:tab/>
        <w:t>Findings:</w:t>
      </w:r>
    </w:p>
    <w:p w14:paraId="0A6227BF" w14:textId="3CCDC3F4" w:rsidR="008553D5" w:rsidRPr="00356A42" w:rsidRDefault="00E72CD6" w:rsidP="00993F6E">
      <w:pPr>
        <w:pStyle w:val="ListParagraph"/>
        <w:numPr>
          <w:ilvl w:val="0"/>
          <w:numId w:val="16"/>
        </w:numPr>
        <w:rPr>
          <w:b/>
          <w:bCs/>
        </w:rPr>
      </w:pPr>
      <w:r>
        <w:t>Maine DVR continues to serve a population that is slightly more diverse than the general population of Maine residents with disabilities</w:t>
      </w:r>
      <w:r w:rsidR="00356A42">
        <w:t>.</w:t>
      </w:r>
    </w:p>
    <w:p w14:paraId="749625E3" w14:textId="62261DDD" w:rsidR="00356A42" w:rsidRPr="00993F6E" w:rsidRDefault="00837C3F" w:rsidP="00993F6E">
      <w:pPr>
        <w:pStyle w:val="ListParagraph"/>
        <w:numPr>
          <w:ilvl w:val="0"/>
          <w:numId w:val="16"/>
        </w:numPr>
        <w:rPr>
          <w:b/>
          <w:bCs/>
        </w:rPr>
      </w:pPr>
      <w:r>
        <w:t xml:space="preserve">While it appears that the numbers of individuals </w:t>
      </w:r>
      <w:r w:rsidR="00C05CCE">
        <w:t xml:space="preserve">who are minority groups has increased over the last few years, </w:t>
      </w:r>
      <w:r w:rsidR="00930546">
        <w:t>the</w:t>
      </w:r>
      <w:r w:rsidR="000E2442">
        <w:t xml:space="preserve"> small sample size </w:t>
      </w:r>
      <w:r w:rsidR="0053525F">
        <w:t xml:space="preserve">may </w:t>
      </w:r>
      <w:r w:rsidR="003F01D6">
        <w:t xml:space="preserve">artificially </w:t>
      </w:r>
      <w:r w:rsidR="00457622">
        <w:t>amplify actual change.</w:t>
      </w:r>
    </w:p>
    <w:p w14:paraId="2F3628B0" w14:textId="77777777" w:rsidR="008553D5" w:rsidRDefault="008553D5" w:rsidP="00EB2920">
      <w:pPr>
        <w:rPr>
          <w:b/>
          <w:bCs/>
        </w:rPr>
      </w:pPr>
    </w:p>
    <w:p w14:paraId="474B8D6F" w14:textId="6B34879A" w:rsidR="00EB2920" w:rsidRPr="00457622" w:rsidRDefault="00EB2920" w:rsidP="00EB2920">
      <w:pPr>
        <w:jc w:val="center"/>
        <w:rPr>
          <w:b/>
          <w:bCs/>
        </w:rPr>
      </w:pPr>
      <w:r w:rsidRPr="00457622">
        <w:rPr>
          <w:b/>
          <w:bCs/>
        </w:rPr>
        <w:t xml:space="preserve">Table </w:t>
      </w:r>
      <w:r w:rsidR="008A1ACD" w:rsidRPr="00457622">
        <w:rPr>
          <w:b/>
          <w:bCs/>
        </w:rPr>
        <w:t>5</w:t>
      </w:r>
      <w:r w:rsidRPr="00457622">
        <w:rPr>
          <w:b/>
          <w:bCs/>
        </w:rPr>
        <w:t>B</w:t>
      </w:r>
    </w:p>
    <w:p w14:paraId="3A2334B5" w14:textId="58EB895B" w:rsidR="00EB2920" w:rsidRDefault="00EB2920" w:rsidP="00EB2920">
      <w:pPr>
        <w:jc w:val="center"/>
        <w:rPr>
          <w:b/>
          <w:bCs/>
        </w:rPr>
      </w:pPr>
      <w:r>
        <w:rPr>
          <w:b/>
          <w:bCs/>
        </w:rPr>
        <w:t>Maine DVR Minorities Served – Closed Cases</w:t>
      </w:r>
    </w:p>
    <w:tbl>
      <w:tblPr>
        <w:tblStyle w:val="TableGrid"/>
        <w:tblW w:w="0" w:type="auto"/>
        <w:tblLook w:val="04A0" w:firstRow="1" w:lastRow="0" w:firstColumn="1" w:lastColumn="0" w:noHBand="0" w:noVBand="1"/>
      </w:tblPr>
      <w:tblGrid>
        <w:gridCol w:w="3894"/>
        <w:gridCol w:w="861"/>
        <w:gridCol w:w="1599"/>
        <w:gridCol w:w="1859"/>
        <w:gridCol w:w="861"/>
        <w:gridCol w:w="1716"/>
      </w:tblGrid>
      <w:tr w:rsidR="00C1322D" w:rsidRPr="002562A8" w14:paraId="241EDB44" w14:textId="77777777" w:rsidTr="00A36395">
        <w:tc>
          <w:tcPr>
            <w:tcW w:w="3894" w:type="dxa"/>
            <w:vMerge w:val="restart"/>
            <w:shd w:val="clear" w:color="auto" w:fill="ADADAD" w:themeFill="background2" w:themeFillShade="BF"/>
            <w:vAlign w:val="center"/>
          </w:tcPr>
          <w:p w14:paraId="1BA77FE7" w14:textId="77777777" w:rsidR="00C1322D" w:rsidRPr="002562A8" w:rsidRDefault="00C1322D" w:rsidP="00084A0B">
            <w:pPr>
              <w:jc w:val="center"/>
              <w:rPr>
                <w:b/>
                <w:bCs/>
              </w:rPr>
            </w:pPr>
            <w:r>
              <w:rPr>
                <w:b/>
                <w:bCs/>
              </w:rPr>
              <w:t>Minorities Served by Region</w:t>
            </w:r>
          </w:p>
        </w:tc>
        <w:tc>
          <w:tcPr>
            <w:tcW w:w="6896" w:type="dxa"/>
            <w:gridSpan w:val="5"/>
            <w:shd w:val="clear" w:color="auto" w:fill="ADADAD" w:themeFill="background2" w:themeFillShade="BF"/>
          </w:tcPr>
          <w:p w14:paraId="03E28542" w14:textId="3EF9E816" w:rsidR="00C1322D" w:rsidRPr="002562A8" w:rsidRDefault="00C1322D" w:rsidP="00084A0B">
            <w:pPr>
              <w:jc w:val="center"/>
              <w:rPr>
                <w:b/>
                <w:bCs/>
              </w:rPr>
            </w:pPr>
            <w:r>
              <w:rPr>
                <w:b/>
                <w:bCs/>
              </w:rPr>
              <w:t>Maine DVR</w:t>
            </w:r>
          </w:p>
        </w:tc>
      </w:tr>
      <w:tr w:rsidR="00C1322D" w:rsidRPr="002562A8" w14:paraId="2702B076" w14:textId="77777777" w:rsidTr="00BE689C">
        <w:tc>
          <w:tcPr>
            <w:tcW w:w="3894" w:type="dxa"/>
            <w:vMerge/>
            <w:shd w:val="clear" w:color="auto" w:fill="ADADAD" w:themeFill="background2" w:themeFillShade="BF"/>
          </w:tcPr>
          <w:p w14:paraId="4ECE9293" w14:textId="77777777" w:rsidR="00C1322D" w:rsidRDefault="00C1322D" w:rsidP="00084A0B">
            <w:pPr>
              <w:jc w:val="center"/>
            </w:pPr>
          </w:p>
        </w:tc>
        <w:tc>
          <w:tcPr>
            <w:tcW w:w="4319" w:type="dxa"/>
            <w:gridSpan w:val="3"/>
            <w:shd w:val="clear" w:color="auto" w:fill="ADADAD" w:themeFill="background2" w:themeFillShade="BF"/>
          </w:tcPr>
          <w:p w14:paraId="65D9E731" w14:textId="1AB958F2" w:rsidR="00C1322D" w:rsidRPr="002562A8" w:rsidRDefault="00C1322D" w:rsidP="00084A0B">
            <w:pPr>
              <w:jc w:val="center"/>
              <w:rPr>
                <w:b/>
                <w:bCs/>
              </w:rPr>
            </w:pPr>
            <w:r>
              <w:rPr>
                <w:b/>
                <w:bCs/>
              </w:rPr>
              <w:t>Minorities Closed in FFY 2023</w:t>
            </w:r>
          </w:p>
        </w:tc>
        <w:tc>
          <w:tcPr>
            <w:tcW w:w="2577" w:type="dxa"/>
            <w:gridSpan w:val="2"/>
            <w:shd w:val="clear" w:color="auto" w:fill="ADADAD" w:themeFill="background2" w:themeFillShade="BF"/>
          </w:tcPr>
          <w:p w14:paraId="7387422D" w14:textId="77777777" w:rsidR="00C1322D" w:rsidRPr="002562A8" w:rsidRDefault="00C1322D" w:rsidP="00084A0B">
            <w:pPr>
              <w:jc w:val="center"/>
              <w:rPr>
                <w:b/>
                <w:bCs/>
              </w:rPr>
            </w:pPr>
            <w:r>
              <w:rPr>
                <w:b/>
                <w:bCs/>
              </w:rPr>
              <w:t>All Cases Closed in FFY 2023</w:t>
            </w:r>
          </w:p>
        </w:tc>
      </w:tr>
      <w:tr w:rsidR="00C1322D" w:rsidRPr="002562A8" w14:paraId="49EFD03D" w14:textId="77777777" w:rsidTr="00C1322D">
        <w:tc>
          <w:tcPr>
            <w:tcW w:w="3894" w:type="dxa"/>
            <w:vMerge/>
            <w:shd w:val="clear" w:color="auto" w:fill="ADADAD" w:themeFill="background2" w:themeFillShade="BF"/>
          </w:tcPr>
          <w:p w14:paraId="2D3858F0" w14:textId="77777777" w:rsidR="00C1322D" w:rsidRDefault="00C1322D" w:rsidP="00C1322D">
            <w:pPr>
              <w:jc w:val="center"/>
            </w:pPr>
          </w:p>
        </w:tc>
        <w:tc>
          <w:tcPr>
            <w:tcW w:w="861" w:type="dxa"/>
            <w:shd w:val="clear" w:color="auto" w:fill="ADADAD" w:themeFill="background2" w:themeFillShade="BF"/>
          </w:tcPr>
          <w:p w14:paraId="65B8C042" w14:textId="77777777" w:rsidR="00C1322D" w:rsidRPr="002562A8" w:rsidRDefault="00C1322D" w:rsidP="00C1322D">
            <w:pPr>
              <w:jc w:val="center"/>
              <w:rPr>
                <w:b/>
                <w:bCs/>
              </w:rPr>
            </w:pPr>
            <w:r>
              <w:rPr>
                <w:b/>
                <w:bCs/>
              </w:rPr>
              <w:t>Count</w:t>
            </w:r>
          </w:p>
        </w:tc>
        <w:tc>
          <w:tcPr>
            <w:tcW w:w="1599" w:type="dxa"/>
            <w:shd w:val="clear" w:color="auto" w:fill="ADADAD" w:themeFill="background2" w:themeFillShade="BF"/>
          </w:tcPr>
          <w:p w14:paraId="3FE539E4" w14:textId="1B0C7DF8" w:rsidR="00C1322D" w:rsidRDefault="00C1322D" w:rsidP="00C1322D">
            <w:pPr>
              <w:jc w:val="center"/>
              <w:rPr>
                <w:b/>
                <w:bCs/>
              </w:rPr>
            </w:pPr>
            <w:r>
              <w:rPr>
                <w:b/>
                <w:bCs/>
              </w:rPr>
              <w:t>Percent</w:t>
            </w:r>
          </w:p>
        </w:tc>
        <w:tc>
          <w:tcPr>
            <w:tcW w:w="1859" w:type="dxa"/>
            <w:shd w:val="clear" w:color="auto" w:fill="ADADAD" w:themeFill="background2" w:themeFillShade="BF"/>
          </w:tcPr>
          <w:p w14:paraId="7BB49258" w14:textId="0D894233" w:rsidR="00C1322D" w:rsidRPr="002562A8" w:rsidRDefault="00602A16" w:rsidP="00C1322D">
            <w:pPr>
              <w:jc w:val="center"/>
              <w:rPr>
                <w:b/>
                <w:bCs/>
              </w:rPr>
            </w:pPr>
            <w:r>
              <w:rPr>
                <w:b/>
                <w:bCs/>
              </w:rPr>
              <w:t># Successful Closures</w:t>
            </w:r>
          </w:p>
        </w:tc>
        <w:tc>
          <w:tcPr>
            <w:tcW w:w="861" w:type="dxa"/>
            <w:shd w:val="clear" w:color="auto" w:fill="ADADAD" w:themeFill="background2" w:themeFillShade="BF"/>
          </w:tcPr>
          <w:p w14:paraId="595F2929" w14:textId="77777777" w:rsidR="00C1322D" w:rsidRPr="002562A8" w:rsidRDefault="00C1322D" w:rsidP="00C1322D">
            <w:pPr>
              <w:jc w:val="center"/>
              <w:rPr>
                <w:b/>
                <w:bCs/>
              </w:rPr>
            </w:pPr>
            <w:r>
              <w:rPr>
                <w:b/>
                <w:bCs/>
              </w:rPr>
              <w:t>Count</w:t>
            </w:r>
          </w:p>
        </w:tc>
        <w:tc>
          <w:tcPr>
            <w:tcW w:w="1716" w:type="dxa"/>
            <w:shd w:val="clear" w:color="auto" w:fill="ADADAD" w:themeFill="background2" w:themeFillShade="BF"/>
          </w:tcPr>
          <w:p w14:paraId="32BAF904" w14:textId="77777777" w:rsidR="00C1322D" w:rsidRPr="002562A8" w:rsidRDefault="00C1322D" w:rsidP="00C1322D">
            <w:pPr>
              <w:jc w:val="center"/>
              <w:rPr>
                <w:b/>
                <w:bCs/>
              </w:rPr>
            </w:pPr>
            <w:r>
              <w:rPr>
                <w:b/>
                <w:bCs/>
              </w:rPr>
              <w:t>Percent</w:t>
            </w:r>
          </w:p>
        </w:tc>
      </w:tr>
      <w:tr w:rsidR="00C1322D" w14:paraId="2DD2673B" w14:textId="77777777" w:rsidTr="00694E8F">
        <w:tc>
          <w:tcPr>
            <w:tcW w:w="3894" w:type="dxa"/>
          </w:tcPr>
          <w:p w14:paraId="1014A06F" w14:textId="77777777" w:rsidR="00C1322D" w:rsidRDefault="00C1322D" w:rsidP="00C1322D">
            <w:r>
              <w:t>Region I</w:t>
            </w:r>
          </w:p>
          <w:p w14:paraId="025B87DD" w14:textId="77777777" w:rsidR="00C1322D" w:rsidRPr="002562A8" w:rsidRDefault="00C1322D" w:rsidP="00C1322D">
            <w:pPr>
              <w:rPr>
                <w:i/>
                <w:iCs/>
              </w:rPr>
            </w:pPr>
            <w:r>
              <w:rPr>
                <w:i/>
                <w:iCs/>
              </w:rPr>
              <w:t>Cumberland and York</w:t>
            </w:r>
          </w:p>
        </w:tc>
        <w:tc>
          <w:tcPr>
            <w:tcW w:w="861" w:type="dxa"/>
            <w:vAlign w:val="center"/>
          </w:tcPr>
          <w:p w14:paraId="0C77CBFB" w14:textId="77777777" w:rsidR="00C1322D" w:rsidRPr="00602A16" w:rsidRDefault="00C1322D" w:rsidP="00C1322D">
            <w:pPr>
              <w:jc w:val="center"/>
            </w:pPr>
            <w:r w:rsidRPr="00602A16">
              <w:t>88</w:t>
            </w:r>
          </w:p>
        </w:tc>
        <w:tc>
          <w:tcPr>
            <w:tcW w:w="1599" w:type="dxa"/>
            <w:vAlign w:val="center"/>
          </w:tcPr>
          <w:p w14:paraId="2B24EFD5" w14:textId="4949637E" w:rsidR="00C1322D" w:rsidRDefault="00C1322D" w:rsidP="00C1322D">
            <w:pPr>
              <w:jc w:val="center"/>
            </w:pPr>
            <w:r>
              <w:t>31.1%</w:t>
            </w:r>
          </w:p>
        </w:tc>
        <w:tc>
          <w:tcPr>
            <w:tcW w:w="1859" w:type="dxa"/>
            <w:vAlign w:val="center"/>
          </w:tcPr>
          <w:p w14:paraId="6AD9137B" w14:textId="2DD9E130" w:rsidR="00C1322D" w:rsidRDefault="00602A16" w:rsidP="00C1322D">
            <w:pPr>
              <w:jc w:val="center"/>
            </w:pPr>
            <w:r>
              <w:t>12</w:t>
            </w:r>
          </w:p>
        </w:tc>
        <w:tc>
          <w:tcPr>
            <w:tcW w:w="861" w:type="dxa"/>
            <w:vAlign w:val="center"/>
          </w:tcPr>
          <w:p w14:paraId="24CD4877" w14:textId="77777777" w:rsidR="00C1322D" w:rsidRDefault="00C1322D" w:rsidP="00C1322D">
            <w:pPr>
              <w:jc w:val="center"/>
            </w:pPr>
            <w:r>
              <w:t>689</w:t>
            </w:r>
          </w:p>
        </w:tc>
        <w:tc>
          <w:tcPr>
            <w:tcW w:w="1716" w:type="dxa"/>
            <w:vAlign w:val="center"/>
          </w:tcPr>
          <w:p w14:paraId="7261D26C" w14:textId="77777777" w:rsidR="00C1322D" w:rsidRDefault="00C1322D" w:rsidP="00C1322D">
            <w:pPr>
              <w:jc w:val="center"/>
            </w:pPr>
            <w:r>
              <w:t>24.0%</w:t>
            </w:r>
          </w:p>
        </w:tc>
      </w:tr>
      <w:tr w:rsidR="00C1322D" w14:paraId="050E3E05" w14:textId="77777777" w:rsidTr="00694E8F">
        <w:tc>
          <w:tcPr>
            <w:tcW w:w="3894" w:type="dxa"/>
          </w:tcPr>
          <w:p w14:paraId="7BCF0EC8" w14:textId="77777777" w:rsidR="00C1322D" w:rsidRDefault="00C1322D" w:rsidP="00C1322D">
            <w:r>
              <w:t>Region II</w:t>
            </w:r>
          </w:p>
          <w:p w14:paraId="51771261" w14:textId="77777777" w:rsidR="00C1322D" w:rsidRPr="002562A8" w:rsidRDefault="00C1322D" w:rsidP="00C1322D">
            <w:pPr>
              <w:rPr>
                <w:i/>
                <w:iCs/>
              </w:rPr>
            </w:pPr>
            <w:r>
              <w:rPr>
                <w:i/>
                <w:iCs/>
              </w:rPr>
              <w:t>Androscoggin, Franklin, Oxford, and Sagadahoc</w:t>
            </w:r>
          </w:p>
        </w:tc>
        <w:tc>
          <w:tcPr>
            <w:tcW w:w="861" w:type="dxa"/>
            <w:vAlign w:val="center"/>
          </w:tcPr>
          <w:p w14:paraId="6008F9AA" w14:textId="77777777" w:rsidR="00C1322D" w:rsidRPr="00602A16" w:rsidRDefault="00C1322D" w:rsidP="00C1322D">
            <w:pPr>
              <w:jc w:val="center"/>
            </w:pPr>
            <w:r w:rsidRPr="00602A16">
              <w:t>95</w:t>
            </w:r>
          </w:p>
        </w:tc>
        <w:tc>
          <w:tcPr>
            <w:tcW w:w="1599" w:type="dxa"/>
            <w:vAlign w:val="center"/>
          </w:tcPr>
          <w:p w14:paraId="5D409432" w14:textId="1F7AAECB" w:rsidR="00C1322D" w:rsidRDefault="00C1322D" w:rsidP="00C1322D">
            <w:pPr>
              <w:jc w:val="center"/>
            </w:pPr>
            <w:r>
              <w:t>33.6%</w:t>
            </w:r>
          </w:p>
        </w:tc>
        <w:tc>
          <w:tcPr>
            <w:tcW w:w="1859" w:type="dxa"/>
            <w:vAlign w:val="center"/>
          </w:tcPr>
          <w:p w14:paraId="535ED436" w14:textId="237B3120" w:rsidR="00C1322D" w:rsidRDefault="00602A16" w:rsidP="00C1322D">
            <w:pPr>
              <w:jc w:val="center"/>
            </w:pPr>
            <w:r>
              <w:t>14</w:t>
            </w:r>
          </w:p>
        </w:tc>
        <w:tc>
          <w:tcPr>
            <w:tcW w:w="861" w:type="dxa"/>
            <w:vAlign w:val="center"/>
          </w:tcPr>
          <w:p w14:paraId="77FFF335" w14:textId="77777777" w:rsidR="00C1322D" w:rsidRDefault="00C1322D" w:rsidP="00C1322D">
            <w:pPr>
              <w:jc w:val="center"/>
            </w:pPr>
            <w:r>
              <w:t>793</w:t>
            </w:r>
          </w:p>
        </w:tc>
        <w:tc>
          <w:tcPr>
            <w:tcW w:w="1716" w:type="dxa"/>
            <w:vAlign w:val="center"/>
          </w:tcPr>
          <w:p w14:paraId="31221F0F" w14:textId="77777777" w:rsidR="00C1322D" w:rsidRDefault="00C1322D" w:rsidP="00C1322D">
            <w:pPr>
              <w:jc w:val="center"/>
            </w:pPr>
            <w:r>
              <w:t>27.6%</w:t>
            </w:r>
          </w:p>
        </w:tc>
      </w:tr>
      <w:tr w:rsidR="00C1322D" w14:paraId="2B221A6F" w14:textId="77777777" w:rsidTr="00694E8F">
        <w:tc>
          <w:tcPr>
            <w:tcW w:w="3894" w:type="dxa"/>
          </w:tcPr>
          <w:p w14:paraId="0E6E08CE" w14:textId="77777777" w:rsidR="00C1322D" w:rsidRDefault="00C1322D" w:rsidP="00C1322D">
            <w:r>
              <w:t>Region III</w:t>
            </w:r>
          </w:p>
          <w:p w14:paraId="2E548926" w14:textId="77777777" w:rsidR="00C1322D" w:rsidRPr="002562A8" w:rsidRDefault="00C1322D" w:rsidP="00C1322D">
            <w:pPr>
              <w:rPr>
                <w:i/>
                <w:iCs/>
              </w:rPr>
            </w:pPr>
            <w:r>
              <w:rPr>
                <w:i/>
                <w:iCs/>
              </w:rPr>
              <w:t>Kennebec, Knox, Lincoln, Somerset, and Waldo</w:t>
            </w:r>
          </w:p>
        </w:tc>
        <w:tc>
          <w:tcPr>
            <w:tcW w:w="861" w:type="dxa"/>
            <w:vAlign w:val="center"/>
          </w:tcPr>
          <w:p w14:paraId="7C1E4720" w14:textId="77777777" w:rsidR="00C1322D" w:rsidRPr="00602A16" w:rsidRDefault="00C1322D" w:rsidP="00C1322D">
            <w:pPr>
              <w:jc w:val="center"/>
            </w:pPr>
            <w:r w:rsidRPr="00602A16">
              <w:t>54</w:t>
            </w:r>
          </w:p>
        </w:tc>
        <w:tc>
          <w:tcPr>
            <w:tcW w:w="1599" w:type="dxa"/>
            <w:vAlign w:val="center"/>
          </w:tcPr>
          <w:p w14:paraId="750BC786" w14:textId="4090694E" w:rsidR="00C1322D" w:rsidRDefault="00C1322D" w:rsidP="00C1322D">
            <w:pPr>
              <w:jc w:val="center"/>
            </w:pPr>
            <w:r>
              <w:t>19.1%</w:t>
            </w:r>
          </w:p>
        </w:tc>
        <w:tc>
          <w:tcPr>
            <w:tcW w:w="1859" w:type="dxa"/>
            <w:vAlign w:val="center"/>
          </w:tcPr>
          <w:p w14:paraId="309B8C0A" w14:textId="4818583D" w:rsidR="00C1322D" w:rsidRDefault="00602A16" w:rsidP="00C1322D">
            <w:pPr>
              <w:jc w:val="center"/>
            </w:pPr>
            <w:r>
              <w:t>9</w:t>
            </w:r>
          </w:p>
        </w:tc>
        <w:tc>
          <w:tcPr>
            <w:tcW w:w="861" w:type="dxa"/>
            <w:vAlign w:val="center"/>
          </w:tcPr>
          <w:p w14:paraId="5A582762" w14:textId="77777777" w:rsidR="00C1322D" w:rsidRDefault="00C1322D" w:rsidP="00C1322D">
            <w:pPr>
              <w:jc w:val="center"/>
            </w:pPr>
            <w:r>
              <w:t>794</w:t>
            </w:r>
          </w:p>
        </w:tc>
        <w:tc>
          <w:tcPr>
            <w:tcW w:w="1716" w:type="dxa"/>
            <w:vAlign w:val="center"/>
          </w:tcPr>
          <w:p w14:paraId="02EBCCF2" w14:textId="77777777" w:rsidR="00C1322D" w:rsidRDefault="00C1322D" w:rsidP="00C1322D">
            <w:pPr>
              <w:jc w:val="center"/>
            </w:pPr>
            <w:r>
              <w:t>27.7%</w:t>
            </w:r>
          </w:p>
        </w:tc>
      </w:tr>
      <w:tr w:rsidR="00C1322D" w14:paraId="001B5BD0" w14:textId="77777777" w:rsidTr="00694E8F">
        <w:tc>
          <w:tcPr>
            <w:tcW w:w="3894" w:type="dxa"/>
          </w:tcPr>
          <w:p w14:paraId="565CE8D8" w14:textId="77777777" w:rsidR="00C1322D" w:rsidRDefault="00C1322D" w:rsidP="00C1322D">
            <w:r>
              <w:t>Region IV</w:t>
            </w:r>
          </w:p>
          <w:p w14:paraId="455D931D" w14:textId="77777777" w:rsidR="00C1322D" w:rsidRPr="002562A8" w:rsidRDefault="00C1322D" w:rsidP="00C1322D">
            <w:pPr>
              <w:rPr>
                <w:i/>
                <w:iCs/>
              </w:rPr>
            </w:pPr>
            <w:r>
              <w:rPr>
                <w:i/>
                <w:iCs/>
              </w:rPr>
              <w:lastRenderedPageBreak/>
              <w:t>Hancock, Penobscot, Piscataquis, and Washington</w:t>
            </w:r>
          </w:p>
        </w:tc>
        <w:tc>
          <w:tcPr>
            <w:tcW w:w="861" w:type="dxa"/>
            <w:vAlign w:val="center"/>
          </w:tcPr>
          <w:p w14:paraId="31E1A7E9" w14:textId="77777777" w:rsidR="00C1322D" w:rsidRPr="00602A16" w:rsidRDefault="00C1322D" w:rsidP="00C1322D">
            <w:pPr>
              <w:jc w:val="center"/>
            </w:pPr>
            <w:r w:rsidRPr="00602A16">
              <w:lastRenderedPageBreak/>
              <w:t>33</w:t>
            </w:r>
          </w:p>
        </w:tc>
        <w:tc>
          <w:tcPr>
            <w:tcW w:w="1599" w:type="dxa"/>
            <w:vAlign w:val="center"/>
          </w:tcPr>
          <w:p w14:paraId="65B0F46B" w14:textId="7F249AB7" w:rsidR="00C1322D" w:rsidRDefault="00C1322D" w:rsidP="00C1322D">
            <w:pPr>
              <w:jc w:val="center"/>
            </w:pPr>
            <w:r>
              <w:t>11.7%</w:t>
            </w:r>
          </w:p>
        </w:tc>
        <w:tc>
          <w:tcPr>
            <w:tcW w:w="1859" w:type="dxa"/>
            <w:vAlign w:val="center"/>
          </w:tcPr>
          <w:p w14:paraId="38F37075" w14:textId="68FDFE2A" w:rsidR="00C1322D" w:rsidRDefault="00602A16" w:rsidP="00C1322D">
            <w:pPr>
              <w:jc w:val="center"/>
            </w:pPr>
            <w:r>
              <w:t>4</w:t>
            </w:r>
          </w:p>
        </w:tc>
        <w:tc>
          <w:tcPr>
            <w:tcW w:w="861" w:type="dxa"/>
            <w:vAlign w:val="center"/>
          </w:tcPr>
          <w:p w14:paraId="6E2E1809" w14:textId="77777777" w:rsidR="00C1322D" w:rsidRDefault="00C1322D" w:rsidP="00C1322D">
            <w:pPr>
              <w:jc w:val="center"/>
            </w:pPr>
            <w:r>
              <w:t>446</w:t>
            </w:r>
          </w:p>
        </w:tc>
        <w:tc>
          <w:tcPr>
            <w:tcW w:w="1716" w:type="dxa"/>
            <w:vAlign w:val="center"/>
          </w:tcPr>
          <w:p w14:paraId="795D01CF" w14:textId="77777777" w:rsidR="00C1322D" w:rsidRDefault="00C1322D" w:rsidP="00C1322D">
            <w:pPr>
              <w:jc w:val="center"/>
            </w:pPr>
            <w:r>
              <w:t>15.5%</w:t>
            </w:r>
          </w:p>
        </w:tc>
      </w:tr>
      <w:tr w:rsidR="00C1322D" w14:paraId="285FDEC6" w14:textId="77777777" w:rsidTr="00694E8F">
        <w:tc>
          <w:tcPr>
            <w:tcW w:w="3894" w:type="dxa"/>
          </w:tcPr>
          <w:p w14:paraId="349DE68C" w14:textId="77777777" w:rsidR="00C1322D" w:rsidRDefault="00C1322D" w:rsidP="00C1322D">
            <w:r>
              <w:t>Region V</w:t>
            </w:r>
          </w:p>
          <w:p w14:paraId="28A2543E" w14:textId="77777777" w:rsidR="00C1322D" w:rsidRPr="002562A8" w:rsidRDefault="00C1322D" w:rsidP="00C1322D">
            <w:pPr>
              <w:rPr>
                <w:i/>
                <w:iCs/>
              </w:rPr>
            </w:pPr>
            <w:r>
              <w:rPr>
                <w:i/>
                <w:iCs/>
              </w:rPr>
              <w:t>Aroostook</w:t>
            </w:r>
          </w:p>
        </w:tc>
        <w:tc>
          <w:tcPr>
            <w:tcW w:w="861" w:type="dxa"/>
            <w:vAlign w:val="center"/>
          </w:tcPr>
          <w:p w14:paraId="7686860B" w14:textId="77777777" w:rsidR="00C1322D" w:rsidRPr="00602A16" w:rsidRDefault="00C1322D" w:rsidP="00C1322D">
            <w:pPr>
              <w:jc w:val="center"/>
            </w:pPr>
            <w:r w:rsidRPr="00602A16">
              <w:t>13</w:t>
            </w:r>
          </w:p>
        </w:tc>
        <w:tc>
          <w:tcPr>
            <w:tcW w:w="1599" w:type="dxa"/>
            <w:vAlign w:val="center"/>
          </w:tcPr>
          <w:p w14:paraId="157B34EB" w14:textId="3A506653" w:rsidR="00C1322D" w:rsidRDefault="00C1322D" w:rsidP="00C1322D">
            <w:pPr>
              <w:jc w:val="center"/>
            </w:pPr>
            <w:r>
              <w:t>4.6%</w:t>
            </w:r>
          </w:p>
        </w:tc>
        <w:tc>
          <w:tcPr>
            <w:tcW w:w="1859" w:type="dxa"/>
            <w:vAlign w:val="center"/>
          </w:tcPr>
          <w:p w14:paraId="21D144B1" w14:textId="730C8193" w:rsidR="00C1322D" w:rsidRDefault="00602A16" w:rsidP="00C1322D">
            <w:pPr>
              <w:jc w:val="center"/>
            </w:pPr>
            <w:r>
              <w:t>2</w:t>
            </w:r>
          </w:p>
        </w:tc>
        <w:tc>
          <w:tcPr>
            <w:tcW w:w="861" w:type="dxa"/>
            <w:vAlign w:val="center"/>
          </w:tcPr>
          <w:p w14:paraId="7444F4F7" w14:textId="77777777" w:rsidR="00C1322D" w:rsidRDefault="00C1322D" w:rsidP="00C1322D">
            <w:pPr>
              <w:jc w:val="center"/>
            </w:pPr>
            <w:r>
              <w:t>149</w:t>
            </w:r>
          </w:p>
        </w:tc>
        <w:tc>
          <w:tcPr>
            <w:tcW w:w="1716" w:type="dxa"/>
            <w:vAlign w:val="center"/>
          </w:tcPr>
          <w:p w14:paraId="1476B08D" w14:textId="77777777" w:rsidR="00C1322D" w:rsidRDefault="00C1322D" w:rsidP="00C1322D">
            <w:pPr>
              <w:jc w:val="center"/>
            </w:pPr>
            <w:r>
              <w:t>5.2%</w:t>
            </w:r>
          </w:p>
        </w:tc>
      </w:tr>
      <w:tr w:rsidR="00C1322D" w:rsidRPr="002562A8" w14:paraId="7A482CBF" w14:textId="77777777" w:rsidTr="00694E8F">
        <w:tc>
          <w:tcPr>
            <w:tcW w:w="3894" w:type="dxa"/>
          </w:tcPr>
          <w:p w14:paraId="00F22BB3" w14:textId="77777777" w:rsidR="00C1322D" w:rsidRPr="002562A8" w:rsidRDefault="00C1322D" w:rsidP="00C1322D">
            <w:pPr>
              <w:jc w:val="right"/>
              <w:rPr>
                <w:b/>
                <w:bCs/>
              </w:rPr>
            </w:pPr>
            <w:r>
              <w:rPr>
                <w:b/>
                <w:bCs/>
              </w:rPr>
              <w:t>TOTAL</w:t>
            </w:r>
          </w:p>
        </w:tc>
        <w:tc>
          <w:tcPr>
            <w:tcW w:w="861" w:type="dxa"/>
            <w:vAlign w:val="center"/>
          </w:tcPr>
          <w:p w14:paraId="6583165E" w14:textId="77777777" w:rsidR="00C1322D" w:rsidRPr="002562A8" w:rsidRDefault="00C1322D" w:rsidP="00C1322D">
            <w:pPr>
              <w:jc w:val="center"/>
              <w:rPr>
                <w:b/>
                <w:bCs/>
              </w:rPr>
            </w:pPr>
            <w:r>
              <w:rPr>
                <w:b/>
                <w:bCs/>
              </w:rPr>
              <w:t>283</w:t>
            </w:r>
          </w:p>
        </w:tc>
        <w:tc>
          <w:tcPr>
            <w:tcW w:w="1599" w:type="dxa"/>
            <w:vAlign w:val="center"/>
          </w:tcPr>
          <w:p w14:paraId="39917664" w14:textId="39726421" w:rsidR="00C1322D" w:rsidRDefault="00C1322D" w:rsidP="00C1322D">
            <w:pPr>
              <w:jc w:val="center"/>
              <w:rPr>
                <w:b/>
                <w:bCs/>
              </w:rPr>
            </w:pPr>
            <w:r>
              <w:rPr>
                <w:b/>
                <w:bCs/>
              </w:rPr>
              <w:t>100%</w:t>
            </w:r>
          </w:p>
        </w:tc>
        <w:tc>
          <w:tcPr>
            <w:tcW w:w="1859" w:type="dxa"/>
            <w:vAlign w:val="center"/>
          </w:tcPr>
          <w:p w14:paraId="70FDF1A8" w14:textId="74D12FD9" w:rsidR="00C1322D" w:rsidRPr="002562A8" w:rsidRDefault="00602A16" w:rsidP="00C1322D">
            <w:pPr>
              <w:jc w:val="center"/>
              <w:rPr>
                <w:b/>
                <w:bCs/>
              </w:rPr>
            </w:pPr>
            <w:r>
              <w:rPr>
                <w:b/>
                <w:bCs/>
              </w:rPr>
              <w:t>41</w:t>
            </w:r>
          </w:p>
        </w:tc>
        <w:tc>
          <w:tcPr>
            <w:tcW w:w="861" w:type="dxa"/>
            <w:vAlign w:val="center"/>
          </w:tcPr>
          <w:p w14:paraId="592CB9B5" w14:textId="77777777" w:rsidR="00C1322D" w:rsidRPr="002562A8" w:rsidRDefault="00C1322D" w:rsidP="00C1322D">
            <w:pPr>
              <w:jc w:val="center"/>
              <w:rPr>
                <w:b/>
                <w:bCs/>
              </w:rPr>
            </w:pPr>
            <w:r>
              <w:rPr>
                <w:b/>
                <w:bCs/>
              </w:rPr>
              <w:t>2,871</w:t>
            </w:r>
          </w:p>
        </w:tc>
        <w:tc>
          <w:tcPr>
            <w:tcW w:w="1716" w:type="dxa"/>
            <w:vAlign w:val="center"/>
          </w:tcPr>
          <w:p w14:paraId="23DD4260" w14:textId="77777777" w:rsidR="00C1322D" w:rsidRPr="002562A8" w:rsidRDefault="00C1322D" w:rsidP="00C1322D">
            <w:pPr>
              <w:jc w:val="center"/>
              <w:rPr>
                <w:b/>
                <w:bCs/>
              </w:rPr>
            </w:pPr>
            <w:r>
              <w:rPr>
                <w:b/>
                <w:bCs/>
              </w:rPr>
              <w:t>100%</w:t>
            </w:r>
          </w:p>
        </w:tc>
      </w:tr>
      <w:tr w:rsidR="006A3372" w:rsidRPr="002562A8" w14:paraId="4A0F2F73" w14:textId="77777777" w:rsidTr="00694E8F">
        <w:tc>
          <w:tcPr>
            <w:tcW w:w="3894" w:type="dxa"/>
          </w:tcPr>
          <w:p w14:paraId="5E239DDB" w14:textId="77777777" w:rsidR="006A3372" w:rsidRDefault="006A3372" w:rsidP="00C1322D">
            <w:pPr>
              <w:jc w:val="right"/>
              <w:rPr>
                <w:b/>
                <w:bCs/>
              </w:rPr>
            </w:pPr>
          </w:p>
        </w:tc>
        <w:tc>
          <w:tcPr>
            <w:tcW w:w="861" w:type="dxa"/>
            <w:vAlign w:val="center"/>
          </w:tcPr>
          <w:p w14:paraId="176BD5D2" w14:textId="77777777" w:rsidR="006A3372" w:rsidRDefault="006A3372" w:rsidP="00C1322D">
            <w:pPr>
              <w:jc w:val="center"/>
              <w:rPr>
                <w:b/>
                <w:bCs/>
              </w:rPr>
            </w:pPr>
          </w:p>
        </w:tc>
        <w:tc>
          <w:tcPr>
            <w:tcW w:w="1599" w:type="dxa"/>
            <w:vAlign w:val="center"/>
          </w:tcPr>
          <w:p w14:paraId="1EF6850D" w14:textId="77777777" w:rsidR="006A3372" w:rsidRDefault="006A3372" w:rsidP="00C1322D">
            <w:pPr>
              <w:jc w:val="center"/>
              <w:rPr>
                <w:b/>
                <w:bCs/>
              </w:rPr>
            </w:pPr>
          </w:p>
        </w:tc>
        <w:tc>
          <w:tcPr>
            <w:tcW w:w="1859" w:type="dxa"/>
            <w:vAlign w:val="center"/>
          </w:tcPr>
          <w:p w14:paraId="725AFA31" w14:textId="77777777" w:rsidR="006A3372" w:rsidRDefault="006A3372" w:rsidP="00C1322D">
            <w:pPr>
              <w:jc w:val="center"/>
              <w:rPr>
                <w:b/>
                <w:bCs/>
              </w:rPr>
            </w:pPr>
          </w:p>
        </w:tc>
        <w:tc>
          <w:tcPr>
            <w:tcW w:w="861" w:type="dxa"/>
            <w:vAlign w:val="center"/>
          </w:tcPr>
          <w:p w14:paraId="273D2C07" w14:textId="77777777" w:rsidR="006A3372" w:rsidRDefault="006A3372" w:rsidP="00C1322D">
            <w:pPr>
              <w:jc w:val="center"/>
              <w:rPr>
                <w:b/>
                <w:bCs/>
              </w:rPr>
            </w:pPr>
          </w:p>
        </w:tc>
        <w:tc>
          <w:tcPr>
            <w:tcW w:w="1716" w:type="dxa"/>
            <w:vAlign w:val="center"/>
          </w:tcPr>
          <w:p w14:paraId="70CED6B1" w14:textId="77777777" w:rsidR="006A3372" w:rsidRDefault="006A3372" w:rsidP="00C1322D">
            <w:pPr>
              <w:jc w:val="center"/>
              <w:rPr>
                <w:b/>
                <w:bCs/>
              </w:rPr>
            </w:pPr>
          </w:p>
        </w:tc>
      </w:tr>
    </w:tbl>
    <w:p w14:paraId="52BC3303" w14:textId="77777777" w:rsidR="00EB2920" w:rsidRDefault="00EB2920" w:rsidP="00EB2920">
      <w:pPr>
        <w:jc w:val="center"/>
        <w:rPr>
          <w:b/>
          <w:bCs/>
        </w:rPr>
      </w:pPr>
    </w:p>
    <w:p w14:paraId="575F179F" w14:textId="73CD3B12" w:rsidR="006A3372" w:rsidRDefault="006A3372" w:rsidP="006A3372">
      <w:pPr>
        <w:pStyle w:val="ListParagraph"/>
        <w:rPr>
          <w:b/>
          <w:bCs/>
        </w:rPr>
      </w:pPr>
      <w:r>
        <w:rPr>
          <w:b/>
          <w:bCs/>
        </w:rPr>
        <w:t>Findings:</w:t>
      </w:r>
    </w:p>
    <w:p w14:paraId="3A5743A2" w14:textId="620E8DFD" w:rsidR="006A3372" w:rsidRPr="00BC611C" w:rsidRDefault="006A3372" w:rsidP="006A3372">
      <w:pPr>
        <w:pStyle w:val="ListParagraph"/>
        <w:numPr>
          <w:ilvl w:val="0"/>
          <w:numId w:val="18"/>
        </w:numPr>
        <w:rPr>
          <w:b/>
          <w:bCs/>
        </w:rPr>
      </w:pPr>
      <w:r>
        <w:t xml:space="preserve">In Regions I and II, individuals from minority groups were more likely to close </w:t>
      </w:r>
      <w:r w:rsidR="007D0A1E">
        <w:t xml:space="preserve">out from DVR services compared to the general population of individuals served. </w:t>
      </w:r>
    </w:p>
    <w:p w14:paraId="74544072" w14:textId="6787B99B" w:rsidR="00BC611C" w:rsidRPr="006A3372" w:rsidRDefault="00BC611C" w:rsidP="006A3372">
      <w:pPr>
        <w:pStyle w:val="ListParagraph"/>
        <w:numPr>
          <w:ilvl w:val="0"/>
          <w:numId w:val="18"/>
        </w:numPr>
        <w:rPr>
          <w:b/>
          <w:bCs/>
        </w:rPr>
      </w:pPr>
      <w:r>
        <w:t xml:space="preserve">DVR will engage in DEIA strategies – including the addition of </w:t>
      </w:r>
      <w:r w:rsidR="00DC1875">
        <w:t xml:space="preserve">a Rehabilitation Assistant in each region – to </w:t>
      </w:r>
      <w:r w:rsidR="00F9491A">
        <w:t xml:space="preserve">learn more about why individuals from minority populations exit DVR services. </w:t>
      </w:r>
    </w:p>
    <w:p w14:paraId="64075CBB" w14:textId="77777777" w:rsidR="006A3372" w:rsidRDefault="006A3372" w:rsidP="00EB2920">
      <w:pPr>
        <w:jc w:val="center"/>
        <w:rPr>
          <w:b/>
          <w:bCs/>
        </w:rPr>
      </w:pPr>
    </w:p>
    <w:p w14:paraId="576A7B8B" w14:textId="77777777" w:rsidR="00F9491A" w:rsidRDefault="00F9491A" w:rsidP="00EB2920">
      <w:pPr>
        <w:jc w:val="center"/>
        <w:rPr>
          <w:b/>
          <w:bCs/>
        </w:rPr>
      </w:pPr>
    </w:p>
    <w:p w14:paraId="7BFDAD9E" w14:textId="77777777" w:rsidR="00F9491A" w:rsidRDefault="00F9491A" w:rsidP="00EB2920">
      <w:pPr>
        <w:jc w:val="center"/>
        <w:rPr>
          <w:b/>
          <w:bCs/>
        </w:rPr>
      </w:pPr>
    </w:p>
    <w:p w14:paraId="1BE5B7E8" w14:textId="77777777" w:rsidR="00F9491A" w:rsidRDefault="00F9491A" w:rsidP="00EB2920">
      <w:pPr>
        <w:jc w:val="center"/>
        <w:rPr>
          <w:b/>
          <w:bCs/>
        </w:rPr>
      </w:pPr>
    </w:p>
    <w:p w14:paraId="10F6DDBA" w14:textId="77777777" w:rsidR="00F9491A" w:rsidRDefault="00F9491A" w:rsidP="00EB2920">
      <w:pPr>
        <w:jc w:val="center"/>
        <w:rPr>
          <w:b/>
          <w:bCs/>
        </w:rPr>
      </w:pPr>
    </w:p>
    <w:p w14:paraId="76975323" w14:textId="77777777" w:rsidR="00F9491A" w:rsidRDefault="00F9491A" w:rsidP="00EB2920">
      <w:pPr>
        <w:jc w:val="center"/>
        <w:rPr>
          <w:b/>
          <w:bCs/>
        </w:rPr>
      </w:pPr>
    </w:p>
    <w:p w14:paraId="67F65BDF" w14:textId="77777777" w:rsidR="00F9491A" w:rsidRDefault="00F9491A" w:rsidP="00EB2920">
      <w:pPr>
        <w:jc w:val="center"/>
        <w:rPr>
          <w:b/>
          <w:bCs/>
        </w:rPr>
      </w:pPr>
    </w:p>
    <w:p w14:paraId="43FD9256" w14:textId="77777777" w:rsidR="00F9491A" w:rsidRDefault="00F9491A" w:rsidP="00EB2920">
      <w:pPr>
        <w:jc w:val="center"/>
        <w:rPr>
          <w:b/>
          <w:bCs/>
        </w:rPr>
      </w:pPr>
    </w:p>
    <w:p w14:paraId="49790C63" w14:textId="77777777" w:rsidR="00F9491A" w:rsidRDefault="00F9491A" w:rsidP="00EB2920">
      <w:pPr>
        <w:jc w:val="center"/>
        <w:rPr>
          <w:b/>
          <w:bCs/>
        </w:rPr>
      </w:pPr>
    </w:p>
    <w:p w14:paraId="14371733" w14:textId="77777777" w:rsidR="00F9491A" w:rsidRDefault="00F9491A" w:rsidP="00EB2920">
      <w:pPr>
        <w:jc w:val="center"/>
        <w:rPr>
          <w:b/>
          <w:bCs/>
        </w:rPr>
      </w:pPr>
    </w:p>
    <w:p w14:paraId="298C4CBF" w14:textId="77777777" w:rsidR="00F9491A" w:rsidRDefault="00F9491A" w:rsidP="00EB2920">
      <w:pPr>
        <w:jc w:val="center"/>
        <w:rPr>
          <w:b/>
          <w:bCs/>
        </w:rPr>
      </w:pPr>
    </w:p>
    <w:p w14:paraId="04C84D21" w14:textId="77777777" w:rsidR="00F9491A" w:rsidRDefault="00F9491A" w:rsidP="00EB2920">
      <w:pPr>
        <w:jc w:val="center"/>
        <w:rPr>
          <w:b/>
          <w:bCs/>
        </w:rPr>
      </w:pPr>
    </w:p>
    <w:p w14:paraId="2639B4D9" w14:textId="77777777" w:rsidR="00F9491A" w:rsidRDefault="00F9491A" w:rsidP="00EB2920">
      <w:pPr>
        <w:jc w:val="center"/>
        <w:rPr>
          <w:b/>
          <w:bCs/>
        </w:rPr>
      </w:pPr>
    </w:p>
    <w:p w14:paraId="1FD391A4" w14:textId="77777777" w:rsidR="00F9491A" w:rsidRDefault="00F9491A" w:rsidP="00EB2920">
      <w:pPr>
        <w:jc w:val="center"/>
        <w:rPr>
          <w:b/>
          <w:bCs/>
        </w:rPr>
      </w:pPr>
    </w:p>
    <w:p w14:paraId="6183A9C5" w14:textId="6E0872C7" w:rsidR="00F9491A" w:rsidRDefault="00F9491A" w:rsidP="00EB2920">
      <w:pPr>
        <w:jc w:val="center"/>
        <w:rPr>
          <w:b/>
          <w:bCs/>
        </w:rPr>
      </w:pPr>
    </w:p>
    <w:p w14:paraId="4CD6F1C0" w14:textId="77777777" w:rsidR="002700C2" w:rsidRDefault="002700C2" w:rsidP="00EB2920">
      <w:pPr>
        <w:jc w:val="center"/>
        <w:rPr>
          <w:b/>
          <w:bCs/>
        </w:rPr>
      </w:pPr>
    </w:p>
    <w:p w14:paraId="7DAB8A92" w14:textId="77777777" w:rsidR="002700C2" w:rsidRDefault="002700C2" w:rsidP="00EB2920">
      <w:pPr>
        <w:jc w:val="center"/>
        <w:rPr>
          <w:b/>
          <w:bCs/>
        </w:rPr>
      </w:pPr>
    </w:p>
    <w:p w14:paraId="6B712AFE" w14:textId="77777777" w:rsidR="002700C2" w:rsidRDefault="002700C2" w:rsidP="00EB2920">
      <w:pPr>
        <w:jc w:val="center"/>
        <w:rPr>
          <w:b/>
          <w:bCs/>
        </w:rPr>
      </w:pPr>
    </w:p>
    <w:p w14:paraId="4ADA32D4" w14:textId="77777777" w:rsidR="002700C2" w:rsidRDefault="002700C2" w:rsidP="00EB2920">
      <w:pPr>
        <w:jc w:val="center"/>
        <w:rPr>
          <w:b/>
          <w:bCs/>
        </w:rPr>
      </w:pPr>
    </w:p>
    <w:p w14:paraId="44D5C270" w14:textId="77777777" w:rsidR="002700C2" w:rsidRDefault="002700C2" w:rsidP="00EB2920">
      <w:pPr>
        <w:jc w:val="center"/>
        <w:rPr>
          <w:b/>
          <w:bCs/>
        </w:rPr>
      </w:pPr>
    </w:p>
    <w:p w14:paraId="732E8DAA" w14:textId="77777777" w:rsidR="002700C2" w:rsidRDefault="002700C2" w:rsidP="00EB2920">
      <w:pPr>
        <w:jc w:val="center"/>
        <w:rPr>
          <w:b/>
          <w:bCs/>
        </w:rPr>
      </w:pPr>
    </w:p>
    <w:p w14:paraId="10DDCEFC" w14:textId="4E21949B" w:rsidR="00204642" w:rsidRDefault="00204642" w:rsidP="00204642">
      <w:pPr>
        <w:pStyle w:val="ListParagraph"/>
        <w:numPr>
          <w:ilvl w:val="1"/>
          <w:numId w:val="1"/>
        </w:numPr>
        <w:rPr>
          <w:b/>
          <w:bCs/>
        </w:rPr>
      </w:pPr>
      <w:r>
        <w:rPr>
          <w:b/>
          <w:bCs/>
        </w:rPr>
        <w:t>Students with Disabilities</w:t>
      </w:r>
    </w:p>
    <w:p w14:paraId="5EB61345" w14:textId="4574704C" w:rsidR="00204642" w:rsidRDefault="00204642" w:rsidP="00204642">
      <w:pPr>
        <w:pStyle w:val="ListParagraph"/>
        <w:ind w:left="1440"/>
        <w:rPr>
          <w:b/>
          <w:bCs/>
        </w:rPr>
      </w:pPr>
    </w:p>
    <w:p w14:paraId="3E2CF1A1" w14:textId="7DE6B3CB" w:rsidR="00204642" w:rsidRDefault="00204642" w:rsidP="00204642">
      <w:pPr>
        <w:jc w:val="center"/>
        <w:rPr>
          <w:b/>
          <w:bCs/>
        </w:rPr>
      </w:pPr>
      <w:r>
        <w:rPr>
          <w:b/>
          <w:bCs/>
        </w:rPr>
        <w:t>Chart 1</w:t>
      </w:r>
      <w:r w:rsidR="008A1ACD">
        <w:rPr>
          <w:b/>
          <w:bCs/>
        </w:rPr>
        <w:t>3</w:t>
      </w:r>
    </w:p>
    <w:p w14:paraId="0B825F6B" w14:textId="3FADC8EF" w:rsidR="00204642" w:rsidRDefault="00204642" w:rsidP="00204642">
      <w:pPr>
        <w:jc w:val="center"/>
        <w:rPr>
          <w:b/>
          <w:bCs/>
        </w:rPr>
      </w:pPr>
      <w:r>
        <w:rPr>
          <w:b/>
          <w:bCs/>
        </w:rPr>
        <w:lastRenderedPageBreak/>
        <w:t>Anticipated Need for Employment Services among Special Education Students Ages 14-22 from 2020 to 2022</w:t>
      </w:r>
    </w:p>
    <w:p w14:paraId="3821A154" w14:textId="25ADCEB9" w:rsidR="00204642" w:rsidRDefault="00A06BC8" w:rsidP="00204642">
      <w:pPr>
        <w:jc w:val="center"/>
        <w:rPr>
          <w:b/>
          <w:bCs/>
        </w:rPr>
      </w:pPr>
      <w:r w:rsidRPr="00D17DA9">
        <w:rPr>
          <w:b/>
          <w:noProof/>
        </w:rPr>
        <w:drawing>
          <wp:inline distT="0" distB="0" distL="0" distR="0" wp14:anchorId="17E04B01" wp14:editId="6945771F">
            <wp:extent cx="6858000" cy="4966459"/>
            <wp:effectExtent l="0" t="0" r="0" b="571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45967B7" w14:textId="67BB2315" w:rsidR="00A06BC8" w:rsidRDefault="00E41858" w:rsidP="00E41858">
      <w:pPr>
        <w:rPr>
          <w:b/>
          <w:bCs/>
        </w:rPr>
      </w:pPr>
      <w:r>
        <w:rPr>
          <w:b/>
          <w:bCs/>
        </w:rPr>
        <w:t>Findings:</w:t>
      </w:r>
    </w:p>
    <w:p w14:paraId="0B8A5D5C" w14:textId="68EB3D4F" w:rsidR="00E41858" w:rsidRPr="005768BB" w:rsidRDefault="005768BB" w:rsidP="00E41858">
      <w:pPr>
        <w:pStyle w:val="ListParagraph"/>
        <w:numPr>
          <w:ilvl w:val="0"/>
          <w:numId w:val="19"/>
        </w:numPr>
        <w:rPr>
          <w:b/>
          <w:bCs/>
        </w:rPr>
      </w:pPr>
      <w:r>
        <w:t xml:space="preserve">Note: </w:t>
      </w:r>
      <w:r w:rsidR="00D272B0">
        <w:t xml:space="preserve">Special education categories </w:t>
      </w:r>
      <w:r>
        <w:t>differ from disability categories used by DVR</w:t>
      </w:r>
    </w:p>
    <w:p w14:paraId="2D48B10E" w14:textId="63B3CB15" w:rsidR="005768BB" w:rsidRPr="0012529F" w:rsidRDefault="00F872AA" w:rsidP="00E41858">
      <w:pPr>
        <w:pStyle w:val="ListParagraph"/>
        <w:numPr>
          <w:ilvl w:val="0"/>
          <w:numId w:val="19"/>
        </w:numPr>
        <w:rPr>
          <w:b/>
          <w:bCs/>
        </w:rPr>
      </w:pPr>
      <w:r>
        <w:t xml:space="preserve">The numbers of students with Autism continues to grow in Maine. </w:t>
      </w:r>
      <w:r w:rsidR="00DF6F54">
        <w:t xml:space="preserve">DVR serves a higher percentage of students with Autism </w:t>
      </w:r>
      <w:r w:rsidR="0012529F">
        <w:t>than</w:t>
      </w:r>
      <w:r w:rsidR="00DF6F54">
        <w:t xml:space="preserve"> found in</w:t>
      </w:r>
      <w:r w:rsidR="0012529F">
        <w:t xml:space="preserve"> special education.</w:t>
      </w:r>
    </w:p>
    <w:p w14:paraId="6976FB05" w14:textId="65674D93" w:rsidR="0012529F" w:rsidRPr="00C90C46" w:rsidRDefault="0012529F" w:rsidP="00E41858">
      <w:pPr>
        <w:pStyle w:val="ListParagraph"/>
        <w:numPr>
          <w:ilvl w:val="0"/>
          <w:numId w:val="19"/>
        </w:numPr>
        <w:rPr>
          <w:b/>
          <w:bCs/>
        </w:rPr>
      </w:pPr>
      <w:r>
        <w:t xml:space="preserve">Conversely, while </w:t>
      </w:r>
      <w:r w:rsidR="004C0080">
        <w:t>Learning Disabilities is the largest subgrou</w:t>
      </w:r>
      <w:r w:rsidR="00353533">
        <w:t xml:space="preserve">p of students with identified special education needs, DVR serves a smaller percentage of students with </w:t>
      </w:r>
      <w:r w:rsidR="00BF1EC6">
        <w:t xml:space="preserve">Learning Disabilities. This could be due to less actual </w:t>
      </w:r>
      <w:r w:rsidR="00C90C46">
        <w:t>or perceived need for</w:t>
      </w:r>
      <w:r w:rsidR="007D31BB">
        <w:t xml:space="preserve"> VR</w:t>
      </w:r>
      <w:r w:rsidR="00C90C46">
        <w:t xml:space="preserve"> services.</w:t>
      </w:r>
    </w:p>
    <w:p w14:paraId="31C30FB3" w14:textId="08D35F48" w:rsidR="00C90C46" w:rsidRPr="0023135B" w:rsidRDefault="00371603" w:rsidP="00E41858">
      <w:pPr>
        <w:pStyle w:val="ListParagraph"/>
        <w:numPr>
          <w:ilvl w:val="0"/>
          <w:numId w:val="19"/>
        </w:numPr>
        <w:rPr>
          <w:b/>
          <w:bCs/>
        </w:rPr>
      </w:pPr>
      <w:r>
        <w:t xml:space="preserve">Mental Health disabilities represent the largest group of students served by </w:t>
      </w:r>
      <w:r w:rsidR="0023135B">
        <w:t>DVR.</w:t>
      </w:r>
    </w:p>
    <w:p w14:paraId="4C680C1C" w14:textId="4C60BF6A" w:rsidR="0023135B" w:rsidRPr="00E41858" w:rsidRDefault="0023135B" w:rsidP="00E41858">
      <w:pPr>
        <w:pStyle w:val="ListParagraph"/>
        <w:numPr>
          <w:ilvl w:val="0"/>
          <w:numId w:val="19"/>
        </w:numPr>
        <w:rPr>
          <w:b/>
          <w:bCs/>
        </w:rPr>
      </w:pPr>
      <w:r>
        <w:t xml:space="preserve">Students with Intellectual Disability make up a greater proportion of students served by DVR than they do as a percentage </w:t>
      </w:r>
      <w:r w:rsidR="007D31BB">
        <w:t xml:space="preserve">of all students identified for special education services. This may be due to greater actual or perceived need for VR services. </w:t>
      </w:r>
    </w:p>
    <w:p w14:paraId="450E22F9" w14:textId="77777777" w:rsidR="00A06BC8" w:rsidRDefault="00A06BC8" w:rsidP="00204642">
      <w:pPr>
        <w:jc w:val="center"/>
        <w:rPr>
          <w:b/>
          <w:bCs/>
        </w:rPr>
      </w:pPr>
    </w:p>
    <w:p w14:paraId="73CE88A2" w14:textId="77777777" w:rsidR="00A06BC8" w:rsidRDefault="00A06BC8" w:rsidP="00204642">
      <w:pPr>
        <w:jc w:val="center"/>
        <w:rPr>
          <w:b/>
          <w:bCs/>
        </w:rPr>
      </w:pPr>
    </w:p>
    <w:p w14:paraId="5C8CC23F" w14:textId="77777777" w:rsidR="00A06BC8" w:rsidRDefault="00A06BC8" w:rsidP="00204642">
      <w:pPr>
        <w:jc w:val="center"/>
        <w:rPr>
          <w:b/>
          <w:bCs/>
        </w:rPr>
      </w:pPr>
    </w:p>
    <w:p w14:paraId="763630E1" w14:textId="77777777" w:rsidR="00A06BC8" w:rsidRDefault="00A06BC8" w:rsidP="00204642">
      <w:pPr>
        <w:jc w:val="center"/>
        <w:rPr>
          <w:b/>
          <w:bCs/>
        </w:rPr>
      </w:pPr>
    </w:p>
    <w:p w14:paraId="7F801737" w14:textId="7817D6F8" w:rsidR="00A06BC8" w:rsidRDefault="00A06BC8" w:rsidP="00A06BC8">
      <w:pPr>
        <w:pStyle w:val="ListParagraph"/>
        <w:numPr>
          <w:ilvl w:val="1"/>
          <w:numId w:val="1"/>
        </w:numPr>
        <w:rPr>
          <w:b/>
          <w:bCs/>
        </w:rPr>
      </w:pPr>
      <w:r>
        <w:rPr>
          <w:b/>
          <w:bCs/>
        </w:rPr>
        <w:t xml:space="preserve">Distribution of DVR Transition Counselors </w:t>
      </w:r>
    </w:p>
    <w:p w14:paraId="7C4DFCD6" w14:textId="2F93EE55" w:rsidR="00A06BC8" w:rsidRDefault="00A06BC8" w:rsidP="00A06BC8">
      <w:pPr>
        <w:pStyle w:val="ListParagraph"/>
        <w:ind w:left="1440"/>
        <w:rPr>
          <w:b/>
          <w:bCs/>
        </w:rPr>
      </w:pPr>
    </w:p>
    <w:p w14:paraId="61628E1E" w14:textId="77777777" w:rsidR="00A06BC8" w:rsidRDefault="00A06BC8" w:rsidP="00A06BC8">
      <w:pPr>
        <w:rPr>
          <w:b/>
          <w:bCs/>
        </w:rPr>
      </w:pPr>
    </w:p>
    <w:p w14:paraId="3FBA230B" w14:textId="2570429C" w:rsidR="00A06BC8" w:rsidRDefault="00A06BC8" w:rsidP="00A06BC8">
      <w:pPr>
        <w:jc w:val="center"/>
        <w:rPr>
          <w:b/>
          <w:bCs/>
        </w:rPr>
      </w:pPr>
      <w:r>
        <w:rPr>
          <w:b/>
          <w:bCs/>
        </w:rPr>
        <w:t>Chart 1</w:t>
      </w:r>
      <w:r w:rsidR="008A1ACD">
        <w:rPr>
          <w:b/>
          <w:bCs/>
        </w:rPr>
        <w:t>4</w:t>
      </w:r>
    </w:p>
    <w:p w14:paraId="185CDF3B" w14:textId="404102CB" w:rsidR="00A06BC8" w:rsidRDefault="00A06BC8" w:rsidP="00A06BC8">
      <w:pPr>
        <w:jc w:val="center"/>
        <w:rPr>
          <w:b/>
          <w:bCs/>
        </w:rPr>
      </w:pPr>
      <w:r>
        <w:rPr>
          <w:b/>
          <w:bCs/>
        </w:rPr>
        <w:t>DVR Transition Counselors and Exceptionality Population by VR Region Students Ages 14-22</w:t>
      </w:r>
    </w:p>
    <w:p w14:paraId="2046C3CC" w14:textId="10A2F23F" w:rsidR="00743A14" w:rsidRDefault="00BA7829" w:rsidP="00A06BC8">
      <w:pPr>
        <w:jc w:val="center"/>
        <w:rPr>
          <w:b/>
          <w:bCs/>
        </w:rPr>
      </w:pPr>
      <w:r>
        <w:rPr>
          <w:b/>
          <w:bCs/>
          <w:noProof/>
        </w:rPr>
        <w:drawing>
          <wp:inline distT="0" distB="0" distL="0" distR="0" wp14:anchorId="563422AB" wp14:editId="2922D469">
            <wp:extent cx="5486400" cy="3200400"/>
            <wp:effectExtent l="0" t="0" r="0" b="0"/>
            <wp:docPr id="100599477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8621413" w14:textId="7931DC59" w:rsidR="00DB6B05" w:rsidRDefault="00DB6B05" w:rsidP="003E0A7C">
      <w:pPr>
        <w:rPr>
          <w:b/>
          <w:bCs/>
        </w:rPr>
      </w:pPr>
    </w:p>
    <w:p w14:paraId="20895770" w14:textId="7CD2BA21" w:rsidR="00C0155E" w:rsidRDefault="00C0155E" w:rsidP="003E0A7C">
      <w:pPr>
        <w:rPr>
          <w:b/>
          <w:bCs/>
        </w:rPr>
      </w:pPr>
      <w:r>
        <w:rPr>
          <w:b/>
          <w:bCs/>
        </w:rPr>
        <w:t>Findings:</w:t>
      </w:r>
    </w:p>
    <w:p w14:paraId="74FD80F6" w14:textId="2CB1E52B" w:rsidR="00C0155E" w:rsidRPr="007A4846" w:rsidRDefault="00C0155E" w:rsidP="00C0155E">
      <w:pPr>
        <w:pStyle w:val="ListParagraph"/>
        <w:numPr>
          <w:ilvl w:val="0"/>
          <w:numId w:val="21"/>
        </w:numPr>
        <w:rPr>
          <w:b/>
          <w:bCs/>
        </w:rPr>
      </w:pPr>
      <w:r>
        <w:t xml:space="preserve">Transition VR Counselor numbers have been in flux due to </w:t>
      </w:r>
      <w:r w:rsidR="007A4846">
        <w:t>DVR’s ability to recruit and retain staff.</w:t>
      </w:r>
    </w:p>
    <w:p w14:paraId="152C019F" w14:textId="1CF86983" w:rsidR="007A4846" w:rsidRPr="001A699D" w:rsidRDefault="007A4846" w:rsidP="00C0155E">
      <w:pPr>
        <w:pStyle w:val="ListParagraph"/>
        <w:numPr>
          <w:ilvl w:val="0"/>
          <w:numId w:val="21"/>
        </w:numPr>
        <w:rPr>
          <w:b/>
          <w:bCs/>
        </w:rPr>
      </w:pPr>
      <w:r>
        <w:t xml:space="preserve">Transition VR Counselors typically have larger caseloads than </w:t>
      </w:r>
      <w:r w:rsidR="001A699D">
        <w:t>counselors serving adults</w:t>
      </w:r>
    </w:p>
    <w:p w14:paraId="3D7775CC" w14:textId="436E5ECD" w:rsidR="001A699D" w:rsidRPr="00C0155E" w:rsidRDefault="00EE3CFD" w:rsidP="00C0155E">
      <w:pPr>
        <w:pStyle w:val="ListParagraph"/>
        <w:numPr>
          <w:ilvl w:val="0"/>
          <w:numId w:val="21"/>
        </w:numPr>
        <w:rPr>
          <w:b/>
          <w:bCs/>
        </w:rPr>
      </w:pPr>
      <w:r>
        <w:t xml:space="preserve">DVR </w:t>
      </w:r>
      <w:r w:rsidR="00F8063E">
        <w:t xml:space="preserve">now uses a team approach to serve transition-age youth. This includes </w:t>
      </w:r>
      <w:r w:rsidR="00582B7E">
        <w:t xml:space="preserve">employing </w:t>
      </w:r>
      <w:r w:rsidR="000913F7">
        <w:t xml:space="preserve">regional and statewide Rehabilitation Counselor Is, business relations staff, and </w:t>
      </w:r>
      <w:r w:rsidR="00392B6B">
        <w:t>partners</w:t>
      </w:r>
      <w:r w:rsidR="00582B7E">
        <w:t xml:space="preserve"> to </w:t>
      </w:r>
      <w:r w:rsidR="00392B6B">
        <w:t>work across regions</w:t>
      </w:r>
      <w:r w:rsidR="00582B7E">
        <w:t xml:space="preserve"> both for virtual and in-person services</w:t>
      </w:r>
      <w:r w:rsidR="00392B6B">
        <w:t xml:space="preserve">. </w:t>
      </w:r>
    </w:p>
    <w:p w14:paraId="13D4263A" w14:textId="77777777" w:rsidR="00DB6B05" w:rsidRDefault="00DB6B05" w:rsidP="00A06BC8">
      <w:pPr>
        <w:jc w:val="center"/>
        <w:rPr>
          <w:b/>
          <w:bCs/>
        </w:rPr>
      </w:pPr>
    </w:p>
    <w:p w14:paraId="29118589" w14:textId="77777777" w:rsidR="00DB6B05" w:rsidRDefault="00DB6B05" w:rsidP="00A06BC8">
      <w:pPr>
        <w:jc w:val="center"/>
        <w:rPr>
          <w:b/>
          <w:bCs/>
        </w:rPr>
      </w:pPr>
    </w:p>
    <w:p w14:paraId="507240D0" w14:textId="77777777" w:rsidR="00DB6B05" w:rsidRDefault="00DB6B05" w:rsidP="00A06BC8">
      <w:pPr>
        <w:jc w:val="center"/>
        <w:rPr>
          <w:b/>
          <w:bCs/>
        </w:rPr>
      </w:pPr>
    </w:p>
    <w:p w14:paraId="476A3F77" w14:textId="77777777" w:rsidR="00DB6B05" w:rsidRDefault="00DB6B05" w:rsidP="00A06BC8">
      <w:pPr>
        <w:jc w:val="center"/>
        <w:rPr>
          <w:b/>
          <w:bCs/>
        </w:rPr>
      </w:pPr>
    </w:p>
    <w:p w14:paraId="0A1A2BD0" w14:textId="77777777" w:rsidR="00DB6B05" w:rsidRDefault="00DB6B05" w:rsidP="00A06BC8">
      <w:pPr>
        <w:jc w:val="center"/>
        <w:rPr>
          <w:b/>
          <w:bCs/>
        </w:rPr>
      </w:pPr>
    </w:p>
    <w:p w14:paraId="54C47BE3" w14:textId="77777777" w:rsidR="00DB6B05" w:rsidRDefault="00DB6B05" w:rsidP="00A06BC8">
      <w:pPr>
        <w:jc w:val="center"/>
        <w:rPr>
          <w:b/>
          <w:bCs/>
        </w:rPr>
      </w:pPr>
    </w:p>
    <w:p w14:paraId="5362ECC8" w14:textId="77777777" w:rsidR="00DB6B05" w:rsidRDefault="00DB6B05" w:rsidP="00A06BC8">
      <w:pPr>
        <w:jc w:val="center"/>
        <w:rPr>
          <w:b/>
          <w:bCs/>
        </w:rPr>
      </w:pPr>
    </w:p>
    <w:p w14:paraId="6ABE646D" w14:textId="77777777" w:rsidR="00DB6B05" w:rsidRDefault="00DB6B05" w:rsidP="00A06BC8">
      <w:pPr>
        <w:jc w:val="center"/>
        <w:rPr>
          <w:b/>
          <w:bCs/>
        </w:rPr>
      </w:pPr>
    </w:p>
    <w:p w14:paraId="4815CDED" w14:textId="77777777" w:rsidR="00DB6B05" w:rsidRDefault="00DB6B05" w:rsidP="00A06BC8">
      <w:pPr>
        <w:jc w:val="center"/>
        <w:rPr>
          <w:b/>
          <w:bCs/>
        </w:rPr>
      </w:pPr>
    </w:p>
    <w:p w14:paraId="4194E6C1" w14:textId="77777777" w:rsidR="00DB6B05" w:rsidRDefault="00DB6B05" w:rsidP="00A06BC8">
      <w:pPr>
        <w:jc w:val="center"/>
        <w:rPr>
          <w:b/>
          <w:bCs/>
        </w:rPr>
      </w:pPr>
    </w:p>
    <w:p w14:paraId="319A9197" w14:textId="1B4C9769" w:rsidR="00DB6B05" w:rsidRDefault="00DB6B05" w:rsidP="00DB6B05">
      <w:pPr>
        <w:rPr>
          <w:b/>
          <w:bCs/>
        </w:rPr>
      </w:pPr>
      <w:r>
        <w:rPr>
          <w:b/>
          <w:bCs/>
        </w:rPr>
        <w:tab/>
        <w:t>Deaf, Hard of Hearing &amp; Late Deafened</w:t>
      </w:r>
    </w:p>
    <w:p w14:paraId="5100A264" w14:textId="77777777" w:rsidR="00DB6B05" w:rsidRDefault="00DB6B05" w:rsidP="00DB6B05">
      <w:pPr>
        <w:jc w:val="center"/>
        <w:rPr>
          <w:b/>
          <w:bCs/>
        </w:rPr>
      </w:pPr>
    </w:p>
    <w:p w14:paraId="03E5209E" w14:textId="7F95F5D2" w:rsidR="00DB6B05" w:rsidRDefault="00DB6B05" w:rsidP="00DB6B05">
      <w:pPr>
        <w:jc w:val="center"/>
        <w:rPr>
          <w:b/>
          <w:bCs/>
        </w:rPr>
      </w:pPr>
      <w:r>
        <w:rPr>
          <w:b/>
          <w:bCs/>
        </w:rPr>
        <w:lastRenderedPageBreak/>
        <w:t>Chart 15</w:t>
      </w:r>
    </w:p>
    <w:p w14:paraId="6AB808C8" w14:textId="4BFD2AE9" w:rsidR="00DB6B05" w:rsidRDefault="00DB6B05" w:rsidP="00DB6B05">
      <w:pPr>
        <w:jc w:val="center"/>
        <w:rPr>
          <w:b/>
          <w:bCs/>
        </w:rPr>
      </w:pPr>
      <w:r>
        <w:rPr>
          <w:b/>
          <w:bCs/>
        </w:rPr>
        <w:t>Hearing Aid and Audiologist Expenditures</w:t>
      </w:r>
    </w:p>
    <w:p w14:paraId="1F7366FE" w14:textId="2942EB3A" w:rsidR="00AE1798" w:rsidRDefault="00AE1798" w:rsidP="00DB6B05">
      <w:pPr>
        <w:jc w:val="center"/>
        <w:rPr>
          <w:b/>
          <w:bCs/>
        </w:rPr>
      </w:pPr>
      <w:r w:rsidRPr="00D17DA9">
        <w:rPr>
          <w:b/>
          <w:noProof/>
        </w:rPr>
        <w:drawing>
          <wp:inline distT="0" distB="0" distL="0" distR="0" wp14:anchorId="0746D874" wp14:editId="43EA9F73">
            <wp:extent cx="6105525" cy="3324225"/>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4A4E55A1" w14:textId="77777777" w:rsidR="00AE1798" w:rsidRDefault="00AE1798" w:rsidP="00DB6B05">
      <w:pPr>
        <w:jc w:val="center"/>
        <w:rPr>
          <w:b/>
          <w:bCs/>
        </w:rPr>
      </w:pPr>
    </w:p>
    <w:p w14:paraId="0A05ECCA" w14:textId="77777777" w:rsidR="00AE1798" w:rsidRDefault="00AE1798" w:rsidP="00DB6B05">
      <w:pPr>
        <w:jc w:val="center"/>
        <w:rPr>
          <w:b/>
          <w:bCs/>
        </w:rPr>
      </w:pPr>
    </w:p>
    <w:p w14:paraId="40123CF9" w14:textId="77777777" w:rsidR="000F51AD" w:rsidRDefault="000F51AD" w:rsidP="00DB6B05">
      <w:pPr>
        <w:jc w:val="center"/>
        <w:rPr>
          <w:b/>
          <w:bCs/>
        </w:rPr>
      </w:pPr>
    </w:p>
    <w:p w14:paraId="2C11D261" w14:textId="67959829" w:rsidR="00AE1798" w:rsidRDefault="00582B7E" w:rsidP="00582B7E">
      <w:pPr>
        <w:rPr>
          <w:b/>
          <w:bCs/>
        </w:rPr>
      </w:pPr>
      <w:r>
        <w:rPr>
          <w:b/>
          <w:bCs/>
        </w:rPr>
        <w:t xml:space="preserve">Findings: </w:t>
      </w:r>
    </w:p>
    <w:p w14:paraId="748BACA2" w14:textId="3C5FA813" w:rsidR="00582B7E" w:rsidRDefault="008010F3" w:rsidP="00582B7E">
      <w:pPr>
        <w:pStyle w:val="ListParagraph"/>
        <w:numPr>
          <w:ilvl w:val="0"/>
          <w:numId w:val="22"/>
        </w:numPr>
        <w:rPr>
          <w:b/>
          <w:bCs/>
        </w:rPr>
      </w:pPr>
      <w:r>
        <w:rPr>
          <w:b/>
          <w:bCs/>
        </w:rPr>
        <w:t xml:space="preserve">DVR continues </w:t>
      </w:r>
      <w:r w:rsidR="003A47B4">
        <w:rPr>
          <w:b/>
          <w:bCs/>
        </w:rPr>
        <w:t xml:space="preserve">to </w:t>
      </w:r>
      <w:r w:rsidR="00582B7E">
        <w:rPr>
          <w:b/>
          <w:bCs/>
        </w:rPr>
        <w:t xml:space="preserve">benefit </w:t>
      </w:r>
      <w:r w:rsidR="000F51AD">
        <w:rPr>
          <w:b/>
          <w:bCs/>
        </w:rPr>
        <w:t xml:space="preserve">fiscally </w:t>
      </w:r>
      <w:r w:rsidR="00582B7E">
        <w:rPr>
          <w:b/>
          <w:bCs/>
        </w:rPr>
        <w:t xml:space="preserve">from </w:t>
      </w:r>
      <w:r w:rsidR="00BC2548">
        <w:rPr>
          <w:b/>
          <w:bCs/>
        </w:rPr>
        <w:t xml:space="preserve">procurement of hearing aids </w:t>
      </w:r>
      <w:r>
        <w:rPr>
          <w:b/>
          <w:bCs/>
        </w:rPr>
        <w:t xml:space="preserve">at reduced cost through </w:t>
      </w:r>
      <w:r w:rsidR="008A49B6">
        <w:rPr>
          <w:b/>
          <w:bCs/>
        </w:rPr>
        <w:t xml:space="preserve">contractual agreement. </w:t>
      </w:r>
    </w:p>
    <w:p w14:paraId="55BB07C0" w14:textId="7E544076" w:rsidR="008A49B6" w:rsidRDefault="00246491" w:rsidP="00582B7E">
      <w:pPr>
        <w:pStyle w:val="ListParagraph"/>
        <w:numPr>
          <w:ilvl w:val="0"/>
          <w:numId w:val="22"/>
        </w:numPr>
        <w:rPr>
          <w:b/>
          <w:bCs/>
        </w:rPr>
      </w:pPr>
      <w:r>
        <w:rPr>
          <w:b/>
          <w:bCs/>
        </w:rPr>
        <w:t xml:space="preserve">DVR’s waitlist for individuals found eligible in Order of Selection Categories 3 and 4 </w:t>
      </w:r>
      <w:r w:rsidR="00296687">
        <w:rPr>
          <w:b/>
          <w:bCs/>
        </w:rPr>
        <w:t xml:space="preserve">impacts some expenditures for hearing aids and audiologists as </w:t>
      </w:r>
      <w:r w:rsidR="009964EA">
        <w:rPr>
          <w:b/>
          <w:bCs/>
        </w:rPr>
        <w:t xml:space="preserve">individuals who are late-deafened or </w:t>
      </w:r>
      <w:r w:rsidR="000B2369">
        <w:rPr>
          <w:b/>
          <w:bCs/>
        </w:rPr>
        <w:t xml:space="preserve">hard of hearing are over-represented in these categories. </w:t>
      </w:r>
    </w:p>
    <w:p w14:paraId="0F8CB10A" w14:textId="3CBFB8B8" w:rsidR="002D4C87" w:rsidRPr="00582B7E" w:rsidRDefault="002D4C87" w:rsidP="00582B7E">
      <w:pPr>
        <w:pStyle w:val="ListParagraph"/>
        <w:numPr>
          <w:ilvl w:val="0"/>
          <w:numId w:val="22"/>
        </w:numPr>
        <w:rPr>
          <w:b/>
          <w:bCs/>
        </w:rPr>
      </w:pPr>
      <w:r>
        <w:rPr>
          <w:b/>
          <w:bCs/>
        </w:rPr>
        <w:t xml:space="preserve">Availability of insurance coverage for hearing aids has not had a significant impact on </w:t>
      </w:r>
      <w:r w:rsidR="003A47B4">
        <w:rPr>
          <w:b/>
          <w:bCs/>
        </w:rPr>
        <w:t>related expenditures.</w:t>
      </w:r>
    </w:p>
    <w:p w14:paraId="74860C64" w14:textId="77777777" w:rsidR="00AE1798" w:rsidRDefault="00AE1798" w:rsidP="00DB6B05">
      <w:pPr>
        <w:jc w:val="center"/>
        <w:rPr>
          <w:b/>
          <w:bCs/>
        </w:rPr>
      </w:pPr>
    </w:p>
    <w:p w14:paraId="03FA494B" w14:textId="77777777" w:rsidR="00AE1798" w:rsidRDefault="00AE1798" w:rsidP="00DB6B05">
      <w:pPr>
        <w:jc w:val="center"/>
        <w:rPr>
          <w:b/>
          <w:bCs/>
        </w:rPr>
      </w:pPr>
    </w:p>
    <w:p w14:paraId="5D64BD14" w14:textId="77777777" w:rsidR="00AE1798" w:rsidRDefault="00AE1798" w:rsidP="00DB6B05">
      <w:pPr>
        <w:jc w:val="center"/>
        <w:rPr>
          <w:b/>
          <w:bCs/>
        </w:rPr>
      </w:pPr>
    </w:p>
    <w:p w14:paraId="023F6540" w14:textId="77777777" w:rsidR="00AE1798" w:rsidRDefault="00AE1798" w:rsidP="00DB6B05">
      <w:pPr>
        <w:jc w:val="center"/>
        <w:rPr>
          <w:b/>
          <w:bCs/>
        </w:rPr>
      </w:pPr>
    </w:p>
    <w:p w14:paraId="2CAEEA98" w14:textId="77777777" w:rsidR="00AE1798" w:rsidRDefault="00AE1798" w:rsidP="00DB6B05">
      <w:pPr>
        <w:jc w:val="center"/>
        <w:rPr>
          <w:b/>
          <w:bCs/>
        </w:rPr>
      </w:pPr>
    </w:p>
    <w:p w14:paraId="0A49DE50" w14:textId="77777777" w:rsidR="00AE1798" w:rsidRDefault="00AE1798" w:rsidP="00DB6B05">
      <w:pPr>
        <w:jc w:val="center"/>
        <w:rPr>
          <w:b/>
          <w:bCs/>
        </w:rPr>
      </w:pPr>
    </w:p>
    <w:p w14:paraId="0100B088" w14:textId="77777777" w:rsidR="00AE1798" w:rsidRDefault="00AE1798" w:rsidP="00DB6B05">
      <w:pPr>
        <w:jc w:val="center"/>
        <w:rPr>
          <w:b/>
          <w:bCs/>
        </w:rPr>
      </w:pPr>
    </w:p>
    <w:p w14:paraId="79E1AC91" w14:textId="422E6317" w:rsidR="00AE1798" w:rsidRDefault="00AE1798" w:rsidP="00AE1798">
      <w:pPr>
        <w:pStyle w:val="ListParagraph"/>
        <w:numPr>
          <w:ilvl w:val="1"/>
          <w:numId w:val="1"/>
        </w:numPr>
        <w:rPr>
          <w:b/>
          <w:bCs/>
        </w:rPr>
      </w:pPr>
      <w:r>
        <w:rPr>
          <w:b/>
          <w:bCs/>
        </w:rPr>
        <w:t>Appendix – All Closures</w:t>
      </w:r>
    </w:p>
    <w:p w14:paraId="7404B163" w14:textId="724A28BB" w:rsidR="00AE1798" w:rsidRDefault="00AE1798" w:rsidP="00AE1798">
      <w:pPr>
        <w:jc w:val="center"/>
        <w:rPr>
          <w:b/>
          <w:bCs/>
        </w:rPr>
      </w:pPr>
      <w:r>
        <w:rPr>
          <w:b/>
          <w:bCs/>
        </w:rPr>
        <w:t>Case Closure Status by Disability from Federal Fiscal Year 2021 to 2023</w:t>
      </w:r>
    </w:p>
    <w:tbl>
      <w:tblPr>
        <w:tblStyle w:val="TableGrid"/>
        <w:tblW w:w="0" w:type="auto"/>
        <w:jc w:val="center"/>
        <w:tblLook w:val="04A0" w:firstRow="1" w:lastRow="0" w:firstColumn="1" w:lastColumn="0" w:noHBand="0" w:noVBand="1"/>
      </w:tblPr>
      <w:tblGrid>
        <w:gridCol w:w="3325"/>
        <w:gridCol w:w="1138"/>
        <w:gridCol w:w="1131"/>
        <w:gridCol w:w="1138"/>
      </w:tblGrid>
      <w:tr w:rsidR="00DC4DF1" w14:paraId="6B844246" w14:textId="77777777" w:rsidTr="00084A0B">
        <w:trPr>
          <w:jc w:val="center"/>
        </w:trPr>
        <w:tc>
          <w:tcPr>
            <w:tcW w:w="3325" w:type="dxa"/>
            <w:shd w:val="clear" w:color="auto" w:fill="595959" w:themeFill="text1" w:themeFillTint="A6"/>
          </w:tcPr>
          <w:p w14:paraId="50353068" w14:textId="77777777" w:rsidR="00DC4DF1" w:rsidRPr="00CD3B8C" w:rsidRDefault="00DC4DF1" w:rsidP="00084A0B">
            <w:pPr>
              <w:jc w:val="center"/>
              <w:rPr>
                <w:b/>
                <w:bCs/>
                <w:color w:val="FFFFFF" w:themeColor="background1"/>
              </w:rPr>
            </w:pPr>
            <w:r w:rsidRPr="00CD3B8C">
              <w:rPr>
                <w:b/>
                <w:bCs/>
                <w:color w:val="FFFFFF" w:themeColor="background1"/>
              </w:rPr>
              <w:lastRenderedPageBreak/>
              <w:t>ALL DVR CLOSURES</w:t>
            </w:r>
          </w:p>
        </w:tc>
        <w:tc>
          <w:tcPr>
            <w:tcW w:w="1138" w:type="dxa"/>
            <w:shd w:val="clear" w:color="auto" w:fill="595959" w:themeFill="text1" w:themeFillTint="A6"/>
          </w:tcPr>
          <w:p w14:paraId="238ED402" w14:textId="77777777" w:rsidR="00DC4DF1" w:rsidRPr="00CD3B8C" w:rsidRDefault="00DC4DF1" w:rsidP="00084A0B">
            <w:pPr>
              <w:jc w:val="center"/>
              <w:rPr>
                <w:b/>
                <w:bCs/>
                <w:color w:val="FFFFFF" w:themeColor="background1"/>
              </w:rPr>
            </w:pPr>
            <w:r w:rsidRPr="00CD3B8C">
              <w:rPr>
                <w:b/>
                <w:bCs/>
                <w:color w:val="FFFFFF" w:themeColor="background1"/>
              </w:rPr>
              <w:t>FFY 2021</w:t>
            </w:r>
          </w:p>
        </w:tc>
        <w:tc>
          <w:tcPr>
            <w:tcW w:w="1131" w:type="dxa"/>
            <w:shd w:val="clear" w:color="auto" w:fill="595959" w:themeFill="text1" w:themeFillTint="A6"/>
          </w:tcPr>
          <w:p w14:paraId="39681C7B" w14:textId="77777777" w:rsidR="00DC4DF1" w:rsidRPr="00CD3B8C" w:rsidRDefault="00DC4DF1" w:rsidP="00084A0B">
            <w:pPr>
              <w:jc w:val="center"/>
              <w:rPr>
                <w:b/>
                <w:bCs/>
                <w:color w:val="FFFFFF" w:themeColor="background1"/>
              </w:rPr>
            </w:pPr>
            <w:r w:rsidRPr="00CD3B8C">
              <w:rPr>
                <w:b/>
                <w:bCs/>
                <w:color w:val="FFFFFF" w:themeColor="background1"/>
              </w:rPr>
              <w:t>FFY 2022</w:t>
            </w:r>
          </w:p>
        </w:tc>
        <w:tc>
          <w:tcPr>
            <w:tcW w:w="1138" w:type="dxa"/>
            <w:shd w:val="clear" w:color="auto" w:fill="595959" w:themeFill="text1" w:themeFillTint="A6"/>
          </w:tcPr>
          <w:p w14:paraId="6A1966A9" w14:textId="77777777" w:rsidR="00DC4DF1" w:rsidRPr="00CD3B8C" w:rsidRDefault="00DC4DF1" w:rsidP="00084A0B">
            <w:pPr>
              <w:jc w:val="center"/>
              <w:rPr>
                <w:b/>
                <w:bCs/>
                <w:color w:val="FFFFFF" w:themeColor="background1"/>
              </w:rPr>
            </w:pPr>
            <w:r w:rsidRPr="00CD3B8C">
              <w:rPr>
                <w:b/>
                <w:bCs/>
                <w:color w:val="FFFFFF" w:themeColor="background1"/>
              </w:rPr>
              <w:t>FFY 2023</w:t>
            </w:r>
          </w:p>
        </w:tc>
      </w:tr>
      <w:tr w:rsidR="00DC4DF1" w14:paraId="169B6CC3" w14:textId="77777777" w:rsidTr="00084A0B">
        <w:trPr>
          <w:jc w:val="center"/>
        </w:trPr>
        <w:tc>
          <w:tcPr>
            <w:tcW w:w="3325" w:type="dxa"/>
            <w:shd w:val="clear" w:color="auto" w:fill="E8E8E8" w:themeFill="background2"/>
          </w:tcPr>
          <w:p w14:paraId="4BEF7250" w14:textId="77777777" w:rsidR="00DC4DF1" w:rsidRPr="00597BCC" w:rsidRDefault="00DC4DF1" w:rsidP="00084A0B">
            <w:pPr>
              <w:rPr>
                <w:b/>
                <w:bCs/>
              </w:rPr>
            </w:pPr>
            <w:r w:rsidRPr="00597BCC">
              <w:rPr>
                <w:b/>
                <w:bCs/>
              </w:rPr>
              <w:t>Total Closures</w:t>
            </w:r>
          </w:p>
        </w:tc>
        <w:tc>
          <w:tcPr>
            <w:tcW w:w="1138" w:type="dxa"/>
            <w:shd w:val="clear" w:color="auto" w:fill="E8E8E8" w:themeFill="background2"/>
          </w:tcPr>
          <w:p w14:paraId="3C013CB5" w14:textId="77777777" w:rsidR="00DC4DF1" w:rsidRDefault="00DC4DF1" w:rsidP="00084A0B">
            <w:pPr>
              <w:jc w:val="center"/>
            </w:pPr>
            <w:r>
              <w:t>2,499</w:t>
            </w:r>
          </w:p>
        </w:tc>
        <w:tc>
          <w:tcPr>
            <w:tcW w:w="1131" w:type="dxa"/>
            <w:shd w:val="clear" w:color="auto" w:fill="E8E8E8" w:themeFill="background2"/>
          </w:tcPr>
          <w:p w14:paraId="1682B6D6" w14:textId="77777777" w:rsidR="00DC4DF1" w:rsidRDefault="00DC4DF1" w:rsidP="00084A0B">
            <w:pPr>
              <w:jc w:val="center"/>
            </w:pPr>
            <w:r>
              <w:t>2,958</w:t>
            </w:r>
          </w:p>
        </w:tc>
        <w:tc>
          <w:tcPr>
            <w:tcW w:w="1138" w:type="dxa"/>
            <w:shd w:val="clear" w:color="auto" w:fill="E8E8E8" w:themeFill="background2"/>
          </w:tcPr>
          <w:p w14:paraId="2FACE35E" w14:textId="77777777" w:rsidR="00DC4DF1" w:rsidRDefault="00DC4DF1" w:rsidP="00084A0B">
            <w:pPr>
              <w:jc w:val="center"/>
            </w:pPr>
            <w:r>
              <w:t>2,891</w:t>
            </w:r>
          </w:p>
        </w:tc>
      </w:tr>
      <w:tr w:rsidR="00DC4DF1" w14:paraId="6E943905" w14:textId="77777777" w:rsidTr="00084A0B">
        <w:trPr>
          <w:jc w:val="center"/>
        </w:trPr>
        <w:tc>
          <w:tcPr>
            <w:tcW w:w="3325" w:type="dxa"/>
            <w:shd w:val="clear" w:color="auto" w:fill="E8E8E8" w:themeFill="background2"/>
          </w:tcPr>
          <w:p w14:paraId="63A81F9F" w14:textId="77777777" w:rsidR="00DC4DF1" w:rsidRDefault="00DC4DF1" w:rsidP="00084A0B">
            <w:pPr>
              <w:jc w:val="right"/>
            </w:pPr>
            <w:r>
              <w:t>Rehabilitated</w:t>
            </w:r>
          </w:p>
        </w:tc>
        <w:tc>
          <w:tcPr>
            <w:tcW w:w="1138" w:type="dxa"/>
            <w:shd w:val="clear" w:color="auto" w:fill="E8E8E8" w:themeFill="background2"/>
          </w:tcPr>
          <w:p w14:paraId="43D20C19" w14:textId="77777777" w:rsidR="00DC4DF1" w:rsidRDefault="00DC4DF1" w:rsidP="00084A0B">
            <w:pPr>
              <w:jc w:val="center"/>
            </w:pPr>
            <w:r>
              <w:t>482</w:t>
            </w:r>
          </w:p>
        </w:tc>
        <w:tc>
          <w:tcPr>
            <w:tcW w:w="1131" w:type="dxa"/>
            <w:shd w:val="clear" w:color="auto" w:fill="E8E8E8" w:themeFill="background2"/>
          </w:tcPr>
          <w:p w14:paraId="6C270627" w14:textId="77777777" w:rsidR="00DC4DF1" w:rsidRDefault="00DC4DF1" w:rsidP="00084A0B">
            <w:pPr>
              <w:jc w:val="center"/>
            </w:pPr>
            <w:r>
              <w:t>485</w:t>
            </w:r>
          </w:p>
        </w:tc>
        <w:tc>
          <w:tcPr>
            <w:tcW w:w="1138" w:type="dxa"/>
            <w:shd w:val="clear" w:color="auto" w:fill="E8E8E8" w:themeFill="background2"/>
          </w:tcPr>
          <w:p w14:paraId="3023F5AA" w14:textId="77777777" w:rsidR="00DC4DF1" w:rsidRDefault="00DC4DF1" w:rsidP="00084A0B">
            <w:pPr>
              <w:jc w:val="center"/>
            </w:pPr>
            <w:r>
              <w:t>401</w:t>
            </w:r>
          </w:p>
        </w:tc>
      </w:tr>
      <w:tr w:rsidR="00DC4DF1" w14:paraId="7765157B" w14:textId="77777777" w:rsidTr="00084A0B">
        <w:trPr>
          <w:jc w:val="center"/>
        </w:trPr>
        <w:tc>
          <w:tcPr>
            <w:tcW w:w="3325" w:type="dxa"/>
            <w:shd w:val="clear" w:color="auto" w:fill="E8E8E8" w:themeFill="background2"/>
          </w:tcPr>
          <w:p w14:paraId="475C72D8" w14:textId="77777777" w:rsidR="00DC4DF1" w:rsidRDefault="00DC4DF1" w:rsidP="00084A0B">
            <w:pPr>
              <w:jc w:val="right"/>
            </w:pPr>
            <w:r>
              <w:t>Other than Rehabilitated with IPE</w:t>
            </w:r>
          </w:p>
        </w:tc>
        <w:tc>
          <w:tcPr>
            <w:tcW w:w="1138" w:type="dxa"/>
            <w:shd w:val="clear" w:color="auto" w:fill="E8E8E8" w:themeFill="background2"/>
          </w:tcPr>
          <w:p w14:paraId="40AEB664" w14:textId="77777777" w:rsidR="00DC4DF1" w:rsidRDefault="00DC4DF1" w:rsidP="00084A0B">
            <w:pPr>
              <w:jc w:val="center"/>
            </w:pPr>
            <w:r>
              <w:t>1,223</w:t>
            </w:r>
          </w:p>
        </w:tc>
        <w:tc>
          <w:tcPr>
            <w:tcW w:w="1131" w:type="dxa"/>
            <w:shd w:val="clear" w:color="auto" w:fill="E8E8E8" w:themeFill="background2"/>
          </w:tcPr>
          <w:p w14:paraId="0997DFB7" w14:textId="77777777" w:rsidR="00DC4DF1" w:rsidRDefault="00DC4DF1" w:rsidP="00084A0B">
            <w:pPr>
              <w:jc w:val="center"/>
            </w:pPr>
            <w:r>
              <w:t>1,490</w:t>
            </w:r>
          </w:p>
        </w:tc>
        <w:tc>
          <w:tcPr>
            <w:tcW w:w="1138" w:type="dxa"/>
            <w:shd w:val="clear" w:color="auto" w:fill="E8E8E8" w:themeFill="background2"/>
          </w:tcPr>
          <w:p w14:paraId="226E2A9A" w14:textId="77777777" w:rsidR="00DC4DF1" w:rsidRDefault="00DC4DF1" w:rsidP="00084A0B">
            <w:pPr>
              <w:jc w:val="center"/>
            </w:pPr>
            <w:r>
              <w:t>1,410</w:t>
            </w:r>
          </w:p>
        </w:tc>
      </w:tr>
      <w:tr w:rsidR="00DC4DF1" w14:paraId="661BCC05" w14:textId="77777777" w:rsidTr="00084A0B">
        <w:trPr>
          <w:jc w:val="center"/>
        </w:trPr>
        <w:tc>
          <w:tcPr>
            <w:tcW w:w="3325" w:type="dxa"/>
            <w:shd w:val="clear" w:color="auto" w:fill="E8E8E8" w:themeFill="background2"/>
          </w:tcPr>
          <w:p w14:paraId="7BF61115" w14:textId="77777777" w:rsidR="00DC4DF1" w:rsidRDefault="00DC4DF1" w:rsidP="00084A0B">
            <w:pPr>
              <w:jc w:val="right"/>
            </w:pPr>
            <w:r>
              <w:t>Rehabilitation Rate</w:t>
            </w:r>
            <w:r w:rsidRPr="00EF6C0D">
              <w:rPr>
                <w:color w:val="FF0000"/>
              </w:rPr>
              <w:t>*</w:t>
            </w:r>
          </w:p>
        </w:tc>
        <w:tc>
          <w:tcPr>
            <w:tcW w:w="1138" w:type="dxa"/>
            <w:shd w:val="clear" w:color="auto" w:fill="E8E8E8" w:themeFill="background2"/>
          </w:tcPr>
          <w:p w14:paraId="29FA4725" w14:textId="77777777" w:rsidR="00DC4DF1" w:rsidRDefault="00DC4DF1" w:rsidP="00084A0B">
            <w:pPr>
              <w:jc w:val="center"/>
            </w:pPr>
            <w:r>
              <w:t>28.3%</w:t>
            </w:r>
          </w:p>
        </w:tc>
        <w:tc>
          <w:tcPr>
            <w:tcW w:w="1131" w:type="dxa"/>
            <w:shd w:val="clear" w:color="auto" w:fill="E8E8E8" w:themeFill="background2"/>
          </w:tcPr>
          <w:p w14:paraId="01881B4E" w14:textId="77777777" w:rsidR="00DC4DF1" w:rsidRDefault="00DC4DF1" w:rsidP="00084A0B">
            <w:pPr>
              <w:jc w:val="center"/>
            </w:pPr>
            <w:r>
              <w:t>24.6%</w:t>
            </w:r>
          </w:p>
        </w:tc>
        <w:tc>
          <w:tcPr>
            <w:tcW w:w="1138" w:type="dxa"/>
            <w:shd w:val="clear" w:color="auto" w:fill="E8E8E8" w:themeFill="background2"/>
          </w:tcPr>
          <w:p w14:paraId="5D8C300A" w14:textId="77777777" w:rsidR="00DC4DF1" w:rsidRDefault="00DC4DF1" w:rsidP="00084A0B">
            <w:pPr>
              <w:jc w:val="center"/>
            </w:pPr>
            <w:r>
              <w:t>22.1%</w:t>
            </w:r>
          </w:p>
        </w:tc>
      </w:tr>
      <w:tr w:rsidR="00DC4DF1" w14:paraId="5ABCEE5F" w14:textId="77777777" w:rsidTr="00084A0B">
        <w:trPr>
          <w:jc w:val="center"/>
        </w:trPr>
        <w:tc>
          <w:tcPr>
            <w:tcW w:w="6732" w:type="dxa"/>
            <w:gridSpan w:val="4"/>
            <w:shd w:val="clear" w:color="auto" w:fill="E8E8E8" w:themeFill="background2"/>
          </w:tcPr>
          <w:p w14:paraId="536EBFB2" w14:textId="77777777" w:rsidR="00DC4DF1" w:rsidRDefault="00DC4DF1" w:rsidP="00084A0B">
            <w:pPr>
              <w:jc w:val="center"/>
            </w:pPr>
          </w:p>
        </w:tc>
      </w:tr>
      <w:tr w:rsidR="00DC4DF1" w14:paraId="725FDA59" w14:textId="77777777" w:rsidTr="00084A0B">
        <w:trPr>
          <w:jc w:val="center"/>
        </w:trPr>
        <w:tc>
          <w:tcPr>
            <w:tcW w:w="3325" w:type="dxa"/>
          </w:tcPr>
          <w:p w14:paraId="1D11A322" w14:textId="77777777" w:rsidR="00DC4DF1" w:rsidRPr="00597BCC" w:rsidRDefault="00DC4DF1" w:rsidP="00084A0B">
            <w:pPr>
              <w:rPr>
                <w:b/>
                <w:bCs/>
              </w:rPr>
            </w:pPr>
            <w:r w:rsidRPr="00597BCC">
              <w:rPr>
                <w:b/>
                <w:bCs/>
              </w:rPr>
              <w:t>Visual Impairment</w:t>
            </w:r>
          </w:p>
        </w:tc>
        <w:tc>
          <w:tcPr>
            <w:tcW w:w="1138" w:type="dxa"/>
          </w:tcPr>
          <w:p w14:paraId="48AC030D" w14:textId="77777777" w:rsidR="00DC4DF1" w:rsidRDefault="00DC4DF1" w:rsidP="00084A0B">
            <w:pPr>
              <w:jc w:val="center"/>
            </w:pPr>
            <w:r>
              <w:t>12</w:t>
            </w:r>
          </w:p>
        </w:tc>
        <w:tc>
          <w:tcPr>
            <w:tcW w:w="1131" w:type="dxa"/>
          </w:tcPr>
          <w:p w14:paraId="09FDF04E" w14:textId="77777777" w:rsidR="00DC4DF1" w:rsidRDefault="00DC4DF1" w:rsidP="00084A0B">
            <w:pPr>
              <w:jc w:val="center"/>
            </w:pPr>
            <w:r>
              <w:t>8</w:t>
            </w:r>
          </w:p>
        </w:tc>
        <w:tc>
          <w:tcPr>
            <w:tcW w:w="1138" w:type="dxa"/>
          </w:tcPr>
          <w:p w14:paraId="6DF886FF" w14:textId="77777777" w:rsidR="00DC4DF1" w:rsidRDefault="00DC4DF1" w:rsidP="00084A0B">
            <w:pPr>
              <w:jc w:val="center"/>
            </w:pPr>
            <w:r>
              <w:t>6</w:t>
            </w:r>
          </w:p>
        </w:tc>
      </w:tr>
      <w:tr w:rsidR="00DC4DF1" w14:paraId="3F5344B8" w14:textId="77777777" w:rsidTr="00084A0B">
        <w:trPr>
          <w:jc w:val="center"/>
        </w:trPr>
        <w:tc>
          <w:tcPr>
            <w:tcW w:w="3325" w:type="dxa"/>
          </w:tcPr>
          <w:p w14:paraId="62486FF5" w14:textId="77777777" w:rsidR="00DC4DF1" w:rsidRDefault="00DC4DF1" w:rsidP="00084A0B">
            <w:pPr>
              <w:jc w:val="right"/>
            </w:pPr>
            <w:r>
              <w:t>Rehabilitated</w:t>
            </w:r>
          </w:p>
        </w:tc>
        <w:tc>
          <w:tcPr>
            <w:tcW w:w="1138" w:type="dxa"/>
          </w:tcPr>
          <w:p w14:paraId="0FFBEBF0" w14:textId="77777777" w:rsidR="00DC4DF1" w:rsidRDefault="00DC4DF1" w:rsidP="00084A0B">
            <w:pPr>
              <w:jc w:val="center"/>
            </w:pPr>
            <w:r>
              <w:t>1</w:t>
            </w:r>
          </w:p>
        </w:tc>
        <w:tc>
          <w:tcPr>
            <w:tcW w:w="1131" w:type="dxa"/>
          </w:tcPr>
          <w:p w14:paraId="4E97192C" w14:textId="77777777" w:rsidR="00DC4DF1" w:rsidRDefault="00DC4DF1" w:rsidP="00084A0B">
            <w:pPr>
              <w:jc w:val="center"/>
            </w:pPr>
            <w:r>
              <w:t>2</w:t>
            </w:r>
          </w:p>
        </w:tc>
        <w:tc>
          <w:tcPr>
            <w:tcW w:w="1138" w:type="dxa"/>
          </w:tcPr>
          <w:p w14:paraId="15AD95A9" w14:textId="77777777" w:rsidR="00DC4DF1" w:rsidRDefault="00DC4DF1" w:rsidP="00084A0B">
            <w:pPr>
              <w:jc w:val="center"/>
            </w:pPr>
            <w:r>
              <w:t>1</w:t>
            </w:r>
          </w:p>
        </w:tc>
      </w:tr>
      <w:tr w:rsidR="00DC4DF1" w14:paraId="05891538" w14:textId="77777777" w:rsidTr="00084A0B">
        <w:trPr>
          <w:jc w:val="center"/>
        </w:trPr>
        <w:tc>
          <w:tcPr>
            <w:tcW w:w="3325" w:type="dxa"/>
          </w:tcPr>
          <w:p w14:paraId="788015E4" w14:textId="77777777" w:rsidR="00DC4DF1" w:rsidRDefault="00DC4DF1" w:rsidP="00084A0B">
            <w:pPr>
              <w:jc w:val="right"/>
            </w:pPr>
            <w:r>
              <w:t>Other than Rehabilitated with IPE</w:t>
            </w:r>
          </w:p>
        </w:tc>
        <w:tc>
          <w:tcPr>
            <w:tcW w:w="1138" w:type="dxa"/>
          </w:tcPr>
          <w:p w14:paraId="64D4BDDE" w14:textId="77777777" w:rsidR="00DC4DF1" w:rsidRDefault="00DC4DF1" w:rsidP="00084A0B">
            <w:pPr>
              <w:jc w:val="center"/>
            </w:pPr>
            <w:r>
              <w:t>8</w:t>
            </w:r>
          </w:p>
        </w:tc>
        <w:tc>
          <w:tcPr>
            <w:tcW w:w="1131" w:type="dxa"/>
          </w:tcPr>
          <w:p w14:paraId="5084D92B" w14:textId="77777777" w:rsidR="00DC4DF1" w:rsidRDefault="00DC4DF1" w:rsidP="00084A0B">
            <w:pPr>
              <w:jc w:val="center"/>
            </w:pPr>
            <w:r>
              <w:t>5</w:t>
            </w:r>
          </w:p>
        </w:tc>
        <w:tc>
          <w:tcPr>
            <w:tcW w:w="1138" w:type="dxa"/>
          </w:tcPr>
          <w:p w14:paraId="138C3990" w14:textId="77777777" w:rsidR="00DC4DF1" w:rsidRDefault="00DC4DF1" w:rsidP="00084A0B">
            <w:pPr>
              <w:jc w:val="center"/>
            </w:pPr>
            <w:r>
              <w:t>4</w:t>
            </w:r>
          </w:p>
        </w:tc>
      </w:tr>
      <w:tr w:rsidR="00DC4DF1" w14:paraId="529DF18D" w14:textId="77777777" w:rsidTr="00084A0B">
        <w:trPr>
          <w:jc w:val="center"/>
        </w:trPr>
        <w:tc>
          <w:tcPr>
            <w:tcW w:w="3325" w:type="dxa"/>
          </w:tcPr>
          <w:p w14:paraId="76FFB8E4" w14:textId="77777777" w:rsidR="00DC4DF1" w:rsidRDefault="00DC4DF1" w:rsidP="00084A0B">
            <w:pPr>
              <w:jc w:val="right"/>
            </w:pPr>
            <w:r>
              <w:t>Rehabilitation Rate</w:t>
            </w:r>
            <w:r w:rsidRPr="00EF6C0D">
              <w:rPr>
                <w:color w:val="FF0000"/>
              </w:rPr>
              <w:t>*</w:t>
            </w:r>
          </w:p>
        </w:tc>
        <w:tc>
          <w:tcPr>
            <w:tcW w:w="1138" w:type="dxa"/>
          </w:tcPr>
          <w:p w14:paraId="4B6501D5" w14:textId="77777777" w:rsidR="00DC4DF1" w:rsidRDefault="00DC4DF1" w:rsidP="00084A0B">
            <w:pPr>
              <w:jc w:val="center"/>
            </w:pPr>
            <w:r>
              <w:t>11.1%</w:t>
            </w:r>
          </w:p>
        </w:tc>
        <w:tc>
          <w:tcPr>
            <w:tcW w:w="1131" w:type="dxa"/>
          </w:tcPr>
          <w:p w14:paraId="7D041DB8" w14:textId="77777777" w:rsidR="00DC4DF1" w:rsidRDefault="00DC4DF1" w:rsidP="00084A0B">
            <w:pPr>
              <w:jc w:val="center"/>
            </w:pPr>
            <w:r>
              <w:t>28.6%</w:t>
            </w:r>
          </w:p>
        </w:tc>
        <w:tc>
          <w:tcPr>
            <w:tcW w:w="1138" w:type="dxa"/>
          </w:tcPr>
          <w:p w14:paraId="21F517C7" w14:textId="77777777" w:rsidR="00DC4DF1" w:rsidRDefault="00DC4DF1" w:rsidP="00084A0B">
            <w:pPr>
              <w:jc w:val="center"/>
            </w:pPr>
            <w:r>
              <w:t>20.0%</w:t>
            </w:r>
          </w:p>
        </w:tc>
      </w:tr>
      <w:tr w:rsidR="00DC4DF1" w14:paraId="4C53200F" w14:textId="77777777" w:rsidTr="00084A0B">
        <w:trPr>
          <w:jc w:val="center"/>
        </w:trPr>
        <w:tc>
          <w:tcPr>
            <w:tcW w:w="6732" w:type="dxa"/>
            <w:gridSpan w:val="4"/>
          </w:tcPr>
          <w:p w14:paraId="10489A46" w14:textId="77777777" w:rsidR="00DC4DF1" w:rsidRDefault="00DC4DF1" w:rsidP="00084A0B">
            <w:pPr>
              <w:jc w:val="center"/>
            </w:pPr>
          </w:p>
        </w:tc>
      </w:tr>
      <w:tr w:rsidR="00DC4DF1" w14:paraId="7677B76A" w14:textId="77777777" w:rsidTr="00084A0B">
        <w:trPr>
          <w:jc w:val="center"/>
        </w:trPr>
        <w:tc>
          <w:tcPr>
            <w:tcW w:w="3325" w:type="dxa"/>
            <w:shd w:val="clear" w:color="auto" w:fill="E8E8E8" w:themeFill="background2"/>
          </w:tcPr>
          <w:p w14:paraId="2C01B4DE" w14:textId="77777777" w:rsidR="00DC4DF1" w:rsidRPr="00597BCC" w:rsidRDefault="00DC4DF1" w:rsidP="00084A0B">
            <w:pPr>
              <w:rPr>
                <w:b/>
                <w:bCs/>
              </w:rPr>
            </w:pPr>
            <w:r w:rsidRPr="00597BCC">
              <w:rPr>
                <w:b/>
                <w:bCs/>
              </w:rPr>
              <w:t>Deaf or Hard of Hearing</w:t>
            </w:r>
          </w:p>
        </w:tc>
        <w:tc>
          <w:tcPr>
            <w:tcW w:w="1138" w:type="dxa"/>
            <w:shd w:val="clear" w:color="auto" w:fill="E8E8E8" w:themeFill="background2"/>
          </w:tcPr>
          <w:p w14:paraId="5884852F" w14:textId="77777777" w:rsidR="00DC4DF1" w:rsidRDefault="00DC4DF1" w:rsidP="00084A0B">
            <w:pPr>
              <w:jc w:val="center"/>
            </w:pPr>
            <w:r>
              <w:t>261</w:t>
            </w:r>
          </w:p>
        </w:tc>
        <w:tc>
          <w:tcPr>
            <w:tcW w:w="1131" w:type="dxa"/>
            <w:shd w:val="clear" w:color="auto" w:fill="E8E8E8" w:themeFill="background2"/>
          </w:tcPr>
          <w:p w14:paraId="6EF6426C" w14:textId="77777777" w:rsidR="00DC4DF1" w:rsidRDefault="00DC4DF1" w:rsidP="00084A0B">
            <w:pPr>
              <w:jc w:val="center"/>
            </w:pPr>
            <w:r>
              <w:t>241</w:t>
            </w:r>
          </w:p>
        </w:tc>
        <w:tc>
          <w:tcPr>
            <w:tcW w:w="1138" w:type="dxa"/>
            <w:shd w:val="clear" w:color="auto" w:fill="E8E8E8" w:themeFill="background2"/>
          </w:tcPr>
          <w:p w14:paraId="785F2E14" w14:textId="77777777" w:rsidR="00DC4DF1" w:rsidRDefault="00DC4DF1" w:rsidP="00084A0B">
            <w:pPr>
              <w:jc w:val="center"/>
            </w:pPr>
            <w:r>
              <w:t>257</w:t>
            </w:r>
          </w:p>
        </w:tc>
      </w:tr>
      <w:tr w:rsidR="00DC4DF1" w14:paraId="2753083D" w14:textId="77777777" w:rsidTr="00084A0B">
        <w:trPr>
          <w:jc w:val="center"/>
        </w:trPr>
        <w:tc>
          <w:tcPr>
            <w:tcW w:w="3325" w:type="dxa"/>
            <w:shd w:val="clear" w:color="auto" w:fill="E8E8E8" w:themeFill="background2"/>
          </w:tcPr>
          <w:p w14:paraId="69C44AFA" w14:textId="77777777" w:rsidR="00DC4DF1" w:rsidRDefault="00DC4DF1" w:rsidP="00084A0B">
            <w:pPr>
              <w:jc w:val="right"/>
            </w:pPr>
            <w:r>
              <w:t>Rehabilitated</w:t>
            </w:r>
          </w:p>
        </w:tc>
        <w:tc>
          <w:tcPr>
            <w:tcW w:w="1138" w:type="dxa"/>
            <w:shd w:val="clear" w:color="auto" w:fill="E8E8E8" w:themeFill="background2"/>
          </w:tcPr>
          <w:p w14:paraId="2A7D4132" w14:textId="77777777" w:rsidR="00DC4DF1" w:rsidRDefault="00DC4DF1" w:rsidP="00084A0B">
            <w:pPr>
              <w:jc w:val="center"/>
            </w:pPr>
            <w:r>
              <w:t>164</w:t>
            </w:r>
          </w:p>
        </w:tc>
        <w:tc>
          <w:tcPr>
            <w:tcW w:w="1131" w:type="dxa"/>
            <w:shd w:val="clear" w:color="auto" w:fill="E8E8E8" w:themeFill="background2"/>
          </w:tcPr>
          <w:p w14:paraId="223AF5FB" w14:textId="77777777" w:rsidR="00DC4DF1" w:rsidRDefault="00DC4DF1" w:rsidP="00084A0B">
            <w:pPr>
              <w:jc w:val="center"/>
            </w:pPr>
            <w:r>
              <w:t>151</w:t>
            </w:r>
          </w:p>
        </w:tc>
        <w:tc>
          <w:tcPr>
            <w:tcW w:w="1138" w:type="dxa"/>
            <w:shd w:val="clear" w:color="auto" w:fill="E8E8E8" w:themeFill="background2"/>
          </w:tcPr>
          <w:p w14:paraId="4AFB575B" w14:textId="77777777" w:rsidR="00DC4DF1" w:rsidRDefault="00DC4DF1" w:rsidP="00084A0B">
            <w:pPr>
              <w:jc w:val="center"/>
            </w:pPr>
            <w:r>
              <w:t>109</w:t>
            </w:r>
          </w:p>
        </w:tc>
      </w:tr>
      <w:tr w:rsidR="00DC4DF1" w14:paraId="53AD5D7D" w14:textId="77777777" w:rsidTr="00084A0B">
        <w:trPr>
          <w:jc w:val="center"/>
        </w:trPr>
        <w:tc>
          <w:tcPr>
            <w:tcW w:w="3325" w:type="dxa"/>
            <w:shd w:val="clear" w:color="auto" w:fill="E8E8E8" w:themeFill="background2"/>
          </w:tcPr>
          <w:p w14:paraId="376FDF42" w14:textId="77777777" w:rsidR="00DC4DF1" w:rsidRDefault="00DC4DF1" w:rsidP="00084A0B">
            <w:pPr>
              <w:jc w:val="right"/>
            </w:pPr>
            <w:r>
              <w:t>Other than Rehabilitated with IPE</w:t>
            </w:r>
          </w:p>
        </w:tc>
        <w:tc>
          <w:tcPr>
            <w:tcW w:w="1138" w:type="dxa"/>
            <w:shd w:val="clear" w:color="auto" w:fill="E8E8E8" w:themeFill="background2"/>
          </w:tcPr>
          <w:p w14:paraId="59D4AB4F" w14:textId="77777777" w:rsidR="00DC4DF1" w:rsidRDefault="00DC4DF1" w:rsidP="00084A0B">
            <w:pPr>
              <w:jc w:val="center"/>
            </w:pPr>
            <w:r>
              <w:t>60</w:t>
            </w:r>
          </w:p>
        </w:tc>
        <w:tc>
          <w:tcPr>
            <w:tcW w:w="1131" w:type="dxa"/>
            <w:shd w:val="clear" w:color="auto" w:fill="E8E8E8" w:themeFill="background2"/>
          </w:tcPr>
          <w:p w14:paraId="4EBCE8B7" w14:textId="77777777" w:rsidR="00DC4DF1" w:rsidRDefault="00DC4DF1" w:rsidP="00084A0B">
            <w:pPr>
              <w:jc w:val="center"/>
            </w:pPr>
            <w:r>
              <w:t>53</w:t>
            </w:r>
          </w:p>
        </w:tc>
        <w:tc>
          <w:tcPr>
            <w:tcW w:w="1138" w:type="dxa"/>
            <w:shd w:val="clear" w:color="auto" w:fill="E8E8E8" w:themeFill="background2"/>
          </w:tcPr>
          <w:p w14:paraId="4038875A" w14:textId="77777777" w:rsidR="00DC4DF1" w:rsidRDefault="00DC4DF1" w:rsidP="00084A0B">
            <w:pPr>
              <w:jc w:val="center"/>
            </w:pPr>
            <w:r>
              <w:t>76</w:t>
            </w:r>
          </w:p>
        </w:tc>
      </w:tr>
      <w:tr w:rsidR="00DC4DF1" w14:paraId="770BBFE3" w14:textId="77777777" w:rsidTr="00084A0B">
        <w:trPr>
          <w:jc w:val="center"/>
        </w:trPr>
        <w:tc>
          <w:tcPr>
            <w:tcW w:w="3325" w:type="dxa"/>
            <w:shd w:val="clear" w:color="auto" w:fill="E8E8E8" w:themeFill="background2"/>
          </w:tcPr>
          <w:p w14:paraId="3CE85D6D" w14:textId="77777777" w:rsidR="00DC4DF1" w:rsidRDefault="00DC4DF1" w:rsidP="00084A0B">
            <w:pPr>
              <w:jc w:val="right"/>
            </w:pPr>
            <w:r>
              <w:t>Rehabilitation Rate</w:t>
            </w:r>
            <w:r w:rsidRPr="00EF6C0D">
              <w:rPr>
                <w:color w:val="FF0000"/>
              </w:rPr>
              <w:t>*</w:t>
            </w:r>
          </w:p>
        </w:tc>
        <w:tc>
          <w:tcPr>
            <w:tcW w:w="1138" w:type="dxa"/>
            <w:shd w:val="clear" w:color="auto" w:fill="E8E8E8" w:themeFill="background2"/>
          </w:tcPr>
          <w:p w14:paraId="3954F058" w14:textId="77777777" w:rsidR="00DC4DF1" w:rsidRDefault="00DC4DF1" w:rsidP="00084A0B">
            <w:pPr>
              <w:jc w:val="center"/>
            </w:pPr>
            <w:r>
              <w:t>73.2%</w:t>
            </w:r>
          </w:p>
        </w:tc>
        <w:tc>
          <w:tcPr>
            <w:tcW w:w="1131" w:type="dxa"/>
            <w:shd w:val="clear" w:color="auto" w:fill="E8E8E8" w:themeFill="background2"/>
          </w:tcPr>
          <w:p w14:paraId="0A954055" w14:textId="77777777" w:rsidR="00DC4DF1" w:rsidRDefault="00DC4DF1" w:rsidP="00084A0B">
            <w:pPr>
              <w:jc w:val="center"/>
            </w:pPr>
            <w:r>
              <w:t>74.0%</w:t>
            </w:r>
          </w:p>
        </w:tc>
        <w:tc>
          <w:tcPr>
            <w:tcW w:w="1138" w:type="dxa"/>
            <w:shd w:val="clear" w:color="auto" w:fill="E8E8E8" w:themeFill="background2"/>
          </w:tcPr>
          <w:p w14:paraId="1AD1A09F" w14:textId="77777777" w:rsidR="00DC4DF1" w:rsidRDefault="00DC4DF1" w:rsidP="00084A0B">
            <w:pPr>
              <w:jc w:val="center"/>
            </w:pPr>
            <w:r>
              <w:t>58.9%</w:t>
            </w:r>
          </w:p>
        </w:tc>
      </w:tr>
      <w:tr w:rsidR="00DC4DF1" w14:paraId="1873FAE0" w14:textId="77777777" w:rsidTr="00084A0B">
        <w:trPr>
          <w:jc w:val="center"/>
        </w:trPr>
        <w:tc>
          <w:tcPr>
            <w:tcW w:w="6732" w:type="dxa"/>
            <w:gridSpan w:val="4"/>
            <w:shd w:val="clear" w:color="auto" w:fill="E8E8E8" w:themeFill="background2"/>
          </w:tcPr>
          <w:p w14:paraId="18CD5649" w14:textId="77777777" w:rsidR="00DC4DF1" w:rsidRDefault="00DC4DF1" w:rsidP="00084A0B">
            <w:pPr>
              <w:jc w:val="center"/>
            </w:pPr>
          </w:p>
        </w:tc>
      </w:tr>
      <w:tr w:rsidR="00DC4DF1" w14:paraId="598C3704" w14:textId="77777777" w:rsidTr="00084A0B">
        <w:trPr>
          <w:jc w:val="center"/>
        </w:trPr>
        <w:tc>
          <w:tcPr>
            <w:tcW w:w="3325" w:type="dxa"/>
          </w:tcPr>
          <w:p w14:paraId="346C1A60" w14:textId="77777777" w:rsidR="00DC4DF1" w:rsidRPr="00597BCC" w:rsidRDefault="00DC4DF1" w:rsidP="00084A0B">
            <w:pPr>
              <w:rPr>
                <w:b/>
                <w:bCs/>
              </w:rPr>
            </w:pPr>
            <w:r w:rsidRPr="00597BCC">
              <w:rPr>
                <w:b/>
                <w:bCs/>
              </w:rPr>
              <w:t>Physical</w:t>
            </w:r>
          </w:p>
        </w:tc>
        <w:tc>
          <w:tcPr>
            <w:tcW w:w="1138" w:type="dxa"/>
          </w:tcPr>
          <w:p w14:paraId="323C94CA" w14:textId="77777777" w:rsidR="00DC4DF1" w:rsidRDefault="00DC4DF1" w:rsidP="00084A0B">
            <w:pPr>
              <w:jc w:val="center"/>
            </w:pPr>
            <w:r>
              <w:t>283</w:t>
            </w:r>
          </w:p>
        </w:tc>
        <w:tc>
          <w:tcPr>
            <w:tcW w:w="1131" w:type="dxa"/>
          </w:tcPr>
          <w:p w14:paraId="5924E0E6" w14:textId="77777777" w:rsidR="00DC4DF1" w:rsidRDefault="00DC4DF1" w:rsidP="00084A0B">
            <w:pPr>
              <w:jc w:val="center"/>
            </w:pPr>
            <w:r>
              <w:t>337</w:t>
            </w:r>
          </w:p>
        </w:tc>
        <w:tc>
          <w:tcPr>
            <w:tcW w:w="1138" w:type="dxa"/>
          </w:tcPr>
          <w:p w14:paraId="76D4B763" w14:textId="77777777" w:rsidR="00DC4DF1" w:rsidRDefault="00DC4DF1" w:rsidP="00084A0B">
            <w:pPr>
              <w:jc w:val="center"/>
            </w:pPr>
            <w:r>
              <w:t>309</w:t>
            </w:r>
          </w:p>
        </w:tc>
      </w:tr>
      <w:tr w:rsidR="00DC4DF1" w14:paraId="1C7DFA23" w14:textId="77777777" w:rsidTr="00084A0B">
        <w:trPr>
          <w:jc w:val="center"/>
        </w:trPr>
        <w:tc>
          <w:tcPr>
            <w:tcW w:w="3325" w:type="dxa"/>
          </w:tcPr>
          <w:p w14:paraId="73277D93" w14:textId="77777777" w:rsidR="00DC4DF1" w:rsidRDefault="00DC4DF1" w:rsidP="00084A0B">
            <w:pPr>
              <w:jc w:val="right"/>
            </w:pPr>
            <w:r>
              <w:t>Rehabilitated</w:t>
            </w:r>
          </w:p>
        </w:tc>
        <w:tc>
          <w:tcPr>
            <w:tcW w:w="1138" w:type="dxa"/>
          </w:tcPr>
          <w:p w14:paraId="4D096A89" w14:textId="77777777" w:rsidR="00DC4DF1" w:rsidRDefault="00DC4DF1" w:rsidP="00084A0B">
            <w:pPr>
              <w:jc w:val="center"/>
            </w:pPr>
            <w:r>
              <w:t>65</w:t>
            </w:r>
          </w:p>
        </w:tc>
        <w:tc>
          <w:tcPr>
            <w:tcW w:w="1131" w:type="dxa"/>
          </w:tcPr>
          <w:p w14:paraId="7D48E69A" w14:textId="77777777" w:rsidR="00DC4DF1" w:rsidRDefault="00DC4DF1" w:rsidP="00084A0B">
            <w:pPr>
              <w:jc w:val="center"/>
            </w:pPr>
            <w:r>
              <w:t>52</w:t>
            </w:r>
          </w:p>
        </w:tc>
        <w:tc>
          <w:tcPr>
            <w:tcW w:w="1138" w:type="dxa"/>
          </w:tcPr>
          <w:p w14:paraId="70C3A42B" w14:textId="77777777" w:rsidR="00DC4DF1" w:rsidRDefault="00DC4DF1" w:rsidP="00084A0B">
            <w:pPr>
              <w:jc w:val="center"/>
            </w:pPr>
            <w:r>
              <w:t>56</w:t>
            </w:r>
          </w:p>
        </w:tc>
      </w:tr>
      <w:tr w:rsidR="00DC4DF1" w14:paraId="3B085F4F" w14:textId="77777777" w:rsidTr="00084A0B">
        <w:trPr>
          <w:jc w:val="center"/>
        </w:trPr>
        <w:tc>
          <w:tcPr>
            <w:tcW w:w="3325" w:type="dxa"/>
          </w:tcPr>
          <w:p w14:paraId="27F1D593" w14:textId="77777777" w:rsidR="00DC4DF1" w:rsidRDefault="00DC4DF1" w:rsidP="00084A0B">
            <w:pPr>
              <w:jc w:val="right"/>
            </w:pPr>
            <w:r>
              <w:t>Other than Rehabilitated with IPE</w:t>
            </w:r>
          </w:p>
        </w:tc>
        <w:tc>
          <w:tcPr>
            <w:tcW w:w="1138" w:type="dxa"/>
          </w:tcPr>
          <w:p w14:paraId="039B3F79" w14:textId="77777777" w:rsidR="00DC4DF1" w:rsidRDefault="00DC4DF1" w:rsidP="00084A0B">
            <w:pPr>
              <w:jc w:val="center"/>
            </w:pPr>
            <w:r>
              <w:t>151</w:t>
            </w:r>
          </w:p>
        </w:tc>
        <w:tc>
          <w:tcPr>
            <w:tcW w:w="1131" w:type="dxa"/>
          </w:tcPr>
          <w:p w14:paraId="75DEBAFA" w14:textId="77777777" w:rsidR="00DC4DF1" w:rsidRDefault="00DC4DF1" w:rsidP="00084A0B">
            <w:pPr>
              <w:jc w:val="center"/>
            </w:pPr>
            <w:r>
              <w:t>198</w:t>
            </w:r>
          </w:p>
        </w:tc>
        <w:tc>
          <w:tcPr>
            <w:tcW w:w="1138" w:type="dxa"/>
          </w:tcPr>
          <w:p w14:paraId="7CB80798" w14:textId="77777777" w:rsidR="00DC4DF1" w:rsidRDefault="00DC4DF1" w:rsidP="00084A0B">
            <w:pPr>
              <w:jc w:val="center"/>
            </w:pPr>
            <w:r>
              <w:t>171</w:t>
            </w:r>
          </w:p>
        </w:tc>
      </w:tr>
      <w:tr w:rsidR="00DC4DF1" w14:paraId="3D555E44" w14:textId="77777777" w:rsidTr="00084A0B">
        <w:trPr>
          <w:jc w:val="center"/>
        </w:trPr>
        <w:tc>
          <w:tcPr>
            <w:tcW w:w="3325" w:type="dxa"/>
          </w:tcPr>
          <w:p w14:paraId="4B3D34BD" w14:textId="77777777" w:rsidR="00DC4DF1" w:rsidRDefault="00DC4DF1" w:rsidP="00084A0B">
            <w:pPr>
              <w:jc w:val="right"/>
            </w:pPr>
            <w:r>
              <w:t>Rehabilitation Rate</w:t>
            </w:r>
            <w:r w:rsidRPr="00EF6C0D">
              <w:rPr>
                <w:color w:val="FF0000"/>
              </w:rPr>
              <w:t>*</w:t>
            </w:r>
          </w:p>
        </w:tc>
        <w:tc>
          <w:tcPr>
            <w:tcW w:w="1138" w:type="dxa"/>
          </w:tcPr>
          <w:p w14:paraId="061D04BD" w14:textId="77777777" w:rsidR="00DC4DF1" w:rsidRDefault="00DC4DF1" w:rsidP="00084A0B">
            <w:pPr>
              <w:jc w:val="center"/>
            </w:pPr>
            <w:r>
              <w:t>30.1%</w:t>
            </w:r>
          </w:p>
        </w:tc>
        <w:tc>
          <w:tcPr>
            <w:tcW w:w="1131" w:type="dxa"/>
          </w:tcPr>
          <w:p w14:paraId="224B847A" w14:textId="77777777" w:rsidR="00DC4DF1" w:rsidRDefault="00DC4DF1" w:rsidP="00084A0B">
            <w:pPr>
              <w:jc w:val="center"/>
            </w:pPr>
            <w:r>
              <w:t>20.8%</w:t>
            </w:r>
          </w:p>
        </w:tc>
        <w:tc>
          <w:tcPr>
            <w:tcW w:w="1138" w:type="dxa"/>
          </w:tcPr>
          <w:p w14:paraId="4626108A" w14:textId="77777777" w:rsidR="00DC4DF1" w:rsidRDefault="00DC4DF1" w:rsidP="00084A0B">
            <w:pPr>
              <w:jc w:val="center"/>
            </w:pPr>
            <w:r>
              <w:t>24.7%</w:t>
            </w:r>
          </w:p>
        </w:tc>
      </w:tr>
      <w:tr w:rsidR="00DC4DF1" w14:paraId="2EAB3332" w14:textId="77777777" w:rsidTr="00084A0B">
        <w:trPr>
          <w:jc w:val="center"/>
        </w:trPr>
        <w:tc>
          <w:tcPr>
            <w:tcW w:w="6732" w:type="dxa"/>
            <w:gridSpan w:val="4"/>
          </w:tcPr>
          <w:p w14:paraId="0F0E3245" w14:textId="77777777" w:rsidR="00DC4DF1" w:rsidRDefault="00DC4DF1" w:rsidP="00084A0B">
            <w:pPr>
              <w:jc w:val="center"/>
            </w:pPr>
          </w:p>
        </w:tc>
      </w:tr>
      <w:tr w:rsidR="00DC4DF1" w14:paraId="25016344" w14:textId="77777777" w:rsidTr="00084A0B">
        <w:trPr>
          <w:jc w:val="center"/>
        </w:trPr>
        <w:tc>
          <w:tcPr>
            <w:tcW w:w="3325" w:type="dxa"/>
            <w:shd w:val="clear" w:color="auto" w:fill="E8E8E8" w:themeFill="background2"/>
          </w:tcPr>
          <w:p w14:paraId="78D7CC7E" w14:textId="77777777" w:rsidR="00DC4DF1" w:rsidRPr="007B62ED" w:rsidRDefault="00DC4DF1" w:rsidP="00084A0B">
            <w:pPr>
              <w:rPr>
                <w:b/>
                <w:bCs/>
              </w:rPr>
            </w:pPr>
            <w:r w:rsidRPr="007B62ED">
              <w:rPr>
                <w:b/>
                <w:bCs/>
              </w:rPr>
              <w:t>Mental Illness</w:t>
            </w:r>
          </w:p>
        </w:tc>
        <w:tc>
          <w:tcPr>
            <w:tcW w:w="1138" w:type="dxa"/>
            <w:shd w:val="clear" w:color="auto" w:fill="E8E8E8" w:themeFill="background2"/>
          </w:tcPr>
          <w:p w14:paraId="09CCFAFB" w14:textId="77777777" w:rsidR="00DC4DF1" w:rsidRDefault="00DC4DF1" w:rsidP="00084A0B">
            <w:pPr>
              <w:jc w:val="center"/>
            </w:pPr>
            <w:r>
              <w:t>839</w:t>
            </w:r>
          </w:p>
        </w:tc>
        <w:tc>
          <w:tcPr>
            <w:tcW w:w="1131" w:type="dxa"/>
            <w:shd w:val="clear" w:color="auto" w:fill="E8E8E8" w:themeFill="background2"/>
          </w:tcPr>
          <w:p w14:paraId="17C536BE" w14:textId="77777777" w:rsidR="00DC4DF1" w:rsidRDefault="00DC4DF1" w:rsidP="00084A0B">
            <w:pPr>
              <w:jc w:val="center"/>
            </w:pPr>
            <w:r>
              <w:t>1,069</w:t>
            </w:r>
          </w:p>
        </w:tc>
        <w:tc>
          <w:tcPr>
            <w:tcW w:w="1138" w:type="dxa"/>
            <w:shd w:val="clear" w:color="auto" w:fill="E8E8E8" w:themeFill="background2"/>
          </w:tcPr>
          <w:p w14:paraId="03D1DC69" w14:textId="77777777" w:rsidR="00DC4DF1" w:rsidRDefault="00DC4DF1" w:rsidP="00084A0B">
            <w:pPr>
              <w:jc w:val="center"/>
            </w:pPr>
            <w:r>
              <w:t>890</w:t>
            </w:r>
          </w:p>
        </w:tc>
      </w:tr>
      <w:tr w:rsidR="00DC4DF1" w14:paraId="1CB733AA" w14:textId="77777777" w:rsidTr="00084A0B">
        <w:trPr>
          <w:jc w:val="center"/>
        </w:trPr>
        <w:tc>
          <w:tcPr>
            <w:tcW w:w="3325" w:type="dxa"/>
            <w:shd w:val="clear" w:color="auto" w:fill="E8E8E8" w:themeFill="background2"/>
          </w:tcPr>
          <w:p w14:paraId="4149E73E" w14:textId="77777777" w:rsidR="00DC4DF1" w:rsidRDefault="00DC4DF1" w:rsidP="00084A0B">
            <w:pPr>
              <w:jc w:val="right"/>
            </w:pPr>
            <w:r>
              <w:t>Rehabilitated</w:t>
            </w:r>
          </w:p>
        </w:tc>
        <w:tc>
          <w:tcPr>
            <w:tcW w:w="1138" w:type="dxa"/>
            <w:shd w:val="clear" w:color="auto" w:fill="E8E8E8" w:themeFill="background2"/>
          </w:tcPr>
          <w:p w14:paraId="4B391090" w14:textId="77777777" w:rsidR="00DC4DF1" w:rsidRDefault="00DC4DF1" w:rsidP="00084A0B">
            <w:pPr>
              <w:jc w:val="center"/>
            </w:pPr>
            <w:r>
              <w:t>98</w:t>
            </w:r>
          </w:p>
        </w:tc>
        <w:tc>
          <w:tcPr>
            <w:tcW w:w="1131" w:type="dxa"/>
            <w:shd w:val="clear" w:color="auto" w:fill="E8E8E8" w:themeFill="background2"/>
          </w:tcPr>
          <w:p w14:paraId="673D3263" w14:textId="77777777" w:rsidR="00DC4DF1" w:rsidRDefault="00DC4DF1" w:rsidP="00084A0B">
            <w:pPr>
              <w:jc w:val="center"/>
            </w:pPr>
            <w:r>
              <w:t>136</w:t>
            </w:r>
          </w:p>
        </w:tc>
        <w:tc>
          <w:tcPr>
            <w:tcW w:w="1138" w:type="dxa"/>
            <w:shd w:val="clear" w:color="auto" w:fill="E8E8E8" w:themeFill="background2"/>
          </w:tcPr>
          <w:p w14:paraId="31C2E425" w14:textId="77777777" w:rsidR="00DC4DF1" w:rsidRDefault="00DC4DF1" w:rsidP="00084A0B">
            <w:pPr>
              <w:jc w:val="center"/>
            </w:pPr>
            <w:r>
              <w:t>89</w:t>
            </w:r>
          </w:p>
        </w:tc>
      </w:tr>
      <w:tr w:rsidR="00DC4DF1" w14:paraId="020A228D" w14:textId="77777777" w:rsidTr="00084A0B">
        <w:trPr>
          <w:jc w:val="center"/>
        </w:trPr>
        <w:tc>
          <w:tcPr>
            <w:tcW w:w="3325" w:type="dxa"/>
            <w:shd w:val="clear" w:color="auto" w:fill="E8E8E8" w:themeFill="background2"/>
          </w:tcPr>
          <w:p w14:paraId="3B45BA87" w14:textId="77777777" w:rsidR="00DC4DF1" w:rsidRDefault="00DC4DF1" w:rsidP="00084A0B">
            <w:pPr>
              <w:jc w:val="right"/>
            </w:pPr>
            <w:r>
              <w:t>Other than Rehabilitated with IPE</w:t>
            </w:r>
          </w:p>
        </w:tc>
        <w:tc>
          <w:tcPr>
            <w:tcW w:w="1138" w:type="dxa"/>
            <w:shd w:val="clear" w:color="auto" w:fill="E8E8E8" w:themeFill="background2"/>
          </w:tcPr>
          <w:p w14:paraId="7D11A89A" w14:textId="77777777" w:rsidR="00DC4DF1" w:rsidRDefault="00DC4DF1" w:rsidP="00084A0B">
            <w:pPr>
              <w:jc w:val="center"/>
            </w:pPr>
            <w:r>
              <w:t>497</w:t>
            </w:r>
          </w:p>
        </w:tc>
        <w:tc>
          <w:tcPr>
            <w:tcW w:w="1131" w:type="dxa"/>
            <w:shd w:val="clear" w:color="auto" w:fill="E8E8E8" w:themeFill="background2"/>
          </w:tcPr>
          <w:p w14:paraId="297E1ACD" w14:textId="77777777" w:rsidR="00DC4DF1" w:rsidRDefault="00DC4DF1" w:rsidP="00084A0B">
            <w:pPr>
              <w:jc w:val="center"/>
            </w:pPr>
            <w:r>
              <w:t>644</w:t>
            </w:r>
          </w:p>
        </w:tc>
        <w:tc>
          <w:tcPr>
            <w:tcW w:w="1138" w:type="dxa"/>
            <w:shd w:val="clear" w:color="auto" w:fill="E8E8E8" w:themeFill="background2"/>
          </w:tcPr>
          <w:p w14:paraId="65D6F1E1" w14:textId="77777777" w:rsidR="00DC4DF1" w:rsidRDefault="00DC4DF1" w:rsidP="00084A0B">
            <w:pPr>
              <w:jc w:val="center"/>
            </w:pPr>
            <w:r>
              <w:t>569</w:t>
            </w:r>
          </w:p>
        </w:tc>
      </w:tr>
      <w:tr w:rsidR="00DC4DF1" w14:paraId="4763CA7F" w14:textId="77777777" w:rsidTr="00084A0B">
        <w:trPr>
          <w:jc w:val="center"/>
        </w:trPr>
        <w:tc>
          <w:tcPr>
            <w:tcW w:w="3325" w:type="dxa"/>
            <w:shd w:val="clear" w:color="auto" w:fill="E8E8E8" w:themeFill="background2"/>
          </w:tcPr>
          <w:p w14:paraId="59DC3E95" w14:textId="77777777" w:rsidR="00DC4DF1" w:rsidRDefault="00DC4DF1" w:rsidP="00084A0B">
            <w:pPr>
              <w:jc w:val="right"/>
            </w:pPr>
            <w:r>
              <w:t>Rehabilitation Rate</w:t>
            </w:r>
            <w:r w:rsidRPr="00EF6C0D">
              <w:rPr>
                <w:color w:val="FF0000"/>
              </w:rPr>
              <w:t>*</w:t>
            </w:r>
          </w:p>
        </w:tc>
        <w:tc>
          <w:tcPr>
            <w:tcW w:w="1138" w:type="dxa"/>
            <w:shd w:val="clear" w:color="auto" w:fill="E8E8E8" w:themeFill="background2"/>
          </w:tcPr>
          <w:p w14:paraId="7159BF48" w14:textId="77777777" w:rsidR="00DC4DF1" w:rsidRDefault="00DC4DF1" w:rsidP="00084A0B">
            <w:pPr>
              <w:jc w:val="center"/>
            </w:pPr>
            <w:r>
              <w:t>16.5%</w:t>
            </w:r>
          </w:p>
        </w:tc>
        <w:tc>
          <w:tcPr>
            <w:tcW w:w="1131" w:type="dxa"/>
            <w:shd w:val="clear" w:color="auto" w:fill="E8E8E8" w:themeFill="background2"/>
          </w:tcPr>
          <w:p w14:paraId="1B0C263E" w14:textId="77777777" w:rsidR="00DC4DF1" w:rsidRDefault="00DC4DF1" w:rsidP="00084A0B">
            <w:pPr>
              <w:jc w:val="center"/>
            </w:pPr>
            <w:r>
              <w:t>17.4%</w:t>
            </w:r>
          </w:p>
        </w:tc>
        <w:tc>
          <w:tcPr>
            <w:tcW w:w="1138" w:type="dxa"/>
            <w:shd w:val="clear" w:color="auto" w:fill="E8E8E8" w:themeFill="background2"/>
          </w:tcPr>
          <w:p w14:paraId="3C23E061" w14:textId="77777777" w:rsidR="00DC4DF1" w:rsidRDefault="00DC4DF1" w:rsidP="00084A0B">
            <w:pPr>
              <w:jc w:val="center"/>
            </w:pPr>
            <w:r>
              <w:t>13.5%</w:t>
            </w:r>
          </w:p>
        </w:tc>
      </w:tr>
      <w:tr w:rsidR="00DC4DF1" w14:paraId="1F556EC1" w14:textId="77777777" w:rsidTr="00084A0B">
        <w:trPr>
          <w:jc w:val="center"/>
        </w:trPr>
        <w:tc>
          <w:tcPr>
            <w:tcW w:w="6732" w:type="dxa"/>
            <w:gridSpan w:val="4"/>
            <w:shd w:val="clear" w:color="auto" w:fill="E8E8E8" w:themeFill="background2"/>
          </w:tcPr>
          <w:p w14:paraId="5A5C3B22" w14:textId="77777777" w:rsidR="00DC4DF1" w:rsidRDefault="00DC4DF1" w:rsidP="00084A0B">
            <w:pPr>
              <w:jc w:val="center"/>
            </w:pPr>
          </w:p>
        </w:tc>
      </w:tr>
      <w:tr w:rsidR="00DC4DF1" w14:paraId="4362396F" w14:textId="77777777" w:rsidTr="00084A0B">
        <w:trPr>
          <w:jc w:val="center"/>
        </w:trPr>
        <w:tc>
          <w:tcPr>
            <w:tcW w:w="3325" w:type="dxa"/>
          </w:tcPr>
          <w:p w14:paraId="2B86AF11" w14:textId="77777777" w:rsidR="00DC4DF1" w:rsidRPr="007B62ED" w:rsidRDefault="00DC4DF1" w:rsidP="00084A0B">
            <w:pPr>
              <w:rPr>
                <w:b/>
                <w:bCs/>
              </w:rPr>
            </w:pPr>
            <w:r w:rsidRPr="007B62ED">
              <w:rPr>
                <w:b/>
                <w:bCs/>
              </w:rPr>
              <w:t>Cognitive</w:t>
            </w:r>
          </w:p>
        </w:tc>
        <w:tc>
          <w:tcPr>
            <w:tcW w:w="1138" w:type="dxa"/>
          </w:tcPr>
          <w:p w14:paraId="68F6E78E" w14:textId="77777777" w:rsidR="00DC4DF1" w:rsidRDefault="00DC4DF1" w:rsidP="00084A0B">
            <w:pPr>
              <w:jc w:val="center"/>
            </w:pPr>
            <w:r>
              <w:t>757</w:t>
            </w:r>
          </w:p>
        </w:tc>
        <w:tc>
          <w:tcPr>
            <w:tcW w:w="1131" w:type="dxa"/>
          </w:tcPr>
          <w:p w14:paraId="631E1E42" w14:textId="77777777" w:rsidR="00DC4DF1" w:rsidRDefault="00DC4DF1" w:rsidP="00084A0B">
            <w:pPr>
              <w:jc w:val="center"/>
            </w:pPr>
            <w:r>
              <w:t>857</w:t>
            </w:r>
          </w:p>
        </w:tc>
        <w:tc>
          <w:tcPr>
            <w:tcW w:w="1138" w:type="dxa"/>
          </w:tcPr>
          <w:p w14:paraId="157BA47E" w14:textId="77777777" w:rsidR="00DC4DF1" w:rsidRDefault="00DC4DF1" w:rsidP="00084A0B">
            <w:pPr>
              <w:jc w:val="center"/>
            </w:pPr>
            <w:r>
              <w:t>848</w:t>
            </w:r>
          </w:p>
        </w:tc>
      </w:tr>
      <w:tr w:rsidR="00DC4DF1" w14:paraId="354F990C" w14:textId="77777777" w:rsidTr="00084A0B">
        <w:trPr>
          <w:jc w:val="center"/>
        </w:trPr>
        <w:tc>
          <w:tcPr>
            <w:tcW w:w="3325" w:type="dxa"/>
          </w:tcPr>
          <w:p w14:paraId="2A4231FD" w14:textId="77777777" w:rsidR="00DC4DF1" w:rsidRDefault="00DC4DF1" w:rsidP="00084A0B">
            <w:pPr>
              <w:jc w:val="right"/>
            </w:pPr>
            <w:r>
              <w:t>Rehabilitated</w:t>
            </w:r>
          </w:p>
        </w:tc>
        <w:tc>
          <w:tcPr>
            <w:tcW w:w="1138" w:type="dxa"/>
          </w:tcPr>
          <w:p w14:paraId="48848882" w14:textId="77777777" w:rsidR="00DC4DF1" w:rsidRDefault="00DC4DF1" w:rsidP="00084A0B">
            <w:pPr>
              <w:jc w:val="center"/>
            </w:pPr>
            <w:r>
              <w:t>137</w:t>
            </w:r>
          </w:p>
        </w:tc>
        <w:tc>
          <w:tcPr>
            <w:tcW w:w="1131" w:type="dxa"/>
          </w:tcPr>
          <w:p w14:paraId="1F75B5A6" w14:textId="77777777" w:rsidR="00DC4DF1" w:rsidRDefault="00DC4DF1" w:rsidP="00084A0B">
            <w:pPr>
              <w:jc w:val="center"/>
            </w:pPr>
            <w:r>
              <w:t>135</w:t>
            </w:r>
          </w:p>
        </w:tc>
        <w:tc>
          <w:tcPr>
            <w:tcW w:w="1138" w:type="dxa"/>
          </w:tcPr>
          <w:p w14:paraId="01C673A8" w14:textId="77777777" w:rsidR="00DC4DF1" w:rsidRDefault="00DC4DF1" w:rsidP="00084A0B">
            <w:pPr>
              <w:jc w:val="center"/>
            </w:pPr>
            <w:r>
              <w:t>134</w:t>
            </w:r>
          </w:p>
        </w:tc>
      </w:tr>
      <w:tr w:rsidR="00DC4DF1" w14:paraId="72E53DA9" w14:textId="77777777" w:rsidTr="00084A0B">
        <w:trPr>
          <w:jc w:val="center"/>
        </w:trPr>
        <w:tc>
          <w:tcPr>
            <w:tcW w:w="3325" w:type="dxa"/>
          </w:tcPr>
          <w:p w14:paraId="49AF30DC" w14:textId="77777777" w:rsidR="00DC4DF1" w:rsidRDefault="00DC4DF1" w:rsidP="00084A0B">
            <w:pPr>
              <w:jc w:val="right"/>
            </w:pPr>
            <w:r>
              <w:t>Other than Rehabilitated with IPE</w:t>
            </w:r>
          </w:p>
        </w:tc>
        <w:tc>
          <w:tcPr>
            <w:tcW w:w="1138" w:type="dxa"/>
          </w:tcPr>
          <w:p w14:paraId="60F24E0C" w14:textId="77777777" w:rsidR="00DC4DF1" w:rsidRDefault="00DC4DF1" w:rsidP="00084A0B">
            <w:pPr>
              <w:jc w:val="center"/>
            </w:pPr>
            <w:r>
              <w:t>454</w:t>
            </w:r>
          </w:p>
        </w:tc>
        <w:tc>
          <w:tcPr>
            <w:tcW w:w="1131" w:type="dxa"/>
          </w:tcPr>
          <w:p w14:paraId="4AA9124D" w14:textId="77777777" w:rsidR="00DC4DF1" w:rsidRDefault="00DC4DF1" w:rsidP="00084A0B">
            <w:pPr>
              <w:jc w:val="center"/>
            </w:pPr>
            <w:r>
              <w:t>546</w:t>
            </w:r>
          </w:p>
        </w:tc>
        <w:tc>
          <w:tcPr>
            <w:tcW w:w="1138" w:type="dxa"/>
          </w:tcPr>
          <w:p w14:paraId="532FFC0C" w14:textId="77777777" w:rsidR="00DC4DF1" w:rsidRDefault="00DC4DF1" w:rsidP="00084A0B">
            <w:pPr>
              <w:jc w:val="center"/>
            </w:pPr>
            <w:r>
              <w:t>542</w:t>
            </w:r>
          </w:p>
        </w:tc>
      </w:tr>
      <w:tr w:rsidR="00DC4DF1" w14:paraId="667D2F1B" w14:textId="77777777" w:rsidTr="00084A0B">
        <w:trPr>
          <w:jc w:val="center"/>
        </w:trPr>
        <w:tc>
          <w:tcPr>
            <w:tcW w:w="3325" w:type="dxa"/>
          </w:tcPr>
          <w:p w14:paraId="5F7B6C69" w14:textId="77777777" w:rsidR="00DC4DF1" w:rsidRDefault="00DC4DF1" w:rsidP="00084A0B">
            <w:pPr>
              <w:jc w:val="right"/>
            </w:pPr>
            <w:r>
              <w:t>Rehabilitation Rate</w:t>
            </w:r>
            <w:r w:rsidRPr="00EF6C0D">
              <w:rPr>
                <w:color w:val="FF0000"/>
              </w:rPr>
              <w:t>*</w:t>
            </w:r>
          </w:p>
        </w:tc>
        <w:tc>
          <w:tcPr>
            <w:tcW w:w="1138" w:type="dxa"/>
          </w:tcPr>
          <w:p w14:paraId="1CFAE744" w14:textId="77777777" w:rsidR="00DC4DF1" w:rsidRDefault="00DC4DF1" w:rsidP="00084A0B">
            <w:pPr>
              <w:jc w:val="center"/>
            </w:pPr>
            <w:r>
              <w:t>23.2%</w:t>
            </w:r>
          </w:p>
        </w:tc>
        <w:tc>
          <w:tcPr>
            <w:tcW w:w="1131" w:type="dxa"/>
          </w:tcPr>
          <w:p w14:paraId="6086DD7D" w14:textId="77777777" w:rsidR="00DC4DF1" w:rsidRDefault="00DC4DF1" w:rsidP="00084A0B">
            <w:pPr>
              <w:jc w:val="center"/>
            </w:pPr>
            <w:r>
              <w:t>19.8%</w:t>
            </w:r>
          </w:p>
        </w:tc>
        <w:tc>
          <w:tcPr>
            <w:tcW w:w="1138" w:type="dxa"/>
          </w:tcPr>
          <w:p w14:paraId="30EBF0AF" w14:textId="77777777" w:rsidR="00DC4DF1" w:rsidRDefault="00DC4DF1" w:rsidP="00084A0B">
            <w:pPr>
              <w:jc w:val="center"/>
            </w:pPr>
            <w:r>
              <w:t>19.8%</w:t>
            </w:r>
          </w:p>
        </w:tc>
      </w:tr>
      <w:tr w:rsidR="00DC4DF1" w14:paraId="6A7FA4BA" w14:textId="77777777" w:rsidTr="00084A0B">
        <w:trPr>
          <w:jc w:val="center"/>
        </w:trPr>
        <w:tc>
          <w:tcPr>
            <w:tcW w:w="6732" w:type="dxa"/>
            <w:gridSpan w:val="4"/>
          </w:tcPr>
          <w:p w14:paraId="6B850E3A" w14:textId="77777777" w:rsidR="00DC4DF1" w:rsidRDefault="00DC4DF1" w:rsidP="00084A0B">
            <w:pPr>
              <w:jc w:val="center"/>
            </w:pPr>
          </w:p>
        </w:tc>
      </w:tr>
      <w:tr w:rsidR="00DC4DF1" w14:paraId="30AE0BAE" w14:textId="77777777" w:rsidTr="00084A0B">
        <w:trPr>
          <w:jc w:val="center"/>
        </w:trPr>
        <w:tc>
          <w:tcPr>
            <w:tcW w:w="3325" w:type="dxa"/>
            <w:shd w:val="clear" w:color="auto" w:fill="E8E8E8" w:themeFill="background2"/>
          </w:tcPr>
          <w:p w14:paraId="3DDF75DF" w14:textId="77777777" w:rsidR="00DC4DF1" w:rsidRPr="00AE4EA2" w:rsidRDefault="00DC4DF1" w:rsidP="00084A0B">
            <w:pPr>
              <w:rPr>
                <w:b/>
                <w:bCs/>
              </w:rPr>
            </w:pPr>
            <w:r>
              <w:rPr>
                <w:b/>
                <w:bCs/>
              </w:rPr>
              <w:t>Communicative</w:t>
            </w:r>
          </w:p>
        </w:tc>
        <w:tc>
          <w:tcPr>
            <w:tcW w:w="1138" w:type="dxa"/>
            <w:shd w:val="clear" w:color="auto" w:fill="E8E8E8" w:themeFill="background2"/>
          </w:tcPr>
          <w:p w14:paraId="40B9C0FB" w14:textId="77777777" w:rsidR="00DC4DF1" w:rsidRDefault="00DC4DF1" w:rsidP="00084A0B">
            <w:pPr>
              <w:jc w:val="center"/>
            </w:pPr>
            <w:r>
              <w:t>81</w:t>
            </w:r>
          </w:p>
        </w:tc>
        <w:tc>
          <w:tcPr>
            <w:tcW w:w="1131" w:type="dxa"/>
            <w:shd w:val="clear" w:color="auto" w:fill="E8E8E8" w:themeFill="background2"/>
          </w:tcPr>
          <w:p w14:paraId="312D3646" w14:textId="77777777" w:rsidR="00DC4DF1" w:rsidRDefault="00DC4DF1" w:rsidP="00084A0B">
            <w:pPr>
              <w:jc w:val="center"/>
            </w:pPr>
            <w:r>
              <w:t>67</w:t>
            </w:r>
          </w:p>
        </w:tc>
        <w:tc>
          <w:tcPr>
            <w:tcW w:w="1138" w:type="dxa"/>
            <w:shd w:val="clear" w:color="auto" w:fill="E8E8E8" w:themeFill="background2"/>
          </w:tcPr>
          <w:p w14:paraId="2E87F425" w14:textId="77777777" w:rsidR="00DC4DF1" w:rsidRDefault="00DC4DF1" w:rsidP="00084A0B">
            <w:pPr>
              <w:jc w:val="center"/>
            </w:pPr>
            <w:r>
              <w:t>74</w:t>
            </w:r>
          </w:p>
        </w:tc>
      </w:tr>
      <w:tr w:rsidR="00DC4DF1" w14:paraId="6103C9AA" w14:textId="77777777" w:rsidTr="00084A0B">
        <w:trPr>
          <w:jc w:val="center"/>
        </w:trPr>
        <w:tc>
          <w:tcPr>
            <w:tcW w:w="3325" w:type="dxa"/>
            <w:shd w:val="clear" w:color="auto" w:fill="E8E8E8" w:themeFill="background2"/>
          </w:tcPr>
          <w:p w14:paraId="2002DCB1" w14:textId="77777777" w:rsidR="00DC4DF1" w:rsidRDefault="00DC4DF1" w:rsidP="00084A0B">
            <w:pPr>
              <w:jc w:val="right"/>
            </w:pPr>
            <w:r>
              <w:t>Rehabilitated</w:t>
            </w:r>
          </w:p>
        </w:tc>
        <w:tc>
          <w:tcPr>
            <w:tcW w:w="1138" w:type="dxa"/>
            <w:shd w:val="clear" w:color="auto" w:fill="E8E8E8" w:themeFill="background2"/>
          </w:tcPr>
          <w:p w14:paraId="28D93AE8" w14:textId="77777777" w:rsidR="00DC4DF1" w:rsidRDefault="00DC4DF1" w:rsidP="00084A0B">
            <w:pPr>
              <w:jc w:val="center"/>
            </w:pPr>
            <w:r>
              <w:t>19</w:t>
            </w:r>
          </w:p>
        </w:tc>
        <w:tc>
          <w:tcPr>
            <w:tcW w:w="1131" w:type="dxa"/>
            <w:shd w:val="clear" w:color="auto" w:fill="E8E8E8" w:themeFill="background2"/>
          </w:tcPr>
          <w:p w14:paraId="30B5B07F" w14:textId="77777777" w:rsidR="00DC4DF1" w:rsidRDefault="00DC4DF1" w:rsidP="00084A0B">
            <w:pPr>
              <w:jc w:val="center"/>
            </w:pPr>
            <w:r>
              <w:t>8</w:t>
            </w:r>
          </w:p>
        </w:tc>
        <w:tc>
          <w:tcPr>
            <w:tcW w:w="1138" w:type="dxa"/>
            <w:shd w:val="clear" w:color="auto" w:fill="E8E8E8" w:themeFill="background2"/>
          </w:tcPr>
          <w:p w14:paraId="4540C649" w14:textId="77777777" w:rsidR="00DC4DF1" w:rsidRDefault="00DC4DF1" w:rsidP="00084A0B">
            <w:pPr>
              <w:jc w:val="center"/>
            </w:pPr>
            <w:r>
              <w:t>11</w:t>
            </w:r>
          </w:p>
        </w:tc>
      </w:tr>
      <w:tr w:rsidR="00DC4DF1" w14:paraId="67FF9190" w14:textId="77777777" w:rsidTr="00084A0B">
        <w:trPr>
          <w:jc w:val="center"/>
        </w:trPr>
        <w:tc>
          <w:tcPr>
            <w:tcW w:w="3325" w:type="dxa"/>
            <w:shd w:val="clear" w:color="auto" w:fill="E8E8E8" w:themeFill="background2"/>
          </w:tcPr>
          <w:p w14:paraId="695C7538" w14:textId="77777777" w:rsidR="00DC4DF1" w:rsidRDefault="00DC4DF1" w:rsidP="00084A0B">
            <w:pPr>
              <w:jc w:val="right"/>
            </w:pPr>
            <w:r>
              <w:t>Other than Rehabilitated with IPE</w:t>
            </w:r>
          </w:p>
        </w:tc>
        <w:tc>
          <w:tcPr>
            <w:tcW w:w="1138" w:type="dxa"/>
            <w:shd w:val="clear" w:color="auto" w:fill="E8E8E8" w:themeFill="background2"/>
          </w:tcPr>
          <w:p w14:paraId="1B09C5DB" w14:textId="77777777" w:rsidR="00DC4DF1" w:rsidRDefault="00DC4DF1" w:rsidP="00084A0B">
            <w:pPr>
              <w:jc w:val="center"/>
            </w:pPr>
            <w:r>
              <w:t>56</w:t>
            </w:r>
          </w:p>
        </w:tc>
        <w:tc>
          <w:tcPr>
            <w:tcW w:w="1131" w:type="dxa"/>
            <w:shd w:val="clear" w:color="auto" w:fill="E8E8E8" w:themeFill="background2"/>
          </w:tcPr>
          <w:p w14:paraId="60F8143C" w14:textId="77777777" w:rsidR="00DC4DF1" w:rsidRDefault="00DC4DF1" w:rsidP="00084A0B">
            <w:pPr>
              <w:jc w:val="center"/>
            </w:pPr>
            <w:r>
              <w:t>48</w:t>
            </w:r>
          </w:p>
        </w:tc>
        <w:tc>
          <w:tcPr>
            <w:tcW w:w="1138" w:type="dxa"/>
            <w:shd w:val="clear" w:color="auto" w:fill="E8E8E8" w:themeFill="background2"/>
          </w:tcPr>
          <w:p w14:paraId="282D2C0C" w14:textId="77777777" w:rsidR="00DC4DF1" w:rsidRDefault="00DC4DF1" w:rsidP="00084A0B">
            <w:pPr>
              <w:jc w:val="center"/>
            </w:pPr>
            <w:r>
              <w:t>50</w:t>
            </w:r>
          </w:p>
        </w:tc>
      </w:tr>
      <w:tr w:rsidR="00DC4DF1" w14:paraId="491E8CFD" w14:textId="77777777" w:rsidTr="00084A0B">
        <w:trPr>
          <w:jc w:val="center"/>
        </w:trPr>
        <w:tc>
          <w:tcPr>
            <w:tcW w:w="3325" w:type="dxa"/>
            <w:shd w:val="clear" w:color="auto" w:fill="E8E8E8" w:themeFill="background2"/>
          </w:tcPr>
          <w:p w14:paraId="52802CE9" w14:textId="77777777" w:rsidR="00DC4DF1" w:rsidRDefault="00DC4DF1" w:rsidP="00084A0B">
            <w:pPr>
              <w:jc w:val="right"/>
            </w:pPr>
            <w:r>
              <w:t>Rehabilitation Rate</w:t>
            </w:r>
            <w:r w:rsidRPr="00EF6C0D">
              <w:rPr>
                <w:color w:val="FF0000"/>
              </w:rPr>
              <w:t>*</w:t>
            </w:r>
          </w:p>
        </w:tc>
        <w:tc>
          <w:tcPr>
            <w:tcW w:w="1138" w:type="dxa"/>
            <w:shd w:val="clear" w:color="auto" w:fill="E8E8E8" w:themeFill="background2"/>
          </w:tcPr>
          <w:p w14:paraId="1A47BA31" w14:textId="77777777" w:rsidR="00DC4DF1" w:rsidRDefault="00DC4DF1" w:rsidP="00084A0B">
            <w:pPr>
              <w:jc w:val="center"/>
            </w:pPr>
            <w:r>
              <w:t>25.3%</w:t>
            </w:r>
          </w:p>
        </w:tc>
        <w:tc>
          <w:tcPr>
            <w:tcW w:w="1131" w:type="dxa"/>
            <w:shd w:val="clear" w:color="auto" w:fill="E8E8E8" w:themeFill="background2"/>
          </w:tcPr>
          <w:p w14:paraId="4CBEB195" w14:textId="77777777" w:rsidR="00DC4DF1" w:rsidRDefault="00DC4DF1" w:rsidP="00084A0B">
            <w:pPr>
              <w:jc w:val="center"/>
            </w:pPr>
            <w:r>
              <w:t>14.3%</w:t>
            </w:r>
          </w:p>
        </w:tc>
        <w:tc>
          <w:tcPr>
            <w:tcW w:w="1138" w:type="dxa"/>
            <w:shd w:val="clear" w:color="auto" w:fill="E8E8E8" w:themeFill="background2"/>
          </w:tcPr>
          <w:p w14:paraId="4AAF7B6B" w14:textId="77777777" w:rsidR="00DC4DF1" w:rsidRDefault="00DC4DF1" w:rsidP="00084A0B">
            <w:pPr>
              <w:jc w:val="center"/>
            </w:pPr>
            <w:r>
              <w:t>18.0%</w:t>
            </w:r>
          </w:p>
        </w:tc>
      </w:tr>
      <w:tr w:rsidR="00DC4DF1" w14:paraId="71DE43A8" w14:textId="77777777" w:rsidTr="00084A0B">
        <w:trPr>
          <w:jc w:val="center"/>
        </w:trPr>
        <w:tc>
          <w:tcPr>
            <w:tcW w:w="6732" w:type="dxa"/>
            <w:gridSpan w:val="4"/>
            <w:shd w:val="clear" w:color="auto" w:fill="E8E8E8" w:themeFill="background2"/>
          </w:tcPr>
          <w:p w14:paraId="3413ACF0" w14:textId="77777777" w:rsidR="00DC4DF1" w:rsidRDefault="00DC4DF1" w:rsidP="00084A0B">
            <w:pPr>
              <w:jc w:val="center"/>
            </w:pPr>
          </w:p>
        </w:tc>
      </w:tr>
    </w:tbl>
    <w:p w14:paraId="76D68761" w14:textId="77777777" w:rsidR="00DC4DF1" w:rsidRDefault="00DC4DF1" w:rsidP="00DC4DF1">
      <w:pPr>
        <w:jc w:val="center"/>
      </w:pPr>
      <w:r w:rsidRPr="00D73201">
        <w:rPr>
          <w:color w:val="FF0000"/>
        </w:rPr>
        <w:t>*</w:t>
      </w:r>
      <w:r>
        <w:t xml:space="preserve"> Rehabilitation Rate = Rehabilitated/Rehabilitated + Other than Rehabilitated with IPE</w:t>
      </w:r>
    </w:p>
    <w:p w14:paraId="6079CAAC" w14:textId="77777777" w:rsidR="00AE1798" w:rsidRPr="00AE1798" w:rsidRDefault="00AE1798" w:rsidP="00AE1798">
      <w:pPr>
        <w:jc w:val="center"/>
        <w:rPr>
          <w:b/>
          <w:bCs/>
        </w:rPr>
      </w:pPr>
    </w:p>
    <w:sectPr w:rsidR="00AE1798" w:rsidRPr="00AE1798" w:rsidSect="000F608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7735D6" w14:textId="77777777" w:rsidR="000F6083" w:rsidRDefault="000F6083" w:rsidP="005C18AE">
      <w:pPr>
        <w:spacing w:after="0" w:line="240" w:lineRule="auto"/>
      </w:pPr>
      <w:r>
        <w:separator/>
      </w:r>
    </w:p>
  </w:endnote>
  <w:endnote w:type="continuationSeparator" w:id="0">
    <w:p w14:paraId="0615E18C" w14:textId="77777777" w:rsidR="000F6083" w:rsidRDefault="000F6083" w:rsidP="005C1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B47964" w14:textId="77777777" w:rsidR="000F6083" w:rsidRDefault="000F6083" w:rsidP="005C18AE">
      <w:pPr>
        <w:spacing w:after="0" w:line="240" w:lineRule="auto"/>
      </w:pPr>
      <w:r>
        <w:separator/>
      </w:r>
    </w:p>
  </w:footnote>
  <w:footnote w:type="continuationSeparator" w:id="0">
    <w:p w14:paraId="08AE65CA" w14:textId="77777777" w:rsidR="000F6083" w:rsidRDefault="000F6083" w:rsidP="005C18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2067D"/>
    <w:multiLevelType w:val="hybridMultilevel"/>
    <w:tmpl w:val="B25ADC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814CFC"/>
    <w:multiLevelType w:val="hybridMultilevel"/>
    <w:tmpl w:val="496C0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F3775"/>
    <w:multiLevelType w:val="hybridMultilevel"/>
    <w:tmpl w:val="8D3A8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D50C89"/>
    <w:multiLevelType w:val="hybridMultilevel"/>
    <w:tmpl w:val="34B2F6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CC04505"/>
    <w:multiLevelType w:val="hybridMultilevel"/>
    <w:tmpl w:val="26E2F28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65D2973"/>
    <w:multiLevelType w:val="hybridMultilevel"/>
    <w:tmpl w:val="B958E2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0F100D4"/>
    <w:multiLevelType w:val="hybridMultilevel"/>
    <w:tmpl w:val="F510E96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2135ED9"/>
    <w:multiLevelType w:val="hybridMultilevel"/>
    <w:tmpl w:val="13225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9525C3"/>
    <w:multiLevelType w:val="hybridMultilevel"/>
    <w:tmpl w:val="AB6CD2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D9E40FE"/>
    <w:multiLevelType w:val="hybridMultilevel"/>
    <w:tmpl w:val="1E48F6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E280145"/>
    <w:multiLevelType w:val="hybridMultilevel"/>
    <w:tmpl w:val="DFFC8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816727"/>
    <w:multiLevelType w:val="hybridMultilevel"/>
    <w:tmpl w:val="08B2F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6223A6"/>
    <w:multiLevelType w:val="hybridMultilevel"/>
    <w:tmpl w:val="8AC87D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405A7D4A"/>
    <w:multiLevelType w:val="hybridMultilevel"/>
    <w:tmpl w:val="CD640E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41813EE7"/>
    <w:multiLevelType w:val="hybridMultilevel"/>
    <w:tmpl w:val="DDB023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425D2E2E"/>
    <w:multiLevelType w:val="hybridMultilevel"/>
    <w:tmpl w:val="D186B5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497E3256"/>
    <w:multiLevelType w:val="hybridMultilevel"/>
    <w:tmpl w:val="83A4D0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4CD01046"/>
    <w:multiLevelType w:val="hybridMultilevel"/>
    <w:tmpl w:val="125C9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2D1B57"/>
    <w:multiLevelType w:val="hybridMultilevel"/>
    <w:tmpl w:val="42CAD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BF529E"/>
    <w:multiLevelType w:val="hybridMultilevel"/>
    <w:tmpl w:val="0482547E"/>
    <w:lvl w:ilvl="0" w:tplc="0B80AED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15204F"/>
    <w:multiLevelType w:val="hybridMultilevel"/>
    <w:tmpl w:val="43BE2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3A1E14"/>
    <w:multiLevelType w:val="multilevel"/>
    <w:tmpl w:val="23AE19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FA23734"/>
    <w:multiLevelType w:val="hybridMultilevel"/>
    <w:tmpl w:val="054C7A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27675244">
    <w:abstractNumId w:val="19"/>
  </w:num>
  <w:num w:numId="2" w16cid:durableId="1531338877">
    <w:abstractNumId w:val="10"/>
  </w:num>
  <w:num w:numId="3" w16cid:durableId="1229345525">
    <w:abstractNumId w:val="13"/>
  </w:num>
  <w:num w:numId="4" w16cid:durableId="1351369031">
    <w:abstractNumId w:val="4"/>
  </w:num>
  <w:num w:numId="5" w16cid:durableId="1651790163">
    <w:abstractNumId w:val="9"/>
  </w:num>
  <w:num w:numId="6" w16cid:durableId="1338772938">
    <w:abstractNumId w:val="6"/>
  </w:num>
  <w:num w:numId="7" w16cid:durableId="295643139">
    <w:abstractNumId w:val="8"/>
  </w:num>
  <w:num w:numId="8" w16cid:durableId="463306555">
    <w:abstractNumId w:val="14"/>
  </w:num>
  <w:num w:numId="9" w16cid:durableId="77093037">
    <w:abstractNumId w:val="12"/>
  </w:num>
  <w:num w:numId="10" w16cid:durableId="1086539630">
    <w:abstractNumId w:val="5"/>
  </w:num>
  <w:num w:numId="11" w16cid:durableId="533733619">
    <w:abstractNumId w:val="16"/>
  </w:num>
  <w:num w:numId="12" w16cid:durableId="239557484">
    <w:abstractNumId w:val="22"/>
  </w:num>
  <w:num w:numId="13" w16cid:durableId="1278489554">
    <w:abstractNumId w:val="15"/>
  </w:num>
  <w:num w:numId="14" w16cid:durableId="114493957">
    <w:abstractNumId w:val="0"/>
  </w:num>
  <w:num w:numId="15" w16cid:durableId="2065173994">
    <w:abstractNumId w:val="20"/>
  </w:num>
  <w:num w:numId="16" w16cid:durableId="1373649347">
    <w:abstractNumId w:val="7"/>
  </w:num>
  <w:num w:numId="17" w16cid:durableId="1480152369">
    <w:abstractNumId w:val="1"/>
  </w:num>
  <w:num w:numId="18" w16cid:durableId="1099718105">
    <w:abstractNumId w:val="3"/>
  </w:num>
  <w:num w:numId="19" w16cid:durableId="1228684595">
    <w:abstractNumId w:val="2"/>
  </w:num>
  <w:num w:numId="20" w16cid:durableId="1163273259">
    <w:abstractNumId w:val="11"/>
  </w:num>
  <w:num w:numId="21" w16cid:durableId="1339383579">
    <w:abstractNumId w:val="17"/>
  </w:num>
  <w:num w:numId="22" w16cid:durableId="920528967">
    <w:abstractNumId w:val="18"/>
  </w:num>
  <w:num w:numId="23" w16cid:durableId="180507718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38E"/>
    <w:rsid w:val="00000AC8"/>
    <w:rsid w:val="00001F71"/>
    <w:rsid w:val="000115DB"/>
    <w:rsid w:val="00024D6C"/>
    <w:rsid w:val="00036A7C"/>
    <w:rsid w:val="0004393A"/>
    <w:rsid w:val="000529C4"/>
    <w:rsid w:val="00073069"/>
    <w:rsid w:val="000913F7"/>
    <w:rsid w:val="000952A6"/>
    <w:rsid w:val="000A77B0"/>
    <w:rsid w:val="000B2369"/>
    <w:rsid w:val="000C41F6"/>
    <w:rsid w:val="000D423B"/>
    <w:rsid w:val="000E2442"/>
    <w:rsid w:val="000F51AD"/>
    <w:rsid w:val="000F6083"/>
    <w:rsid w:val="000F66D7"/>
    <w:rsid w:val="000F69DD"/>
    <w:rsid w:val="000F75F5"/>
    <w:rsid w:val="001029AC"/>
    <w:rsid w:val="00106022"/>
    <w:rsid w:val="00107C8B"/>
    <w:rsid w:val="0012529F"/>
    <w:rsid w:val="0012642E"/>
    <w:rsid w:val="001266B9"/>
    <w:rsid w:val="00126E05"/>
    <w:rsid w:val="001379C0"/>
    <w:rsid w:val="00142AFB"/>
    <w:rsid w:val="00146CB0"/>
    <w:rsid w:val="0014708A"/>
    <w:rsid w:val="00163B43"/>
    <w:rsid w:val="00177A0A"/>
    <w:rsid w:val="001863CF"/>
    <w:rsid w:val="00194F7F"/>
    <w:rsid w:val="001A699D"/>
    <w:rsid w:val="001B2FDC"/>
    <w:rsid w:val="001B56B0"/>
    <w:rsid w:val="001C20F3"/>
    <w:rsid w:val="001E0352"/>
    <w:rsid w:val="00204642"/>
    <w:rsid w:val="00205D18"/>
    <w:rsid w:val="0021112A"/>
    <w:rsid w:val="002154AE"/>
    <w:rsid w:val="0022520B"/>
    <w:rsid w:val="0023135B"/>
    <w:rsid w:val="00236CC1"/>
    <w:rsid w:val="00246491"/>
    <w:rsid w:val="00246969"/>
    <w:rsid w:val="002700C2"/>
    <w:rsid w:val="00285BEA"/>
    <w:rsid w:val="00296687"/>
    <w:rsid w:val="002D4C87"/>
    <w:rsid w:val="002F4A09"/>
    <w:rsid w:val="002F5788"/>
    <w:rsid w:val="0031385C"/>
    <w:rsid w:val="00320640"/>
    <w:rsid w:val="00322AE9"/>
    <w:rsid w:val="00340A1C"/>
    <w:rsid w:val="003456BC"/>
    <w:rsid w:val="00353026"/>
    <w:rsid w:val="00353533"/>
    <w:rsid w:val="00356A42"/>
    <w:rsid w:val="00370D5F"/>
    <w:rsid w:val="00371603"/>
    <w:rsid w:val="00382AEF"/>
    <w:rsid w:val="00392B6B"/>
    <w:rsid w:val="00394DDB"/>
    <w:rsid w:val="00395A4C"/>
    <w:rsid w:val="0039629E"/>
    <w:rsid w:val="003A47B4"/>
    <w:rsid w:val="003B21C6"/>
    <w:rsid w:val="003C0811"/>
    <w:rsid w:val="003D4DA2"/>
    <w:rsid w:val="003E0507"/>
    <w:rsid w:val="003E0A7C"/>
    <w:rsid w:val="003E2E25"/>
    <w:rsid w:val="003F01D6"/>
    <w:rsid w:val="00406356"/>
    <w:rsid w:val="00406829"/>
    <w:rsid w:val="00422139"/>
    <w:rsid w:val="004300CE"/>
    <w:rsid w:val="00457622"/>
    <w:rsid w:val="00483CB2"/>
    <w:rsid w:val="00495454"/>
    <w:rsid w:val="004A1282"/>
    <w:rsid w:val="004B2F5A"/>
    <w:rsid w:val="004B31E5"/>
    <w:rsid w:val="004C0080"/>
    <w:rsid w:val="004D083B"/>
    <w:rsid w:val="004F3D3F"/>
    <w:rsid w:val="004F5D07"/>
    <w:rsid w:val="005301FD"/>
    <w:rsid w:val="00534829"/>
    <w:rsid w:val="0053525F"/>
    <w:rsid w:val="005429F5"/>
    <w:rsid w:val="005513D6"/>
    <w:rsid w:val="00563288"/>
    <w:rsid w:val="0056446A"/>
    <w:rsid w:val="00571FE3"/>
    <w:rsid w:val="005739B4"/>
    <w:rsid w:val="005768BB"/>
    <w:rsid w:val="00582B7E"/>
    <w:rsid w:val="005B44BC"/>
    <w:rsid w:val="005C18AE"/>
    <w:rsid w:val="005D6A3A"/>
    <w:rsid w:val="00602A16"/>
    <w:rsid w:val="00624C6B"/>
    <w:rsid w:val="00632256"/>
    <w:rsid w:val="00633DAC"/>
    <w:rsid w:val="0063469B"/>
    <w:rsid w:val="00644614"/>
    <w:rsid w:val="00646E22"/>
    <w:rsid w:val="0066324F"/>
    <w:rsid w:val="00667AA9"/>
    <w:rsid w:val="00670B80"/>
    <w:rsid w:val="00670E26"/>
    <w:rsid w:val="00684E91"/>
    <w:rsid w:val="0068538E"/>
    <w:rsid w:val="00686AA6"/>
    <w:rsid w:val="006903DB"/>
    <w:rsid w:val="00690B59"/>
    <w:rsid w:val="0069139B"/>
    <w:rsid w:val="00692D39"/>
    <w:rsid w:val="006A3372"/>
    <w:rsid w:val="006A4C69"/>
    <w:rsid w:val="006A719B"/>
    <w:rsid w:val="006B452C"/>
    <w:rsid w:val="006C119F"/>
    <w:rsid w:val="006C1CA3"/>
    <w:rsid w:val="006D6F17"/>
    <w:rsid w:val="0071044B"/>
    <w:rsid w:val="00724270"/>
    <w:rsid w:val="00730F89"/>
    <w:rsid w:val="00736B2D"/>
    <w:rsid w:val="00743A14"/>
    <w:rsid w:val="007456A6"/>
    <w:rsid w:val="007537CB"/>
    <w:rsid w:val="007579F5"/>
    <w:rsid w:val="00764E38"/>
    <w:rsid w:val="00775D83"/>
    <w:rsid w:val="00776620"/>
    <w:rsid w:val="0077723F"/>
    <w:rsid w:val="007873A8"/>
    <w:rsid w:val="007A0C76"/>
    <w:rsid w:val="007A4846"/>
    <w:rsid w:val="007A77F6"/>
    <w:rsid w:val="007D0A1E"/>
    <w:rsid w:val="007D31BB"/>
    <w:rsid w:val="007D4FD3"/>
    <w:rsid w:val="00800431"/>
    <w:rsid w:val="008010F3"/>
    <w:rsid w:val="0080198C"/>
    <w:rsid w:val="00802A34"/>
    <w:rsid w:val="00805398"/>
    <w:rsid w:val="00812882"/>
    <w:rsid w:val="00820070"/>
    <w:rsid w:val="00831C34"/>
    <w:rsid w:val="00837C3F"/>
    <w:rsid w:val="00841A02"/>
    <w:rsid w:val="00845842"/>
    <w:rsid w:val="00846DBB"/>
    <w:rsid w:val="00852ED8"/>
    <w:rsid w:val="008553D5"/>
    <w:rsid w:val="00877CD5"/>
    <w:rsid w:val="00891FD9"/>
    <w:rsid w:val="00894EB3"/>
    <w:rsid w:val="008A1ACD"/>
    <w:rsid w:val="008A49B6"/>
    <w:rsid w:val="008A7B61"/>
    <w:rsid w:val="008B3861"/>
    <w:rsid w:val="008C0566"/>
    <w:rsid w:val="008E5545"/>
    <w:rsid w:val="009021FF"/>
    <w:rsid w:val="00927180"/>
    <w:rsid w:val="00930546"/>
    <w:rsid w:val="00936594"/>
    <w:rsid w:val="0094554C"/>
    <w:rsid w:val="0095530C"/>
    <w:rsid w:val="00956212"/>
    <w:rsid w:val="00956F7A"/>
    <w:rsid w:val="00962076"/>
    <w:rsid w:val="00975C1D"/>
    <w:rsid w:val="00993F6E"/>
    <w:rsid w:val="009964EA"/>
    <w:rsid w:val="0099734B"/>
    <w:rsid w:val="009A0CDC"/>
    <w:rsid w:val="009C71A6"/>
    <w:rsid w:val="009F7CDF"/>
    <w:rsid w:val="00A03AC4"/>
    <w:rsid w:val="00A06BC8"/>
    <w:rsid w:val="00A128BA"/>
    <w:rsid w:val="00A16322"/>
    <w:rsid w:val="00A549BC"/>
    <w:rsid w:val="00A550CA"/>
    <w:rsid w:val="00A55ED8"/>
    <w:rsid w:val="00A701B6"/>
    <w:rsid w:val="00A8587A"/>
    <w:rsid w:val="00A97203"/>
    <w:rsid w:val="00AA4E7D"/>
    <w:rsid w:val="00AD3534"/>
    <w:rsid w:val="00AE1798"/>
    <w:rsid w:val="00AE27CA"/>
    <w:rsid w:val="00AE456C"/>
    <w:rsid w:val="00AF18F9"/>
    <w:rsid w:val="00AF6D96"/>
    <w:rsid w:val="00B01960"/>
    <w:rsid w:val="00B033AD"/>
    <w:rsid w:val="00B057E4"/>
    <w:rsid w:val="00B06A11"/>
    <w:rsid w:val="00B07652"/>
    <w:rsid w:val="00B15B1D"/>
    <w:rsid w:val="00B23F1D"/>
    <w:rsid w:val="00B27E59"/>
    <w:rsid w:val="00B332B4"/>
    <w:rsid w:val="00B37E32"/>
    <w:rsid w:val="00B4479E"/>
    <w:rsid w:val="00B4756D"/>
    <w:rsid w:val="00B5573C"/>
    <w:rsid w:val="00B57227"/>
    <w:rsid w:val="00B57935"/>
    <w:rsid w:val="00B71CDF"/>
    <w:rsid w:val="00B851D0"/>
    <w:rsid w:val="00BA2C94"/>
    <w:rsid w:val="00BA2EE1"/>
    <w:rsid w:val="00BA7809"/>
    <w:rsid w:val="00BA7829"/>
    <w:rsid w:val="00BB2D1A"/>
    <w:rsid w:val="00BB37CA"/>
    <w:rsid w:val="00BB3DB9"/>
    <w:rsid w:val="00BB4859"/>
    <w:rsid w:val="00BC2548"/>
    <w:rsid w:val="00BC611C"/>
    <w:rsid w:val="00BD156D"/>
    <w:rsid w:val="00BD709E"/>
    <w:rsid w:val="00BD7222"/>
    <w:rsid w:val="00BE1CCD"/>
    <w:rsid w:val="00BF1B37"/>
    <w:rsid w:val="00BF1EC6"/>
    <w:rsid w:val="00C0155E"/>
    <w:rsid w:val="00C0167C"/>
    <w:rsid w:val="00C05CCE"/>
    <w:rsid w:val="00C1322D"/>
    <w:rsid w:val="00C175C6"/>
    <w:rsid w:val="00C214A3"/>
    <w:rsid w:val="00C254A0"/>
    <w:rsid w:val="00C47A35"/>
    <w:rsid w:val="00C53A76"/>
    <w:rsid w:val="00C72FF2"/>
    <w:rsid w:val="00C80667"/>
    <w:rsid w:val="00C8222D"/>
    <w:rsid w:val="00C90C46"/>
    <w:rsid w:val="00CB021C"/>
    <w:rsid w:val="00CB2585"/>
    <w:rsid w:val="00CB748A"/>
    <w:rsid w:val="00CC2DB6"/>
    <w:rsid w:val="00CD3452"/>
    <w:rsid w:val="00CE31D5"/>
    <w:rsid w:val="00CF4BDF"/>
    <w:rsid w:val="00CF5B16"/>
    <w:rsid w:val="00D06CE2"/>
    <w:rsid w:val="00D20736"/>
    <w:rsid w:val="00D25D80"/>
    <w:rsid w:val="00D272B0"/>
    <w:rsid w:val="00D27542"/>
    <w:rsid w:val="00D4023F"/>
    <w:rsid w:val="00D45619"/>
    <w:rsid w:val="00D71E32"/>
    <w:rsid w:val="00D8177F"/>
    <w:rsid w:val="00D93FA4"/>
    <w:rsid w:val="00D9547D"/>
    <w:rsid w:val="00DA5B73"/>
    <w:rsid w:val="00DA6EA7"/>
    <w:rsid w:val="00DB6B05"/>
    <w:rsid w:val="00DC1875"/>
    <w:rsid w:val="00DC1E15"/>
    <w:rsid w:val="00DC351B"/>
    <w:rsid w:val="00DC4DF1"/>
    <w:rsid w:val="00DD161B"/>
    <w:rsid w:val="00DF5630"/>
    <w:rsid w:val="00DF6F54"/>
    <w:rsid w:val="00E33FD2"/>
    <w:rsid w:val="00E41858"/>
    <w:rsid w:val="00E47D86"/>
    <w:rsid w:val="00E54F8F"/>
    <w:rsid w:val="00E60190"/>
    <w:rsid w:val="00E70419"/>
    <w:rsid w:val="00E72CD6"/>
    <w:rsid w:val="00EB2920"/>
    <w:rsid w:val="00ED1BFE"/>
    <w:rsid w:val="00EE19A0"/>
    <w:rsid w:val="00EE3CFD"/>
    <w:rsid w:val="00EE658B"/>
    <w:rsid w:val="00F05CA6"/>
    <w:rsid w:val="00F11D7E"/>
    <w:rsid w:val="00F13B9D"/>
    <w:rsid w:val="00F14EE0"/>
    <w:rsid w:val="00F37141"/>
    <w:rsid w:val="00F51DB5"/>
    <w:rsid w:val="00F76E07"/>
    <w:rsid w:val="00F8063E"/>
    <w:rsid w:val="00F852D8"/>
    <w:rsid w:val="00F872AA"/>
    <w:rsid w:val="00F8743D"/>
    <w:rsid w:val="00F9491A"/>
    <w:rsid w:val="00FA0B54"/>
    <w:rsid w:val="00FA1332"/>
    <w:rsid w:val="00FC3A75"/>
    <w:rsid w:val="00FE6A80"/>
    <w:rsid w:val="00FF5DE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71F22"/>
  <w15:chartTrackingRefBased/>
  <w15:docId w15:val="{5FBD90B3-A9E2-4798-B70D-C6A5656C3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53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53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53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53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53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53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53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53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53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53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53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53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53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53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53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53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53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538E"/>
    <w:rPr>
      <w:rFonts w:eastAsiaTheme="majorEastAsia" w:cstheme="majorBidi"/>
      <w:color w:val="272727" w:themeColor="text1" w:themeTint="D8"/>
    </w:rPr>
  </w:style>
  <w:style w:type="paragraph" w:styleId="Title">
    <w:name w:val="Title"/>
    <w:basedOn w:val="Normal"/>
    <w:next w:val="Normal"/>
    <w:link w:val="TitleChar"/>
    <w:uiPriority w:val="10"/>
    <w:qFormat/>
    <w:rsid w:val="006853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53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53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53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538E"/>
    <w:pPr>
      <w:spacing w:before="160"/>
      <w:jc w:val="center"/>
    </w:pPr>
    <w:rPr>
      <w:i/>
      <w:iCs/>
      <w:color w:val="404040" w:themeColor="text1" w:themeTint="BF"/>
    </w:rPr>
  </w:style>
  <w:style w:type="character" w:customStyle="1" w:styleId="QuoteChar">
    <w:name w:val="Quote Char"/>
    <w:basedOn w:val="DefaultParagraphFont"/>
    <w:link w:val="Quote"/>
    <w:uiPriority w:val="29"/>
    <w:rsid w:val="0068538E"/>
    <w:rPr>
      <w:i/>
      <w:iCs/>
      <w:color w:val="404040" w:themeColor="text1" w:themeTint="BF"/>
    </w:rPr>
  </w:style>
  <w:style w:type="paragraph" w:styleId="ListParagraph">
    <w:name w:val="List Paragraph"/>
    <w:basedOn w:val="Normal"/>
    <w:uiPriority w:val="34"/>
    <w:qFormat/>
    <w:rsid w:val="0068538E"/>
    <w:pPr>
      <w:ind w:left="720"/>
      <w:contextualSpacing/>
    </w:pPr>
  </w:style>
  <w:style w:type="character" w:styleId="IntenseEmphasis">
    <w:name w:val="Intense Emphasis"/>
    <w:basedOn w:val="DefaultParagraphFont"/>
    <w:uiPriority w:val="21"/>
    <w:qFormat/>
    <w:rsid w:val="0068538E"/>
    <w:rPr>
      <w:i/>
      <w:iCs/>
      <w:color w:val="0F4761" w:themeColor="accent1" w:themeShade="BF"/>
    </w:rPr>
  </w:style>
  <w:style w:type="paragraph" w:styleId="IntenseQuote">
    <w:name w:val="Intense Quote"/>
    <w:basedOn w:val="Normal"/>
    <w:next w:val="Normal"/>
    <w:link w:val="IntenseQuoteChar"/>
    <w:uiPriority w:val="30"/>
    <w:qFormat/>
    <w:rsid w:val="006853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538E"/>
    <w:rPr>
      <w:i/>
      <w:iCs/>
      <w:color w:val="0F4761" w:themeColor="accent1" w:themeShade="BF"/>
    </w:rPr>
  </w:style>
  <w:style w:type="character" w:styleId="IntenseReference">
    <w:name w:val="Intense Reference"/>
    <w:basedOn w:val="DefaultParagraphFont"/>
    <w:uiPriority w:val="32"/>
    <w:qFormat/>
    <w:rsid w:val="0068538E"/>
    <w:rPr>
      <w:b/>
      <w:bCs/>
      <w:smallCaps/>
      <w:color w:val="0F4761" w:themeColor="accent1" w:themeShade="BF"/>
      <w:spacing w:val="5"/>
    </w:rPr>
  </w:style>
  <w:style w:type="table" w:styleId="TableGrid">
    <w:name w:val="Table Grid"/>
    <w:basedOn w:val="TableNormal"/>
    <w:uiPriority w:val="39"/>
    <w:rsid w:val="0068538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154AE"/>
    <w:rPr>
      <w:sz w:val="16"/>
      <w:szCs w:val="16"/>
    </w:rPr>
  </w:style>
  <w:style w:type="paragraph" w:styleId="CommentText">
    <w:name w:val="annotation text"/>
    <w:basedOn w:val="Normal"/>
    <w:link w:val="CommentTextChar"/>
    <w:uiPriority w:val="99"/>
    <w:unhideWhenUsed/>
    <w:rsid w:val="002154AE"/>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2154AE"/>
    <w:rPr>
      <w:kern w:val="0"/>
      <w:sz w:val="20"/>
      <w:szCs w:val="20"/>
      <w14:ligatures w14:val="none"/>
    </w:rPr>
  </w:style>
  <w:style w:type="character" w:styleId="Hyperlink">
    <w:name w:val="Hyperlink"/>
    <w:basedOn w:val="DefaultParagraphFont"/>
    <w:uiPriority w:val="99"/>
    <w:unhideWhenUsed/>
    <w:rsid w:val="007456A6"/>
    <w:rPr>
      <w:color w:val="0000FF"/>
      <w:u w:val="single"/>
    </w:rPr>
  </w:style>
  <w:style w:type="character" w:styleId="UnresolvedMention">
    <w:name w:val="Unresolved Mention"/>
    <w:basedOn w:val="DefaultParagraphFont"/>
    <w:uiPriority w:val="99"/>
    <w:semiHidden/>
    <w:unhideWhenUsed/>
    <w:rsid w:val="007456A6"/>
    <w:rPr>
      <w:color w:val="605E5C"/>
      <w:shd w:val="clear" w:color="auto" w:fill="E1DFDD"/>
    </w:rPr>
  </w:style>
  <w:style w:type="paragraph" w:styleId="Header">
    <w:name w:val="header"/>
    <w:basedOn w:val="Normal"/>
    <w:link w:val="HeaderChar"/>
    <w:uiPriority w:val="99"/>
    <w:unhideWhenUsed/>
    <w:rsid w:val="005C18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18AE"/>
  </w:style>
  <w:style w:type="paragraph" w:styleId="Footer">
    <w:name w:val="footer"/>
    <w:basedOn w:val="Normal"/>
    <w:link w:val="FooterChar"/>
    <w:uiPriority w:val="99"/>
    <w:unhideWhenUsed/>
    <w:rsid w:val="005C18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18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50613">
      <w:bodyDiv w:val="1"/>
      <w:marLeft w:val="0"/>
      <w:marRight w:val="0"/>
      <w:marTop w:val="0"/>
      <w:marBottom w:val="0"/>
      <w:divBdr>
        <w:top w:val="none" w:sz="0" w:space="0" w:color="auto"/>
        <w:left w:val="none" w:sz="0" w:space="0" w:color="auto"/>
        <w:bottom w:val="none" w:sz="0" w:space="0" w:color="auto"/>
        <w:right w:val="none" w:sz="0" w:space="0" w:color="auto"/>
      </w:divBdr>
    </w:div>
    <w:div w:id="1355695771">
      <w:bodyDiv w:val="1"/>
      <w:marLeft w:val="0"/>
      <w:marRight w:val="0"/>
      <w:marTop w:val="0"/>
      <w:marBottom w:val="0"/>
      <w:divBdr>
        <w:top w:val="none" w:sz="0" w:space="0" w:color="auto"/>
        <w:left w:val="none" w:sz="0" w:space="0" w:color="auto"/>
        <w:bottom w:val="none" w:sz="0" w:space="0" w:color="auto"/>
        <w:right w:val="none" w:sz="0" w:space="0" w:color="auto"/>
      </w:divBdr>
      <w:divsChild>
        <w:div w:id="2084714397">
          <w:marLeft w:val="0"/>
          <w:marRight w:val="0"/>
          <w:marTop w:val="0"/>
          <w:marBottom w:val="0"/>
          <w:divBdr>
            <w:top w:val="none" w:sz="0" w:space="0" w:color="auto"/>
            <w:left w:val="none" w:sz="0" w:space="0" w:color="auto"/>
            <w:bottom w:val="none" w:sz="0" w:space="0" w:color="auto"/>
            <w:right w:val="none" w:sz="0" w:space="0" w:color="auto"/>
          </w:divBdr>
          <w:divsChild>
            <w:div w:id="1760906028">
              <w:marLeft w:val="0"/>
              <w:marRight w:val="0"/>
              <w:marTop w:val="0"/>
              <w:marBottom w:val="0"/>
              <w:divBdr>
                <w:top w:val="none" w:sz="0" w:space="0" w:color="auto"/>
                <w:left w:val="none" w:sz="0" w:space="0" w:color="auto"/>
                <w:bottom w:val="none" w:sz="0" w:space="0" w:color="auto"/>
                <w:right w:val="none" w:sz="0" w:space="0" w:color="auto"/>
              </w:divBdr>
            </w:div>
            <w:div w:id="10763923">
              <w:marLeft w:val="0"/>
              <w:marRight w:val="0"/>
              <w:marTop w:val="0"/>
              <w:marBottom w:val="0"/>
              <w:divBdr>
                <w:top w:val="none" w:sz="0" w:space="0" w:color="auto"/>
                <w:left w:val="none" w:sz="0" w:space="0" w:color="auto"/>
                <w:bottom w:val="none" w:sz="0" w:space="0" w:color="auto"/>
                <w:right w:val="none" w:sz="0" w:space="0" w:color="auto"/>
              </w:divBdr>
            </w:div>
            <w:div w:id="452791614">
              <w:marLeft w:val="0"/>
              <w:marRight w:val="0"/>
              <w:marTop w:val="0"/>
              <w:marBottom w:val="0"/>
              <w:divBdr>
                <w:top w:val="none" w:sz="0" w:space="0" w:color="auto"/>
                <w:left w:val="none" w:sz="0" w:space="0" w:color="auto"/>
                <w:bottom w:val="none" w:sz="0" w:space="0" w:color="auto"/>
                <w:right w:val="none" w:sz="0" w:space="0" w:color="auto"/>
              </w:divBdr>
            </w:div>
            <w:div w:id="2120488521">
              <w:marLeft w:val="0"/>
              <w:marRight w:val="0"/>
              <w:marTop w:val="0"/>
              <w:marBottom w:val="0"/>
              <w:divBdr>
                <w:top w:val="none" w:sz="0" w:space="0" w:color="auto"/>
                <w:left w:val="none" w:sz="0" w:space="0" w:color="auto"/>
                <w:bottom w:val="none" w:sz="0" w:space="0" w:color="auto"/>
                <w:right w:val="none" w:sz="0" w:space="0" w:color="auto"/>
              </w:divBdr>
            </w:div>
          </w:divsChild>
        </w:div>
        <w:div w:id="197739233">
          <w:marLeft w:val="0"/>
          <w:marRight w:val="0"/>
          <w:marTop w:val="0"/>
          <w:marBottom w:val="0"/>
          <w:divBdr>
            <w:top w:val="none" w:sz="0" w:space="0" w:color="auto"/>
            <w:left w:val="none" w:sz="0" w:space="0" w:color="auto"/>
            <w:bottom w:val="none" w:sz="0" w:space="0" w:color="auto"/>
            <w:right w:val="none" w:sz="0" w:space="0" w:color="auto"/>
          </w:divBdr>
        </w:div>
      </w:divsChild>
    </w:div>
    <w:div w:id="178029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hyperlink" Target="https://www.ssa.gov/policy/docs/statcomps/ssi_sc/2022/"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hart" Target="charts/chart12.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10.xml"/><Relationship Id="rId20" Type="http://schemas.openxmlformats.org/officeDocument/2006/relationships/hyperlink" Target="https://www.ssa.gov/policy/docs/statcomps/oasdi_sc/2022/me.xls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24" Type="http://schemas.openxmlformats.org/officeDocument/2006/relationships/chart" Target="charts/chart15.xml"/><Relationship Id="rId5" Type="http://schemas.openxmlformats.org/officeDocument/2006/relationships/footnotes" Target="footnotes.xml"/><Relationship Id="rId15" Type="http://schemas.openxmlformats.org/officeDocument/2006/relationships/chart" Target="charts/chart9.xml"/><Relationship Id="rId23" Type="http://schemas.openxmlformats.org/officeDocument/2006/relationships/chart" Target="charts/chart14.xml"/><Relationship Id="rId10" Type="http://schemas.openxmlformats.org/officeDocument/2006/relationships/chart" Target="charts/chart4.xml"/><Relationship Id="rId19" Type="http://schemas.openxmlformats.org/officeDocument/2006/relationships/hyperlink" Target="https://www.ssa.gov/policy/docs/statcomps/oasdi_sc/index.html" TargetMode="Externa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5.xml"/><Relationship Id="rId1" Type="http://schemas.microsoft.com/office/2011/relationships/chartStyle" Target="style5.xml"/></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2.xml"/><Relationship Id="rId1" Type="http://schemas.microsoft.com/office/2011/relationships/chartStyle" Target="style2.xml"/></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3.xml"/><Relationship Id="rId1" Type="http://schemas.microsoft.com/office/2011/relationships/chartStyle" Target="style3.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lineChart>
        <c:grouping val="standard"/>
        <c:varyColors val="0"/>
        <c:ser>
          <c:idx val="0"/>
          <c:order val="0"/>
          <c:tx>
            <c:strRef>
              <c:f>Sheet1!$A$2</c:f>
              <c:strCache>
                <c:ptCount val="1"/>
                <c:pt idx="0">
                  <c:v>All Closures</c:v>
                </c:pt>
              </c:strCache>
            </c:strRef>
          </c:tx>
          <c:spPr>
            <a:ln w="12700">
              <a:solidFill>
                <a:schemeClr val="accent1"/>
              </a:solidFill>
              <a:prstDash val="dash"/>
            </a:ln>
          </c:spPr>
          <c:marker>
            <c:symbol val="square"/>
            <c:size val="5"/>
          </c:marker>
          <c:dPt>
            <c:idx val="1"/>
            <c:bubble3D val="0"/>
            <c:spPr>
              <a:ln w="12700">
                <a:solidFill>
                  <a:schemeClr val="accent1"/>
                </a:solidFill>
                <a:prstDash val="lgDash"/>
              </a:ln>
            </c:spPr>
            <c:extLst>
              <c:ext xmlns:c16="http://schemas.microsoft.com/office/drawing/2014/chart" uri="{C3380CC4-5D6E-409C-BE32-E72D297353CC}">
                <c16:uniqueId val="{00000001-E41D-416B-AC52-93BBA7F619F2}"/>
              </c:ext>
            </c:extLst>
          </c:dPt>
          <c:dPt>
            <c:idx val="2"/>
            <c:bubble3D val="0"/>
            <c:spPr>
              <a:ln w="12700">
                <a:solidFill>
                  <a:schemeClr val="accent1"/>
                </a:solidFill>
                <a:prstDash val="lgDash"/>
              </a:ln>
            </c:spPr>
            <c:extLst>
              <c:ext xmlns:c16="http://schemas.microsoft.com/office/drawing/2014/chart" uri="{C3380CC4-5D6E-409C-BE32-E72D297353CC}">
                <c16:uniqueId val="{00000003-E41D-416B-AC52-93BBA7F619F2}"/>
              </c:ext>
            </c:extLst>
          </c:dPt>
          <c:cat>
            <c:strRef>
              <c:f>Sheet1!$B$1:$D$1</c:f>
              <c:strCache>
                <c:ptCount val="3"/>
                <c:pt idx="0">
                  <c:v>FFY 2021</c:v>
                </c:pt>
                <c:pt idx="1">
                  <c:v>FFY 2022</c:v>
                </c:pt>
                <c:pt idx="2">
                  <c:v>FFY 2023</c:v>
                </c:pt>
              </c:strCache>
            </c:strRef>
          </c:cat>
          <c:val>
            <c:numRef>
              <c:f>Sheet1!$B$2:$D$2</c:f>
              <c:numCache>
                <c:formatCode>#,##0</c:formatCode>
                <c:ptCount val="3"/>
                <c:pt idx="0">
                  <c:v>2499</c:v>
                </c:pt>
                <c:pt idx="1">
                  <c:v>2958</c:v>
                </c:pt>
                <c:pt idx="2">
                  <c:v>2891</c:v>
                </c:pt>
              </c:numCache>
            </c:numRef>
          </c:val>
          <c:smooth val="0"/>
          <c:extLst>
            <c:ext xmlns:c16="http://schemas.microsoft.com/office/drawing/2014/chart" uri="{C3380CC4-5D6E-409C-BE32-E72D297353CC}">
              <c16:uniqueId val="{00000004-E41D-416B-AC52-93BBA7F619F2}"/>
            </c:ext>
          </c:extLst>
        </c:ser>
        <c:ser>
          <c:idx val="1"/>
          <c:order val="1"/>
          <c:tx>
            <c:strRef>
              <c:f>Sheet1!$A$3</c:f>
              <c:strCache>
                <c:ptCount val="1"/>
                <c:pt idx="0">
                  <c:v>New Applications Received</c:v>
                </c:pt>
              </c:strCache>
            </c:strRef>
          </c:tx>
          <c:spPr>
            <a:ln w="22225">
              <a:solidFill>
                <a:schemeClr val="accent2"/>
              </a:solidFill>
            </a:ln>
          </c:spPr>
          <c:marker>
            <c:symbol val="star"/>
            <c:size val="5"/>
          </c:marker>
          <c:cat>
            <c:strRef>
              <c:f>Sheet1!$B$1:$D$1</c:f>
              <c:strCache>
                <c:ptCount val="3"/>
                <c:pt idx="0">
                  <c:v>FFY 2021</c:v>
                </c:pt>
                <c:pt idx="1">
                  <c:v>FFY 2022</c:v>
                </c:pt>
                <c:pt idx="2">
                  <c:v>FFY 2023</c:v>
                </c:pt>
              </c:strCache>
            </c:strRef>
          </c:cat>
          <c:val>
            <c:numRef>
              <c:f>Sheet1!$B$3:$D$3</c:f>
              <c:numCache>
                <c:formatCode>#,##0</c:formatCode>
                <c:ptCount val="3"/>
                <c:pt idx="0">
                  <c:v>1116</c:v>
                </c:pt>
                <c:pt idx="1">
                  <c:v>1786</c:v>
                </c:pt>
                <c:pt idx="2">
                  <c:v>2895</c:v>
                </c:pt>
              </c:numCache>
            </c:numRef>
          </c:val>
          <c:smooth val="0"/>
          <c:extLst>
            <c:ext xmlns:c16="http://schemas.microsoft.com/office/drawing/2014/chart" uri="{C3380CC4-5D6E-409C-BE32-E72D297353CC}">
              <c16:uniqueId val="{00000005-E41D-416B-AC52-93BBA7F619F2}"/>
            </c:ext>
          </c:extLst>
        </c:ser>
        <c:ser>
          <c:idx val="2"/>
          <c:order val="2"/>
          <c:tx>
            <c:strRef>
              <c:f>Sheet1!$A$4</c:f>
              <c:strCache>
                <c:ptCount val="1"/>
                <c:pt idx="0">
                  <c:v>New Plans Developed</c:v>
                </c:pt>
              </c:strCache>
            </c:strRef>
          </c:tx>
          <c:spPr>
            <a:ln w="22225">
              <a:solidFill>
                <a:schemeClr val="accent4"/>
              </a:solidFill>
            </a:ln>
          </c:spPr>
          <c:marker>
            <c:symbol val="triangle"/>
            <c:size val="6"/>
          </c:marker>
          <c:cat>
            <c:strRef>
              <c:f>Sheet1!$B$1:$D$1</c:f>
              <c:strCache>
                <c:ptCount val="3"/>
                <c:pt idx="0">
                  <c:v>FFY 2021</c:v>
                </c:pt>
                <c:pt idx="1">
                  <c:v>FFY 2022</c:v>
                </c:pt>
                <c:pt idx="2">
                  <c:v>FFY 2023</c:v>
                </c:pt>
              </c:strCache>
            </c:strRef>
          </c:cat>
          <c:val>
            <c:numRef>
              <c:f>Sheet1!$B$4:$D$4</c:f>
              <c:numCache>
                <c:formatCode>#,##0</c:formatCode>
                <c:ptCount val="3"/>
                <c:pt idx="0">
                  <c:v>1110</c:v>
                </c:pt>
                <c:pt idx="1">
                  <c:v>1159</c:v>
                </c:pt>
                <c:pt idx="2">
                  <c:v>1803</c:v>
                </c:pt>
              </c:numCache>
            </c:numRef>
          </c:val>
          <c:smooth val="0"/>
          <c:extLst>
            <c:ext xmlns:c16="http://schemas.microsoft.com/office/drawing/2014/chart" uri="{C3380CC4-5D6E-409C-BE32-E72D297353CC}">
              <c16:uniqueId val="{00000006-E41D-416B-AC52-93BBA7F619F2}"/>
            </c:ext>
          </c:extLst>
        </c:ser>
        <c:dLbls>
          <c:showLegendKey val="0"/>
          <c:showVal val="0"/>
          <c:showCatName val="0"/>
          <c:showSerName val="0"/>
          <c:showPercent val="0"/>
          <c:showBubbleSize val="0"/>
        </c:dLbls>
        <c:marker val="1"/>
        <c:smooth val="0"/>
        <c:axId val="33904128"/>
        <c:axId val="33905664"/>
      </c:lineChart>
      <c:catAx>
        <c:axId val="33904128"/>
        <c:scaling>
          <c:orientation val="minMax"/>
        </c:scaling>
        <c:delete val="0"/>
        <c:axPos val="b"/>
        <c:numFmt formatCode="General" sourceLinked="0"/>
        <c:majorTickMark val="none"/>
        <c:minorTickMark val="none"/>
        <c:tickLblPos val="nextTo"/>
        <c:crossAx val="33905664"/>
        <c:crosses val="autoZero"/>
        <c:auto val="1"/>
        <c:lblAlgn val="ctr"/>
        <c:lblOffset val="100"/>
        <c:noMultiLvlLbl val="0"/>
      </c:catAx>
      <c:valAx>
        <c:axId val="33905664"/>
        <c:scaling>
          <c:orientation val="minMax"/>
          <c:max val="5000"/>
          <c:min val="500"/>
        </c:scaling>
        <c:delete val="0"/>
        <c:axPos val="l"/>
        <c:majorGridlines/>
        <c:title>
          <c:tx>
            <c:rich>
              <a:bodyPr/>
              <a:lstStyle/>
              <a:p>
                <a:pPr>
                  <a:defRPr/>
                </a:pPr>
                <a:r>
                  <a:rPr lang="en-US"/>
                  <a:t> Number</a:t>
                </a:r>
                <a:r>
                  <a:rPr lang="en-US" baseline="0"/>
                  <a:t> of People</a:t>
                </a:r>
                <a:endParaRPr lang="en-US"/>
              </a:p>
            </c:rich>
          </c:tx>
          <c:overlay val="0"/>
        </c:title>
        <c:numFmt formatCode="#,##0" sourceLinked="1"/>
        <c:majorTickMark val="out"/>
        <c:minorTickMark val="none"/>
        <c:tickLblPos val="nextTo"/>
        <c:crossAx val="33904128"/>
        <c:crosses val="autoZero"/>
        <c:crossBetween val="between"/>
        <c:majorUnit val="750"/>
        <c:minorUnit val="500"/>
      </c:valAx>
      <c:dTable>
        <c:showHorzBorder val="1"/>
        <c:showVertBorder val="1"/>
        <c:showOutline val="1"/>
        <c:showKeys val="1"/>
      </c:dTable>
      <c:spPr>
        <a:ln>
          <a:solidFill>
            <a:schemeClr val="bg1">
              <a:lumMod val="50000"/>
            </a:schemeClr>
          </a:solidFill>
        </a:ln>
      </c:spPr>
    </c:plotArea>
    <c:plotVisOnly val="1"/>
    <c:dispBlanksAs val="gap"/>
    <c:showDLblsOverMax val="0"/>
  </c:chart>
  <c:spPr>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manualLayout>
          <c:layoutTarget val="inner"/>
          <c:xMode val="edge"/>
          <c:yMode val="edge"/>
          <c:x val="0.17402061497279728"/>
          <c:y val="0.1709620672415948"/>
          <c:w val="0.80162503693660814"/>
          <c:h val="0.730035085289785"/>
        </c:manualLayout>
      </c:layout>
      <c:lineChart>
        <c:grouping val="standard"/>
        <c:varyColors val="0"/>
        <c:ser>
          <c:idx val="0"/>
          <c:order val="0"/>
          <c:tx>
            <c:strRef>
              <c:f>Sheet1!$A$2</c:f>
              <c:strCache>
                <c:ptCount val="1"/>
                <c:pt idx="0">
                  <c:v>Successful Closures</c:v>
                </c:pt>
              </c:strCache>
            </c:strRef>
          </c:tx>
          <c:spPr>
            <a:ln w="12700">
              <a:solidFill>
                <a:schemeClr val="accent1"/>
              </a:solidFill>
              <a:prstDash val="dash"/>
            </a:ln>
          </c:spPr>
          <c:marker>
            <c:symbol val="square"/>
            <c:size val="5"/>
          </c:marker>
          <c:dPt>
            <c:idx val="1"/>
            <c:bubble3D val="0"/>
            <c:spPr>
              <a:ln w="12700">
                <a:solidFill>
                  <a:schemeClr val="accent1"/>
                </a:solidFill>
                <a:prstDash val="lgDash"/>
              </a:ln>
            </c:spPr>
            <c:extLst>
              <c:ext xmlns:c16="http://schemas.microsoft.com/office/drawing/2014/chart" uri="{C3380CC4-5D6E-409C-BE32-E72D297353CC}">
                <c16:uniqueId val="{00000001-0517-44E2-9222-D7C6A6E25966}"/>
              </c:ext>
            </c:extLst>
          </c:dPt>
          <c:dPt>
            <c:idx val="2"/>
            <c:bubble3D val="0"/>
            <c:spPr>
              <a:ln w="12700">
                <a:solidFill>
                  <a:schemeClr val="accent1"/>
                </a:solidFill>
                <a:prstDash val="lgDash"/>
              </a:ln>
            </c:spPr>
            <c:extLst>
              <c:ext xmlns:c16="http://schemas.microsoft.com/office/drawing/2014/chart" uri="{C3380CC4-5D6E-409C-BE32-E72D297353CC}">
                <c16:uniqueId val="{00000003-0517-44E2-9222-D7C6A6E25966}"/>
              </c:ext>
            </c:extLst>
          </c:dPt>
          <c:dLbls>
            <c:dLbl>
              <c:idx val="2"/>
              <c:layout>
                <c:manualLayout>
                  <c:x val="-2.9801324503312878E-3"/>
                  <c:y val="5.118047744031996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517-44E2-9222-D7C6A6E25966}"/>
                </c:ext>
              </c:extLst>
            </c:dLbl>
            <c:spPr>
              <a:noFill/>
              <a:ln>
                <a:noFill/>
              </a:ln>
              <a:effectLst/>
            </c:spPr>
            <c:txPr>
              <a:bodyPr/>
              <a:lstStyle/>
              <a:p>
                <a:pPr>
                  <a:defRPr b="1">
                    <a:solidFill>
                      <a:schemeClr val="accent1"/>
                    </a:solidFill>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FFY 2021*</c:v>
                </c:pt>
                <c:pt idx="1">
                  <c:v>FFY 2022*</c:v>
                </c:pt>
                <c:pt idx="2">
                  <c:v>FFY 2023</c:v>
                </c:pt>
              </c:strCache>
            </c:strRef>
          </c:cat>
          <c:val>
            <c:numRef>
              <c:f>Sheet1!$B$2:$D$2</c:f>
              <c:numCache>
                <c:formatCode>"$"#,##0</c:formatCode>
                <c:ptCount val="3"/>
                <c:pt idx="0">
                  <c:v>3265.27</c:v>
                </c:pt>
                <c:pt idx="1">
                  <c:v>2963.96</c:v>
                </c:pt>
                <c:pt idx="2">
                  <c:v>2119.42</c:v>
                </c:pt>
              </c:numCache>
            </c:numRef>
          </c:val>
          <c:smooth val="0"/>
          <c:extLst>
            <c:ext xmlns:c16="http://schemas.microsoft.com/office/drawing/2014/chart" uri="{C3380CC4-5D6E-409C-BE32-E72D297353CC}">
              <c16:uniqueId val="{00000006-0517-44E2-9222-D7C6A6E25966}"/>
            </c:ext>
          </c:extLst>
        </c:ser>
        <c:ser>
          <c:idx val="1"/>
          <c:order val="1"/>
          <c:tx>
            <c:strRef>
              <c:f>Sheet1!$A$3</c:f>
              <c:strCache>
                <c:ptCount val="1"/>
                <c:pt idx="0">
                  <c:v>Unsuccessful Closures</c:v>
                </c:pt>
              </c:strCache>
            </c:strRef>
          </c:tx>
          <c:spPr>
            <a:ln w="22225">
              <a:solidFill>
                <a:schemeClr val="accent2"/>
              </a:solidFill>
            </a:ln>
          </c:spPr>
          <c:marker>
            <c:symbol val="star"/>
            <c:size val="5"/>
          </c:marker>
          <c:dLbls>
            <c:dLbl>
              <c:idx val="0"/>
              <c:layout>
                <c:manualLayout>
                  <c:x val="-8.6865342163355411E-2"/>
                  <c:y val="3.927571553555805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0517-44E2-9222-D7C6A6E25966}"/>
                </c:ext>
              </c:extLst>
            </c:dLbl>
            <c:dLbl>
              <c:idx val="1"/>
              <c:layout>
                <c:manualLayout>
                  <c:x val="-1.8432671081677704E-2"/>
                  <c:y val="4.324396950381188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0517-44E2-9222-D7C6A6E25966}"/>
                </c:ext>
              </c:extLst>
            </c:dLbl>
            <c:dLbl>
              <c:idx val="2"/>
              <c:layout>
                <c:manualLayout>
                  <c:x val="-5.8421720463749979E-2"/>
                  <c:y val="-5.199412573428321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517-44E2-9222-D7C6A6E25966}"/>
                </c:ext>
              </c:extLst>
            </c:dLbl>
            <c:spPr>
              <a:noFill/>
              <a:ln>
                <a:noFill/>
              </a:ln>
              <a:effectLst/>
            </c:spPr>
            <c:txPr>
              <a:bodyPr/>
              <a:lstStyle/>
              <a:p>
                <a:pPr>
                  <a:defRPr b="1">
                    <a:solidFill>
                      <a:schemeClr val="accent2">
                        <a:lumMod val="75000"/>
                      </a:schemeClr>
                    </a:solidFill>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FFY 2021*</c:v>
                </c:pt>
                <c:pt idx="1">
                  <c:v>FFY 2022*</c:v>
                </c:pt>
                <c:pt idx="2">
                  <c:v>FFY 2023</c:v>
                </c:pt>
              </c:strCache>
            </c:strRef>
          </c:cat>
          <c:val>
            <c:numRef>
              <c:f>Sheet1!$B$3:$D$3</c:f>
              <c:numCache>
                <c:formatCode>"$"#,##0</c:formatCode>
                <c:ptCount val="3"/>
                <c:pt idx="0">
                  <c:v>2307.7399999999998</c:v>
                </c:pt>
                <c:pt idx="1">
                  <c:v>1989.41</c:v>
                </c:pt>
                <c:pt idx="2">
                  <c:v>2283.14</c:v>
                </c:pt>
              </c:numCache>
            </c:numRef>
          </c:val>
          <c:smooth val="0"/>
          <c:extLst>
            <c:ext xmlns:c16="http://schemas.microsoft.com/office/drawing/2014/chart" uri="{C3380CC4-5D6E-409C-BE32-E72D297353CC}">
              <c16:uniqueId val="{00000009-0517-44E2-9222-D7C6A6E25966}"/>
            </c:ext>
          </c:extLst>
        </c:ser>
        <c:ser>
          <c:idx val="2"/>
          <c:order val="2"/>
          <c:tx>
            <c:strRef>
              <c:f>Sheet1!$A$4</c:f>
              <c:strCache>
                <c:ptCount val="1"/>
                <c:pt idx="0">
                  <c:v>All Closures</c:v>
                </c:pt>
              </c:strCache>
            </c:strRef>
          </c:tx>
          <c:spPr>
            <a:ln w="22225">
              <a:solidFill>
                <a:schemeClr val="accent4"/>
              </a:solidFill>
            </a:ln>
          </c:spPr>
          <c:marker>
            <c:symbol val="triangle"/>
            <c:size val="6"/>
          </c:marker>
          <c:dLbls>
            <c:dLbl>
              <c:idx val="0"/>
              <c:layout>
                <c:manualLayout>
                  <c:x val="-0.10121412803532009"/>
                  <c:y val="2.3909511311085386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0517-44E2-9222-D7C6A6E25966}"/>
                </c:ext>
              </c:extLst>
            </c:dLbl>
            <c:dLbl>
              <c:idx val="1"/>
              <c:layout>
                <c:manualLayout>
                  <c:x val="-4.1611479028697655E-2"/>
                  <c:y val="-2.141857267841519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0517-44E2-9222-D7C6A6E25966}"/>
                </c:ext>
              </c:extLst>
            </c:dLbl>
            <c:dLbl>
              <c:idx val="2"/>
              <c:layout>
                <c:manualLayout>
                  <c:x val="1.1114703377309625E-2"/>
                  <c:y val="-9.5138107736531478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0517-44E2-9222-D7C6A6E25966}"/>
                </c:ext>
              </c:extLst>
            </c:dLbl>
            <c:spPr>
              <a:noFill/>
              <a:ln>
                <a:noFill/>
              </a:ln>
              <a:effectLst/>
            </c:spPr>
            <c:txPr>
              <a:bodyPr/>
              <a:lstStyle/>
              <a:p>
                <a:pPr>
                  <a:defRPr b="1">
                    <a:solidFill>
                      <a:schemeClr val="accent3">
                        <a:lumMod val="50000"/>
                      </a:schemeClr>
                    </a:solidFill>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FFY 2021*</c:v>
                </c:pt>
                <c:pt idx="1">
                  <c:v>FFY 2022*</c:v>
                </c:pt>
                <c:pt idx="2">
                  <c:v>FFY 2023</c:v>
                </c:pt>
              </c:strCache>
            </c:strRef>
          </c:cat>
          <c:val>
            <c:numRef>
              <c:f>Sheet1!$B$4:$D$4</c:f>
              <c:numCache>
                <c:formatCode>"$"#,##0</c:formatCode>
                <c:ptCount val="3"/>
                <c:pt idx="0">
                  <c:v>2753</c:v>
                </c:pt>
                <c:pt idx="1">
                  <c:v>2422.92</c:v>
                </c:pt>
                <c:pt idx="2">
                  <c:v>2200.87</c:v>
                </c:pt>
              </c:numCache>
            </c:numRef>
          </c:val>
          <c:smooth val="0"/>
          <c:extLst>
            <c:ext xmlns:c16="http://schemas.microsoft.com/office/drawing/2014/chart" uri="{C3380CC4-5D6E-409C-BE32-E72D297353CC}">
              <c16:uniqueId val="{0000000C-0517-44E2-9222-D7C6A6E25966}"/>
            </c:ext>
          </c:extLst>
        </c:ser>
        <c:dLbls>
          <c:showLegendKey val="0"/>
          <c:showVal val="0"/>
          <c:showCatName val="0"/>
          <c:showSerName val="0"/>
          <c:showPercent val="0"/>
          <c:showBubbleSize val="0"/>
        </c:dLbls>
        <c:marker val="1"/>
        <c:smooth val="0"/>
        <c:axId val="46154496"/>
        <c:axId val="46156032"/>
      </c:lineChart>
      <c:catAx>
        <c:axId val="46154496"/>
        <c:scaling>
          <c:orientation val="minMax"/>
        </c:scaling>
        <c:delete val="0"/>
        <c:axPos val="b"/>
        <c:numFmt formatCode="General" sourceLinked="0"/>
        <c:majorTickMark val="none"/>
        <c:minorTickMark val="none"/>
        <c:tickLblPos val="nextTo"/>
        <c:crossAx val="46156032"/>
        <c:crosses val="autoZero"/>
        <c:auto val="1"/>
        <c:lblAlgn val="ctr"/>
        <c:lblOffset val="100"/>
        <c:noMultiLvlLbl val="0"/>
      </c:catAx>
      <c:valAx>
        <c:axId val="46156032"/>
        <c:scaling>
          <c:orientation val="minMax"/>
          <c:max val="8000"/>
          <c:min val="0"/>
        </c:scaling>
        <c:delete val="0"/>
        <c:axPos val="l"/>
        <c:title>
          <c:tx>
            <c:rich>
              <a:bodyPr/>
              <a:lstStyle/>
              <a:p>
                <a:pPr>
                  <a:defRPr/>
                </a:pPr>
                <a:r>
                  <a:rPr lang="en-US"/>
                  <a:t>Average Cost</a:t>
                </a:r>
                <a:r>
                  <a:rPr lang="en-US" baseline="0"/>
                  <a:t> Per Person</a:t>
                </a:r>
                <a:endParaRPr lang="en-US"/>
              </a:p>
            </c:rich>
          </c:tx>
          <c:layout>
            <c:manualLayout>
              <c:xMode val="edge"/>
              <c:yMode val="edge"/>
              <c:x val="1.3243187710360744E-2"/>
              <c:y val="0.22700787401574804"/>
            </c:manualLayout>
          </c:layout>
          <c:overlay val="0"/>
        </c:title>
        <c:numFmt formatCode="&quot;$&quot;#,##0" sourceLinked="0"/>
        <c:majorTickMark val="out"/>
        <c:minorTickMark val="none"/>
        <c:tickLblPos val="nextTo"/>
        <c:crossAx val="46154496"/>
        <c:crosses val="autoZero"/>
        <c:crossBetween val="between"/>
        <c:majorUnit val="1000"/>
        <c:minorUnit val="5"/>
      </c:valAx>
      <c:spPr>
        <a:ln>
          <a:noFill/>
        </a:ln>
      </c:spPr>
    </c:plotArea>
    <c:legend>
      <c:legendPos val="t"/>
      <c:layout>
        <c:manualLayout>
          <c:xMode val="edge"/>
          <c:yMode val="edge"/>
          <c:x val="0"/>
          <c:y val="2.376654886318234E-2"/>
          <c:w val="0.99830164283461897"/>
          <c:h val="7.1628074095491004E-2"/>
        </c:manualLayout>
      </c:layout>
      <c:overlay val="0"/>
    </c:legend>
    <c:plotVisOnly val="1"/>
    <c:dispBlanksAs val="gap"/>
    <c:showDLblsOverMax val="0"/>
  </c:chart>
  <c:spPr>
    <a:ln>
      <a:no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manualLayout>
          <c:layoutTarget val="inner"/>
          <c:xMode val="edge"/>
          <c:yMode val="edge"/>
          <c:x val="0.17402061497279728"/>
          <c:y val="0.1709620672415948"/>
          <c:w val="0.80162503693660814"/>
          <c:h val="0.730035085289785"/>
        </c:manualLayout>
      </c:layout>
      <c:lineChart>
        <c:grouping val="standard"/>
        <c:varyColors val="0"/>
        <c:ser>
          <c:idx val="0"/>
          <c:order val="0"/>
          <c:tx>
            <c:strRef>
              <c:f>Sheet1!$A$2</c:f>
              <c:strCache>
                <c:ptCount val="1"/>
                <c:pt idx="0">
                  <c:v>Successful Closures</c:v>
                </c:pt>
              </c:strCache>
            </c:strRef>
          </c:tx>
          <c:spPr>
            <a:ln w="12700">
              <a:solidFill>
                <a:schemeClr val="accent1"/>
              </a:solidFill>
              <a:prstDash val="dash"/>
            </a:ln>
          </c:spPr>
          <c:marker>
            <c:symbol val="square"/>
            <c:size val="5"/>
          </c:marker>
          <c:dPt>
            <c:idx val="1"/>
            <c:bubble3D val="0"/>
            <c:spPr>
              <a:ln w="12700">
                <a:solidFill>
                  <a:schemeClr val="accent1"/>
                </a:solidFill>
                <a:prstDash val="lgDash"/>
              </a:ln>
            </c:spPr>
            <c:extLst>
              <c:ext xmlns:c16="http://schemas.microsoft.com/office/drawing/2014/chart" uri="{C3380CC4-5D6E-409C-BE32-E72D297353CC}">
                <c16:uniqueId val="{00000001-4C88-4DEB-B99B-A0EBD98CE0BB}"/>
              </c:ext>
            </c:extLst>
          </c:dPt>
          <c:dPt>
            <c:idx val="2"/>
            <c:bubble3D val="0"/>
            <c:spPr>
              <a:ln w="12700">
                <a:solidFill>
                  <a:schemeClr val="accent1"/>
                </a:solidFill>
                <a:prstDash val="lgDash"/>
              </a:ln>
            </c:spPr>
            <c:extLst>
              <c:ext xmlns:c16="http://schemas.microsoft.com/office/drawing/2014/chart" uri="{C3380CC4-5D6E-409C-BE32-E72D297353CC}">
                <c16:uniqueId val="{00000003-4C88-4DEB-B99B-A0EBD98CE0BB}"/>
              </c:ext>
            </c:extLst>
          </c:dPt>
          <c:dLbls>
            <c:spPr>
              <a:noFill/>
              <a:ln>
                <a:noFill/>
              </a:ln>
              <a:effectLst/>
            </c:spPr>
            <c:txPr>
              <a:bodyPr/>
              <a:lstStyle/>
              <a:p>
                <a:pPr>
                  <a:defRPr b="1">
                    <a:solidFill>
                      <a:schemeClr val="accent1"/>
                    </a:solidFill>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FFY 2021*</c:v>
                </c:pt>
                <c:pt idx="1">
                  <c:v>FFY 2022*</c:v>
                </c:pt>
                <c:pt idx="2">
                  <c:v>FFY 2023</c:v>
                </c:pt>
              </c:strCache>
            </c:strRef>
          </c:cat>
          <c:val>
            <c:numRef>
              <c:f>Sheet1!$B$2:$D$2</c:f>
              <c:numCache>
                <c:formatCode>"$"#,##0</c:formatCode>
                <c:ptCount val="3"/>
                <c:pt idx="0">
                  <c:v>3398.73</c:v>
                </c:pt>
                <c:pt idx="1">
                  <c:v>3478.69</c:v>
                </c:pt>
                <c:pt idx="2">
                  <c:v>2301.0300000000002</c:v>
                </c:pt>
              </c:numCache>
            </c:numRef>
          </c:val>
          <c:smooth val="0"/>
          <c:extLst>
            <c:ext xmlns:c16="http://schemas.microsoft.com/office/drawing/2014/chart" uri="{C3380CC4-5D6E-409C-BE32-E72D297353CC}">
              <c16:uniqueId val="{00000006-4C88-4DEB-B99B-A0EBD98CE0BB}"/>
            </c:ext>
          </c:extLst>
        </c:ser>
        <c:ser>
          <c:idx val="1"/>
          <c:order val="1"/>
          <c:tx>
            <c:strRef>
              <c:f>Sheet1!$A$3</c:f>
              <c:strCache>
                <c:ptCount val="1"/>
                <c:pt idx="0">
                  <c:v>Unsuccessful Closures</c:v>
                </c:pt>
              </c:strCache>
            </c:strRef>
          </c:tx>
          <c:spPr>
            <a:ln w="22225">
              <a:solidFill>
                <a:schemeClr val="accent2"/>
              </a:solidFill>
            </a:ln>
          </c:spPr>
          <c:marker>
            <c:symbol val="star"/>
            <c:size val="5"/>
          </c:marker>
          <c:dLbls>
            <c:dLbl>
              <c:idx val="0"/>
              <c:layout>
                <c:manualLayout>
                  <c:x val="-6.9205298013245028E-2"/>
                  <c:y val="4.721222347206599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4C88-4DEB-B99B-A0EBD98CE0BB}"/>
                </c:ext>
              </c:extLst>
            </c:dLbl>
            <c:dLbl>
              <c:idx val="1"/>
              <c:layout>
                <c:manualLayout>
                  <c:x val="-5.154525386313466E-2"/>
                  <c:y val="5.118047744031996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4C88-4DEB-B99B-A0EBD98CE0BB}"/>
                </c:ext>
              </c:extLst>
            </c:dLbl>
            <c:dLbl>
              <c:idx val="2"/>
              <c:layout>
                <c:manualLayout>
                  <c:x val="-3.6346665276112008E-2"/>
                  <c:y val="6.705349331333583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C88-4DEB-B99B-A0EBD98CE0BB}"/>
                </c:ext>
              </c:extLst>
            </c:dLbl>
            <c:spPr>
              <a:noFill/>
              <a:ln>
                <a:noFill/>
              </a:ln>
              <a:effectLst/>
            </c:spPr>
            <c:txPr>
              <a:bodyPr/>
              <a:lstStyle/>
              <a:p>
                <a:pPr>
                  <a:defRPr b="1">
                    <a:solidFill>
                      <a:schemeClr val="accent2">
                        <a:lumMod val="75000"/>
                      </a:schemeClr>
                    </a:solidFill>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FFY 2021*</c:v>
                </c:pt>
                <c:pt idx="1">
                  <c:v>FFY 2022*</c:v>
                </c:pt>
                <c:pt idx="2">
                  <c:v>FFY 2023</c:v>
                </c:pt>
              </c:strCache>
            </c:strRef>
          </c:cat>
          <c:val>
            <c:numRef>
              <c:f>Sheet1!$B$3:$D$3</c:f>
              <c:numCache>
                <c:formatCode>"$"#,##0</c:formatCode>
                <c:ptCount val="3"/>
                <c:pt idx="0">
                  <c:v>2307.7399999999998</c:v>
                </c:pt>
                <c:pt idx="1">
                  <c:v>1989.41</c:v>
                </c:pt>
                <c:pt idx="2">
                  <c:v>2283.14</c:v>
                </c:pt>
              </c:numCache>
            </c:numRef>
          </c:val>
          <c:smooth val="0"/>
          <c:extLst>
            <c:ext xmlns:c16="http://schemas.microsoft.com/office/drawing/2014/chart" uri="{C3380CC4-5D6E-409C-BE32-E72D297353CC}">
              <c16:uniqueId val="{00000009-4C88-4DEB-B99B-A0EBD98CE0BB}"/>
            </c:ext>
          </c:extLst>
        </c:ser>
        <c:ser>
          <c:idx val="2"/>
          <c:order val="2"/>
          <c:tx>
            <c:strRef>
              <c:f>Sheet1!$A$4</c:f>
              <c:strCache>
                <c:ptCount val="1"/>
                <c:pt idx="0">
                  <c:v>All Closures</c:v>
                </c:pt>
              </c:strCache>
            </c:strRef>
          </c:tx>
          <c:spPr>
            <a:ln w="22225">
              <a:solidFill>
                <a:schemeClr val="accent4"/>
              </a:solidFill>
            </a:ln>
          </c:spPr>
          <c:marker>
            <c:symbol val="triangle"/>
            <c:size val="6"/>
          </c:marker>
          <c:dLbls>
            <c:dLbl>
              <c:idx val="0"/>
              <c:layout>
                <c:manualLayout>
                  <c:x val="-0.10121412803532009"/>
                  <c:y val="2.3909511311085386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4C88-4DEB-B99B-A0EBD98CE0BB}"/>
                </c:ext>
              </c:extLst>
            </c:dLbl>
            <c:dLbl>
              <c:idx val="1"/>
              <c:layout>
                <c:manualLayout>
                  <c:x val="-6.1479028697571825E-2"/>
                  <c:y val="-4.125984251968503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4C88-4DEB-B99B-A0EBD98CE0BB}"/>
                </c:ext>
              </c:extLst>
            </c:dLbl>
            <c:dLbl>
              <c:idx val="2"/>
              <c:layout>
                <c:manualLayout>
                  <c:x val="7.7175783490639831E-5"/>
                  <c:y val="6.3592050993625795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4C88-4DEB-B99B-A0EBD98CE0BB}"/>
                </c:ext>
              </c:extLst>
            </c:dLbl>
            <c:spPr>
              <a:noFill/>
              <a:ln>
                <a:noFill/>
              </a:ln>
              <a:effectLst/>
            </c:spPr>
            <c:txPr>
              <a:bodyPr/>
              <a:lstStyle/>
              <a:p>
                <a:pPr>
                  <a:defRPr b="1">
                    <a:solidFill>
                      <a:schemeClr val="accent3">
                        <a:lumMod val="50000"/>
                      </a:schemeClr>
                    </a:solidFill>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FFY 2021*</c:v>
                </c:pt>
                <c:pt idx="1">
                  <c:v>FFY 2022*</c:v>
                </c:pt>
                <c:pt idx="2">
                  <c:v>FFY 2023</c:v>
                </c:pt>
              </c:strCache>
            </c:strRef>
          </c:cat>
          <c:val>
            <c:numRef>
              <c:f>Sheet1!$B$4:$D$4</c:f>
              <c:numCache>
                <c:formatCode>"$"#,##0</c:formatCode>
                <c:ptCount val="3"/>
                <c:pt idx="0">
                  <c:v>2804.2</c:v>
                </c:pt>
                <c:pt idx="1">
                  <c:v>2591.81</c:v>
                </c:pt>
                <c:pt idx="2">
                  <c:v>2290.91</c:v>
                </c:pt>
              </c:numCache>
            </c:numRef>
          </c:val>
          <c:smooth val="0"/>
          <c:extLst>
            <c:ext xmlns:c16="http://schemas.microsoft.com/office/drawing/2014/chart" uri="{C3380CC4-5D6E-409C-BE32-E72D297353CC}">
              <c16:uniqueId val="{0000000C-4C88-4DEB-B99B-A0EBD98CE0BB}"/>
            </c:ext>
          </c:extLst>
        </c:ser>
        <c:dLbls>
          <c:showLegendKey val="0"/>
          <c:showVal val="0"/>
          <c:showCatName val="0"/>
          <c:showSerName val="0"/>
          <c:showPercent val="0"/>
          <c:showBubbleSize val="0"/>
        </c:dLbls>
        <c:marker val="1"/>
        <c:smooth val="0"/>
        <c:axId val="46154496"/>
        <c:axId val="46156032"/>
      </c:lineChart>
      <c:catAx>
        <c:axId val="46154496"/>
        <c:scaling>
          <c:orientation val="minMax"/>
        </c:scaling>
        <c:delete val="0"/>
        <c:axPos val="b"/>
        <c:numFmt formatCode="General" sourceLinked="0"/>
        <c:majorTickMark val="none"/>
        <c:minorTickMark val="none"/>
        <c:tickLblPos val="nextTo"/>
        <c:crossAx val="46156032"/>
        <c:crosses val="autoZero"/>
        <c:auto val="1"/>
        <c:lblAlgn val="ctr"/>
        <c:lblOffset val="100"/>
        <c:noMultiLvlLbl val="0"/>
      </c:catAx>
      <c:valAx>
        <c:axId val="46156032"/>
        <c:scaling>
          <c:orientation val="minMax"/>
          <c:max val="8000"/>
          <c:min val="0"/>
        </c:scaling>
        <c:delete val="0"/>
        <c:axPos val="l"/>
        <c:title>
          <c:tx>
            <c:rich>
              <a:bodyPr/>
              <a:lstStyle/>
              <a:p>
                <a:pPr>
                  <a:defRPr/>
                </a:pPr>
                <a:r>
                  <a:rPr lang="en-US"/>
                  <a:t>Average Cost</a:t>
                </a:r>
                <a:r>
                  <a:rPr lang="en-US" baseline="0"/>
                  <a:t> Per Person</a:t>
                </a:r>
                <a:endParaRPr lang="en-US"/>
              </a:p>
            </c:rich>
          </c:tx>
          <c:layout>
            <c:manualLayout>
              <c:xMode val="edge"/>
              <c:yMode val="edge"/>
              <c:x val="1.3243187710360744E-2"/>
              <c:y val="0.22700787401574804"/>
            </c:manualLayout>
          </c:layout>
          <c:overlay val="0"/>
        </c:title>
        <c:numFmt formatCode="&quot;$&quot;#,##0" sourceLinked="0"/>
        <c:majorTickMark val="out"/>
        <c:minorTickMark val="none"/>
        <c:tickLblPos val="nextTo"/>
        <c:crossAx val="46154496"/>
        <c:crosses val="autoZero"/>
        <c:crossBetween val="between"/>
        <c:majorUnit val="1000"/>
        <c:minorUnit val="5"/>
      </c:valAx>
      <c:spPr>
        <a:ln>
          <a:noFill/>
        </a:ln>
      </c:spPr>
    </c:plotArea>
    <c:legend>
      <c:legendPos val="t"/>
      <c:layout>
        <c:manualLayout>
          <c:xMode val="edge"/>
          <c:yMode val="edge"/>
          <c:x val="0"/>
          <c:y val="2.376654886318234E-2"/>
          <c:w val="0.99830164283461897"/>
          <c:h val="7.1628074095491004E-2"/>
        </c:manualLayout>
      </c:layout>
      <c:overlay val="0"/>
    </c:legend>
    <c:plotVisOnly val="1"/>
    <c:dispBlanksAs val="gap"/>
    <c:showDLblsOverMax val="0"/>
  </c:chart>
  <c:spPr>
    <a:ln>
      <a:noFill/>
    </a:ln>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manualLayout>
          <c:layoutTarget val="inner"/>
          <c:xMode val="edge"/>
          <c:yMode val="edge"/>
          <c:x val="8.6506706346746023E-2"/>
          <c:y val="4.9818948195614429E-2"/>
          <c:w val="0.57873032286786463"/>
          <c:h val="0.82951294705516754"/>
        </c:manualLayout>
      </c:layout>
      <c:barChart>
        <c:barDir val="col"/>
        <c:grouping val="stacked"/>
        <c:varyColors val="0"/>
        <c:ser>
          <c:idx val="0"/>
          <c:order val="0"/>
          <c:tx>
            <c:strRef>
              <c:f>Sheet1!$A$2</c:f>
              <c:strCache>
                <c:ptCount val="1"/>
                <c:pt idx="0">
                  <c:v>Region V (Aroostook)</c:v>
                </c:pt>
              </c:strCache>
            </c:strRef>
          </c:tx>
          <c:invertIfNegative val="0"/>
          <c:dLbls>
            <c:spPr>
              <a:noFill/>
              <a:ln>
                <a:noFill/>
              </a:ln>
              <a:effectLst/>
            </c:spPr>
            <c:txPr>
              <a:bodyPr/>
              <a:lstStyle/>
              <a:p>
                <a:pPr>
                  <a:defRPr b="1">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Open DVR Cases (n=705)</c:v>
                </c:pt>
                <c:pt idx="1">
                  <c:v>SSI Recipients (n=34,091)</c:v>
                </c:pt>
                <c:pt idx="2">
                  <c:v>SSDI Recipients (n=64,708)</c:v>
                </c:pt>
              </c:strCache>
            </c:strRef>
          </c:cat>
          <c:val>
            <c:numRef>
              <c:f>Sheet1!$B$2:$D$2</c:f>
              <c:numCache>
                <c:formatCode>0%</c:formatCode>
                <c:ptCount val="3"/>
                <c:pt idx="0">
                  <c:v>4.2999999999999997E-2</c:v>
                </c:pt>
                <c:pt idx="1">
                  <c:v>7.0999999999999994E-2</c:v>
                </c:pt>
                <c:pt idx="2">
                  <c:v>6.7000000000000004E-2</c:v>
                </c:pt>
              </c:numCache>
            </c:numRef>
          </c:val>
          <c:extLst>
            <c:ext xmlns:c16="http://schemas.microsoft.com/office/drawing/2014/chart" uri="{C3380CC4-5D6E-409C-BE32-E72D297353CC}">
              <c16:uniqueId val="{00000000-DBEA-4C47-8753-5C2F19C2C429}"/>
            </c:ext>
          </c:extLst>
        </c:ser>
        <c:ser>
          <c:idx val="1"/>
          <c:order val="1"/>
          <c:tx>
            <c:strRef>
              <c:f>Sheet1!$A$3</c:f>
              <c:strCache>
                <c:ptCount val="1"/>
                <c:pt idx="0">
                  <c:v>Region IV (Hancock, Penobscot, Piscataquis, Washington)</c:v>
                </c:pt>
              </c:strCache>
            </c:strRef>
          </c:tx>
          <c:invertIfNegative val="0"/>
          <c:dLbls>
            <c:spPr>
              <a:noFill/>
              <a:ln>
                <a:noFill/>
              </a:ln>
              <a:effectLst/>
            </c:spPr>
            <c:txPr>
              <a:bodyPr/>
              <a:lstStyle/>
              <a:p>
                <a:pPr>
                  <a:defRPr b="1">
                    <a:solidFill>
                      <a:sysClr val="windowText" lastClr="000000"/>
                    </a:solidFill>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Open DVR Cases (n=705)</c:v>
                </c:pt>
                <c:pt idx="1">
                  <c:v>SSI Recipients (n=34,091)</c:v>
                </c:pt>
                <c:pt idx="2">
                  <c:v>SSDI Recipients (n=64,708)</c:v>
                </c:pt>
              </c:strCache>
            </c:strRef>
          </c:cat>
          <c:val>
            <c:numRef>
              <c:f>Sheet1!$B$3:$D$3</c:f>
              <c:numCache>
                <c:formatCode>0%</c:formatCode>
                <c:ptCount val="3"/>
                <c:pt idx="0">
                  <c:v>0.20300000000000001</c:v>
                </c:pt>
                <c:pt idx="1">
                  <c:v>0.23400000000000001</c:v>
                </c:pt>
                <c:pt idx="2">
                  <c:v>0.214</c:v>
                </c:pt>
              </c:numCache>
            </c:numRef>
          </c:val>
          <c:extLst>
            <c:ext xmlns:c16="http://schemas.microsoft.com/office/drawing/2014/chart" uri="{C3380CC4-5D6E-409C-BE32-E72D297353CC}">
              <c16:uniqueId val="{00000001-DBEA-4C47-8753-5C2F19C2C429}"/>
            </c:ext>
          </c:extLst>
        </c:ser>
        <c:ser>
          <c:idx val="2"/>
          <c:order val="2"/>
          <c:tx>
            <c:strRef>
              <c:f>Sheet1!$A$4</c:f>
              <c:strCache>
                <c:ptCount val="1"/>
                <c:pt idx="0">
                  <c:v>Region III (Kennebec, Knox, Lincoln, Somerset, Waldo)</c:v>
                </c:pt>
              </c:strCache>
            </c:strRef>
          </c:tx>
          <c:invertIfNegative val="0"/>
          <c:dLbls>
            <c:spPr>
              <a:noFill/>
              <a:ln>
                <a:noFill/>
              </a:ln>
              <a:effectLst/>
            </c:spPr>
            <c:txPr>
              <a:bodyPr/>
              <a:lstStyle/>
              <a:p>
                <a:pPr>
                  <a:defRPr b="1">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Open DVR Cases (n=705)</c:v>
                </c:pt>
                <c:pt idx="1">
                  <c:v>SSI Recipients (n=34,091)</c:v>
                </c:pt>
                <c:pt idx="2">
                  <c:v>SSDI Recipients (n=64,708)</c:v>
                </c:pt>
              </c:strCache>
            </c:strRef>
          </c:cat>
          <c:val>
            <c:numRef>
              <c:f>Sheet1!$B$4:$D$4</c:f>
              <c:numCache>
                <c:formatCode>0%</c:formatCode>
                <c:ptCount val="3"/>
                <c:pt idx="0">
                  <c:v>0.28100000000000003</c:v>
                </c:pt>
                <c:pt idx="1">
                  <c:v>0.24399999999999999</c:v>
                </c:pt>
                <c:pt idx="2">
                  <c:v>0.24199999999999999</c:v>
                </c:pt>
              </c:numCache>
            </c:numRef>
          </c:val>
          <c:extLst>
            <c:ext xmlns:c16="http://schemas.microsoft.com/office/drawing/2014/chart" uri="{C3380CC4-5D6E-409C-BE32-E72D297353CC}">
              <c16:uniqueId val="{00000002-DBEA-4C47-8753-5C2F19C2C429}"/>
            </c:ext>
          </c:extLst>
        </c:ser>
        <c:ser>
          <c:idx val="3"/>
          <c:order val="3"/>
          <c:tx>
            <c:strRef>
              <c:f>Sheet1!$A$5</c:f>
              <c:strCache>
                <c:ptCount val="1"/>
                <c:pt idx="0">
                  <c:v>Region II (Androscoggin, Franklin, Oxford, Sagadahoc)</c:v>
                </c:pt>
              </c:strCache>
            </c:strRef>
          </c:tx>
          <c:invertIfNegative val="0"/>
          <c:dLbls>
            <c:spPr>
              <a:noFill/>
              <a:ln>
                <a:noFill/>
              </a:ln>
              <a:effectLst/>
            </c:spPr>
            <c:txPr>
              <a:bodyPr/>
              <a:lstStyle/>
              <a:p>
                <a:pPr>
                  <a:defRPr b="1">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Open DVR Cases (n=705)</c:v>
                </c:pt>
                <c:pt idx="1">
                  <c:v>SSI Recipients (n=34,091)</c:v>
                </c:pt>
                <c:pt idx="2">
                  <c:v>SSDI Recipients (n=64,708)</c:v>
                </c:pt>
              </c:strCache>
            </c:strRef>
          </c:cat>
          <c:val>
            <c:numRef>
              <c:f>Sheet1!$B$5:$D$5</c:f>
              <c:numCache>
                <c:formatCode>0%</c:formatCode>
                <c:ptCount val="3"/>
                <c:pt idx="0">
                  <c:v>0.189</c:v>
                </c:pt>
                <c:pt idx="1">
                  <c:v>0.20899999999999999</c:v>
                </c:pt>
                <c:pt idx="2">
                  <c:v>0.2</c:v>
                </c:pt>
              </c:numCache>
            </c:numRef>
          </c:val>
          <c:extLst>
            <c:ext xmlns:c16="http://schemas.microsoft.com/office/drawing/2014/chart" uri="{C3380CC4-5D6E-409C-BE32-E72D297353CC}">
              <c16:uniqueId val="{00000003-DBEA-4C47-8753-5C2F19C2C429}"/>
            </c:ext>
          </c:extLst>
        </c:ser>
        <c:ser>
          <c:idx val="4"/>
          <c:order val="4"/>
          <c:tx>
            <c:strRef>
              <c:f>Sheet1!$A$6</c:f>
              <c:strCache>
                <c:ptCount val="1"/>
                <c:pt idx="0">
                  <c:v>Region I (Cumberland and York)</c:v>
                </c:pt>
              </c:strCache>
            </c:strRef>
          </c:tx>
          <c:invertIfNegative val="0"/>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BEA-4C47-8753-5C2F19C2C429}"/>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BEA-4C47-8753-5C2F19C2C429}"/>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BEA-4C47-8753-5C2F19C2C429}"/>
                </c:ext>
              </c:extLst>
            </c:dLbl>
            <c:spPr>
              <a:noFill/>
              <a:ln>
                <a:noFill/>
              </a:ln>
              <a:effectLst/>
            </c:spPr>
            <c:txPr>
              <a:bodyPr/>
              <a:lstStyle/>
              <a:p>
                <a:pPr>
                  <a:defRPr b="1">
                    <a:solidFill>
                      <a:schemeClr val="bg1"/>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0"/>
              </c:ext>
            </c:extLst>
          </c:dLbls>
          <c:cat>
            <c:strRef>
              <c:f>Sheet1!$B$1:$D$1</c:f>
              <c:strCache>
                <c:ptCount val="3"/>
                <c:pt idx="0">
                  <c:v>Open DVR Cases (n=705)</c:v>
                </c:pt>
                <c:pt idx="1">
                  <c:v>SSI Recipients (n=34,091)</c:v>
                </c:pt>
                <c:pt idx="2">
                  <c:v>SSDI Recipients (n=64,708)</c:v>
                </c:pt>
              </c:strCache>
            </c:strRef>
          </c:cat>
          <c:val>
            <c:numRef>
              <c:f>Sheet1!$B$6:$D$6</c:f>
              <c:numCache>
                <c:formatCode>0%</c:formatCode>
                <c:ptCount val="3"/>
                <c:pt idx="0">
                  <c:v>0.28499999999999998</c:v>
                </c:pt>
                <c:pt idx="1">
                  <c:v>0.24099999999999999</c:v>
                </c:pt>
                <c:pt idx="2">
                  <c:v>0.27700000000000002</c:v>
                </c:pt>
              </c:numCache>
            </c:numRef>
          </c:val>
          <c:extLst>
            <c:ext xmlns:c16="http://schemas.microsoft.com/office/drawing/2014/chart" uri="{C3380CC4-5D6E-409C-BE32-E72D297353CC}">
              <c16:uniqueId val="{00000007-DBEA-4C47-8753-5C2F19C2C429}"/>
            </c:ext>
          </c:extLst>
        </c:ser>
        <c:dLbls>
          <c:showLegendKey val="0"/>
          <c:showVal val="0"/>
          <c:showCatName val="0"/>
          <c:showSerName val="0"/>
          <c:showPercent val="0"/>
          <c:showBubbleSize val="0"/>
        </c:dLbls>
        <c:gapWidth val="154"/>
        <c:overlap val="100"/>
        <c:serLines/>
        <c:axId val="46198784"/>
        <c:axId val="46200320"/>
      </c:barChart>
      <c:catAx>
        <c:axId val="46198784"/>
        <c:scaling>
          <c:orientation val="minMax"/>
        </c:scaling>
        <c:delete val="0"/>
        <c:axPos val="b"/>
        <c:numFmt formatCode="General" sourceLinked="0"/>
        <c:majorTickMark val="out"/>
        <c:minorTickMark val="none"/>
        <c:tickLblPos val="nextTo"/>
        <c:crossAx val="46200320"/>
        <c:crosses val="autoZero"/>
        <c:auto val="1"/>
        <c:lblAlgn val="ctr"/>
        <c:lblOffset val="100"/>
        <c:noMultiLvlLbl val="0"/>
      </c:catAx>
      <c:valAx>
        <c:axId val="46200320"/>
        <c:scaling>
          <c:orientation val="minMax"/>
          <c:max val="1.1000000000000001"/>
        </c:scaling>
        <c:delete val="0"/>
        <c:axPos val="l"/>
        <c:numFmt formatCode="0%" sourceLinked="0"/>
        <c:majorTickMark val="out"/>
        <c:minorTickMark val="none"/>
        <c:tickLblPos val="nextTo"/>
        <c:spPr>
          <a:ln w="9525">
            <a:solidFill>
              <a:schemeClr val="bg1">
                <a:lumMod val="50000"/>
              </a:schemeClr>
            </a:solidFill>
          </a:ln>
        </c:spPr>
        <c:crossAx val="46198784"/>
        <c:crosses val="autoZero"/>
        <c:crossBetween val="between"/>
        <c:majorUnit val="0.1"/>
      </c:valAx>
      <c:spPr>
        <a:ln>
          <a:noFill/>
        </a:ln>
      </c:spPr>
    </c:plotArea>
    <c:legend>
      <c:legendPos val="r"/>
      <c:layout>
        <c:manualLayout>
          <c:xMode val="edge"/>
          <c:yMode val="edge"/>
          <c:x val="0.65932509814949591"/>
          <c:y val="8.0403593042767202E-2"/>
          <c:w val="0.32762780199521013"/>
          <c:h val="0.74523073849984234"/>
        </c:manualLayout>
      </c:layout>
      <c:overlay val="0"/>
      <c:spPr>
        <a:solidFill>
          <a:schemeClr val="bg1">
            <a:lumMod val="95000"/>
          </a:schemeClr>
        </a:solidFill>
        <a:ln>
          <a:solidFill>
            <a:schemeClr val="bg1">
              <a:lumMod val="50000"/>
            </a:schemeClr>
          </a:solidFill>
        </a:ln>
      </c:spPr>
      <c:txPr>
        <a:bodyPr/>
        <a:lstStyle/>
        <a:p>
          <a:pPr>
            <a:defRPr sz="1000"/>
          </a:pPr>
          <a:endParaRPr lang="en-US"/>
        </a:p>
      </c:txPr>
    </c:legend>
    <c:plotVisOnly val="1"/>
    <c:dispBlanksAs val="gap"/>
    <c:showDLblsOverMax val="0"/>
  </c:chart>
  <c:spPr>
    <a:ln>
      <a:noFill/>
    </a:ln>
  </c:sp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Sheet1!$A$2</c:f>
              <c:strCache>
                <c:ptCount val="1"/>
                <c:pt idx="0">
                  <c:v>Visual Impairment</c:v>
                </c:pt>
              </c:strCache>
            </c:strRef>
          </c:tx>
          <c:spPr>
            <a:ln w="22225">
              <a:solidFill>
                <a:srgbClr val="404F6B"/>
              </a:solidFill>
            </a:ln>
          </c:spPr>
          <c:marker>
            <c:symbol val="circle"/>
            <c:size val="6"/>
          </c:marker>
          <c:cat>
            <c:strRef>
              <c:f>Sheet1!$B$1:$E$1</c:f>
              <c:strCache>
                <c:ptCount val="4"/>
                <c:pt idx="0">
                  <c:v>2020 (n=10,411)</c:v>
                </c:pt>
                <c:pt idx="1">
                  <c:v>2021 (n=10,631)</c:v>
                </c:pt>
                <c:pt idx="2">
                  <c:v>2022 (n=10,852)</c:v>
                </c:pt>
                <c:pt idx="3">
                  <c:v>Current DVR Open Cases (n=1,635)</c:v>
                </c:pt>
              </c:strCache>
            </c:strRef>
          </c:cat>
          <c:val>
            <c:numRef>
              <c:f>Sheet1!$B$2:$E$2</c:f>
              <c:numCache>
                <c:formatCode>0.0%</c:formatCode>
                <c:ptCount val="4"/>
                <c:pt idx="0">
                  <c:v>0</c:v>
                </c:pt>
                <c:pt idx="1">
                  <c:v>0</c:v>
                </c:pt>
                <c:pt idx="2">
                  <c:v>0</c:v>
                </c:pt>
                <c:pt idx="3">
                  <c:v>4.0000000000000001E-3</c:v>
                </c:pt>
              </c:numCache>
            </c:numRef>
          </c:val>
          <c:smooth val="0"/>
          <c:extLst>
            <c:ext xmlns:c16="http://schemas.microsoft.com/office/drawing/2014/chart" uri="{C3380CC4-5D6E-409C-BE32-E72D297353CC}">
              <c16:uniqueId val="{00000000-0409-4125-8EF2-EBCDFDFB1AF1}"/>
            </c:ext>
          </c:extLst>
        </c:ser>
        <c:ser>
          <c:idx val="1"/>
          <c:order val="1"/>
          <c:tx>
            <c:strRef>
              <c:f>Sheet1!$A$3</c:f>
              <c:strCache>
                <c:ptCount val="1"/>
                <c:pt idx="0">
                  <c:v>Traumatic Brain Injury</c:v>
                </c:pt>
              </c:strCache>
            </c:strRef>
          </c:tx>
          <c:spPr>
            <a:ln w="22225">
              <a:solidFill>
                <a:srgbClr val="FFCC00"/>
              </a:solidFill>
            </a:ln>
          </c:spPr>
          <c:marker>
            <c:symbol val="square"/>
            <c:size val="5"/>
            <c:spPr>
              <a:solidFill>
                <a:srgbClr val="FFCC00"/>
              </a:solidFill>
              <a:ln>
                <a:solidFill>
                  <a:srgbClr val="FFCC00"/>
                </a:solidFill>
              </a:ln>
            </c:spPr>
          </c:marker>
          <c:cat>
            <c:strRef>
              <c:f>Sheet1!$B$1:$E$1</c:f>
              <c:strCache>
                <c:ptCount val="4"/>
                <c:pt idx="0">
                  <c:v>2020 (n=10,411)</c:v>
                </c:pt>
                <c:pt idx="1">
                  <c:v>2021 (n=10,631)</c:v>
                </c:pt>
                <c:pt idx="2">
                  <c:v>2022 (n=10,852)</c:v>
                </c:pt>
                <c:pt idx="3">
                  <c:v>Current DVR Open Cases (n=1,635)</c:v>
                </c:pt>
              </c:strCache>
            </c:strRef>
          </c:cat>
          <c:val>
            <c:numRef>
              <c:f>Sheet1!$B$3:$E$3</c:f>
              <c:numCache>
                <c:formatCode>0.0%</c:formatCode>
                <c:ptCount val="4"/>
                <c:pt idx="0">
                  <c:v>2E-3</c:v>
                </c:pt>
                <c:pt idx="1">
                  <c:v>1E-3</c:v>
                </c:pt>
                <c:pt idx="2">
                  <c:v>1E-3</c:v>
                </c:pt>
                <c:pt idx="3">
                  <c:v>1E-3</c:v>
                </c:pt>
              </c:numCache>
            </c:numRef>
          </c:val>
          <c:smooth val="0"/>
          <c:extLst>
            <c:ext xmlns:c16="http://schemas.microsoft.com/office/drawing/2014/chart" uri="{C3380CC4-5D6E-409C-BE32-E72D297353CC}">
              <c16:uniqueId val="{00000001-0409-4125-8EF2-EBCDFDFB1AF1}"/>
            </c:ext>
          </c:extLst>
        </c:ser>
        <c:ser>
          <c:idx val="2"/>
          <c:order val="2"/>
          <c:tx>
            <c:strRef>
              <c:f>Sheet1!$A$4</c:f>
              <c:strCache>
                <c:ptCount val="1"/>
                <c:pt idx="0">
                  <c:v>Deaf/Hard of Hearing</c:v>
                </c:pt>
              </c:strCache>
            </c:strRef>
          </c:tx>
          <c:spPr>
            <a:ln w="22225">
              <a:solidFill>
                <a:schemeClr val="accent3"/>
              </a:solidFill>
            </a:ln>
          </c:spPr>
          <c:marker>
            <c:symbol val="triangle"/>
            <c:size val="5"/>
          </c:marker>
          <c:cat>
            <c:strRef>
              <c:f>Sheet1!$B$1:$E$1</c:f>
              <c:strCache>
                <c:ptCount val="4"/>
                <c:pt idx="0">
                  <c:v>2020 (n=10,411)</c:v>
                </c:pt>
                <c:pt idx="1">
                  <c:v>2021 (n=10,631)</c:v>
                </c:pt>
                <c:pt idx="2">
                  <c:v>2022 (n=10,852)</c:v>
                </c:pt>
                <c:pt idx="3">
                  <c:v>Current DVR Open Cases (n=1,635)</c:v>
                </c:pt>
              </c:strCache>
            </c:strRef>
          </c:cat>
          <c:val>
            <c:numRef>
              <c:f>Sheet1!$B$4:$E$4</c:f>
              <c:numCache>
                <c:formatCode>0.0%</c:formatCode>
                <c:ptCount val="4"/>
                <c:pt idx="0">
                  <c:v>1E-3</c:v>
                </c:pt>
                <c:pt idx="1">
                  <c:v>2E-3</c:v>
                </c:pt>
                <c:pt idx="2">
                  <c:v>1E-3</c:v>
                </c:pt>
                <c:pt idx="3">
                  <c:v>8.9999999999999993E-3</c:v>
                </c:pt>
              </c:numCache>
            </c:numRef>
          </c:val>
          <c:smooth val="0"/>
          <c:extLst>
            <c:ext xmlns:c16="http://schemas.microsoft.com/office/drawing/2014/chart" uri="{C3380CC4-5D6E-409C-BE32-E72D297353CC}">
              <c16:uniqueId val="{00000002-0409-4125-8EF2-EBCDFDFB1AF1}"/>
            </c:ext>
          </c:extLst>
        </c:ser>
        <c:ser>
          <c:idx val="3"/>
          <c:order val="3"/>
          <c:tx>
            <c:strRef>
              <c:f>Sheet1!$A$5</c:f>
              <c:strCache>
                <c:ptCount val="1"/>
                <c:pt idx="0">
                  <c:v>Intellectual Disability</c:v>
                </c:pt>
              </c:strCache>
            </c:strRef>
          </c:tx>
          <c:spPr>
            <a:ln w="22225">
              <a:solidFill>
                <a:srgbClr val="0070C0"/>
              </a:solidFill>
            </a:ln>
          </c:spPr>
          <c:marker>
            <c:symbol val="x"/>
            <c:size val="5"/>
            <c:spPr>
              <a:ln w="22225">
                <a:solidFill>
                  <a:srgbClr val="0070C0"/>
                </a:solidFill>
              </a:ln>
            </c:spPr>
          </c:marker>
          <c:cat>
            <c:strRef>
              <c:f>Sheet1!$B$1:$E$1</c:f>
              <c:strCache>
                <c:ptCount val="4"/>
                <c:pt idx="0">
                  <c:v>2020 (n=10,411)</c:v>
                </c:pt>
                <c:pt idx="1">
                  <c:v>2021 (n=10,631)</c:v>
                </c:pt>
                <c:pt idx="2">
                  <c:v>2022 (n=10,852)</c:v>
                </c:pt>
                <c:pt idx="3">
                  <c:v>Current DVR Open Cases (n=1,635)</c:v>
                </c:pt>
              </c:strCache>
            </c:strRef>
          </c:cat>
          <c:val>
            <c:numRef>
              <c:f>Sheet1!$B$5:$E$5</c:f>
              <c:numCache>
                <c:formatCode>0.0%</c:formatCode>
                <c:ptCount val="4"/>
                <c:pt idx="0">
                  <c:v>3.9E-2</c:v>
                </c:pt>
                <c:pt idx="1">
                  <c:v>4.1000000000000002E-2</c:v>
                </c:pt>
                <c:pt idx="2">
                  <c:v>4.3999999999999997E-2</c:v>
                </c:pt>
                <c:pt idx="3">
                  <c:v>0.11700000000000001</c:v>
                </c:pt>
              </c:numCache>
            </c:numRef>
          </c:val>
          <c:smooth val="0"/>
          <c:extLst>
            <c:ext xmlns:c16="http://schemas.microsoft.com/office/drawing/2014/chart" uri="{C3380CC4-5D6E-409C-BE32-E72D297353CC}">
              <c16:uniqueId val="{00000003-0409-4125-8EF2-EBCDFDFB1AF1}"/>
            </c:ext>
          </c:extLst>
        </c:ser>
        <c:ser>
          <c:idx val="4"/>
          <c:order val="4"/>
          <c:tx>
            <c:strRef>
              <c:f>Sheet1!$A$6</c:f>
              <c:strCache>
                <c:ptCount val="1"/>
                <c:pt idx="0">
                  <c:v>Speech &amp; Language Impairment</c:v>
                </c:pt>
              </c:strCache>
            </c:strRef>
          </c:tx>
          <c:spPr>
            <a:ln w="22225" cmpd="sng">
              <a:solidFill>
                <a:srgbClr val="FF0000"/>
              </a:solidFill>
              <a:prstDash val="solid"/>
            </a:ln>
          </c:spPr>
          <c:marker>
            <c:symbol val="star"/>
            <c:size val="7"/>
            <c:spPr>
              <a:ln>
                <a:solidFill>
                  <a:srgbClr val="FF0000"/>
                </a:solidFill>
              </a:ln>
            </c:spPr>
          </c:marker>
          <c:cat>
            <c:strRef>
              <c:f>Sheet1!$B$1:$E$1</c:f>
              <c:strCache>
                <c:ptCount val="4"/>
                <c:pt idx="0">
                  <c:v>2020 (n=10,411)</c:v>
                </c:pt>
                <c:pt idx="1">
                  <c:v>2021 (n=10,631)</c:v>
                </c:pt>
                <c:pt idx="2">
                  <c:v>2022 (n=10,852)</c:v>
                </c:pt>
                <c:pt idx="3">
                  <c:v>Current DVR Open Cases (n=1,635)</c:v>
                </c:pt>
              </c:strCache>
            </c:strRef>
          </c:cat>
          <c:val>
            <c:numRef>
              <c:f>Sheet1!$B$6:$E$6</c:f>
              <c:numCache>
                <c:formatCode>0.0%</c:formatCode>
                <c:ptCount val="4"/>
                <c:pt idx="0">
                  <c:v>2.5000000000000001E-2</c:v>
                </c:pt>
                <c:pt idx="1">
                  <c:v>2.5999999999999999E-2</c:v>
                </c:pt>
                <c:pt idx="2">
                  <c:v>2.3E-2</c:v>
                </c:pt>
                <c:pt idx="3">
                  <c:v>0</c:v>
                </c:pt>
              </c:numCache>
            </c:numRef>
          </c:val>
          <c:smooth val="0"/>
          <c:extLst>
            <c:ext xmlns:c16="http://schemas.microsoft.com/office/drawing/2014/chart" uri="{C3380CC4-5D6E-409C-BE32-E72D297353CC}">
              <c16:uniqueId val="{00000004-0409-4125-8EF2-EBCDFDFB1AF1}"/>
            </c:ext>
          </c:extLst>
        </c:ser>
        <c:ser>
          <c:idx val="5"/>
          <c:order val="5"/>
          <c:tx>
            <c:strRef>
              <c:f>Sheet1!$A$7</c:f>
              <c:strCache>
                <c:ptCount val="1"/>
                <c:pt idx="0">
                  <c:v>Autism</c:v>
                </c:pt>
              </c:strCache>
            </c:strRef>
          </c:tx>
          <c:spPr>
            <a:ln w="34925">
              <a:solidFill>
                <a:schemeClr val="tx1"/>
              </a:solidFill>
              <a:prstDash val="sysDot"/>
            </a:ln>
          </c:spPr>
          <c:marker>
            <c:symbol val="diamond"/>
            <c:size val="7"/>
            <c:spPr>
              <a:solidFill>
                <a:schemeClr val="tx1"/>
              </a:solidFill>
              <a:ln>
                <a:solidFill>
                  <a:schemeClr val="tx1"/>
                </a:solidFill>
              </a:ln>
            </c:spPr>
          </c:marker>
          <c:cat>
            <c:strRef>
              <c:f>Sheet1!$B$1:$E$1</c:f>
              <c:strCache>
                <c:ptCount val="4"/>
                <c:pt idx="0">
                  <c:v>2020 (n=10,411)</c:v>
                </c:pt>
                <c:pt idx="1">
                  <c:v>2021 (n=10,631)</c:v>
                </c:pt>
                <c:pt idx="2">
                  <c:v>2022 (n=10,852)</c:v>
                </c:pt>
                <c:pt idx="3">
                  <c:v>Current DVR Open Cases (n=1,635)</c:v>
                </c:pt>
              </c:strCache>
            </c:strRef>
          </c:cat>
          <c:val>
            <c:numRef>
              <c:f>Sheet1!$B$7:$E$7</c:f>
              <c:numCache>
                <c:formatCode>0.0%</c:formatCode>
                <c:ptCount val="4"/>
                <c:pt idx="0">
                  <c:v>0.108</c:v>
                </c:pt>
                <c:pt idx="1">
                  <c:v>0.108</c:v>
                </c:pt>
                <c:pt idx="2">
                  <c:v>0.115</c:v>
                </c:pt>
                <c:pt idx="3">
                  <c:v>0.17599999999999999</c:v>
                </c:pt>
              </c:numCache>
            </c:numRef>
          </c:val>
          <c:smooth val="0"/>
          <c:extLst>
            <c:ext xmlns:c16="http://schemas.microsoft.com/office/drawing/2014/chart" uri="{C3380CC4-5D6E-409C-BE32-E72D297353CC}">
              <c16:uniqueId val="{00000005-0409-4125-8EF2-EBCDFDFB1AF1}"/>
            </c:ext>
          </c:extLst>
        </c:ser>
        <c:ser>
          <c:idx val="6"/>
          <c:order val="6"/>
          <c:tx>
            <c:strRef>
              <c:f>Sheet1!$A$8</c:f>
              <c:strCache>
                <c:ptCount val="1"/>
                <c:pt idx="0">
                  <c:v>Emotional Disability</c:v>
                </c:pt>
              </c:strCache>
            </c:strRef>
          </c:tx>
          <c:spPr>
            <a:ln w="22225" cmpd="sng">
              <a:solidFill>
                <a:srgbClr val="7030A0"/>
              </a:solidFill>
              <a:prstDash val="solid"/>
            </a:ln>
          </c:spPr>
          <c:marker>
            <c:symbol val="plus"/>
            <c:size val="8"/>
            <c:spPr>
              <a:noFill/>
              <a:ln w="15875">
                <a:solidFill>
                  <a:srgbClr val="7030A0"/>
                </a:solidFill>
              </a:ln>
            </c:spPr>
          </c:marker>
          <c:cat>
            <c:strRef>
              <c:f>Sheet1!$B$1:$E$1</c:f>
              <c:strCache>
                <c:ptCount val="4"/>
                <c:pt idx="0">
                  <c:v>2020 (n=10,411)</c:v>
                </c:pt>
                <c:pt idx="1">
                  <c:v>2021 (n=10,631)</c:v>
                </c:pt>
                <c:pt idx="2">
                  <c:v>2022 (n=10,852)</c:v>
                </c:pt>
                <c:pt idx="3">
                  <c:v>Current DVR Open Cases (n=1,635)</c:v>
                </c:pt>
              </c:strCache>
            </c:strRef>
          </c:cat>
          <c:val>
            <c:numRef>
              <c:f>Sheet1!$B$8:$E$8</c:f>
              <c:numCache>
                <c:formatCode>0.0%</c:formatCode>
                <c:ptCount val="4"/>
                <c:pt idx="0">
                  <c:v>0.106</c:v>
                </c:pt>
                <c:pt idx="1">
                  <c:v>0.111</c:v>
                </c:pt>
                <c:pt idx="2">
                  <c:v>0.109</c:v>
                </c:pt>
                <c:pt idx="3">
                  <c:v>0.34300000000000003</c:v>
                </c:pt>
              </c:numCache>
            </c:numRef>
          </c:val>
          <c:smooth val="0"/>
          <c:extLst>
            <c:ext xmlns:c16="http://schemas.microsoft.com/office/drawing/2014/chart" uri="{C3380CC4-5D6E-409C-BE32-E72D297353CC}">
              <c16:uniqueId val="{00000006-0409-4125-8EF2-EBCDFDFB1AF1}"/>
            </c:ext>
          </c:extLst>
        </c:ser>
        <c:ser>
          <c:idx val="7"/>
          <c:order val="7"/>
          <c:tx>
            <c:strRef>
              <c:f>Sheet1!$A$9</c:f>
              <c:strCache>
                <c:ptCount val="1"/>
                <c:pt idx="0">
                  <c:v>Multiple Disabilities</c:v>
                </c:pt>
              </c:strCache>
            </c:strRef>
          </c:tx>
          <c:spPr>
            <a:ln>
              <a:solidFill>
                <a:srgbClr val="00B050"/>
              </a:solidFill>
            </a:ln>
          </c:spPr>
          <c:marker>
            <c:symbol val="plus"/>
            <c:size val="7"/>
            <c:spPr>
              <a:solidFill>
                <a:srgbClr val="00B050"/>
              </a:solidFill>
            </c:spPr>
          </c:marker>
          <c:cat>
            <c:strRef>
              <c:f>Sheet1!$B$1:$E$1</c:f>
              <c:strCache>
                <c:ptCount val="4"/>
                <c:pt idx="0">
                  <c:v>2020 (n=10,411)</c:v>
                </c:pt>
                <c:pt idx="1">
                  <c:v>2021 (n=10,631)</c:v>
                </c:pt>
                <c:pt idx="2">
                  <c:v>2022 (n=10,852)</c:v>
                </c:pt>
                <c:pt idx="3">
                  <c:v>Current DVR Open Cases (n=1,635)</c:v>
                </c:pt>
              </c:strCache>
            </c:strRef>
          </c:cat>
          <c:val>
            <c:numRef>
              <c:f>Sheet1!$B$9:$E$9</c:f>
              <c:numCache>
                <c:formatCode>0.0%</c:formatCode>
                <c:ptCount val="4"/>
                <c:pt idx="0">
                  <c:v>0.127</c:v>
                </c:pt>
                <c:pt idx="1">
                  <c:v>0.11600000000000001</c:v>
                </c:pt>
                <c:pt idx="2">
                  <c:v>0.108</c:v>
                </c:pt>
                <c:pt idx="3">
                  <c:v>1E-3</c:v>
                </c:pt>
              </c:numCache>
            </c:numRef>
          </c:val>
          <c:smooth val="0"/>
          <c:extLst>
            <c:ext xmlns:c16="http://schemas.microsoft.com/office/drawing/2014/chart" uri="{C3380CC4-5D6E-409C-BE32-E72D297353CC}">
              <c16:uniqueId val="{00000007-0409-4125-8EF2-EBCDFDFB1AF1}"/>
            </c:ext>
          </c:extLst>
        </c:ser>
        <c:ser>
          <c:idx val="8"/>
          <c:order val="8"/>
          <c:tx>
            <c:strRef>
              <c:f>Sheet1!$A$10</c:f>
              <c:strCache>
                <c:ptCount val="1"/>
                <c:pt idx="0">
                  <c:v>Physical Impairment</c:v>
                </c:pt>
              </c:strCache>
            </c:strRef>
          </c:tx>
          <c:spPr>
            <a:ln>
              <a:solidFill>
                <a:srgbClr val="FFFF00"/>
              </a:solidFill>
            </a:ln>
          </c:spPr>
          <c:marker>
            <c:symbol val="circle"/>
            <c:size val="7"/>
            <c:spPr>
              <a:solidFill>
                <a:srgbClr val="FFFF00"/>
              </a:solidFill>
              <a:ln>
                <a:solidFill>
                  <a:schemeClr val="tx1"/>
                </a:solidFill>
              </a:ln>
            </c:spPr>
          </c:marker>
          <c:cat>
            <c:strRef>
              <c:f>Sheet1!$B$1:$E$1</c:f>
              <c:strCache>
                <c:ptCount val="4"/>
                <c:pt idx="0">
                  <c:v>2020 (n=10,411)</c:v>
                </c:pt>
                <c:pt idx="1">
                  <c:v>2021 (n=10,631)</c:v>
                </c:pt>
                <c:pt idx="2">
                  <c:v>2022 (n=10,852)</c:v>
                </c:pt>
                <c:pt idx="3">
                  <c:v>Current DVR Open Cases (n=1,635)</c:v>
                </c:pt>
              </c:strCache>
            </c:strRef>
          </c:cat>
          <c:val>
            <c:numRef>
              <c:f>Sheet1!$B$10:$E$10</c:f>
              <c:numCache>
                <c:formatCode>0.0%</c:formatCode>
                <c:ptCount val="4"/>
                <c:pt idx="0">
                  <c:v>0.24099999999999999</c:v>
                </c:pt>
                <c:pt idx="1">
                  <c:v>0.245</c:v>
                </c:pt>
                <c:pt idx="2">
                  <c:v>0.253</c:v>
                </c:pt>
                <c:pt idx="3">
                  <c:v>0.25900000000000001</c:v>
                </c:pt>
              </c:numCache>
            </c:numRef>
          </c:val>
          <c:smooth val="0"/>
          <c:extLst>
            <c:ext xmlns:c16="http://schemas.microsoft.com/office/drawing/2014/chart" uri="{C3380CC4-5D6E-409C-BE32-E72D297353CC}">
              <c16:uniqueId val="{00000008-0409-4125-8EF2-EBCDFDFB1AF1}"/>
            </c:ext>
          </c:extLst>
        </c:ser>
        <c:ser>
          <c:idx val="9"/>
          <c:order val="9"/>
          <c:tx>
            <c:strRef>
              <c:f>Sheet1!$A$11</c:f>
              <c:strCache>
                <c:ptCount val="1"/>
                <c:pt idx="0">
                  <c:v>Learning Disability</c:v>
                </c:pt>
              </c:strCache>
            </c:strRef>
          </c:tx>
          <c:spPr>
            <a:ln>
              <a:solidFill>
                <a:srgbClr val="FF33CC"/>
              </a:solidFill>
            </a:ln>
          </c:spPr>
          <c:marker>
            <c:spPr>
              <a:solidFill>
                <a:srgbClr val="FF33CC"/>
              </a:solidFill>
              <a:ln>
                <a:solidFill>
                  <a:srgbClr val="FF33CC"/>
                </a:solidFill>
              </a:ln>
            </c:spPr>
          </c:marker>
          <c:cat>
            <c:strRef>
              <c:f>Sheet1!$B$1:$E$1</c:f>
              <c:strCache>
                <c:ptCount val="4"/>
                <c:pt idx="0">
                  <c:v>2020 (n=10,411)</c:v>
                </c:pt>
                <c:pt idx="1">
                  <c:v>2021 (n=10,631)</c:v>
                </c:pt>
                <c:pt idx="2">
                  <c:v>2022 (n=10,852)</c:v>
                </c:pt>
                <c:pt idx="3">
                  <c:v>Current DVR Open Cases (n=1,635)</c:v>
                </c:pt>
              </c:strCache>
            </c:strRef>
          </c:cat>
          <c:val>
            <c:numRef>
              <c:f>Sheet1!$B$11:$E$11</c:f>
              <c:numCache>
                <c:formatCode>0.0%</c:formatCode>
                <c:ptCount val="4"/>
                <c:pt idx="0">
                  <c:v>0.35</c:v>
                </c:pt>
                <c:pt idx="1">
                  <c:v>0.35</c:v>
                </c:pt>
                <c:pt idx="2">
                  <c:v>0.34499999999999997</c:v>
                </c:pt>
                <c:pt idx="3">
                  <c:v>8.8999999999999996E-2</c:v>
                </c:pt>
              </c:numCache>
            </c:numRef>
          </c:val>
          <c:smooth val="0"/>
          <c:extLst>
            <c:ext xmlns:c16="http://schemas.microsoft.com/office/drawing/2014/chart" uri="{C3380CC4-5D6E-409C-BE32-E72D297353CC}">
              <c16:uniqueId val="{00000009-0409-4125-8EF2-EBCDFDFB1AF1}"/>
            </c:ext>
          </c:extLst>
        </c:ser>
        <c:ser>
          <c:idx val="10"/>
          <c:order val="10"/>
          <c:tx>
            <c:strRef>
              <c:f>Sheet1!$A$12</c:f>
              <c:strCache>
                <c:ptCount val="1"/>
                <c:pt idx="0">
                  <c:v>Other Health Impairments</c:v>
                </c:pt>
              </c:strCache>
            </c:strRef>
          </c:tx>
          <c:cat>
            <c:strRef>
              <c:f>Sheet1!$B$1:$E$1</c:f>
              <c:strCache>
                <c:ptCount val="4"/>
                <c:pt idx="0">
                  <c:v>2020 (n=10,411)</c:v>
                </c:pt>
                <c:pt idx="1">
                  <c:v>2021 (n=10,631)</c:v>
                </c:pt>
                <c:pt idx="2">
                  <c:v>2022 (n=10,852)</c:v>
                </c:pt>
                <c:pt idx="3">
                  <c:v>Current DVR Open Cases (n=1,635)</c:v>
                </c:pt>
              </c:strCache>
            </c:strRef>
          </c:cat>
          <c:val>
            <c:numRef>
              <c:f>Sheet1!$B$12:$E$12</c:f>
              <c:numCache>
                <c:formatCode>0.0%</c:formatCode>
                <c:ptCount val="4"/>
                <c:pt idx="0">
                  <c:v>0</c:v>
                </c:pt>
                <c:pt idx="1">
                  <c:v>0</c:v>
                </c:pt>
                <c:pt idx="2">
                  <c:v>0</c:v>
                </c:pt>
                <c:pt idx="3">
                  <c:v>0</c:v>
                </c:pt>
              </c:numCache>
            </c:numRef>
          </c:val>
          <c:smooth val="0"/>
          <c:extLst>
            <c:ext xmlns:c16="http://schemas.microsoft.com/office/drawing/2014/chart" uri="{C3380CC4-5D6E-409C-BE32-E72D297353CC}">
              <c16:uniqueId val="{0000000A-0409-4125-8EF2-EBCDFDFB1AF1}"/>
            </c:ext>
          </c:extLst>
        </c:ser>
        <c:dLbls>
          <c:showLegendKey val="0"/>
          <c:showVal val="0"/>
          <c:showCatName val="0"/>
          <c:showSerName val="0"/>
          <c:showPercent val="0"/>
          <c:showBubbleSize val="0"/>
        </c:dLbls>
        <c:marker val="1"/>
        <c:smooth val="0"/>
        <c:axId val="46366720"/>
        <c:axId val="46368640"/>
      </c:lineChart>
      <c:catAx>
        <c:axId val="46366720"/>
        <c:scaling>
          <c:orientation val="minMax"/>
        </c:scaling>
        <c:delete val="0"/>
        <c:axPos val="b"/>
        <c:numFmt formatCode="General" sourceLinked="0"/>
        <c:majorTickMark val="none"/>
        <c:minorTickMark val="none"/>
        <c:tickLblPos val="nextTo"/>
        <c:txPr>
          <a:bodyPr/>
          <a:lstStyle/>
          <a:p>
            <a:pPr>
              <a:defRPr sz="900"/>
            </a:pPr>
            <a:endParaRPr lang="en-US"/>
          </a:p>
        </c:txPr>
        <c:crossAx val="46368640"/>
        <c:crosses val="autoZero"/>
        <c:auto val="1"/>
        <c:lblAlgn val="ctr"/>
        <c:lblOffset val="100"/>
        <c:noMultiLvlLbl val="0"/>
      </c:catAx>
      <c:valAx>
        <c:axId val="46368640"/>
        <c:scaling>
          <c:orientation val="minMax"/>
          <c:max val="0.4"/>
        </c:scaling>
        <c:delete val="0"/>
        <c:axPos val="l"/>
        <c:majorGridlines>
          <c:spPr>
            <a:ln>
              <a:noFill/>
            </a:ln>
          </c:spPr>
        </c:majorGridlines>
        <c:title>
          <c:tx>
            <c:rich>
              <a:bodyPr/>
              <a:lstStyle/>
              <a:p>
                <a:pPr>
                  <a:defRPr sz="1000"/>
                </a:pPr>
                <a:r>
                  <a:rPr lang="en-US" sz="1000" baseline="0"/>
                  <a:t>Students with Disabilities by </a:t>
                </a:r>
              </a:p>
              <a:p>
                <a:pPr>
                  <a:defRPr sz="1000"/>
                </a:pPr>
                <a:r>
                  <a:rPr lang="en-US" sz="1000" baseline="0"/>
                  <a:t>School Year</a:t>
                </a:r>
              </a:p>
            </c:rich>
          </c:tx>
          <c:layout>
            <c:manualLayout>
              <c:xMode val="edge"/>
              <c:yMode val="edge"/>
              <c:x val="3.0303030303030304E-2"/>
              <c:y val="8.0662260967379079E-2"/>
            </c:manualLayout>
          </c:layout>
          <c:overlay val="0"/>
        </c:title>
        <c:numFmt formatCode="0.0%" sourceLinked="1"/>
        <c:majorTickMark val="none"/>
        <c:minorTickMark val="none"/>
        <c:tickLblPos val="nextTo"/>
        <c:crossAx val="46366720"/>
        <c:crosses val="autoZero"/>
        <c:crossBetween val="between"/>
        <c:majorUnit val="5.000000000000001E-2"/>
      </c:valAx>
      <c:dTable>
        <c:showHorzBorder val="1"/>
        <c:showVertBorder val="1"/>
        <c:showOutline val="1"/>
        <c:showKeys val="1"/>
      </c:dTable>
      <c:spPr>
        <a:ln>
          <a:noFill/>
        </a:ln>
      </c:spPr>
    </c:plotArea>
    <c:plotVisOnly val="1"/>
    <c:dispBlanksAs val="gap"/>
    <c:showDLblsOverMax val="0"/>
  </c:chart>
  <c:spPr>
    <a:ln>
      <a:noFill/>
    </a:ln>
  </c:sp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Number of Special Education Students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Region I</c:v>
                </c:pt>
                <c:pt idx="1">
                  <c:v>Region II</c:v>
                </c:pt>
                <c:pt idx="2">
                  <c:v>Region III</c:v>
                </c:pt>
                <c:pt idx="3">
                  <c:v>Region IV</c:v>
                </c:pt>
                <c:pt idx="4">
                  <c:v>Region V</c:v>
                </c:pt>
              </c:strCache>
            </c:strRef>
          </c:cat>
          <c:val>
            <c:numRef>
              <c:f>Sheet1!$B$2:$B$6</c:f>
              <c:numCache>
                <c:formatCode>General</c:formatCode>
                <c:ptCount val="5"/>
                <c:pt idx="0">
                  <c:v>3658</c:v>
                </c:pt>
                <c:pt idx="1">
                  <c:v>2154</c:v>
                </c:pt>
                <c:pt idx="2">
                  <c:v>2428</c:v>
                </c:pt>
                <c:pt idx="3">
                  <c:v>1997</c:v>
                </c:pt>
                <c:pt idx="4">
                  <c:v>587</c:v>
                </c:pt>
              </c:numCache>
            </c:numRef>
          </c:val>
          <c:extLst>
            <c:ext xmlns:c16="http://schemas.microsoft.com/office/drawing/2014/chart" uri="{C3380CC4-5D6E-409C-BE32-E72D297353CC}">
              <c16:uniqueId val="{00000000-A3B1-46EF-8AE3-82E00137EA89}"/>
            </c:ext>
          </c:extLst>
        </c:ser>
        <c:ser>
          <c:idx val="1"/>
          <c:order val="1"/>
          <c:tx>
            <c:strRef>
              <c:f>Sheet1!$C$1</c:f>
              <c:strCache>
                <c:ptCount val="1"/>
                <c:pt idx="0">
                  <c:v>Number of Section 504 Students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Region I</c:v>
                </c:pt>
                <c:pt idx="1">
                  <c:v>Region II</c:v>
                </c:pt>
                <c:pt idx="2">
                  <c:v>Region III</c:v>
                </c:pt>
                <c:pt idx="3">
                  <c:v>Region IV</c:v>
                </c:pt>
                <c:pt idx="4">
                  <c:v>Region V</c:v>
                </c:pt>
              </c:strCache>
            </c:strRef>
          </c:cat>
          <c:val>
            <c:numRef>
              <c:f>Sheet1!$C$2:$C$6</c:f>
              <c:numCache>
                <c:formatCode>General</c:formatCode>
                <c:ptCount val="5"/>
                <c:pt idx="0">
                  <c:v>1548</c:v>
                </c:pt>
                <c:pt idx="1">
                  <c:v>740</c:v>
                </c:pt>
                <c:pt idx="2">
                  <c:v>745</c:v>
                </c:pt>
                <c:pt idx="3">
                  <c:v>790</c:v>
                </c:pt>
                <c:pt idx="4">
                  <c:v>128</c:v>
                </c:pt>
              </c:numCache>
            </c:numRef>
          </c:val>
          <c:extLst>
            <c:ext xmlns:c16="http://schemas.microsoft.com/office/drawing/2014/chart" uri="{C3380CC4-5D6E-409C-BE32-E72D297353CC}">
              <c16:uniqueId val="{00000001-A3B1-46EF-8AE3-82E00137EA89}"/>
            </c:ext>
          </c:extLst>
        </c:ser>
        <c:dLbls>
          <c:showLegendKey val="0"/>
          <c:showVal val="0"/>
          <c:showCatName val="0"/>
          <c:showSerName val="0"/>
          <c:showPercent val="0"/>
          <c:showBubbleSize val="0"/>
        </c:dLbls>
        <c:gapWidth val="150"/>
        <c:overlap val="100"/>
        <c:axId val="1350902080"/>
        <c:axId val="104837728"/>
      </c:barChart>
      <c:lineChart>
        <c:grouping val="standard"/>
        <c:varyColors val="0"/>
        <c:ser>
          <c:idx val="2"/>
          <c:order val="2"/>
          <c:tx>
            <c:strRef>
              <c:f>Sheet1!$D$1</c:f>
              <c:strCache>
                <c:ptCount val="1"/>
                <c:pt idx="0">
                  <c:v>Number of Transition Counselors</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50" b="1" i="0" u="none" strike="noStrike" kern="1200" baseline="0">
                    <a:solidFill>
                      <a:sysClr val="windowText" lastClr="000000"/>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Region I</c:v>
                </c:pt>
                <c:pt idx="1">
                  <c:v>Region II</c:v>
                </c:pt>
                <c:pt idx="2">
                  <c:v>Region III</c:v>
                </c:pt>
                <c:pt idx="3">
                  <c:v>Region IV</c:v>
                </c:pt>
                <c:pt idx="4">
                  <c:v>Region V</c:v>
                </c:pt>
              </c:strCache>
            </c:strRef>
          </c:cat>
          <c:val>
            <c:numRef>
              <c:f>Sheet1!$D$2:$D$6</c:f>
              <c:numCache>
                <c:formatCode>General</c:formatCode>
                <c:ptCount val="5"/>
                <c:pt idx="0">
                  <c:v>6</c:v>
                </c:pt>
                <c:pt idx="1">
                  <c:v>6</c:v>
                </c:pt>
                <c:pt idx="2">
                  <c:v>6</c:v>
                </c:pt>
                <c:pt idx="3">
                  <c:v>5</c:v>
                </c:pt>
                <c:pt idx="4">
                  <c:v>1</c:v>
                </c:pt>
              </c:numCache>
            </c:numRef>
          </c:val>
          <c:smooth val="0"/>
          <c:extLst>
            <c:ext xmlns:c16="http://schemas.microsoft.com/office/drawing/2014/chart" uri="{C3380CC4-5D6E-409C-BE32-E72D297353CC}">
              <c16:uniqueId val="{00000002-A3B1-46EF-8AE3-82E00137EA89}"/>
            </c:ext>
          </c:extLst>
        </c:ser>
        <c:dLbls>
          <c:showLegendKey val="0"/>
          <c:showVal val="0"/>
          <c:showCatName val="0"/>
          <c:showSerName val="0"/>
          <c:showPercent val="0"/>
          <c:showBubbleSize val="0"/>
        </c:dLbls>
        <c:marker val="1"/>
        <c:smooth val="0"/>
        <c:axId val="1653532320"/>
        <c:axId val="288129568"/>
      </c:lineChart>
      <c:catAx>
        <c:axId val="1350902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4837728"/>
        <c:crosses val="autoZero"/>
        <c:auto val="1"/>
        <c:lblAlgn val="ctr"/>
        <c:lblOffset val="100"/>
        <c:noMultiLvlLbl val="0"/>
      </c:catAx>
      <c:valAx>
        <c:axId val="1048377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50902080"/>
        <c:crosses val="autoZero"/>
        <c:crossBetween val="between"/>
      </c:valAx>
      <c:valAx>
        <c:axId val="288129568"/>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53532320"/>
        <c:crosses val="max"/>
        <c:crossBetween val="between"/>
      </c:valAx>
      <c:catAx>
        <c:axId val="1653532320"/>
        <c:scaling>
          <c:orientation val="minMax"/>
        </c:scaling>
        <c:delete val="1"/>
        <c:axPos val="b"/>
        <c:numFmt formatCode="General" sourceLinked="1"/>
        <c:majorTickMark val="out"/>
        <c:minorTickMark val="none"/>
        <c:tickLblPos val="nextTo"/>
        <c:crossAx val="288129568"/>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barChart>
        <c:barDir val="col"/>
        <c:grouping val="clustered"/>
        <c:varyColors val="0"/>
        <c:ser>
          <c:idx val="0"/>
          <c:order val="0"/>
          <c:tx>
            <c:strRef>
              <c:f>Sheet1!$A$2</c:f>
              <c:strCache>
                <c:ptCount val="1"/>
                <c:pt idx="0">
                  <c:v>Average Expenditure</c:v>
                </c:pt>
              </c:strCache>
            </c:strRef>
          </c:tx>
          <c:invertIfNegative val="0"/>
          <c:cat>
            <c:strRef>
              <c:f>Sheet1!$B$1:$D$1</c:f>
              <c:strCache>
                <c:ptCount val="3"/>
                <c:pt idx="0">
                  <c:v>FFY 2021</c:v>
                </c:pt>
                <c:pt idx="1">
                  <c:v>FFY 2022</c:v>
                </c:pt>
                <c:pt idx="2">
                  <c:v>FFY 2023</c:v>
                </c:pt>
              </c:strCache>
            </c:strRef>
          </c:cat>
          <c:val>
            <c:numRef>
              <c:f>Sheet1!$B$2:$D$2</c:f>
              <c:numCache>
                <c:formatCode>"$"#,##0</c:formatCode>
                <c:ptCount val="3"/>
                <c:pt idx="0">
                  <c:v>850.68</c:v>
                </c:pt>
                <c:pt idx="1">
                  <c:v>863.11</c:v>
                </c:pt>
                <c:pt idx="2">
                  <c:v>922.02</c:v>
                </c:pt>
              </c:numCache>
            </c:numRef>
          </c:val>
          <c:extLst>
            <c:ext xmlns:c16="http://schemas.microsoft.com/office/drawing/2014/chart" uri="{C3380CC4-5D6E-409C-BE32-E72D297353CC}">
              <c16:uniqueId val="{00000000-A7C4-4A50-ACA2-86B159593C33}"/>
            </c:ext>
          </c:extLst>
        </c:ser>
        <c:dLbls>
          <c:showLegendKey val="0"/>
          <c:showVal val="0"/>
          <c:showCatName val="0"/>
          <c:showSerName val="0"/>
          <c:showPercent val="0"/>
          <c:showBubbleSize val="0"/>
        </c:dLbls>
        <c:gapWidth val="150"/>
        <c:axId val="46580864"/>
        <c:axId val="46582400"/>
      </c:barChart>
      <c:lineChart>
        <c:grouping val="standard"/>
        <c:varyColors val="0"/>
        <c:ser>
          <c:idx val="1"/>
          <c:order val="1"/>
          <c:tx>
            <c:strRef>
              <c:f>Sheet1!$A$3</c:f>
              <c:strCache>
                <c:ptCount val="1"/>
                <c:pt idx="0">
                  <c:v>Participants Served</c:v>
                </c:pt>
              </c:strCache>
            </c:strRef>
          </c:tx>
          <c:cat>
            <c:strRef>
              <c:f>Sheet1!$B$1:$D$1</c:f>
              <c:strCache>
                <c:ptCount val="3"/>
                <c:pt idx="0">
                  <c:v>FFY 2021</c:v>
                </c:pt>
                <c:pt idx="1">
                  <c:v>FFY 2022</c:v>
                </c:pt>
                <c:pt idx="2">
                  <c:v>FFY 2023</c:v>
                </c:pt>
              </c:strCache>
            </c:strRef>
          </c:cat>
          <c:val>
            <c:numRef>
              <c:f>Sheet1!$B$3:$D$3</c:f>
              <c:numCache>
                <c:formatCode>0</c:formatCode>
                <c:ptCount val="3"/>
                <c:pt idx="0">
                  <c:v>432</c:v>
                </c:pt>
                <c:pt idx="1">
                  <c:v>350</c:v>
                </c:pt>
                <c:pt idx="2">
                  <c:v>359</c:v>
                </c:pt>
              </c:numCache>
            </c:numRef>
          </c:val>
          <c:smooth val="0"/>
          <c:extLst>
            <c:ext xmlns:c16="http://schemas.microsoft.com/office/drawing/2014/chart" uri="{C3380CC4-5D6E-409C-BE32-E72D297353CC}">
              <c16:uniqueId val="{00000001-A7C4-4A50-ACA2-86B159593C33}"/>
            </c:ext>
          </c:extLst>
        </c:ser>
        <c:dLbls>
          <c:showLegendKey val="0"/>
          <c:showVal val="0"/>
          <c:showCatName val="0"/>
          <c:showSerName val="0"/>
          <c:showPercent val="0"/>
          <c:showBubbleSize val="0"/>
        </c:dLbls>
        <c:marker val="1"/>
        <c:smooth val="0"/>
        <c:axId val="46586496"/>
        <c:axId val="46584576"/>
      </c:lineChart>
      <c:catAx>
        <c:axId val="46580864"/>
        <c:scaling>
          <c:orientation val="minMax"/>
        </c:scaling>
        <c:delete val="0"/>
        <c:axPos val="b"/>
        <c:numFmt formatCode="General" sourceLinked="0"/>
        <c:majorTickMark val="none"/>
        <c:minorTickMark val="none"/>
        <c:tickLblPos val="nextTo"/>
        <c:crossAx val="46582400"/>
        <c:crosses val="autoZero"/>
        <c:auto val="1"/>
        <c:lblAlgn val="ctr"/>
        <c:lblOffset val="100"/>
        <c:noMultiLvlLbl val="0"/>
      </c:catAx>
      <c:valAx>
        <c:axId val="46582400"/>
        <c:scaling>
          <c:orientation val="minMax"/>
          <c:max val="3000"/>
          <c:min val="0"/>
        </c:scaling>
        <c:delete val="0"/>
        <c:axPos val="l"/>
        <c:majorGridlines/>
        <c:title>
          <c:tx>
            <c:rich>
              <a:bodyPr/>
              <a:lstStyle/>
              <a:p>
                <a:pPr>
                  <a:defRPr/>
                </a:pPr>
                <a:r>
                  <a:rPr lang="en-US"/>
                  <a:t>Hearing Aid &amp;</a:t>
                </a:r>
                <a:r>
                  <a:rPr lang="en-US" baseline="0"/>
                  <a:t> Audiological Expenditures</a:t>
                </a:r>
              </a:p>
            </c:rich>
          </c:tx>
          <c:overlay val="0"/>
        </c:title>
        <c:numFmt formatCode="&quot;$&quot;#,##0" sourceLinked="0"/>
        <c:majorTickMark val="none"/>
        <c:minorTickMark val="none"/>
        <c:tickLblPos val="nextTo"/>
        <c:crossAx val="46580864"/>
        <c:crosses val="autoZero"/>
        <c:crossBetween val="between"/>
        <c:majorUnit val="500"/>
        <c:minorUnit val="4.0000000000000008E-2"/>
      </c:valAx>
      <c:valAx>
        <c:axId val="46584576"/>
        <c:scaling>
          <c:orientation val="minMax"/>
        </c:scaling>
        <c:delete val="0"/>
        <c:axPos val="r"/>
        <c:title>
          <c:tx>
            <c:rich>
              <a:bodyPr rot="5400000" vert="horz"/>
              <a:lstStyle/>
              <a:p>
                <a:pPr>
                  <a:defRPr/>
                </a:pPr>
                <a:r>
                  <a:rPr lang="en-US"/>
                  <a:t>Number</a:t>
                </a:r>
                <a:r>
                  <a:rPr lang="en-US" baseline="0"/>
                  <a:t> of Participants</a:t>
                </a:r>
                <a:endParaRPr lang="en-US"/>
              </a:p>
            </c:rich>
          </c:tx>
          <c:layout>
            <c:manualLayout>
              <c:xMode val="edge"/>
              <c:yMode val="edge"/>
              <c:x val="0.95091426071741036"/>
              <c:y val="0.19200256217972753"/>
            </c:manualLayout>
          </c:layout>
          <c:overlay val="0"/>
        </c:title>
        <c:numFmt formatCode="0" sourceLinked="1"/>
        <c:majorTickMark val="out"/>
        <c:minorTickMark val="none"/>
        <c:tickLblPos val="nextTo"/>
        <c:crossAx val="46586496"/>
        <c:crosses val="max"/>
        <c:crossBetween val="between"/>
      </c:valAx>
      <c:catAx>
        <c:axId val="46586496"/>
        <c:scaling>
          <c:orientation val="minMax"/>
        </c:scaling>
        <c:delete val="1"/>
        <c:axPos val="b"/>
        <c:numFmt formatCode="General" sourceLinked="1"/>
        <c:majorTickMark val="out"/>
        <c:minorTickMark val="none"/>
        <c:tickLblPos val="nextTo"/>
        <c:crossAx val="46584576"/>
        <c:crosses val="autoZero"/>
        <c:auto val="1"/>
        <c:lblAlgn val="ctr"/>
        <c:lblOffset val="100"/>
        <c:noMultiLvlLbl val="0"/>
      </c:catAx>
      <c:dTable>
        <c:showHorzBorder val="1"/>
        <c:showVertBorder val="1"/>
        <c:showOutline val="1"/>
        <c:showKeys val="1"/>
        <c:txPr>
          <a:bodyPr/>
          <a:lstStyle/>
          <a:p>
            <a:pPr rtl="0">
              <a:defRPr sz="1000"/>
            </a:pPr>
            <a:endParaRPr lang="en-US"/>
          </a:p>
        </c:txPr>
      </c:dTable>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Application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FFY 2021</c:v>
                </c:pt>
                <c:pt idx="1">
                  <c:v>FFY 2022</c:v>
                </c:pt>
                <c:pt idx="2">
                  <c:v>FFY 2023</c:v>
                </c:pt>
              </c:strCache>
            </c:strRef>
          </c:cat>
          <c:val>
            <c:numRef>
              <c:f>Sheet1!$B$2:$B$4</c:f>
              <c:numCache>
                <c:formatCode>General</c:formatCode>
                <c:ptCount val="3"/>
                <c:pt idx="0">
                  <c:v>0</c:v>
                </c:pt>
                <c:pt idx="1">
                  <c:v>0</c:v>
                </c:pt>
                <c:pt idx="2">
                  <c:v>63</c:v>
                </c:pt>
              </c:numCache>
            </c:numRef>
          </c:val>
          <c:extLst>
            <c:ext xmlns:c16="http://schemas.microsoft.com/office/drawing/2014/chart" uri="{C3380CC4-5D6E-409C-BE32-E72D297353CC}">
              <c16:uniqueId val="{00000000-466D-473E-B866-9FB42A7BEFCD}"/>
            </c:ext>
          </c:extLst>
        </c:ser>
        <c:ser>
          <c:idx val="1"/>
          <c:order val="1"/>
          <c:tx>
            <c:strRef>
              <c:f>Sheet1!$C$1</c:f>
              <c:strCache>
                <c:ptCount val="1"/>
                <c:pt idx="0">
                  <c:v>Eligible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FFY 2021</c:v>
                </c:pt>
                <c:pt idx="1">
                  <c:v>FFY 2022</c:v>
                </c:pt>
                <c:pt idx="2">
                  <c:v>FFY 2023</c:v>
                </c:pt>
              </c:strCache>
            </c:strRef>
          </c:cat>
          <c:val>
            <c:numRef>
              <c:f>Sheet1!$C$2:$C$4</c:f>
              <c:numCache>
                <c:formatCode>General</c:formatCode>
                <c:ptCount val="3"/>
                <c:pt idx="0">
                  <c:v>0</c:v>
                </c:pt>
                <c:pt idx="1">
                  <c:v>5</c:v>
                </c:pt>
                <c:pt idx="2">
                  <c:v>149</c:v>
                </c:pt>
              </c:numCache>
            </c:numRef>
          </c:val>
          <c:extLst>
            <c:ext xmlns:c16="http://schemas.microsoft.com/office/drawing/2014/chart" uri="{C3380CC4-5D6E-409C-BE32-E72D297353CC}">
              <c16:uniqueId val="{00000001-466D-473E-B866-9FB42A7BEFCD}"/>
            </c:ext>
          </c:extLst>
        </c:ser>
        <c:ser>
          <c:idx val="2"/>
          <c:order val="2"/>
          <c:tx>
            <c:strRef>
              <c:f>Sheet1!$D$1</c:f>
              <c:strCache>
                <c:ptCount val="1"/>
                <c:pt idx="0">
                  <c:v>Delayed</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FFY 2021</c:v>
                </c:pt>
                <c:pt idx="1">
                  <c:v>FFY 2022</c:v>
                </c:pt>
                <c:pt idx="2">
                  <c:v>FFY 2023</c:v>
                </c:pt>
              </c:strCache>
            </c:strRef>
          </c:cat>
          <c:val>
            <c:numRef>
              <c:f>Sheet1!$D$2:$D$4</c:f>
              <c:numCache>
                <c:formatCode>General</c:formatCode>
                <c:ptCount val="3"/>
                <c:pt idx="0">
                  <c:v>381</c:v>
                </c:pt>
                <c:pt idx="1">
                  <c:v>421</c:v>
                </c:pt>
                <c:pt idx="2">
                  <c:v>458</c:v>
                </c:pt>
              </c:numCache>
            </c:numRef>
          </c:val>
          <c:extLst>
            <c:ext xmlns:c16="http://schemas.microsoft.com/office/drawing/2014/chart" uri="{C3380CC4-5D6E-409C-BE32-E72D297353CC}">
              <c16:uniqueId val="{00000002-466D-473E-B866-9FB42A7BEFCD}"/>
            </c:ext>
          </c:extLst>
        </c:ser>
        <c:ser>
          <c:idx val="3"/>
          <c:order val="3"/>
          <c:tx>
            <c:strRef>
              <c:f>Sheet1!$E$1</c:f>
              <c:strCache>
                <c:ptCount val="1"/>
                <c:pt idx="0">
                  <c:v>Service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FFY 2021</c:v>
                </c:pt>
                <c:pt idx="1">
                  <c:v>FFY 2022</c:v>
                </c:pt>
                <c:pt idx="2">
                  <c:v>FFY 2023</c:v>
                </c:pt>
              </c:strCache>
            </c:strRef>
          </c:cat>
          <c:val>
            <c:numRef>
              <c:f>Sheet1!$E$2:$E$4</c:f>
              <c:numCache>
                <c:formatCode>General</c:formatCode>
                <c:ptCount val="3"/>
                <c:pt idx="0">
                  <c:v>1212</c:v>
                </c:pt>
                <c:pt idx="1">
                  <c:v>2073</c:v>
                </c:pt>
                <c:pt idx="2">
                  <c:v>3716</c:v>
                </c:pt>
              </c:numCache>
            </c:numRef>
          </c:val>
          <c:extLst>
            <c:ext xmlns:c16="http://schemas.microsoft.com/office/drawing/2014/chart" uri="{C3380CC4-5D6E-409C-BE32-E72D297353CC}">
              <c16:uniqueId val="{00000003-466D-473E-B866-9FB42A7BEFCD}"/>
            </c:ext>
          </c:extLst>
        </c:ser>
        <c:ser>
          <c:idx val="4"/>
          <c:order val="4"/>
          <c:tx>
            <c:strRef>
              <c:f>Sheet1!$F$1</c:f>
              <c:strCache>
                <c:ptCount val="1"/>
                <c:pt idx="0">
                  <c:v>Employed</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FFY 2021</c:v>
                </c:pt>
                <c:pt idx="1">
                  <c:v>FFY 2022</c:v>
                </c:pt>
                <c:pt idx="2">
                  <c:v>FFY 2023</c:v>
                </c:pt>
              </c:strCache>
            </c:strRef>
          </c:cat>
          <c:val>
            <c:numRef>
              <c:f>Sheet1!$F$2:$F$4</c:f>
              <c:numCache>
                <c:formatCode>General</c:formatCode>
                <c:ptCount val="3"/>
                <c:pt idx="0">
                  <c:v>214</c:v>
                </c:pt>
                <c:pt idx="1">
                  <c:v>319</c:v>
                </c:pt>
                <c:pt idx="2">
                  <c:v>406</c:v>
                </c:pt>
              </c:numCache>
            </c:numRef>
          </c:val>
          <c:extLst>
            <c:ext xmlns:c16="http://schemas.microsoft.com/office/drawing/2014/chart" uri="{C3380CC4-5D6E-409C-BE32-E72D297353CC}">
              <c16:uniqueId val="{00000004-466D-473E-B866-9FB42A7BEFCD}"/>
            </c:ext>
          </c:extLst>
        </c:ser>
        <c:ser>
          <c:idx val="5"/>
          <c:order val="5"/>
          <c:tx>
            <c:strRef>
              <c:f>Sheet1!$G$1</c:f>
              <c:strCache>
                <c:ptCount val="1"/>
                <c:pt idx="0">
                  <c:v>Closed-Rehab</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FFY 2021</c:v>
                </c:pt>
                <c:pt idx="1">
                  <c:v>FFY 2022</c:v>
                </c:pt>
                <c:pt idx="2">
                  <c:v>FFY 2023</c:v>
                </c:pt>
              </c:strCache>
            </c:strRef>
          </c:cat>
          <c:val>
            <c:numRef>
              <c:f>Sheet1!$G$2:$G$4</c:f>
              <c:numCache>
                <c:formatCode>General</c:formatCode>
                <c:ptCount val="3"/>
                <c:pt idx="0">
                  <c:v>471</c:v>
                </c:pt>
                <c:pt idx="1">
                  <c:v>479</c:v>
                </c:pt>
                <c:pt idx="2">
                  <c:v>399</c:v>
                </c:pt>
              </c:numCache>
            </c:numRef>
          </c:val>
          <c:extLst>
            <c:ext xmlns:c16="http://schemas.microsoft.com/office/drawing/2014/chart" uri="{C3380CC4-5D6E-409C-BE32-E72D297353CC}">
              <c16:uniqueId val="{00000005-466D-473E-B866-9FB42A7BEFCD}"/>
            </c:ext>
          </c:extLst>
        </c:ser>
        <c:ser>
          <c:idx val="6"/>
          <c:order val="6"/>
          <c:tx>
            <c:strRef>
              <c:f>Sheet1!$H$1</c:f>
              <c:strCache>
                <c:ptCount val="1"/>
                <c:pt idx="0">
                  <c:v>Closed-PES</c:v>
                </c:pt>
              </c:strCache>
            </c:strRef>
          </c:tx>
          <c:spPr>
            <a:solidFill>
              <a:schemeClr val="accent1">
                <a:lumMod val="60000"/>
              </a:schemeClr>
            </a:solidFill>
            <a:ln>
              <a:noFill/>
            </a:ln>
            <a:effectLst/>
          </c:spPr>
          <c:invertIfNegative val="0"/>
          <c:cat>
            <c:strRef>
              <c:f>Sheet1!$A$2:$A$4</c:f>
              <c:strCache>
                <c:ptCount val="3"/>
                <c:pt idx="0">
                  <c:v>FFY 2021</c:v>
                </c:pt>
                <c:pt idx="1">
                  <c:v>FFY 2022</c:v>
                </c:pt>
                <c:pt idx="2">
                  <c:v>FFY 2023</c:v>
                </c:pt>
              </c:strCache>
            </c:strRef>
          </c:cat>
          <c:val>
            <c:numRef>
              <c:f>Sheet1!$H$2:$H$4</c:f>
              <c:numCache>
                <c:formatCode>General</c:formatCode>
                <c:ptCount val="3"/>
                <c:pt idx="0">
                  <c:v>11</c:v>
                </c:pt>
                <c:pt idx="1">
                  <c:v>6</c:v>
                </c:pt>
                <c:pt idx="2">
                  <c:v>1</c:v>
                </c:pt>
              </c:numCache>
            </c:numRef>
          </c:val>
          <c:extLst>
            <c:ext xmlns:c16="http://schemas.microsoft.com/office/drawing/2014/chart" uri="{C3380CC4-5D6E-409C-BE32-E72D297353CC}">
              <c16:uniqueId val="{00000006-466D-473E-B866-9FB42A7BEFCD}"/>
            </c:ext>
          </c:extLst>
        </c:ser>
        <c:ser>
          <c:idx val="7"/>
          <c:order val="7"/>
          <c:tx>
            <c:strRef>
              <c:f>Sheet1!$I$1</c:f>
              <c:strCache>
                <c:ptCount val="1"/>
                <c:pt idx="0">
                  <c:v>Closed-Other</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FFY 2021</c:v>
                </c:pt>
                <c:pt idx="1">
                  <c:v>FFY 2022</c:v>
                </c:pt>
                <c:pt idx="2">
                  <c:v>FFY 2023</c:v>
                </c:pt>
              </c:strCache>
            </c:strRef>
          </c:cat>
          <c:val>
            <c:numRef>
              <c:f>Sheet1!$I$2:$I$4</c:f>
              <c:numCache>
                <c:formatCode>General</c:formatCode>
                <c:ptCount val="3"/>
                <c:pt idx="0">
                  <c:v>471</c:v>
                </c:pt>
                <c:pt idx="1">
                  <c:v>2473</c:v>
                </c:pt>
                <c:pt idx="2">
                  <c:v>2490</c:v>
                </c:pt>
              </c:numCache>
            </c:numRef>
          </c:val>
          <c:extLst>
            <c:ext xmlns:c16="http://schemas.microsoft.com/office/drawing/2014/chart" uri="{C3380CC4-5D6E-409C-BE32-E72D297353CC}">
              <c16:uniqueId val="{00000007-466D-473E-B866-9FB42A7BEFCD}"/>
            </c:ext>
          </c:extLst>
        </c:ser>
        <c:dLbls>
          <c:showLegendKey val="0"/>
          <c:showVal val="0"/>
          <c:showCatName val="0"/>
          <c:showSerName val="0"/>
          <c:showPercent val="0"/>
          <c:showBubbleSize val="0"/>
        </c:dLbls>
        <c:gapWidth val="219"/>
        <c:overlap val="-27"/>
        <c:axId val="1232523744"/>
        <c:axId val="1091857024"/>
      </c:barChart>
      <c:catAx>
        <c:axId val="1232523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91857024"/>
        <c:crosses val="autoZero"/>
        <c:auto val="1"/>
        <c:lblAlgn val="ctr"/>
        <c:lblOffset val="100"/>
        <c:noMultiLvlLbl val="0"/>
      </c:catAx>
      <c:valAx>
        <c:axId val="10918570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325237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470107903178768"/>
          <c:y val="4.4057617797775277E-2"/>
          <c:w val="0.599611690417722"/>
          <c:h val="0.80809836270466195"/>
        </c:manualLayout>
      </c:layout>
      <c:lineChart>
        <c:grouping val="standard"/>
        <c:varyColors val="0"/>
        <c:ser>
          <c:idx val="0"/>
          <c:order val="0"/>
          <c:tx>
            <c:strRef>
              <c:f>Sheet1!$A$2</c:f>
              <c:strCache>
                <c:ptCount val="1"/>
                <c:pt idx="0">
                  <c:v>Before IPE Services Developed (Eligible Status)</c:v>
                </c:pt>
              </c:strCache>
            </c:strRef>
          </c:tx>
          <c:spPr>
            <a:ln w="22225">
              <a:solidFill>
                <a:srgbClr val="404F6B"/>
              </a:solidFill>
            </a:ln>
          </c:spPr>
          <c:marker>
            <c:symbol val="circle"/>
            <c:size val="6"/>
          </c:marker>
          <c:dLbls>
            <c:dLbl>
              <c:idx val="1"/>
              <c:layout>
                <c:manualLayout>
                  <c:x val="-1.4423868312757278E-2"/>
                  <c:y val="-3.192857750636531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850-4155-9CFA-2F3EB29B8345}"/>
                </c:ext>
              </c:extLst>
            </c:dLbl>
            <c:dLbl>
              <c:idx val="2"/>
              <c:layout>
                <c:manualLayout>
                  <c:x val="-4.1358024691357268E-3"/>
                  <c:y val="-9.510397235258316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850-4155-9CFA-2F3EB29B8345}"/>
                </c:ext>
              </c:extLst>
            </c:dLbl>
            <c:spPr>
              <a:noFill/>
              <a:ln>
                <a:noFill/>
              </a:ln>
              <a:effectLst/>
            </c:spPr>
            <c:txPr>
              <a:bodyPr wrap="square" lIns="38100" tIns="19050" rIns="38100" bIns="19050" anchor="ctr">
                <a:spAutoFit/>
              </a:bodyPr>
              <a:lstStyle/>
              <a:p>
                <a:pPr>
                  <a:defRPr b="1" baseline="0">
                    <a:solidFill>
                      <a:schemeClr val="accent1"/>
                    </a:solidFill>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FFY 2021 (n=2,487)</c:v>
                </c:pt>
                <c:pt idx="1">
                  <c:v>FFY 2022 (n=2,951)</c:v>
                </c:pt>
                <c:pt idx="2">
                  <c:v>FFY 2023 (n=2,888)</c:v>
                </c:pt>
              </c:strCache>
            </c:strRef>
          </c:cat>
          <c:val>
            <c:numRef>
              <c:f>Sheet1!$B$2:$D$2</c:f>
              <c:numCache>
                <c:formatCode>#,##0</c:formatCode>
                <c:ptCount val="3"/>
                <c:pt idx="0">
                  <c:v>438</c:v>
                </c:pt>
                <c:pt idx="1">
                  <c:v>516</c:v>
                </c:pt>
                <c:pt idx="2">
                  <c:v>451</c:v>
                </c:pt>
              </c:numCache>
            </c:numRef>
          </c:val>
          <c:smooth val="0"/>
          <c:extLst>
            <c:ext xmlns:c16="http://schemas.microsoft.com/office/drawing/2014/chart" uri="{C3380CC4-5D6E-409C-BE32-E72D297353CC}">
              <c16:uniqueId val="{00000000-AF18-485A-A3D2-D8EC3AA8F82A}"/>
            </c:ext>
          </c:extLst>
        </c:ser>
        <c:ser>
          <c:idx val="1"/>
          <c:order val="1"/>
          <c:tx>
            <c:strRef>
              <c:f>Sheet1!$A$3</c:f>
              <c:strCache>
                <c:ptCount val="1"/>
                <c:pt idx="0">
                  <c:v>Services Initiated without Employment (Service Status)</c:v>
                </c:pt>
              </c:strCache>
            </c:strRef>
          </c:tx>
          <c:spPr>
            <a:ln w="22225"/>
          </c:spPr>
          <c:marker>
            <c:symbol val="square"/>
            <c:size val="5"/>
          </c:marker>
          <c:dLbls>
            <c:dLbl>
              <c:idx val="2"/>
              <c:layout>
                <c:manualLayout>
                  <c:x val="-5.8450122048133012E-2"/>
                  <c:y val="-4.001790328793574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F18-485A-A3D2-D8EC3AA8F82A}"/>
                </c:ext>
              </c:extLst>
            </c:dLbl>
            <c:spPr>
              <a:noFill/>
              <a:ln>
                <a:noFill/>
              </a:ln>
              <a:effectLst/>
            </c:spPr>
            <c:txPr>
              <a:bodyPr wrap="square" lIns="38100" tIns="19050" rIns="38100" bIns="19050" anchor="ctr">
                <a:spAutoFit/>
              </a:bodyPr>
              <a:lstStyle/>
              <a:p>
                <a:pPr>
                  <a:defRPr b="1" baseline="0">
                    <a:solidFill>
                      <a:schemeClr val="accent2">
                        <a:lumMod val="75000"/>
                      </a:schemeClr>
                    </a:solidFill>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FFY 2021 (n=2,487)</c:v>
                </c:pt>
                <c:pt idx="1">
                  <c:v>FFY 2022 (n=2,951)</c:v>
                </c:pt>
                <c:pt idx="2">
                  <c:v>FFY 2023 (n=2,888)</c:v>
                </c:pt>
              </c:strCache>
            </c:strRef>
          </c:cat>
          <c:val>
            <c:numRef>
              <c:f>Sheet1!$B$3:$D$3</c:f>
              <c:numCache>
                <c:formatCode>#,##0</c:formatCode>
                <c:ptCount val="3"/>
                <c:pt idx="0">
                  <c:v>1185</c:v>
                </c:pt>
                <c:pt idx="1">
                  <c:v>1445</c:v>
                </c:pt>
                <c:pt idx="2">
                  <c:v>1367</c:v>
                </c:pt>
              </c:numCache>
            </c:numRef>
          </c:val>
          <c:smooth val="0"/>
          <c:extLst>
            <c:ext xmlns:c16="http://schemas.microsoft.com/office/drawing/2014/chart" uri="{C3380CC4-5D6E-409C-BE32-E72D297353CC}">
              <c16:uniqueId val="{00000002-AF18-485A-A3D2-D8EC3AA8F82A}"/>
            </c:ext>
          </c:extLst>
        </c:ser>
        <c:ser>
          <c:idx val="2"/>
          <c:order val="2"/>
          <c:tx>
            <c:strRef>
              <c:f>Sheet1!$A$4</c:f>
              <c:strCache>
                <c:ptCount val="1"/>
                <c:pt idx="0">
                  <c:v>Achieved Employment Outcomes (Employed Status)</c:v>
                </c:pt>
              </c:strCache>
            </c:strRef>
          </c:tx>
          <c:spPr>
            <a:ln w="22225">
              <a:solidFill>
                <a:schemeClr val="accent3"/>
              </a:solidFill>
            </a:ln>
          </c:spPr>
          <c:marker>
            <c:symbol val="triangle"/>
            <c:size val="5"/>
          </c:marker>
          <c:dLbls>
            <c:dLbl>
              <c:idx val="1"/>
              <c:layout>
                <c:manualLayout>
                  <c:x val="-3.1913580246913653E-2"/>
                  <c:y val="-7.349133727361392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850-4155-9CFA-2F3EB29B8345}"/>
                </c:ext>
              </c:extLst>
            </c:dLbl>
            <c:dLbl>
              <c:idx val="2"/>
              <c:layout>
                <c:manualLayout>
                  <c:x val="-5.8450122048133012E-2"/>
                  <c:y val="3.128334448390029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F18-485A-A3D2-D8EC3AA8F82A}"/>
                </c:ext>
              </c:extLst>
            </c:dLbl>
            <c:spPr>
              <a:noFill/>
              <a:ln>
                <a:noFill/>
              </a:ln>
              <a:effectLst/>
            </c:spPr>
            <c:txPr>
              <a:bodyPr wrap="square" lIns="38100" tIns="19050" rIns="38100" bIns="19050" anchor="ctr">
                <a:spAutoFit/>
              </a:bodyPr>
              <a:lstStyle/>
              <a:p>
                <a:pPr>
                  <a:defRPr b="1">
                    <a:solidFill>
                      <a:schemeClr val="bg2">
                        <a:lumMod val="50000"/>
                      </a:schemeClr>
                    </a:solidFill>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Sheet1!$B$1:$D$1</c:f>
              <c:strCache>
                <c:ptCount val="3"/>
                <c:pt idx="0">
                  <c:v>FFY 2021 (n=2,487)</c:v>
                </c:pt>
                <c:pt idx="1">
                  <c:v>FFY 2022 (n=2,951)</c:v>
                </c:pt>
                <c:pt idx="2">
                  <c:v>FFY 2023 (n=2,888)</c:v>
                </c:pt>
              </c:strCache>
            </c:strRef>
          </c:cat>
          <c:val>
            <c:numRef>
              <c:f>Sheet1!$B$4:$D$4</c:f>
              <c:numCache>
                <c:formatCode>#,##0</c:formatCode>
                <c:ptCount val="3"/>
                <c:pt idx="0">
                  <c:v>508</c:v>
                </c:pt>
                <c:pt idx="1">
                  <c:v>523</c:v>
                </c:pt>
                <c:pt idx="2">
                  <c:v>440</c:v>
                </c:pt>
              </c:numCache>
            </c:numRef>
          </c:val>
          <c:smooth val="0"/>
          <c:extLst>
            <c:ext xmlns:c16="http://schemas.microsoft.com/office/drawing/2014/chart" uri="{C3380CC4-5D6E-409C-BE32-E72D297353CC}">
              <c16:uniqueId val="{00000004-AF18-485A-A3D2-D8EC3AA8F82A}"/>
            </c:ext>
          </c:extLst>
        </c:ser>
        <c:ser>
          <c:idx val="3"/>
          <c:order val="3"/>
          <c:tx>
            <c:strRef>
              <c:f>Sheet1!$A$5</c:f>
              <c:strCache>
                <c:ptCount val="1"/>
                <c:pt idx="0">
                  <c:v>As Applicant (Application Status)</c:v>
                </c:pt>
              </c:strCache>
            </c:strRef>
          </c:tx>
          <c:spPr>
            <a:ln w="22225">
              <a:solidFill>
                <a:srgbClr val="0070C0"/>
              </a:solidFill>
            </a:ln>
          </c:spPr>
          <c:marker>
            <c:symbol val="x"/>
            <c:size val="5"/>
            <c:spPr>
              <a:ln w="22225">
                <a:solidFill>
                  <a:srgbClr val="0070C0"/>
                </a:solidFill>
              </a:ln>
            </c:spPr>
          </c:marker>
          <c:dLbls>
            <c:dLbl>
              <c:idx val="2"/>
              <c:layout>
                <c:manualLayout>
                  <c:x val="-9.2798353909465028E-3"/>
                  <c:y val="4.356615024119491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850-4155-9CFA-2F3EB29B8345}"/>
                </c:ext>
              </c:extLst>
            </c:dLbl>
            <c:spPr>
              <a:noFill/>
              <a:ln>
                <a:noFill/>
              </a:ln>
              <a:effectLst/>
            </c:spPr>
            <c:txPr>
              <a:bodyPr wrap="square" lIns="38100" tIns="19050" rIns="38100" bIns="19050" anchor="ctr">
                <a:spAutoFit/>
              </a:bodyPr>
              <a:lstStyle/>
              <a:p>
                <a:pPr>
                  <a:defRPr baseline="0">
                    <a:solidFill>
                      <a:srgbClr val="0070C0"/>
                    </a:solidFill>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Sheet1!$B$1:$D$1</c:f>
              <c:strCache>
                <c:ptCount val="3"/>
                <c:pt idx="0">
                  <c:v>FFY 2021 (n=2,487)</c:v>
                </c:pt>
                <c:pt idx="1">
                  <c:v>FFY 2022 (n=2,951)</c:v>
                </c:pt>
                <c:pt idx="2">
                  <c:v>FFY 2023 (n=2,888)</c:v>
                </c:pt>
              </c:strCache>
            </c:strRef>
          </c:cat>
          <c:val>
            <c:numRef>
              <c:f>Sheet1!$B$5:$D$5</c:f>
              <c:numCache>
                <c:formatCode>#,##0</c:formatCode>
                <c:ptCount val="3"/>
                <c:pt idx="0">
                  <c:v>325</c:v>
                </c:pt>
                <c:pt idx="1">
                  <c:v>434</c:v>
                </c:pt>
                <c:pt idx="2">
                  <c:v>566</c:v>
                </c:pt>
              </c:numCache>
            </c:numRef>
          </c:val>
          <c:smooth val="0"/>
          <c:extLst>
            <c:ext xmlns:c16="http://schemas.microsoft.com/office/drawing/2014/chart" uri="{C3380CC4-5D6E-409C-BE32-E72D297353CC}">
              <c16:uniqueId val="{00000005-AF18-485A-A3D2-D8EC3AA8F82A}"/>
            </c:ext>
          </c:extLst>
        </c:ser>
        <c:ser>
          <c:idx val="4"/>
          <c:order val="4"/>
          <c:tx>
            <c:strRef>
              <c:f>Sheet1!$A$6</c:f>
              <c:strCache>
                <c:ptCount val="1"/>
                <c:pt idx="0">
                  <c:v>From OOS Waiting List (Delayed Status)</c:v>
                </c:pt>
              </c:strCache>
            </c:strRef>
          </c:tx>
          <c:spPr>
            <a:ln w="22225" cmpd="sng">
              <a:solidFill>
                <a:srgbClr val="7030A0"/>
              </a:solidFill>
              <a:prstDash val="solid"/>
            </a:ln>
          </c:spPr>
          <c:marker>
            <c:symbol val="plus"/>
            <c:size val="8"/>
            <c:spPr>
              <a:noFill/>
              <a:ln w="15875">
                <a:solidFill>
                  <a:srgbClr val="7030A0"/>
                </a:solidFill>
              </a:ln>
            </c:spPr>
          </c:marker>
          <c:dLbls>
            <c:spPr>
              <a:noFill/>
              <a:ln>
                <a:noFill/>
              </a:ln>
              <a:effectLst/>
            </c:spPr>
            <c:txPr>
              <a:bodyPr wrap="square" lIns="38100" tIns="19050" rIns="38100" bIns="19050" anchor="ctr">
                <a:spAutoFit/>
              </a:bodyPr>
              <a:lstStyle/>
              <a:p>
                <a:pPr>
                  <a:defRPr>
                    <a:solidFill>
                      <a:srgbClr val="7030A0"/>
                    </a:solidFill>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Sheet1!$B$1:$D$1</c:f>
              <c:strCache>
                <c:ptCount val="3"/>
                <c:pt idx="0">
                  <c:v>FFY 2021 (n=2,487)</c:v>
                </c:pt>
                <c:pt idx="1">
                  <c:v>FFY 2022 (n=2,951)</c:v>
                </c:pt>
                <c:pt idx="2">
                  <c:v>FFY 2023 (n=2,888)</c:v>
                </c:pt>
              </c:strCache>
            </c:strRef>
          </c:cat>
          <c:val>
            <c:numRef>
              <c:f>Sheet1!$B$6:$D$6</c:f>
              <c:numCache>
                <c:formatCode>#,##0</c:formatCode>
                <c:ptCount val="3"/>
                <c:pt idx="0">
                  <c:v>31</c:v>
                </c:pt>
                <c:pt idx="1">
                  <c:v>33</c:v>
                </c:pt>
                <c:pt idx="2">
                  <c:v>64</c:v>
                </c:pt>
              </c:numCache>
            </c:numRef>
          </c:val>
          <c:smooth val="0"/>
          <c:extLst>
            <c:ext xmlns:c16="http://schemas.microsoft.com/office/drawing/2014/chart" uri="{C3380CC4-5D6E-409C-BE32-E72D297353CC}">
              <c16:uniqueId val="{00000006-AF18-485A-A3D2-D8EC3AA8F82A}"/>
            </c:ext>
          </c:extLst>
        </c:ser>
        <c:dLbls>
          <c:showLegendKey val="0"/>
          <c:showVal val="0"/>
          <c:showCatName val="0"/>
          <c:showSerName val="0"/>
          <c:showPercent val="0"/>
          <c:showBubbleSize val="0"/>
        </c:dLbls>
        <c:marker val="1"/>
        <c:smooth val="0"/>
        <c:axId val="42685184"/>
        <c:axId val="42686720"/>
      </c:lineChart>
      <c:catAx>
        <c:axId val="42685184"/>
        <c:scaling>
          <c:orientation val="minMax"/>
        </c:scaling>
        <c:delete val="0"/>
        <c:axPos val="b"/>
        <c:numFmt formatCode="General" sourceLinked="0"/>
        <c:majorTickMark val="out"/>
        <c:minorTickMark val="none"/>
        <c:tickLblPos val="nextTo"/>
        <c:crossAx val="42686720"/>
        <c:crosses val="autoZero"/>
        <c:auto val="1"/>
        <c:lblAlgn val="ctr"/>
        <c:lblOffset val="100"/>
        <c:noMultiLvlLbl val="0"/>
      </c:catAx>
      <c:valAx>
        <c:axId val="42686720"/>
        <c:scaling>
          <c:orientation val="minMax"/>
          <c:max val="1800"/>
        </c:scaling>
        <c:delete val="0"/>
        <c:axPos val="l"/>
        <c:majorGridlines>
          <c:spPr>
            <a:ln>
              <a:noFill/>
            </a:ln>
          </c:spPr>
        </c:majorGridlines>
        <c:title>
          <c:tx>
            <c:rich>
              <a:bodyPr/>
              <a:lstStyle/>
              <a:p>
                <a:pPr>
                  <a:defRPr/>
                </a:pPr>
                <a:r>
                  <a:rPr lang="en-US"/>
                  <a:t>Number of Closures</a:t>
                </a:r>
              </a:p>
            </c:rich>
          </c:tx>
          <c:layout>
            <c:manualLayout>
              <c:xMode val="edge"/>
              <c:yMode val="edge"/>
              <c:x val="1.1574074074074073E-2"/>
              <c:y val="0.27715441819772529"/>
            </c:manualLayout>
          </c:layout>
          <c:overlay val="0"/>
        </c:title>
        <c:numFmt formatCode="#,##0" sourceLinked="1"/>
        <c:majorTickMark val="out"/>
        <c:minorTickMark val="none"/>
        <c:tickLblPos val="nextTo"/>
        <c:crossAx val="42685184"/>
        <c:crosses val="autoZero"/>
        <c:crossBetween val="between"/>
        <c:majorUnit val="200"/>
      </c:valAx>
      <c:spPr>
        <a:ln>
          <a:noFill/>
        </a:ln>
      </c:spPr>
    </c:plotArea>
    <c:legend>
      <c:legendPos val="r"/>
      <c:layout>
        <c:manualLayout>
          <c:xMode val="edge"/>
          <c:yMode val="edge"/>
          <c:x val="0.72338665980580719"/>
          <c:y val="2.1506374203224599E-2"/>
          <c:w val="0.26598264487606593"/>
          <c:h val="0.96312559823521371"/>
        </c:manualLayout>
      </c:layout>
      <c:overlay val="0"/>
      <c:spPr>
        <a:solidFill>
          <a:schemeClr val="bg1">
            <a:lumMod val="95000"/>
          </a:schemeClr>
        </a:solidFill>
        <a:ln>
          <a:solidFill>
            <a:schemeClr val="bg1">
              <a:lumMod val="50000"/>
            </a:schemeClr>
          </a:solidFill>
        </a:ln>
      </c:spPr>
      <c:txPr>
        <a:bodyPr/>
        <a:lstStyle/>
        <a:p>
          <a:pPr>
            <a:defRPr sz="1000"/>
          </a:pPr>
          <a:endParaRPr lang="en-US"/>
        </a:p>
      </c:txPr>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manualLayout>
          <c:layoutTarget val="inner"/>
          <c:xMode val="edge"/>
          <c:yMode val="edge"/>
          <c:x val="0.14611311606882474"/>
          <c:y val="0.2054299462567179"/>
          <c:w val="0.82842392096821227"/>
          <c:h val="0.6951587301587302"/>
        </c:manualLayout>
      </c:layout>
      <c:barChart>
        <c:barDir val="col"/>
        <c:grouping val="stacked"/>
        <c:varyColors val="0"/>
        <c:ser>
          <c:idx val="0"/>
          <c:order val="0"/>
          <c:tx>
            <c:strRef>
              <c:f>Sheet1!$A$2</c:f>
              <c:strCache>
                <c:ptCount val="1"/>
                <c:pt idx="0">
                  <c:v>Application to Eligibility </c:v>
                </c:pt>
              </c:strCache>
            </c:strRef>
          </c:tx>
          <c:invertIfNegative val="0"/>
          <c:dLbls>
            <c:spPr>
              <a:noFill/>
              <a:ln>
                <a:noFill/>
              </a:ln>
              <a:effectLst/>
            </c:spPr>
            <c:txPr>
              <a:bodyPr/>
              <a:lstStyle/>
              <a:p>
                <a:pPr>
                  <a:defRPr b="1">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FFY 2021</c:v>
                </c:pt>
                <c:pt idx="1">
                  <c:v>FFY 2022</c:v>
                </c:pt>
                <c:pt idx="2">
                  <c:v>FFY 2023</c:v>
                </c:pt>
              </c:strCache>
            </c:strRef>
          </c:cat>
          <c:val>
            <c:numRef>
              <c:f>Sheet1!$B$2:$D$2</c:f>
              <c:numCache>
                <c:formatCode>0.0</c:formatCode>
                <c:ptCount val="3"/>
                <c:pt idx="0">
                  <c:v>1.8</c:v>
                </c:pt>
                <c:pt idx="1">
                  <c:v>1.7</c:v>
                </c:pt>
                <c:pt idx="2">
                  <c:v>1.6</c:v>
                </c:pt>
              </c:numCache>
            </c:numRef>
          </c:val>
          <c:extLst>
            <c:ext xmlns:c16="http://schemas.microsoft.com/office/drawing/2014/chart" uri="{C3380CC4-5D6E-409C-BE32-E72D297353CC}">
              <c16:uniqueId val="{00000000-6CAE-4C40-8791-D6664EA304D8}"/>
            </c:ext>
          </c:extLst>
        </c:ser>
        <c:ser>
          <c:idx val="1"/>
          <c:order val="1"/>
          <c:tx>
            <c:strRef>
              <c:f>Sheet1!$A$3</c:f>
              <c:strCache>
                <c:ptCount val="1"/>
                <c:pt idx="0">
                  <c:v>Eligibility to IPE </c:v>
                </c:pt>
              </c:strCache>
            </c:strRef>
          </c:tx>
          <c:invertIfNegative val="0"/>
          <c:dLbls>
            <c:spPr>
              <a:noFill/>
              <a:ln>
                <a:noFill/>
              </a:ln>
              <a:effectLst/>
            </c:spPr>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FFY 2021</c:v>
                </c:pt>
                <c:pt idx="1">
                  <c:v>FFY 2022</c:v>
                </c:pt>
                <c:pt idx="2">
                  <c:v>FFY 2023</c:v>
                </c:pt>
              </c:strCache>
            </c:strRef>
          </c:cat>
          <c:val>
            <c:numRef>
              <c:f>Sheet1!$B$3:$D$3</c:f>
              <c:numCache>
                <c:formatCode>0.0</c:formatCode>
                <c:ptCount val="3"/>
                <c:pt idx="0">
                  <c:v>2.1</c:v>
                </c:pt>
                <c:pt idx="1">
                  <c:v>2.5</c:v>
                </c:pt>
                <c:pt idx="2">
                  <c:v>2.2000000000000002</c:v>
                </c:pt>
              </c:numCache>
            </c:numRef>
          </c:val>
          <c:extLst>
            <c:ext xmlns:c16="http://schemas.microsoft.com/office/drawing/2014/chart" uri="{C3380CC4-5D6E-409C-BE32-E72D297353CC}">
              <c16:uniqueId val="{00000001-6CAE-4C40-8791-D6664EA304D8}"/>
            </c:ext>
          </c:extLst>
        </c:ser>
        <c:ser>
          <c:idx val="2"/>
          <c:order val="2"/>
          <c:tx>
            <c:strRef>
              <c:f>Sheet1!$A$4</c:f>
              <c:strCache>
                <c:ptCount val="1"/>
                <c:pt idx="0">
                  <c:v>IPE to Closure </c:v>
                </c:pt>
              </c:strCache>
            </c:strRef>
          </c:tx>
          <c:invertIfNegative val="0"/>
          <c:dLbls>
            <c:spPr>
              <a:noFill/>
              <a:ln>
                <a:noFill/>
              </a:ln>
              <a:effectLst/>
            </c:spPr>
            <c:txPr>
              <a:bodyPr/>
              <a:lstStyle/>
              <a:p>
                <a:pPr>
                  <a:defRPr b="1">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FFY 2021</c:v>
                </c:pt>
                <c:pt idx="1">
                  <c:v>FFY 2022</c:v>
                </c:pt>
                <c:pt idx="2">
                  <c:v>FFY 2023</c:v>
                </c:pt>
              </c:strCache>
            </c:strRef>
          </c:cat>
          <c:val>
            <c:numRef>
              <c:f>Sheet1!$B$4:$D$4</c:f>
              <c:numCache>
                <c:formatCode>0.0</c:formatCode>
                <c:ptCount val="3"/>
                <c:pt idx="0">
                  <c:v>23</c:v>
                </c:pt>
                <c:pt idx="1">
                  <c:v>26.9</c:v>
                </c:pt>
                <c:pt idx="2">
                  <c:v>26.7</c:v>
                </c:pt>
              </c:numCache>
            </c:numRef>
          </c:val>
          <c:extLst>
            <c:ext xmlns:c16="http://schemas.microsoft.com/office/drawing/2014/chart" uri="{C3380CC4-5D6E-409C-BE32-E72D297353CC}">
              <c16:uniqueId val="{00000002-6CAE-4C40-8791-D6664EA304D8}"/>
            </c:ext>
          </c:extLst>
        </c:ser>
        <c:ser>
          <c:idx val="3"/>
          <c:order val="3"/>
          <c:tx>
            <c:strRef>
              <c:f>Sheet1!$A$5</c:f>
              <c:strCache>
                <c:ptCount val="1"/>
                <c:pt idx="0">
                  <c:v>Total</c:v>
                </c:pt>
              </c:strCache>
            </c:strRef>
          </c:tx>
          <c:spPr>
            <a:noFill/>
            <a:ln>
              <a:noFill/>
            </a:ln>
            <a:effectLst/>
          </c:spPr>
          <c:invertIfNegative val="0"/>
          <c:dLbls>
            <c:spPr>
              <a:noFill/>
              <a:ln>
                <a:noFill/>
              </a:ln>
              <a:effectLst/>
            </c:spPr>
            <c:txPr>
              <a:bodyPr wrap="square" lIns="38100" tIns="19050" rIns="38100" bIns="19050" anchor="ctr">
                <a:spAutoFit/>
              </a:bodyPr>
              <a:lstStyle/>
              <a:p>
                <a:pPr>
                  <a:defRPr b="1"/>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Sheet1!$B$1:$D$1</c:f>
              <c:strCache>
                <c:ptCount val="3"/>
                <c:pt idx="0">
                  <c:v>FFY 2021</c:v>
                </c:pt>
                <c:pt idx="1">
                  <c:v>FFY 2022</c:v>
                </c:pt>
                <c:pt idx="2">
                  <c:v>FFY 2023</c:v>
                </c:pt>
              </c:strCache>
            </c:strRef>
          </c:cat>
          <c:val>
            <c:numRef>
              <c:f>Sheet1!$B$5:$D$5</c:f>
              <c:numCache>
                <c:formatCode>0.0</c:formatCode>
                <c:ptCount val="3"/>
                <c:pt idx="0">
                  <c:v>26.9</c:v>
                </c:pt>
                <c:pt idx="1">
                  <c:v>31</c:v>
                </c:pt>
                <c:pt idx="2">
                  <c:v>30.5</c:v>
                </c:pt>
              </c:numCache>
            </c:numRef>
          </c:val>
          <c:extLst>
            <c:ext xmlns:c16="http://schemas.microsoft.com/office/drawing/2014/chart" uri="{C3380CC4-5D6E-409C-BE32-E72D297353CC}">
              <c16:uniqueId val="{00000003-6CAE-4C40-8791-D6664EA304D8}"/>
            </c:ext>
          </c:extLst>
        </c:ser>
        <c:dLbls>
          <c:showLegendKey val="0"/>
          <c:showVal val="0"/>
          <c:showCatName val="0"/>
          <c:showSerName val="0"/>
          <c:showPercent val="0"/>
          <c:showBubbleSize val="0"/>
        </c:dLbls>
        <c:gapWidth val="150"/>
        <c:overlap val="100"/>
        <c:axId val="42727296"/>
        <c:axId val="42728832"/>
      </c:barChart>
      <c:catAx>
        <c:axId val="42727296"/>
        <c:scaling>
          <c:orientation val="minMax"/>
        </c:scaling>
        <c:delete val="0"/>
        <c:axPos val="b"/>
        <c:numFmt formatCode="General" sourceLinked="0"/>
        <c:majorTickMark val="out"/>
        <c:minorTickMark val="none"/>
        <c:tickLblPos val="nextTo"/>
        <c:crossAx val="42728832"/>
        <c:crosses val="autoZero"/>
        <c:auto val="1"/>
        <c:lblAlgn val="ctr"/>
        <c:lblOffset val="100"/>
        <c:noMultiLvlLbl val="0"/>
      </c:catAx>
      <c:valAx>
        <c:axId val="42728832"/>
        <c:scaling>
          <c:orientation val="minMax"/>
          <c:max val="36"/>
        </c:scaling>
        <c:delete val="0"/>
        <c:axPos val="l"/>
        <c:title>
          <c:tx>
            <c:rich>
              <a:bodyPr rot="-5400000" vert="horz"/>
              <a:lstStyle/>
              <a:p>
                <a:pPr>
                  <a:defRPr/>
                </a:pPr>
                <a:r>
                  <a:rPr lang="en-US"/>
                  <a:t>Average Number of Months</a:t>
                </a:r>
              </a:p>
            </c:rich>
          </c:tx>
          <c:layout>
            <c:manualLayout>
              <c:xMode val="edge"/>
              <c:yMode val="edge"/>
              <c:x val="1.8518518518518517E-2"/>
              <c:y val="0.31144169478815148"/>
            </c:manualLayout>
          </c:layout>
          <c:overlay val="0"/>
        </c:title>
        <c:numFmt formatCode="0" sourceLinked="0"/>
        <c:majorTickMark val="out"/>
        <c:minorTickMark val="none"/>
        <c:tickLblPos val="nextTo"/>
        <c:crossAx val="42727296"/>
        <c:crosses val="autoZero"/>
        <c:crossBetween val="between"/>
        <c:majorUnit val="6"/>
        <c:minorUnit val="0.4"/>
      </c:valAx>
      <c:spPr>
        <a:ln>
          <a:noFill/>
        </a:ln>
      </c:spPr>
    </c:plotArea>
    <c:legend>
      <c:legendPos val="t"/>
      <c:legendEntry>
        <c:idx val="3"/>
        <c:delete val="1"/>
      </c:legendEntry>
      <c:layout>
        <c:manualLayout>
          <c:xMode val="edge"/>
          <c:yMode val="edge"/>
          <c:x val="0.18317056722076408"/>
          <c:y val="1.5873015873015872E-2"/>
          <c:w val="0.65217738407699033"/>
          <c:h val="0.16930883639545058"/>
        </c:manualLayout>
      </c:layout>
      <c:overlay val="0"/>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lineChart>
        <c:grouping val="standard"/>
        <c:varyColors val="0"/>
        <c:ser>
          <c:idx val="0"/>
          <c:order val="0"/>
          <c:tx>
            <c:strRef>
              <c:f>Sheet1!$A$2</c:f>
              <c:strCache>
                <c:ptCount val="1"/>
                <c:pt idx="0">
                  <c:v>Received IPE Services</c:v>
                </c:pt>
              </c:strCache>
            </c:strRef>
          </c:tx>
          <c:spPr>
            <a:ln w="12700">
              <a:solidFill>
                <a:schemeClr val="accent1"/>
              </a:solidFill>
              <a:prstDash val="dash"/>
            </a:ln>
          </c:spPr>
          <c:marker>
            <c:symbol val="square"/>
            <c:size val="5"/>
          </c:marker>
          <c:dPt>
            <c:idx val="1"/>
            <c:bubble3D val="0"/>
            <c:spPr>
              <a:ln w="12700">
                <a:solidFill>
                  <a:schemeClr val="accent1"/>
                </a:solidFill>
                <a:prstDash val="lgDash"/>
              </a:ln>
            </c:spPr>
            <c:extLst>
              <c:ext xmlns:c16="http://schemas.microsoft.com/office/drawing/2014/chart" uri="{C3380CC4-5D6E-409C-BE32-E72D297353CC}">
                <c16:uniqueId val="{00000001-5E7C-4FE2-BD29-570B705B9906}"/>
              </c:ext>
            </c:extLst>
          </c:dPt>
          <c:dPt>
            <c:idx val="2"/>
            <c:bubble3D val="0"/>
            <c:spPr>
              <a:ln w="12700">
                <a:solidFill>
                  <a:schemeClr val="accent1"/>
                </a:solidFill>
                <a:prstDash val="lgDash"/>
              </a:ln>
            </c:spPr>
            <c:extLst>
              <c:ext xmlns:c16="http://schemas.microsoft.com/office/drawing/2014/chart" uri="{C3380CC4-5D6E-409C-BE32-E72D297353CC}">
                <c16:uniqueId val="{00000003-5E7C-4FE2-BD29-570B705B9906}"/>
              </c:ext>
            </c:extLst>
          </c:dPt>
          <c:dLbls>
            <c:dLbl>
              <c:idx val="1"/>
              <c:layout>
                <c:manualLayout>
                  <c:x val="-5.6445916114790287E-2"/>
                  <c:y val="3.561429821272341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E7C-4FE2-BD29-570B705B9906}"/>
                </c:ext>
              </c:extLst>
            </c:dLbl>
            <c:dLbl>
              <c:idx val="2"/>
              <c:layout>
                <c:manualLayout>
                  <c:x val="-2.9955849889624724E-2"/>
                  <c:y val="-2.818460192475947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E7C-4FE2-BD29-570B705B9906}"/>
                </c:ext>
              </c:extLst>
            </c:dLbl>
            <c:spPr>
              <a:noFill/>
              <a:ln>
                <a:noFill/>
              </a:ln>
              <a:effectLst/>
            </c:spPr>
            <c:txPr>
              <a:bodyPr/>
              <a:lstStyle/>
              <a:p>
                <a:pPr>
                  <a:defRPr b="1">
                    <a:solidFill>
                      <a:schemeClr val="accent1"/>
                    </a:solidFill>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FFY 2021</c:v>
                </c:pt>
                <c:pt idx="1">
                  <c:v>FFY 2022</c:v>
                </c:pt>
                <c:pt idx="2">
                  <c:v>FFY 2023</c:v>
                </c:pt>
              </c:strCache>
            </c:strRef>
          </c:cat>
          <c:val>
            <c:numRef>
              <c:f>Sheet1!$B$2:$D$2</c:f>
              <c:numCache>
                <c:formatCode>#,##0.0</c:formatCode>
                <c:ptCount val="3"/>
                <c:pt idx="0">
                  <c:v>25.6</c:v>
                </c:pt>
                <c:pt idx="1">
                  <c:v>29</c:v>
                </c:pt>
                <c:pt idx="2">
                  <c:v>25.9</c:v>
                </c:pt>
              </c:numCache>
            </c:numRef>
          </c:val>
          <c:smooth val="0"/>
          <c:extLst>
            <c:ext xmlns:c16="http://schemas.microsoft.com/office/drawing/2014/chart" uri="{C3380CC4-5D6E-409C-BE32-E72D297353CC}">
              <c16:uniqueId val="{00000004-5E7C-4FE2-BD29-570B705B9906}"/>
            </c:ext>
          </c:extLst>
        </c:ser>
        <c:ser>
          <c:idx val="1"/>
          <c:order val="1"/>
          <c:tx>
            <c:strRef>
              <c:f>Sheet1!$A$3</c:f>
              <c:strCache>
                <c:ptCount val="1"/>
                <c:pt idx="0">
                  <c:v>Successful Closure</c:v>
                </c:pt>
              </c:strCache>
            </c:strRef>
          </c:tx>
          <c:spPr>
            <a:ln w="22225">
              <a:solidFill>
                <a:schemeClr val="accent2"/>
              </a:solidFill>
            </a:ln>
          </c:spPr>
          <c:marker>
            <c:symbol val="star"/>
            <c:size val="5"/>
          </c:marker>
          <c:dLbls>
            <c:spPr>
              <a:noFill/>
              <a:ln>
                <a:noFill/>
              </a:ln>
              <a:effectLst/>
            </c:spPr>
            <c:txPr>
              <a:bodyPr/>
              <a:lstStyle/>
              <a:p>
                <a:pPr>
                  <a:defRPr b="1">
                    <a:solidFill>
                      <a:schemeClr val="accent2">
                        <a:lumMod val="75000"/>
                      </a:schemeClr>
                    </a:solidFill>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FFY 2021</c:v>
                </c:pt>
                <c:pt idx="1">
                  <c:v>FFY 2022</c:v>
                </c:pt>
                <c:pt idx="2">
                  <c:v>FFY 2023</c:v>
                </c:pt>
              </c:strCache>
            </c:strRef>
          </c:cat>
          <c:val>
            <c:numRef>
              <c:f>Sheet1!$B$3:$D$3</c:f>
              <c:numCache>
                <c:formatCode>#,##0.0</c:formatCode>
                <c:ptCount val="3"/>
                <c:pt idx="0">
                  <c:v>23</c:v>
                </c:pt>
                <c:pt idx="1">
                  <c:v>26.9</c:v>
                </c:pt>
                <c:pt idx="2">
                  <c:v>26.7</c:v>
                </c:pt>
              </c:numCache>
            </c:numRef>
          </c:val>
          <c:smooth val="0"/>
          <c:extLst>
            <c:ext xmlns:c16="http://schemas.microsoft.com/office/drawing/2014/chart" uri="{C3380CC4-5D6E-409C-BE32-E72D297353CC}">
              <c16:uniqueId val="{00000005-5E7C-4FE2-BD29-570B705B9906}"/>
            </c:ext>
          </c:extLst>
        </c:ser>
        <c:ser>
          <c:idx val="2"/>
          <c:order val="2"/>
          <c:tx>
            <c:strRef>
              <c:f>Sheet1!$A$4</c:f>
              <c:strCache>
                <c:ptCount val="1"/>
                <c:pt idx="0">
                  <c:v>Closed Before IPE Developed</c:v>
                </c:pt>
              </c:strCache>
            </c:strRef>
          </c:tx>
          <c:spPr>
            <a:ln w="22225">
              <a:solidFill>
                <a:schemeClr val="accent4"/>
              </a:solidFill>
            </a:ln>
          </c:spPr>
          <c:marker>
            <c:symbol val="triangle"/>
            <c:size val="6"/>
          </c:marker>
          <c:dLbls>
            <c:spPr>
              <a:noFill/>
              <a:ln>
                <a:noFill/>
              </a:ln>
              <a:effectLst/>
            </c:spPr>
            <c:txPr>
              <a:bodyPr/>
              <a:lstStyle/>
              <a:p>
                <a:pPr>
                  <a:defRPr b="1">
                    <a:solidFill>
                      <a:schemeClr val="accent4"/>
                    </a:solidFill>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FFY 2021</c:v>
                </c:pt>
                <c:pt idx="1">
                  <c:v>FFY 2022</c:v>
                </c:pt>
                <c:pt idx="2">
                  <c:v>FFY 2023</c:v>
                </c:pt>
              </c:strCache>
            </c:strRef>
          </c:cat>
          <c:val>
            <c:numRef>
              <c:f>Sheet1!$B$4:$D$4</c:f>
              <c:numCache>
                <c:formatCode>#,##0.0</c:formatCode>
                <c:ptCount val="3"/>
                <c:pt idx="0">
                  <c:v>7.8</c:v>
                </c:pt>
                <c:pt idx="1">
                  <c:v>5.8</c:v>
                </c:pt>
                <c:pt idx="2">
                  <c:v>6.7</c:v>
                </c:pt>
              </c:numCache>
            </c:numRef>
          </c:val>
          <c:smooth val="0"/>
          <c:extLst>
            <c:ext xmlns:c16="http://schemas.microsoft.com/office/drawing/2014/chart" uri="{C3380CC4-5D6E-409C-BE32-E72D297353CC}">
              <c16:uniqueId val="{00000006-5E7C-4FE2-BD29-570B705B9906}"/>
            </c:ext>
          </c:extLst>
        </c:ser>
        <c:dLbls>
          <c:showLegendKey val="0"/>
          <c:showVal val="0"/>
          <c:showCatName val="0"/>
          <c:showSerName val="0"/>
          <c:showPercent val="0"/>
          <c:showBubbleSize val="0"/>
        </c:dLbls>
        <c:marker val="1"/>
        <c:smooth val="0"/>
        <c:axId val="42885504"/>
        <c:axId val="42887040"/>
      </c:lineChart>
      <c:catAx>
        <c:axId val="42885504"/>
        <c:scaling>
          <c:orientation val="minMax"/>
        </c:scaling>
        <c:delete val="0"/>
        <c:axPos val="b"/>
        <c:numFmt formatCode="General" sourceLinked="0"/>
        <c:majorTickMark val="none"/>
        <c:minorTickMark val="none"/>
        <c:tickLblPos val="nextTo"/>
        <c:crossAx val="42887040"/>
        <c:crosses val="autoZero"/>
        <c:auto val="1"/>
        <c:lblAlgn val="ctr"/>
        <c:lblOffset val="100"/>
        <c:noMultiLvlLbl val="0"/>
      </c:catAx>
      <c:valAx>
        <c:axId val="42887040"/>
        <c:scaling>
          <c:orientation val="minMax"/>
          <c:max val="55"/>
          <c:min val="0"/>
        </c:scaling>
        <c:delete val="0"/>
        <c:axPos val="l"/>
        <c:title>
          <c:tx>
            <c:rich>
              <a:bodyPr/>
              <a:lstStyle/>
              <a:p>
                <a:pPr>
                  <a:defRPr/>
                </a:pPr>
                <a:r>
                  <a:rPr lang="en-US"/>
                  <a:t>Average</a:t>
                </a:r>
                <a:r>
                  <a:rPr lang="en-US" baseline="0"/>
                  <a:t> Number of Months</a:t>
                </a:r>
              </a:p>
              <a:p>
                <a:pPr>
                  <a:defRPr/>
                </a:pPr>
                <a:r>
                  <a:rPr lang="en-US" baseline="0"/>
                  <a:t>from Application to Closure</a:t>
                </a:r>
                <a:endParaRPr lang="en-US"/>
              </a:p>
            </c:rich>
          </c:tx>
          <c:layout>
            <c:manualLayout>
              <c:xMode val="edge"/>
              <c:yMode val="edge"/>
              <c:x val="3.5320088300220751E-2"/>
              <c:y val="0.19490938632670915"/>
            </c:manualLayout>
          </c:layout>
          <c:overlay val="0"/>
        </c:title>
        <c:numFmt formatCode="#,##0.0" sourceLinked="1"/>
        <c:majorTickMark val="out"/>
        <c:minorTickMark val="none"/>
        <c:tickLblPos val="nextTo"/>
        <c:crossAx val="42885504"/>
        <c:crosses val="autoZero"/>
        <c:crossBetween val="between"/>
        <c:majorUnit val="5"/>
        <c:minorUnit val="5"/>
      </c:valAx>
      <c:dTable>
        <c:showHorzBorder val="1"/>
        <c:showVertBorder val="1"/>
        <c:showOutline val="1"/>
        <c:showKeys val="1"/>
      </c:dTable>
      <c:spPr>
        <a:ln>
          <a:solidFill>
            <a:schemeClr val="bg1">
              <a:lumMod val="50000"/>
            </a:schemeClr>
          </a:solidFill>
        </a:ln>
      </c:spPr>
    </c:plotArea>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Sensory</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delete val="1"/>
              <c:extLst>
                <c:ext xmlns:c15="http://schemas.microsoft.com/office/drawing/2012/chart" uri="{CE6537A1-D6FC-4f65-9D91-7224C49458BB}"/>
                <c:ext xmlns:c16="http://schemas.microsoft.com/office/drawing/2014/chart" uri="{C3380CC4-5D6E-409C-BE32-E72D297353CC}">
                  <c16:uniqueId val="{00000000-D2BB-426A-B877-640208F1C26B}"/>
                </c:ext>
              </c:extLst>
            </c:dLbl>
            <c:dLbl>
              <c:idx val="1"/>
              <c:delete val="1"/>
              <c:extLst>
                <c:ext xmlns:c15="http://schemas.microsoft.com/office/drawing/2012/chart" uri="{CE6537A1-D6FC-4f65-9D91-7224C49458BB}"/>
                <c:ext xmlns:c16="http://schemas.microsoft.com/office/drawing/2014/chart" uri="{C3380CC4-5D6E-409C-BE32-E72D297353CC}">
                  <c16:uniqueId val="{00000001-D2BB-426A-B877-640208F1C26B}"/>
                </c:ext>
              </c:extLst>
            </c:dLbl>
            <c:dLbl>
              <c:idx val="2"/>
              <c:layout>
                <c:manualLayout>
                  <c:x val="1.2042751768779166E-2"/>
                  <c:y val="-2.3636670606111767E-2"/>
                </c:manualLayout>
              </c:layout>
              <c:showLegendKey val="0"/>
              <c:showVal val="0"/>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2-D2BB-426A-B877-640208F1C26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1"/>
                    </a:solidFill>
                    <a:latin typeface="+mn-lt"/>
                    <a:ea typeface="+mn-ea"/>
                    <a:cs typeface="+mn-cs"/>
                  </a:defRPr>
                </a:pPr>
                <a:endParaRPr lang="en-US"/>
              </a:p>
            </c:txPr>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cat>
            <c:strRef>
              <c:f>Sheet1!$A$2:$A$5</c:f>
              <c:strCache>
                <c:ptCount val="3"/>
                <c:pt idx="0">
                  <c:v>FFY 2021</c:v>
                </c:pt>
                <c:pt idx="1">
                  <c:v>FFY 2022</c:v>
                </c:pt>
                <c:pt idx="2">
                  <c:v>FFY 2023</c:v>
                </c:pt>
              </c:strCache>
            </c:strRef>
          </c:cat>
          <c:val>
            <c:numRef>
              <c:f>Sheet1!$B$2:$B$5</c:f>
              <c:numCache>
                <c:formatCode>0.0%</c:formatCode>
                <c:ptCount val="4"/>
                <c:pt idx="0">
                  <c:v>0.60299999999999998</c:v>
                </c:pt>
                <c:pt idx="1">
                  <c:v>0.60699999999999998</c:v>
                </c:pt>
                <c:pt idx="2">
                  <c:v>0.48599999999999999</c:v>
                </c:pt>
              </c:numCache>
            </c:numRef>
          </c:val>
          <c:smooth val="0"/>
          <c:extLst>
            <c:ext xmlns:c16="http://schemas.microsoft.com/office/drawing/2014/chart" uri="{C3380CC4-5D6E-409C-BE32-E72D297353CC}">
              <c16:uniqueId val="{00000003-D2BB-426A-B877-640208F1C26B}"/>
            </c:ext>
          </c:extLst>
        </c:ser>
        <c:ser>
          <c:idx val="1"/>
          <c:order val="1"/>
          <c:tx>
            <c:strRef>
              <c:f>Sheet1!$C$1</c:f>
              <c:strCache>
                <c:ptCount val="1"/>
                <c:pt idx="0">
                  <c:v>Physical</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2"/>
              <c:showLegendKey val="0"/>
              <c:showVal val="0"/>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4-D2BB-426A-B877-640208F1C26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2"/>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FFY 2021</c:v>
                </c:pt>
                <c:pt idx="1">
                  <c:v>FFY 2022</c:v>
                </c:pt>
                <c:pt idx="2">
                  <c:v>FFY 2023</c:v>
                </c:pt>
              </c:strCache>
            </c:strRef>
          </c:cat>
          <c:val>
            <c:numRef>
              <c:f>Sheet1!$C$2:$C$5</c:f>
              <c:numCache>
                <c:formatCode>0.0%</c:formatCode>
                <c:ptCount val="4"/>
                <c:pt idx="0">
                  <c:v>0.29399999999999998</c:v>
                </c:pt>
                <c:pt idx="1">
                  <c:v>0.21099999999999999</c:v>
                </c:pt>
                <c:pt idx="2">
                  <c:v>0.251</c:v>
                </c:pt>
              </c:numCache>
            </c:numRef>
          </c:val>
          <c:smooth val="0"/>
          <c:extLst>
            <c:ext xmlns:c16="http://schemas.microsoft.com/office/drawing/2014/chart" uri="{C3380CC4-5D6E-409C-BE32-E72D297353CC}">
              <c16:uniqueId val="{00000005-D2BB-426A-B877-640208F1C26B}"/>
            </c:ext>
          </c:extLst>
        </c:ser>
        <c:ser>
          <c:idx val="2"/>
          <c:order val="2"/>
          <c:tx>
            <c:strRef>
              <c:f>Sheet1!$D$1</c:f>
              <c:strCache>
                <c:ptCount val="1"/>
                <c:pt idx="0">
                  <c:v>Mental</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dLbl>
              <c:idx val="0"/>
              <c:delete val="1"/>
              <c:extLst>
                <c:ext xmlns:c15="http://schemas.microsoft.com/office/drawing/2012/chart" uri="{CE6537A1-D6FC-4f65-9D91-7224C49458BB}"/>
                <c:ext xmlns:c16="http://schemas.microsoft.com/office/drawing/2014/chart" uri="{C3380CC4-5D6E-409C-BE32-E72D297353CC}">
                  <c16:uniqueId val="{00000006-D2BB-426A-B877-640208F1C26B}"/>
                </c:ext>
              </c:extLst>
            </c:dLbl>
            <c:dLbl>
              <c:idx val="1"/>
              <c:delete val="1"/>
              <c:extLst>
                <c:ext xmlns:c15="http://schemas.microsoft.com/office/drawing/2012/chart" uri="{CE6537A1-D6FC-4f65-9D91-7224C49458BB}"/>
                <c:ext xmlns:c16="http://schemas.microsoft.com/office/drawing/2014/chart" uri="{C3380CC4-5D6E-409C-BE32-E72D297353CC}">
                  <c16:uniqueId val="{00000007-D2BB-426A-B877-640208F1C26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3"/>
                    </a:solidFill>
                    <a:latin typeface="+mn-lt"/>
                    <a:ea typeface="+mn-ea"/>
                    <a:cs typeface="+mn-cs"/>
                  </a:defRPr>
                </a:pPr>
                <a:endParaRPr lang="en-US"/>
              </a:p>
            </c:txPr>
            <c:showLegendKey val="0"/>
            <c:showVal val="0"/>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FFY 2021</c:v>
                </c:pt>
                <c:pt idx="1">
                  <c:v>FFY 2022</c:v>
                </c:pt>
                <c:pt idx="2">
                  <c:v>FFY 2023</c:v>
                </c:pt>
              </c:strCache>
            </c:strRef>
          </c:cat>
          <c:val>
            <c:numRef>
              <c:f>Sheet1!$D$2:$D$5</c:f>
              <c:numCache>
                <c:formatCode>0.0%</c:formatCode>
                <c:ptCount val="4"/>
                <c:pt idx="0">
                  <c:v>0.16500000000000001</c:v>
                </c:pt>
                <c:pt idx="1">
                  <c:v>0.17399999999999999</c:v>
                </c:pt>
                <c:pt idx="2">
                  <c:v>0.13500000000000001</c:v>
                </c:pt>
              </c:numCache>
            </c:numRef>
          </c:val>
          <c:smooth val="0"/>
          <c:extLst>
            <c:ext xmlns:c16="http://schemas.microsoft.com/office/drawing/2014/chart" uri="{C3380CC4-5D6E-409C-BE32-E72D297353CC}">
              <c16:uniqueId val="{00000008-D2BB-426A-B877-640208F1C26B}"/>
            </c:ext>
          </c:extLst>
        </c:ser>
        <c:ser>
          <c:idx val="3"/>
          <c:order val="3"/>
          <c:tx>
            <c:strRef>
              <c:f>Sheet1!$E$1</c:f>
              <c:strCache>
                <c:ptCount val="1"/>
                <c:pt idx="0">
                  <c:v>Cognitive</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dLbl>
              <c:idx val="0"/>
              <c:delete val="1"/>
              <c:extLst>
                <c:ext xmlns:c15="http://schemas.microsoft.com/office/drawing/2012/chart" uri="{CE6537A1-D6FC-4f65-9D91-7224C49458BB}"/>
                <c:ext xmlns:c16="http://schemas.microsoft.com/office/drawing/2014/chart" uri="{C3380CC4-5D6E-409C-BE32-E72D297353CC}">
                  <c16:uniqueId val="{00000009-D2BB-426A-B877-640208F1C26B}"/>
                </c:ext>
              </c:extLst>
            </c:dLbl>
            <c:dLbl>
              <c:idx val="1"/>
              <c:delete val="1"/>
              <c:extLst>
                <c:ext xmlns:c15="http://schemas.microsoft.com/office/drawing/2012/chart" uri="{CE6537A1-D6FC-4f65-9D91-7224C49458BB}"/>
                <c:ext xmlns:c16="http://schemas.microsoft.com/office/drawing/2014/chart" uri="{C3380CC4-5D6E-409C-BE32-E72D297353CC}">
                  <c16:uniqueId val="{0000000A-D2BB-426A-B877-640208F1C26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4"/>
                    </a:solidFill>
                    <a:latin typeface="+mn-lt"/>
                    <a:ea typeface="+mn-ea"/>
                    <a:cs typeface="+mn-cs"/>
                  </a:defRPr>
                </a:pPr>
                <a:endParaRPr lang="en-US"/>
              </a:p>
            </c:txPr>
            <c:showLegendKey val="0"/>
            <c:showVal val="0"/>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FFY 2021</c:v>
                </c:pt>
                <c:pt idx="1">
                  <c:v>FFY 2022</c:v>
                </c:pt>
                <c:pt idx="2">
                  <c:v>FFY 2023</c:v>
                </c:pt>
              </c:strCache>
            </c:strRef>
          </c:cat>
          <c:val>
            <c:numRef>
              <c:f>Sheet1!$E$2:$E$5</c:f>
              <c:numCache>
                <c:formatCode>0.0%</c:formatCode>
                <c:ptCount val="4"/>
                <c:pt idx="0">
                  <c:v>0.23200000000000001</c:v>
                </c:pt>
                <c:pt idx="1">
                  <c:v>0.19900000000000001</c:v>
                </c:pt>
                <c:pt idx="2">
                  <c:v>0.19800000000000001</c:v>
                </c:pt>
              </c:numCache>
            </c:numRef>
          </c:val>
          <c:smooth val="0"/>
          <c:extLst>
            <c:ext xmlns:c16="http://schemas.microsoft.com/office/drawing/2014/chart" uri="{C3380CC4-5D6E-409C-BE32-E72D297353CC}">
              <c16:uniqueId val="{0000000B-D2BB-426A-B877-640208F1C26B}"/>
            </c:ext>
          </c:extLst>
        </c:ser>
        <c:dLbls>
          <c:showLegendKey val="0"/>
          <c:showVal val="0"/>
          <c:showCatName val="0"/>
          <c:showSerName val="0"/>
          <c:showPercent val="0"/>
          <c:showBubbleSize val="0"/>
        </c:dLbls>
        <c:marker val="1"/>
        <c:smooth val="0"/>
        <c:axId val="177671472"/>
        <c:axId val="1961354368"/>
      </c:lineChart>
      <c:catAx>
        <c:axId val="177671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1354368"/>
        <c:crosses val="autoZero"/>
        <c:auto val="1"/>
        <c:lblAlgn val="ctr"/>
        <c:lblOffset val="100"/>
        <c:noMultiLvlLbl val="0"/>
      </c:catAx>
      <c:valAx>
        <c:axId val="196135436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767147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manualLayout>
          <c:layoutTarget val="inner"/>
          <c:xMode val="edge"/>
          <c:yMode val="edge"/>
          <c:x val="8.346256197142024E-2"/>
          <c:y val="6.389888763904511E-2"/>
          <c:w val="0.82826006124234475"/>
          <c:h val="0.70226471691038617"/>
        </c:manualLayout>
      </c:layout>
      <c:barChart>
        <c:barDir val="col"/>
        <c:grouping val="clustered"/>
        <c:varyColors val="0"/>
        <c:ser>
          <c:idx val="0"/>
          <c:order val="0"/>
          <c:tx>
            <c:strRef>
              <c:f>Sheet1!$A$2</c:f>
              <c:strCache>
                <c:ptCount val="1"/>
                <c:pt idx="0">
                  <c:v>Average Weekly Wage</c:v>
                </c:pt>
              </c:strCache>
            </c:strRef>
          </c:tx>
          <c:invertIfNegative val="0"/>
          <c:dLbls>
            <c:numFmt formatCode="&quot;$&quot;#,##0" sourceLinked="0"/>
            <c:spPr>
              <a:noFill/>
              <a:ln>
                <a:noFill/>
              </a:ln>
              <a:effectLst/>
            </c:spPr>
            <c:txPr>
              <a:bodyPr/>
              <a:lstStyle/>
              <a:p>
                <a:pPr>
                  <a:defRPr b="1">
                    <a:solidFill>
                      <a:schemeClr val="bg1"/>
                    </a:solidFill>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Sheet1!$B$1:$F$1</c:f>
              <c:strCache>
                <c:ptCount val="5"/>
                <c:pt idx="0">
                  <c:v>Cognitive (n=134)</c:v>
                </c:pt>
                <c:pt idx="1">
                  <c:v>Hearing Loss (n=120)</c:v>
                </c:pt>
                <c:pt idx="2">
                  <c:v>Mental Illness (n=89)</c:v>
                </c:pt>
                <c:pt idx="3">
                  <c:v>Physical (n=57)</c:v>
                </c:pt>
                <c:pt idx="4">
                  <c:v>Visual (n=1)</c:v>
                </c:pt>
              </c:strCache>
            </c:strRef>
          </c:cat>
          <c:val>
            <c:numRef>
              <c:f>Sheet1!$B$2:$F$2</c:f>
              <c:numCache>
                <c:formatCode>"$"#,##0.00</c:formatCode>
                <c:ptCount val="5"/>
                <c:pt idx="0">
                  <c:v>268.42</c:v>
                </c:pt>
                <c:pt idx="1">
                  <c:v>737.37</c:v>
                </c:pt>
                <c:pt idx="2">
                  <c:v>474.69</c:v>
                </c:pt>
                <c:pt idx="3">
                  <c:v>494.12</c:v>
                </c:pt>
                <c:pt idx="4">
                  <c:v>76.5</c:v>
                </c:pt>
              </c:numCache>
            </c:numRef>
          </c:val>
          <c:extLst>
            <c:ext xmlns:c16="http://schemas.microsoft.com/office/drawing/2014/chart" uri="{C3380CC4-5D6E-409C-BE32-E72D297353CC}">
              <c16:uniqueId val="{00000000-3E80-4734-B201-3B834FE15E9D}"/>
            </c:ext>
          </c:extLst>
        </c:ser>
        <c:dLbls>
          <c:showLegendKey val="0"/>
          <c:showVal val="0"/>
          <c:showCatName val="0"/>
          <c:showSerName val="0"/>
          <c:showPercent val="0"/>
          <c:showBubbleSize val="0"/>
        </c:dLbls>
        <c:gapWidth val="126"/>
        <c:axId val="44506112"/>
        <c:axId val="44516096"/>
      </c:barChart>
      <c:lineChart>
        <c:grouping val="standard"/>
        <c:varyColors val="0"/>
        <c:ser>
          <c:idx val="1"/>
          <c:order val="1"/>
          <c:tx>
            <c:strRef>
              <c:f>Sheet1!$A$3</c:f>
              <c:strCache>
                <c:ptCount val="1"/>
                <c:pt idx="0">
                  <c:v>Average Hours Worked</c:v>
                </c:pt>
              </c:strCache>
            </c:strRef>
          </c:tx>
          <c:dLbls>
            <c:dLbl>
              <c:idx val="0"/>
              <c:layout>
                <c:manualLayout>
                  <c:x val="-4.9629629629629628E-2"/>
                  <c:y val="-6.78671416072991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E80-4734-B201-3B834FE15E9D}"/>
                </c:ext>
              </c:extLst>
            </c:dLbl>
            <c:dLbl>
              <c:idx val="1"/>
              <c:layout>
                <c:manualLayout>
                  <c:x val="-4.4999999999999998E-2"/>
                  <c:y val="-5.9930633670791149E-2"/>
                </c:manualLayout>
              </c:layout>
              <c:numFmt formatCode="General" sourceLinked="0"/>
              <c:spPr/>
              <c:txPr>
                <a:bodyPr/>
                <a:lstStyle/>
                <a:p>
                  <a:pPr>
                    <a:defRPr b="1">
                      <a:solidFill>
                        <a:sysClr val="windowText" lastClr="000000"/>
                      </a:solidFill>
                    </a:defRPr>
                  </a:pPr>
                  <a:endParaRPr lang="en-US"/>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E80-4734-B201-3B834FE15E9D}"/>
                </c:ext>
              </c:extLst>
            </c:dLbl>
            <c:dLbl>
              <c:idx val="2"/>
              <c:layout>
                <c:manualLayout>
                  <c:x val="-4.9629629629629628E-2"/>
                  <c:y val="-4.802587176602924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E80-4734-B201-3B834FE15E9D}"/>
                </c:ext>
              </c:extLst>
            </c:dLbl>
            <c:dLbl>
              <c:idx val="4"/>
              <c:layout>
                <c:manualLayout>
                  <c:x val="-4.5000000000000172E-2"/>
                  <c:y val="-0.12342269716285466"/>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E80-4734-B201-3B834FE15E9D}"/>
                </c:ext>
              </c:extLst>
            </c:dLbl>
            <c:numFmt formatCode="General" sourceLinked="0"/>
            <c:spPr>
              <a:noFill/>
              <a:ln>
                <a:noFill/>
              </a:ln>
              <a:effectLst/>
            </c:spPr>
            <c:txPr>
              <a:bodyPr/>
              <a:lstStyle/>
              <a:p>
                <a:pPr>
                  <a:defRPr b="1">
                    <a:solidFill>
                      <a:sysClr val="windowText" lastClr="000000"/>
                    </a:solidFill>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Sheet1!$B$1:$F$1</c:f>
              <c:strCache>
                <c:ptCount val="5"/>
                <c:pt idx="0">
                  <c:v>Cognitive (n=134)</c:v>
                </c:pt>
                <c:pt idx="1">
                  <c:v>Hearing Loss (n=120)</c:v>
                </c:pt>
                <c:pt idx="2">
                  <c:v>Mental Illness (n=89)</c:v>
                </c:pt>
                <c:pt idx="3">
                  <c:v>Physical (n=57)</c:v>
                </c:pt>
                <c:pt idx="4">
                  <c:v>Visual (n=1)</c:v>
                </c:pt>
              </c:strCache>
            </c:strRef>
          </c:cat>
          <c:val>
            <c:numRef>
              <c:f>Sheet1!$B$3:$F$3</c:f>
              <c:numCache>
                <c:formatCode>0.0</c:formatCode>
                <c:ptCount val="5"/>
                <c:pt idx="0">
                  <c:v>18</c:v>
                </c:pt>
                <c:pt idx="1">
                  <c:v>33.200000000000003</c:v>
                </c:pt>
                <c:pt idx="2">
                  <c:v>27.2</c:v>
                </c:pt>
                <c:pt idx="3">
                  <c:v>26.9</c:v>
                </c:pt>
                <c:pt idx="4">
                  <c:v>6</c:v>
                </c:pt>
              </c:numCache>
            </c:numRef>
          </c:val>
          <c:smooth val="0"/>
          <c:extLst>
            <c:ext xmlns:c16="http://schemas.microsoft.com/office/drawing/2014/chart" uri="{C3380CC4-5D6E-409C-BE32-E72D297353CC}">
              <c16:uniqueId val="{00000005-3E80-4734-B201-3B834FE15E9D}"/>
            </c:ext>
          </c:extLst>
        </c:ser>
        <c:dLbls>
          <c:showLegendKey val="0"/>
          <c:showVal val="0"/>
          <c:showCatName val="0"/>
          <c:showSerName val="0"/>
          <c:showPercent val="0"/>
          <c:showBubbleSize val="0"/>
        </c:dLbls>
        <c:marker val="1"/>
        <c:smooth val="0"/>
        <c:axId val="44527616"/>
        <c:axId val="44517632"/>
      </c:lineChart>
      <c:catAx>
        <c:axId val="44506112"/>
        <c:scaling>
          <c:orientation val="minMax"/>
        </c:scaling>
        <c:delete val="0"/>
        <c:axPos val="b"/>
        <c:numFmt formatCode="General" sourceLinked="0"/>
        <c:majorTickMark val="out"/>
        <c:minorTickMark val="none"/>
        <c:tickLblPos val="nextTo"/>
        <c:crossAx val="44516096"/>
        <c:crosses val="autoZero"/>
        <c:auto val="1"/>
        <c:lblAlgn val="ctr"/>
        <c:lblOffset val="100"/>
        <c:noMultiLvlLbl val="0"/>
      </c:catAx>
      <c:valAx>
        <c:axId val="44516096"/>
        <c:scaling>
          <c:orientation val="minMax"/>
        </c:scaling>
        <c:delete val="0"/>
        <c:axPos val="l"/>
        <c:majorGridlines/>
        <c:numFmt formatCode="&quot;$&quot;#,##0" sourceLinked="0"/>
        <c:majorTickMark val="out"/>
        <c:minorTickMark val="none"/>
        <c:tickLblPos val="nextTo"/>
        <c:crossAx val="44506112"/>
        <c:crosses val="autoZero"/>
        <c:crossBetween val="between"/>
      </c:valAx>
      <c:valAx>
        <c:axId val="44517632"/>
        <c:scaling>
          <c:orientation val="minMax"/>
        </c:scaling>
        <c:delete val="0"/>
        <c:axPos val="r"/>
        <c:numFmt formatCode="0.0" sourceLinked="1"/>
        <c:majorTickMark val="out"/>
        <c:minorTickMark val="none"/>
        <c:tickLblPos val="nextTo"/>
        <c:crossAx val="44527616"/>
        <c:crosses val="max"/>
        <c:crossBetween val="between"/>
      </c:valAx>
      <c:catAx>
        <c:axId val="44527616"/>
        <c:scaling>
          <c:orientation val="minMax"/>
        </c:scaling>
        <c:delete val="1"/>
        <c:axPos val="b"/>
        <c:numFmt formatCode="General" sourceLinked="1"/>
        <c:majorTickMark val="out"/>
        <c:minorTickMark val="none"/>
        <c:tickLblPos val="nextTo"/>
        <c:crossAx val="44517632"/>
        <c:crosses val="autoZero"/>
        <c:auto val="1"/>
        <c:lblAlgn val="ctr"/>
        <c:lblOffset val="100"/>
        <c:noMultiLvlLbl val="0"/>
      </c:catAx>
    </c:plotArea>
    <c:legend>
      <c:legendPos val="b"/>
      <c:layout>
        <c:manualLayout>
          <c:xMode val="edge"/>
          <c:yMode val="edge"/>
          <c:x val="6.8564085739282604E-3"/>
          <c:y val="0.90972722159730035"/>
          <c:w val="0.98165737095363081"/>
          <c:h val="9.0272778402699663E-2"/>
        </c:manualLayout>
      </c:layout>
      <c:overlay val="0"/>
      <c:txPr>
        <a:bodyPr/>
        <a:lstStyle/>
        <a:p>
          <a:pPr>
            <a:defRPr sz="900"/>
          </a:pPr>
          <a:endParaRPr lang="en-US"/>
        </a:p>
      </c:txPr>
    </c:legend>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A3FF-4CFE-80BD-CFDB2EA95EAF}"/>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A3FF-4CFE-80BD-CFDB2EA95EAF}"/>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A3FF-4CFE-80BD-CFDB2EA95EAF}"/>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A3FF-4CFE-80BD-CFDB2EA95EAF}"/>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A3FF-4CFE-80BD-CFDB2EA95EAF}"/>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A3FF-4CFE-80BD-CFDB2EA95EAF}"/>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A3FF-4CFE-80BD-CFDB2EA95EAF}"/>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A3FF-4CFE-80BD-CFDB2EA95EAF}"/>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A3FF-4CFE-80BD-CFDB2EA95EAF}"/>
              </c:ext>
            </c:extLst>
          </c:dPt>
          <c:dPt>
            <c:idx val="9"/>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3-A3FF-4CFE-80BD-CFDB2EA95EAF}"/>
              </c:ext>
            </c:extLst>
          </c:dPt>
          <c:dPt>
            <c:idx val="10"/>
            <c:bubble3D val="0"/>
            <c:spPr>
              <a:solidFill>
                <a:schemeClr val="accent5">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5-A3FF-4CFE-80BD-CFDB2EA95EAF}"/>
              </c:ext>
            </c:extLst>
          </c:dPt>
          <c:dPt>
            <c:idx val="11"/>
            <c:bubble3D val="0"/>
            <c:spPr>
              <a:solidFill>
                <a:schemeClr val="accent6">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7-A3FF-4CFE-80BD-CFDB2EA95EAF}"/>
              </c:ext>
            </c:extLst>
          </c:dPt>
          <c:dPt>
            <c:idx val="12"/>
            <c:bubble3D val="0"/>
            <c:spPr>
              <a:solidFill>
                <a:schemeClr val="accent1">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9-A3FF-4CFE-80BD-CFDB2EA95EAF}"/>
              </c:ext>
            </c:extLst>
          </c:dPt>
          <c:dLbls>
            <c:dLbl>
              <c:idx val="0"/>
              <c:layout>
                <c:manualLayout>
                  <c:x val="8.9964333329534251E-3"/>
                  <c:y val="-4.0926884139482568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3FF-4CFE-80BD-CFDB2EA95EAF}"/>
                </c:ext>
              </c:extLst>
            </c:dLbl>
            <c:dLbl>
              <c:idx val="1"/>
              <c:layout>
                <c:manualLayout>
                  <c:x val="0.2278902384165542"/>
                  <c:y val="5.4345006874140733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3FF-4CFE-80BD-CFDB2EA95EAF}"/>
                </c:ext>
              </c:extLst>
            </c:dLbl>
            <c:dLbl>
              <c:idx val="2"/>
              <c:layout>
                <c:manualLayout>
                  <c:x val="2.084839597479465E-2"/>
                  <c:y val="5.0870441194850645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3FF-4CFE-80BD-CFDB2EA95EAF}"/>
                </c:ext>
              </c:extLst>
            </c:dLbl>
            <c:dLbl>
              <c:idx val="3"/>
              <c:layout>
                <c:manualLayout>
                  <c:x val="0"/>
                  <c:y val="-2.0566429196350364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3FF-4CFE-80BD-CFDB2EA95EAF}"/>
                </c:ext>
              </c:extLst>
            </c:dLbl>
            <c:dLbl>
              <c:idx val="4"/>
              <c:layout>
                <c:manualLayout>
                  <c:x val="1.4234860318573538E-3"/>
                  <c:y val="-0.11986441694788161"/>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9-A3FF-4CFE-80BD-CFDB2EA95EAF}"/>
                </c:ext>
              </c:extLst>
            </c:dLbl>
            <c:dLbl>
              <c:idx val="5"/>
              <c:layout>
                <c:manualLayout>
                  <c:x val="5.2535943128566417E-4"/>
                  <c:y val="-2.9761479815023167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B-A3FF-4CFE-80BD-CFDB2EA95EAF}"/>
                </c:ext>
              </c:extLst>
            </c:dLbl>
            <c:dLbl>
              <c:idx val="6"/>
              <c:layout>
                <c:manualLayout>
                  <c:x val="-5.2148157593661114E-2"/>
                  <c:y val="2.4394150731158581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D-A3FF-4CFE-80BD-CFDB2EA95EAF}"/>
                </c:ext>
              </c:extLst>
            </c:dLbl>
            <c:dLbl>
              <c:idx val="7"/>
              <c:layout>
                <c:manualLayout>
                  <c:x val="-0.13302333159772031"/>
                  <c:y val="-1.6844294463192123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F-A3FF-4CFE-80BD-CFDB2EA95EAF}"/>
                </c:ext>
              </c:extLst>
            </c:dLbl>
            <c:dLbl>
              <c:idx val="8"/>
              <c:layout>
                <c:manualLayout>
                  <c:x val="-2.917912588861615E-2"/>
                  <c:y val="-3.1340482439695026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1-A3FF-4CFE-80BD-CFDB2EA95EAF}"/>
                </c:ext>
              </c:extLst>
            </c:dLbl>
            <c:dLbl>
              <c:idx val="9"/>
              <c:layout>
                <c:manualLayout>
                  <c:x val="-7.0060250565845264E-2"/>
                  <c:y val="-7.7905261842269716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3-A3FF-4CFE-80BD-CFDB2EA95EAF}"/>
                </c:ext>
              </c:extLst>
            </c:dLbl>
            <c:dLbl>
              <c:idx val="10"/>
              <c:layout>
                <c:manualLayout>
                  <c:x val="6.0952745279309724E-2"/>
                  <c:y val="-9.3038570178727659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5-A3FF-4CFE-80BD-CFDB2EA95EAF}"/>
                </c:ext>
              </c:extLst>
            </c:dLbl>
            <c:dLbl>
              <c:idx val="11"/>
              <c:layout>
                <c:manualLayout>
                  <c:x val="0.18316866262162568"/>
                  <c:y val="-2.4505336832895887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7-A3FF-4CFE-80BD-CFDB2EA95EAF}"/>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ln>
                      <a:noFill/>
                    </a:ln>
                    <a:solidFill>
                      <a:sysClr val="windowText" lastClr="000000"/>
                    </a:solidFill>
                    <a:latin typeface="+mn-lt"/>
                    <a:ea typeface="+mn-ea"/>
                    <a:cs typeface="+mn-cs"/>
                  </a:defRPr>
                </a:pPr>
                <a:endParaRPr lang="en-US"/>
              </a:p>
            </c:txPr>
            <c:dLblPos val="bestFit"/>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Sheet1!$A$2:$A$14</c:f>
              <c:strCache>
                <c:ptCount val="12"/>
                <c:pt idx="0">
                  <c:v>Job Development &amp; Placement</c:v>
                </c:pt>
                <c:pt idx="1">
                  <c:v>College or University Training</c:v>
                </c:pt>
                <c:pt idx="2">
                  <c:v>Assessment</c:v>
                </c:pt>
                <c:pt idx="3">
                  <c:v>On-The-Job Supports</c:v>
                </c:pt>
                <c:pt idx="4">
                  <c:v>All Other Services</c:v>
                </c:pt>
                <c:pt idx="5">
                  <c:v>Pre-Employment Transistion Services</c:v>
                </c:pt>
                <c:pt idx="6">
                  <c:v>Occupational/Vocational &amp; Other Training</c:v>
                </c:pt>
                <c:pt idx="7">
                  <c:v>Hearing Aid</c:v>
                </c:pt>
                <c:pt idx="8">
                  <c:v>Transportation</c:v>
                </c:pt>
                <c:pt idx="9">
                  <c:v>Rehabilitation Technology</c:v>
                </c:pt>
                <c:pt idx="10">
                  <c:v>Maintenance</c:v>
                </c:pt>
                <c:pt idx="11">
                  <c:v>Diagnosis &amp; Treatment</c:v>
                </c:pt>
              </c:strCache>
            </c:strRef>
          </c:cat>
          <c:val>
            <c:numRef>
              <c:f>Sheet1!$B$2:$B$14</c:f>
              <c:numCache>
                <c:formatCode>0.0%</c:formatCode>
                <c:ptCount val="13"/>
                <c:pt idx="0">
                  <c:v>0.51100000000000001</c:v>
                </c:pt>
                <c:pt idx="1">
                  <c:v>0.09</c:v>
                </c:pt>
                <c:pt idx="2">
                  <c:v>1.4E-2</c:v>
                </c:pt>
                <c:pt idx="3">
                  <c:v>5.3999999999999999E-2</c:v>
                </c:pt>
                <c:pt idx="4">
                  <c:v>3.5999999999999997E-2</c:v>
                </c:pt>
                <c:pt idx="5">
                  <c:v>0.16800000000000001</c:v>
                </c:pt>
                <c:pt idx="6">
                  <c:v>3.2000000000000001E-2</c:v>
                </c:pt>
                <c:pt idx="7">
                  <c:v>4.4999999999999998E-2</c:v>
                </c:pt>
                <c:pt idx="8">
                  <c:v>0.02</c:v>
                </c:pt>
                <c:pt idx="9">
                  <c:v>1.4E-2</c:v>
                </c:pt>
                <c:pt idx="10">
                  <c:v>7.0000000000000001E-3</c:v>
                </c:pt>
                <c:pt idx="11">
                  <c:v>8.0000000000000002E-3</c:v>
                </c:pt>
              </c:numCache>
            </c:numRef>
          </c:val>
          <c:extLst>
            <c:ext xmlns:c16="http://schemas.microsoft.com/office/drawing/2014/chart" uri="{C3380CC4-5D6E-409C-BE32-E72D297353CC}">
              <c16:uniqueId val="{0000001A-A3FF-4CFE-80BD-CFDB2EA95EAF}"/>
            </c:ext>
          </c:extLst>
        </c:ser>
        <c:dLbls>
          <c:showLegendKey val="0"/>
          <c:showVal val="0"/>
          <c:showCatName val="0"/>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235125973625766"/>
          <c:y val="8.4304461942257228E-2"/>
          <c:w val="0.87168676789895194"/>
          <c:h val="0.83451174902349801"/>
        </c:manualLayout>
      </c:layout>
      <c:lineChart>
        <c:grouping val="standard"/>
        <c:varyColors val="0"/>
        <c:ser>
          <c:idx val="0"/>
          <c:order val="0"/>
          <c:tx>
            <c:strRef>
              <c:f>Sheet1!$B$1</c:f>
              <c:strCache>
                <c:ptCount val="1"/>
                <c:pt idx="0">
                  <c:v>Job Development &amp; Placement</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delete val="1"/>
              <c:extLst>
                <c:ext xmlns:c15="http://schemas.microsoft.com/office/drawing/2012/chart" uri="{CE6537A1-D6FC-4f65-9D91-7224C49458BB}"/>
                <c:ext xmlns:c16="http://schemas.microsoft.com/office/drawing/2014/chart" uri="{C3380CC4-5D6E-409C-BE32-E72D297353CC}">
                  <c16:uniqueId val="{00000000-EBC2-4474-BEDA-ED613A918547}"/>
                </c:ext>
              </c:extLst>
            </c:dLbl>
            <c:dLbl>
              <c:idx val="1"/>
              <c:delete val="1"/>
              <c:extLst>
                <c:ext xmlns:c15="http://schemas.microsoft.com/office/drawing/2012/chart" uri="{CE6537A1-D6FC-4f65-9D91-7224C49458BB}"/>
                <c:ext xmlns:c16="http://schemas.microsoft.com/office/drawing/2014/chart" uri="{C3380CC4-5D6E-409C-BE32-E72D297353CC}">
                  <c16:uniqueId val="{00000001-EBC2-4474-BEDA-ED613A918547}"/>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1"/>
                    </a:solidFill>
                    <a:latin typeface="+mn-lt"/>
                    <a:ea typeface="+mn-ea"/>
                    <a:cs typeface="+mn-cs"/>
                  </a:defRPr>
                </a:pPr>
                <a:endParaRPr lang="en-US"/>
              </a:p>
            </c:txPr>
            <c:showLegendKey val="0"/>
            <c:showVal val="0"/>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FFY 2021</c:v>
                </c:pt>
                <c:pt idx="1">
                  <c:v>FFY 2022</c:v>
                </c:pt>
                <c:pt idx="2">
                  <c:v>FFY 2023</c:v>
                </c:pt>
              </c:strCache>
            </c:strRef>
          </c:cat>
          <c:val>
            <c:numRef>
              <c:f>Sheet1!$B$2:$B$5</c:f>
              <c:numCache>
                <c:formatCode>"$"#,##0.00</c:formatCode>
                <c:ptCount val="4"/>
                <c:pt idx="0">
                  <c:v>2450183.4500000002</c:v>
                </c:pt>
                <c:pt idx="1">
                  <c:v>3217211.74</c:v>
                </c:pt>
                <c:pt idx="2">
                  <c:v>3793313.5</c:v>
                </c:pt>
              </c:numCache>
            </c:numRef>
          </c:val>
          <c:smooth val="0"/>
          <c:extLst>
            <c:ext xmlns:c16="http://schemas.microsoft.com/office/drawing/2014/chart" uri="{C3380CC4-5D6E-409C-BE32-E72D297353CC}">
              <c16:uniqueId val="{00000002-EBC2-4474-BEDA-ED613A918547}"/>
            </c:ext>
          </c:extLst>
        </c:ser>
        <c:ser>
          <c:idx val="1"/>
          <c:order val="1"/>
          <c:tx>
            <c:strRef>
              <c:f>Sheet1!$C$1</c:f>
              <c:strCache>
                <c:ptCount val="1"/>
                <c:pt idx="0">
                  <c:v>Pre-Employment Transition Services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delete val="1"/>
              <c:extLst>
                <c:ext xmlns:c15="http://schemas.microsoft.com/office/drawing/2012/chart" uri="{CE6537A1-D6FC-4f65-9D91-7224C49458BB}"/>
                <c:ext xmlns:c16="http://schemas.microsoft.com/office/drawing/2014/chart" uri="{C3380CC4-5D6E-409C-BE32-E72D297353CC}">
                  <c16:uniqueId val="{00000003-EBC2-4474-BEDA-ED613A918547}"/>
                </c:ext>
              </c:extLst>
            </c:dLbl>
            <c:dLbl>
              <c:idx val="1"/>
              <c:delete val="1"/>
              <c:extLst>
                <c:ext xmlns:c15="http://schemas.microsoft.com/office/drawing/2012/chart" uri="{CE6537A1-D6FC-4f65-9D91-7224C49458BB}"/>
                <c:ext xmlns:c16="http://schemas.microsoft.com/office/drawing/2014/chart" uri="{C3380CC4-5D6E-409C-BE32-E72D297353CC}">
                  <c16:uniqueId val="{00000004-EBC2-4474-BEDA-ED613A918547}"/>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2"/>
                    </a:solidFill>
                    <a:latin typeface="+mn-lt"/>
                    <a:ea typeface="+mn-ea"/>
                    <a:cs typeface="+mn-cs"/>
                  </a:defRPr>
                </a:pPr>
                <a:endParaRPr lang="en-US"/>
              </a:p>
            </c:txPr>
            <c:showLegendKey val="0"/>
            <c:showVal val="0"/>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FFY 2021</c:v>
                </c:pt>
                <c:pt idx="1">
                  <c:v>FFY 2022</c:v>
                </c:pt>
                <c:pt idx="2">
                  <c:v>FFY 2023</c:v>
                </c:pt>
              </c:strCache>
            </c:strRef>
          </c:cat>
          <c:val>
            <c:numRef>
              <c:f>Sheet1!$C$2:$C$5</c:f>
              <c:numCache>
                <c:formatCode>"$"#,##0.00</c:formatCode>
                <c:ptCount val="4"/>
                <c:pt idx="0">
                  <c:v>641811.66</c:v>
                </c:pt>
                <c:pt idx="1">
                  <c:v>897607.12</c:v>
                </c:pt>
                <c:pt idx="2">
                  <c:v>1261393.1200000001</c:v>
                </c:pt>
              </c:numCache>
            </c:numRef>
          </c:val>
          <c:smooth val="0"/>
          <c:extLst>
            <c:ext xmlns:c16="http://schemas.microsoft.com/office/drawing/2014/chart" uri="{C3380CC4-5D6E-409C-BE32-E72D297353CC}">
              <c16:uniqueId val="{00000005-EBC2-4474-BEDA-ED613A918547}"/>
            </c:ext>
          </c:extLst>
        </c:ser>
        <c:ser>
          <c:idx val="2"/>
          <c:order val="2"/>
          <c:tx>
            <c:strRef>
              <c:f>Sheet1!$D$1</c:f>
              <c:strCache>
                <c:ptCount val="1"/>
                <c:pt idx="0">
                  <c:v>College or University Training</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dLbl>
              <c:idx val="0"/>
              <c:delete val="1"/>
              <c:extLst>
                <c:ext xmlns:c15="http://schemas.microsoft.com/office/drawing/2012/chart" uri="{CE6537A1-D6FC-4f65-9D91-7224C49458BB}"/>
                <c:ext xmlns:c16="http://schemas.microsoft.com/office/drawing/2014/chart" uri="{C3380CC4-5D6E-409C-BE32-E72D297353CC}">
                  <c16:uniqueId val="{00000006-EBC2-4474-BEDA-ED613A918547}"/>
                </c:ext>
              </c:extLst>
            </c:dLbl>
            <c:dLbl>
              <c:idx val="1"/>
              <c:delete val="1"/>
              <c:extLst>
                <c:ext xmlns:c15="http://schemas.microsoft.com/office/drawing/2012/chart" uri="{CE6537A1-D6FC-4f65-9D91-7224C49458BB}"/>
                <c:ext xmlns:c16="http://schemas.microsoft.com/office/drawing/2014/chart" uri="{C3380CC4-5D6E-409C-BE32-E72D297353CC}">
                  <c16:uniqueId val="{00000007-EBC2-4474-BEDA-ED613A918547}"/>
                </c:ext>
              </c:extLst>
            </c:dLbl>
            <c:dLbl>
              <c:idx val="2"/>
              <c:layout>
                <c:manualLayout>
                  <c:x val="-3.5987404408457041E-3"/>
                  <c:y val="-3.4995625546806651E-2"/>
                </c:manualLayout>
              </c:layout>
              <c:showLegendKey val="0"/>
              <c:showVal val="0"/>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8-EBC2-4474-BEDA-ED613A918547}"/>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3"/>
                    </a:solidFill>
                    <a:latin typeface="+mn-lt"/>
                    <a:ea typeface="+mn-ea"/>
                    <a:cs typeface="+mn-cs"/>
                  </a:defRPr>
                </a:pPr>
                <a:endParaRPr lang="en-US"/>
              </a:p>
            </c:txPr>
            <c:showLegendKey val="0"/>
            <c:showVal val="0"/>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FFY 2021</c:v>
                </c:pt>
                <c:pt idx="1">
                  <c:v>FFY 2022</c:v>
                </c:pt>
                <c:pt idx="2">
                  <c:v>FFY 2023</c:v>
                </c:pt>
              </c:strCache>
            </c:strRef>
          </c:cat>
          <c:val>
            <c:numRef>
              <c:f>Sheet1!$D$2:$D$5</c:f>
              <c:numCache>
                <c:formatCode>"$"#,##0.00_);[Red]\("$"#,##0.00\)</c:formatCode>
                <c:ptCount val="4"/>
                <c:pt idx="0">
                  <c:v>498307.21</c:v>
                </c:pt>
                <c:pt idx="1">
                  <c:v>432324.25</c:v>
                </c:pt>
                <c:pt idx="2">
                  <c:v>671142.62</c:v>
                </c:pt>
              </c:numCache>
            </c:numRef>
          </c:val>
          <c:smooth val="0"/>
          <c:extLst>
            <c:ext xmlns:c16="http://schemas.microsoft.com/office/drawing/2014/chart" uri="{C3380CC4-5D6E-409C-BE32-E72D297353CC}">
              <c16:uniqueId val="{00000009-EBC2-4474-BEDA-ED613A918547}"/>
            </c:ext>
          </c:extLst>
        </c:ser>
        <c:ser>
          <c:idx val="3"/>
          <c:order val="3"/>
          <c:tx>
            <c:strRef>
              <c:f>Sheet1!$E$1</c:f>
              <c:strCache>
                <c:ptCount val="1"/>
                <c:pt idx="0">
                  <c:v>On-The-Job Supports</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dLbl>
              <c:idx val="0"/>
              <c:delete val="1"/>
              <c:extLst>
                <c:ext xmlns:c15="http://schemas.microsoft.com/office/drawing/2012/chart" uri="{CE6537A1-D6FC-4f65-9D91-7224C49458BB}"/>
                <c:ext xmlns:c16="http://schemas.microsoft.com/office/drawing/2014/chart" uri="{C3380CC4-5D6E-409C-BE32-E72D297353CC}">
                  <c16:uniqueId val="{0000000A-EBC2-4474-BEDA-ED613A918547}"/>
                </c:ext>
              </c:extLst>
            </c:dLbl>
            <c:dLbl>
              <c:idx val="1"/>
              <c:delete val="1"/>
              <c:extLst>
                <c:ext xmlns:c15="http://schemas.microsoft.com/office/drawing/2012/chart" uri="{CE6537A1-D6FC-4f65-9D91-7224C49458BB}"/>
                <c:ext xmlns:c16="http://schemas.microsoft.com/office/drawing/2014/chart" uri="{C3380CC4-5D6E-409C-BE32-E72D297353CC}">
                  <c16:uniqueId val="{0000000B-EBC2-4474-BEDA-ED613A918547}"/>
                </c:ext>
              </c:extLst>
            </c:dLbl>
            <c:dLbl>
              <c:idx val="2"/>
              <c:layout>
                <c:manualLayout>
                  <c:x val="0"/>
                  <c:y val="-2.799650043744532E-2"/>
                </c:manualLayout>
              </c:layout>
              <c:showLegendKey val="0"/>
              <c:showVal val="0"/>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C-EBC2-4474-BEDA-ED613A918547}"/>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4"/>
                    </a:solidFill>
                    <a:latin typeface="+mn-lt"/>
                    <a:ea typeface="+mn-ea"/>
                    <a:cs typeface="+mn-cs"/>
                  </a:defRPr>
                </a:pPr>
                <a:endParaRPr lang="en-US"/>
              </a:p>
            </c:txPr>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cat>
            <c:strRef>
              <c:f>Sheet1!$A$2:$A$5</c:f>
              <c:strCache>
                <c:ptCount val="3"/>
                <c:pt idx="0">
                  <c:v>FFY 2021</c:v>
                </c:pt>
                <c:pt idx="1">
                  <c:v>FFY 2022</c:v>
                </c:pt>
                <c:pt idx="2">
                  <c:v>FFY 2023</c:v>
                </c:pt>
              </c:strCache>
            </c:strRef>
          </c:cat>
          <c:val>
            <c:numRef>
              <c:f>Sheet1!$E$2:$E$5</c:f>
              <c:numCache>
                <c:formatCode>"$"#,##0.00_);[Red]\("$"#,##0.00\)</c:formatCode>
                <c:ptCount val="4"/>
                <c:pt idx="0">
                  <c:v>162683.29999999999</c:v>
                </c:pt>
                <c:pt idx="1">
                  <c:v>274540.48</c:v>
                </c:pt>
                <c:pt idx="2">
                  <c:v>398824.97</c:v>
                </c:pt>
              </c:numCache>
            </c:numRef>
          </c:val>
          <c:smooth val="0"/>
          <c:extLst>
            <c:ext xmlns:c16="http://schemas.microsoft.com/office/drawing/2014/chart" uri="{C3380CC4-5D6E-409C-BE32-E72D297353CC}">
              <c16:uniqueId val="{0000000D-EBC2-4474-BEDA-ED613A918547}"/>
            </c:ext>
          </c:extLst>
        </c:ser>
        <c:ser>
          <c:idx val="4"/>
          <c:order val="4"/>
          <c:tx>
            <c:strRef>
              <c:f>Sheet1!$F$1</c:f>
              <c:strCache>
                <c:ptCount val="1"/>
                <c:pt idx="0">
                  <c:v>Hearing Aid</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dLbls>
            <c:dLbl>
              <c:idx val="0"/>
              <c:delete val="1"/>
              <c:extLst>
                <c:ext xmlns:c15="http://schemas.microsoft.com/office/drawing/2012/chart" uri="{CE6537A1-D6FC-4f65-9D91-7224C49458BB}"/>
                <c:ext xmlns:c16="http://schemas.microsoft.com/office/drawing/2014/chart" uri="{C3380CC4-5D6E-409C-BE32-E72D297353CC}">
                  <c16:uniqueId val="{0000000E-EBC2-4474-BEDA-ED613A918547}"/>
                </c:ext>
              </c:extLst>
            </c:dLbl>
            <c:dLbl>
              <c:idx val="1"/>
              <c:delete val="1"/>
              <c:extLst>
                <c:ext xmlns:c15="http://schemas.microsoft.com/office/drawing/2012/chart" uri="{CE6537A1-D6FC-4f65-9D91-7224C49458BB}"/>
                <c:ext xmlns:c16="http://schemas.microsoft.com/office/drawing/2014/chart" uri="{C3380CC4-5D6E-409C-BE32-E72D297353CC}">
                  <c16:uniqueId val="{0000000F-EBC2-4474-BEDA-ED613A918547}"/>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5"/>
                    </a:solidFill>
                    <a:latin typeface="+mn-lt"/>
                    <a:ea typeface="+mn-ea"/>
                    <a:cs typeface="+mn-cs"/>
                  </a:defRPr>
                </a:pPr>
                <a:endParaRPr lang="en-US"/>
              </a:p>
            </c:txPr>
            <c:showLegendKey val="0"/>
            <c:showVal val="0"/>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FFY 2021</c:v>
                </c:pt>
                <c:pt idx="1">
                  <c:v>FFY 2022</c:v>
                </c:pt>
                <c:pt idx="2">
                  <c:v>FFY 2023</c:v>
                </c:pt>
              </c:strCache>
            </c:strRef>
          </c:cat>
          <c:val>
            <c:numRef>
              <c:f>Sheet1!$F$2:$F$5</c:f>
              <c:numCache>
                <c:formatCode>"$"#,##0.00_);[Red]\("$"#,##0.00\)</c:formatCode>
                <c:ptCount val="4"/>
                <c:pt idx="0">
                  <c:v>365428.79</c:v>
                </c:pt>
                <c:pt idx="1">
                  <c:v>299394.57</c:v>
                </c:pt>
                <c:pt idx="2">
                  <c:v>332200.06</c:v>
                </c:pt>
              </c:numCache>
            </c:numRef>
          </c:val>
          <c:smooth val="0"/>
          <c:extLst>
            <c:ext xmlns:c16="http://schemas.microsoft.com/office/drawing/2014/chart" uri="{C3380CC4-5D6E-409C-BE32-E72D297353CC}">
              <c16:uniqueId val="{00000010-EBC2-4474-BEDA-ED613A918547}"/>
            </c:ext>
          </c:extLst>
        </c:ser>
        <c:ser>
          <c:idx val="5"/>
          <c:order val="5"/>
          <c:tx>
            <c:strRef>
              <c:f>Sheet1!$G$1</c:f>
              <c:strCache>
                <c:ptCount val="1"/>
                <c:pt idx="0">
                  <c:v>All Other Services</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dLbls>
            <c:dLbl>
              <c:idx val="0"/>
              <c:delete val="1"/>
              <c:extLst>
                <c:ext xmlns:c15="http://schemas.microsoft.com/office/drawing/2012/chart" uri="{CE6537A1-D6FC-4f65-9D91-7224C49458BB}"/>
                <c:ext xmlns:c16="http://schemas.microsoft.com/office/drawing/2014/chart" uri="{C3380CC4-5D6E-409C-BE32-E72D297353CC}">
                  <c16:uniqueId val="{00000011-EBC2-4474-BEDA-ED613A918547}"/>
                </c:ext>
              </c:extLst>
            </c:dLbl>
            <c:dLbl>
              <c:idx val="1"/>
              <c:delete val="1"/>
              <c:extLst>
                <c:ext xmlns:c15="http://schemas.microsoft.com/office/drawing/2012/chart" uri="{CE6537A1-D6FC-4f65-9D91-7224C49458BB}"/>
                <c:ext xmlns:c16="http://schemas.microsoft.com/office/drawing/2014/chart" uri="{C3380CC4-5D6E-409C-BE32-E72D297353CC}">
                  <c16:uniqueId val="{00000012-EBC2-4474-BEDA-ED613A918547}"/>
                </c:ext>
              </c:extLst>
            </c:dLbl>
            <c:dLbl>
              <c:idx val="2"/>
              <c:layout>
                <c:manualLayout>
                  <c:x val="-9.7165991902834078E-2"/>
                  <c:y val="3.8495188101487186E-2"/>
                </c:manualLayout>
              </c:layout>
              <c:showLegendKey val="0"/>
              <c:showVal val="0"/>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13-EBC2-4474-BEDA-ED613A918547}"/>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6"/>
                    </a:solidFill>
                    <a:latin typeface="+mn-lt"/>
                    <a:ea typeface="+mn-ea"/>
                    <a:cs typeface="+mn-cs"/>
                  </a:defRPr>
                </a:pPr>
                <a:endParaRPr lang="en-US"/>
              </a:p>
            </c:txPr>
            <c:showLegendKey val="0"/>
            <c:showVal val="0"/>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FFY 2021</c:v>
                </c:pt>
                <c:pt idx="1">
                  <c:v>FFY 2022</c:v>
                </c:pt>
                <c:pt idx="2">
                  <c:v>FFY 2023</c:v>
                </c:pt>
              </c:strCache>
            </c:strRef>
          </c:cat>
          <c:val>
            <c:numRef>
              <c:f>Sheet1!$G$2:$G$5</c:f>
              <c:numCache>
                <c:formatCode>"$"#,##0.00_);[Red]\("$"#,##0.00\)</c:formatCode>
                <c:ptCount val="4"/>
                <c:pt idx="0">
                  <c:v>497077.92</c:v>
                </c:pt>
                <c:pt idx="1">
                  <c:v>625557.57999999996</c:v>
                </c:pt>
                <c:pt idx="2">
                  <c:v>265355.21999999997</c:v>
                </c:pt>
              </c:numCache>
            </c:numRef>
          </c:val>
          <c:smooth val="0"/>
          <c:extLst>
            <c:ext xmlns:c16="http://schemas.microsoft.com/office/drawing/2014/chart" uri="{C3380CC4-5D6E-409C-BE32-E72D297353CC}">
              <c16:uniqueId val="{00000014-EBC2-4474-BEDA-ED613A918547}"/>
            </c:ext>
          </c:extLst>
        </c:ser>
        <c:dLbls>
          <c:showLegendKey val="0"/>
          <c:showVal val="0"/>
          <c:showCatName val="0"/>
          <c:showSerName val="0"/>
          <c:showPercent val="0"/>
          <c:showBubbleSize val="0"/>
        </c:dLbls>
        <c:marker val="1"/>
        <c:smooth val="0"/>
        <c:axId val="2112587631"/>
        <c:axId val="143701999"/>
      </c:lineChart>
      <c:catAx>
        <c:axId val="21125876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3701999"/>
        <c:crosses val="autoZero"/>
        <c:auto val="1"/>
        <c:lblAlgn val="ctr"/>
        <c:lblOffset val="100"/>
        <c:noMultiLvlLbl val="0"/>
      </c:catAx>
      <c:valAx>
        <c:axId val="143701999"/>
        <c:scaling>
          <c:orientation val="minMax"/>
        </c:scaling>
        <c:delete val="0"/>
        <c:axPos val="l"/>
        <c:majorGridlines>
          <c:spPr>
            <a:ln w="9525" cap="flat" cmpd="sng" algn="ctr">
              <a:solidFill>
                <a:schemeClr val="tx1">
                  <a:lumMod val="15000"/>
                  <a:lumOff val="85000"/>
                </a:schemeClr>
              </a:solidFill>
              <a:round/>
            </a:ln>
            <a:effectLst/>
          </c:spPr>
        </c:majorGridlines>
        <c:numFmt formatCode="&quot;$&quot;#,##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258763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7045</TotalTime>
  <Pages>26</Pages>
  <Words>3903</Words>
  <Characters>22250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26101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Favreau, Amanda R</dc:creator>
  <cp:keywords/>
  <dc:description/>
  <cp:lastModifiedBy>Stone-Sterling, Libby</cp:lastModifiedBy>
  <cp:revision>209</cp:revision>
  <dcterms:created xsi:type="dcterms:W3CDTF">2024-03-21T12:27:00Z</dcterms:created>
  <dcterms:modified xsi:type="dcterms:W3CDTF">2024-04-07T15:43:00Z</dcterms:modified>
</cp:coreProperties>
</file>