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08D29D" w14:textId="437BCCC0" w:rsidR="00A01AFF" w:rsidRPr="002C64FC" w:rsidRDefault="007C4D76" w:rsidP="002C64FC">
      <w:pPr>
        <w:pStyle w:val="Title"/>
        <w:framePr w:wrap="notBeside"/>
      </w:pPr>
      <w:r w:rsidRPr="002C64FC">
        <w:t>Vocational Rehabilitation Services and</w:t>
      </w:r>
      <w:r w:rsidR="00F9736C" w:rsidRPr="002C64FC">
        <w:br/>
      </w:r>
      <w:r w:rsidRPr="002C64FC">
        <w:t xml:space="preserve"> Ex</w:t>
      </w:r>
      <w:r w:rsidR="008B1BF5">
        <w:t>tended</w:t>
      </w:r>
      <w:r w:rsidRPr="002C64FC">
        <w:t xml:space="preserve"> Learning Opportunities</w:t>
      </w:r>
    </w:p>
    <w:p w14:paraId="226E4FFE" w14:textId="7822E174" w:rsidR="007C4D76" w:rsidRPr="00920CFD" w:rsidRDefault="007C4D76" w:rsidP="00F9736C">
      <w:pPr>
        <w:rPr>
          <w:rFonts w:ascii="Lato" w:hAnsi="Lato" w:cs="Arial"/>
          <w:b/>
          <w:bCs/>
          <w:sz w:val="36"/>
          <w:szCs w:val="36"/>
        </w:rPr>
      </w:pPr>
      <w:r w:rsidRPr="00920CFD">
        <w:rPr>
          <w:rFonts w:ascii="Lato" w:hAnsi="Lato" w:cs="Arial"/>
          <w:b/>
          <w:bCs/>
          <w:sz w:val="36"/>
          <w:szCs w:val="36"/>
        </w:rPr>
        <w:t>Working Together to Increase Opportunities for Maine Students</w:t>
      </w:r>
    </w:p>
    <w:p w14:paraId="0690471D" w14:textId="036657A3" w:rsidR="007C4D76" w:rsidRPr="00E60932" w:rsidRDefault="007C4D76" w:rsidP="007C4D76">
      <w:pPr>
        <w:jc w:val="center"/>
        <w:rPr>
          <w:rFonts w:ascii="Lato" w:hAnsi="Lato" w:cs="Arial"/>
          <w:sz w:val="24"/>
          <w:szCs w:val="24"/>
        </w:rPr>
      </w:pPr>
    </w:p>
    <w:p w14:paraId="14802D65" w14:textId="083CAF8E" w:rsidR="004328F1" w:rsidRPr="00E60932" w:rsidRDefault="00920CFD" w:rsidP="007C4D76">
      <w:pPr>
        <w:rPr>
          <w:rFonts w:ascii="Lato" w:hAnsi="Lato" w:cs="Arial"/>
          <w:sz w:val="24"/>
          <w:szCs w:val="24"/>
        </w:rPr>
      </w:pPr>
      <w:r>
        <w:rPr>
          <w:rFonts w:ascii="Lato" w:hAnsi="Lato" w:cs="Arial"/>
          <w:noProof/>
          <w:sz w:val="24"/>
          <w:szCs w:val="24"/>
        </w:rPr>
        <w:drawing>
          <wp:anchor distT="0" distB="0" distL="114300" distR="114300" simplePos="0" relativeHeight="251659264" behindDoc="1" locked="0" layoutInCell="1" allowOverlap="1" wp14:anchorId="55FB94CD" wp14:editId="3AFB1B93">
            <wp:simplePos x="0" y="0"/>
            <wp:positionH relativeFrom="column">
              <wp:posOffset>3463290</wp:posOffset>
            </wp:positionH>
            <wp:positionV relativeFrom="paragraph">
              <wp:posOffset>43746</wp:posOffset>
            </wp:positionV>
            <wp:extent cx="3429000" cy="1928495"/>
            <wp:effectExtent l="0" t="0" r="0" b="0"/>
            <wp:wrapTight wrapText="bothSides">
              <wp:wrapPolygon edited="0">
                <wp:start x="0" y="0"/>
                <wp:lineTo x="0" y="21337"/>
                <wp:lineTo x="21480" y="21337"/>
                <wp:lineTo x="21480" y="0"/>
                <wp:lineTo x="0" y="0"/>
              </wp:wrapPolygon>
            </wp:wrapTight>
            <wp:docPr id="45" name="Picture 45" descr="Group of smiling young people standing on lawn outside brick building, wearing backpacks and tote bag, holding cellph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Group of smiling young people standing on lawn outside brick building, wearing backpacks and tote bag, holding cellphones"/>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29000" cy="1928495"/>
                    </a:xfrm>
                    <a:prstGeom prst="rect">
                      <a:avLst/>
                    </a:prstGeom>
                  </pic:spPr>
                </pic:pic>
              </a:graphicData>
            </a:graphic>
            <wp14:sizeRelH relativeFrom="margin">
              <wp14:pctWidth>0</wp14:pctWidth>
            </wp14:sizeRelH>
            <wp14:sizeRelV relativeFrom="margin">
              <wp14:pctHeight>0</wp14:pctHeight>
            </wp14:sizeRelV>
          </wp:anchor>
        </w:drawing>
      </w:r>
      <w:r w:rsidR="007C4D76" w:rsidRPr="00E60932">
        <w:rPr>
          <w:rFonts w:ascii="Lato" w:hAnsi="Lato" w:cs="Arial"/>
          <w:sz w:val="24"/>
          <w:szCs w:val="24"/>
        </w:rPr>
        <w:t xml:space="preserve">Research has shown that </w:t>
      </w:r>
      <w:r w:rsidR="002D5ACC" w:rsidRPr="00E60932">
        <w:rPr>
          <w:rFonts w:ascii="Lato" w:hAnsi="Lato" w:cs="Arial"/>
          <w:sz w:val="24"/>
          <w:szCs w:val="24"/>
        </w:rPr>
        <w:t xml:space="preserve">work experience before high school graduation is one of the best predictors of post-secondary success. </w:t>
      </w:r>
      <w:r w:rsidR="007C4D76" w:rsidRPr="00E60932">
        <w:rPr>
          <w:rFonts w:ascii="Lato" w:hAnsi="Lato" w:cs="Arial"/>
          <w:sz w:val="24"/>
          <w:szCs w:val="24"/>
        </w:rPr>
        <w:t xml:space="preserve">For students with disabilities, participation in paid work experience and other work-based learning is critical </w:t>
      </w:r>
      <w:r w:rsidR="006C0CEB" w:rsidRPr="00E60932">
        <w:rPr>
          <w:rFonts w:ascii="Lato" w:hAnsi="Lato" w:cs="Arial"/>
          <w:sz w:val="24"/>
          <w:szCs w:val="24"/>
        </w:rPr>
        <w:t xml:space="preserve">to </w:t>
      </w:r>
      <w:r w:rsidR="007823CE" w:rsidRPr="00E60932">
        <w:rPr>
          <w:rFonts w:ascii="Lato" w:hAnsi="Lato" w:cs="Arial"/>
          <w:sz w:val="24"/>
          <w:szCs w:val="24"/>
        </w:rPr>
        <w:t xml:space="preserve">building skills and </w:t>
      </w:r>
      <w:r w:rsidR="006C0CEB" w:rsidRPr="00E60932">
        <w:rPr>
          <w:rFonts w:ascii="Lato" w:hAnsi="Lato" w:cs="Arial"/>
          <w:sz w:val="24"/>
          <w:szCs w:val="24"/>
        </w:rPr>
        <w:t>overcom</w:t>
      </w:r>
      <w:r w:rsidR="007823CE" w:rsidRPr="00E60932">
        <w:rPr>
          <w:rFonts w:ascii="Lato" w:hAnsi="Lato" w:cs="Arial"/>
          <w:sz w:val="24"/>
          <w:szCs w:val="24"/>
        </w:rPr>
        <w:t>ing</w:t>
      </w:r>
      <w:r w:rsidR="006C0CEB" w:rsidRPr="00E60932">
        <w:rPr>
          <w:rFonts w:ascii="Lato" w:hAnsi="Lato" w:cs="Arial"/>
          <w:sz w:val="24"/>
          <w:szCs w:val="24"/>
        </w:rPr>
        <w:t xml:space="preserve"> stigma and misconceptions about what</w:t>
      </w:r>
      <w:r w:rsidR="009855E6" w:rsidRPr="00E60932">
        <w:rPr>
          <w:rFonts w:ascii="Lato" w:hAnsi="Lato" w:cs="Arial"/>
          <w:sz w:val="24"/>
          <w:szCs w:val="24"/>
        </w:rPr>
        <w:t xml:space="preserve"> young people with disabilities can achieve in employment. </w:t>
      </w:r>
      <w:r w:rsidR="00997B40" w:rsidRPr="00E60932">
        <w:rPr>
          <w:rFonts w:ascii="Lato" w:hAnsi="Lato" w:cs="Arial"/>
          <w:sz w:val="24"/>
          <w:szCs w:val="24"/>
        </w:rPr>
        <w:t xml:space="preserve"> </w:t>
      </w:r>
    </w:p>
    <w:p w14:paraId="1B0FF2E8" w14:textId="67ED4515" w:rsidR="007C4D76" w:rsidRPr="00E60932" w:rsidRDefault="00997B40" w:rsidP="007C4D76">
      <w:pPr>
        <w:rPr>
          <w:rFonts w:ascii="Lato" w:hAnsi="Lato" w:cs="Arial"/>
          <w:sz w:val="24"/>
          <w:szCs w:val="24"/>
        </w:rPr>
      </w:pPr>
      <w:r w:rsidRPr="00E60932">
        <w:rPr>
          <w:rFonts w:ascii="Lato" w:hAnsi="Lato" w:cs="Arial"/>
          <w:sz w:val="24"/>
          <w:szCs w:val="24"/>
        </w:rPr>
        <w:t>T</w:t>
      </w:r>
      <w:r w:rsidR="007C4D76" w:rsidRPr="00E60932">
        <w:rPr>
          <w:rFonts w:ascii="Lato" w:hAnsi="Lato" w:cs="Arial"/>
          <w:sz w:val="24"/>
          <w:szCs w:val="24"/>
        </w:rPr>
        <w:t>he</w:t>
      </w:r>
      <w:r w:rsidR="00E53101" w:rsidRPr="00E60932">
        <w:rPr>
          <w:rFonts w:ascii="Lato" w:hAnsi="Lato" w:cs="Arial"/>
          <w:sz w:val="24"/>
          <w:szCs w:val="24"/>
        </w:rPr>
        <w:t xml:space="preserve"> </w:t>
      </w:r>
      <w:r w:rsidRPr="00E60932">
        <w:rPr>
          <w:rFonts w:ascii="Lato" w:hAnsi="Lato" w:cs="Arial"/>
          <w:sz w:val="24"/>
          <w:szCs w:val="24"/>
        </w:rPr>
        <w:t xml:space="preserve">Maine </w:t>
      </w:r>
      <w:r w:rsidR="00E53101" w:rsidRPr="00E60932">
        <w:rPr>
          <w:rFonts w:ascii="Lato" w:hAnsi="Lato" w:cs="Arial"/>
          <w:sz w:val="24"/>
          <w:szCs w:val="24"/>
        </w:rPr>
        <w:t>Department of Labor’s</w:t>
      </w:r>
      <w:r w:rsidR="007C4D76" w:rsidRPr="00E60932">
        <w:rPr>
          <w:rFonts w:ascii="Lato" w:hAnsi="Lato" w:cs="Arial"/>
          <w:sz w:val="24"/>
          <w:szCs w:val="24"/>
        </w:rPr>
        <w:t xml:space="preserve"> Division of Vocational Rehabilitation and Division for the Blind and Visually Impaired</w:t>
      </w:r>
      <w:r w:rsidR="00E53101" w:rsidRPr="00E60932">
        <w:rPr>
          <w:rFonts w:ascii="Lato" w:hAnsi="Lato" w:cs="Arial"/>
          <w:sz w:val="24"/>
          <w:szCs w:val="24"/>
        </w:rPr>
        <w:t xml:space="preserve"> set aside 15% of their federal funding to provide </w:t>
      </w:r>
      <w:r w:rsidR="00E53101" w:rsidRPr="00E60932">
        <w:rPr>
          <w:rFonts w:ascii="Lato" w:hAnsi="Lato" w:cs="Arial"/>
          <w:b/>
          <w:bCs/>
          <w:sz w:val="24"/>
          <w:szCs w:val="24"/>
        </w:rPr>
        <w:t>Pre-Employment Transition Services</w:t>
      </w:r>
      <w:r w:rsidR="00E53101" w:rsidRPr="00E60932">
        <w:rPr>
          <w:rFonts w:ascii="Lato" w:hAnsi="Lato" w:cs="Arial"/>
          <w:sz w:val="24"/>
          <w:szCs w:val="24"/>
        </w:rPr>
        <w:t xml:space="preserve"> and other VR services to nearly 4000</w:t>
      </w:r>
      <w:r w:rsidRPr="00E60932">
        <w:rPr>
          <w:rFonts w:ascii="Lato" w:hAnsi="Lato" w:cs="Arial"/>
          <w:sz w:val="24"/>
          <w:szCs w:val="24"/>
        </w:rPr>
        <w:t xml:space="preserve"> </w:t>
      </w:r>
      <w:r w:rsidR="00E53101" w:rsidRPr="00E60932">
        <w:rPr>
          <w:rFonts w:ascii="Lato" w:hAnsi="Lato" w:cs="Arial"/>
          <w:sz w:val="24"/>
          <w:szCs w:val="24"/>
        </w:rPr>
        <w:t>transition-age youth and young adults each year to assist them to prepare for and enter meaningful career pathways.</w:t>
      </w:r>
    </w:p>
    <w:p w14:paraId="766BC461" w14:textId="77777777" w:rsidR="00920CFD" w:rsidRDefault="00920CFD" w:rsidP="007C4D76">
      <w:pPr>
        <w:rPr>
          <w:rFonts w:ascii="Lato" w:hAnsi="Lato" w:cs="Arial"/>
          <w:b/>
          <w:bCs/>
          <w:sz w:val="24"/>
          <w:szCs w:val="24"/>
        </w:rPr>
      </w:pPr>
    </w:p>
    <w:p w14:paraId="7FC0ECCF" w14:textId="7E149381" w:rsidR="00803571" w:rsidRPr="00920CFD" w:rsidRDefault="00803571" w:rsidP="007C4D76">
      <w:pPr>
        <w:rPr>
          <w:rFonts w:ascii="Lato" w:hAnsi="Lato" w:cs="Arial"/>
          <w:b/>
          <w:bCs/>
          <w:sz w:val="32"/>
          <w:szCs w:val="32"/>
        </w:rPr>
      </w:pPr>
      <w:r w:rsidRPr="00920CFD">
        <w:rPr>
          <w:rFonts w:ascii="Lato" w:hAnsi="Lato" w:cs="Arial"/>
          <w:b/>
          <w:bCs/>
          <w:sz w:val="32"/>
          <w:szCs w:val="32"/>
        </w:rPr>
        <w:t xml:space="preserve">What services does Vocational Rehabilitation provide? </w:t>
      </w:r>
    </w:p>
    <w:p w14:paraId="0DF127F5" w14:textId="2A55E2B4" w:rsidR="00E53101" w:rsidRPr="00E60932" w:rsidRDefault="00E53101" w:rsidP="00792B1F">
      <w:pPr>
        <w:rPr>
          <w:rFonts w:ascii="Lato" w:hAnsi="Lato" w:cs="Arial"/>
          <w:sz w:val="24"/>
          <w:szCs w:val="24"/>
        </w:rPr>
      </w:pPr>
      <w:r w:rsidRPr="00E60932">
        <w:rPr>
          <w:rFonts w:ascii="Lato" w:hAnsi="Lato" w:cs="Arial"/>
          <w:sz w:val="24"/>
          <w:szCs w:val="24"/>
        </w:rPr>
        <w:t xml:space="preserve">Pre-Employment Transition Services include: </w:t>
      </w:r>
    </w:p>
    <w:p w14:paraId="0894411D" w14:textId="77777777" w:rsidR="00E53101" w:rsidRPr="00E60932" w:rsidRDefault="00E53101" w:rsidP="00E53101">
      <w:pPr>
        <w:numPr>
          <w:ilvl w:val="0"/>
          <w:numId w:val="1"/>
        </w:numPr>
        <w:rPr>
          <w:rFonts w:ascii="Lato" w:hAnsi="Lato" w:cs="Arial"/>
          <w:sz w:val="24"/>
          <w:szCs w:val="24"/>
        </w:rPr>
      </w:pPr>
      <w:r w:rsidRPr="00E60932">
        <w:rPr>
          <w:rFonts w:ascii="Lato" w:hAnsi="Lato" w:cs="Arial"/>
          <w:sz w:val="24"/>
          <w:szCs w:val="24"/>
        </w:rPr>
        <w:t>Job Exploration Counseling</w:t>
      </w:r>
    </w:p>
    <w:p w14:paraId="3A92BAEB" w14:textId="77777777" w:rsidR="00E53101" w:rsidRPr="00E60932" w:rsidRDefault="00E53101" w:rsidP="00E53101">
      <w:pPr>
        <w:numPr>
          <w:ilvl w:val="0"/>
          <w:numId w:val="1"/>
        </w:numPr>
        <w:rPr>
          <w:rFonts w:ascii="Lato" w:hAnsi="Lato" w:cs="Arial"/>
          <w:sz w:val="24"/>
          <w:szCs w:val="24"/>
        </w:rPr>
      </w:pPr>
      <w:r w:rsidRPr="00E60932">
        <w:rPr>
          <w:rFonts w:ascii="Lato" w:hAnsi="Lato" w:cs="Arial"/>
          <w:sz w:val="24"/>
          <w:szCs w:val="24"/>
        </w:rPr>
        <w:t>Work-based Learning Experiences</w:t>
      </w:r>
    </w:p>
    <w:p w14:paraId="2A19AADB" w14:textId="77777777" w:rsidR="00E53101" w:rsidRPr="00E60932" w:rsidRDefault="00E53101" w:rsidP="00E53101">
      <w:pPr>
        <w:numPr>
          <w:ilvl w:val="0"/>
          <w:numId w:val="1"/>
        </w:numPr>
        <w:rPr>
          <w:rFonts w:ascii="Lato" w:hAnsi="Lato" w:cs="Arial"/>
          <w:sz w:val="24"/>
          <w:szCs w:val="24"/>
        </w:rPr>
      </w:pPr>
      <w:r w:rsidRPr="00E60932">
        <w:rPr>
          <w:rFonts w:ascii="Lato" w:hAnsi="Lato" w:cs="Arial"/>
          <w:sz w:val="24"/>
          <w:szCs w:val="24"/>
        </w:rPr>
        <w:t>Counseling on Opportunities for Post-Secondary Training and Education</w:t>
      </w:r>
    </w:p>
    <w:p w14:paraId="35BC5319" w14:textId="77777777" w:rsidR="00E53101" w:rsidRPr="00E60932" w:rsidRDefault="00E53101" w:rsidP="00E53101">
      <w:pPr>
        <w:numPr>
          <w:ilvl w:val="0"/>
          <w:numId w:val="1"/>
        </w:numPr>
        <w:rPr>
          <w:rFonts w:ascii="Lato" w:hAnsi="Lato" w:cs="Arial"/>
          <w:sz w:val="24"/>
          <w:szCs w:val="24"/>
        </w:rPr>
      </w:pPr>
      <w:r w:rsidRPr="00E60932">
        <w:rPr>
          <w:rFonts w:ascii="Lato" w:hAnsi="Lato" w:cs="Arial"/>
          <w:sz w:val="24"/>
          <w:szCs w:val="24"/>
        </w:rPr>
        <w:t>Workplace Readiness Training to Develop Social Skills and Independent Living</w:t>
      </w:r>
    </w:p>
    <w:p w14:paraId="14CCC11F" w14:textId="7C053A6B" w:rsidR="00E53101" w:rsidRPr="00E60932" w:rsidRDefault="00E53101" w:rsidP="00E53101">
      <w:pPr>
        <w:numPr>
          <w:ilvl w:val="0"/>
          <w:numId w:val="1"/>
        </w:numPr>
        <w:rPr>
          <w:rFonts w:ascii="Lato" w:hAnsi="Lato" w:cs="Arial"/>
          <w:sz w:val="24"/>
          <w:szCs w:val="24"/>
        </w:rPr>
      </w:pPr>
      <w:r w:rsidRPr="00E60932">
        <w:rPr>
          <w:rFonts w:ascii="Lato" w:hAnsi="Lato" w:cs="Arial"/>
          <w:sz w:val="24"/>
          <w:szCs w:val="24"/>
        </w:rPr>
        <w:t>Instruction in Self-Advocacy</w:t>
      </w:r>
    </w:p>
    <w:p w14:paraId="4FF02AB7" w14:textId="77777777" w:rsidR="00206A26" w:rsidRPr="00E60932" w:rsidRDefault="00803571" w:rsidP="00E53101">
      <w:pPr>
        <w:rPr>
          <w:rFonts w:ascii="Lato" w:hAnsi="Lato" w:cs="Arial"/>
          <w:sz w:val="24"/>
          <w:szCs w:val="24"/>
        </w:rPr>
      </w:pPr>
      <w:r w:rsidRPr="00E60932">
        <w:rPr>
          <w:rFonts w:ascii="Lato" w:hAnsi="Lato" w:cs="Arial"/>
          <w:sz w:val="24"/>
          <w:szCs w:val="24"/>
        </w:rPr>
        <w:t xml:space="preserve">VR </w:t>
      </w:r>
      <w:r w:rsidR="00E10E75" w:rsidRPr="00E60932">
        <w:rPr>
          <w:rFonts w:ascii="Lato" w:hAnsi="Lato" w:cs="Arial"/>
          <w:sz w:val="24"/>
          <w:szCs w:val="24"/>
        </w:rPr>
        <w:t xml:space="preserve">offers </w:t>
      </w:r>
      <w:r w:rsidR="00206A26" w:rsidRPr="00E60932">
        <w:rPr>
          <w:rFonts w:ascii="Lato" w:hAnsi="Lato" w:cs="Arial"/>
          <w:sz w:val="24"/>
          <w:szCs w:val="24"/>
        </w:rPr>
        <w:t xml:space="preserve">students </w:t>
      </w:r>
      <w:r w:rsidR="00E10E75" w:rsidRPr="00E60932">
        <w:rPr>
          <w:rFonts w:ascii="Lato" w:hAnsi="Lato" w:cs="Arial"/>
          <w:sz w:val="24"/>
          <w:szCs w:val="24"/>
        </w:rPr>
        <w:t xml:space="preserve">activities </w:t>
      </w:r>
      <w:r w:rsidRPr="00E60932">
        <w:rPr>
          <w:rFonts w:ascii="Lato" w:hAnsi="Lato" w:cs="Arial"/>
          <w:sz w:val="24"/>
          <w:szCs w:val="24"/>
        </w:rPr>
        <w:t xml:space="preserve">such as – </w:t>
      </w:r>
      <w:r w:rsidRPr="00E60932">
        <w:rPr>
          <w:rFonts w:ascii="Lato" w:hAnsi="Lato" w:cs="Arial"/>
          <w:b/>
          <w:bCs/>
          <w:sz w:val="24"/>
          <w:szCs w:val="24"/>
        </w:rPr>
        <w:t>virtual job clubs, job shadows, business tours, Virtual Job Shadow, paid work experience, summer work experience, college prep programs, Transition Career Exploration Workshop, soft skill and work readiness training, and driver’s education</w:t>
      </w:r>
      <w:r w:rsidRPr="00E60932">
        <w:rPr>
          <w:rFonts w:ascii="Lato" w:hAnsi="Lato" w:cs="Arial"/>
          <w:sz w:val="24"/>
          <w:szCs w:val="24"/>
        </w:rPr>
        <w:t xml:space="preserve"> – as well as more individualized transition services such as job development and placement and education and training. </w:t>
      </w:r>
    </w:p>
    <w:p w14:paraId="759CF15D" w14:textId="77777777" w:rsidR="00920CFD" w:rsidRDefault="00920CFD">
      <w:pPr>
        <w:rPr>
          <w:rFonts w:ascii="Lato" w:hAnsi="Lato" w:cs="Arial"/>
          <w:b/>
          <w:bCs/>
          <w:sz w:val="24"/>
          <w:szCs w:val="24"/>
        </w:rPr>
      </w:pPr>
      <w:r>
        <w:rPr>
          <w:rFonts w:ascii="Lato" w:hAnsi="Lato" w:cs="Arial"/>
          <w:b/>
          <w:bCs/>
          <w:sz w:val="24"/>
          <w:szCs w:val="24"/>
        </w:rPr>
        <w:br w:type="page"/>
      </w:r>
    </w:p>
    <w:p w14:paraId="52B117B1" w14:textId="6B173D70" w:rsidR="009F1D6F" w:rsidRPr="00920CFD" w:rsidRDefault="00515620" w:rsidP="00206A26">
      <w:pPr>
        <w:rPr>
          <w:rFonts w:ascii="Lato" w:hAnsi="Lato" w:cs="Arial"/>
          <w:b/>
          <w:bCs/>
          <w:sz w:val="32"/>
          <w:szCs w:val="32"/>
        </w:rPr>
      </w:pPr>
      <w:r w:rsidRPr="00920CFD">
        <w:rPr>
          <w:rFonts w:ascii="Lato" w:hAnsi="Lato" w:cs="Arial"/>
          <w:b/>
          <w:bCs/>
          <w:sz w:val="32"/>
          <w:szCs w:val="32"/>
        </w:rPr>
        <w:lastRenderedPageBreak/>
        <w:t xml:space="preserve">What are the </w:t>
      </w:r>
      <w:r w:rsidR="000D576E" w:rsidRPr="00920CFD">
        <w:rPr>
          <w:rFonts w:ascii="Lato" w:hAnsi="Lato" w:cs="Arial"/>
          <w:b/>
          <w:bCs/>
          <w:sz w:val="32"/>
          <w:szCs w:val="32"/>
        </w:rPr>
        <w:t>Benefits of ELO and Vocational Rehabilitation Partnership</w:t>
      </w:r>
      <w:r w:rsidR="009F1D6F" w:rsidRPr="00920CFD">
        <w:rPr>
          <w:rFonts w:ascii="Lato" w:hAnsi="Lato" w:cs="Arial"/>
          <w:b/>
          <w:bCs/>
          <w:sz w:val="32"/>
          <w:szCs w:val="32"/>
        </w:rPr>
        <w:t>?</w:t>
      </w:r>
    </w:p>
    <w:p w14:paraId="27B3F23B" w14:textId="08B2E969" w:rsidR="00997B40" w:rsidRPr="00E60932" w:rsidRDefault="00997B40" w:rsidP="009F1D6F">
      <w:pPr>
        <w:pStyle w:val="ListParagraph"/>
        <w:numPr>
          <w:ilvl w:val="0"/>
          <w:numId w:val="2"/>
        </w:numPr>
        <w:rPr>
          <w:rFonts w:ascii="Lato" w:hAnsi="Lato" w:cs="Arial"/>
          <w:sz w:val="24"/>
          <w:szCs w:val="24"/>
        </w:rPr>
      </w:pPr>
      <w:r w:rsidRPr="00E60932">
        <w:rPr>
          <w:rFonts w:ascii="Lato" w:hAnsi="Lato" w:cs="Arial"/>
          <w:sz w:val="24"/>
          <w:szCs w:val="24"/>
        </w:rPr>
        <w:t>Both programs share a goal of increasing access to real-world experiences that lead to improved student outcomes</w:t>
      </w:r>
    </w:p>
    <w:p w14:paraId="39226B6D" w14:textId="2CAB77C2" w:rsidR="00997B40" w:rsidRPr="00E60932" w:rsidRDefault="00997B40" w:rsidP="00997B40">
      <w:pPr>
        <w:pStyle w:val="ListParagraph"/>
        <w:numPr>
          <w:ilvl w:val="0"/>
          <w:numId w:val="2"/>
        </w:numPr>
        <w:rPr>
          <w:rFonts w:ascii="Lato" w:hAnsi="Lato" w:cs="Arial"/>
          <w:sz w:val="24"/>
          <w:szCs w:val="24"/>
        </w:rPr>
      </w:pPr>
      <w:r w:rsidRPr="00E60932">
        <w:rPr>
          <w:rFonts w:ascii="Lato" w:hAnsi="Lato" w:cs="Arial"/>
          <w:sz w:val="24"/>
          <w:szCs w:val="24"/>
        </w:rPr>
        <w:t xml:space="preserve">Every Maine high school has an assigned Vocational Rehabilitation Counselor who </w:t>
      </w:r>
      <w:r w:rsidR="00AF3F08" w:rsidRPr="00E60932">
        <w:rPr>
          <w:rFonts w:ascii="Lato" w:hAnsi="Lato" w:cs="Arial"/>
          <w:sz w:val="24"/>
          <w:szCs w:val="24"/>
        </w:rPr>
        <w:t>brings knowledge of best practices in youth employment and disability services to the team</w:t>
      </w:r>
    </w:p>
    <w:p w14:paraId="53F2ACD4" w14:textId="598FAC73" w:rsidR="00997B40" w:rsidRPr="00E60932" w:rsidRDefault="00AF3F08" w:rsidP="00A01AFF">
      <w:pPr>
        <w:pStyle w:val="ListParagraph"/>
        <w:numPr>
          <w:ilvl w:val="0"/>
          <w:numId w:val="2"/>
        </w:numPr>
        <w:rPr>
          <w:rFonts w:ascii="Lato" w:hAnsi="Lato" w:cs="Arial"/>
          <w:sz w:val="24"/>
          <w:szCs w:val="24"/>
        </w:rPr>
      </w:pPr>
      <w:r w:rsidRPr="00E60932">
        <w:rPr>
          <w:rFonts w:ascii="Lato" w:hAnsi="Lato" w:cs="Arial"/>
          <w:sz w:val="24"/>
          <w:szCs w:val="24"/>
        </w:rPr>
        <w:t>VR Counselors have access to resources and funding that may be blended and braided to support students with disabilities who participate in ELO.</w:t>
      </w:r>
      <w:r w:rsidR="00B53476" w:rsidRPr="00E60932">
        <w:rPr>
          <w:rFonts w:ascii="Lato" w:hAnsi="Lato" w:cs="Arial"/>
          <w:sz w:val="24"/>
          <w:szCs w:val="24"/>
        </w:rPr>
        <w:t xml:space="preserve"> </w:t>
      </w:r>
    </w:p>
    <w:p w14:paraId="73FDDE58" w14:textId="54F82EAF" w:rsidR="00AF3F08" w:rsidRPr="00E60932" w:rsidRDefault="00AF3F08" w:rsidP="00A01AFF">
      <w:pPr>
        <w:pStyle w:val="ListParagraph"/>
        <w:numPr>
          <w:ilvl w:val="0"/>
          <w:numId w:val="2"/>
        </w:numPr>
        <w:rPr>
          <w:rFonts w:ascii="Lato" w:hAnsi="Lato" w:cs="Arial"/>
          <w:sz w:val="24"/>
          <w:szCs w:val="24"/>
        </w:rPr>
      </w:pPr>
      <w:r w:rsidRPr="00E60932">
        <w:rPr>
          <w:rFonts w:ascii="Lato" w:hAnsi="Lato" w:cs="Arial"/>
          <w:sz w:val="24"/>
          <w:szCs w:val="24"/>
        </w:rPr>
        <w:t xml:space="preserve">VR </w:t>
      </w:r>
      <w:r w:rsidR="00DC1C8A" w:rsidRPr="00E60932">
        <w:rPr>
          <w:rFonts w:ascii="Lato" w:hAnsi="Lato" w:cs="Arial"/>
          <w:sz w:val="24"/>
          <w:szCs w:val="24"/>
        </w:rPr>
        <w:t xml:space="preserve">can </w:t>
      </w:r>
      <w:r w:rsidRPr="00E60932">
        <w:rPr>
          <w:rFonts w:ascii="Lato" w:hAnsi="Lato" w:cs="Arial"/>
          <w:sz w:val="24"/>
          <w:szCs w:val="24"/>
        </w:rPr>
        <w:t xml:space="preserve">support students </w:t>
      </w:r>
      <w:r w:rsidR="00DC1C8A" w:rsidRPr="00E60932">
        <w:rPr>
          <w:rFonts w:ascii="Lato" w:hAnsi="Lato" w:cs="Arial"/>
          <w:sz w:val="24"/>
          <w:szCs w:val="24"/>
        </w:rPr>
        <w:t xml:space="preserve">during the ELO, helping them to make the most of their experience and linking their learning to coordinated transition planning. </w:t>
      </w:r>
    </w:p>
    <w:p w14:paraId="3C789889" w14:textId="6700F3B9" w:rsidR="009D5D82" w:rsidRPr="00E60932" w:rsidRDefault="009D5D82" w:rsidP="009D5D82">
      <w:pPr>
        <w:pStyle w:val="ListParagraph"/>
        <w:numPr>
          <w:ilvl w:val="0"/>
          <w:numId w:val="2"/>
        </w:numPr>
        <w:rPr>
          <w:rFonts w:ascii="Lato" w:hAnsi="Lato" w:cs="Arial"/>
          <w:sz w:val="24"/>
          <w:szCs w:val="24"/>
        </w:rPr>
      </w:pPr>
      <w:r w:rsidRPr="00E60932">
        <w:rPr>
          <w:rFonts w:ascii="Lato" w:hAnsi="Lato" w:cs="Arial"/>
          <w:sz w:val="24"/>
          <w:szCs w:val="24"/>
        </w:rPr>
        <w:t xml:space="preserve">VR also can provide support services including assistive technology or job coaching that promote access to </w:t>
      </w:r>
      <w:r w:rsidR="007E54EC" w:rsidRPr="00E60932">
        <w:rPr>
          <w:rFonts w:ascii="Lato" w:hAnsi="Lato" w:cs="Arial"/>
          <w:sz w:val="24"/>
          <w:szCs w:val="24"/>
        </w:rPr>
        <w:t>work-based learning opportunities.</w:t>
      </w:r>
    </w:p>
    <w:p w14:paraId="2D6CC829" w14:textId="5B22C5E7" w:rsidR="00B53476" w:rsidRPr="00E60932" w:rsidRDefault="009D5D82" w:rsidP="00A01AFF">
      <w:pPr>
        <w:pStyle w:val="ListParagraph"/>
        <w:numPr>
          <w:ilvl w:val="0"/>
          <w:numId w:val="2"/>
        </w:numPr>
        <w:rPr>
          <w:rFonts w:ascii="Lato" w:hAnsi="Lato" w:cs="Arial"/>
          <w:sz w:val="24"/>
          <w:szCs w:val="24"/>
        </w:rPr>
      </w:pPr>
      <w:r w:rsidRPr="00E60932">
        <w:rPr>
          <w:rFonts w:ascii="Lato" w:hAnsi="Lato" w:cs="Arial"/>
          <w:sz w:val="24"/>
          <w:szCs w:val="24"/>
        </w:rPr>
        <w:t xml:space="preserve">VR has strong established </w:t>
      </w:r>
      <w:r w:rsidRPr="00E60932">
        <w:rPr>
          <w:rFonts w:ascii="Lato" w:hAnsi="Lato" w:cs="Arial"/>
          <w:b/>
          <w:bCs/>
          <w:sz w:val="24"/>
          <w:szCs w:val="24"/>
        </w:rPr>
        <w:t xml:space="preserve">partnerships with employers </w:t>
      </w:r>
      <w:r w:rsidRPr="00E60932">
        <w:rPr>
          <w:rFonts w:ascii="Lato" w:hAnsi="Lato" w:cs="Arial"/>
          <w:sz w:val="24"/>
          <w:szCs w:val="24"/>
        </w:rPr>
        <w:t xml:space="preserve">and other service providers to develop opportunities for youth who would otherwise face barriers to entry into the world of work – including </w:t>
      </w:r>
      <w:proofErr w:type="gramStart"/>
      <w:r w:rsidRPr="00E60932">
        <w:rPr>
          <w:rFonts w:ascii="Lato" w:hAnsi="Lato" w:cs="Arial"/>
          <w:sz w:val="24"/>
          <w:szCs w:val="24"/>
        </w:rPr>
        <w:t>through the use of</w:t>
      </w:r>
      <w:proofErr w:type="gramEnd"/>
      <w:r w:rsidRPr="00E60932">
        <w:rPr>
          <w:rFonts w:ascii="Lato" w:hAnsi="Lato" w:cs="Arial"/>
          <w:sz w:val="24"/>
          <w:szCs w:val="24"/>
        </w:rPr>
        <w:t xml:space="preserve"> its funds to </w:t>
      </w:r>
      <w:r w:rsidRPr="00E60932">
        <w:rPr>
          <w:rFonts w:ascii="Lato" w:hAnsi="Lato" w:cs="Arial"/>
          <w:b/>
          <w:bCs/>
          <w:sz w:val="24"/>
          <w:szCs w:val="24"/>
        </w:rPr>
        <w:t>pay wages during work experiences</w:t>
      </w:r>
      <w:r w:rsidR="00033868" w:rsidRPr="00E60932">
        <w:rPr>
          <w:rFonts w:ascii="Lato" w:hAnsi="Lato" w:cs="Arial"/>
          <w:b/>
          <w:bCs/>
          <w:sz w:val="24"/>
          <w:szCs w:val="24"/>
        </w:rPr>
        <w:t>.</w:t>
      </w:r>
    </w:p>
    <w:p w14:paraId="600F277A" w14:textId="151FDF6A" w:rsidR="00033868" w:rsidRPr="00E60932" w:rsidRDefault="00033868" w:rsidP="00033868">
      <w:pPr>
        <w:rPr>
          <w:rFonts w:ascii="Lato" w:hAnsi="Lato" w:cs="Arial"/>
          <w:sz w:val="24"/>
          <w:szCs w:val="24"/>
        </w:rPr>
      </w:pPr>
    </w:p>
    <w:p w14:paraId="02CAB037" w14:textId="68610582" w:rsidR="00033868" w:rsidRPr="00920CFD" w:rsidRDefault="00033868" w:rsidP="00033868">
      <w:pPr>
        <w:rPr>
          <w:rFonts w:ascii="Lato" w:hAnsi="Lato" w:cs="Arial"/>
          <w:b/>
          <w:bCs/>
          <w:sz w:val="32"/>
          <w:szCs w:val="32"/>
        </w:rPr>
      </w:pPr>
      <w:r w:rsidRPr="00920CFD">
        <w:rPr>
          <w:rFonts w:ascii="Lato" w:hAnsi="Lato" w:cs="Arial"/>
          <w:b/>
          <w:bCs/>
          <w:sz w:val="32"/>
          <w:szCs w:val="32"/>
        </w:rPr>
        <w:t xml:space="preserve">What Can Success Look </w:t>
      </w:r>
      <w:r w:rsidR="00A204AC" w:rsidRPr="00920CFD">
        <w:rPr>
          <w:rFonts w:ascii="Lato" w:hAnsi="Lato" w:cs="Arial"/>
          <w:b/>
          <w:bCs/>
          <w:sz w:val="32"/>
          <w:szCs w:val="32"/>
        </w:rPr>
        <w:t>Like?</w:t>
      </w:r>
    </w:p>
    <w:p w14:paraId="1C51B576" w14:textId="53FC9B3A" w:rsidR="00A204AC" w:rsidRPr="00E60932" w:rsidRDefault="00A204AC" w:rsidP="00F9736C">
      <w:pPr>
        <w:pStyle w:val="ListParagraph"/>
        <w:numPr>
          <w:ilvl w:val="0"/>
          <w:numId w:val="3"/>
        </w:numPr>
        <w:ind w:left="720"/>
        <w:rPr>
          <w:rFonts w:ascii="Lato" w:hAnsi="Lato" w:cs="Arial"/>
          <w:sz w:val="24"/>
          <w:szCs w:val="24"/>
        </w:rPr>
      </w:pPr>
      <w:r w:rsidRPr="00E60932">
        <w:rPr>
          <w:rFonts w:ascii="Lato" w:hAnsi="Lato" w:cs="Arial"/>
        </w:rPr>
        <w:t xml:space="preserve">“Jay”, a young man with autism, participated in the JMG program at Bangor High School and was referred to </w:t>
      </w:r>
      <w:r w:rsidR="00CD1D28" w:rsidRPr="00E60932">
        <w:rPr>
          <w:rFonts w:ascii="Lato" w:hAnsi="Lato" w:cs="Arial"/>
        </w:rPr>
        <w:t xml:space="preserve">Vocational Rehabilitation’s </w:t>
      </w:r>
      <w:r w:rsidRPr="00E60932">
        <w:rPr>
          <w:rFonts w:ascii="Lato" w:hAnsi="Lato" w:cs="Arial"/>
        </w:rPr>
        <w:t>Progressive Employment</w:t>
      </w:r>
      <w:r w:rsidR="00CD1D28" w:rsidRPr="00E60932">
        <w:rPr>
          <w:rFonts w:ascii="Lato" w:hAnsi="Lato" w:cs="Arial"/>
        </w:rPr>
        <w:t xml:space="preserve"> model</w:t>
      </w:r>
      <w:r w:rsidRPr="00E60932">
        <w:rPr>
          <w:rFonts w:ascii="Lato" w:hAnsi="Lato" w:cs="Arial"/>
        </w:rPr>
        <w:t xml:space="preserve"> in his senior year. He did not think that he was going to be employable because he thought “People don’t really like </w:t>
      </w:r>
      <w:proofErr w:type="gramStart"/>
      <w:r w:rsidRPr="00E60932">
        <w:rPr>
          <w:rFonts w:ascii="Lato" w:hAnsi="Lato" w:cs="Arial"/>
        </w:rPr>
        <w:t>me</w:t>
      </w:r>
      <w:proofErr w:type="gramEnd"/>
      <w:r w:rsidRPr="00E60932">
        <w:rPr>
          <w:rFonts w:ascii="Lato" w:hAnsi="Lato" w:cs="Arial"/>
        </w:rPr>
        <w:t xml:space="preserve"> and I am not really good at anything.” </w:t>
      </w:r>
      <w:r w:rsidR="00CD1D28" w:rsidRPr="00E60932">
        <w:rPr>
          <w:rFonts w:ascii="Lato" w:hAnsi="Lato" w:cs="Arial"/>
        </w:rPr>
        <w:t>He went</w:t>
      </w:r>
      <w:r w:rsidRPr="00E60932">
        <w:rPr>
          <w:rFonts w:ascii="Lato" w:hAnsi="Lato" w:cs="Arial"/>
        </w:rPr>
        <w:t xml:space="preserve"> on a tour and interview at a local barbecue restaurant. Jay discovered during his interview that workers could have a free meal and soda during each shift. The manager saw the sparkle in his eye and heard the enthusiasm in his voice, “I can work, get money, and free root beer?” Jay began a Paid Work Experience and was hired at its completion!</w:t>
      </w:r>
      <w:r w:rsidR="00C50A02" w:rsidRPr="00E60932">
        <w:rPr>
          <w:rFonts w:ascii="Lato" w:hAnsi="Lato" w:cs="Arial"/>
        </w:rPr>
        <w:t xml:space="preserve"> </w:t>
      </w:r>
      <w:r w:rsidRPr="00E60932">
        <w:rPr>
          <w:rFonts w:ascii="Lato" w:hAnsi="Lato" w:cs="Arial"/>
          <w:sz w:val="24"/>
          <w:szCs w:val="24"/>
        </w:rPr>
        <w:t xml:space="preserve">Jay returned to his JMG class with his barbecue restaurant hat on and </w:t>
      </w:r>
      <w:r w:rsidR="00FD7334" w:rsidRPr="00E60932">
        <w:rPr>
          <w:rFonts w:ascii="Lato" w:hAnsi="Lato" w:cs="Arial"/>
          <w:sz w:val="24"/>
          <w:szCs w:val="24"/>
        </w:rPr>
        <w:t>announced,</w:t>
      </w:r>
      <w:r w:rsidRPr="00E60932">
        <w:rPr>
          <w:rFonts w:ascii="Lato" w:hAnsi="Lato" w:cs="Arial"/>
          <w:sz w:val="24"/>
          <w:szCs w:val="24"/>
        </w:rPr>
        <w:t xml:space="preserve"> </w:t>
      </w:r>
      <w:r w:rsidRPr="00E60932">
        <w:rPr>
          <w:rFonts w:ascii="Lato" w:hAnsi="Lato" w:cs="Arial"/>
          <w:b/>
          <w:bCs/>
          <w:sz w:val="24"/>
          <w:szCs w:val="24"/>
        </w:rPr>
        <w:t xml:space="preserve">“I got a job!” </w:t>
      </w:r>
      <w:r w:rsidRPr="00E60932">
        <w:rPr>
          <w:rFonts w:ascii="Lato" w:hAnsi="Lato" w:cs="Arial"/>
          <w:sz w:val="24"/>
          <w:szCs w:val="24"/>
        </w:rPr>
        <w:t xml:space="preserve">Jay enrolled at the University of Maine at Augusta following </w:t>
      </w:r>
      <w:r w:rsidR="00881B21" w:rsidRPr="00E60932">
        <w:rPr>
          <w:rFonts w:ascii="Lato" w:hAnsi="Lato" w:cs="Arial"/>
          <w:sz w:val="24"/>
          <w:szCs w:val="24"/>
        </w:rPr>
        <w:t>g</w:t>
      </w:r>
      <w:r w:rsidRPr="00E60932">
        <w:rPr>
          <w:rFonts w:ascii="Lato" w:hAnsi="Lato" w:cs="Arial"/>
          <w:sz w:val="24"/>
          <w:szCs w:val="24"/>
        </w:rPr>
        <w:t>raduation</w:t>
      </w:r>
      <w:r w:rsidR="00FD7334" w:rsidRPr="00E60932">
        <w:rPr>
          <w:rFonts w:ascii="Lato" w:hAnsi="Lato" w:cs="Arial"/>
          <w:sz w:val="24"/>
          <w:szCs w:val="24"/>
        </w:rPr>
        <w:t>.</w:t>
      </w:r>
    </w:p>
    <w:p w14:paraId="4A6F55C0" w14:textId="77777777" w:rsidR="00881B21" w:rsidRPr="00E60932" w:rsidRDefault="00881B21" w:rsidP="00F9736C">
      <w:pPr>
        <w:ind w:left="720"/>
        <w:rPr>
          <w:rFonts w:ascii="Lato" w:hAnsi="Lato" w:cs="Arial"/>
          <w:sz w:val="24"/>
          <w:szCs w:val="24"/>
        </w:rPr>
      </w:pPr>
    </w:p>
    <w:p w14:paraId="7D5ABF87" w14:textId="06984362" w:rsidR="00836D05" w:rsidRPr="00E60932" w:rsidRDefault="000464EC" w:rsidP="00F9736C">
      <w:pPr>
        <w:pStyle w:val="ListParagraph"/>
        <w:numPr>
          <w:ilvl w:val="0"/>
          <w:numId w:val="3"/>
        </w:numPr>
        <w:ind w:left="720"/>
        <w:rPr>
          <w:rFonts w:ascii="Lato" w:hAnsi="Lato" w:cs="Arial"/>
          <w:sz w:val="24"/>
          <w:szCs w:val="24"/>
        </w:rPr>
      </w:pPr>
      <w:r w:rsidRPr="00E60932">
        <w:rPr>
          <w:rFonts w:ascii="Lato" w:hAnsi="Lato" w:cs="Arial"/>
          <w:sz w:val="24"/>
          <w:szCs w:val="24"/>
        </w:rPr>
        <w:t xml:space="preserve">Watch Mitchell’s story at </w:t>
      </w:r>
    </w:p>
    <w:p w14:paraId="365EE253" w14:textId="5823D62B" w:rsidR="006A1BDC" w:rsidRPr="003879C8" w:rsidRDefault="006A1BDC" w:rsidP="00881B21">
      <w:pPr>
        <w:ind w:left="1084"/>
        <w:jc w:val="center"/>
        <w:rPr>
          <w:rFonts w:ascii="Lato" w:hAnsi="Lato" w:cs="Arial"/>
          <w:b/>
          <w:bCs/>
          <w:sz w:val="24"/>
          <w:szCs w:val="24"/>
        </w:rPr>
      </w:pPr>
      <w:r w:rsidRPr="003879C8">
        <w:rPr>
          <w:rFonts w:ascii="Lato" w:hAnsi="Lato"/>
          <w:b/>
          <w:bCs/>
          <w:noProof/>
        </w:rPr>
        <w:drawing>
          <wp:inline distT="0" distB="0" distL="0" distR="0" wp14:anchorId="0D221F5F" wp14:editId="60296D89">
            <wp:extent cx="1285024" cy="10223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69645" cy="1169232"/>
                    </a:xfrm>
                    <a:prstGeom prst="rect">
                      <a:avLst/>
                    </a:prstGeom>
                    <a:noFill/>
                    <a:ln>
                      <a:noFill/>
                    </a:ln>
                  </pic:spPr>
                </pic:pic>
              </a:graphicData>
            </a:graphic>
          </wp:inline>
        </w:drawing>
      </w:r>
    </w:p>
    <w:p w14:paraId="07481997" w14:textId="54A3FC5A" w:rsidR="003879C8" w:rsidRDefault="003879C8" w:rsidP="003879C8">
      <w:pPr>
        <w:ind w:left="360"/>
        <w:rPr>
          <w:rStyle w:val="Hyperlink"/>
          <w:rFonts w:ascii="Lato" w:hAnsi="Lato" w:cs="Arial"/>
          <w:color w:val="auto"/>
          <w:sz w:val="24"/>
          <w:szCs w:val="24"/>
          <w:u w:val="none"/>
        </w:rPr>
      </w:pPr>
      <w:r w:rsidRPr="003879C8">
        <w:rPr>
          <w:rStyle w:val="Hyperlink"/>
          <w:rFonts w:ascii="Lato" w:hAnsi="Lato" w:cs="Arial"/>
          <w:b/>
          <w:bCs/>
          <w:color w:val="auto"/>
          <w:sz w:val="24"/>
          <w:szCs w:val="24"/>
          <w:u w:val="none"/>
        </w:rPr>
        <w:t>Get Connected with Vocational Rehabilitation</w:t>
      </w:r>
      <w:r>
        <w:rPr>
          <w:rStyle w:val="Hyperlink"/>
          <w:rFonts w:ascii="Lato" w:hAnsi="Lato" w:cs="Arial"/>
          <w:b/>
          <w:bCs/>
          <w:color w:val="auto"/>
          <w:sz w:val="24"/>
          <w:szCs w:val="24"/>
          <w:u w:val="none"/>
        </w:rPr>
        <w:t xml:space="preserve">! </w:t>
      </w:r>
      <w:r w:rsidR="004E06EA" w:rsidRPr="00C20F65">
        <w:rPr>
          <w:rStyle w:val="Hyperlink"/>
          <w:rFonts w:ascii="Lato" w:hAnsi="Lato" w:cs="Arial"/>
          <w:color w:val="auto"/>
          <w:sz w:val="24"/>
          <w:szCs w:val="24"/>
          <w:u w:val="none"/>
        </w:rPr>
        <w:t xml:space="preserve">Find </w:t>
      </w:r>
      <w:r w:rsidR="00C20F65" w:rsidRPr="00C20F65">
        <w:rPr>
          <w:rStyle w:val="Hyperlink"/>
          <w:rFonts w:ascii="Lato" w:hAnsi="Lato" w:cs="Arial"/>
          <w:color w:val="auto"/>
          <w:sz w:val="24"/>
          <w:szCs w:val="24"/>
          <w:u w:val="none"/>
        </w:rPr>
        <w:t>Your Local Transition VR Counselor</w:t>
      </w:r>
      <w:r w:rsidR="00C20F65">
        <w:rPr>
          <w:rStyle w:val="Hyperlink"/>
          <w:rFonts w:ascii="Lato" w:hAnsi="Lato" w:cs="Arial"/>
          <w:b/>
          <w:bCs/>
          <w:color w:val="auto"/>
          <w:sz w:val="24"/>
          <w:szCs w:val="24"/>
          <w:u w:val="none"/>
        </w:rPr>
        <w:t xml:space="preserve"> at </w:t>
      </w:r>
      <w:hyperlink r:id="rId10" w:history="1">
        <w:r w:rsidR="00C20F65" w:rsidRPr="00B43515">
          <w:rPr>
            <w:rStyle w:val="Hyperlink"/>
            <w:rFonts w:ascii="Lato" w:hAnsi="Lato" w:cs="Arial"/>
            <w:sz w:val="24"/>
            <w:szCs w:val="24"/>
          </w:rPr>
          <w:t>https://www.maine.gov/rehab/docs/2022/dvr/TransitionCounselorList.pdf</w:t>
        </w:r>
      </w:hyperlink>
    </w:p>
    <w:p w14:paraId="3A1EF71D" w14:textId="0DCF1072" w:rsidR="00541ABE" w:rsidRPr="00541ABE" w:rsidRDefault="00C20F65" w:rsidP="00C20F65">
      <w:pPr>
        <w:ind w:left="360"/>
        <w:rPr>
          <w:rFonts w:ascii="Lato" w:hAnsi="Lato" w:cs="Arial"/>
          <w:sz w:val="24"/>
          <w:szCs w:val="24"/>
        </w:rPr>
      </w:pPr>
      <w:r>
        <w:rPr>
          <w:rFonts w:ascii="Lato" w:hAnsi="Lato" w:cs="Arial"/>
          <w:noProof/>
          <w:sz w:val="24"/>
          <w:szCs w:val="24"/>
        </w:rPr>
        <w:drawing>
          <wp:inline distT="0" distB="0" distL="0" distR="0" wp14:anchorId="6338C09A" wp14:editId="1341C2FE">
            <wp:extent cx="1424985" cy="87630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4985" cy="876300"/>
                    </a:xfrm>
                    <a:prstGeom prst="rect">
                      <a:avLst/>
                    </a:prstGeom>
                    <a:noFill/>
                  </pic:spPr>
                </pic:pic>
              </a:graphicData>
            </a:graphic>
          </wp:inline>
        </w:drawing>
      </w:r>
      <w:r w:rsidR="00541ABE">
        <w:rPr>
          <w:rFonts w:ascii="Lato" w:hAnsi="Lato" w:cs="Arial"/>
          <w:sz w:val="24"/>
          <w:szCs w:val="24"/>
        </w:rPr>
        <w:tab/>
      </w:r>
    </w:p>
    <w:sectPr w:rsidR="00541ABE" w:rsidRPr="00541ABE" w:rsidSect="00541ABE">
      <w:headerReference w:type="even" r:id="rId12"/>
      <w:headerReference w:type="default" r:id="rId13"/>
      <w:footerReference w:type="default" r:id="rId14"/>
      <w:headerReference w:type="first" r:id="rId15"/>
      <w:pgSz w:w="12240" w:h="15840"/>
      <w:pgMar w:top="446" w:right="720" w:bottom="230" w:left="720" w:header="576" w:footer="2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5E46FB" w14:textId="77777777" w:rsidR="00EE751B" w:rsidRDefault="00EE751B" w:rsidP="00A91F1E">
      <w:pPr>
        <w:spacing w:after="0" w:line="240" w:lineRule="auto"/>
      </w:pPr>
      <w:r>
        <w:separator/>
      </w:r>
    </w:p>
  </w:endnote>
  <w:endnote w:type="continuationSeparator" w:id="0">
    <w:p w14:paraId="36BAD727" w14:textId="77777777" w:rsidR="00EE751B" w:rsidRDefault="00EE751B" w:rsidP="00A9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Black">
    <w:altName w:val="Lato Black"/>
    <w:charset w:val="00"/>
    <w:family w:val="swiss"/>
    <w:pitch w:val="variable"/>
    <w:sig w:usb0="E10002FF" w:usb1="5000ECFF" w:usb2="00000021" w:usb3="00000000" w:csb0="0000019F" w:csb1="00000000"/>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C7E6F" w14:textId="7681A1DC" w:rsidR="00541ABE" w:rsidRPr="000C67D0" w:rsidRDefault="00541ABE" w:rsidP="00541ABE">
    <w:pPr>
      <w:pStyle w:val="ListBullet"/>
      <w:numPr>
        <w:ilvl w:val="0"/>
        <w:numId w:val="0"/>
      </w:numPr>
      <w:tabs>
        <w:tab w:val="left" w:pos="2340"/>
        <w:tab w:val="left" w:pos="2430"/>
      </w:tabs>
      <w:ind w:left="2520"/>
      <w:rPr>
        <w:sz w:val="24"/>
        <w:szCs w:val="24"/>
      </w:rPr>
    </w:pPr>
    <w:r w:rsidRPr="00E60932">
      <w:t xml:space="preserve">Maine Department of Labor provides Equal Opportunity in employment and programs. </w:t>
    </w:r>
    <w:r>
      <w:br/>
    </w:r>
    <w:r w:rsidRPr="00E60932">
      <w:t>Auxiliary aids and services are available to individuals with disabilities upon request</w:t>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B093EC" w14:textId="77777777" w:rsidR="00EE751B" w:rsidRDefault="00EE751B" w:rsidP="00A91F1E">
      <w:pPr>
        <w:spacing w:after="0" w:line="240" w:lineRule="auto"/>
      </w:pPr>
      <w:r>
        <w:separator/>
      </w:r>
    </w:p>
  </w:footnote>
  <w:footnote w:type="continuationSeparator" w:id="0">
    <w:p w14:paraId="5276AE01" w14:textId="77777777" w:rsidR="00EE751B" w:rsidRDefault="00EE751B" w:rsidP="00A9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1B2D25" w14:textId="39E552F6" w:rsidR="00541ABE" w:rsidRDefault="00541A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C51FE" w14:textId="2DAC71C6" w:rsidR="00541ABE" w:rsidRDefault="00541AB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B91ED" w14:textId="1416631F" w:rsidR="00541ABE" w:rsidRDefault="00541A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85E63D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728FA"/>
    <w:multiLevelType w:val="hybridMultilevel"/>
    <w:tmpl w:val="B99887B0"/>
    <w:lvl w:ilvl="0" w:tplc="04090001">
      <w:start w:val="1"/>
      <w:numFmt w:val="bullet"/>
      <w:lvlText w:val=""/>
      <w:lvlJc w:val="left"/>
      <w:pPr>
        <w:ind w:left="1444" w:hanging="360"/>
      </w:pPr>
      <w:rPr>
        <w:rFonts w:ascii="Symbol" w:hAnsi="Symbol" w:hint="default"/>
      </w:rPr>
    </w:lvl>
    <w:lvl w:ilvl="1" w:tplc="04090003" w:tentative="1">
      <w:start w:val="1"/>
      <w:numFmt w:val="bullet"/>
      <w:lvlText w:val="o"/>
      <w:lvlJc w:val="left"/>
      <w:pPr>
        <w:ind w:left="2164" w:hanging="360"/>
      </w:pPr>
      <w:rPr>
        <w:rFonts w:ascii="Courier New" w:hAnsi="Courier New" w:cs="Courier New" w:hint="default"/>
      </w:rPr>
    </w:lvl>
    <w:lvl w:ilvl="2" w:tplc="04090005" w:tentative="1">
      <w:start w:val="1"/>
      <w:numFmt w:val="bullet"/>
      <w:lvlText w:val=""/>
      <w:lvlJc w:val="left"/>
      <w:pPr>
        <w:ind w:left="2884" w:hanging="360"/>
      </w:pPr>
      <w:rPr>
        <w:rFonts w:ascii="Wingdings" w:hAnsi="Wingdings" w:hint="default"/>
      </w:rPr>
    </w:lvl>
    <w:lvl w:ilvl="3" w:tplc="04090001" w:tentative="1">
      <w:start w:val="1"/>
      <w:numFmt w:val="bullet"/>
      <w:lvlText w:val=""/>
      <w:lvlJc w:val="left"/>
      <w:pPr>
        <w:ind w:left="3604" w:hanging="360"/>
      </w:pPr>
      <w:rPr>
        <w:rFonts w:ascii="Symbol" w:hAnsi="Symbol" w:hint="default"/>
      </w:rPr>
    </w:lvl>
    <w:lvl w:ilvl="4" w:tplc="04090003" w:tentative="1">
      <w:start w:val="1"/>
      <w:numFmt w:val="bullet"/>
      <w:lvlText w:val="o"/>
      <w:lvlJc w:val="left"/>
      <w:pPr>
        <w:ind w:left="4324" w:hanging="360"/>
      </w:pPr>
      <w:rPr>
        <w:rFonts w:ascii="Courier New" w:hAnsi="Courier New" w:cs="Courier New" w:hint="default"/>
      </w:rPr>
    </w:lvl>
    <w:lvl w:ilvl="5" w:tplc="04090005" w:tentative="1">
      <w:start w:val="1"/>
      <w:numFmt w:val="bullet"/>
      <w:lvlText w:val=""/>
      <w:lvlJc w:val="left"/>
      <w:pPr>
        <w:ind w:left="5044" w:hanging="360"/>
      </w:pPr>
      <w:rPr>
        <w:rFonts w:ascii="Wingdings" w:hAnsi="Wingdings" w:hint="default"/>
      </w:rPr>
    </w:lvl>
    <w:lvl w:ilvl="6" w:tplc="04090001" w:tentative="1">
      <w:start w:val="1"/>
      <w:numFmt w:val="bullet"/>
      <w:lvlText w:val=""/>
      <w:lvlJc w:val="left"/>
      <w:pPr>
        <w:ind w:left="5764" w:hanging="360"/>
      </w:pPr>
      <w:rPr>
        <w:rFonts w:ascii="Symbol" w:hAnsi="Symbol" w:hint="default"/>
      </w:rPr>
    </w:lvl>
    <w:lvl w:ilvl="7" w:tplc="04090003" w:tentative="1">
      <w:start w:val="1"/>
      <w:numFmt w:val="bullet"/>
      <w:lvlText w:val="o"/>
      <w:lvlJc w:val="left"/>
      <w:pPr>
        <w:ind w:left="6484" w:hanging="360"/>
      </w:pPr>
      <w:rPr>
        <w:rFonts w:ascii="Courier New" w:hAnsi="Courier New" w:cs="Courier New" w:hint="default"/>
      </w:rPr>
    </w:lvl>
    <w:lvl w:ilvl="8" w:tplc="04090005" w:tentative="1">
      <w:start w:val="1"/>
      <w:numFmt w:val="bullet"/>
      <w:lvlText w:val=""/>
      <w:lvlJc w:val="left"/>
      <w:pPr>
        <w:ind w:left="7204" w:hanging="360"/>
      </w:pPr>
      <w:rPr>
        <w:rFonts w:ascii="Wingdings" w:hAnsi="Wingdings" w:hint="default"/>
      </w:rPr>
    </w:lvl>
  </w:abstractNum>
  <w:abstractNum w:abstractNumId="2" w15:restartNumberingAfterBreak="0">
    <w:nsid w:val="3D603D20"/>
    <w:multiLevelType w:val="hybridMultilevel"/>
    <w:tmpl w:val="DDCA4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4F13CCE"/>
    <w:multiLevelType w:val="hybridMultilevel"/>
    <w:tmpl w:val="D85A7FCA"/>
    <w:lvl w:ilvl="0" w:tplc="F462EF8E">
      <w:start w:val="1"/>
      <w:numFmt w:val="decimal"/>
      <w:lvlText w:val="%1."/>
      <w:lvlJc w:val="left"/>
      <w:pPr>
        <w:tabs>
          <w:tab w:val="num" w:pos="720"/>
        </w:tabs>
        <w:ind w:left="720" w:hanging="360"/>
      </w:pPr>
    </w:lvl>
    <w:lvl w:ilvl="1" w:tplc="B0D0C69C" w:tentative="1">
      <w:start w:val="1"/>
      <w:numFmt w:val="decimal"/>
      <w:lvlText w:val="%2."/>
      <w:lvlJc w:val="left"/>
      <w:pPr>
        <w:tabs>
          <w:tab w:val="num" w:pos="1440"/>
        </w:tabs>
        <w:ind w:left="1440" w:hanging="360"/>
      </w:pPr>
    </w:lvl>
    <w:lvl w:ilvl="2" w:tplc="EB42E334" w:tentative="1">
      <w:start w:val="1"/>
      <w:numFmt w:val="decimal"/>
      <w:lvlText w:val="%3."/>
      <w:lvlJc w:val="left"/>
      <w:pPr>
        <w:tabs>
          <w:tab w:val="num" w:pos="2160"/>
        </w:tabs>
        <w:ind w:left="2160" w:hanging="360"/>
      </w:pPr>
    </w:lvl>
    <w:lvl w:ilvl="3" w:tplc="FDC412A0" w:tentative="1">
      <w:start w:val="1"/>
      <w:numFmt w:val="decimal"/>
      <w:lvlText w:val="%4."/>
      <w:lvlJc w:val="left"/>
      <w:pPr>
        <w:tabs>
          <w:tab w:val="num" w:pos="2880"/>
        </w:tabs>
        <w:ind w:left="2880" w:hanging="360"/>
      </w:pPr>
    </w:lvl>
    <w:lvl w:ilvl="4" w:tplc="F844EDC2" w:tentative="1">
      <w:start w:val="1"/>
      <w:numFmt w:val="decimal"/>
      <w:lvlText w:val="%5."/>
      <w:lvlJc w:val="left"/>
      <w:pPr>
        <w:tabs>
          <w:tab w:val="num" w:pos="3600"/>
        </w:tabs>
        <w:ind w:left="3600" w:hanging="360"/>
      </w:pPr>
    </w:lvl>
    <w:lvl w:ilvl="5" w:tplc="E6E8F402" w:tentative="1">
      <w:start w:val="1"/>
      <w:numFmt w:val="decimal"/>
      <w:lvlText w:val="%6."/>
      <w:lvlJc w:val="left"/>
      <w:pPr>
        <w:tabs>
          <w:tab w:val="num" w:pos="4320"/>
        </w:tabs>
        <w:ind w:left="4320" w:hanging="360"/>
      </w:pPr>
    </w:lvl>
    <w:lvl w:ilvl="6" w:tplc="B534164A" w:tentative="1">
      <w:start w:val="1"/>
      <w:numFmt w:val="decimal"/>
      <w:lvlText w:val="%7."/>
      <w:lvlJc w:val="left"/>
      <w:pPr>
        <w:tabs>
          <w:tab w:val="num" w:pos="5040"/>
        </w:tabs>
        <w:ind w:left="5040" w:hanging="360"/>
      </w:pPr>
    </w:lvl>
    <w:lvl w:ilvl="7" w:tplc="7F02EEF0" w:tentative="1">
      <w:start w:val="1"/>
      <w:numFmt w:val="decimal"/>
      <w:lvlText w:val="%8."/>
      <w:lvlJc w:val="left"/>
      <w:pPr>
        <w:tabs>
          <w:tab w:val="num" w:pos="5760"/>
        </w:tabs>
        <w:ind w:left="5760" w:hanging="360"/>
      </w:pPr>
    </w:lvl>
    <w:lvl w:ilvl="8" w:tplc="FE9AFEDC" w:tentative="1">
      <w:start w:val="1"/>
      <w:numFmt w:val="decimal"/>
      <w:lvlText w:val="%9."/>
      <w:lvlJc w:val="left"/>
      <w:pPr>
        <w:tabs>
          <w:tab w:val="num" w:pos="6480"/>
        </w:tabs>
        <w:ind w:left="6480" w:hanging="360"/>
      </w:pPr>
    </w:lvl>
  </w:abstractNum>
  <w:abstractNum w:abstractNumId="4" w15:restartNumberingAfterBreak="0">
    <w:nsid w:val="6FBC5B6A"/>
    <w:multiLevelType w:val="multilevel"/>
    <w:tmpl w:val="9680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D76"/>
    <w:rsid w:val="00033868"/>
    <w:rsid w:val="000464EC"/>
    <w:rsid w:val="000C570F"/>
    <w:rsid w:val="000C67D0"/>
    <w:rsid w:val="000D576E"/>
    <w:rsid w:val="00121A94"/>
    <w:rsid w:val="001D32FE"/>
    <w:rsid w:val="00206A26"/>
    <w:rsid w:val="00267B5E"/>
    <w:rsid w:val="00280828"/>
    <w:rsid w:val="002C64FC"/>
    <w:rsid w:val="002D5ACC"/>
    <w:rsid w:val="003365FE"/>
    <w:rsid w:val="003879C8"/>
    <w:rsid w:val="004328F1"/>
    <w:rsid w:val="004476EB"/>
    <w:rsid w:val="004536AD"/>
    <w:rsid w:val="004672A3"/>
    <w:rsid w:val="004E06EA"/>
    <w:rsid w:val="00515620"/>
    <w:rsid w:val="00541ABE"/>
    <w:rsid w:val="005856B3"/>
    <w:rsid w:val="006A1BDC"/>
    <w:rsid w:val="006A4FAD"/>
    <w:rsid w:val="006C0CEB"/>
    <w:rsid w:val="006C235C"/>
    <w:rsid w:val="00714639"/>
    <w:rsid w:val="007823CE"/>
    <w:rsid w:val="00792B1F"/>
    <w:rsid w:val="007C4D76"/>
    <w:rsid w:val="007E54EC"/>
    <w:rsid w:val="00803571"/>
    <w:rsid w:val="00836D05"/>
    <w:rsid w:val="00881B21"/>
    <w:rsid w:val="008B1BF5"/>
    <w:rsid w:val="008D4446"/>
    <w:rsid w:val="00920CFD"/>
    <w:rsid w:val="009578A7"/>
    <w:rsid w:val="009855E6"/>
    <w:rsid w:val="00997B40"/>
    <w:rsid w:val="009B252F"/>
    <w:rsid w:val="009D5D82"/>
    <w:rsid w:val="009F1D6F"/>
    <w:rsid w:val="00A01AFF"/>
    <w:rsid w:val="00A204AC"/>
    <w:rsid w:val="00A6051D"/>
    <w:rsid w:val="00A91F1E"/>
    <w:rsid w:val="00AF3F08"/>
    <w:rsid w:val="00B0600D"/>
    <w:rsid w:val="00B53476"/>
    <w:rsid w:val="00C20F65"/>
    <w:rsid w:val="00C50A02"/>
    <w:rsid w:val="00C5292B"/>
    <w:rsid w:val="00CB7BEB"/>
    <w:rsid w:val="00CD1D28"/>
    <w:rsid w:val="00DC1C8A"/>
    <w:rsid w:val="00E10E75"/>
    <w:rsid w:val="00E4325A"/>
    <w:rsid w:val="00E53101"/>
    <w:rsid w:val="00E56067"/>
    <w:rsid w:val="00E60932"/>
    <w:rsid w:val="00EC0C21"/>
    <w:rsid w:val="00EC2EE6"/>
    <w:rsid w:val="00EE751B"/>
    <w:rsid w:val="00EF599D"/>
    <w:rsid w:val="00F75319"/>
    <w:rsid w:val="00F9736C"/>
    <w:rsid w:val="00FD7334"/>
    <w:rsid w:val="00FF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CAA583"/>
  <w15:chartTrackingRefBased/>
  <w15:docId w15:val="{63DEE692-0DD4-43CB-A5EF-2453FCC2B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B40"/>
    <w:pPr>
      <w:ind w:left="720"/>
      <w:contextualSpacing/>
    </w:pPr>
  </w:style>
  <w:style w:type="paragraph" w:styleId="NormalWeb">
    <w:name w:val="Normal (Web)"/>
    <w:basedOn w:val="Normal"/>
    <w:uiPriority w:val="99"/>
    <w:semiHidden/>
    <w:unhideWhenUsed/>
    <w:rsid w:val="00A204AC"/>
    <w:rPr>
      <w:rFonts w:ascii="Times New Roman" w:hAnsi="Times New Roman" w:cs="Times New Roman"/>
      <w:sz w:val="24"/>
      <w:szCs w:val="24"/>
    </w:rPr>
  </w:style>
  <w:style w:type="character" w:styleId="Hyperlink">
    <w:name w:val="Hyperlink"/>
    <w:basedOn w:val="DefaultParagraphFont"/>
    <w:uiPriority w:val="99"/>
    <w:unhideWhenUsed/>
    <w:rsid w:val="001D32FE"/>
    <w:rPr>
      <w:color w:val="0563C1" w:themeColor="hyperlink"/>
      <w:u w:val="single"/>
    </w:rPr>
  </w:style>
  <w:style w:type="character" w:styleId="UnresolvedMention">
    <w:name w:val="Unresolved Mention"/>
    <w:basedOn w:val="DefaultParagraphFont"/>
    <w:uiPriority w:val="99"/>
    <w:semiHidden/>
    <w:unhideWhenUsed/>
    <w:rsid w:val="001D32FE"/>
    <w:rPr>
      <w:color w:val="605E5C"/>
      <w:shd w:val="clear" w:color="auto" w:fill="E1DFDD"/>
    </w:rPr>
  </w:style>
  <w:style w:type="paragraph" w:styleId="Header">
    <w:name w:val="header"/>
    <w:basedOn w:val="Normal"/>
    <w:link w:val="HeaderChar"/>
    <w:uiPriority w:val="99"/>
    <w:unhideWhenUsed/>
    <w:rsid w:val="00A91F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F1E"/>
  </w:style>
  <w:style w:type="paragraph" w:styleId="Footer">
    <w:name w:val="footer"/>
    <w:basedOn w:val="Normal"/>
    <w:link w:val="FooterChar"/>
    <w:uiPriority w:val="99"/>
    <w:unhideWhenUsed/>
    <w:rsid w:val="00A91F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F1E"/>
  </w:style>
  <w:style w:type="paragraph" w:styleId="ListBullet">
    <w:name w:val="List Bullet"/>
    <w:basedOn w:val="Normal"/>
    <w:uiPriority w:val="99"/>
    <w:unhideWhenUsed/>
    <w:rsid w:val="000C67D0"/>
    <w:pPr>
      <w:numPr>
        <w:numId w:val="4"/>
      </w:numPr>
      <w:contextualSpacing/>
    </w:pPr>
  </w:style>
  <w:style w:type="paragraph" w:styleId="Title">
    <w:name w:val="Title"/>
    <w:basedOn w:val="Normal"/>
    <w:next w:val="Normal"/>
    <w:link w:val="TitleChar"/>
    <w:uiPriority w:val="10"/>
    <w:qFormat/>
    <w:rsid w:val="002C64FC"/>
    <w:pPr>
      <w:framePr w:wrap="notBeside" w:vAnchor="text" w:hAnchor="text" w:y="1"/>
      <w:pBdr>
        <w:top w:val="single" w:sz="36" w:space="1" w:color="005954"/>
        <w:left w:val="single" w:sz="36" w:space="4" w:color="005954"/>
        <w:bottom w:val="single" w:sz="36" w:space="1" w:color="005954"/>
        <w:right w:val="single" w:sz="36" w:space="4" w:color="005954"/>
      </w:pBdr>
      <w:shd w:val="clear" w:color="auto" w:fill="005954"/>
      <w:spacing w:before="240" w:after="240" w:line="240" w:lineRule="auto"/>
    </w:pPr>
    <w:rPr>
      <w:rFonts w:ascii="Lato Black" w:eastAsiaTheme="majorEastAsia" w:hAnsi="Lato Black"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2C64FC"/>
    <w:rPr>
      <w:rFonts w:ascii="Lato Black" w:eastAsiaTheme="majorEastAsia" w:hAnsi="Lato Black" w:cstheme="majorBidi"/>
      <w:color w:val="FFFFFF" w:themeColor="background1"/>
      <w:spacing w:val="-10"/>
      <w:kern w:val="28"/>
      <w:sz w:val="56"/>
      <w:szCs w:val="56"/>
      <w:shd w:val="clear" w:color="auto" w:fill="00595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82706572">
      <w:bodyDiv w:val="1"/>
      <w:marLeft w:val="0"/>
      <w:marRight w:val="0"/>
      <w:marTop w:val="0"/>
      <w:marBottom w:val="0"/>
      <w:divBdr>
        <w:top w:val="none" w:sz="0" w:space="0" w:color="auto"/>
        <w:left w:val="none" w:sz="0" w:space="0" w:color="auto"/>
        <w:bottom w:val="none" w:sz="0" w:space="0" w:color="auto"/>
        <w:right w:val="none" w:sz="0" w:space="0" w:color="auto"/>
      </w:divBdr>
      <w:divsChild>
        <w:div w:id="1894465026">
          <w:marLeft w:val="893"/>
          <w:marRight w:val="0"/>
          <w:marTop w:val="0"/>
          <w:marBottom w:val="0"/>
          <w:divBdr>
            <w:top w:val="none" w:sz="0" w:space="0" w:color="auto"/>
            <w:left w:val="none" w:sz="0" w:space="0" w:color="auto"/>
            <w:bottom w:val="none" w:sz="0" w:space="0" w:color="auto"/>
            <w:right w:val="none" w:sz="0" w:space="0" w:color="auto"/>
          </w:divBdr>
        </w:div>
        <w:div w:id="1888490317">
          <w:marLeft w:val="893"/>
          <w:marRight w:val="0"/>
          <w:marTop w:val="0"/>
          <w:marBottom w:val="0"/>
          <w:divBdr>
            <w:top w:val="none" w:sz="0" w:space="0" w:color="auto"/>
            <w:left w:val="none" w:sz="0" w:space="0" w:color="auto"/>
            <w:bottom w:val="none" w:sz="0" w:space="0" w:color="auto"/>
            <w:right w:val="none" w:sz="0" w:space="0" w:color="auto"/>
          </w:divBdr>
        </w:div>
        <w:div w:id="1830638020">
          <w:marLeft w:val="893"/>
          <w:marRight w:val="0"/>
          <w:marTop w:val="0"/>
          <w:marBottom w:val="0"/>
          <w:divBdr>
            <w:top w:val="none" w:sz="0" w:space="0" w:color="auto"/>
            <w:left w:val="none" w:sz="0" w:space="0" w:color="auto"/>
            <w:bottom w:val="none" w:sz="0" w:space="0" w:color="auto"/>
            <w:right w:val="none" w:sz="0" w:space="0" w:color="auto"/>
          </w:divBdr>
        </w:div>
        <w:div w:id="1909149205">
          <w:marLeft w:val="893"/>
          <w:marRight w:val="0"/>
          <w:marTop w:val="0"/>
          <w:marBottom w:val="0"/>
          <w:divBdr>
            <w:top w:val="none" w:sz="0" w:space="0" w:color="auto"/>
            <w:left w:val="none" w:sz="0" w:space="0" w:color="auto"/>
            <w:bottom w:val="none" w:sz="0" w:space="0" w:color="auto"/>
            <w:right w:val="none" w:sz="0" w:space="0" w:color="auto"/>
          </w:divBdr>
        </w:div>
        <w:div w:id="449280126">
          <w:marLeft w:val="893"/>
          <w:marRight w:val="0"/>
          <w:marTop w:val="0"/>
          <w:marBottom w:val="0"/>
          <w:divBdr>
            <w:top w:val="none" w:sz="0" w:space="0" w:color="auto"/>
            <w:left w:val="none" w:sz="0" w:space="0" w:color="auto"/>
            <w:bottom w:val="none" w:sz="0" w:space="0" w:color="auto"/>
            <w:right w:val="none" w:sz="0" w:space="0" w:color="auto"/>
          </w:divBdr>
        </w:div>
      </w:divsChild>
    </w:div>
    <w:div w:id="876745392">
      <w:bodyDiv w:val="1"/>
      <w:marLeft w:val="0"/>
      <w:marRight w:val="0"/>
      <w:marTop w:val="0"/>
      <w:marBottom w:val="0"/>
      <w:divBdr>
        <w:top w:val="none" w:sz="0" w:space="0" w:color="auto"/>
        <w:left w:val="none" w:sz="0" w:space="0" w:color="auto"/>
        <w:bottom w:val="none" w:sz="0" w:space="0" w:color="auto"/>
        <w:right w:val="none" w:sz="0" w:space="0" w:color="auto"/>
      </w:divBdr>
    </w:div>
    <w:div w:id="9926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ine.gov/rehab/docs/2022/dvr/TransitionCounselorList.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75DCE-271E-48CC-AE38-9C032E676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568</Words>
  <Characters>3244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Stone-Sterling, Libby</dc:creator>
  <cp:keywords/>
  <dc:description/>
  <cp:lastModifiedBy>Ayers, Michele</cp:lastModifiedBy>
  <cp:revision>2</cp:revision>
  <dcterms:created xsi:type="dcterms:W3CDTF">2022-09-02T13:42:00Z</dcterms:created>
  <dcterms:modified xsi:type="dcterms:W3CDTF">2022-09-02T13:42:00Z</dcterms:modified>
</cp:coreProperties>
</file>