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27F5" w14:textId="77777777" w:rsidR="00D37A0F" w:rsidRPr="00D17DA9" w:rsidRDefault="00D37A0F" w:rsidP="00010E2A">
      <w:pPr>
        <w:pStyle w:val="ListParagraph"/>
        <w:numPr>
          <w:ilvl w:val="0"/>
          <w:numId w:val="1"/>
        </w:numPr>
        <w:spacing w:line="240" w:lineRule="auto"/>
        <w:rPr>
          <w:b/>
        </w:rPr>
      </w:pPr>
      <w:r w:rsidRPr="00D17DA9">
        <w:rPr>
          <w:b/>
        </w:rPr>
        <w:t>DVR SERVICES TO INDIVIDUALS IN MAINE</w:t>
      </w:r>
      <w:bookmarkStart w:id="0" w:name="_GoBack"/>
      <w:bookmarkEnd w:id="0"/>
    </w:p>
    <w:p w14:paraId="5CBD64E0" w14:textId="77777777" w:rsidR="00E93744" w:rsidRPr="00D17DA9" w:rsidRDefault="00E93744" w:rsidP="00010E2A">
      <w:pPr>
        <w:pStyle w:val="ListParagraph"/>
        <w:numPr>
          <w:ilvl w:val="1"/>
          <w:numId w:val="1"/>
        </w:numPr>
        <w:spacing w:line="240" w:lineRule="auto"/>
        <w:rPr>
          <w:b/>
        </w:rPr>
      </w:pPr>
      <w:r w:rsidRPr="00D17DA9">
        <w:rPr>
          <w:b/>
        </w:rPr>
        <w:t>Population Characteristics</w:t>
      </w:r>
    </w:p>
    <w:p w14:paraId="06E2B94D" w14:textId="77777777" w:rsidR="007F6E51" w:rsidRDefault="00110D57" w:rsidP="007F6E51">
      <w:pPr>
        <w:pStyle w:val="ListParagraph"/>
        <w:spacing w:after="0" w:line="240" w:lineRule="auto"/>
      </w:pPr>
      <w:r w:rsidRPr="00D17DA9">
        <w:t>The Division of Vocational Rehabilitation (DVR) collects a variety of information about individuals when they enter the program, tracks the progress and services they receive, and records a successful closure of the case if the individual successfully completes at least 90 days of emplo</w:t>
      </w:r>
      <w:r w:rsidR="007F6E51">
        <w:t xml:space="preserve">yment in an integrated setting.  </w:t>
      </w:r>
    </w:p>
    <w:p w14:paraId="58471A60" w14:textId="77777777" w:rsidR="007F6E51" w:rsidRDefault="007F6E51" w:rsidP="007F6E51">
      <w:pPr>
        <w:pStyle w:val="ListParagraph"/>
        <w:spacing w:after="0" w:line="240" w:lineRule="auto"/>
      </w:pPr>
    </w:p>
    <w:p w14:paraId="04BAAEBC" w14:textId="0C7DA779" w:rsidR="00110D57" w:rsidRPr="00D17DA9" w:rsidRDefault="00110D57" w:rsidP="007F6E51">
      <w:pPr>
        <w:pStyle w:val="ListParagraph"/>
        <w:spacing w:after="0" w:line="240" w:lineRule="auto"/>
      </w:pPr>
      <w:r w:rsidRPr="00D17DA9">
        <w:t>In this section, DVR data is used to provide an overview of the characteristics of the current VR population, to describe the flow of individuals into and out of the DVR program, to examine outcomes of the VR program in terms of rehabilitation rates, and to outline the cos</w:t>
      </w:r>
      <w:r w:rsidR="00D913BD">
        <w:t>ts of DVR services from FFY 201</w:t>
      </w:r>
      <w:r w:rsidR="00CE3CDD">
        <w:t>6</w:t>
      </w:r>
      <w:r w:rsidR="00D913BD">
        <w:t xml:space="preserve"> through 201</w:t>
      </w:r>
      <w:r w:rsidR="00CE3CDD">
        <w:t>9</w:t>
      </w:r>
      <w:r w:rsidRPr="00D17DA9">
        <w:t>.</w:t>
      </w:r>
    </w:p>
    <w:p w14:paraId="08CE15C7" w14:textId="77777777" w:rsidR="00110D57" w:rsidRPr="00D17DA9" w:rsidRDefault="00110D57" w:rsidP="00110D57">
      <w:pPr>
        <w:pStyle w:val="ListParagraph"/>
        <w:spacing w:after="0" w:line="240" w:lineRule="auto"/>
      </w:pPr>
    </w:p>
    <w:p w14:paraId="550E3525" w14:textId="62A6DB4E" w:rsidR="007F6E51" w:rsidRDefault="004C03E3" w:rsidP="007F6E51">
      <w:pPr>
        <w:pStyle w:val="ListParagraph"/>
        <w:spacing w:after="0" w:line="240" w:lineRule="auto"/>
      </w:pPr>
      <w:r w:rsidRPr="00D17DA9">
        <w:t>Examining data collected on individuals who have moved through the DVR process to closure yields valuable information about the population s</w:t>
      </w:r>
      <w:r w:rsidR="00D913BD">
        <w:t>erved.  In FFY 201</w:t>
      </w:r>
      <w:r w:rsidR="00CE3CDD">
        <w:t>6</w:t>
      </w:r>
      <w:r w:rsidRPr="00D17DA9">
        <w:t xml:space="preserve">, Maine DVR closed a total of </w:t>
      </w:r>
      <w:r w:rsidR="00CE3CDD">
        <w:t>4,852</w:t>
      </w:r>
      <w:r w:rsidR="00D913BD">
        <w:t xml:space="preserve"> cases, and in FFY 201</w:t>
      </w:r>
      <w:r w:rsidR="00CE3CDD">
        <w:t>9</w:t>
      </w:r>
      <w:r w:rsidRPr="00D17DA9">
        <w:t xml:space="preserve">, Maine DVR closed a total of </w:t>
      </w:r>
      <w:r w:rsidR="00CE3CDD">
        <w:t>3,396</w:t>
      </w:r>
      <w:r w:rsidR="00882FDD" w:rsidRPr="00D17DA9">
        <w:t xml:space="preserve"> cases – </w:t>
      </w:r>
      <w:r w:rsidR="00577DB1" w:rsidRPr="00D17DA9">
        <w:t>a decrease</w:t>
      </w:r>
      <w:r w:rsidRPr="00D17DA9">
        <w:t xml:space="preserve"> of </w:t>
      </w:r>
      <w:r w:rsidR="00F17A82">
        <w:t xml:space="preserve">nearly </w:t>
      </w:r>
      <w:r w:rsidR="00CE3CDD">
        <w:t>43</w:t>
      </w:r>
      <w:r w:rsidR="00882FDD" w:rsidRPr="00D17DA9">
        <w:t>%</w:t>
      </w:r>
      <w:r w:rsidRPr="00D17DA9">
        <w:t>.</w:t>
      </w:r>
      <w:r w:rsidR="00612824" w:rsidRPr="00D17DA9">
        <w:rPr>
          <w:rStyle w:val="FootnoteReference"/>
        </w:rPr>
        <w:footnoteReference w:id="1"/>
      </w:r>
      <w:r w:rsidRPr="00D17DA9">
        <w:t xml:space="preserve">  </w:t>
      </w:r>
    </w:p>
    <w:p w14:paraId="67077373" w14:textId="77777777" w:rsidR="007F6E51" w:rsidRDefault="007F6E51" w:rsidP="007F6E51">
      <w:pPr>
        <w:pStyle w:val="ListParagraph"/>
        <w:spacing w:after="0" w:line="240" w:lineRule="auto"/>
      </w:pPr>
    </w:p>
    <w:p w14:paraId="46A90971" w14:textId="6C7F3454" w:rsidR="004C03E3" w:rsidRPr="00D17DA9" w:rsidRDefault="00F67219" w:rsidP="007F6E51">
      <w:pPr>
        <w:pStyle w:val="ListParagraph"/>
        <w:spacing w:after="0" w:line="240" w:lineRule="auto"/>
      </w:pPr>
      <w:r w:rsidRPr="00D17DA9">
        <w:t>Table 1 outlines the characteristics of the individuals represented among all closed cases both years, the percentage change in the number of clients within a given characteristic (fifth column), and the change in the proportion of clients with a given characteristic (last column).</w:t>
      </w:r>
    </w:p>
    <w:p w14:paraId="5DDC12E9" w14:textId="77777777" w:rsidR="004C03E3" w:rsidRPr="00D17DA9" w:rsidRDefault="004C03E3" w:rsidP="004C03E3">
      <w:pPr>
        <w:pStyle w:val="ListParagraph"/>
        <w:spacing w:after="0" w:line="240" w:lineRule="auto"/>
      </w:pPr>
    </w:p>
    <w:p w14:paraId="5ECE63D6" w14:textId="77777777" w:rsidR="004C03E3" w:rsidRPr="00D17DA9" w:rsidRDefault="004C03E3" w:rsidP="004C03E3">
      <w:pPr>
        <w:pStyle w:val="ListParagraph"/>
        <w:spacing w:after="0" w:line="240" w:lineRule="auto"/>
        <w:rPr>
          <w:b/>
        </w:rPr>
      </w:pPr>
      <w:r w:rsidRPr="00D17DA9">
        <w:rPr>
          <w:b/>
        </w:rPr>
        <w:t>Findings:</w:t>
      </w:r>
    </w:p>
    <w:p w14:paraId="2ED8F7DD" w14:textId="44E0EB96" w:rsidR="004C03E3" w:rsidRPr="00D17DA9" w:rsidRDefault="004C03E3" w:rsidP="00010E2A">
      <w:pPr>
        <w:pStyle w:val="ListParagraph"/>
        <w:numPr>
          <w:ilvl w:val="0"/>
          <w:numId w:val="4"/>
        </w:numPr>
        <w:spacing w:after="0" w:line="240" w:lineRule="auto"/>
      </w:pPr>
      <w:r w:rsidRPr="00D17DA9">
        <w:t>As part of the eligibility determination process, DVR staff record applicants’ prima</w:t>
      </w:r>
      <w:r w:rsidR="00D913BD">
        <w:t>ry disability type.  In FFY 201</w:t>
      </w:r>
      <w:r w:rsidR="00CE3CDD">
        <w:t>9</w:t>
      </w:r>
      <w:r w:rsidRPr="00D17DA9">
        <w:t>, there were 1,</w:t>
      </w:r>
      <w:r w:rsidR="00CE3CDD">
        <w:t>104</w:t>
      </w:r>
      <w:r w:rsidR="00565BD7">
        <w:t xml:space="preserve"> (3</w:t>
      </w:r>
      <w:r w:rsidR="00CE3CDD">
        <w:t>3</w:t>
      </w:r>
      <w:r w:rsidRPr="00D17DA9">
        <w:t xml:space="preserve">%) cases closed where the individual had a mental illness; </w:t>
      </w:r>
      <w:r w:rsidR="00CE3CDD">
        <w:t>1,012</w:t>
      </w:r>
      <w:r w:rsidRPr="00D17DA9">
        <w:t xml:space="preserve"> (</w:t>
      </w:r>
      <w:r w:rsidR="00CE3CDD">
        <w:t>30</w:t>
      </w:r>
      <w:r w:rsidRPr="00D17DA9">
        <w:t xml:space="preserve">%) with a cognitive disability; </w:t>
      </w:r>
      <w:r w:rsidR="00565BD7">
        <w:t>4</w:t>
      </w:r>
      <w:r w:rsidR="00CE3CDD">
        <w:t>37</w:t>
      </w:r>
      <w:r w:rsidRPr="00D17DA9">
        <w:t xml:space="preserve"> (</w:t>
      </w:r>
      <w:r w:rsidR="00565BD7">
        <w:t>13</w:t>
      </w:r>
      <w:r w:rsidR="00882FDD" w:rsidRPr="00D17DA9">
        <w:t>%</w:t>
      </w:r>
      <w:r w:rsidR="00565BD7">
        <w:t xml:space="preserve">) </w:t>
      </w:r>
      <w:r w:rsidRPr="00D17DA9">
        <w:t xml:space="preserve">with a physical disability; </w:t>
      </w:r>
      <w:r w:rsidR="00CE3CDD">
        <w:t>349</w:t>
      </w:r>
      <w:r w:rsidRPr="00D17DA9">
        <w:t xml:space="preserve"> (</w:t>
      </w:r>
      <w:r w:rsidR="00CE3CDD">
        <w:t>10</w:t>
      </w:r>
      <w:r w:rsidRPr="00D17DA9">
        <w:t xml:space="preserve">%) </w:t>
      </w:r>
      <w:r w:rsidR="00882FDD" w:rsidRPr="00D17DA9">
        <w:t>with a sensory disability, including deaf and hard of hearing and visual impairments</w:t>
      </w:r>
      <w:r w:rsidRPr="00D17DA9">
        <w:t xml:space="preserve">; and </w:t>
      </w:r>
      <w:r w:rsidR="00565BD7">
        <w:t>4</w:t>
      </w:r>
      <w:r w:rsidR="00E82272">
        <w:t>94</w:t>
      </w:r>
      <w:r w:rsidRPr="00D17DA9">
        <w:t xml:space="preserve"> (</w:t>
      </w:r>
      <w:r w:rsidR="00EE1209">
        <w:t>1</w:t>
      </w:r>
      <w:r w:rsidR="00E82272">
        <w:t>5</w:t>
      </w:r>
      <w:r w:rsidRPr="00D17DA9">
        <w:t>%) of closed cases were for individuals with no impairment and who were deemed ineligible for services.</w:t>
      </w:r>
    </w:p>
    <w:p w14:paraId="54A99B12" w14:textId="47D076EE" w:rsidR="004C03E3" w:rsidRPr="00C64CC9" w:rsidRDefault="004C03E3" w:rsidP="00010E2A">
      <w:pPr>
        <w:pStyle w:val="ListParagraph"/>
        <w:numPr>
          <w:ilvl w:val="0"/>
          <w:numId w:val="4"/>
        </w:numPr>
        <w:spacing w:after="0" w:line="240" w:lineRule="auto"/>
      </w:pPr>
      <w:r w:rsidRPr="00C64CC9">
        <w:t>The majority (</w:t>
      </w:r>
      <w:r w:rsidR="00E82272">
        <w:t>51</w:t>
      </w:r>
      <w:r w:rsidRPr="00C64CC9">
        <w:t>%) of cases closed in FFY 20</w:t>
      </w:r>
      <w:r w:rsidR="00E82272">
        <w:t>19</w:t>
      </w:r>
      <w:r w:rsidRPr="00C64CC9">
        <w:t xml:space="preserve"> were for people between the ages of 23 and 54, although a substantial portion (</w:t>
      </w:r>
      <w:r w:rsidR="00E82272">
        <w:t>41</w:t>
      </w:r>
      <w:r w:rsidRPr="00C64CC9">
        <w:t>%) were transit</w:t>
      </w:r>
      <w:r w:rsidR="00565BD7" w:rsidRPr="00C64CC9">
        <w:t>ion-age individuals under age 25</w:t>
      </w:r>
      <w:r w:rsidRPr="00C64CC9">
        <w:t xml:space="preserve"> at the time they applied for VR services.</w:t>
      </w:r>
    </w:p>
    <w:p w14:paraId="16E60A19" w14:textId="6BA363C2" w:rsidR="00612824" w:rsidRPr="00C64CC9" w:rsidRDefault="00612824" w:rsidP="00010E2A">
      <w:pPr>
        <w:pStyle w:val="ListParagraph"/>
        <w:numPr>
          <w:ilvl w:val="0"/>
          <w:numId w:val="4"/>
        </w:numPr>
        <w:spacing w:after="0" w:line="240" w:lineRule="auto"/>
      </w:pPr>
      <w:r w:rsidRPr="00C64CC9">
        <w:t>Men are more likely to receive VR services than woman (</w:t>
      </w:r>
      <w:r w:rsidR="00882FDD" w:rsidRPr="00C64CC9">
        <w:t>56</w:t>
      </w:r>
      <w:r w:rsidRPr="00C64CC9">
        <w:t xml:space="preserve">% versus </w:t>
      </w:r>
      <w:r w:rsidR="00882FDD" w:rsidRPr="00C64CC9">
        <w:t>44</w:t>
      </w:r>
      <w:r w:rsidRPr="00C64CC9">
        <w:t>%).</w:t>
      </w:r>
    </w:p>
    <w:p w14:paraId="121E2A24" w14:textId="40B3F551" w:rsidR="00612824" w:rsidRPr="007E4AAB" w:rsidRDefault="007E4AAB" w:rsidP="00010E2A">
      <w:pPr>
        <w:pStyle w:val="ListParagraph"/>
        <w:numPr>
          <w:ilvl w:val="0"/>
          <w:numId w:val="4"/>
        </w:numPr>
        <w:spacing w:after="0" w:line="240" w:lineRule="auto"/>
      </w:pPr>
      <w:r>
        <w:t xml:space="preserve">A </w:t>
      </w:r>
      <w:r w:rsidR="00126E13">
        <w:t>clear majority</w:t>
      </w:r>
      <w:r w:rsidR="00612824" w:rsidRPr="007E4AAB">
        <w:t xml:space="preserve"> (9</w:t>
      </w:r>
      <w:r w:rsidR="00E82272">
        <w:t>2</w:t>
      </w:r>
      <w:r w:rsidR="00612824" w:rsidRPr="007E4AAB">
        <w:t xml:space="preserve">%) of the VR population is White and only </w:t>
      </w:r>
      <w:r w:rsidR="00E82272">
        <w:t>8</w:t>
      </w:r>
      <w:r w:rsidR="00612824" w:rsidRPr="007E4AAB">
        <w:t>% identify themselves as being members of a racial or ethnic minority.</w:t>
      </w:r>
    </w:p>
    <w:p w14:paraId="2A435E60" w14:textId="700F15BE" w:rsidR="00612824" w:rsidRPr="00854BE3" w:rsidRDefault="00896B03" w:rsidP="00010E2A">
      <w:pPr>
        <w:pStyle w:val="ListParagraph"/>
        <w:numPr>
          <w:ilvl w:val="0"/>
          <w:numId w:val="4"/>
        </w:numPr>
        <w:spacing w:after="0" w:line="240" w:lineRule="auto"/>
      </w:pPr>
      <w:r w:rsidRPr="00854BE3">
        <w:t>In FFY 201</w:t>
      </w:r>
      <w:r w:rsidR="00E82272">
        <w:t>9</w:t>
      </w:r>
      <w:r w:rsidR="00612824" w:rsidRPr="00854BE3">
        <w:t xml:space="preserve">, there were </w:t>
      </w:r>
      <w:r w:rsidR="00E82272">
        <w:t>886</w:t>
      </w:r>
      <w:r w:rsidR="00612824" w:rsidRPr="00854BE3">
        <w:t xml:space="preserve"> (</w:t>
      </w:r>
      <w:r w:rsidR="00882FDD" w:rsidRPr="00854BE3">
        <w:t>2</w:t>
      </w:r>
      <w:r w:rsidR="00E82272">
        <w:t>6</w:t>
      </w:r>
      <w:r w:rsidR="00612824" w:rsidRPr="00854BE3">
        <w:t xml:space="preserve">%) cases closed of individuals who received Supplemental Security Income (SSI) and </w:t>
      </w:r>
      <w:r w:rsidR="00E82272">
        <w:t>701</w:t>
      </w:r>
      <w:r w:rsidR="00612824" w:rsidRPr="00854BE3">
        <w:t xml:space="preserve"> (</w:t>
      </w:r>
      <w:r w:rsidR="00E82272">
        <w:t>21</w:t>
      </w:r>
      <w:r w:rsidR="00612824" w:rsidRPr="00854BE3">
        <w:t>%) received Social Security Disability Insurance (SSDI).</w:t>
      </w:r>
    </w:p>
    <w:p w14:paraId="14F72ACE" w14:textId="1A6FC48E" w:rsidR="00F17A82" w:rsidRDefault="00F17A82" w:rsidP="004C03E3">
      <w:pPr>
        <w:spacing w:after="0" w:line="240" w:lineRule="auto"/>
        <w:rPr>
          <w:b/>
        </w:rPr>
      </w:pPr>
    </w:p>
    <w:p w14:paraId="59085FDC" w14:textId="77777777" w:rsidR="0029798F" w:rsidRDefault="0029798F" w:rsidP="00D82010">
      <w:pPr>
        <w:pStyle w:val="ListParagraph"/>
        <w:spacing w:line="240" w:lineRule="auto"/>
        <w:jc w:val="center"/>
        <w:rPr>
          <w:b/>
        </w:rPr>
      </w:pPr>
    </w:p>
    <w:p w14:paraId="09D7A0C0" w14:textId="77777777" w:rsidR="0029798F" w:rsidRDefault="0029798F" w:rsidP="00D82010">
      <w:pPr>
        <w:pStyle w:val="ListParagraph"/>
        <w:spacing w:line="240" w:lineRule="auto"/>
        <w:jc w:val="center"/>
        <w:rPr>
          <w:b/>
        </w:rPr>
      </w:pPr>
    </w:p>
    <w:p w14:paraId="1E3FB621" w14:textId="77777777" w:rsidR="0029798F" w:rsidRDefault="0029798F" w:rsidP="00D82010">
      <w:pPr>
        <w:pStyle w:val="ListParagraph"/>
        <w:spacing w:line="240" w:lineRule="auto"/>
        <w:jc w:val="center"/>
        <w:rPr>
          <w:b/>
        </w:rPr>
      </w:pPr>
    </w:p>
    <w:p w14:paraId="73F44BDD" w14:textId="77777777" w:rsidR="0029798F" w:rsidRDefault="0029798F" w:rsidP="00D82010">
      <w:pPr>
        <w:pStyle w:val="ListParagraph"/>
        <w:spacing w:line="240" w:lineRule="auto"/>
        <w:jc w:val="center"/>
        <w:rPr>
          <w:b/>
        </w:rPr>
      </w:pPr>
    </w:p>
    <w:p w14:paraId="27735680" w14:textId="77777777" w:rsidR="0029798F" w:rsidRDefault="0029798F" w:rsidP="00D82010">
      <w:pPr>
        <w:pStyle w:val="ListParagraph"/>
        <w:spacing w:line="240" w:lineRule="auto"/>
        <w:jc w:val="center"/>
        <w:rPr>
          <w:b/>
        </w:rPr>
      </w:pPr>
    </w:p>
    <w:p w14:paraId="79014F93" w14:textId="77777777" w:rsidR="0029798F" w:rsidRDefault="0029798F" w:rsidP="00D82010">
      <w:pPr>
        <w:pStyle w:val="ListParagraph"/>
        <w:spacing w:line="240" w:lineRule="auto"/>
        <w:jc w:val="center"/>
        <w:rPr>
          <w:b/>
        </w:rPr>
      </w:pPr>
    </w:p>
    <w:p w14:paraId="7A0A1048" w14:textId="77777777" w:rsidR="0029798F" w:rsidRDefault="0029798F" w:rsidP="00D82010">
      <w:pPr>
        <w:pStyle w:val="ListParagraph"/>
        <w:spacing w:line="240" w:lineRule="auto"/>
        <w:jc w:val="center"/>
        <w:rPr>
          <w:b/>
        </w:rPr>
      </w:pPr>
    </w:p>
    <w:p w14:paraId="17468662" w14:textId="77777777" w:rsidR="0029798F" w:rsidRDefault="0029798F" w:rsidP="00D82010">
      <w:pPr>
        <w:pStyle w:val="ListParagraph"/>
        <w:spacing w:line="240" w:lineRule="auto"/>
        <w:jc w:val="center"/>
        <w:rPr>
          <w:b/>
        </w:rPr>
      </w:pPr>
    </w:p>
    <w:p w14:paraId="18CE88A6" w14:textId="77777777" w:rsidR="0029798F" w:rsidRDefault="0029798F" w:rsidP="00D82010">
      <w:pPr>
        <w:pStyle w:val="ListParagraph"/>
        <w:spacing w:line="240" w:lineRule="auto"/>
        <w:jc w:val="center"/>
        <w:rPr>
          <w:b/>
        </w:rPr>
      </w:pPr>
    </w:p>
    <w:p w14:paraId="54BA21B3" w14:textId="77777777" w:rsidR="0029798F" w:rsidRDefault="0029798F" w:rsidP="00D82010">
      <w:pPr>
        <w:pStyle w:val="ListParagraph"/>
        <w:spacing w:line="240" w:lineRule="auto"/>
        <w:jc w:val="center"/>
        <w:rPr>
          <w:b/>
        </w:rPr>
      </w:pPr>
    </w:p>
    <w:p w14:paraId="1A67A310" w14:textId="77777777" w:rsidR="0029798F" w:rsidRDefault="0029798F" w:rsidP="00D82010">
      <w:pPr>
        <w:pStyle w:val="ListParagraph"/>
        <w:spacing w:line="240" w:lineRule="auto"/>
        <w:jc w:val="center"/>
        <w:rPr>
          <w:b/>
        </w:rPr>
      </w:pPr>
    </w:p>
    <w:p w14:paraId="3EE28811" w14:textId="0843D208" w:rsidR="00110D57" w:rsidRPr="00D17DA9" w:rsidRDefault="00D82010" w:rsidP="00D82010">
      <w:pPr>
        <w:pStyle w:val="ListParagraph"/>
        <w:spacing w:line="240" w:lineRule="auto"/>
        <w:jc w:val="center"/>
        <w:rPr>
          <w:b/>
        </w:rPr>
      </w:pPr>
      <w:r w:rsidRPr="00D17DA9">
        <w:rPr>
          <w:b/>
        </w:rPr>
        <w:lastRenderedPageBreak/>
        <w:t>TABLE 1</w:t>
      </w:r>
    </w:p>
    <w:p w14:paraId="4CF7992E" w14:textId="2AC409BD" w:rsidR="00D82010" w:rsidRPr="00D17DA9" w:rsidRDefault="00D82010" w:rsidP="00D82010">
      <w:pPr>
        <w:pStyle w:val="ListParagraph"/>
        <w:spacing w:line="240" w:lineRule="auto"/>
        <w:jc w:val="center"/>
        <w:rPr>
          <w:b/>
        </w:rPr>
      </w:pPr>
      <w:r w:rsidRPr="00D17DA9">
        <w:rPr>
          <w:b/>
        </w:rPr>
        <w:t>Individual Characteristics for Closed Cases for FFY 201</w:t>
      </w:r>
      <w:r w:rsidR="001C3BE3">
        <w:rPr>
          <w:b/>
        </w:rPr>
        <w:t>6</w:t>
      </w:r>
      <w:r w:rsidRPr="00D17DA9">
        <w:rPr>
          <w:b/>
        </w:rPr>
        <w:t xml:space="preserve"> and 201</w:t>
      </w:r>
      <w:r w:rsidR="001C3BE3">
        <w:rPr>
          <w:b/>
        </w:rPr>
        <w:t>9</w:t>
      </w:r>
    </w:p>
    <w:p w14:paraId="51BC525A" w14:textId="77777777" w:rsidR="00503DA3" w:rsidRPr="00E336D4" w:rsidRDefault="00503DA3" w:rsidP="00D82010">
      <w:pPr>
        <w:pStyle w:val="ListParagraph"/>
        <w:spacing w:line="240" w:lineRule="auto"/>
        <w:jc w:val="center"/>
        <w:rPr>
          <w:b/>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897"/>
        <w:gridCol w:w="856"/>
        <w:gridCol w:w="897"/>
        <w:gridCol w:w="856"/>
        <w:gridCol w:w="1779"/>
        <w:gridCol w:w="1691"/>
      </w:tblGrid>
      <w:tr w:rsidR="00503DA3" w:rsidRPr="00E336D4" w14:paraId="5530EB55" w14:textId="77777777" w:rsidTr="00810149">
        <w:trPr>
          <w:trHeight w:val="247"/>
        </w:trPr>
        <w:tc>
          <w:tcPr>
            <w:tcW w:w="2996" w:type="dxa"/>
            <w:vMerge w:val="restart"/>
            <w:tcBorders>
              <w:right w:val="single" w:sz="12" w:space="0" w:color="838995" w:themeColor="accent5"/>
            </w:tcBorders>
            <w:vAlign w:val="center"/>
          </w:tcPr>
          <w:p w14:paraId="40B01BF7" w14:textId="77777777" w:rsidR="00503DA3" w:rsidRPr="00E336D4" w:rsidRDefault="00503DA3" w:rsidP="00E45F68">
            <w:pPr>
              <w:pStyle w:val="ListParagraph"/>
              <w:ind w:left="0"/>
              <w:jc w:val="center"/>
              <w:rPr>
                <w:b/>
                <w:sz w:val="20"/>
                <w:szCs w:val="20"/>
              </w:rPr>
            </w:pPr>
          </w:p>
        </w:tc>
        <w:tc>
          <w:tcPr>
            <w:tcW w:w="0" w:type="auto"/>
            <w:gridSpan w:val="2"/>
            <w:tcBorders>
              <w:top w:val="single" w:sz="12" w:space="0" w:color="838995" w:themeColor="accent5"/>
              <w:left w:val="single" w:sz="12" w:space="0" w:color="838995" w:themeColor="accent5"/>
              <w:bottom w:val="dotted" w:sz="4" w:space="0" w:color="838995" w:themeColor="accent5"/>
              <w:right w:val="single" w:sz="12" w:space="0" w:color="838995" w:themeColor="accent5"/>
            </w:tcBorders>
            <w:vAlign w:val="center"/>
          </w:tcPr>
          <w:p w14:paraId="3F2DA155" w14:textId="16B500A5" w:rsidR="00503DA3" w:rsidRPr="00E336D4" w:rsidRDefault="00503DA3" w:rsidP="00E45F68">
            <w:pPr>
              <w:pStyle w:val="ListParagraph"/>
              <w:ind w:left="0"/>
              <w:jc w:val="center"/>
              <w:rPr>
                <w:b/>
                <w:sz w:val="20"/>
                <w:szCs w:val="20"/>
              </w:rPr>
            </w:pPr>
            <w:r w:rsidRPr="00E336D4">
              <w:rPr>
                <w:b/>
                <w:sz w:val="20"/>
                <w:szCs w:val="20"/>
              </w:rPr>
              <w:t>FFY 201</w:t>
            </w:r>
            <w:r w:rsidR="001C3BE3">
              <w:rPr>
                <w:b/>
                <w:sz w:val="20"/>
                <w:szCs w:val="20"/>
              </w:rPr>
              <w:t>6</w:t>
            </w:r>
          </w:p>
        </w:tc>
        <w:tc>
          <w:tcPr>
            <w:tcW w:w="0" w:type="auto"/>
            <w:gridSpan w:val="2"/>
            <w:tcBorders>
              <w:top w:val="single" w:sz="12" w:space="0" w:color="838995" w:themeColor="accent5"/>
              <w:left w:val="single" w:sz="12" w:space="0" w:color="838995" w:themeColor="accent5"/>
              <w:bottom w:val="dotted" w:sz="4" w:space="0" w:color="838995" w:themeColor="accent5"/>
              <w:right w:val="single" w:sz="12" w:space="0" w:color="838995" w:themeColor="accent5"/>
            </w:tcBorders>
            <w:vAlign w:val="center"/>
          </w:tcPr>
          <w:p w14:paraId="5493021C" w14:textId="7F44C265" w:rsidR="00503DA3" w:rsidRPr="00E336D4" w:rsidRDefault="00503DA3" w:rsidP="00E45F68">
            <w:pPr>
              <w:pStyle w:val="ListParagraph"/>
              <w:ind w:left="0"/>
              <w:jc w:val="center"/>
              <w:rPr>
                <w:b/>
                <w:sz w:val="20"/>
                <w:szCs w:val="20"/>
              </w:rPr>
            </w:pPr>
            <w:r w:rsidRPr="00E336D4">
              <w:rPr>
                <w:b/>
                <w:sz w:val="20"/>
                <w:szCs w:val="20"/>
              </w:rPr>
              <w:t>FFY</w:t>
            </w:r>
            <w:r w:rsidR="00D913BD">
              <w:rPr>
                <w:b/>
                <w:sz w:val="20"/>
                <w:szCs w:val="20"/>
              </w:rPr>
              <w:t xml:space="preserve"> 201</w:t>
            </w:r>
            <w:r w:rsidR="001C3BE3">
              <w:rPr>
                <w:b/>
                <w:sz w:val="20"/>
                <w:szCs w:val="20"/>
              </w:rPr>
              <w:t>9</w:t>
            </w:r>
          </w:p>
        </w:tc>
        <w:tc>
          <w:tcPr>
            <w:tcW w:w="0" w:type="auto"/>
            <w:vMerge w:val="restart"/>
            <w:tcBorders>
              <w:left w:val="single" w:sz="12" w:space="0" w:color="838995" w:themeColor="accent5"/>
              <w:right w:val="dotted" w:sz="4" w:space="0" w:color="838995" w:themeColor="accent5"/>
            </w:tcBorders>
            <w:shd w:val="clear" w:color="auto" w:fill="E6E7E9" w:themeFill="accent5" w:themeFillTint="33"/>
            <w:vAlign w:val="center"/>
          </w:tcPr>
          <w:p w14:paraId="26C4C9E9" w14:textId="77777777" w:rsidR="00503DA3" w:rsidRPr="00E336D4" w:rsidRDefault="00503DA3" w:rsidP="00E45F68">
            <w:pPr>
              <w:pStyle w:val="ListParagraph"/>
              <w:ind w:left="0"/>
              <w:jc w:val="center"/>
              <w:rPr>
                <w:b/>
                <w:sz w:val="20"/>
                <w:szCs w:val="20"/>
              </w:rPr>
            </w:pPr>
            <w:r w:rsidRPr="00E336D4">
              <w:rPr>
                <w:b/>
                <w:sz w:val="20"/>
                <w:szCs w:val="20"/>
              </w:rPr>
              <w:t>% Change in # of Closures</w:t>
            </w:r>
          </w:p>
          <w:p w14:paraId="6682AC09" w14:textId="77777777" w:rsidR="00503DA3" w:rsidRPr="00E336D4" w:rsidRDefault="00503DA3" w:rsidP="00E45F68">
            <w:pPr>
              <w:pStyle w:val="ListParagraph"/>
              <w:ind w:left="0"/>
              <w:jc w:val="center"/>
              <w:rPr>
                <w:b/>
                <w:sz w:val="20"/>
                <w:szCs w:val="20"/>
              </w:rPr>
            </w:pPr>
            <w:r w:rsidRPr="00E336D4">
              <w:rPr>
                <w:b/>
                <w:sz w:val="20"/>
                <w:szCs w:val="20"/>
              </w:rPr>
              <w:t>(C-A)/C</w:t>
            </w:r>
          </w:p>
        </w:tc>
        <w:tc>
          <w:tcPr>
            <w:tcW w:w="0" w:type="auto"/>
            <w:vMerge w:val="restart"/>
            <w:tcBorders>
              <w:left w:val="dotted" w:sz="4" w:space="0" w:color="838995" w:themeColor="accent5"/>
            </w:tcBorders>
            <w:shd w:val="clear" w:color="auto" w:fill="E6E7E9" w:themeFill="accent5" w:themeFillTint="33"/>
            <w:vAlign w:val="center"/>
          </w:tcPr>
          <w:p w14:paraId="3E0EBE8B" w14:textId="77777777" w:rsidR="00503DA3" w:rsidRPr="00E336D4" w:rsidRDefault="00503DA3" w:rsidP="00E45F68">
            <w:pPr>
              <w:pStyle w:val="ListParagraph"/>
              <w:ind w:left="0"/>
              <w:jc w:val="center"/>
              <w:rPr>
                <w:b/>
                <w:sz w:val="20"/>
                <w:szCs w:val="20"/>
              </w:rPr>
            </w:pPr>
            <w:r w:rsidRPr="00E336D4">
              <w:rPr>
                <w:b/>
                <w:sz w:val="20"/>
                <w:szCs w:val="20"/>
              </w:rPr>
              <w:t>Change in % of Closures</w:t>
            </w:r>
          </w:p>
          <w:p w14:paraId="56B0BC34" w14:textId="77777777" w:rsidR="00503DA3" w:rsidRPr="00E336D4" w:rsidRDefault="00503DA3" w:rsidP="00E45F68">
            <w:pPr>
              <w:pStyle w:val="ListParagraph"/>
              <w:ind w:left="0"/>
              <w:jc w:val="center"/>
              <w:rPr>
                <w:b/>
                <w:sz w:val="20"/>
                <w:szCs w:val="20"/>
              </w:rPr>
            </w:pPr>
            <w:r w:rsidRPr="00E336D4">
              <w:rPr>
                <w:b/>
                <w:sz w:val="20"/>
                <w:szCs w:val="20"/>
              </w:rPr>
              <w:t>(D-B)</w:t>
            </w:r>
          </w:p>
        </w:tc>
      </w:tr>
      <w:tr w:rsidR="00503DA3" w:rsidRPr="00E336D4" w14:paraId="0C80FA32" w14:textId="77777777" w:rsidTr="00810149">
        <w:trPr>
          <w:trHeight w:val="602"/>
        </w:trPr>
        <w:tc>
          <w:tcPr>
            <w:tcW w:w="2996" w:type="dxa"/>
            <w:vMerge/>
            <w:tcBorders>
              <w:bottom w:val="single" w:sz="4" w:space="0" w:color="838995" w:themeColor="accent5"/>
              <w:right w:val="single" w:sz="12" w:space="0" w:color="838995" w:themeColor="accent5"/>
            </w:tcBorders>
            <w:vAlign w:val="center"/>
          </w:tcPr>
          <w:p w14:paraId="50C110EB" w14:textId="77777777" w:rsidR="00503DA3" w:rsidRPr="00E336D4" w:rsidRDefault="00503DA3" w:rsidP="00E45F68">
            <w:pPr>
              <w:pStyle w:val="ListParagraph"/>
              <w:ind w:left="0"/>
              <w:jc w:val="center"/>
              <w:rPr>
                <w:b/>
                <w:sz w:val="20"/>
                <w:szCs w:val="20"/>
              </w:rPr>
            </w:pPr>
          </w:p>
        </w:tc>
        <w:tc>
          <w:tcPr>
            <w:tcW w:w="0" w:type="auto"/>
            <w:tcBorders>
              <w:top w:val="dotted" w:sz="4" w:space="0" w:color="838995" w:themeColor="accent5"/>
              <w:left w:val="single" w:sz="12" w:space="0" w:color="838995" w:themeColor="accent5"/>
              <w:bottom w:val="single" w:sz="4" w:space="0" w:color="838995" w:themeColor="accent5"/>
              <w:right w:val="dotted" w:sz="4" w:space="0" w:color="838995" w:themeColor="accent5"/>
            </w:tcBorders>
            <w:vAlign w:val="center"/>
          </w:tcPr>
          <w:p w14:paraId="19B2D693" w14:textId="77777777" w:rsidR="00503DA3" w:rsidRPr="00E336D4" w:rsidRDefault="00503DA3" w:rsidP="00E45F68">
            <w:pPr>
              <w:pStyle w:val="ListParagraph"/>
              <w:ind w:left="0"/>
              <w:jc w:val="center"/>
              <w:rPr>
                <w:b/>
                <w:sz w:val="20"/>
                <w:szCs w:val="20"/>
              </w:rPr>
            </w:pPr>
            <w:r w:rsidRPr="00E336D4">
              <w:rPr>
                <w:b/>
                <w:sz w:val="20"/>
                <w:szCs w:val="20"/>
              </w:rPr>
              <w:t>Number</w:t>
            </w:r>
          </w:p>
          <w:p w14:paraId="7CDE78A6" w14:textId="77777777" w:rsidR="00503DA3" w:rsidRPr="00E336D4" w:rsidRDefault="00503DA3" w:rsidP="00E45F68">
            <w:pPr>
              <w:pStyle w:val="ListParagraph"/>
              <w:ind w:left="0"/>
              <w:jc w:val="center"/>
              <w:rPr>
                <w:b/>
                <w:sz w:val="20"/>
                <w:szCs w:val="20"/>
              </w:rPr>
            </w:pPr>
            <w:r w:rsidRPr="00E336D4">
              <w:rPr>
                <w:b/>
                <w:sz w:val="20"/>
                <w:szCs w:val="20"/>
              </w:rPr>
              <w:t>(A)</w:t>
            </w:r>
          </w:p>
        </w:tc>
        <w:tc>
          <w:tcPr>
            <w:tcW w:w="0" w:type="auto"/>
            <w:tcBorders>
              <w:top w:val="dotted" w:sz="4" w:space="0" w:color="838995" w:themeColor="accent5"/>
              <w:left w:val="dotted" w:sz="4" w:space="0" w:color="838995" w:themeColor="accent5"/>
              <w:bottom w:val="single" w:sz="4" w:space="0" w:color="838995" w:themeColor="accent5"/>
              <w:right w:val="single" w:sz="12" w:space="0" w:color="838995" w:themeColor="accent5"/>
            </w:tcBorders>
            <w:vAlign w:val="center"/>
          </w:tcPr>
          <w:p w14:paraId="7DC781CB" w14:textId="77777777" w:rsidR="00503DA3" w:rsidRPr="00E336D4" w:rsidRDefault="00503DA3" w:rsidP="00E45F68">
            <w:pPr>
              <w:pStyle w:val="ListParagraph"/>
              <w:ind w:left="0"/>
              <w:jc w:val="center"/>
              <w:rPr>
                <w:b/>
                <w:sz w:val="20"/>
                <w:szCs w:val="20"/>
              </w:rPr>
            </w:pPr>
            <w:r w:rsidRPr="00E336D4">
              <w:rPr>
                <w:b/>
                <w:sz w:val="20"/>
                <w:szCs w:val="20"/>
              </w:rPr>
              <w:t>Percent</w:t>
            </w:r>
          </w:p>
          <w:p w14:paraId="69CB54EF" w14:textId="77777777" w:rsidR="00503DA3" w:rsidRPr="00E336D4" w:rsidRDefault="00503DA3" w:rsidP="00E45F68">
            <w:pPr>
              <w:pStyle w:val="ListParagraph"/>
              <w:ind w:left="0"/>
              <w:jc w:val="center"/>
              <w:rPr>
                <w:b/>
                <w:sz w:val="20"/>
                <w:szCs w:val="20"/>
              </w:rPr>
            </w:pPr>
            <w:r w:rsidRPr="00E336D4">
              <w:rPr>
                <w:b/>
                <w:sz w:val="20"/>
                <w:szCs w:val="20"/>
              </w:rPr>
              <w:t>(B)</w:t>
            </w:r>
          </w:p>
        </w:tc>
        <w:tc>
          <w:tcPr>
            <w:tcW w:w="0" w:type="auto"/>
            <w:tcBorders>
              <w:top w:val="dotted" w:sz="4" w:space="0" w:color="838995" w:themeColor="accent5"/>
              <w:left w:val="single" w:sz="12" w:space="0" w:color="838995" w:themeColor="accent5"/>
              <w:bottom w:val="single" w:sz="4" w:space="0" w:color="838995" w:themeColor="accent5"/>
              <w:right w:val="dotted" w:sz="4" w:space="0" w:color="838995" w:themeColor="accent5"/>
            </w:tcBorders>
            <w:vAlign w:val="center"/>
          </w:tcPr>
          <w:p w14:paraId="38864F55" w14:textId="77777777" w:rsidR="00503DA3" w:rsidRPr="00E336D4" w:rsidRDefault="00503DA3" w:rsidP="00E45F68">
            <w:pPr>
              <w:pStyle w:val="ListParagraph"/>
              <w:ind w:left="0"/>
              <w:jc w:val="center"/>
              <w:rPr>
                <w:b/>
                <w:sz w:val="20"/>
                <w:szCs w:val="20"/>
              </w:rPr>
            </w:pPr>
            <w:r w:rsidRPr="00E336D4">
              <w:rPr>
                <w:b/>
                <w:sz w:val="20"/>
                <w:szCs w:val="20"/>
              </w:rPr>
              <w:t>Number</w:t>
            </w:r>
          </w:p>
          <w:p w14:paraId="139E490C" w14:textId="77777777" w:rsidR="00503DA3" w:rsidRPr="00E336D4" w:rsidRDefault="00503DA3" w:rsidP="00E45F68">
            <w:pPr>
              <w:pStyle w:val="ListParagraph"/>
              <w:ind w:left="0"/>
              <w:jc w:val="center"/>
              <w:rPr>
                <w:b/>
                <w:sz w:val="20"/>
                <w:szCs w:val="20"/>
              </w:rPr>
            </w:pPr>
            <w:r w:rsidRPr="00E336D4">
              <w:rPr>
                <w:b/>
                <w:sz w:val="20"/>
                <w:szCs w:val="20"/>
              </w:rPr>
              <w:t>(C)</w:t>
            </w:r>
          </w:p>
        </w:tc>
        <w:tc>
          <w:tcPr>
            <w:tcW w:w="0" w:type="auto"/>
            <w:tcBorders>
              <w:top w:val="dotted" w:sz="4" w:space="0" w:color="838995" w:themeColor="accent5"/>
              <w:left w:val="dotted" w:sz="4" w:space="0" w:color="838995" w:themeColor="accent5"/>
              <w:bottom w:val="single" w:sz="4" w:space="0" w:color="838995" w:themeColor="accent5"/>
              <w:right w:val="single" w:sz="12" w:space="0" w:color="838995" w:themeColor="accent5"/>
            </w:tcBorders>
            <w:vAlign w:val="center"/>
          </w:tcPr>
          <w:p w14:paraId="3A650AAE" w14:textId="77777777" w:rsidR="00503DA3" w:rsidRPr="00E336D4" w:rsidRDefault="00503DA3" w:rsidP="00E45F68">
            <w:pPr>
              <w:pStyle w:val="ListParagraph"/>
              <w:ind w:left="0"/>
              <w:jc w:val="center"/>
              <w:rPr>
                <w:b/>
                <w:sz w:val="20"/>
                <w:szCs w:val="20"/>
              </w:rPr>
            </w:pPr>
            <w:r w:rsidRPr="00E336D4">
              <w:rPr>
                <w:b/>
                <w:sz w:val="20"/>
                <w:szCs w:val="20"/>
              </w:rPr>
              <w:t>Percent</w:t>
            </w:r>
          </w:p>
          <w:p w14:paraId="51578D53" w14:textId="77777777" w:rsidR="00503DA3" w:rsidRPr="00E336D4" w:rsidRDefault="00503DA3" w:rsidP="00E45F68">
            <w:pPr>
              <w:pStyle w:val="ListParagraph"/>
              <w:ind w:left="0"/>
              <w:jc w:val="center"/>
              <w:rPr>
                <w:b/>
                <w:sz w:val="20"/>
                <w:szCs w:val="20"/>
              </w:rPr>
            </w:pPr>
            <w:r w:rsidRPr="00E336D4">
              <w:rPr>
                <w:b/>
                <w:sz w:val="20"/>
                <w:szCs w:val="20"/>
              </w:rPr>
              <w:t>(D)</w:t>
            </w:r>
          </w:p>
        </w:tc>
        <w:tc>
          <w:tcPr>
            <w:tcW w:w="0" w:type="auto"/>
            <w:vMerge/>
            <w:tcBorders>
              <w:left w:val="single" w:sz="12" w:space="0" w:color="838995" w:themeColor="accent5"/>
              <w:bottom w:val="single" w:sz="4" w:space="0" w:color="838995" w:themeColor="accent5"/>
              <w:right w:val="dotted" w:sz="4" w:space="0" w:color="838995" w:themeColor="accent5"/>
            </w:tcBorders>
            <w:shd w:val="clear" w:color="auto" w:fill="E6E7E9" w:themeFill="accent5" w:themeFillTint="33"/>
            <w:vAlign w:val="center"/>
          </w:tcPr>
          <w:p w14:paraId="26D59A5F" w14:textId="77777777" w:rsidR="00503DA3" w:rsidRPr="00E336D4" w:rsidRDefault="00503DA3" w:rsidP="00E45F68">
            <w:pPr>
              <w:pStyle w:val="ListParagraph"/>
              <w:ind w:left="0"/>
              <w:jc w:val="center"/>
              <w:rPr>
                <w:b/>
                <w:sz w:val="20"/>
                <w:szCs w:val="20"/>
              </w:rPr>
            </w:pPr>
          </w:p>
        </w:tc>
        <w:tc>
          <w:tcPr>
            <w:tcW w:w="0" w:type="auto"/>
            <w:vMerge/>
            <w:tcBorders>
              <w:left w:val="dotted" w:sz="4" w:space="0" w:color="838995" w:themeColor="accent5"/>
              <w:bottom w:val="single" w:sz="4" w:space="0" w:color="838995" w:themeColor="accent5"/>
            </w:tcBorders>
            <w:shd w:val="clear" w:color="auto" w:fill="E6E7E9" w:themeFill="accent5" w:themeFillTint="33"/>
            <w:vAlign w:val="center"/>
          </w:tcPr>
          <w:p w14:paraId="6B8FF398" w14:textId="77777777" w:rsidR="00503DA3" w:rsidRPr="00E336D4" w:rsidRDefault="00503DA3" w:rsidP="00E45F68">
            <w:pPr>
              <w:pStyle w:val="ListParagraph"/>
              <w:ind w:left="0"/>
              <w:jc w:val="center"/>
              <w:rPr>
                <w:b/>
                <w:sz w:val="20"/>
                <w:szCs w:val="20"/>
              </w:rPr>
            </w:pPr>
          </w:p>
        </w:tc>
      </w:tr>
      <w:tr w:rsidR="006E40AB" w:rsidRPr="00E336D4" w14:paraId="432EF102" w14:textId="77777777" w:rsidTr="00810149">
        <w:trPr>
          <w:trHeight w:val="288"/>
        </w:trPr>
        <w:tc>
          <w:tcPr>
            <w:tcW w:w="2996" w:type="dxa"/>
            <w:tcBorders>
              <w:top w:val="single" w:sz="4" w:space="0" w:color="838995" w:themeColor="accent5"/>
              <w:bottom w:val="dotted" w:sz="4" w:space="0" w:color="838995" w:themeColor="accent5"/>
              <w:right w:val="single" w:sz="12" w:space="0" w:color="838995" w:themeColor="accent5"/>
            </w:tcBorders>
            <w:vAlign w:val="center"/>
          </w:tcPr>
          <w:p w14:paraId="4B0AF9E6" w14:textId="77777777" w:rsidR="006E40AB" w:rsidRPr="00E336D4" w:rsidRDefault="006E40AB" w:rsidP="006E40AB">
            <w:pPr>
              <w:pStyle w:val="ListParagraph"/>
              <w:ind w:left="0"/>
              <w:rPr>
                <w:b/>
                <w:sz w:val="20"/>
                <w:szCs w:val="20"/>
              </w:rPr>
            </w:pPr>
            <w:r w:rsidRPr="00E336D4">
              <w:rPr>
                <w:b/>
                <w:sz w:val="20"/>
                <w:szCs w:val="20"/>
              </w:rPr>
              <w:t>All Closures</w:t>
            </w:r>
          </w:p>
        </w:tc>
        <w:tc>
          <w:tcPr>
            <w:tcW w:w="0" w:type="auto"/>
            <w:tcBorders>
              <w:top w:val="single"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F21CD0F" w14:textId="38D73C91" w:rsidR="006E40AB" w:rsidRPr="00E336D4" w:rsidRDefault="000E45E5" w:rsidP="006E40AB">
            <w:pPr>
              <w:pStyle w:val="ListParagraph"/>
              <w:ind w:left="0"/>
              <w:jc w:val="center"/>
              <w:rPr>
                <w:b/>
                <w:sz w:val="20"/>
                <w:szCs w:val="20"/>
              </w:rPr>
            </w:pPr>
            <w:r>
              <w:rPr>
                <w:b/>
                <w:sz w:val="20"/>
                <w:szCs w:val="20"/>
              </w:rPr>
              <w:t>4</w:t>
            </w:r>
            <w:r w:rsidR="00971DE8">
              <w:rPr>
                <w:b/>
                <w:sz w:val="20"/>
                <w:szCs w:val="20"/>
              </w:rPr>
              <w:t>,</w:t>
            </w:r>
            <w:r>
              <w:rPr>
                <w:b/>
                <w:sz w:val="20"/>
                <w:szCs w:val="20"/>
              </w:rPr>
              <w:t>852</w:t>
            </w:r>
          </w:p>
        </w:tc>
        <w:tc>
          <w:tcPr>
            <w:tcW w:w="0" w:type="auto"/>
            <w:tcBorders>
              <w:top w:val="single"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4EC4B6DA" w14:textId="51A77EB9" w:rsidR="006E40AB" w:rsidRPr="00E336D4" w:rsidRDefault="002E58CF" w:rsidP="006E40AB">
            <w:pPr>
              <w:pStyle w:val="ListParagraph"/>
              <w:ind w:left="0"/>
              <w:jc w:val="center"/>
              <w:rPr>
                <w:b/>
                <w:sz w:val="20"/>
                <w:szCs w:val="20"/>
              </w:rPr>
            </w:pPr>
            <w:r>
              <w:rPr>
                <w:b/>
                <w:sz w:val="20"/>
                <w:szCs w:val="20"/>
              </w:rPr>
              <w:t>100.0</w:t>
            </w:r>
          </w:p>
        </w:tc>
        <w:tc>
          <w:tcPr>
            <w:tcW w:w="0" w:type="auto"/>
            <w:tcBorders>
              <w:top w:val="single"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6BA7B384" w14:textId="4605E3C8" w:rsidR="006E40AB" w:rsidRPr="00E336D4" w:rsidRDefault="0024241D" w:rsidP="006E40AB">
            <w:pPr>
              <w:pStyle w:val="ListParagraph"/>
              <w:ind w:left="0"/>
              <w:jc w:val="center"/>
              <w:rPr>
                <w:b/>
                <w:sz w:val="20"/>
                <w:szCs w:val="20"/>
              </w:rPr>
            </w:pPr>
            <w:r>
              <w:rPr>
                <w:b/>
                <w:sz w:val="20"/>
                <w:szCs w:val="20"/>
              </w:rPr>
              <w:t>3,396</w:t>
            </w:r>
          </w:p>
        </w:tc>
        <w:tc>
          <w:tcPr>
            <w:tcW w:w="0" w:type="auto"/>
            <w:tcBorders>
              <w:top w:val="single"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B9EC57E" w14:textId="3678DAC0" w:rsidR="006E40AB" w:rsidRPr="00E336D4" w:rsidRDefault="002611C0" w:rsidP="006E40AB">
            <w:pPr>
              <w:pStyle w:val="ListParagraph"/>
              <w:ind w:left="0"/>
              <w:jc w:val="center"/>
              <w:rPr>
                <w:b/>
                <w:sz w:val="20"/>
                <w:szCs w:val="20"/>
              </w:rPr>
            </w:pPr>
            <w:r>
              <w:rPr>
                <w:b/>
                <w:sz w:val="20"/>
                <w:szCs w:val="20"/>
              </w:rPr>
              <w:t>100.0</w:t>
            </w:r>
          </w:p>
        </w:tc>
        <w:tc>
          <w:tcPr>
            <w:tcW w:w="0" w:type="auto"/>
            <w:tcBorders>
              <w:top w:val="single"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350B3409" w14:textId="7BE85C4F" w:rsidR="006E40AB" w:rsidRPr="00E336D4" w:rsidRDefault="00FE02E8" w:rsidP="006E40AB">
            <w:pPr>
              <w:pStyle w:val="ListParagraph"/>
              <w:ind w:left="0"/>
              <w:jc w:val="center"/>
              <w:rPr>
                <w:b/>
                <w:sz w:val="20"/>
                <w:szCs w:val="20"/>
              </w:rPr>
            </w:pPr>
            <w:r>
              <w:rPr>
                <w:b/>
                <w:sz w:val="20"/>
                <w:szCs w:val="20"/>
              </w:rPr>
              <w:t>-42.8</w:t>
            </w:r>
          </w:p>
        </w:tc>
        <w:tc>
          <w:tcPr>
            <w:tcW w:w="0" w:type="auto"/>
            <w:tcBorders>
              <w:top w:val="single"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09D81F21" w14:textId="20B53295" w:rsidR="006E40AB" w:rsidRPr="00E336D4" w:rsidRDefault="00E82272" w:rsidP="006E40AB">
            <w:pPr>
              <w:pStyle w:val="ListParagraph"/>
              <w:ind w:left="0"/>
              <w:jc w:val="center"/>
              <w:rPr>
                <w:b/>
                <w:sz w:val="20"/>
                <w:szCs w:val="20"/>
              </w:rPr>
            </w:pPr>
            <w:r>
              <w:rPr>
                <w:b/>
                <w:sz w:val="20"/>
                <w:szCs w:val="20"/>
              </w:rPr>
              <w:t>0.0</w:t>
            </w:r>
          </w:p>
        </w:tc>
      </w:tr>
      <w:tr w:rsidR="006E40AB" w:rsidRPr="00E336D4" w14:paraId="256B9788"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AE0A028" w14:textId="77777777" w:rsidR="006E40AB" w:rsidRPr="00E336D4" w:rsidRDefault="006E40AB" w:rsidP="006E40AB">
            <w:pPr>
              <w:pStyle w:val="ListParagraph"/>
              <w:ind w:left="0"/>
              <w:rPr>
                <w:b/>
                <w:sz w:val="20"/>
                <w:szCs w:val="20"/>
              </w:rPr>
            </w:pPr>
            <w:r w:rsidRPr="00E336D4">
              <w:rPr>
                <w:b/>
                <w:color w:val="FFFFFF" w:themeColor="background1"/>
                <w:sz w:val="20"/>
                <w:szCs w:val="20"/>
              </w:rPr>
              <w:t>Primary Disability Type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166D14D9" w14:textId="77777777" w:rsidR="006E40AB" w:rsidRPr="00E336D4" w:rsidRDefault="006E40AB" w:rsidP="006E40AB">
            <w:pPr>
              <w:pStyle w:val="ListParagraph"/>
              <w:ind w:left="0"/>
              <w:jc w:val="center"/>
              <w:rPr>
                <w:b/>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1C5751D" w14:textId="77777777" w:rsidR="006E40AB" w:rsidRPr="00E336D4" w:rsidRDefault="006E40AB" w:rsidP="006E40AB">
            <w:pPr>
              <w:pStyle w:val="ListParagraph"/>
              <w:ind w:left="0"/>
              <w:jc w:val="center"/>
              <w:rPr>
                <w:b/>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F2AC0C9" w14:textId="77777777" w:rsidR="006E40AB" w:rsidRPr="00E336D4" w:rsidRDefault="006E40AB" w:rsidP="006E40AB">
            <w:pPr>
              <w:pStyle w:val="ListParagraph"/>
              <w:ind w:left="0"/>
              <w:jc w:val="center"/>
              <w:rPr>
                <w:b/>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6632C48C" w14:textId="77777777" w:rsidR="006E40AB" w:rsidRPr="00E336D4" w:rsidRDefault="006E40AB" w:rsidP="006E40AB">
            <w:pPr>
              <w:pStyle w:val="ListParagraph"/>
              <w:ind w:left="0"/>
              <w:jc w:val="center"/>
              <w:rPr>
                <w:b/>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44AB0D6B" w14:textId="77777777" w:rsidR="006E40AB" w:rsidRPr="00E336D4" w:rsidRDefault="006E40AB" w:rsidP="006E40AB">
            <w:pPr>
              <w:pStyle w:val="ListParagraph"/>
              <w:ind w:left="0"/>
              <w:jc w:val="center"/>
              <w:rPr>
                <w:b/>
                <w:sz w:val="20"/>
                <w:szCs w:val="20"/>
              </w:rPr>
            </w:pPr>
          </w:p>
        </w:tc>
        <w:tc>
          <w:tcPr>
            <w:tcW w:w="0" w:type="auto"/>
            <w:tcBorders>
              <w:top w:val="dotted" w:sz="4" w:space="0" w:color="838995" w:themeColor="accent5"/>
              <w:left w:val="dotted" w:sz="4" w:space="0" w:color="838995" w:themeColor="accent5"/>
              <w:bottom w:val="dotted" w:sz="4" w:space="0" w:color="838995" w:themeColor="accent5"/>
            </w:tcBorders>
            <w:shd w:val="clear" w:color="auto" w:fill="838995" w:themeFill="accent5"/>
            <w:vAlign w:val="center"/>
          </w:tcPr>
          <w:p w14:paraId="712EA48D" w14:textId="77777777" w:rsidR="006E40AB" w:rsidRPr="00E336D4" w:rsidRDefault="006E40AB" w:rsidP="006E40AB">
            <w:pPr>
              <w:pStyle w:val="ListParagraph"/>
              <w:ind w:left="0"/>
              <w:jc w:val="center"/>
              <w:rPr>
                <w:b/>
                <w:sz w:val="20"/>
                <w:szCs w:val="20"/>
              </w:rPr>
            </w:pPr>
          </w:p>
        </w:tc>
      </w:tr>
      <w:tr w:rsidR="006E40AB" w:rsidRPr="00E336D4" w14:paraId="24F6ACA5"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2BA0FBDF" w14:textId="77777777" w:rsidR="006E40AB" w:rsidRPr="00E336D4" w:rsidRDefault="006E40AB" w:rsidP="006E40AB">
            <w:pPr>
              <w:pStyle w:val="ListParagraph"/>
              <w:ind w:left="0"/>
              <w:jc w:val="right"/>
              <w:rPr>
                <w:sz w:val="20"/>
                <w:szCs w:val="20"/>
              </w:rPr>
            </w:pPr>
            <w:r w:rsidRPr="00E336D4">
              <w:rPr>
                <w:sz w:val="20"/>
                <w:szCs w:val="20"/>
              </w:rPr>
              <w:t>No Impairment</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59EB6E14" w14:textId="4A62457D" w:rsidR="006E40AB" w:rsidRPr="00E336D4" w:rsidRDefault="002E58CF" w:rsidP="006E40AB">
            <w:pPr>
              <w:pStyle w:val="ListParagraph"/>
              <w:ind w:left="0"/>
              <w:jc w:val="center"/>
              <w:rPr>
                <w:sz w:val="20"/>
                <w:szCs w:val="20"/>
              </w:rPr>
            </w:pPr>
            <w:r>
              <w:rPr>
                <w:sz w:val="20"/>
                <w:szCs w:val="20"/>
              </w:rPr>
              <w:t>614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7EAEDD3" w14:textId="3F7C6291" w:rsidR="006E40AB" w:rsidRPr="00E336D4" w:rsidRDefault="002E58CF" w:rsidP="006E40AB">
            <w:pPr>
              <w:pStyle w:val="ListParagraph"/>
              <w:ind w:left="0"/>
              <w:jc w:val="center"/>
              <w:rPr>
                <w:sz w:val="20"/>
                <w:szCs w:val="20"/>
              </w:rPr>
            </w:pPr>
            <w:r>
              <w:rPr>
                <w:sz w:val="20"/>
                <w:szCs w:val="20"/>
              </w:rPr>
              <w:t>12.7</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4AB29B75" w14:textId="5A699009" w:rsidR="006E40AB" w:rsidRPr="00E336D4" w:rsidRDefault="005211B3" w:rsidP="006E40AB">
            <w:pPr>
              <w:pStyle w:val="ListParagraph"/>
              <w:ind w:left="0"/>
              <w:jc w:val="center"/>
              <w:rPr>
                <w:sz w:val="20"/>
                <w:szCs w:val="20"/>
              </w:rPr>
            </w:pPr>
            <w:r>
              <w:rPr>
                <w:sz w:val="20"/>
                <w:szCs w:val="20"/>
              </w:rPr>
              <w:t>494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4102AF3F" w14:textId="5024ABE7" w:rsidR="006E40AB" w:rsidRPr="00E336D4" w:rsidRDefault="005211B3" w:rsidP="006E40AB">
            <w:pPr>
              <w:pStyle w:val="ListParagraph"/>
              <w:ind w:left="0"/>
              <w:jc w:val="center"/>
              <w:rPr>
                <w:sz w:val="20"/>
                <w:szCs w:val="20"/>
              </w:rPr>
            </w:pPr>
            <w:r>
              <w:rPr>
                <w:sz w:val="20"/>
                <w:szCs w:val="20"/>
              </w:rPr>
              <w:t>14.5</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1F09D244" w14:textId="28C3F339" w:rsidR="006E40AB" w:rsidRPr="00E336D4" w:rsidRDefault="00FE02E8" w:rsidP="006E40AB">
            <w:pPr>
              <w:pStyle w:val="ListParagraph"/>
              <w:ind w:left="0"/>
              <w:jc w:val="center"/>
              <w:rPr>
                <w:b/>
                <w:sz w:val="20"/>
                <w:szCs w:val="20"/>
              </w:rPr>
            </w:pPr>
            <w:r>
              <w:rPr>
                <w:b/>
                <w:sz w:val="20"/>
                <w:szCs w:val="20"/>
              </w:rPr>
              <w:t>-24.3</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56D42E07" w14:textId="5ED72917" w:rsidR="006E40AB" w:rsidRPr="00E336D4" w:rsidRDefault="00E82272" w:rsidP="006E40AB">
            <w:pPr>
              <w:pStyle w:val="ListParagraph"/>
              <w:ind w:left="0"/>
              <w:jc w:val="center"/>
              <w:rPr>
                <w:b/>
                <w:sz w:val="20"/>
                <w:szCs w:val="20"/>
              </w:rPr>
            </w:pPr>
            <w:r>
              <w:rPr>
                <w:b/>
                <w:sz w:val="20"/>
                <w:szCs w:val="20"/>
              </w:rPr>
              <w:t>1.8</w:t>
            </w:r>
          </w:p>
        </w:tc>
      </w:tr>
      <w:tr w:rsidR="006E40AB" w:rsidRPr="00E336D4" w14:paraId="49C15DB5"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2649F136" w14:textId="77777777" w:rsidR="006E40AB" w:rsidRPr="00E336D4" w:rsidRDefault="006E40AB" w:rsidP="006E40AB">
            <w:pPr>
              <w:pStyle w:val="ListParagraph"/>
              <w:ind w:left="0"/>
              <w:jc w:val="right"/>
              <w:rPr>
                <w:sz w:val="20"/>
                <w:szCs w:val="20"/>
              </w:rPr>
            </w:pPr>
            <w:r w:rsidRPr="00E336D4">
              <w:rPr>
                <w:sz w:val="20"/>
                <w:szCs w:val="20"/>
              </w:rPr>
              <w:t>Sensory</w:t>
            </w:r>
            <w:r w:rsidRPr="00E336D4">
              <w:rPr>
                <w:color w:val="FF0000"/>
                <w:sz w:val="20"/>
                <w:szCs w:val="20"/>
              </w:rPr>
              <w:t>*</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DB77217" w14:textId="2DC1AB2B" w:rsidR="006E40AB" w:rsidRPr="00E336D4" w:rsidRDefault="002E58CF" w:rsidP="006E40AB">
            <w:pPr>
              <w:pStyle w:val="ListParagraph"/>
              <w:ind w:left="0"/>
              <w:jc w:val="center"/>
              <w:rPr>
                <w:sz w:val="20"/>
                <w:szCs w:val="20"/>
              </w:rPr>
            </w:pPr>
            <w:r>
              <w:rPr>
                <w:sz w:val="20"/>
                <w:szCs w:val="20"/>
              </w:rPr>
              <w:t>666</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01A0D585" w14:textId="193B9BB4" w:rsidR="006E40AB" w:rsidRPr="00E336D4" w:rsidRDefault="002E58CF" w:rsidP="006E40AB">
            <w:pPr>
              <w:pStyle w:val="ListParagraph"/>
              <w:ind w:left="0"/>
              <w:jc w:val="center"/>
              <w:rPr>
                <w:sz w:val="20"/>
                <w:szCs w:val="20"/>
              </w:rPr>
            </w:pPr>
            <w:r>
              <w:rPr>
                <w:sz w:val="20"/>
                <w:szCs w:val="20"/>
              </w:rPr>
              <w:t>13.7</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22BF7DB" w14:textId="7FC272E9" w:rsidR="006E40AB" w:rsidRPr="00E336D4" w:rsidRDefault="005211B3" w:rsidP="006E40AB">
            <w:pPr>
              <w:pStyle w:val="ListParagraph"/>
              <w:ind w:left="0"/>
              <w:jc w:val="center"/>
              <w:rPr>
                <w:sz w:val="20"/>
                <w:szCs w:val="20"/>
              </w:rPr>
            </w:pPr>
            <w:r>
              <w:rPr>
                <w:sz w:val="20"/>
                <w:szCs w:val="20"/>
              </w:rPr>
              <w:t>349</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BD04A4D" w14:textId="3F9A9CF2" w:rsidR="006E40AB" w:rsidRPr="00E336D4" w:rsidRDefault="005211B3" w:rsidP="006E40AB">
            <w:pPr>
              <w:pStyle w:val="ListParagraph"/>
              <w:ind w:left="0"/>
              <w:jc w:val="center"/>
              <w:rPr>
                <w:sz w:val="20"/>
                <w:szCs w:val="20"/>
              </w:rPr>
            </w:pPr>
            <w:r>
              <w:rPr>
                <w:sz w:val="20"/>
                <w:szCs w:val="20"/>
              </w:rPr>
              <w:t>10.3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40BF44BA" w14:textId="67A2BE3D" w:rsidR="006E40AB" w:rsidRPr="00E336D4" w:rsidRDefault="0058029A" w:rsidP="006E40AB">
            <w:pPr>
              <w:pStyle w:val="ListParagraph"/>
              <w:ind w:left="0"/>
              <w:jc w:val="center"/>
              <w:rPr>
                <w:b/>
                <w:sz w:val="20"/>
                <w:szCs w:val="20"/>
              </w:rPr>
            </w:pPr>
            <w:r>
              <w:rPr>
                <w:b/>
                <w:sz w:val="20"/>
                <w:szCs w:val="20"/>
              </w:rPr>
              <w:t>-90.8</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04BC6027" w14:textId="4999605C" w:rsidR="006E40AB" w:rsidRPr="00E336D4" w:rsidRDefault="00E82272" w:rsidP="006E40AB">
            <w:pPr>
              <w:pStyle w:val="ListParagraph"/>
              <w:ind w:left="0"/>
              <w:jc w:val="center"/>
              <w:rPr>
                <w:b/>
                <w:sz w:val="20"/>
                <w:szCs w:val="20"/>
              </w:rPr>
            </w:pPr>
            <w:r>
              <w:rPr>
                <w:b/>
                <w:sz w:val="20"/>
                <w:szCs w:val="20"/>
              </w:rPr>
              <w:t>-3.4</w:t>
            </w:r>
          </w:p>
        </w:tc>
      </w:tr>
      <w:tr w:rsidR="006E40AB" w:rsidRPr="00E336D4" w14:paraId="47EEB7BD"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1A34C2AC" w14:textId="24349896" w:rsidR="006E40AB" w:rsidRPr="00E336D4" w:rsidRDefault="006E40AB" w:rsidP="006E40AB">
            <w:pPr>
              <w:pStyle w:val="ListParagraph"/>
              <w:ind w:left="0"/>
              <w:jc w:val="right"/>
              <w:rPr>
                <w:sz w:val="20"/>
                <w:szCs w:val="20"/>
              </w:rPr>
            </w:pPr>
            <w:r w:rsidRPr="00E336D4">
              <w:rPr>
                <w:sz w:val="20"/>
                <w:szCs w:val="20"/>
              </w:rPr>
              <w:t>Physical</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51CF2C2" w14:textId="36349814" w:rsidR="006E40AB" w:rsidRPr="00E336D4" w:rsidRDefault="002E58CF" w:rsidP="006E40AB">
            <w:pPr>
              <w:pStyle w:val="ListParagraph"/>
              <w:ind w:left="0"/>
              <w:jc w:val="center"/>
              <w:rPr>
                <w:sz w:val="20"/>
                <w:szCs w:val="20"/>
              </w:rPr>
            </w:pPr>
            <w:r>
              <w:rPr>
                <w:sz w:val="20"/>
                <w:szCs w:val="20"/>
              </w:rPr>
              <w:t>713</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299F81B" w14:textId="1A9F1551" w:rsidR="006E40AB" w:rsidRPr="00E336D4" w:rsidRDefault="002E58CF" w:rsidP="006E40AB">
            <w:pPr>
              <w:pStyle w:val="ListParagraph"/>
              <w:ind w:left="0"/>
              <w:jc w:val="center"/>
              <w:rPr>
                <w:sz w:val="20"/>
                <w:szCs w:val="20"/>
              </w:rPr>
            </w:pPr>
            <w:r>
              <w:rPr>
                <w:sz w:val="20"/>
                <w:szCs w:val="20"/>
              </w:rPr>
              <w:t>14.7</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7D018ED" w14:textId="602466F4" w:rsidR="006E40AB" w:rsidRPr="00E336D4" w:rsidRDefault="005211B3" w:rsidP="006E40AB">
            <w:pPr>
              <w:pStyle w:val="ListParagraph"/>
              <w:ind w:left="0"/>
              <w:jc w:val="center"/>
              <w:rPr>
                <w:sz w:val="20"/>
                <w:szCs w:val="20"/>
              </w:rPr>
            </w:pPr>
            <w:r>
              <w:rPr>
                <w:sz w:val="20"/>
                <w:szCs w:val="20"/>
              </w:rPr>
              <w:t>437</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558EBFB" w14:textId="0E5555A0" w:rsidR="006E40AB" w:rsidRPr="00E336D4" w:rsidRDefault="005211B3" w:rsidP="006E40AB">
            <w:pPr>
              <w:pStyle w:val="ListParagraph"/>
              <w:ind w:left="0"/>
              <w:jc w:val="center"/>
              <w:rPr>
                <w:sz w:val="20"/>
                <w:szCs w:val="20"/>
              </w:rPr>
            </w:pPr>
            <w:r>
              <w:rPr>
                <w:sz w:val="20"/>
                <w:szCs w:val="20"/>
              </w:rPr>
              <w:t>12.9</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5F61B248" w14:textId="62FFAFD8" w:rsidR="006E40AB" w:rsidRPr="00E336D4" w:rsidRDefault="0058029A" w:rsidP="006E40AB">
            <w:pPr>
              <w:pStyle w:val="ListParagraph"/>
              <w:ind w:left="0"/>
              <w:jc w:val="center"/>
              <w:rPr>
                <w:b/>
                <w:sz w:val="20"/>
                <w:szCs w:val="20"/>
              </w:rPr>
            </w:pPr>
            <w:r>
              <w:rPr>
                <w:b/>
                <w:sz w:val="20"/>
                <w:szCs w:val="20"/>
              </w:rPr>
              <w:t>-63.2</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4201538A" w14:textId="635496F8" w:rsidR="006E40AB" w:rsidRPr="00E336D4" w:rsidRDefault="00E82272" w:rsidP="006E40AB">
            <w:pPr>
              <w:pStyle w:val="ListParagraph"/>
              <w:ind w:left="0"/>
              <w:jc w:val="center"/>
              <w:rPr>
                <w:b/>
                <w:sz w:val="20"/>
                <w:szCs w:val="20"/>
              </w:rPr>
            </w:pPr>
            <w:r>
              <w:rPr>
                <w:b/>
                <w:sz w:val="20"/>
                <w:szCs w:val="20"/>
              </w:rPr>
              <w:t>-1.8</w:t>
            </w:r>
          </w:p>
        </w:tc>
      </w:tr>
      <w:tr w:rsidR="006E40AB" w:rsidRPr="00E336D4" w14:paraId="2CD4AD1C"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2C0BA900" w14:textId="77777777" w:rsidR="006E40AB" w:rsidRPr="00E336D4" w:rsidRDefault="006E40AB" w:rsidP="006E40AB">
            <w:pPr>
              <w:pStyle w:val="ListParagraph"/>
              <w:ind w:left="0"/>
              <w:jc w:val="right"/>
              <w:rPr>
                <w:sz w:val="20"/>
                <w:szCs w:val="20"/>
              </w:rPr>
            </w:pPr>
            <w:r w:rsidRPr="00E336D4">
              <w:rPr>
                <w:sz w:val="20"/>
                <w:szCs w:val="20"/>
              </w:rPr>
              <w:t>Mental Illness</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565F2896" w14:textId="1F8FE3B0" w:rsidR="006E40AB" w:rsidRPr="00E336D4" w:rsidRDefault="002E58CF" w:rsidP="006E40AB">
            <w:pPr>
              <w:pStyle w:val="ListParagraph"/>
              <w:ind w:left="0"/>
              <w:jc w:val="center"/>
              <w:rPr>
                <w:sz w:val="20"/>
                <w:szCs w:val="20"/>
              </w:rPr>
            </w:pPr>
            <w:r>
              <w:rPr>
                <w:sz w:val="20"/>
                <w:szCs w:val="20"/>
              </w:rPr>
              <w:t>1,682</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BA4D631" w14:textId="0350F13C" w:rsidR="006E40AB" w:rsidRPr="00E336D4" w:rsidRDefault="002E58CF" w:rsidP="006E40AB">
            <w:pPr>
              <w:pStyle w:val="ListParagraph"/>
              <w:ind w:left="0"/>
              <w:jc w:val="center"/>
              <w:rPr>
                <w:sz w:val="20"/>
                <w:szCs w:val="20"/>
              </w:rPr>
            </w:pPr>
            <w:r>
              <w:rPr>
                <w:sz w:val="20"/>
                <w:szCs w:val="20"/>
              </w:rPr>
              <w:t>34.7</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DB9C528" w14:textId="7B726FB0" w:rsidR="006E40AB" w:rsidRPr="00E336D4" w:rsidRDefault="005211B3" w:rsidP="006E40AB">
            <w:pPr>
              <w:pStyle w:val="ListParagraph"/>
              <w:ind w:left="0"/>
              <w:jc w:val="center"/>
              <w:rPr>
                <w:sz w:val="20"/>
                <w:szCs w:val="20"/>
              </w:rPr>
            </w:pPr>
            <w:r>
              <w:rPr>
                <w:sz w:val="20"/>
                <w:szCs w:val="20"/>
              </w:rPr>
              <w:t>1,104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ACD6193" w14:textId="4C92D05E" w:rsidR="006E40AB" w:rsidRPr="00E336D4" w:rsidRDefault="005211B3" w:rsidP="006E40AB">
            <w:pPr>
              <w:pStyle w:val="ListParagraph"/>
              <w:ind w:left="0"/>
              <w:jc w:val="center"/>
              <w:rPr>
                <w:sz w:val="20"/>
                <w:szCs w:val="20"/>
              </w:rPr>
            </w:pPr>
            <w:r>
              <w:rPr>
                <w:sz w:val="20"/>
                <w:szCs w:val="20"/>
              </w:rPr>
              <w:t>32.5</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342540A2" w14:textId="1B1BB9D3" w:rsidR="006E40AB" w:rsidRPr="00E336D4" w:rsidRDefault="008A347C" w:rsidP="006E40AB">
            <w:pPr>
              <w:pStyle w:val="ListParagraph"/>
              <w:ind w:left="0"/>
              <w:jc w:val="center"/>
              <w:rPr>
                <w:b/>
                <w:sz w:val="20"/>
                <w:szCs w:val="20"/>
              </w:rPr>
            </w:pPr>
            <w:r>
              <w:rPr>
                <w:b/>
                <w:sz w:val="20"/>
                <w:szCs w:val="20"/>
              </w:rPr>
              <w:t>-52.4</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142D66FD" w14:textId="4A381DAC" w:rsidR="006E40AB" w:rsidRPr="00E336D4" w:rsidRDefault="00E82272" w:rsidP="006E40AB">
            <w:pPr>
              <w:pStyle w:val="ListParagraph"/>
              <w:ind w:left="0"/>
              <w:jc w:val="center"/>
              <w:rPr>
                <w:b/>
                <w:sz w:val="20"/>
                <w:szCs w:val="20"/>
              </w:rPr>
            </w:pPr>
            <w:r>
              <w:rPr>
                <w:b/>
                <w:sz w:val="20"/>
                <w:szCs w:val="20"/>
              </w:rPr>
              <w:t>-2.2</w:t>
            </w:r>
          </w:p>
        </w:tc>
      </w:tr>
      <w:tr w:rsidR="006E40AB" w:rsidRPr="00E336D4" w14:paraId="5329BB09"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7601E3A9" w14:textId="77777777" w:rsidR="006E40AB" w:rsidRPr="00E336D4" w:rsidRDefault="006E40AB" w:rsidP="006E40AB">
            <w:pPr>
              <w:pStyle w:val="ListParagraph"/>
              <w:ind w:left="0"/>
              <w:jc w:val="right"/>
              <w:rPr>
                <w:sz w:val="20"/>
                <w:szCs w:val="20"/>
              </w:rPr>
            </w:pPr>
            <w:r w:rsidRPr="00E336D4">
              <w:rPr>
                <w:sz w:val="20"/>
                <w:szCs w:val="20"/>
              </w:rPr>
              <w:t>Cognitive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4187B817" w14:textId="1ABB1155" w:rsidR="006E40AB" w:rsidRPr="00E336D4" w:rsidRDefault="002E58CF" w:rsidP="006E40AB">
            <w:pPr>
              <w:pStyle w:val="ListParagraph"/>
              <w:ind w:left="0"/>
              <w:jc w:val="center"/>
              <w:rPr>
                <w:sz w:val="20"/>
                <w:szCs w:val="20"/>
              </w:rPr>
            </w:pPr>
            <w:r>
              <w:rPr>
                <w:sz w:val="20"/>
                <w:szCs w:val="20"/>
              </w:rPr>
              <w:t>1,177</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0EAE2133" w14:textId="2F226019" w:rsidR="006E40AB" w:rsidRPr="00E336D4" w:rsidRDefault="002E58CF" w:rsidP="006E40AB">
            <w:pPr>
              <w:pStyle w:val="ListParagraph"/>
              <w:ind w:left="0"/>
              <w:jc w:val="center"/>
              <w:rPr>
                <w:sz w:val="20"/>
                <w:szCs w:val="20"/>
              </w:rPr>
            </w:pPr>
            <w:r>
              <w:rPr>
                <w:sz w:val="20"/>
                <w:szCs w:val="20"/>
              </w:rPr>
              <w:t>24.2</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493C6902" w14:textId="3D04391F" w:rsidR="006E40AB" w:rsidRPr="00E336D4" w:rsidRDefault="005211B3" w:rsidP="006E40AB">
            <w:pPr>
              <w:pStyle w:val="ListParagraph"/>
              <w:ind w:left="0"/>
              <w:jc w:val="center"/>
              <w:rPr>
                <w:sz w:val="20"/>
                <w:szCs w:val="20"/>
              </w:rPr>
            </w:pPr>
            <w:r>
              <w:rPr>
                <w:sz w:val="20"/>
                <w:szCs w:val="20"/>
              </w:rPr>
              <w:t>1,012</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D955682" w14:textId="47D3DD17" w:rsidR="006E40AB" w:rsidRPr="00E336D4" w:rsidRDefault="005211B3" w:rsidP="006E40AB">
            <w:pPr>
              <w:pStyle w:val="ListParagraph"/>
              <w:ind w:left="0"/>
              <w:jc w:val="center"/>
              <w:rPr>
                <w:sz w:val="20"/>
                <w:szCs w:val="20"/>
              </w:rPr>
            </w:pPr>
            <w:r>
              <w:rPr>
                <w:sz w:val="20"/>
                <w:szCs w:val="20"/>
              </w:rPr>
              <w:t>29.8</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55247877" w14:textId="6E8F83AA" w:rsidR="006E40AB" w:rsidRPr="00E336D4" w:rsidRDefault="008A347C" w:rsidP="006E40AB">
            <w:pPr>
              <w:pStyle w:val="ListParagraph"/>
              <w:ind w:left="0"/>
              <w:jc w:val="center"/>
              <w:rPr>
                <w:b/>
                <w:color w:val="FFFFFF" w:themeColor="background1"/>
                <w:sz w:val="20"/>
                <w:szCs w:val="20"/>
              </w:rPr>
            </w:pPr>
            <w:r w:rsidRPr="008A347C">
              <w:rPr>
                <w:b/>
                <w:sz w:val="20"/>
                <w:szCs w:val="20"/>
              </w:rPr>
              <w:t>-16.3</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732E52C1" w14:textId="2C7668E5" w:rsidR="006E40AB" w:rsidRPr="00E336D4" w:rsidRDefault="00E82272" w:rsidP="006E40AB">
            <w:pPr>
              <w:pStyle w:val="ListParagraph"/>
              <w:ind w:left="0"/>
              <w:jc w:val="center"/>
              <w:rPr>
                <w:b/>
                <w:sz w:val="20"/>
                <w:szCs w:val="20"/>
              </w:rPr>
            </w:pPr>
            <w:r>
              <w:rPr>
                <w:b/>
                <w:sz w:val="20"/>
                <w:szCs w:val="20"/>
              </w:rPr>
              <w:t>5.6</w:t>
            </w:r>
          </w:p>
        </w:tc>
      </w:tr>
      <w:tr w:rsidR="006E40AB" w:rsidRPr="00E336D4" w14:paraId="27D9BEF9"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02F92B1B" w14:textId="77777777" w:rsidR="006E40AB" w:rsidRPr="00E336D4" w:rsidRDefault="006E40AB" w:rsidP="006E40AB">
            <w:pPr>
              <w:pStyle w:val="ListParagraph"/>
              <w:ind w:left="0"/>
              <w:rPr>
                <w:color w:val="FFFFFF" w:themeColor="background1"/>
                <w:sz w:val="20"/>
                <w:szCs w:val="20"/>
              </w:rPr>
            </w:pPr>
            <w:r w:rsidRPr="00E336D4">
              <w:rPr>
                <w:b/>
                <w:color w:val="FFFFFF" w:themeColor="background1"/>
                <w:sz w:val="20"/>
                <w:szCs w:val="20"/>
              </w:rPr>
              <w:t>Age at Closure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2BF74E53" w14:textId="77777777" w:rsidR="006E40AB" w:rsidRPr="00E336D4" w:rsidRDefault="006E40AB" w:rsidP="006E40AB">
            <w:pPr>
              <w:pStyle w:val="ListParagraph"/>
              <w:ind w:left="0"/>
              <w:jc w:val="center"/>
              <w:rPr>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4984A3BD" w14:textId="77777777" w:rsidR="006E40AB" w:rsidRPr="00E336D4" w:rsidRDefault="006E40AB" w:rsidP="006E40AB">
            <w:pPr>
              <w:pStyle w:val="ListParagraph"/>
              <w:ind w:left="0"/>
              <w:jc w:val="center"/>
              <w:rPr>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008A757C"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5AC9D822"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0C757223"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tcBorders>
            <w:shd w:val="clear" w:color="auto" w:fill="838995" w:themeFill="accent5"/>
            <w:vAlign w:val="center"/>
          </w:tcPr>
          <w:p w14:paraId="10A8693B" w14:textId="77777777" w:rsidR="006E40AB" w:rsidRPr="00E336D4" w:rsidRDefault="006E40AB" w:rsidP="006E40AB">
            <w:pPr>
              <w:pStyle w:val="ListParagraph"/>
              <w:ind w:left="0"/>
              <w:jc w:val="center"/>
              <w:rPr>
                <w:b/>
                <w:color w:val="FFFFFF" w:themeColor="background1"/>
                <w:sz w:val="20"/>
                <w:szCs w:val="20"/>
              </w:rPr>
            </w:pPr>
          </w:p>
        </w:tc>
      </w:tr>
      <w:tr w:rsidR="006E40AB" w:rsidRPr="00E336D4" w14:paraId="2A506B53"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67801552" w14:textId="77777777" w:rsidR="006E40AB" w:rsidRPr="00E336D4" w:rsidRDefault="006E40AB" w:rsidP="006E40AB">
            <w:pPr>
              <w:pStyle w:val="ListParagraph"/>
              <w:ind w:left="0"/>
              <w:jc w:val="right"/>
              <w:rPr>
                <w:b/>
                <w:sz w:val="20"/>
                <w:szCs w:val="20"/>
              </w:rPr>
            </w:pPr>
            <w:r w:rsidRPr="00E336D4">
              <w:rPr>
                <w:sz w:val="20"/>
                <w:szCs w:val="20"/>
              </w:rPr>
              <w:t>Less than 23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37BED3D7" w14:textId="2C1A378E" w:rsidR="006E40AB" w:rsidRPr="00E336D4" w:rsidRDefault="00971DE8" w:rsidP="006E40AB">
            <w:pPr>
              <w:pStyle w:val="ListParagraph"/>
              <w:ind w:left="0"/>
              <w:jc w:val="center"/>
              <w:rPr>
                <w:sz w:val="20"/>
                <w:szCs w:val="20"/>
              </w:rPr>
            </w:pPr>
            <w:r>
              <w:rPr>
                <w:sz w:val="20"/>
                <w:szCs w:val="20"/>
              </w:rPr>
              <w:t>1,276</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ED1ABE9" w14:textId="23150787" w:rsidR="006E40AB" w:rsidRPr="00E336D4" w:rsidRDefault="002E58CF" w:rsidP="006E40AB">
            <w:pPr>
              <w:pStyle w:val="ListParagraph"/>
              <w:ind w:left="0"/>
              <w:jc w:val="center"/>
              <w:rPr>
                <w:sz w:val="20"/>
                <w:szCs w:val="20"/>
              </w:rPr>
            </w:pPr>
            <w:r>
              <w:rPr>
                <w:sz w:val="20"/>
                <w:szCs w:val="20"/>
              </w:rPr>
              <w:t>26.3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3CBCC417" w14:textId="418F150B" w:rsidR="006E40AB" w:rsidRPr="00E336D4" w:rsidRDefault="002611C0" w:rsidP="006E40AB">
            <w:pPr>
              <w:pStyle w:val="ListParagraph"/>
              <w:ind w:left="0"/>
              <w:jc w:val="center"/>
              <w:rPr>
                <w:sz w:val="20"/>
                <w:szCs w:val="20"/>
              </w:rPr>
            </w:pPr>
            <w:r>
              <w:rPr>
                <w:sz w:val="20"/>
                <w:szCs w:val="20"/>
              </w:rPr>
              <w:t>1,113</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0BB73E8" w14:textId="25BC7F94" w:rsidR="006E40AB" w:rsidRPr="00E336D4" w:rsidRDefault="002611C0" w:rsidP="006E40AB">
            <w:pPr>
              <w:pStyle w:val="ListParagraph"/>
              <w:ind w:left="0"/>
              <w:jc w:val="center"/>
              <w:rPr>
                <w:sz w:val="20"/>
                <w:szCs w:val="20"/>
              </w:rPr>
            </w:pPr>
            <w:r>
              <w:rPr>
                <w:sz w:val="20"/>
                <w:szCs w:val="20"/>
              </w:rPr>
              <w:t>32.8</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225A650C" w14:textId="2C8CA39D" w:rsidR="006E40AB" w:rsidRPr="00E336D4" w:rsidRDefault="008A347C" w:rsidP="006E40AB">
            <w:pPr>
              <w:pStyle w:val="ListParagraph"/>
              <w:ind w:left="0"/>
              <w:jc w:val="center"/>
              <w:rPr>
                <w:b/>
                <w:sz w:val="20"/>
                <w:szCs w:val="20"/>
              </w:rPr>
            </w:pPr>
            <w:r>
              <w:rPr>
                <w:b/>
                <w:sz w:val="20"/>
                <w:szCs w:val="20"/>
              </w:rPr>
              <w:t>-14.6</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00E34811" w14:textId="5D304753" w:rsidR="006E40AB" w:rsidRPr="00E336D4" w:rsidRDefault="00E82272" w:rsidP="006E40AB">
            <w:pPr>
              <w:pStyle w:val="ListParagraph"/>
              <w:ind w:left="0"/>
              <w:jc w:val="center"/>
              <w:rPr>
                <w:b/>
                <w:sz w:val="20"/>
                <w:szCs w:val="20"/>
              </w:rPr>
            </w:pPr>
            <w:r>
              <w:rPr>
                <w:b/>
                <w:sz w:val="20"/>
                <w:szCs w:val="20"/>
              </w:rPr>
              <w:t>6.5</w:t>
            </w:r>
          </w:p>
        </w:tc>
      </w:tr>
      <w:tr w:rsidR="006E40AB" w:rsidRPr="00E336D4" w14:paraId="76A5EECC"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6A321D00" w14:textId="77777777" w:rsidR="006E40AB" w:rsidRPr="00E336D4" w:rsidRDefault="006E40AB" w:rsidP="006E40AB">
            <w:pPr>
              <w:pStyle w:val="ListParagraph"/>
              <w:ind w:left="0"/>
              <w:jc w:val="right"/>
              <w:rPr>
                <w:sz w:val="20"/>
                <w:szCs w:val="20"/>
              </w:rPr>
            </w:pPr>
            <w:r w:rsidRPr="00E336D4">
              <w:rPr>
                <w:sz w:val="20"/>
                <w:szCs w:val="20"/>
              </w:rPr>
              <w:t>23-54</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F8F8A24" w14:textId="500F652F" w:rsidR="006E40AB" w:rsidRPr="00E336D4" w:rsidRDefault="00971DE8" w:rsidP="006E40AB">
            <w:pPr>
              <w:pStyle w:val="ListParagraph"/>
              <w:ind w:left="0"/>
              <w:jc w:val="center"/>
              <w:rPr>
                <w:sz w:val="20"/>
                <w:szCs w:val="20"/>
              </w:rPr>
            </w:pPr>
            <w:r>
              <w:rPr>
                <w:sz w:val="20"/>
                <w:szCs w:val="20"/>
              </w:rPr>
              <w:t>2,705</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60B34FE8" w14:textId="7096522A" w:rsidR="006E40AB" w:rsidRPr="00E336D4" w:rsidRDefault="002E58CF" w:rsidP="006E40AB">
            <w:pPr>
              <w:pStyle w:val="ListParagraph"/>
              <w:ind w:left="0"/>
              <w:jc w:val="center"/>
              <w:rPr>
                <w:sz w:val="20"/>
                <w:szCs w:val="20"/>
              </w:rPr>
            </w:pPr>
            <w:r>
              <w:rPr>
                <w:sz w:val="20"/>
                <w:szCs w:val="20"/>
              </w:rPr>
              <w:t>55.8</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5A0D6666" w14:textId="1A555A9A" w:rsidR="006E40AB" w:rsidRPr="00E336D4" w:rsidRDefault="002611C0" w:rsidP="006E40AB">
            <w:pPr>
              <w:pStyle w:val="ListParagraph"/>
              <w:ind w:left="0"/>
              <w:jc w:val="center"/>
              <w:rPr>
                <w:sz w:val="20"/>
                <w:szCs w:val="20"/>
              </w:rPr>
            </w:pPr>
            <w:r>
              <w:rPr>
                <w:sz w:val="20"/>
                <w:szCs w:val="20"/>
              </w:rPr>
              <w:t>1,727</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4F1E3F34" w14:textId="077FAD6C" w:rsidR="006E40AB" w:rsidRPr="00E336D4" w:rsidRDefault="002611C0" w:rsidP="006E40AB">
            <w:pPr>
              <w:pStyle w:val="ListParagraph"/>
              <w:ind w:left="0"/>
              <w:jc w:val="center"/>
              <w:rPr>
                <w:sz w:val="20"/>
                <w:szCs w:val="20"/>
              </w:rPr>
            </w:pPr>
            <w:r>
              <w:rPr>
                <w:sz w:val="20"/>
                <w:szCs w:val="20"/>
              </w:rPr>
              <w:t>50.9</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566B9A29" w14:textId="1911BD97" w:rsidR="006E40AB" w:rsidRPr="00E336D4" w:rsidRDefault="008A347C" w:rsidP="006E40AB">
            <w:pPr>
              <w:pStyle w:val="ListParagraph"/>
              <w:ind w:left="0"/>
              <w:jc w:val="center"/>
              <w:rPr>
                <w:b/>
                <w:sz w:val="20"/>
                <w:szCs w:val="20"/>
              </w:rPr>
            </w:pPr>
            <w:r>
              <w:rPr>
                <w:b/>
                <w:sz w:val="20"/>
                <w:szCs w:val="20"/>
              </w:rPr>
              <w:t>-56.6</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790602CA" w14:textId="20017FA0" w:rsidR="006E40AB" w:rsidRPr="00E336D4" w:rsidRDefault="00E82272" w:rsidP="006E40AB">
            <w:pPr>
              <w:pStyle w:val="ListParagraph"/>
              <w:ind w:left="0"/>
              <w:jc w:val="center"/>
              <w:rPr>
                <w:b/>
                <w:sz w:val="20"/>
                <w:szCs w:val="20"/>
              </w:rPr>
            </w:pPr>
            <w:r>
              <w:rPr>
                <w:b/>
                <w:sz w:val="20"/>
                <w:szCs w:val="20"/>
              </w:rPr>
              <w:t>-4.9</w:t>
            </w:r>
          </w:p>
        </w:tc>
      </w:tr>
      <w:tr w:rsidR="006E40AB" w:rsidRPr="00E336D4" w14:paraId="16186C21"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56C70C35" w14:textId="77777777" w:rsidR="006E40AB" w:rsidRPr="00E336D4" w:rsidRDefault="006E40AB" w:rsidP="006E40AB">
            <w:pPr>
              <w:pStyle w:val="ListParagraph"/>
              <w:ind w:left="0"/>
              <w:jc w:val="right"/>
              <w:rPr>
                <w:sz w:val="20"/>
                <w:szCs w:val="20"/>
              </w:rPr>
            </w:pPr>
            <w:r w:rsidRPr="00E336D4">
              <w:rPr>
                <w:sz w:val="20"/>
                <w:szCs w:val="20"/>
              </w:rPr>
              <w:t>55-65</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2D2C3016" w14:textId="47F92569" w:rsidR="006E40AB" w:rsidRPr="00E336D4" w:rsidRDefault="00971DE8" w:rsidP="006E40AB">
            <w:pPr>
              <w:pStyle w:val="ListParagraph"/>
              <w:ind w:left="0"/>
              <w:jc w:val="center"/>
              <w:rPr>
                <w:sz w:val="20"/>
                <w:szCs w:val="20"/>
              </w:rPr>
            </w:pPr>
            <w:r>
              <w:rPr>
                <w:sz w:val="20"/>
                <w:szCs w:val="20"/>
              </w:rPr>
              <w:t>710</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33D85E0" w14:textId="4444AA0C" w:rsidR="006E40AB" w:rsidRPr="00E336D4" w:rsidRDefault="002E58CF" w:rsidP="006E40AB">
            <w:pPr>
              <w:pStyle w:val="ListParagraph"/>
              <w:ind w:left="0"/>
              <w:jc w:val="center"/>
              <w:rPr>
                <w:sz w:val="20"/>
                <w:szCs w:val="20"/>
              </w:rPr>
            </w:pPr>
            <w:r>
              <w:rPr>
                <w:sz w:val="20"/>
                <w:szCs w:val="20"/>
              </w:rPr>
              <w:t>14.6</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3A459999" w14:textId="41C5CBF5" w:rsidR="006E40AB" w:rsidRPr="00E336D4" w:rsidRDefault="002611C0" w:rsidP="006E40AB">
            <w:pPr>
              <w:pStyle w:val="ListParagraph"/>
              <w:ind w:left="0"/>
              <w:jc w:val="center"/>
              <w:rPr>
                <w:sz w:val="20"/>
                <w:szCs w:val="20"/>
              </w:rPr>
            </w:pPr>
            <w:r>
              <w:rPr>
                <w:sz w:val="20"/>
                <w:szCs w:val="20"/>
              </w:rPr>
              <w:t>443</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B225767" w14:textId="537B43A6" w:rsidR="006E40AB" w:rsidRPr="00E336D4" w:rsidRDefault="002611C0" w:rsidP="006E40AB">
            <w:pPr>
              <w:pStyle w:val="ListParagraph"/>
              <w:ind w:left="0"/>
              <w:jc w:val="center"/>
              <w:rPr>
                <w:sz w:val="20"/>
                <w:szCs w:val="20"/>
              </w:rPr>
            </w:pPr>
            <w:r>
              <w:rPr>
                <w:sz w:val="20"/>
                <w:szCs w:val="20"/>
              </w:rPr>
              <w:t>13.0</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0F7FD593" w14:textId="2B9FA927" w:rsidR="006E40AB" w:rsidRPr="00E336D4" w:rsidRDefault="008A347C" w:rsidP="006E40AB">
            <w:pPr>
              <w:pStyle w:val="ListParagraph"/>
              <w:ind w:left="0"/>
              <w:jc w:val="center"/>
              <w:rPr>
                <w:b/>
                <w:sz w:val="20"/>
                <w:szCs w:val="20"/>
              </w:rPr>
            </w:pPr>
            <w:r>
              <w:rPr>
                <w:b/>
                <w:sz w:val="20"/>
                <w:szCs w:val="20"/>
              </w:rPr>
              <w:t>-60.3</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363122FF" w14:textId="43BC332E" w:rsidR="006E40AB" w:rsidRPr="00E336D4" w:rsidRDefault="00E82272" w:rsidP="006E40AB">
            <w:pPr>
              <w:pStyle w:val="ListParagraph"/>
              <w:ind w:left="0"/>
              <w:jc w:val="center"/>
              <w:rPr>
                <w:b/>
                <w:sz w:val="20"/>
                <w:szCs w:val="20"/>
              </w:rPr>
            </w:pPr>
            <w:r>
              <w:rPr>
                <w:b/>
                <w:sz w:val="20"/>
                <w:szCs w:val="20"/>
              </w:rPr>
              <w:t>-1.6</w:t>
            </w:r>
          </w:p>
        </w:tc>
      </w:tr>
      <w:tr w:rsidR="006E40AB" w:rsidRPr="00E336D4" w14:paraId="442698F4"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41F8D926" w14:textId="77777777" w:rsidR="006E40AB" w:rsidRPr="00E336D4" w:rsidRDefault="006E40AB" w:rsidP="006E40AB">
            <w:pPr>
              <w:pStyle w:val="ListParagraph"/>
              <w:ind w:left="0"/>
              <w:jc w:val="right"/>
              <w:rPr>
                <w:sz w:val="20"/>
                <w:szCs w:val="20"/>
              </w:rPr>
            </w:pPr>
            <w:r w:rsidRPr="00E336D4">
              <w:rPr>
                <w:sz w:val="20"/>
                <w:szCs w:val="20"/>
              </w:rPr>
              <w:t>Over 65</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02AF5243" w14:textId="762B81D6" w:rsidR="006E40AB" w:rsidRPr="00E336D4" w:rsidRDefault="00971DE8" w:rsidP="006E40AB">
            <w:pPr>
              <w:pStyle w:val="ListParagraph"/>
              <w:ind w:left="0"/>
              <w:jc w:val="center"/>
              <w:rPr>
                <w:sz w:val="20"/>
                <w:szCs w:val="20"/>
              </w:rPr>
            </w:pPr>
            <w:r>
              <w:rPr>
                <w:sz w:val="20"/>
                <w:szCs w:val="20"/>
              </w:rPr>
              <w:t>161</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AF38472" w14:textId="527999F9" w:rsidR="006E40AB" w:rsidRPr="00E336D4" w:rsidRDefault="002E58CF" w:rsidP="006E40AB">
            <w:pPr>
              <w:pStyle w:val="ListParagraph"/>
              <w:ind w:left="0"/>
              <w:jc w:val="center"/>
              <w:rPr>
                <w:sz w:val="20"/>
                <w:szCs w:val="20"/>
              </w:rPr>
            </w:pPr>
            <w:r>
              <w:rPr>
                <w:sz w:val="20"/>
                <w:szCs w:val="20"/>
              </w:rPr>
              <w:t>3.3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0B2CD46C" w14:textId="0D2E5D62" w:rsidR="006E40AB" w:rsidRPr="00E336D4" w:rsidRDefault="002611C0" w:rsidP="006E40AB">
            <w:pPr>
              <w:pStyle w:val="ListParagraph"/>
              <w:ind w:left="0"/>
              <w:jc w:val="center"/>
              <w:rPr>
                <w:sz w:val="20"/>
                <w:szCs w:val="20"/>
              </w:rPr>
            </w:pPr>
            <w:r>
              <w:rPr>
                <w:sz w:val="20"/>
                <w:szCs w:val="20"/>
              </w:rPr>
              <w:t>113</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51DDF6E5" w14:textId="53B7AFD2" w:rsidR="006E40AB" w:rsidRPr="00E336D4" w:rsidRDefault="002611C0" w:rsidP="006E40AB">
            <w:pPr>
              <w:pStyle w:val="ListParagraph"/>
              <w:ind w:left="0"/>
              <w:jc w:val="center"/>
              <w:rPr>
                <w:sz w:val="20"/>
                <w:szCs w:val="20"/>
              </w:rPr>
            </w:pPr>
            <w:r>
              <w:rPr>
                <w:sz w:val="20"/>
                <w:szCs w:val="20"/>
              </w:rPr>
              <w:t>3.3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4B5589DB" w14:textId="411158FA" w:rsidR="006E40AB" w:rsidRPr="00E336D4" w:rsidRDefault="00B039BC" w:rsidP="006E40AB">
            <w:pPr>
              <w:pStyle w:val="ListParagraph"/>
              <w:ind w:left="0"/>
              <w:jc w:val="center"/>
              <w:rPr>
                <w:b/>
                <w:sz w:val="20"/>
                <w:szCs w:val="20"/>
              </w:rPr>
            </w:pPr>
            <w:r>
              <w:rPr>
                <w:b/>
                <w:sz w:val="20"/>
                <w:szCs w:val="20"/>
              </w:rPr>
              <w:t>-42.5</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2B966828" w14:textId="2B143A9D" w:rsidR="006E40AB" w:rsidRPr="00E336D4" w:rsidRDefault="00E82272" w:rsidP="006E40AB">
            <w:pPr>
              <w:pStyle w:val="ListParagraph"/>
              <w:ind w:left="0"/>
              <w:jc w:val="center"/>
              <w:rPr>
                <w:b/>
                <w:sz w:val="20"/>
                <w:szCs w:val="20"/>
              </w:rPr>
            </w:pPr>
            <w:r>
              <w:rPr>
                <w:b/>
                <w:sz w:val="20"/>
                <w:szCs w:val="20"/>
              </w:rPr>
              <w:t>0.0</w:t>
            </w:r>
          </w:p>
        </w:tc>
      </w:tr>
      <w:tr w:rsidR="006E40AB" w:rsidRPr="00E336D4" w14:paraId="37C5A9ED"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17C69AFD" w14:textId="77777777" w:rsidR="006E40AB" w:rsidRPr="00E336D4" w:rsidRDefault="006E40AB" w:rsidP="006E40AB">
            <w:pPr>
              <w:pStyle w:val="ListParagraph"/>
              <w:ind w:left="0"/>
              <w:rPr>
                <w:b/>
                <w:color w:val="FFFFFF" w:themeColor="background1"/>
                <w:sz w:val="20"/>
                <w:szCs w:val="20"/>
              </w:rPr>
            </w:pPr>
            <w:r w:rsidRPr="00E336D4">
              <w:rPr>
                <w:b/>
                <w:color w:val="FFFFFF" w:themeColor="background1"/>
                <w:sz w:val="20"/>
                <w:szCs w:val="20"/>
              </w:rPr>
              <w:t>Education</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934A74A" w14:textId="77777777" w:rsidR="006E40AB" w:rsidRPr="00E336D4" w:rsidRDefault="006E40AB" w:rsidP="006E40AB">
            <w:pPr>
              <w:pStyle w:val="ListParagraph"/>
              <w:ind w:left="0"/>
              <w:jc w:val="center"/>
              <w:rPr>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34029162"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61902BB9"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2EA5137"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223A923C"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tcBorders>
            <w:shd w:val="clear" w:color="auto" w:fill="838995" w:themeFill="accent5"/>
            <w:vAlign w:val="center"/>
          </w:tcPr>
          <w:p w14:paraId="3C08C6F6" w14:textId="77777777" w:rsidR="006E40AB" w:rsidRPr="00E336D4" w:rsidRDefault="006E40AB" w:rsidP="006E40AB">
            <w:pPr>
              <w:pStyle w:val="ListParagraph"/>
              <w:ind w:left="0"/>
              <w:jc w:val="center"/>
              <w:rPr>
                <w:b/>
                <w:color w:val="FFFFFF" w:themeColor="background1"/>
                <w:sz w:val="20"/>
                <w:szCs w:val="20"/>
              </w:rPr>
            </w:pPr>
          </w:p>
        </w:tc>
      </w:tr>
      <w:tr w:rsidR="006E40AB" w:rsidRPr="00E336D4" w14:paraId="24A6C764"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3514CBC7" w14:textId="77777777" w:rsidR="006E40AB" w:rsidRPr="00E336D4" w:rsidRDefault="006E40AB" w:rsidP="006E40AB">
            <w:pPr>
              <w:pStyle w:val="ListParagraph"/>
              <w:ind w:left="0"/>
              <w:jc w:val="right"/>
              <w:rPr>
                <w:b/>
                <w:sz w:val="20"/>
                <w:szCs w:val="20"/>
              </w:rPr>
            </w:pPr>
            <w:r w:rsidRPr="00E336D4">
              <w:rPr>
                <w:sz w:val="20"/>
                <w:szCs w:val="20"/>
              </w:rPr>
              <w:t>Less than HS</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9DA7398" w14:textId="347139EA" w:rsidR="006E40AB" w:rsidRPr="00E336D4" w:rsidRDefault="002E58CF" w:rsidP="006E40AB">
            <w:pPr>
              <w:pStyle w:val="ListParagraph"/>
              <w:ind w:left="0"/>
              <w:jc w:val="center"/>
              <w:rPr>
                <w:sz w:val="20"/>
                <w:szCs w:val="20"/>
              </w:rPr>
            </w:pPr>
            <w:r>
              <w:rPr>
                <w:sz w:val="20"/>
                <w:szCs w:val="20"/>
              </w:rPr>
              <w:t>1,512</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4C919A69" w14:textId="48A2070D" w:rsidR="006E40AB" w:rsidRPr="00E336D4" w:rsidRDefault="002E58CF" w:rsidP="006E40AB">
            <w:pPr>
              <w:pStyle w:val="ListParagraph"/>
              <w:ind w:left="0"/>
              <w:jc w:val="center"/>
              <w:rPr>
                <w:sz w:val="20"/>
                <w:szCs w:val="20"/>
              </w:rPr>
            </w:pPr>
            <w:r>
              <w:rPr>
                <w:sz w:val="20"/>
                <w:szCs w:val="20"/>
              </w:rPr>
              <w:t>31.2</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08DD824B" w14:textId="794256D0" w:rsidR="006E40AB" w:rsidRPr="00E336D4" w:rsidRDefault="004B4DC3" w:rsidP="006E40AB">
            <w:pPr>
              <w:pStyle w:val="ListParagraph"/>
              <w:ind w:left="0"/>
              <w:jc w:val="center"/>
              <w:rPr>
                <w:sz w:val="20"/>
                <w:szCs w:val="20"/>
              </w:rPr>
            </w:pPr>
            <w:r>
              <w:rPr>
                <w:sz w:val="20"/>
                <w:szCs w:val="20"/>
              </w:rPr>
              <w:t>667</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4DC2A0C" w14:textId="23220BD5" w:rsidR="006E40AB" w:rsidRPr="00E336D4" w:rsidRDefault="004B4DC3" w:rsidP="006E40AB">
            <w:pPr>
              <w:pStyle w:val="ListParagraph"/>
              <w:ind w:left="0"/>
              <w:jc w:val="center"/>
              <w:rPr>
                <w:sz w:val="20"/>
                <w:szCs w:val="20"/>
              </w:rPr>
            </w:pPr>
            <w:r>
              <w:rPr>
                <w:sz w:val="20"/>
                <w:szCs w:val="20"/>
              </w:rPr>
              <w:t>19.6</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7D45EE0A" w14:textId="19E4948F" w:rsidR="006E40AB" w:rsidRPr="00E336D4" w:rsidRDefault="00CE3CDD" w:rsidP="006E40AB">
            <w:pPr>
              <w:pStyle w:val="ListParagraph"/>
              <w:ind w:left="0"/>
              <w:jc w:val="center"/>
              <w:rPr>
                <w:b/>
                <w:sz w:val="20"/>
                <w:szCs w:val="20"/>
              </w:rPr>
            </w:pPr>
            <w:r>
              <w:rPr>
                <w:b/>
                <w:sz w:val="20"/>
                <w:szCs w:val="20"/>
              </w:rPr>
              <w:t>-126.7</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7EC9F41C" w14:textId="286F5283" w:rsidR="006E40AB" w:rsidRPr="00E336D4" w:rsidRDefault="00E82272" w:rsidP="006E40AB">
            <w:pPr>
              <w:pStyle w:val="ListParagraph"/>
              <w:ind w:left="0"/>
              <w:jc w:val="center"/>
              <w:rPr>
                <w:b/>
                <w:sz w:val="20"/>
                <w:szCs w:val="20"/>
              </w:rPr>
            </w:pPr>
            <w:r>
              <w:rPr>
                <w:b/>
                <w:sz w:val="20"/>
                <w:szCs w:val="20"/>
              </w:rPr>
              <w:t>-11.6</w:t>
            </w:r>
          </w:p>
        </w:tc>
      </w:tr>
      <w:tr w:rsidR="006E40AB" w:rsidRPr="00E336D4" w14:paraId="21E84D9F"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2D3C0C7D" w14:textId="77777777" w:rsidR="006E40AB" w:rsidRPr="00E336D4" w:rsidRDefault="006E40AB" w:rsidP="006E40AB">
            <w:pPr>
              <w:pStyle w:val="ListParagraph"/>
              <w:ind w:left="0"/>
              <w:jc w:val="right"/>
              <w:rPr>
                <w:sz w:val="20"/>
                <w:szCs w:val="20"/>
              </w:rPr>
            </w:pPr>
            <w:r w:rsidRPr="00E336D4">
              <w:rPr>
                <w:sz w:val="20"/>
                <w:szCs w:val="20"/>
              </w:rPr>
              <w:t>HS or Equivalent</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3B7E3FC" w14:textId="76C7A191" w:rsidR="006E40AB" w:rsidRPr="00E336D4" w:rsidRDefault="002E58CF" w:rsidP="006E40AB">
            <w:pPr>
              <w:pStyle w:val="ListParagraph"/>
              <w:ind w:left="0"/>
              <w:jc w:val="center"/>
              <w:rPr>
                <w:sz w:val="20"/>
                <w:szCs w:val="20"/>
              </w:rPr>
            </w:pPr>
            <w:r>
              <w:rPr>
                <w:sz w:val="20"/>
                <w:szCs w:val="20"/>
              </w:rPr>
              <w:t>2,163</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0B22CCF" w14:textId="6B6C9B95" w:rsidR="006E40AB" w:rsidRPr="00E336D4" w:rsidRDefault="002E58CF" w:rsidP="006E40AB">
            <w:pPr>
              <w:pStyle w:val="ListParagraph"/>
              <w:ind w:left="0"/>
              <w:jc w:val="center"/>
              <w:rPr>
                <w:sz w:val="20"/>
                <w:szCs w:val="20"/>
              </w:rPr>
            </w:pPr>
            <w:r>
              <w:rPr>
                <w:sz w:val="20"/>
                <w:szCs w:val="20"/>
              </w:rPr>
              <w:t>44.</w:t>
            </w:r>
            <w:r w:rsidR="0022028C">
              <w:rPr>
                <w:sz w:val="20"/>
                <w:szCs w:val="20"/>
              </w:rPr>
              <w:t>6</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E6E018C" w14:textId="6A59E845" w:rsidR="006E40AB" w:rsidRPr="00E336D4" w:rsidRDefault="004B4DC3" w:rsidP="006E40AB">
            <w:pPr>
              <w:pStyle w:val="ListParagraph"/>
              <w:ind w:left="0"/>
              <w:jc w:val="center"/>
              <w:rPr>
                <w:sz w:val="20"/>
                <w:szCs w:val="20"/>
              </w:rPr>
            </w:pPr>
            <w:r>
              <w:rPr>
                <w:sz w:val="20"/>
                <w:szCs w:val="20"/>
              </w:rPr>
              <w:t>1,754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5D3E5DE8" w14:textId="795890EA" w:rsidR="006E40AB" w:rsidRPr="00E336D4" w:rsidRDefault="004B4DC3" w:rsidP="006E40AB">
            <w:pPr>
              <w:pStyle w:val="ListParagraph"/>
              <w:ind w:left="0"/>
              <w:jc w:val="center"/>
              <w:rPr>
                <w:sz w:val="20"/>
                <w:szCs w:val="20"/>
              </w:rPr>
            </w:pPr>
            <w:r>
              <w:rPr>
                <w:sz w:val="20"/>
                <w:szCs w:val="20"/>
              </w:rPr>
              <w:t>51.6</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3CA56579" w14:textId="1BECE1D3" w:rsidR="006E40AB" w:rsidRPr="00E336D4" w:rsidRDefault="00CE3CDD" w:rsidP="006E40AB">
            <w:pPr>
              <w:pStyle w:val="ListParagraph"/>
              <w:ind w:left="0"/>
              <w:jc w:val="center"/>
              <w:rPr>
                <w:b/>
                <w:sz w:val="20"/>
                <w:szCs w:val="20"/>
              </w:rPr>
            </w:pPr>
            <w:r>
              <w:rPr>
                <w:b/>
                <w:sz w:val="20"/>
                <w:szCs w:val="20"/>
              </w:rPr>
              <w:t>-23.3</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3032A4C8" w14:textId="0DE6AA64" w:rsidR="006E40AB" w:rsidRPr="00E336D4" w:rsidRDefault="00E82272" w:rsidP="006E40AB">
            <w:pPr>
              <w:pStyle w:val="ListParagraph"/>
              <w:ind w:left="0"/>
              <w:jc w:val="center"/>
              <w:rPr>
                <w:b/>
                <w:sz w:val="20"/>
                <w:szCs w:val="20"/>
              </w:rPr>
            </w:pPr>
            <w:r>
              <w:rPr>
                <w:b/>
                <w:sz w:val="20"/>
                <w:szCs w:val="20"/>
              </w:rPr>
              <w:t>7.0</w:t>
            </w:r>
          </w:p>
        </w:tc>
      </w:tr>
      <w:tr w:rsidR="006E40AB" w:rsidRPr="00E336D4" w14:paraId="425E3D4A"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67F692BE" w14:textId="77777777" w:rsidR="006E40AB" w:rsidRPr="00E336D4" w:rsidRDefault="006E40AB" w:rsidP="006E40AB">
            <w:pPr>
              <w:pStyle w:val="ListParagraph"/>
              <w:ind w:left="0"/>
              <w:jc w:val="right"/>
              <w:rPr>
                <w:sz w:val="20"/>
                <w:szCs w:val="20"/>
              </w:rPr>
            </w:pPr>
            <w:r w:rsidRPr="00E336D4">
              <w:rPr>
                <w:sz w:val="20"/>
                <w:szCs w:val="20"/>
              </w:rPr>
              <w:t>Some College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96875E3" w14:textId="54ADF75F" w:rsidR="006E40AB" w:rsidRPr="00E336D4" w:rsidRDefault="002E58CF" w:rsidP="006E40AB">
            <w:pPr>
              <w:pStyle w:val="ListParagraph"/>
              <w:ind w:left="0"/>
              <w:jc w:val="center"/>
              <w:rPr>
                <w:sz w:val="20"/>
                <w:szCs w:val="20"/>
              </w:rPr>
            </w:pPr>
            <w:r>
              <w:rPr>
                <w:sz w:val="20"/>
                <w:szCs w:val="20"/>
              </w:rPr>
              <w:t>438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77F70C3" w14:textId="2A65112C" w:rsidR="006E40AB" w:rsidRPr="00E336D4" w:rsidRDefault="0022028C" w:rsidP="006E40AB">
            <w:pPr>
              <w:pStyle w:val="ListParagraph"/>
              <w:ind w:left="0"/>
              <w:jc w:val="center"/>
              <w:rPr>
                <w:sz w:val="20"/>
                <w:szCs w:val="20"/>
              </w:rPr>
            </w:pPr>
            <w:r>
              <w:rPr>
                <w:sz w:val="20"/>
                <w:szCs w:val="20"/>
              </w:rPr>
              <w:t>9.0</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2F15C6E0" w14:textId="00C7BBAE" w:rsidR="006E40AB" w:rsidRPr="00E336D4" w:rsidRDefault="00347C10" w:rsidP="006E40AB">
            <w:pPr>
              <w:pStyle w:val="ListParagraph"/>
              <w:ind w:left="0"/>
              <w:jc w:val="center"/>
              <w:rPr>
                <w:sz w:val="20"/>
                <w:szCs w:val="20"/>
              </w:rPr>
            </w:pPr>
            <w:r>
              <w:rPr>
                <w:sz w:val="20"/>
                <w:szCs w:val="20"/>
              </w:rPr>
              <w:t>351</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17B57A3" w14:textId="3C1FB8FA" w:rsidR="006E40AB" w:rsidRPr="00E336D4" w:rsidRDefault="004B4DC3" w:rsidP="006E40AB">
            <w:pPr>
              <w:pStyle w:val="ListParagraph"/>
              <w:ind w:left="0"/>
              <w:jc w:val="center"/>
              <w:rPr>
                <w:sz w:val="20"/>
                <w:szCs w:val="20"/>
              </w:rPr>
            </w:pPr>
            <w:r>
              <w:rPr>
                <w:sz w:val="20"/>
                <w:szCs w:val="20"/>
              </w:rPr>
              <w:t>10.3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23DE075F" w14:textId="0D7411C7" w:rsidR="006E40AB" w:rsidRPr="00E336D4" w:rsidRDefault="00CE3CDD" w:rsidP="006E40AB">
            <w:pPr>
              <w:pStyle w:val="ListParagraph"/>
              <w:ind w:left="0"/>
              <w:jc w:val="center"/>
              <w:rPr>
                <w:b/>
                <w:sz w:val="20"/>
                <w:szCs w:val="20"/>
              </w:rPr>
            </w:pPr>
            <w:r>
              <w:rPr>
                <w:b/>
                <w:sz w:val="20"/>
                <w:szCs w:val="20"/>
              </w:rPr>
              <w:t>-24.7</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17CD846E" w14:textId="01E52D5A" w:rsidR="006E40AB" w:rsidRPr="00E336D4" w:rsidRDefault="00E82272" w:rsidP="006E40AB">
            <w:pPr>
              <w:pStyle w:val="ListParagraph"/>
              <w:ind w:left="0"/>
              <w:jc w:val="center"/>
              <w:rPr>
                <w:b/>
                <w:sz w:val="20"/>
                <w:szCs w:val="20"/>
              </w:rPr>
            </w:pPr>
            <w:r>
              <w:rPr>
                <w:b/>
                <w:sz w:val="20"/>
                <w:szCs w:val="20"/>
              </w:rPr>
              <w:t>1.3</w:t>
            </w:r>
          </w:p>
        </w:tc>
      </w:tr>
      <w:tr w:rsidR="006E40AB" w:rsidRPr="00E336D4" w14:paraId="50473E1D"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346204BE" w14:textId="77777777" w:rsidR="006E40AB" w:rsidRPr="00E336D4" w:rsidRDefault="006E40AB" w:rsidP="006E40AB">
            <w:pPr>
              <w:pStyle w:val="ListParagraph"/>
              <w:ind w:left="0"/>
              <w:jc w:val="right"/>
              <w:rPr>
                <w:sz w:val="20"/>
                <w:szCs w:val="20"/>
              </w:rPr>
            </w:pPr>
            <w:r w:rsidRPr="00E336D4">
              <w:rPr>
                <w:sz w:val="20"/>
                <w:szCs w:val="20"/>
              </w:rPr>
              <w:t>College or More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2F5CC417" w14:textId="046D0F5D" w:rsidR="006E40AB" w:rsidRPr="00E336D4" w:rsidRDefault="002E58CF" w:rsidP="006E40AB">
            <w:pPr>
              <w:pStyle w:val="ListParagraph"/>
              <w:ind w:left="0"/>
              <w:jc w:val="center"/>
              <w:rPr>
                <w:sz w:val="20"/>
                <w:szCs w:val="20"/>
              </w:rPr>
            </w:pPr>
            <w:r>
              <w:rPr>
                <w:sz w:val="20"/>
                <w:szCs w:val="20"/>
              </w:rPr>
              <w:t>739</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4DB82BF" w14:textId="1A375CF3" w:rsidR="006E40AB" w:rsidRPr="00E336D4" w:rsidRDefault="0022028C" w:rsidP="006E40AB">
            <w:pPr>
              <w:pStyle w:val="ListParagraph"/>
              <w:ind w:left="0"/>
              <w:jc w:val="center"/>
              <w:rPr>
                <w:sz w:val="20"/>
                <w:szCs w:val="20"/>
              </w:rPr>
            </w:pPr>
            <w:r>
              <w:rPr>
                <w:sz w:val="20"/>
                <w:szCs w:val="20"/>
              </w:rPr>
              <w:t>15.2</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44338B70" w14:textId="1EC81EB6" w:rsidR="006E40AB" w:rsidRPr="00E336D4" w:rsidRDefault="00B039BC" w:rsidP="006E40AB">
            <w:pPr>
              <w:pStyle w:val="ListParagraph"/>
              <w:ind w:left="0"/>
              <w:jc w:val="center"/>
              <w:rPr>
                <w:sz w:val="20"/>
                <w:szCs w:val="20"/>
              </w:rPr>
            </w:pPr>
            <w:r>
              <w:rPr>
                <w:sz w:val="20"/>
                <w:szCs w:val="20"/>
              </w:rPr>
              <w:t>624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08792E6B" w14:textId="28EDEB37" w:rsidR="006E40AB" w:rsidRPr="00E336D4" w:rsidRDefault="004B4DC3" w:rsidP="006E40AB">
            <w:pPr>
              <w:pStyle w:val="ListParagraph"/>
              <w:ind w:left="0"/>
              <w:jc w:val="center"/>
              <w:rPr>
                <w:sz w:val="20"/>
                <w:szCs w:val="20"/>
              </w:rPr>
            </w:pPr>
            <w:r>
              <w:rPr>
                <w:sz w:val="20"/>
                <w:szCs w:val="20"/>
              </w:rPr>
              <w:t>18.4</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2BF67379" w14:textId="2889A647" w:rsidR="006E40AB" w:rsidRPr="00E336D4" w:rsidRDefault="00CE3CDD" w:rsidP="006E40AB">
            <w:pPr>
              <w:pStyle w:val="ListParagraph"/>
              <w:ind w:left="0"/>
              <w:jc w:val="center"/>
              <w:rPr>
                <w:b/>
                <w:sz w:val="20"/>
                <w:szCs w:val="20"/>
              </w:rPr>
            </w:pPr>
            <w:r>
              <w:rPr>
                <w:b/>
                <w:sz w:val="20"/>
                <w:szCs w:val="20"/>
              </w:rPr>
              <w:t>-3.3</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28B8B011" w14:textId="03366D0D" w:rsidR="006E40AB" w:rsidRPr="00E336D4" w:rsidRDefault="00E82272" w:rsidP="006E40AB">
            <w:pPr>
              <w:pStyle w:val="ListParagraph"/>
              <w:ind w:left="0"/>
              <w:jc w:val="center"/>
              <w:rPr>
                <w:b/>
                <w:sz w:val="20"/>
                <w:szCs w:val="20"/>
              </w:rPr>
            </w:pPr>
            <w:r>
              <w:rPr>
                <w:b/>
                <w:sz w:val="20"/>
                <w:szCs w:val="20"/>
              </w:rPr>
              <w:t>3.2</w:t>
            </w:r>
          </w:p>
        </w:tc>
      </w:tr>
      <w:tr w:rsidR="006E40AB" w:rsidRPr="00E336D4" w14:paraId="231CE382"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5826B261" w14:textId="77777777" w:rsidR="006E40AB" w:rsidRPr="00E336D4" w:rsidRDefault="006E40AB" w:rsidP="006E40AB">
            <w:pPr>
              <w:pStyle w:val="ListParagraph"/>
              <w:ind w:left="0"/>
              <w:rPr>
                <w:b/>
                <w:color w:val="FFFFFF" w:themeColor="background1"/>
                <w:sz w:val="20"/>
                <w:szCs w:val="20"/>
              </w:rPr>
            </w:pPr>
            <w:r w:rsidRPr="00E336D4">
              <w:rPr>
                <w:b/>
                <w:color w:val="FFFFFF" w:themeColor="background1"/>
                <w:sz w:val="20"/>
                <w:szCs w:val="20"/>
              </w:rPr>
              <w:t>Most Recent Work Experience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5F9616E4" w14:textId="77777777" w:rsidR="006E40AB" w:rsidRPr="00E336D4" w:rsidRDefault="006E40AB" w:rsidP="006E40AB">
            <w:pPr>
              <w:pStyle w:val="ListParagraph"/>
              <w:ind w:left="0"/>
              <w:jc w:val="center"/>
              <w:rPr>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1BF91900"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E40C541"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55DC278D"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79E63D5C"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tcBorders>
            <w:shd w:val="clear" w:color="auto" w:fill="838995" w:themeFill="accent5"/>
            <w:vAlign w:val="center"/>
          </w:tcPr>
          <w:p w14:paraId="10CCFD44" w14:textId="77777777" w:rsidR="006E40AB" w:rsidRPr="00E336D4" w:rsidRDefault="006E40AB" w:rsidP="006E40AB">
            <w:pPr>
              <w:pStyle w:val="ListParagraph"/>
              <w:ind w:left="0"/>
              <w:jc w:val="center"/>
              <w:rPr>
                <w:b/>
                <w:color w:val="FFFFFF" w:themeColor="background1"/>
                <w:sz w:val="20"/>
                <w:szCs w:val="20"/>
              </w:rPr>
            </w:pPr>
          </w:p>
        </w:tc>
      </w:tr>
      <w:tr w:rsidR="006E40AB" w:rsidRPr="00E336D4" w14:paraId="136AFDFB"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2650C8D8" w14:textId="77777777" w:rsidR="006E40AB" w:rsidRPr="00E336D4" w:rsidRDefault="006E40AB" w:rsidP="006E40AB">
            <w:pPr>
              <w:pStyle w:val="ListParagraph"/>
              <w:ind w:left="0"/>
              <w:jc w:val="right"/>
              <w:rPr>
                <w:sz w:val="20"/>
                <w:szCs w:val="20"/>
              </w:rPr>
            </w:pPr>
            <w:r w:rsidRPr="00E336D4">
              <w:rPr>
                <w:sz w:val="20"/>
                <w:szCs w:val="20"/>
              </w:rPr>
              <w:t>Working at time of application</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0435DF6A" w14:textId="29C1DC3D" w:rsidR="006E40AB" w:rsidRPr="00E336D4" w:rsidRDefault="00971DE8" w:rsidP="006E40AB">
            <w:pPr>
              <w:pStyle w:val="ListParagraph"/>
              <w:ind w:left="0"/>
              <w:jc w:val="center"/>
              <w:rPr>
                <w:sz w:val="20"/>
                <w:szCs w:val="20"/>
              </w:rPr>
            </w:pPr>
            <w:r>
              <w:rPr>
                <w:sz w:val="20"/>
                <w:szCs w:val="20"/>
              </w:rPr>
              <w:t>978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1C889ED" w14:textId="47457938" w:rsidR="006E40AB" w:rsidRPr="00E336D4" w:rsidRDefault="0022028C" w:rsidP="006E40AB">
            <w:pPr>
              <w:pStyle w:val="ListParagraph"/>
              <w:ind w:left="0"/>
              <w:jc w:val="center"/>
              <w:rPr>
                <w:sz w:val="20"/>
                <w:szCs w:val="20"/>
              </w:rPr>
            </w:pPr>
            <w:r>
              <w:rPr>
                <w:sz w:val="20"/>
                <w:szCs w:val="20"/>
              </w:rPr>
              <w:t>20.2</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25600737" w14:textId="0340C103" w:rsidR="006E40AB" w:rsidRPr="00E336D4" w:rsidRDefault="004B4DC3" w:rsidP="006E40AB">
            <w:pPr>
              <w:pStyle w:val="ListParagraph"/>
              <w:ind w:left="0"/>
              <w:jc w:val="center"/>
              <w:rPr>
                <w:sz w:val="20"/>
                <w:szCs w:val="20"/>
              </w:rPr>
            </w:pPr>
            <w:r>
              <w:rPr>
                <w:sz w:val="20"/>
                <w:szCs w:val="20"/>
              </w:rPr>
              <w:t>588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00192B5" w14:textId="69361B7A" w:rsidR="006E40AB" w:rsidRPr="00E336D4" w:rsidRDefault="004B4DC3" w:rsidP="006E40AB">
            <w:pPr>
              <w:pStyle w:val="ListParagraph"/>
              <w:ind w:left="0"/>
              <w:jc w:val="center"/>
              <w:rPr>
                <w:sz w:val="20"/>
                <w:szCs w:val="20"/>
              </w:rPr>
            </w:pPr>
            <w:r>
              <w:rPr>
                <w:sz w:val="20"/>
                <w:szCs w:val="20"/>
              </w:rPr>
              <w:t>17.3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07661FC5" w14:textId="0489D027" w:rsidR="006E40AB" w:rsidRPr="00E336D4" w:rsidRDefault="00CE3CDD" w:rsidP="006E40AB">
            <w:pPr>
              <w:pStyle w:val="ListParagraph"/>
              <w:ind w:left="0"/>
              <w:jc w:val="center"/>
              <w:rPr>
                <w:b/>
                <w:sz w:val="20"/>
                <w:szCs w:val="20"/>
              </w:rPr>
            </w:pPr>
            <w:r>
              <w:rPr>
                <w:b/>
                <w:sz w:val="20"/>
                <w:szCs w:val="20"/>
              </w:rPr>
              <w:t>-66.3</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73DD7F56" w14:textId="3743DE88" w:rsidR="006E40AB" w:rsidRPr="00E336D4" w:rsidRDefault="00E82272" w:rsidP="006E40AB">
            <w:pPr>
              <w:pStyle w:val="ListParagraph"/>
              <w:ind w:left="0"/>
              <w:jc w:val="center"/>
              <w:rPr>
                <w:b/>
                <w:sz w:val="20"/>
                <w:szCs w:val="20"/>
              </w:rPr>
            </w:pPr>
            <w:r>
              <w:rPr>
                <w:b/>
                <w:sz w:val="20"/>
                <w:szCs w:val="20"/>
              </w:rPr>
              <w:t>-2.9</w:t>
            </w:r>
          </w:p>
        </w:tc>
      </w:tr>
      <w:tr w:rsidR="006E40AB" w:rsidRPr="00E336D4" w14:paraId="592AC42E"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0A9E43DA" w14:textId="77777777" w:rsidR="006E40AB" w:rsidRPr="00E336D4" w:rsidRDefault="006E40AB" w:rsidP="006E40AB">
            <w:pPr>
              <w:pStyle w:val="ListParagraph"/>
              <w:ind w:left="0"/>
              <w:jc w:val="right"/>
              <w:rPr>
                <w:sz w:val="20"/>
                <w:szCs w:val="20"/>
              </w:rPr>
            </w:pPr>
            <w:r w:rsidRPr="00E336D4">
              <w:rPr>
                <w:sz w:val="20"/>
                <w:szCs w:val="20"/>
              </w:rPr>
              <w:t>Not working at application</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49DC87A" w14:textId="62A5A4A2" w:rsidR="006E40AB" w:rsidRPr="00E336D4" w:rsidRDefault="00971DE8" w:rsidP="006E40AB">
            <w:pPr>
              <w:pStyle w:val="ListParagraph"/>
              <w:ind w:left="0"/>
              <w:jc w:val="center"/>
              <w:rPr>
                <w:sz w:val="20"/>
                <w:szCs w:val="20"/>
              </w:rPr>
            </w:pPr>
            <w:r>
              <w:rPr>
                <w:sz w:val="20"/>
                <w:szCs w:val="20"/>
              </w:rPr>
              <w:t>3,874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6420D8B2" w14:textId="14B8E278" w:rsidR="006E40AB" w:rsidRPr="00E336D4" w:rsidRDefault="0022028C" w:rsidP="006E40AB">
            <w:pPr>
              <w:pStyle w:val="ListParagraph"/>
              <w:ind w:left="0"/>
              <w:jc w:val="center"/>
              <w:rPr>
                <w:sz w:val="20"/>
                <w:szCs w:val="20"/>
              </w:rPr>
            </w:pPr>
            <w:r>
              <w:rPr>
                <w:sz w:val="20"/>
                <w:szCs w:val="20"/>
              </w:rPr>
              <w:t>79.8</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5B25FF8D" w14:textId="591BE87F" w:rsidR="006E40AB" w:rsidRPr="00E336D4" w:rsidRDefault="004B4DC3" w:rsidP="006E40AB">
            <w:pPr>
              <w:pStyle w:val="ListParagraph"/>
              <w:ind w:left="0"/>
              <w:jc w:val="center"/>
              <w:rPr>
                <w:sz w:val="20"/>
                <w:szCs w:val="20"/>
              </w:rPr>
            </w:pPr>
            <w:r>
              <w:rPr>
                <w:sz w:val="20"/>
                <w:szCs w:val="20"/>
              </w:rPr>
              <w:t>2,808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5BC9AAB9" w14:textId="4B806623" w:rsidR="006E40AB" w:rsidRPr="00E336D4" w:rsidRDefault="004B4DC3" w:rsidP="006E40AB">
            <w:pPr>
              <w:pStyle w:val="ListParagraph"/>
              <w:ind w:left="0"/>
              <w:jc w:val="center"/>
              <w:rPr>
                <w:sz w:val="20"/>
                <w:szCs w:val="20"/>
              </w:rPr>
            </w:pPr>
            <w:r>
              <w:rPr>
                <w:sz w:val="20"/>
                <w:szCs w:val="20"/>
              </w:rPr>
              <w:t>82.6</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62A767A0" w14:textId="6A326390" w:rsidR="006E40AB" w:rsidRPr="00E336D4" w:rsidRDefault="00CE3CDD" w:rsidP="006E40AB">
            <w:pPr>
              <w:pStyle w:val="ListParagraph"/>
              <w:ind w:left="0"/>
              <w:jc w:val="center"/>
              <w:rPr>
                <w:b/>
                <w:sz w:val="20"/>
                <w:szCs w:val="20"/>
              </w:rPr>
            </w:pPr>
            <w:r>
              <w:rPr>
                <w:b/>
                <w:sz w:val="20"/>
                <w:szCs w:val="20"/>
              </w:rPr>
              <w:t>-37.9</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4B3F5EF5" w14:textId="0F8334E4" w:rsidR="006E40AB" w:rsidRPr="00E336D4" w:rsidRDefault="00E82272" w:rsidP="006E40AB">
            <w:pPr>
              <w:pStyle w:val="ListParagraph"/>
              <w:ind w:left="0"/>
              <w:jc w:val="center"/>
              <w:rPr>
                <w:b/>
                <w:sz w:val="20"/>
                <w:szCs w:val="20"/>
              </w:rPr>
            </w:pPr>
            <w:r>
              <w:rPr>
                <w:b/>
                <w:sz w:val="20"/>
                <w:szCs w:val="20"/>
              </w:rPr>
              <w:t>2.8</w:t>
            </w:r>
          </w:p>
        </w:tc>
      </w:tr>
      <w:tr w:rsidR="006E40AB" w:rsidRPr="00E336D4" w14:paraId="35DDCA48"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58B4F71F" w14:textId="77777777" w:rsidR="006E40AB" w:rsidRPr="00E336D4" w:rsidRDefault="006E40AB" w:rsidP="006E40AB">
            <w:pPr>
              <w:pStyle w:val="ListParagraph"/>
              <w:ind w:left="0"/>
              <w:rPr>
                <w:b/>
                <w:color w:val="FFFFFF" w:themeColor="background1"/>
                <w:sz w:val="20"/>
                <w:szCs w:val="20"/>
              </w:rPr>
            </w:pPr>
            <w:r w:rsidRPr="00E336D4">
              <w:rPr>
                <w:b/>
                <w:color w:val="FFFFFF" w:themeColor="background1"/>
                <w:sz w:val="20"/>
                <w:szCs w:val="20"/>
              </w:rPr>
              <w:t>Gender</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1793502" w14:textId="77777777" w:rsidR="006E40AB" w:rsidRPr="00E336D4" w:rsidRDefault="006E40AB" w:rsidP="006E40AB">
            <w:pPr>
              <w:pStyle w:val="ListParagraph"/>
              <w:ind w:left="0"/>
              <w:jc w:val="center"/>
              <w:rPr>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11F351EA"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E9A3CB9"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3E186052"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4833FED5"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tcBorders>
            <w:shd w:val="clear" w:color="auto" w:fill="838995" w:themeFill="accent5"/>
            <w:vAlign w:val="center"/>
          </w:tcPr>
          <w:p w14:paraId="0DC41171" w14:textId="77777777" w:rsidR="006E40AB" w:rsidRPr="00E336D4" w:rsidRDefault="006E40AB" w:rsidP="006E40AB">
            <w:pPr>
              <w:pStyle w:val="ListParagraph"/>
              <w:ind w:left="0"/>
              <w:jc w:val="center"/>
              <w:rPr>
                <w:b/>
                <w:color w:val="FFFFFF" w:themeColor="background1"/>
                <w:sz w:val="20"/>
                <w:szCs w:val="20"/>
              </w:rPr>
            </w:pPr>
          </w:p>
        </w:tc>
      </w:tr>
      <w:tr w:rsidR="006E40AB" w:rsidRPr="00E336D4" w14:paraId="4B2C5A7A"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18A608C5" w14:textId="77777777" w:rsidR="006E40AB" w:rsidRPr="00E336D4" w:rsidRDefault="006E40AB" w:rsidP="006E40AB">
            <w:pPr>
              <w:pStyle w:val="ListParagraph"/>
              <w:ind w:left="0"/>
              <w:jc w:val="right"/>
              <w:rPr>
                <w:sz w:val="20"/>
                <w:szCs w:val="20"/>
              </w:rPr>
            </w:pPr>
            <w:r w:rsidRPr="00E336D4">
              <w:rPr>
                <w:sz w:val="20"/>
                <w:szCs w:val="20"/>
              </w:rPr>
              <w:t>Male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34AB3486" w14:textId="143427FE" w:rsidR="006E40AB" w:rsidRPr="00E336D4" w:rsidRDefault="00971DE8" w:rsidP="006E40AB">
            <w:pPr>
              <w:pStyle w:val="ListParagraph"/>
              <w:ind w:left="0"/>
              <w:jc w:val="center"/>
              <w:rPr>
                <w:sz w:val="20"/>
                <w:szCs w:val="20"/>
              </w:rPr>
            </w:pPr>
            <w:r>
              <w:rPr>
                <w:sz w:val="20"/>
                <w:szCs w:val="20"/>
              </w:rPr>
              <w:t>2,696</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70AD30C" w14:textId="762CC6CB" w:rsidR="006E40AB" w:rsidRPr="00E336D4" w:rsidRDefault="0022028C" w:rsidP="006E40AB">
            <w:pPr>
              <w:pStyle w:val="ListParagraph"/>
              <w:ind w:left="0"/>
              <w:jc w:val="center"/>
              <w:rPr>
                <w:sz w:val="20"/>
                <w:szCs w:val="20"/>
              </w:rPr>
            </w:pPr>
            <w:r>
              <w:rPr>
                <w:sz w:val="20"/>
                <w:szCs w:val="20"/>
              </w:rPr>
              <w:t>55.6</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654F2915" w14:textId="4BDF60D9" w:rsidR="006E40AB" w:rsidRPr="00E336D4" w:rsidRDefault="00A07821" w:rsidP="006E40AB">
            <w:pPr>
              <w:pStyle w:val="ListParagraph"/>
              <w:ind w:left="0"/>
              <w:jc w:val="center"/>
              <w:rPr>
                <w:sz w:val="20"/>
                <w:szCs w:val="20"/>
              </w:rPr>
            </w:pPr>
            <w:r>
              <w:rPr>
                <w:sz w:val="20"/>
                <w:szCs w:val="20"/>
              </w:rPr>
              <w:t>1,910</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8E7ED89" w14:textId="439032C1" w:rsidR="006E40AB" w:rsidRPr="00E336D4" w:rsidRDefault="00A07821" w:rsidP="006E40AB">
            <w:pPr>
              <w:pStyle w:val="ListParagraph"/>
              <w:ind w:left="0"/>
              <w:jc w:val="center"/>
              <w:rPr>
                <w:sz w:val="20"/>
                <w:szCs w:val="20"/>
              </w:rPr>
            </w:pPr>
            <w:r>
              <w:rPr>
                <w:sz w:val="20"/>
                <w:szCs w:val="20"/>
              </w:rPr>
              <w:t>56.2</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6490719E" w14:textId="04F33BF7" w:rsidR="006E40AB" w:rsidRPr="00E336D4" w:rsidRDefault="00CE3CDD" w:rsidP="006E40AB">
            <w:pPr>
              <w:pStyle w:val="ListParagraph"/>
              <w:ind w:left="0"/>
              <w:jc w:val="center"/>
              <w:rPr>
                <w:b/>
                <w:sz w:val="20"/>
                <w:szCs w:val="20"/>
              </w:rPr>
            </w:pPr>
            <w:r>
              <w:rPr>
                <w:b/>
                <w:sz w:val="20"/>
                <w:szCs w:val="20"/>
              </w:rPr>
              <w:t>-41.1</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146393DE" w14:textId="2BACA231" w:rsidR="006E40AB" w:rsidRPr="00E336D4" w:rsidRDefault="00E82272" w:rsidP="006E40AB">
            <w:pPr>
              <w:pStyle w:val="ListParagraph"/>
              <w:ind w:left="0"/>
              <w:jc w:val="center"/>
              <w:rPr>
                <w:b/>
                <w:sz w:val="20"/>
                <w:szCs w:val="20"/>
              </w:rPr>
            </w:pPr>
            <w:r>
              <w:rPr>
                <w:b/>
                <w:sz w:val="20"/>
                <w:szCs w:val="20"/>
              </w:rPr>
              <w:t>0.6</w:t>
            </w:r>
          </w:p>
        </w:tc>
      </w:tr>
      <w:tr w:rsidR="006E40AB" w:rsidRPr="00E336D4" w14:paraId="6DC0613D"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7F97E850" w14:textId="77777777" w:rsidR="006E40AB" w:rsidRPr="00E336D4" w:rsidRDefault="006E40AB" w:rsidP="006E40AB">
            <w:pPr>
              <w:pStyle w:val="ListParagraph"/>
              <w:ind w:left="0"/>
              <w:jc w:val="right"/>
              <w:rPr>
                <w:sz w:val="20"/>
                <w:szCs w:val="20"/>
              </w:rPr>
            </w:pPr>
            <w:r w:rsidRPr="00E336D4">
              <w:rPr>
                <w:sz w:val="20"/>
                <w:szCs w:val="20"/>
              </w:rPr>
              <w:t>Female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01B837C8" w14:textId="2FEF0A53" w:rsidR="006E40AB" w:rsidRPr="00E336D4" w:rsidRDefault="00971DE8" w:rsidP="006E40AB">
            <w:pPr>
              <w:pStyle w:val="ListParagraph"/>
              <w:ind w:left="0"/>
              <w:jc w:val="center"/>
              <w:rPr>
                <w:sz w:val="20"/>
                <w:szCs w:val="20"/>
              </w:rPr>
            </w:pPr>
            <w:r>
              <w:rPr>
                <w:sz w:val="20"/>
                <w:szCs w:val="20"/>
              </w:rPr>
              <w:t>2,156</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340AABB" w14:textId="7D1E3F93" w:rsidR="006E40AB" w:rsidRPr="00E336D4" w:rsidRDefault="0022028C" w:rsidP="006E40AB">
            <w:pPr>
              <w:pStyle w:val="ListParagraph"/>
              <w:ind w:left="0"/>
              <w:jc w:val="center"/>
              <w:rPr>
                <w:sz w:val="20"/>
                <w:szCs w:val="20"/>
              </w:rPr>
            </w:pPr>
            <w:r>
              <w:rPr>
                <w:sz w:val="20"/>
                <w:szCs w:val="20"/>
              </w:rPr>
              <w:t>44.4</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32E28ED2" w14:textId="6D673F4B" w:rsidR="006E40AB" w:rsidRPr="00E336D4" w:rsidRDefault="00A07821" w:rsidP="006E40AB">
            <w:pPr>
              <w:pStyle w:val="ListParagraph"/>
              <w:ind w:left="0"/>
              <w:jc w:val="center"/>
              <w:rPr>
                <w:sz w:val="20"/>
                <w:szCs w:val="20"/>
              </w:rPr>
            </w:pPr>
            <w:r>
              <w:rPr>
                <w:sz w:val="20"/>
                <w:szCs w:val="20"/>
              </w:rPr>
              <w:t>1,486</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88DD253" w14:textId="61FB4992" w:rsidR="006E40AB" w:rsidRPr="00E336D4" w:rsidRDefault="00A07821" w:rsidP="006E40AB">
            <w:pPr>
              <w:pStyle w:val="ListParagraph"/>
              <w:ind w:left="0"/>
              <w:jc w:val="center"/>
              <w:rPr>
                <w:sz w:val="20"/>
                <w:szCs w:val="20"/>
              </w:rPr>
            </w:pPr>
            <w:r>
              <w:rPr>
                <w:sz w:val="20"/>
                <w:szCs w:val="20"/>
              </w:rPr>
              <w:t>43.8</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33CA914C" w14:textId="3FCE0053" w:rsidR="006E40AB" w:rsidRPr="00E336D4" w:rsidRDefault="00CE3CDD" w:rsidP="006E40AB">
            <w:pPr>
              <w:pStyle w:val="ListParagraph"/>
              <w:ind w:left="0"/>
              <w:jc w:val="center"/>
              <w:rPr>
                <w:b/>
                <w:sz w:val="20"/>
                <w:szCs w:val="20"/>
              </w:rPr>
            </w:pPr>
            <w:r>
              <w:rPr>
                <w:b/>
                <w:sz w:val="20"/>
                <w:szCs w:val="20"/>
              </w:rPr>
              <w:t>-45.0</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7D34CD99" w14:textId="205C8E7D" w:rsidR="006E40AB" w:rsidRPr="00E336D4" w:rsidRDefault="00E82272" w:rsidP="006E40AB">
            <w:pPr>
              <w:pStyle w:val="ListParagraph"/>
              <w:ind w:left="0"/>
              <w:jc w:val="center"/>
              <w:rPr>
                <w:b/>
                <w:sz w:val="20"/>
                <w:szCs w:val="20"/>
              </w:rPr>
            </w:pPr>
            <w:r>
              <w:rPr>
                <w:b/>
                <w:sz w:val="20"/>
                <w:szCs w:val="20"/>
              </w:rPr>
              <w:t>-0.6</w:t>
            </w:r>
          </w:p>
        </w:tc>
      </w:tr>
      <w:tr w:rsidR="006E40AB" w:rsidRPr="00E336D4" w14:paraId="18F000E0"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085F4857" w14:textId="77777777" w:rsidR="006E40AB" w:rsidRPr="00E336D4" w:rsidRDefault="006E40AB" w:rsidP="006E40AB">
            <w:pPr>
              <w:pStyle w:val="ListParagraph"/>
              <w:ind w:left="0"/>
              <w:rPr>
                <w:b/>
                <w:color w:val="FFFFFF" w:themeColor="background1"/>
                <w:sz w:val="20"/>
                <w:szCs w:val="20"/>
              </w:rPr>
            </w:pPr>
            <w:r w:rsidRPr="00E336D4">
              <w:rPr>
                <w:b/>
                <w:color w:val="FFFFFF" w:themeColor="background1"/>
                <w:sz w:val="20"/>
                <w:szCs w:val="20"/>
              </w:rPr>
              <w:t>Race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4A66E9BA"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69216048"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40779095"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45F28995"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0494F0B9"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tcBorders>
            <w:shd w:val="clear" w:color="auto" w:fill="838995" w:themeFill="accent5"/>
            <w:vAlign w:val="center"/>
          </w:tcPr>
          <w:p w14:paraId="60E3A9A5" w14:textId="77777777" w:rsidR="006E40AB" w:rsidRPr="00E336D4" w:rsidRDefault="006E40AB" w:rsidP="006E40AB">
            <w:pPr>
              <w:pStyle w:val="ListParagraph"/>
              <w:ind w:left="0"/>
              <w:jc w:val="center"/>
              <w:rPr>
                <w:b/>
                <w:color w:val="FFFFFF" w:themeColor="background1"/>
                <w:sz w:val="20"/>
                <w:szCs w:val="20"/>
              </w:rPr>
            </w:pPr>
          </w:p>
        </w:tc>
      </w:tr>
      <w:tr w:rsidR="006E40AB" w:rsidRPr="00E336D4" w14:paraId="1397EC60"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4A5E545C" w14:textId="77777777" w:rsidR="006E40AB" w:rsidRPr="00E336D4" w:rsidRDefault="006E40AB" w:rsidP="006E40AB">
            <w:pPr>
              <w:pStyle w:val="ListParagraph"/>
              <w:ind w:left="0"/>
              <w:jc w:val="right"/>
              <w:rPr>
                <w:sz w:val="20"/>
                <w:szCs w:val="20"/>
              </w:rPr>
            </w:pPr>
            <w:r w:rsidRPr="00E336D4">
              <w:rPr>
                <w:sz w:val="20"/>
                <w:szCs w:val="20"/>
              </w:rPr>
              <w:t>White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FD73619" w14:textId="4923A770" w:rsidR="006E40AB" w:rsidRPr="00E336D4" w:rsidRDefault="0022028C" w:rsidP="006E40AB">
            <w:pPr>
              <w:pStyle w:val="ListParagraph"/>
              <w:ind w:left="0"/>
              <w:jc w:val="center"/>
              <w:rPr>
                <w:sz w:val="20"/>
                <w:szCs w:val="20"/>
              </w:rPr>
            </w:pPr>
            <w:r>
              <w:rPr>
                <w:sz w:val="20"/>
                <w:szCs w:val="20"/>
              </w:rPr>
              <w:t>4,464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E432D68" w14:textId="34BE1442" w:rsidR="006E40AB" w:rsidRPr="00E336D4" w:rsidRDefault="0022028C" w:rsidP="006E40AB">
            <w:pPr>
              <w:pStyle w:val="ListParagraph"/>
              <w:ind w:left="0"/>
              <w:jc w:val="center"/>
              <w:rPr>
                <w:sz w:val="20"/>
                <w:szCs w:val="20"/>
              </w:rPr>
            </w:pPr>
            <w:r>
              <w:rPr>
                <w:sz w:val="20"/>
                <w:szCs w:val="20"/>
              </w:rPr>
              <w:t>92.0</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231BDD5" w14:textId="0EE6DA74" w:rsidR="006E40AB" w:rsidRPr="00E336D4" w:rsidRDefault="0024241D" w:rsidP="006E40AB">
            <w:pPr>
              <w:pStyle w:val="ListParagraph"/>
              <w:ind w:left="0"/>
              <w:jc w:val="center"/>
              <w:rPr>
                <w:sz w:val="20"/>
                <w:szCs w:val="20"/>
              </w:rPr>
            </w:pPr>
            <w:r>
              <w:rPr>
                <w:sz w:val="20"/>
                <w:szCs w:val="20"/>
              </w:rPr>
              <w:t>3,121</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94C600F" w14:textId="09DC496F" w:rsidR="006E40AB" w:rsidRPr="00E336D4" w:rsidRDefault="0024241D" w:rsidP="006E40AB">
            <w:pPr>
              <w:pStyle w:val="ListParagraph"/>
              <w:ind w:left="0"/>
              <w:jc w:val="center"/>
              <w:rPr>
                <w:sz w:val="20"/>
                <w:szCs w:val="20"/>
              </w:rPr>
            </w:pPr>
            <w:r>
              <w:rPr>
                <w:sz w:val="20"/>
                <w:szCs w:val="20"/>
              </w:rPr>
              <w:t>91.9</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220DE476" w14:textId="27FD72D2" w:rsidR="006E40AB" w:rsidRPr="00E336D4" w:rsidRDefault="00CE3CDD" w:rsidP="006E40AB">
            <w:pPr>
              <w:pStyle w:val="ListParagraph"/>
              <w:ind w:left="0"/>
              <w:jc w:val="center"/>
              <w:rPr>
                <w:b/>
                <w:sz w:val="20"/>
                <w:szCs w:val="20"/>
              </w:rPr>
            </w:pPr>
            <w:r>
              <w:rPr>
                <w:b/>
                <w:sz w:val="20"/>
                <w:szCs w:val="20"/>
              </w:rPr>
              <w:t>-43.0</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0A024183" w14:textId="32708364" w:rsidR="006E40AB" w:rsidRPr="00E336D4" w:rsidRDefault="00E82272" w:rsidP="006E40AB">
            <w:pPr>
              <w:pStyle w:val="ListParagraph"/>
              <w:ind w:left="0"/>
              <w:jc w:val="center"/>
              <w:rPr>
                <w:b/>
                <w:sz w:val="20"/>
                <w:szCs w:val="20"/>
              </w:rPr>
            </w:pPr>
            <w:r>
              <w:rPr>
                <w:b/>
                <w:sz w:val="20"/>
                <w:szCs w:val="20"/>
              </w:rPr>
              <w:t>0.3</w:t>
            </w:r>
          </w:p>
        </w:tc>
      </w:tr>
      <w:tr w:rsidR="006E40AB" w:rsidRPr="00E336D4" w14:paraId="70300059"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4653D1AD" w14:textId="77777777" w:rsidR="006E40AB" w:rsidRPr="00E336D4" w:rsidRDefault="006E40AB" w:rsidP="006E40AB">
            <w:pPr>
              <w:pStyle w:val="ListParagraph"/>
              <w:ind w:left="0"/>
              <w:jc w:val="right"/>
              <w:rPr>
                <w:sz w:val="20"/>
                <w:szCs w:val="20"/>
              </w:rPr>
            </w:pPr>
            <w:r w:rsidRPr="00E336D4">
              <w:rPr>
                <w:sz w:val="20"/>
                <w:szCs w:val="20"/>
              </w:rPr>
              <w:t>Racial/Ethnic Minority</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89FB989" w14:textId="1DC27C34" w:rsidR="006E40AB" w:rsidRPr="00E336D4" w:rsidRDefault="0022028C" w:rsidP="006E40AB">
            <w:pPr>
              <w:pStyle w:val="ListParagraph"/>
              <w:ind w:left="0"/>
              <w:jc w:val="center"/>
              <w:rPr>
                <w:sz w:val="20"/>
                <w:szCs w:val="20"/>
              </w:rPr>
            </w:pPr>
            <w:r>
              <w:rPr>
                <w:sz w:val="20"/>
                <w:szCs w:val="20"/>
              </w:rPr>
              <w:t>387</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429D6E86" w14:textId="04153144" w:rsidR="006E40AB" w:rsidRPr="00E336D4" w:rsidRDefault="0022028C" w:rsidP="006E40AB">
            <w:pPr>
              <w:pStyle w:val="ListParagraph"/>
              <w:ind w:left="0"/>
              <w:jc w:val="center"/>
              <w:rPr>
                <w:sz w:val="20"/>
                <w:szCs w:val="20"/>
              </w:rPr>
            </w:pPr>
            <w:r>
              <w:rPr>
                <w:sz w:val="20"/>
                <w:szCs w:val="20"/>
              </w:rPr>
              <w:t>7.8</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2CA5D589" w14:textId="4C007F54" w:rsidR="006E40AB" w:rsidRPr="00E336D4" w:rsidRDefault="0024241D" w:rsidP="006E40AB">
            <w:pPr>
              <w:pStyle w:val="ListParagraph"/>
              <w:ind w:left="0"/>
              <w:jc w:val="center"/>
              <w:rPr>
                <w:sz w:val="20"/>
                <w:szCs w:val="20"/>
              </w:rPr>
            </w:pPr>
            <w:r>
              <w:rPr>
                <w:sz w:val="20"/>
                <w:szCs w:val="20"/>
              </w:rPr>
              <w:t>275</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0FDADDA" w14:textId="4CBAD3CB" w:rsidR="006E40AB" w:rsidRPr="00E336D4" w:rsidRDefault="0024241D" w:rsidP="006E40AB">
            <w:pPr>
              <w:pStyle w:val="ListParagraph"/>
              <w:ind w:left="0"/>
              <w:jc w:val="center"/>
              <w:rPr>
                <w:sz w:val="20"/>
                <w:szCs w:val="20"/>
              </w:rPr>
            </w:pPr>
            <w:r>
              <w:rPr>
                <w:sz w:val="20"/>
                <w:szCs w:val="20"/>
              </w:rPr>
              <w:t>8.1</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4F03702B" w14:textId="0A2F6002" w:rsidR="006E40AB" w:rsidRPr="00E336D4" w:rsidRDefault="00CE3CDD" w:rsidP="006E40AB">
            <w:pPr>
              <w:pStyle w:val="ListParagraph"/>
              <w:ind w:left="0"/>
              <w:jc w:val="center"/>
              <w:rPr>
                <w:b/>
                <w:sz w:val="20"/>
                <w:szCs w:val="20"/>
              </w:rPr>
            </w:pPr>
            <w:r>
              <w:rPr>
                <w:b/>
                <w:sz w:val="20"/>
                <w:szCs w:val="20"/>
              </w:rPr>
              <w:t>-40.7</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51F2F1B8" w14:textId="69BDCBFC" w:rsidR="006E40AB" w:rsidRPr="00E336D4" w:rsidRDefault="00E82272" w:rsidP="006E40AB">
            <w:pPr>
              <w:pStyle w:val="ListParagraph"/>
              <w:ind w:left="0"/>
              <w:jc w:val="center"/>
              <w:rPr>
                <w:b/>
                <w:sz w:val="20"/>
                <w:szCs w:val="20"/>
              </w:rPr>
            </w:pPr>
            <w:r>
              <w:rPr>
                <w:b/>
                <w:sz w:val="20"/>
                <w:szCs w:val="20"/>
              </w:rPr>
              <w:t>0.3</w:t>
            </w:r>
          </w:p>
        </w:tc>
      </w:tr>
      <w:tr w:rsidR="006E40AB" w:rsidRPr="00E336D4" w14:paraId="31805A8D"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C8A54BC" w14:textId="77777777" w:rsidR="006E40AB" w:rsidRPr="00E336D4" w:rsidRDefault="006E40AB" w:rsidP="006E40AB">
            <w:pPr>
              <w:pStyle w:val="ListParagraph"/>
              <w:ind w:left="0"/>
              <w:rPr>
                <w:b/>
                <w:color w:val="FFFFFF" w:themeColor="background1"/>
                <w:sz w:val="20"/>
                <w:szCs w:val="20"/>
              </w:rPr>
            </w:pPr>
            <w:r w:rsidRPr="00E336D4">
              <w:rPr>
                <w:b/>
                <w:color w:val="FFFFFF" w:themeColor="background1"/>
                <w:sz w:val="20"/>
                <w:szCs w:val="20"/>
              </w:rPr>
              <w:t>SSI Income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61E19A9E" w14:textId="77777777" w:rsidR="006E40AB" w:rsidRPr="00E336D4" w:rsidRDefault="006E40AB" w:rsidP="006E40AB">
            <w:pPr>
              <w:pStyle w:val="ListParagraph"/>
              <w:ind w:left="0"/>
              <w:jc w:val="center"/>
              <w:rPr>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26F59603"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688B92C"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36349CC9"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1B6F8FA8"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tcBorders>
            <w:shd w:val="clear" w:color="auto" w:fill="838995" w:themeFill="accent5"/>
            <w:vAlign w:val="center"/>
          </w:tcPr>
          <w:p w14:paraId="21E6E232" w14:textId="77777777" w:rsidR="006E40AB" w:rsidRPr="00E336D4" w:rsidRDefault="006E40AB" w:rsidP="006E40AB">
            <w:pPr>
              <w:pStyle w:val="ListParagraph"/>
              <w:ind w:left="0"/>
              <w:jc w:val="center"/>
              <w:rPr>
                <w:b/>
                <w:color w:val="FFFFFF" w:themeColor="background1"/>
                <w:sz w:val="20"/>
                <w:szCs w:val="20"/>
              </w:rPr>
            </w:pPr>
          </w:p>
        </w:tc>
      </w:tr>
      <w:tr w:rsidR="006E40AB" w:rsidRPr="00E336D4" w14:paraId="560DC239"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241EAA84" w14:textId="77777777" w:rsidR="006E40AB" w:rsidRPr="00E336D4" w:rsidRDefault="006E40AB" w:rsidP="006E40AB">
            <w:pPr>
              <w:pStyle w:val="ListParagraph"/>
              <w:ind w:left="0"/>
              <w:jc w:val="right"/>
              <w:rPr>
                <w:sz w:val="20"/>
                <w:szCs w:val="20"/>
              </w:rPr>
            </w:pPr>
            <w:r w:rsidRPr="00E336D4">
              <w:rPr>
                <w:sz w:val="20"/>
                <w:szCs w:val="20"/>
              </w:rPr>
              <w:t>Received SSI Income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478054E2" w14:textId="501BF68A" w:rsidR="006E40AB" w:rsidRPr="00E336D4" w:rsidRDefault="00971DE8" w:rsidP="006E40AB">
            <w:pPr>
              <w:pStyle w:val="ListParagraph"/>
              <w:ind w:left="0"/>
              <w:jc w:val="center"/>
              <w:rPr>
                <w:sz w:val="20"/>
                <w:szCs w:val="20"/>
              </w:rPr>
            </w:pPr>
            <w:r>
              <w:rPr>
                <w:sz w:val="20"/>
                <w:szCs w:val="20"/>
              </w:rPr>
              <w:t>1,062</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1452E28" w14:textId="4E12A667" w:rsidR="006E40AB" w:rsidRPr="00E336D4" w:rsidRDefault="0022028C" w:rsidP="006E40AB">
            <w:pPr>
              <w:pStyle w:val="ListParagraph"/>
              <w:ind w:left="0"/>
              <w:jc w:val="center"/>
              <w:rPr>
                <w:sz w:val="20"/>
                <w:szCs w:val="20"/>
              </w:rPr>
            </w:pPr>
            <w:r>
              <w:rPr>
                <w:sz w:val="20"/>
                <w:szCs w:val="20"/>
              </w:rPr>
              <w:t>21.9</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6087604" w14:textId="46B5E402" w:rsidR="006E40AB" w:rsidRPr="00E336D4" w:rsidRDefault="005D7D1F" w:rsidP="006E40AB">
            <w:pPr>
              <w:pStyle w:val="ListParagraph"/>
              <w:ind w:left="0"/>
              <w:jc w:val="center"/>
              <w:rPr>
                <w:sz w:val="20"/>
                <w:szCs w:val="20"/>
              </w:rPr>
            </w:pPr>
            <w:r>
              <w:rPr>
                <w:sz w:val="20"/>
                <w:szCs w:val="20"/>
              </w:rPr>
              <w:t>886</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DA46E37" w14:textId="33F62F4E" w:rsidR="006E40AB" w:rsidRPr="00E336D4" w:rsidRDefault="005D7D1F" w:rsidP="006E40AB">
            <w:pPr>
              <w:pStyle w:val="ListParagraph"/>
              <w:ind w:left="0"/>
              <w:jc w:val="center"/>
              <w:rPr>
                <w:sz w:val="20"/>
                <w:szCs w:val="20"/>
              </w:rPr>
            </w:pPr>
            <w:r>
              <w:rPr>
                <w:sz w:val="20"/>
                <w:szCs w:val="20"/>
              </w:rPr>
              <w:t>26.1</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68250A12" w14:textId="279CBB55" w:rsidR="006E40AB" w:rsidRPr="00E336D4" w:rsidRDefault="00CE3CDD" w:rsidP="006E40AB">
            <w:pPr>
              <w:pStyle w:val="ListParagraph"/>
              <w:ind w:left="0"/>
              <w:jc w:val="center"/>
              <w:rPr>
                <w:b/>
                <w:sz w:val="20"/>
                <w:szCs w:val="20"/>
              </w:rPr>
            </w:pPr>
            <w:r>
              <w:rPr>
                <w:b/>
                <w:sz w:val="20"/>
                <w:szCs w:val="20"/>
              </w:rPr>
              <w:t>-19.8</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7000496D" w14:textId="3B5B5760" w:rsidR="006E40AB" w:rsidRPr="00E336D4" w:rsidRDefault="00E82272" w:rsidP="006E40AB">
            <w:pPr>
              <w:pStyle w:val="ListParagraph"/>
              <w:ind w:left="0"/>
              <w:jc w:val="center"/>
              <w:rPr>
                <w:b/>
                <w:sz w:val="20"/>
                <w:szCs w:val="20"/>
              </w:rPr>
            </w:pPr>
            <w:r>
              <w:rPr>
                <w:b/>
                <w:sz w:val="20"/>
                <w:szCs w:val="20"/>
              </w:rPr>
              <w:t>4.2</w:t>
            </w:r>
          </w:p>
        </w:tc>
      </w:tr>
      <w:tr w:rsidR="006E40AB" w:rsidRPr="00E336D4" w14:paraId="23F300A1"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68E0E6A3" w14:textId="77777777" w:rsidR="006E40AB" w:rsidRPr="00E336D4" w:rsidRDefault="006E40AB" w:rsidP="006E40AB">
            <w:pPr>
              <w:pStyle w:val="ListParagraph"/>
              <w:ind w:left="0"/>
              <w:jc w:val="right"/>
              <w:rPr>
                <w:sz w:val="20"/>
                <w:szCs w:val="20"/>
              </w:rPr>
            </w:pPr>
            <w:r w:rsidRPr="00E336D4">
              <w:rPr>
                <w:sz w:val="20"/>
                <w:szCs w:val="20"/>
              </w:rPr>
              <w:t>Did not receive SSI Income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6FCE491" w14:textId="3D7A417B" w:rsidR="006E40AB" w:rsidRPr="00E336D4" w:rsidRDefault="00971DE8" w:rsidP="006E40AB">
            <w:pPr>
              <w:pStyle w:val="ListParagraph"/>
              <w:ind w:left="0"/>
              <w:jc w:val="center"/>
              <w:rPr>
                <w:sz w:val="20"/>
                <w:szCs w:val="20"/>
              </w:rPr>
            </w:pPr>
            <w:r>
              <w:rPr>
                <w:sz w:val="20"/>
                <w:szCs w:val="20"/>
              </w:rPr>
              <w:t>3,790</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ED950FC" w14:textId="710BD82E" w:rsidR="006E40AB" w:rsidRPr="00E336D4" w:rsidRDefault="0022028C" w:rsidP="006E40AB">
            <w:pPr>
              <w:pStyle w:val="ListParagraph"/>
              <w:ind w:left="0"/>
              <w:jc w:val="center"/>
              <w:rPr>
                <w:sz w:val="20"/>
                <w:szCs w:val="20"/>
              </w:rPr>
            </w:pPr>
            <w:r>
              <w:rPr>
                <w:sz w:val="20"/>
                <w:szCs w:val="20"/>
              </w:rPr>
              <w:t>78.1</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204CA3B" w14:textId="76362942" w:rsidR="006E40AB" w:rsidRPr="00E336D4" w:rsidRDefault="005D7D1F" w:rsidP="006E40AB">
            <w:pPr>
              <w:pStyle w:val="ListParagraph"/>
              <w:ind w:left="0"/>
              <w:jc w:val="center"/>
              <w:rPr>
                <w:sz w:val="20"/>
                <w:szCs w:val="20"/>
              </w:rPr>
            </w:pPr>
            <w:r>
              <w:rPr>
                <w:sz w:val="20"/>
                <w:szCs w:val="20"/>
              </w:rPr>
              <w:t>2,510</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CCF2ED9" w14:textId="409C5374" w:rsidR="006E40AB" w:rsidRPr="00E336D4" w:rsidRDefault="005D7D1F" w:rsidP="006E40AB">
            <w:pPr>
              <w:pStyle w:val="ListParagraph"/>
              <w:ind w:left="0"/>
              <w:jc w:val="center"/>
              <w:rPr>
                <w:sz w:val="20"/>
                <w:szCs w:val="20"/>
              </w:rPr>
            </w:pPr>
            <w:r>
              <w:rPr>
                <w:sz w:val="20"/>
                <w:szCs w:val="20"/>
              </w:rPr>
              <w:t>73.9</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73450695" w14:textId="12DF7178" w:rsidR="006E40AB" w:rsidRPr="00E336D4" w:rsidRDefault="00CE3CDD" w:rsidP="006E40AB">
            <w:pPr>
              <w:pStyle w:val="ListParagraph"/>
              <w:ind w:left="0"/>
              <w:jc w:val="center"/>
              <w:rPr>
                <w:b/>
                <w:sz w:val="20"/>
                <w:szCs w:val="20"/>
              </w:rPr>
            </w:pPr>
            <w:r>
              <w:rPr>
                <w:b/>
                <w:sz w:val="20"/>
                <w:szCs w:val="20"/>
              </w:rPr>
              <w:t>-50.9</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3A1A7478" w14:textId="527ECAAC" w:rsidR="006E40AB" w:rsidRPr="00E336D4" w:rsidRDefault="00E82272" w:rsidP="006E40AB">
            <w:pPr>
              <w:pStyle w:val="ListParagraph"/>
              <w:ind w:left="0"/>
              <w:jc w:val="center"/>
              <w:rPr>
                <w:b/>
                <w:sz w:val="20"/>
                <w:szCs w:val="20"/>
              </w:rPr>
            </w:pPr>
            <w:r>
              <w:rPr>
                <w:b/>
                <w:sz w:val="20"/>
                <w:szCs w:val="20"/>
              </w:rPr>
              <w:t>-4.2</w:t>
            </w:r>
          </w:p>
        </w:tc>
      </w:tr>
      <w:tr w:rsidR="006E40AB" w:rsidRPr="00E336D4" w14:paraId="57BF57B2"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3C6BDC95" w14:textId="77777777" w:rsidR="006E40AB" w:rsidRPr="00E336D4" w:rsidRDefault="006E40AB" w:rsidP="006E40AB">
            <w:pPr>
              <w:pStyle w:val="ListParagraph"/>
              <w:ind w:left="0"/>
              <w:rPr>
                <w:b/>
                <w:color w:val="FFFFFF" w:themeColor="background1"/>
                <w:sz w:val="20"/>
                <w:szCs w:val="20"/>
              </w:rPr>
            </w:pPr>
            <w:r w:rsidRPr="00E336D4">
              <w:rPr>
                <w:b/>
                <w:color w:val="FFFFFF" w:themeColor="background1"/>
                <w:sz w:val="20"/>
                <w:szCs w:val="20"/>
              </w:rPr>
              <w:t>SSDI Income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10FA0D88" w14:textId="77777777" w:rsidR="006E40AB" w:rsidRPr="00E336D4" w:rsidRDefault="006E40AB" w:rsidP="006E40AB">
            <w:pPr>
              <w:pStyle w:val="ListParagraph"/>
              <w:ind w:left="0"/>
              <w:jc w:val="center"/>
              <w:rPr>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63E5E63B"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05BE5EBF"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3457BC8"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4BAAA2EA" w14:textId="77777777" w:rsidR="006E40AB" w:rsidRPr="00E336D4" w:rsidRDefault="006E40AB" w:rsidP="006E40AB">
            <w:pPr>
              <w:pStyle w:val="ListParagraph"/>
              <w:ind w:left="0"/>
              <w:jc w:val="center"/>
              <w:rPr>
                <w:b/>
                <w:color w:val="FFFFFF" w:themeColor="background1"/>
                <w:sz w:val="20"/>
                <w:szCs w:val="20"/>
              </w:rPr>
            </w:pPr>
          </w:p>
        </w:tc>
        <w:tc>
          <w:tcPr>
            <w:tcW w:w="0" w:type="auto"/>
            <w:tcBorders>
              <w:top w:val="dotted" w:sz="4" w:space="0" w:color="838995" w:themeColor="accent5"/>
              <w:left w:val="dotted" w:sz="4" w:space="0" w:color="838995" w:themeColor="accent5"/>
              <w:bottom w:val="dotted" w:sz="4" w:space="0" w:color="838995" w:themeColor="accent5"/>
            </w:tcBorders>
            <w:shd w:val="clear" w:color="auto" w:fill="838995" w:themeFill="accent5"/>
            <w:vAlign w:val="center"/>
          </w:tcPr>
          <w:p w14:paraId="6C38BD34" w14:textId="77777777" w:rsidR="006E40AB" w:rsidRPr="00E336D4" w:rsidRDefault="006E40AB" w:rsidP="006E40AB">
            <w:pPr>
              <w:pStyle w:val="ListParagraph"/>
              <w:ind w:left="0"/>
              <w:jc w:val="center"/>
              <w:rPr>
                <w:b/>
                <w:color w:val="FFFFFF" w:themeColor="background1"/>
                <w:sz w:val="20"/>
                <w:szCs w:val="20"/>
              </w:rPr>
            </w:pPr>
          </w:p>
        </w:tc>
      </w:tr>
      <w:tr w:rsidR="006E40AB" w:rsidRPr="00E336D4" w14:paraId="5A36D224" w14:textId="77777777" w:rsidTr="00810149">
        <w:trPr>
          <w:trHeight w:val="288"/>
        </w:trPr>
        <w:tc>
          <w:tcPr>
            <w:tcW w:w="2996" w:type="dxa"/>
            <w:tcBorders>
              <w:top w:val="dotted" w:sz="4" w:space="0" w:color="838995" w:themeColor="accent5"/>
              <w:bottom w:val="dotted" w:sz="4" w:space="0" w:color="838995" w:themeColor="accent5"/>
              <w:right w:val="single" w:sz="12" w:space="0" w:color="838995" w:themeColor="accent5"/>
            </w:tcBorders>
            <w:vAlign w:val="center"/>
          </w:tcPr>
          <w:p w14:paraId="62941F67" w14:textId="77777777" w:rsidR="006E40AB" w:rsidRPr="00E336D4" w:rsidRDefault="006E40AB" w:rsidP="006E40AB">
            <w:pPr>
              <w:pStyle w:val="ListParagraph"/>
              <w:ind w:left="0"/>
              <w:jc w:val="right"/>
              <w:rPr>
                <w:sz w:val="20"/>
                <w:szCs w:val="20"/>
              </w:rPr>
            </w:pPr>
            <w:r w:rsidRPr="00E336D4">
              <w:rPr>
                <w:sz w:val="20"/>
                <w:szCs w:val="20"/>
              </w:rPr>
              <w:t>Received SSDI Income</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6785A727" w14:textId="4027A653" w:rsidR="006E40AB" w:rsidRPr="00E336D4" w:rsidRDefault="00971DE8" w:rsidP="006E40AB">
            <w:pPr>
              <w:pStyle w:val="ListParagraph"/>
              <w:ind w:left="0"/>
              <w:jc w:val="center"/>
              <w:rPr>
                <w:sz w:val="20"/>
                <w:szCs w:val="20"/>
              </w:rPr>
            </w:pPr>
            <w:r>
              <w:rPr>
                <w:sz w:val="20"/>
                <w:szCs w:val="20"/>
              </w:rPr>
              <w:t>1,013</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0D6A8339" w14:textId="5D3632E8" w:rsidR="006E40AB" w:rsidRPr="00E336D4" w:rsidRDefault="0022028C" w:rsidP="006E40AB">
            <w:pPr>
              <w:pStyle w:val="ListParagraph"/>
              <w:ind w:left="0"/>
              <w:jc w:val="center"/>
              <w:rPr>
                <w:sz w:val="20"/>
                <w:szCs w:val="20"/>
              </w:rPr>
            </w:pPr>
            <w:r>
              <w:rPr>
                <w:sz w:val="20"/>
                <w:szCs w:val="20"/>
              </w:rPr>
              <w:t>20.9</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4A38E571" w14:textId="1952C7E8" w:rsidR="006E40AB" w:rsidRPr="00E336D4" w:rsidRDefault="005D7D1F" w:rsidP="006E40AB">
            <w:pPr>
              <w:pStyle w:val="ListParagraph"/>
              <w:ind w:left="0"/>
              <w:jc w:val="center"/>
              <w:rPr>
                <w:sz w:val="20"/>
                <w:szCs w:val="20"/>
              </w:rPr>
            </w:pPr>
            <w:r>
              <w:rPr>
                <w:sz w:val="20"/>
                <w:szCs w:val="20"/>
              </w:rPr>
              <w:t>701</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03C701B0" w14:textId="458ED446" w:rsidR="006E40AB" w:rsidRPr="00E336D4" w:rsidRDefault="005D7D1F" w:rsidP="006E40AB">
            <w:pPr>
              <w:pStyle w:val="ListParagraph"/>
              <w:ind w:left="0"/>
              <w:jc w:val="center"/>
              <w:rPr>
                <w:sz w:val="20"/>
                <w:szCs w:val="20"/>
              </w:rPr>
            </w:pPr>
            <w:r>
              <w:rPr>
                <w:sz w:val="20"/>
                <w:szCs w:val="20"/>
              </w:rPr>
              <w:t>20.6</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0498640E" w14:textId="22DDEFC0" w:rsidR="006E40AB" w:rsidRPr="00E336D4" w:rsidRDefault="00CE3CDD" w:rsidP="006E40AB">
            <w:pPr>
              <w:pStyle w:val="ListParagraph"/>
              <w:ind w:left="0"/>
              <w:jc w:val="center"/>
              <w:rPr>
                <w:b/>
                <w:sz w:val="20"/>
                <w:szCs w:val="20"/>
              </w:rPr>
            </w:pPr>
            <w:r>
              <w:rPr>
                <w:b/>
                <w:sz w:val="20"/>
                <w:szCs w:val="20"/>
              </w:rPr>
              <w:t>-44.5</w:t>
            </w:r>
          </w:p>
        </w:tc>
        <w:tc>
          <w:tcPr>
            <w:tcW w:w="0" w:type="auto"/>
            <w:tcBorders>
              <w:top w:val="dotted" w:sz="4" w:space="0" w:color="838995" w:themeColor="accent5"/>
              <w:left w:val="dotted" w:sz="4" w:space="0" w:color="838995" w:themeColor="accent5"/>
              <w:bottom w:val="dotted" w:sz="4" w:space="0" w:color="838995" w:themeColor="accent5"/>
            </w:tcBorders>
            <w:shd w:val="clear" w:color="auto" w:fill="E6E7E9" w:themeFill="accent5" w:themeFillTint="33"/>
            <w:vAlign w:val="center"/>
          </w:tcPr>
          <w:p w14:paraId="65431984" w14:textId="70204A39" w:rsidR="006E40AB" w:rsidRPr="00E336D4" w:rsidRDefault="00E82272" w:rsidP="006E40AB">
            <w:pPr>
              <w:pStyle w:val="ListParagraph"/>
              <w:ind w:left="0"/>
              <w:jc w:val="center"/>
              <w:rPr>
                <w:b/>
                <w:sz w:val="20"/>
                <w:szCs w:val="20"/>
              </w:rPr>
            </w:pPr>
            <w:r>
              <w:rPr>
                <w:b/>
                <w:sz w:val="20"/>
                <w:szCs w:val="20"/>
              </w:rPr>
              <w:t>-0.3</w:t>
            </w:r>
          </w:p>
        </w:tc>
      </w:tr>
      <w:tr w:rsidR="006E40AB" w:rsidRPr="00E336D4" w14:paraId="32B5A64D" w14:textId="77777777" w:rsidTr="00810149">
        <w:trPr>
          <w:trHeight w:val="288"/>
        </w:trPr>
        <w:tc>
          <w:tcPr>
            <w:tcW w:w="2996" w:type="dxa"/>
            <w:tcBorders>
              <w:top w:val="dotted" w:sz="4" w:space="0" w:color="838995" w:themeColor="accent5"/>
              <w:bottom w:val="single" w:sz="4" w:space="0" w:color="838995" w:themeColor="accent5"/>
              <w:right w:val="single" w:sz="12" w:space="0" w:color="838995" w:themeColor="accent5"/>
            </w:tcBorders>
            <w:vAlign w:val="center"/>
          </w:tcPr>
          <w:p w14:paraId="04288C38" w14:textId="77777777" w:rsidR="006E40AB" w:rsidRPr="00E336D4" w:rsidRDefault="006E40AB" w:rsidP="006E40AB">
            <w:pPr>
              <w:pStyle w:val="ListParagraph"/>
              <w:ind w:left="0"/>
              <w:jc w:val="right"/>
              <w:rPr>
                <w:sz w:val="20"/>
                <w:szCs w:val="20"/>
              </w:rPr>
            </w:pPr>
            <w:r w:rsidRPr="00E336D4">
              <w:rPr>
                <w:sz w:val="20"/>
                <w:szCs w:val="20"/>
              </w:rPr>
              <w:t>Did not receive SSDI Income</w:t>
            </w:r>
          </w:p>
        </w:tc>
        <w:tc>
          <w:tcPr>
            <w:tcW w:w="0" w:type="auto"/>
            <w:tcBorders>
              <w:top w:val="dotted" w:sz="4" w:space="0" w:color="838995" w:themeColor="accent5"/>
              <w:left w:val="single" w:sz="12" w:space="0" w:color="838995" w:themeColor="accent5"/>
              <w:bottom w:val="single" w:sz="4" w:space="0" w:color="838995" w:themeColor="accent5"/>
              <w:right w:val="dotted" w:sz="4" w:space="0" w:color="838995" w:themeColor="accent5"/>
            </w:tcBorders>
            <w:vAlign w:val="center"/>
          </w:tcPr>
          <w:p w14:paraId="2297EB5B" w14:textId="3D577A28" w:rsidR="006E40AB" w:rsidRPr="00E336D4" w:rsidRDefault="00971DE8" w:rsidP="006E40AB">
            <w:pPr>
              <w:pStyle w:val="ListParagraph"/>
              <w:ind w:left="0"/>
              <w:jc w:val="center"/>
              <w:rPr>
                <w:sz w:val="20"/>
                <w:szCs w:val="20"/>
              </w:rPr>
            </w:pPr>
            <w:r>
              <w:rPr>
                <w:sz w:val="20"/>
                <w:szCs w:val="20"/>
              </w:rPr>
              <w:t>3,839</w:t>
            </w:r>
          </w:p>
        </w:tc>
        <w:tc>
          <w:tcPr>
            <w:tcW w:w="0" w:type="auto"/>
            <w:tcBorders>
              <w:top w:val="dotted" w:sz="4" w:space="0" w:color="838995" w:themeColor="accent5"/>
              <w:left w:val="dotted" w:sz="4" w:space="0" w:color="838995" w:themeColor="accent5"/>
              <w:bottom w:val="single" w:sz="4" w:space="0" w:color="838995" w:themeColor="accent5"/>
              <w:right w:val="single" w:sz="12" w:space="0" w:color="838995" w:themeColor="accent5"/>
            </w:tcBorders>
            <w:vAlign w:val="center"/>
          </w:tcPr>
          <w:p w14:paraId="392CBF93" w14:textId="5B4F57BE" w:rsidR="006E40AB" w:rsidRPr="00E336D4" w:rsidRDefault="0022028C" w:rsidP="006E40AB">
            <w:pPr>
              <w:pStyle w:val="ListParagraph"/>
              <w:ind w:left="0"/>
              <w:jc w:val="center"/>
              <w:rPr>
                <w:sz w:val="20"/>
                <w:szCs w:val="20"/>
              </w:rPr>
            </w:pPr>
            <w:r>
              <w:rPr>
                <w:sz w:val="20"/>
                <w:szCs w:val="20"/>
              </w:rPr>
              <w:t>79.1</w:t>
            </w:r>
          </w:p>
        </w:tc>
        <w:tc>
          <w:tcPr>
            <w:tcW w:w="0" w:type="auto"/>
            <w:tcBorders>
              <w:top w:val="dotted" w:sz="4" w:space="0" w:color="838995" w:themeColor="accent5"/>
              <w:left w:val="single" w:sz="12" w:space="0" w:color="838995" w:themeColor="accent5"/>
              <w:bottom w:val="single" w:sz="4" w:space="0" w:color="838995" w:themeColor="accent5"/>
              <w:right w:val="dotted" w:sz="4" w:space="0" w:color="838995" w:themeColor="accent5"/>
            </w:tcBorders>
            <w:vAlign w:val="center"/>
          </w:tcPr>
          <w:p w14:paraId="04BE491E" w14:textId="4AF8FC37" w:rsidR="006E40AB" w:rsidRPr="00E336D4" w:rsidRDefault="005D7D1F" w:rsidP="006E40AB">
            <w:pPr>
              <w:pStyle w:val="ListParagraph"/>
              <w:ind w:left="0"/>
              <w:jc w:val="center"/>
              <w:rPr>
                <w:sz w:val="20"/>
                <w:szCs w:val="20"/>
              </w:rPr>
            </w:pPr>
            <w:r>
              <w:rPr>
                <w:sz w:val="20"/>
                <w:szCs w:val="20"/>
              </w:rPr>
              <w:t>2,696</w:t>
            </w:r>
          </w:p>
        </w:tc>
        <w:tc>
          <w:tcPr>
            <w:tcW w:w="0" w:type="auto"/>
            <w:tcBorders>
              <w:top w:val="dotted" w:sz="4" w:space="0" w:color="838995" w:themeColor="accent5"/>
              <w:left w:val="dotted" w:sz="4" w:space="0" w:color="838995" w:themeColor="accent5"/>
              <w:bottom w:val="single" w:sz="4" w:space="0" w:color="838995" w:themeColor="accent5"/>
              <w:right w:val="single" w:sz="12" w:space="0" w:color="838995" w:themeColor="accent5"/>
            </w:tcBorders>
            <w:vAlign w:val="center"/>
          </w:tcPr>
          <w:p w14:paraId="1307A7CB" w14:textId="1B0BE576" w:rsidR="006E40AB" w:rsidRPr="00E336D4" w:rsidRDefault="005D7D1F" w:rsidP="006E40AB">
            <w:pPr>
              <w:pStyle w:val="ListParagraph"/>
              <w:ind w:left="0"/>
              <w:jc w:val="center"/>
              <w:rPr>
                <w:sz w:val="20"/>
                <w:szCs w:val="20"/>
              </w:rPr>
            </w:pPr>
            <w:r>
              <w:rPr>
                <w:sz w:val="20"/>
                <w:szCs w:val="20"/>
              </w:rPr>
              <w:t>79.4</w:t>
            </w:r>
          </w:p>
        </w:tc>
        <w:tc>
          <w:tcPr>
            <w:tcW w:w="0" w:type="auto"/>
            <w:tcBorders>
              <w:top w:val="dotted" w:sz="4" w:space="0" w:color="838995" w:themeColor="accent5"/>
              <w:left w:val="single" w:sz="12" w:space="0" w:color="838995" w:themeColor="accent5"/>
              <w:bottom w:val="single" w:sz="4" w:space="0" w:color="838995" w:themeColor="accent5"/>
              <w:right w:val="dotted" w:sz="4" w:space="0" w:color="838995" w:themeColor="accent5"/>
            </w:tcBorders>
            <w:shd w:val="clear" w:color="auto" w:fill="E6E7E9" w:themeFill="accent5" w:themeFillTint="33"/>
            <w:vAlign w:val="center"/>
          </w:tcPr>
          <w:p w14:paraId="27BCCA73" w14:textId="5773EDBE" w:rsidR="006E40AB" w:rsidRPr="00E336D4" w:rsidRDefault="00CE3CDD" w:rsidP="006E40AB">
            <w:pPr>
              <w:pStyle w:val="ListParagraph"/>
              <w:ind w:left="0"/>
              <w:jc w:val="center"/>
              <w:rPr>
                <w:b/>
                <w:sz w:val="20"/>
                <w:szCs w:val="20"/>
              </w:rPr>
            </w:pPr>
            <w:r>
              <w:rPr>
                <w:b/>
                <w:sz w:val="20"/>
                <w:szCs w:val="20"/>
              </w:rPr>
              <w:t>-42.3</w:t>
            </w:r>
          </w:p>
        </w:tc>
        <w:tc>
          <w:tcPr>
            <w:tcW w:w="0" w:type="auto"/>
            <w:tcBorders>
              <w:top w:val="dotted" w:sz="4" w:space="0" w:color="838995" w:themeColor="accent5"/>
              <w:left w:val="dotted" w:sz="4" w:space="0" w:color="838995" w:themeColor="accent5"/>
              <w:bottom w:val="single" w:sz="4" w:space="0" w:color="838995" w:themeColor="accent5"/>
            </w:tcBorders>
            <w:shd w:val="clear" w:color="auto" w:fill="E6E7E9" w:themeFill="accent5" w:themeFillTint="33"/>
            <w:vAlign w:val="center"/>
          </w:tcPr>
          <w:p w14:paraId="10AF5DFE" w14:textId="5F97690F" w:rsidR="006E40AB" w:rsidRPr="00E336D4" w:rsidRDefault="00E82272" w:rsidP="006E40AB">
            <w:pPr>
              <w:pStyle w:val="ListParagraph"/>
              <w:ind w:left="0"/>
              <w:jc w:val="center"/>
              <w:rPr>
                <w:b/>
                <w:sz w:val="20"/>
                <w:szCs w:val="20"/>
              </w:rPr>
            </w:pPr>
            <w:r>
              <w:rPr>
                <w:b/>
                <w:sz w:val="20"/>
                <w:szCs w:val="20"/>
              </w:rPr>
              <w:t>0.3</w:t>
            </w:r>
          </w:p>
        </w:tc>
      </w:tr>
    </w:tbl>
    <w:p w14:paraId="51F127DD" w14:textId="77777777" w:rsidR="00E336D4" w:rsidRPr="00E336D4" w:rsidRDefault="00E336D4" w:rsidP="00503DA3">
      <w:pPr>
        <w:pStyle w:val="ListParagraph"/>
        <w:spacing w:line="240" w:lineRule="auto"/>
        <w:rPr>
          <w:sz w:val="10"/>
          <w:szCs w:val="10"/>
        </w:rPr>
      </w:pPr>
    </w:p>
    <w:p w14:paraId="5654DC57" w14:textId="77777777" w:rsidR="00D82010" w:rsidRPr="00F17A82" w:rsidRDefault="00503DA3" w:rsidP="00810149">
      <w:pPr>
        <w:pStyle w:val="ListParagraph"/>
        <w:spacing w:line="240" w:lineRule="auto"/>
        <w:ind w:left="0"/>
        <w:rPr>
          <w:sz w:val="16"/>
          <w:szCs w:val="16"/>
        </w:rPr>
      </w:pPr>
      <w:r w:rsidRPr="00F17A82">
        <w:rPr>
          <w:sz w:val="16"/>
          <w:szCs w:val="16"/>
        </w:rPr>
        <w:t xml:space="preserve">DVR client characteristic data is for </w:t>
      </w:r>
      <w:r w:rsidRPr="00F17A82">
        <w:rPr>
          <w:sz w:val="16"/>
          <w:szCs w:val="16"/>
          <w:u w:val="single"/>
        </w:rPr>
        <w:t>all</w:t>
      </w:r>
      <w:r w:rsidRPr="00F17A82">
        <w:rPr>
          <w:sz w:val="16"/>
          <w:szCs w:val="16"/>
        </w:rPr>
        <w:t xml:space="preserve"> cases closed during the Federal Fiscal Year.  Characteristics are based on information recorded at time of application, unless otherwise noted.  Some totals do not equal the number of clients served because the information was not available for all cases as applicants.</w:t>
      </w:r>
    </w:p>
    <w:p w14:paraId="2B931FD4" w14:textId="77777777" w:rsidR="00E336D4" w:rsidRPr="00E336D4" w:rsidRDefault="00E336D4" w:rsidP="00810149">
      <w:pPr>
        <w:pStyle w:val="ListParagraph"/>
        <w:spacing w:line="240" w:lineRule="auto"/>
        <w:ind w:left="0"/>
        <w:rPr>
          <w:color w:val="FF0000"/>
          <w:sz w:val="10"/>
          <w:szCs w:val="10"/>
        </w:rPr>
      </w:pPr>
    </w:p>
    <w:p w14:paraId="5E721804" w14:textId="77777777" w:rsidR="00503DA3" w:rsidRPr="00F17A82" w:rsidRDefault="00503DA3" w:rsidP="00810149">
      <w:pPr>
        <w:pStyle w:val="ListParagraph"/>
        <w:spacing w:line="240" w:lineRule="auto"/>
        <w:ind w:left="0"/>
        <w:rPr>
          <w:sz w:val="16"/>
          <w:szCs w:val="16"/>
        </w:rPr>
      </w:pPr>
      <w:r w:rsidRPr="00F17A82">
        <w:rPr>
          <w:color w:val="FF0000"/>
          <w:sz w:val="16"/>
          <w:szCs w:val="16"/>
        </w:rPr>
        <w:t>*</w:t>
      </w:r>
      <w:r w:rsidRPr="00F17A82">
        <w:rPr>
          <w:sz w:val="16"/>
          <w:szCs w:val="16"/>
        </w:rPr>
        <w:t>Sensory includes deaf/hard of hearing and visual impairments</w:t>
      </w:r>
    </w:p>
    <w:p w14:paraId="67F940A8" w14:textId="77777777" w:rsidR="00F17A82" w:rsidRPr="00F1702E" w:rsidRDefault="00F17A82" w:rsidP="00810149">
      <w:pPr>
        <w:pStyle w:val="ListParagraph"/>
        <w:spacing w:line="240" w:lineRule="auto"/>
        <w:ind w:left="0"/>
        <w:rPr>
          <w:sz w:val="10"/>
          <w:szCs w:val="10"/>
        </w:rPr>
      </w:pPr>
    </w:p>
    <w:p w14:paraId="3AE65C12" w14:textId="1A12104C" w:rsidR="00503DA3" w:rsidRDefault="00276DC2" w:rsidP="00810149">
      <w:pPr>
        <w:pStyle w:val="ListParagraph"/>
        <w:spacing w:line="240" w:lineRule="auto"/>
        <w:ind w:left="0"/>
        <w:rPr>
          <w:b/>
          <w:sz w:val="16"/>
          <w:szCs w:val="16"/>
        </w:rPr>
      </w:pPr>
      <w:r>
        <w:rPr>
          <w:b/>
          <w:sz w:val="16"/>
          <w:szCs w:val="16"/>
        </w:rPr>
        <w:t>SOURCE: biAdaptor</w:t>
      </w:r>
      <w:r w:rsidR="00A76FA0">
        <w:rPr>
          <w:b/>
          <w:sz w:val="16"/>
          <w:szCs w:val="16"/>
        </w:rPr>
        <w:t xml:space="preserve"> DVR Cases_VR Query</w:t>
      </w:r>
    </w:p>
    <w:p w14:paraId="20E5BA21" w14:textId="77777777" w:rsidR="00810149" w:rsidRDefault="00810149" w:rsidP="00810149">
      <w:pPr>
        <w:pStyle w:val="ListParagraph"/>
        <w:spacing w:line="240" w:lineRule="auto"/>
        <w:ind w:left="0"/>
        <w:rPr>
          <w:b/>
          <w:sz w:val="16"/>
          <w:szCs w:val="16"/>
        </w:rPr>
      </w:pPr>
    </w:p>
    <w:p w14:paraId="282239CA" w14:textId="77777777" w:rsidR="00810149" w:rsidRDefault="00810149" w:rsidP="00810149">
      <w:pPr>
        <w:pStyle w:val="ListParagraph"/>
        <w:spacing w:line="240" w:lineRule="auto"/>
        <w:ind w:left="0"/>
        <w:rPr>
          <w:b/>
          <w:sz w:val="16"/>
          <w:szCs w:val="16"/>
        </w:rPr>
      </w:pPr>
    </w:p>
    <w:p w14:paraId="440FBDE5" w14:textId="44B07A00" w:rsidR="00810149" w:rsidRDefault="00810149" w:rsidP="00810149">
      <w:pPr>
        <w:pStyle w:val="ListParagraph"/>
        <w:spacing w:line="240" w:lineRule="auto"/>
        <w:ind w:left="0"/>
        <w:rPr>
          <w:b/>
          <w:sz w:val="16"/>
          <w:szCs w:val="16"/>
        </w:rPr>
      </w:pPr>
    </w:p>
    <w:p w14:paraId="41453B59" w14:textId="77777777" w:rsidR="00660EC0" w:rsidRDefault="00660EC0" w:rsidP="00810149">
      <w:pPr>
        <w:pStyle w:val="ListParagraph"/>
        <w:spacing w:line="240" w:lineRule="auto"/>
        <w:ind w:left="0"/>
        <w:rPr>
          <w:b/>
          <w:sz w:val="16"/>
          <w:szCs w:val="16"/>
        </w:rPr>
      </w:pPr>
    </w:p>
    <w:p w14:paraId="5286ECD9" w14:textId="77777777" w:rsidR="00D37A0F" w:rsidRPr="00D17DA9" w:rsidRDefault="00D37A0F" w:rsidP="00010E2A">
      <w:pPr>
        <w:pStyle w:val="ListParagraph"/>
        <w:numPr>
          <w:ilvl w:val="1"/>
          <w:numId w:val="1"/>
        </w:numPr>
        <w:spacing w:line="240" w:lineRule="auto"/>
        <w:rPr>
          <w:b/>
        </w:rPr>
      </w:pPr>
      <w:r w:rsidRPr="00D17DA9">
        <w:rPr>
          <w:b/>
        </w:rPr>
        <w:t>Process Flow</w:t>
      </w:r>
    </w:p>
    <w:p w14:paraId="10273ADA" w14:textId="77760BAF" w:rsidR="003F1857" w:rsidRPr="00D17DA9" w:rsidRDefault="003F1857" w:rsidP="00987E38">
      <w:pPr>
        <w:pStyle w:val="ListParagraph"/>
        <w:spacing w:after="0" w:line="240" w:lineRule="auto"/>
      </w:pPr>
      <w:r w:rsidRPr="00D17DA9">
        <w:t>The VR process begins when a person fills out and submits an application to the Division of Vocational Rehabilitation and ends with the closure of the case.  Chart 1 below outlines across f</w:t>
      </w:r>
      <w:r w:rsidR="00F1702E">
        <w:t xml:space="preserve">our </w:t>
      </w:r>
      <w:r w:rsidRPr="00D17DA9">
        <w:t>federal fiscal years on the number of individuals who passed through several key steps in the VR process: New Applications, New Plans Developed, and Case Closures.  The solid lines in the chart represent incoming individuals and the dotted lines represent individuals leaving the DVR program (case closures).</w:t>
      </w:r>
    </w:p>
    <w:p w14:paraId="099D4605" w14:textId="77777777" w:rsidR="003F1857" w:rsidRPr="00D17DA9" w:rsidRDefault="003F1857" w:rsidP="003F1857">
      <w:pPr>
        <w:pStyle w:val="ListParagraph"/>
        <w:spacing w:after="0" w:line="240" w:lineRule="auto"/>
      </w:pPr>
    </w:p>
    <w:p w14:paraId="4ECCC7B9" w14:textId="2116E158" w:rsidR="003F1857" w:rsidRPr="00D17DA9" w:rsidRDefault="003F1857" w:rsidP="003F1857">
      <w:pPr>
        <w:pStyle w:val="ListParagraph"/>
        <w:spacing w:after="0" w:line="240" w:lineRule="auto"/>
        <w:rPr>
          <w:b/>
        </w:rPr>
      </w:pPr>
      <w:r w:rsidRPr="00D17DA9">
        <w:rPr>
          <w:b/>
        </w:rPr>
        <w:t>Findings</w:t>
      </w:r>
    </w:p>
    <w:p w14:paraId="5A0BDCD2" w14:textId="4BFD4B10" w:rsidR="003F1857" w:rsidRPr="00D17DA9" w:rsidRDefault="003F1857" w:rsidP="00010E2A">
      <w:pPr>
        <w:pStyle w:val="ListParagraph"/>
        <w:numPr>
          <w:ilvl w:val="0"/>
          <w:numId w:val="5"/>
        </w:numPr>
        <w:spacing w:after="0" w:line="240" w:lineRule="auto"/>
        <w:rPr>
          <w:b/>
        </w:rPr>
      </w:pPr>
      <w:r w:rsidRPr="00D17DA9">
        <w:t xml:space="preserve">Over the last </w:t>
      </w:r>
      <w:r w:rsidR="006962F1">
        <w:t>four years</w:t>
      </w:r>
      <w:r w:rsidRPr="00D17DA9">
        <w:t xml:space="preserve">, the number of new applications </w:t>
      </w:r>
      <w:r w:rsidR="00BC63A1">
        <w:t xml:space="preserve">remained stable with </w:t>
      </w:r>
      <w:r w:rsidRPr="00D17DA9">
        <w:t xml:space="preserve">of </w:t>
      </w:r>
      <w:r w:rsidR="00BC63A1">
        <w:t>3,683</w:t>
      </w:r>
      <w:r w:rsidRPr="00D17DA9">
        <w:t xml:space="preserve"> in </w:t>
      </w:r>
      <w:r w:rsidR="00B80CB4" w:rsidRPr="00D17DA9">
        <w:t xml:space="preserve">FFY </w:t>
      </w:r>
      <w:r w:rsidRPr="00D17DA9">
        <w:t>20</w:t>
      </w:r>
      <w:r w:rsidR="00437293" w:rsidRPr="00D17DA9">
        <w:t>1</w:t>
      </w:r>
      <w:r w:rsidR="00BC63A1">
        <w:t>6</w:t>
      </w:r>
      <w:r w:rsidRPr="00D17DA9">
        <w:t xml:space="preserve"> to </w:t>
      </w:r>
      <w:r w:rsidR="00806889" w:rsidRPr="00D17DA9">
        <w:t xml:space="preserve">a </w:t>
      </w:r>
      <w:r w:rsidR="006962F1">
        <w:t xml:space="preserve">low </w:t>
      </w:r>
      <w:r w:rsidR="00806889" w:rsidRPr="00D17DA9">
        <w:t xml:space="preserve">of </w:t>
      </w:r>
      <w:r w:rsidR="00BC63A1">
        <w:t>3,601</w:t>
      </w:r>
      <w:r w:rsidR="00B80CB4" w:rsidRPr="00D17DA9">
        <w:t xml:space="preserve"> in FFY 201</w:t>
      </w:r>
      <w:r w:rsidR="00BC63A1">
        <w:t>9</w:t>
      </w:r>
      <w:r w:rsidR="006962F1">
        <w:t xml:space="preserve">, a </w:t>
      </w:r>
      <w:r w:rsidR="00BC63A1">
        <w:t>3</w:t>
      </w:r>
      <w:r w:rsidR="006962F1">
        <w:t>% de</w:t>
      </w:r>
      <w:r w:rsidR="00F1702E">
        <w:t>crease</w:t>
      </w:r>
      <w:r w:rsidR="0072528A" w:rsidRPr="00D17DA9">
        <w:t>.</w:t>
      </w:r>
    </w:p>
    <w:p w14:paraId="4F0DDAD4" w14:textId="6134983B" w:rsidR="003F1857" w:rsidRPr="00D17DA9" w:rsidRDefault="003F1857" w:rsidP="00010E2A">
      <w:pPr>
        <w:pStyle w:val="ListParagraph"/>
        <w:numPr>
          <w:ilvl w:val="0"/>
          <w:numId w:val="5"/>
        </w:numPr>
        <w:spacing w:after="0" w:line="240" w:lineRule="auto"/>
        <w:rPr>
          <w:b/>
        </w:rPr>
      </w:pPr>
      <w:r w:rsidRPr="00D17DA9">
        <w:t xml:space="preserve">Closures </w:t>
      </w:r>
      <w:r w:rsidR="006962F1">
        <w:t>decreased between FFY 201</w:t>
      </w:r>
      <w:r w:rsidR="00BC63A1">
        <w:t>6</w:t>
      </w:r>
      <w:r w:rsidR="006962F1">
        <w:t xml:space="preserve"> and FFY 201</w:t>
      </w:r>
      <w:r w:rsidR="00BC63A1">
        <w:t>9</w:t>
      </w:r>
      <w:r w:rsidR="006962F1">
        <w:t xml:space="preserve"> from </w:t>
      </w:r>
      <w:r w:rsidR="00BC63A1">
        <w:t>4,852</w:t>
      </w:r>
      <w:r w:rsidRPr="00D17DA9">
        <w:t xml:space="preserve"> to 3,</w:t>
      </w:r>
      <w:r w:rsidR="00BC63A1">
        <w:t>369</w:t>
      </w:r>
      <w:r w:rsidRPr="00D17DA9">
        <w:t>.</w:t>
      </w:r>
    </w:p>
    <w:p w14:paraId="75A2B1AA" w14:textId="1CF46C18" w:rsidR="003F1857" w:rsidRPr="00D17DA9" w:rsidRDefault="00806889" w:rsidP="00010E2A">
      <w:pPr>
        <w:pStyle w:val="ListParagraph"/>
        <w:numPr>
          <w:ilvl w:val="0"/>
          <w:numId w:val="5"/>
        </w:numPr>
        <w:spacing w:after="0" w:line="240" w:lineRule="auto"/>
        <w:rPr>
          <w:b/>
        </w:rPr>
      </w:pPr>
      <w:r w:rsidRPr="00D17DA9">
        <w:t xml:space="preserve">There was a </w:t>
      </w:r>
      <w:r w:rsidR="00BC63A1">
        <w:t>7% decrease</w:t>
      </w:r>
      <w:r w:rsidRPr="00D17DA9">
        <w:t xml:space="preserve"> in the number of new Individualized Plans for Employment (IPE) developed </w:t>
      </w:r>
      <w:r w:rsidR="000C29DB" w:rsidRPr="00D17DA9">
        <w:t>from</w:t>
      </w:r>
      <w:r w:rsidRPr="00D17DA9">
        <w:t xml:space="preserve"> </w:t>
      </w:r>
      <w:r w:rsidR="00BC63A1">
        <w:t>2,541</w:t>
      </w:r>
      <w:r w:rsidR="000C29DB" w:rsidRPr="00D17DA9">
        <w:t xml:space="preserve"> in </w:t>
      </w:r>
      <w:r w:rsidR="00B80CB4" w:rsidRPr="00D17DA9">
        <w:t xml:space="preserve">FFY </w:t>
      </w:r>
      <w:r w:rsidR="000C29DB" w:rsidRPr="00D17DA9">
        <w:t>201</w:t>
      </w:r>
      <w:r w:rsidR="00BC63A1">
        <w:t>6</w:t>
      </w:r>
      <w:r w:rsidR="006962F1">
        <w:t xml:space="preserve"> to 2,</w:t>
      </w:r>
      <w:r w:rsidR="00BC63A1">
        <w:t>385</w:t>
      </w:r>
      <w:r w:rsidR="006962F1">
        <w:t xml:space="preserve"> in FFY 201</w:t>
      </w:r>
      <w:r w:rsidR="00BC63A1">
        <w:t>9</w:t>
      </w:r>
      <w:r w:rsidRPr="00D17DA9">
        <w:t>.</w:t>
      </w:r>
    </w:p>
    <w:p w14:paraId="30D582B9" w14:textId="77777777" w:rsidR="00806889" w:rsidRPr="00D17DA9" w:rsidRDefault="00806889" w:rsidP="00806889">
      <w:pPr>
        <w:spacing w:after="0" w:line="240" w:lineRule="auto"/>
        <w:rPr>
          <w:b/>
        </w:rPr>
      </w:pPr>
    </w:p>
    <w:p w14:paraId="3EF3D776" w14:textId="0ED142B6" w:rsidR="00806889" w:rsidRPr="00D17DA9" w:rsidRDefault="00806889" w:rsidP="00806889">
      <w:pPr>
        <w:pStyle w:val="ListParagraph"/>
        <w:spacing w:line="240" w:lineRule="auto"/>
        <w:jc w:val="center"/>
        <w:rPr>
          <w:b/>
        </w:rPr>
      </w:pPr>
      <w:r w:rsidRPr="00D17DA9">
        <w:rPr>
          <w:b/>
        </w:rPr>
        <w:t>CHART 1</w:t>
      </w:r>
    </w:p>
    <w:p w14:paraId="5A506068" w14:textId="2D3F09BD" w:rsidR="00806889" w:rsidRPr="00D17DA9" w:rsidRDefault="00806889" w:rsidP="00806889">
      <w:pPr>
        <w:pStyle w:val="ListParagraph"/>
        <w:spacing w:line="240" w:lineRule="auto"/>
        <w:jc w:val="center"/>
        <w:rPr>
          <w:b/>
        </w:rPr>
      </w:pPr>
      <w:r w:rsidRPr="00D17DA9">
        <w:rPr>
          <w:b/>
        </w:rPr>
        <w:t>Total Applications, Plans Developed and Closures between FFY 201</w:t>
      </w:r>
      <w:r w:rsidR="000A6A93">
        <w:rPr>
          <w:b/>
        </w:rPr>
        <w:t>6</w:t>
      </w:r>
      <w:r w:rsidR="00B21E29">
        <w:rPr>
          <w:b/>
        </w:rPr>
        <w:t xml:space="preserve"> and 201</w:t>
      </w:r>
      <w:r w:rsidR="000A6A93">
        <w:rPr>
          <w:b/>
        </w:rPr>
        <w:t>9</w:t>
      </w:r>
    </w:p>
    <w:p w14:paraId="19BC18B9" w14:textId="77777777" w:rsidR="00806889" w:rsidRPr="00D17DA9" w:rsidRDefault="00806889" w:rsidP="00806889">
      <w:pPr>
        <w:pStyle w:val="ListParagraph"/>
        <w:spacing w:line="240" w:lineRule="auto"/>
        <w:jc w:val="center"/>
        <w:rPr>
          <w:b/>
        </w:rPr>
      </w:pPr>
    </w:p>
    <w:p w14:paraId="600D4187" w14:textId="15B1CD2F" w:rsidR="00806889" w:rsidRPr="00D17DA9" w:rsidRDefault="00806889" w:rsidP="00806889">
      <w:pPr>
        <w:pStyle w:val="ListParagraph"/>
        <w:spacing w:line="240" w:lineRule="auto"/>
        <w:jc w:val="center"/>
        <w:rPr>
          <w:b/>
        </w:rPr>
      </w:pPr>
      <w:r w:rsidRPr="00D17DA9">
        <w:rPr>
          <w:b/>
          <w:noProof/>
        </w:rPr>
        <w:drawing>
          <wp:inline distT="0" distB="0" distL="0" distR="0" wp14:anchorId="6119493B" wp14:editId="0B9ABEE3">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93CF7C" w14:textId="77777777" w:rsidR="00F1702E" w:rsidRDefault="00F1702E" w:rsidP="00806889">
      <w:pPr>
        <w:pStyle w:val="ListParagraph"/>
        <w:spacing w:after="0" w:line="240" w:lineRule="auto"/>
      </w:pPr>
    </w:p>
    <w:p w14:paraId="118B8DA9" w14:textId="77777777" w:rsidR="00F1702E" w:rsidRDefault="00F1702E" w:rsidP="00806889">
      <w:pPr>
        <w:pStyle w:val="ListParagraph"/>
        <w:spacing w:after="0" w:line="240" w:lineRule="auto"/>
      </w:pPr>
    </w:p>
    <w:p w14:paraId="31C6360E" w14:textId="77777777" w:rsidR="00F1702E" w:rsidRDefault="00F1702E" w:rsidP="00806889">
      <w:pPr>
        <w:pStyle w:val="ListParagraph"/>
        <w:spacing w:after="0" w:line="240" w:lineRule="auto"/>
      </w:pPr>
    </w:p>
    <w:p w14:paraId="1C1490A1" w14:textId="77777777" w:rsidR="00F1702E" w:rsidRDefault="00F1702E" w:rsidP="00806889">
      <w:pPr>
        <w:pStyle w:val="ListParagraph"/>
        <w:spacing w:after="0" w:line="240" w:lineRule="auto"/>
      </w:pPr>
    </w:p>
    <w:p w14:paraId="5BFD2649" w14:textId="77777777" w:rsidR="00F1702E" w:rsidRDefault="00F1702E" w:rsidP="00806889">
      <w:pPr>
        <w:pStyle w:val="ListParagraph"/>
        <w:spacing w:after="0" w:line="240" w:lineRule="auto"/>
      </w:pPr>
    </w:p>
    <w:p w14:paraId="19B2A865" w14:textId="77777777" w:rsidR="00F1702E" w:rsidRDefault="00F1702E" w:rsidP="00806889">
      <w:pPr>
        <w:pStyle w:val="ListParagraph"/>
        <w:spacing w:after="0" w:line="240" w:lineRule="auto"/>
      </w:pPr>
    </w:p>
    <w:p w14:paraId="75F2F76A" w14:textId="77777777" w:rsidR="00F1702E" w:rsidRDefault="00F1702E" w:rsidP="00806889">
      <w:pPr>
        <w:pStyle w:val="ListParagraph"/>
        <w:spacing w:after="0" w:line="240" w:lineRule="auto"/>
      </w:pPr>
    </w:p>
    <w:p w14:paraId="050A9DB7" w14:textId="77777777" w:rsidR="00F1702E" w:rsidRDefault="00F1702E" w:rsidP="00806889">
      <w:pPr>
        <w:pStyle w:val="ListParagraph"/>
        <w:spacing w:after="0" w:line="240" w:lineRule="auto"/>
      </w:pPr>
    </w:p>
    <w:p w14:paraId="035120DE" w14:textId="77777777" w:rsidR="00F1702E" w:rsidRDefault="00F1702E" w:rsidP="00806889">
      <w:pPr>
        <w:pStyle w:val="ListParagraph"/>
        <w:spacing w:after="0" w:line="240" w:lineRule="auto"/>
      </w:pPr>
    </w:p>
    <w:p w14:paraId="5A669EA4" w14:textId="77777777" w:rsidR="00F1702E" w:rsidRDefault="00F1702E" w:rsidP="00806889">
      <w:pPr>
        <w:pStyle w:val="ListParagraph"/>
        <w:spacing w:after="0" w:line="240" w:lineRule="auto"/>
      </w:pPr>
    </w:p>
    <w:p w14:paraId="2DE0EA0D" w14:textId="77777777" w:rsidR="00F1702E" w:rsidRDefault="00F1702E" w:rsidP="00806889">
      <w:pPr>
        <w:pStyle w:val="ListParagraph"/>
        <w:spacing w:after="0" w:line="240" w:lineRule="auto"/>
      </w:pPr>
    </w:p>
    <w:p w14:paraId="287FB17E" w14:textId="61BED247" w:rsidR="00F1702E" w:rsidRDefault="00F1702E" w:rsidP="00806889">
      <w:pPr>
        <w:pStyle w:val="ListParagraph"/>
        <w:spacing w:after="0" w:line="240" w:lineRule="auto"/>
      </w:pPr>
    </w:p>
    <w:p w14:paraId="7095EAB2" w14:textId="77777777" w:rsidR="00987E38" w:rsidRDefault="00987E38" w:rsidP="00806889">
      <w:pPr>
        <w:pStyle w:val="ListParagraph"/>
        <w:spacing w:after="0" w:line="240" w:lineRule="auto"/>
      </w:pPr>
    </w:p>
    <w:p w14:paraId="47A4FC4E" w14:textId="076CD036" w:rsidR="00806889" w:rsidRPr="00D17DA9" w:rsidRDefault="00806889" w:rsidP="00806889">
      <w:pPr>
        <w:pStyle w:val="ListParagraph"/>
        <w:spacing w:after="0" w:line="240" w:lineRule="auto"/>
      </w:pPr>
      <w:r w:rsidRPr="00D17DA9">
        <w:t>Chart 2 looks more closely at the open caseload (Status 02 through 24) at the end of the f</w:t>
      </w:r>
      <w:r w:rsidR="006962F1">
        <w:t>ederal fiscal year from FFY 201</w:t>
      </w:r>
      <w:r w:rsidR="00BC63A1">
        <w:t>6</w:t>
      </w:r>
      <w:r w:rsidRPr="00D17DA9">
        <w:t xml:space="preserve"> to 2</w:t>
      </w:r>
      <w:r w:rsidR="006962F1">
        <w:t>01</w:t>
      </w:r>
      <w:r w:rsidR="00BC63A1">
        <w:t>9</w:t>
      </w:r>
      <w:r w:rsidRPr="00D17DA9">
        <w:t>, and breaks out cases by the number of individuals who are waiting for an eligibility determination (Status 02); in Extended Evaluation/Trial Work plan (Status 06); in IPE development (Status 10); and the remainder who have completed IPEs and are in plan implementation (Status 12 through 24).</w:t>
      </w:r>
    </w:p>
    <w:p w14:paraId="08EE2D2C" w14:textId="77777777" w:rsidR="00806889" w:rsidRPr="00D17DA9" w:rsidRDefault="00806889" w:rsidP="00806889">
      <w:pPr>
        <w:pStyle w:val="ListParagraph"/>
        <w:spacing w:after="0" w:line="240" w:lineRule="auto"/>
      </w:pPr>
    </w:p>
    <w:p w14:paraId="3E7F71E1" w14:textId="5D35983F" w:rsidR="00806889" w:rsidRPr="00D17DA9" w:rsidRDefault="00806889" w:rsidP="00806889">
      <w:pPr>
        <w:pStyle w:val="ListParagraph"/>
        <w:spacing w:after="0" w:line="240" w:lineRule="auto"/>
        <w:rPr>
          <w:b/>
        </w:rPr>
      </w:pPr>
      <w:r w:rsidRPr="00D17DA9">
        <w:rPr>
          <w:b/>
        </w:rPr>
        <w:t>Findings</w:t>
      </w:r>
    </w:p>
    <w:p w14:paraId="79D60B22" w14:textId="633F234A" w:rsidR="00806889" w:rsidRPr="00837FD4" w:rsidRDefault="001907A3" w:rsidP="00010E2A">
      <w:pPr>
        <w:pStyle w:val="ListParagraph"/>
        <w:numPr>
          <w:ilvl w:val="0"/>
          <w:numId w:val="6"/>
        </w:numPr>
        <w:spacing w:after="0" w:line="240" w:lineRule="auto"/>
      </w:pPr>
      <w:r w:rsidRPr="00837FD4">
        <w:t xml:space="preserve">The total number of active cases over the four-year period </w:t>
      </w:r>
      <w:r w:rsidR="007E4A59">
        <w:t>increased</w:t>
      </w:r>
      <w:r w:rsidR="00837FD4" w:rsidRPr="00837FD4">
        <w:t xml:space="preserve"> </w:t>
      </w:r>
      <w:r w:rsidRPr="00837FD4">
        <w:t>each year</w:t>
      </w:r>
      <w:r w:rsidR="00F875EB" w:rsidRPr="00837FD4">
        <w:t xml:space="preserve"> from </w:t>
      </w:r>
      <w:r w:rsidR="007E4A59">
        <w:t>5,237</w:t>
      </w:r>
      <w:r w:rsidR="00F875EB" w:rsidRPr="00837FD4">
        <w:t xml:space="preserve"> i</w:t>
      </w:r>
      <w:r w:rsidR="00F1702E" w:rsidRPr="00837FD4">
        <w:t>n FFY 201</w:t>
      </w:r>
      <w:r w:rsidR="007E4A59">
        <w:t>6</w:t>
      </w:r>
      <w:r w:rsidR="00F1702E" w:rsidRPr="00837FD4">
        <w:t xml:space="preserve"> to </w:t>
      </w:r>
      <w:r w:rsidR="00837FD4" w:rsidRPr="00837FD4">
        <w:t>5,</w:t>
      </w:r>
      <w:r w:rsidR="007E4A59">
        <w:t>645</w:t>
      </w:r>
      <w:r w:rsidR="00F1702E" w:rsidRPr="00837FD4">
        <w:t xml:space="preserve"> in FFY 201</w:t>
      </w:r>
      <w:r w:rsidR="007E4A59">
        <w:t>9</w:t>
      </w:r>
      <w:r w:rsidR="00F875EB" w:rsidRPr="00837FD4">
        <w:t>.</w:t>
      </w:r>
    </w:p>
    <w:p w14:paraId="19BF8CE6" w14:textId="3581ABBC" w:rsidR="00F875EB" w:rsidRPr="00837FD4" w:rsidRDefault="00F875EB" w:rsidP="00010E2A">
      <w:pPr>
        <w:pStyle w:val="ListParagraph"/>
        <w:numPr>
          <w:ilvl w:val="0"/>
          <w:numId w:val="6"/>
        </w:numPr>
        <w:spacing w:after="0" w:line="240" w:lineRule="auto"/>
      </w:pPr>
      <w:r w:rsidRPr="00837FD4">
        <w:t xml:space="preserve">The number of active cases involved in plan implementation </w:t>
      </w:r>
      <w:r w:rsidR="00837FD4" w:rsidRPr="00837FD4">
        <w:t>increased</w:t>
      </w:r>
      <w:r w:rsidRPr="00837FD4">
        <w:t xml:space="preserve"> over the last </w:t>
      </w:r>
      <w:r w:rsidR="00837FD4" w:rsidRPr="00837FD4">
        <w:t xml:space="preserve">four </w:t>
      </w:r>
      <w:r w:rsidRPr="00837FD4">
        <w:t xml:space="preserve">years from </w:t>
      </w:r>
      <w:r w:rsidR="00837FD4" w:rsidRPr="00837FD4">
        <w:t>FFY 201</w:t>
      </w:r>
      <w:r w:rsidR="007E4A59">
        <w:t>6</w:t>
      </w:r>
      <w:r w:rsidRPr="00837FD4">
        <w:t xml:space="preserve"> to FFY 201</w:t>
      </w:r>
      <w:r w:rsidR="007E4A59">
        <w:t>9</w:t>
      </w:r>
      <w:r w:rsidR="00837FD4" w:rsidRPr="00837FD4">
        <w:t xml:space="preserve"> due to WIOA changes in moving clients from eligibility determination (Status 02) to plan implementation (Status 12 through 24) within 90 days</w:t>
      </w:r>
      <w:r w:rsidRPr="00837FD4">
        <w:t>.</w:t>
      </w:r>
    </w:p>
    <w:p w14:paraId="268D570B" w14:textId="77777777" w:rsidR="00806889" w:rsidRPr="00D17DA9" w:rsidRDefault="00806889" w:rsidP="00806889">
      <w:pPr>
        <w:spacing w:after="0" w:line="240" w:lineRule="auto"/>
      </w:pPr>
    </w:p>
    <w:p w14:paraId="48596C1A" w14:textId="674670E9" w:rsidR="00806889" w:rsidRPr="00D17DA9" w:rsidRDefault="00806889" w:rsidP="00806889">
      <w:pPr>
        <w:pStyle w:val="ListParagraph"/>
        <w:spacing w:line="240" w:lineRule="auto"/>
        <w:jc w:val="center"/>
        <w:rPr>
          <w:b/>
        </w:rPr>
      </w:pPr>
      <w:r w:rsidRPr="00D17DA9">
        <w:rPr>
          <w:b/>
        </w:rPr>
        <w:t>CHART 2</w:t>
      </w:r>
    </w:p>
    <w:p w14:paraId="54A103DF" w14:textId="376BDEBE" w:rsidR="00806889" w:rsidRPr="00D17DA9" w:rsidRDefault="00663A94" w:rsidP="00806889">
      <w:pPr>
        <w:pStyle w:val="ListParagraph"/>
        <w:spacing w:line="240" w:lineRule="auto"/>
        <w:jc w:val="center"/>
        <w:rPr>
          <w:b/>
        </w:rPr>
      </w:pPr>
      <w:r w:rsidRPr="00D17DA9">
        <w:rPr>
          <w:b/>
        </w:rPr>
        <w:t>Active Caseload Status End of Fiscal Year Snapshot for</w:t>
      </w:r>
      <w:r w:rsidR="00806889" w:rsidRPr="00D17DA9">
        <w:rPr>
          <w:b/>
        </w:rPr>
        <w:t xml:space="preserve"> FFY 201</w:t>
      </w:r>
      <w:r w:rsidR="00BC63A1">
        <w:rPr>
          <w:b/>
        </w:rPr>
        <w:t>6</w:t>
      </w:r>
      <w:r w:rsidR="00806889" w:rsidRPr="00D17DA9">
        <w:rPr>
          <w:b/>
        </w:rPr>
        <w:t xml:space="preserve"> and 201</w:t>
      </w:r>
      <w:r w:rsidR="00BC63A1">
        <w:rPr>
          <w:b/>
        </w:rPr>
        <w:t>9</w:t>
      </w:r>
    </w:p>
    <w:p w14:paraId="4983DA83" w14:textId="77777777" w:rsidR="00663A94" w:rsidRPr="00D17DA9" w:rsidRDefault="00663A94" w:rsidP="00806889">
      <w:pPr>
        <w:pStyle w:val="ListParagraph"/>
        <w:spacing w:line="240" w:lineRule="auto"/>
        <w:jc w:val="center"/>
        <w:rPr>
          <w:b/>
        </w:rPr>
      </w:pPr>
    </w:p>
    <w:p w14:paraId="6262A449" w14:textId="6CDC7794" w:rsidR="00663A94" w:rsidRPr="00D17DA9" w:rsidRDefault="00663A94" w:rsidP="00806889">
      <w:pPr>
        <w:pStyle w:val="ListParagraph"/>
        <w:spacing w:line="240" w:lineRule="auto"/>
        <w:jc w:val="center"/>
        <w:rPr>
          <w:b/>
        </w:rPr>
      </w:pPr>
      <w:r w:rsidRPr="00D17DA9">
        <w:rPr>
          <w:b/>
          <w:noProof/>
        </w:rPr>
        <w:drawing>
          <wp:inline distT="0" distB="0" distL="0" distR="0" wp14:anchorId="60E45616" wp14:editId="505289D3">
            <wp:extent cx="5806440" cy="3307080"/>
            <wp:effectExtent l="0" t="0" r="381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0F1563" w14:textId="77777777" w:rsidR="00806889" w:rsidRPr="00D17DA9" w:rsidRDefault="00806889" w:rsidP="00806889">
      <w:pPr>
        <w:spacing w:after="0" w:line="240" w:lineRule="auto"/>
      </w:pPr>
    </w:p>
    <w:p w14:paraId="374AC2A9" w14:textId="77777777" w:rsidR="003838D1" w:rsidRPr="00D17DA9" w:rsidRDefault="003838D1" w:rsidP="003838D1">
      <w:pPr>
        <w:pStyle w:val="ListParagraph"/>
        <w:spacing w:after="0" w:line="240" w:lineRule="auto"/>
      </w:pPr>
    </w:p>
    <w:p w14:paraId="4A1AAEA7" w14:textId="77777777" w:rsidR="003838D1" w:rsidRPr="00D17DA9" w:rsidRDefault="003838D1" w:rsidP="003838D1">
      <w:pPr>
        <w:pStyle w:val="ListParagraph"/>
        <w:spacing w:after="0" w:line="240" w:lineRule="auto"/>
      </w:pPr>
    </w:p>
    <w:p w14:paraId="7CAB0DA9" w14:textId="77777777" w:rsidR="003838D1" w:rsidRPr="00D17DA9" w:rsidRDefault="003838D1" w:rsidP="003838D1">
      <w:pPr>
        <w:pStyle w:val="ListParagraph"/>
        <w:spacing w:after="0" w:line="240" w:lineRule="auto"/>
      </w:pPr>
    </w:p>
    <w:p w14:paraId="49381A29" w14:textId="77777777" w:rsidR="003838D1" w:rsidRPr="00D17DA9" w:rsidRDefault="003838D1" w:rsidP="003838D1">
      <w:pPr>
        <w:pStyle w:val="ListParagraph"/>
        <w:spacing w:after="0" w:line="240" w:lineRule="auto"/>
      </w:pPr>
    </w:p>
    <w:p w14:paraId="085063DA" w14:textId="77777777" w:rsidR="003838D1" w:rsidRPr="00D17DA9" w:rsidRDefault="003838D1" w:rsidP="003838D1">
      <w:pPr>
        <w:pStyle w:val="ListParagraph"/>
        <w:spacing w:after="0" w:line="240" w:lineRule="auto"/>
      </w:pPr>
    </w:p>
    <w:p w14:paraId="0F134437" w14:textId="77777777" w:rsidR="003838D1" w:rsidRPr="00D17DA9" w:rsidRDefault="003838D1" w:rsidP="003838D1">
      <w:pPr>
        <w:pStyle w:val="ListParagraph"/>
        <w:spacing w:after="0" w:line="240" w:lineRule="auto"/>
      </w:pPr>
    </w:p>
    <w:p w14:paraId="712CB749" w14:textId="77777777" w:rsidR="003838D1" w:rsidRDefault="003838D1" w:rsidP="003838D1">
      <w:pPr>
        <w:pStyle w:val="ListParagraph"/>
        <w:spacing w:after="0" w:line="240" w:lineRule="auto"/>
      </w:pPr>
    </w:p>
    <w:p w14:paraId="724288B1" w14:textId="77777777" w:rsidR="00F1702E" w:rsidRDefault="00F1702E" w:rsidP="003838D1">
      <w:pPr>
        <w:pStyle w:val="ListParagraph"/>
        <w:spacing w:after="0" w:line="240" w:lineRule="auto"/>
      </w:pPr>
    </w:p>
    <w:p w14:paraId="7D82D83F" w14:textId="77777777" w:rsidR="00F1702E" w:rsidRDefault="00F1702E" w:rsidP="003838D1">
      <w:pPr>
        <w:pStyle w:val="ListParagraph"/>
        <w:spacing w:after="0" w:line="240" w:lineRule="auto"/>
      </w:pPr>
    </w:p>
    <w:p w14:paraId="1FAEE2F2" w14:textId="77777777" w:rsidR="00F1702E" w:rsidRDefault="00F1702E" w:rsidP="003838D1">
      <w:pPr>
        <w:pStyle w:val="ListParagraph"/>
        <w:spacing w:after="0" w:line="240" w:lineRule="auto"/>
      </w:pPr>
    </w:p>
    <w:p w14:paraId="134533B6" w14:textId="77777777" w:rsidR="00F1702E" w:rsidRPr="00D17DA9" w:rsidRDefault="00F1702E" w:rsidP="003838D1">
      <w:pPr>
        <w:pStyle w:val="ListParagraph"/>
        <w:spacing w:after="0" w:line="240" w:lineRule="auto"/>
      </w:pPr>
    </w:p>
    <w:p w14:paraId="5B806C65" w14:textId="77777777" w:rsidR="003838D1" w:rsidRPr="00D17DA9" w:rsidRDefault="003838D1" w:rsidP="003838D1">
      <w:pPr>
        <w:pStyle w:val="ListParagraph"/>
        <w:spacing w:after="0" w:line="240" w:lineRule="auto"/>
      </w:pPr>
    </w:p>
    <w:p w14:paraId="2EB0864F" w14:textId="796EA7F9" w:rsidR="00B129BB" w:rsidRPr="00D17DA9" w:rsidRDefault="00B129BB" w:rsidP="00987E38">
      <w:pPr>
        <w:pStyle w:val="ListParagraph"/>
        <w:spacing w:after="0" w:line="240" w:lineRule="auto"/>
      </w:pPr>
      <w:r w:rsidRPr="00D17DA9">
        <w:t xml:space="preserve">The goal of the VR process is for an individual to achieve and maintain employment consistent with his or her capabilities.  However, many individuals exit the program before reaching that employment goal.  </w:t>
      </w:r>
      <w:r w:rsidR="00987E38">
        <w:t xml:space="preserve">  </w:t>
      </w:r>
      <w:r w:rsidRPr="00D17DA9">
        <w:t>Chart 3 details the number of individuals whose cases were clo</w:t>
      </w:r>
      <w:r w:rsidR="00837FD4">
        <w:t>sed in federal fiscal years 201</w:t>
      </w:r>
      <w:r w:rsidR="007E4A59">
        <w:t>6</w:t>
      </w:r>
      <w:r w:rsidR="00837FD4">
        <w:t xml:space="preserve"> to 201</w:t>
      </w:r>
      <w:r w:rsidR="007E4A59">
        <w:t>9</w:t>
      </w:r>
      <w:r w:rsidR="00737A94">
        <w:t xml:space="preserve"> based on</w:t>
      </w:r>
      <w:r w:rsidRPr="00D17DA9">
        <w:t xml:space="preserve"> the type of closure.  The different closure types noted indicate how far in the VR process the individual had progressed when his or her case was closed.</w:t>
      </w:r>
    </w:p>
    <w:p w14:paraId="451D6402" w14:textId="77777777" w:rsidR="00B129BB" w:rsidRPr="00D17DA9" w:rsidRDefault="00B129BB" w:rsidP="00B129BB">
      <w:pPr>
        <w:pStyle w:val="ListParagraph"/>
        <w:spacing w:after="0" w:line="240" w:lineRule="auto"/>
      </w:pPr>
    </w:p>
    <w:p w14:paraId="13927C5E" w14:textId="77777777" w:rsidR="00B129BB" w:rsidRPr="00D17DA9" w:rsidRDefault="00B129BB" w:rsidP="00B129BB">
      <w:pPr>
        <w:pStyle w:val="ListParagraph"/>
        <w:spacing w:after="0" w:line="240" w:lineRule="auto"/>
        <w:rPr>
          <w:b/>
        </w:rPr>
      </w:pPr>
      <w:r w:rsidRPr="00D17DA9">
        <w:rPr>
          <w:b/>
        </w:rPr>
        <w:t>Findings</w:t>
      </w:r>
    </w:p>
    <w:p w14:paraId="48756D60" w14:textId="60BA2FBF" w:rsidR="00B129BB" w:rsidRPr="00987E38" w:rsidRDefault="00B80CB4" w:rsidP="00010E2A">
      <w:pPr>
        <w:pStyle w:val="ListParagraph"/>
        <w:numPr>
          <w:ilvl w:val="0"/>
          <w:numId w:val="5"/>
        </w:numPr>
        <w:spacing w:after="0" w:line="240" w:lineRule="auto"/>
        <w:rPr>
          <w:b/>
        </w:rPr>
      </w:pPr>
      <w:r w:rsidRPr="00987E38">
        <w:t>The number of successful empl</w:t>
      </w:r>
      <w:r w:rsidR="00987E38" w:rsidRPr="00987E38">
        <w:t>oyment outcomes (Status 26)</w:t>
      </w:r>
      <w:r w:rsidR="000D6E44">
        <w:t xml:space="preserve"> substantially</w:t>
      </w:r>
      <w:r w:rsidR="00987E38" w:rsidRPr="00987E38">
        <w:t xml:space="preserve"> </w:t>
      </w:r>
      <w:r w:rsidR="007E4A59">
        <w:t>decreased</w:t>
      </w:r>
      <w:r w:rsidRPr="00987E38">
        <w:t xml:space="preserve"> from </w:t>
      </w:r>
      <w:r w:rsidR="00987E38" w:rsidRPr="00987E38">
        <w:t>1,</w:t>
      </w:r>
      <w:r w:rsidR="007E4A59">
        <w:t>166</w:t>
      </w:r>
      <w:r w:rsidR="00987E38" w:rsidRPr="00987E38">
        <w:t xml:space="preserve"> in FFY 201</w:t>
      </w:r>
      <w:r w:rsidR="007E4A59">
        <w:t>6</w:t>
      </w:r>
      <w:r w:rsidRPr="00987E38">
        <w:t xml:space="preserve"> to </w:t>
      </w:r>
      <w:r w:rsidR="007E4A59">
        <w:t>7</w:t>
      </w:r>
      <w:r w:rsidR="000D6E44">
        <w:t>37</w:t>
      </w:r>
      <w:r w:rsidRPr="00987E38">
        <w:t xml:space="preserve"> in FFY 201</w:t>
      </w:r>
      <w:r w:rsidR="000D6E44">
        <w:t>8</w:t>
      </w:r>
      <w:r w:rsidR="00F1702E" w:rsidRPr="00987E38">
        <w:t>,</w:t>
      </w:r>
      <w:r w:rsidR="007E4A59">
        <w:t xml:space="preserve"> but</w:t>
      </w:r>
      <w:r w:rsidR="00987E38" w:rsidRPr="00987E38">
        <w:t xml:space="preserve"> </w:t>
      </w:r>
      <w:r w:rsidR="000D6E44">
        <w:t>increased slightly to 767 in</w:t>
      </w:r>
      <w:r w:rsidR="00987E38" w:rsidRPr="00987E38">
        <w:t xml:space="preserve"> FFY 201</w:t>
      </w:r>
      <w:r w:rsidR="000D6E44">
        <w:t>9</w:t>
      </w:r>
      <w:r w:rsidRPr="00987E38">
        <w:t>.</w:t>
      </w:r>
    </w:p>
    <w:p w14:paraId="3DD4CBE1" w14:textId="7B8FB398" w:rsidR="00B80CB4" w:rsidRPr="00987E38" w:rsidRDefault="00B80CB4" w:rsidP="00010E2A">
      <w:pPr>
        <w:pStyle w:val="ListParagraph"/>
        <w:numPr>
          <w:ilvl w:val="0"/>
          <w:numId w:val="5"/>
        </w:numPr>
        <w:spacing w:after="0" w:line="240" w:lineRule="auto"/>
        <w:rPr>
          <w:b/>
        </w:rPr>
      </w:pPr>
      <w:r w:rsidRPr="00987E38">
        <w:t xml:space="preserve">The number of closures </w:t>
      </w:r>
      <w:r w:rsidR="00987E38" w:rsidRPr="00987E38">
        <w:t xml:space="preserve">where the individual </w:t>
      </w:r>
      <w:r w:rsidRPr="00987E38">
        <w:t>developed and participated in an IPE</w:t>
      </w:r>
      <w:r w:rsidR="000D6E44">
        <w:t xml:space="preserve">, </w:t>
      </w:r>
      <w:r w:rsidRPr="00987E38">
        <w:t xml:space="preserve">but did not achieve 90 days of employment </w:t>
      </w:r>
      <w:r w:rsidR="00987E38" w:rsidRPr="00987E38">
        <w:t>(Status 28)</w:t>
      </w:r>
      <w:r w:rsidR="009917DE">
        <w:t xml:space="preserve">, </w:t>
      </w:r>
      <w:r w:rsidR="00987E38" w:rsidRPr="00987E38">
        <w:t>i</w:t>
      </w:r>
      <w:r w:rsidR="000D6E44">
        <w:t xml:space="preserve">ncreased </w:t>
      </w:r>
      <w:r w:rsidRPr="00987E38">
        <w:t xml:space="preserve">from </w:t>
      </w:r>
      <w:r w:rsidR="000D6E44">
        <w:t>1,335 in FFY 2016 to 1,464 in FFY 2019</w:t>
      </w:r>
      <w:r w:rsidRPr="00987E38">
        <w:t>.</w:t>
      </w:r>
    </w:p>
    <w:p w14:paraId="5ECBC39C" w14:textId="7F98A750" w:rsidR="00B80CB4" w:rsidRPr="00987E38" w:rsidRDefault="00B80CB4" w:rsidP="00010E2A">
      <w:pPr>
        <w:pStyle w:val="ListParagraph"/>
        <w:numPr>
          <w:ilvl w:val="0"/>
          <w:numId w:val="5"/>
        </w:numPr>
        <w:spacing w:after="0" w:line="240" w:lineRule="auto"/>
        <w:rPr>
          <w:b/>
        </w:rPr>
      </w:pPr>
      <w:r w:rsidRPr="00987E38">
        <w:t xml:space="preserve">The number of </w:t>
      </w:r>
      <w:r w:rsidR="00987E38" w:rsidRPr="00987E38">
        <w:t>cases closed as applicants de</w:t>
      </w:r>
      <w:r w:rsidRPr="00987E38">
        <w:t xml:space="preserve">creased from </w:t>
      </w:r>
      <w:r w:rsidR="000D6E44">
        <w:t>782</w:t>
      </w:r>
      <w:r w:rsidR="00987E38" w:rsidRPr="00987E38">
        <w:t xml:space="preserve"> in FFY 201</w:t>
      </w:r>
      <w:r w:rsidR="000D6E44">
        <w:t>6</w:t>
      </w:r>
      <w:r w:rsidRPr="00987E38">
        <w:t xml:space="preserve"> to </w:t>
      </w:r>
      <w:r w:rsidR="000D6E44">
        <w:t>586</w:t>
      </w:r>
      <w:r w:rsidR="00987E38" w:rsidRPr="00987E38">
        <w:t xml:space="preserve"> in FFY 201</w:t>
      </w:r>
      <w:r w:rsidR="000D6E44">
        <w:t>9</w:t>
      </w:r>
      <w:r w:rsidRPr="00987E38">
        <w:t>.</w:t>
      </w:r>
    </w:p>
    <w:p w14:paraId="5BF1C6E0" w14:textId="77777777" w:rsidR="00B129BB" w:rsidRPr="00D17DA9" w:rsidRDefault="00B129BB" w:rsidP="00B129BB">
      <w:pPr>
        <w:spacing w:after="0" w:line="240" w:lineRule="auto"/>
        <w:rPr>
          <w:b/>
        </w:rPr>
      </w:pPr>
    </w:p>
    <w:p w14:paraId="656778C2" w14:textId="081457E0" w:rsidR="00B129BB" w:rsidRPr="00D17DA9" w:rsidRDefault="00B129BB" w:rsidP="00B129BB">
      <w:pPr>
        <w:pStyle w:val="ListParagraph"/>
        <w:spacing w:line="240" w:lineRule="auto"/>
        <w:jc w:val="center"/>
        <w:rPr>
          <w:b/>
        </w:rPr>
      </w:pPr>
      <w:r w:rsidRPr="00D17DA9">
        <w:rPr>
          <w:b/>
        </w:rPr>
        <w:t>CHART 3</w:t>
      </w:r>
    </w:p>
    <w:p w14:paraId="3DAC5807" w14:textId="66892651" w:rsidR="00B129BB" w:rsidRPr="00D17DA9" w:rsidRDefault="00B129BB" w:rsidP="00B129BB">
      <w:pPr>
        <w:pStyle w:val="ListParagraph"/>
        <w:spacing w:line="240" w:lineRule="auto"/>
        <w:jc w:val="center"/>
        <w:rPr>
          <w:b/>
        </w:rPr>
      </w:pPr>
      <w:r w:rsidRPr="00D17DA9">
        <w:rPr>
          <w:b/>
        </w:rPr>
        <w:t xml:space="preserve">All Case Closures </w:t>
      </w:r>
      <w:r w:rsidR="00B863A1">
        <w:rPr>
          <w:b/>
        </w:rPr>
        <w:t>by Closure Type between FFY 201</w:t>
      </w:r>
      <w:r w:rsidR="007E4A59">
        <w:rPr>
          <w:b/>
        </w:rPr>
        <w:t>6</w:t>
      </w:r>
      <w:r w:rsidR="00B863A1">
        <w:rPr>
          <w:b/>
        </w:rPr>
        <w:t xml:space="preserve"> and 201</w:t>
      </w:r>
      <w:r w:rsidR="007E4A59">
        <w:rPr>
          <w:b/>
        </w:rPr>
        <w:t>9</w:t>
      </w:r>
    </w:p>
    <w:p w14:paraId="17B9D70B" w14:textId="77777777" w:rsidR="00B129BB" w:rsidRPr="00D17DA9" w:rsidRDefault="00B129BB" w:rsidP="00B129BB">
      <w:pPr>
        <w:pStyle w:val="ListParagraph"/>
        <w:spacing w:line="240" w:lineRule="auto"/>
        <w:jc w:val="center"/>
        <w:rPr>
          <w:b/>
        </w:rPr>
      </w:pPr>
    </w:p>
    <w:p w14:paraId="4F7B73F2" w14:textId="0AB91244" w:rsidR="00B129BB" w:rsidRPr="00D17DA9" w:rsidRDefault="00483216" w:rsidP="00B129BB">
      <w:pPr>
        <w:pStyle w:val="ListParagraph"/>
        <w:spacing w:line="240" w:lineRule="auto"/>
        <w:jc w:val="center"/>
        <w:rPr>
          <w:b/>
        </w:rPr>
      </w:pPr>
      <w:r w:rsidRPr="00D17DA9">
        <w:rPr>
          <w:b/>
          <w:noProof/>
        </w:rPr>
        <w:drawing>
          <wp:inline distT="0" distB="0" distL="0" distR="0" wp14:anchorId="78FE6230" wp14:editId="007AEBE0">
            <wp:extent cx="5625297" cy="320618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1BF889" w14:textId="77777777" w:rsidR="00B129BB" w:rsidRDefault="00B129BB" w:rsidP="00B129BB">
      <w:pPr>
        <w:spacing w:after="0" w:line="240" w:lineRule="auto"/>
        <w:rPr>
          <w:b/>
        </w:rPr>
      </w:pPr>
    </w:p>
    <w:p w14:paraId="2C7B7A51" w14:textId="77777777" w:rsidR="00F1702E" w:rsidRDefault="00F1702E" w:rsidP="00B129BB">
      <w:pPr>
        <w:spacing w:after="0" w:line="240" w:lineRule="auto"/>
        <w:rPr>
          <w:b/>
        </w:rPr>
      </w:pPr>
    </w:p>
    <w:p w14:paraId="18102F6C" w14:textId="77777777" w:rsidR="00F1702E" w:rsidRDefault="00F1702E" w:rsidP="00B129BB">
      <w:pPr>
        <w:spacing w:after="0" w:line="240" w:lineRule="auto"/>
        <w:rPr>
          <w:b/>
        </w:rPr>
      </w:pPr>
    </w:p>
    <w:p w14:paraId="3FF80C57" w14:textId="77777777" w:rsidR="00F1702E" w:rsidRDefault="00F1702E" w:rsidP="00B129BB">
      <w:pPr>
        <w:spacing w:after="0" w:line="240" w:lineRule="auto"/>
        <w:rPr>
          <w:b/>
        </w:rPr>
      </w:pPr>
    </w:p>
    <w:p w14:paraId="29FE31BC" w14:textId="77777777" w:rsidR="00F1702E" w:rsidRDefault="00F1702E" w:rsidP="00B129BB">
      <w:pPr>
        <w:spacing w:after="0" w:line="240" w:lineRule="auto"/>
        <w:rPr>
          <w:b/>
        </w:rPr>
      </w:pPr>
    </w:p>
    <w:p w14:paraId="17C6C1C1" w14:textId="77777777" w:rsidR="00F1702E" w:rsidRPr="00D17DA9" w:rsidRDefault="00F1702E" w:rsidP="00B129BB">
      <w:pPr>
        <w:spacing w:after="0" w:line="240" w:lineRule="auto"/>
        <w:rPr>
          <w:b/>
        </w:rPr>
      </w:pPr>
    </w:p>
    <w:p w14:paraId="727D2FF0" w14:textId="77777777" w:rsidR="00806889" w:rsidRPr="00D17DA9" w:rsidRDefault="00806889" w:rsidP="003838D1">
      <w:pPr>
        <w:rPr>
          <w:b/>
        </w:rPr>
      </w:pPr>
    </w:p>
    <w:p w14:paraId="3279C146" w14:textId="77777777" w:rsidR="00B129BB" w:rsidRPr="00D17DA9" w:rsidRDefault="00B129BB" w:rsidP="003838D1">
      <w:pPr>
        <w:rPr>
          <w:b/>
        </w:rPr>
      </w:pPr>
    </w:p>
    <w:p w14:paraId="03F87A6B" w14:textId="77777777" w:rsidR="00B129BB" w:rsidRPr="00D17DA9" w:rsidRDefault="00B129BB" w:rsidP="003838D1">
      <w:pPr>
        <w:rPr>
          <w:b/>
        </w:rPr>
      </w:pPr>
    </w:p>
    <w:p w14:paraId="226207CE" w14:textId="77777777" w:rsidR="00987E38" w:rsidRDefault="00987E38" w:rsidP="00B129BB">
      <w:pPr>
        <w:pStyle w:val="ListParagraph"/>
        <w:spacing w:after="0" w:line="240" w:lineRule="auto"/>
      </w:pPr>
    </w:p>
    <w:p w14:paraId="00E986D7" w14:textId="77777777" w:rsidR="00987E38" w:rsidRDefault="00987E38" w:rsidP="00B129BB">
      <w:pPr>
        <w:pStyle w:val="ListParagraph"/>
        <w:spacing w:after="0" w:line="240" w:lineRule="auto"/>
      </w:pPr>
    </w:p>
    <w:p w14:paraId="2981872D" w14:textId="4465653C" w:rsidR="00B129BB" w:rsidRPr="00D17DA9" w:rsidRDefault="00B129BB" w:rsidP="00B129BB">
      <w:pPr>
        <w:pStyle w:val="ListParagraph"/>
        <w:spacing w:after="0" w:line="240" w:lineRule="auto"/>
      </w:pPr>
      <w:r w:rsidRPr="00D17DA9">
        <w:t>Another way to examine the flow of individuals through the VR program is to look at the length of time that individuals spend in the overall process and in the various steps along the way.  Chart 4 below shows the length of time (in months) that it took successfully rehabilitated (Status 26) individuals to move through the VR process.</w:t>
      </w:r>
    </w:p>
    <w:p w14:paraId="692B8BBB" w14:textId="77777777" w:rsidR="00B129BB" w:rsidRPr="00D17DA9" w:rsidRDefault="00B129BB" w:rsidP="00B129BB">
      <w:pPr>
        <w:pStyle w:val="ListParagraph"/>
        <w:spacing w:after="0" w:line="240" w:lineRule="auto"/>
      </w:pPr>
    </w:p>
    <w:p w14:paraId="469C8297" w14:textId="77777777" w:rsidR="00B129BB" w:rsidRPr="00D17DA9" w:rsidRDefault="00B129BB" w:rsidP="00B129BB">
      <w:pPr>
        <w:pStyle w:val="ListParagraph"/>
        <w:spacing w:after="0" w:line="240" w:lineRule="auto"/>
        <w:rPr>
          <w:b/>
        </w:rPr>
      </w:pPr>
      <w:r w:rsidRPr="00D17DA9">
        <w:rPr>
          <w:b/>
        </w:rPr>
        <w:t>Findings</w:t>
      </w:r>
    </w:p>
    <w:p w14:paraId="7D4AA5C8" w14:textId="39B7A389" w:rsidR="00B129BB" w:rsidRPr="000C0030" w:rsidRDefault="0040344C" w:rsidP="00010E2A">
      <w:pPr>
        <w:pStyle w:val="ListParagraph"/>
        <w:numPr>
          <w:ilvl w:val="0"/>
          <w:numId w:val="6"/>
        </w:numPr>
        <w:spacing w:after="0" w:line="240" w:lineRule="auto"/>
      </w:pPr>
      <w:r w:rsidRPr="000C0030">
        <w:t xml:space="preserve">Overall, the number of months it took a VR applicant to complete the entire process </w:t>
      </w:r>
      <w:r w:rsidR="009C395A">
        <w:t>remained stable from 22 months in FFY 2016 to 23 months in FFY 2019.</w:t>
      </w:r>
    </w:p>
    <w:p w14:paraId="01AD11FD" w14:textId="3C1240F5" w:rsidR="0040344C" w:rsidRPr="000C0030" w:rsidRDefault="0040344C" w:rsidP="00010E2A">
      <w:pPr>
        <w:pStyle w:val="ListParagraph"/>
        <w:numPr>
          <w:ilvl w:val="0"/>
          <w:numId w:val="6"/>
        </w:numPr>
        <w:spacing w:after="0" w:line="240" w:lineRule="auto"/>
      </w:pPr>
      <w:r w:rsidRPr="000C0030">
        <w:t>The length of time it tak</w:t>
      </w:r>
      <w:r w:rsidR="000C0030">
        <w:t xml:space="preserve">es to determine eligibility </w:t>
      </w:r>
      <w:r w:rsidRPr="000C0030">
        <w:t>remained at</w:t>
      </w:r>
      <w:r w:rsidR="009C395A">
        <w:t xml:space="preserve"> less than</w:t>
      </w:r>
      <w:r w:rsidRPr="000C0030">
        <w:t xml:space="preserve"> two months through the entire four-year period.</w:t>
      </w:r>
    </w:p>
    <w:p w14:paraId="421FCD76" w14:textId="23F00C41" w:rsidR="0040344C" w:rsidRPr="000C0030" w:rsidRDefault="0040344C" w:rsidP="00010E2A">
      <w:pPr>
        <w:pStyle w:val="ListParagraph"/>
        <w:numPr>
          <w:ilvl w:val="0"/>
          <w:numId w:val="6"/>
        </w:numPr>
        <w:spacing w:after="0" w:line="240" w:lineRule="auto"/>
      </w:pPr>
      <w:r w:rsidRPr="000C0030">
        <w:t>The length of time it took for eligible individuals to move from eligibility determination to the implementation of their Individualize</w:t>
      </w:r>
      <w:r w:rsidR="000C0030">
        <w:t xml:space="preserve">d Plan for Employment (IPE) </w:t>
      </w:r>
      <w:r w:rsidRPr="000C0030">
        <w:t xml:space="preserve">remained </w:t>
      </w:r>
      <w:r w:rsidR="0048557A">
        <w:t>decreased from 4 months in FFY 2016 to 2 months in FFY 2019</w:t>
      </w:r>
      <w:r w:rsidRPr="000C0030">
        <w:t>.</w:t>
      </w:r>
    </w:p>
    <w:p w14:paraId="2BA18BAD" w14:textId="6A55CA1F" w:rsidR="0040344C" w:rsidRPr="000C0030" w:rsidRDefault="0040344C" w:rsidP="00010E2A">
      <w:pPr>
        <w:pStyle w:val="ListParagraph"/>
        <w:numPr>
          <w:ilvl w:val="0"/>
          <w:numId w:val="6"/>
        </w:numPr>
        <w:spacing w:after="0" w:line="240" w:lineRule="auto"/>
      </w:pPr>
      <w:r w:rsidRPr="000C0030">
        <w:t>The average time spent in plan impleme</w:t>
      </w:r>
      <w:r w:rsidR="000C0030" w:rsidRPr="000C0030">
        <w:t xml:space="preserve">ntation from IPE to Closure </w:t>
      </w:r>
      <w:r w:rsidRPr="000C0030">
        <w:t xml:space="preserve">remained steady at </w:t>
      </w:r>
      <w:r w:rsidR="000C0030" w:rsidRPr="000C0030">
        <w:t>about 1</w:t>
      </w:r>
      <w:r w:rsidR="009C395A">
        <w:t>7</w:t>
      </w:r>
      <w:r w:rsidR="000C0030" w:rsidRPr="000C0030">
        <w:t xml:space="preserve"> </w:t>
      </w:r>
      <w:r w:rsidRPr="000C0030">
        <w:t>months – an average of less than two years.</w:t>
      </w:r>
    </w:p>
    <w:p w14:paraId="33C6DC13" w14:textId="77777777" w:rsidR="00B129BB" w:rsidRPr="00D17DA9" w:rsidRDefault="00B129BB" w:rsidP="00B129BB">
      <w:pPr>
        <w:spacing w:after="0" w:line="240" w:lineRule="auto"/>
      </w:pPr>
    </w:p>
    <w:p w14:paraId="6EF58676" w14:textId="00D8A597" w:rsidR="00B129BB" w:rsidRPr="00D17DA9" w:rsidRDefault="00B129BB" w:rsidP="00B129BB">
      <w:pPr>
        <w:pStyle w:val="ListParagraph"/>
        <w:spacing w:line="240" w:lineRule="auto"/>
        <w:jc w:val="center"/>
        <w:rPr>
          <w:b/>
        </w:rPr>
      </w:pPr>
      <w:r w:rsidRPr="00D17DA9">
        <w:rPr>
          <w:b/>
        </w:rPr>
        <w:t>CHART 4</w:t>
      </w:r>
    </w:p>
    <w:p w14:paraId="5F8471A0" w14:textId="745F95E6" w:rsidR="00B129BB" w:rsidRPr="00D17DA9" w:rsidRDefault="00556E61" w:rsidP="00B129BB">
      <w:pPr>
        <w:pStyle w:val="ListParagraph"/>
        <w:spacing w:line="240" w:lineRule="auto"/>
        <w:jc w:val="center"/>
        <w:rPr>
          <w:b/>
        </w:rPr>
      </w:pPr>
      <w:r w:rsidRPr="00D17DA9">
        <w:rPr>
          <w:b/>
        </w:rPr>
        <w:t xml:space="preserve">Average Months in VR Process for Successful Closures between </w:t>
      </w:r>
      <w:r w:rsidR="00462FF9">
        <w:rPr>
          <w:b/>
        </w:rPr>
        <w:t>FFY 201</w:t>
      </w:r>
      <w:r w:rsidR="009C395A">
        <w:rPr>
          <w:b/>
        </w:rPr>
        <w:t>6</w:t>
      </w:r>
      <w:r w:rsidR="00462FF9">
        <w:rPr>
          <w:b/>
        </w:rPr>
        <w:t xml:space="preserve"> and 201</w:t>
      </w:r>
      <w:r w:rsidR="009C395A">
        <w:rPr>
          <w:b/>
        </w:rPr>
        <w:t>9</w:t>
      </w:r>
    </w:p>
    <w:p w14:paraId="7708035A" w14:textId="77777777" w:rsidR="00B129BB" w:rsidRPr="00D17DA9" w:rsidRDefault="00B129BB" w:rsidP="00B129BB">
      <w:pPr>
        <w:pStyle w:val="ListParagraph"/>
        <w:spacing w:line="240" w:lineRule="auto"/>
        <w:jc w:val="center"/>
        <w:rPr>
          <w:b/>
        </w:rPr>
      </w:pPr>
    </w:p>
    <w:p w14:paraId="7FA365B1" w14:textId="0A07DDC1" w:rsidR="00B129BB" w:rsidRPr="00D17DA9" w:rsidRDefault="00B129BB" w:rsidP="00556E61">
      <w:pPr>
        <w:pStyle w:val="ListParagraph"/>
        <w:spacing w:line="240" w:lineRule="auto"/>
        <w:jc w:val="center"/>
        <w:rPr>
          <w:b/>
        </w:rPr>
      </w:pPr>
      <w:r w:rsidRPr="00D17DA9">
        <w:rPr>
          <w:b/>
          <w:noProof/>
        </w:rPr>
        <w:drawing>
          <wp:inline distT="0" distB="0" distL="0" distR="0" wp14:anchorId="0C4EE99D" wp14:editId="4C4258E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D2EE95" w14:textId="77777777" w:rsidR="00556E61" w:rsidRPr="00D17DA9" w:rsidRDefault="00556E61" w:rsidP="00556E61">
      <w:pPr>
        <w:pStyle w:val="ListParagraph"/>
        <w:spacing w:line="240" w:lineRule="auto"/>
        <w:jc w:val="center"/>
        <w:rPr>
          <w:b/>
        </w:rPr>
      </w:pPr>
    </w:p>
    <w:p w14:paraId="595AC36C" w14:textId="326BB1B7" w:rsidR="00556E61" w:rsidRPr="00D17DA9" w:rsidRDefault="00556E61" w:rsidP="00556E61">
      <w:pPr>
        <w:pStyle w:val="ListParagraph"/>
        <w:spacing w:after="0" w:line="240" w:lineRule="auto"/>
      </w:pPr>
      <w:r w:rsidRPr="00D17DA9">
        <w:t>Keep in mind t</w:t>
      </w:r>
      <w:r w:rsidR="00D416F7">
        <w:t xml:space="preserve">hat Chart 4 represents the </w:t>
      </w:r>
      <w:r w:rsidR="00126E13">
        <w:t>best-case</w:t>
      </w:r>
      <w:r w:rsidRPr="00D17DA9">
        <w:t xml:space="preserve"> scenario in the sense that it only includes individuals who successfully completed the VR process.  It is also instructive to examine the length of time that people who did not have a successful outcome spent in the VR process.</w:t>
      </w:r>
    </w:p>
    <w:p w14:paraId="3A81455E" w14:textId="77777777" w:rsidR="00B129BB" w:rsidRDefault="00B129BB" w:rsidP="00B129BB">
      <w:pPr>
        <w:pStyle w:val="ListParagraph"/>
        <w:spacing w:after="0" w:line="240" w:lineRule="auto"/>
      </w:pPr>
    </w:p>
    <w:p w14:paraId="3F03D564" w14:textId="77777777" w:rsidR="00F1702E" w:rsidRDefault="00F1702E" w:rsidP="00B129BB">
      <w:pPr>
        <w:pStyle w:val="ListParagraph"/>
        <w:spacing w:after="0" w:line="240" w:lineRule="auto"/>
      </w:pPr>
    </w:p>
    <w:p w14:paraId="111E33B9" w14:textId="77777777" w:rsidR="00F1702E" w:rsidRDefault="00F1702E" w:rsidP="00B129BB">
      <w:pPr>
        <w:pStyle w:val="ListParagraph"/>
        <w:spacing w:after="0" w:line="240" w:lineRule="auto"/>
      </w:pPr>
    </w:p>
    <w:p w14:paraId="4EB3043E" w14:textId="77777777" w:rsidR="00F1702E" w:rsidRDefault="00F1702E" w:rsidP="00B129BB">
      <w:pPr>
        <w:pStyle w:val="ListParagraph"/>
        <w:spacing w:after="0" w:line="240" w:lineRule="auto"/>
      </w:pPr>
    </w:p>
    <w:p w14:paraId="44B695AA" w14:textId="77777777" w:rsidR="00F1702E" w:rsidRDefault="00F1702E" w:rsidP="00B129BB">
      <w:pPr>
        <w:pStyle w:val="ListParagraph"/>
        <w:spacing w:after="0" w:line="240" w:lineRule="auto"/>
      </w:pPr>
    </w:p>
    <w:p w14:paraId="2B987E1D" w14:textId="77777777" w:rsidR="00F1702E" w:rsidRDefault="00F1702E" w:rsidP="00B129BB">
      <w:pPr>
        <w:pStyle w:val="ListParagraph"/>
        <w:spacing w:after="0" w:line="240" w:lineRule="auto"/>
      </w:pPr>
    </w:p>
    <w:p w14:paraId="142AF2D5" w14:textId="77777777" w:rsidR="00F1702E" w:rsidRPr="00D17DA9" w:rsidRDefault="00F1702E" w:rsidP="00B129BB">
      <w:pPr>
        <w:pStyle w:val="ListParagraph"/>
        <w:spacing w:after="0" w:line="240" w:lineRule="auto"/>
      </w:pPr>
    </w:p>
    <w:p w14:paraId="4457308C" w14:textId="25008D75" w:rsidR="00556E61" w:rsidRPr="00D17DA9" w:rsidRDefault="00556E61" w:rsidP="00556E61">
      <w:pPr>
        <w:pStyle w:val="ListParagraph"/>
        <w:spacing w:after="0" w:line="240" w:lineRule="auto"/>
      </w:pPr>
      <w:r w:rsidRPr="00D17DA9">
        <w:t>Overall time in the VR process is trending downward, not only for successful closures, but also across other closure types as well.  Chart 5 shows average time from application to closure for cases closed after the individual received IPE services, for successful closures, and for cases closed before the individual’s IPE was implemented.</w:t>
      </w:r>
    </w:p>
    <w:p w14:paraId="5FEE345D" w14:textId="77777777" w:rsidR="00556E61" w:rsidRPr="00D17DA9" w:rsidRDefault="00556E61" w:rsidP="00556E61">
      <w:pPr>
        <w:pStyle w:val="ListParagraph"/>
        <w:spacing w:after="0" w:line="240" w:lineRule="auto"/>
      </w:pPr>
    </w:p>
    <w:p w14:paraId="505BB4E4" w14:textId="77777777" w:rsidR="00556E61" w:rsidRPr="00D17DA9" w:rsidRDefault="00556E61" w:rsidP="00556E61">
      <w:pPr>
        <w:pStyle w:val="ListParagraph"/>
        <w:spacing w:after="0" w:line="240" w:lineRule="auto"/>
        <w:rPr>
          <w:b/>
        </w:rPr>
      </w:pPr>
      <w:r w:rsidRPr="00D17DA9">
        <w:rPr>
          <w:b/>
        </w:rPr>
        <w:t>Findings</w:t>
      </w:r>
    </w:p>
    <w:p w14:paraId="27111741" w14:textId="015FE0BA" w:rsidR="005B647D" w:rsidRPr="00235C84" w:rsidRDefault="005B647D" w:rsidP="00010E2A">
      <w:pPr>
        <w:pStyle w:val="ListParagraph"/>
        <w:numPr>
          <w:ilvl w:val="0"/>
          <w:numId w:val="5"/>
        </w:numPr>
        <w:spacing w:after="0" w:line="240" w:lineRule="auto"/>
        <w:rPr>
          <w:b/>
        </w:rPr>
      </w:pPr>
      <w:r w:rsidRPr="00235C84">
        <w:t xml:space="preserve">Regardless of the type of closure, time spent in the VR process </w:t>
      </w:r>
      <w:r w:rsidR="0080713F">
        <w:t xml:space="preserve">from application to closure </w:t>
      </w:r>
      <w:r w:rsidRPr="00235C84">
        <w:t xml:space="preserve">decreased from </w:t>
      </w:r>
      <w:r w:rsidR="0080713F">
        <w:t xml:space="preserve">20 months in </w:t>
      </w:r>
      <w:r w:rsidRPr="00235C84">
        <w:t>FFY 201</w:t>
      </w:r>
      <w:r w:rsidR="0048557A">
        <w:t>6</w:t>
      </w:r>
      <w:r w:rsidRPr="00235C84">
        <w:t xml:space="preserve"> to </w:t>
      </w:r>
      <w:r w:rsidR="0080713F">
        <w:t xml:space="preserve">18 months in </w:t>
      </w:r>
      <w:r w:rsidR="001F2D28" w:rsidRPr="00235C84">
        <w:t>FFY 201</w:t>
      </w:r>
      <w:r w:rsidR="00455FD4">
        <w:t>9</w:t>
      </w:r>
      <w:r w:rsidRPr="00235C84">
        <w:t xml:space="preserve">.  </w:t>
      </w:r>
    </w:p>
    <w:p w14:paraId="69377840" w14:textId="53B2B6BD" w:rsidR="00556E61" w:rsidRPr="00235C84" w:rsidRDefault="005B647D" w:rsidP="00010E2A">
      <w:pPr>
        <w:pStyle w:val="ListParagraph"/>
        <w:numPr>
          <w:ilvl w:val="0"/>
          <w:numId w:val="5"/>
        </w:numPr>
        <w:spacing w:after="0" w:line="240" w:lineRule="auto"/>
        <w:rPr>
          <w:b/>
        </w:rPr>
      </w:pPr>
      <w:r w:rsidRPr="00235C84">
        <w:t xml:space="preserve">Time spent in the VR process for those who received IPE services without an employment outcome decreased from </w:t>
      </w:r>
      <w:r w:rsidR="00455FD4">
        <w:t>13</w:t>
      </w:r>
      <w:r w:rsidRPr="00235C84">
        <w:t xml:space="preserve"> months in FFY 201</w:t>
      </w:r>
      <w:r w:rsidR="00455FD4">
        <w:t>6</w:t>
      </w:r>
      <w:r w:rsidR="001F2D28" w:rsidRPr="00235C84">
        <w:t xml:space="preserve"> to </w:t>
      </w:r>
      <w:r w:rsidR="00E11EC8">
        <w:t>6</w:t>
      </w:r>
      <w:r w:rsidR="001F2D28" w:rsidRPr="00235C84">
        <w:t xml:space="preserve"> months in FFY 201</w:t>
      </w:r>
      <w:r w:rsidR="00455FD4">
        <w:t>9</w:t>
      </w:r>
      <w:r w:rsidRPr="00235C84">
        <w:t>.</w:t>
      </w:r>
    </w:p>
    <w:p w14:paraId="35E80A78" w14:textId="1C365788" w:rsidR="005B647D" w:rsidRPr="00235C84" w:rsidRDefault="005B647D" w:rsidP="00010E2A">
      <w:pPr>
        <w:pStyle w:val="ListParagraph"/>
        <w:numPr>
          <w:ilvl w:val="0"/>
          <w:numId w:val="5"/>
        </w:numPr>
        <w:spacing w:after="0" w:line="240" w:lineRule="auto"/>
        <w:rPr>
          <w:b/>
        </w:rPr>
      </w:pPr>
      <w:r w:rsidRPr="00235C84">
        <w:t>Among the cases closed after receiving IPE services without an employment outcome in FFY 201</w:t>
      </w:r>
      <w:r w:rsidR="00455FD4">
        <w:t>9</w:t>
      </w:r>
      <w:r w:rsidRPr="00235C84">
        <w:t xml:space="preserve"> were closed were based on the following reasons: </w:t>
      </w:r>
      <w:r w:rsidR="00455FD4">
        <w:t>43.3</w:t>
      </w:r>
      <w:r w:rsidR="00455FD4" w:rsidRPr="00235C84">
        <w:t>% unable to locate or contact the individual</w:t>
      </w:r>
      <w:r w:rsidR="00455FD4">
        <w:t xml:space="preserve"> and 39.5</w:t>
      </w:r>
      <w:r w:rsidR="001F2D28" w:rsidRPr="00235C84">
        <w:t xml:space="preserve">% refused further services and </w:t>
      </w:r>
    </w:p>
    <w:p w14:paraId="42307E99" w14:textId="6C095D9C" w:rsidR="005B647D" w:rsidRPr="00235C84" w:rsidRDefault="005B647D" w:rsidP="00010E2A">
      <w:pPr>
        <w:pStyle w:val="ListParagraph"/>
        <w:numPr>
          <w:ilvl w:val="0"/>
          <w:numId w:val="5"/>
        </w:numPr>
        <w:spacing w:after="0" w:line="240" w:lineRule="auto"/>
        <w:rPr>
          <w:b/>
        </w:rPr>
      </w:pPr>
      <w:r w:rsidRPr="00235C84">
        <w:t xml:space="preserve">Similar </w:t>
      </w:r>
      <w:r w:rsidR="00235C84" w:rsidRPr="00235C84">
        <w:t xml:space="preserve">trends </w:t>
      </w:r>
      <w:r w:rsidRPr="00235C84">
        <w:t xml:space="preserve">were observed among cases closed before IPE services initiated </w:t>
      </w:r>
      <w:r w:rsidR="00C462E2" w:rsidRPr="00235C84">
        <w:t>with</w:t>
      </w:r>
      <w:r w:rsidR="00C462E2" w:rsidRPr="00235C84">
        <w:rPr>
          <w:sz w:val="24"/>
          <w:szCs w:val="24"/>
        </w:rPr>
        <w:t xml:space="preserve"> </w:t>
      </w:r>
      <w:r w:rsidR="00455FD4">
        <w:t>52.5</w:t>
      </w:r>
      <w:r w:rsidR="00235C84" w:rsidRPr="00235C84">
        <w:t xml:space="preserve">% of individuals could not be located or contacted and </w:t>
      </w:r>
      <w:r w:rsidR="00455FD4">
        <w:t>32.2</w:t>
      </w:r>
      <w:r w:rsidR="00C462E2" w:rsidRPr="00235C84">
        <w:t>% of individual</w:t>
      </w:r>
      <w:r w:rsidR="00235C84" w:rsidRPr="00235C84">
        <w:t>s who refused further services.</w:t>
      </w:r>
    </w:p>
    <w:p w14:paraId="100D1EE5" w14:textId="77777777" w:rsidR="00556E61" w:rsidRPr="00D17DA9" w:rsidRDefault="00556E61" w:rsidP="00556E61">
      <w:pPr>
        <w:spacing w:after="0" w:line="240" w:lineRule="auto"/>
        <w:rPr>
          <w:b/>
        </w:rPr>
      </w:pPr>
    </w:p>
    <w:p w14:paraId="62670364" w14:textId="403EDFDE" w:rsidR="00556E61" w:rsidRPr="00D17DA9" w:rsidRDefault="00556E61" w:rsidP="00556E61">
      <w:pPr>
        <w:pStyle w:val="ListParagraph"/>
        <w:spacing w:line="240" w:lineRule="auto"/>
        <w:jc w:val="center"/>
        <w:rPr>
          <w:b/>
        </w:rPr>
      </w:pPr>
      <w:r w:rsidRPr="00D17DA9">
        <w:rPr>
          <w:b/>
        </w:rPr>
        <w:t>CHART 5</w:t>
      </w:r>
    </w:p>
    <w:p w14:paraId="273C8C0E" w14:textId="39778A9E" w:rsidR="00556E61" w:rsidRPr="00D17DA9" w:rsidRDefault="00556E61" w:rsidP="00556E61">
      <w:pPr>
        <w:pStyle w:val="ListParagraph"/>
        <w:spacing w:line="240" w:lineRule="auto"/>
        <w:jc w:val="center"/>
        <w:rPr>
          <w:b/>
        </w:rPr>
      </w:pPr>
      <w:r w:rsidRPr="00D17DA9">
        <w:rPr>
          <w:b/>
        </w:rPr>
        <w:t xml:space="preserve">Average Months in VR Process </w:t>
      </w:r>
      <w:r w:rsidR="000C0030">
        <w:rPr>
          <w:b/>
        </w:rPr>
        <w:t>by Closure Type between FFY 201</w:t>
      </w:r>
      <w:r w:rsidR="009C395A">
        <w:rPr>
          <w:b/>
        </w:rPr>
        <w:t>6</w:t>
      </w:r>
      <w:r w:rsidRPr="00D17DA9">
        <w:rPr>
          <w:b/>
        </w:rPr>
        <w:t xml:space="preserve"> and 201</w:t>
      </w:r>
      <w:r w:rsidR="009C395A">
        <w:rPr>
          <w:b/>
        </w:rPr>
        <w:t>9</w:t>
      </w:r>
    </w:p>
    <w:p w14:paraId="58D5CBDA" w14:textId="77777777" w:rsidR="00556E61" w:rsidRPr="00D17DA9" w:rsidRDefault="00556E61" w:rsidP="00556E61">
      <w:pPr>
        <w:pStyle w:val="ListParagraph"/>
        <w:spacing w:line="240" w:lineRule="auto"/>
        <w:jc w:val="center"/>
        <w:rPr>
          <w:b/>
        </w:rPr>
      </w:pPr>
    </w:p>
    <w:p w14:paraId="1CFA5113" w14:textId="686C681C" w:rsidR="00556E61" w:rsidRPr="00D17DA9" w:rsidRDefault="000B295B" w:rsidP="00556E61">
      <w:pPr>
        <w:pStyle w:val="ListParagraph"/>
        <w:spacing w:line="240" w:lineRule="auto"/>
        <w:jc w:val="center"/>
        <w:rPr>
          <w:b/>
        </w:rPr>
      </w:pPr>
      <w:r w:rsidRPr="001F1A31">
        <w:rPr>
          <w:b/>
          <w:noProof/>
          <w:color w:val="003366"/>
        </w:rPr>
        <w:drawing>
          <wp:inline distT="0" distB="0" distL="0" distR="0" wp14:anchorId="21E2EACB" wp14:editId="6B032DA0">
            <wp:extent cx="57531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050870" w14:textId="77777777" w:rsidR="00556E61" w:rsidRPr="00D17DA9" w:rsidRDefault="00556E61" w:rsidP="00556E61">
      <w:pPr>
        <w:spacing w:after="0" w:line="240" w:lineRule="auto"/>
        <w:rPr>
          <w:b/>
        </w:rPr>
      </w:pPr>
    </w:p>
    <w:p w14:paraId="48DAA265" w14:textId="77777777" w:rsidR="00556E61" w:rsidRPr="00D17DA9" w:rsidRDefault="00556E61" w:rsidP="00556E61">
      <w:pPr>
        <w:spacing w:after="0" w:line="240" w:lineRule="auto"/>
        <w:rPr>
          <w:b/>
        </w:rPr>
      </w:pPr>
    </w:p>
    <w:p w14:paraId="0694DC27" w14:textId="77777777" w:rsidR="00556E61" w:rsidRPr="00D17DA9" w:rsidRDefault="00556E61" w:rsidP="00556E61">
      <w:pPr>
        <w:spacing w:after="0" w:line="240" w:lineRule="auto"/>
        <w:rPr>
          <w:b/>
        </w:rPr>
      </w:pPr>
    </w:p>
    <w:p w14:paraId="17CE8762" w14:textId="77777777" w:rsidR="00556E61" w:rsidRDefault="00556E61" w:rsidP="00556E61">
      <w:pPr>
        <w:spacing w:after="0" w:line="240" w:lineRule="auto"/>
        <w:rPr>
          <w:b/>
        </w:rPr>
      </w:pPr>
    </w:p>
    <w:p w14:paraId="4EB2961E" w14:textId="77777777" w:rsidR="00F1702E" w:rsidRDefault="00F1702E" w:rsidP="00556E61">
      <w:pPr>
        <w:spacing w:after="0" w:line="240" w:lineRule="auto"/>
        <w:rPr>
          <w:b/>
        </w:rPr>
      </w:pPr>
    </w:p>
    <w:p w14:paraId="3435D457" w14:textId="77777777" w:rsidR="00F1702E" w:rsidRDefault="00F1702E" w:rsidP="00556E61">
      <w:pPr>
        <w:spacing w:after="0" w:line="240" w:lineRule="auto"/>
        <w:rPr>
          <w:b/>
        </w:rPr>
      </w:pPr>
    </w:p>
    <w:p w14:paraId="101FE679" w14:textId="77777777" w:rsidR="00F1702E" w:rsidRDefault="00F1702E" w:rsidP="00556E61">
      <w:pPr>
        <w:spacing w:after="0" w:line="240" w:lineRule="auto"/>
        <w:rPr>
          <w:b/>
        </w:rPr>
      </w:pPr>
    </w:p>
    <w:p w14:paraId="32D973C5" w14:textId="77777777" w:rsidR="00F1702E" w:rsidRDefault="00F1702E" w:rsidP="00556E61">
      <w:pPr>
        <w:spacing w:after="0" w:line="240" w:lineRule="auto"/>
        <w:rPr>
          <w:b/>
        </w:rPr>
      </w:pPr>
    </w:p>
    <w:p w14:paraId="5B3B0ECD" w14:textId="563CE6AF" w:rsidR="00F1702E" w:rsidRDefault="00F1702E" w:rsidP="00556E61">
      <w:pPr>
        <w:spacing w:after="0" w:line="240" w:lineRule="auto"/>
        <w:rPr>
          <w:b/>
        </w:rPr>
      </w:pPr>
    </w:p>
    <w:p w14:paraId="796A9A5E" w14:textId="77777777" w:rsidR="0080713F" w:rsidRPr="00D17DA9" w:rsidRDefault="0080713F" w:rsidP="00556E61">
      <w:pPr>
        <w:spacing w:after="0" w:line="240" w:lineRule="auto"/>
        <w:rPr>
          <w:b/>
        </w:rPr>
      </w:pPr>
    </w:p>
    <w:p w14:paraId="1106B1AB" w14:textId="5417EFF5" w:rsidR="00556E61" w:rsidRPr="00D17DA9" w:rsidRDefault="00556E61" w:rsidP="00010E2A">
      <w:pPr>
        <w:pStyle w:val="ListParagraph"/>
        <w:numPr>
          <w:ilvl w:val="1"/>
          <w:numId w:val="1"/>
        </w:numPr>
        <w:spacing w:line="240" w:lineRule="auto"/>
        <w:rPr>
          <w:b/>
        </w:rPr>
      </w:pPr>
      <w:r w:rsidRPr="00D17DA9">
        <w:rPr>
          <w:b/>
        </w:rPr>
        <w:t>Outcomes</w:t>
      </w:r>
    </w:p>
    <w:p w14:paraId="7B81EA56" w14:textId="3E114150" w:rsidR="00556E61" w:rsidRPr="00D17DA9" w:rsidRDefault="00556E61" w:rsidP="00E93744">
      <w:pPr>
        <w:pStyle w:val="ListParagraph"/>
        <w:spacing w:after="0" w:line="240" w:lineRule="auto"/>
      </w:pPr>
      <w:r w:rsidRPr="00D17DA9">
        <w:t>An important measure of the success of the Vocational Rehabilitation program is to look at employment outcomes for individuals.  A standard federal measure is the rehabilitation rate, which represents the total number of successful (Status 26) closures divided by the total number of closures following the development of an IPE, including both successful (Status 26) and unsuccessful (Status 28) closures.  Chart 6 below breaks out the rehabilitation rate by disability type.</w:t>
      </w:r>
    </w:p>
    <w:p w14:paraId="4207DAA8" w14:textId="77777777" w:rsidR="00556E61" w:rsidRPr="00D17DA9" w:rsidRDefault="00556E61" w:rsidP="00556E61">
      <w:pPr>
        <w:pStyle w:val="ListParagraph"/>
        <w:spacing w:after="0" w:line="240" w:lineRule="auto"/>
      </w:pPr>
    </w:p>
    <w:p w14:paraId="425C2AC9" w14:textId="77777777" w:rsidR="00556E61" w:rsidRPr="00D17DA9" w:rsidRDefault="00556E61" w:rsidP="00556E61">
      <w:pPr>
        <w:pStyle w:val="ListParagraph"/>
        <w:spacing w:after="0" w:line="240" w:lineRule="auto"/>
        <w:rPr>
          <w:b/>
        </w:rPr>
      </w:pPr>
      <w:r w:rsidRPr="00D17DA9">
        <w:rPr>
          <w:b/>
        </w:rPr>
        <w:t>Findings</w:t>
      </w:r>
    </w:p>
    <w:p w14:paraId="64E22CFF" w14:textId="60C6BB3F" w:rsidR="00556E61" w:rsidRPr="005E2BCA" w:rsidRDefault="0086306C" w:rsidP="00010E2A">
      <w:pPr>
        <w:pStyle w:val="ListParagraph"/>
        <w:numPr>
          <w:ilvl w:val="0"/>
          <w:numId w:val="5"/>
        </w:numPr>
        <w:spacing w:after="0" w:line="240" w:lineRule="auto"/>
        <w:rPr>
          <w:b/>
        </w:rPr>
      </w:pPr>
      <w:r w:rsidRPr="005E2BCA">
        <w:t>The proportion of cases that were rehabilitated (i.e. worked for at least 90 days in an integrat</w:t>
      </w:r>
      <w:r w:rsidR="005E2BCA" w:rsidRPr="005E2BCA">
        <w:t xml:space="preserve">ed setting) was an average of </w:t>
      </w:r>
      <w:r w:rsidR="00F54F90">
        <w:t>41</w:t>
      </w:r>
      <w:r w:rsidRPr="005E2BCA">
        <w:t>% from FFY 201</w:t>
      </w:r>
      <w:r w:rsidR="00F54F90">
        <w:t>6</w:t>
      </w:r>
      <w:r w:rsidRPr="005E2BCA">
        <w:t xml:space="preserve"> through FFY 201</w:t>
      </w:r>
      <w:r w:rsidR="00F54F90">
        <w:t>9</w:t>
      </w:r>
      <w:r w:rsidRPr="005E2BCA">
        <w:t>, and varied by a few percentage points across this period (See Appendix 2).</w:t>
      </w:r>
    </w:p>
    <w:p w14:paraId="140D0E0C" w14:textId="430A5A78" w:rsidR="0086306C" w:rsidRPr="005E2BCA" w:rsidRDefault="0086306C" w:rsidP="00010E2A">
      <w:pPr>
        <w:pStyle w:val="ListParagraph"/>
        <w:numPr>
          <w:ilvl w:val="0"/>
          <w:numId w:val="5"/>
        </w:numPr>
        <w:spacing w:after="0" w:line="240" w:lineRule="auto"/>
        <w:rPr>
          <w:b/>
        </w:rPr>
      </w:pPr>
      <w:r w:rsidRPr="005E2BCA">
        <w:t>Rehabilitation rates are highest for clients with hearing loss, followed by those with cognitive, physical</w:t>
      </w:r>
      <w:r w:rsidR="00F54F90">
        <w:t>,</w:t>
      </w:r>
      <w:r w:rsidRPr="005E2BCA">
        <w:t xml:space="preserve"> and mental illness-related disabilities.</w:t>
      </w:r>
    </w:p>
    <w:p w14:paraId="53E51385" w14:textId="77777777" w:rsidR="00556E61" w:rsidRPr="00D17DA9" w:rsidRDefault="00556E61" w:rsidP="00556E61">
      <w:pPr>
        <w:spacing w:after="0" w:line="240" w:lineRule="auto"/>
        <w:rPr>
          <w:b/>
        </w:rPr>
      </w:pPr>
    </w:p>
    <w:p w14:paraId="162AA9D7" w14:textId="25D6D760" w:rsidR="00556E61" w:rsidRPr="00D17DA9" w:rsidRDefault="00556E61" w:rsidP="00556E61">
      <w:pPr>
        <w:pStyle w:val="ListParagraph"/>
        <w:spacing w:line="240" w:lineRule="auto"/>
        <w:jc w:val="center"/>
        <w:rPr>
          <w:b/>
        </w:rPr>
      </w:pPr>
      <w:r w:rsidRPr="00D17DA9">
        <w:rPr>
          <w:b/>
        </w:rPr>
        <w:t>CHART 6</w:t>
      </w:r>
    </w:p>
    <w:p w14:paraId="21F93D0C" w14:textId="78094443" w:rsidR="00556E61" w:rsidRDefault="00556E61" w:rsidP="00556E61">
      <w:pPr>
        <w:pStyle w:val="ListParagraph"/>
        <w:spacing w:line="240" w:lineRule="auto"/>
        <w:jc w:val="center"/>
        <w:rPr>
          <w:b/>
        </w:rPr>
      </w:pPr>
      <w:r w:rsidRPr="00D17DA9">
        <w:rPr>
          <w:b/>
        </w:rPr>
        <w:t xml:space="preserve">Rehabilitation Rate by </w:t>
      </w:r>
      <w:r w:rsidR="00867813">
        <w:rPr>
          <w:b/>
        </w:rPr>
        <w:t>Disability Type between FFY 201</w:t>
      </w:r>
      <w:r w:rsidR="00CD7166">
        <w:rPr>
          <w:b/>
        </w:rPr>
        <w:t>6</w:t>
      </w:r>
      <w:r w:rsidR="00867813">
        <w:rPr>
          <w:b/>
        </w:rPr>
        <w:t xml:space="preserve"> and 201</w:t>
      </w:r>
      <w:r w:rsidR="00CD7166">
        <w:rPr>
          <w:b/>
        </w:rPr>
        <w:t>9</w:t>
      </w:r>
    </w:p>
    <w:p w14:paraId="7C15F440" w14:textId="178A8871" w:rsidR="003D653B" w:rsidRDefault="003D653B" w:rsidP="00556E61">
      <w:pPr>
        <w:pStyle w:val="ListParagraph"/>
        <w:spacing w:line="240" w:lineRule="auto"/>
        <w:jc w:val="center"/>
        <w:rPr>
          <w:b/>
        </w:rPr>
      </w:pPr>
      <w:r w:rsidRPr="00D17DA9">
        <w:rPr>
          <w:b/>
          <w:noProof/>
        </w:rPr>
        <w:drawing>
          <wp:inline distT="0" distB="0" distL="0" distR="0" wp14:anchorId="38A115C4" wp14:editId="197FC6EB">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113698" w14:textId="77777777" w:rsidR="003D653B" w:rsidRPr="00D17DA9" w:rsidRDefault="003D653B" w:rsidP="00556E61">
      <w:pPr>
        <w:pStyle w:val="ListParagraph"/>
        <w:spacing w:line="240" w:lineRule="auto"/>
        <w:jc w:val="center"/>
        <w:rPr>
          <w:b/>
        </w:rPr>
      </w:pPr>
    </w:p>
    <w:p w14:paraId="71A7A922" w14:textId="77777777" w:rsidR="00556E61" w:rsidRPr="00D17DA9" w:rsidRDefault="00556E61" w:rsidP="00556E61">
      <w:pPr>
        <w:pStyle w:val="ListParagraph"/>
        <w:spacing w:line="240" w:lineRule="auto"/>
        <w:jc w:val="center"/>
        <w:rPr>
          <w:b/>
        </w:rPr>
      </w:pPr>
    </w:p>
    <w:p w14:paraId="48106AE6" w14:textId="710D44D8" w:rsidR="00556E61" w:rsidRPr="00D17DA9" w:rsidRDefault="00556E61" w:rsidP="00556E61">
      <w:pPr>
        <w:pStyle w:val="ListParagraph"/>
        <w:spacing w:line="240" w:lineRule="auto"/>
        <w:jc w:val="center"/>
        <w:rPr>
          <w:b/>
        </w:rPr>
      </w:pPr>
    </w:p>
    <w:p w14:paraId="38E1C29C" w14:textId="77777777" w:rsidR="00556E61" w:rsidRPr="00D17DA9" w:rsidRDefault="00556E61" w:rsidP="00556E61">
      <w:pPr>
        <w:spacing w:after="0" w:line="240" w:lineRule="auto"/>
        <w:rPr>
          <w:b/>
        </w:rPr>
      </w:pPr>
    </w:p>
    <w:p w14:paraId="6DE168E4" w14:textId="77777777" w:rsidR="00556E61" w:rsidRPr="00D17DA9" w:rsidRDefault="00556E61" w:rsidP="00556E61">
      <w:pPr>
        <w:pStyle w:val="ListParagraph"/>
        <w:ind w:left="1080"/>
        <w:rPr>
          <w:b/>
        </w:rPr>
      </w:pPr>
    </w:p>
    <w:p w14:paraId="68D84C83" w14:textId="77777777" w:rsidR="00556E61" w:rsidRDefault="00556E61" w:rsidP="00556E61">
      <w:pPr>
        <w:pStyle w:val="ListParagraph"/>
        <w:ind w:left="1080"/>
        <w:rPr>
          <w:b/>
        </w:rPr>
      </w:pPr>
    </w:p>
    <w:p w14:paraId="03B3BE32" w14:textId="77777777" w:rsidR="00F1702E" w:rsidRDefault="00F1702E" w:rsidP="00556E61">
      <w:pPr>
        <w:pStyle w:val="ListParagraph"/>
        <w:ind w:left="1080"/>
        <w:rPr>
          <w:b/>
        </w:rPr>
      </w:pPr>
    </w:p>
    <w:p w14:paraId="219430F9" w14:textId="77777777" w:rsidR="00F1702E" w:rsidRDefault="00F1702E" w:rsidP="00556E61">
      <w:pPr>
        <w:pStyle w:val="ListParagraph"/>
        <w:ind w:left="1080"/>
        <w:rPr>
          <w:b/>
        </w:rPr>
      </w:pPr>
    </w:p>
    <w:p w14:paraId="4D278BC2" w14:textId="77777777" w:rsidR="00F1702E" w:rsidRDefault="00F1702E" w:rsidP="00556E61">
      <w:pPr>
        <w:pStyle w:val="ListParagraph"/>
        <w:ind w:left="1080"/>
        <w:rPr>
          <w:b/>
        </w:rPr>
      </w:pPr>
    </w:p>
    <w:p w14:paraId="01298060" w14:textId="77777777" w:rsidR="00F1702E" w:rsidRDefault="00F1702E" w:rsidP="00556E61">
      <w:pPr>
        <w:pStyle w:val="ListParagraph"/>
        <w:ind w:left="1080"/>
        <w:rPr>
          <w:b/>
        </w:rPr>
      </w:pPr>
    </w:p>
    <w:p w14:paraId="302E8FC2" w14:textId="77777777" w:rsidR="00F1702E" w:rsidRPr="00D17DA9" w:rsidRDefault="00F1702E" w:rsidP="00556E61">
      <w:pPr>
        <w:pStyle w:val="ListParagraph"/>
        <w:ind w:left="1080"/>
        <w:rPr>
          <w:b/>
        </w:rPr>
      </w:pPr>
    </w:p>
    <w:p w14:paraId="4CFC3985" w14:textId="77777777" w:rsidR="00556E61" w:rsidRPr="00D17DA9" w:rsidRDefault="00556E61" w:rsidP="00556E61">
      <w:pPr>
        <w:pStyle w:val="ListParagraph"/>
        <w:ind w:left="1080"/>
        <w:rPr>
          <w:b/>
        </w:rPr>
      </w:pPr>
    </w:p>
    <w:p w14:paraId="03378DCB" w14:textId="77777777" w:rsidR="00556E61" w:rsidRPr="00D17DA9" w:rsidRDefault="00556E61" w:rsidP="00556E61">
      <w:pPr>
        <w:pStyle w:val="ListParagraph"/>
        <w:ind w:left="1080"/>
        <w:rPr>
          <w:b/>
        </w:rPr>
      </w:pPr>
    </w:p>
    <w:p w14:paraId="6598D4DD" w14:textId="1381DE17" w:rsidR="00556E61" w:rsidRPr="00D17DA9" w:rsidRDefault="00556E61" w:rsidP="00556E61">
      <w:pPr>
        <w:pStyle w:val="ListParagraph"/>
        <w:spacing w:after="0" w:line="240" w:lineRule="auto"/>
      </w:pPr>
      <w:r w:rsidRPr="00D17DA9">
        <w:t>A second outcome measure for the Division of Vocational Rehabilitation is the change in earnings among individuals who successfully met their employment goal.  Chart 7 below describes the change in average earnings among all successful closures.</w:t>
      </w:r>
    </w:p>
    <w:p w14:paraId="332B0411" w14:textId="77777777" w:rsidR="00556E61" w:rsidRPr="00D17DA9" w:rsidRDefault="00556E61" w:rsidP="00556E61">
      <w:pPr>
        <w:pStyle w:val="ListParagraph"/>
        <w:spacing w:after="0" w:line="240" w:lineRule="auto"/>
      </w:pPr>
    </w:p>
    <w:p w14:paraId="1447DB97" w14:textId="77777777" w:rsidR="00556E61" w:rsidRPr="00D17DA9" w:rsidRDefault="00556E61" w:rsidP="00556E61">
      <w:pPr>
        <w:pStyle w:val="ListParagraph"/>
        <w:spacing w:after="0" w:line="240" w:lineRule="auto"/>
        <w:rPr>
          <w:b/>
        </w:rPr>
      </w:pPr>
      <w:r w:rsidRPr="00D17DA9">
        <w:rPr>
          <w:b/>
        </w:rPr>
        <w:t>Findings</w:t>
      </w:r>
    </w:p>
    <w:p w14:paraId="23BFFA69" w14:textId="38F9DA71" w:rsidR="00556E61" w:rsidRPr="00B8327B" w:rsidRDefault="0064376E" w:rsidP="00010E2A">
      <w:pPr>
        <w:pStyle w:val="ListParagraph"/>
        <w:numPr>
          <w:ilvl w:val="0"/>
          <w:numId w:val="6"/>
        </w:numPr>
        <w:spacing w:after="0" w:line="240" w:lineRule="auto"/>
      </w:pPr>
      <w:r w:rsidRPr="00B8327B">
        <w:t>The change between wages at application and closure narrowed from 1</w:t>
      </w:r>
      <w:r w:rsidR="00505244">
        <w:t>59</w:t>
      </w:r>
      <w:r w:rsidRPr="00B8327B">
        <w:t>% in FFY 201</w:t>
      </w:r>
      <w:r w:rsidR="00505244">
        <w:t>6</w:t>
      </w:r>
      <w:r w:rsidR="00B8327B" w:rsidRPr="00B8327B">
        <w:t xml:space="preserve"> to </w:t>
      </w:r>
      <w:r w:rsidR="00505244">
        <w:t>248</w:t>
      </w:r>
      <w:r w:rsidR="00B8327B" w:rsidRPr="00B8327B">
        <w:t>% in FFY 201</w:t>
      </w:r>
      <w:r w:rsidR="00505244">
        <w:t>8</w:t>
      </w:r>
      <w:r w:rsidRPr="00B8327B">
        <w:t>.</w:t>
      </w:r>
    </w:p>
    <w:p w14:paraId="528D13F5" w14:textId="0F5D71FA" w:rsidR="0064376E" w:rsidRPr="00B8327B" w:rsidRDefault="0064376E" w:rsidP="00010E2A">
      <w:pPr>
        <w:pStyle w:val="ListParagraph"/>
        <w:numPr>
          <w:ilvl w:val="0"/>
          <w:numId w:val="6"/>
        </w:numPr>
        <w:spacing w:after="0" w:line="240" w:lineRule="auto"/>
      </w:pPr>
      <w:r w:rsidRPr="00B8327B">
        <w:t>Average weekly earnings for 201</w:t>
      </w:r>
      <w:r w:rsidR="00505244">
        <w:t>8</w:t>
      </w:r>
      <w:r w:rsidRPr="00B8327B">
        <w:t xml:space="preserve"> closures went from $</w:t>
      </w:r>
      <w:r w:rsidR="00505244">
        <w:t>160</w:t>
      </w:r>
      <w:r w:rsidRPr="00B8327B">
        <w:t xml:space="preserve"> at time of application up to $</w:t>
      </w:r>
      <w:r w:rsidR="00505244">
        <w:t>397</w:t>
      </w:r>
      <w:r w:rsidRPr="00B8327B">
        <w:t xml:space="preserve"> at closure.</w:t>
      </w:r>
    </w:p>
    <w:p w14:paraId="7CAEDB8A" w14:textId="13E628BA" w:rsidR="00B8327B" w:rsidRPr="00B8327B" w:rsidRDefault="00F05DA6" w:rsidP="00B8327B">
      <w:pPr>
        <w:pStyle w:val="ListParagraph"/>
        <w:numPr>
          <w:ilvl w:val="0"/>
          <w:numId w:val="6"/>
        </w:numPr>
        <w:spacing w:after="0" w:line="240" w:lineRule="auto"/>
      </w:pPr>
      <w:r w:rsidRPr="00B8327B">
        <w:t>Between FFY 201</w:t>
      </w:r>
      <w:r w:rsidR="00505244">
        <w:t>6</w:t>
      </w:r>
      <w:r w:rsidRPr="00B8327B">
        <w:t xml:space="preserve"> and FFY 201</w:t>
      </w:r>
      <w:r w:rsidR="00505244">
        <w:t>9</w:t>
      </w:r>
      <w:r w:rsidRPr="00B8327B">
        <w:t>, average</w:t>
      </w:r>
      <w:r w:rsidR="0064376E" w:rsidRPr="00B8327B">
        <w:t xml:space="preserve"> </w:t>
      </w:r>
      <w:r w:rsidRPr="00B8327B">
        <w:t xml:space="preserve">weekly earnings at closure </w:t>
      </w:r>
      <w:r w:rsidR="00505244">
        <w:t>remained stable at $400</w:t>
      </w:r>
      <w:r w:rsidRPr="00B8327B">
        <w:t>.</w:t>
      </w:r>
    </w:p>
    <w:p w14:paraId="35A1CF44" w14:textId="4935DD58" w:rsidR="00B8327B" w:rsidRPr="00B8327B" w:rsidRDefault="00B8327B" w:rsidP="00B8327B">
      <w:pPr>
        <w:pStyle w:val="ListParagraph"/>
        <w:numPr>
          <w:ilvl w:val="0"/>
          <w:numId w:val="6"/>
        </w:numPr>
        <w:spacing w:after="0" w:line="240" w:lineRule="auto"/>
      </w:pPr>
      <w:r w:rsidRPr="00B8327B">
        <w:t>FFY 201</w:t>
      </w:r>
      <w:r w:rsidR="00505244">
        <w:t>9</w:t>
      </w:r>
      <w:r w:rsidRPr="00B8327B">
        <w:t xml:space="preserve"> data cannot be compared due to WIOA changes in reporting wage data.</w:t>
      </w:r>
    </w:p>
    <w:p w14:paraId="16F65DB9" w14:textId="77777777" w:rsidR="00556E61" w:rsidRPr="00D17DA9" w:rsidRDefault="00556E61" w:rsidP="00556E61">
      <w:pPr>
        <w:spacing w:after="0" w:line="240" w:lineRule="auto"/>
      </w:pPr>
    </w:p>
    <w:p w14:paraId="047631F1" w14:textId="2C98B732" w:rsidR="00556E61" w:rsidRPr="00D17DA9" w:rsidRDefault="00556E61" w:rsidP="00556E61">
      <w:pPr>
        <w:pStyle w:val="ListParagraph"/>
        <w:spacing w:line="240" w:lineRule="auto"/>
        <w:jc w:val="center"/>
        <w:rPr>
          <w:b/>
        </w:rPr>
      </w:pPr>
      <w:r w:rsidRPr="00D17DA9">
        <w:rPr>
          <w:b/>
        </w:rPr>
        <w:t>CHART 7</w:t>
      </w:r>
    </w:p>
    <w:p w14:paraId="054DD7C1" w14:textId="77777777" w:rsidR="00F1702E" w:rsidRDefault="00556E61" w:rsidP="00556E61">
      <w:pPr>
        <w:pStyle w:val="ListParagraph"/>
        <w:spacing w:line="240" w:lineRule="auto"/>
        <w:jc w:val="center"/>
        <w:rPr>
          <w:b/>
        </w:rPr>
      </w:pPr>
      <w:r w:rsidRPr="00D17DA9">
        <w:rPr>
          <w:b/>
        </w:rPr>
        <w:t xml:space="preserve">Average </w:t>
      </w:r>
      <w:r w:rsidR="00B73EEB" w:rsidRPr="00D17DA9">
        <w:rPr>
          <w:b/>
        </w:rPr>
        <w:t xml:space="preserve">Weekly Earnings at Application and Closure for All Successful Closures                </w:t>
      </w:r>
      <w:r w:rsidRPr="00D17DA9">
        <w:rPr>
          <w:b/>
        </w:rPr>
        <w:t xml:space="preserve"> </w:t>
      </w:r>
    </w:p>
    <w:p w14:paraId="0B1737BF" w14:textId="3245C2C7" w:rsidR="00556E61" w:rsidRPr="00D17DA9" w:rsidRDefault="00556E61" w:rsidP="00556E61">
      <w:pPr>
        <w:pStyle w:val="ListParagraph"/>
        <w:spacing w:line="240" w:lineRule="auto"/>
        <w:jc w:val="center"/>
        <w:rPr>
          <w:b/>
        </w:rPr>
      </w:pPr>
      <w:r w:rsidRPr="00D17DA9">
        <w:rPr>
          <w:b/>
        </w:rPr>
        <w:t>between FFY 201</w:t>
      </w:r>
      <w:r w:rsidR="00505244">
        <w:rPr>
          <w:b/>
        </w:rPr>
        <w:t>6</w:t>
      </w:r>
      <w:r w:rsidRPr="00D17DA9">
        <w:rPr>
          <w:b/>
        </w:rPr>
        <w:t xml:space="preserve"> and 201</w:t>
      </w:r>
      <w:r w:rsidR="00505244">
        <w:rPr>
          <w:b/>
        </w:rPr>
        <w:t>9</w:t>
      </w:r>
    </w:p>
    <w:p w14:paraId="14C255E2" w14:textId="77777777" w:rsidR="00556E61" w:rsidRPr="00D17DA9" w:rsidRDefault="00556E61" w:rsidP="00556E61">
      <w:pPr>
        <w:pStyle w:val="ListParagraph"/>
        <w:spacing w:line="240" w:lineRule="auto"/>
        <w:jc w:val="center"/>
        <w:rPr>
          <w:b/>
        </w:rPr>
      </w:pPr>
    </w:p>
    <w:p w14:paraId="7E657B1E" w14:textId="77777777" w:rsidR="00556E61" w:rsidRPr="00D17DA9" w:rsidRDefault="00556E61" w:rsidP="00556E61">
      <w:pPr>
        <w:pStyle w:val="ListParagraph"/>
        <w:spacing w:line="240" w:lineRule="auto"/>
        <w:jc w:val="center"/>
        <w:rPr>
          <w:b/>
        </w:rPr>
      </w:pPr>
      <w:r w:rsidRPr="00D17DA9">
        <w:rPr>
          <w:b/>
          <w:noProof/>
        </w:rPr>
        <w:drawing>
          <wp:inline distT="0" distB="0" distL="0" distR="0" wp14:anchorId="67A3CF9B" wp14:editId="49022C0D">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311AB2" w14:textId="77777777" w:rsidR="00556E61" w:rsidRPr="00D17DA9" w:rsidRDefault="00556E61" w:rsidP="00556E61">
      <w:pPr>
        <w:pStyle w:val="ListParagraph"/>
        <w:spacing w:line="240" w:lineRule="auto"/>
        <w:jc w:val="center"/>
        <w:rPr>
          <w:b/>
        </w:rPr>
      </w:pPr>
    </w:p>
    <w:p w14:paraId="4A2AC372" w14:textId="77777777" w:rsidR="00556E61" w:rsidRPr="00D17DA9" w:rsidRDefault="00556E61" w:rsidP="00556E61">
      <w:pPr>
        <w:pStyle w:val="ListParagraph"/>
        <w:ind w:left="1080"/>
        <w:rPr>
          <w:b/>
        </w:rPr>
      </w:pPr>
    </w:p>
    <w:p w14:paraId="7A06D251" w14:textId="77777777" w:rsidR="00B73EEB" w:rsidRPr="00D17DA9" w:rsidRDefault="00B73EEB" w:rsidP="00556E61">
      <w:pPr>
        <w:pStyle w:val="ListParagraph"/>
        <w:ind w:left="1080"/>
        <w:rPr>
          <w:b/>
        </w:rPr>
      </w:pPr>
    </w:p>
    <w:p w14:paraId="72BF7678" w14:textId="77777777" w:rsidR="00B73EEB" w:rsidRPr="00D17DA9" w:rsidRDefault="00B73EEB" w:rsidP="00556E61">
      <w:pPr>
        <w:pStyle w:val="ListParagraph"/>
        <w:ind w:left="1080"/>
        <w:rPr>
          <w:b/>
        </w:rPr>
      </w:pPr>
    </w:p>
    <w:p w14:paraId="3630BBFA" w14:textId="77777777" w:rsidR="00B73EEB" w:rsidRPr="00D17DA9" w:rsidRDefault="00B73EEB" w:rsidP="00556E61">
      <w:pPr>
        <w:pStyle w:val="ListParagraph"/>
        <w:ind w:left="1080"/>
        <w:rPr>
          <w:b/>
        </w:rPr>
      </w:pPr>
    </w:p>
    <w:p w14:paraId="06A82C55" w14:textId="77777777" w:rsidR="00B73EEB" w:rsidRPr="00D17DA9" w:rsidRDefault="00B73EEB" w:rsidP="00556E61">
      <w:pPr>
        <w:pStyle w:val="ListParagraph"/>
        <w:ind w:left="1080"/>
        <w:rPr>
          <w:b/>
        </w:rPr>
      </w:pPr>
    </w:p>
    <w:p w14:paraId="7CB9696E" w14:textId="77777777" w:rsidR="00B73EEB" w:rsidRDefault="00B73EEB" w:rsidP="00556E61">
      <w:pPr>
        <w:pStyle w:val="ListParagraph"/>
        <w:ind w:left="1080"/>
        <w:rPr>
          <w:b/>
        </w:rPr>
      </w:pPr>
    </w:p>
    <w:p w14:paraId="303825AA" w14:textId="77777777" w:rsidR="00F1702E" w:rsidRDefault="00F1702E" w:rsidP="00556E61">
      <w:pPr>
        <w:pStyle w:val="ListParagraph"/>
        <w:ind w:left="1080"/>
        <w:rPr>
          <w:b/>
        </w:rPr>
      </w:pPr>
    </w:p>
    <w:p w14:paraId="7509B9EB" w14:textId="77777777" w:rsidR="00F1702E" w:rsidRDefault="00F1702E" w:rsidP="00556E61">
      <w:pPr>
        <w:pStyle w:val="ListParagraph"/>
        <w:ind w:left="1080"/>
        <w:rPr>
          <w:b/>
        </w:rPr>
      </w:pPr>
    </w:p>
    <w:p w14:paraId="112E55B0" w14:textId="77777777" w:rsidR="00F1702E" w:rsidRDefault="00F1702E" w:rsidP="00556E61">
      <w:pPr>
        <w:pStyle w:val="ListParagraph"/>
        <w:ind w:left="1080"/>
        <w:rPr>
          <w:b/>
        </w:rPr>
      </w:pPr>
    </w:p>
    <w:p w14:paraId="3999EC9F" w14:textId="77777777" w:rsidR="00F1702E" w:rsidRPr="00D17DA9" w:rsidRDefault="00F1702E" w:rsidP="00556E61">
      <w:pPr>
        <w:pStyle w:val="ListParagraph"/>
        <w:ind w:left="1080"/>
        <w:rPr>
          <w:b/>
        </w:rPr>
      </w:pPr>
    </w:p>
    <w:p w14:paraId="700E95C6" w14:textId="77777777" w:rsidR="00B73EEB" w:rsidRPr="00D17DA9" w:rsidRDefault="00B73EEB" w:rsidP="00556E61">
      <w:pPr>
        <w:pStyle w:val="ListParagraph"/>
        <w:ind w:left="1080"/>
        <w:rPr>
          <w:b/>
        </w:rPr>
      </w:pPr>
    </w:p>
    <w:p w14:paraId="4F44C0AB" w14:textId="2BC08D1B" w:rsidR="00B73EEB" w:rsidRPr="00D17DA9" w:rsidRDefault="00B73EEB" w:rsidP="00B73EEB">
      <w:pPr>
        <w:pStyle w:val="ListParagraph"/>
        <w:spacing w:after="0" w:line="240" w:lineRule="auto"/>
      </w:pPr>
      <w:r w:rsidRPr="00D17DA9">
        <w:t>Chart 8 below examines the earnings and hours worked per week among successful closures by type of disability.</w:t>
      </w:r>
    </w:p>
    <w:p w14:paraId="1BA0335E" w14:textId="77777777" w:rsidR="00B73EEB" w:rsidRPr="00D17DA9" w:rsidRDefault="00B73EEB" w:rsidP="00B73EEB">
      <w:pPr>
        <w:pStyle w:val="ListParagraph"/>
        <w:spacing w:after="0" w:line="240" w:lineRule="auto"/>
      </w:pPr>
    </w:p>
    <w:p w14:paraId="6BDF6F6B" w14:textId="77777777" w:rsidR="00B73EEB" w:rsidRPr="00D17DA9" w:rsidRDefault="00B73EEB" w:rsidP="00B73EEB">
      <w:pPr>
        <w:pStyle w:val="ListParagraph"/>
        <w:spacing w:after="0" w:line="240" w:lineRule="auto"/>
        <w:rPr>
          <w:b/>
        </w:rPr>
      </w:pPr>
      <w:r w:rsidRPr="00D17DA9">
        <w:rPr>
          <w:b/>
        </w:rPr>
        <w:t>Findings</w:t>
      </w:r>
    </w:p>
    <w:p w14:paraId="13625435" w14:textId="5383712C" w:rsidR="00B73EEB" w:rsidRPr="008A2E71" w:rsidRDefault="00B73EEB" w:rsidP="00010E2A">
      <w:pPr>
        <w:pStyle w:val="ListParagraph"/>
        <w:numPr>
          <w:ilvl w:val="0"/>
          <w:numId w:val="6"/>
        </w:numPr>
        <w:spacing w:after="0" w:line="240" w:lineRule="auto"/>
      </w:pPr>
      <w:r w:rsidRPr="008A2E71">
        <w:t xml:space="preserve">Clients who are deaf or hard of hearing </w:t>
      </w:r>
      <w:r w:rsidR="008A2E71" w:rsidRPr="008A2E71">
        <w:t>earned</w:t>
      </w:r>
      <w:r w:rsidRPr="008A2E71">
        <w:t xml:space="preserve"> </w:t>
      </w:r>
      <w:r w:rsidR="00364B6D" w:rsidRPr="008A2E71">
        <w:t>the highest average weekly wage</w:t>
      </w:r>
      <w:r w:rsidRPr="008A2E71">
        <w:t xml:space="preserve"> </w:t>
      </w:r>
      <w:r w:rsidR="00364B6D" w:rsidRPr="008A2E71">
        <w:t>of $</w:t>
      </w:r>
      <w:r w:rsidR="008A2E71" w:rsidRPr="008A2E71">
        <w:t>6</w:t>
      </w:r>
      <w:r w:rsidR="00280DCC">
        <w:t>87</w:t>
      </w:r>
      <w:r w:rsidR="00364B6D" w:rsidRPr="008A2E71">
        <w:t xml:space="preserve"> </w:t>
      </w:r>
      <w:r w:rsidR="008A2E71" w:rsidRPr="008A2E71">
        <w:t>and</w:t>
      </w:r>
      <w:r w:rsidR="00364B6D" w:rsidRPr="008A2E71">
        <w:t xml:space="preserve"> </w:t>
      </w:r>
      <w:r w:rsidR="008A2E71" w:rsidRPr="008A2E71">
        <w:t xml:space="preserve">worked more hours with </w:t>
      </w:r>
      <w:r w:rsidR="00280DCC">
        <w:t>35</w:t>
      </w:r>
      <w:r w:rsidR="00364B6D" w:rsidRPr="008A2E71">
        <w:t xml:space="preserve"> hours as the average weekly hours worked</w:t>
      </w:r>
      <w:r w:rsidRPr="008A2E71">
        <w:t xml:space="preserve">, which is followed by those with </w:t>
      </w:r>
      <w:r w:rsidR="00280DCC">
        <w:t xml:space="preserve">visual disabilities ($648/week and 27 hours); </w:t>
      </w:r>
      <w:r w:rsidRPr="008A2E71">
        <w:t>physical disabilities ($</w:t>
      </w:r>
      <w:r w:rsidR="00280DCC">
        <w:t>476</w:t>
      </w:r>
      <w:r w:rsidRPr="008A2E71">
        <w:t xml:space="preserve">/week and </w:t>
      </w:r>
      <w:r w:rsidR="00280DCC">
        <w:t>28</w:t>
      </w:r>
      <w:r w:rsidRPr="008A2E71">
        <w:t xml:space="preserve"> hours); </w:t>
      </w:r>
      <w:r w:rsidR="00364B6D" w:rsidRPr="008A2E71">
        <w:t>mental il</w:t>
      </w:r>
      <w:r w:rsidR="008A2E71" w:rsidRPr="008A2E71">
        <w:t>lness-related disabilities ($</w:t>
      </w:r>
      <w:r w:rsidR="00280DCC">
        <w:t>345</w:t>
      </w:r>
      <w:r w:rsidR="00364B6D" w:rsidRPr="008A2E71">
        <w:t>/week and 2</w:t>
      </w:r>
      <w:r w:rsidR="00280DCC">
        <w:t>6</w:t>
      </w:r>
      <w:r w:rsidR="00364B6D" w:rsidRPr="008A2E71">
        <w:t xml:space="preserve"> hours); </w:t>
      </w:r>
      <w:r w:rsidR="00280DCC">
        <w:t xml:space="preserve">and </w:t>
      </w:r>
      <w:r w:rsidRPr="008A2E71">
        <w:t>cognitive disabilities ($2</w:t>
      </w:r>
      <w:r w:rsidR="00280DCC">
        <w:t>29</w:t>
      </w:r>
      <w:r w:rsidRPr="008A2E71">
        <w:t>/week and 22 hours)</w:t>
      </w:r>
      <w:r w:rsidR="00280DCC">
        <w:t>.</w:t>
      </w:r>
    </w:p>
    <w:p w14:paraId="391CFBA3" w14:textId="77777777" w:rsidR="00B73EEB" w:rsidRPr="00D17DA9" w:rsidRDefault="00B73EEB" w:rsidP="00B73EEB">
      <w:pPr>
        <w:spacing w:after="0" w:line="240" w:lineRule="auto"/>
      </w:pPr>
    </w:p>
    <w:p w14:paraId="27EE7202" w14:textId="2074EE17" w:rsidR="00B73EEB" w:rsidRPr="00D17DA9" w:rsidRDefault="00B73EEB" w:rsidP="00B73EEB">
      <w:pPr>
        <w:pStyle w:val="ListParagraph"/>
        <w:spacing w:line="240" w:lineRule="auto"/>
        <w:jc w:val="center"/>
        <w:rPr>
          <w:b/>
        </w:rPr>
      </w:pPr>
      <w:r w:rsidRPr="00D17DA9">
        <w:rPr>
          <w:b/>
        </w:rPr>
        <w:t>CHART 8</w:t>
      </w:r>
    </w:p>
    <w:p w14:paraId="54CF3DC5" w14:textId="6342BCDD" w:rsidR="00B73EEB" w:rsidRPr="00D17DA9" w:rsidRDefault="00B73EEB" w:rsidP="00B73EEB">
      <w:pPr>
        <w:pStyle w:val="ListParagraph"/>
        <w:spacing w:line="240" w:lineRule="auto"/>
        <w:jc w:val="center"/>
        <w:rPr>
          <w:b/>
        </w:rPr>
      </w:pPr>
      <w:r w:rsidRPr="00D17DA9">
        <w:rPr>
          <w:b/>
        </w:rPr>
        <w:t xml:space="preserve">Average Weekly Wages and Hours for Successful Closures </w:t>
      </w:r>
      <w:r w:rsidR="009033C2" w:rsidRPr="00D17DA9">
        <w:rPr>
          <w:b/>
        </w:rPr>
        <w:t>in FFY</w:t>
      </w:r>
      <w:r w:rsidR="00362DF7">
        <w:rPr>
          <w:b/>
        </w:rPr>
        <w:t xml:space="preserve"> 201</w:t>
      </w:r>
      <w:r w:rsidR="00505244">
        <w:rPr>
          <w:b/>
        </w:rPr>
        <w:t>9</w:t>
      </w:r>
    </w:p>
    <w:p w14:paraId="2D818EED" w14:textId="77777777" w:rsidR="00B73EEB" w:rsidRPr="00D17DA9" w:rsidRDefault="00B73EEB" w:rsidP="00B73EEB">
      <w:pPr>
        <w:pStyle w:val="ListParagraph"/>
        <w:spacing w:line="240" w:lineRule="auto"/>
        <w:jc w:val="center"/>
        <w:rPr>
          <w:b/>
        </w:rPr>
      </w:pPr>
    </w:p>
    <w:p w14:paraId="5E54EFAA" w14:textId="5D48727E" w:rsidR="00B73EEB" w:rsidRPr="00D17DA9" w:rsidRDefault="00AD146A" w:rsidP="00B73EEB">
      <w:pPr>
        <w:pStyle w:val="ListParagraph"/>
        <w:spacing w:line="240" w:lineRule="auto"/>
        <w:jc w:val="center"/>
        <w:rPr>
          <w:b/>
        </w:rPr>
      </w:pPr>
      <w:r w:rsidRPr="00D17DA9">
        <w:rPr>
          <w:b/>
          <w:noProof/>
        </w:rPr>
        <w:drawing>
          <wp:inline distT="0" distB="0" distL="0" distR="0" wp14:anchorId="3F5D289C" wp14:editId="3B3F6288">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7050BE" w14:textId="77777777" w:rsidR="00B73EEB" w:rsidRPr="00D17DA9" w:rsidRDefault="00B73EEB" w:rsidP="00B73EEB">
      <w:pPr>
        <w:pStyle w:val="ListParagraph"/>
        <w:spacing w:after="0" w:line="240" w:lineRule="auto"/>
        <w:rPr>
          <w:b/>
        </w:rPr>
      </w:pPr>
    </w:p>
    <w:p w14:paraId="7435CEA0" w14:textId="77777777" w:rsidR="00B73EEB" w:rsidRPr="00D17DA9" w:rsidRDefault="00B73EEB" w:rsidP="00556E61">
      <w:pPr>
        <w:pStyle w:val="ListParagraph"/>
        <w:ind w:left="1080"/>
        <w:rPr>
          <w:b/>
        </w:rPr>
      </w:pPr>
    </w:p>
    <w:p w14:paraId="6F160BD2" w14:textId="77777777" w:rsidR="00B73EEB" w:rsidRPr="00D17DA9" w:rsidRDefault="00B73EEB" w:rsidP="00556E61">
      <w:pPr>
        <w:pStyle w:val="ListParagraph"/>
        <w:ind w:left="1080"/>
        <w:rPr>
          <w:b/>
        </w:rPr>
      </w:pPr>
    </w:p>
    <w:p w14:paraId="3BD07518" w14:textId="77777777" w:rsidR="00B73EEB" w:rsidRPr="00D17DA9" w:rsidRDefault="00B73EEB" w:rsidP="00556E61">
      <w:pPr>
        <w:pStyle w:val="ListParagraph"/>
        <w:ind w:left="1080"/>
        <w:rPr>
          <w:b/>
        </w:rPr>
      </w:pPr>
    </w:p>
    <w:p w14:paraId="4728F2A9" w14:textId="77777777" w:rsidR="00B73EEB" w:rsidRPr="00D17DA9" w:rsidRDefault="00B73EEB" w:rsidP="00556E61">
      <w:pPr>
        <w:pStyle w:val="ListParagraph"/>
        <w:ind w:left="1080"/>
        <w:rPr>
          <w:b/>
        </w:rPr>
      </w:pPr>
    </w:p>
    <w:p w14:paraId="08F2082D" w14:textId="77777777" w:rsidR="00B73EEB" w:rsidRPr="00D17DA9" w:rsidRDefault="00B73EEB" w:rsidP="00556E61">
      <w:pPr>
        <w:pStyle w:val="ListParagraph"/>
        <w:ind w:left="1080"/>
        <w:rPr>
          <w:b/>
        </w:rPr>
      </w:pPr>
    </w:p>
    <w:p w14:paraId="48306477" w14:textId="77777777" w:rsidR="00B73EEB" w:rsidRPr="00D17DA9" w:rsidRDefault="00B73EEB" w:rsidP="00556E61">
      <w:pPr>
        <w:pStyle w:val="ListParagraph"/>
        <w:ind w:left="1080"/>
        <w:rPr>
          <w:b/>
        </w:rPr>
      </w:pPr>
    </w:p>
    <w:p w14:paraId="038AF2F7" w14:textId="77777777" w:rsidR="00B73EEB" w:rsidRPr="00D17DA9" w:rsidRDefault="00B73EEB" w:rsidP="00556E61">
      <w:pPr>
        <w:pStyle w:val="ListParagraph"/>
        <w:ind w:left="1080"/>
        <w:rPr>
          <w:b/>
        </w:rPr>
      </w:pPr>
    </w:p>
    <w:p w14:paraId="04979705" w14:textId="77777777" w:rsidR="00B73EEB" w:rsidRPr="00D17DA9" w:rsidRDefault="00B73EEB" w:rsidP="00556E61">
      <w:pPr>
        <w:pStyle w:val="ListParagraph"/>
        <w:ind w:left="1080"/>
        <w:rPr>
          <w:b/>
        </w:rPr>
      </w:pPr>
    </w:p>
    <w:p w14:paraId="46895184" w14:textId="77777777" w:rsidR="00B73EEB" w:rsidRPr="00D17DA9" w:rsidRDefault="00B73EEB" w:rsidP="00556E61">
      <w:pPr>
        <w:pStyle w:val="ListParagraph"/>
        <w:ind w:left="1080"/>
        <w:rPr>
          <w:b/>
        </w:rPr>
      </w:pPr>
    </w:p>
    <w:p w14:paraId="1D08FF5C" w14:textId="77777777" w:rsidR="00B73EEB" w:rsidRDefault="00B73EEB" w:rsidP="00556E61">
      <w:pPr>
        <w:pStyle w:val="ListParagraph"/>
        <w:ind w:left="1080"/>
        <w:rPr>
          <w:b/>
        </w:rPr>
      </w:pPr>
    </w:p>
    <w:p w14:paraId="611765A1" w14:textId="50A00823" w:rsidR="00F1702E" w:rsidRDefault="00F1702E" w:rsidP="00556E61">
      <w:pPr>
        <w:pStyle w:val="ListParagraph"/>
        <w:ind w:left="1080"/>
        <w:rPr>
          <w:b/>
        </w:rPr>
      </w:pPr>
    </w:p>
    <w:p w14:paraId="2664F996" w14:textId="0AC7C54A" w:rsidR="0011236B" w:rsidRDefault="0011236B" w:rsidP="00556E61">
      <w:pPr>
        <w:pStyle w:val="ListParagraph"/>
        <w:ind w:left="1080"/>
        <w:rPr>
          <w:b/>
        </w:rPr>
      </w:pPr>
    </w:p>
    <w:p w14:paraId="2CE85A89" w14:textId="77777777" w:rsidR="0011236B" w:rsidRDefault="0011236B" w:rsidP="00556E61">
      <w:pPr>
        <w:pStyle w:val="ListParagraph"/>
        <w:ind w:left="1080"/>
        <w:rPr>
          <w:b/>
        </w:rPr>
      </w:pPr>
    </w:p>
    <w:p w14:paraId="59A2B178" w14:textId="77777777" w:rsidR="00F1702E" w:rsidRDefault="00F1702E" w:rsidP="00556E61">
      <w:pPr>
        <w:pStyle w:val="ListParagraph"/>
        <w:ind w:left="1080"/>
        <w:rPr>
          <w:b/>
        </w:rPr>
      </w:pPr>
    </w:p>
    <w:p w14:paraId="517F3C95" w14:textId="77777777" w:rsidR="00F1702E" w:rsidRPr="00D17DA9" w:rsidRDefault="00F1702E" w:rsidP="00556E61">
      <w:pPr>
        <w:pStyle w:val="ListParagraph"/>
        <w:ind w:left="1080"/>
        <w:rPr>
          <w:b/>
        </w:rPr>
      </w:pPr>
    </w:p>
    <w:p w14:paraId="35BAC7E3" w14:textId="77777777" w:rsidR="00D37A0F" w:rsidRPr="00D17DA9" w:rsidRDefault="00D37A0F" w:rsidP="00010E2A">
      <w:pPr>
        <w:pStyle w:val="ListParagraph"/>
        <w:numPr>
          <w:ilvl w:val="1"/>
          <w:numId w:val="1"/>
        </w:numPr>
        <w:spacing w:line="240" w:lineRule="auto"/>
        <w:rPr>
          <w:b/>
        </w:rPr>
      </w:pPr>
      <w:r w:rsidRPr="00D17DA9">
        <w:rPr>
          <w:b/>
        </w:rPr>
        <w:t>Services and Expenditures Costs</w:t>
      </w:r>
    </w:p>
    <w:p w14:paraId="2ECF1C21" w14:textId="77777777" w:rsidR="005B2211" w:rsidRDefault="00263BE8" w:rsidP="005B2211">
      <w:pPr>
        <w:pStyle w:val="ListParagraph"/>
        <w:spacing w:after="0" w:line="240" w:lineRule="auto"/>
      </w:pPr>
      <w:r w:rsidRPr="00D17DA9">
        <w:t>Maine’s DVR program and the amendments to the Rehabilitation Act emphasize the importance of informed consumer choice, namely, providing DVR individuals with the information they need to choose vocational goals and determine the available services appropriate to meet those goals.  Furthermore, cost information can also serve as in indicator for the mix of services that Maine’s DVR individuals have asked and received approval</w:t>
      </w:r>
      <w:r w:rsidR="005B2211">
        <w:t xml:space="preserve"> for the past few fiscal years.  </w:t>
      </w:r>
    </w:p>
    <w:p w14:paraId="1CB8C39C" w14:textId="77777777" w:rsidR="005B2211" w:rsidRDefault="005B2211" w:rsidP="005B2211">
      <w:pPr>
        <w:pStyle w:val="ListParagraph"/>
        <w:spacing w:after="0" w:line="240" w:lineRule="auto"/>
      </w:pPr>
    </w:p>
    <w:p w14:paraId="7734FC87" w14:textId="77777777" w:rsidR="005B2211" w:rsidRDefault="00263BE8" w:rsidP="005B2211">
      <w:pPr>
        <w:pStyle w:val="ListParagraph"/>
        <w:spacing w:after="0" w:line="240" w:lineRule="auto"/>
      </w:pPr>
      <w:r w:rsidRPr="00D17DA9">
        <w:t xml:space="preserve">This section highlights trends in annual costs of DVR services and the service areas where these costs are concentrated.  DVR classifies services into nearly 100 categories.  </w:t>
      </w:r>
    </w:p>
    <w:p w14:paraId="1F263259" w14:textId="77777777" w:rsidR="005B2211" w:rsidRDefault="005B2211" w:rsidP="005B2211">
      <w:pPr>
        <w:pStyle w:val="ListParagraph"/>
        <w:spacing w:after="0" w:line="240" w:lineRule="auto"/>
      </w:pPr>
    </w:p>
    <w:p w14:paraId="39FC9B6A" w14:textId="2936E1AD" w:rsidR="00263BE8" w:rsidRPr="00D17DA9" w:rsidRDefault="00263BE8" w:rsidP="005B2211">
      <w:pPr>
        <w:pStyle w:val="ListParagraph"/>
        <w:spacing w:after="0" w:line="240" w:lineRule="auto"/>
      </w:pPr>
      <w:r w:rsidRPr="00D17DA9">
        <w:t>For presentation purposes in this report, these categories are aggregated into a smaller set of 1</w:t>
      </w:r>
      <w:r w:rsidR="005167E6">
        <w:t>1</w:t>
      </w:r>
      <w:r w:rsidRPr="00D17DA9">
        <w:t xml:space="preserve"> service groups described below in Figure 1.</w:t>
      </w:r>
    </w:p>
    <w:p w14:paraId="54390B2D" w14:textId="77777777" w:rsidR="00263BE8" w:rsidRPr="00D17DA9" w:rsidRDefault="00263BE8" w:rsidP="00263BE8">
      <w:pPr>
        <w:pStyle w:val="ListParagraph"/>
        <w:ind w:left="1080"/>
        <w:rPr>
          <w:b/>
        </w:rPr>
      </w:pPr>
    </w:p>
    <w:p w14:paraId="58FA63F8" w14:textId="469FD6DD" w:rsidR="00263BE8" w:rsidRPr="00D17DA9" w:rsidRDefault="004E4177" w:rsidP="00263BE8">
      <w:pPr>
        <w:pStyle w:val="ListParagraph"/>
        <w:spacing w:line="240" w:lineRule="auto"/>
        <w:jc w:val="center"/>
        <w:rPr>
          <w:b/>
        </w:rPr>
      </w:pPr>
      <w:r>
        <w:rPr>
          <w:b/>
        </w:rPr>
        <w:t>FIGURE</w:t>
      </w:r>
      <w:r w:rsidR="00263BE8" w:rsidRPr="00D17DA9">
        <w:rPr>
          <w:b/>
        </w:rPr>
        <w:t xml:space="preserve"> 1</w:t>
      </w:r>
    </w:p>
    <w:p w14:paraId="7D7F545D" w14:textId="35109F94" w:rsidR="00263BE8" w:rsidRPr="00D17DA9" w:rsidRDefault="00263BE8" w:rsidP="00263BE8">
      <w:pPr>
        <w:pStyle w:val="ListParagraph"/>
        <w:spacing w:line="240" w:lineRule="auto"/>
        <w:jc w:val="center"/>
        <w:rPr>
          <w:b/>
        </w:rPr>
      </w:pPr>
      <w:r w:rsidRPr="00D17DA9">
        <w:rPr>
          <w:b/>
        </w:rPr>
        <w:t>Description of Vocational Rehabilitation Service Groups</w:t>
      </w:r>
    </w:p>
    <w:p w14:paraId="45488DA4" w14:textId="77777777" w:rsidR="00052450" w:rsidRPr="00D17DA9" w:rsidRDefault="00052450" w:rsidP="00263BE8">
      <w:pPr>
        <w:pStyle w:val="ListParagraph"/>
        <w:spacing w:line="240" w:lineRule="auto"/>
        <w:jc w:val="center"/>
        <w:rPr>
          <w:b/>
        </w:rPr>
      </w:pPr>
    </w:p>
    <w:tbl>
      <w:tblPr>
        <w:tblStyle w:val="TableGrid"/>
        <w:tblW w:w="9648" w:type="dxa"/>
        <w:tblInd w:w="720" w:type="dxa"/>
        <w:tblLook w:val="04A0" w:firstRow="1" w:lastRow="0" w:firstColumn="1" w:lastColumn="0" w:noHBand="0" w:noVBand="1"/>
      </w:tblPr>
      <w:tblGrid>
        <w:gridCol w:w="4338"/>
        <w:gridCol w:w="5310"/>
      </w:tblGrid>
      <w:tr w:rsidR="00263BE8" w:rsidRPr="00D17DA9" w14:paraId="17C4564B" w14:textId="77777777" w:rsidTr="00052450">
        <w:tc>
          <w:tcPr>
            <w:tcW w:w="4338" w:type="dxa"/>
            <w:shd w:val="clear" w:color="auto" w:fill="838995" w:themeFill="accent5"/>
            <w:vAlign w:val="center"/>
          </w:tcPr>
          <w:p w14:paraId="56B95C4A" w14:textId="22A06031" w:rsidR="00263BE8" w:rsidRPr="00D17DA9" w:rsidRDefault="00263BE8" w:rsidP="006F5D1D">
            <w:pPr>
              <w:pStyle w:val="ListParagraph"/>
              <w:ind w:left="0"/>
              <w:jc w:val="center"/>
              <w:rPr>
                <w:b/>
                <w:color w:val="FFFFFF" w:themeColor="background1"/>
              </w:rPr>
            </w:pPr>
            <w:r w:rsidRPr="00D17DA9">
              <w:rPr>
                <w:b/>
                <w:color w:val="FFFFFF" w:themeColor="background1"/>
              </w:rPr>
              <w:t>VR Service Group</w:t>
            </w:r>
          </w:p>
        </w:tc>
        <w:tc>
          <w:tcPr>
            <w:tcW w:w="5310" w:type="dxa"/>
            <w:shd w:val="clear" w:color="auto" w:fill="838995" w:themeFill="accent5"/>
            <w:vAlign w:val="center"/>
          </w:tcPr>
          <w:p w14:paraId="20166F9B" w14:textId="3C13E4B7" w:rsidR="00263BE8" w:rsidRPr="00D17DA9" w:rsidRDefault="00263BE8" w:rsidP="006F5D1D">
            <w:pPr>
              <w:pStyle w:val="ListParagraph"/>
              <w:ind w:left="0"/>
              <w:jc w:val="center"/>
              <w:rPr>
                <w:b/>
                <w:color w:val="FFFFFF" w:themeColor="background1"/>
              </w:rPr>
            </w:pPr>
            <w:r w:rsidRPr="00D17DA9">
              <w:rPr>
                <w:b/>
                <w:color w:val="FFFFFF" w:themeColor="background1"/>
              </w:rPr>
              <w:t>Examples of Services</w:t>
            </w:r>
          </w:p>
        </w:tc>
      </w:tr>
      <w:tr w:rsidR="00263BE8" w:rsidRPr="00D17DA9" w14:paraId="23D871B9" w14:textId="77777777" w:rsidTr="00052450">
        <w:tc>
          <w:tcPr>
            <w:tcW w:w="4338" w:type="dxa"/>
            <w:vAlign w:val="center"/>
          </w:tcPr>
          <w:p w14:paraId="622F2B93" w14:textId="623A0AA8" w:rsidR="00263BE8" w:rsidRPr="00D17DA9" w:rsidRDefault="00263BE8" w:rsidP="00937E27">
            <w:pPr>
              <w:pStyle w:val="ListParagraph"/>
              <w:ind w:left="0"/>
            </w:pPr>
            <w:r w:rsidRPr="00D17DA9">
              <w:t>Job Development &amp; Placement</w:t>
            </w:r>
          </w:p>
        </w:tc>
        <w:tc>
          <w:tcPr>
            <w:tcW w:w="5310" w:type="dxa"/>
            <w:vAlign w:val="center"/>
          </w:tcPr>
          <w:p w14:paraId="46A7864F" w14:textId="3898E3AB" w:rsidR="00263BE8" w:rsidRPr="00D17DA9" w:rsidRDefault="00937E27" w:rsidP="00937E27">
            <w:pPr>
              <w:pStyle w:val="ListParagraph"/>
              <w:ind w:left="0"/>
            </w:pPr>
            <w:r w:rsidRPr="00D17DA9">
              <w:t>Job Development, Analysis, Placement &amp; Referral</w:t>
            </w:r>
          </w:p>
        </w:tc>
      </w:tr>
      <w:tr w:rsidR="00263BE8" w:rsidRPr="00D17DA9" w14:paraId="43511834" w14:textId="77777777" w:rsidTr="00052450">
        <w:tc>
          <w:tcPr>
            <w:tcW w:w="4338" w:type="dxa"/>
            <w:vAlign w:val="center"/>
          </w:tcPr>
          <w:p w14:paraId="418F84B3" w14:textId="7DADE8FB" w:rsidR="00263BE8" w:rsidRPr="00D17DA9" w:rsidRDefault="00263BE8" w:rsidP="00937E27">
            <w:pPr>
              <w:pStyle w:val="ListParagraph"/>
              <w:ind w:left="0"/>
            </w:pPr>
            <w:r w:rsidRPr="00D17DA9">
              <w:t>College or University Training</w:t>
            </w:r>
          </w:p>
        </w:tc>
        <w:tc>
          <w:tcPr>
            <w:tcW w:w="5310" w:type="dxa"/>
            <w:vAlign w:val="center"/>
          </w:tcPr>
          <w:p w14:paraId="39E28D3C" w14:textId="5C62DB01" w:rsidR="00263BE8" w:rsidRPr="00D17DA9" w:rsidRDefault="00937E27" w:rsidP="00937E27">
            <w:pPr>
              <w:pStyle w:val="ListParagraph"/>
              <w:ind w:left="0"/>
            </w:pPr>
            <w:r w:rsidRPr="00D17DA9">
              <w:t>Tuition, Boarding, Fees, Books, School Supplies</w:t>
            </w:r>
          </w:p>
        </w:tc>
      </w:tr>
      <w:tr w:rsidR="00D13EBF" w:rsidRPr="00D17DA9" w14:paraId="66859EEC" w14:textId="77777777" w:rsidTr="00052450">
        <w:tc>
          <w:tcPr>
            <w:tcW w:w="4338" w:type="dxa"/>
            <w:vAlign w:val="center"/>
          </w:tcPr>
          <w:p w14:paraId="3B606261" w14:textId="579F035D" w:rsidR="00D13EBF" w:rsidRPr="00D17DA9" w:rsidRDefault="00D13EBF" w:rsidP="00937E27">
            <w:pPr>
              <w:pStyle w:val="ListParagraph"/>
              <w:ind w:left="0"/>
            </w:pPr>
            <w:r w:rsidRPr="00D17DA9">
              <w:t>Assessment</w:t>
            </w:r>
          </w:p>
        </w:tc>
        <w:tc>
          <w:tcPr>
            <w:tcW w:w="5310" w:type="dxa"/>
            <w:vAlign w:val="center"/>
          </w:tcPr>
          <w:p w14:paraId="7BAAE7A5" w14:textId="0A50F216" w:rsidR="00D13EBF" w:rsidRPr="00D17DA9" w:rsidRDefault="00D13EBF" w:rsidP="00937E27">
            <w:pPr>
              <w:pStyle w:val="ListParagraph"/>
              <w:ind w:left="0"/>
            </w:pPr>
            <w:r w:rsidRPr="00D17DA9">
              <w:t>Community Based Situational Assessments and Disability Related Evaluations</w:t>
            </w:r>
          </w:p>
        </w:tc>
      </w:tr>
      <w:tr w:rsidR="00D13EBF" w:rsidRPr="00D17DA9" w14:paraId="23368B44" w14:textId="77777777" w:rsidTr="00052450">
        <w:tc>
          <w:tcPr>
            <w:tcW w:w="4338" w:type="dxa"/>
            <w:vAlign w:val="center"/>
          </w:tcPr>
          <w:p w14:paraId="191A61D4" w14:textId="033A13FE" w:rsidR="00D13EBF" w:rsidRPr="00D17DA9" w:rsidRDefault="00D13EBF" w:rsidP="00937E27">
            <w:pPr>
              <w:pStyle w:val="ListParagraph"/>
              <w:ind w:left="0"/>
            </w:pPr>
            <w:r w:rsidRPr="00D17DA9">
              <w:t>On-the-Job Supports</w:t>
            </w:r>
          </w:p>
        </w:tc>
        <w:tc>
          <w:tcPr>
            <w:tcW w:w="5310" w:type="dxa"/>
            <w:vAlign w:val="center"/>
          </w:tcPr>
          <w:p w14:paraId="2427BAD0" w14:textId="383CA414" w:rsidR="00D13EBF" w:rsidRPr="00D17DA9" w:rsidRDefault="00D13EBF" w:rsidP="00937E27">
            <w:pPr>
              <w:pStyle w:val="ListParagraph"/>
              <w:ind w:left="0"/>
            </w:pPr>
            <w:r w:rsidRPr="00D17DA9">
              <w:t>Job Coaching (both at work site and off site) and On-the-Job Training</w:t>
            </w:r>
          </w:p>
        </w:tc>
      </w:tr>
      <w:tr w:rsidR="00D13EBF" w:rsidRPr="00D17DA9" w14:paraId="3420E7D7" w14:textId="77777777" w:rsidTr="00052450">
        <w:tc>
          <w:tcPr>
            <w:tcW w:w="4338" w:type="dxa"/>
            <w:vAlign w:val="center"/>
          </w:tcPr>
          <w:p w14:paraId="7E897109" w14:textId="75F46828" w:rsidR="00D13EBF" w:rsidRPr="00D17DA9" w:rsidRDefault="00D13EBF" w:rsidP="00937E27">
            <w:pPr>
              <w:pStyle w:val="ListParagraph"/>
              <w:ind w:left="0"/>
            </w:pPr>
            <w:r w:rsidRPr="00D17DA9">
              <w:t>All Other Services</w:t>
            </w:r>
          </w:p>
        </w:tc>
        <w:tc>
          <w:tcPr>
            <w:tcW w:w="5310" w:type="dxa"/>
            <w:vAlign w:val="center"/>
          </w:tcPr>
          <w:p w14:paraId="79C27574" w14:textId="64457BCC" w:rsidR="00D13EBF" w:rsidRPr="00D17DA9" w:rsidRDefault="00D13EBF" w:rsidP="00937E27">
            <w:pPr>
              <w:pStyle w:val="ListParagraph"/>
              <w:ind w:left="0"/>
            </w:pPr>
            <w:r w:rsidRPr="00D17DA9">
              <w:t>Readers/Interpreters, Occupational Tools &amp; Equipment, Services to Family Members, Purchased Counseling &amp; Guidance</w:t>
            </w:r>
            <w:r w:rsidR="005167E6">
              <w:t>, Pre-Employment Transition Services</w:t>
            </w:r>
          </w:p>
        </w:tc>
      </w:tr>
      <w:tr w:rsidR="00D13EBF" w:rsidRPr="00D17DA9" w14:paraId="421FA287" w14:textId="77777777" w:rsidTr="00052450">
        <w:tc>
          <w:tcPr>
            <w:tcW w:w="4338" w:type="dxa"/>
            <w:vAlign w:val="center"/>
          </w:tcPr>
          <w:p w14:paraId="6D6AF0F4" w14:textId="13E2B9E7" w:rsidR="00D13EBF" w:rsidRPr="00D17DA9" w:rsidRDefault="00D13EBF" w:rsidP="00937E27">
            <w:pPr>
              <w:pStyle w:val="ListParagraph"/>
              <w:ind w:left="0"/>
            </w:pPr>
            <w:r w:rsidRPr="00D17DA9">
              <w:t>Occupational/Vocational &amp; Other Training</w:t>
            </w:r>
          </w:p>
        </w:tc>
        <w:tc>
          <w:tcPr>
            <w:tcW w:w="5310" w:type="dxa"/>
            <w:vAlign w:val="center"/>
          </w:tcPr>
          <w:p w14:paraId="3AAAB647" w14:textId="254148F7" w:rsidR="00D13EBF" w:rsidRPr="00D17DA9" w:rsidRDefault="00D13EBF" w:rsidP="00937E27">
            <w:pPr>
              <w:pStyle w:val="ListParagraph"/>
              <w:ind w:left="0"/>
            </w:pPr>
            <w:r w:rsidRPr="00D17DA9">
              <w:t>Business/Vocational Training, Books, Supplies, Boarding, Tutoring, Fees, Adult Education, Literacy, Mobility Training, Truck Driving School, etc.</w:t>
            </w:r>
          </w:p>
        </w:tc>
      </w:tr>
      <w:tr w:rsidR="00D13EBF" w:rsidRPr="00D17DA9" w14:paraId="4F7475AD" w14:textId="77777777" w:rsidTr="00052450">
        <w:tc>
          <w:tcPr>
            <w:tcW w:w="4338" w:type="dxa"/>
            <w:vAlign w:val="center"/>
          </w:tcPr>
          <w:p w14:paraId="3711EF77" w14:textId="5369ADB4" w:rsidR="00D13EBF" w:rsidRPr="00D17DA9" w:rsidRDefault="00D13EBF" w:rsidP="00937E27">
            <w:pPr>
              <w:pStyle w:val="ListParagraph"/>
              <w:ind w:left="0"/>
            </w:pPr>
            <w:r w:rsidRPr="00D17DA9">
              <w:t>Hearing Aid</w:t>
            </w:r>
          </w:p>
        </w:tc>
        <w:tc>
          <w:tcPr>
            <w:tcW w:w="5310" w:type="dxa"/>
            <w:vAlign w:val="center"/>
          </w:tcPr>
          <w:p w14:paraId="461C8704" w14:textId="1839BB4B" w:rsidR="00D13EBF" w:rsidRPr="00D17DA9" w:rsidRDefault="00D13EBF" w:rsidP="00937E27">
            <w:pPr>
              <w:pStyle w:val="ListParagraph"/>
              <w:ind w:left="0"/>
            </w:pPr>
            <w:r w:rsidRPr="00D17DA9">
              <w:t>Provision of Hearing Aids, Molds, and Repair</w:t>
            </w:r>
          </w:p>
        </w:tc>
      </w:tr>
      <w:tr w:rsidR="00D13EBF" w:rsidRPr="00D17DA9" w14:paraId="6054A86B" w14:textId="77777777" w:rsidTr="00052450">
        <w:tc>
          <w:tcPr>
            <w:tcW w:w="4338" w:type="dxa"/>
            <w:vAlign w:val="center"/>
          </w:tcPr>
          <w:p w14:paraId="52AADBA0" w14:textId="2F36375D" w:rsidR="00D13EBF" w:rsidRPr="00D17DA9" w:rsidRDefault="00D13EBF" w:rsidP="00937E27">
            <w:pPr>
              <w:pStyle w:val="ListParagraph"/>
              <w:ind w:left="0"/>
            </w:pPr>
            <w:r w:rsidRPr="00D17DA9">
              <w:t>Transportation</w:t>
            </w:r>
          </w:p>
        </w:tc>
        <w:tc>
          <w:tcPr>
            <w:tcW w:w="5310" w:type="dxa"/>
            <w:vAlign w:val="center"/>
          </w:tcPr>
          <w:p w14:paraId="7FB86702" w14:textId="5498FDDA" w:rsidR="00D13EBF" w:rsidRPr="00D17DA9" w:rsidRDefault="00D13EBF" w:rsidP="00937E27">
            <w:pPr>
              <w:pStyle w:val="ListParagraph"/>
              <w:ind w:left="0"/>
            </w:pPr>
            <w:r w:rsidRPr="00D17DA9">
              <w:t>Cab/Bus Fares, Car Repair, Gas</w:t>
            </w:r>
          </w:p>
        </w:tc>
      </w:tr>
      <w:tr w:rsidR="00D13EBF" w:rsidRPr="00D17DA9" w14:paraId="0F3FF9C3" w14:textId="77777777" w:rsidTr="00052450">
        <w:tc>
          <w:tcPr>
            <w:tcW w:w="4338" w:type="dxa"/>
            <w:vAlign w:val="center"/>
          </w:tcPr>
          <w:p w14:paraId="36972ADB" w14:textId="48F44857" w:rsidR="00D13EBF" w:rsidRPr="00D17DA9" w:rsidRDefault="00D13EBF" w:rsidP="00937E27">
            <w:pPr>
              <w:pStyle w:val="ListParagraph"/>
              <w:ind w:left="0"/>
            </w:pPr>
            <w:r w:rsidRPr="00D17DA9">
              <w:t>Rehabilitation Technology</w:t>
            </w:r>
          </w:p>
        </w:tc>
        <w:tc>
          <w:tcPr>
            <w:tcW w:w="5310" w:type="dxa"/>
            <w:vAlign w:val="center"/>
          </w:tcPr>
          <w:p w14:paraId="6053F08B" w14:textId="5EB01BC4" w:rsidR="00D13EBF" w:rsidRPr="00D17DA9" w:rsidRDefault="00D13EBF" w:rsidP="00937E27">
            <w:pPr>
              <w:pStyle w:val="ListParagraph"/>
              <w:ind w:left="0"/>
            </w:pPr>
            <w:r w:rsidRPr="00D17DA9">
              <w:t>Computer Equipment, Software, Training, Home/Building or Vehicle Modifications</w:t>
            </w:r>
          </w:p>
        </w:tc>
      </w:tr>
      <w:tr w:rsidR="00D13EBF" w:rsidRPr="00D17DA9" w14:paraId="081C6D7F" w14:textId="77777777" w:rsidTr="00052450">
        <w:tc>
          <w:tcPr>
            <w:tcW w:w="4338" w:type="dxa"/>
            <w:vAlign w:val="center"/>
          </w:tcPr>
          <w:p w14:paraId="245D6B95" w14:textId="5E881CC0" w:rsidR="00D13EBF" w:rsidRPr="00D17DA9" w:rsidRDefault="00D13EBF" w:rsidP="00937E27">
            <w:pPr>
              <w:pStyle w:val="ListParagraph"/>
              <w:ind w:left="0"/>
            </w:pPr>
            <w:r w:rsidRPr="00D17DA9">
              <w:t>Maintenance</w:t>
            </w:r>
          </w:p>
        </w:tc>
        <w:tc>
          <w:tcPr>
            <w:tcW w:w="5310" w:type="dxa"/>
            <w:vAlign w:val="center"/>
          </w:tcPr>
          <w:p w14:paraId="2EF50062" w14:textId="25262292" w:rsidR="00D13EBF" w:rsidRPr="00D17DA9" w:rsidRDefault="00D13EBF" w:rsidP="00937E27">
            <w:pPr>
              <w:pStyle w:val="ListParagraph"/>
              <w:ind w:left="0"/>
            </w:pPr>
            <w:r w:rsidRPr="00D17DA9">
              <w:t>Clothing, Child Care, Food and Shelter to enable IPE</w:t>
            </w:r>
          </w:p>
        </w:tc>
      </w:tr>
      <w:tr w:rsidR="00D13EBF" w:rsidRPr="00D17DA9" w14:paraId="100E572E" w14:textId="77777777" w:rsidTr="00052450">
        <w:tc>
          <w:tcPr>
            <w:tcW w:w="4338" w:type="dxa"/>
            <w:vAlign w:val="center"/>
          </w:tcPr>
          <w:p w14:paraId="45A155F6" w14:textId="26C3E837" w:rsidR="00D13EBF" w:rsidRPr="00D17DA9" w:rsidRDefault="00D13EBF" w:rsidP="00937E27">
            <w:pPr>
              <w:pStyle w:val="ListParagraph"/>
              <w:ind w:left="0"/>
            </w:pPr>
            <w:r w:rsidRPr="00D17DA9">
              <w:t>Diagnosis &amp; Treatment</w:t>
            </w:r>
          </w:p>
        </w:tc>
        <w:tc>
          <w:tcPr>
            <w:tcW w:w="5310" w:type="dxa"/>
            <w:vAlign w:val="center"/>
          </w:tcPr>
          <w:p w14:paraId="596B9A61" w14:textId="4308F1E3" w:rsidR="00D13EBF" w:rsidRPr="00D17DA9" w:rsidRDefault="00D13EBF" w:rsidP="00937E27">
            <w:pPr>
              <w:pStyle w:val="ListParagraph"/>
              <w:ind w:left="0"/>
            </w:pPr>
            <w:r w:rsidRPr="00D17DA9">
              <w:t>Medical Exams, Treatment, Therapy &amp; Counseling</w:t>
            </w:r>
          </w:p>
        </w:tc>
      </w:tr>
    </w:tbl>
    <w:p w14:paraId="17663263" w14:textId="77777777" w:rsidR="005B2211" w:rsidRDefault="005B2211" w:rsidP="006F5D1D">
      <w:pPr>
        <w:pStyle w:val="ListParagraph"/>
        <w:spacing w:after="0" w:line="240" w:lineRule="auto"/>
      </w:pPr>
    </w:p>
    <w:p w14:paraId="46A7C054" w14:textId="77777777" w:rsidR="005B2211" w:rsidRDefault="005B2211" w:rsidP="006F5D1D">
      <w:pPr>
        <w:pStyle w:val="ListParagraph"/>
        <w:spacing w:after="0" w:line="240" w:lineRule="auto"/>
      </w:pPr>
    </w:p>
    <w:p w14:paraId="2C8A317B" w14:textId="77777777" w:rsidR="005B2211" w:rsidRDefault="005B2211" w:rsidP="006F5D1D">
      <w:pPr>
        <w:pStyle w:val="ListParagraph"/>
        <w:spacing w:after="0" w:line="240" w:lineRule="auto"/>
      </w:pPr>
    </w:p>
    <w:p w14:paraId="4C9902CA" w14:textId="77777777" w:rsidR="005B2211" w:rsidRDefault="005B2211" w:rsidP="006F5D1D">
      <w:pPr>
        <w:pStyle w:val="ListParagraph"/>
        <w:spacing w:after="0" w:line="240" w:lineRule="auto"/>
      </w:pPr>
    </w:p>
    <w:p w14:paraId="250CE7AF" w14:textId="77777777" w:rsidR="005B2211" w:rsidRDefault="005B2211" w:rsidP="006F5D1D">
      <w:pPr>
        <w:pStyle w:val="ListParagraph"/>
        <w:spacing w:after="0" w:line="240" w:lineRule="auto"/>
      </w:pPr>
    </w:p>
    <w:p w14:paraId="7B20F86A" w14:textId="77777777" w:rsidR="005B2211" w:rsidRDefault="005B2211" w:rsidP="006F5D1D">
      <w:pPr>
        <w:pStyle w:val="ListParagraph"/>
        <w:spacing w:after="0" w:line="240" w:lineRule="auto"/>
      </w:pPr>
    </w:p>
    <w:p w14:paraId="3AE70487" w14:textId="77777777" w:rsidR="005B2211" w:rsidRDefault="005B2211" w:rsidP="006F5D1D">
      <w:pPr>
        <w:pStyle w:val="ListParagraph"/>
        <w:spacing w:after="0" w:line="240" w:lineRule="auto"/>
      </w:pPr>
    </w:p>
    <w:p w14:paraId="4BA578D9" w14:textId="77777777" w:rsidR="005B2211" w:rsidRDefault="005B2211" w:rsidP="006F5D1D">
      <w:pPr>
        <w:pStyle w:val="ListParagraph"/>
        <w:spacing w:after="0" w:line="240" w:lineRule="auto"/>
      </w:pPr>
    </w:p>
    <w:p w14:paraId="2619F373" w14:textId="77777777" w:rsidR="005B2211" w:rsidRDefault="005B2211" w:rsidP="006F5D1D">
      <w:pPr>
        <w:pStyle w:val="ListParagraph"/>
        <w:spacing w:after="0" w:line="240" w:lineRule="auto"/>
      </w:pPr>
    </w:p>
    <w:p w14:paraId="4C9D5BB7" w14:textId="77777777" w:rsidR="005B2211" w:rsidRDefault="005B2211" w:rsidP="006F5D1D">
      <w:pPr>
        <w:pStyle w:val="ListParagraph"/>
        <w:spacing w:after="0" w:line="240" w:lineRule="auto"/>
      </w:pPr>
    </w:p>
    <w:p w14:paraId="4BD46C9F" w14:textId="77777777" w:rsidR="005B2211" w:rsidRDefault="005B2211" w:rsidP="006F5D1D">
      <w:pPr>
        <w:pStyle w:val="ListParagraph"/>
        <w:spacing w:after="0" w:line="240" w:lineRule="auto"/>
      </w:pPr>
    </w:p>
    <w:p w14:paraId="36275543" w14:textId="77777777" w:rsidR="005139C0" w:rsidRDefault="005139C0" w:rsidP="006F5D1D">
      <w:pPr>
        <w:pStyle w:val="ListParagraph"/>
        <w:spacing w:after="0" w:line="240" w:lineRule="auto"/>
      </w:pPr>
    </w:p>
    <w:p w14:paraId="750E8060" w14:textId="77777777" w:rsidR="005139C0" w:rsidRDefault="005139C0" w:rsidP="006F5D1D">
      <w:pPr>
        <w:pStyle w:val="ListParagraph"/>
        <w:spacing w:after="0" w:line="240" w:lineRule="auto"/>
      </w:pPr>
    </w:p>
    <w:p w14:paraId="48E7C4EA" w14:textId="77777777" w:rsidR="005139C0" w:rsidRDefault="005139C0" w:rsidP="006F5D1D">
      <w:pPr>
        <w:pStyle w:val="ListParagraph"/>
        <w:spacing w:after="0" w:line="240" w:lineRule="auto"/>
      </w:pPr>
    </w:p>
    <w:p w14:paraId="101D3393" w14:textId="375FA7C0" w:rsidR="00937E27" w:rsidRPr="00D17DA9" w:rsidRDefault="006F5D1D" w:rsidP="006F5D1D">
      <w:pPr>
        <w:pStyle w:val="ListParagraph"/>
        <w:spacing w:after="0" w:line="240" w:lineRule="auto"/>
      </w:pPr>
      <w:r w:rsidRPr="00D17DA9">
        <w:t>Table 2 details p</w:t>
      </w:r>
      <w:r w:rsidR="00512B71">
        <w:t>aid authorizations from FFY 201</w:t>
      </w:r>
      <w:r w:rsidR="0011236B">
        <w:t>6</w:t>
      </w:r>
      <w:r w:rsidRPr="00D17DA9">
        <w:t xml:space="preserve"> through 201</w:t>
      </w:r>
      <w:r w:rsidR="0011236B">
        <w:t>9</w:t>
      </w:r>
      <w:r w:rsidRPr="00D17DA9">
        <w:t xml:space="preserve"> by VR service group.</w:t>
      </w:r>
    </w:p>
    <w:p w14:paraId="6FE04EF0" w14:textId="77777777" w:rsidR="00151ACC" w:rsidRPr="00D17DA9" w:rsidRDefault="00151ACC" w:rsidP="006F5D1D">
      <w:pPr>
        <w:pStyle w:val="ListParagraph"/>
        <w:spacing w:after="0" w:line="240" w:lineRule="auto"/>
      </w:pPr>
    </w:p>
    <w:p w14:paraId="62E6CB36" w14:textId="77777777" w:rsidR="00151ACC" w:rsidRPr="00D17DA9" w:rsidRDefault="00151ACC" w:rsidP="00151ACC">
      <w:pPr>
        <w:pStyle w:val="ListParagraph"/>
        <w:spacing w:after="0" w:line="240" w:lineRule="auto"/>
        <w:rPr>
          <w:b/>
        </w:rPr>
      </w:pPr>
      <w:r w:rsidRPr="00D17DA9">
        <w:rPr>
          <w:b/>
        </w:rPr>
        <w:t>Findings</w:t>
      </w:r>
    </w:p>
    <w:p w14:paraId="4B0EC7C2" w14:textId="76B0F5AE" w:rsidR="00151ACC" w:rsidRPr="00726C8B" w:rsidRDefault="00151ACC" w:rsidP="00010E2A">
      <w:pPr>
        <w:pStyle w:val="ListParagraph"/>
        <w:numPr>
          <w:ilvl w:val="0"/>
          <w:numId w:val="6"/>
        </w:numPr>
        <w:spacing w:after="0" w:line="240" w:lineRule="auto"/>
      </w:pPr>
      <w:r w:rsidRPr="00726C8B">
        <w:t xml:space="preserve">Total expenditures fluctuated from year to with </w:t>
      </w:r>
      <w:r w:rsidR="005B67D5">
        <w:t>less than 1</w:t>
      </w:r>
      <w:r w:rsidR="004A7E9F" w:rsidRPr="00726C8B">
        <w:t>% decrease from</w:t>
      </w:r>
      <w:r w:rsidRPr="00726C8B">
        <w:t xml:space="preserve"> $7.</w:t>
      </w:r>
      <w:r w:rsidR="00D8137D">
        <w:t>2</w:t>
      </w:r>
      <w:r w:rsidRPr="00726C8B">
        <w:t xml:space="preserve"> million in FFY 201</w:t>
      </w:r>
      <w:r w:rsidR="00D8137D">
        <w:t>6</w:t>
      </w:r>
      <w:r w:rsidR="004A7E9F" w:rsidRPr="00726C8B">
        <w:t xml:space="preserve"> to $</w:t>
      </w:r>
      <w:r w:rsidR="00D8137D">
        <w:t>7.1</w:t>
      </w:r>
      <w:r w:rsidR="004A7E9F" w:rsidRPr="00726C8B">
        <w:t xml:space="preserve"> million in FFY 201</w:t>
      </w:r>
      <w:r w:rsidR="00D8137D">
        <w:t>9</w:t>
      </w:r>
      <w:r w:rsidRPr="00726C8B">
        <w:t>.</w:t>
      </w:r>
    </w:p>
    <w:p w14:paraId="111241F5" w14:textId="568E9C17" w:rsidR="00151ACC" w:rsidRPr="00726C8B" w:rsidRDefault="00151ACC" w:rsidP="00010E2A">
      <w:pPr>
        <w:pStyle w:val="ListParagraph"/>
        <w:numPr>
          <w:ilvl w:val="0"/>
          <w:numId w:val="6"/>
        </w:numPr>
        <w:spacing w:after="0" w:line="240" w:lineRule="auto"/>
      </w:pPr>
      <w:r w:rsidRPr="00726C8B">
        <w:t>The implementation of CRP Milestones in FFY 2013 continued the trend of Job Development &amp; Placement being the</w:t>
      </w:r>
      <w:r w:rsidR="004A7E9F" w:rsidRPr="00726C8B">
        <w:t xml:space="preserve"> largest single service group between FFY 2014 to FFY 2016.  Job Development &amp; Placement continue</w:t>
      </w:r>
      <w:r w:rsidR="005B67D5">
        <w:t>d</w:t>
      </w:r>
      <w:r w:rsidR="004A7E9F" w:rsidRPr="00726C8B">
        <w:t xml:space="preserve"> to be the largest single service group </w:t>
      </w:r>
      <w:r w:rsidR="005B67D5">
        <w:t xml:space="preserve">between FFYs 2017 and </w:t>
      </w:r>
      <w:r w:rsidR="00D8137D">
        <w:t>2019</w:t>
      </w:r>
      <w:r w:rsidR="004A7E9F" w:rsidRPr="00726C8B">
        <w:t>.</w:t>
      </w:r>
    </w:p>
    <w:p w14:paraId="1F3D1792" w14:textId="08276DF5" w:rsidR="005B67D5" w:rsidRDefault="005B67D5" w:rsidP="005B67D5">
      <w:pPr>
        <w:pStyle w:val="ListParagraph"/>
        <w:numPr>
          <w:ilvl w:val="0"/>
          <w:numId w:val="6"/>
        </w:numPr>
        <w:spacing w:after="0" w:line="240" w:lineRule="auto"/>
      </w:pPr>
      <w:r>
        <w:t>Assessment</w:t>
      </w:r>
      <w:r w:rsidR="00151ACC" w:rsidRPr="00726C8B">
        <w:t xml:space="preserve"> was the only service group that showed a large </w:t>
      </w:r>
      <w:r w:rsidR="004A7E9F" w:rsidRPr="00726C8B">
        <w:t>de</w:t>
      </w:r>
      <w:r w:rsidR="00151ACC" w:rsidRPr="00726C8B">
        <w:t>crease from $</w:t>
      </w:r>
      <w:r>
        <w:t>729,766.84</w:t>
      </w:r>
      <w:r w:rsidR="00151ACC" w:rsidRPr="00726C8B">
        <w:t xml:space="preserve"> in FFY 201</w:t>
      </w:r>
      <w:r>
        <w:t>6</w:t>
      </w:r>
      <w:r w:rsidR="004A7E9F" w:rsidRPr="00726C8B">
        <w:t xml:space="preserve"> to $</w:t>
      </w:r>
      <w:r>
        <w:t>555,869.46</w:t>
      </w:r>
      <w:r w:rsidR="005B2211" w:rsidRPr="00726C8B">
        <w:t xml:space="preserve">, a </w:t>
      </w:r>
      <w:r>
        <w:t>31</w:t>
      </w:r>
      <w:r w:rsidR="004A7E9F" w:rsidRPr="00726C8B">
        <w:t>% de</w:t>
      </w:r>
      <w:r w:rsidR="005B2211" w:rsidRPr="00726C8B">
        <w:t>crease in expenditures</w:t>
      </w:r>
      <w:r>
        <w:t>.</w:t>
      </w:r>
    </w:p>
    <w:p w14:paraId="6BB21636" w14:textId="51BA7E2F" w:rsidR="005B67D5" w:rsidRPr="00726C8B" w:rsidRDefault="005B67D5" w:rsidP="005B67D5">
      <w:pPr>
        <w:pStyle w:val="ListParagraph"/>
        <w:numPr>
          <w:ilvl w:val="0"/>
          <w:numId w:val="6"/>
        </w:numPr>
        <w:spacing w:after="0" w:line="240" w:lineRule="auto"/>
      </w:pPr>
      <w:r>
        <w:t>Hearing Aid also showed a decrease of 16% from FFY 2016 to FFY 2019.</w:t>
      </w:r>
    </w:p>
    <w:p w14:paraId="357684F2" w14:textId="752FD092" w:rsidR="00151ACC" w:rsidRPr="00726C8B" w:rsidRDefault="005B67D5" w:rsidP="00010E2A">
      <w:pPr>
        <w:pStyle w:val="ListParagraph"/>
        <w:numPr>
          <w:ilvl w:val="0"/>
          <w:numId w:val="6"/>
        </w:numPr>
        <w:spacing w:after="0" w:line="240" w:lineRule="auto"/>
      </w:pPr>
      <w:r>
        <w:t>Diagnosis &amp; Treatment of Impairments increased by 43% from FFY 2016 to FFY 2019.</w:t>
      </w:r>
    </w:p>
    <w:p w14:paraId="702209D3" w14:textId="6060C5C0" w:rsidR="00726C8B" w:rsidRPr="00726C8B" w:rsidRDefault="00726C8B" w:rsidP="00010E2A">
      <w:pPr>
        <w:pStyle w:val="ListParagraph"/>
        <w:numPr>
          <w:ilvl w:val="0"/>
          <w:numId w:val="6"/>
        </w:numPr>
        <w:spacing w:after="0" w:line="240" w:lineRule="auto"/>
      </w:pPr>
      <w:r w:rsidRPr="00726C8B">
        <w:t>Increases were seen with Rehabilitation Technology (</w:t>
      </w:r>
      <w:r w:rsidR="005B67D5">
        <w:t>34</w:t>
      </w:r>
      <w:r w:rsidRPr="00726C8B">
        <w:t>%)</w:t>
      </w:r>
      <w:r w:rsidR="005B67D5">
        <w:t xml:space="preserve">; </w:t>
      </w:r>
      <w:r w:rsidRPr="00726C8B">
        <w:t>On-The-Job Supports (</w:t>
      </w:r>
      <w:r w:rsidR="005B67D5">
        <w:t>28</w:t>
      </w:r>
      <w:r w:rsidRPr="00726C8B">
        <w:t>%)</w:t>
      </w:r>
      <w:r w:rsidR="005B67D5">
        <w:t>; Transportation (11%); Maintenance (3%); and Occupational/Other Training (1%)</w:t>
      </w:r>
      <w:r w:rsidRPr="00726C8B">
        <w:t>.</w:t>
      </w:r>
    </w:p>
    <w:p w14:paraId="1ED714FA" w14:textId="0D66D00E" w:rsidR="00151ACC" w:rsidRPr="00726C8B" w:rsidRDefault="005B67D5" w:rsidP="00010E2A">
      <w:pPr>
        <w:pStyle w:val="ListParagraph"/>
        <w:numPr>
          <w:ilvl w:val="0"/>
          <w:numId w:val="6"/>
        </w:numPr>
        <w:spacing w:after="0" w:line="240" w:lineRule="auto"/>
      </w:pPr>
      <w:r>
        <w:t>A decrease</w:t>
      </w:r>
      <w:r w:rsidR="004A7E9F" w:rsidRPr="00726C8B">
        <w:t xml:space="preserve"> in service expenditures w</w:t>
      </w:r>
      <w:r>
        <w:t>as</w:t>
      </w:r>
      <w:r w:rsidR="004A7E9F" w:rsidRPr="00726C8B">
        <w:t xml:space="preserve"> seen with</w:t>
      </w:r>
      <w:r>
        <w:t xml:space="preserve"> </w:t>
      </w:r>
      <w:r w:rsidR="004A7E9F" w:rsidRPr="00726C8B">
        <w:t>College/University Training (</w:t>
      </w:r>
      <w:r>
        <w:t>8</w:t>
      </w:r>
      <w:r w:rsidR="004A7E9F" w:rsidRPr="00726C8B">
        <w:t>%)</w:t>
      </w:r>
      <w:r w:rsidR="00726C8B" w:rsidRPr="00726C8B">
        <w:t>.</w:t>
      </w:r>
    </w:p>
    <w:p w14:paraId="32C5EF4D" w14:textId="77777777" w:rsidR="006F5D1D" w:rsidRPr="00D17DA9" w:rsidRDefault="006F5D1D" w:rsidP="006F5D1D">
      <w:pPr>
        <w:pStyle w:val="ListParagraph"/>
        <w:spacing w:after="0" w:line="240" w:lineRule="auto"/>
      </w:pPr>
    </w:p>
    <w:p w14:paraId="7CE70826" w14:textId="6ECF6616" w:rsidR="00937E27" w:rsidRPr="00D17DA9" w:rsidRDefault="00937E27" w:rsidP="00937E27">
      <w:pPr>
        <w:pStyle w:val="ListParagraph"/>
        <w:spacing w:line="240" w:lineRule="auto"/>
        <w:jc w:val="center"/>
        <w:rPr>
          <w:b/>
        </w:rPr>
      </w:pPr>
      <w:r w:rsidRPr="00D17DA9">
        <w:rPr>
          <w:b/>
        </w:rPr>
        <w:t>TABLE 2</w:t>
      </w:r>
    </w:p>
    <w:p w14:paraId="4F85E803" w14:textId="5A706482" w:rsidR="00937E27" w:rsidRPr="00D17DA9" w:rsidRDefault="00937E27" w:rsidP="00937E27">
      <w:pPr>
        <w:pStyle w:val="ListParagraph"/>
        <w:spacing w:line="240" w:lineRule="auto"/>
        <w:jc w:val="center"/>
        <w:rPr>
          <w:b/>
        </w:rPr>
      </w:pPr>
      <w:r w:rsidRPr="00D17DA9">
        <w:rPr>
          <w:b/>
        </w:rPr>
        <w:t>Case Costs by Service Group and Federal Fiscal Year between 201</w:t>
      </w:r>
      <w:r w:rsidR="0011236B">
        <w:rPr>
          <w:b/>
        </w:rPr>
        <w:t>6</w:t>
      </w:r>
      <w:r w:rsidRPr="00D17DA9">
        <w:rPr>
          <w:b/>
        </w:rPr>
        <w:t xml:space="preserve"> and 201</w:t>
      </w:r>
      <w:r w:rsidR="0011236B">
        <w:rPr>
          <w:b/>
        </w:rPr>
        <w:t>9</w:t>
      </w:r>
    </w:p>
    <w:p w14:paraId="4426AAA1" w14:textId="77777777" w:rsidR="00151ACC" w:rsidRPr="00D17DA9" w:rsidRDefault="00151ACC" w:rsidP="00937E27">
      <w:pPr>
        <w:pStyle w:val="ListParagraph"/>
        <w:spacing w:line="240" w:lineRule="auto"/>
        <w:jc w:val="center"/>
        <w:rPr>
          <w:b/>
        </w:rPr>
      </w:pPr>
    </w:p>
    <w:tbl>
      <w:tblPr>
        <w:tblStyle w:val="TableGrid"/>
        <w:tblW w:w="4973" w:type="pct"/>
        <w:tblLook w:val="04A0" w:firstRow="1" w:lastRow="0" w:firstColumn="1" w:lastColumn="0" w:noHBand="0" w:noVBand="1"/>
      </w:tblPr>
      <w:tblGrid>
        <w:gridCol w:w="2512"/>
        <w:gridCol w:w="1581"/>
        <w:gridCol w:w="1581"/>
        <w:gridCol w:w="1581"/>
        <w:gridCol w:w="1583"/>
        <w:gridCol w:w="1178"/>
      </w:tblGrid>
      <w:tr w:rsidR="008008BF" w:rsidRPr="00D17DA9" w14:paraId="4C842C90" w14:textId="389CEDBB" w:rsidTr="00D8137D">
        <w:tc>
          <w:tcPr>
            <w:tcW w:w="1254" w:type="pct"/>
            <w:shd w:val="clear" w:color="auto" w:fill="838995" w:themeFill="accent5"/>
            <w:vAlign w:val="center"/>
          </w:tcPr>
          <w:p w14:paraId="1B9845DB" w14:textId="77777777" w:rsidR="0011236B" w:rsidRPr="00D17DA9" w:rsidRDefault="0011236B" w:rsidP="0011236B">
            <w:pPr>
              <w:pStyle w:val="ListParagraph"/>
              <w:ind w:left="0"/>
              <w:jc w:val="center"/>
              <w:rPr>
                <w:b/>
                <w:color w:val="FFFFFF" w:themeColor="background1"/>
              </w:rPr>
            </w:pPr>
            <w:r w:rsidRPr="00D17DA9">
              <w:rPr>
                <w:b/>
                <w:color w:val="FFFFFF" w:themeColor="background1"/>
              </w:rPr>
              <w:t>VR Service Group</w:t>
            </w:r>
          </w:p>
        </w:tc>
        <w:tc>
          <w:tcPr>
            <w:tcW w:w="789" w:type="pct"/>
            <w:shd w:val="clear" w:color="auto" w:fill="838995" w:themeFill="accent5"/>
            <w:vAlign w:val="center"/>
          </w:tcPr>
          <w:p w14:paraId="283246EA" w14:textId="3600C234" w:rsidR="0011236B" w:rsidRPr="00D17DA9" w:rsidRDefault="0011236B" w:rsidP="0011236B">
            <w:pPr>
              <w:pStyle w:val="ListParagraph"/>
              <w:ind w:left="0"/>
              <w:jc w:val="center"/>
              <w:rPr>
                <w:b/>
                <w:color w:val="FFFFFF" w:themeColor="background1"/>
              </w:rPr>
            </w:pPr>
            <w:r>
              <w:rPr>
                <w:b/>
                <w:color w:val="FFFFFF" w:themeColor="background1"/>
              </w:rPr>
              <w:t>FFY 2016</w:t>
            </w:r>
          </w:p>
        </w:tc>
        <w:tc>
          <w:tcPr>
            <w:tcW w:w="789" w:type="pct"/>
            <w:shd w:val="clear" w:color="auto" w:fill="838995" w:themeFill="accent5"/>
            <w:vAlign w:val="center"/>
          </w:tcPr>
          <w:p w14:paraId="75BB6930" w14:textId="6E4112E0" w:rsidR="0011236B" w:rsidRPr="00D17DA9" w:rsidRDefault="0011236B" w:rsidP="0011236B">
            <w:pPr>
              <w:pStyle w:val="ListParagraph"/>
              <w:ind w:left="0"/>
              <w:jc w:val="center"/>
              <w:rPr>
                <w:b/>
                <w:color w:val="FFFFFF" w:themeColor="background1"/>
              </w:rPr>
            </w:pPr>
            <w:r>
              <w:rPr>
                <w:b/>
                <w:color w:val="FFFFFF" w:themeColor="background1"/>
              </w:rPr>
              <w:t>FFY 2017</w:t>
            </w:r>
          </w:p>
        </w:tc>
        <w:tc>
          <w:tcPr>
            <w:tcW w:w="789" w:type="pct"/>
            <w:shd w:val="clear" w:color="auto" w:fill="838995" w:themeFill="accent5"/>
            <w:vAlign w:val="center"/>
          </w:tcPr>
          <w:p w14:paraId="256AF9C6" w14:textId="0D38A9A6" w:rsidR="0011236B" w:rsidRPr="00D17DA9" w:rsidRDefault="0011236B" w:rsidP="0011236B">
            <w:pPr>
              <w:pStyle w:val="ListParagraph"/>
              <w:ind w:left="0"/>
              <w:jc w:val="center"/>
              <w:rPr>
                <w:b/>
                <w:color w:val="FFFFFF" w:themeColor="background1"/>
              </w:rPr>
            </w:pPr>
            <w:r>
              <w:rPr>
                <w:b/>
                <w:color w:val="FFFFFF" w:themeColor="background1"/>
              </w:rPr>
              <w:t>FFY 2018</w:t>
            </w:r>
          </w:p>
        </w:tc>
        <w:tc>
          <w:tcPr>
            <w:tcW w:w="790" w:type="pct"/>
            <w:shd w:val="clear" w:color="auto" w:fill="838995" w:themeFill="accent5"/>
            <w:vAlign w:val="center"/>
          </w:tcPr>
          <w:p w14:paraId="5147AACD" w14:textId="5A2F7374" w:rsidR="0011236B" w:rsidRPr="00D17DA9" w:rsidRDefault="0011236B" w:rsidP="0011236B">
            <w:pPr>
              <w:pStyle w:val="ListParagraph"/>
              <w:ind w:left="0"/>
              <w:jc w:val="center"/>
              <w:rPr>
                <w:b/>
                <w:color w:val="FFFFFF" w:themeColor="background1"/>
              </w:rPr>
            </w:pPr>
            <w:r>
              <w:rPr>
                <w:b/>
                <w:color w:val="FFFFFF" w:themeColor="background1"/>
              </w:rPr>
              <w:t>FFY 2019</w:t>
            </w:r>
          </w:p>
        </w:tc>
        <w:tc>
          <w:tcPr>
            <w:tcW w:w="588" w:type="pct"/>
            <w:shd w:val="clear" w:color="auto" w:fill="838995" w:themeFill="accent5"/>
            <w:vAlign w:val="center"/>
          </w:tcPr>
          <w:p w14:paraId="7758FAF1" w14:textId="683EEE45" w:rsidR="0011236B" w:rsidRPr="00D17DA9" w:rsidRDefault="0011236B" w:rsidP="0011236B">
            <w:pPr>
              <w:pStyle w:val="ListParagraph"/>
              <w:ind w:left="0"/>
              <w:jc w:val="center"/>
              <w:rPr>
                <w:b/>
                <w:color w:val="FFFFFF" w:themeColor="background1"/>
              </w:rPr>
            </w:pPr>
            <w:r w:rsidRPr="00D17DA9">
              <w:rPr>
                <w:b/>
                <w:color w:val="FFFFFF" w:themeColor="background1"/>
              </w:rPr>
              <w:t>% Change FFY 201</w:t>
            </w:r>
            <w:r>
              <w:rPr>
                <w:b/>
                <w:color w:val="FFFFFF" w:themeColor="background1"/>
              </w:rPr>
              <w:t>4</w:t>
            </w:r>
            <w:r w:rsidRPr="00D17DA9">
              <w:rPr>
                <w:b/>
                <w:color w:val="FFFFFF" w:themeColor="background1"/>
              </w:rPr>
              <w:t>-201</w:t>
            </w:r>
            <w:r>
              <w:rPr>
                <w:b/>
                <w:color w:val="FFFFFF" w:themeColor="background1"/>
              </w:rPr>
              <w:t>7</w:t>
            </w:r>
          </w:p>
        </w:tc>
      </w:tr>
      <w:tr w:rsidR="008008BF" w:rsidRPr="00D17DA9" w14:paraId="29B0DCB7" w14:textId="2B9FF1DA" w:rsidTr="00D8137D">
        <w:trPr>
          <w:trHeight w:val="432"/>
        </w:trPr>
        <w:tc>
          <w:tcPr>
            <w:tcW w:w="1254" w:type="pct"/>
            <w:vAlign w:val="center"/>
          </w:tcPr>
          <w:p w14:paraId="05AE6A01" w14:textId="77777777" w:rsidR="0011236B" w:rsidRPr="00D17DA9" w:rsidRDefault="0011236B" w:rsidP="0011236B">
            <w:pPr>
              <w:pStyle w:val="ListParagraph"/>
              <w:ind w:left="0"/>
            </w:pPr>
            <w:r w:rsidRPr="00D17DA9">
              <w:t>Job Development &amp; Placement</w:t>
            </w:r>
          </w:p>
        </w:tc>
        <w:tc>
          <w:tcPr>
            <w:tcW w:w="789" w:type="pct"/>
            <w:vAlign w:val="center"/>
          </w:tcPr>
          <w:p w14:paraId="7B3F7F21" w14:textId="33643B65" w:rsidR="0011236B" w:rsidRPr="00D17DA9" w:rsidRDefault="0011236B" w:rsidP="0011236B">
            <w:pPr>
              <w:pStyle w:val="ListParagraph"/>
              <w:ind w:left="0"/>
              <w:jc w:val="center"/>
            </w:pPr>
            <w:r>
              <w:t>$280,246.39</w:t>
            </w:r>
          </w:p>
        </w:tc>
        <w:tc>
          <w:tcPr>
            <w:tcW w:w="789" w:type="pct"/>
            <w:vAlign w:val="center"/>
          </w:tcPr>
          <w:p w14:paraId="25DBD508" w14:textId="78709777" w:rsidR="0011236B" w:rsidRPr="00D17DA9" w:rsidRDefault="0011236B" w:rsidP="0011236B">
            <w:pPr>
              <w:pStyle w:val="ListParagraph"/>
              <w:ind w:left="0"/>
              <w:jc w:val="center"/>
            </w:pPr>
            <w:r>
              <w:t>$1,429,535.49</w:t>
            </w:r>
          </w:p>
        </w:tc>
        <w:tc>
          <w:tcPr>
            <w:tcW w:w="789" w:type="pct"/>
            <w:vAlign w:val="center"/>
          </w:tcPr>
          <w:p w14:paraId="664DA15D" w14:textId="4697CDD1" w:rsidR="0011236B" w:rsidRDefault="00E52147" w:rsidP="0011236B">
            <w:pPr>
              <w:pStyle w:val="ListParagraph"/>
              <w:ind w:left="0"/>
              <w:jc w:val="center"/>
            </w:pPr>
            <w:r>
              <w:t>$1,971,701.77</w:t>
            </w:r>
          </w:p>
        </w:tc>
        <w:tc>
          <w:tcPr>
            <w:tcW w:w="790" w:type="pct"/>
            <w:vAlign w:val="center"/>
          </w:tcPr>
          <w:p w14:paraId="02B56359" w14:textId="5D03728B" w:rsidR="0011236B" w:rsidRDefault="0028586C" w:rsidP="0011236B">
            <w:pPr>
              <w:pStyle w:val="ListParagraph"/>
              <w:ind w:left="0"/>
              <w:jc w:val="center"/>
            </w:pPr>
            <w:r>
              <w:t>$1,891,989.49</w:t>
            </w:r>
          </w:p>
        </w:tc>
        <w:tc>
          <w:tcPr>
            <w:tcW w:w="588" w:type="pct"/>
            <w:vAlign w:val="center"/>
          </w:tcPr>
          <w:p w14:paraId="320E0D3D" w14:textId="4F143726" w:rsidR="0011236B" w:rsidRPr="00D17DA9" w:rsidRDefault="00841ED3" w:rsidP="0011236B">
            <w:pPr>
              <w:pStyle w:val="ListParagraph"/>
              <w:ind w:left="0"/>
              <w:jc w:val="center"/>
            </w:pPr>
            <w:r>
              <w:t>85.2</w:t>
            </w:r>
          </w:p>
        </w:tc>
      </w:tr>
      <w:tr w:rsidR="008008BF" w:rsidRPr="00D17DA9" w14:paraId="3B67C431" w14:textId="77777777" w:rsidTr="00D8137D">
        <w:trPr>
          <w:trHeight w:val="432"/>
        </w:trPr>
        <w:tc>
          <w:tcPr>
            <w:tcW w:w="1254" w:type="pct"/>
            <w:vAlign w:val="center"/>
          </w:tcPr>
          <w:p w14:paraId="7D246F08" w14:textId="16DE67F7" w:rsidR="0011236B" w:rsidRPr="00D17DA9" w:rsidRDefault="0011236B" w:rsidP="0011236B">
            <w:pPr>
              <w:pStyle w:val="ListParagraph"/>
              <w:ind w:left="0"/>
            </w:pPr>
            <w:r w:rsidRPr="00D17DA9">
              <w:t>CRP Milestones</w:t>
            </w:r>
          </w:p>
        </w:tc>
        <w:tc>
          <w:tcPr>
            <w:tcW w:w="789" w:type="pct"/>
            <w:vAlign w:val="center"/>
          </w:tcPr>
          <w:p w14:paraId="026B1C95" w14:textId="51CD2AF1" w:rsidR="0011236B" w:rsidRPr="00D17DA9" w:rsidRDefault="0011236B" w:rsidP="0011236B">
            <w:pPr>
              <w:pStyle w:val="ListParagraph"/>
              <w:ind w:left="0"/>
              <w:jc w:val="center"/>
            </w:pPr>
            <w:r>
              <w:t>$1,959,150.93</w:t>
            </w:r>
          </w:p>
        </w:tc>
        <w:tc>
          <w:tcPr>
            <w:tcW w:w="789" w:type="pct"/>
            <w:vAlign w:val="center"/>
          </w:tcPr>
          <w:p w14:paraId="62343002" w14:textId="556F00AC" w:rsidR="0011236B" w:rsidRPr="00D17DA9" w:rsidRDefault="0011236B" w:rsidP="0011236B">
            <w:pPr>
              <w:pStyle w:val="ListParagraph"/>
              <w:ind w:left="0"/>
              <w:jc w:val="center"/>
            </w:pPr>
            <w:r>
              <w:t>$293,823.75</w:t>
            </w:r>
          </w:p>
        </w:tc>
        <w:tc>
          <w:tcPr>
            <w:tcW w:w="789" w:type="pct"/>
            <w:vAlign w:val="center"/>
          </w:tcPr>
          <w:p w14:paraId="33071173" w14:textId="17491B9E" w:rsidR="0011236B" w:rsidRDefault="00E52147" w:rsidP="0011236B">
            <w:pPr>
              <w:pStyle w:val="ListParagraph"/>
              <w:ind w:left="0"/>
              <w:jc w:val="center"/>
            </w:pPr>
            <w:r>
              <w:t>$2,100.00</w:t>
            </w:r>
          </w:p>
        </w:tc>
        <w:tc>
          <w:tcPr>
            <w:tcW w:w="790" w:type="pct"/>
            <w:vAlign w:val="center"/>
          </w:tcPr>
          <w:p w14:paraId="39A6A94B" w14:textId="1620A1B8" w:rsidR="0011236B" w:rsidRDefault="0028586C" w:rsidP="0011236B">
            <w:pPr>
              <w:pStyle w:val="ListParagraph"/>
              <w:ind w:left="0"/>
              <w:jc w:val="center"/>
            </w:pPr>
            <w:r>
              <w:t>$1,000.00</w:t>
            </w:r>
          </w:p>
        </w:tc>
        <w:tc>
          <w:tcPr>
            <w:tcW w:w="588" w:type="pct"/>
            <w:vAlign w:val="center"/>
          </w:tcPr>
          <w:p w14:paraId="555BBCD3" w14:textId="2A8D2A61" w:rsidR="0011236B" w:rsidRPr="00D17DA9" w:rsidRDefault="00841ED3" w:rsidP="0011236B">
            <w:pPr>
              <w:pStyle w:val="ListParagraph"/>
              <w:ind w:left="0"/>
              <w:jc w:val="center"/>
            </w:pPr>
            <w:r>
              <w:t>-1958.2</w:t>
            </w:r>
          </w:p>
        </w:tc>
      </w:tr>
      <w:tr w:rsidR="008008BF" w:rsidRPr="00D17DA9" w14:paraId="327E594D" w14:textId="601EBD37" w:rsidTr="00D8137D">
        <w:trPr>
          <w:trHeight w:val="432"/>
        </w:trPr>
        <w:tc>
          <w:tcPr>
            <w:tcW w:w="1254" w:type="pct"/>
            <w:vAlign w:val="center"/>
          </w:tcPr>
          <w:p w14:paraId="011025F6" w14:textId="77777777" w:rsidR="0011236B" w:rsidRPr="00D17DA9" w:rsidRDefault="0011236B" w:rsidP="0011236B">
            <w:pPr>
              <w:pStyle w:val="ListParagraph"/>
              <w:ind w:left="0"/>
            </w:pPr>
            <w:r w:rsidRPr="00D17DA9">
              <w:t>College or University Training</w:t>
            </w:r>
          </w:p>
        </w:tc>
        <w:tc>
          <w:tcPr>
            <w:tcW w:w="789" w:type="pct"/>
            <w:vAlign w:val="center"/>
          </w:tcPr>
          <w:p w14:paraId="7D90B3AB" w14:textId="7C464D7F" w:rsidR="0011236B" w:rsidRPr="00D17DA9" w:rsidRDefault="0011236B" w:rsidP="0011236B">
            <w:pPr>
              <w:pStyle w:val="ListParagraph"/>
              <w:ind w:left="0"/>
              <w:jc w:val="center"/>
            </w:pPr>
            <w:r>
              <w:t>$</w:t>
            </w:r>
            <w:r w:rsidRPr="005E2A03">
              <w:t>768</w:t>
            </w:r>
            <w:r>
              <w:t>,</w:t>
            </w:r>
            <w:r w:rsidRPr="005E2A03">
              <w:t>806.48</w:t>
            </w:r>
          </w:p>
        </w:tc>
        <w:tc>
          <w:tcPr>
            <w:tcW w:w="789" w:type="pct"/>
            <w:vAlign w:val="center"/>
          </w:tcPr>
          <w:p w14:paraId="323580BC" w14:textId="10095947" w:rsidR="0011236B" w:rsidRPr="00D17DA9" w:rsidRDefault="0011236B" w:rsidP="0011236B">
            <w:pPr>
              <w:pStyle w:val="ListParagraph"/>
              <w:ind w:left="0"/>
              <w:jc w:val="center"/>
            </w:pPr>
            <w:r>
              <w:t>$</w:t>
            </w:r>
            <w:r w:rsidRPr="005139C0">
              <w:t>816</w:t>
            </w:r>
            <w:r>
              <w:t>,</w:t>
            </w:r>
            <w:r w:rsidRPr="005139C0">
              <w:t>169.65</w:t>
            </w:r>
          </w:p>
        </w:tc>
        <w:tc>
          <w:tcPr>
            <w:tcW w:w="789" w:type="pct"/>
            <w:vAlign w:val="center"/>
          </w:tcPr>
          <w:p w14:paraId="60415BFD" w14:textId="73E31527" w:rsidR="0011236B" w:rsidRDefault="00E52147" w:rsidP="0011236B">
            <w:pPr>
              <w:pStyle w:val="ListParagraph"/>
              <w:ind w:left="0"/>
              <w:jc w:val="center"/>
            </w:pPr>
            <w:r>
              <w:t>$770,716.14</w:t>
            </w:r>
          </w:p>
        </w:tc>
        <w:tc>
          <w:tcPr>
            <w:tcW w:w="790" w:type="pct"/>
            <w:vAlign w:val="center"/>
          </w:tcPr>
          <w:p w14:paraId="6D9FF937" w14:textId="1AE71B40" w:rsidR="0011236B" w:rsidRDefault="0028586C" w:rsidP="0011236B">
            <w:pPr>
              <w:pStyle w:val="ListParagraph"/>
              <w:ind w:left="0"/>
              <w:jc w:val="center"/>
            </w:pPr>
            <w:r>
              <w:t>$709,097.96</w:t>
            </w:r>
          </w:p>
        </w:tc>
        <w:tc>
          <w:tcPr>
            <w:tcW w:w="588" w:type="pct"/>
            <w:vAlign w:val="center"/>
          </w:tcPr>
          <w:p w14:paraId="164DE1F1" w14:textId="31F3ABCD" w:rsidR="0011236B" w:rsidRPr="00D17DA9" w:rsidRDefault="00D8137D" w:rsidP="0011236B">
            <w:pPr>
              <w:pStyle w:val="ListParagraph"/>
              <w:ind w:left="0"/>
              <w:jc w:val="center"/>
            </w:pPr>
            <w:r>
              <w:t>-8.4</w:t>
            </w:r>
          </w:p>
        </w:tc>
      </w:tr>
      <w:tr w:rsidR="008008BF" w:rsidRPr="00D17DA9" w14:paraId="12FA194F" w14:textId="77777777" w:rsidTr="00D8137D">
        <w:trPr>
          <w:trHeight w:val="432"/>
        </w:trPr>
        <w:tc>
          <w:tcPr>
            <w:tcW w:w="1254" w:type="pct"/>
            <w:vAlign w:val="center"/>
          </w:tcPr>
          <w:p w14:paraId="195ED5E7" w14:textId="19D159F6" w:rsidR="0011236B" w:rsidRPr="00D17DA9" w:rsidRDefault="0011236B" w:rsidP="0011236B">
            <w:pPr>
              <w:pStyle w:val="ListParagraph"/>
              <w:ind w:left="0"/>
            </w:pPr>
            <w:r w:rsidRPr="00D17DA9">
              <w:t>Assessment</w:t>
            </w:r>
          </w:p>
        </w:tc>
        <w:tc>
          <w:tcPr>
            <w:tcW w:w="789" w:type="pct"/>
            <w:vAlign w:val="center"/>
          </w:tcPr>
          <w:p w14:paraId="5DD17E4A" w14:textId="1DF6AFA4" w:rsidR="0011236B" w:rsidRPr="00D17DA9" w:rsidRDefault="0011236B" w:rsidP="0011236B">
            <w:pPr>
              <w:pStyle w:val="ListParagraph"/>
              <w:ind w:left="0"/>
              <w:jc w:val="center"/>
            </w:pPr>
            <w:r>
              <w:t>$729,766.84</w:t>
            </w:r>
          </w:p>
        </w:tc>
        <w:tc>
          <w:tcPr>
            <w:tcW w:w="789" w:type="pct"/>
            <w:vAlign w:val="center"/>
          </w:tcPr>
          <w:p w14:paraId="48E6C40F" w14:textId="2433E7D9" w:rsidR="0011236B" w:rsidRPr="00D17DA9" w:rsidRDefault="0011236B" w:rsidP="0011236B">
            <w:pPr>
              <w:pStyle w:val="ListParagraph"/>
              <w:ind w:left="0"/>
              <w:jc w:val="center"/>
            </w:pPr>
            <w:r>
              <w:t>$605,003.82</w:t>
            </w:r>
          </w:p>
        </w:tc>
        <w:tc>
          <w:tcPr>
            <w:tcW w:w="789" w:type="pct"/>
            <w:vAlign w:val="center"/>
          </w:tcPr>
          <w:p w14:paraId="3E0061F1" w14:textId="63CBAA56" w:rsidR="0011236B" w:rsidRDefault="00E52147" w:rsidP="0011236B">
            <w:pPr>
              <w:pStyle w:val="ListParagraph"/>
              <w:ind w:left="0"/>
              <w:jc w:val="center"/>
            </w:pPr>
            <w:r>
              <w:t>$632,307.52</w:t>
            </w:r>
          </w:p>
        </w:tc>
        <w:tc>
          <w:tcPr>
            <w:tcW w:w="790" w:type="pct"/>
            <w:vAlign w:val="center"/>
          </w:tcPr>
          <w:p w14:paraId="0D356669" w14:textId="41900197" w:rsidR="0011236B" w:rsidRDefault="0028586C" w:rsidP="0011236B">
            <w:pPr>
              <w:pStyle w:val="ListParagraph"/>
              <w:ind w:left="0"/>
              <w:jc w:val="center"/>
            </w:pPr>
            <w:r>
              <w:t>$555,869.46</w:t>
            </w:r>
          </w:p>
        </w:tc>
        <w:tc>
          <w:tcPr>
            <w:tcW w:w="588" w:type="pct"/>
            <w:vAlign w:val="center"/>
          </w:tcPr>
          <w:p w14:paraId="05DD39AB" w14:textId="4C1F3C48" w:rsidR="0011236B" w:rsidRPr="00D17DA9" w:rsidRDefault="00D8137D" w:rsidP="0011236B">
            <w:pPr>
              <w:pStyle w:val="ListParagraph"/>
              <w:ind w:left="0"/>
              <w:jc w:val="center"/>
            </w:pPr>
            <w:r>
              <w:t>-31.3</w:t>
            </w:r>
          </w:p>
        </w:tc>
      </w:tr>
      <w:tr w:rsidR="008008BF" w:rsidRPr="00D17DA9" w14:paraId="0236ECA2" w14:textId="44E190CD" w:rsidTr="00D8137D">
        <w:trPr>
          <w:trHeight w:val="432"/>
        </w:trPr>
        <w:tc>
          <w:tcPr>
            <w:tcW w:w="1254" w:type="pct"/>
            <w:vAlign w:val="center"/>
          </w:tcPr>
          <w:p w14:paraId="3434A136" w14:textId="77777777" w:rsidR="0011236B" w:rsidRPr="00D17DA9" w:rsidRDefault="0011236B" w:rsidP="0011236B">
            <w:pPr>
              <w:pStyle w:val="ListParagraph"/>
              <w:ind w:left="0"/>
            </w:pPr>
            <w:r w:rsidRPr="00D17DA9">
              <w:t>On-the-Job Supports</w:t>
            </w:r>
          </w:p>
        </w:tc>
        <w:tc>
          <w:tcPr>
            <w:tcW w:w="789" w:type="pct"/>
            <w:vAlign w:val="center"/>
          </w:tcPr>
          <w:p w14:paraId="2D8AB6F8" w14:textId="3F3013BE" w:rsidR="0011236B" w:rsidRPr="00D17DA9" w:rsidRDefault="0011236B" w:rsidP="0011236B">
            <w:pPr>
              <w:pStyle w:val="ListParagraph"/>
              <w:ind w:left="0"/>
              <w:jc w:val="center"/>
            </w:pPr>
            <w:r>
              <w:t>$</w:t>
            </w:r>
            <w:r w:rsidRPr="005E2A03">
              <w:t>537</w:t>
            </w:r>
            <w:r>
              <w:t>,</w:t>
            </w:r>
            <w:r w:rsidRPr="005E2A03">
              <w:t>437.77</w:t>
            </w:r>
          </w:p>
        </w:tc>
        <w:tc>
          <w:tcPr>
            <w:tcW w:w="789" w:type="pct"/>
            <w:vAlign w:val="center"/>
          </w:tcPr>
          <w:p w14:paraId="1E8537BA" w14:textId="5F88A59D" w:rsidR="0011236B" w:rsidRPr="00D17DA9" w:rsidRDefault="0011236B" w:rsidP="0011236B">
            <w:pPr>
              <w:pStyle w:val="ListParagraph"/>
              <w:ind w:left="0"/>
              <w:jc w:val="center"/>
            </w:pPr>
            <w:r>
              <w:t>$</w:t>
            </w:r>
            <w:r w:rsidRPr="005139C0">
              <w:t>641</w:t>
            </w:r>
            <w:r>
              <w:t>,</w:t>
            </w:r>
            <w:r w:rsidRPr="005139C0">
              <w:t>422.61</w:t>
            </w:r>
          </w:p>
        </w:tc>
        <w:tc>
          <w:tcPr>
            <w:tcW w:w="789" w:type="pct"/>
            <w:vAlign w:val="center"/>
          </w:tcPr>
          <w:p w14:paraId="1220188B" w14:textId="321744F8" w:rsidR="0011236B" w:rsidRDefault="00E52147" w:rsidP="0011236B">
            <w:pPr>
              <w:pStyle w:val="ListParagraph"/>
              <w:ind w:left="0"/>
              <w:jc w:val="center"/>
            </w:pPr>
            <w:r>
              <w:t>$648,326.75</w:t>
            </w:r>
          </w:p>
        </w:tc>
        <w:tc>
          <w:tcPr>
            <w:tcW w:w="790" w:type="pct"/>
            <w:vAlign w:val="center"/>
          </w:tcPr>
          <w:p w14:paraId="1402995B" w14:textId="1D9DAFF6" w:rsidR="0011236B" w:rsidRDefault="0028586C" w:rsidP="0011236B">
            <w:pPr>
              <w:pStyle w:val="ListParagraph"/>
              <w:ind w:left="0"/>
              <w:jc w:val="center"/>
            </w:pPr>
            <w:r>
              <w:t>$744,075.50</w:t>
            </w:r>
          </w:p>
        </w:tc>
        <w:tc>
          <w:tcPr>
            <w:tcW w:w="588" w:type="pct"/>
            <w:vAlign w:val="center"/>
          </w:tcPr>
          <w:p w14:paraId="1C7CCF6F" w14:textId="52872E1B" w:rsidR="0011236B" w:rsidRPr="00D17DA9" w:rsidRDefault="00D8137D" w:rsidP="0011236B">
            <w:pPr>
              <w:pStyle w:val="ListParagraph"/>
              <w:ind w:left="0"/>
              <w:jc w:val="center"/>
            </w:pPr>
            <w:r>
              <w:t>27.8</w:t>
            </w:r>
          </w:p>
        </w:tc>
      </w:tr>
      <w:tr w:rsidR="008008BF" w:rsidRPr="00D17DA9" w14:paraId="416F910B" w14:textId="7B2E8952" w:rsidTr="00D8137D">
        <w:trPr>
          <w:trHeight w:val="432"/>
        </w:trPr>
        <w:tc>
          <w:tcPr>
            <w:tcW w:w="1254" w:type="pct"/>
            <w:vAlign w:val="center"/>
          </w:tcPr>
          <w:p w14:paraId="1020A7CB" w14:textId="6D7E9921" w:rsidR="0011236B" w:rsidRPr="00D17DA9" w:rsidRDefault="0011236B" w:rsidP="0011236B">
            <w:pPr>
              <w:pStyle w:val="ListParagraph"/>
              <w:ind w:left="0"/>
            </w:pPr>
            <w:r w:rsidRPr="00D17DA9">
              <w:t>All Other Services</w:t>
            </w:r>
          </w:p>
        </w:tc>
        <w:tc>
          <w:tcPr>
            <w:tcW w:w="789" w:type="pct"/>
            <w:vAlign w:val="center"/>
          </w:tcPr>
          <w:p w14:paraId="5C204A7D" w14:textId="1C1FFA38" w:rsidR="0011236B" w:rsidRPr="00D17DA9" w:rsidRDefault="0011236B" w:rsidP="0011236B">
            <w:pPr>
              <w:pStyle w:val="ListParagraph"/>
              <w:ind w:left="0"/>
              <w:jc w:val="center"/>
            </w:pPr>
            <w:r>
              <w:t>$</w:t>
            </w:r>
            <w:r w:rsidRPr="005E2A03">
              <w:t>819</w:t>
            </w:r>
            <w:r>
              <w:t>,</w:t>
            </w:r>
            <w:r w:rsidRPr="005E2A03">
              <w:t>839.86</w:t>
            </w:r>
          </w:p>
        </w:tc>
        <w:tc>
          <w:tcPr>
            <w:tcW w:w="789" w:type="pct"/>
            <w:vAlign w:val="center"/>
          </w:tcPr>
          <w:p w14:paraId="7C065903" w14:textId="6E2AA90B" w:rsidR="0011236B" w:rsidRPr="00D17DA9" w:rsidRDefault="0011236B" w:rsidP="0011236B">
            <w:pPr>
              <w:pStyle w:val="ListParagraph"/>
              <w:ind w:left="0"/>
              <w:jc w:val="center"/>
            </w:pPr>
            <w:r>
              <w:t>$992,022.97</w:t>
            </w:r>
          </w:p>
        </w:tc>
        <w:tc>
          <w:tcPr>
            <w:tcW w:w="789" w:type="pct"/>
            <w:vAlign w:val="center"/>
          </w:tcPr>
          <w:p w14:paraId="45550521" w14:textId="706984B7" w:rsidR="0011236B" w:rsidRDefault="00D646B3" w:rsidP="0011236B">
            <w:pPr>
              <w:pStyle w:val="ListParagraph"/>
              <w:ind w:left="0"/>
              <w:jc w:val="center"/>
            </w:pPr>
            <w:r>
              <w:t>$873,300.47</w:t>
            </w:r>
          </w:p>
        </w:tc>
        <w:tc>
          <w:tcPr>
            <w:tcW w:w="790" w:type="pct"/>
            <w:vAlign w:val="center"/>
          </w:tcPr>
          <w:p w14:paraId="2735F8C2" w14:textId="35B7926D" w:rsidR="0011236B" w:rsidRDefault="008008BF" w:rsidP="0011236B">
            <w:pPr>
              <w:pStyle w:val="ListParagraph"/>
              <w:ind w:left="0"/>
              <w:jc w:val="center"/>
            </w:pPr>
            <w:r>
              <w:t>$923,379.29</w:t>
            </w:r>
          </w:p>
        </w:tc>
        <w:tc>
          <w:tcPr>
            <w:tcW w:w="588" w:type="pct"/>
            <w:vAlign w:val="center"/>
          </w:tcPr>
          <w:p w14:paraId="4357113D" w14:textId="6099D166" w:rsidR="0011236B" w:rsidRPr="00D17DA9" w:rsidRDefault="00D8137D" w:rsidP="0011236B">
            <w:pPr>
              <w:pStyle w:val="ListParagraph"/>
              <w:ind w:left="0"/>
              <w:jc w:val="center"/>
            </w:pPr>
            <w:r>
              <w:t>11.2</w:t>
            </w:r>
          </w:p>
        </w:tc>
      </w:tr>
      <w:tr w:rsidR="008008BF" w:rsidRPr="00D17DA9" w14:paraId="29A7EB2C" w14:textId="7E3D3423" w:rsidTr="00D8137D">
        <w:trPr>
          <w:trHeight w:val="432"/>
        </w:trPr>
        <w:tc>
          <w:tcPr>
            <w:tcW w:w="1254" w:type="pct"/>
            <w:vAlign w:val="center"/>
          </w:tcPr>
          <w:p w14:paraId="701C1C33" w14:textId="77777777" w:rsidR="0011236B" w:rsidRPr="00D17DA9" w:rsidRDefault="0011236B" w:rsidP="0011236B">
            <w:pPr>
              <w:pStyle w:val="ListParagraph"/>
              <w:ind w:left="0"/>
            </w:pPr>
            <w:r w:rsidRPr="00D17DA9">
              <w:t>Occupational/Vocational &amp; Other Training</w:t>
            </w:r>
          </w:p>
        </w:tc>
        <w:tc>
          <w:tcPr>
            <w:tcW w:w="789" w:type="pct"/>
            <w:vAlign w:val="center"/>
          </w:tcPr>
          <w:p w14:paraId="0858FC09" w14:textId="0775A0D3" w:rsidR="0011236B" w:rsidRPr="00D17DA9" w:rsidRDefault="0011236B" w:rsidP="0011236B">
            <w:pPr>
              <w:pStyle w:val="ListParagraph"/>
              <w:ind w:left="0"/>
              <w:jc w:val="center"/>
            </w:pPr>
            <w:r>
              <w:t>$</w:t>
            </w:r>
            <w:r w:rsidRPr="005E2A03">
              <w:t>540</w:t>
            </w:r>
            <w:r>
              <w:t>,</w:t>
            </w:r>
            <w:r w:rsidRPr="005E2A03">
              <w:t>315.39</w:t>
            </w:r>
          </w:p>
        </w:tc>
        <w:tc>
          <w:tcPr>
            <w:tcW w:w="789" w:type="pct"/>
            <w:vAlign w:val="center"/>
          </w:tcPr>
          <w:p w14:paraId="12C4DD0D" w14:textId="723C4A78" w:rsidR="0011236B" w:rsidRPr="00D17DA9" w:rsidRDefault="0011236B" w:rsidP="0011236B">
            <w:pPr>
              <w:pStyle w:val="ListParagraph"/>
              <w:ind w:left="0"/>
              <w:jc w:val="center"/>
            </w:pPr>
            <w:r>
              <w:t>$</w:t>
            </w:r>
            <w:r w:rsidRPr="005139C0">
              <w:t>518</w:t>
            </w:r>
            <w:r>
              <w:t>,</w:t>
            </w:r>
            <w:r w:rsidRPr="005139C0">
              <w:t>686.99</w:t>
            </w:r>
          </w:p>
        </w:tc>
        <w:tc>
          <w:tcPr>
            <w:tcW w:w="789" w:type="pct"/>
            <w:vAlign w:val="center"/>
          </w:tcPr>
          <w:p w14:paraId="042BC335" w14:textId="0B5F5850" w:rsidR="0011236B" w:rsidRDefault="00E52147" w:rsidP="0011236B">
            <w:pPr>
              <w:pStyle w:val="ListParagraph"/>
              <w:ind w:left="0"/>
              <w:jc w:val="center"/>
            </w:pPr>
            <w:r>
              <w:t>$621,612.78</w:t>
            </w:r>
          </w:p>
        </w:tc>
        <w:tc>
          <w:tcPr>
            <w:tcW w:w="790" w:type="pct"/>
            <w:vAlign w:val="center"/>
          </w:tcPr>
          <w:p w14:paraId="59ED9EF4" w14:textId="55CB682A" w:rsidR="0011236B" w:rsidRDefault="008008BF" w:rsidP="0011236B">
            <w:pPr>
              <w:pStyle w:val="ListParagraph"/>
              <w:ind w:left="0"/>
              <w:jc w:val="center"/>
            </w:pPr>
            <w:r>
              <w:t>$546,821.05</w:t>
            </w:r>
          </w:p>
        </w:tc>
        <w:tc>
          <w:tcPr>
            <w:tcW w:w="588" w:type="pct"/>
            <w:vAlign w:val="center"/>
          </w:tcPr>
          <w:p w14:paraId="0D0620E6" w14:textId="1C2BA20B" w:rsidR="0011236B" w:rsidRPr="00D17DA9" w:rsidRDefault="00D8137D" w:rsidP="0011236B">
            <w:pPr>
              <w:pStyle w:val="ListParagraph"/>
              <w:ind w:left="0"/>
              <w:jc w:val="center"/>
            </w:pPr>
            <w:r>
              <w:t>1.2</w:t>
            </w:r>
          </w:p>
        </w:tc>
      </w:tr>
      <w:tr w:rsidR="008008BF" w:rsidRPr="00D17DA9" w14:paraId="6F5071F9" w14:textId="77777777" w:rsidTr="00D8137D">
        <w:trPr>
          <w:trHeight w:val="432"/>
        </w:trPr>
        <w:tc>
          <w:tcPr>
            <w:tcW w:w="1254" w:type="pct"/>
            <w:vAlign w:val="center"/>
          </w:tcPr>
          <w:p w14:paraId="083288C9" w14:textId="63B0579B" w:rsidR="0011236B" w:rsidRPr="00D17DA9" w:rsidRDefault="0011236B" w:rsidP="0011236B">
            <w:pPr>
              <w:pStyle w:val="ListParagraph"/>
              <w:ind w:left="0"/>
            </w:pPr>
            <w:r w:rsidRPr="00D17DA9">
              <w:t>Hearing Aid</w:t>
            </w:r>
          </w:p>
        </w:tc>
        <w:tc>
          <w:tcPr>
            <w:tcW w:w="789" w:type="pct"/>
            <w:vAlign w:val="center"/>
          </w:tcPr>
          <w:p w14:paraId="0B7EA559" w14:textId="1AB8004C" w:rsidR="0011236B" w:rsidRPr="00D17DA9" w:rsidRDefault="0011236B" w:rsidP="0011236B">
            <w:pPr>
              <w:pStyle w:val="ListParagraph"/>
              <w:ind w:left="0"/>
              <w:jc w:val="center"/>
            </w:pPr>
            <w:r>
              <w:t>$723,925.05</w:t>
            </w:r>
          </w:p>
        </w:tc>
        <w:tc>
          <w:tcPr>
            <w:tcW w:w="789" w:type="pct"/>
            <w:vAlign w:val="center"/>
          </w:tcPr>
          <w:p w14:paraId="1499EC20" w14:textId="3987D0CC" w:rsidR="0011236B" w:rsidRPr="00D17DA9" w:rsidRDefault="0011236B" w:rsidP="0011236B">
            <w:pPr>
              <w:pStyle w:val="ListParagraph"/>
              <w:ind w:left="0"/>
              <w:jc w:val="center"/>
            </w:pPr>
            <w:r>
              <w:t>$401,331.98</w:t>
            </w:r>
          </w:p>
        </w:tc>
        <w:tc>
          <w:tcPr>
            <w:tcW w:w="789" w:type="pct"/>
            <w:vAlign w:val="center"/>
          </w:tcPr>
          <w:p w14:paraId="16BAAAEF" w14:textId="082A5F19" w:rsidR="0011236B" w:rsidRDefault="00D646B3" w:rsidP="0011236B">
            <w:pPr>
              <w:pStyle w:val="ListParagraph"/>
              <w:ind w:left="0"/>
              <w:jc w:val="center"/>
            </w:pPr>
            <w:r>
              <w:t>$493,454.51</w:t>
            </w:r>
          </w:p>
        </w:tc>
        <w:tc>
          <w:tcPr>
            <w:tcW w:w="790" w:type="pct"/>
            <w:vAlign w:val="center"/>
          </w:tcPr>
          <w:p w14:paraId="3DD7A6EA" w14:textId="676005A1" w:rsidR="0011236B" w:rsidRDefault="0028586C" w:rsidP="0011236B">
            <w:pPr>
              <w:pStyle w:val="ListParagraph"/>
              <w:ind w:left="0"/>
              <w:jc w:val="center"/>
            </w:pPr>
            <w:r>
              <w:t>$623,111.03</w:t>
            </w:r>
          </w:p>
        </w:tc>
        <w:tc>
          <w:tcPr>
            <w:tcW w:w="588" w:type="pct"/>
            <w:vAlign w:val="center"/>
          </w:tcPr>
          <w:p w14:paraId="6E6D39D4" w14:textId="2DD04D43" w:rsidR="0011236B" w:rsidRPr="00D17DA9" w:rsidRDefault="00D8137D" w:rsidP="0011236B">
            <w:pPr>
              <w:pStyle w:val="ListParagraph"/>
              <w:ind w:left="0"/>
              <w:jc w:val="center"/>
            </w:pPr>
            <w:r>
              <w:t>-16.2</w:t>
            </w:r>
          </w:p>
        </w:tc>
      </w:tr>
      <w:tr w:rsidR="008008BF" w:rsidRPr="00D17DA9" w14:paraId="60DDD60A" w14:textId="3F28C689" w:rsidTr="00D8137D">
        <w:trPr>
          <w:trHeight w:val="432"/>
        </w:trPr>
        <w:tc>
          <w:tcPr>
            <w:tcW w:w="1254" w:type="pct"/>
            <w:vAlign w:val="center"/>
          </w:tcPr>
          <w:p w14:paraId="29F5BEC5" w14:textId="77777777" w:rsidR="0011236B" w:rsidRPr="00D17DA9" w:rsidRDefault="0011236B" w:rsidP="0011236B">
            <w:pPr>
              <w:pStyle w:val="ListParagraph"/>
              <w:ind w:left="0"/>
            </w:pPr>
            <w:r w:rsidRPr="00D17DA9">
              <w:t>Transportation</w:t>
            </w:r>
          </w:p>
        </w:tc>
        <w:tc>
          <w:tcPr>
            <w:tcW w:w="789" w:type="pct"/>
            <w:vAlign w:val="center"/>
          </w:tcPr>
          <w:p w14:paraId="4B76AC38" w14:textId="3FA955A6" w:rsidR="0011236B" w:rsidRPr="00D17DA9" w:rsidRDefault="0011236B" w:rsidP="0011236B">
            <w:pPr>
              <w:pStyle w:val="ListParagraph"/>
              <w:ind w:left="0"/>
              <w:jc w:val="center"/>
            </w:pPr>
            <w:r>
              <w:t>$280,961.75</w:t>
            </w:r>
          </w:p>
        </w:tc>
        <w:tc>
          <w:tcPr>
            <w:tcW w:w="789" w:type="pct"/>
            <w:vAlign w:val="center"/>
          </w:tcPr>
          <w:p w14:paraId="56A5D6A5" w14:textId="3A51530A" w:rsidR="0011236B" w:rsidRPr="00D17DA9" w:rsidRDefault="0011236B" w:rsidP="0011236B">
            <w:pPr>
              <w:pStyle w:val="ListParagraph"/>
              <w:ind w:left="0"/>
              <w:jc w:val="center"/>
            </w:pPr>
            <w:r>
              <w:t>$298,604.29</w:t>
            </w:r>
          </w:p>
        </w:tc>
        <w:tc>
          <w:tcPr>
            <w:tcW w:w="789" w:type="pct"/>
            <w:vAlign w:val="center"/>
          </w:tcPr>
          <w:p w14:paraId="2D61C9A5" w14:textId="3B08AB9D" w:rsidR="0011236B" w:rsidRDefault="00E52147" w:rsidP="0011236B">
            <w:pPr>
              <w:pStyle w:val="ListParagraph"/>
              <w:ind w:left="0"/>
              <w:jc w:val="center"/>
            </w:pPr>
            <w:r>
              <w:t>$317,372.90</w:t>
            </w:r>
          </w:p>
        </w:tc>
        <w:tc>
          <w:tcPr>
            <w:tcW w:w="790" w:type="pct"/>
            <w:vAlign w:val="center"/>
          </w:tcPr>
          <w:p w14:paraId="370844CE" w14:textId="77C5972E" w:rsidR="0011236B" w:rsidRDefault="0028586C" w:rsidP="0011236B">
            <w:pPr>
              <w:pStyle w:val="ListParagraph"/>
              <w:ind w:left="0"/>
              <w:jc w:val="center"/>
            </w:pPr>
            <w:r>
              <w:t>$315,228.37</w:t>
            </w:r>
          </w:p>
        </w:tc>
        <w:tc>
          <w:tcPr>
            <w:tcW w:w="588" w:type="pct"/>
            <w:vAlign w:val="center"/>
          </w:tcPr>
          <w:p w14:paraId="1A554B57" w14:textId="59E7A6C5" w:rsidR="0011236B" w:rsidRPr="00D17DA9" w:rsidRDefault="00D8137D" w:rsidP="0011236B">
            <w:pPr>
              <w:pStyle w:val="ListParagraph"/>
              <w:ind w:left="0"/>
              <w:jc w:val="center"/>
            </w:pPr>
            <w:r>
              <w:t>10.9</w:t>
            </w:r>
          </w:p>
        </w:tc>
      </w:tr>
      <w:tr w:rsidR="008008BF" w:rsidRPr="00D17DA9" w14:paraId="0E6EDA18" w14:textId="319FCE17" w:rsidTr="00D8137D">
        <w:trPr>
          <w:trHeight w:val="432"/>
        </w:trPr>
        <w:tc>
          <w:tcPr>
            <w:tcW w:w="1254" w:type="pct"/>
            <w:vAlign w:val="center"/>
          </w:tcPr>
          <w:p w14:paraId="6940EDA9" w14:textId="77777777" w:rsidR="0011236B" w:rsidRPr="00D17DA9" w:rsidRDefault="0011236B" w:rsidP="0011236B">
            <w:pPr>
              <w:pStyle w:val="ListParagraph"/>
              <w:ind w:left="0"/>
            </w:pPr>
            <w:r w:rsidRPr="00D17DA9">
              <w:t>Rehabilitation Technology</w:t>
            </w:r>
          </w:p>
        </w:tc>
        <w:tc>
          <w:tcPr>
            <w:tcW w:w="789" w:type="pct"/>
            <w:vAlign w:val="center"/>
          </w:tcPr>
          <w:p w14:paraId="7E10E9F6" w14:textId="1CAE4784" w:rsidR="0011236B" w:rsidRPr="00D17DA9" w:rsidRDefault="0011236B" w:rsidP="0011236B">
            <w:pPr>
              <w:pStyle w:val="ListParagraph"/>
              <w:ind w:left="0"/>
              <w:jc w:val="center"/>
            </w:pPr>
            <w:r>
              <w:t>$342,292.26</w:t>
            </w:r>
          </w:p>
        </w:tc>
        <w:tc>
          <w:tcPr>
            <w:tcW w:w="789" w:type="pct"/>
            <w:vAlign w:val="center"/>
          </w:tcPr>
          <w:p w14:paraId="3021627D" w14:textId="39B0338C" w:rsidR="0011236B" w:rsidRPr="00D17DA9" w:rsidRDefault="0011236B" w:rsidP="0011236B">
            <w:pPr>
              <w:pStyle w:val="ListParagraph"/>
              <w:ind w:left="0"/>
              <w:jc w:val="center"/>
            </w:pPr>
            <w:r>
              <w:t>$556,823.35</w:t>
            </w:r>
          </w:p>
        </w:tc>
        <w:tc>
          <w:tcPr>
            <w:tcW w:w="789" w:type="pct"/>
            <w:vAlign w:val="center"/>
          </w:tcPr>
          <w:p w14:paraId="55BDC31A" w14:textId="6B5EBE09" w:rsidR="0011236B" w:rsidRDefault="00E52147" w:rsidP="0011236B">
            <w:pPr>
              <w:pStyle w:val="ListParagraph"/>
              <w:ind w:left="0"/>
              <w:jc w:val="center"/>
            </w:pPr>
            <w:r>
              <w:t>$449,334.37</w:t>
            </w:r>
          </w:p>
        </w:tc>
        <w:tc>
          <w:tcPr>
            <w:tcW w:w="790" w:type="pct"/>
            <w:vAlign w:val="center"/>
          </w:tcPr>
          <w:p w14:paraId="02A55F0D" w14:textId="2EE668CF" w:rsidR="0011236B" w:rsidRDefault="0028586C" w:rsidP="0011236B">
            <w:pPr>
              <w:pStyle w:val="ListParagraph"/>
              <w:ind w:left="0"/>
              <w:jc w:val="center"/>
            </w:pPr>
            <w:r>
              <w:t>$516,308.71</w:t>
            </w:r>
          </w:p>
        </w:tc>
        <w:tc>
          <w:tcPr>
            <w:tcW w:w="588" w:type="pct"/>
            <w:vAlign w:val="center"/>
          </w:tcPr>
          <w:p w14:paraId="5AB21D06" w14:textId="6BE1DC61" w:rsidR="0011236B" w:rsidRPr="00D17DA9" w:rsidRDefault="00D8137D" w:rsidP="0011236B">
            <w:pPr>
              <w:pStyle w:val="ListParagraph"/>
              <w:ind w:left="0"/>
              <w:jc w:val="center"/>
            </w:pPr>
            <w:r>
              <w:t>33.7</w:t>
            </w:r>
          </w:p>
        </w:tc>
      </w:tr>
      <w:tr w:rsidR="008008BF" w:rsidRPr="00D17DA9" w14:paraId="2CF682D2" w14:textId="7E1052C2" w:rsidTr="00D8137D">
        <w:trPr>
          <w:trHeight w:val="432"/>
        </w:trPr>
        <w:tc>
          <w:tcPr>
            <w:tcW w:w="1254" w:type="pct"/>
            <w:vAlign w:val="center"/>
          </w:tcPr>
          <w:p w14:paraId="4DB17F18" w14:textId="77777777" w:rsidR="0011236B" w:rsidRPr="00D17DA9" w:rsidRDefault="0011236B" w:rsidP="0011236B">
            <w:pPr>
              <w:pStyle w:val="ListParagraph"/>
              <w:ind w:left="0"/>
            </w:pPr>
            <w:r w:rsidRPr="00D17DA9">
              <w:t>Maintenance</w:t>
            </w:r>
          </w:p>
        </w:tc>
        <w:tc>
          <w:tcPr>
            <w:tcW w:w="789" w:type="pct"/>
            <w:vAlign w:val="center"/>
          </w:tcPr>
          <w:p w14:paraId="31C447ED" w14:textId="552F6FC6" w:rsidR="0011236B" w:rsidRPr="00D17DA9" w:rsidRDefault="0011236B" w:rsidP="0011236B">
            <w:pPr>
              <w:pStyle w:val="ListParagraph"/>
              <w:ind w:left="0"/>
              <w:jc w:val="center"/>
            </w:pPr>
            <w:r>
              <w:t>$106,686.73</w:t>
            </w:r>
          </w:p>
        </w:tc>
        <w:tc>
          <w:tcPr>
            <w:tcW w:w="789" w:type="pct"/>
            <w:vAlign w:val="center"/>
          </w:tcPr>
          <w:p w14:paraId="3B85DA86" w14:textId="02201C41" w:rsidR="0011236B" w:rsidRPr="00D17DA9" w:rsidRDefault="0011236B" w:rsidP="0011236B">
            <w:pPr>
              <w:pStyle w:val="ListParagraph"/>
              <w:ind w:left="0"/>
              <w:jc w:val="center"/>
            </w:pPr>
            <w:r>
              <w:t>$96,675.45</w:t>
            </w:r>
          </w:p>
        </w:tc>
        <w:tc>
          <w:tcPr>
            <w:tcW w:w="789" w:type="pct"/>
            <w:vAlign w:val="center"/>
          </w:tcPr>
          <w:p w14:paraId="581F964A" w14:textId="512BC75A" w:rsidR="0011236B" w:rsidRDefault="00D646B3" w:rsidP="0011236B">
            <w:pPr>
              <w:pStyle w:val="ListParagraph"/>
              <w:ind w:left="0"/>
              <w:jc w:val="center"/>
            </w:pPr>
            <w:r>
              <w:t>$105,608.39</w:t>
            </w:r>
          </w:p>
        </w:tc>
        <w:tc>
          <w:tcPr>
            <w:tcW w:w="790" w:type="pct"/>
            <w:vAlign w:val="center"/>
          </w:tcPr>
          <w:p w14:paraId="26928BE3" w14:textId="14A5659B" w:rsidR="0011236B" w:rsidRDefault="0028586C" w:rsidP="0011236B">
            <w:pPr>
              <w:pStyle w:val="ListParagraph"/>
              <w:ind w:left="0"/>
              <w:jc w:val="center"/>
            </w:pPr>
            <w:r>
              <w:t>$109,424.07</w:t>
            </w:r>
          </w:p>
        </w:tc>
        <w:tc>
          <w:tcPr>
            <w:tcW w:w="588" w:type="pct"/>
            <w:vAlign w:val="center"/>
          </w:tcPr>
          <w:p w14:paraId="5343C5AD" w14:textId="5077A2E8" w:rsidR="0011236B" w:rsidRPr="00D17DA9" w:rsidRDefault="00D8137D" w:rsidP="0011236B">
            <w:pPr>
              <w:pStyle w:val="ListParagraph"/>
              <w:ind w:left="0"/>
              <w:jc w:val="center"/>
            </w:pPr>
            <w:r>
              <w:t>2.5</w:t>
            </w:r>
          </w:p>
        </w:tc>
      </w:tr>
      <w:tr w:rsidR="008008BF" w:rsidRPr="00D17DA9" w14:paraId="0021A42D" w14:textId="6A035895" w:rsidTr="00D8137D">
        <w:trPr>
          <w:trHeight w:val="432"/>
        </w:trPr>
        <w:tc>
          <w:tcPr>
            <w:tcW w:w="1254" w:type="pct"/>
            <w:vAlign w:val="center"/>
          </w:tcPr>
          <w:p w14:paraId="08058503" w14:textId="77777777" w:rsidR="0011236B" w:rsidRPr="00D17DA9" w:rsidRDefault="0011236B" w:rsidP="0011236B">
            <w:pPr>
              <w:pStyle w:val="ListParagraph"/>
              <w:ind w:left="0"/>
            </w:pPr>
            <w:r w:rsidRPr="00D17DA9">
              <w:t>Diagnosis &amp; Treatment</w:t>
            </w:r>
          </w:p>
        </w:tc>
        <w:tc>
          <w:tcPr>
            <w:tcW w:w="789" w:type="pct"/>
            <w:vAlign w:val="center"/>
          </w:tcPr>
          <w:p w14:paraId="1E2B6FF5" w14:textId="7D0EB453" w:rsidR="0011236B" w:rsidRPr="00D17DA9" w:rsidRDefault="0011236B" w:rsidP="0011236B">
            <w:pPr>
              <w:pStyle w:val="ListParagraph"/>
              <w:ind w:left="0"/>
              <w:jc w:val="center"/>
            </w:pPr>
            <w:r>
              <w:t>$</w:t>
            </w:r>
            <w:r w:rsidRPr="005E2A03">
              <w:t>119</w:t>
            </w:r>
            <w:r>
              <w:t>,</w:t>
            </w:r>
            <w:r w:rsidRPr="005E2A03">
              <w:t>615.66</w:t>
            </w:r>
          </w:p>
        </w:tc>
        <w:tc>
          <w:tcPr>
            <w:tcW w:w="789" w:type="pct"/>
            <w:vAlign w:val="center"/>
          </w:tcPr>
          <w:p w14:paraId="2DAB7F4A" w14:textId="3E5ACD48" w:rsidR="0011236B" w:rsidRPr="00D17DA9" w:rsidRDefault="0011236B" w:rsidP="0011236B">
            <w:pPr>
              <w:pStyle w:val="ListParagraph"/>
              <w:ind w:left="0"/>
              <w:jc w:val="center"/>
            </w:pPr>
            <w:r>
              <w:t>$</w:t>
            </w:r>
            <w:r w:rsidRPr="005139C0">
              <w:t>180</w:t>
            </w:r>
            <w:r>
              <w:t>,</w:t>
            </w:r>
            <w:r w:rsidRPr="005139C0">
              <w:t>574.16</w:t>
            </w:r>
          </w:p>
        </w:tc>
        <w:tc>
          <w:tcPr>
            <w:tcW w:w="789" w:type="pct"/>
            <w:vAlign w:val="center"/>
          </w:tcPr>
          <w:p w14:paraId="6E197476" w14:textId="4F705D0A" w:rsidR="0011236B" w:rsidRDefault="00D646B3" w:rsidP="0011236B">
            <w:pPr>
              <w:pStyle w:val="ListParagraph"/>
              <w:ind w:left="0"/>
              <w:jc w:val="center"/>
            </w:pPr>
            <w:r>
              <w:t>$127,056.30</w:t>
            </w:r>
          </w:p>
        </w:tc>
        <w:tc>
          <w:tcPr>
            <w:tcW w:w="790" w:type="pct"/>
            <w:vAlign w:val="center"/>
          </w:tcPr>
          <w:p w14:paraId="1B90EFBD" w14:textId="340C74D3" w:rsidR="0011236B" w:rsidRDefault="0028586C" w:rsidP="0011236B">
            <w:pPr>
              <w:pStyle w:val="ListParagraph"/>
              <w:ind w:left="0"/>
              <w:jc w:val="center"/>
            </w:pPr>
            <w:r>
              <w:t>$</w:t>
            </w:r>
            <w:r w:rsidR="008008BF">
              <w:t>209,581.45</w:t>
            </w:r>
          </w:p>
        </w:tc>
        <w:tc>
          <w:tcPr>
            <w:tcW w:w="588" w:type="pct"/>
            <w:vAlign w:val="center"/>
          </w:tcPr>
          <w:p w14:paraId="1D6A4B0F" w14:textId="5BC0CAB2" w:rsidR="0011236B" w:rsidRPr="00D17DA9" w:rsidRDefault="00D8137D" w:rsidP="0011236B">
            <w:pPr>
              <w:pStyle w:val="ListParagraph"/>
              <w:ind w:left="0"/>
              <w:jc w:val="center"/>
            </w:pPr>
            <w:r>
              <w:t>42.9</w:t>
            </w:r>
          </w:p>
        </w:tc>
      </w:tr>
      <w:tr w:rsidR="008008BF" w:rsidRPr="00D17DA9" w14:paraId="28ACF057" w14:textId="77777777" w:rsidTr="00D8137D">
        <w:trPr>
          <w:trHeight w:val="432"/>
        </w:trPr>
        <w:tc>
          <w:tcPr>
            <w:tcW w:w="1254" w:type="pct"/>
            <w:vAlign w:val="center"/>
          </w:tcPr>
          <w:p w14:paraId="4FE799E3" w14:textId="0D8D00DE" w:rsidR="0011236B" w:rsidRPr="00D17DA9" w:rsidRDefault="0011236B" w:rsidP="0011236B">
            <w:pPr>
              <w:pStyle w:val="ListParagraph"/>
              <w:ind w:left="0"/>
              <w:jc w:val="right"/>
              <w:rPr>
                <w:b/>
              </w:rPr>
            </w:pPr>
            <w:r w:rsidRPr="00D17DA9">
              <w:rPr>
                <w:b/>
              </w:rPr>
              <w:t>TOTAL</w:t>
            </w:r>
          </w:p>
        </w:tc>
        <w:tc>
          <w:tcPr>
            <w:tcW w:w="789" w:type="pct"/>
            <w:vAlign w:val="center"/>
          </w:tcPr>
          <w:p w14:paraId="4E1BFD50" w14:textId="10549C66" w:rsidR="0011236B" w:rsidRPr="00D17DA9" w:rsidRDefault="0011236B" w:rsidP="0011236B">
            <w:pPr>
              <w:pStyle w:val="ListParagraph"/>
              <w:ind w:left="0"/>
              <w:jc w:val="center"/>
              <w:rPr>
                <w:b/>
              </w:rPr>
            </w:pPr>
            <w:r>
              <w:rPr>
                <w:b/>
              </w:rPr>
              <w:fldChar w:fldCharType="begin"/>
            </w:r>
            <w:r>
              <w:rPr>
                <w:b/>
              </w:rPr>
              <w:instrText xml:space="preserve"> =SUM(ABOVE) </w:instrText>
            </w:r>
            <w:r>
              <w:rPr>
                <w:b/>
              </w:rPr>
              <w:fldChar w:fldCharType="separate"/>
            </w:r>
            <w:r>
              <w:rPr>
                <w:b/>
                <w:noProof/>
              </w:rPr>
              <w:t>$7,209,045.11</w:t>
            </w:r>
            <w:r>
              <w:rPr>
                <w:b/>
              </w:rPr>
              <w:fldChar w:fldCharType="end"/>
            </w:r>
          </w:p>
        </w:tc>
        <w:tc>
          <w:tcPr>
            <w:tcW w:w="789" w:type="pct"/>
            <w:vAlign w:val="center"/>
          </w:tcPr>
          <w:p w14:paraId="22D1BA49" w14:textId="182FF3FC" w:rsidR="0011236B" w:rsidRPr="00D17DA9" w:rsidRDefault="0011236B" w:rsidP="0011236B">
            <w:pPr>
              <w:pStyle w:val="ListParagraph"/>
              <w:ind w:left="0"/>
              <w:jc w:val="center"/>
              <w:rPr>
                <w:b/>
              </w:rPr>
            </w:pPr>
            <w:r>
              <w:rPr>
                <w:b/>
              </w:rPr>
              <w:fldChar w:fldCharType="begin"/>
            </w:r>
            <w:r>
              <w:rPr>
                <w:b/>
              </w:rPr>
              <w:instrText xml:space="preserve"> =SUM(ABOVE) </w:instrText>
            </w:r>
            <w:r>
              <w:rPr>
                <w:b/>
              </w:rPr>
              <w:fldChar w:fldCharType="separate"/>
            </w:r>
            <w:r>
              <w:rPr>
                <w:b/>
                <w:noProof/>
              </w:rPr>
              <w:t>$6,830,674.51</w:t>
            </w:r>
            <w:r>
              <w:rPr>
                <w:b/>
              </w:rPr>
              <w:fldChar w:fldCharType="end"/>
            </w:r>
          </w:p>
        </w:tc>
        <w:tc>
          <w:tcPr>
            <w:tcW w:w="789" w:type="pct"/>
            <w:vAlign w:val="center"/>
          </w:tcPr>
          <w:p w14:paraId="49F200C1" w14:textId="5D9165BE" w:rsidR="0011236B" w:rsidRDefault="008008BF" w:rsidP="0011236B">
            <w:pPr>
              <w:pStyle w:val="ListParagraph"/>
              <w:ind w:left="0"/>
              <w:jc w:val="center"/>
              <w:rPr>
                <w:b/>
              </w:rPr>
            </w:pPr>
            <w:r>
              <w:rPr>
                <w:b/>
              </w:rPr>
              <w:fldChar w:fldCharType="begin"/>
            </w:r>
            <w:r>
              <w:rPr>
                <w:b/>
              </w:rPr>
              <w:instrText xml:space="preserve"> =SUM(ABOVE) </w:instrText>
            </w:r>
            <w:r>
              <w:rPr>
                <w:b/>
              </w:rPr>
              <w:fldChar w:fldCharType="separate"/>
            </w:r>
            <w:r>
              <w:rPr>
                <w:b/>
                <w:noProof/>
              </w:rPr>
              <w:t>$7,012,891.90</w:t>
            </w:r>
            <w:r>
              <w:rPr>
                <w:b/>
              </w:rPr>
              <w:fldChar w:fldCharType="end"/>
            </w:r>
          </w:p>
        </w:tc>
        <w:tc>
          <w:tcPr>
            <w:tcW w:w="790" w:type="pct"/>
            <w:vAlign w:val="center"/>
          </w:tcPr>
          <w:p w14:paraId="08F6048B" w14:textId="350A6A1C" w:rsidR="0011236B" w:rsidRDefault="008008BF" w:rsidP="0011236B">
            <w:pPr>
              <w:pStyle w:val="ListParagraph"/>
              <w:ind w:left="0"/>
              <w:jc w:val="center"/>
              <w:rPr>
                <w:b/>
              </w:rPr>
            </w:pPr>
            <w:r>
              <w:rPr>
                <w:b/>
              </w:rPr>
              <w:fldChar w:fldCharType="begin"/>
            </w:r>
            <w:r>
              <w:rPr>
                <w:b/>
              </w:rPr>
              <w:instrText xml:space="preserve"> =SUM(ABOVE) </w:instrText>
            </w:r>
            <w:r>
              <w:rPr>
                <w:b/>
              </w:rPr>
              <w:fldChar w:fldCharType="separate"/>
            </w:r>
            <w:r>
              <w:rPr>
                <w:b/>
                <w:noProof/>
              </w:rPr>
              <w:t>$7,145,886.38</w:t>
            </w:r>
            <w:r>
              <w:rPr>
                <w:b/>
              </w:rPr>
              <w:fldChar w:fldCharType="end"/>
            </w:r>
          </w:p>
        </w:tc>
        <w:tc>
          <w:tcPr>
            <w:tcW w:w="588" w:type="pct"/>
            <w:vAlign w:val="center"/>
          </w:tcPr>
          <w:p w14:paraId="6C5C36BD" w14:textId="5CACF250" w:rsidR="0011236B" w:rsidRPr="00D17DA9" w:rsidRDefault="00D8137D" w:rsidP="00D8137D">
            <w:pPr>
              <w:pStyle w:val="ListParagraph"/>
              <w:ind w:left="0"/>
              <w:jc w:val="center"/>
              <w:rPr>
                <w:b/>
              </w:rPr>
            </w:pPr>
            <w:r>
              <w:rPr>
                <w:b/>
              </w:rPr>
              <w:t>-0.9</w:t>
            </w:r>
          </w:p>
        </w:tc>
      </w:tr>
    </w:tbl>
    <w:p w14:paraId="192D698E" w14:textId="77777777" w:rsidR="005B2211" w:rsidRDefault="005B2211" w:rsidP="006F5D1D">
      <w:pPr>
        <w:pStyle w:val="ListParagraph"/>
        <w:spacing w:after="0" w:line="240" w:lineRule="auto"/>
      </w:pPr>
    </w:p>
    <w:p w14:paraId="7E3724C7" w14:textId="77777777" w:rsidR="005B2211" w:rsidRDefault="005B2211" w:rsidP="006F5D1D">
      <w:pPr>
        <w:pStyle w:val="ListParagraph"/>
        <w:spacing w:after="0" w:line="240" w:lineRule="auto"/>
      </w:pPr>
    </w:p>
    <w:p w14:paraId="248AEF57" w14:textId="77777777" w:rsidR="005B2211" w:rsidRDefault="005B2211" w:rsidP="006F5D1D">
      <w:pPr>
        <w:pStyle w:val="ListParagraph"/>
        <w:spacing w:after="0" w:line="240" w:lineRule="auto"/>
      </w:pPr>
    </w:p>
    <w:p w14:paraId="010C98A1" w14:textId="77777777" w:rsidR="005B2211" w:rsidRDefault="005B2211" w:rsidP="006F5D1D">
      <w:pPr>
        <w:pStyle w:val="ListParagraph"/>
        <w:spacing w:after="0" w:line="240" w:lineRule="auto"/>
      </w:pPr>
    </w:p>
    <w:p w14:paraId="5B47F88E" w14:textId="77777777" w:rsidR="005B2211" w:rsidRDefault="005B2211" w:rsidP="006F5D1D">
      <w:pPr>
        <w:pStyle w:val="ListParagraph"/>
        <w:spacing w:after="0" w:line="240" w:lineRule="auto"/>
      </w:pPr>
    </w:p>
    <w:p w14:paraId="19C4F7D5" w14:textId="4C8D4862" w:rsidR="006F5D1D" w:rsidRPr="00D17DA9" w:rsidRDefault="006F5D1D" w:rsidP="006F5D1D">
      <w:pPr>
        <w:pStyle w:val="ListParagraph"/>
        <w:spacing w:after="0" w:line="240" w:lineRule="auto"/>
      </w:pPr>
      <w:r w:rsidRPr="00D17DA9">
        <w:t xml:space="preserve">Chart 10 shows the percent of </w:t>
      </w:r>
      <w:r w:rsidR="00726C8B">
        <w:t>all DVR expenditures in FFY 201</w:t>
      </w:r>
      <w:r w:rsidR="005B67D5">
        <w:t>9</w:t>
      </w:r>
      <w:r w:rsidRPr="00D17DA9">
        <w:t xml:space="preserve"> that were spent on each type of service.  </w:t>
      </w:r>
    </w:p>
    <w:p w14:paraId="34646326" w14:textId="77777777" w:rsidR="006F5D1D" w:rsidRPr="00D17DA9" w:rsidRDefault="006F5D1D" w:rsidP="006F5D1D">
      <w:pPr>
        <w:pStyle w:val="ListParagraph"/>
        <w:spacing w:after="0" w:line="240" w:lineRule="auto"/>
      </w:pPr>
    </w:p>
    <w:p w14:paraId="0A3C6833" w14:textId="77777777" w:rsidR="006F5D1D" w:rsidRPr="00D17DA9" w:rsidRDefault="006F5D1D" w:rsidP="006F5D1D">
      <w:pPr>
        <w:pStyle w:val="ListParagraph"/>
        <w:spacing w:after="0" w:line="240" w:lineRule="auto"/>
        <w:rPr>
          <w:b/>
        </w:rPr>
      </w:pPr>
      <w:r w:rsidRPr="00D17DA9">
        <w:rPr>
          <w:b/>
        </w:rPr>
        <w:t>Findings</w:t>
      </w:r>
    </w:p>
    <w:p w14:paraId="2ECDEE06" w14:textId="6749FCF7" w:rsidR="006F5D1D" w:rsidRPr="00FD1B89" w:rsidRDefault="00FD1B89" w:rsidP="00010E2A">
      <w:pPr>
        <w:pStyle w:val="ListParagraph"/>
        <w:numPr>
          <w:ilvl w:val="0"/>
          <w:numId w:val="6"/>
        </w:numPr>
        <w:spacing w:after="0" w:line="240" w:lineRule="auto"/>
      </w:pPr>
      <w:r w:rsidRPr="00FD1B89">
        <w:t>Job Development</w:t>
      </w:r>
      <w:r w:rsidR="00CD6AEC" w:rsidRPr="00FD1B89">
        <w:t xml:space="preserve">, </w:t>
      </w:r>
      <w:r w:rsidRPr="00FD1B89">
        <w:t>All Other Service Groups,</w:t>
      </w:r>
      <w:r w:rsidR="00CD6AEC" w:rsidRPr="00FD1B89">
        <w:t xml:space="preserve"> College or University Training</w:t>
      </w:r>
      <w:r w:rsidR="00015F90">
        <w:t xml:space="preserve"> and On-the-Job Supports</w:t>
      </w:r>
      <w:r w:rsidR="00CD6AEC" w:rsidRPr="00FD1B89">
        <w:t xml:space="preserve"> </w:t>
      </w:r>
      <w:r w:rsidR="00D73F15" w:rsidRPr="00FD1B89">
        <w:t xml:space="preserve">were the top </w:t>
      </w:r>
      <w:r w:rsidR="00015F90">
        <w:t>four</w:t>
      </w:r>
      <w:r w:rsidR="00D73F15" w:rsidRPr="00FD1B89">
        <w:t xml:space="preserve"> service groups in terms of case costs in FFY 201</w:t>
      </w:r>
      <w:r w:rsidR="00015F90">
        <w:t>9</w:t>
      </w:r>
      <w:r w:rsidR="00D73F15" w:rsidRPr="00FD1B89">
        <w:t xml:space="preserve"> with a total of $</w:t>
      </w:r>
      <w:r w:rsidR="00015F90">
        <w:t>4.3</w:t>
      </w:r>
      <w:r w:rsidR="00D73F15" w:rsidRPr="00FD1B89">
        <w:t xml:space="preserve"> million, which accounted for</w:t>
      </w:r>
      <w:r w:rsidR="00015F90">
        <w:t xml:space="preserve"> 60</w:t>
      </w:r>
      <w:r w:rsidR="00D73F15" w:rsidRPr="00FD1B89">
        <w:t>% of the $</w:t>
      </w:r>
      <w:r w:rsidR="00015F90">
        <w:t>7.1</w:t>
      </w:r>
      <w:r w:rsidR="00D73F15" w:rsidRPr="00FD1B89">
        <w:t xml:space="preserve"> million in total DVR expenditures that year.</w:t>
      </w:r>
    </w:p>
    <w:p w14:paraId="573F9CFB" w14:textId="77777777" w:rsidR="00D73F15" w:rsidRPr="00D17DA9" w:rsidRDefault="00D73F15" w:rsidP="006F5D1D">
      <w:pPr>
        <w:pStyle w:val="ListParagraph"/>
        <w:spacing w:line="240" w:lineRule="auto"/>
        <w:jc w:val="center"/>
        <w:rPr>
          <w:b/>
        </w:rPr>
      </w:pPr>
    </w:p>
    <w:p w14:paraId="2D31193F" w14:textId="5458984B" w:rsidR="006F5D1D" w:rsidRPr="00D17DA9" w:rsidRDefault="00D73F15" w:rsidP="006F5D1D">
      <w:pPr>
        <w:pStyle w:val="ListParagraph"/>
        <w:spacing w:line="240" w:lineRule="auto"/>
        <w:jc w:val="center"/>
        <w:rPr>
          <w:b/>
        </w:rPr>
      </w:pPr>
      <w:r w:rsidRPr="00D17DA9">
        <w:rPr>
          <w:b/>
        </w:rPr>
        <w:t>CHART 10</w:t>
      </w:r>
    </w:p>
    <w:p w14:paraId="2375D1C9" w14:textId="2E9DAA4A" w:rsidR="006F5D1D" w:rsidRPr="00D17DA9" w:rsidRDefault="00D73F15" w:rsidP="006F5D1D">
      <w:pPr>
        <w:pStyle w:val="ListParagraph"/>
        <w:spacing w:line="240" w:lineRule="auto"/>
        <w:jc w:val="center"/>
        <w:rPr>
          <w:b/>
        </w:rPr>
      </w:pPr>
      <w:r w:rsidRPr="00D17DA9">
        <w:rPr>
          <w:b/>
        </w:rPr>
        <w:t>Case Costs by Service Group in FFY</w:t>
      </w:r>
      <w:r w:rsidR="00726C8B">
        <w:rPr>
          <w:b/>
        </w:rPr>
        <w:t xml:space="preserve"> 201</w:t>
      </w:r>
      <w:r w:rsidR="005B67D5">
        <w:rPr>
          <w:b/>
        </w:rPr>
        <w:t>9</w:t>
      </w:r>
    </w:p>
    <w:p w14:paraId="79FDE3D5" w14:textId="77777777" w:rsidR="006F5D1D" w:rsidRPr="00D17DA9" w:rsidRDefault="006F5D1D" w:rsidP="006F5D1D">
      <w:pPr>
        <w:pStyle w:val="ListParagraph"/>
        <w:spacing w:line="240" w:lineRule="auto"/>
        <w:jc w:val="center"/>
        <w:rPr>
          <w:b/>
        </w:rPr>
      </w:pPr>
    </w:p>
    <w:p w14:paraId="1C1A5E17" w14:textId="77777777" w:rsidR="006F5D1D" w:rsidRPr="00D17DA9" w:rsidRDefault="006F5D1D" w:rsidP="006F5D1D">
      <w:pPr>
        <w:pStyle w:val="ListParagraph"/>
        <w:spacing w:line="240" w:lineRule="auto"/>
        <w:jc w:val="center"/>
        <w:rPr>
          <w:b/>
        </w:rPr>
      </w:pPr>
      <w:r w:rsidRPr="00D17DA9">
        <w:rPr>
          <w:b/>
          <w:noProof/>
        </w:rPr>
        <w:drawing>
          <wp:inline distT="0" distB="0" distL="0" distR="0" wp14:anchorId="7F01034A" wp14:editId="4BD0F65F">
            <wp:extent cx="6084570" cy="4029075"/>
            <wp:effectExtent l="0" t="0" r="1143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9847A3" w14:textId="77777777" w:rsidR="006F5D1D" w:rsidRPr="00D17DA9" w:rsidRDefault="006F5D1D" w:rsidP="006F5D1D">
      <w:pPr>
        <w:pStyle w:val="ListParagraph"/>
        <w:spacing w:after="0" w:line="240" w:lineRule="auto"/>
        <w:rPr>
          <w:b/>
        </w:rPr>
      </w:pPr>
    </w:p>
    <w:p w14:paraId="787774B3" w14:textId="77777777" w:rsidR="006F5D1D" w:rsidRPr="00D17DA9" w:rsidRDefault="006F5D1D" w:rsidP="00263BE8">
      <w:pPr>
        <w:pStyle w:val="ListParagraph"/>
        <w:ind w:left="1080"/>
        <w:rPr>
          <w:b/>
        </w:rPr>
      </w:pPr>
    </w:p>
    <w:p w14:paraId="2B6E8FEC" w14:textId="77777777" w:rsidR="00263BE8" w:rsidRPr="00D17DA9" w:rsidRDefault="00263BE8" w:rsidP="00263BE8">
      <w:pPr>
        <w:pStyle w:val="ListParagraph"/>
        <w:ind w:left="1080"/>
        <w:rPr>
          <w:b/>
        </w:rPr>
      </w:pPr>
    </w:p>
    <w:p w14:paraId="742347FF" w14:textId="77777777" w:rsidR="00283695" w:rsidRPr="00D17DA9" w:rsidRDefault="00283695" w:rsidP="00263BE8">
      <w:pPr>
        <w:pStyle w:val="ListParagraph"/>
        <w:ind w:left="1080"/>
        <w:rPr>
          <w:b/>
        </w:rPr>
      </w:pPr>
    </w:p>
    <w:p w14:paraId="088E049D" w14:textId="77777777" w:rsidR="00283695" w:rsidRPr="00D17DA9" w:rsidRDefault="00283695" w:rsidP="00263BE8">
      <w:pPr>
        <w:pStyle w:val="ListParagraph"/>
        <w:ind w:left="1080"/>
        <w:rPr>
          <w:b/>
        </w:rPr>
      </w:pPr>
    </w:p>
    <w:p w14:paraId="4B53C1FE" w14:textId="77777777" w:rsidR="00283695" w:rsidRPr="00D17DA9" w:rsidRDefault="00283695" w:rsidP="00263BE8">
      <w:pPr>
        <w:pStyle w:val="ListParagraph"/>
        <w:ind w:left="1080"/>
        <w:rPr>
          <w:b/>
        </w:rPr>
      </w:pPr>
    </w:p>
    <w:p w14:paraId="674607A3" w14:textId="77777777" w:rsidR="00283695" w:rsidRPr="00D17DA9" w:rsidRDefault="00283695" w:rsidP="00263BE8">
      <w:pPr>
        <w:pStyle w:val="ListParagraph"/>
        <w:ind w:left="1080"/>
        <w:rPr>
          <w:b/>
        </w:rPr>
      </w:pPr>
    </w:p>
    <w:p w14:paraId="049FD44E" w14:textId="77777777" w:rsidR="00283695" w:rsidRPr="00D17DA9" w:rsidRDefault="00283695" w:rsidP="00263BE8">
      <w:pPr>
        <w:pStyle w:val="ListParagraph"/>
        <w:ind w:left="1080"/>
        <w:rPr>
          <w:b/>
        </w:rPr>
      </w:pPr>
    </w:p>
    <w:p w14:paraId="02A070E2" w14:textId="77777777" w:rsidR="00283695" w:rsidRPr="00D17DA9" w:rsidRDefault="00283695" w:rsidP="00263BE8">
      <w:pPr>
        <w:pStyle w:val="ListParagraph"/>
        <w:ind w:left="1080"/>
        <w:rPr>
          <w:b/>
        </w:rPr>
      </w:pPr>
    </w:p>
    <w:p w14:paraId="60173896" w14:textId="77777777" w:rsidR="00283695" w:rsidRPr="00D17DA9" w:rsidRDefault="00283695" w:rsidP="00263BE8">
      <w:pPr>
        <w:pStyle w:val="ListParagraph"/>
        <w:ind w:left="1080"/>
        <w:rPr>
          <w:b/>
        </w:rPr>
      </w:pPr>
    </w:p>
    <w:p w14:paraId="75E2ABF5" w14:textId="77777777" w:rsidR="00283695" w:rsidRPr="00D17DA9" w:rsidRDefault="00283695" w:rsidP="00263BE8">
      <w:pPr>
        <w:pStyle w:val="ListParagraph"/>
        <w:ind w:left="1080"/>
        <w:rPr>
          <w:b/>
        </w:rPr>
      </w:pPr>
    </w:p>
    <w:p w14:paraId="13EBC234" w14:textId="77777777" w:rsidR="00283695" w:rsidRPr="00D17DA9" w:rsidRDefault="00283695" w:rsidP="00263BE8">
      <w:pPr>
        <w:pStyle w:val="ListParagraph"/>
        <w:ind w:left="1080"/>
        <w:rPr>
          <w:b/>
        </w:rPr>
      </w:pPr>
    </w:p>
    <w:p w14:paraId="56860374" w14:textId="77777777" w:rsidR="00283695" w:rsidRPr="00D17DA9" w:rsidRDefault="00283695" w:rsidP="00263BE8">
      <w:pPr>
        <w:pStyle w:val="ListParagraph"/>
        <w:ind w:left="1080"/>
        <w:rPr>
          <w:b/>
        </w:rPr>
      </w:pPr>
    </w:p>
    <w:p w14:paraId="33B41A31" w14:textId="77777777" w:rsidR="005B2211" w:rsidRDefault="005B2211" w:rsidP="00283695">
      <w:pPr>
        <w:pStyle w:val="ListParagraph"/>
        <w:spacing w:after="0" w:line="240" w:lineRule="auto"/>
      </w:pPr>
    </w:p>
    <w:p w14:paraId="51110412" w14:textId="56D83921" w:rsidR="00283695" w:rsidRPr="00D17DA9" w:rsidRDefault="00283695" w:rsidP="00283695">
      <w:pPr>
        <w:pStyle w:val="ListParagraph"/>
        <w:spacing w:after="0" w:line="240" w:lineRule="auto"/>
      </w:pPr>
      <w:r w:rsidRPr="00D17DA9">
        <w:t xml:space="preserve">Chart 11 outlines the trends in service </w:t>
      </w:r>
      <w:r w:rsidR="00677A04" w:rsidRPr="00D17DA9">
        <w:t>expenditures</w:t>
      </w:r>
      <w:r w:rsidRPr="00D17DA9">
        <w:t xml:space="preserve"> over the past four federal fiscal years from 201</w:t>
      </w:r>
      <w:r w:rsidR="00104E65">
        <w:t>6</w:t>
      </w:r>
      <w:r w:rsidRPr="00D17DA9">
        <w:t xml:space="preserve"> to 201</w:t>
      </w:r>
      <w:r w:rsidR="00104E65">
        <w:t>9</w:t>
      </w:r>
      <w:r w:rsidRPr="00D17DA9">
        <w:t>.</w:t>
      </w:r>
    </w:p>
    <w:p w14:paraId="14D6107E" w14:textId="77777777" w:rsidR="00283695" w:rsidRPr="00D17DA9" w:rsidRDefault="00283695" w:rsidP="00283695">
      <w:pPr>
        <w:pStyle w:val="ListParagraph"/>
        <w:spacing w:after="0" w:line="240" w:lineRule="auto"/>
      </w:pPr>
    </w:p>
    <w:p w14:paraId="73435F1A" w14:textId="77777777" w:rsidR="00283695" w:rsidRPr="00D17DA9" w:rsidRDefault="00283695" w:rsidP="00283695">
      <w:pPr>
        <w:pStyle w:val="ListParagraph"/>
        <w:spacing w:after="0" w:line="240" w:lineRule="auto"/>
        <w:rPr>
          <w:b/>
        </w:rPr>
      </w:pPr>
      <w:r w:rsidRPr="00D17DA9">
        <w:rPr>
          <w:b/>
        </w:rPr>
        <w:t>Findings</w:t>
      </w:r>
    </w:p>
    <w:p w14:paraId="7AA46486" w14:textId="4F6DCC84" w:rsidR="00283695" w:rsidRPr="00AC4741" w:rsidRDefault="0021515A" w:rsidP="00010E2A">
      <w:pPr>
        <w:pStyle w:val="ListParagraph"/>
        <w:numPr>
          <w:ilvl w:val="0"/>
          <w:numId w:val="6"/>
        </w:numPr>
        <w:spacing w:after="0" w:line="240" w:lineRule="auto"/>
      </w:pPr>
      <w:r w:rsidRPr="00AC4741">
        <w:t xml:space="preserve">Please note Job Placement &amp; Development </w:t>
      </w:r>
      <w:r w:rsidR="00A13193" w:rsidRPr="00AC4741">
        <w:t xml:space="preserve">and </w:t>
      </w:r>
      <w:r w:rsidR="00AC052F" w:rsidRPr="00AC4741">
        <w:t xml:space="preserve">CRP Milestones </w:t>
      </w:r>
      <w:r w:rsidR="00A13193" w:rsidRPr="00AC4741">
        <w:t xml:space="preserve">have been </w:t>
      </w:r>
      <w:r w:rsidRPr="00AC4741">
        <w:t xml:space="preserve">combined for FFY </w:t>
      </w:r>
      <w:r w:rsidR="00DB6A53" w:rsidRPr="00AC4741">
        <w:t>201</w:t>
      </w:r>
      <w:r w:rsidR="003926D8">
        <w:t>6</w:t>
      </w:r>
      <w:r w:rsidR="00DB6A53" w:rsidRPr="00AC4741">
        <w:t xml:space="preserve"> through 201</w:t>
      </w:r>
      <w:r w:rsidR="003926D8">
        <w:t>9</w:t>
      </w:r>
      <w:r w:rsidR="00DB6A53" w:rsidRPr="00AC4741">
        <w:t xml:space="preserve"> </w:t>
      </w:r>
      <w:r w:rsidRPr="00AC4741">
        <w:t>the chart below.</w:t>
      </w:r>
    </w:p>
    <w:p w14:paraId="24AAAA3C" w14:textId="08F808C5" w:rsidR="0021515A" w:rsidRPr="00AC4741" w:rsidRDefault="0021515A" w:rsidP="00010E2A">
      <w:pPr>
        <w:pStyle w:val="ListParagraph"/>
        <w:numPr>
          <w:ilvl w:val="0"/>
          <w:numId w:val="6"/>
        </w:numPr>
        <w:spacing w:after="0" w:line="240" w:lineRule="auto"/>
      </w:pPr>
      <w:r w:rsidRPr="00AC4741">
        <w:t>The results underscore the growth in Job Placement &amp;</w:t>
      </w:r>
      <w:r w:rsidR="00A13193" w:rsidRPr="00AC4741">
        <w:t xml:space="preserve"> Development</w:t>
      </w:r>
      <w:r w:rsidR="00AC4741" w:rsidRPr="00AC4741">
        <w:t xml:space="preserve"> and CRP Milestones in FFY 2016 before a sharp decline in FFY 2017 due to changes in payments for these services.</w:t>
      </w:r>
    </w:p>
    <w:p w14:paraId="7040AEC0" w14:textId="36FA7793" w:rsidR="00AC4741" w:rsidRDefault="00DB6A53" w:rsidP="00010E2A">
      <w:pPr>
        <w:pStyle w:val="ListParagraph"/>
        <w:numPr>
          <w:ilvl w:val="0"/>
          <w:numId w:val="6"/>
        </w:numPr>
        <w:spacing w:after="0" w:line="240" w:lineRule="auto"/>
      </w:pPr>
      <w:r w:rsidRPr="00AC4741">
        <w:t>Hearing Aid expenditures</w:t>
      </w:r>
      <w:r w:rsidR="00A13193" w:rsidRPr="00AC4741">
        <w:t xml:space="preserve"> </w:t>
      </w:r>
      <w:r w:rsidR="003926D8">
        <w:t xml:space="preserve">decreased from FFY 2016 to FFY 2017 before </w:t>
      </w:r>
      <w:r w:rsidR="00104E65">
        <w:t>an increase was observed in FFY 2018 and FFY 2019</w:t>
      </w:r>
      <w:r w:rsidR="00AC4741" w:rsidRPr="00AC4741">
        <w:t>.</w:t>
      </w:r>
    </w:p>
    <w:p w14:paraId="41CA248F" w14:textId="4EBF38C9" w:rsidR="00104E65" w:rsidRPr="00AC4741" w:rsidRDefault="00104E65" w:rsidP="00010E2A">
      <w:pPr>
        <w:pStyle w:val="ListParagraph"/>
        <w:numPr>
          <w:ilvl w:val="0"/>
          <w:numId w:val="6"/>
        </w:numPr>
        <w:spacing w:after="0" w:line="240" w:lineRule="auto"/>
      </w:pPr>
      <w:r>
        <w:t>Assessment continued to show a steady decline from FFY 2017 to FFY 2019.</w:t>
      </w:r>
    </w:p>
    <w:p w14:paraId="4251961D" w14:textId="326CA877" w:rsidR="0021515A" w:rsidRPr="00AC4741" w:rsidRDefault="0021515A" w:rsidP="00010E2A">
      <w:pPr>
        <w:pStyle w:val="ListParagraph"/>
        <w:numPr>
          <w:ilvl w:val="0"/>
          <w:numId w:val="6"/>
        </w:numPr>
        <w:spacing w:after="0" w:line="240" w:lineRule="auto"/>
      </w:pPr>
      <w:r w:rsidRPr="00AC4741">
        <w:t>College/University Traini</w:t>
      </w:r>
      <w:r w:rsidR="00A13193" w:rsidRPr="00AC4741">
        <w:t xml:space="preserve">ng </w:t>
      </w:r>
      <w:r w:rsidR="00AC4741" w:rsidRPr="00AC4741">
        <w:t xml:space="preserve">declined in </w:t>
      </w:r>
      <w:r w:rsidR="00104E65">
        <w:t>FFY 2016, but increased in FFY 2017, and declined again in FFY 2018 and FFY 2019</w:t>
      </w:r>
      <w:r w:rsidR="00AC4741" w:rsidRPr="00AC4741">
        <w:t>.</w:t>
      </w:r>
    </w:p>
    <w:p w14:paraId="370313FE" w14:textId="182619F2" w:rsidR="0021515A" w:rsidRPr="00AC4741" w:rsidRDefault="0021515A" w:rsidP="00010E2A">
      <w:pPr>
        <w:pStyle w:val="ListParagraph"/>
        <w:numPr>
          <w:ilvl w:val="0"/>
          <w:numId w:val="6"/>
        </w:numPr>
        <w:spacing w:after="0" w:line="240" w:lineRule="auto"/>
      </w:pPr>
      <w:r w:rsidRPr="00AC4741">
        <w:t xml:space="preserve">All Other Services </w:t>
      </w:r>
      <w:r w:rsidR="00104E65">
        <w:t xml:space="preserve">increased in FFY 2017 </w:t>
      </w:r>
      <w:r w:rsidR="00AC4741" w:rsidRPr="00AC4741">
        <w:t>due to the introduction of Pre-Employment Transition Services (Pre-ETS) for youth ages 14 to 20</w:t>
      </w:r>
      <w:r w:rsidR="00104E65">
        <w:t xml:space="preserve"> and showed a sharp decrease in FFY 2018, but increased in FFY 2019.</w:t>
      </w:r>
    </w:p>
    <w:p w14:paraId="0FB16118" w14:textId="02507A47" w:rsidR="00283695" w:rsidRPr="00D17DA9" w:rsidRDefault="00283695" w:rsidP="00283695">
      <w:pPr>
        <w:pStyle w:val="ListParagraph"/>
        <w:spacing w:line="240" w:lineRule="auto"/>
        <w:jc w:val="center"/>
        <w:rPr>
          <w:b/>
        </w:rPr>
      </w:pPr>
    </w:p>
    <w:p w14:paraId="22E6854D" w14:textId="068FC643" w:rsidR="00283695" w:rsidRPr="00D17DA9" w:rsidRDefault="00283695" w:rsidP="00283695">
      <w:pPr>
        <w:pStyle w:val="ListParagraph"/>
        <w:spacing w:line="240" w:lineRule="auto"/>
        <w:jc w:val="center"/>
        <w:rPr>
          <w:b/>
        </w:rPr>
      </w:pPr>
      <w:r w:rsidRPr="00D17DA9">
        <w:rPr>
          <w:b/>
        </w:rPr>
        <w:t>CHART 11</w:t>
      </w:r>
    </w:p>
    <w:p w14:paraId="6020ACD1" w14:textId="3989DC9E" w:rsidR="00283695" w:rsidRPr="00D17DA9" w:rsidRDefault="00292A3A" w:rsidP="00283695">
      <w:pPr>
        <w:pStyle w:val="ListParagraph"/>
        <w:spacing w:line="240" w:lineRule="auto"/>
        <w:jc w:val="center"/>
        <w:rPr>
          <w:b/>
        </w:rPr>
      </w:pPr>
      <w:r w:rsidRPr="00D17DA9">
        <w:rPr>
          <w:b/>
        </w:rPr>
        <w:t>Top 6 Service Groups by Federal Fiscal Year</w:t>
      </w:r>
    </w:p>
    <w:p w14:paraId="2CF7CD38" w14:textId="77777777" w:rsidR="00C956A9" w:rsidRPr="00D17DA9" w:rsidRDefault="00C956A9" w:rsidP="00283695">
      <w:pPr>
        <w:pStyle w:val="ListParagraph"/>
        <w:spacing w:line="240" w:lineRule="auto"/>
        <w:jc w:val="center"/>
        <w:rPr>
          <w:b/>
        </w:rPr>
      </w:pPr>
    </w:p>
    <w:p w14:paraId="6E3F6CAD" w14:textId="3C59505F" w:rsidR="00283695" w:rsidRPr="00D17DA9" w:rsidRDefault="00C956A9" w:rsidP="00263BE8">
      <w:pPr>
        <w:pStyle w:val="ListParagraph"/>
        <w:ind w:left="1080"/>
        <w:rPr>
          <w:b/>
        </w:rPr>
      </w:pPr>
      <w:r w:rsidRPr="00D17DA9">
        <w:rPr>
          <w:b/>
          <w:noProof/>
        </w:rPr>
        <w:drawing>
          <wp:inline distT="0" distB="0" distL="0" distR="0" wp14:anchorId="496D15DE" wp14:editId="092A70D9">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392C80" w14:textId="77777777" w:rsidR="00283695" w:rsidRPr="00D17DA9" w:rsidRDefault="00283695" w:rsidP="00263BE8">
      <w:pPr>
        <w:pStyle w:val="ListParagraph"/>
        <w:ind w:left="1080"/>
        <w:rPr>
          <w:b/>
        </w:rPr>
      </w:pPr>
    </w:p>
    <w:p w14:paraId="04DDD45B" w14:textId="77777777" w:rsidR="00E530D8" w:rsidRPr="00D17DA9" w:rsidRDefault="00E530D8" w:rsidP="00263BE8">
      <w:pPr>
        <w:pStyle w:val="ListParagraph"/>
        <w:ind w:left="1080"/>
        <w:rPr>
          <w:b/>
        </w:rPr>
      </w:pPr>
    </w:p>
    <w:p w14:paraId="4D285A3C" w14:textId="77777777" w:rsidR="00E530D8" w:rsidRPr="00D17DA9" w:rsidRDefault="00E530D8" w:rsidP="00263BE8">
      <w:pPr>
        <w:pStyle w:val="ListParagraph"/>
        <w:ind w:left="1080"/>
        <w:rPr>
          <w:b/>
        </w:rPr>
      </w:pPr>
    </w:p>
    <w:p w14:paraId="201A8BF6" w14:textId="77777777" w:rsidR="00E530D8" w:rsidRPr="00D17DA9" w:rsidRDefault="00E530D8" w:rsidP="00263BE8">
      <w:pPr>
        <w:pStyle w:val="ListParagraph"/>
        <w:ind w:left="1080"/>
        <w:rPr>
          <w:b/>
        </w:rPr>
      </w:pPr>
    </w:p>
    <w:p w14:paraId="35781FE1" w14:textId="77777777" w:rsidR="00E530D8" w:rsidRPr="00D17DA9" w:rsidRDefault="00E530D8" w:rsidP="00263BE8">
      <w:pPr>
        <w:pStyle w:val="ListParagraph"/>
        <w:ind w:left="1080"/>
        <w:rPr>
          <w:b/>
        </w:rPr>
      </w:pPr>
    </w:p>
    <w:p w14:paraId="5C6BC777" w14:textId="77777777" w:rsidR="00E530D8" w:rsidRPr="00D17DA9" w:rsidRDefault="00E530D8" w:rsidP="00263BE8">
      <w:pPr>
        <w:pStyle w:val="ListParagraph"/>
        <w:ind w:left="1080"/>
        <w:rPr>
          <w:b/>
        </w:rPr>
      </w:pPr>
    </w:p>
    <w:p w14:paraId="2DCFFA12" w14:textId="77777777" w:rsidR="00E530D8" w:rsidRPr="00D17DA9" w:rsidRDefault="00E530D8" w:rsidP="00263BE8">
      <w:pPr>
        <w:pStyle w:val="ListParagraph"/>
        <w:ind w:left="1080"/>
        <w:rPr>
          <w:b/>
        </w:rPr>
      </w:pPr>
    </w:p>
    <w:p w14:paraId="1EB95637" w14:textId="77777777" w:rsidR="00E530D8" w:rsidRPr="00D17DA9" w:rsidRDefault="00E530D8" w:rsidP="00263BE8">
      <w:pPr>
        <w:pStyle w:val="ListParagraph"/>
        <w:ind w:left="1080"/>
        <w:rPr>
          <w:b/>
        </w:rPr>
      </w:pPr>
    </w:p>
    <w:p w14:paraId="472D2F02" w14:textId="77777777" w:rsidR="00E530D8" w:rsidRPr="00D17DA9" w:rsidRDefault="00E530D8" w:rsidP="00263BE8">
      <w:pPr>
        <w:pStyle w:val="ListParagraph"/>
        <w:ind w:left="1080"/>
        <w:rPr>
          <w:b/>
        </w:rPr>
      </w:pPr>
    </w:p>
    <w:p w14:paraId="55D32BA3" w14:textId="77777777" w:rsidR="005B2211" w:rsidRDefault="005B2211" w:rsidP="00E530D8">
      <w:pPr>
        <w:pStyle w:val="ListParagraph"/>
        <w:spacing w:after="0" w:line="240" w:lineRule="auto"/>
      </w:pPr>
    </w:p>
    <w:p w14:paraId="2FFCB565" w14:textId="7B720E9F" w:rsidR="00E530D8" w:rsidRPr="00D17DA9" w:rsidRDefault="00E530D8" w:rsidP="00E530D8">
      <w:pPr>
        <w:pStyle w:val="ListParagraph"/>
        <w:spacing w:after="0" w:line="240" w:lineRule="auto"/>
      </w:pPr>
      <w:r w:rsidRPr="00D17DA9">
        <w:t>Chart 12 presents the average cost on a per person basis per closure.</w:t>
      </w:r>
    </w:p>
    <w:p w14:paraId="0CC7AFAC" w14:textId="77777777" w:rsidR="00E530D8" w:rsidRPr="00D17DA9" w:rsidRDefault="00E530D8" w:rsidP="00E530D8">
      <w:pPr>
        <w:pStyle w:val="ListParagraph"/>
        <w:spacing w:after="0" w:line="240" w:lineRule="auto"/>
      </w:pPr>
    </w:p>
    <w:p w14:paraId="63AB1400" w14:textId="77777777" w:rsidR="00E530D8" w:rsidRPr="00D17DA9" w:rsidRDefault="00E530D8" w:rsidP="00E530D8">
      <w:pPr>
        <w:pStyle w:val="ListParagraph"/>
        <w:spacing w:after="0" w:line="240" w:lineRule="auto"/>
        <w:rPr>
          <w:b/>
        </w:rPr>
      </w:pPr>
      <w:r w:rsidRPr="00D17DA9">
        <w:rPr>
          <w:b/>
        </w:rPr>
        <w:t>Findings</w:t>
      </w:r>
    </w:p>
    <w:p w14:paraId="69FFF238" w14:textId="536E3195" w:rsidR="00E530D8" w:rsidRPr="000A5B8A" w:rsidRDefault="004C76D9" w:rsidP="00010E2A">
      <w:pPr>
        <w:pStyle w:val="ListParagraph"/>
        <w:numPr>
          <w:ilvl w:val="0"/>
          <w:numId w:val="5"/>
        </w:numPr>
        <w:spacing w:after="0" w:line="240" w:lineRule="auto"/>
        <w:rPr>
          <w:b/>
        </w:rPr>
      </w:pPr>
      <w:r w:rsidRPr="000A5B8A">
        <w:t xml:space="preserve">On a per person basis, the average </w:t>
      </w:r>
      <w:r w:rsidR="000A5B8A" w:rsidRPr="000A5B8A">
        <w:t>cost per successful closure</w:t>
      </w:r>
      <w:r w:rsidR="0037234D">
        <w:t xml:space="preserve"> declined from $4,696</w:t>
      </w:r>
      <w:r w:rsidR="000A5B8A" w:rsidRPr="000A5B8A">
        <w:t xml:space="preserve"> from </w:t>
      </w:r>
      <w:r w:rsidR="0037234D">
        <w:t>in</w:t>
      </w:r>
      <w:r w:rsidR="000A5B8A" w:rsidRPr="000A5B8A">
        <w:t xml:space="preserve"> FFY 201</w:t>
      </w:r>
      <w:r w:rsidR="0037234D">
        <w:t>6</w:t>
      </w:r>
      <w:r w:rsidR="000A5B8A" w:rsidRPr="000A5B8A">
        <w:t xml:space="preserve"> to $4,</w:t>
      </w:r>
      <w:r w:rsidR="0037234D">
        <w:t xml:space="preserve">523 </w:t>
      </w:r>
      <w:r w:rsidR="000A5B8A" w:rsidRPr="000A5B8A">
        <w:t>in FFY 201</w:t>
      </w:r>
      <w:r w:rsidR="0037234D">
        <w:t>9</w:t>
      </w:r>
      <w:r w:rsidR="000A5B8A" w:rsidRPr="000A5B8A">
        <w:t xml:space="preserve"> – a </w:t>
      </w:r>
      <w:r w:rsidR="00A41535">
        <w:t>4</w:t>
      </w:r>
      <w:r w:rsidR="000A5B8A" w:rsidRPr="000A5B8A">
        <w:t>% decrease.</w:t>
      </w:r>
    </w:p>
    <w:p w14:paraId="4B4E01D8" w14:textId="32B33B28" w:rsidR="004C76D9" w:rsidRPr="000A5B8A" w:rsidRDefault="004C76D9" w:rsidP="00010E2A">
      <w:pPr>
        <w:pStyle w:val="ListParagraph"/>
        <w:numPr>
          <w:ilvl w:val="0"/>
          <w:numId w:val="5"/>
        </w:numPr>
        <w:spacing w:after="0" w:line="240" w:lineRule="auto"/>
        <w:rPr>
          <w:b/>
        </w:rPr>
      </w:pPr>
      <w:r w:rsidRPr="000A5B8A">
        <w:t xml:space="preserve">There was a </w:t>
      </w:r>
      <w:r w:rsidR="00A41535">
        <w:t>40</w:t>
      </w:r>
      <w:r w:rsidRPr="000A5B8A">
        <w:t xml:space="preserve">% decrease in the average cost </w:t>
      </w:r>
      <w:r w:rsidR="000A5B8A" w:rsidRPr="000A5B8A">
        <w:t>for unsuccessful closures and a</w:t>
      </w:r>
      <w:r w:rsidR="00A41535">
        <w:t xml:space="preserve"> 32</w:t>
      </w:r>
      <w:r w:rsidRPr="000A5B8A">
        <w:t xml:space="preserve">% </w:t>
      </w:r>
      <w:r w:rsidR="00A41535">
        <w:t>increase</w:t>
      </w:r>
      <w:r w:rsidRPr="000A5B8A">
        <w:t xml:space="preserve"> in the average cost for all types of closures.</w:t>
      </w:r>
    </w:p>
    <w:p w14:paraId="1AFC2DF4" w14:textId="77777777" w:rsidR="00E530D8" w:rsidRPr="00D17DA9" w:rsidRDefault="00E530D8" w:rsidP="00E530D8">
      <w:pPr>
        <w:spacing w:after="0" w:line="240" w:lineRule="auto"/>
        <w:rPr>
          <w:b/>
        </w:rPr>
      </w:pPr>
    </w:p>
    <w:p w14:paraId="577BBAC9" w14:textId="7360EE38" w:rsidR="00E530D8" w:rsidRPr="00D17DA9" w:rsidRDefault="00E530D8" w:rsidP="00E530D8">
      <w:pPr>
        <w:pStyle w:val="ListParagraph"/>
        <w:spacing w:line="240" w:lineRule="auto"/>
        <w:jc w:val="center"/>
        <w:rPr>
          <w:b/>
        </w:rPr>
      </w:pPr>
      <w:r w:rsidRPr="00D17DA9">
        <w:rPr>
          <w:b/>
        </w:rPr>
        <w:t>CHART 12</w:t>
      </w:r>
    </w:p>
    <w:p w14:paraId="2D2FDC22" w14:textId="3819ACD4" w:rsidR="00E530D8" w:rsidRPr="00D17DA9" w:rsidRDefault="00E530D8" w:rsidP="00E530D8">
      <w:pPr>
        <w:pStyle w:val="ListParagraph"/>
        <w:spacing w:line="240" w:lineRule="auto"/>
        <w:jc w:val="center"/>
        <w:rPr>
          <w:b/>
        </w:rPr>
      </w:pPr>
      <w:r w:rsidRPr="00D17DA9">
        <w:rPr>
          <w:b/>
        </w:rPr>
        <w:t>Average C</w:t>
      </w:r>
      <w:r w:rsidR="00AC4741">
        <w:rPr>
          <w:b/>
        </w:rPr>
        <w:t>ost per Closure between FFY 20</w:t>
      </w:r>
      <w:r w:rsidR="00D62D63">
        <w:rPr>
          <w:b/>
        </w:rPr>
        <w:t>16</w:t>
      </w:r>
      <w:r w:rsidR="00AC4741">
        <w:rPr>
          <w:b/>
        </w:rPr>
        <w:t xml:space="preserve"> and 201</w:t>
      </w:r>
      <w:r w:rsidR="0037234D">
        <w:rPr>
          <w:b/>
        </w:rPr>
        <w:t>9</w:t>
      </w:r>
    </w:p>
    <w:p w14:paraId="201CCD7C" w14:textId="77777777" w:rsidR="00E530D8" w:rsidRPr="00D17DA9" w:rsidRDefault="00E530D8" w:rsidP="00E530D8">
      <w:pPr>
        <w:pStyle w:val="ListParagraph"/>
        <w:spacing w:line="240" w:lineRule="auto"/>
        <w:jc w:val="center"/>
        <w:rPr>
          <w:b/>
        </w:rPr>
      </w:pPr>
    </w:p>
    <w:p w14:paraId="0C03CC51" w14:textId="77777777" w:rsidR="00E530D8" w:rsidRPr="00D17DA9" w:rsidRDefault="00E530D8" w:rsidP="00E530D8">
      <w:pPr>
        <w:pStyle w:val="ListParagraph"/>
        <w:spacing w:line="240" w:lineRule="auto"/>
        <w:jc w:val="center"/>
        <w:rPr>
          <w:b/>
        </w:rPr>
      </w:pPr>
      <w:r w:rsidRPr="00D17DA9">
        <w:rPr>
          <w:b/>
          <w:noProof/>
        </w:rPr>
        <w:drawing>
          <wp:inline distT="0" distB="0" distL="0" distR="0" wp14:anchorId="25CFD06B" wp14:editId="58F9586A">
            <wp:extent cx="57531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C1F0BB" w14:textId="77777777" w:rsidR="00E530D8" w:rsidRPr="00D17DA9" w:rsidRDefault="00E530D8" w:rsidP="00E530D8">
      <w:pPr>
        <w:spacing w:after="0" w:line="240" w:lineRule="auto"/>
        <w:rPr>
          <w:b/>
        </w:rPr>
      </w:pPr>
    </w:p>
    <w:p w14:paraId="133CFD58" w14:textId="77777777" w:rsidR="00E530D8" w:rsidRPr="00D17DA9" w:rsidRDefault="00E530D8" w:rsidP="00E530D8">
      <w:pPr>
        <w:spacing w:after="0" w:line="240" w:lineRule="auto"/>
        <w:rPr>
          <w:b/>
        </w:rPr>
      </w:pPr>
    </w:p>
    <w:p w14:paraId="6A3C4BF9" w14:textId="77777777" w:rsidR="00635E66" w:rsidRPr="00D17DA9" w:rsidRDefault="00635E66" w:rsidP="00E530D8">
      <w:pPr>
        <w:spacing w:after="0" w:line="240" w:lineRule="auto"/>
        <w:rPr>
          <w:b/>
        </w:rPr>
      </w:pPr>
    </w:p>
    <w:p w14:paraId="263B9235" w14:textId="77777777" w:rsidR="00635E66" w:rsidRPr="00D17DA9" w:rsidRDefault="00635E66" w:rsidP="00E530D8">
      <w:pPr>
        <w:spacing w:after="0" w:line="240" w:lineRule="auto"/>
        <w:rPr>
          <w:b/>
        </w:rPr>
      </w:pPr>
    </w:p>
    <w:p w14:paraId="5664D3AB" w14:textId="77777777" w:rsidR="00635E66" w:rsidRPr="00D17DA9" w:rsidRDefault="00635E66" w:rsidP="00E530D8">
      <w:pPr>
        <w:spacing w:after="0" w:line="240" w:lineRule="auto"/>
        <w:rPr>
          <w:b/>
        </w:rPr>
      </w:pPr>
    </w:p>
    <w:p w14:paraId="75192DD8" w14:textId="77777777" w:rsidR="00635E66" w:rsidRPr="00D17DA9" w:rsidRDefault="00635E66" w:rsidP="00E530D8">
      <w:pPr>
        <w:spacing w:after="0" w:line="240" w:lineRule="auto"/>
        <w:rPr>
          <w:b/>
        </w:rPr>
      </w:pPr>
    </w:p>
    <w:p w14:paraId="6200B8CB" w14:textId="77777777" w:rsidR="00635E66" w:rsidRPr="00D17DA9" w:rsidRDefault="00635E66" w:rsidP="00E530D8">
      <w:pPr>
        <w:spacing w:after="0" w:line="240" w:lineRule="auto"/>
        <w:rPr>
          <w:b/>
        </w:rPr>
      </w:pPr>
    </w:p>
    <w:p w14:paraId="50BE3137" w14:textId="77777777" w:rsidR="00635E66" w:rsidRPr="00D17DA9" w:rsidRDefault="00635E66" w:rsidP="00E530D8">
      <w:pPr>
        <w:spacing w:after="0" w:line="240" w:lineRule="auto"/>
        <w:rPr>
          <w:b/>
        </w:rPr>
      </w:pPr>
    </w:p>
    <w:p w14:paraId="2B72F348" w14:textId="77777777" w:rsidR="00635E66" w:rsidRPr="00D17DA9" w:rsidRDefault="00635E66" w:rsidP="00E530D8">
      <w:pPr>
        <w:spacing w:after="0" w:line="240" w:lineRule="auto"/>
        <w:rPr>
          <w:b/>
        </w:rPr>
      </w:pPr>
    </w:p>
    <w:p w14:paraId="73EBE500" w14:textId="77777777" w:rsidR="00635E66" w:rsidRPr="00D17DA9" w:rsidRDefault="00635E66" w:rsidP="00E530D8">
      <w:pPr>
        <w:spacing w:after="0" w:line="240" w:lineRule="auto"/>
        <w:rPr>
          <w:b/>
        </w:rPr>
      </w:pPr>
    </w:p>
    <w:p w14:paraId="3BBD14A8" w14:textId="77777777" w:rsidR="00635E66" w:rsidRPr="00D17DA9" w:rsidRDefault="00635E66" w:rsidP="00E530D8">
      <w:pPr>
        <w:spacing w:after="0" w:line="240" w:lineRule="auto"/>
        <w:rPr>
          <w:b/>
        </w:rPr>
      </w:pPr>
    </w:p>
    <w:p w14:paraId="5FCE3AD6" w14:textId="77777777" w:rsidR="00635E66" w:rsidRDefault="00635E66" w:rsidP="00E530D8">
      <w:pPr>
        <w:spacing w:after="0" w:line="240" w:lineRule="auto"/>
        <w:rPr>
          <w:b/>
        </w:rPr>
      </w:pPr>
    </w:p>
    <w:p w14:paraId="4A80C31D" w14:textId="77777777" w:rsidR="005B2211" w:rsidRDefault="005B2211" w:rsidP="00E530D8">
      <w:pPr>
        <w:spacing w:after="0" w:line="240" w:lineRule="auto"/>
        <w:rPr>
          <w:b/>
        </w:rPr>
      </w:pPr>
    </w:p>
    <w:p w14:paraId="48CA1463" w14:textId="77777777" w:rsidR="005B2211" w:rsidRDefault="005B2211" w:rsidP="00E530D8">
      <w:pPr>
        <w:spacing w:after="0" w:line="240" w:lineRule="auto"/>
        <w:rPr>
          <w:b/>
        </w:rPr>
      </w:pPr>
    </w:p>
    <w:p w14:paraId="0B7D068A" w14:textId="77777777" w:rsidR="005B2211" w:rsidRDefault="005B2211" w:rsidP="00E530D8">
      <w:pPr>
        <w:spacing w:after="0" w:line="240" w:lineRule="auto"/>
        <w:rPr>
          <w:b/>
        </w:rPr>
      </w:pPr>
    </w:p>
    <w:p w14:paraId="5670972D" w14:textId="77777777" w:rsidR="005B2211" w:rsidRDefault="005B2211" w:rsidP="00E530D8">
      <w:pPr>
        <w:spacing w:after="0" w:line="240" w:lineRule="auto"/>
        <w:rPr>
          <w:b/>
        </w:rPr>
      </w:pPr>
    </w:p>
    <w:p w14:paraId="38647848" w14:textId="6FB0A157" w:rsidR="005B2211" w:rsidRDefault="005B2211" w:rsidP="00E530D8">
      <w:pPr>
        <w:spacing w:after="0" w:line="240" w:lineRule="auto"/>
        <w:rPr>
          <w:b/>
        </w:rPr>
      </w:pPr>
    </w:p>
    <w:p w14:paraId="662A7BCB" w14:textId="77777777" w:rsidR="000A5B8A" w:rsidRPr="00D17DA9" w:rsidRDefault="000A5B8A" w:rsidP="00E530D8">
      <w:pPr>
        <w:spacing w:after="0" w:line="240" w:lineRule="auto"/>
        <w:rPr>
          <w:b/>
        </w:rPr>
      </w:pPr>
    </w:p>
    <w:p w14:paraId="05B3FA5D" w14:textId="77777777" w:rsidR="00635E66" w:rsidRPr="00D17DA9" w:rsidRDefault="00635E66" w:rsidP="00E530D8">
      <w:pPr>
        <w:spacing w:after="0" w:line="240" w:lineRule="auto"/>
        <w:rPr>
          <w:b/>
        </w:rPr>
      </w:pPr>
    </w:p>
    <w:p w14:paraId="19933873" w14:textId="77777777" w:rsidR="00D37A0F" w:rsidRPr="003462B7" w:rsidRDefault="00D37A0F" w:rsidP="00010E2A">
      <w:pPr>
        <w:pStyle w:val="ListParagraph"/>
        <w:numPr>
          <w:ilvl w:val="0"/>
          <w:numId w:val="1"/>
        </w:numPr>
        <w:spacing w:line="240" w:lineRule="auto"/>
        <w:rPr>
          <w:b/>
        </w:rPr>
      </w:pPr>
      <w:r w:rsidRPr="003462B7">
        <w:rPr>
          <w:b/>
        </w:rPr>
        <w:t>ESTIMATING POPULATION ELIGIBLE FOR DVR SERVICES AND UNMET NEEDS</w:t>
      </w:r>
    </w:p>
    <w:p w14:paraId="3FE94BF9" w14:textId="355D6C63" w:rsidR="00D37A0F" w:rsidRPr="003462B7" w:rsidRDefault="00D37A0F" w:rsidP="00010E2A">
      <w:pPr>
        <w:pStyle w:val="ListParagraph"/>
        <w:numPr>
          <w:ilvl w:val="1"/>
          <w:numId w:val="1"/>
        </w:numPr>
        <w:spacing w:line="240" w:lineRule="auto"/>
        <w:rPr>
          <w:b/>
        </w:rPr>
      </w:pPr>
      <w:r w:rsidRPr="003462B7">
        <w:rPr>
          <w:b/>
        </w:rPr>
        <w:t>American Community Survey</w:t>
      </w:r>
      <w:r w:rsidR="00CB01EF" w:rsidRPr="003462B7">
        <w:rPr>
          <w:b/>
        </w:rPr>
        <w:t xml:space="preserve"> (ACS)</w:t>
      </w:r>
    </w:p>
    <w:p w14:paraId="38FE3434" w14:textId="264F2B96" w:rsidR="00AD3C49" w:rsidRDefault="002118F6" w:rsidP="00AD3C49">
      <w:pPr>
        <w:pStyle w:val="ListParagraph"/>
        <w:spacing w:line="240" w:lineRule="auto"/>
      </w:pPr>
      <w:r w:rsidRPr="003462B7">
        <w:t>To estimate the number of people eligible for DVR services in Maine, we use information from the American Community Survey (ACS), conducted each year by the United States Census Bureau.</w:t>
      </w:r>
      <w:r w:rsidRPr="003462B7">
        <w:rPr>
          <w:rStyle w:val="FootnoteReference"/>
        </w:rPr>
        <w:footnoteReference w:id="2"/>
      </w:r>
      <w:r w:rsidRPr="003462B7">
        <w:t xml:space="preserve">  In Maine, among the civilian noninst</w:t>
      </w:r>
      <w:r w:rsidR="003462B7" w:rsidRPr="003462B7">
        <w:t xml:space="preserve">itutionalized population in </w:t>
      </w:r>
      <w:r w:rsidR="00B134FA">
        <w:t>2013-2017</w:t>
      </w:r>
      <w:r w:rsidRPr="003462B7">
        <w:t xml:space="preserve">, 16% reported a disability.  The likelihood of having a disability varied by </w:t>
      </w:r>
      <w:r w:rsidR="003462B7" w:rsidRPr="003462B7">
        <w:t xml:space="preserve">age – from </w:t>
      </w:r>
      <w:r w:rsidR="00B134FA">
        <w:t>7</w:t>
      </w:r>
      <w:r w:rsidR="003462B7" w:rsidRPr="003462B7">
        <w:t xml:space="preserve">% of people under 18 years of age to </w:t>
      </w:r>
      <w:r w:rsidR="00B134FA">
        <w:t>53</w:t>
      </w:r>
      <w:r w:rsidRPr="003462B7">
        <w:t>% of peop</w:t>
      </w:r>
      <w:r w:rsidR="003462B7" w:rsidRPr="003462B7">
        <w:t xml:space="preserve">le 18 to 64 years old, and to </w:t>
      </w:r>
      <w:r w:rsidR="00B134FA">
        <w:t>40</w:t>
      </w:r>
      <w:r w:rsidR="003462B7" w:rsidRPr="003462B7">
        <w:t xml:space="preserve">% of those 65 and over. </w:t>
      </w:r>
      <w:r w:rsidR="003462B7" w:rsidRPr="003462B7">
        <w:rPr>
          <w:noProof/>
        </w:rPr>
        <w:t xml:space="preserve">((ACS), </w:t>
      </w:r>
      <w:r w:rsidR="00B134FA">
        <w:rPr>
          <w:noProof/>
        </w:rPr>
        <w:t>2013-2017</w:t>
      </w:r>
      <w:r w:rsidR="003462B7" w:rsidRPr="003462B7">
        <w:rPr>
          <w:noProof/>
        </w:rPr>
        <w:t>)</w:t>
      </w:r>
      <w:r w:rsidR="003462B7" w:rsidRPr="003462B7">
        <w:t xml:space="preserve">.  </w:t>
      </w:r>
      <w:r w:rsidRPr="003462B7">
        <w:t>The ACS is designed to provide both national and State level data on demographic, social, economic and housing characteristics of U</w:t>
      </w:r>
      <w:r w:rsidR="00622242" w:rsidRPr="003462B7">
        <w:t xml:space="preserve">.S. </w:t>
      </w:r>
      <w:r w:rsidRPr="003462B7">
        <w:t>households.</w:t>
      </w:r>
    </w:p>
    <w:p w14:paraId="4647E120" w14:textId="77777777" w:rsidR="00AD3C49" w:rsidRPr="00AD3C49" w:rsidRDefault="00AD3C49" w:rsidP="00AD3C49">
      <w:pPr>
        <w:pStyle w:val="ListParagraph"/>
        <w:spacing w:line="240" w:lineRule="auto"/>
      </w:pPr>
    </w:p>
    <w:p w14:paraId="117F9504" w14:textId="66847964" w:rsidR="002118F6" w:rsidRPr="003462B7" w:rsidRDefault="002118F6" w:rsidP="00010E2A">
      <w:pPr>
        <w:pStyle w:val="ListParagraph"/>
        <w:numPr>
          <w:ilvl w:val="1"/>
          <w:numId w:val="1"/>
        </w:numPr>
        <w:spacing w:after="0" w:line="240" w:lineRule="auto"/>
        <w:rPr>
          <w:b/>
        </w:rPr>
      </w:pPr>
      <w:r w:rsidRPr="003462B7">
        <w:rPr>
          <w:b/>
        </w:rPr>
        <w:t>ACS Disability Characteristics</w:t>
      </w:r>
    </w:p>
    <w:p w14:paraId="54F6AECF" w14:textId="1AA944B4" w:rsidR="002118F6" w:rsidRPr="003462B7" w:rsidRDefault="002118F6" w:rsidP="00E336D4">
      <w:pPr>
        <w:pStyle w:val="NoSpacing"/>
        <w:ind w:left="720"/>
      </w:pPr>
      <w:r w:rsidRPr="003462B7">
        <w:t xml:space="preserve">To describe the population of individuals eligible for DVR services, the </w:t>
      </w:r>
      <w:r w:rsidR="00B134FA">
        <w:t>ACS</w:t>
      </w:r>
      <w:r w:rsidRPr="003462B7">
        <w:t xml:space="preserve"> was used to obtain the sample of individuals with a disability des</w:t>
      </w:r>
      <w:r w:rsidR="003462B7" w:rsidRPr="003462B7">
        <w:t xml:space="preserve">cribed above.  The ACS includes several </w:t>
      </w:r>
      <w:r w:rsidRPr="003462B7">
        <w:t>demographic and socioeconomic characteristics tha</w:t>
      </w:r>
      <w:r w:rsidR="003462B7" w:rsidRPr="003462B7">
        <w:t>t are useful for this purpose.  From 201</w:t>
      </w:r>
      <w:r w:rsidR="00B134FA">
        <w:t>3</w:t>
      </w:r>
      <w:r w:rsidR="003462B7" w:rsidRPr="003462B7">
        <w:t xml:space="preserve"> through 201</w:t>
      </w:r>
      <w:r w:rsidR="00B134FA">
        <w:t>7</w:t>
      </w:r>
      <w:r w:rsidRPr="003462B7">
        <w:t xml:space="preserve">, an average of </w:t>
      </w:r>
      <w:r w:rsidR="00B134FA">
        <w:t>208,646</w:t>
      </w:r>
      <w:r w:rsidRPr="003462B7">
        <w:t xml:space="preserve"> persons with one or more disabilities resi</w:t>
      </w:r>
      <w:r w:rsidR="00622242" w:rsidRPr="003462B7">
        <w:t xml:space="preserve">ded in Maine, equal to about </w:t>
      </w:r>
      <w:r w:rsidR="00B134FA">
        <w:t>15.9</w:t>
      </w:r>
      <w:r w:rsidR="00622242" w:rsidRPr="003462B7">
        <w:t xml:space="preserve">% </w:t>
      </w:r>
      <w:r w:rsidRPr="003462B7">
        <w:t>of its civilian non-institutional</w:t>
      </w:r>
      <w:r w:rsidR="00622242" w:rsidRPr="003462B7">
        <w:t xml:space="preserve">ized population of 1.3 million.  </w:t>
      </w:r>
      <w:r w:rsidRPr="003462B7">
        <w:t xml:space="preserve">This proportion was </w:t>
      </w:r>
      <w:r w:rsidR="00B134FA">
        <w:t>higher</w:t>
      </w:r>
      <w:r w:rsidR="00E1150D">
        <w:t xml:space="preserve"> to </w:t>
      </w:r>
      <w:r w:rsidRPr="003462B7">
        <w:t>that of the Unit</w:t>
      </w:r>
      <w:r w:rsidR="003462B7" w:rsidRPr="003462B7">
        <w:t xml:space="preserve">ed States, where an estimated </w:t>
      </w:r>
      <w:r w:rsidR="00B134FA">
        <w:t>12.6</w:t>
      </w:r>
      <w:r w:rsidR="003462B7" w:rsidRPr="003462B7">
        <w:t xml:space="preserve">% </w:t>
      </w:r>
      <w:r w:rsidRPr="003462B7">
        <w:t>of residents had a disability.</w:t>
      </w:r>
      <w:r w:rsidR="003462B7" w:rsidRPr="003462B7">
        <w:t xml:space="preserve">  ((ACS), 201</w:t>
      </w:r>
      <w:r w:rsidR="00B134FA">
        <w:t>3</w:t>
      </w:r>
      <w:r w:rsidR="003462B7" w:rsidRPr="003462B7">
        <w:t>-201</w:t>
      </w:r>
      <w:r w:rsidR="00B134FA">
        <w:t>7</w:t>
      </w:r>
      <w:r w:rsidR="003462B7" w:rsidRPr="003462B7">
        <w:t>).</w:t>
      </w:r>
    </w:p>
    <w:p w14:paraId="24200817" w14:textId="21B03BB8" w:rsidR="002118F6" w:rsidRPr="00F71D2A" w:rsidRDefault="00F71D2A" w:rsidP="00010E2A">
      <w:pPr>
        <w:pStyle w:val="NoSpacing"/>
        <w:numPr>
          <w:ilvl w:val="0"/>
          <w:numId w:val="26"/>
        </w:numPr>
      </w:pPr>
      <w:r w:rsidRPr="00F71D2A">
        <w:t>The d</w:t>
      </w:r>
      <w:r w:rsidR="002118F6" w:rsidRPr="00F71D2A">
        <w:t>istribution of Maine residents with disabilities by age group is simila</w:t>
      </w:r>
      <w:r w:rsidRPr="00F71D2A">
        <w:t>r to the national distribution.  Despite</w:t>
      </w:r>
      <w:r w:rsidR="002118F6" w:rsidRPr="00F71D2A">
        <w:t xml:space="preserve"> the state’s older population, Maine has a slightly smaller share of residents over 64 years of age who have a disability (</w:t>
      </w:r>
      <w:r w:rsidR="00B134FA">
        <w:t>40</w:t>
      </w:r>
      <w:r w:rsidR="00622242" w:rsidRPr="00F71D2A">
        <w:t>%) than the U.S. share (</w:t>
      </w:r>
      <w:r w:rsidR="00B134FA">
        <w:t>41</w:t>
      </w:r>
      <w:r w:rsidR="00622242" w:rsidRPr="00F71D2A">
        <w:t xml:space="preserve">%).  </w:t>
      </w:r>
      <w:r w:rsidR="002118F6" w:rsidRPr="00F71D2A">
        <w:t xml:space="preserve">In Maine and the </w:t>
      </w:r>
      <w:r w:rsidR="00622242" w:rsidRPr="00F71D2A">
        <w:t>U.S.,</w:t>
      </w:r>
      <w:r w:rsidR="002118F6" w:rsidRPr="00F71D2A">
        <w:t xml:space="preserve"> more than half of those with a disability are of working age (18 to 64 years).</w:t>
      </w:r>
    </w:p>
    <w:p w14:paraId="537934D0" w14:textId="3E5AEB6C" w:rsidR="002118F6" w:rsidRPr="00B134FA" w:rsidRDefault="002118F6" w:rsidP="00010E2A">
      <w:pPr>
        <w:pStyle w:val="NoSpacing"/>
        <w:numPr>
          <w:ilvl w:val="0"/>
          <w:numId w:val="26"/>
        </w:numPr>
      </w:pPr>
      <w:r w:rsidRPr="00B134FA">
        <w:t xml:space="preserve">From </w:t>
      </w:r>
      <w:r w:rsidR="009C14C8" w:rsidRPr="00B134FA">
        <w:t>201</w:t>
      </w:r>
      <w:r w:rsidR="00B134FA" w:rsidRPr="00B134FA">
        <w:t>3</w:t>
      </w:r>
      <w:r w:rsidR="009C14C8" w:rsidRPr="00B134FA">
        <w:t xml:space="preserve"> </w:t>
      </w:r>
      <w:r w:rsidR="00737A94" w:rsidRPr="00B134FA">
        <w:t>through</w:t>
      </w:r>
      <w:r w:rsidR="009C14C8" w:rsidRPr="00B134FA">
        <w:t xml:space="preserve"> 201</w:t>
      </w:r>
      <w:r w:rsidR="00B134FA" w:rsidRPr="00B134FA">
        <w:t>7</w:t>
      </w:r>
      <w:r w:rsidR="00622242" w:rsidRPr="00B134FA">
        <w:t xml:space="preserve">, an estimated </w:t>
      </w:r>
      <w:r w:rsidR="009C14C8" w:rsidRPr="00B134FA">
        <w:t>14</w:t>
      </w:r>
      <w:r w:rsidR="00622242" w:rsidRPr="00B134FA">
        <w:t xml:space="preserve">% </w:t>
      </w:r>
      <w:r w:rsidRPr="00B134FA">
        <w:t>of Maine’s working-age adults had one or mo</w:t>
      </w:r>
      <w:r w:rsidR="009C14C8" w:rsidRPr="00B134FA">
        <w:t xml:space="preserve">re disabilities.  Of these individuals, </w:t>
      </w:r>
      <w:r w:rsidR="00B134FA" w:rsidRPr="00B134FA">
        <w:t>33</w:t>
      </w:r>
      <w:r w:rsidR="009C14C8" w:rsidRPr="00B134FA">
        <w:t xml:space="preserve">% were employed compared to </w:t>
      </w:r>
      <w:r w:rsidR="00B134FA" w:rsidRPr="00B134FA">
        <w:t>80</w:t>
      </w:r>
      <w:r w:rsidR="009C14C8" w:rsidRPr="00B134FA">
        <w:t>% of the working-age population without a disability.  Maine’s 3</w:t>
      </w:r>
      <w:r w:rsidR="00B134FA" w:rsidRPr="00B134FA">
        <w:t>3</w:t>
      </w:r>
      <w:r w:rsidR="009C14C8" w:rsidRPr="00B134FA">
        <w:t>% employment to population ratio among working-age adults with disabilities was lower than the U.S. ratio of 3</w:t>
      </w:r>
      <w:r w:rsidR="00B134FA" w:rsidRPr="00B134FA">
        <w:t>6</w:t>
      </w:r>
      <w:r w:rsidR="009C14C8" w:rsidRPr="00B134FA">
        <w:t>%.</w:t>
      </w:r>
    </w:p>
    <w:p w14:paraId="56994CBE" w14:textId="19248811" w:rsidR="002118F6" w:rsidRPr="00B134FA" w:rsidRDefault="002118F6" w:rsidP="00010E2A">
      <w:pPr>
        <w:pStyle w:val="NoSpacing"/>
        <w:numPr>
          <w:ilvl w:val="0"/>
          <w:numId w:val="26"/>
        </w:numPr>
      </w:pPr>
      <w:r w:rsidRPr="00B134FA">
        <w:t xml:space="preserve">The likelihood of working varies widely by type of disabling condition. </w:t>
      </w:r>
      <w:r w:rsidR="00622242" w:rsidRPr="00B134FA">
        <w:t xml:space="preserve"> </w:t>
      </w:r>
      <w:r w:rsidRPr="00B134FA">
        <w:t>Persons with sensory difficulties are more likely to be employed than those with other disabilities.</w:t>
      </w:r>
    </w:p>
    <w:p w14:paraId="7A73AA5A" w14:textId="136942AC" w:rsidR="002118F6" w:rsidRPr="00B16F29" w:rsidRDefault="002118F6" w:rsidP="00010E2A">
      <w:pPr>
        <w:pStyle w:val="NoSpacing"/>
        <w:numPr>
          <w:ilvl w:val="0"/>
          <w:numId w:val="26"/>
        </w:numPr>
      </w:pPr>
      <w:r w:rsidRPr="00B16F29">
        <w:t>Educational attainment is positively associated wit</w:t>
      </w:r>
      <w:r w:rsidR="00622242" w:rsidRPr="00B16F29">
        <w:t>h both employment and earnings.  Among adults ages 25 to 64,</w:t>
      </w:r>
      <w:r w:rsidR="009C14C8" w:rsidRPr="00B16F29">
        <w:t xml:space="preserve"> 4</w:t>
      </w:r>
      <w:r w:rsidR="00B134FA" w:rsidRPr="00B16F29">
        <w:t>2</w:t>
      </w:r>
      <w:r w:rsidR="00622242" w:rsidRPr="00B16F29">
        <w:t xml:space="preserve">% </w:t>
      </w:r>
      <w:r w:rsidRPr="00B16F29">
        <w:t>of those with disabilities have some post-seco</w:t>
      </w:r>
      <w:r w:rsidR="009C14C8" w:rsidRPr="00B16F29">
        <w:t>ndary education, compared to 6</w:t>
      </w:r>
      <w:r w:rsidR="00B134FA" w:rsidRPr="00B16F29">
        <w:t>4</w:t>
      </w:r>
      <w:r w:rsidR="00622242" w:rsidRPr="00B16F29">
        <w:t xml:space="preserve">% </w:t>
      </w:r>
      <w:r w:rsidRPr="00B16F29">
        <w:t xml:space="preserve">of adults with no disability. </w:t>
      </w:r>
      <w:r w:rsidR="009C14C8" w:rsidRPr="00B16F29">
        <w:t xml:space="preserve"> Only 1</w:t>
      </w:r>
      <w:r w:rsidR="00B16F29" w:rsidRPr="00B16F29">
        <w:t>6</w:t>
      </w:r>
      <w:r w:rsidR="00622242" w:rsidRPr="00B16F29">
        <w:t xml:space="preserve">% </w:t>
      </w:r>
      <w:r w:rsidRPr="00B16F29">
        <w:t>have a four-year c</w:t>
      </w:r>
      <w:r w:rsidR="00622242" w:rsidRPr="00B16F29">
        <w:t>ollege degree or higher</w:t>
      </w:r>
      <w:r w:rsidR="009C14C8" w:rsidRPr="00B16F29">
        <w:t xml:space="preserve"> compared to 3</w:t>
      </w:r>
      <w:r w:rsidR="00B16F29" w:rsidRPr="00B16F29">
        <w:t>4</w:t>
      </w:r>
      <w:r w:rsidR="00622242" w:rsidRPr="00B16F29">
        <w:t>%</w:t>
      </w:r>
      <w:r w:rsidRPr="00B16F29">
        <w:t xml:space="preserve"> of adults without disabilities.</w:t>
      </w:r>
    </w:p>
    <w:p w14:paraId="425B311C" w14:textId="04C89CF6" w:rsidR="002118F6" w:rsidRPr="00B16F29" w:rsidRDefault="002118F6" w:rsidP="00010E2A">
      <w:pPr>
        <w:pStyle w:val="NoSpacing"/>
        <w:numPr>
          <w:ilvl w:val="0"/>
          <w:numId w:val="26"/>
        </w:numPr>
      </w:pPr>
      <w:r w:rsidRPr="00B16F29">
        <w:t>Adults with disabilities are less likely to be employed t</w:t>
      </w:r>
      <w:r w:rsidR="00622242" w:rsidRPr="00B16F29">
        <w:t xml:space="preserve">han adults with no disability.  </w:t>
      </w:r>
      <w:r w:rsidRPr="00B16F29">
        <w:t xml:space="preserve">Fewer than half work or seek work. </w:t>
      </w:r>
      <w:r w:rsidR="00622242" w:rsidRPr="00B16F29">
        <w:t xml:space="preserve"> </w:t>
      </w:r>
      <w:r w:rsidRPr="00B16F29">
        <w:t>Fr</w:t>
      </w:r>
      <w:r w:rsidR="009C14C8" w:rsidRPr="00B16F29">
        <w:t>om 201</w:t>
      </w:r>
      <w:r w:rsidR="00B16F29" w:rsidRPr="00B16F29">
        <w:t>3</w:t>
      </w:r>
      <w:r w:rsidR="009C14C8" w:rsidRPr="00B16F29">
        <w:t xml:space="preserve"> through 201</w:t>
      </w:r>
      <w:r w:rsidR="00B16F29" w:rsidRPr="00B16F29">
        <w:t>7</w:t>
      </w:r>
      <w:r w:rsidR="00622242" w:rsidRPr="00B16F29">
        <w:t>, 3</w:t>
      </w:r>
      <w:r w:rsidR="00B16F29" w:rsidRPr="00B16F29">
        <w:t>3</w:t>
      </w:r>
      <w:r w:rsidR="00622242" w:rsidRPr="00B16F29">
        <w:t>%</w:t>
      </w:r>
      <w:r w:rsidRPr="00B16F29">
        <w:t xml:space="preserve"> of working-age Mainers with disabilit</w:t>
      </w:r>
      <w:r w:rsidR="009C14C8" w:rsidRPr="00B16F29">
        <w:t>ies was</w:t>
      </w:r>
      <w:r w:rsidR="00622242" w:rsidRPr="00B16F29">
        <w:t xml:space="preserve"> employed compared to </w:t>
      </w:r>
      <w:r w:rsidR="00B16F29" w:rsidRPr="00B16F29">
        <w:t>80</w:t>
      </w:r>
      <w:r w:rsidR="00622242" w:rsidRPr="00B16F29">
        <w:t xml:space="preserve">% </w:t>
      </w:r>
      <w:r w:rsidRPr="00B16F29">
        <w:t xml:space="preserve">of those with no disability. </w:t>
      </w:r>
      <w:r w:rsidR="00622242" w:rsidRPr="00B16F29">
        <w:t xml:space="preserve"> </w:t>
      </w:r>
      <w:r w:rsidRPr="00B16F29">
        <w:t>In addition, the unemployment rate among adults with disabilities was more than t</w:t>
      </w:r>
      <w:r w:rsidR="00B16F29" w:rsidRPr="00B16F29">
        <w:t>hree times</w:t>
      </w:r>
      <w:r w:rsidRPr="00B16F29">
        <w:t xml:space="preserve"> that of other</w:t>
      </w:r>
      <w:r w:rsidR="00B16F29" w:rsidRPr="00B16F29">
        <w:t xml:space="preserve"> working age</w:t>
      </w:r>
      <w:r w:rsidRPr="00B16F29">
        <w:t xml:space="preserve"> adults.</w:t>
      </w:r>
    </w:p>
    <w:p w14:paraId="75E98172" w14:textId="5620F0FE" w:rsidR="002118F6" w:rsidRPr="00B16F29" w:rsidRDefault="009C14C8" w:rsidP="00010E2A">
      <w:pPr>
        <w:pStyle w:val="NoSpacing"/>
        <w:numPr>
          <w:ilvl w:val="0"/>
          <w:numId w:val="26"/>
        </w:numPr>
      </w:pPr>
      <w:r w:rsidRPr="00B16F29">
        <w:t>Workers will disabilities tend to earn less than those with no disability.  From 201</w:t>
      </w:r>
      <w:r w:rsidR="00B16F29" w:rsidRPr="00B16F29">
        <w:t>3</w:t>
      </w:r>
      <w:r w:rsidRPr="00B16F29">
        <w:t xml:space="preserve"> to 201</w:t>
      </w:r>
      <w:r w:rsidR="00B16F29" w:rsidRPr="00B16F29">
        <w:t>7</w:t>
      </w:r>
      <w:r w:rsidRPr="00B16F29">
        <w:t>, median earnings of Maine workers with disabilities were $</w:t>
      </w:r>
      <w:r w:rsidR="00B16F29" w:rsidRPr="00B16F29">
        <w:t>18,434</w:t>
      </w:r>
      <w:r w:rsidRPr="00B16F29">
        <w:t xml:space="preserve"> in a twelve-month period, compared median earnings of $</w:t>
      </w:r>
      <w:r w:rsidR="00B16F29" w:rsidRPr="00B16F29">
        <w:t>31,217</w:t>
      </w:r>
      <w:r w:rsidRPr="00B16F29">
        <w:t xml:space="preserve"> among Maine workers with no disability. The earnings gap between Maine and U.S. was more pronounced among earners with disabilities. The median for Maine earners with disabilities was $</w:t>
      </w:r>
      <w:r w:rsidR="00B16F29" w:rsidRPr="00B16F29">
        <w:t xml:space="preserve">3,800 </w:t>
      </w:r>
      <w:r w:rsidRPr="00B16F29">
        <w:t>less than the comparable national median, compared to a gap of $1,</w:t>
      </w:r>
      <w:r w:rsidR="00B16F29" w:rsidRPr="00B16F29">
        <w:t>7</w:t>
      </w:r>
      <w:r w:rsidRPr="00B16F29">
        <w:t>00 between earners without disabilities.</w:t>
      </w:r>
    </w:p>
    <w:p w14:paraId="7F179D14" w14:textId="4E9454FA" w:rsidR="002118F6" w:rsidRDefault="002118F6" w:rsidP="00784A2F">
      <w:pPr>
        <w:pStyle w:val="NoSpacing"/>
        <w:numPr>
          <w:ilvl w:val="0"/>
          <w:numId w:val="26"/>
        </w:numPr>
      </w:pPr>
      <w:r w:rsidRPr="00B16F29">
        <w:t>People with disabilities and their families may receive income support from two programs administered by the U.S. Social Security Administration (SSA): Social Security Disability Insurance (SSDI) and Supplemental Security Income (SSI).</w:t>
      </w:r>
      <w:r w:rsidR="00784A2F" w:rsidRPr="00B16F29">
        <w:t xml:space="preserve">  </w:t>
      </w:r>
      <w:r w:rsidRPr="00B16F29">
        <w:t xml:space="preserve">While SSDI and SSI target different populations, there is some program overlap. </w:t>
      </w:r>
      <w:r w:rsidR="00622242" w:rsidRPr="00B16F29">
        <w:t xml:space="preserve"> </w:t>
      </w:r>
      <w:r w:rsidR="00784A2F" w:rsidRPr="00B16F29">
        <w:t>In 201</w:t>
      </w:r>
      <w:r w:rsidR="00B16F29" w:rsidRPr="00B16F29">
        <w:t>7</w:t>
      </w:r>
      <w:r w:rsidRPr="00B16F29">
        <w:t>, the share of Maine residents receiving worker disability benef</w:t>
      </w:r>
      <w:r w:rsidR="00622242" w:rsidRPr="00B16F29">
        <w:t xml:space="preserve">its from SSDI and/or SSI was 10% </w:t>
      </w:r>
      <w:r w:rsidRPr="00B16F29">
        <w:t xml:space="preserve">of resident population age 18 to 64, </w:t>
      </w:r>
      <w:r w:rsidR="00622242" w:rsidRPr="00B16F29">
        <w:t xml:space="preserve">compared to 6% </w:t>
      </w:r>
      <w:r w:rsidRPr="00B16F29">
        <w:t>nationally.</w:t>
      </w:r>
    </w:p>
    <w:p w14:paraId="366CBB6D" w14:textId="77777777" w:rsidR="00AD3C49" w:rsidRPr="003C744D" w:rsidRDefault="00AD3C49" w:rsidP="00AD3C49">
      <w:pPr>
        <w:pStyle w:val="ListParagraph"/>
        <w:numPr>
          <w:ilvl w:val="1"/>
          <w:numId w:val="1"/>
        </w:numPr>
        <w:spacing w:after="0" w:line="240" w:lineRule="auto"/>
        <w:rPr>
          <w:b/>
        </w:rPr>
      </w:pPr>
      <w:r w:rsidRPr="003C744D">
        <w:rPr>
          <w:b/>
        </w:rPr>
        <w:t>Are DVR Services Reaching the Eligible Population?</w:t>
      </w:r>
    </w:p>
    <w:p w14:paraId="045F246F" w14:textId="77777777" w:rsidR="00AD3C49" w:rsidRPr="003C744D" w:rsidRDefault="00AD3C49" w:rsidP="00AD3C49">
      <w:pPr>
        <w:pStyle w:val="NoSpacing"/>
        <w:ind w:left="720"/>
      </w:pPr>
      <w:r w:rsidRPr="003C744D">
        <w:t xml:space="preserve">To determine if there are certain segments of the eligible population that are not being reached by the DVR program, BRS compared the characteristics of ACS disability sample against information collected by the agency on current DVR individuals (Table 1).  </w:t>
      </w:r>
    </w:p>
    <w:p w14:paraId="51057603" w14:textId="77777777" w:rsidR="00AD3C49" w:rsidRPr="003C744D" w:rsidRDefault="00AD3C49" w:rsidP="00AD3C49">
      <w:pPr>
        <w:pStyle w:val="NoSpacing"/>
        <w:ind w:left="720"/>
      </w:pPr>
    </w:p>
    <w:p w14:paraId="598D3A10" w14:textId="77777777" w:rsidR="00AD3C49" w:rsidRPr="003C744D" w:rsidRDefault="00AD3C49" w:rsidP="00AD3C49">
      <w:pPr>
        <w:pStyle w:val="NoSpacing"/>
        <w:ind w:left="720"/>
      </w:pPr>
      <w:r w:rsidRPr="003C744D">
        <w:t>The result is shown in Table 4.  Disability type information is not presented as a side-by-side comparison because the ACS disability measures are not comparable to the way DVR collects primary disability type from each applicant.</w:t>
      </w:r>
    </w:p>
    <w:p w14:paraId="19F96403" w14:textId="77777777" w:rsidR="00AD3C49" w:rsidRPr="00AD3C49" w:rsidRDefault="00AD3C49" w:rsidP="00AD3C49">
      <w:pPr>
        <w:pStyle w:val="NoSpacing"/>
        <w:ind w:left="720"/>
        <w:rPr>
          <w:b/>
          <w:color w:val="FF0000"/>
          <w:sz w:val="24"/>
          <w:szCs w:val="24"/>
        </w:rPr>
      </w:pPr>
    </w:p>
    <w:p w14:paraId="0F7E85A9" w14:textId="77777777" w:rsidR="00AD3C49" w:rsidRPr="003C744D" w:rsidRDefault="00AD3C49" w:rsidP="00AD3C49">
      <w:pPr>
        <w:pStyle w:val="NoSpacing"/>
        <w:ind w:left="720"/>
        <w:rPr>
          <w:b/>
          <w:sz w:val="24"/>
          <w:szCs w:val="24"/>
        </w:rPr>
      </w:pPr>
      <w:r w:rsidRPr="003C744D">
        <w:rPr>
          <w:b/>
          <w:sz w:val="24"/>
          <w:szCs w:val="24"/>
        </w:rPr>
        <w:t>Findings</w:t>
      </w:r>
    </w:p>
    <w:p w14:paraId="03DA4B36" w14:textId="44CBD6B7" w:rsidR="00AD3C49" w:rsidRPr="003C744D" w:rsidRDefault="00AD3C49" w:rsidP="00AD3C49">
      <w:pPr>
        <w:pStyle w:val="NoSpacing"/>
        <w:numPr>
          <w:ilvl w:val="0"/>
          <w:numId w:val="27"/>
        </w:numPr>
        <w:rPr>
          <w:b/>
        </w:rPr>
      </w:pPr>
      <w:r w:rsidRPr="003C744D">
        <w:t xml:space="preserve">DVR participants are generally less educated than the eligible population with </w:t>
      </w:r>
      <w:r w:rsidR="003C744D" w:rsidRPr="003C744D">
        <w:t>20</w:t>
      </w:r>
      <w:r w:rsidRPr="003C744D">
        <w:t>% lacking a high school diploma versus only 18% in the ACS with a disability sample.</w:t>
      </w:r>
    </w:p>
    <w:p w14:paraId="68840D8A" w14:textId="77777777" w:rsidR="00AD3C49" w:rsidRPr="003C744D" w:rsidRDefault="00AD3C49" w:rsidP="00AD3C49">
      <w:pPr>
        <w:pStyle w:val="NoSpacing"/>
        <w:numPr>
          <w:ilvl w:val="0"/>
          <w:numId w:val="27"/>
        </w:numPr>
        <w:rPr>
          <w:b/>
        </w:rPr>
      </w:pPr>
      <w:r w:rsidRPr="003C744D">
        <w:t>DVR individuals are also more likely to be male (56% versus 44%).</w:t>
      </w:r>
    </w:p>
    <w:p w14:paraId="2D084671" w14:textId="77777777" w:rsidR="00AD3C49" w:rsidRPr="003C744D" w:rsidRDefault="00AD3C49" w:rsidP="00AD3C49">
      <w:pPr>
        <w:pStyle w:val="NoSpacing"/>
        <w:numPr>
          <w:ilvl w:val="0"/>
          <w:numId w:val="27"/>
        </w:numPr>
        <w:rPr>
          <w:b/>
        </w:rPr>
      </w:pPr>
      <w:r w:rsidRPr="003C744D">
        <w:t>Table 4 indicates that DVR serves proportionately fewer individuals of racial or ethnic minorities than those identified in the ACS work disability population.</w:t>
      </w:r>
    </w:p>
    <w:p w14:paraId="318338B0" w14:textId="77777777" w:rsidR="00AD3C49" w:rsidRDefault="00AD3C49" w:rsidP="00AD3C49">
      <w:pPr>
        <w:pStyle w:val="ListParagraph"/>
        <w:spacing w:line="240" w:lineRule="auto"/>
        <w:jc w:val="center"/>
        <w:rPr>
          <w:b/>
        </w:rPr>
      </w:pPr>
    </w:p>
    <w:p w14:paraId="12229766" w14:textId="77777777" w:rsidR="00AD3C49" w:rsidRDefault="00AD3C49" w:rsidP="00AD3C49">
      <w:pPr>
        <w:pStyle w:val="ListParagraph"/>
        <w:spacing w:line="240" w:lineRule="auto"/>
        <w:jc w:val="center"/>
        <w:rPr>
          <w:b/>
        </w:rPr>
      </w:pPr>
    </w:p>
    <w:p w14:paraId="5416E744" w14:textId="77777777" w:rsidR="00AD3C49" w:rsidRDefault="00AD3C49" w:rsidP="00AD3C49">
      <w:pPr>
        <w:pStyle w:val="ListParagraph"/>
        <w:spacing w:line="240" w:lineRule="auto"/>
        <w:jc w:val="center"/>
        <w:rPr>
          <w:b/>
        </w:rPr>
      </w:pPr>
    </w:p>
    <w:p w14:paraId="0DB2F2EC" w14:textId="77777777" w:rsidR="00AD3C49" w:rsidRDefault="00AD3C49" w:rsidP="00AD3C49">
      <w:pPr>
        <w:pStyle w:val="ListParagraph"/>
        <w:spacing w:line="240" w:lineRule="auto"/>
        <w:jc w:val="center"/>
        <w:rPr>
          <w:b/>
        </w:rPr>
      </w:pPr>
    </w:p>
    <w:p w14:paraId="251E0BB2" w14:textId="77777777" w:rsidR="00AD3C49" w:rsidRDefault="00AD3C49" w:rsidP="00AD3C49">
      <w:pPr>
        <w:pStyle w:val="ListParagraph"/>
        <w:spacing w:line="240" w:lineRule="auto"/>
        <w:jc w:val="center"/>
        <w:rPr>
          <w:b/>
        </w:rPr>
      </w:pPr>
    </w:p>
    <w:p w14:paraId="0CB37BD7" w14:textId="77777777" w:rsidR="00AD3C49" w:rsidRDefault="00AD3C49" w:rsidP="00AD3C49">
      <w:pPr>
        <w:pStyle w:val="ListParagraph"/>
        <w:spacing w:line="240" w:lineRule="auto"/>
        <w:jc w:val="center"/>
        <w:rPr>
          <w:b/>
        </w:rPr>
      </w:pPr>
    </w:p>
    <w:p w14:paraId="5CA2A837" w14:textId="77777777" w:rsidR="00AD3C49" w:rsidRDefault="00AD3C49" w:rsidP="00AD3C49">
      <w:pPr>
        <w:pStyle w:val="ListParagraph"/>
        <w:spacing w:line="240" w:lineRule="auto"/>
        <w:jc w:val="center"/>
        <w:rPr>
          <w:b/>
        </w:rPr>
      </w:pPr>
    </w:p>
    <w:p w14:paraId="671C4043" w14:textId="77777777" w:rsidR="00AD3C49" w:rsidRDefault="00AD3C49" w:rsidP="00AD3C49">
      <w:pPr>
        <w:pStyle w:val="ListParagraph"/>
        <w:spacing w:line="240" w:lineRule="auto"/>
        <w:jc w:val="center"/>
        <w:rPr>
          <w:b/>
        </w:rPr>
      </w:pPr>
    </w:p>
    <w:p w14:paraId="41DA34F7" w14:textId="77777777" w:rsidR="00AD3C49" w:rsidRDefault="00AD3C49" w:rsidP="00AD3C49">
      <w:pPr>
        <w:pStyle w:val="ListParagraph"/>
        <w:spacing w:line="240" w:lineRule="auto"/>
        <w:jc w:val="center"/>
        <w:rPr>
          <w:b/>
        </w:rPr>
      </w:pPr>
    </w:p>
    <w:p w14:paraId="6B2EAD69" w14:textId="77777777" w:rsidR="00AD3C49" w:rsidRDefault="00AD3C49" w:rsidP="00AD3C49">
      <w:pPr>
        <w:pStyle w:val="ListParagraph"/>
        <w:spacing w:line="240" w:lineRule="auto"/>
        <w:jc w:val="center"/>
        <w:rPr>
          <w:b/>
        </w:rPr>
      </w:pPr>
    </w:p>
    <w:p w14:paraId="78BF927F" w14:textId="77777777" w:rsidR="00AD3C49" w:rsidRDefault="00AD3C49" w:rsidP="00AD3C49">
      <w:pPr>
        <w:pStyle w:val="ListParagraph"/>
        <w:spacing w:line="240" w:lineRule="auto"/>
        <w:jc w:val="center"/>
        <w:rPr>
          <w:b/>
        </w:rPr>
      </w:pPr>
    </w:p>
    <w:p w14:paraId="68640DFE" w14:textId="2DC6CA2B" w:rsidR="00AD3C49" w:rsidRDefault="00AD3C49" w:rsidP="00AD3C49">
      <w:pPr>
        <w:pStyle w:val="ListParagraph"/>
        <w:spacing w:line="240" w:lineRule="auto"/>
        <w:jc w:val="center"/>
        <w:rPr>
          <w:b/>
        </w:rPr>
      </w:pPr>
    </w:p>
    <w:p w14:paraId="3E46AFEF" w14:textId="38D83546" w:rsidR="00AD3C49" w:rsidRDefault="00AD3C49" w:rsidP="00AD3C49">
      <w:pPr>
        <w:pStyle w:val="ListParagraph"/>
        <w:spacing w:line="240" w:lineRule="auto"/>
        <w:jc w:val="center"/>
        <w:rPr>
          <w:b/>
        </w:rPr>
      </w:pPr>
    </w:p>
    <w:p w14:paraId="598082EA" w14:textId="322B2599" w:rsidR="00AD3C49" w:rsidRDefault="00AD3C49" w:rsidP="00AD3C49">
      <w:pPr>
        <w:pStyle w:val="ListParagraph"/>
        <w:spacing w:line="240" w:lineRule="auto"/>
        <w:jc w:val="center"/>
        <w:rPr>
          <w:b/>
        </w:rPr>
      </w:pPr>
    </w:p>
    <w:p w14:paraId="3C4E2936" w14:textId="1D8FD329" w:rsidR="00AD3C49" w:rsidRDefault="00AD3C49" w:rsidP="00AD3C49">
      <w:pPr>
        <w:pStyle w:val="ListParagraph"/>
        <w:spacing w:line="240" w:lineRule="auto"/>
        <w:jc w:val="center"/>
        <w:rPr>
          <w:b/>
        </w:rPr>
      </w:pPr>
    </w:p>
    <w:p w14:paraId="31A49DDE" w14:textId="13491C8D" w:rsidR="00AD3C49" w:rsidRDefault="00AD3C49" w:rsidP="00AD3C49">
      <w:pPr>
        <w:pStyle w:val="ListParagraph"/>
        <w:spacing w:line="240" w:lineRule="auto"/>
        <w:jc w:val="center"/>
        <w:rPr>
          <w:b/>
        </w:rPr>
      </w:pPr>
    </w:p>
    <w:p w14:paraId="76D90AF6" w14:textId="77777777" w:rsidR="00AD3C49" w:rsidRDefault="00AD3C49" w:rsidP="00AD3C49">
      <w:pPr>
        <w:pStyle w:val="ListParagraph"/>
        <w:spacing w:line="240" w:lineRule="auto"/>
        <w:jc w:val="center"/>
        <w:rPr>
          <w:b/>
        </w:rPr>
      </w:pPr>
    </w:p>
    <w:p w14:paraId="6179ACDA" w14:textId="77777777" w:rsidR="00AD3C49" w:rsidRDefault="00AD3C49" w:rsidP="00AD3C49">
      <w:pPr>
        <w:pStyle w:val="ListParagraph"/>
        <w:spacing w:line="240" w:lineRule="auto"/>
        <w:jc w:val="center"/>
        <w:rPr>
          <w:b/>
        </w:rPr>
      </w:pPr>
    </w:p>
    <w:p w14:paraId="13E91066" w14:textId="77777777" w:rsidR="00AD3C49" w:rsidRDefault="00AD3C49" w:rsidP="00AD3C49">
      <w:pPr>
        <w:pStyle w:val="ListParagraph"/>
        <w:spacing w:line="240" w:lineRule="auto"/>
        <w:jc w:val="center"/>
        <w:rPr>
          <w:b/>
        </w:rPr>
      </w:pPr>
    </w:p>
    <w:p w14:paraId="6F26CD6D" w14:textId="77777777" w:rsidR="00AD3C49" w:rsidRDefault="00AD3C49" w:rsidP="00AD3C49">
      <w:pPr>
        <w:pStyle w:val="ListParagraph"/>
        <w:spacing w:line="240" w:lineRule="auto"/>
        <w:jc w:val="center"/>
        <w:rPr>
          <w:b/>
        </w:rPr>
      </w:pPr>
    </w:p>
    <w:p w14:paraId="3EA3CD87" w14:textId="77777777" w:rsidR="00AD3C49" w:rsidRDefault="00AD3C49" w:rsidP="00AD3C49">
      <w:pPr>
        <w:pStyle w:val="ListParagraph"/>
        <w:spacing w:line="240" w:lineRule="auto"/>
        <w:jc w:val="center"/>
        <w:rPr>
          <w:b/>
        </w:rPr>
      </w:pPr>
    </w:p>
    <w:p w14:paraId="2D10827F" w14:textId="77777777" w:rsidR="00AD3C49" w:rsidRDefault="00AD3C49" w:rsidP="00AD3C49">
      <w:pPr>
        <w:pStyle w:val="ListParagraph"/>
        <w:spacing w:line="240" w:lineRule="auto"/>
        <w:jc w:val="center"/>
        <w:rPr>
          <w:b/>
        </w:rPr>
      </w:pPr>
    </w:p>
    <w:p w14:paraId="6D6AFC6E" w14:textId="77777777" w:rsidR="00AD3C49" w:rsidRDefault="00AD3C49" w:rsidP="00AD3C49">
      <w:pPr>
        <w:pStyle w:val="ListParagraph"/>
        <w:spacing w:line="240" w:lineRule="auto"/>
        <w:jc w:val="center"/>
        <w:rPr>
          <w:b/>
        </w:rPr>
      </w:pPr>
    </w:p>
    <w:p w14:paraId="3C62EDF0" w14:textId="77777777" w:rsidR="00AD3C49" w:rsidRDefault="00AD3C49" w:rsidP="00AD3C49">
      <w:pPr>
        <w:pStyle w:val="ListParagraph"/>
        <w:spacing w:line="240" w:lineRule="auto"/>
        <w:jc w:val="center"/>
        <w:rPr>
          <w:b/>
        </w:rPr>
      </w:pPr>
    </w:p>
    <w:p w14:paraId="3A4EF245" w14:textId="77777777" w:rsidR="00AD3C49" w:rsidRDefault="00AD3C49" w:rsidP="00AD3C49">
      <w:pPr>
        <w:pStyle w:val="ListParagraph"/>
        <w:spacing w:line="240" w:lineRule="auto"/>
        <w:jc w:val="center"/>
        <w:rPr>
          <w:b/>
        </w:rPr>
      </w:pPr>
    </w:p>
    <w:p w14:paraId="01B111FE" w14:textId="77777777" w:rsidR="00AD3C49" w:rsidRDefault="00AD3C49" w:rsidP="00AD3C49">
      <w:pPr>
        <w:pStyle w:val="ListParagraph"/>
        <w:spacing w:line="240" w:lineRule="auto"/>
        <w:jc w:val="center"/>
        <w:rPr>
          <w:b/>
        </w:rPr>
      </w:pPr>
    </w:p>
    <w:p w14:paraId="010BF759" w14:textId="77777777" w:rsidR="00AD3C49" w:rsidRDefault="00AD3C49" w:rsidP="00AD3C49">
      <w:pPr>
        <w:pStyle w:val="ListParagraph"/>
        <w:spacing w:line="240" w:lineRule="auto"/>
        <w:jc w:val="center"/>
        <w:rPr>
          <w:b/>
        </w:rPr>
      </w:pPr>
    </w:p>
    <w:p w14:paraId="431CBC0B" w14:textId="77777777" w:rsidR="00AD3C49" w:rsidRDefault="00AD3C49" w:rsidP="00AD3C49">
      <w:pPr>
        <w:pStyle w:val="ListParagraph"/>
        <w:spacing w:line="240" w:lineRule="auto"/>
        <w:jc w:val="center"/>
        <w:rPr>
          <w:b/>
        </w:rPr>
      </w:pPr>
    </w:p>
    <w:p w14:paraId="4066D100" w14:textId="77777777" w:rsidR="00AD3C49" w:rsidRDefault="00AD3C49" w:rsidP="00AD3C49">
      <w:pPr>
        <w:pStyle w:val="ListParagraph"/>
        <w:spacing w:line="240" w:lineRule="auto"/>
        <w:jc w:val="center"/>
        <w:rPr>
          <w:b/>
        </w:rPr>
      </w:pPr>
    </w:p>
    <w:p w14:paraId="436CC005" w14:textId="77777777" w:rsidR="00AD3C49" w:rsidRDefault="00AD3C49" w:rsidP="00AD3C49">
      <w:pPr>
        <w:pStyle w:val="ListParagraph"/>
        <w:spacing w:line="240" w:lineRule="auto"/>
        <w:jc w:val="center"/>
        <w:rPr>
          <w:b/>
        </w:rPr>
      </w:pPr>
    </w:p>
    <w:p w14:paraId="3E0F638C" w14:textId="41880957" w:rsidR="00AD3C49" w:rsidRDefault="00AD3C49" w:rsidP="00AD3C49">
      <w:pPr>
        <w:pStyle w:val="ListParagraph"/>
        <w:spacing w:line="240" w:lineRule="auto"/>
        <w:jc w:val="center"/>
        <w:rPr>
          <w:b/>
        </w:rPr>
      </w:pPr>
    </w:p>
    <w:p w14:paraId="1ADB290C" w14:textId="77777777" w:rsidR="00AD3C49" w:rsidRDefault="00AD3C49" w:rsidP="00AD3C49">
      <w:pPr>
        <w:pStyle w:val="ListParagraph"/>
        <w:spacing w:line="240" w:lineRule="auto"/>
        <w:jc w:val="center"/>
        <w:rPr>
          <w:b/>
        </w:rPr>
      </w:pPr>
    </w:p>
    <w:p w14:paraId="6F6AC2A1" w14:textId="77777777" w:rsidR="00AD3C49" w:rsidRDefault="00AD3C49" w:rsidP="00AD3C49">
      <w:pPr>
        <w:pStyle w:val="ListParagraph"/>
        <w:spacing w:line="240" w:lineRule="auto"/>
        <w:jc w:val="center"/>
        <w:rPr>
          <w:b/>
        </w:rPr>
      </w:pPr>
    </w:p>
    <w:p w14:paraId="6DB99358" w14:textId="77777777" w:rsidR="00AD3C49" w:rsidRDefault="00AD3C49" w:rsidP="00AD3C49">
      <w:pPr>
        <w:pStyle w:val="ListParagraph"/>
        <w:spacing w:line="240" w:lineRule="auto"/>
        <w:jc w:val="center"/>
        <w:rPr>
          <w:b/>
        </w:rPr>
      </w:pPr>
    </w:p>
    <w:p w14:paraId="035696BA" w14:textId="77777777" w:rsidR="00AD3C49" w:rsidRDefault="00AD3C49" w:rsidP="00AD3C49">
      <w:pPr>
        <w:pStyle w:val="ListParagraph"/>
        <w:spacing w:line="240" w:lineRule="auto"/>
        <w:jc w:val="center"/>
        <w:rPr>
          <w:b/>
        </w:rPr>
      </w:pPr>
    </w:p>
    <w:p w14:paraId="36B42AD6" w14:textId="77777777" w:rsidR="00AD3C49" w:rsidRPr="00D17DA9" w:rsidRDefault="00AD3C49" w:rsidP="00AD3C49">
      <w:pPr>
        <w:pStyle w:val="ListParagraph"/>
        <w:spacing w:line="240" w:lineRule="auto"/>
        <w:jc w:val="center"/>
        <w:rPr>
          <w:b/>
        </w:rPr>
      </w:pPr>
      <w:r w:rsidRPr="00D17DA9">
        <w:rPr>
          <w:b/>
        </w:rPr>
        <w:t xml:space="preserve">TABLE </w:t>
      </w:r>
      <w:r>
        <w:rPr>
          <w:b/>
        </w:rPr>
        <w:t>4</w:t>
      </w:r>
    </w:p>
    <w:p w14:paraId="38DC189A" w14:textId="77777777" w:rsidR="00AD3C49" w:rsidRPr="00D17DA9" w:rsidRDefault="00AD3C49" w:rsidP="00AD3C49">
      <w:pPr>
        <w:pStyle w:val="ListParagraph"/>
        <w:spacing w:line="240" w:lineRule="auto"/>
        <w:jc w:val="center"/>
        <w:rPr>
          <w:b/>
        </w:rPr>
      </w:pPr>
      <w:r w:rsidRPr="00D17DA9">
        <w:rPr>
          <w:b/>
        </w:rPr>
        <w:t>Client Characteristics and Selected Comparisons to ACS Population</w:t>
      </w:r>
    </w:p>
    <w:p w14:paraId="6EA8A302" w14:textId="77777777" w:rsidR="00AD3C49" w:rsidRPr="00D17DA9" w:rsidRDefault="00AD3C49" w:rsidP="00AD3C49">
      <w:pPr>
        <w:pStyle w:val="ListParagraph"/>
        <w:spacing w:line="240" w:lineRule="auto"/>
        <w:jc w:val="center"/>
        <w:rPr>
          <w:b/>
        </w:rPr>
      </w:pPr>
    </w:p>
    <w:bookmarkStart w:id="1" w:name="_MON_1511069913"/>
    <w:bookmarkEnd w:id="1"/>
    <w:p w14:paraId="2B8CD82F" w14:textId="016CCEFF" w:rsidR="00AD3C49" w:rsidRPr="00B16F29" w:rsidRDefault="008F2F64" w:rsidP="00AD3C49">
      <w:pPr>
        <w:pStyle w:val="NoSpacing"/>
      </w:pPr>
      <w:r w:rsidRPr="00D17DA9">
        <w:object w:dxaOrig="13065" w:dyaOrig="14085" w14:anchorId="554E4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13.75pt;height:557.25pt" o:ole="">
            <v:imagedata r:id="rId20" o:title=""/>
          </v:shape>
          <o:OLEObject Type="Embed" ProgID="Excel.Sheet.8" ShapeID="_x0000_i1056" DrawAspect="Content" ObjectID="_1641108178" r:id="rId21"/>
        </w:object>
      </w:r>
    </w:p>
    <w:p w14:paraId="63F5EB83" w14:textId="5A7C19B5" w:rsidR="00AD3C49" w:rsidRDefault="00AD3C49" w:rsidP="00AD3C49">
      <w:pPr>
        <w:pStyle w:val="Heading2"/>
        <w:keepNext w:val="0"/>
        <w:keepLines w:val="0"/>
        <w:spacing w:before="0" w:line="240" w:lineRule="auto"/>
        <w:rPr>
          <w:rFonts w:asciiTheme="minorHAnsi" w:hAnsiTheme="minorHAnsi"/>
          <w:color w:val="auto"/>
          <w:sz w:val="22"/>
          <w:szCs w:val="22"/>
        </w:rPr>
      </w:pPr>
      <w:bookmarkStart w:id="2" w:name="_Toc441944111"/>
    </w:p>
    <w:p w14:paraId="65F328D1" w14:textId="3C71C1A1" w:rsidR="0031600C" w:rsidRDefault="0031600C" w:rsidP="0031600C"/>
    <w:p w14:paraId="731DFFF2" w14:textId="77777777" w:rsidR="0031600C" w:rsidRPr="0031600C" w:rsidRDefault="0031600C" w:rsidP="0031600C"/>
    <w:p w14:paraId="1A8A0326" w14:textId="7F8672FA" w:rsidR="00AD3C49" w:rsidRPr="00AD3C49" w:rsidRDefault="00C53D72" w:rsidP="00AD3C49">
      <w:pPr>
        <w:pStyle w:val="Heading2"/>
        <w:keepNext w:val="0"/>
        <w:keepLines w:val="0"/>
        <w:numPr>
          <w:ilvl w:val="1"/>
          <w:numId w:val="1"/>
        </w:numPr>
        <w:spacing w:before="0" w:line="240" w:lineRule="auto"/>
        <w:rPr>
          <w:rFonts w:asciiTheme="minorHAnsi" w:hAnsiTheme="minorHAnsi"/>
          <w:color w:val="auto"/>
          <w:sz w:val="22"/>
          <w:szCs w:val="22"/>
        </w:rPr>
      </w:pPr>
      <w:r w:rsidRPr="00614F38">
        <w:rPr>
          <w:rFonts w:asciiTheme="minorHAnsi" w:hAnsiTheme="minorHAnsi"/>
          <w:color w:val="auto"/>
          <w:sz w:val="22"/>
          <w:szCs w:val="22"/>
        </w:rPr>
        <w:t>Social Security Recipients in Maine</w:t>
      </w:r>
      <w:bookmarkEnd w:id="2"/>
    </w:p>
    <w:p w14:paraId="74A975EE" w14:textId="63067A4C" w:rsidR="00C53D72" w:rsidRPr="00614F38" w:rsidRDefault="00C53D72" w:rsidP="00C53D72">
      <w:pPr>
        <w:spacing w:after="0" w:line="240" w:lineRule="auto"/>
        <w:ind w:left="720"/>
      </w:pPr>
      <w:r w:rsidRPr="00614F38">
        <w:t>An alternative source of information that can be used to estimate the number of people in Maine who are eligible for DVR services comes from the Social Security Administration (SSA).  Maine residents who receive SSI or SSDI are presumed to be eligible for vocational rehabilitation services, as long as the individual is interested in getting a job.</w:t>
      </w:r>
      <w:r w:rsidRPr="00614F38">
        <w:rPr>
          <w:rStyle w:val="FootnoteReference"/>
        </w:rPr>
        <w:footnoteReference w:id="3"/>
      </w:r>
      <w:r w:rsidRPr="00614F38">
        <w:t xml:space="preserve">  Therefore, all SSI and SSDI recipients who qualify for payments from the Social Security Administration under a disability eligibility category are potentially eligible for DVR services and/or services from the Division for the Blind and Visually Impaired (DBVI). </w:t>
      </w:r>
    </w:p>
    <w:p w14:paraId="33169A99" w14:textId="77777777" w:rsidR="00C53D72" w:rsidRPr="00614F38" w:rsidRDefault="00C53D72" w:rsidP="00C53D72">
      <w:pPr>
        <w:spacing w:after="0" w:line="240" w:lineRule="auto"/>
        <w:ind w:left="720"/>
      </w:pPr>
    </w:p>
    <w:p w14:paraId="7BA99CCD" w14:textId="3DD8C96D" w:rsidR="00C53D72" w:rsidRPr="00614F38" w:rsidRDefault="00C53D72" w:rsidP="00C53D72">
      <w:pPr>
        <w:spacing w:after="0" w:line="240" w:lineRule="auto"/>
        <w:ind w:left="720"/>
      </w:pPr>
      <w:r w:rsidRPr="00614F38">
        <w:t xml:space="preserve">Table </w:t>
      </w:r>
      <w:r w:rsidR="00810149" w:rsidRPr="00614F38">
        <w:t>5</w:t>
      </w:r>
      <w:r w:rsidRPr="00614F38">
        <w:t xml:space="preserve"> lists the number of Maine recipients of both SSA p</w:t>
      </w:r>
      <w:r w:rsidR="004C4B92" w:rsidRPr="00614F38">
        <w:t>rograms by VR region in FFY 201</w:t>
      </w:r>
      <w:r w:rsidR="00614F38" w:rsidRPr="00614F38">
        <w:t>9</w:t>
      </w:r>
      <w:r w:rsidRPr="00614F38">
        <w:t xml:space="preserve"> from October 1, 201</w:t>
      </w:r>
      <w:r w:rsidR="00614F38" w:rsidRPr="00614F38">
        <w:t>8</w:t>
      </w:r>
      <w:r w:rsidRPr="00614F38">
        <w:t xml:space="preserve"> to September 30, 201</w:t>
      </w:r>
      <w:r w:rsidR="00614F38" w:rsidRPr="00614F38">
        <w:t>9</w:t>
      </w:r>
      <w:r w:rsidRPr="00614F38">
        <w:t xml:space="preserve">.  </w:t>
      </w:r>
    </w:p>
    <w:p w14:paraId="34F1588A" w14:textId="77777777" w:rsidR="00C53D72" w:rsidRPr="00EF06FC" w:rsidRDefault="00C53D72" w:rsidP="00C53D72">
      <w:pPr>
        <w:pStyle w:val="ListParagraph"/>
        <w:spacing w:after="0" w:line="240" w:lineRule="auto"/>
        <w:rPr>
          <w:b/>
        </w:rPr>
      </w:pPr>
    </w:p>
    <w:p w14:paraId="29DE678C" w14:textId="77777777" w:rsidR="00C53D72" w:rsidRPr="00EF06FC" w:rsidRDefault="00C53D72" w:rsidP="00C53D72">
      <w:pPr>
        <w:pStyle w:val="ListParagraph"/>
        <w:spacing w:after="0" w:line="240" w:lineRule="auto"/>
        <w:rPr>
          <w:b/>
        </w:rPr>
      </w:pPr>
      <w:r w:rsidRPr="00EF06FC">
        <w:rPr>
          <w:b/>
        </w:rPr>
        <w:t>Findings</w:t>
      </w:r>
    </w:p>
    <w:p w14:paraId="54372F4A" w14:textId="3CC0FCEC" w:rsidR="00C53D72" w:rsidRPr="00EF06FC" w:rsidRDefault="00C53D72" w:rsidP="00463571">
      <w:pPr>
        <w:pStyle w:val="ListParagraph"/>
        <w:numPr>
          <w:ilvl w:val="0"/>
          <w:numId w:val="5"/>
        </w:numPr>
        <w:spacing w:after="0" w:line="240" w:lineRule="auto"/>
        <w:rPr>
          <w:b/>
        </w:rPr>
      </w:pPr>
      <w:r w:rsidRPr="00EF06FC">
        <w:t xml:space="preserve">The data shows there </w:t>
      </w:r>
      <w:r w:rsidR="004C4B92" w:rsidRPr="00EF06FC">
        <w:t xml:space="preserve">are </w:t>
      </w:r>
      <w:r w:rsidR="00614F38" w:rsidRPr="00EF06FC">
        <w:t>36,860</w:t>
      </w:r>
      <w:r w:rsidRPr="00EF06FC">
        <w:t xml:space="preserve"> SSI recipients and </w:t>
      </w:r>
      <w:r w:rsidR="00316B96">
        <w:t>64,708</w:t>
      </w:r>
      <w:r w:rsidRPr="00EF06FC">
        <w:t xml:space="preserve"> SSDI recipients living in Maine.  Based on the fact many of these individuals are eligible for both SSI and SSDI, BRS cannot compute a precise total of individuals eligible for Social Security benefits.  It is esti</w:t>
      </w:r>
      <w:r w:rsidR="004C4B92" w:rsidRPr="00EF06FC">
        <w:t xml:space="preserve">mated there are approximately </w:t>
      </w:r>
      <w:r w:rsidR="00EF06FC">
        <w:t>83,603</w:t>
      </w:r>
      <w:r w:rsidR="00463571" w:rsidRPr="00EF06FC">
        <w:t xml:space="preserve"> </w:t>
      </w:r>
      <w:r w:rsidRPr="00EF06FC">
        <w:t>Social Security beneficiaries with disabilities living in Maine, all of whom would meet the DVR eligibility definition of “substantial impediment to employment.”</w:t>
      </w:r>
      <w:r w:rsidRPr="00EF06FC">
        <w:rPr>
          <w:rStyle w:val="FootnoteReference"/>
        </w:rPr>
        <w:footnoteReference w:id="4"/>
      </w:r>
    </w:p>
    <w:p w14:paraId="73EDB523" w14:textId="77777777" w:rsidR="00E93744" w:rsidRPr="00D17DA9" w:rsidRDefault="00E93744" w:rsidP="00E93744">
      <w:pPr>
        <w:pStyle w:val="ListParagraph"/>
        <w:spacing w:line="240" w:lineRule="auto"/>
        <w:ind w:left="1080"/>
        <w:rPr>
          <w:b/>
        </w:rPr>
      </w:pPr>
    </w:p>
    <w:p w14:paraId="4F4CDBB7" w14:textId="77777777" w:rsidR="009E66C9" w:rsidRDefault="009E66C9" w:rsidP="00345719">
      <w:pPr>
        <w:pStyle w:val="ListParagraph"/>
        <w:spacing w:line="240" w:lineRule="auto"/>
        <w:jc w:val="center"/>
        <w:rPr>
          <w:b/>
        </w:rPr>
      </w:pPr>
    </w:p>
    <w:p w14:paraId="5295EC8C" w14:textId="77777777" w:rsidR="009E66C9" w:rsidRDefault="009E66C9" w:rsidP="00345719">
      <w:pPr>
        <w:pStyle w:val="ListParagraph"/>
        <w:spacing w:line="240" w:lineRule="auto"/>
        <w:jc w:val="center"/>
        <w:rPr>
          <w:b/>
        </w:rPr>
      </w:pPr>
    </w:p>
    <w:p w14:paraId="5CA0945E" w14:textId="77777777" w:rsidR="009E66C9" w:rsidRDefault="009E66C9" w:rsidP="00345719">
      <w:pPr>
        <w:pStyle w:val="ListParagraph"/>
        <w:spacing w:line="240" w:lineRule="auto"/>
        <w:jc w:val="center"/>
        <w:rPr>
          <w:b/>
        </w:rPr>
      </w:pPr>
    </w:p>
    <w:p w14:paraId="1768CE5D" w14:textId="77777777" w:rsidR="009E66C9" w:rsidRDefault="009E66C9" w:rsidP="00345719">
      <w:pPr>
        <w:pStyle w:val="ListParagraph"/>
        <w:spacing w:line="240" w:lineRule="auto"/>
        <w:jc w:val="center"/>
        <w:rPr>
          <w:b/>
        </w:rPr>
      </w:pPr>
    </w:p>
    <w:p w14:paraId="2AC19510" w14:textId="77777777" w:rsidR="009E66C9" w:rsidRDefault="009E66C9" w:rsidP="00345719">
      <w:pPr>
        <w:pStyle w:val="ListParagraph"/>
        <w:spacing w:line="240" w:lineRule="auto"/>
        <w:jc w:val="center"/>
        <w:rPr>
          <w:b/>
        </w:rPr>
      </w:pPr>
    </w:p>
    <w:p w14:paraId="5F804108" w14:textId="77777777" w:rsidR="009E66C9" w:rsidRDefault="009E66C9" w:rsidP="00345719">
      <w:pPr>
        <w:pStyle w:val="ListParagraph"/>
        <w:spacing w:line="240" w:lineRule="auto"/>
        <w:jc w:val="center"/>
        <w:rPr>
          <w:b/>
        </w:rPr>
      </w:pPr>
    </w:p>
    <w:p w14:paraId="564BAEEA" w14:textId="77777777" w:rsidR="009E66C9" w:rsidRDefault="009E66C9" w:rsidP="00345719">
      <w:pPr>
        <w:pStyle w:val="ListParagraph"/>
        <w:spacing w:line="240" w:lineRule="auto"/>
        <w:jc w:val="center"/>
        <w:rPr>
          <w:b/>
        </w:rPr>
      </w:pPr>
    </w:p>
    <w:p w14:paraId="30822D23" w14:textId="77777777" w:rsidR="009E66C9" w:rsidRDefault="009E66C9" w:rsidP="00345719">
      <w:pPr>
        <w:pStyle w:val="ListParagraph"/>
        <w:spacing w:line="240" w:lineRule="auto"/>
        <w:jc w:val="center"/>
        <w:rPr>
          <w:b/>
        </w:rPr>
      </w:pPr>
    </w:p>
    <w:p w14:paraId="0D0A614C" w14:textId="77777777" w:rsidR="009E66C9" w:rsidRDefault="009E66C9" w:rsidP="00345719">
      <w:pPr>
        <w:pStyle w:val="ListParagraph"/>
        <w:spacing w:line="240" w:lineRule="auto"/>
        <w:jc w:val="center"/>
        <w:rPr>
          <w:b/>
        </w:rPr>
      </w:pPr>
    </w:p>
    <w:p w14:paraId="62436252" w14:textId="77777777" w:rsidR="009E66C9" w:rsidRDefault="009E66C9" w:rsidP="00345719">
      <w:pPr>
        <w:pStyle w:val="ListParagraph"/>
        <w:spacing w:line="240" w:lineRule="auto"/>
        <w:jc w:val="center"/>
        <w:rPr>
          <w:b/>
        </w:rPr>
      </w:pPr>
    </w:p>
    <w:p w14:paraId="4E1FC917" w14:textId="77777777" w:rsidR="009E66C9" w:rsidRDefault="009E66C9" w:rsidP="00345719">
      <w:pPr>
        <w:pStyle w:val="ListParagraph"/>
        <w:spacing w:line="240" w:lineRule="auto"/>
        <w:jc w:val="center"/>
        <w:rPr>
          <w:b/>
        </w:rPr>
      </w:pPr>
    </w:p>
    <w:p w14:paraId="34726760" w14:textId="77777777" w:rsidR="009E66C9" w:rsidRDefault="009E66C9" w:rsidP="00345719">
      <w:pPr>
        <w:pStyle w:val="ListParagraph"/>
        <w:spacing w:line="240" w:lineRule="auto"/>
        <w:jc w:val="center"/>
        <w:rPr>
          <w:b/>
        </w:rPr>
      </w:pPr>
    </w:p>
    <w:p w14:paraId="23F4968F" w14:textId="77777777" w:rsidR="009E66C9" w:rsidRDefault="009E66C9" w:rsidP="00345719">
      <w:pPr>
        <w:pStyle w:val="ListParagraph"/>
        <w:spacing w:line="240" w:lineRule="auto"/>
        <w:jc w:val="center"/>
        <w:rPr>
          <w:b/>
        </w:rPr>
      </w:pPr>
    </w:p>
    <w:p w14:paraId="7940A6C4" w14:textId="77777777" w:rsidR="009E66C9" w:rsidRDefault="009E66C9" w:rsidP="00345719">
      <w:pPr>
        <w:pStyle w:val="ListParagraph"/>
        <w:spacing w:line="240" w:lineRule="auto"/>
        <w:jc w:val="center"/>
        <w:rPr>
          <w:b/>
        </w:rPr>
      </w:pPr>
    </w:p>
    <w:p w14:paraId="404A9D99" w14:textId="77777777" w:rsidR="009E66C9" w:rsidRDefault="009E66C9" w:rsidP="00345719">
      <w:pPr>
        <w:pStyle w:val="ListParagraph"/>
        <w:spacing w:line="240" w:lineRule="auto"/>
        <w:jc w:val="center"/>
        <w:rPr>
          <w:b/>
        </w:rPr>
      </w:pPr>
    </w:p>
    <w:p w14:paraId="098CBBBF" w14:textId="77777777" w:rsidR="009E66C9" w:rsidRDefault="009E66C9" w:rsidP="00345719">
      <w:pPr>
        <w:pStyle w:val="ListParagraph"/>
        <w:spacing w:line="240" w:lineRule="auto"/>
        <w:jc w:val="center"/>
        <w:rPr>
          <w:b/>
        </w:rPr>
      </w:pPr>
    </w:p>
    <w:p w14:paraId="770B3499" w14:textId="77777777" w:rsidR="009E66C9" w:rsidRDefault="009E66C9" w:rsidP="00345719">
      <w:pPr>
        <w:pStyle w:val="ListParagraph"/>
        <w:spacing w:line="240" w:lineRule="auto"/>
        <w:jc w:val="center"/>
        <w:rPr>
          <w:b/>
        </w:rPr>
      </w:pPr>
    </w:p>
    <w:p w14:paraId="03EDC3DA" w14:textId="77777777" w:rsidR="009E66C9" w:rsidRDefault="009E66C9" w:rsidP="00345719">
      <w:pPr>
        <w:pStyle w:val="ListParagraph"/>
        <w:spacing w:line="240" w:lineRule="auto"/>
        <w:jc w:val="center"/>
        <w:rPr>
          <w:b/>
        </w:rPr>
      </w:pPr>
    </w:p>
    <w:p w14:paraId="537F35D2" w14:textId="77777777" w:rsidR="009E66C9" w:rsidRDefault="009E66C9" w:rsidP="00345719">
      <w:pPr>
        <w:pStyle w:val="ListParagraph"/>
        <w:spacing w:line="240" w:lineRule="auto"/>
        <w:jc w:val="center"/>
        <w:rPr>
          <w:b/>
        </w:rPr>
      </w:pPr>
    </w:p>
    <w:p w14:paraId="524098E6" w14:textId="77777777" w:rsidR="009E66C9" w:rsidRDefault="009E66C9" w:rsidP="00345719">
      <w:pPr>
        <w:pStyle w:val="ListParagraph"/>
        <w:spacing w:line="240" w:lineRule="auto"/>
        <w:jc w:val="center"/>
        <w:rPr>
          <w:b/>
        </w:rPr>
      </w:pPr>
    </w:p>
    <w:p w14:paraId="133680B5" w14:textId="77777777" w:rsidR="009E66C9" w:rsidRDefault="009E66C9" w:rsidP="00345719">
      <w:pPr>
        <w:pStyle w:val="ListParagraph"/>
        <w:spacing w:line="240" w:lineRule="auto"/>
        <w:jc w:val="center"/>
        <w:rPr>
          <w:b/>
        </w:rPr>
      </w:pPr>
    </w:p>
    <w:p w14:paraId="2CF4485E" w14:textId="77777777" w:rsidR="009E66C9" w:rsidRDefault="009E66C9" w:rsidP="00345719">
      <w:pPr>
        <w:pStyle w:val="ListParagraph"/>
        <w:spacing w:line="240" w:lineRule="auto"/>
        <w:jc w:val="center"/>
        <w:rPr>
          <w:b/>
        </w:rPr>
      </w:pPr>
    </w:p>
    <w:p w14:paraId="328902DC" w14:textId="77777777" w:rsidR="009E66C9" w:rsidRDefault="009E66C9" w:rsidP="00345719">
      <w:pPr>
        <w:pStyle w:val="ListParagraph"/>
        <w:spacing w:line="240" w:lineRule="auto"/>
        <w:jc w:val="center"/>
        <w:rPr>
          <w:b/>
        </w:rPr>
      </w:pPr>
    </w:p>
    <w:p w14:paraId="4D3F7B0D" w14:textId="77777777" w:rsidR="009E66C9" w:rsidRDefault="009E66C9" w:rsidP="00345719">
      <w:pPr>
        <w:pStyle w:val="ListParagraph"/>
        <w:spacing w:line="240" w:lineRule="auto"/>
        <w:jc w:val="center"/>
        <w:rPr>
          <w:b/>
        </w:rPr>
      </w:pPr>
    </w:p>
    <w:p w14:paraId="1760865B" w14:textId="097AB2A3" w:rsidR="009E66C9" w:rsidRDefault="009E66C9" w:rsidP="00345719">
      <w:pPr>
        <w:pStyle w:val="ListParagraph"/>
        <w:spacing w:line="240" w:lineRule="auto"/>
        <w:jc w:val="center"/>
        <w:rPr>
          <w:b/>
        </w:rPr>
      </w:pPr>
    </w:p>
    <w:p w14:paraId="4323CAD7" w14:textId="77777777" w:rsidR="004C4B92" w:rsidRDefault="004C4B92" w:rsidP="00345719">
      <w:pPr>
        <w:pStyle w:val="ListParagraph"/>
        <w:spacing w:line="240" w:lineRule="auto"/>
        <w:jc w:val="center"/>
        <w:rPr>
          <w:b/>
        </w:rPr>
      </w:pPr>
    </w:p>
    <w:p w14:paraId="781DA092" w14:textId="05354960" w:rsidR="00345719" w:rsidRPr="00D17DA9" w:rsidRDefault="00345719" w:rsidP="00345719">
      <w:pPr>
        <w:pStyle w:val="ListParagraph"/>
        <w:spacing w:line="240" w:lineRule="auto"/>
        <w:jc w:val="center"/>
        <w:rPr>
          <w:b/>
        </w:rPr>
      </w:pPr>
      <w:r w:rsidRPr="00D17DA9">
        <w:rPr>
          <w:b/>
        </w:rPr>
        <w:t xml:space="preserve">TABLE </w:t>
      </w:r>
      <w:r w:rsidR="00810149">
        <w:rPr>
          <w:b/>
        </w:rPr>
        <w:t>5</w:t>
      </w:r>
    </w:p>
    <w:p w14:paraId="340E87BD" w14:textId="3DBCAB43" w:rsidR="00345719" w:rsidRPr="00D17DA9" w:rsidRDefault="00345719" w:rsidP="00345719">
      <w:pPr>
        <w:pStyle w:val="ListParagraph"/>
        <w:spacing w:line="240" w:lineRule="auto"/>
        <w:jc w:val="center"/>
        <w:rPr>
          <w:b/>
        </w:rPr>
      </w:pPr>
      <w:r w:rsidRPr="00D17DA9">
        <w:rPr>
          <w:b/>
        </w:rPr>
        <w:t xml:space="preserve">Open Maine DVR Cases with SSI and SSDI Recipients in </w:t>
      </w:r>
      <w:r w:rsidR="00BE046A" w:rsidRPr="00D17DA9">
        <w:rPr>
          <w:b/>
        </w:rPr>
        <w:t xml:space="preserve">FFY </w:t>
      </w:r>
      <w:r w:rsidR="00580B54">
        <w:rPr>
          <w:b/>
        </w:rPr>
        <w:t>201</w:t>
      </w:r>
      <w:r w:rsidR="002E5987">
        <w:rPr>
          <w:b/>
        </w:rPr>
        <w:t>9</w:t>
      </w:r>
    </w:p>
    <w:p w14:paraId="334C85E0" w14:textId="77777777" w:rsidR="00345719" w:rsidRPr="00D17DA9" w:rsidRDefault="00345719" w:rsidP="00345719">
      <w:pPr>
        <w:pStyle w:val="ListParagraph"/>
        <w:spacing w:line="240" w:lineRule="auto"/>
        <w:jc w:val="center"/>
        <w:rPr>
          <w:b/>
        </w:rPr>
      </w:pPr>
    </w:p>
    <w:tbl>
      <w:tblPr>
        <w:tblStyle w:val="TableGrid"/>
        <w:tblW w:w="8683"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965"/>
        <w:gridCol w:w="920"/>
        <w:gridCol w:w="965"/>
        <w:gridCol w:w="920"/>
        <w:gridCol w:w="965"/>
        <w:gridCol w:w="920"/>
      </w:tblGrid>
      <w:tr w:rsidR="00345719" w:rsidRPr="00D17DA9" w14:paraId="3048E8C6" w14:textId="76A7FDAB" w:rsidTr="00C53D72">
        <w:trPr>
          <w:trHeight w:val="248"/>
        </w:trPr>
        <w:tc>
          <w:tcPr>
            <w:tcW w:w="0" w:type="auto"/>
            <w:vMerge w:val="restart"/>
            <w:tcBorders>
              <w:right w:val="single" w:sz="12" w:space="0" w:color="838995" w:themeColor="accent5"/>
            </w:tcBorders>
            <w:vAlign w:val="bottom"/>
          </w:tcPr>
          <w:p w14:paraId="1EA236DD" w14:textId="112DBA31" w:rsidR="00345719" w:rsidRPr="00D17DA9" w:rsidRDefault="00823D76" w:rsidP="00823D76">
            <w:pPr>
              <w:pStyle w:val="ListParagraph"/>
              <w:ind w:left="0"/>
              <w:rPr>
                <w:b/>
              </w:rPr>
            </w:pPr>
            <w:r w:rsidRPr="00D17DA9">
              <w:rPr>
                <w:b/>
              </w:rPr>
              <w:t>VR Region</w:t>
            </w:r>
          </w:p>
        </w:tc>
        <w:tc>
          <w:tcPr>
            <w:tcW w:w="0" w:type="auto"/>
            <w:gridSpan w:val="2"/>
            <w:tcBorders>
              <w:top w:val="single" w:sz="12" w:space="0" w:color="838995" w:themeColor="accent5"/>
              <w:left w:val="single" w:sz="12" w:space="0" w:color="838995" w:themeColor="accent5"/>
              <w:bottom w:val="dotted" w:sz="4" w:space="0" w:color="838995" w:themeColor="accent5"/>
              <w:right w:val="single" w:sz="12" w:space="0" w:color="838995" w:themeColor="accent5"/>
            </w:tcBorders>
            <w:vAlign w:val="center"/>
          </w:tcPr>
          <w:p w14:paraId="501F827E" w14:textId="5CC6566C" w:rsidR="00345719" w:rsidRPr="00D17DA9" w:rsidRDefault="00345719" w:rsidP="00CC180B">
            <w:pPr>
              <w:pStyle w:val="ListParagraph"/>
              <w:ind w:left="0"/>
              <w:jc w:val="center"/>
              <w:rPr>
                <w:b/>
              </w:rPr>
            </w:pPr>
            <w:r w:rsidRPr="00D17DA9">
              <w:rPr>
                <w:b/>
              </w:rPr>
              <w:t>Open DVR Cases</w:t>
            </w:r>
          </w:p>
        </w:tc>
        <w:tc>
          <w:tcPr>
            <w:tcW w:w="0" w:type="auto"/>
            <w:gridSpan w:val="2"/>
            <w:tcBorders>
              <w:top w:val="single" w:sz="12" w:space="0" w:color="838995" w:themeColor="accent5"/>
              <w:left w:val="single" w:sz="12" w:space="0" w:color="838995" w:themeColor="accent5"/>
              <w:bottom w:val="dotted" w:sz="4" w:space="0" w:color="838995" w:themeColor="accent5"/>
              <w:right w:val="single" w:sz="12" w:space="0" w:color="838995" w:themeColor="accent5"/>
            </w:tcBorders>
            <w:vAlign w:val="center"/>
          </w:tcPr>
          <w:p w14:paraId="63DDFD2E" w14:textId="30FFC3D6" w:rsidR="00345719" w:rsidRPr="00D17DA9" w:rsidRDefault="00345719" w:rsidP="00CC180B">
            <w:pPr>
              <w:pStyle w:val="ListParagraph"/>
              <w:ind w:left="0"/>
              <w:jc w:val="center"/>
              <w:rPr>
                <w:b/>
              </w:rPr>
            </w:pPr>
            <w:r w:rsidRPr="00D17DA9">
              <w:rPr>
                <w:b/>
              </w:rPr>
              <w:t>SSI Recipients</w:t>
            </w:r>
          </w:p>
        </w:tc>
        <w:tc>
          <w:tcPr>
            <w:tcW w:w="0" w:type="auto"/>
            <w:gridSpan w:val="2"/>
            <w:tcBorders>
              <w:top w:val="single" w:sz="12" w:space="0" w:color="838995" w:themeColor="accent5"/>
              <w:left w:val="single" w:sz="12" w:space="0" w:color="838995" w:themeColor="accent5"/>
              <w:bottom w:val="dotted" w:sz="4" w:space="0" w:color="838995" w:themeColor="accent5"/>
              <w:right w:val="single" w:sz="12" w:space="0" w:color="838995" w:themeColor="accent5"/>
            </w:tcBorders>
            <w:vAlign w:val="center"/>
          </w:tcPr>
          <w:p w14:paraId="25BB7AA4" w14:textId="0076E896" w:rsidR="00345719" w:rsidRPr="00D17DA9" w:rsidRDefault="00345719" w:rsidP="00CC180B">
            <w:pPr>
              <w:pStyle w:val="ListParagraph"/>
              <w:ind w:left="0"/>
              <w:jc w:val="center"/>
              <w:rPr>
                <w:b/>
              </w:rPr>
            </w:pPr>
            <w:r w:rsidRPr="00D17DA9">
              <w:rPr>
                <w:b/>
              </w:rPr>
              <w:t>SSDI Recipients</w:t>
            </w:r>
          </w:p>
        </w:tc>
      </w:tr>
      <w:tr w:rsidR="00C53D72" w:rsidRPr="00D17DA9" w14:paraId="23A0252B" w14:textId="245CA040" w:rsidTr="00C53D72">
        <w:trPr>
          <w:trHeight w:val="388"/>
        </w:trPr>
        <w:tc>
          <w:tcPr>
            <w:tcW w:w="0" w:type="auto"/>
            <w:vMerge/>
            <w:tcBorders>
              <w:bottom w:val="single" w:sz="4" w:space="0" w:color="838995" w:themeColor="accent5"/>
              <w:right w:val="single" w:sz="12" w:space="0" w:color="838995" w:themeColor="accent5"/>
            </w:tcBorders>
            <w:vAlign w:val="center"/>
          </w:tcPr>
          <w:p w14:paraId="7816CE11" w14:textId="77777777" w:rsidR="00823D76" w:rsidRPr="00D17DA9" w:rsidRDefault="00823D76" w:rsidP="00CC180B">
            <w:pPr>
              <w:pStyle w:val="ListParagraph"/>
              <w:ind w:left="0"/>
              <w:jc w:val="center"/>
              <w:rPr>
                <w:b/>
              </w:rPr>
            </w:pPr>
          </w:p>
        </w:tc>
        <w:tc>
          <w:tcPr>
            <w:tcW w:w="0" w:type="auto"/>
            <w:tcBorders>
              <w:top w:val="dotted" w:sz="4" w:space="0" w:color="838995" w:themeColor="accent5"/>
              <w:left w:val="single" w:sz="12" w:space="0" w:color="838995" w:themeColor="accent5"/>
              <w:bottom w:val="single" w:sz="4" w:space="0" w:color="838995" w:themeColor="accent5"/>
              <w:right w:val="dotted" w:sz="4" w:space="0" w:color="838995" w:themeColor="accent5"/>
            </w:tcBorders>
            <w:vAlign w:val="center"/>
          </w:tcPr>
          <w:p w14:paraId="0DBB351E" w14:textId="314C7E4A" w:rsidR="00823D76" w:rsidRPr="00D17DA9" w:rsidRDefault="00823D76" w:rsidP="00345719">
            <w:pPr>
              <w:pStyle w:val="ListParagraph"/>
              <w:ind w:left="0"/>
              <w:jc w:val="center"/>
              <w:rPr>
                <w:b/>
              </w:rPr>
            </w:pPr>
            <w:r w:rsidRPr="00D17DA9">
              <w:rPr>
                <w:b/>
              </w:rPr>
              <w:t>Number</w:t>
            </w:r>
          </w:p>
        </w:tc>
        <w:tc>
          <w:tcPr>
            <w:tcW w:w="0" w:type="auto"/>
            <w:tcBorders>
              <w:top w:val="dotted" w:sz="4" w:space="0" w:color="838995" w:themeColor="accent5"/>
              <w:left w:val="dotted" w:sz="4" w:space="0" w:color="838995" w:themeColor="accent5"/>
              <w:bottom w:val="single" w:sz="4" w:space="0" w:color="838995" w:themeColor="accent5"/>
              <w:right w:val="single" w:sz="12" w:space="0" w:color="838995" w:themeColor="accent5"/>
            </w:tcBorders>
            <w:vAlign w:val="center"/>
          </w:tcPr>
          <w:p w14:paraId="055FED02" w14:textId="6231F337" w:rsidR="00823D76" w:rsidRPr="00D17DA9" w:rsidRDefault="00823D76" w:rsidP="00345719">
            <w:pPr>
              <w:pStyle w:val="ListParagraph"/>
              <w:ind w:left="0"/>
              <w:jc w:val="center"/>
              <w:rPr>
                <w:b/>
              </w:rPr>
            </w:pPr>
            <w:r w:rsidRPr="00D17DA9">
              <w:rPr>
                <w:b/>
              </w:rPr>
              <w:t>Percent</w:t>
            </w:r>
          </w:p>
        </w:tc>
        <w:tc>
          <w:tcPr>
            <w:tcW w:w="0" w:type="auto"/>
            <w:tcBorders>
              <w:top w:val="dotted" w:sz="4" w:space="0" w:color="838995" w:themeColor="accent5"/>
              <w:left w:val="single" w:sz="12" w:space="0" w:color="838995" w:themeColor="accent5"/>
              <w:bottom w:val="single" w:sz="4" w:space="0" w:color="838995" w:themeColor="accent5"/>
              <w:right w:val="dotted" w:sz="4" w:space="0" w:color="838995" w:themeColor="accent5"/>
            </w:tcBorders>
            <w:vAlign w:val="center"/>
          </w:tcPr>
          <w:p w14:paraId="3CE9311A" w14:textId="05D5B31D" w:rsidR="00823D76" w:rsidRPr="00D17DA9" w:rsidRDefault="00823D76" w:rsidP="00345719">
            <w:pPr>
              <w:pStyle w:val="ListParagraph"/>
              <w:ind w:left="0"/>
              <w:jc w:val="center"/>
              <w:rPr>
                <w:b/>
              </w:rPr>
            </w:pPr>
            <w:r w:rsidRPr="00D17DA9">
              <w:rPr>
                <w:b/>
              </w:rPr>
              <w:t>Number</w:t>
            </w:r>
          </w:p>
        </w:tc>
        <w:tc>
          <w:tcPr>
            <w:tcW w:w="0" w:type="auto"/>
            <w:tcBorders>
              <w:top w:val="dotted" w:sz="4" w:space="0" w:color="838995" w:themeColor="accent5"/>
              <w:left w:val="dotted" w:sz="4" w:space="0" w:color="838995" w:themeColor="accent5"/>
              <w:bottom w:val="single" w:sz="4" w:space="0" w:color="838995" w:themeColor="accent5"/>
              <w:right w:val="single" w:sz="12" w:space="0" w:color="838995" w:themeColor="accent5"/>
            </w:tcBorders>
            <w:vAlign w:val="center"/>
          </w:tcPr>
          <w:p w14:paraId="77F0FC82" w14:textId="5FDA418B" w:rsidR="00823D76" w:rsidRPr="00D17DA9" w:rsidRDefault="00823D76" w:rsidP="00345719">
            <w:pPr>
              <w:pStyle w:val="ListParagraph"/>
              <w:ind w:left="0"/>
              <w:jc w:val="center"/>
              <w:rPr>
                <w:b/>
              </w:rPr>
            </w:pPr>
            <w:r w:rsidRPr="00D17DA9">
              <w:rPr>
                <w:b/>
              </w:rPr>
              <w:t>Percent</w:t>
            </w:r>
          </w:p>
        </w:tc>
        <w:tc>
          <w:tcPr>
            <w:tcW w:w="0" w:type="auto"/>
            <w:tcBorders>
              <w:top w:val="dotted" w:sz="4" w:space="0" w:color="838995" w:themeColor="accent5"/>
              <w:left w:val="dotted" w:sz="4" w:space="0" w:color="838995" w:themeColor="accent5"/>
              <w:bottom w:val="single" w:sz="4" w:space="0" w:color="838995" w:themeColor="accent5"/>
              <w:right w:val="dotted" w:sz="4" w:space="0" w:color="838995" w:themeColor="accent5"/>
            </w:tcBorders>
            <w:vAlign w:val="center"/>
          </w:tcPr>
          <w:p w14:paraId="31AD6E2F" w14:textId="5BA6B114" w:rsidR="00823D76" w:rsidRPr="00D17DA9" w:rsidRDefault="00823D76" w:rsidP="00345719">
            <w:pPr>
              <w:pStyle w:val="ListParagraph"/>
              <w:ind w:left="0"/>
              <w:jc w:val="center"/>
              <w:rPr>
                <w:b/>
              </w:rPr>
            </w:pPr>
            <w:r w:rsidRPr="00D17DA9">
              <w:rPr>
                <w:b/>
              </w:rPr>
              <w:t>Number</w:t>
            </w:r>
          </w:p>
        </w:tc>
        <w:tc>
          <w:tcPr>
            <w:tcW w:w="0" w:type="auto"/>
            <w:tcBorders>
              <w:top w:val="dotted" w:sz="4" w:space="0" w:color="838995" w:themeColor="accent5"/>
              <w:left w:val="dotted" w:sz="4" w:space="0" w:color="838995" w:themeColor="accent5"/>
              <w:bottom w:val="single" w:sz="4" w:space="0" w:color="838995" w:themeColor="accent5"/>
              <w:right w:val="single" w:sz="12" w:space="0" w:color="838995" w:themeColor="accent5"/>
            </w:tcBorders>
            <w:vAlign w:val="center"/>
          </w:tcPr>
          <w:p w14:paraId="107C7359" w14:textId="24E43EE8" w:rsidR="00823D76" w:rsidRPr="00D17DA9" w:rsidRDefault="00823D76" w:rsidP="00345719">
            <w:pPr>
              <w:pStyle w:val="ListParagraph"/>
              <w:ind w:left="0"/>
              <w:jc w:val="center"/>
              <w:rPr>
                <w:b/>
              </w:rPr>
            </w:pPr>
            <w:r w:rsidRPr="00D17DA9">
              <w:rPr>
                <w:b/>
              </w:rPr>
              <w:t>Percent</w:t>
            </w:r>
          </w:p>
        </w:tc>
      </w:tr>
      <w:tr w:rsidR="00C53D72" w:rsidRPr="00D17DA9" w14:paraId="030BB710" w14:textId="0692A88E"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358B30C9" w14:textId="12EBDAC7" w:rsidR="00823D76" w:rsidRPr="00D17DA9" w:rsidRDefault="00823D76" w:rsidP="00CC180B">
            <w:pPr>
              <w:pStyle w:val="ListParagraph"/>
              <w:ind w:left="0"/>
              <w:rPr>
                <w:b/>
              </w:rPr>
            </w:pPr>
            <w:r w:rsidRPr="00D17DA9">
              <w:rPr>
                <w:b/>
                <w:color w:val="FFFFFF" w:themeColor="background1"/>
              </w:rPr>
              <w:t>Region I</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7DB61BE" w14:textId="77777777" w:rsidR="00823D76" w:rsidRPr="00D17DA9" w:rsidRDefault="00823D76" w:rsidP="00CC180B">
            <w:pPr>
              <w:pStyle w:val="ListParagraph"/>
              <w:ind w:left="0"/>
              <w:jc w:val="center"/>
              <w:rPr>
                <w:b/>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6417DE0" w14:textId="77777777" w:rsidR="00823D76" w:rsidRPr="00D17DA9" w:rsidRDefault="00823D76" w:rsidP="00CC180B">
            <w:pPr>
              <w:pStyle w:val="ListParagraph"/>
              <w:ind w:left="0"/>
              <w:jc w:val="center"/>
              <w:rPr>
                <w:b/>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498701FF" w14:textId="77777777" w:rsidR="00823D76" w:rsidRPr="00D17DA9" w:rsidRDefault="00823D76" w:rsidP="00CC180B">
            <w:pPr>
              <w:pStyle w:val="ListParagraph"/>
              <w:ind w:left="0"/>
              <w:jc w:val="center"/>
              <w:rPr>
                <w:b/>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5B6464A2" w14:textId="77777777" w:rsidR="00823D76" w:rsidRPr="00D17DA9" w:rsidRDefault="00823D76" w:rsidP="00CC180B">
            <w:pPr>
              <w:pStyle w:val="ListParagraph"/>
              <w:ind w:left="0"/>
              <w:jc w:val="center"/>
              <w:rPr>
                <w:b/>
              </w:rPr>
            </w:pP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shd w:val="clear" w:color="auto" w:fill="838995" w:themeFill="accent5"/>
            <w:vAlign w:val="center"/>
          </w:tcPr>
          <w:p w14:paraId="7E61E0C4" w14:textId="77777777" w:rsidR="00823D76" w:rsidRPr="00D17DA9" w:rsidRDefault="00823D76" w:rsidP="00CC180B">
            <w:pPr>
              <w:pStyle w:val="ListParagraph"/>
              <w:ind w:left="0"/>
              <w:jc w:val="center"/>
              <w:rPr>
                <w:b/>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4359060F" w14:textId="77777777" w:rsidR="00823D76" w:rsidRPr="00D17DA9" w:rsidRDefault="00823D76" w:rsidP="00CC180B">
            <w:pPr>
              <w:pStyle w:val="ListParagraph"/>
              <w:ind w:left="0"/>
              <w:jc w:val="center"/>
              <w:rPr>
                <w:b/>
              </w:rPr>
            </w:pPr>
          </w:p>
        </w:tc>
      </w:tr>
      <w:tr w:rsidR="00C53D72" w:rsidRPr="00D17DA9" w14:paraId="593611EA" w14:textId="494A4950" w:rsidTr="00C53D72">
        <w:trPr>
          <w:trHeight w:val="486"/>
        </w:trPr>
        <w:tc>
          <w:tcPr>
            <w:tcW w:w="0" w:type="auto"/>
            <w:tcBorders>
              <w:top w:val="dotted" w:sz="4" w:space="0" w:color="838995" w:themeColor="accent5"/>
              <w:bottom w:val="dotted" w:sz="4" w:space="0" w:color="838995" w:themeColor="accent5"/>
              <w:right w:val="single" w:sz="12" w:space="0" w:color="838995" w:themeColor="accent5"/>
            </w:tcBorders>
            <w:vAlign w:val="center"/>
          </w:tcPr>
          <w:p w14:paraId="737A7FC1" w14:textId="10597D90" w:rsidR="00823D76" w:rsidRPr="00D17DA9" w:rsidRDefault="00823D76" w:rsidP="00CC180B">
            <w:pPr>
              <w:pStyle w:val="ListParagraph"/>
              <w:ind w:left="0"/>
              <w:jc w:val="right"/>
            </w:pPr>
            <w:r w:rsidRPr="00D17DA9">
              <w:t>Counties: Cumberland, York</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3D840FFE" w14:textId="431FA17F" w:rsidR="00823D76" w:rsidRPr="00D17DA9" w:rsidRDefault="004E26B0" w:rsidP="00CC180B">
            <w:pPr>
              <w:pStyle w:val="ListParagraph"/>
              <w:ind w:left="0"/>
              <w:jc w:val="center"/>
            </w:pPr>
            <w:r>
              <w:t>572</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0E665DDD" w14:textId="725B0D98" w:rsidR="00823D76" w:rsidRPr="00D17DA9" w:rsidRDefault="004E26B0" w:rsidP="00CC180B">
            <w:pPr>
              <w:pStyle w:val="ListParagraph"/>
              <w:ind w:left="0"/>
              <w:jc w:val="center"/>
            </w:pPr>
            <w:r>
              <w:t>29.</w:t>
            </w:r>
            <w:r w:rsidR="00EF01E0">
              <w:t>1</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082BB1EB" w14:textId="5A746294" w:rsidR="00823D76" w:rsidRPr="00D17DA9" w:rsidRDefault="002E5987" w:rsidP="00CC180B">
            <w:pPr>
              <w:pStyle w:val="ListParagraph"/>
              <w:ind w:left="0"/>
              <w:jc w:val="center"/>
            </w:pPr>
            <w:r>
              <w:t>8,984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0F55348E" w14:textId="6D6410EE" w:rsidR="00823D76" w:rsidRPr="00D17DA9" w:rsidRDefault="00316B96" w:rsidP="00CC180B">
            <w:pPr>
              <w:pStyle w:val="ListParagraph"/>
              <w:ind w:left="0"/>
              <w:jc w:val="center"/>
            </w:pPr>
            <w:r>
              <w:t>24.3</w:t>
            </w: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vAlign w:val="center"/>
          </w:tcPr>
          <w:p w14:paraId="620D1C5B" w14:textId="483A29E8" w:rsidR="00823D76" w:rsidRPr="00D17DA9" w:rsidRDefault="00316B96" w:rsidP="006C6D92">
            <w:pPr>
              <w:pStyle w:val="ListParagraph"/>
              <w:ind w:left="0"/>
              <w:jc w:val="center"/>
            </w:pPr>
            <w:r>
              <w:t>19,023</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41EB5010" w14:textId="23560691" w:rsidR="00823D76" w:rsidRPr="00D17DA9" w:rsidRDefault="00316B96" w:rsidP="006C6D92">
            <w:pPr>
              <w:pStyle w:val="ListParagraph"/>
              <w:ind w:left="0"/>
              <w:jc w:val="center"/>
            </w:pPr>
            <w:r>
              <w:t>29.4</w:t>
            </w:r>
          </w:p>
        </w:tc>
      </w:tr>
      <w:tr w:rsidR="00C53D72" w:rsidRPr="00D17DA9" w14:paraId="3D0407E8" w14:textId="4534E982"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223A9B53" w14:textId="0976D26C" w:rsidR="00823D76" w:rsidRPr="00D17DA9" w:rsidRDefault="00823D76" w:rsidP="00CC180B">
            <w:pPr>
              <w:pStyle w:val="ListParagraph"/>
              <w:ind w:left="0"/>
              <w:rPr>
                <w:color w:val="FFFFFF" w:themeColor="background1"/>
              </w:rPr>
            </w:pPr>
            <w:r w:rsidRPr="00D17DA9">
              <w:rPr>
                <w:b/>
                <w:color w:val="FFFFFF" w:themeColor="background1"/>
              </w:rPr>
              <w:t>Region II</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D6590AD" w14:textId="77777777" w:rsidR="00823D76" w:rsidRPr="00D17DA9" w:rsidRDefault="00823D76" w:rsidP="00CC180B">
            <w:pPr>
              <w:pStyle w:val="ListParagraph"/>
              <w:ind w:left="0"/>
              <w:jc w:val="center"/>
              <w:rPr>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C6C084C" w14:textId="77777777" w:rsidR="00823D76" w:rsidRPr="00D17DA9" w:rsidRDefault="00823D76" w:rsidP="00CC180B">
            <w:pPr>
              <w:pStyle w:val="ListParagraph"/>
              <w:ind w:left="0"/>
              <w:jc w:val="center"/>
              <w:rPr>
                <w:color w:val="FFFFFF" w:themeColor="background1"/>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57874870" w14:textId="77777777" w:rsidR="00823D76" w:rsidRPr="00D17DA9" w:rsidRDefault="00823D76" w:rsidP="00CC180B">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BF2E20D" w14:textId="77777777" w:rsidR="00823D76" w:rsidRPr="00D17DA9" w:rsidRDefault="00823D76" w:rsidP="00CC180B">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shd w:val="clear" w:color="auto" w:fill="838995" w:themeFill="accent5"/>
            <w:vAlign w:val="center"/>
          </w:tcPr>
          <w:p w14:paraId="355394F7" w14:textId="77777777" w:rsidR="00823D76" w:rsidRPr="00D17DA9" w:rsidRDefault="00823D76" w:rsidP="006C6D92">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19EEFF8A" w14:textId="77777777" w:rsidR="00823D76" w:rsidRPr="00D17DA9" w:rsidRDefault="00823D76" w:rsidP="006C6D92">
            <w:pPr>
              <w:pStyle w:val="ListParagraph"/>
              <w:ind w:left="0"/>
              <w:jc w:val="center"/>
              <w:rPr>
                <w:b/>
                <w:color w:val="FFFFFF" w:themeColor="background1"/>
              </w:rPr>
            </w:pPr>
          </w:p>
        </w:tc>
      </w:tr>
      <w:tr w:rsidR="00C53D72" w:rsidRPr="00D17DA9" w14:paraId="4593EB8F" w14:textId="00CE0669"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vAlign w:val="center"/>
          </w:tcPr>
          <w:p w14:paraId="5EB021C7" w14:textId="7F2B9B5B" w:rsidR="00823D76" w:rsidRPr="00D17DA9" w:rsidRDefault="00823D76" w:rsidP="00CC180B">
            <w:pPr>
              <w:pStyle w:val="ListParagraph"/>
              <w:ind w:left="0"/>
              <w:jc w:val="right"/>
              <w:rPr>
                <w:b/>
              </w:rPr>
            </w:pPr>
            <w:r w:rsidRPr="00D17DA9">
              <w:t>Counties: Androscoggin, Franklin, Oxford, Sagadahoc</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260CA89C" w14:textId="5C0F233F" w:rsidR="00823D76" w:rsidRPr="00D17DA9" w:rsidRDefault="004E26B0" w:rsidP="00CC180B">
            <w:pPr>
              <w:pStyle w:val="ListParagraph"/>
              <w:ind w:left="0"/>
              <w:jc w:val="center"/>
            </w:pPr>
            <w:r>
              <w:t>458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4EAD2FEE" w14:textId="39FB58B1" w:rsidR="00823D76" w:rsidRPr="00D17DA9" w:rsidRDefault="004E26B0" w:rsidP="00CC180B">
            <w:pPr>
              <w:pStyle w:val="ListParagraph"/>
              <w:ind w:left="0"/>
              <w:jc w:val="center"/>
            </w:pPr>
            <w:r>
              <w:t>23.2</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65148D55" w14:textId="533F5A6D" w:rsidR="00823D76" w:rsidRPr="00D17DA9" w:rsidRDefault="002E5987" w:rsidP="00CC180B">
            <w:pPr>
              <w:pStyle w:val="ListParagraph"/>
              <w:ind w:left="0"/>
              <w:jc w:val="center"/>
            </w:pPr>
            <w:r>
              <w:t>7,802</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607EE7D8" w14:textId="29213E36" w:rsidR="00823D76" w:rsidRPr="00D17DA9" w:rsidRDefault="00316B96" w:rsidP="00CC180B">
            <w:pPr>
              <w:pStyle w:val="ListParagraph"/>
              <w:ind w:left="0"/>
              <w:jc w:val="center"/>
            </w:pPr>
            <w:r>
              <w:t>21.2</w:t>
            </w: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vAlign w:val="center"/>
          </w:tcPr>
          <w:p w14:paraId="60F71AF6" w14:textId="78608D2A" w:rsidR="00823D76" w:rsidRPr="00D17DA9" w:rsidRDefault="00316B96" w:rsidP="006C6D92">
            <w:pPr>
              <w:pStyle w:val="ListParagraph"/>
              <w:ind w:left="0"/>
              <w:jc w:val="center"/>
            </w:pPr>
            <w:r>
              <w:t>12,722</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AD8A33D" w14:textId="510383A0" w:rsidR="00823D76" w:rsidRPr="00D17DA9" w:rsidRDefault="00316B96" w:rsidP="006C6D92">
            <w:pPr>
              <w:pStyle w:val="ListParagraph"/>
              <w:ind w:left="0"/>
              <w:jc w:val="center"/>
            </w:pPr>
            <w:r>
              <w:t>19.7</w:t>
            </w:r>
          </w:p>
        </w:tc>
      </w:tr>
      <w:tr w:rsidR="00C53D72" w:rsidRPr="00D17DA9" w14:paraId="28247157" w14:textId="4F8ED25E"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1EF3D8E9" w14:textId="1593BDAE" w:rsidR="00823D76" w:rsidRPr="00D17DA9" w:rsidRDefault="00823D76" w:rsidP="00CC180B">
            <w:pPr>
              <w:pStyle w:val="ListParagraph"/>
              <w:ind w:left="0"/>
              <w:rPr>
                <w:b/>
                <w:color w:val="FFFFFF" w:themeColor="background1"/>
              </w:rPr>
            </w:pPr>
            <w:r w:rsidRPr="00D17DA9">
              <w:rPr>
                <w:b/>
                <w:color w:val="FFFFFF" w:themeColor="background1"/>
              </w:rPr>
              <w:t>Region III</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0BD51DEB" w14:textId="77777777" w:rsidR="00823D76" w:rsidRPr="00D17DA9" w:rsidRDefault="00823D76" w:rsidP="00CC180B">
            <w:pPr>
              <w:pStyle w:val="ListParagraph"/>
              <w:ind w:left="0"/>
              <w:jc w:val="center"/>
              <w:rPr>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09E9677D" w14:textId="77777777" w:rsidR="00823D76" w:rsidRPr="00D17DA9" w:rsidRDefault="00823D76" w:rsidP="00CC180B">
            <w:pPr>
              <w:pStyle w:val="ListParagraph"/>
              <w:ind w:left="0"/>
              <w:jc w:val="center"/>
              <w:rPr>
                <w:b/>
                <w:color w:val="FFFFFF" w:themeColor="background1"/>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5A33D2D7" w14:textId="77777777" w:rsidR="00823D76" w:rsidRPr="00D17DA9" w:rsidRDefault="00823D76" w:rsidP="00CC180B">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112C774C" w14:textId="77777777" w:rsidR="00823D76" w:rsidRPr="00D17DA9" w:rsidRDefault="00823D76" w:rsidP="00CC180B">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shd w:val="clear" w:color="auto" w:fill="838995" w:themeFill="accent5"/>
            <w:vAlign w:val="center"/>
          </w:tcPr>
          <w:p w14:paraId="1DBFB1E3" w14:textId="77777777" w:rsidR="00823D76" w:rsidRPr="00D17DA9" w:rsidRDefault="00823D76" w:rsidP="006C6D92">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352937E4" w14:textId="77777777" w:rsidR="00823D76" w:rsidRPr="00D17DA9" w:rsidRDefault="00823D76" w:rsidP="006C6D92">
            <w:pPr>
              <w:pStyle w:val="ListParagraph"/>
              <w:ind w:left="0"/>
              <w:jc w:val="center"/>
              <w:rPr>
                <w:b/>
                <w:color w:val="FFFFFF" w:themeColor="background1"/>
              </w:rPr>
            </w:pPr>
          </w:p>
        </w:tc>
      </w:tr>
      <w:tr w:rsidR="00C53D72" w:rsidRPr="00D17DA9" w14:paraId="3AC01327" w14:textId="0951F435"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vAlign w:val="center"/>
          </w:tcPr>
          <w:p w14:paraId="191CCEF4" w14:textId="43E0F9CD" w:rsidR="00823D76" w:rsidRPr="00D17DA9" w:rsidRDefault="00823D76" w:rsidP="00CC180B">
            <w:pPr>
              <w:pStyle w:val="ListParagraph"/>
              <w:ind w:left="0"/>
              <w:jc w:val="right"/>
              <w:rPr>
                <w:b/>
              </w:rPr>
            </w:pPr>
            <w:r w:rsidRPr="00D17DA9">
              <w:t>Counties: Kennebec, Knox, Lincoln, Somerset, Waldo</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013C30E6" w14:textId="3AF5AF59" w:rsidR="00823D76" w:rsidRPr="00D17DA9" w:rsidRDefault="004E26B0" w:rsidP="00CC180B">
            <w:pPr>
              <w:pStyle w:val="ListParagraph"/>
              <w:ind w:left="0"/>
              <w:jc w:val="center"/>
            </w:pPr>
            <w:r>
              <w:t>494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7D2C9B40" w14:textId="7A864B23" w:rsidR="00823D76" w:rsidRPr="00D17DA9" w:rsidRDefault="004E26B0" w:rsidP="00CC180B">
            <w:pPr>
              <w:pStyle w:val="ListParagraph"/>
              <w:ind w:left="0"/>
              <w:jc w:val="center"/>
            </w:pPr>
            <w:r>
              <w:t>25.1</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334CF331" w14:textId="510DCE14" w:rsidR="00823D76" w:rsidRPr="00D17DA9" w:rsidRDefault="002E5987" w:rsidP="00CC180B">
            <w:pPr>
              <w:pStyle w:val="ListParagraph"/>
              <w:ind w:left="0"/>
              <w:jc w:val="center"/>
            </w:pPr>
            <w:r>
              <w:t>8,949</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A1A774B" w14:textId="39242E4E" w:rsidR="00823D76" w:rsidRPr="00D17DA9" w:rsidRDefault="00316B96" w:rsidP="00CC180B">
            <w:pPr>
              <w:pStyle w:val="ListParagraph"/>
              <w:ind w:left="0"/>
              <w:jc w:val="center"/>
            </w:pPr>
            <w:r>
              <w:t>24.3</w:t>
            </w: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vAlign w:val="center"/>
          </w:tcPr>
          <w:p w14:paraId="5EEEF044" w14:textId="2A309545" w:rsidR="00823D76" w:rsidRPr="00D17DA9" w:rsidRDefault="00316B96" w:rsidP="006C6D92">
            <w:pPr>
              <w:pStyle w:val="ListParagraph"/>
              <w:ind w:left="0"/>
              <w:jc w:val="center"/>
            </w:pPr>
            <w:r>
              <w:t>15,078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8124895" w14:textId="453C314D" w:rsidR="00823D76" w:rsidRPr="00D17DA9" w:rsidRDefault="00316B96" w:rsidP="006C6D92">
            <w:pPr>
              <w:pStyle w:val="ListParagraph"/>
              <w:ind w:left="0"/>
              <w:jc w:val="center"/>
            </w:pPr>
            <w:r>
              <w:t>23.3</w:t>
            </w:r>
          </w:p>
        </w:tc>
      </w:tr>
      <w:tr w:rsidR="00C53D72" w:rsidRPr="00D17DA9" w14:paraId="4A72E909" w14:textId="77777777"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1C1B8247" w14:textId="1226ED0A" w:rsidR="00823D76" w:rsidRPr="00D17DA9" w:rsidRDefault="00823D76" w:rsidP="00823D76">
            <w:pPr>
              <w:pStyle w:val="ListParagraph"/>
              <w:ind w:left="0"/>
            </w:pPr>
            <w:r w:rsidRPr="00D17DA9">
              <w:rPr>
                <w:b/>
                <w:color w:val="FFFFFF" w:themeColor="background1"/>
              </w:rPr>
              <w:t>Region IV</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6661B0E3" w14:textId="77777777" w:rsidR="00823D76" w:rsidRPr="00D17DA9" w:rsidRDefault="00823D76" w:rsidP="00CC180B">
            <w:pPr>
              <w:pStyle w:val="ListParagraph"/>
              <w:ind w:left="0"/>
              <w:jc w:val="cente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4CCBDF2A" w14:textId="77777777" w:rsidR="00823D76" w:rsidRPr="00D17DA9" w:rsidRDefault="00823D76" w:rsidP="00CC180B">
            <w:pPr>
              <w:pStyle w:val="ListParagraph"/>
              <w:ind w:left="0"/>
              <w:jc w:val="cente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443D1AE9" w14:textId="77777777" w:rsidR="00823D76" w:rsidRPr="00D17DA9" w:rsidRDefault="00823D76" w:rsidP="00CC180B">
            <w:pPr>
              <w:pStyle w:val="ListParagraph"/>
              <w:ind w:left="0"/>
              <w:jc w:val="cente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773E2F83" w14:textId="77777777" w:rsidR="00823D76" w:rsidRPr="00D17DA9" w:rsidRDefault="00823D76" w:rsidP="00CC180B">
            <w:pPr>
              <w:pStyle w:val="ListParagraph"/>
              <w:ind w:left="0"/>
              <w:jc w:val="center"/>
            </w:pP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shd w:val="clear" w:color="auto" w:fill="838995" w:themeFill="accent5"/>
            <w:vAlign w:val="center"/>
          </w:tcPr>
          <w:p w14:paraId="27B1B0BF" w14:textId="77777777" w:rsidR="00823D76" w:rsidRPr="00D17DA9" w:rsidRDefault="00823D76" w:rsidP="006C6D92">
            <w:pPr>
              <w:pStyle w:val="ListParagraph"/>
              <w:ind w:left="0"/>
              <w:jc w:val="cente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66D66879" w14:textId="77777777" w:rsidR="00823D76" w:rsidRPr="00D17DA9" w:rsidRDefault="00823D76" w:rsidP="006C6D92">
            <w:pPr>
              <w:pStyle w:val="ListParagraph"/>
              <w:ind w:left="0"/>
              <w:jc w:val="center"/>
            </w:pPr>
          </w:p>
        </w:tc>
      </w:tr>
      <w:tr w:rsidR="00C53D72" w:rsidRPr="00D17DA9" w14:paraId="15F89EAD" w14:textId="77777777"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vAlign w:val="center"/>
          </w:tcPr>
          <w:p w14:paraId="3562DA82" w14:textId="38A19309" w:rsidR="00823D76" w:rsidRPr="00D17DA9" w:rsidRDefault="00823D76" w:rsidP="00CC180B">
            <w:pPr>
              <w:pStyle w:val="ListParagraph"/>
              <w:ind w:left="0"/>
              <w:jc w:val="right"/>
            </w:pPr>
            <w:r w:rsidRPr="00D17DA9">
              <w:t>Counties: Hancock, Penobscot, Piscataquis, Washington</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2C6577B5" w14:textId="39691CA4" w:rsidR="00823D76" w:rsidRPr="00D17DA9" w:rsidRDefault="004E26B0" w:rsidP="00CC180B">
            <w:pPr>
              <w:pStyle w:val="ListParagraph"/>
              <w:ind w:left="0"/>
              <w:jc w:val="center"/>
            </w:pPr>
            <w:r>
              <w:t>322</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4BAE235C" w14:textId="0CFD7527" w:rsidR="00823D76" w:rsidRPr="00D17DA9" w:rsidRDefault="004E26B0" w:rsidP="00CC180B">
            <w:pPr>
              <w:pStyle w:val="ListParagraph"/>
              <w:ind w:left="0"/>
              <w:jc w:val="center"/>
            </w:pPr>
            <w:r>
              <w:t>16.3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728F5AA2" w14:textId="5D6DD8F0" w:rsidR="00823D76" w:rsidRPr="00D17DA9" w:rsidRDefault="002E5987" w:rsidP="00CC180B">
            <w:pPr>
              <w:pStyle w:val="ListParagraph"/>
              <w:ind w:left="0"/>
              <w:jc w:val="center"/>
            </w:pPr>
            <w:r>
              <w:t>8,518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0094ED5F" w14:textId="66073B3A" w:rsidR="00823D76" w:rsidRPr="00D17DA9" w:rsidRDefault="00316B96" w:rsidP="00CC180B">
            <w:pPr>
              <w:pStyle w:val="ListParagraph"/>
              <w:ind w:left="0"/>
              <w:jc w:val="center"/>
            </w:pPr>
            <w:r>
              <w:t>23.1</w:t>
            </w: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vAlign w:val="center"/>
          </w:tcPr>
          <w:p w14:paraId="6C62F401" w14:textId="52BB6431" w:rsidR="00823D76" w:rsidRPr="00D17DA9" w:rsidRDefault="00316B96" w:rsidP="006C6D92">
            <w:pPr>
              <w:pStyle w:val="ListParagraph"/>
              <w:ind w:left="0"/>
              <w:jc w:val="center"/>
            </w:pPr>
            <w:r>
              <w:t>13,678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2B37C7CC" w14:textId="3EDAC721" w:rsidR="00823D76" w:rsidRPr="00D17DA9" w:rsidRDefault="00316B96" w:rsidP="006C6D92">
            <w:pPr>
              <w:pStyle w:val="ListParagraph"/>
              <w:ind w:left="0"/>
              <w:jc w:val="center"/>
            </w:pPr>
            <w:r>
              <w:t>21.1</w:t>
            </w:r>
          </w:p>
        </w:tc>
      </w:tr>
      <w:tr w:rsidR="00C53D72" w:rsidRPr="00D17DA9" w14:paraId="2052AF64" w14:textId="02427FE7"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35484B3F" w14:textId="45AB7702" w:rsidR="00823D76" w:rsidRPr="00D17DA9" w:rsidRDefault="00823D76" w:rsidP="00CC180B">
            <w:pPr>
              <w:pStyle w:val="ListParagraph"/>
              <w:ind w:left="0"/>
              <w:rPr>
                <w:b/>
                <w:color w:val="FFFFFF" w:themeColor="background1"/>
              </w:rPr>
            </w:pPr>
            <w:r w:rsidRPr="00D17DA9">
              <w:rPr>
                <w:b/>
                <w:color w:val="FFFFFF" w:themeColor="background1"/>
              </w:rPr>
              <w:t>Region V</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317B745F" w14:textId="77777777" w:rsidR="00823D76" w:rsidRPr="00D17DA9" w:rsidRDefault="00823D76" w:rsidP="00CC180B">
            <w:pPr>
              <w:pStyle w:val="ListParagraph"/>
              <w:ind w:left="0"/>
              <w:jc w:val="center"/>
              <w:rPr>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682C3B19" w14:textId="77777777" w:rsidR="00823D76" w:rsidRPr="00D17DA9" w:rsidRDefault="00823D76" w:rsidP="00CC180B">
            <w:pPr>
              <w:pStyle w:val="ListParagraph"/>
              <w:ind w:left="0"/>
              <w:jc w:val="center"/>
              <w:rPr>
                <w:b/>
                <w:color w:val="FFFFFF" w:themeColor="background1"/>
              </w:rPr>
            </w:pP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838995" w:themeFill="accent5"/>
            <w:vAlign w:val="center"/>
          </w:tcPr>
          <w:p w14:paraId="03E41F14" w14:textId="77777777" w:rsidR="00823D76" w:rsidRPr="00D17DA9" w:rsidRDefault="00823D76" w:rsidP="00CC180B">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6188F271" w14:textId="77777777" w:rsidR="00823D76" w:rsidRPr="00D17DA9" w:rsidRDefault="00823D76" w:rsidP="00CC180B">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shd w:val="clear" w:color="auto" w:fill="838995" w:themeFill="accent5"/>
            <w:vAlign w:val="center"/>
          </w:tcPr>
          <w:p w14:paraId="272B89AA" w14:textId="77777777" w:rsidR="00823D76" w:rsidRPr="00D17DA9" w:rsidRDefault="00823D76" w:rsidP="006C6D92">
            <w:pPr>
              <w:pStyle w:val="ListParagraph"/>
              <w:ind w:left="0"/>
              <w:jc w:val="center"/>
              <w:rPr>
                <w:b/>
                <w:color w:val="FFFFFF" w:themeColor="background1"/>
              </w:rPr>
            </w:pP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838995" w:themeFill="accent5"/>
            <w:vAlign w:val="center"/>
          </w:tcPr>
          <w:p w14:paraId="4C317E6F" w14:textId="77777777" w:rsidR="00823D76" w:rsidRPr="00D17DA9" w:rsidRDefault="00823D76" w:rsidP="006C6D92">
            <w:pPr>
              <w:pStyle w:val="ListParagraph"/>
              <w:ind w:left="0"/>
              <w:jc w:val="center"/>
              <w:rPr>
                <w:b/>
                <w:color w:val="FFFFFF" w:themeColor="background1"/>
              </w:rPr>
            </w:pPr>
          </w:p>
        </w:tc>
      </w:tr>
      <w:tr w:rsidR="00C53D72" w:rsidRPr="00D17DA9" w14:paraId="4F2E97DA" w14:textId="21CC470A" w:rsidTr="00C53D72">
        <w:trPr>
          <w:trHeight w:val="388"/>
        </w:trPr>
        <w:tc>
          <w:tcPr>
            <w:tcW w:w="0" w:type="auto"/>
            <w:tcBorders>
              <w:top w:val="dotted" w:sz="4" w:space="0" w:color="838995" w:themeColor="accent5"/>
              <w:bottom w:val="dotted" w:sz="4" w:space="0" w:color="838995" w:themeColor="accent5"/>
              <w:right w:val="single" w:sz="12" w:space="0" w:color="838995" w:themeColor="accent5"/>
            </w:tcBorders>
            <w:vAlign w:val="center"/>
          </w:tcPr>
          <w:p w14:paraId="1F1F5C95" w14:textId="01AB8F28" w:rsidR="00823D76" w:rsidRPr="00D17DA9" w:rsidRDefault="00823D76" w:rsidP="00CC180B">
            <w:pPr>
              <w:pStyle w:val="ListParagraph"/>
              <w:ind w:left="0"/>
              <w:jc w:val="right"/>
            </w:pPr>
            <w:r w:rsidRPr="00D17DA9">
              <w:t>County: Aroostook</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112F7E06" w14:textId="27F61138" w:rsidR="00823D76" w:rsidRPr="00D17DA9" w:rsidRDefault="004E26B0" w:rsidP="00CC180B">
            <w:pPr>
              <w:pStyle w:val="ListParagraph"/>
              <w:ind w:left="0"/>
              <w:jc w:val="center"/>
            </w:pPr>
            <w:r>
              <w:t>124</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66026101" w14:textId="204E0A08" w:rsidR="00823D76" w:rsidRPr="00D17DA9" w:rsidRDefault="00EF01E0" w:rsidP="00CC180B">
            <w:pPr>
              <w:pStyle w:val="ListParagraph"/>
              <w:ind w:left="0"/>
              <w:jc w:val="center"/>
            </w:pPr>
            <w:r>
              <w:t>6.3</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vAlign w:val="center"/>
          </w:tcPr>
          <w:p w14:paraId="04503F61" w14:textId="2573E0EC" w:rsidR="00823D76" w:rsidRPr="00D17DA9" w:rsidRDefault="002E5987" w:rsidP="00CC180B">
            <w:pPr>
              <w:pStyle w:val="ListParagraph"/>
              <w:ind w:left="0"/>
              <w:jc w:val="center"/>
            </w:pPr>
            <w:r>
              <w:t>2,607</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159C21D1" w14:textId="2699A5BD" w:rsidR="00823D76" w:rsidRPr="00D17DA9" w:rsidRDefault="00316B96" w:rsidP="00CC180B">
            <w:pPr>
              <w:pStyle w:val="ListParagraph"/>
              <w:ind w:left="0"/>
              <w:jc w:val="center"/>
            </w:pPr>
            <w:r>
              <w:t>7.1</w:t>
            </w: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vAlign w:val="center"/>
          </w:tcPr>
          <w:p w14:paraId="43960430" w14:textId="4367A20E" w:rsidR="00823D76" w:rsidRPr="00D17DA9" w:rsidRDefault="00316B96" w:rsidP="006C6D92">
            <w:pPr>
              <w:pStyle w:val="ListParagraph"/>
              <w:ind w:left="0"/>
              <w:jc w:val="center"/>
            </w:pPr>
            <w:r>
              <w:t>4,207</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vAlign w:val="center"/>
          </w:tcPr>
          <w:p w14:paraId="34CE0587" w14:textId="519DF9DE" w:rsidR="00823D76" w:rsidRPr="00D17DA9" w:rsidRDefault="00316B96" w:rsidP="006C6D92">
            <w:pPr>
              <w:pStyle w:val="ListParagraph"/>
              <w:ind w:left="0"/>
              <w:jc w:val="center"/>
            </w:pPr>
            <w:r>
              <w:t>6.5</w:t>
            </w:r>
          </w:p>
        </w:tc>
      </w:tr>
      <w:tr w:rsidR="00C53D72" w:rsidRPr="00D17DA9" w14:paraId="19854A0E" w14:textId="5EB6DD0A" w:rsidTr="00C53D72">
        <w:trPr>
          <w:trHeight w:val="289"/>
        </w:trPr>
        <w:tc>
          <w:tcPr>
            <w:tcW w:w="0" w:type="auto"/>
            <w:tcBorders>
              <w:top w:val="dotted" w:sz="4" w:space="0" w:color="838995" w:themeColor="accent5"/>
              <w:bottom w:val="dotted" w:sz="4" w:space="0" w:color="838995" w:themeColor="accent5"/>
              <w:right w:val="single" w:sz="12" w:space="0" w:color="838995" w:themeColor="accent5"/>
            </w:tcBorders>
            <w:shd w:val="clear" w:color="auto" w:fill="E6E7E9" w:themeFill="accent5" w:themeFillTint="33"/>
            <w:vAlign w:val="center"/>
          </w:tcPr>
          <w:p w14:paraId="4984626F" w14:textId="25EA3BED" w:rsidR="00823D76" w:rsidRPr="00D17DA9" w:rsidRDefault="00823D76" w:rsidP="00CC180B">
            <w:pPr>
              <w:pStyle w:val="ListParagraph"/>
              <w:ind w:left="0"/>
              <w:jc w:val="right"/>
              <w:rPr>
                <w:b/>
              </w:rPr>
            </w:pPr>
            <w:r w:rsidRPr="00D17DA9">
              <w:rPr>
                <w:b/>
              </w:rPr>
              <w:t>TOTAL</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76C106CD" w14:textId="1C3E2000" w:rsidR="00823D76" w:rsidRPr="00D17DA9" w:rsidRDefault="004E26B0" w:rsidP="00CC180B">
            <w:pPr>
              <w:pStyle w:val="ListParagraph"/>
              <w:ind w:left="0"/>
              <w:jc w:val="center"/>
              <w:rPr>
                <w:b/>
              </w:rPr>
            </w:pPr>
            <w:r>
              <w:rPr>
                <w:b/>
              </w:rPr>
              <w:t>1,970</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E6E7E9" w:themeFill="accent5" w:themeFillTint="33"/>
            <w:vAlign w:val="center"/>
          </w:tcPr>
          <w:p w14:paraId="662ED571" w14:textId="380B2548" w:rsidR="00823D76" w:rsidRPr="00D17DA9" w:rsidRDefault="004E26B0" w:rsidP="00CC180B">
            <w:pPr>
              <w:pStyle w:val="ListParagraph"/>
              <w:ind w:left="0"/>
              <w:jc w:val="center"/>
              <w:rPr>
                <w:b/>
              </w:rPr>
            </w:pPr>
            <w:r>
              <w:rPr>
                <w:b/>
              </w:rPr>
              <w:t>100.0%</w:t>
            </w:r>
          </w:p>
        </w:tc>
        <w:tc>
          <w:tcPr>
            <w:tcW w:w="0" w:type="auto"/>
            <w:tcBorders>
              <w:top w:val="dotted" w:sz="4" w:space="0" w:color="838995" w:themeColor="accent5"/>
              <w:left w:val="single" w:sz="12"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2DBF2A57" w14:textId="5EA12FF7" w:rsidR="00823D76" w:rsidRPr="00D17DA9" w:rsidRDefault="002E5987" w:rsidP="00CC180B">
            <w:pPr>
              <w:pStyle w:val="ListParagraph"/>
              <w:ind w:left="0"/>
              <w:jc w:val="center"/>
              <w:rPr>
                <w:b/>
              </w:rPr>
            </w:pPr>
            <w:r>
              <w:rPr>
                <w:b/>
              </w:rPr>
              <w:t>36,860</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E6E7E9" w:themeFill="accent5" w:themeFillTint="33"/>
            <w:vAlign w:val="center"/>
          </w:tcPr>
          <w:p w14:paraId="19C820BA" w14:textId="4FA5EEB3" w:rsidR="00823D76" w:rsidRPr="00D17DA9" w:rsidRDefault="00316B96" w:rsidP="00CC180B">
            <w:pPr>
              <w:pStyle w:val="ListParagraph"/>
              <w:ind w:left="0"/>
              <w:jc w:val="center"/>
              <w:rPr>
                <w:b/>
              </w:rPr>
            </w:pPr>
            <w:r>
              <w:rPr>
                <w:b/>
              </w:rPr>
              <w:t>100.0%</w:t>
            </w:r>
          </w:p>
        </w:tc>
        <w:tc>
          <w:tcPr>
            <w:tcW w:w="0" w:type="auto"/>
            <w:tcBorders>
              <w:top w:val="dotted" w:sz="4" w:space="0" w:color="838995" w:themeColor="accent5"/>
              <w:left w:val="dotted" w:sz="4" w:space="0" w:color="838995" w:themeColor="accent5"/>
              <w:bottom w:val="dotted" w:sz="4" w:space="0" w:color="838995" w:themeColor="accent5"/>
              <w:right w:val="dotted" w:sz="4" w:space="0" w:color="838995" w:themeColor="accent5"/>
            </w:tcBorders>
            <w:shd w:val="clear" w:color="auto" w:fill="E6E7E9" w:themeFill="accent5" w:themeFillTint="33"/>
            <w:vAlign w:val="center"/>
          </w:tcPr>
          <w:p w14:paraId="3731EA50" w14:textId="5FB0E3E5" w:rsidR="00823D76" w:rsidRPr="00D17DA9" w:rsidRDefault="002E5987" w:rsidP="00AC63C2">
            <w:pPr>
              <w:pStyle w:val="ListParagraph"/>
              <w:ind w:left="0"/>
              <w:jc w:val="center"/>
              <w:rPr>
                <w:b/>
              </w:rPr>
            </w:pPr>
            <w:r>
              <w:rPr>
                <w:b/>
              </w:rPr>
              <w:t>64,</w:t>
            </w:r>
            <w:r w:rsidR="00316B96">
              <w:rPr>
                <w:b/>
              </w:rPr>
              <w:t>708</w:t>
            </w:r>
          </w:p>
        </w:tc>
        <w:tc>
          <w:tcPr>
            <w:tcW w:w="0" w:type="auto"/>
            <w:tcBorders>
              <w:top w:val="dotted" w:sz="4" w:space="0" w:color="838995" w:themeColor="accent5"/>
              <w:left w:val="dotted" w:sz="4" w:space="0" w:color="838995" w:themeColor="accent5"/>
              <w:bottom w:val="dotted" w:sz="4" w:space="0" w:color="838995" w:themeColor="accent5"/>
              <w:right w:val="single" w:sz="12" w:space="0" w:color="838995" w:themeColor="accent5"/>
            </w:tcBorders>
            <w:shd w:val="clear" w:color="auto" w:fill="E6E7E9" w:themeFill="accent5" w:themeFillTint="33"/>
            <w:vAlign w:val="center"/>
          </w:tcPr>
          <w:p w14:paraId="284AB009" w14:textId="3CA29CA4" w:rsidR="00823D76" w:rsidRPr="00D17DA9" w:rsidRDefault="00316B96" w:rsidP="00CC180B">
            <w:pPr>
              <w:pStyle w:val="ListParagraph"/>
              <w:ind w:left="0"/>
              <w:jc w:val="center"/>
              <w:rPr>
                <w:b/>
              </w:rPr>
            </w:pPr>
            <w:r>
              <w:rPr>
                <w:b/>
              </w:rPr>
              <w:t>100.0%</w:t>
            </w:r>
          </w:p>
        </w:tc>
      </w:tr>
    </w:tbl>
    <w:p w14:paraId="7D15B92B" w14:textId="77777777" w:rsidR="00BB7056" w:rsidRPr="009E66C9" w:rsidRDefault="00BB7056" w:rsidP="005D1E87">
      <w:pPr>
        <w:tabs>
          <w:tab w:val="left" w:pos="720"/>
        </w:tabs>
        <w:spacing w:after="0" w:line="240" w:lineRule="auto"/>
        <w:ind w:left="720"/>
        <w:rPr>
          <w:b/>
        </w:rPr>
      </w:pPr>
    </w:p>
    <w:p w14:paraId="7053B209" w14:textId="7BE4A2B4" w:rsidR="005D1E87" w:rsidRPr="009E66C9" w:rsidRDefault="005D1E87" w:rsidP="005D1E87">
      <w:pPr>
        <w:tabs>
          <w:tab w:val="left" w:pos="720"/>
        </w:tabs>
        <w:spacing w:after="0" w:line="240" w:lineRule="auto"/>
        <w:ind w:left="720"/>
        <w:rPr>
          <w:b/>
        </w:rPr>
      </w:pPr>
      <w:r w:rsidRPr="009E66C9">
        <w:rPr>
          <w:b/>
        </w:rPr>
        <w:t>Sources:</w:t>
      </w:r>
    </w:p>
    <w:p w14:paraId="4C1FD2BE" w14:textId="3A2D8845" w:rsidR="005D1E87" w:rsidRPr="009E66C9" w:rsidRDefault="004E26B0" w:rsidP="005D1E87">
      <w:pPr>
        <w:pStyle w:val="NoSpacing"/>
        <w:ind w:left="720"/>
      </w:pPr>
      <w:r>
        <w:t>Cases_VR_DVR Table Q</w:t>
      </w:r>
      <w:r w:rsidR="00BE046A" w:rsidRPr="009E66C9">
        <w:t>uery from the biAdapto</w:t>
      </w:r>
      <w:r w:rsidR="00580B54">
        <w:t>r for all open cases in FFY 201</w:t>
      </w:r>
      <w:r w:rsidR="0065385D">
        <w:t>9</w:t>
      </w:r>
      <w:r w:rsidR="00403904">
        <w:t>.</w:t>
      </w:r>
    </w:p>
    <w:p w14:paraId="3487ADD6" w14:textId="77777777" w:rsidR="00BB7056" w:rsidRPr="009E66C9" w:rsidRDefault="00BB7056" w:rsidP="005D1E87">
      <w:pPr>
        <w:pStyle w:val="NoSpacing"/>
        <w:ind w:left="720"/>
      </w:pPr>
    </w:p>
    <w:p w14:paraId="499017EC" w14:textId="5638C6B5" w:rsidR="005D1E87" w:rsidRDefault="005D1E87" w:rsidP="005D1E87">
      <w:pPr>
        <w:pStyle w:val="NoSpacing"/>
        <w:ind w:left="720"/>
      </w:pPr>
      <w:r w:rsidRPr="009E66C9">
        <w:t xml:space="preserve">U.S. Social Security Administration, Office of Policy.  </w:t>
      </w:r>
      <w:r w:rsidRPr="009E66C9">
        <w:rPr>
          <w:rFonts w:cs="Arial"/>
          <w:i/>
          <w:iCs/>
        </w:rPr>
        <w:t>SSI Recipients by State and County, 201</w:t>
      </w:r>
      <w:r w:rsidR="002E5987">
        <w:rPr>
          <w:rFonts w:cs="Arial"/>
          <w:i/>
          <w:iCs/>
        </w:rPr>
        <w:t>8</w:t>
      </w:r>
      <w:r w:rsidRPr="009E66C9">
        <w:rPr>
          <w:rFonts w:cs="Arial"/>
          <w:i/>
          <w:iCs/>
        </w:rPr>
        <w:t xml:space="preserve"> </w:t>
      </w:r>
      <w:hyperlink r:id="rId22" w:history="1">
        <w:r w:rsidR="00580B54" w:rsidRPr="00EA52D9">
          <w:rPr>
            <w:rStyle w:val="Hyperlink"/>
            <w:color w:val="0066CC"/>
          </w:rPr>
          <w:t>https://www.ssa.gov/policy/docs/statcomps/ssi_sc/</w:t>
        </w:r>
      </w:hyperlink>
    </w:p>
    <w:p w14:paraId="5424A782" w14:textId="77777777" w:rsidR="00BB7056" w:rsidRPr="009E66C9" w:rsidRDefault="00BB7056" w:rsidP="005D1E87">
      <w:pPr>
        <w:pStyle w:val="NoSpacing"/>
        <w:ind w:left="720"/>
      </w:pPr>
    </w:p>
    <w:p w14:paraId="611FE014" w14:textId="503F3A1F" w:rsidR="00463571" w:rsidRDefault="00EF06FC" w:rsidP="00463571">
      <w:pPr>
        <w:pStyle w:val="ListParagraph"/>
        <w:spacing w:after="0" w:line="240" w:lineRule="auto"/>
        <w:rPr>
          <w:rFonts w:eastAsiaTheme="minorEastAsia"/>
          <w:lang w:eastAsia="ja-JP"/>
        </w:rPr>
      </w:pPr>
      <w:r>
        <w:rPr>
          <w:rFonts w:eastAsiaTheme="minorEastAsia"/>
          <w:lang w:eastAsia="ja-JP"/>
        </w:rPr>
        <w:t>Annual Statistical Report on the Social Security Disability Insurance Program, Released October 2018</w:t>
      </w:r>
      <w:r w:rsidR="000C4FEE">
        <w:rPr>
          <w:rFonts w:eastAsiaTheme="minorEastAsia"/>
          <w:lang w:eastAsia="ja-JP"/>
        </w:rPr>
        <w:t xml:space="preserve">  </w:t>
      </w:r>
      <w:hyperlink r:id="rId23" w:history="1">
        <w:r w:rsidRPr="00EA52D9">
          <w:rPr>
            <w:rStyle w:val="Hyperlink"/>
            <w:color w:val="0066CC"/>
          </w:rPr>
          <w:t>https://www.ssa.gov/policy/docs/statcomps/di_asr/2018/index.html</w:t>
        </w:r>
      </w:hyperlink>
    </w:p>
    <w:p w14:paraId="02E38D56" w14:textId="77777777" w:rsidR="003B4378" w:rsidRPr="00463571" w:rsidRDefault="003B4378" w:rsidP="00463571">
      <w:pPr>
        <w:pStyle w:val="ListParagraph"/>
        <w:spacing w:after="0" w:line="240" w:lineRule="auto"/>
        <w:rPr>
          <w:rFonts w:eastAsiaTheme="minorEastAsia"/>
          <w:lang w:eastAsia="ja-JP"/>
        </w:rPr>
      </w:pPr>
    </w:p>
    <w:p w14:paraId="73DA7130" w14:textId="77777777" w:rsidR="009E66C9" w:rsidRDefault="009E66C9" w:rsidP="005D1E87">
      <w:pPr>
        <w:pStyle w:val="ListParagraph"/>
        <w:spacing w:after="0" w:line="240" w:lineRule="auto"/>
      </w:pPr>
    </w:p>
    <w:p w14:paraId="1E3542B0" w14:textId="77777777" w:rsidR="009E66C9" w:rsidRDefault="009E66C9" w:rsidP="005D1E87">
      <w:pPr>
        <w:pStyle w:val="ListParagraph"/>
        <w:spacing w:after="0" w:line="240" w:lineRule="auto"/>
      </w:pPr>
    </w:p>
    <w:p w14:paraId="7C4C2457" w14:textId="77777777" w:rsidR="009E66C9" w:rsidRDefault="009E66C9" w:rsidP="005D1E87">
      <w:pPr>
        <w:pStyle w:val="ListParagraph"/>
        <w:spacing w:after="0" w:line="240" w:lineRule="auto"/>
      </w:pPr>
    </w:p>
    <w:p w14:paraId="101B059C" w14:textId="77777777" w:rsidR="009E66C9" w:rsidRDefault="009E66C9" w:rsidP="005D1E87">
      <w:pPr>
        <w:pStyle w:val="ListParagraph"/>
        <w:spacing w:after="0" w:line="240" w:lineRule="auto"/>
      </w:pPr>
    </w:p>
    <w:p w14:paraId="77B2E9A4" w14:textId="77777777" w:rsidR="009E66C9" w:rsidRDefault="009E66C9" w:rsidP="005D1E87">
      <w:pPr>
        <w:pStyle w:val="ListParagraph"/>
        <w:spacing w:after="0" w:line="240" w:lineRule="auto"/>
      </w:pPr>
    </w:p>
    <w:p w14:paraId="25BA2CB8" w14:textId="77777777" w:rsidR="009E66C9" w:rsidRDefault="009E66C9" w:rsidP="005D1E87">
      <w:pPr>
        <w:pStyle w:val="ListParagraph"/>
        <w:spacing w:after="0" w:line="240" w:lineRule="auto"/>
      </w:pPr>
    </w:p>
    <w:p w14:paraId="72525726" w14:textId="77777777" w:rsidR="009E66C9" w:rsidRDefault="009E66C9" w:rsidP="005D1E87">
      <w:pPr>
        <w:pStyle w:val="ListParagraph"/>
        <w:spacing w:after="0" w:line="240" w:lineRule="auto"/>
      </w:pPr>
    </w:p>
    <w:p w14:paraId="5BE63182" w14:textId="77777777" w:rsidR="009E66C9" w:rsidRDefault="009E66C9" w:rsidP="005D1E87">
      <w:pPr>
        <w:pStyle w:val="ListParagraph"/>
        <w:spacing w:after="0" w:line="240" w:lineRule="auto"/>
      </w:pPr>
    </w:p>
    <w:p w14:paraId="290626DD" w14:textId="77777777" w:rsidR="009E66C9" w:rsidRDefault="009E66C9" w:rsidP="005D1E87">
      <w:pPr>
        <w:pStyle w:val="ListParagraph"/>
        <w:spacing w:after="0" w:line="240" w:lineRule="auto"/>
      </w:pPr>
    </w:p>
    <w:p w14:paraId="6C0DAF92" w14:textId="77777777" w:rsidR="009E66C9" w:rsidRDefault="009E66C9" w:rsidP="005D1E87">
      <w:pPr>
        <w:pStyle w:val="ListParagraph"/>
        <w:spacing w:after="0" w:line="240" w:lineRule="auto"/>
      </w:pPr>
    </w:p>
    <w:p w14:paraId="64155239" w14:textId="77777777" w:rsidR="009E66C9" w:rsidRDefault="009E66C9" w:rsidP="005D1E87">
      <w:pPr>
        <w:pStyle w:val="ListParagraph"/>
        <w:spacing w:after="0" w:line="240" w:lineRule="auto"/>
      </w:pPr>
    </w:p>
    <w:p w14:paraId="21003AFD" w14:textId="77777777" w:rsidR="009E66C9" w:rsidRDefault="009E66C9" w:rsidP="005D1E87">
      <w:pPr>
        <w:pStyle w:val="ListParagraph"/>
        <w:spacing w:after="0" w:line="240" w:lineRule="auto"/>
      </w:pPr>
    </w:p>
    <w:p w14:paraId="20E3AD11" w14:textId="77777777" w:rsidR="009E66C9" w:rsidRDefault="009E66C9" w:rsidP="005D1E87">
      <w:pPr>
        <w:pStyle w:val="ListParagraph"/>
        <w:spacing w:after="0" w:line="240" w:lineRule="auto"/>
      </w:pPr>
    </w:p>
    <w:p w14:paraId="59731EA5" w14:textId="77777777" w:rsidR="009E66C9" w:rsidRDefault="009E66C9" w:rsidP="005D1E87">
      <w:pPr>
        <w:pStyle w:val="ListParagraph"/>
        <w:spacing w:after="0" w:line="240" w:lineRule="auto"/>
      </w:pPr>
    </w:p>
    <w:p w14:paraId="306B85FF" w14:textId="5E72153B" w:rsidR="009E66C9" w:rsidRDefault="009E66C9" w:rsidP="005D1E87">
      <w:pPr>
        <w:pStyle w:val="ListParagraph"/>
        <w:spacing w:after="0" w:line="240" w:lineRule="auto"/>
      </w:pPr>
    </w:p>
    <w:p w14:paraId="59A56681" w14:textId="77777777" w:rsidR="00E31796" w:rsidRDefault="00E31796" w:rsidP="005D1E87">
      <w:pPr>
        <w:pStyle w:val="ListParagraph"/>
        <w:spacing w:after="0" w:line="240" w:lineRule="auto"/>
      </w:pPr>
    </w:p>
    <w:p w14:paraId="28004A40" w14:textId="77777777" w:rsidR="009E66C9" w:rsidRDefault="009E66C9" w:rsidP="005D1E87">
      <w:pPr>
        <w:pStyle w:val="ListParagraph"/>
        <w:spacing w:after="0" w:line="240" w:lineRule="auto"/>
      </w:pPr>
    </w:p>
    <w:p w14:paraId="588BE61D" w14:textId="6E684D1A" w:rsidR="005D1E87" w:rsidRPr="00EF01E0" w:rsidRDefault="005D1E87" w:rsidP="005D1E87">
      <w:pPr>
        <w:pStyle w:val="ListParagraph"/>
        <w:spacing w:after="0" w:line="240" w:lineRule="auto"/>
      </w:pPr>
      <w:r w:rsidRPr="00EF01E0">
        <w:t>The Social Security data includes breakdowns by county, the data can also be used as a proxy to examine whether DVR is reaching the geographically dispersed population of people with disabilities in Maine.  Chart 13 compares the distr</w:t>
      </w:r>
      <w:r w:rsidR="00BE046A" w:rsidRPr="00EF01E0">
        <w:t>ibution of open Maine DVR cases with SSI recipients and</w:t>
      </w:r>
      <w:r w:rsidRPr="00EF01E0">
        <w:t xml:space="preserve"> SSDI beneficiaries </w:t>
      </w:r>
      <w:r w:rsidR="00BE046A" w:rsidRPr="00EF01E0">
        <w:t>reported in FFY 201</w:t>
      </w:r>
      <w:r w:rsidR="00EF01E0" w:rsidRPr="00EF01E0">
        <w:t>9</w:t>
      </w:r>
      <w:r w:rsidRPr="00EF01E0">
        <w:t xml:space="preserve">.  </w:t>
      </w:r>
    </w:p>
    <w:p w14:paraId="0A07C420" w14:textId="77777777" w:rsidR="005D1E87" w:rsidRPr="00EF01E0" w:rsidRDefault="005D1E87" w:rsidP="005D1E87">
      <w:pPr>
        <w:pStyle w:val="ListParagraph"/>
        <w:spacing w:after="0" w:line="240" w:lineRule="auto"/>
        <w:rPr>
          <w:b/>
        </w:rPr>
      </w:pPr>
    </w:p>
    <w:p w14:paraId="66FBAE14" w14:textId="77777777" w:rsidR="005D1E87" w:rsidRPr="00EF01E0" w:rsidRDefault="005D1E87" w:rsidP="005D1E87">
      <w:pPr>
        <w:pStyle w:val="ListParagraph"/>
        <w:spacing w:after="0" w:line="240" w:lineRule="auto"/>
        <w:rPr>
          <w:b/>
        </w:rPr>
      </w:pPr>
      <w:r w:rsidRPr="00EF01E0">
        <w:rPr>
          <w:b/>
        </w:rPr>
        <w:t>Findings</w:t>
      </w:r>
    </w:p>
    <w:p w14:paraId="679255EB" w14:textId="6C262ADD" w:rsidR="002A59B8" w:rsidRPr="00EF01E0" w:rsidRDefault="002A59B8" w:rsidP="00010E2A">
      <w:pPr>
        <w:pStyle w:val="NoSpacing"/>
        <w:numPr>
          <w:ilvl w:val="0"/>
          <w:numId w:val="7"/>
        </w:numPr>
        <w:rPr>
          <w:rFonts w:cs="Arial"/>
        </w:rPr>
      </w:pPr>
      <w:r w:rsidRPr="00EF01E0">
        <w:t xml:space="preserve">The geographic distribution of both SSI and SSDI recipients is </w:t>
      </w:r>
      <w:r w:rsidR="00126E13" w:rsidRPr="00EF01E0">
        <w:t>similar</w:t>
      </w:r>
      <w:r w:rsidRPr="00EF01E0">
        <w:t>.</w:t>
      </w:r>
    </w:p>
    <w:p w14:paraId="40C5017A" w14:textId="6CF65CF0" w:rsidR="002A59B8" w:rsidRPr="00EF01E0" w:rsidRDefault="002A59B8" w:rsidP="00010E2A">
      <w:pPr>
        <w:pStyle w:val="NoSpacing"/>
        <w:numPr>
          <w:ilvl w:val="0"/>
          <w:numId w:val="7"/>
        </w:numPr>
        <w:rPr>
          <w:rFonts w:cs="Arial"/>
        </w:rPr>
      </w:pPr>
      <w:r w:rsidRPr="00EF01E0">
        <w:t>Region I (Cumberland and York counties) has a slightly higher concentration of SSDI recipients than SSI recipients (2</w:t>
      </w:r>
      <w:r w:rsidR="00EF01E0" w:rsidRPr="00EF01E0">
        <w:t>9</w:t>
      </w:r>
      <w:r w:rsidRPr="00EF01E0">
        <w:t>% versus 2</w:t>
      </w:r>
      <w:r w:rsidR="00EF01E0" w:rsidRPr="00EF01E0">
        <w:t>4</w:t>
      </w:r>
      <w:r w:rsidRPr="00EF01E0">
        <w:t>%), but the other Maine regions are essentially the same, which supports the idea that Social Security information is a reasonable indicator of where Maine residents with severe disabilities are living.</w:t>
      </w:r>
    </w:p>
    <w:p w14:paraId="683D3F2B" w14:textId="51AADEF0" w:rsidR="002A59B8" w:rsidRPr="00EF01E0" w:rsidRDefault="002A59B8" w:rsidP="00010E2A">
      <w:pPr>
        <w:pStyle w:val="NoSpacing"/>
        <w:numPr>
          <w:ilvl w:val="0"/>
          <w:numId w:val="7"/>
        </w:numPr>
        <w:rPr>
          <w:rFonts w:cs="Arial"/>
        </w:rPr>
      </w:pPr>
      <w:r w:rsidRPr="00EF01E0">
        <w:t>When comparing the distribution of open DVR cases against the Social Security program data, there is a much lower proportion of open DVR cases w</w:t>
      </w:r>
      <w:r w:rsidR="00E31796" w:rsidRPr="00EF01E0">
        <w:t>ho lived in Regions IV and V (2</w:t>
      </w:r>
      <w:r w:rsidR="00EF01E0" w:rsidRPr="00EF01E0">
        <w:t>2</w:t>
      </w:r>
      <w:r w:rsidRPr="00EF01E0">
        <w:t>%) relative to SSI recipients (</w:t>
      </w:r>
      <w:r w:rsidR="00D40706" w:rsidRPr="00EF01E0">
        <w:t>30</w:t>
      </w:r>
      <w:r w:rsidRPr="00EF01E0">
        <w:t>%) and SSDI recipients (28%).</w:t>
      </w:r>
    </w:p>
    <w:p w14:paraId="3CAD9BCF" w14:textId="77777777" w:rsidR="005D1E87" w:rsidRPr="00EF01E0" w:rsidRDefault="005D1E87" w:rsidP="005D1E87">
      <w:pPr>
        <w:pStyle w:val="NoSpacing"/>
        <w:ind w:left="720"/>
        <w:rPr>
          <w:rFonts w:cs="Arial"/>
        </w:rPr>
      </w:pPr>
    </w:p>
    <w:p w14:paraId="68DFA198" w14:textId="1DFD290B" w:rsidR="002A59B8" w:rsidRPr="00EF01E0" w:rsidRDefault="002A59B8" w:rsidP="002A59B8">
      <w:pPr>
        <w:pStyle w:val="ListParagraph"/>
        <w:spacing w:line="240" w:lineRule="auto"/>
        <w:jc w:val="center"/>
        <w:rPr>
          <w:b/>
        </w:rPr>
      </w:pPr>
      <w:r w:rsidRPr="00EF01E0">
        <w:rPr>
          <w:b/>
        </w:rPr>
        <w:t>CHART 13</w:t>
      </w:r>
    </w:p>
    <w:p w14:paraId="5535CAA2" w14:textId="066FAAD1" w:rsidR="002A59B8" w:rsidRPr="00EF01E0" w:rsidRDefault="002A59B8" w:rsidP="002A59B8">
      <w:pPr>
        <w:pStyle w:val="ListParagraph"/>
        <w:spacing w:line="240" w:lineRule="auto"/>
        <w:jc w:val="center"/>
        <w:rPr>
          <w:b/>
        </w:rPr>
      </w:pPr>
      <w:r w:rsidRPr="00EF01E0">
        <w:rPr>
          <w:b/>
        </w:rPr>
        <w:t xml:space="preserve">Distribution of Open Maine DVR Cases with SSI and SSDI Recipients in </w:t>
      </w:r>
      <w:r w:rsidR="00E31796" w:rsidRPr="00EF01E0">
        <w:rPr>
          <w:b/>
        </w:rPr>
        <w:t xml:space="preserve">FFY </w:t>
      </w:r>
      <w:r w:rsidR="00EF01E0" w:rsidRPr="00EF01E0">
        <w:rPr>
          <w:b/>
        </w:rPr>
        <w:t>2019</w:t>
      </w:r>
    </w:p>
    <w:p w14:paraId="0BAB840B" w14:textId="77777777" w:rsidR="002A59B8" w:rsidRPr="000F122D" w:rsidRDefault="002A59B8" w:rsidP="002A59B8">
      <w:pPr>
        <w:pStyle w:val="ListParagraph"/>
        <w:spacing w:line="240" w:lineRule="auto"/>
        <w:jc w:val="center"/>
        <w:rPr>
          <w:b/>
          <w:color w:val="FF0000"/>
        </w:rPr>
      </w:pPr>
    </w:p>
    <w:p w14:paraId="4DF54FA5" w14:textId="77777777" w:rsidR="002A59B8" w:rsidRPr="00D17DA9" w:rsidRDefault="002A59B8" w:rsidP="002A59B8">
      <w:pPr>
        <w:pStyle w:val="ListParagraph"/>
        <w:spacing w:line="240" w:lineRule="auto"/>
        <w:jc w:val="center"/>
        <w:rPr>
          <w:b/>
        </w:rPr>
      </w:pPr>
      <w:r w:rsidRPr="00D17DA9">
        <w:rPr>
          <w:b/>
          <w:noProof/>
        </w:rPr>
        <w:drawing>
          <wp:inline distT="0" distB="0" distL="0" distR="0" wp14:anchorId="4DE1B4B5" wp14:editId="425153F7">
            <wp:extent cx="5804263" cy="3644537"/>
            <wp:effectExtent l="0" t="0" r="63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6FD48E1" w14:textId="77777777" w:rsidR="002A59B8" w:rsidRPr="00D17DA9" w:rsidRDefault="002A59B8" w:rsidP="002A59B8">
      <w:pPr>
        <w:spacing w:after="0" w:line="240" w:lineRule="auto"/>
      </w:pPr>
    </w:p>
    <w:p w14:paraId="4E031F96" w14:textId="77777777" w:rsidR="002A59B8" w:rsidRPr="00D17DA9" w:rsidRDefault="002A59B8" w:rsidP="005D1E87">
      <w:pPr>
        <w:pStyle w:val="NoSpacing"/>
        <w:ind w:left="720"/>
        <w:rPr>
          <w:rFonts w:cs="Arial"/>
          <w:color w:val="0070C0"/>
        </w:rPr>
      </w:pPr>
    </w:p>
    <w:p w14:paraId="0B875204" w14:textId="77777777" w:rsidR="005D1E87" w:rsidRPr="00D17DA9" w:rsidRDefault="005D1E87" w:rsidP="005D1E87">
      <w:pPr>
        <w:pStyle w:val="NoSpacing"/>
        <w:ind w:left="720"/>
        <w:rPr>
          <w:rFonts w:cs="Arial"/>
          <w:i/>
          <w:iCs/>
        </w:rPr>
      </w:pPr>
    </w:p>
    <w:p w14:paraId="40045B20" w14:textId="77777777" w:rsidR="005D1E87" w:rsidRPr="00D17DA9" w:rsidRDefault="005D1E87" w:rsidP="005D1E87">
      <w:pPr>
        <w:pStyle w:val="NoSpacing"/>
        <w:ind w:left="720"/>
      </w:pPr>
    </w:p>
    <w:p w14:paraId="2FD421B3" w14:textId="77777777" w:rsidR="00345719" w:rsidRPr="00D17DA9" w:rsidRDefault="00345719" w:rsidP="003B0511">
      <w:pPr>
        <w:pStyle w:val="ListParagraph"/>
        <w:spacing w:after="0" w:line="240" w:lineRule="auto"/>
      </w:pPr>
    </w:p>
    <w:p w14:paraId="223C3130" w14:textId="77777777" w:rsidR="00C53D72" w:rsidRDefault="00C53D72" w:rsidP="00C53D72">
      <w:pPr>
        <w:spacing w:line="240" w:lineRule="auto"/>
        <w:ind w:left="720"/>
        <w:rPr>
          <w:b/>
        </w:rPr>
      </w:pPr>
    </w:p>
    <w:p w14:paraId="7A37C1A5" w14:textId="77777777" w:rsidR="00C53D72" w:rsidRDefault="00C53D72" w:rsidP="00C53D72">
      <w:pPr>
        <w:spacing w:line="240" w:lineRule="auto"/>
        <w:ind w:left="720"/>
        <w:rPr>
          <w:b/>
        </w:rPr>
      </w:pPr>
    </w:p>
    <w:p w14:paraId="480CD485" w14:textId="77777777" w:rsidR="00C53D72" w:rsidRDefault="00C53D72" w:rsidP="00C53D72">
      <w:pPr>
        <w:spacing w:line="240" w:lineRule="auto"/>
        <w:ind w:left="720"/>
        <w:rPr>
          <w:b/>
        </w:rPr>
      </w:pPr>
    </w:p>
    <w:p w14:paraId="64B779BB" w14:textId="6DC5EF25" w:rsidR="004A455C" w:rsidRPr="00624D02" w:rsidRDefault="004A455C" w:rsidP="00010E2A">
      <w:pPr>
        <w:pStyle w:val="Heading2"/>
        <w:keepNext w:val="0"/>
        <w:keepLines w:val="0"/>
        <w:numPr>
          <w:ilvl w:val="1"/>
          <w:numId w:val="1"/>
        </w:numPr>
        <w:spacing w:before="0" w:line="240" w:lineRule="auto"/>
        <w:rPr>
          <w:rFonts w:asciiTheme="minorHAnsi" w:hAnsiTheme="minorHAnsi"/>
          <w:color w:val="auto"/>
          <w:sz w:val="22"/>
          <w:szCs w:val="22"/>
        </w:rPr>
      </w:pPr>
      <w:r w:rsidRPr="00624D02">
        <w:rPr>
          <w:rFonts w:asciiTheme="minorHAnsi" w:hAnsiTheme="minorHAnsi"/>
          <w:color w:val="auto"/>
          <w:sz w:val="22"/>
          <w:szCs w:val="22"/>
        </w:rPr>
        <w:t>Minority Populations in Maine</w:t>
      </w:r>
    </w:p>
    <w:p w14:paraId="1ADF6DB0" w14:textId="1EB1D825" w:rsidR="00CC180B" w:rsidRPr="00624D02" w:rsidRDefault="00232485" w:rsidP="00E93744">
      <w:pPr>
        <w:pStyle w:val="ListParagraph"/>
        <w:spacing w:after="0" w:line="240" w:lineRule="auto"/>
      </w:pPr>
      <w:r w:rsidRPr="00624D02">
        <w:t xml:space="preserve">Table </w:t>
      </w:r>
      <w:r w:rsidR="00810149" w:rsidRPr="00624D02">
        <w:t>6</w:t>
      </w:r>
      <w:r w:rsidR="001934DD" w:rsidRPr="00624D02">
        <w:t>A</w:t>
      </w:r>
      <w:r w:rsidRPr="00624D02">
        <w:t xml:space="preserve"> shows the distribution by minority group for all cases closed between FFY 201</w:t>
      </w:r>
      <w:r w:rsidR="00EF01E0" w:rsidRPr="00624D02">
        <w:t>6</w:t>
      </w:r>
      <w:r w:rsidRPr="00624D02">
        <w:t xml:space="preserve"> and FFY 201</w:t>
      </w:r>
      <w:r w:rsidR="00EF01E0" w:rsidRPr="00624D02">
        <w:t>9</w:t>
      </w:r>
      <w:r w:rsidRPr="00624D02">
        <w:t>.</w:t>
      </w:r>
    </w:p>
    <w:p w14:paraId="3E18C585" w14:textId="77777777" w:rsidR="003C1977" w:rsidRPr="00624D02" w:rsidRDefault="003C1977" w:rsidP="003C1977">
      <w:pPr>
        <w:pStyle w:val="ListParagraph"/>
        <w:spacing w:after="0" w:line="240" w:lineRule="auto"/>
        <w:rPr>
          <w:b/>
        </w:rPr>
      </w:pPr>
    </w:p>
    <w:p w14:paraId="0C6A03B4" w14:textId="77777777" w:rsidR="003C1977" w:rsidRPr="00624D02" w:rsidRDefault="003C1977" w:rsidP="003C1977">
      <w:pPr>
        <w:pStyle w:val="ListParagraph"/>
        <w:spacing w:after="0" w:line="240" w:lineRule="auto"/>
        <w:rPr>
          <w:b/>
        </w:rPr>
      </w:pPr>
      <w:r w:rsidRPr="00624D02">
        <w:rPr>
          <w:b/>
        </w:rPr>
        <w:t>Findings</w:t>
      </w:r>
    </w:p>
    <w:p w14:paraId="4154CEC2" w14:textId="1DA3AA28" w:rsidR="001934DD" w:rsidRPr="00624D02" w:rsidRDefault="001934DD" w:rsidP="00010E2A">
      <w:pPr>
        <w:pStyle w:val="ListParagraph"/>
        <w:numPr>
          <w:ilvl w:val="0"/>
          <w:numId w:val="8"/>
        </w:numPr>
        <w:spacing w:after="0" w:line="240" w:lineRule="auto"/>
      </w:pPr>
      <w:r w:rsidRPr="00624D02">
        <w:t xml:space="preserve">As indicated in Table </w:t>
      </w:r>
      <w:r w:rsidR="00810149" w:rsidRPr="00624D02">
        <w:t>4</w:t>
      </w:r>
      <w:r w:rsidRPr="00624D02">
        <w:t xml:space="preserve">, </w:t>
      </w:r>
      <w:r w:rsidR="00737A94" w:rsidRPr="00624D02">
        <w:t>most</w:t>
      </w:r>
      <w:r w:rsidRPr="00624D02">
        <w:t xml:space="preserve"> the DVR population is white</w:t>
      </w:r>
      <w:r w:rsidR="00624D02">
        <w:t xml:space="preserve">, </w:t>
      </w:r>
      <w:r w:rsidRPr="00624D02">
        <w:t>and the work disability popul</w:t>
      </w:r>
      <w:r w:rsidR="00CC0569" w:rsidRPr="00624D02">
        <w:t>ation identified in the ACS is 5</w:t>
      </w:r>
      <w:r w:rsidRPr="00624D02">
        <w:t>.</w:t>
      </w:r>
      <w:r w:rsidR="00624D02" w:rsidRPr="00624D02">
        <w:t>7</w:t>
      </w:r>
      <w:r w:rsidRPr="00624D02">
        <w:t xml:space="preserve">% compared to </w:t>
      </w:r>
      <w:r w:rsidR="00624D02" w:rsidRPr="00624D02">
        <w:t>8.1</w:t>
      </w:r>
      <w:r w:rsidRPr="00624D02">
        <w:t>% for Maine DVR – potentially identifying a population of unserved individuals.</w:t>
      </w:r>
    </w:p>
    <w:p w14:paraId="35A407AA" w14:textId="77777777" w:rsidR="001934DD" w:rsidRPr="000F122D" w:rsidRDefault="001934DD" w:rsidP="001934DD">
      <w:pPr>
        <w:pStyle w:val="ListParagraph"/>
        <w:spacing w:after="0" w:line="240" w:lineRule="auto"/>
        <w:ind w:left="1440"/>
        <w:rPr>
          <w:color w:val="FF0000"/>
        </w:rPr>
      </w:pPr>
    </w:p>
    <w:p w14:paraId="768C55CE" w14:textId="03463403" w:rsidR="00232485" w:rsidRPr="00D17DA9" w:rsidRDefault="001934DD" w:rsidP="00232485">
      <w:pPr>
        <w:pStyle w:val="ListParagraph"/>
        <w:spacing w:line="240" w:lineRule="auto"/>
        <w:jc w:val="center"/>
        <w:rPr>
          <w:b/>
        </w:rPr>
      </w:pPr>
      <w:r>
        <w:rPr>
          <w:b/>
        </w:rPr>
        <w:t>T</w:t>
      </w:r>
      <w:r w:rsidR="00810149">
        <w:rPr>
          <w:b/>
        </w:rPr>
        <w:t>ABLE</w:t>
      </w:r>
      <w:r>
        <w:rPr>
          <w:b/>
        </w:rPr>
        <w:t xml:space="preserve"> </w:t>
      </w:r>
      <w:r w:rsidR="00810149">
        <w:rPr>
          <w:b/>
        </w:rPr>
        <w:t>6</w:t>
      </w:r>
      <w:r>
        <w:rPr>
          <w:b/>
        </w:rPr>
        <w:t>A</w:t>
      </w:r>
    </w:p>
    <w:p w14:paraId="06FF0738" w14:textId="26362D72" w:rsidR="00232485" w:rsidRPr="00D17DA9" w:rsidRDefault="00232485" w:rsidP="00232485">
      <w:pPr>
        <w:pStyle w:val="ListParagraph"/>
        <w:spacing w:line="240" w:lineRule="auto"/>
        <w:jc w:val="center"/>
        <w:rPr>
          <w:b/>
        </w:rPr>
      </w:pPr>
      <w:r w:rsidRPr="00D17DA9">
        <w:rPr>
          <w:b/>
        </w:rPr>
        <w:t>Maine DVR Minorities Served</w:t>
      </w:r>
    </w:p>
    <w:tbl>
      <w:tblPr>
        <w:tblStyle w:val="TableGrid"/>
        <w:tblW w:w="957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8"/>
        <w:gridCol w:w="764"/>
        <w:gridCol w:w="920"/>
        <w:gridCol w:w="764"/>
        <w:gridCol w:w="920"/>
        <w:gridCol w:w="764"/>
        <w:gridCol w:w="920"/>
        <w:gridCol w:w="764"/>
        <w:gridCol w:w="920"/>
      </w:tblGrid>
      <w:tr w:rsidR="00CC180B" w:rsidRPr="00D17DA9" w14:paraId="3B808D32" w14:textId="77777777" w:rsidTr="00DC521C">
        <w:trPr>
          <w:trHeight w:val="324"/>
          <w:jc w:val="center"/>
        </w:trPr>
        <w:tc>
          <w:tcPr>
            <w:tcW w:w="2838" w:type="dxa"/>
            <w:vMerge w:val="restart"/>
            <w:shd w:val="clear" w:color="auto" w:fill="B4B8BF" w:themeFill="accent5" w:themeFillTint="99"/>
            <w:vAlign w:val="center"/>
          </w:tcPr>
          <w:p w14:paraId="7D508C88" w14:textId="615D5070" w:rsidR="00CC180B" w:rsidRPr="00D17DA9" w:rsidRDefault="00CC180B" w:rsidP="00CC180B">
            <w:pPr>
              <w:pStyle w:val="NoSpacing"/>
              <w:jc w:val="center"/>
              <w:rPr>
                <w:b/>
              </w:rPr>
            </w:pPr>
            <w:r w:rsidRPr="00D17DA9">
              <w:rPr>
                <w:b/>
              </w:rPr>
              <w:t>Minorities Served</w:t>
            </w:r>
          </w:p>
        </w:tc>
        <w:tc>
          <w:tcPr>
            <w:tcW w:w="6736" w:type="dxa"/>
            <w:gridSpan w:val="8"/>
            <w:shd w:val="clear" w:color="auto" w:fill="B4B8BF" w:themeFill="accent5" w:themeFillTint="99"/>
            <w:vAlign w:val="center"/>
          </w:tcPr>
          <w:p w14:paraId="162C45DB" w14:textId="77777777" w:rsidR="00CC180B" w:rsidRPr="00D17DA9" w:rsidRDefault="00CC180B" w:rsidP="00CC180B">
            <w:pPr>
              <w:pStyle w:val="NoSpacing"/>
              <w:jc w:val="center"/>
              <w:rPr>
                <w:b/>
              </w:rPr>
            </w:pPr>
            <w:r w:rsidRPr="00D17DA9">
              <w:rPr>
                <w:b/>
              </w:rPr>
              <w:t>Maine DVR</w:t>
            </w:r>
          </w:p>
        </w:tc>
      </w:tr>
      <w:tr w:rsidR="00CC180B" w:rsidRPr="00D17DA9" w14:paraId="460F9C9B" w14:textId="77777777" w:rsidTr="00DC521C">
        <w:trPr>
          <w:trHeight w:val="324"/>
          <w:jc w:val="center"/>
        </w:trPr>
        <w:tc>
          <w:tcPr>
            <w:tcW w:w="2838" w:type="dxa"/>
            <w:vMerge/>
            <w:shd w:val="clear" w:color="auto" w:fill="B4B8BF" w:themeFill="accent5" w:themeFillTint="99"/>
            <w:vAlign w:val="center"/>
          </w:tcPr>
          <w:p w14:paraId="4DB57834" w14:textId="77777777" w:rsidR="00CC180B" w:rsidRPr="00D17DA9" w:rsidRDefault="00CC180B" w:rsidP="00CC180B">
            <w:pPr>
              <w:pStyle w:val="NoSpacing"/>
              <w:rPr>
                <w:b/>
              </w:rPr>
            </w:pPr>
          </w:p>
        </w:tc>
        <w:tc>
          <w:tcPr>
            <w:tcW w:w="1684" w:type="dxa"/>
            <w:gridSpan w:val="2"/>
            <w:shd w:val="clear" w:color="auto" w:fill="B4B8BF" w:themeFill="accent5" w:themeFillTint="99"/>
            <w:vAlign w:val="center"/>
          </w:tcPr>
          <w:p w14:paraId="052539DA" w14:textId="412C4D55" w:rsidR="00CC180B" w:rsidRPr="00D17DA9" w:rsidRDefault="00EF01E0" w:rsidP="00CC180B">
            <w:pPr>
              <w:pStyle w:val="NoSpacing"/>
              <w:jc w:val="center"/>
              <w:rPr>
                <w:b/>
              </w:rPr>
            </w:pPr>
            <w:r>
              <w:rPr>
                <w:b/>
              </w:rPr>
              <w:t>2016</w:t>
            </w:r>
          </w:p>
        </w:tc>
        <w:tc>
          <w:tcPr>
            <w:tcW w:w="1684" w:type="dxa"/>
            <w:gridSpan w:val="2"/>
            <w:shd w:val="clear" w:color="auto" w:fill="B4B8BF" w:themeFill="accent5" w:themeFillTint="99"/>
            <w:vAlign w:val="center"/>
          </w:tcPr>
          <w:p w14:paraId="00292582" w14:textId="768814A9" w:rsidR="00CC180B" w:rsidRPr="00D17DA9" w:rsidRDefault="00EF01E0" w:rsidP="00CC180B">
            <w:pPr>
              <w:pStyle w:val="NoSpacing"/>
              <w:jc w:val="center"/>
              <w:rPr>
                <w:b/>
              </w:rPr>
            </w:pPr>
            <w:r>
              <w:rPr>
                <w:b/>
              </w:rPr>
              <w:t>2017</w:t>
            </w:r>
          </w:p>
        </w:tc>
        <w:tc>
          <w:tcPr>
            <w:tcW w:w="1684" w:type="dxa"/>
            <w:gridSpan w:val="2"/>
            <w:shd w:val="clear" w:color="auto" w:fill="B4B8BF" w:themeFill="accent5" w:themeFillTint="99"/>
            <w:vAlign w:val="center"/>
          </w:tcPr>
          <w:p w14:paraId="4590A060" w14:textId="369696DD" w:rsidR="00CC180B" w:rsidRPr="00D17DA9" w:rsidRDefault="00DC521C" w:rsidP="00CC180B">
            <w:pPr>
              <w:pStyle w:val="NoSpacing"/>
              <w:jc w:val="center"/>
              <w:rPr>
                <w:b/>
              </w:rPr>
            </w:pPr>
            <w:r>
              <w:rPr>
                <w:b/>
              </w:rPr>
              <w:t>201</w:t>
            </w:r>
            <w:r w:rsidR="00EF01E0">
              <w:rPr>
                <w:b/>
              </w:rPr>
              <w:t>8</w:t>
            </w:r>
          </w:p>
        </w:tc>
        <w:tc>
          <w:tcPr>
            <w:tcW w:w="1684" w:type="dxa"/>
            <w:gridSpan w:val="2"/>
            <w:shd w:val="clear" w:color="auto" w:fill="B4B8BF" w:themeFill="accent5" w:themeFillTint="99"/>
            <w:vAlign w:val="center"/>
          </w:tcPr>
          <w:p w14:paraId="58656CE6" w14:textId="40801BF2" w:rsidR="00CC180B" w:rsidRPr="00D17DA9" w:rsidRDefault="00DC521C" w:rsidP="00CC180B">
            <w:pPr>
              <w:pStyle w:val="NoSpacing"/>
              <w:jc w:val="center"/>
              <w:rPr>
                <w:b/>
              </w:rPr>
            </w:pPr>
            <w:r>
              <w:rPr>
                <w:b/>
              </w:rPr>
              <w:t>201</w:t>
            </w:r>
            <w:r w:rsidR="00EF01E0">
              <w:rPr>
                <w:b/>
              </w:rPr>
              <w:t>9</w:t>
            </w:r>
          </w:p>
        </w:tc>
      </w:tr>
      <w:tr w:rsidR="00EF01E0" w:rsidRPr="00D17DA9" w14:paraId="655D45A3" w14:textId="77777777" w:rsidTr="00DC521C">
        <w:trPr>
          <w:trHeight w:val="351"/>
          <w:jc w:val="center"/>
        </w:trPr>
        <w:tc>
          <w:tcPr>
            <w:tcW w:w="2838" w:type="dxa"/>
            <w:vMerge/>
            <w:tcBorders>
              <w:bottom w:val="single" w:sz="4" w:space="0" w:color="808080" w:themeColor="background1" w:themeShade="80"/>
            </w:tcBorders>
            <w:shd w:val="clear" w:color="auto" w:fill="B4B8BF" w:themeFill="accent5" w:themeFillTint="99"/>
            <w:vAlign w:val="center"/>
          </w:tcPr>
          <w:p w14:paraId="5FF7B31C" w14:textId="77777777" w:rsidR="00EF01E0" w:rsidRPr="00D17DA9" w:rsidRDefault="00EF01E0" w:rsidP="00EF01E0">
            <w:pPr>
              <w:pStyle w:val="NoSpacing"/>
            </w:pPr>
          </w:p>
        </w:tc>
        <w:tc>
          <w:tcPr>
            <w:tcW w:w="764" w:type="dxa"/>
            <w:tcBorders>
              <w:bottom w:val="single" w:sz="4" w:space="0" w:color="808080" w:themeColor="background1" w:themeShade="80"/>
            </w:tcBorders>
            <w:shd w:val="clear" w:color="auto" w:fill="B4B8BF" w:themeFill="accent5" w:themeFillTint="99"/>
            <w:vAlign w:val="center"/>
          </w:tcPr>
          <w:p w14:paraId="2D952910" w14:textId="297BDCF1" w:rsidR="00EF01E0" w:rsidRPr="00D17DA9" w:rsidRDefault="00EF01E0" w:rsidP="00EF01E0">
            <w:pPr>
              <w:pStyle w:val="NoSpacing"/>
              <w:jc w:val="center"/>
              <w:rPr>
                <w:b/>
              </w:rPr>
            </w:pPr>
            <w:r w:rsidRPr="00D17DA9">
              <w:rPr>
                <w:b/>
              </w:rPr>
              <w:t>Count</w:t>
            </w:r>
          </w:p>
        </w:tc>
        <w:tc>
          <w:tcPr>
            <w:tcW w:w="920" w:type="dxa"/>
            <w:tcBorders>
              <w:bottom w:val="single" w:sz="4" w:space="0" w:color="808080" w:themeColor="background1" w:themeShade="80"/>
            </w:tcBorders>
            <w:shd w:val="clear" w:color="auto" w:fill="B4B8BF" w:themeFill="accent5" w:themeFillTint="99"/>
            <w:vAlign w:val="center"/>
          </w:tcPr>
          <w:p w14:paraId="4E551584" w14:textId="0FD7E0EC" w:rsidR="00EF01E0" w:rsidRPr="00D17DA9" w:rsidRDefault="00EF01E0" w:rsidP="00EF01E0">
            <w:pPr>
              <w:pStyle w:val="NoSpacing"/>
              <w:jc w:val="center"/>
              <w:rPr>
                <w:b/>
              </w:rPr>
            </w:pPr>
            <w:r w:rsidRPr="00D17DA9">
              <w:rPr>
                <w:b/>
              </w:rPr>
              <w:t>Percent</w:t>
            </w:r>
          </w:p>
        </w:tc>
        <w:tc>
          <w:tcPr>
            <w:tcW w:w="764" w:type="dxa"/>
            <w:tcBorders>
              <w:bottom w:val="single" w:sz="4" w:space="0" w:color="808080" w:themeColor="background1" w:themeShade="80"/>
            </w:tcBorders>
            <w:shd w:val="clear" w:color="auto" w:fill="B4B8BF" w:themeFill="accent5" w:themeFillTint="99"/>
            <w:vAlign w:val="center"/>
          </w:tcPr>
          <w:p w14:paraId="31274677" w14:textId="67DC6944" w:rsidR="00EF01E0" w:rsidRPr="00D17DA9" w:rsidRDefault="00EF01E0" w:rsidP="00EF01E0">
            <w:pPr>
              <w:pStyle w:val="NoSpacing"/>
              <w:jc w:val="center"/>
              <w:rPr>
                <w:b/>
              </w:rPr>
            </w:pPr>
            <w:r w:rsidRPr="00D17DA9">
              <w:rPr>
                <w:b/>
              </w:rPr>
              <w:t>Count</w:t>
            </w:r>
          </w:p>
        </w:tc>
        <w:tc>
          <w:tcPr>
            <w:tcW w:w="920" w:type="dxa"/>
            <w:tcBorders>
              <w:bottom w:val="single" w:sz="4" w:space="0" w:color="808080" w:themeColor="background1" w:themeShade="80"/>
            </w:tcBorders>
            <w:shd w:val="clear" w:color="auto" w:fill="B4B8BF" w:themeFill="accent5" w:themeFillTint="99"/>
            <w:vAlign w:val="center"/>
          </w:tcPr>
          <w:p w14:paraId="4AC71115" w14:textId="0DBF4400" w:rsidR="00EF01E0" w:rsidRPr="00D17DA9" w:rsidRDefault="00EF01E0" w:rsidP="00EF01E0">
            <w:pPr>
              <w:pStyle w:val="NoSpacing"/>
              <w:jc w:val="center"/>
              <w:rPr>
                <w:b/>
              </w:rPr>
            </w:pPr>
            <w:r w:rsidRPr="00D17DA9">
              <w:rPr>
                <w:b/>
              </w:rPr>
              <w:t>Percent</w:t>
            </w:r>
          </w:p>
        </w:tc>
        <w:tc>
          <w:tcPr>
            <w:tcW w:w="764" w:type="dxa"/>
            <w:tcBorders>
              <w:bottom w:val="single" w:sz="4" w:space="0" w:color="808080" w:themeColor="background1" w:themeShade="80"/>
            </w:tcBorders>
            <w:shd w:val="clear" w:color="auto" w:fill="B4B8BF" w:themeFill="accent5" w:themeFillTint="99"/>
            <w:vAlign w:val="center"/>
          </w:tcPr>
          <w:p w14:paraId="51E721E7" w14:textId="5F6039C1" w:rsidR="00EF01E0" w:rsidRPr="00D17DA9" w:rsidRDefault="00EF01E0" w:rsidP="00EF01E0">
            <w:pPr>
              <w:pStyle w:val="NoSpacing"/>
              <w:jc w:val="center"/>
              <w:rPr>
                <w:b/>
              </w:rPr>
            </w:pPr>
            <w:r w:rsidRPr="00D17DA9">
              <w:rPr>
                <w:b/>
              </w:rPr>
              <w:t>Count</w:t>
            </w:r>
          </w:p>
        </w:tc>
        <w:tc>
          <w:tcPr>
            <w:tcW w:w="920" w:type="dxa"/>
            <w:tcBorders>
              <w:bottom w:val="single" w:sz="4" w:space="0" w:color="808080" w:themeColor="background1" w:themeShade="80"/>
            </w:tcBorders>
            <w:shd w:val="clear" w:color="auto" w:fill="B4B8BF" w:themeFill="accent5" w:themeFillTint="99"/>
            <w:vAlign w:val="center"/>
          </w:tcPr>
          <w:p w14:paraId="2B0C7B81" w14:textId="3E74A123" w:rsidR="00EF01E0" w:rsidRPr="00D17DA9" w:rsidRDefault="00EF01E0" w:rsidP="00EF01E0">
            <w:pPr>
              <w:pStyle w:val="NoSpacing"/>
              <w:jc w:val="center"/>
              <w:rPr>
                <w:b/>
              </w:rPr>
            </w:pPr>
            <w:r w:rsidRPr="00D17DA9">
              <w:rPr>
                <w:b/>
              </w:rPr>
              <w:t>Percent</w:t>
            </w:r>
          </w:p>
        </w:tc>
        <w:tc>
          <w:tcPr>
            <w:tcW w:w="764" w:type="dxa"/>
            <w:tcBorders>
              <w:bottom w:val="single" w:sz="4" w:space="0" w:color="808080" w:themeColor="background1" w:themeShade="80"/>
            </w:tcBorders>
            <w:shd w:val="clear" w:color="auto" w:fill="B4B8BF" w:themeFill="accent5" w:themeFillTint="99"/>
            <w:vAlign w:val="center"/>
          </w:tcPr>
          <w:p w14:paraId="18EABC83" w14:textId="21ECE0EA" w:rsidR="00EF01E0" w:rsidRPr="00D17DA9" w:rsidRDefault="00EF01E0" w:rsidP="00EF01E0">
            <w:pPr>
              <w:pStyle w:val="NoSpacing"/>
              <w:jc w:val="center"/>
              <w:rPr>
                <w:b/>
              </w:rPr>
            </w:pPr>
            <w:r w:rsidRPr="00D17DA9">
              <w:rPr>
                <w:b/>
              </w:rPr>
              <w:t>Count</w:t>
            </w:r>
          </w:p>
        </w:tc>
        <w:tc>
          <w:tcPr>
            <w:tcW w:w="920" w:type="dxa"/>
            <w:tcBorders>
              <w:bottom w:val="single" w:sz="4" w:space="0" w:color="808080" w:themeColor="background1" w:themeShade="80"/>
            </w:tcBorders>
            <w:shd w:val="clear" w:color="auto" w:fill="B4B8BF" w:themeFill="accent5" w:themeFillTint="99"/>
            <w:vAlign w:val="center"/>
          </w:tcPr>
          <w:p w14:paraId="004EAD5C" w14:textId="7FE39280" w:rsidR="00EF01E0" w:rsidRPr="00D17DA9" w:rsidRDefault="00EF01E0" w:rsidP="00EF01E0">
            <w:pPr>
              <w:pStyle w:val="NoSpacing"/>
              <w:jc w:val="center"/>
              <w:rPr>
                <w:b/>
              </w:rPr>
            </w:pPr>
            <w:r w:rsidRPr="00D17DA9">
              <w:rPr>
                <w:b/>
              </w:rPr>
              <w:t>Percent</w:t>
            </w:r>
          </w:p>
        </w:tc>
      </w:tr>
      <w:tr w:rsidR="00EF01E0" w:rsidRPr="00D17DA9" w14:paraId="33E288E9" w14:textId="77777777" w:rsidTr="00DC521C">
        <w:trPr>
          <w:trHeight w:val="351"/>
          <w:jc w:val="center"/>
        </w:trPr>
        <w:tc>
          <w:tcPr>
            <w:tcW w:w="2838" w:type="dxa"/>
            <w:shd w:val="clear" w:color="auto" w:fill="auto"/>
            <w:vAlign w:val="center"/>
          </w:tcPr>
          <w:p w14:paraId="4645664B" w14:textId="77777777" w:rsidR="00EF01E0" w:rsidRPr="00D17DA9" w:rsidRDefault="00EF01E0" w:rsidP="00EF01E0">
            <w:pPr>
              <w:pStyle w:val="NoSpacing"/>
            </w:pPr>
            <w:r w:rsidRPr="00D17DA9">
              <w:t>All</w:t>
            </w:r>
          </w:p>
        </w:tc>
        <w:tc>
          <w:tcPr>
            <w:tcW w:w="764" w:type="dxa"/>
            <w:shd w:val="clear" w:color="auto" w:fill="auto"/>
            <w:vAlign w:val="center"/>
          </w:tcPr>
          <w:p w14:paraId="454FD57B" w14:textId="7DA075DC" w:rsidR="00EF01E0" w:rsidRPr="00D17DA9" w:rsidRDefault="00EF01E0" w:rsidP="00EF01E0">
            <w:pPr>
              <w:pStyle w:val="NoSpacing"/>
              <w:jc w:val="center"/>
            </w:pPr>
            <w:r>
              <w:t>4,852</w:t>
            </w:r>
          </w:p>
        </w:tc>
        <w:tc>
          <w:tcPr>
            <w:tcW w:w="920" w:type="dxa"/>
            <w:shd w:val="clear" w:color="auto" w:fill="E6E7E9" w:themeFill="accent5" w:themeFillTint="33"/>
            <w:vAlign w:val="center"/>
          </w:tcPr>
          <w:p w14:paraId="22BDB30A" w14:textId="0FD66C2A" w:rsidR="00EF01E0" w:rsidRPr="00D17DA9" w:rsidRDefault="00EF01E0" w:rsidP="00EF01E0">
            <w:pPr>
              <w:pStyle w:val="NoSpacing"/>
              <w:jc w:val="center"/>
            </w:pPr>
            <w:r w:rsidRPr="00D17DA9">
              <w:t>----</w:t>
            </w:r>
          </w:p>
        </w:tc>
        <w:tc>
          <w:tcPr>
            <w:tcW w:w="764" w:type="dxa"/>
            <w:shd w:val="clear" w:color="auto" w:fill="auto"/>
            <w:vAlign w:val="center"/>
          </w:tcPr>
          <w:p w14:paraId="628A5AED" w14:textId="300048D2" w:rsidR="00EF01E0" w:rsidRPr="00D17DA9" w:rsidRDefault="00EF01E0" w:rsidP="00EF01E0">
            <w:pPr>
              <w:pStyle w:val="NoSpacing"/>
              <w:jc w:val="center"/>
            </w:pPr>
            <w:r>
              <w:t>3,459</w:t>
            </w:r>
          </w:p>
        </w:tc>
        <w:tc>
          <w:tcPr>
            <w:tcW w:w="920" w:type="dxa"/>
            <w:shd w:val="clear" w:color="auto" w:fill="E6E7E9" w:themeFill="accent5" w:themeFillTint="33"/>
            <w:vAlign w:val="center"/>
          </w:tcPr>
          <w:p w14:paraId="70CF1D32" w14:textId="15F677A9" w:rsidR="00EF01E0" w:rsidRPr="00D17DA9" w:rsidRDefault="00EF01E0" w:rsidP="00EF01E0">
            <w:pPr>
              <w:pStyle w:val="NoSpacing"/>
              <w:jc w:val="center"/>
            </w:pPr>
            <w:r w:rsidRPr="00D17DA9">
              <w:t>----</w:t>
            </w:r>
          </w:p>
        </w:tc>
        <w:tc>
          <w:tcPr>
            <w:tcW w:w="764" w:type="dxa"/>
            <w:shd w:val="clear" w:color="auto" w:fill="auto"/>
            <w:vAlign w:val="center"/>
          </w:tcPr>
          <w:p w14:paraId="54A004F8" w14:textId="49DB4A1E" w:rsidR="00EF01E0" w:rsidRPr="00D17DA9" w:rsidRDefault="00624D02" w:rsidP="00EF01E0">
            <w:pPr>
              <w:pStyle w:val="NoSpacing"/>
              <w:jc w:val="center"/>
            </w:pPr>
            <w:r>
              <w:t>3,393</w:t>
            </w:r>
          </w:p>
        </w:tc>
        <w:tc>
          <w:tcPr>
            <w:tcW w:w="920" w:type="dxa"/>
            <w:shd w:val="clear" w:color="auto" w:fill="E6E7E9" w:themeFill="accent5" w:themeFillTint="33"/>
            <w:vAlign w:val="center"/>
          </w:tcPr>
          <w:p w14:paraId="19EB7709" w14:textId="124B05CB" w:rsidR="00EF01E0" w:rsidRPr="00D17DA9" w:rsidRDefault="00EF01E0" w:rsidP="00EF01E0">
            <w:pPr>
              <w:pStyle w:val="NoSpacing"/>
              <w:jc w:val="center"/>
            </w:pPr>
          </w:p>
        </w:tc>
        <w:tc>
          <w:tcPr>
            <w:tcW w:w="764" w:type="dxa"/>
            <w:shd w:val="clear" w:color="auto" w:fill="auto"/>
            <w:vAlign w:val="center"/>
          </w:tcPr>
          <w:p w14:paraId="79425F0B" w14:textId="7CB743BA" w:rsidR="00EF01E0" w:rsidRPr="00D17DA9" w:rsidRDefault="00624D02" w:rsidP="00EF01E0">
            <w:pPr>
              <w:pStyle w:val="NoSpacing"/>
              <w:jc w:val="center"/>
            </w:pPr>
            <w:r>
              <w:t>3,396</w:t>
            </w:r>
          </w:p>
        </w:tc>
        <w:tc>
          <w:tcPr>
            <w:tcW w:w="920" w:type="dxa"/>
            <w:shd w:val="clear" w:color="auto" w:fill="E6E7E9" w:themeFill="accent5" w:themeFillTint="33"/>
            <w:vAlign w:val="center"/>
          </w:tcPr>
          <w:p w14:paraId="024533D8" w14:textId="67102887" w:rsidR="00EF01E0" w:rsidRPr="00D17DA9" w:rsidRDefault="00EF01E0" w:rsidP="00EF01E0">
            <w:pPr>
              <w:pStyle w:val="NoSpacing"/>
              <w:jc w:val="center"/>
            </w:pPr>
          </w:p>
        </w:tc>
      </w:tr>
      <w:tr w:rsidR="00EF01E0" w:rsidRPr="00D17DA9" w14:paraId="2B987368" w14:textId="77777777" w:rsidTr="00DC521C">
        <w:trPr>
          <w:trHeight w:val="351"/>
          <w:jc w:val="center"/>
        </w:trPr>
        <w:tc>
          <w:tcPr>
            <w:tcW w:w="2838" w:type="dxa"/>
            <w:shd w:val="clear" w:color="auto" w:fill="auto"/>
            <w:vAlign w:val="center"/>
          </w:tcPr>
          <w:p w14:paraId="14AB2944" w14:textId="77777777" w:rsidR="00EF01E0" w:rsidRPr="00D17DA9" w:rsidRDefault="00EF01E0" w:rsidP="00EF01E0">
            <w:pPr>
              <w:pStyle w:val="NoSpacing"/>
            </w:pPr>
            <w:r w:rsidRPr="00D17DA9">
              <w:t>White</w:t>
            </w:r>
          </w:p>
        </w:tc>
        <w:tc>
          <w:tcPr>
            <w:tcW w:w="764" w:type="dxa"/>
            <w:shd w:val="clear" w:color="auto" w:fill="auto"/>
            <w:vAlign w:val="center"/>
          </w:tcPr>
          <w:p w14:paraId="23197DBD" w14:textId="2B5939EE" w:rsidR="00EF01E0" w:rsidRPr="00D17DA9" w:rsidRDefault="00EF01E0" w:rsidP="00EF01E0">
            <w:pPr>
              <w:pStyle w:val="NoSpacing"/>
              <w:jc w:val="center"/>
            </w:pPr>
            <w:r>
              <w:t>4,595</w:t>
            </w:r>
          </w:p>
        </w:tc>
        <w:tc>
          <w:tcPr>
            <w:tcW w:w="920" w:type="dxa"/>
            <w:shd w:val="clear" w:color="auto" w:fill="auto"/>
            <w:vAlign w:val="center"/>
          </w:tcPr>
          <w:p w14:paraId="23F98551" w14:textId="19102765" w:rsidR="00EF01E0" w:rsidRPr="00D17DA9" w:rsidRDefault="00EF01E0" w:rsidP="00EF01E0">
            <w:pPr>
              <w:pStyle w:val="NoSpacing"/>
              <w:jc w:val="center"/>
            </w:pPr>
            <w:r>
              <w:t>94.7%</w:t>
            </w:r>
          </w:p>
        </w:tc>
        <w:tc>
          <w:tcPr>
            <w:tcW w:w="764" w:type="dxa"/>
            <w:shd w:val="clear" w:color="auto" w:fill="auto"/>
            <w:vAlign w:val="center"/>
          </w:tcPr>
          <w:p w14:paraId="367C3D1B" w14:textId="1BC40F8E" w:rsidR="00EF01E0" w:rsidRPr="00D17DA9" w:rsidRDefault="00EF01E0" w:rsidP="00EF01E0">
            <w:pPr>
              <w:pStyle w:val="NoSpacing"/>
              <w:jc w:val="center"/>
            </w:pPr>
            <w:r>
              <w:t>3,210</w:t>
            </w:r>
          </w:p>
        </w:tc>
        <w:tc>
          <w:tcPr>
            <w:tcW w:w="920" w:type="dxa"/>
            <w:shd w:val="clear" w:color="auto" w:fill="auto"/>
            <w:vAlign w:val="center"/>
          </w:tcPr>
          <w:p w14:paraId="574115FD" w14:textId="4B958776" w:rsidR="00EF01E0" w:rsidRPr="00D17DA9" w:rsidRDefault="00EF01E0" w:rsidP="00EF01E0">
            <w:pPr>
              <w:pStyle w:val="NoSpacing"/>
              <w:jc w:val="center"/>
            </w:pPr>
            <w:r>
              <w:t>92.8%</w:t>
            </w:r>
          </w:p>
        </w:tc>
        <w:tc>
          <w:tcPr>
            <w:tcW w:w="764" w:type="dxa"/>
            <w:shd w:val="clear" w:color="auto" w:fill="auto"/>
            <w:vAlign w:val="center"/>
          </w:tcPr>
          <w:p w14:paraId="76F57B4D" w14:textId="6FDF094C" w:rsidR="00EF01E0" w:rsidRPr="00D17DA9" w:rsidRDefault="00624D02" w:rsidP="00EF01E0">
            <w:pPr>
              <w:pStyle w:val="NoSpacing"/>
              <w:jc w:val="center"/>
            </w:pPr>
            <w:r>
              <w:t>3,099</w:t>
            </w:r>
          </w:p>
        </w:tc>
        <w:tc>
          <w:tcPr>
            <w:tcW w:w="920" w:type="dxa"/>
            <w:shd w:val="clear" w:color="auto" w:fill="auto"/>
            <w:vAlign w:val="center"/>
          </w:tcPr>
          <w:p w14:paraId="4288247F" w14:textId="1047CA03" w:rsidR="00EF01E0" w:rsidRPr="00D17DA9" w:rsidRDefault="00624D02" w:rsidP="00EF01E0">
            <w:pPr>
              <w:pStyle w:val="NoSpacing"/>
              <w:jc w:val="center"/>
            </w:pPr>
            <w:r>
              <w:t>91.3%</w:t>
            </w:r>
          </w:p>
        </w:tc>
        <w:tc>
          <w:tcPr>
            <w:tcW w:w="764" w:type="dxa"/>
            <w:shd w:val="clear" w:color="auto" w:fill="auto"/>
            <w:vAlign w:val="center"/>
          </w:tcPr>
          <w:p w14:paraId="7BECE8C9" w14:textId="5A7494BB" w:rsidR="00EF01E0" w:rsidRPr="00D17DA9" w:rsidRDefault="00624D02" w:rsidP="00EF01E0">
            <w:pPr>
              <w:pStyle w:val="NoSpacing"/>
              <w:jc w:val="center"/>
            </w:pPr>
            <w:r>
              <w:t>3,121</w:t>
            </w:r>
          </w:p>
        </w:tc>
        <w:tc>
          <w:tcPr>
            <w:tcW w:w="920" w:type="dxa"/>
            <w:shd w:val="clear" w:color="auto" w:fill="auto"/>
            <w:vAlign w:val="center"/>
          </w:tcPr>
          <w:p w14:paraId="4AAB6041" w14:textId="3EF56E59" w:rsidR="00EF01E0" w:rsidRPr="00D17DA9" w:rsidRDefault="00624D02" w:rsidP="00EF01E0">
            <w:pPr>
              <w:pStyle w:val="NoSpacing"/>
              <w:jc w:val="center"/>
            </w:pPr>
            <w:r>
              <w:t>91.9%</w:t>
            </w:r>
          </w:p>
        </w:tc>
      </w:tr>
      <w:tr w:rsidR="00EF01E0" w:rsidRPr="00D17DA9" w14:paraId="6F5584A8" w14:textId="77777777" w:rsidTr="00DC521C">
        <w:trPr>
          <w:trHeight w:val="351"/>
          <w:jc w:val="center"/>
        </w:trPr>
        <w:tc>
          <w:tcPr>
            <w:tcW w:w="2838" w:type="dxa"/>
            <w:shd w:val="clear" w:color="auto" w:fill="auto"/>
            <w:vAlign w:val="center"/>
          </w:tcPr>
          <w:p w14:paraId="129035CD" w14:textId="77777777" w:rsidR="00EF01E0" w:rsidRPr="00D17DA9" w:rsidRDefault="00EF01E0" w:rsidP="00EF01E0">
            <w:pPr>
              <w:pStyle w:val="NoSpacing"/>
            </w:pPr>
            <w:r w:rsidRPr="00D17DA9">
              <w:t>Black/African American</w:t>
            </w:r>
          </w:p>
        </w:tc>
        <w:tc>
          <w:tcPr>
            <w:tcW w:w="764" w:type="dxa"/>
            <w:shd w:val="clear" w:color="auto" w:fill="auto"/>
            <w:vAlign w:val="center"/>
          </w:tcPr>
          <w:p w14:paraId="3270127A" w14:textId="427AA1A5" w:rsidR="00EF01E0" w:rsidRPr="00D17DA9" w:rsidRDefault="00EF01E0" w:rsidP="00EF01E0">
            <w:pPr>
              <w:pStyle w:val="NoSpacing"/>
              <w:jc w:val="center"/>
            </w:pPr>
            <w:r>
              <w:t>177</w:t>
            </w:r>
          </w:p>
        </w:tc>
        <w:tc>
          <w:tcPr>
            <w:tcW w:w="920" w:type="dxa"/>
            <w:shd w:val="clear" w:color="auto" w:fill="auto"/>
            <w:vAlign w:val="center"/>
          </w:tcPr>
          <w:p w14:paraId="10819E87" w14:textId="7598005E" w:rsidR="00EF01E0" w:rsidRPr="00D17DA9" w:rsidRDefault="00EF01E0" w:rsidP="00EF01E0">
            <w:pPr>
              <w:pStyle w:val="NoSpacing"/>
              <w:jc w:val="center"/>
            </w:pPr>
            <w:r>
              <w:t>3.6%</w:t>
            </w:r>
          </w:p>
        </w:tc>
        <w:tc>
          <w:tcPr>
            <w:tcW w:w="764" w:type="dxa"/>
            <w:shd w:val="clear" w:color="auto" w:fill="auto"/>
            <w:vAlign w:val="center"/>
          </w:tcPr>
          <w:p w14:paraId="57AB4A1A" w14:textId="635316A6" w:rsidR="00EF01E0" w:rsidRPr="00D17DA9" w:rsidRDefault="00EF01E0" w:rsidP="00EF01E0">
            <w:pPr>
              <w:pStyle w:val="NoSpacing"/>
              <w:jc w:val="center"/>
            </w:pPr>
            <w:r>
              <w:t>120</w:t>
            </w:r>
          </w:p>
        </w:tc>
        <w:tc>
          <w:tcPr>
            <w:tcW w:w="920" w:type="dxa"/>
            <w:shd w:val="clear" w:color="auto" w:fill="auto"/>
            <w:vAlign w:val="center"/>
          </w:tcPr>
          <w:p w14:paraId="6146B5F6" w14:textId="0598CBEE" w:rsidR="00EF01E0" w:rsidRPr="00D17DA9" w:rsidRDefault="00EF01E0" w:rsidP="00EF01E0">
            <w:pPr>
              <w:pStyle w:val="NoSpacing"/>
              <w:jc w:val="center"/>
            </w:pPr>
            <w:r>
              <w:t>3.5%</w:t>
            </w:r>
          </w:p>
        </w:tc>
        <w:tc>
          <w:tcPr>
            <w:tcW w:w="764" w:type="dxa"/>
            <w:shd w:val="clear" w:color="auto" w:fill="auto"/>
            <w:vAlign w:val="center"/>
          </w:tcPr>
          <w:p w14:paraId="70BF9B7F" w14:textId="67E706B3" w:rsidR="00EF01E0" w:rsidRPr="00D17DA9" w:rsidRDefault="002A48D0" w:rsidP="00EF01E0">
            <w:pPr>
              <w:pStyle w:val="NoSpacing"/>
              <w:jc w:val="center"/>
            </w:pPr>
            <w:r>
              <w:t>134</w:t>
            </w:r>
          </w:p>
        </w:tc>
        <w:tc>
          <w:tcPr>
            <w:tcW w:w="920" w:type="dxa"/>
            <w:shd w:val="clear" w:color="auto" w:fill="auto"/>
            <w:vAlign w:val="center"/>
          </w:tcPr>
          <w:p w14:paraId="01BD3E04" w14:textId="28449229" w:rsidR="00EF01E0" w:rsidRPr="00D17DA9" w:rsidRDefault="002A48D0" w:rsidP="00EF01E0">
            <w:pPr>
              <w:pStyle w:val="NoSpacing"/>
              <w:jc w:val="center"/>
            </w:pPr>
            <w:r>
              <w:t>4.0%</w:t>
            </w:r>
          </w:p>
        </w:tc>
        <w:tc>
          <w:tcPr>
            <w:tcW w:w="764" w:type="dxa"/>
            <w:shd w:val="clear" w:color="auto" w:fill="auto"/>
            <w:vAlign w:val="center"/>
          </w:tcPr>
          <w:p w14:paraId="5400E210" w14:textId="34006D39" w:rsidR="00EF01E0" w:rsidRPr="00D17DA9" w:rsidRDefault="00857997" w:rsidP="00EF01E0">
            <w:pPr>
              <w:pStyle w:val="NoSpacing"/>
              <w:jc w:val="center"/>
            </w:pPr>
            <w:r>
              <w:t>116</w:t>
            </w:r>
          </w:p>
        </w:tc>
        <w:tc>
          <w:tcPr>
            <w:tcW w:w="920" w:type="dxa"/>
            <w:shd w:val="clear" w:color="auto" w:fill="auto"/>
            <w:vAlign w:val="center"/>
          </w:tcPr>
          <w:p w14:paraId="40ED6C03" w14:textId="034953BC" w:rsidR="00EF01E0" w:rsidRPr="00D17DA9" w:rsidRDefault="00857997" w:rsidP="00EF01E0">
            <w:pPr>
              <w:pStyle w:val="NoSpacing"/>
              <w:jc w:val="center"/>
            </w:pPr>
            <w:r>
              <w:t>3.4%</w:t>
            </w:r>
          </w:p>
        </w:tc>
      </w:tr>
      <w:tr w:rsidR="00EF01E0" w:rsidRPr="00D17DA9" w14:paraId="78BB1005" w14:textId="77777777" w:rsidTr="00DC521C">
        <w:trPr>
          <w:trHeight w:val="351"/>
          <w:jc w:val="center"/>
        </w:trPr>
        <w:tc>
          <w:tcPr>
            <w:tcW w:w="2838" w:type="dxa"/>
            <w:shd w:val="clear" w:color="auto" w:fill="auto"/>
            <w:vAlign w:val="center"/>
          </w:tcPr>
          <w:p w14:paraId="3ECF0B81" w14:textId="32D24752" w:rsidR="00EF01E0" w:rsidRPr="00D17DA9" w:rsidRDefault="00EF01E0" w:rsidP="00EF01E0">
            <w:pPr>
              <w:pStyle w:val="NoSpacing"/>
            </w:pPr>
            <w:r w:rsidRPr="00D17DA9">
              <w:t>Native American/Alaska Native</w:t>
            </w:r>
          </w:p>
        </w:tc>
        <w:tc>
          <w:tcPr>
            <w:tcW w:w="764" w:type="dxa"/>
            <w:shd w:val="clear" w:color="auto" w:fill="auto"/>
            <w:vAlign w:val="center"/>
          </w:tcPr>
          <w:p w14:paraId="487750DC" w14:textId="51D412F8" w:rsidR="00EF01E0" w:rsidRPr="00D17DA9" w:rsidRDefault="00EF01E0" w:rsidP="00EF01E0">
            <w:pPr>
              <w:pStyle w:val="NoSpacing"/>
              <w:jc w:val="center"/>
            </w:pPr>
            <w:r>
              <w:t>108</w:t>
            </w:r>
          </w:p>
        </w:tc>
        <w:tc>
          <w:tcPr>
            <w:tcW w:w="920" w:type="dxa"/>
            <w:shd w:val="clear" w:color="auto" w:fill="auto"/>
            <w:vAlign w:val="center"/>
          </w:tcPr>
          <w:p w14:paraId="2465EBE1" w14:textId="4FE8A60F" w:rsidR="00EF01E0" w:rsidRPr="00D17DA9" w:rsidRDefault="00EF01E0" w:rsidP="00EF01E0">
            <w:pPr>
              <w:pStyle w:val="NoSpacing"/>
              <w:jc w:val="center"/>
            </w:pPr>
            <w:r>
              <w:t>2.2%</w:t>
            </w:r>
          </w:p>
        </w:tc>
        <w:tc>
          <w:tcPr>
            <w:tcW w:w="764" w:type="dxa"/>
            <w:shd w:val="clear" w:color="auto" w:fill="auto"/>
            <w:vAlign w:val="center"/>
          </w:tcPr>
          <w:p w14:paraId="7516D60D" w14:textId="2B3771DB" w:rsidR="00EF01E0" w:rsidRPr="00D17DA9" w:rsidRDefault="00EF01E0" w:rsidP="00EF01E0">
            <w:pPr>
              <w:pStyle w:val="NoSpacing"/>
              <w:jc w:val="center"/>
            </w:pPr>
            <w:r>
              <w:t>68</w:t>
            </w:r>
          </w:p>
        </w:tc>
        <w:tc>
          <w:tcPr>
            <w:tcW w:w="920" w:type="dxa"/>
            <w:shd w:val="clear" w:color="auto" w:fill="auto"/>
            <w:vAlign w:val="center"/>
          </w:tcPr>
          <w:p w14:paraId="081E9D39" w14:textId="0917A153" w:rsidR="00EF01E0" w:rsidRPr="00D17DA9" w:rsidRDefault="00EF01E0" w:rsidP="00EF01E0">
            <w:pPr>
              <w:pStyle w:val="NoSpacing"/>
              <w:jc w:val="center"/>
            </w:pPr>
            <w:r>
              <w:t>2.0%</w:t>
            </w:r>
          </w:p>
        </w:tc>
        <w:tc>
          <w:tcPr>
            <w:tcW w:w="764" w:type="dxa"/>
            <w:shd w:val="clear" w:color="auto" w:fill="auto"/>
            <w:vAlign w:val="center"/>
          </w:tcPr>
          <w:p w14:paraId="198247C9" w14:textId="74F00169" w:rsidR="00EF01E0" w:rsidRPr="00D17DA9" w:rsidRDefault="002A48D0" w:rsidP="00EF01E0">
            <w:pPr>
              <w:pStyle w:val="NoSpacing"/>
              <w:jc w:val="center"/>
            </w:pPr>
            <w:r>
              <w:t>76</w:t>
            </w:r>
          </w:p>
        </w:tc>
        <w:tc>
          <w:tcPr>
            <w:tcW w:w="920" w:type="dxa"/>
            <w:shd w:val="clear" w:color="auto" w:fill="auto"/>
            <w:vAlign w:val="center"/>
          </w:tcPr>
          <w:p w14:paraId="3608A6B6" w14:textId="61AD13D6" w:rsidR="00EF01E0" w:rsidRPr="00D17DA9" w:rsidRDefault="002A48D0" w:rsidP="00EF01E0">
            <w:pPr>
              <w:pStyle w:val="NoSpacing"/>
              <w:jc w:val="center"/>
            </w:pPr>
            <w:r>
              <w:t>2.2%</w:t>
            </w:r>
          </w:p>
        </w:tc>
        <w:tc>
          <w:tcPr>
            <w:tcW w:w="764" w:type="dxa"/>
            <w:shd w:val="clear" w:color="auto" w:fill="auto"/>
            <w:vAlign w:val="center"/>
          </w:tcPr>
          <w:p w14:paraId="04F072E8" w14:textId="02F51A0F" w:rsidR="00EF01E0" w:rsidRPr="00D17DA9" w:rsidRDefault="00857997" w:rsidP="00EF01E0">
            <w:pPr>
              <w:pStyle w:val="NoSpacing"/>
              <w:jc w:val="center"/>
            </w:pPr>
            <w:r>
              <w:t>81</w:t>
            </w:r>
          </w:p>
        </w:tc>
        <w:tc>
          <w:tcPr>
            <w:tcW w:w="920" w:type="dxa"/>
            <w:shd w:val="clear" w:color="auto" w:fill="auto"/>
            <w:vAlign w:val="center"/>
          </w:tcPr>
          <w:p w14:paraId="1774D925" w14:textId="07D52CA9" w:rsidR="00EF01E0" w:rsidRPr="00D17DA9" w:rsidRDefault="00857997" w:rsidP="00EF01E0">
            <w:pPr>
              <w:pStyle w:val="NoSpacing"/>
              <w:jc w:val="center"/>
            </w:pPr>
            <w:r>
              <w:t>2.4%</w:t>
            </w:r>
          </w:p>
        </w:tc>
      </w:tr>
      <w:tr w:rsidR="00EF01E0" w:rsidRPr="00D17DA9" w14:paraId="1E376728" w14:textId="77777777" w:rsidTr="00DC521C">
        <w:trPr>
          <w:trHeight w:val="351"/>
          <w:jc w:val="center"/>
        </w:trPr>
        <w:tc>
          <w:tcPr>
            <w:tcW w:w="2838" w:type="dxa"/>
            <w:shd w:val="clear" w:color="auto" w:fill="auto"/>
            <w:vAlign w:val="center"/>
          </w:tcPr>
          <w:p w14:paraId="3B6276C5" w14:textId="77777777" w:rsidR="00EF01E0" w:rsidRPr="00D17DA9" w:rsidRDefault="00EF01E0" w:rsidP="00EF01E0">
            <w:pPr>
              <w:pStyle w:val="NoSpacing"/>
            </w:pPr>
            <w:r w:rsidRPr="00D17DA9">
              <w:t>Asian</w:t>
            </w:r>
          </w:p>
        </w:tc>
        <w:tc>
          <w:tcPr>
            <w:tcW w:w="764" w:type="dxa"/>
            <w:shd w:val="clear" w:color="auto" w:fill="auto"/>
            <w:vAlign w:val="center"/>
          </w:tcPr>
          <w:p w14:paraId="18475F5E" w14:textId="6A949A8E" w:rsidR="00EF01E0" w:rsidRPr="00D17DA9" w:rsidRDefault="00EF01E0" w:rsidP="00EF01E0">
            <w:pPr>
              <w:pStyle w:val="NoSpacing"/>
              <w:jc w:val="center"/>
            </w:pPr>
            <w:r>
              <w:t>28</w:t>
            </w:r>
          </w:p>
        </w:tc>
        <w:tc>
          <w:tcPr>
            <w:tcW w:w="920" w:type="dxa"/>
            <w:shd w:val="clear" w:color="auto" w:fill="auto"/>
            <w:vAlign w:val="center"/>
          </w:tcPr>
          <w:p w14:paraId="0522626F" w14:textId="61FA3CA2" w:rsidR="00EF01E0" w:rsidRPr="00D17DA9" w:rsidRDefault="00EF01E0" w:rsidP="00EF01E0">
            <w:pPr>
              <w:pStyle w:val="NoSpacing"/>
              <w:jc w:val="center"/>
            </w:pPr>
            <w:r>
              <w:t>0.6%</w:t>
            </w:r>
          </w:p>
        </w:tc>
        <w:tc>
          <w:tcPr>
            <w:tcW w:w="764" w:type="dxa"/>
            <w:shd w:val="clear" w:color="auto" w:fill="auto"/>
            <w:vAlign w:val="center"/>
          </w:tcPr>
          <w:p w14:paraId="1326E22B" w14:textId="57F50724" w:rsidR="00EF01E0" w:rsidRPr="00D17DA9" w:rsidRDefault="00EF01E0" w:rsidP="00EF01E0">
            <w:pPr>
              <w:pStyle w:val="NoSpacing"/>
              <w:jc w:val="center"/>
            </w:pPr>
            <w:r>
              <w:t>21</w:t>
            </w:r>
          </w:p>
        </w:tc>
        <w:tc>
          <w:tcPr>
            <w:tcW w:w="920" w:type="dxa"/>
            <w:shd w:val="clear" w:color="auto" w:fill="auto"/>
            <w:vAlign w:val="center"/>
          </w:tcPr>
          <w:p w14:paraId="55BF34AE" w14:textId="6E1FC651" w:rsidR="00EF01E0" w:rsidRPr="00D17DA9" w:rsidRDefault="00EF01E0" w:rsidP="00EF01E0">
            <w:pPr>
              <w:pStyle w:val="NoSpacing"/>
              <w:jc w:val="center"/>
            </w:pPr>
            <w:r>
              <w:t>0.6%</w:t>
            </w:r>
          </w:p>
        </w:tc>
        <w:tc>
          <w:tcPr>
            <w:tcW w:w="764" w:type="dxa"/>
            <w:shd w:val="clear" w:color="auto" w:fill="auto"/>
            <w:vAlign w:val="center"/>
          </w:tcPr>
          <w:p w14:paraId="2354E5BB" w14:textId="7513E5F1" w:rsidR="00EF01E0" w:rsidRPr="00D17DA9" w:rsidRDefault="002A48D0" w:rsidP="00EF01E0">
            <w:pPr>
              <w:pStyle w:val="NoSpacing"/>
              <w:jc w:val="center"/>
            </w:pPr>
            <w:r>
              <w:t>22</w:t>
            </w:r>
          </w:p>
        </w:tc>
        <w:tc>
          <w:tcPr>
            <w:tcW w:w="920" w:type="dxa"/>
            <w:shd w:val="clear" w:color="auto" w:fill="auto"/>
            <w:vAlign w:val="center"/>
          </w:tcPr>
          <w:p w14:paraId="0AFE0DB4" w14:textId="41CC2698" w:rsidR="00EF01E0" w:rsidRPr="00D17DA9" w:rsidRDefault="002A48D0" w:rsidP="00EF01E0">
            <w:pPr>
              <w:pStyle w:val="NoSpacing"/>
              <w:jc w:val="center"/>
            </w:pPr>
            <w:r>
              <w:t>0.6%</w:t>
            </w:r>
          </w:p>
        </w:tc>
        <w:tc>
          <w:tcPr>
            <w:tcW w:w="764" w:type="dxa"/>
            <w:shd w:val="clear" w:color="auto" w:fill="auto"/>
            <w:vAlign w:val="center"/>
          </w:tcPr>
          <w:p w14:paraId="4F6072E7" w14:textId="0C6E8516" w:rsidR="00EF01E0" w:rsidRPr="00D17DA9" w:rsidRDefault="00857997" w:rsidP="00EF01E0">
            <w:pPr>
              <w:pStyle w:val="NoSpacing"/>
              <w:jc w:val="center"/>
            </w:pPr>
            <w:r>
              <w:t>25</w:t>
            </w:r>
          </w:p>
        </w:tc>
        <w:tc>
          <w:tcPr>
            <w:tcW w:w="920" w:type="dxa"/>
            <w:shd w:val="clear" w:color="auto" w:fill="auto"/>
            <w:vAlign w:val="center"/>
          </w:tcPr>
          <w:p w14:paraId="4224F0D1" w14:textId="3D4AE967" w:rsidR="00EF01E0" w:rsidRPr="00D17DA9" w:rsidRDefault="00857997" w:rsidP="00EF01E0">
            <w:pPr>
              <w:pStyle w:val="NoSpacing"/>
              <w:jc w:val="center"/>
            </w:pPr>
            <w:r>
              <w:t>0.7</w:t>
            </w:r>
            <w:r w:rsidR="00F31E58">
              <w:t>%</w:t>
            </w:r>
          </w:p>
        </w:tc>
      </w:tr>
      <w:tr w:rsidR="00EF01E0" w:rsidRPr="00D17DA9" w14:paraId="350CF30B" w14:textId="77777777" w:rsidTr="00DC521C">
        <w:trPr>
          <w:trHeight w:val="351"/>
          <w:jc w:val="center"/>
        </w:trPr>
        <w:tc>
          <w:tcPr>
            <w:tcW w:w="2838" w:type="dxa"/>
            <w:shd w:val="clear" w:color="auto" w:fill="auto"/>
            <w:vAlign w:val="center"/>
          </w:tcPr>
          <w:p w14:paraId="4E7D2C38" w14:textId="77777777" w:rsidR="00EF01E0" w:rsidRPr="00D17DA9" w:rsidRDefault="00EF01E0" w:rsidP="00EF01E0">
            <w:pPr>
              <w:pStyle w:val="NoSpacing"/>
            </w:pPr>
            <w:r w:rsidRPr="00D17DA9">
              <w:t>Native Hawaiian/Pacific Islander</w:t>
            </w:r>
          </w:p>
        </w:tc>
        <w:tc>
          <w:tcPr>
            <w:tcW w:w="764" w:type="dxa"/>
            <w:shd w:val="clear" w:color="auto" w:fill="auto"/>
            <w:vAlign w:val="center"/>
          </w:tcPr>
          <w:p w14:paraId="3B71F5CD" w14:textId="54081440" w:rsidR="00EF01E0" w:rsidRPr="00D17DA9" w:rsidRDefault="00EF01E0" w:rsidP="00EF01E0">
            <w:pPr>
              <w:pStyle w:val="NoSpacing"/>
              <w:jc w:val="center"/>
            </w:pPr>
            <w:r>
              <w:t>20</w:t>
            </w:r>
          </w:p>
        </w:tc>
        <w:tc>
          <w:tcPr>
            <w:tcW w:w="920" w:type="dxa"/>
            <w:shd w:val="clear" w:color="auto" w:fill="auto"/>
            <w:vAlign w:val="center"/>
          </w:tcPr>
          <w:p w14:paraId="1DEF9350" w14:textId="54FDBAC8" w:rsidR="00EF01E0" w:rsidRPr="00D17DA9" w:rsidRDefault="00EF01E0" w:rsidP="00EF01E0">
            <w:pPr>
              <w:pStyle w:val="NoSpacing"/>
              <w:jc w:val="center"/>
            </w:pPr>
            <w:r>
              <w:t>0.4%</w:t>
            </w:r>
          </w:p>
        </w:tc>
        <w:tc>
          <w:tcPr>
            <w:tcW w:w="764" w:type="dxa"/>
            <w:shd w:val="clear" w:color="auto" w:fill="auto"/>
            <w:vAlign w:val="center"/>
          </w:tcPr>
          <w:p w14:paraId="0AF335BD" w14:textId="24F37B33" w:rsidR="00EF01E0" w:rsidRPr="00D17DA9" w:rsidRDefault="00EF01E0" w:rsidP="00EF01E0">
            <w:pPr>
              <w:pStyle w:val="NoSpacing"/>
              <w:jc w:val="center"/>
            </w:pPr>
            <w:r>
              <w:t>4</w:t>
            </w:r>
          </w:p>
        </w:tc>
        <w:tc>
          <w:tcPr>
            <w:tcW w:w="920" w:type="dxa"/>
            <w:shd w:val="clear" w:color="auto" w:fill="auto"/>
            <w:vAlign w:val="center"/>
          </w:tcPr>
          <w:p w14:paraId="2F6146B0" w14:textId="2BCA26A0" w:rsidR="00EF01E0" w:rsidRPr="00D17DA9" w:rsidRDefault="00EF01E0" w:rsidP="00EF01E0">
            <w:pPr>
              <w:pStyle w:val="NoSpacing"/>
              <w:jc w:val="center"/>
            </w:pPr>
            <w:r>
              <w:t>0.1%</w:t>
            </w:r>
          </w:p>
        </w:tc>
        <w:tc>
          <w:tcPr>
            <w:tcW w:w="764" w:type="dxa"/>
            <w:shd w:val="clear" w:color="auto" w:fill="auto"/>
            <w:vAlign w:val="center"/>
          </w:tcPr>
          <w:p w14:paraId="41E19C2A" w14:textId="24F8DD1E" w:rsidR="00EF01E0" w:rsidRPr="00D17DA9" w:rsidRDefault="002A48D0" w:rsidP="00EF01E0">
            <w:pPr>
              <w:pStyle w:val="NoSpacing"/>
              <w:jc w:val="center"/>
            </w:pPr>
            <w:r>
              <w:t>5</w:t>
            </w:r>
          </w:p>
        </w:tc>
        <w:tc>
          <w:tcPr>
            <w:tcW w:w="920" w:type="dxa"/>
            <w:shd w:val="clear" w:color="auto" w:fill="auto"/>
            <w:vAlign w:val="center"/>
          </w:tcPr>
          <w:p w14:paraId="0730C304" w14:textId="7589B265" w:rsidR="00EF01E0" w:rsidRPr="00D17DA9" w:rsidRDefault="002A48D0" w:rsidP="00EF01E0">
            <w:pPr>
              <w:pStyle w:val="NoSpacing"/>
              <w:jc w:val="center"/>
            </w:pPr>
            <w:r>
              <w:t>0.1%</w:t>
            </w:r>
          </w:p>
        </w:tc>
        <w:tc>
          <w:tcPr>
            <w:tcW w:w="764" w:type="dxa"/>
            <w:shd w:val="clear" w:color="auto" w:fill="auto"/>
            <w:vAlign w:val="center"/>
          </w:tcPr>
          <w:p w14:paraId="74B61610" w14:textId="537E51A9" w:rsidR="00EF01E0" w:rsidRPr="00D17DA9" w:rsidRDefault="00857997" w:rsidP="00EF01E0">
            <w:pPr>
              <w:pStyle w:val="NoSpacing"/>
              <w:jc w:val="center"/>
            </w:pPr>
            <w:r>
              <w:t>3</w:t>
            </w:r>
          </w:p>
        </w:tc>
        <w:tc>
          <w:tcPr>
            <w:tcW w:w="920" w:type="dxa"/>
            <w:shd w:val="clear" w:color="auto" w:fill="auto"/>
            <w:vAlign w:val="center"/>
          </w:tcPr>
          <w:p w14:paraId="08796B10" w14:textId="13DBE9F5" w:rsidR="00EF01E0" w:rsidRPr="00D17DA9" w:rsidRDefault="00F31E58" w:rsidP="00EF01E0">
            <w:pPr>
              <w:pStyle w:val="NoSpacing"/>
              <w:jc w:val="center"/>
            </w:pPr>
            <w:r>
              <w:t>0.1%</w:t>
            </w:r>
          </w:p>
        </w:tc>
      </w:tr>
      <w:tr w:rsidR="00EF01E0" w:rsidRPr="00D17DA9" w14:paraId="09621306" w14:textId="77777777" w:rsidTr="00DC521C">
        <w:trPr>
          <w:trHeight w:val="351"/>
          <w:jc w:val="center"/>
        </w:trPr>
        <w:tc>
          <w:tcPr>
            <w:tcW w:w="2838" w:type="dxa"/>
            <w:tcBorders>
              <w:bottom w:val="single" w:sz="4" w:space="0" w:color="808080" w:themeColor="background1" w:themeShade="80"/>
            </w:tcBorders>
            <w:shd w:val="clear" w:color="auto" w:fill="auto"/>
            <w:vAlign w:val="center"/>
          </w:tcPr>
          <w:p w14:paraId="4CD4C99B" w14:textId="77777777" w:rsidR="00EF01E0" w:rsidRPr="00D17DA9" w:rsidRDefault="00EF01E0" w:rsidP="00EF01E0">
            <w:pPr>
              <w:pStyle w:val="NoSpacing"/>
            </w:pPr>
            <w:r w:rsidRPr="00D17DA9">
              <w:t>Hispanic/Latino</w:t>
            </w:r>
          </w:p>
        </w:tc>
        <w:tc>
          <w:tcPr>
            <w:tcW w:w="764" w:type="dxa"/>
            <w:tcBorders>
              <w:bottom w:val="single" w:sz="4" w:space="0" w:color="808080" w:themeColor="background1" w:themeShade="80"/>
            </w:tcBorders>
            <w:shd w:val="clear" w:color="auto" w:fill="auto"/>
            <w:vAlign w:val="center"/>
          </w:tcPr>
          <w:p w14:paraId="7615E547" w14:textId="05388C77" w:rsidR="00EF01E0" w:rsidRPr="00D17DA9" w:rsidRDefault="00EF01E0" w:rsidP="00EF01E0">
            <w:pPr>
              <w:pStyle w:val="NoSpacing"/>
              <w:jc w:val="center"/>
            </w:pPr>
            <w:r>
              <w:t>75</w:t>
            </w:r>
          </w:p>
        </w:tc>
        <w:tc>
          <w:tcPr>
            <w:tcW w:w="920" w:type="dxa"/>
            <w:tcBorders>
              <w:bottom w:val="single" w:sz="4" w:space="0" w:color="808080" w:themeColor="background1" w:themeShade="80"/>
            </w:tcBorders>
            <w:shd w:val="clear" w:color="auto" w:fill="auto"/>
            <w:vAlign w:val="center"/>
          </w:tcPr>
          <w:p w14:paraId="4109DE10" w14:textId="65715784" w:rsidR="00EF01E0" w:rsidRPr="00D17DA9" w:rsidRDefault="00EF01E0" w:rsidP="00EF01E0">
            <w:pPr>
              <w:pStyle w:val="NoSpacing"/>
              <w:jc w:val="center"/>
            </w:pPr>
            <w:r>
              <w:t>1.5%</w:t>
            </w:r>
          </w:p>
        </w:tc>
        <w:tc>
          <w:tcPr>
            <w:tcW w:w="764" w:type="dxa"/>
            <w:tcBorders>
              <w:bottom w:val="single" w:sz="4" w:space="0" w:color="808080" w:themeColor="background1" w:themeShade="80"/>
            </w:tcBorders>
            <w:shd w:val="clear" w:color="auto" w:fill="auto"/>
            <w:vAlign w:val="center"/>
          </w:tcPr>
          <w:p w14:paraId="3298DCA9" w14:textId="48375C30" w:rsidR="00EF01E0" w:rsidRPr="00D17DA9" w:rsidRDefault="00EF01E0" w:rsidP="00EF01E0">
            <w:pPr>
              <w:pStyle w:val="NoSpacing"/>
              <w:jc w:val="center"/>
            </w:pPr>
            <w:r>
              <w:t>36</w:t>
            </w:r>
          </w:p>
        </w:tc>
        <w:tc>
          <w:tcPr>
            <w:tcW w:w="920" w:type="dxa"/>
            <w:tcBorders>
              <w:bottom w:val="single" w:sz="4" w:space="0" w:color="808080" w:themeColor="background1" w:themeShade="80"/>
            </w:tcBorders>
            <w:shd w:val="clear" w:color="auto" w:fill="auto"/>
            <w:vAlign w:val="center"/>
          </w:tcPr>
          <w:p w14:paraId="2D5618DC" w14:textId="0ED8733C" w:rsidR="00EF01E0" w:rsidRPr="00D17DA9" w:rsidRDefault="00EF01E0" w:rsidP="00EF01E0">
            <w:pPr>
              <w:pStyle w:val="NoSpacing"/>
              <w:jc w:val="center"/>
            </w:pPr>
            <w:r>
              <w:t>1.0%</w:t>
            </w:r>
          </w:p>
        </w:tc>
        <w:tc>
          <w:tcPr>
            <w:tcW w:w="764" w:type="dxa"/>
            <w:tcBorders>
              <w:bottom w:val="single" w:sz="4" w:space="0" w:color="808080" w:themeColor="background1" w:themeShade="80"/>
            </w:tcBorders>
            <w:shd w:val="clear" w:color="auto" w:fill="auto"/>
            <w:vAlign w:val="center"/>
          </w:tcPr>
          <w:p w14:paraId="5B04851D" w14:textId="475FA4BD" w:rsidR="00EF01E0" w:rsidRPr="00D17DA9" w:rsidRDefault="002A48D0" w:rsidP="00EF01E0">
            <w:pPr>
              <w:pStyle w:val="NoSpacing"/>
              <w:jc w:val="center"/>
            </w:pPr>
            <w:r>
              <w:t>50</w:t>
            </w:r>
          </w:p>
        </w:tc>
        <w:tc>
          <w:tcPr>
            <w:tcW w:w="920" w:type="dxa"/>
            <w:tcBorders>
              <w:bottom w:val="single" w:sz="4" w:space="0" w:color="808080" w:themeColor="background1" w:themeShade="80"/>
            </w:tcBorders>
            <w:shd w:val="clear" w:color="auto" w:fill="auto"/>
            <w:vAlign w:val="center"/>
          </w:tcPr>
          <w:p w14:paraId="57739787" w14:textId="0DE5B48F" w:rsidR="00EF01E0" w:rsidRPr="00D17DA9" w:rsidRDefault="002A48D0" w:rsidP="00EF01E0">
            <w:pPr>
              <w:pStyle w:val="NoSpacing"/>
              <w:jc w:val="center"/>
            </w:pPr>
            <w:r>
              <w:t>1.5%</w:t>
            </w:r>
          </w:p>
        </w:tc>
        <w:tc>
          <w:tcPr>
            <w:tcW w:w="764" w:type="dxa"/>
            <w:tcBorders>
              <w:bottom w:val="single" w:sz="4" w:space="0" w:color="808080" w:themeColor="background1" w:themeShade="80"/>
            </w:tcBorders>
            <w:shd w:val="clear" w:color="auto" w:fill="auto"/>
            <w:vAlign w:val="center"/>
          </w:tcPr>
          <w:p w14:paraId="088908C3" w14:textId="5984BA1C" w:rsidR="00EF01E0" w:rsidRPr="00D17DA9" w:rsidRDefault="00857997" w:rsidP="00EF01E0">
            <w:pPr>
              <w:pStyle w:val="NoSpacing"/>
              <w:jc w:val="center"/>
            </w:pPr>
            <w:r>
              <w:t>50</w:t>
            </w:r>
          </w:p>
        </w:tc>
        <w:tc>
          <w:tcPr>
            <w:tcW w:w="920" w:type="dxa"/>
            <w:tcBorders>
              <w:bottom w:val="single" w:sz="4" w:space="0" w:color="808080" w:themeColor="background1" w:themeShade="80"/>
            </w:tcBorders>
            <w:shd w:val="clear" w:color="auto" w:fill="auto"/>
            <w:vAlign w:val="center"/>
          </w:tcPr>
          <w:p w14:paraId="0C21D7D7" w14:textId="32E60692" w:rsidR="00EF01E0" w:rsidRPr="00D17DA9" w:rsidRDefault="00F31E58" w:rsidP="00EF01E0">
            <w:pPr>
              <w:pStyle w:val="NoSpacing"/>
              <w:jc w:val="center"/>
            </w:pPr>
            <w:r>
              <w:t>1.5%</w:t>
            </w:r>
          </w:p>
        </w:tc>
      </w:tr>
      <w:tr w:rsidR="00EF01E0" w:rsidRPr="00D17DA9" w14:paraId="538ACACC" w14:textId="77777777" w:rsidTr="00DC521C">
        <w:trPr>
          <w:trHeight w:val="351"/>
          <w:jc w:val="center"/>
        </w:trPr>
        <w:tc>
          <w:tcPr>
            <w:tcW w:w="2838" w:type="dxa"/>
            <w:tcBorders>
              <w:bottom w:val="single" w:sz="4" w:space="0" w:color="808080" w:themeColor="background1" w:themeShade="80"/>
            </w:tcBorders>
            <w:shd w:val="clear" w:color="auto" w:fill="auto"/>
            <w:vAlign w:val="center"/>
          </w:tcPr>
          <w:p w14:paraId="12807E56" w14:textId="77777777" w:rsidR="00EF01E0" w:rsidRPr="00D17DA9" w:rsidRDefault="00EF01E0" w:rsidP="00EF01E0">
            <w:pPr>
              <w:pStyle w:val="NoSpacing"/>
              <w:jc w:val="right"/>
              <w:rPr>
                <w:b/>
              </w:rPr>
            </w:pPr>
            <w:r w:rsidRPr="00D17DA9">
              <w:rPr>
                <w:b/>
              </w:rPr>
              <w:t>Total Number of Minorities</w:t>
            </w:r>
          </w:p>
        </w:tc>
        <w:tc>
          <w:tcPr>
            <w:tcW w:w="764" w:type="dxa"/>
            <w:tcBorders>
              <w:bottom w:val="single" w:sz="4" w:space="0" w:color="808080" w:themeColor="background1" w:themeShade="80"/>
            </w:tcBorders>
            <w:shd w:val="clear" w:color="auto" w:fill="auto"/>
            <w:vAlign w:val="center"/>
          </w:tcPr>
          <w:p w14:paraId="1B6D4899" w14:textId="20C97773" w:rsidR="00EF01E0" w:rsidRPr="00D17DA9" w:rsidRDefault="00EF01E0" w:rsidP="00EF01E0">
            <w:pPr>
              <w:pStyle w:val="NoSpacing"/>
              <w:jc w:val="center"/>
              <w:rPr>
                <w:b/>
              </w:rPr>
            </w:pPr>
            <w:r>
              <w:rPr>
                <w:b/>
              </w:rPr>
              <w:t>408</w:t>
            </w:r>
          </w:p>
        </w:tc>
        <w:tc>
          <w:tcPr>
            <w:tcW w:w="920" w:type="dxa"/>
            <w:tcBorders>
              <w:bottom w:val="single" w:sz="4" w:space="0" w:color="808080" w:themeColor="background1" w:themeShade="80"/>
            </w:tcBorders>
            <w:shd w:val="clear" w:color="auto" w:fill="E6E7E9" w:themeFill="accent5" w:themeFillTint="33"/>
            <w:vAlign w:val="center"/>
          </w:tcPr>
          <w:p w14:paraId="4A86DB6A" w14:textId="6BF84886" w:rsidR="00EF01E0" w:rsidRPr="00D17DA9" w:rsidRDefault="00EF01E0" w:rsidP="00EF01E0">
            <w:pPr>
              <w:pStyle w:val="NoSpacing"/>
              <w:jc w:val="center"/>
              <w:rPr>
                <w:b/>
              </w:rPr>
            </w:pPr>
            <w:r w:rsidRPr="00D17DA9">
              <w:rPr>
                <w:b/>
              </w:rPr>
              <w:t>----</w:t>
            </w:r>
          </w:p>
        </w:tc>
        <w:tc>
          <w:tcPr>
            <w:tcW w:w="764" w:type="dxa"/>
            <w:tcBorders>
              <w:bottom w:val="single" w:sz="4" w:space="0" w:color="808080" w:themeColor="background1" w:themeShade="80"/>
            </w:tcBorders>
            <w:shd w:val="clear" w:color="auto" w:fill="auto"/>
            <w:vAlign w:val="center"/>
          </w:tcPr>
          <w:p w14:paraId="329C5670" w14:textId="2F031D0A" w:rsidR="00EF01E0" w:rsidRPr="00D17DA9" w:rsidRDefault="00EF01E0" w:rsidP="00EF01E0">
            <w:pPr>
              <w:pStyle w:val="NoSpacing"/>
              <w:jc w:val="center"/>
              <w:rPr>
                <w:b/>
              </w:rPr>
            </w:pPr>
            <w:r>
              <w:rPr>
                <w:b/>
              </w:rPr>
              <w:t>249</w:t>
            </w:r>
          </w:p>
        </w:tc>
        <w:tc>
          <w:tcPr>
            <w:tcW w:w="920" w:type="dxa"/>
            <w:tcBorders>
              <w:bottom w:val="single" w:sz="4" w:space="0" w:color="808080" w:themeColor="background1" w:themeShade="80"/>
            </w:tcBorders>
            <w:shd w:val="clear" w:color="auto" w:fill="E6E7E9" w:themeFill="accent5" w:themeFillTint="33"/>
            <w:vAlign w:val="center"/>
          </w:tcPr>
          <w:p w14:paraId="32ACD3DD" w14:textId="257DD2E4" w:rsidR="00EF01E0" w:rsidRPr="00D17DA9" w:rsidRDefault="00EF01E0" w:rsidP="00EF01E0">
            <w:pPr>
              <w:pStyle w:val="NoSpacing"/>
              <w:jc w:val="center"/>
              <w:rPr>
                <w:b/>
              </w:rPr>
            </w:pPr>
            <w:r w:rsidRPr="00D17DA9">
              <w:rPr>
                <w:b/>
              </w:rPr>
              <w:t>----</w:t>
            </w:r>
          </w:p>
        </w:tc>
        <w:tc>
          <w:tcPr>
            <w:tcW w:w="764" w:type="dxa"/>
            <w:tcBorders>
              <w:bottom w:val="single" w:sz="4" w:space="0" w:color="808080" w:themeColor="background1" w:themeShade="80"/>
            </w:tcBorders>
            <w:shd w:val="clear" w:color="auto" w:fill="auto"/>
            <w:vAlign w:val="center"/>
          </w:tcPr>
          <w:p w14:paraId="2B48A293" w14:textId="109F1610" w:rsidR="00EF01E0" w:rsidRPr="00D17DA9" w:rsidRDefault="00624D02" w:rsidP="00EF01E0">
            <w:pPr>
              <w:pStyle w:val="NoSpacing"/>
              <w:jc w:val="center"/>
              <w:rPr>
                <w:b/>
              </w:rPr>
            </w:pPr>
            <w:r>
              <w:rPr>
                <w:b/>
              </w:rPr>
              <w:t>287</w:t>
            </w:r>
          </w:p>
        </w:tc>
        <w:tc>
          <w:tcPr>
            <w:tcW w:w="920" w:type="dxa"/>
            <w:tcBorders>
              <w:bottom w:val="single" w:sz="4" w:space="0" w:color="808080" w:themeColor="background1" w:themeShade="80"/>
            </w:tcBorders>
            <w:shd w:val="clear" w:color="auto" w:fill="E6E7E9" w:themeFill="accent5" w:themeFillTint="33"/>
            <w:vAlign w:val="center"/>
          </w:tcPr>
          <w:p w14:paraId="1C919A5A" w14:textId="35884CC0" w:rsidR="00EF01E0" w:rsidRPr="00D17DA9" w:rsidRDefault="00EF01E0" w:rsidP="00EF01E0">
            <w:pPr>
              <w:pStyle w:val="NoSpacing"/>
              <w:jc w:val="center"/>
              <w:rPr>
                <w:b/>
              </w:rPr>
            </w:pPr>
            <w:r w:rsidRPr="00D17DA9">
              <w:rPr>
                <w:b/>
              </w:rPr>
              <w:t>----</w:t>
            </w:r>
          </w:p>
        </w:tc>
        <w:tc>
          <w:tcPr>
            <w:tcW w:w="764" w:type="dxa"/>
            <w:tcBorders>
              <w:bottom w:val="single" w:sz="4" w:space="0" w:color="808080" w:themeColor="background1" w:themeShade="80"/>
            </w:tcBorders>
            <w:shd w:val="clear" w:color="auto" w:fill="auto"/>
            <w:vAlign w:val="center"/>
          </w:tcPr>
          <w:p w14:paraId="18DB23F9" w14:textId="6C7F7D31" w:rsidR="00EF01E0" w:rsidRPr="00D17DA9" w:rsidRDefault="00F3670D" w:rsidP="00EF01E0">
            <w:pPr>
              <w:pStyle w:val="NoSpacing"/>
              <w:jc w:val="center"/>
              <w:rPr>
                <w:b/>
              </w:rPr>
            </w:pPr>
            <w:r>
              <w:rPr>
                <w:b/>
              </w:rPr>
              <w:t>2</w:t>
            </w:r>
            <w:r w:rsidR="00624D02">
              <w:rPr>
                <w:b/>
              </w:rPr>
              <w:t>75</w:t>
            </w:r>
          </w:p>
        </w:tc>
        <w:tc>
          <w:tcPr>
            <w:tcW w:w="920" w:type="dxa"/>
            <w:tcBorders>
              <w:bottom w:val="single" w:sz="4" w:space="0" w:color="808080" w:themeColor="background1" w:themeShade="80"/>
            </w:tcBorders>
            <w:shd w:val="clear" w:color="auto" w:fill="E6E7E9" w:themeFill="accent5" w:themeFillTint="33"/>
            <w:vAlign w:val="center"/>
          </w:tcPr>
          <w:p w14:paraId="29FFC08E" w14:textId="32D4339D" w:rsidR="00EF01E0" w:rsidRPr="00D17DA9" w:rsidRDefault="00EF01E0" w:rsidP="00EF01E0">
            <w:pPr>
              <w:pStyle w:val="NoSpacing"/>
              <w:jc w:val="center"/>
              <w:rPr>
                <w:b/>
              </w:rPr>
            </w:pPr>
            <w:r w:rsidRPr="00D17DA9">
              <w:rPr>
                <w:b/>
              </w:rPr>
              <w:t>----</w:t>
            </w:r>
          </w:p>
        </w:tc>
      </w:tr>
    </w:tbl>
    <w:p w14:paraId="32A95B3A" w14:textId="261D7C3D" w:rsidR="003C1977" w:rsidRPr="00D17DA9" w:rsidRDefault="003C1977" w:rsidP="00CC180B">
      <w:pPr>
        <w:pStyle w:val="ListParagraph"/>
        <w:spacing w:after="0" w:line="240" w:lineRule="auto"/>
      </w:pPr>
      <w:r w:rsidRPr="00D17DA9">
        <w:rPr>
          <w:i/>
          <w:u w:val="single"/>
        </w:rPr>
        <w:t>Note:</w:t>
      </w:r>
      <w:r w:rsidRPr="00D17DA9">
        <w:t xml:space="preserve">  The total exceeds the number of clients because individuals may list multiple race/ethnicity groups.</w:t>
      </w:r>
    </w:p>
    <w:p w14:paraId="54340487" w14:textId="77777777" w:rsidR="003C1977" w:rsidRPr="00D17DA9" w:rsidRDefault="003C1977" w:rsidP="00CC180B">
      <w:pPr>
        <w:pStyle w:val="ListParagraph"/>
        <w:spacing w:after="0" w:line="240" w:lineRule="auto"/>
      </w:pPr>
    </w:p>
    <w:p w14:paraId="10C19AB8" w14:textId="77777777" w:rsidR="003C1977" w:rsidRPr="00D17DA9" w:rsidRDefault="003C1977" w:rsidP="00CC180B">
      <w:pPr>
        <w:pStyle w:val="ListParagraph"/>
        <w:spacing w:after="0" w:line="240" w:lineRule="auto"/>
      </w:pPr>
    </w:p>
    <w:p w14:paraId="6E594E45" w14:textId="77777777" w:rsidR="003C1977" w:rsidRPr="00D17DA9" w:rsidRDefault="003C1977" w:rsidP="00CC180B">
      <w:pPr>
        <w:pStyle w:val="ListParagraph"/>
        <w:spacing w:after="0" w:line="240" w:lineRule="auto"/>
      </w:pPr>
    </w:p>
    <w:p w14:paraId="2E3B814C" w14:textId="77777777" w:rsidR="003C1977" w:rsidRPr="00D17DA9" w:rsidRDefault="003C1977" w:rsidP="00CC180B">
      <w:pPr>
        <w:pStyle w:val="ListParagraph"/>
        <w:spacing w:after="0" w:line="240" w:lineRule="auto"/>
      </w:pPr>
    </w:p>
    <w:p w14:paraId="3BDC108F" w14:textId="77777777" w:rsidR="003C1977" w:rsidRPr="00D17DA9" w:rsidRDefault="003C1977" w:rsidP="00CC180B">
      <w:pPr>
        <w:pStyle w:val="ListParagraph"/>
        <w:spacing w:after="0" w:line="240" w:lineRule="auto"/>
      </w:pPr>
    </w:p>
    <w:p w14:paraId="04741086" w14:textId="77777777" w:rsidR="003C1977" w:rsidRDefault="003C1977" w:rsidP="00CC180B">
      <w:pPr>
        <w:pStyle w:val="ListParagraph"/>
        <w:spacing w:after="0" w:line="240" w:lineRule="auto"/>
      </w:pPr>
    </w:p>
    <w:p w14:paraId="3CF7F246" w14:textId="77777777" w:rsidR="001934DD" w:rsidRDefault="001934DD" w:rsidP="00CC180B">
      <w:pPr>
        <w:pStyle w:val="ListParagraph"/>
        <w:spacing w:after="0" w:line="240" w:lineRule="auto"/>
      </w:pPr>
    </w:p>
    <w:p w14:paraId="0F1646D1" w14:textId="77777777" w:rsidR="001934DD" w:rsidRDefault="001934DD" w:rsidP="00CC180B">
      <w:pPr>
        <w:pStyle w:val="ListParagraph"/>
        <w:spacing w:after="0" w:line="240" w:lineRule="auto"/>
      </w:pPr>
    </w:p>
    <w:p w14:paraId="64A77C2B" w14:textId="77777777" w:rsidR="001934DD" w:rsidRDefault="001934DD" w:rsidP="00CC180B">
      <w:pPr>
        <w:pStyle w:val="ListParagraph"/>
        <w:spacing w:after="0" w:line="240" w:lineRule="auto"/>
      </w:pPr>
    </w:p>
    <w:p w14:paraId="085358F6" w14:textId="77777777" w:rsidR="001934DD" w:rsidRDefault="001934DD" w:rsidP="00CC180B">
      <w:pPr>
        <w:pStyle w:val="ListParagraph"/>
        <w:spacing w:after="0" w:line="240" w:lineRule="auto"/>
      </w:pPr>
    </w:p>
    <w:p w14:paraId="008898F5" w14:textId="77777777" w:rsidR="001934DD" w:rsidRDefault="001934DD" w:rsidP="00CC180B">
      <w:pPr>
        <w:pStyle w:val="ListParagraph"/>
        <w:spacing w:after="0" w:line="240" w:lineRule="auto"/>
      </w:pPr>
    </w:p>
    <w:p w14:paraId="13609C57" w14:textId="77777777" w:rsidR="001934DD" w:rsidRPr="00D17DA9" w:rsidRDefault="001934DD" w:rsidP="00CC180B">
      <w:pPr>
        <w:pStyle w:val="ListParagraph"/>
        <w:spacing w:after="0" w:line="240" w:lineRule="auto"/>
      </w:pPr>
    </w:p>
    <w:p w14:paraId="73AA9E99" w14:textId="77777777" w:rsidR="003C1977" w:rsidRPr="00D17DA9" w:rsidRDefault="003C1977" w:rsidP="00CC180B">
      <w:pPr>
        <w:pStyle w:val="ListParagraph"/>
        <w:spacing w:after="0" w:line="240" w:lineRule="auto"/>
      </w:pPr>
    </w:p>
    <w:p w14:paraId="73933D14" w14:textId="77777777" w:rsidR="003C1977" w:rsidRPr="00D17DA9" w:rsidRDefault="003C1977" w:rsidP="00CC180B">
      <w:pPr>
        <w:pStyle w:val="ListParagraph"/>
        <w:spacing w:after="0" w:line="240" w:lineRule="auto"/>
      </w:pPr>
    </w:p>
    <w:p w14:paraId="729B1EE0" w14:textId="77777777" w:rsidR="003C1977" w:rsidRPr="00D17DA9" w:rsidRDefault="003C1977" w:rsidP="00CC180B">
      <w:pPr>
        <w:pStyle w:val="ListParagraph"/>
        <w:spacing w:after="0" w:line="240" w:lineRule="auto"/>
      </w:pPr>
    </w:p>
    <w:p w14:paraId="43FC65E5" w14:textId="77777777" w:rsidR="003C1977" w:rsidRPr="00D17DA9" w:rsidRDefault="003C1977" w:rsidP="00CC180B">
      <w:pPr>
        <w:pStyle w:val="ListParagraph"/>
        <w:spacing w:after="0" w:line="240" w:lineRule="auto"/>
      </w:pPr>
    </w:p>
    <w:p w14:paraId="44DDD909" w14:textId="77777777" w:rsidR="003C1977" w:rsidRPr="00D17DA9" w:rsidRDefault="003C1977" w:rsidP="00CC180B">
      <w:pPr>
        <w:pStyle w:val="ListParagraph"/>
        <w:spacing w:after="0" w:line="240" w:lineRule="auto"/>
      </w:pPr>
    </w:p>
    <w:p w14:paraId="69DE8FD5" w14:textId="77777777" w:rsidR="004A455C" w:rsidRDefault="004A455C" w:rsidP="001934DD">
      <w:pPr>
        <w:spacing w:after="0"/>
        <w:ind w:left="720"/>
      </w:pPr>
    </w:p>
    <w:p w14:paraId="42C1B7E9" w14:textId="77777777" w:rsidR="00E336D4" w:rsidRDefault="00E336D4" w:rsidP="001934DD">
      <w:pPr>
        <w:spacing w:after="0"/>
        <w:ind w:left="720"/>
      </w:pPr>
    </w:p>
    <w:p w14:paraId="1A40BF30" w14:textId="77777777" w:rsidR="004A455C" w:rsidRDefault="004A455C" w:rsidP="001934DD">
      <w:pPr>
        <w:spacing w:after="0"/>
        <w:ind w:left="720"/>
      </w:pPr>
    </w:p>
    <w:p w14:paraId="0E7CC542" w14:textId="709167A7" w:rsidR="001934DD" w:rsidRPr="00352224" w:rsidRDefault="001934DD" w:rsidP="00CC0569">
      <w:pPr>
        <w:pStyle w:val="NoSpacing"/>
        <w:ind w:left="720"/>
      </w:pPr>
      <w:r w:rsidRPr="00352224">
        <w:t xml:space="preserve">Another way to determine unmet needs for the minority population is to identify where this population is located.  Table </w:t>
      </w:r>
      <w:r w:rsidR="00810149" w:rsidRPr="00352224">
        <w:t>6</w:t>
      </w:r>
      <w:r w:rsidRPr="00352224">
        <w:t>B shows the distribution of the minority population served by DVR regions.</w:t>
      </w:r>
    </w:p>
    <w:p w14:paraId="63A8369D" w14:textId="77777777" w:rsidR="001934DD" w:rsidRPr="000F122D" w:rsidRDefault="001934DD" w:rsidP="001934DD">
      <w:pPr>
        <w:pStyle w:val="ListParagraph"/>
        <w:spacing w:after="0"/>
        <w:rPr>
          <w:b/>
          <w:color w:val="FF0000"/>
          <w:sz w:val="24"/>
          <w:szCs w:val="24"/>
        </w:rPr>
      </w:pPr>
    </w:p>
    <w:p w14:paraId="4744035F" w14:textId="77777777" w:rsidR="001934DD" w:rsidRPr="00352224" w:rsidRDefault="001934DD" w:rsidP="001934DD">
      <w:pPr>
        <w:pStyle w:val="ListParagraph"/>
        <w:spacing w:after="0"/>
        <w:rPr>
          <w:b/>
        </w:rPr>
      </w:pPr>
      <w:r w:rsidRPr="00352224">
        <w:rPr>
          <w:b/>
        </w:rPr>
        <w:t>Findings</w:t>
      </w:r>
    </w:p>
    <w:p w14:paraId="1742214A" w14:textId="6A71B262" w:rsidR="001934DD" w:rsidRPr="00352224" w:rsidRDefault="001934DD" w:rsidP="004B5150">
      <w:pPr>
        <w:pStyle w:val="NoSpacing"/>
        <w:numPr>
          <w:ilvl w:val="0"/>
          <w:numId w:val="8"/>
        </w:numPr>
      </w:pPr>
      <w:r w:rsidRPr="00352224">
        <w:t xml:space="preserve">Although Region I only closed </w:t>
      </w:r>
      <w:r w:rsidR="00352224" w:rsidRPr="00352224">
        <w:t>29.2</w:t>
      </w:r>
      <w:r w:rsidRPr="00352224">
        <w:t>% of the cases in FFY 201</w:t>
      </w:r>
      <w:r w:rsidR="00352224" w:rsidRPr="00352224">
        <w:t>9</w:t>
      </w:r>
      <w:r w:rsidRPr="00352224">
        <w:t xml:space="preserve">, </w:t>
      </w:r>
      <w:r w:rsidR="00352224" w:rsidRPr="00352224">
        <w:t>34.5</w:t>
      </w:r>
      <w:r w:rsidRPr="00352224">
        <w:t>% of the minorities served were in this region.</w:t>
      </w:r>
    </w:p>
    <w:p w14:paraId="5F03DC30" w14:textId="4859EEC9" w:rsidR="001934DD" w:rsidRPr="00352224" w:rsidRDefault="001934DD" w:rsidP="004B5150">
      <w:pPr>
        <w:pStyle w:val="NoSpacing"/>
        <w:numPr>
          <w:ilvl w:val="0"/>
          <w:numId w:val="8"/>
        </w:numPr>
      </w:pPr>
      <w:r w:rsidRPr="00352224">
        <w:t xml:space="preserve">Region II only closed </w:t>
      </w:r>
      <w:r w:rsidR="00352224" w:rsidRPr="00352224">
        <w:t>21.9</w:t>
      </w:r>
      <w:r w:rsidRPr="00352224">
        <w:t>% of the cases with the second highest percentage (</w:t>
      </w:r>
      <w:r w:rsidR="00352224" w:rsidRPr="00352224">
        <w:t>25.8</w:t>
      </w:r>
      <w:r w:rsidRPr="00352224">
        <w:t>%) of minorities served in this region.</w:t>
      </w:r>
    </w:p>
    <w:p w14:paraId="32230224" w14:textId="34561750" w:rsidR="001934DD" w:rsidRPr="00352224" w:rsidRDefault="001934DD" w:rsidP="004B5150">
      <w:pPr>
        <w:pStyle w:val="NoSpacing"/>
        <w:numPr>
          <w:ilvl w:val="0"/>
          <w:numId w:val="8"/>
        </w:numPr>
      </w:pPr>
      <w:r w:rsidRPr="00352224">
        <w:t>Region III had the highest percentage of cases closed (</w:t>
      </w:r>
      <w:r w:rsidR="00352224" w:rsidRPr="00352224">
        <w:t>25.8</w:t>
      </w:r>
      <w:r w:rsidRPr="00352224">
        <w:t xml:space="preserve">%) of which </w:t>
      </w:r>
      <w:r w:rsidR="00352224" w:rsidRPr="00352224">
        <w:t>19.3</w:t>
      </w:r>
      <w:r w:rsidRPr="00352224">
        <w:t>% of minorities were served in this region.</w:t>
      </w:r>
    </w:p>
    <w:p w14:paraId="6C88CAF4" w14:textId="77777777" w:rsidR="001934DD" w:rsidRDefault="001934DD" w:rsidP="001934DD">
      <w:pPr>
        <w:spacing w:after="0" w:line="240" w:lineRule="auto"/>
      </w:pPr>
    </w:p>
    <w:p w14:paraId="784D9EB6" w14:textId="2D4E56F3" w:rsidR="001934DD" w:rsidRPr="00D17DA9" w:rsidRDefault="001934DD" w:rsidP="001934DD">
      <w:pPr>
        <w:pStyle w:val="ListParagraph"/>
        <w:spacing w:line="240" w:lineRule="auto"/>
        <w:jc w:val="center"/>
        <w:rPr>
          <w:b/>
        </w:rPr>
      </w:pPr>
      <w:r>
        <w:rPr>
          <w:b/>
        </w:rPr>
        <w:t>T</w:t>
      </w:r>
      <w:r w:rsidR="00810149">
        <w:rPr>
          <w:b/>
        </w:rPr>
        <w:t>ABLE 6</w:t>
      </w:r>
      <w:r>
        <w:rPr>
          <w:b/>
        </w:rPr>
        <w:t>B</w:t>
      </w:r>
    </w:p>
    <w:p w14:paraId="54CEA5A6" w14:textId="03A07011" w:rsidR="001934DD" w:rsidRPr="00D17DA9" w:rsidRDefault="001934DD" w:rsidP="001934DD">
      <w:pPr>
        <w:pStyle w:val="ListParagraph"/>
        <w:spacing w:line="240" w:lineRule="auto"/>
        <w:jc w:val="center"/>
        <w:rPr>
          <w:b/>
        </w:rPr>
      </w:pPr>
      <w:r w:rsidRPr="00D17DA9">
        <w:rPr>
          <w:b/>
        </w:rPr>
        <w:t>Maine DVR Minorities Served</w:t>
      </w:r>
      <w:r>
        <w:rPr>
          <w:b/>
        </w:rPr>
        <w:t xml:space="preserve"> – Closed Cases</w:t>
      </w:r>
    </w:p>
    <w:tbl>
      <w:tblPr>
        <w:tblStyle w:val="TableGrid"/>
        <w:tblW w:w="848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717"/>
        <w:gridCol w:w="875"/>
        <w:gridCol w:w="1061"/>
        <w:gridCol w:w="830"/>
        <w:gridCol w:w="1003"/>
      </w:tblGrid>
      <w:tr w:rsidR="00521922" w:rsidRPr="00D17DA9" w14:paraId="1F14172C" w14:textId="77777777" w:rsidTr="001934DD">
        <w:trPr>
          <w:trHeight w:val="335"/>
          <w:jc w:val="center"/>
        </w:trPr>
        <w:tc>
          <w:tcPr>
            <w:tcW w:w="4717" w:type="dxa"/>
            <w:vMerge w:val="restart"/>
            <w:shd w:val="clear" w:color="auto" w:fill="B4B8BF" w:themeFill="accent5" w:themeFillTint="99"/>
            <w:vAlign w:val="center"/>
          </w:tcPr>
          <w:p w14:paraId="6DB1577D" w14:textId="4E426D44" w:rsidR="00525BF3" w:rsidRPr="00D17DA9" w:rsidRDefault="00525BF3" w:rsidP="004A27A8">
            <w:pPr>
              <w:pStyle w:val="NoSpacing"/>
              <w:jc w:val="center"/>
              <w:rPr>
                <w:b/>
              </w:rPr>
            </w:pPr>
            <w:r w:rsidRPr="00D17DA9">
              <w:rPr>
                <w:b/>
              </w:rPr>
              <w:t>Minorities Served by Region</w:t>
            </w:r>
          </w:p>
        </w:tc>
        <w:tc>
          <w:tcPr>
            <w:tcW w:w="3769" w:type="dxa"/>
            <w:gridSpan w:val="4"/>
            <w:shd w:val="clear" w:color="auto" w:fill="B4B8BF" w:themeFill="accent5" w:themeFillTint="99"/>
            <w:vAlign w:val="center"/>
          </w:tcPr>
          <w:p w14:paraId="477643CE" w14:textId="77777777" w:rsidR="00525BF3" w:rsidRPr="00D17DA9" w:rsidRDefault="00525BF3" w:rsidP="004A27A8">
            <w:pPr>
              <w:pStyle w:val="NoSpacing"/>
              <w:jc w:val="center"/>
              <w:rPr>
                <w:b/>
              </w:rPr>
            </w:pPr>
            <w:r w:rsidRPr="00D17DA9">
              <w:rPr>
                <w:b/>
              </w:rPr>
              <w:t>Maine DVR</w:t>
            </w:r>
          </w:p>
        </w:tc>
      </w:tr>
      <w:tr w:rsidR="00521922" w:rsidRPr="00D17DA9" w14:paraId="16840F76" w14:textId="77777777" w:rsidTr="004A455C">
        <w:trPr>
          <w:trHeight w:val="335"/>
          <w:jc w:val="center"/>
        </w:trPr>
        <w:tc>
          <w:tcPr>
            <w:tcW w:w="4717" w:type="dxa"/>
            <w:vMerge/>
            <w:shd w:val="clear" w:color="auto" w:fill="B4B8BF" w:themeFill="accent5" w:themeFillTint="99"/>
            <w:vAlign w:val="center"/>
          </w:tcPr>
          <w:p w14:paraId="60C9A496" w14:textId="77777777" w:rsidR="00521922" w:rsidRPr="00D17DA9" w:rsidRDefault="00521922" w:rsidP="004A27A8">
            <w:pPr>
              <w:pStyle w:val="NoSpacing"/>
              <w:rPr>
                <w:b/>
              </w:rPr>
            </w:pPr>
          </w:p>
        </w:tc>
        <w:tc>
          <w:tcPr>
            <w:tcW w:w="1936" w:type="dxa"/>
            <w:gridSpan w:val="2"/>
            <w:shd w:val="clear" w:color="auto" w:fill="B4B8BF" w:themeFill="accent5" w:themeFillTint="99"/>
            <w:vAlign w:val="center"/>
          </w:tcPr>
          <w:p w14:paraId="32BBF1C6" w14:textId="29E12465" w:rsidR="00521922" w:rsidRPr="00D17DA9" w:rsidRDefault="00CC0569" w:rsidP="004A27A8">
            <w:pPr>
              <w:pStyle w:val="NoSpacing"/>
              <w:jc w:val="center"/>
              <w:rPr>
                <w:b/>
              </w:rPr>
            </w:pPr>
            <w:r>
              <w:rPr>
                <w:b/>
              </w:rPr>
              <w:t>Minorities Closed in FFY 201</w:t>
            </w:r>
            <w:r w:rsidR="00624D02">
              <w:rPr>
                <w:b/>
              </w:rPr>
              <w:t>9</w:t>
            </w:r>
          </w:p>
        </w:tc>
        <w:tc>
          <w:tcPr>
            <w:tcW w:w="1833" w:type="dxa"/>
            <w:gridSpan w:val="2"/>
            <w:shd w:val="clear" w:color="auto" w:fill="B4B8BF" w:themeFill="accent5" w:themeFillTint="99"/>
            <w:vAlign w:val="center"/>
          </w:tcPr>
          <w:p w14:paraId="6F370641" w14:textId="116EBEAF" w:rsidR="00521922" w:rsidRPr="00D17DA9" w:rsidRDefault="00CC0569" w:rsidP="004A27A8">
            <w:pPr>
              <w:pStyle w:val="NoSpacing"/>
              <w:jc w:val="center"/>
              <w:rPr>
                <w:b/>
              </w:rPr>
            </w:pPr>
            <w:r>
              <w:rPr>
                <w:b/>
              </w:rPr>
              <w:t>All Cases Closed in FFY 201</w:t>
            </w:r>
            <w:r w:rsidR="00624D02">
              <w:rPr>
                <w:b/>
              </w:rPr>
              <w:t>9</w:t>
            </w:r>
          </w:p>
        </w:tc>
      </w:tr>
      <w:tr w:rsidR="00521922" w:rsidRPr="00D17DA9" w14:paraId="2AFEA577" w14:textId="77777777" w:rsidTr="004A455C">
        <w:trPr>
          <w:trHeight w:val="362"/>
          <w:jc w:val="center"/>
        </w:trPr>
        <w:tc>
          <w:tcPr>
            <w:tcW w:w="4717" w:type="dxa"/>
            <w:vMerge/>
            <w:tcBorders>
              <w:bottom w:val="single" w:sz="4" w:space="0" w:color="808080" w:themeColor="background1" w:themeShade="80"/>
            </w:tcBorders>
            <w:shd w:val="clear" w:color="auto" w:fill="B4B8BF" w:themeFill="accent5" w:themeFillTint="99"/>
            <w:vAlign w:val="center"/>
          </w:tcPr>
          <w:p w14:paraId="6351CFCC" w14:textId="77777777" w:rsidR="00521922" w:rsidRPr="00D17DA9" w:rsidRDefault="00521922" w:rsidP="004A27A8">
            <w:pPr>
              <w:pStyle w:val="NoSpacing"/>
            </w:pPr>
          </w:p>
        </w:tc>
        <w:tc>
          <w:tcPr>
            <w:tcW w:w="875" w:type="dxa"/>
            <w:tcBorders>
              <w:bottom w:val="single" w:sz="4" w:space="0" w:color="808080" w:themeColor="background1" w:themeShade="80"/>
            </w:tcBorders>
            <w:shd w:val="clear" w:color="auto" w:fill="B4B8BF" w:themeFill="accent5" w:themeFillTint="99"/>
            <w:vAlign w:val="center"/>
          </w:tcPr>
          <w:p w14:paraId="549DAC36" w14:textId="77777777" w:rsidR="00521922" w:rsidRPr="00D17DA9" w:rsidRDefault="00521922" w:rsidP="004A27A8">
            <w:pPr>
              <w:pStyle w:val="NoSpacing"/>
              <w:jc w:val="center"/>
              <w:rPr>
                <w:b/>
              </w:rPr>
            </w:pPr>
            <w:r w:rsidRPr="00D17DA9">
              <w:rPr>
                <w:b/>
              </w:rPr>
              <w:t>Count</w:t>
            </w:r>
          </w:p>
        </w:tc>
        <w:tc>
          <w:tcPr>
            <w:tcW w:w="1061" w:type="dxa"/>
            <w:tcBorders>
              <w:bottom w:val="single" w:sz="4" w:space="0" w:color="808080" w:themeColor="background1" w:themeShade="80"/>
            </w:tcBorders>
            <w:shd w:val="clear" w:color="auto" w:fill="B4B8BF" w:themeFill="accent5" w:themeFillTint="99"/>
            <w:vAlign w:val="center"/>
          </w:tcPr>
          <w:p w14:paraId="3FE46B0F" w14:textId="77777777" w:rsidR="00521922" w:rsidRPr="00D17DA9" w:rsidRDefault="00521922" w:rsidP="004A27A8">
            <w:pPr>
              <w:pStyle w:val="NoSpacing"/>
              <w:jc w:val="center"/>
              <w:rPr>
                <w:b/>
              </w:rPr>
            </w:pPr>
            <w:r w:rsidRPr="00D17DA9">
              <w:rPr>
                <w:b/>
              </w:rPr>
              <w:t>Percent</w:t>
            </w:r>
          </w:p>
        </w:tc>
        <w:tc>
          <w:tcPr>
            <w:tcW w:w="830" w:type="dxa"/>
            <w:tcBorders>
              <w:bottom w:val="single" w:sz="4" w:space="0" w:color="808080" w:themeColor="background1" w:themeShade="80"/>
            </w:tcBorders>
            <w:shd w:val="clear" w:color="auto" w:fill="B4B8BF" w:themeFill="accent5" w:themeFillTint="99"/>
            <w:vAlign w:val="center"/>
          </w:tcPr>
          <w:p w14:paraId="38EBF751" w14:textId="77777777" w:rsidR="00521922" w:rsidRPr="00D17DA9" w:rsidRDefault="00521922" w:rsidP="004A27A8">
            <w:pPr>
              <w:pStyle w:val="NoSpacing"/>
              <w:jc w:val="center"/>
              <w:rPr>
                <w:b/>
              </w:rPr>
            </w:pPr>
            <w:r w:rsidRPr="00D17DA9">
              <w:rPr>
                <w:b/>
              </w:rPr>
              <w:t>Count</w:t>
            </w:r>
          </w:p>
        </w:tc>
        <w:tc>
          <w:tcPr>
            <w:tcW w:w="1003" w:type="dxa"/>
            <w:tcBorders>
              <w:bottom w:val="single" w:sz="4" w:space="0" w:color="808080" w:themeColor="background1" w:themeShade="80"/>
            </w:tcBorders>
            <w:shd w:val="clear" w:color="auto" w:fill="B4B8BF" w:themeFill="accent5" w:themeFillTint="99"/>
            <w:vAlign w:val="center"/>
          </w:tcPr>
          <w:p w14:paraId="4F7BA23C" w14:textId="77777777" w:rsidR="00521922" w:rsidRPr="00D17DA9" w:rsidRDefault="00521922" w:rsidP="004A27A8">
            <w:pPr>
              <w:pStyle w:val="NoSpacing"/>
              <w:jc w:val="center"/>
              <w:rPr>
                <w:b/>
              </w:rPr>
            </w:pPr>
            <w:r w:rsidRPr="00D17DA9">
              <w:rPr>
                <w:b/>
              </w:rPr>
              <w:t>Percent</w:t>
            </w:r>
          </w:p>
        </w:tc>
      </w:tr>
      <w:tr w:rsidR="00521922" w:rsidRPr="00D17DA9" w14:paraId="78FCCADF" w14:textId="77777777" w:rsidTr="004A455C">
        <w:trPr>
          <w:trHeight w:val="362"/>
          <w:jc w:val="center"/>
        </w:trPr>
        <w:tc>
          <w:tcPr>
            <w:tcW w:w="4717" w:type="dxa"/>
            <w:shd w:val="clear" w:color="auto" w:fill="auto"/>
            <w:vAlign w:val="center"/>
          </w:tcPr>
          <w:p w14:paraId="0525BC8C" w14:textId="77777777" w:rsidR="00521922" w:rsidRPr="00D17DA9" w:rsidRDefault="00521922" w:rsidP="004A27A8">
            <w:pPr>
              <w:pStyle w:val="NoSpacing"/>
            </w:pPr>
            <w:r w:rsidRPr="00D17DA9">
              <w:t>Region I</w:t>
            </w:r>
          </w:p>
          <w:p w14:paraId="061E997B" w14:textId="5FE5882B" w:rsidR="00521922" w:rsidRPr="00D17DA9" w:rsidRDefault="00521922" w:rsidP="004A27A8">
            <w:pPr>
              <w:pStyle w:val="NoSpacing"/>
              <w:rPr>
                <w:i/>
              </w:rPr>
            </w:pPr>
            <w:r w:rsidRPr="00D17DA9">
              <w:rPr>
                <w:i/>
              </w:rPr>
              <w:t>Cumberland and York</w:t>
            </w:r>
          </w:p>
        </w:tc>
        <w:tc>
          <w:tcPr>
            <w:tcW w:w="875" w:type="dxa"/>
            <w:shd w:val="clear" w:color="auto" w:fill="auto"/>
            <w:vAlign w:val="center"/>
          </w:tcPr>
          <w:p w14:paraId="5EF2AF97" w14:textId="65ED6D2A" w:rsidR="00682EC6" w:rsidRPr="00D17DA9" w:rsidRDefault="004E3B17" w:rsidP="00682EC6">
            <w:pPr>
              <w:pStyle w:val="NoSpacing"/>
              <w:jc w:val="center"/>
            </w:pPr>
            <w:r>
              <w:t>95</w:t>
            </w:r>
          </w:p>
        </w:tc>
        <w:tc>
          <w:tcPr>
            <w:tcW w:w="1061" w:type="dxa"/>
            <w:shd w:val="clear" w:color="auto" w:fill="auto"/>
            <w:vAlign w:val="center"/>
          </w:tcPr>
          <w:p w14:paraId="1F471EA1" w14:textId="6483712A" w:rsidR="00521922" w:rsidRPr="00D17DA9" w:rsidRDefault="00352224" w:rsidP="004A27A8">
            <w:pPr>
              <w:pStyle w:val="NoSpacing"/>
              <w:jc w:val="center"/>
            </w:pPr>
            <w:r>
              <w:t>34.5%</w:t>
            </w:r>
          </w:p>
        </w:tc>
        <w:tc>
          <w:tcPr>
            <w:tcW w:w="830" w:type="dxa"/>
            <w:shd w:val="clear" w:color="auto" w:fill="auto"/>
            <w:vAlign w:val="center"/>
          </w:tcPr>
          <w:p w14:paraId="066EDA1D" w14:textId="695C9EE7" w:rsidR="00521922" w:rsidRPr="00D17DA9" w:rsidRDefault="00CC2C21" w:rsidP="004A27A8">
            <w:pPr>
              <w:pStyle w:val="NoSpacing"/>
              <w:jc w:val="center"/>
            </w:pPr>
            <w:r>
              <w:t>990</w:t>
            </w:r>
          </w:p>
        </w:tc>
        <w:tc>
          <w:tcPr>
            <w:tcW w:w="1003" w:type="dxa"/>
            <w:shd w:val="clear" w:color="auto" w:fill="auto"/>
            <w:vAlign w:val="center"/>
          </w:tcPr>
          <w:p w14:paraId="65B232EB" w14:textId="2CF389E6" w:rsidR="00521922" w:rsidRPr="00D17DA9" w:rsidRDefault="00352224" w:rsidP="004A27A8">
            <w:pPr>
              <w:pStyle w:val="NoSpacing"/>
              <w:jc w:val="center"/>
            </w:pPr>
            <w:r>
              <w:t>29.2%</w:t>
            </w:r>
          </w:p>
        </w:tc>
      </w:tr>
      <w:tr w:rsidR="00521922" w:rsidRPr="00D17DA9" w14:paraId="69B14E27" w14:textId="77777777" w:rsidTr="004A455C">
        <w:trPr>
          <w:trHeight w:val="362"/>
          <w:jc w:val="center"/>
        </w:trPr>
        <w:tc>
          <w:tcPr>
            <w:tcW w:w="4717" w:type="dxa"/>
            <w:shd w:val="clear" w:color="auto" w:fill="auto"/>
            <w:vAlign w:val="center"/>
          </w:tcPr>
          <w:p w14:paraId="36EE2E9D" w14:textId="01C0D31A" w:rsidR="00521922" w:rsidRPr="00D17DA9" w:rsidRDefault="00521922" w:rsidP="004A27A8">
            <w:pPr>
              <w:pStyle w:val="NoSpacing"/>
            </w:pPr>
            <w:r w:rsidRPr="00D17DA9">
              <w:t>Region II</w:t>
            </w:r>
          </w:p>
          <w:p w14:paraId="14FFBA8F" w14:textId="5F4DADFE" w:rsidR="00521922" w:rsidRPr="00D17DA9" w:rsidRDefault="00521922" w:rsidP="004A27A8">
            <w:pPr>
              <w:pStyle w:val="NoSpacing"/>
              <w:rPr>
                <w:i/>
              </w:rPr>
            </w:pPr>
            <w:r w:rsidRPr="00D17DA9">
              <w:rPr>
                <w:i/>
              </w:rPr>
              <w:t>Androscoggin, Franklin, Oxford, and Sagadahoc</w:t>
            </w:r>
          </w:p>
        </w:tc>
        <w:tc>
          <w:tcPr>
            <w:tcW w:w="875" w:type="dxa"/>
            <w:shd w:val="clear" w:color="auto" w:fill="auto"/>
            <w:vAlign w:val="center"/>
          </w:tcPr>
          <w:p w14:paraId="31A4C8DB" w14:textId="1BBA0C66" w:rsidR="00521922" w:rsidRPr="00D17DA9" w:rsidRDefault="00CC2C21" w:rsidP="004A27A8">
            <w:pPr>
              <w:pStyle w:val="NoSpacing"/>
              <w:jc w:val="center"/>
            </w:pPr>
            <w:r>
              <w:t>71</w:t>
            </w:r>
          </w:p>
        </w:tc>
        <w:tc>
          <w:tcPr>
            <w:tcW w:w="1061" w:type="dxa"/>
            <w:shd w:val="clear" w:color="auto" w:fill="auto"/>
            <w:vAlign w:val="center"/>
          </w:tcPr>
          <w:p w14:paraId="19BA4949" w14:textId="0DE828AE" w:rsidR="00521922" w:rsidRPr="00D17DA9" w:rsidRDefault="00352224" w:rsidP="004A27A8">
            <w:pPr>
              <w:pStyle w:val="NoSpacing"/>
              <w:jc w:val="center"/>
            </w:pPr>
            <w:r>
              <w:t>25.8%</w:t>
            </w:r>
          </w:p>
        </w:tc>
        <w:tc>
          <w:tcPr>
            <w:tcW w:w="830" w:type="dxa"/>
            <w:shd w:val="clear" w:color="auto" w:fill="auto"/>
            <w:vAlign w:val="center"/>
          </w:tcPr>
          <w:p w14:paraId="1A9A3330" w14:textId="26023786" w:rsidR="00521922" w:rsidRPr="00D17DA9" w:rsidRDefault="00CC2C21" w:rsidP="004A27A8">
            <w:pPr>
              <w:pStyle w:val="NoSpacing"/>
              <w:jc w:val="center"/>
            </w:pPr>
            <w:r>
              <w:t>744</w:t>
            </w:r>
          </w:p>
        </w:tc>
        <w:tc>
          <w:tcPr>
            <w:tcW w:w="1003" w:type="dxa"/>
            <w:shd w:val="clear" w:color="auto" w:fill="auto"/>
            <w:vAlign w:val="center"/>
          </w:tcPr>
          <w:p w14:paraId="28AA7EB9" w14:textId="4B101792" w:rsidR="00521922" w:rsidRPr="00D17DA9" w:rsidRDefault="00352224" w:rsidP="004A27A8">
            <w:pPr>
              <w:pStyle w:val="NoSpacing"/>
              <w:jc w:val="center"/>
            </w:pPr>
            <w:r>
              <w:t>21.9%</w:t>
            </w:r>
          </w:p>
        </w:tc>
      </w:tr>
      <w:tr w:rsidR="00521922" w:rsidRPr="00D17DA9" w14:paraId="1478249F" w14:textId="77777777" w:rsidTr="004A455C">
        <w:trPr>
          <w:trHeight w:val="362"/>
          <w:jc w:val="center"/>
        </w:trPr>
        <w:tc>
          <w:tcPr>
            <w:tcW w:w="4717" w:type="dxa"/>
            <w:shd w:val="clear" w:color="auto" w:fill="auto"/>
            <w:vAlign w:val="center"/>
          </w:tcPr>
          <w:p w14:paraId="4218C3DD" w14:textId="77777777" w:rsidR="00521922" w:rsidRPr="00D17DA9" w:rsidRDefault="00521922" w:rsidP="004A27A8">
            <w:pPr>
              <w:pStyle w:val="NoSpacing"/>
            </w:pPr>
            <w:r w:rsidRPr="00D17DA9">
              <w:t>Region III</w:t>
            </w:r>
          </w:p>
          <w:p w14:paraId="521018DD" w14:textId="4B1EBFEA" w:rsidR="00521922" w:rsidRPr="00D17DA9" w:rsidRDefault="00521922" w:rsidP="004A27A8">
            <w:pPr>
              <w:pStyle w:val="NoSpacing"/>
              <w:rPr>
                <w:i/>
              </w:rPr>
            </w:pPr>
            <w:r w:rsidRPr="00D17DA9">
              <w:rPr>
                <w:i/>
              </w:rPr>
              <w:t>Kennebec, Knox, Lincoln, Somerset, and Waldo</w:t>
            </w:r>
          </w:p>
        </w:tc>
        <w:tc>
          <w:tcPr>
            <w:tcW w:w="875" w:type="dxa"/>
            <w:shd w:val="clear" w:color="auto" w:fill="auto"/>
            <w:vAlign w:val="center"/>
          </w:tcPr>
          <w:p w14:paraId="4E96C94D" w14:textId="5345F520" w:rsidR="0027220C" w:rsidRPr="00D17DA9" w:rsidRDefault="00CC2C21" w:rsidP="0027220C">
            <w:pPr>
              <w:pStyle w:val="NoSpacing"/>
              <w:jc w:val="center"/>
            </w:pPr>
            <w:r>
              <w:t>53</w:t>
            </w:r>
          </w:p>
        </w:tc>
        <w:tc>
          <w:tcPr>
            <w:tcW w:w="1061" w:type="dxa"/>
            <w:shd w:val="clear" w:color="auto" w:fill="auto"/>
            <w:vAlign w:val="center"/>
          </w:tcPr>
          <w:p w14:paraId="09B561D9" w14:textId="2B1F30C1" w:rsidR="00521922" w:rsidRPr="00D17DA9" w:rsidRDefault="00352224" w:rsidP="003A7CFB">
            <w:pPr>
              <w:pStyle w:val="NoSpacing"/>
              <w:jc w:val="center"/>
            </w:pPr>
            <w:r>
              <w:t>19.3%</w:t>
            </w:r>
          </w:p>
        </w:tc>
        <w:tc>
          <w:tcPr>
            <w:tcW w:w="830" w:type="dxa"/>
            <w:shd w:val="clear" w:color="auto" w:fill="auto"/>
            <w:vAlign w:val="center"/>
          </w:tcPr>
          <w:p w14:paraId="0E777144" w14:textId="38948A96" w:rsidR="00521922" w:rsidRPr="00D17DA9" w:rsidRDefault="00CC2C21" w:rsidP="004A27A8">
            <w:pPr>
              <w:pStyle w:val="NoSpacing"/>
              <w:jc w:val="center"/>
            </w:pPr>
            <w:r>
              <w:t>876</w:t>
            </w:r>
          </w:p>
        </w:tc>
        <w:tc>
          <w:tcPr>
            <w:tcW w:w="1003" w:type="dxa"/>
            <w:shd w:val="clear" w:color="auto" w:fill="auto"/>
            <w:vAlign w:val="center"/>
          </w:tcPr>
          <w:p w14:paraId="1740F05C" w14:textId="397CEB39" w:rsidR="00521922" w:rsidRPr="00D17DA9" w:rsidRDefault="00352224" w:rsidP="004A27A8">
            <w:pPr>
              <w:pStyle w:val="NoSpacing"/>
              <w:jc w:val="center"/>
            </w:pPr>
            <w:r>
              <w:t>25.8%</w:t>
            </w:r>
          </w:p>
        </w:tc>
      </w:tr>
      <w:tr w:rsidR="00521922" w:rsidRPr="00D17DA9" w14:paraId="1F7F5B41" w14:textId="77777777" w:rsidTr="004A455C">
        <w:trPr>
          <w:trHeight w:val="362"/>
          <w:jc w:val="center"/>
        </w:trPr>
        <w:tc>
          <w:tcPr>
            <w:tcW w:w="4717" w:type="dxa"/>
            <w:shd w:val="clear" w:color="auto" w:fill="auto"/>
            <w:vAlign w:val="center"/>
          </w:tcPr>
          <w:p w14:paraId="75B54A8C" w14:textId="6FCE3C65" w:rsidR="00521922" w:rsidRPr="00D17DA9" w:rsidRDefault="00521922" w:rsidP="004A27A8">
            <w:pPr>
              <w:pStyle w:val="NoSpacing"/>
            </w:pPr>
            <w:r w:rsidRPr="00D17DA9">
              <w:t>Region IV</w:t>
            </w:r>
          </w:p>
          <w:p w14:paraId="6021B40A" w14:textId="46F9D532" w:rsidR="00521922" w:rsidRPr="00D17DA9" w:rsidRDefault="00521922" w:rsidP="004A27A8">
            <w:pPr>
              <w:pStyle w:val="NoSpacing"/>
              <w:rPr>
                <w:i/>
              </w:rPr>
            </w:pPr>
            <w:r w:rsidRPr="00D17DA9">
              <w:rPr>
                <w:i/>
              </w:rPr>
              <w:t>Hancock, Penobscot, Piscataquis, and Washington</w:t>
            </w:r>
          </w:p>
        </w:tc>
        <w:tc>
          <w:tcPr>
            <w:tcW w:w="875" w:type="dxa"/>
            <w:shd w:val="clear" w:color="auto" w:fill="auto"/>
            <w:vAlign w:val="center"/>
          </w:tcPr>
          <w:p w14:paraId="0804C588" w14:textId="6263AE6F" w:rsidR="00521922" w:rsidRPr="00D17DA9" w:rsidRDefault="00CC2C21" w:rsidP="004A27A8">
            <w:pPr>
              <w:pStyle w:val="NoSpacing"/>
              <w:jc w:val="center"/>
            </w:pPr>
            <w:r>
              <w:t>48</w:t>
            </w:r>
          </w:p>
        </w:tc>
        <w:tc>
          <w:tcPr>
            <w:tcW w:w="1061" w:type="dxa"/>
            <w:shd w:val="clear" w:color="auto" w:fill="auto"/>
            <w:vAlign w:val="center"/>
          </w:tcPr>
          <w:p w14:paraId="3A1A9EC4" w14:textId="25F0594C" w:rsidR="00521922" w:rsidRPr="00D17DA9" w:rsidRDefault="00352224" w:rsidP="004A27A8">
            <w:pPr>
              <w:pStyle w:val="NoSpacing"/>
              <w:jc w:val="center"/>
            </w:pPr>
            <w:r>
              <w:t>17.5%</w:t>
            </w:r>
          </w:p>
        </w:tc>
        <w:tc>
          <w:tcPr>
            <w:tcW w:w="830" w:type="dxa"/>
            <w:shd w:val="clear" w:color="auto" w:fill="auto"/>
            <w:vAlign w:val="center"/>
          </w:tcPr>
          <w:p w14:paraId="2A498D10" w14:textId="01B65986" w:rsidR="00521922" w:rsidRPr="00D17DA9" w:rsidRDefault="00CC2C21" w:rsidP="004A27A8">
            <w:pPr>
              <w:pStyle w:val="NoSpacing"/>
              <w:jc w:val="center"/>
            </w:pPr>
            <w:r>
              <w:t>544</w:t>
            </w:r>
          </w:p>
        </w:tc>
        <w:tc>
          <w:tcPr>
            <w:tcW w:w="1003" w:type="dxa"/>
            <w:shd w:val="clear" w:color="auto" w:fill="auto"/>
            <w:vAlign w:val="center"/>
          </w:tcPr>
          <w:p w14:paraId="62B559B4" w14:textId="17DD6CF6" w:rsidR="00521922" w:rsidRPr="00D17DA9" w:rsidRDefault="00352224" w:rsidP="004A27A8">
            <w:pPr>
              <w:pStyle w:val="NoSpacing"/>
              <w:jc w:val="center"/>
            </w:pPr>
            <w:r>
              <w:t>16.0%</w:t>
            </w:r>
          </w:p>
        </w:tc>
      </w:tr>
      <w:tr w:rsidR="00521922" w:rsidRPr="00D17DA9" w14:paraId="1D9ED210" w14:textId="77777777" w:rsidTr="004A455C">
        <w:trPr>
          <w:trHeight w:val="362"/>
          <w:jc w:val="center"/>
        </w:trPr>
        <w:tc>
          <w:tcPr>
            <w:tcW w:w="4717" w:type="dxa"/>
            <w:shd w:val="clear" w:color="auto" w:fill="auto"/>
            <w:vAlign w:val="center"/>
          </w:tcPr>
          <w:p w14:paraId="7974AE0F" w14:textId="77777777" w:rsidR="00521922" w:rsidRPr="00D17DA9" w:rsidRDefault="00521922" w:rsidP="004A27A8">
            <w:pPr>
              <w:pStyle w:val="NoSpacing"/>
            </w:pPr>
            <w:r w:rsidRPr="00D17DA9">
              <w:t>Region V</w:t>
            </w:r>
          </w:p>
          <w:p w14:paraId="73DC80C3" w14:textId="0C467FEC" w:rsidR="00521922" w:rsidRPr="00D17DA9" w:rsidRDefault="00521922" w:rsidP="004A27A8">
            <w:pPr>
              <w:pStyle w:val="NoSpacing"/>
              <w:rPr>
                <w:i/>
              </w:rPr>
            </w:pPr>
            <w:r w:rsidRPr="00D17DA9">
              <w:rPr>
                <w:i/>
              </w:rPr>
              <w:t>Aroostook</w:t>
            </w:r>
          </w:p>
        </w:tc>
        <w:tc>
          <w:tcPr>
            <w:tcW w:w="875" w:type="dxa"/>
            <w:shd w:val="clear" w:color="auto" w:fill="auto"/>
            <w:vAlign w:val="center"/>
          </w:tcPr>
          <w:p w14:paraId="6D44A2DC" w14:textId="38DDCDA7" w:rsidR="00521922" w:rsidRPr="00D17DA9" w:rsidRDefault="00CC2C21" w:rsidP="004A27A8">
            <w:pPr>
              <w:pStyle w:val="NoSpacing"/>
              <w:jc w:val="center"/>
            </w:pPr>
            <w:r>
              <w:t>6</w:t>
            </w:r>
          </w:p>
        </w:tc>
        <w:tc>
          <w:tcPr>
            <w:tcW w:w="1061" w:type="dxa"/>
            <w:shd w:val="clear" w:color="auto" w:fill="auto"/>
            <w:vAlign w:val="center"/>
          </w:tcPr>
          <w:p w14:paraId="7D28D305" w14:textId="2EB451C8" w:rsidR="00521922" w:rsidRPr="00D17DA9" w:rsidRDefault="00352224" w:rsidP="004A27A8">
            <w:pPr>
              <w:pStyle w:val="NoSpacing"/>
              <w:jc w:val="center"/>
            </w:pPr>
            <w:r>
              <w:t>2.2%</w:t>
            </w:r>
          </w:p>
        </w:tc>
        <w:tc>
          <w:tcPr>
            <w:tcW w:w="830" w:type="dxa"/>
            <w:shd w:val="clear" w:color="auto" w:fill="auto"/>
            <w:vAlign w:val="center"/>
          </w:tcPr>
          <w:p w14:paraId="223465D2" w14:textId="772C158B" w:rsidR="00521922" w:rsidRPr="00D17DA9" w:rsidRDefault="00CC2C21" w:rsidP="004A27A8">
            <w:pPr>
              <w:pStyle w:val="NoSpacing"/>
              <w:jc w:val="center"/>
            </w:pPr>
            <w:r>
              <w:t>179</w:t>
            </w:r>
          </w:p>
        </w:tc>
        <w:tc>
          <w:tcPr>
            <w:tcW w:w="1003" w:type="dxa"/>
            <w:shd w:val="clear" w:color="auto" w:fill="auto"/>
            <w:vAlign w:val="center"/>
          </w:tcPr>
          <w:p w14:paraId="4F32FEA2" w14:textId="3E8D6C77" w:rsidR="00521922" w:rsidRPr="00D17DA9" w:rsidRDefault="00352224" w:rsidP="004A27A8">
            <w:pPr>
              <w:pStyle w:val="NoSpacing"/>
              <w:jc w:val="center"/>
            </w:pPr>
            <w:r>
              <w:t>5.3%</w:t>
            </w:r>
          </w:p>
        </w:tc>
      </w:tr>
      <w:tr w:rsidR="00CC2C21" w:rsidRPr="00D17DA9" w14:paraId="25D7245B" w14:textId="77777777" w:rsidTr="004A455C">
        <w:trPr>
          <w:trHeight w:val="362"/>
          <w:jc w:val="center"/>
        </w:trPr>
        <w:tc>
          <w:tcPr>
            <w:tcW w:w="4717" w:type="dxa"/>
            <w:shd w:val="clear" w:color="auto" w:fill="auto"/>
            <w:vAlign w:val="center"/>
          </w:tcPr>
          <w:p w14:paraId="1D9449BF" w14:textId="5E818DD7" w:rsidR="00CC2C21" w:rsidRPr="00CC2C21" w:rsidRDefault="00CC2C21" w:rsidP="00CC2C21">
            <w:pPr>
              <w:pStyle w:val="NoSpacing"/>
            </w:pPr>
            <w:r>
              <w:t>Out of State</w:t>
            </w:r>
          </w:p>
        </w:tc>
        <w:tc>
          <w:tcPr>
            <w:tcW w:w="875" w:type="dxa"/>
            <w:shd w:val="clear" w:color="auto" w:fill="auto"/>
            <w:vAlign w:val="center"/>
          </w:tcPr>
          <w:p w14:paraId="5CDDE174" w14:textId="59B02C8E" w:rsidR="00CC2C21" w:rsidRPr="00CC2C21" w:rsidRDefault="00CC2C21" w:rsidP="00CC2C21">
            <w:pPr>
              <w:pStyle w:val="NoSpacing"/>
              <w:jc w:val="center"/>
            </w:pPr>
            <w:r>
              <w:t>2</w:t>
            </w:r>
          </w:p>
        </w:tc>
        <w:tc>
          <w:tcPr>
            <w:tcW w:w="1061" w:type="dxa"/>
            <w:shd w:val="clear" w:color="auto" w:fill="auto"/>
            <w:vAlign w:val="center"/>
          </w:tcPr>
          <w:p w14:paraId="471EFA67" w14:textId="68109E71" w:rsidR="00CC2C21" w:rsidRPr="00CC2C21" w:rsidRDefault="00352224" w:rsidP="00352224">
            <w:pPr>
              <w:pStyle w:val="NoSpacing"/>
              <w:jc w:val="center"/>
            </w:pPr>
            <w:r>
              <w:t>0.7%</w:t>
            </w:r>
          </w:p>
        </w:tc>
        <w:tc>
          <w:tcPr>
            <w:tcW w:w="830" w:type="dxa"/>
            <w:shd w:val="clear" w:color="auto" w:fill="auto"/>
            <w:vAlign w:val="center"/>
          </w:tcPr>
          <w:p w14:paraId="0A792467" w14:textId="1265A1C4" w:rsidR="00CC2C21" w:rsidRPr="00CC2C21" w:rsidRDefault="00CC2C21" w:rsidP="00CC2C21">
            <w:pPr>
              <w:pStyle w:val="NoSpacing"/>
              <w:jc w:val="center"/>
            </w:pPr>
            <w:r>
              <w:t>63</w:t>
            </w:r>
          </w:p>
        </w:tc>
        <w:tc>
          <w:tcPr>
            <w:tcW w:w="1003" w:type="dxa"/>
            <w:shd w:val="clear" w:color="auto" w:fill="auto"/>
            <w:vAlign w:val="center"/>
          </w:tcPr>
          <w:p w14:paraId="647634DE" w14:textId="7B2B32AF" w:rsidR="00CC2C21" w:rsidRPr="00CC2C21" w:rsidRDefault="00352224" w:rsidP="00352224">
            <w:pPr>
              <w:pStyle w:val="NoSpacing"/>
              <w:jc w:val="center"/>
            </w:pPr>
            <w:r>
              <w:t>1.8%</w:t>
            </w:r>
          </w:p>
        </w:tc>
      </w:tr>
      <w:tr w:rsidR="003A7CFB" w:rsidRPr="00D17DA9" w14:paraId="575B59C7" w14:textId="77777777" w:rsidTr="004A455C">
        <w:trPr>
          <w:trHeight w:val="362"/>
          <w:jc w:val="center"/>
        </w:trPr>
        <w:tc>
          <w:tcPr>
            <w:tcW w:w="4717" w:type="dxa"/>
            <w:shd w:val="clear" w:color="auto" w:fill="auto"/>
            <w:vAlign w:val="center"/>
          </w:tcPr>
          <w:p w14:paraId="27BD4F9F" w14:textId="66900840" w:rsidR="003A7CFB" w:rsidRPr="00D17DA9" w:rsidRDefault="003A7CFB" w:rsidP="003A7CFB">
            <w:pPr>
              <w:pStyle w:val="NoSpacing"/>
              <w:jc w:val="right"/>
              <w:rPr>
                <w:b/>
              </w:rPr>
            </w:pPr>
            <w:r w:rsidRPr="00D17DA9">
              <w:rPr>
                <w:b/>
              </w:rPr>
              <w:t>TOTAL</w:t>
            </w:r>
          </w:p>
        </w:tc>
        <w:tc>
          <w:tcPr>
            <w:tcW w:w="875" w:type="dxa"/>
            <w:shd w:val="clear" w:color="auto" w:fill="auto"/>
            <w:vAlign w:val="center"/>
          </w:tcPr>
          <w:p w14:paraId="24A4433B" w14:textId="54AAB390" w:rsidR="003A7CFB" w:rsidRPr="00D17DA9" w:rsidRDefault="00352224" w:rsidP="003A7CFB">
            <w:pPr>
              <w:pStyle w:val="NoSpacing"/>
              <w:jc w:val="center"/>
              <w:rPr>
                <w:b/>
              </w:rPr>
            </w:pPr>
            <w:r>
              <w:rPr>
                <w:b/>
              </w:rPr>
              <w:fldChar w:fldCharType="begin"/>
            </w:r>
            <w:r>
              <w:rPr>
                <w:b/>
              </w:rPr>
              <w:instrText xml:space="preserve"> =SUM(ABOVE) </w:instrText>
            </w:r>
            <w:r>
              <w:rPr>
                <w:b/>
              </w:rPr>
              <w:fldChar w:fldCharType="separate"/>
            </w:r>
            <w:r>
              <w:rPr>
                <w:b/>
                <w:noProof/>
              </w:rPr>
              <w:t>275</w:t>
            </w:r>
            <w:r>
              <w:rPr>
                <w:b/>
              </w:rPr>
              <w:fldChar w:fldCharType="end"/>
            </w:r>
          </w:p>
        </w:tc>
        <w:tc>
          <w:tcPr>
            <w:tcW w:w="1061" w:type="dxa"/>
            <w:shd w:val="clear" w:color="auto" w:fill="auto"/>
            <w:vAlign w:val="center"/>
          </w:tcPr>
          <w:p w14:paraId="4CB3F850" w14:textId="27665B82" w:rsidR="003A7CFB" w:rsidRPr="00D17DA9" w:rsidRDefault="00352224" w:rsidP="003A7CFB">
            <w:pPr>
              <w:pStyle w:val="NoSpacing"/>
              <w:jc w:val="center"/>
              <w:rPr>
                <w:b/>
              </w:rPr>
            </w:pPr>
            <w:r>
              <w:rPr>
                <w:b/>
              </w:rPr>
              <w:t>100.0%</w:t>
            </w:r>
          </w:p>
        </w:tc>
        <w:tc>
          <w:tcPr>
            <w:tcW w:w="830" w:type="dxa"/>
            <w:shd w:val="clear" w:color="auto" w:fill="auto"/>
            <w:vAlign w:val="center"/>
          </w:tcPr>
          <w:p w14:paraId="2F49F2A6" w14:textId="15FDFD85" w:rsidR="003A7CFB" w:rsidRPr="00D17DA9" w:rsidRDefault="00352224" w:rsidP="003A7CFB">
            <w:pPr>
              <w:pStyle w:val="NoSpacing"/>
              <w:jc w:val="center"/>
              <w:rPr>
                <w:b/>
              </w:rPr>
            </w:pPr>
            <w:r>
              <w:rPr>
                <w:b/>
              </w:rPr>
              <w:fldChar w:fldCharType="begin"/>
            </w:r>
            <w:r>
              <w:rPr>
                <w:b/>
              </w:rPr>
              <w:instrText xml:space="preserve"> =SUM(ABOVE) </w:instrText>
            </w:r>
            <w:r>
              <w:rPr>
                <w:b/>
              </w:rPr>
              <w:fldChar w:fldCharType="separate"/>
            </w:r>
            <w:r>
              <w:rPr>
                <w:b/>
                <w:noProof/>
              </w:rPr>
              <w:t>3,396</w:t>
            </w:r>
            <w:r>
              <w:rPr>
                <w:b/>
              </w:rPr>
              <w:fldChar w:fldCharType="end"/>
            </w:r>
          </w:p>
        </w:tc>
        <w:tc>
          <w:tcPr>
            <w:tcW w:w="1003" w:type="dxa"/>
            <w:shd w:val="clear" w:color="auto" w:fill="auto"/>
            <w:vAlign w:val="center"/>
          </w:tcPr>
          <w:p w14:paraId="42EE9F20" w14:textId="3A5D8A6F" w:rsidR="003A7CFB" w:rsidRPr="00D17DA9" w:rsidRDefault="00352224" w:rsidP="003A7CFB">
            <w:pPr>
              <w:pStyle w:val="NoSpacing"/>
              <w:jc w:val="center"/>
              <w:rPr>
                <w:b/>
              </w:rPr>
            </w:pPr>
            <w:r>
              <w:rPr>
                <w:b/>
              </w:rPr>
              <w:t>100.0%</w:t>
            </w:r>
          </w:p>
        </w:tc>
      </w:tr>
    </w:tbl>
    <w:p w14:paraId="2B68C744" w14:textId="77777777" w:rsidR="00525BF3" w:rsidRPr="00D17DA9" w:rsidRDefault="00525BF3" w:rsidP="00525BF3">
      <w:pPr>
        <w:spacing w:after="0" w:line="240" w:lineRule="auto"/>
        <w:jc w:val="center"/>
      </w:pPr>
    </w:p>
    <w:p w14:paraId="6069CE5C" w14:textId="77777777" w:rsidR="0027220C" w:rsidRPr="00D17DA9" w:rsidRDefault="0027220C" w:rsidP="00525BF3">
      <w:pPr>
        <w:spacing w:after="0" w:line="240" w:lineRule="auto"/>
        <w:jc w:val="center"/>
      </w:pPr>
    </w:p>
    <w:p w14:paraId="561E8E77" w14:textId="77777777" w:rsidR="0027220C" w:rsidRPr="00D17DA9" w:rsidRDefault="0027220C" w:rsidP="00525BF3">
      <w:pPr>
        <w:spacing w:after="0" w:line="240" w:lineRule="auto"/>
        <w:jc w:val="center"/>
      </w:pPr>
    </w:p>
    <w:p w14:paraId="6D4C57E0" w14:textId="5FF74D42" w:rsidR="0027220C" w:rsidRDefault="0027220C" w:rsidP="00525BF3">
      <w:pPr>
        <w:spacing w:after="0" w:line="240" w:lineRule="auto"/>
        <w:jc w:val="center"/>
      </w:pPr>
    </w:p>
    <w:p w14:paraId="2D5BD52A" w14:textId="370D6D39" w:rsidR="00AD3C49" w:rsidRDefault="00AD3C49" w:rsidP="00525BF3">
      <w:pPr>
        <w:spacing w:after="0" w:line="240" w:lineRule="auto"/>
        <w:jc w:val="center"/>
      </w:pPr>
    </w:p>
    <w:p w14:paraId="1923E9B1" w14:textId="11C8F7CE" w:rsidR="00AD3C49" w:rsidRDefault="00AD3C49" w:rsidP="00525BF3">
      <w:pPr>
        <w:spacing w:after="0" w:line="240" w:lineRule="auto"/>
        <w:jc w:val="center"/>
      </w:pPr>
    </w:p>
    <w:p w14:paraId="65D75EC5" w14:textId="125B899B" w:rsidR="00AD3C49" w:rsidRDefault="00AD3C49" w:rsidP="00525BF3">
      <w:pPr>
        <w:spacing w:after="0" w:line="240" w:lineRule="auto"/>
        <w:jc w:val="center"/>
      </w:pPr>
    </w:p>
    <w:p w14:paraId="5CBAB136" w14:textId="012D3D69" w:rsidR="00AD3C49" w:rsidRDefault="00AD3C49" w:rsidP="00525BF3">
      <w:pPr>
        <w:spacing w:after="0" w:line="240" w:lineRule="auto"/>
        <w:jc w:val="center"/>
      </w:pPr>
    </w:p>
    <w:p w14:paraId="3F99A1FD" w14:textId="03E82D46" w:rsidR="00AD3C49" w:rsidRDefault="00AD3C49" w:rsidP="00525BF3">
      <w:pPr>
        <w:spacing w:after="0" w:line="240" w:lineRule="auto"/>
        <w:jc w:val="center"/>
      </w:pPr>
    </w:p>
    <w:p w14:paraId="7D1D8482" w14:textId="70716443" w:rsidR="00AD3C49" w:rsidRDefault="00AD3C49" w:rsidP="00525BF3">
      <w:pPr>
        <w:spacing w:after="0" w:line="240" w:lineRule="auto"/>
        <w:jc w:val="center"/>
      </w:pPr>
    </w:p>
    <w:p w14:paraId="4920540D" w14:textId="78455E58" w:rsidR="00AD3C49" w:rsidRDefault="00AD3C49" w:rsidP="00525BF3">
      <w:pPr>
        <w:spacing w:after="0" w:line="240" w:lineRule="auto"/>
        <w:jc w:val="center"/>
      </w:pPr>
    </w:p>
    <w:p w14:paraId="18415E31" w14:textId="1EC739F8" w:rsidR="00AD3C49" w:rsidRDefault="00AD3C49" w:rsidP="00525BF3">
      <w:pPr>
        <w:spacing w:after="0" w:line="240" w:lineRule="auto"/>
        <w:jc w:val="center"/>
      </w:pPr>
    </w:p>
    <w:p w14:paraId="5C07B376" w14:textId="2E7CA3F0" w:rsidR="00AD3C49" w:rsidRDefault="00AD3C49" w:rsidP="00525BF3">
      <w:pPr>
        <w:spacing w:after="0" w:line="240" w:lineRule="auto"/>
        <w:jc w:val="center"/>
      </w:pPr>
    </w:p>
    <w:p w14:paraId="7EAA0181" w14:textId="5B08B177" w:rsidR="00AD3C49" w:rsidRDefault="00AD3C49" w:rsidP="00525BF3">
      <w:pPr>
        <w:spacing w:after="0" w:line="240" w:lineRule="auto"/>
        <w:jc w:val="center"/>
      </w:pPr>
    </w:p>
    <w:p w14:paraId="778D08F4" w14:textId="789D79F7" w:rsidR="00AD3C49" w:rsidRDefault="00AD3C49" w:rsidP="00525BF3">
      <w:pPr>
        <w:spacing w:after="0" w:line="240" w:lineRule="auto"/>
        <w:jc w:val="center"/>
      </w:pPr>
    </w:p>
    <w:p w14:paraId="4C5CE65A" w14:textId="22FDDAA5" w:rsidR="00AD3C49" w:rsidRDefault="00AD3C49" w:rsidP="00525BF3">
      <w:pPr>
        <w:spacing w:after="0" w:line="240" w:lineRule="auto"/>
        <w:jc w:val="center"/>
      </w:pPr>
    </w:p>
    <w:p w14:paraId="7FB9BE82" w14:textId="13CE87E0" w:rsidR="00AD3C49" w:rsidRDefault="00AD3C49" w:rsidP="00525BF3">
      <w:pPr>
        <w:spacing w:after="0" w:line="240" w:lineRule="auto"/>
        <w:jc w:val="center"/>
      </w:pPr>
    </w:p>
    <w:p w14:paraId="753F5F95" w14:textId="1B42D4B6" w:rsidR="00AD3C49" w:rsidRDefault="00AD3C49" w:rsidP="00525BF3">
      <w:pPr>
        <w:spacing w:after="0" w:line="240" w:lineRule="auto"/>
        <w:jc w:val="center"/>
      </w:pPr>
    </w:p>
    <w:p w14:paraId="28F8C6E3" w14:textId="77777777" w:rsidR="00936F73" w:rsidRDefault="00936F73" w:rsidP="00936F73">
      <w:pPr>
        <w:pStyle w:val="Heading2"/>
        <w:keepNext w:val="0"/>
        <w:keepLines w:val="0"/>
        <w:numPr>
          <w:ilvl w:val="1"/>
          <w:numId w:val="1"/>
        </w:numPr>
        <w:spacing w:before="0" w:line="240" w:lineRule="auto"/>
        <w:rPr>
          <w:rFonts w:asciiTheme="minorHAnsi" w:hAnsiTheme="minorHAnsi"/>
          <w:color w:val="auto"/>
          <w:sz w:val="22"/>
          <w:szCs w:val="22"/>
        </w:rPr>
      </w:pPr>
      <w:r>
        <w:rPr>
          <w:rFonts w:asciiTheme="minorHAnsi" w:hAnsiTheme="minorHAnsi"/>
          <w:color w:val="auto"/>
          <w:sz w:val="22"/>
          <w:szCs w:val="22"/>
        </w:rPr>
        <w:t>Students with Disabilities</w:t>
      </w:r>
    </w:p>
    <w:p w14:paraId="6AF2BAEB" w14:textId="77777777" w:rsidR="00936F73" w:rsidRDefault="00936F73" w:rsidP="00936F73">
      <w:pPr>
        <w:spacing w:after="0" w:line="240" w:lineRule="auto"/>
        <w:ind w:left="720"/>
      </w:pPr>
      <w:r>
        <w:t xml:space="preserve">Students with disabilities are both represented in DVR’s current caseload and are an indicator of the possible disability distribution and needs of the future.  </w:t>
      </w:r>
      <w:r w:rsidRPr="004A27A8">
        <w:t xml:space="preserve">Using a current breakout of student ages 14 to 20 by disability category (see Chart 14), DVR can project that the students with learning disabilities and those with physical impairments continue to be the largest disability population.  </w:t>
      </w:r>
    </w:p>
    <w:p w14:paraId="7CF9BC02" w14:textId="77777777" w:rsidR="00936F73" w:rsidRPr="004B5150" w:rsidRDefault="00936F73" w:rsidP="00936F73">
      <w:pPr>
        <w:pStyle w:val="ListParagraph"/>
        <w:spacing w:before="200" w:after="240" w:line="240" w:lineRule="auto"/>
        <w:rPr>
          <w:b/>
          <w:szCs w:val="24"/>
        </w:rPr>
      </w:pPr>
      <w:r w:rsidRPr="004B5150">
        <w:rPr>
          <w:b/>
          <w:szCs w:val="24"/>
        </w:rPr>
        <w:t>Findings</w:t>
      </w:r>
    </w:p>
    <w:p w14:paraId="13AE95A3" w14:textId="08D6DD53" w:rsidR="00936F73" w:rsidRPr="00A37B74" w:rsidRDefault="00936F73" w:rsidP="00936F73">
      <w:pPr>
        <w:pStyle w:val="ListParagraph"/>
        <w:numPr>
          <w:ilvl w:val="0"/>
          <w:numId w:val="9"/>
        </w:numPr>
        <w:spacing w:before="200" w:after="240" w:line="240" w:lineRule="auto"/>
      </w:pPr>
      <w:r w:rsidRPr="00A37B74">
        <w:t>Based on a total of 9,</w:t>
      </w:r>
      <w:r>
        <w:t>338</w:t>
      </w:r>
      <w:r w:rsidRPr="00A37B74">
        <w:t xml:space="preserve"> students in this age group in Maine schools, only </w:t>
      </w:r>
      <w:r>
        <w:t>37</w:t>
      </w:r>
      <w:r w:rsidRPr="00A37B74">
        <w:t xml:space="preserve"> students (0.4%) are identified as hearing impaired and </w:t>
      </w:r>
      <w:r w:rsidR="00B47515">
        <w:t>19</w:t>
      </w:r>
      <w:r w:rsidRPr="00A37B74">
        <w:t xml:space="preserve"> students (0.2%) are identified as having a traumatic brain injury.  </w:t>
      </w:r>
    </w:p>
    <w:p w14:paraId="2BAF39E6" w14:textId="5104370E" w:rsidR="00936F73" w:rsidRDefault="00936F73" w:rsidP="00936F73">
      <w:pPr>
        <w:pStyle w:val="ListParagraph"/>
        <w:numPr>
          <w:ilvl w:val="0"/>
          <w:numId w:val="9"/>
        </w:numPr>
        <w:spacing w:before="200" w:after="240" w:line="240" w:lineRule="auto"/>
      </w:pPr>
      <w:r w:rsidRPr="00A37B74">
        <w:t>Autism numbers continue to grow with a total number of students (n=8</w:t>
      </w:r>
      <w:r w:rsidR="00B47515">
        <w:t>59</w:t>
      </w:r>
      <w:r w:rsidRPr="00A37B74">
        <w:t>) in 201</w:t>
      </w:r>
      <w:r w:rsidR="00B47515">
        <w:t>6</w:t>
      </w:r>
      <w:r w:rsidRPr="00A37B74">
        <w:t>, further analysis (see Section E. Other Populations with Disabilities below) reveals that this number will be increasing significantly in the coming years.</w:t>
      </w:r>
    </w:p>
    <w:p w14:paraId="7C4D026B" w14:textId="77777777" w:rsidR="00936F73" w:rsidRPr="00D17DA9" w:rsidRDefault="00936F73" w:rsidP="00936F73">
      <w:pPr>
        <w:pStyle w:val="ListParagraph"/>
        <w:spacing w:after="0" w:line="240" w:lineRule="auto"/>
      </w:pPr>
    </w:p>
    <w:p w14:paraId="3162C938" w14:textId="77777777" w:rsidR="00936F73" w:rsidRPr="00D17DA9" w:rsidRDefault="00936F73" w:rsidP="00936F73">
      <w:pPr>
        <w:pStyle w:val="ListParagraph"/>
        <w:spacing w:line="240" w:lineRule="auto"/>
        <w:jc w:val="center"/>
        <w:rPr>
          <w:b/>
        </w:rPr>
      </w:pPr>
      <w:r w:rsidRPr="00D17DA9">
        <w:rPr>
          <w:b/>
        </w:rPr>
        <w:t>CHART 14</w:t>
      </w:r>
    </w:p>
    <w:p w14:paraId="35CE370C" w14:textId="77777777" w:rsidR="00936F73" w:rsidRPr="00D17DA9" w:rsidRDefault="00936F73" w:rsidP="00936F73">
      <w:pPr>
        <w:pStyle w:val="ListParagraph"/>
        <w:spacing w:line="240" w:lineRule="auto"/>
        <w:jc w:val="center"/>
        <w:rPr>
          <w:b/>
        </w:rPr>
      </w:pPr>
      <w:r w:rsidRPr="00D17DA9">
        <w:rPr>
          <w:b/>
        </w:rPr>
        <w:t xml:space="preserve">Anticipated Need for Employment Services among Special Education Students </w:t>
      </w:r>
    </w:p>
    <w:p w14:paraId="432288B2" w14:textId="64A3CFB9" w:rsidR="00936F73" w:rsidRPr="00D17DA9" w:rsidRDefault="00936F73" w:rsidP="00936F73">
      <w:pPr>
        <w:pStyle w:val="ListParagraph"/>
        <w:spacing w:line="240" w:lineRule="auto"/>
        <w:jc w:val="center"/>
        <w:rPr>
          <w:b/>
        </w:rPr>
      </w:pPr>
      <w:r w:rsidRPr="00D17DA9">
        <w:rPr>
          <w:b/>
        </w:rPr>
        <w:t xml:space="preserve">Ages 14 to 20 </w:t>
      </w:r>
      <w:r>
        <w:rPr>
          <w:b/>
        </w:rPr>
        <w:t>from School Year 2012–2019</w:t>
      </w:r>
    </w:p>
    <w:p w14:paraId="1EE2FD7E" w14:textId="77777777" w:rsidR="00936F73" w:rsidRPr="00D17DA9" w:rsidRDefault="00936F73" w:rsidP="00936F73">
      <w:pPr>
        <w:pStyle w:val="ListParagraph"/>
        <w:spacing w:line="240" w:lineRule="auto"/>
        <w:ind w:left="360"/>
        <w:jc w:val="center"/>
        <w:rPr>
          <w:b/>
        </w:rPr>
      </w:pPr>
      <w:r w:rsidRPr="00D17DA9">
        <w:rPr>
          <w:b/>
          <w:noProof/>
        </w:rPr>
        <w:drawing>
          <wp:inline distT="0" distB="0" distL="0" distR="0" wp14:anchorId="7962108F" wp14:editId="1585E175">
            <wp:extent cx="6400800" cy="4073236"/>
            <wp:effectExtent l="0" t="0" r="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2382AD" w14:textId="77777777" w:rsidR="00936F73" w:rsidRDefault="00936F73" w:rsidP="00936F73">
      <w:pPr>
        <w:pStyle w:val="ListParagraph"/>
        <w:spacing w:after="0" w:line="240" w:lineRule="auto"/>
        <w:rPr>
          <w:b/>
        </w:rPr>
      </w:pPr>
    </w:p>
    <w:p w14:paraId="3E58C74B" w14:textId="77777777" w:rsidR="00936F73" w:rsidRDefault="00936F73" w:rsidP="00936F73">
      <w:pPr>
        <w:pStyle w:val="ListParagraph"/>
        <w:spacing w:after="0" w:line="240" w:lineRule="auto"/>
        <w:rPr>
          <w:b/>
        </w:rPr>
      </w:pPr>
    </w:p>
    <w:p w14:paraId="6EE254AC" w14:textId="77777777" w:rsidR="00936F73" w:rsidRDefault="00936F73" w:rsidP="00936F73">
      <w:pPr>
        <w:pStyle w:val="ListParagraph"/>
        <w:spacing w:after="0" w:line="240" w:lineRule="auto"/>
        <w:rPr>
          <w:b/>
        </w:rPr>
      </w:pPr>
    </w:p>
    <w:p w14:paraId="7BD72ECF" w14:textId="77777777" w:rsidR="00936F73" w:rsidRDefault="00936F73" w:rsidP="00936F73">
      <w:pPr>
        <w:pStyle w:val="ListParagraph"/>
        <w:spacing w:after="0" w:line="240" w:lineRule="auto"/>
        <w:rPr>
          <w:b/>
        </w:rPr>
      </w:pPr>
    </w:p>
    <w:p w14:paraId="092BC3CC" w14:textId="77777777" w:rsidR="00936F73" w:rsidRDefault="00936F73" w:rsidP="00936F73">
      <w:pPr>
        <w:pStyle w:val="ListParagraph"/>
        <w:spacing w:after="0" w:line="240" w:lineRule="auto"/>
        <w:rPr>
          <w:b/>
        </w:rPr>
      </w:pPr>
    </w:p>
    <w:p w14:paraId="6F0321AD" w14:textId="77777777" w:rsidR="00936F73" w:rsidRDefault="00936F73" w:rsidP="00936F73">
      <w:pPr>
        <w:pStyle w:val="ListParagraph"/>
        <w:spacing w:after="0" w:line="240" w:lineRule="auto"/>
        <w:rPr>
          <w:b/>
        </w:rPr>
      </w:pPr>
    </w:p>
    <w:p w14:paraId="662FEF5E" w14:textId="77777777" w:rsidR="00936F73" w:rsidRDefault="00936F73" w:rsidP="00936F73">
      <w:pPr>
        <w:pStyle w:val="ListParagraph"/>
        <w:spacing w:after="0" w:line="240" w:lineRule="auto"/>
        <w:rPr>
          <w:b/>
        </w:rPr>
      </w:pPr>
    </w:p>
    <w:p w14:paraId="57FEDD5C" w14:textId="77777777" w:rsidR="00936F73" w:rsidRDefault="00936F73" w:rsidP="00936F73">
      <w:pPr>
        <w:pStyle w:val="ListParagraph"/>
        <w:spacing w:after="0" w:line="240" w:lineRule="auto"/>
        <w:rPr>
          <w:b/>
        </w:rPr>
      </w:pPr>
    </w:p>
    <w:p w14:paraId="677F080F" w14:textId="77777777" w:rsidR="00936F73" w:rsidRDefault="00936F73" w:rsidP="00936F73">
      <w:pPr>
        <w:pStyle w:val="ListParagraph"/>
        <w:spacing w:after="0" w:line="240" w:lineRule="auto"/>
        <w:rPr>
          <w:b/>
        </w:rPr>
      </w:pPr>
    </w:p>
    <w:p w14:paraId="0F650809" w14:textId="77777777" w:rsidR="00936F73" w:rsidRDefault="00936F73" w:rsidP="00936F73">
      <w:pPr>
        <w:pStyle w:val="Heading2"/>
        <w:keepNext w:val="0"/>
        <w:keepLines w:val="0"/>
        <w:numPr>
          <w:ilvl w:val="1"/>
          <w:numId w:val="1"/>
        </w:numPr>
        <w:spacing w:before="0" w:line="240" w:lineRule="auto"/>
        <w:rPr>
          <w:rFonts w:asciiTheme="minorHAnsi" w:hAnsiTheme="minorHAnsi"/>
          <w:color w:val="auto"/>
          <w:sz w:val="22"/>
          <w:szCs w:val="22"/>
        </w:rPr>
      </w:pPr>
      <w:r>
        <w:rPr>
          <w:rFonts w:asciiTheme="minorHAnsi" w:hAnsiTheme="minorHAnsi"/>
          <w:color w:val="auto"/>
          <w:sz w:val="22"/>
          <w:szCs w:val="22"/>
        </w:rPr>
        <w:t>Distribution of DVR Transition Counselors</w:t>
      </w:r>
    </w:p>
    <w:p w14:paraId="31F1F9EB" w14:textId="77777777" w:rsidR="00936F73" w:rsidRPr="00EC28B8" w:rsidRDefault="00936F73" w:rsidP="00936F73">
      <w:pPr>
        <w:spacing w:after="0" w:line="240" w:lineRule="auto"/>
        <w:ind w:left="720"/>
      </w:pPr>
      <w:r w:rsidRPr="00EC28B8">
        <w:t>Each Maine high school and private special purpose school has an assigned VR Counselor who has primary responsibility for serving its students.  Recent changes in Maine law have required administrative consoli</w:t>
      </w:r>
      <w:r>
        <w:t>dation of school districts.  Thus</w:t>
      </w:r>
      <w:r w:rsidRPr="00EC28B8">
        <w:t>, many high schools are in new districts that may not align with DVR service districts.  Additionally, a small number of high schools have closed or have been com</w:t>
      </w:r>
      <w:r>
        <w:t xml:space="preserve">bined with other high schools.  </w:t>
      </w:r>
      <w:r w:rsidRPr="00EC28B8">
        <w:t xml:space="preserve">Chart 15 examines the numbers of VR Counselors who serve transition students with the current population of students in special education who are between the ages of 14 and 20.  </w:t>
      </w:r>
    </w:p>
    <w:p w14:paraId="2B0D6C23" w14:textId="77777777" w:rsidR="00936F73" w:rsidRPr="00371CA3" w:rsidRDefault="00936F73" w:rsidP="00936F73">
      <w:pPr>
        <w:pStyle w:val="ListParagraph"/>
        <w:spacing w:line="240" w:lineRule="auto"/>
        <w:rPr>
          <w:b/>
          <w:szCs w:val="24"/>
        </w:rPr>
      </w:pPr>
    </w:p>
    <w:p w14:paraId="3CFA444C" w14:textId="77777777" w:rsidR="00936F73" w:rsidRPr="00371CA3" w:rsidRDefault="00936F73" w:rsidP="00936F73">
      <w:pPr>
        <w:pStyle w:val="ListParagraph"/>
        <w:spacing w:line="240" w:lineRule="auto"/>
        <w:rPr>
          <w:b/>
          <w:szCs w:val="24"/>
        </w:rPr>
      </w:pPr>
      <w:r w:rsidRPr="00371CA3">
        <w:rPr>
          <w:b/>
          <w:szCs w:val="24"/>
        </w:rPr>
        <w:t>Findings</w:t>
      </w:r>
    </w:p>
    <w:p w14:paraId="681AD952" w14:textId="77777777" w:rsidR="00936F73" w:rsidRPr="00A37B74" w:rsidRDefault="00936F73" w:rsidP="00936F73">
      <w:pPr>
        <w:pStyle w:val="ListParagraph"/>
        <w:numPr>
          <w:ilvl w:val="0"/>
          <w:numId w:val="10"/>
        </w:numPr>
        <w:spacing w:after="0" w:line="240" w:lineRule="auto"/>
      </w:pPr>
      <w:r w:rsidRPr="00A37B74">
        <w:t>While not all of these students will become VR clients, based on this analysis, there may be greater capacity in certain a</w:t>
      </w:r>
      <w:r>
        <w:t xml:space="preserve">reas of the state than others.  </w:t>
      </w:r>
      <w:r w:rsidRPr="00A37B74">
        <w:t xml:space="preserve">In particular, Region I (Cumberland and York) </w:t>
      </w:r>
      <w:r>
        <w:t>has</w:t>
      </w:r>
      <w:r w:rsidRPr="00A37B74">
        <w:t xml:space="preserve"> the potential to be asked to serve a greater number of transition-age clients per counselor in comparison to Region III (Kennebec, Knox, Lincoln, Somer</w:t>
      </w:r>
      <w:r>
        <w:t xml:space="preserve">set, and </w:t>
      </w:r>
      <w:r w:rsidRPr="00A37B74">
        <w:t xml:space="preserve">Waldo) and Region V (Aroostook).  </w:t>
      </w:r>
    </w:p>
    <w:p w14:paraId="69100417" w14:textId="77777777" w:rsidR="00936F73" w:rsidRPr="00A37B74" w:rsidRDefault="00936F73" w:rsidP="00936F73">
      <w:pPr>
        <w:pStyle w:val="ListParagraph"/>
        <w:numPr>
          <w:ilvl w:val="0"/>
          <w:numId w:val="10"/>
        </w:numPr>
        <w:spacing w:after="0" w:line="240" w:lineRule="auto"/>
      </w:pPr>
      <w:r w:rsidRPr="00A37B74">
        <w:t>In Region II (Androscoggin, Franklin, Oxford, and Sagadahoc)</w:t>
      </w:r>
      <w:r w:rsidRPr="0079216F">
        <w:t xml:space="preserve"> and Region IV (Hancock, Piscataquis, Penobscot and Washington)</w:t>
      </w:r>
      <w:r w:rsidRPr="00A37B74">
        <w:t>, there appears to be more equitable ratio of students to counselors.</w:t>
      </w:r>
    </w:p>
    <w:p w14:paraId="2679D660" w14:textId="77777777" w:rsidR="00936F73" w:rsidRPr="00D17DA9" w:rsidRDefault="00936F73" w:rsidP="00936F73">
      <w:pPr>
        <w:pStyle w:val="ListParagraph"/>
        <w:spacing w:after="0" w:line="240" w:lineRule="auto"/>
      </w:pPr>
    </w:p>
    <w:p w14:paraId="2B21E98F" w14:textId="77777777" w:rsidR="00936F73" w:rsidRPr="00D17DA9" w:rsidRDefault="00936F73" w:rsidP="00936F73">
      <w:pPr>
        <w:pStyle w:val="ListParagraph"/>
        <w:spacing w:line="240" w:lineRule="auto"/>
        <w:jc w:val="center"/>
        <w:rPr>
          <w:b/>
        </w:rPr>
      </w:pPr>
      <w:r w:rsidRPr="00D17DA9">
        <w:rPr>
          <w:b/>
        </w:rPr>
        <w:t>CHART 15</w:t>
      </w:r>
    </w:p>
    <w:p w14:paraId="4F09CDC4" w14:textId="77777777" w:rsidR="00936F73" w:rsidRPr="00D17DA9" w:rsidRDefault="00936F73" w:rsidP="00936F73">
      <w:pPr>
        <w:pStyle w:val="ListParagraph"/>
        <w:spacing w:line="240" w:lineRule="auto"/>
        <w:jc w:val="center"/>
        <w:rPr>
          <w:b/>
        </w:rPr>
      </w:pPr>
      <w:r w:rsidRPr="00D17DA9">
        <w:rPr>
          <w:b/>
        </w:rPr>
        <w:t>DVR Transition Counselors and Exceptionality Population by VR Region</w:t>
      </w:r>
    </w:p>
    <w:p w14:paraId="4627C898" w14:textId="77777777" w:rsidR="00936F73" w:rsidRPr="00D17DA9" w:rsidRDefault="00936F73" w:rsidP="00936F73">
      <w:pPr>
        <w:pStyle w:val="ListParagraph"/>
        <w:spacing w:line="240" w:lineRule="auto"/>
        <w:jc w:val="center"/>
        <w:rPr>
          <w:b/>
        </w:rPr>
      </w:pPr>
      <w:r w:rsidRPr="00D17DA9">
        <w:rPr>
          <w:b/>
        </w:rPr>
        <w:t xml:space="preserve">Students Ages 14 to 20 as of </w:t>
      </w:r>
      <w:r>
        <w:rPr>
          <w:b/>
        </w:rPr>
        <w:t>February 2018</w:t>
      </w:r>
    </w:p>
    <w:p w14:paraId="7F475ABD" w14:textId="77777777" w:rsidR="00936F73" w:rsidRPr="00D17DA9" w:rsidRDefault="00936F73" w:rsidP="00936F73">
      <w:pPr>
        <w:pStyle w:val="ListParagraph"/>
        <w:spacing w:line="240" w:lineRule="auto"/>
        <w:jc w:val="center"/>
        <w:rPr>
          <w:b/>
        </w:rPr>
      </w:pPr>
    </w:p>
    <w:p w14:paraId="6F70F799" w14:textId="77777777" w:rsidR="00936F73" w:rsidRPr="00D17DA9" w:rsidRDefault="00936F73" w:rsidP="00936F73">
      <w:pPr>
        <w:pStyle w:val="ListParagraph"/>
        <w:spacing w:after="0" w:line="240" w:lineRule="auto"/>
      </w:pPr>
      <w:r w:rsidRPr="00D17DA9">
        <w:rPr>
          <w:b/>
          <w:noProof/>
        </w:rPr>
        <w:drawing>
          <wp:inline distT="0" distB="0" distL="0" distR="0" wp14:anchorId="36585442" wp14:editId="75A53DD7">
            <wp:extent cx="5791200" cy="3291840"/>
            <wp:effectExtent l="0" t="0" r="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BD79AFF" w14:textId="77777777" w:rsidR="00936F73" w:rsidRDefault="00936F73" w:rsidP="00936F73">
      <w:pPr>
        <w:pStyle w:val="ListParagraph"/>
        <w:spacing w:after="0" w:line="240" w:lineRule="auto"/>
      </w:pPr>
    </w:p>
    <w:p w14:paraId="24D414C1" w14:textId="77777777" w:rsidR="0027220C" w:rsidRPr="00D17DA9" w:rsidRDefault="0027220C" w:rsidP="00525BF3">
      <w:pPr>
        <w:spacing w:after="0" w:line="240" w:lineRule="auto"/>
        <w:jc w:val="center"/>
      </w:pPr>
    </w:p>
    <w:p w14:paraId="772CE4A3" w14:textId="77777777" w:rsidR="0027220C" w:rsidRPr="00D17DA9" w:rsidRDefault="0027220C" w:rsidP="00525BF3">
      <w:pPr>
        <w:spacing w:after="0" w:line="240" w:lineRule="auto"/>
        <w:jc w:val="center"/>
      </w:pPr>
    </w:p>
    <w:p w14:paraId="104C27B8" w14:textId="77777777" w:rsidR="0027220C" w:rsidRPr="00D17DA9" w:rsidRDefault="0027220C" w:rsidP="00525BF3">
      <w:pPr>
        <w:spacing w:after="0" w:line="240" w:lineRule="auto"/>
        <w:jc w:val="center"/>
      </w:pPr>
    </w:p>
    <w:p w14:paraId="549C83E7" w14:textId="77777777" w:rsidR="0027220C" w:rsidRPr="00D17DA9" w:rsidRDefault="0027220C" w:rsidP="00525BF3">
      <w:pPr>
        <w:spacing w:after="0" w:line="240" w:lineRule="auto"/>
        <w:jc w:val="center"/>
      </w:pPr>
    </w:p>
    <w:p w14:paraId="137D0864" w14:textId="77777777" w:rsidR="0027220C" w:rsidRPr="00D17DA9" w:rsidRDefault="0027220C" w:rsidP="00525BF3">
      <w:pPr>
        <w:spacing w:after="0" w:line="240" w:lineRule="auto"/>
        <w:jc w:val="center"/>
      </w:pPr>
    </w:p>
    <w:p w14:paraId="1CAE1C3D" w14:textId="77777777" w:rsidR="0031600C" w:rsidRDefault="0031600C" w:rsidP="00B33111">
      <w:pPr>
        <w:pStyle w:val="NoSpacing"/>
        <w:ind w:firstLine="720"/>
        <w:rPr>
          <w:b/>
        </w:rPr>
      </w:pPr>
    </w:p>
    <w:p w14:paraId="04E4BC0C" w14:textId="7E0EE683" w:rsidR="00B33111" w:rsidRPr="00D0064C" w:rsidRDefault="00B33111" w:rsidP="00B33111">
      <w:pPr>
        <w:pStyle w:val="NoSpacing"/>
        <w:ind w:firstLine="720"/>
        <w:rPr>
          <w:b/>
        </w:rPr>
      </w:pPr>
      <w:r w:rsidRPr="00D0064C">
        <w:rPr>
          <w:b/>
        </w:rPr>
        <w:t>Deaf, Hard of Hearing &amp; Late Deafened</w:t>
      </w:r>
    </w:p>
    <w:p w14:paraId="77394A4F" w14:textId="77777777" w:rsidR="004547D9" w:rsidRDefault="00B33111" w:rsidP="00B33111">
      <w:pPr>
        <w:pStyle w:val="NoSpacing"/>
        <w:ind w:left="720"/>
      </w:pPr>
      <w:r w:rsidRPr="00D0064C">
        <w:t>Individuals who are deaf and hard of hearing are estimated to be 15% (37.5 million) of adults nationwide</w:t>
      </w:r>
      <w:r w:rsidRPr="00D0064C">
        <w:rPr>
          <w:noProof/>
        </w:rPr>
        <w:t xml:space="preserve"> (National Health Interview Survey, 2012)</w:t>
      </w:r>
      <w:r w:rsidRPr="00D0064C">
        <w:t xml:space="preserve">.  Rates of individuals identified with hearing loss increases with age.  In 2017, an estimated </w:t>
      </w:r>
      <w:r w:rsidR="00783F84" w:rsidRPr="00D0064C">
        <w:t>23,142</w:t>
      </w:r>
      <w:r w:rsidRPr="00D0064C">
        <w:t xml:space="preserve"> (5</w:t>
      </w:r>
      <w:r w:rsidR="00783F84" w:rsidRPr="00D0064C">
        <w:t>1</w:t>
      </w:r>
      <w:r w:rsidRPr="00D0064C">
        <w:t>%) Maine individuals of working age have a hearing disability.  After age 65, the percentage of individuals with hearing loss increases substantially (CWRI, 201</w:t>
      </w:r>
      <w:r w:rsidR="00783F84" w:rsidRPr="00D0064C">
        <w:t>9</w:t>
      </w:r>
      <w:r w:rsidRPr="00D0064C">
        <w:t>).  As seen in Chart 6, individuals with hearing loss served by DVR have a consistently higher rehabilitation rate (77% in FFY 201</w:t>
      </w:r>
      <w:r w:rsidR="00783F84" w:rsidRPr="00D0064C">
        <w:t>9</w:t>
      </w:r>
      <w:r w:rsidRPr="00D0064C">
        <w:t xml:space="preserve">) in comparison to individuals with other disabilities.  Individuals with hearing loss also have higher average weekly wages and hours worked at the time of DVR successful closure (See Chart 8).  </w:t>
      </w:r>
    </w:p>
    <w:p w14:paraId="40207B47" w14:textId="77777777" w:rsidR="004547D9" w:rsidRDefault="004547D9" w:rsidP="00B33111">
      <w:pPr>
        <w:pStyle w:val="NoSpacing"/>
        <w:ind w:left="720"/>
      </w:pPr>
    </w:p>
    <w:p w14:paraId="560ED3A0" w14:textId="6BE4B5D4" w:rsidR="00B33111" w:rsidRPr="00B33111" w:rsidRDefault="00B33111" w:rsidP="00B33111">
      <w:pPr>
        <w:pStyle w:val="NoSpacing"/>
        <w:ind w:left="720"/>
        <w:rPr>
          <w:color w:val="FF0000"/>
        </w:rPr>
      </w:pPr>
      <w:r w:rsidRPr="00D0064C">
        <w:t xml:space="preserve">Maine DVR’s Division for the Deaf, Hard of Hearing and Late Deafened (DDHHLD) houses a director, assistant to the director, and three Rehabilitation Counselors for the Deaf (RCDs).  The RCDs help individuals who are deaf or hard of hearing access and maintain employment.  BRS has a contractual agreement to procure hearing aids for eligible Maine clients of the Vocational Rehabilitation program.  This contract is in the form of a cooperative agreement through the state of Minnesota, which in turn contracts directly with hearing aid manufacturers around the US.  BRS has been making use of these contracts since October 2010 and has realized significant savings for the state, which has allowed DVR to serve additional individuals who otherwise may not have been able to access services.  </w:t>
      </w:r>
    </w:p>
    <w:p w14:paraId="177BD69B" w14:textId="77777777" w:rsidR="00B33111" w:rsidRDefault="00B33111" w:rsidP="00520FE1">
      <w:pPr>
        <w:pStyle w:val="NoSpacing"/>
        <w:ind w:left="720"/>
        <w:rPr>
          <w:color w:val="FF0000"/>
        </w:rPr>
      </w:pPr>
    </w:p>
    <w:p w14:paraId="34A05871" w14:textId="50F5C897" w:rsidR="00D96A99" w:rsidRPr="00D0064C" w:rsidRDefault="004F7832" w:rsidP="00520FE1">
      <w:pPr>
        <w:pStyle w:val="NoSpacing"/>
        <w:ind w:left="720"/>
      </w:pPr>
      <w:r w:rsidRPr="00D0064C">
        <w:t xml:space="preserve">The implementation of the wait list in 2016 changed the spending patterns for hearing aid and audiological expenditures.  </w:t>
      </w:r>
      <w:r w:rsidR="00520FE1" w:rsidRPr="00D0064C">
        <w:t>Chart 15-</w:t>
      </w:r>
      <w:r w:rsidRPr="00D0064C">
        <w:t>1 demonstrates a 41% decrease in the number of participants between</w:t>
      </w:r>
      <w:r w:rsidR="00C50604" w:rsidRPr="00D0064C">
        <w:t xml:space="preserve"> FFY 2016 and FFY 2017</w:t>
      </w:r>
      <w:r w:rsidRPr="00D0064C">
        <w:t xml:space="preserve">, </w:t>
      </w:r>
      <w:r w:rsidR="00C50604" w:rsidRPr="00D0064C">
        <w:t>and the average costs decreased</w:t>
      </w:r>
      <w:r w:rsidR="00FF66E3" w:rsidRPr="00D0064C">
        <w:t xml:space="preserve"> </w:t>
      </w:r>
      <w:r w:rsidR="00C50604" w:rsidRPr="00D0064C">
        <w:t>from $1,681 to $1,561 –</w:t>
      </w:r>
      <w:r w:rsidR="00FF66E3" w:rsidRPr="00D0064C">
        <w:t xml:space="preserve"> a 7</w:t>
      </w:r>
      <w:r w:rsidR="00C50604" w:rsidRPr="00D0064C">
        <w:t>% decrease.</w:t>
      </w:r>
      <w:r w:rsidR="004547D9">
        <w:t xml:space="preserve">  The number of participants increased by 72% from FFY 2017 to FFY 2019 and the average costs increased from $1,561 in FFY 2017 to $1,848 in FFY 2019 – a 16% increase.</w:t>
      </w:r>
    </w:p>
    <w:p w14:paraId="4946B837" w14:textId="61F0C099" w:rsidR="00750E33" w:rsidRDefault="00750E33" w:rsidP="00C01837">
      <w:pPr>
        <w:pStyle w:val="ListParagraph"/>
        <w:spacing w:line="240" w:lineRule="auto"/>
      </w:pPr>
    </w:p>
    <w:p w14:paraId="066CC266" w14:textId="324A2F96" w:rsidR="00520FE1" w:rsidRPr="00D17DA9" w:rsidRDefault="00520FE1" w:rsidP="00520FE1">
      <w:pPr>
        <w:pStyle w:val="ListParagraph"/>
        <w:spacing w:line="240" w:lineRule="auto"/>
        <w:jc w:val="center"/>
        <w:rPr>
          <w:b/>
        </w:rPr>
      </w:pPr>
      <w:r w:rsidRPr="00D17DA9">
        <w:rPr>
          <w:b/>
        </w:rPr>
        <w:t>CHART 15</w:t>
      </w:r>
      <w:r>
        <w:rPr>
          <w:b/>
        </w:rPr>
        <w:t>-1</w:t>
      </w:r>
    </w:p>
    <w:p w14:paraId="2E7AA64A" w14:textId="07E5D338" w:rsidR="00520FE1" w:rsidRPr="00D17DA9" w:rsidRDefault="00520FE1" w:rsidP="00520FE1">
      <w:pPr>
        <w:pStyle w:val="ListParagraph"/>
        <w:spacing w:line="240" w:lineRule="auto"/>
        <w:jc w:val="center"/>
        <w:rPr>
          <w:b/>
        </w:rPr>
      </w:pPr>
      <w:r>
        <w:rPr>
          <w:b/>
        </w:rPr>
        <w:t>Hearing Aid and Audiologist Expenditures</w:t>
      </w:r>
    </w:p>
    <w:p w14:paraId="7C84537E" w14:textId="77777777" w:rsidR="00520FE1" w:rsidRDefault="00520FE1" w:rsidP="00C01837">
      <w:pPr>
        <w:pStyle w:val="ListParagraph"/>
        <w:spacing w:line="240" w:lineRule="auto"/>
      </w:pPr>
    </w:p>
    <w:p w14:paraId="7B83F351" w14:textId="1A4949DA" w:rsidR="00520FE1" w:rsidRDefault="00520FE1" w:rsidP="00C01837">
      <w:pPr>
        <w:pStyle w:val="ListParagraph"/>
        <w:spacing w:line="240" w:lineRule="auto"/>
      </w:pPr>
      <w:r w:rsidRPr="00D17DA9">
        <w:rPr>
          <w:b/>
          <w:noProof/>
        </w:rPr>
        <w:drawing>
          <wp:inline distT="0" distB="0" distL="0" distR="0" wp14:anchorId="08A2FE80" wp14:editId="74F5102D">
            <wp:extent cx="6105525" cy="33242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1A75DF" w14:textId="77777777" w:rsidR="00520FE1" w:rsidRDefault="00520FE1" w:rsidP="00C01837">
      <w:pPr>
        <w:pStyle w:val="ListParagraph"/>
        <w:spacing w:line="240" w:lineRule="auto"/>
      </w:pPr>
    </w:p>
    <w:p w14:paraId="29943A76" w14:textId="77777777" w:rsidR="00E336D4" w:rsidRDefault="00E336D4" w:rsidP="00C01837">
      <w:pPr>
        <w:pStyle w:val="ListParagraph"/>
        <w:spacing w:line="240" w:lineRule="auto"/>
      </w:pPr>
    </w:p>
    <w:p w14:paraId="4BC457DD" w14:textId="77777777" w:rsidR="00D564D6" w:rsidRPr="00D17DA9" w:rsidRDefault="00D564D6" w:rsidP="00010E2A">
      <w:pPr>
        <w:pStyle w:val="ListParagraph"/>
        <w:numPr>
          <w:ilvl w:val="1"/>
          <w:numId w:val="1"/>
        </w:numPr>
        <w:rPr>
          <w:b/>
        </w:rPr>
      </w:pPr>
      <w:r w:rsidRPr="00D17DA9">
        <w:rPr>
          <w:b/>
        </w:rPr>
        <w:t>Appendix 2 – All Closures</w:t>
      </w:r>
    </w:p>
    <w:p w14:paraId="466B84ED" w14:textId="77777777" w:rsidR="00D564D6" w:rsidRPr="00D17DA9" w:rsidRDefault="00D564D6" w:rsidP="00D564D6">
      <w:pPr>
        <w:pStyle w:val="ListParagraph"/>
        <w:spacing w:line="240" w:lineRule="auto"/>
        <w:jc w:val="center"/>
        <w:rPr>
          <w:b/>
        </w:rPr>
      </w:pPr>
    </w:p>
    <w:p w14:paraId="4FABBEA7" w14:textId="14EA415C" w:rsidR="00D564D6" w:rsidRPr="00D17DA9" w:rsidRDefault="00D564D6" w:rsidP="00D564D6">
      <w:pPr>
        <w:pStyle w:val="ListParagraph"/>
        <w:spacing w:line="240" w:lineRule="auto"/>
        <w:jc w:val="center"/>
        <w:rPr>
          <w:b/>
        </w:rPr>
      </w:pPr>
      <w:r w:rsidRPr="00D17DA9">
        <w:rPr>
          <w:b/>
        </w:rPr>
        <w:t xml:space="preserve">Case Closure Status </w:t>
      </w:r>
      <w:r w:rsidR="00692938">
        <w:rPr>
          <w:b/>
        </w:rPr>
        <w:t>by Disability Type from FFY 201</w:t>
      </w:r>
      <w:r w:rsidR="00350683">
        <w:rPr>
          <w:b/>
        </w:rPr>
        <w:t>6</w:t>
      </w:r>
      <w:r w:rsidR="00692938">
        <w:rPr>
          <w:b/>
        </w:rPr>
        <w:t xml:space="preserve"> to FFY 201</w:t>
      </w:r>
      <w:r w:rsidR="00350683">
        <w:rPr>
          <w:b/>
        </w:rPr>
        <w:t>9</w:t>
      </w:r>
    </w:p>
    <w:p w14:paraId="0ABDF1C0" w14:textId="77777777" w:rsidR="00D564D6" w:rsidRPr="00D17DA9" w:rsidRDefault="00D564D6" w:rsidP="00D564D6">
      <w:pPr>
        <w:pStyle w:val="ListParagraph"/>
        <w:spacing w:line="240" w:lineRule="auto"/>
        <w:jc w:val="center"/>
        <w:rPr>
          <w:b/>
        </w:rPr>
      </w:pPr>
    </w:p>
    <w:tbl>
      <w:tblPr>
        <w:tblStyle w:val="TableGrid"/>
        <w:tblW w:w="4680" w:type="pct"/>
        <w:tblInd w:w="828" w:type="dxa"/>
        <w:tblLook w:val="04A0" w:firstRow="1" w:lastRow="0" w:firstColumn="1" w:lastColumn="0" w:noHBand="0" w:noVBand="1"/>
      </w:tblPr>
      <w:tblGrid>
        <w:gridCol w:w="4138"/>
        <w:gridCol w:w="1322"/>
        <w:gridCol w:w="1322"/>
        <w:gridCol w:w="1322"/>
        <w:gridCol w:w="1322"/>
      </w:tblGrid>
      <w:tr w:rsidR="00350683" w:rsidRPr="00D17DA9" w14:paraId="7B5DA20D" w14:textId="77777777" w:rsidTr="00350683">
        <w:trPr>
          <w:trHeight w:val="494"/>
        </w:trPr>
        <w:tc>
          <w:tcPr>
            <w:tcW w:w="2195" w:type="pct"/>
            <w:tcBorders>
              <w:bottom w:val="single" w:sz="4" w:space="0" w:color="auto"/>
            </w:tcBorders>
            <w:shd w:val="clear" w:color="auto" w:fill="838995" w:themeFill="accent5"/>
            <w:vAlign w:val="center"/>
          </w:tcPr>
          <w:p w14:paraId="33F00780" w14:textId="77777777" w:rsidR="00350683" w:rsidRPr="00D17DA9" w:rsidRDefault="00350683" w:rsidP="00350683">
            <w:pPr>
              <w:pStyle w:val="ListParagraph"/>
              <w:ind w:left="0"/>
              <w:jc w:val="center"/>
              <w:rPr>
                <w:b/>
                <w:color w:val="FFFFFF" w:themeColor="background1"/>
              </w:rPr>
            </w:pPr>
            <w:r w:rsidRPr="00D17DA9">
              <w:rPr>
                <w:b/>
                <w:color w:val="FFFFFF" w:themeColor="background1"/>
              </w:rPr>
              <w:t>ALL DVR CLOSURES</w:t>
            </w:r>
          </w:p>
        </w:tc>
        <w:tc>
          <w:tcPr>
            <w:tcW w:w="701" w:type="pct"/>
            <w:tcBorders>
              <w:bottom w:val="single" w:sz="4" w:space="0" w:color="auto"/>
            </w:tcBorders>
            <w:shd w:val="clear" w:color="auto" w:fill="838995" w:themeFill="accent5"/>
            <w:vAlign w:val="center"/>
          </w:tcPr>
          <w:p w14:paraId="48D54D42" w14:textId="49DCB411" w:rsidR="00350683" w:rsidRPr="00D17DA9" w:rsidRDefault="00350683" w:rsidP="00350683">
            <w:pPr>
              <w:pStyle w:val="ListParagraph"/>
              <w:ind w:left="0"/>
              <w:jc w:val="center"/>
              <w:rPr>
                <w:b/>
                <w:color w:val="FFFFFF" w:themeColor="background1"/>
              </w:rPr>
            </w:pPr>
            <w:r>
              <w:rPr>
                <w:b/>
                <w:color w:val="FFFFFF" w:themeColor="background1"/>
              </w:rPr>
              <w:t>FFY 2016</w:t>
            </w:r>
          </w:p>
        </w:tc>
        <w:tc>
          <w:tcPr>
            <w:tcW w:w="701" w:type="pct"/>
            <w:tcBorders>
              <w:bottom w:val="single" w:sz="4" w:space="0" w:color="auto"/>
            </w:tcBorders>
            <w:shd w:val="clear" w:color="auto" w:fill="838995" w:themeFill="accent5"/>
            <w:vAlign w:val="center"/>
          </w:tcPr>
          <w:p w14:paraId="3A01B28C" w14:textId="32F4CA04" w:rsidR="00350683" w:rsidRPr="00D17DA9" w:rsidRDefault="00350683" w:rsidP="00350683">
            <w:pPr>
              <w:pStyle w:val="ListParagraph"/>
              <w:ind w:left="0"/>
              <w:jc w:val="center"/>
              <w:rPr>
                <w:b/>
                <w:color w:val="FFFFFF" w:themeColor="background1"/>
              </w:rPr>
            </w:pPr>
            <w:r>
              <w:rPr>
                <w:b/>
                <w:color w:val="FFFFFF" w:themeColor="background1"/>
              </w:rPr>
              <w:t>FFY 2017</w:t>
            </w:r>
          </w:p>
        </w:tc>
        <w:tc>
          <w:tcPr>
            <w:tcW w:w="701" w:type="pct"/>
            <w:tcBorders>
              <w:bottom w:val="single" w:sz="4" w:space="0" w:color="auto"/>
            </w:tcBorders>
            <w:shd w:val="clear" w:color="auto" w:fill="838995" w:themeFill="accent5"/>
            <w:vAlign w:val="center"/>
          </w:tcPr>
          <w:p w14:paraId="3913FA2F" w14:textId="1F0C5278" w:rsidR="00350683" w:rsidRPr="00D17DA9" w:rsidRDefault="00350683" w:rsidP="00350683">
            <w:pPr>
              <w:pStyle w:val="ListParagraph"/>
              <w:ind w:left="0"/>
              <w:jc w:val="center"/>
              <w:rPr>
                <w:b/>
                <w:color w:val="FFFFFF" w:themeColor="background1"/>
              </w:rPr>
            </w:pPr>
            <w:r>
              <w:rPr>
                <w:b/>
                <w:color w:val="FFFFFF" w:themeColor="background1"/>
              </w:rPr>
              <w:t>FFY 2018</w:t>
            </w:r>
          </w:p>
        </w:tc>
        <w:tc>
          <w:tcPr>
            <w:tcW w:w="701" w:type="pct"/>
            <w:tcBorders>
              <w:bottom w:val="single" w:sz="4" w:space="0" w:color="auto"/>
            </w:tcBorders>
            <w:shd w:val="clear" w:color="auto" w:fill="838995" w:themeFill="accent5"/>
            <w:vAlign w:val="center"/>
          </w:tcPr>
          <w:p w14:paraId="1A5C8E8C" w14:textId="53D6D217" w:rsidR="00350683" w:rsidRPr="00D17DA9" w:rsidRDefault="00350683" w:rsidP="00350683">
            <w:pPr>
              <w:pStyle w:val="ListParagraph"/>
              <w:ind w:left="0"/>
              <w:jc w:val="center"/>
              <w:rPr>
                <w:b/>
                <w:color w:val="FFFFFF" w:themeColor="background1"/>
              </w:rPr>
            </w:pPr>
            <w:r>
              <w:rPr>
                <w:b/>
                <w:color w:val="FFFFFF" w:themeColor="background1"/>
              </w:rPr>
              <w:t>FFY 2019</w:t>
            </w:r>
          </w:p>
        </w:tc>
      </w:tr>
      <w:tr w:rsidR="00350683" w:rsidRPr="00D17DA9" w14:paraId="35DFF381" w14:textId="77777777" w:rsidTr="00AD3C49">
        <w:trPr>
          <w:trHeight w:val="429"/>
        </w:trPr>
        <w:tc>
          <w:tcPr>
            <w:tcW w:w="2195" w:type="pct"/>
            <w:shd w:val="clear" w:color="auto" w:fill="E6E7E9" w:themeFill="accent5" w:themeFillTint="33"/>
            <w:vAlign w:val="center"/>
          </w:tcPr>
          <w:p w14:paraId="521ED04C" w14:textId="77777777" w:rsidR="00350683" w:rsidRPr="00D17DA9" w:rsidRDefault="00350683" w:rsidP="00350683">
            <w:pPr>
              <w:pStyle w:val="ListParagraph"/>
              <w:ind w:left="0"/>
            </w:pPr>
            <w:r w:rsidRPr="00D17DA9">
              <w:t>Total Closures</w:t>
            </w:r>
          </w:p>
        </w:tc>
        <w:tc>
          <w:tcPr>
            <w:tcW w:w="701" w:type="pct"/>
            <w:shd w:val="clear" w:color="auto" w:fill="E6E7E9" w:themeFill="accent5" w:themeFillTint="33"/>
            <w:vAlign w:val="center"/>
          </w:tcPr>
          <w:p w14:paraId="1266D035" w14:textId="73F6CD1F" w:rsidR="00350683" w:rsidRPr="00D17DA9" w:rsidRDefault="00350683" w:rsidP="00350683">
            <w:pPr>
              <w:pStyle w:val="ListParagraph"/>
              <w:ind w:left="0"/>
              <w:jc w:val="center"/>
            </w:pPr>
            <w:r>
              <w:t>4,852</w:t>
            </w:r>
          </w:p>
        </w:tc>
        <w:tc>
          <w:tcPr>
            <w:tcW w:w="701" w:type="pct"/>
            <w:shd w:val="clear" w:color="auto" w:fill="E6E7E9" w:themeFill="accent5" w:themeFillTint="33"/>
            <w:vAlign w:val="center"/>
          </w:tcPr>
          <w:p w14:paraId="0D4E3A21" w14:textId="5E281E03" w:rsidR="00350683" w:rsidRPr="00D17DA9" w:rsidRDefault="00350683" w:rsidP="00350683">
            <w:pPr>
              <w:pStyle w:val="ListParagraph"/>
              <w:ind w:left="0"/>
              <w:jc w:val="center"/>
            </w:pPr>
            <w:r>
              <w:t>3,459</w:t>
            </w:r>
          </w:p>
        </w:tc>
        <w:tc>
          <w:tcPr>
            <w:tcW w:w="701" w:type="pct"/>
            <w:shd w:val="clear" w:color="auto" w:fill="E6E7E9" w:themeFill="accent5" w:themeFillTint="33"/>
            <w:vAlign w:val="center"/>
          </w:tcPr>
          <w:p w14:paraId="7C54D73C" w14:textId="7D00AB44" w:rsidR="00350683" w:rsidRPr="00D17DA9" w:rsidRDefault="00412505" w:rsidP="00350683">
            <w:pPr>
              <w:pStyle w:val="ListParagraph"/>
              <w:ind w:left="0"/>
              <w:jc w:val="center"/>
            </w:pPr>
            <w:r>
              <w:t>3,393</w:t>
            </w:r>
          </w:p>
        </w:tc>
        <w:tc>
          <w:tcPr>
            <w:tcW w:w="701" w:type="pct"/>
            <w:shd w:val="clear" w:color="auto" w:fill="E6E7E9" w:themeFill="accent5" w:themeFillTint="33"/>
            <w:vAlign w:val="center"/>
          </w:tcPr>
          <w:p w14:paraId="0329CBF4" w14:textId="4C95A205" w:rsidR="00350683" w:rsidRPr="00D17DA9" w:rsidRDefault="000E570B" w:rsidP="00350683">
            <w:pPr>
              <w:pStyle w:val="ListParagraph"/>
              <w:ind w:left="0"/>
              <w:jc w:val="center"/>
            </w:pPr>
            <w:r>
              <w:t>3,396</w:t>
            </w:r>
          </w:p>
        </w:tc>
      </w:tr>
      <w:tr w:rsidR="00350683" w:rsidRPr="00D17DA9" w14:paraId="7BDE2359" w14:textId="77777777" w:rsidTr="00AD3C49">
        <w:trPr>
          <w:trHeight w:val="429"/>
        </w:trPr>
        <w:tc>
          <w:tcPr>
            <w:tcW w:w="2195" w:type="pct"/>
            <w:shd w:val="clear" w:color="auto" w:fill="E6E7E9" w:themeFill="accent5" w:themeFillTint="33"/>
            <w:vAlign w:val="center"/>
          </w:tcPr>
          <w:p w14:paraId="6B8D5EC6" w14:textId="77777777" w:rsidR="00350683" w:rsidRPr="00D17DA9" w:rsidRDefault="00350683" w:rsidP="00350683">
            <w:pPr>
              <w:pStyle w:val="ListParagraph"/>
              <w:ind w:left="0"/>
              <w:jc w:val="right"/>
            </w:pPr>
            <w:r w:rsidRPr="00D17DA9">
              <w:t>Rehabilitated (Status 26)</w:t>
            </w:r>
          </w:p>
        </w:tc>
        <w:tc>
          <w:tcPr>
            <w:tcW w:w="701" w:type="pct"/>
            <w:shd w:val="clear" w:color="auto" w:fill="E6E7E9" w:themeFill="accent5" w:themeFillTint="33"/>
            <w:vAlign w:val="center"/>
          </w:tcPr>
          <w:p w14:paraId="077CCAD4" w14:textId="44144DC1" w:rsidR="00350683" w:rsidRPr="00D17DA9" w:rsidRDefault="00350683" w:rsidP="00350683">
            <w:pPr>
              <w:pStyle w:val="ListParagraph"/>
              <w:ind w:left="0"/>
              <w:jc w:val="center"/>
            </w:pPr>
            <w:r>
              <w:t>1,166</w:t>
            </w:r>
          </w:p>
        </w:tc>
        <w:tc>
          <w:tcPr>
            <w:tcW w:w="701" w:type="pct"/>
            <w:shd w:val="clear" w:color="auto" w:fill="E6E7E9" w:themeFill="accent5" w:themeFillTint="33"/>
            <w:vAlign w:val="center"/>
          </w:tcPr>
          <w:p w14:paraId="597DE9DA" w14:textId="59F7B7D5" w:rsidR="00350683" w:rsidRPr="00D17DA9" w:rsidRDefault="00350683" w:rsidP="00350683">
            <w:pPr>
              <w:pStyle w:val="ListParagraph"/>
              <w:ind w:left="0"/>
              <w:jc w:val="center"/>
            </w:pPr>
            <w:r>
              <w:t>758</w:t>
            </w:r>
          </w:p>
        </w:tc>
        <w:tc>
          <w:tcPr>
            <w:tcW w:w="701" w:type="pct"/>
            <w:shd w:val="clear" w:color="auto" w:fill="E6E7E9" w:themeFill="accent5" w:themeFillTint="33"/>
            <w:vAlign w:val="center"/>
          </w:tcPr>
          <w:p w14:paraId="60ED7D1F" w14:textId="19D9CABE" w:rsidR="00350683" w:rsidRPr="00D17DA9" w:rsidRDefault="001B0DE0" w:rsidP="00350683">
            <w:pPr>
              <w:pStyle w:val="ListParagraph"/>
              <w:ind w:left="0"/>
              <w:jc w:val="center"/>
            </w:pPr>
            <w:r>
              <w:t>737</w:t>
            </w:r>
          </w:p>
        </w:tc>
        <w:tc>
          <w:tcPr>
            <w:tcW w:w="701" w:type="pct"/>
            <w:shd w:val="clear" w:color="auto" w:fill="E6E7E9" w:themeFill="accent5" w:themeFillTint="33"/>
            <w:vAlign w:val="center"/>
          </w:tcPr>
          <w:p w14:paraId="2979B3A3" w14:textId="7384A405" w:rsidR="00350683" w:rsidRPr="00D17DA9" w:rsidRDefault="00EC64A2" w:rsidP="00350683">
            <w:pPr>
              <w:pStyle w:val="ListParagraph"/>
              <w:ind w:left="0"/>
              <w:jc w:val="center"/>
            </w:pPr>
            <w:r>
              <w:t>767</w:t>
            </w:r>
          </w:p>
        </w:tc>
      </w:tr>
      <w:tr w:rsidR="00350683" w:rsidRPr="00D17DA9" w14:paraId="3CB2FF70" w14:textId="77777777" w:rsidTr="00AD3C49">
        <w:trPr>
          <w:trHeight w:val="429"/>
        </w:trPr>
        <w:tc>
          <w:tcPr>
            <w:tcW w:w="2195" w:type="pct"/>
            <w:shd w:val="clear" w:color="auto" w:fill="E6E7E9" w:themeFill="accent5" w:themeFillTint="33"/>
            <w:vAlign w:val="center"/>
          </w:tcPr>
          <w:p w14:paraId="13FEF76F" w14:textId="77777777" w:rsidR="00350683" w:rsidRPr="00D17DA9" w:rsidRDefault="00350683" w:rsidP="00350683">
            <w:pPr>
              <w:pStyle w:val="ListParagraph"/>
              <w:ind w:left="0"/>
              <w:jc w:val="right"/>
            </w:pPr>
            <w:r w:rsidRPr="00D17DA9">
              <w:t>Other than Rehabilitated (Status 28)</w:t>
            </w:r>
          </w:p>
        </w:tc>
        <w:tc>
          <w:tcPr>
            <w:tcW w:w="701" w:type="pct"/>
            <w:shd w:val="clear" w:color="auto" w:fill="E6E7E9" w:themeFill="accent5" w:themeFillTint="33"/>
            <w:vAlign w:val="center"/>
          </w:tcPr>
          <w:p w14:paraId="4C58EB64" w14:textId="0F54549A" w:rsidR="00350683" w:rsidRPr="00D17DA9" w:rsidRDefault="00350683" w:rsidP="00350683">
            <w:pPr>
              <w:pStyle w:val="ListParagraph"/>
              <w:ind w:left="0"/>
              <w:jc w:val="center"/>
            </w:pPr>
            <w:r>
              <w:t>1,336</w:t>
            </w:r>
          </w:p>
        </w:tc>
        <w:tc>
          <w:tcPr>
            <w:tcW w:w="701" w:type="pct"/>
            <w:shd w:val="clear" w:color="auto" w:fill="E6E7E9" w:themeFill="accent5" w:themeFillTint="33"/>
            <w:vAlign w:val="center"/>
          </w:tcPr>
          <w:p w14:paraId="0A4B29A2" w14:textId="313E52D7" w:rsidR="00350683" w:rsidRPr="00D17DA9" w:rsidRDefault="00350683" w:rsidP="00350683">
            <w:pPr>
              <w:pStyle w:val="ListParagraph"/>
              <w:ind w:left="0"/>
              <w:jc w:val="center"/>
            </w:pPr>
            <w:r>
              <w:t>1,292</w:t>
            </w:r>
          </w:p>
        </w:tc>
        <w:tc>
          <w:tcPr>
            <w:tcW w:w="701" w:type="pct"/>
            <w:shd w:val="clear" w:color="auto" w:fill="E6E7E9" w:themeFill="accent5" w:themeFillTint="33"/>
            <w:vAlign w:val="center"/>
          </w:tcPr>
          <w:p w14:paraId="3DB80B97" w14:textId="71B54A15" w:rsidR="00350683" w:rsidRPr="00D17DA9" w:rsidRDefault="001B0DE0" w:rsidP="00350683">
            <w:pPr>
              <w:pStyle w:val="ListParagraph"/>
              <w:ind w:left="0"/>
              <w:jc w:val="center"/>
            </w:pPr>
            <w:r>
              <w:t>1,365</w:t>
            </w:r>
          </w:p>
        </w:tc>
        <w:tc>
          <w:tcPr>
            <w:tcW w:w="701" w:type="pct"/>
            <w:shd w:val="clear" w:color="auto" w:fill="E6E7E9" w:themeFill="accent5" w:themeFillTint="33"/>
            <w:vAlign w:val="center"/>
          </w:tcPr>
          <w:p w14:paraId="37671898" w14:textId="66D196F7" w:rsidR="00350683" w:rsidRPr="00D17DA9" w:rsidRDefault="00EC64A2" w:rsidP="00350683">
            <w:pPr>
              <w:pStyle w:val="ListParagraph"/>
              <w:ind w:left="0"/>
              <w:jc w:val="center"/>
            </w:pPr>
            <w:r>
              <w:t>1,472</w:t>
            </w:r>
          </w:p>
        </w:tc>
      </w:tr>
      <w:tr w:rsidR="00350683" w:rsidRPr="00D17DA9" w14:paraId="5C72CE6D" w14:textId="77777777" w:rsidTr="00AD3C49">
        <w:trPr>
          <w:trHeight w:val="429"/>
        </w:trPr>
        <w:tc>
          <w:tcPr>
            <w:tcW w:w="2195" w:type="pct"/>
            <w:shd w:val="clear" w:color="auto" w:fill="E6E7E9" w:themeFill="accent5" w:themeFillTint="33"/>
            <w:vAlign w:val="center"/>
          </w:tcPr>
          <w:p w14:paraId="39FE3D0F" w14:textId="77777777" w:rsidR="00350683" w:rsidRPr="00D17DA9" w:rsidRDefault="00350683" w:rsidP="00350683">
            <w:pPr>
              <w:pStyle w:val="ListParagraph"/>
              <w:ind w:left="0"/>
              <w:jc w:val="right"/>
              <w:rPr>
                <w:color w:val="FF0000"/>
              </w:rPr>
            </w:pPr>
            <w:r w:rsidRPr="00D17DA9">
              <w:t>Rehabilitation Rate</w:t>
            </w:r>
            <w:r w:rsidRPr="00D17DA9">
              <w:rPr>
                <w:color w:val="FF0000"/>
              </w:rPr>
              <w:t>*</w:t>
            </w:r>
          </w:p>
        </w:tc>
        <w:tc>
          <w:tcPr>
            <w:tcW w:w="701" w:type="pct"/>
            <w:shd w:val="clear" w:color="auto" w:fill="E6E7E9" w:themeFill="accent5" w:themeFillTint="33"/>
            <w:vAlign w:val="center"/>
          </w:tcPr>
          <w:p w14:paraId="1CDB577A" w14:textId="3EFCD31A" w:rsidR="00350683" w:rsidRPr="00D17DA9" w:rsidRDefault="00350683" w:rsidP="00350683">
            <w:pPr>
              <w:pStyle w:val="ListParagraph"/>
              <w:ind w:left="0"/>
              <w:jc w:val="center"/>
            </w:pPr>
            <w:r>
              <w:t>47%</w:t>
            </w:r>
          </w:p>
        </w:tc>
        <w:tc>
          <w:tcPr>
            <w:tcW w:w="701" w:type="pct"/>
            <w:shd w:val="clear" w:color="auto" w:fill="E6E7E9" w:themeFill="accent5" w:themeFillTint="33"/>
            <w:vAlign w:val="center"/>
          </w:tcPr>
          <w:p w14:paraId="25B79E38" w14:textId="043B73DA" w:rsidR="00350683" w:rsidRPr="00D17DA9" w:rsidRDefault="00350683" w:rsidP="00350683">
            <w:pPr>
              <w:pStyle w:val="ListParagraph"/>
              <w:ind w:left="0"/>
              <w:jc w:val="center"/>
            </w:pPr>
            <w:r>
              <w:t>37%</w:t>
            </w:r>
          </w:p>
        </w:tc>
        <w:tc>
          <w:tcPr>
            <w:tcW w:w="701" w:type="pct"/>
            <w:shd w:val="clear" w:color="auto" w:fill="E6E7E9" w:themeFill="accent5" w:themeFillTint="33"/>
            <w:vAlign w:val="center"/>
          </w:tcPr>
          <w:p w14:paraId="447062BA" w14:textId="1185268F" w:rsidR="00350683" w:rsidRPr="00D17DA9" w:rsidRDefault="001B0DE0" w:rsidP="00350683">
            <w:pPr>
              <w:pStyle w:val="ListParagraph"/>
              <w:ind w:left="0"/>
              <w:jc w:val="center"/>
            </w:pPr>
            <w:r>
              <w:t>35%</w:t>
            </w:r>
          </w:p>
        </w:tc>
        <w:tc>
          <w:tcPr>
            <w:tcW w:w="701" w:type="pct"/>
            <w:shd w:val="clear" w:color="auto" w:fill="E6E7E9" w:themeFill="accent5" w:themeFillTint="33"/>
            <w:vAlign w:val="center"/>
          </w:tcPr>
          <w:p w14:paraId="69794C54" w14:textId="6A39F459" w:rsidR="00350683" w:rsidRPr="00D17DA9" w:rsidRDefault="00EC64A2" w:rsidP="00350683">
            <w:pPr>
              <w:pStyle w:val="ListParagraph"/>
              <w:ind w:left="0"/>
              <w:jc w:val="center"/>
            </w:pPr>
            <w:r>
              <w:t>34%</w:t>
            </w:r>
          </w:p>
        </w:tc>
      </w:tr>
      <w:tr w:rsidR="00350683" w:rsidRPr="00D17DA9" w14:paraId="4B2BFCEF" w14:textId="77777777" w:rsidTr="00AD3C49">
        <w:trPr>
          <w:trHeight w:val="429"/>
        </w:trPr>
        <w:tc>
          <w:tcPr>
            <w:tcW w:w="2195" w:type="pct"/>
            <w:vAlign w:val="center"/>
          </w:tcPr>
          <w:p w14:paraId="3B661ADE" w14:textId="77777777" w:rsidR="00350683" w:rsidRPr="00D17DA9" w:rsidRDefault="00350683" w:rsidP="00350683">
            <w:pPr>
              <w:pStyle w:val="ListParagraph"/>
              <w:ind w:left="0"/>
            </w:pPr>
            <w:r w:rsidRPr="00D17DA9">
              <w:t>Visual or No Impairment</w:t>
            </w:r>
          </w:p>
        </w:tc>
        <w:tc>
          <w:tcPr>
            <w:tcW w:w="701" w:type="pct"/>
            <w:vAlign w:val="center"/>
          </w:tcPr>
          <w:p w14:paraId="2276BE5F" w14:textId="77D818C8" w:rsidR="00350683" w:rsidRPr="00D17DA9" w:rsidRDefault="00350683" w:rsidP="00350683">
            <w:pPr>
              <w:pStyle w:val="ListParagraph"/>
              <w:ind w:left="0"/>
              <w:jc w:val="center"/>
            </w:pPr>
            <w:r>
              <w:t>631</w:t>
            </w:r>
          </w:p>
        </w:tc>
        <w:tc>
          <w:tcPr>
            <w:tcW w:w="701" w:type="pct"/>
            <w:vAlign w:val="center"/>
          </w:tcPr>
          <w:p w14:paraId="40720FE0" w14:textId="383B9F67" w:rsidR="00350683" w:rsidRPr="00D17DA9" w:rsidRDefault="00350683" w:rsidP="00350683">
            <w:pPr>
              <w:pStyle w:val="ListParagraph"/>
              <w:ind w:left="0"/>
              <w:jc w:val="center"/>
            </w:pPr>
            <w:r>
              <w:t>494</w:t>
            </w:r>
          </w:p>
        </w:tc>
        <w:tc>
          <w:tcPr>
            <w:tcW w:w="701" w:type="pct"/>
            <w:vAlign w:val="center"/>
          </w:tcPr>
          <w:p w14:paraId="55A463F2" w14:textId="3B5D56C3" w:rsidR="00350683" w:rsidRPr="00D17DA9" w:rsidRDefault="001B0DE0" w:rsidP="00350683">
            <w:pPr>
              <w:pStyle w:val="ListParagraph"/>
              <w:ind w:left="0"/>
              <w:jc w:val="center"/>
            </w:pPr>
            <w:r>
              <w:t>488</w:t>
            </w:r>
          </w:p>
        </w:tc>
        <w:tc>
          <w:tcPr>
            <w:tcW w:w="701" w:type="pct"/>
            <w:vAlign w:val="center"/>
          </w:tcPr>
          <w:p w14:paraId="5721865F" w14:textId="2CBBED11" w:rsidR="00350683" w:rsidRPr="00D17DA9" w:rsidRDefault="000E570B" w:rsidP="00350683">
            <w:pPr>
              <w:pStyle w:val="ListParagraph"/>
              <w:ind w:left="0"/>
              <w:jc w:val="center"/>
            </w:pPr>
            <w:r>
              <w:t>499</w:t>
            </w:r>
          </w:p>
        </w:tc>
      </w:tr>
      <w:tr w:rsidR="00350683" w:rsidRPr="00D17DA9" w14:paraId="6EB24546" w14:textId="77777777" w:rsidTr="00AD3C49">
        <w:trPr>
          <w:trHeight w:val="429"/>
        </w:trPr>
        <w:tc>
          <w:tcPr>
            <w:tcW w:w="2195" w:type="pct"/>
            <w:vAlign w:val="center"/>
          </w:tcPr>
          <w:p w14:paraId="71933C5B" w14:textId="77777777" w:rsidR="00350683" w:rsidRPr="00D17DA9" w:rsidRDefault="00350683" w:rsidP="00350683">
            <w:pPr>
              <w:pStyle w:val="ListParagraph"/>
              <w:ind w:left="0"/>
              <w:jc w:val="right"/>
            </w:pPr>
            <w:r w:rsidRPr="00D17DA9">
              <w:t>Rehabilitated (Status 26)</w:t>
            </w:r>
          </w:p>
        </w:tc>
        <w:tc>
          <w:tcPr>
            <w:tcW w:w="701" w:type="pct"/>
            <w:vAlign w:val="center"/>
          </w:tcPr>
          <w:p w14:paraId="5EB562B4" w14:textId="625EF7E0" w:rsidR="00350683" w:rsidRPr="00D17DA9" w:rsidRDefault="00350683" w:rsidP="00350683">
            <w:pPr>
              <w:pStyle w:val="ListParagraph"/>
              <w:ind w:left="0"/>
              <w:jc w:val="center"/>
            </w:pPr>
            <w:r>
              <w:t>1</w:t>
            </w:r>
          </w:p>
        </w:tc>
        <w:tc>
          <w:tcPr>
            <w:tcW w:w="701" w:type="pct"/>
            <w:vAlign w:val="center"/>
          </w:tcPr>
          <w:p w14:paraId="6F987FCF" w14:textId="705834D3" w:rsidR="00350683" w:rsidRPr="00D17DA9" w:rsidRDefault="00350683" w:rsidP="00350683">
            <w:pPr>
              <w:pStyle w:val="ListParagraph"/>
              <w:ind w:left="0"/>
              <w:jc w:val="center"/>
            </w:pPr>
            <w:r>
              <w:t>2</w:t>
            </w:r>
          </w:p>
        </w:tc>
        <w:tc>
          <w:tcPr>
            <w:tcW w:w="701" w:type="pct"/>
            <w:vAlign w:val="center"/>
          </w:tcPr>
          <w:p w14:paraId="41AB3CED" w14:textId="18FA968C" w:rsidR="00350683" w:rsidRPr="00D17DA9" w:rsidRDefault="001B0DE0" w:rsidP="00350683">
            <w:pPr>
              <w:pStyle w:val="ListParagraph"/>
              <w:ind w:left="0"/>
              <w:jc w:val="center"/>
            </w:pPr>
            <w:r>
              <w:t>0</w:t>
            </w:r>
          </w:p>
        </w:tc>
        <w:tc>
          <w:tcPr>
            <w:tcW w:w="701" w:type="pct"/>
            <w:vAlign w:val="center"/>
          </w:tcPr>
          <w:p w14:paraId="387F5F9A" w14:textId="57CA3F24" w:rsidR="00350683" w:rsidRPr="00D17DA9" w:rsidRDefault="00EC64A2" w:rsidP="00350683">
            <w:pPr>
              <w:pStyle w:val="ListParagraph"/>
              <w:ind w:left="0"/>
              <w:jc w:val="center"/>
            </w:pPr>
            <w:r>
              <w:t>3</w:t>
            </w:r>
          </w:p>
        </w:tc>
      </w:tr>
      <w:tr w:rsidR="00350683" w:rsidRPr="00D17DA9" w14:paraId="7A01B366" w14:textId="77777777" w:rsidTr="00AD3C49">
        <w:trPr>
          <w:trHeight w:val="429"/>
        </w:trPr>
        <w:tc>
          <w:tcPr>
            <w:tcW w:w="2195" w:type="pct"/>
            <w:vAlign w:val="center"/>
          </w:tcPr>
          <w:p w14:paraId="48188A96" w14:textId="77777777" w:rsidR="00350683" w:rsidRPr="00D17DA9" w:rsidRDefault="00350683" w:rsidP="00350683">
            <w:pPr>
              <w:pStyle w:val="ListParagraph"/>
              <w:ind w:left="0"/>
              <w:jc w:val="right"/>
            </w:pPr>
            <w:r w:rsidRPr="00D17DA9">
              <w:t>Other than Rehabilitated (Status 28)</w:t>
            </w:r>
          </w:p>
        </w:tc>
        <w:tc>
          <w:tcPr>
            <w:tcW w:w="701" w:type="pct"/>
            <w:vAlign w:val="center"/>
          </w:tcPr>
          <w:p w14:paraId="7762743B" w14:textId="02EF6470" w:rsidR="00350683" w:rsidRPr="00D17DA9" w:rsidRDefault="00350683" w:rsidP="00350683">
            <w:pPr>
              <w:pStyle w:val="ListParagraph"/>
              <w:ind w:left="0"/>
              <w:jc w:val="center"/>
            </w:pPr>
            <w:r>
              <w:t>5</w:t>
            </w:r>
          </w:p>
        </w:tc>
        <w:tc>
          <w:tcPr>
            <w:tcW w:w="701" w:type="pct"/>
            <w:vAlign w:val="center"/>
          </w:tcPr>
          <w:p w14:paraId="1711E7C8" w14:textId="34ECD1D0" w:rsidR="00350683" w:rsidRPr="00D17DA9" w:rsidRDefault="00350683" w:rsidP="00350683">
            <w:pPr>
              <w:pStyle w:val="ListParagraph"/>
              <w:ind w:left="0"/>
              <w:jc w:val="center"/>
            </w:pPr>
            <w:r>
              <w:t>4</w:t>
            </w:r>
          </w:p>
        </w:tc>
        <w:tc>
          <w:tcPr>
            <w:tcW w:w="701" w:type="pct"/>
            <w:vAlign w:val="center"/>
          </w:tcPr>
          <w:p w14:paraId="6A73B528" w14:textId="52E80CED" w:rsidR="00350683" w:rsidRPr="00D17DA9" w:rsidRDefault="001B0DE0" w:rsidP="00350683">
            <w:pPr>
              <w:pStyle w:val="ListParagraph"/>
              <w:ind w:left="0"/>
              <w:jc w:val="center"/>
            </w:pPr>
            <w:r>
              <w:t>4</w:t>
            </w:r>
          </w:p>
        </w:tc>
        <w:tc>
          <w:tcPr>
            <w:tcW w:w="701" w:type="pct"/>
            <w:vAlign w:val="center"/>
          </w:tcPr>
          <w:p w14:paraId="70897594" w14:textId="04E52D89" w:rsidR="00350683" w:rsidRPr="00D17DA9" w:rsidRDefault="00EC64A2" w:rsidP="00350683">
            <w:pPr>
              <w:pStyle w:val="ListParagraph"/>
              <w:ind w:left="0"/>
              <w:jc w:val="center"/>
            </w:pPr>
            <w:r>
              <w:t>2</w:t>
            </w:r>
          </w:p>
        </w:tc>
      </w:tr>
      <w:tr w:rsidR="00350683" w:rsidRPr="00D17DA9" w14:paraId="7DCE08A3" w14:textId="77777777" w:rsidTr="00AD3C49">
        <w:trPr>
          <w:trHeight w:val="429"/>
        </w:trPr>
        <w:tc>
          <w:tcPr>
            <w:tcW w:w="2195" w:type="pct"/>
            <w:tcBorders>
              <w:bottom w:val="single" w:sz="4" w:space="0" w:color="auto"/>
            </w:tcBorders>
            <w:vAlign w:val="center"/>
          </w:tcPr>
          <w:p w14:paraId="2E4C50A2" w14:textId="77777777" w:rsidR="00350683" w:rsidRPr="00D17DA9" w:rsidRDefault="00350683" w:rsidP="00350683">
            <w:pPr>
              <w:pStyle w:val="ListParagraph"/>
              <w:ind w:left="0"/>
              <w:jc w:val="right"/>
              <w:rPr>
                <w:color w:val="FF0000"/>
              </w:rPr>
            </w:pPr>
            <w:r w:rsidRPr="00D17DA9">
              <w:t>Rehabilitation Rate</w:t>
            </w:r>
            <w:r w:rsidRPr="00D17DA9">
              <w:rPr>
                <w:color w:val="FF0000"/>
              </w:rPr>
              <w:t>*</w:t>
            </w:r>
          </w:p>
        </w:tc>
        <w:tc>
          <w:tcPr>
            <w:tcW w:w="701" w:type="pct"/>
            <w:tcBorders>
              <w:bottom w:val="single" w:sz="4" w:space="0" w:color="auto"/>
            </w:tcBorders>
            <w:vAlign w:val="center"/>
          </w:tcPr>
          <w:p w14:paraId="00799993" w14:textId="7C39EA15" w:rsidR="00350683" w:rsidRPr="00D17DA9" w:rsidRDefault="00350683" w:rsidP="00350683">
            <w:pPr>
              <w:pStyle w:val="ListParagraph"/>
              <w:ind w:left="0"/>
              <w:jc w:val="center"/>
            </w:pPr>
            <w:r>
              <w:t>17%</w:t>
            </w:r>
          </w:p>
        </w:tc>
        <w:tc>
          <w:tcPr>
            <w:tcW w:w="701" w:type="pct"/>
            <w:tcBorders>
              <w:bottom w:val="single" w:sz="4" w:space="0" w:color="auto"/>
            </w:tcBorders>
            <w:vAlign w:val="center"/>
          </w:tcPr>
          <w:p w14:paraId="54054BD5" w14:textId="54D63072" w:rsidR="00350683" w:rsidRPr="00D17DA9" w:rsidRDefault="00350683" w:rsidP="00350683">
            <w:pPr>
              <w:pStyle w:val="ListParagraph"/>
              <w:ind w:left="0"/>
              <w:jc w:val="center"/>
            </w:pPr>
            <w:r>
              <w:t>33%</w:t>
            </w:r>
          </w:p>
        </w:tc>
        <w:tc>
          <w:tcPr>
            <w:tcW w:w="701" w:type="pct"/>
            <w:tcBorders>
              <w:bottom w:val="single" w:sz="4" w:space="0" w:color="auto"/>
            </w:tcBorders>
            <w:vAlign w:val="center"/>
          </w:tcPr>
          <w:p w14:paraId="4C326404" w14:textId="7001FA44" w:rsidR="00350683" w:rsidRPr="00D17DA9" w:rsidRDefault="001B0DE0" w:rsidP="00350683">
            <w:pPr>
              <w:pStyle w:val="ListParagraph"/>
              <w:ind w:left="0"/>
              <w:jc w:val="center"/>
            </w:pPr>
            <w:r>
              <w:t>0%</w:t>
            </w:r>
          </w:p>
        </w:tc>
        <w:tc>
          <w:tcPr>
            <w:tcW w:w="701" w:type="pct"/>
            <w:tcBorders>
              <w:bottom w:val="single" w:sz="4" w:space="0" w:color="auto"/>
            </w:tcBorders>
            <w:vAlign w:val="center"/>
          </w:tcPr>
          <w:p w14:paraId="40BE2501" w14:textId="690C0C9E" w:rsidR="00350683" w:rsidRPr="00D17DA9" w:rsidRDefault="00EC64A2" w:rsidP="00350683">
            <w:pPr>
              <w:pStyle w:val="ListParagraph"/>
              <w:ind w:left="0"/>
              <w:jc w:val="center"/>
            </w:pPr>
            <w:r>
              <w:t>60%</w:t>
            </w:r>
          </w:p>
        </w:tc>
      </w:tr>
      <w:tr w:rsidR="00350683" w:rsidRPr="00D17DA9" w14:paraId="7FAB0979" w14:textId="77777777" w:rsidTr="00AD3C49">
        <w:trPr>
          <w:trHeight w:val="429"/>
        </w:trPr>
        <w:tc>
          <w:tcPr>
            <w:tcW w:w="2195" w:type="pct"/>
            <w:shd w:val="clear" w:color="auto" w:fill="E6E7E9" w:themeFill="accent5" w:themeFillTint="33"/>
            <w:vAlign w:val="center"/>
          </w:tcPr>
          <w:p w14:paraId="642E3F76" w14:textId="77777777" w:rsidR="00350683" w:rsidRPr="00D17DA9" w:rsidRDefault="00350683" w:rsidP="00350683">
            <w:pPr>
              <w:pStyle w:val="ListParagraph"/>
              <w:ind w:left="0"/>
            </w:pPr>
            <w:r w:rsidRPr="00D17DA9">
              <w:t>Deaf or Hard of Hearing</w:t>
            </w:r>
          </w:p>
        </w:tc>
        <w:tc>
          <w:tcPr>
            <w:tcW w:w="701" w:type="pct"/>
            <w:shd w:val="clear" w:color="auto" w:fill="E6E7E9" w:themeFill="accent5" w:themeFillTint="33"/>
            <w:vAlign w:val="center"/>
          </w:tcPr>
          <w:p w14:paraId="74FE16E6" w14:textId="380D7954" w:rsidR="00350683" w:rsidRPr="00D17DA9" w:rsidRDefault="00350683" w:rsidP="00350683">
            <w:pPr>
              <w:pStyle w:val="ListParagraph"/>
              <w:ind w:left="0"/>
              <w:jc w:val="center"/>
            </w:pPr>
            <w:r>
              <w:t>649</w:t>
            </w:r>
          </w:p>
        </w:tc>
        <w:tc>
          <w:tcPr>
            <w:tcW w:w="701" w:type="pct"/>
            <w:shd w:val="clear" w:color="auto" w:fill="E6E7E9" w:themeFill="accent5" w:themeFillTint="33"/>
            <w:vAlign w:val="center"/>
          </w:tcPr>
          <w:p w14:paraId="52C17442" w14:textId="77F46547" w:rsidR="00350683" w:rsidRPr="00D17DA9" w:rsidRDefault="00350683" w:rsidP="00350683">
            <w:pPr>
              <w:pStyle w:val="ListParagraph"/>
              <w:ind w:left="0"/>
              <w:jc w:val="center"/>
            </w:pPr>
            <w:r>
              <w:t>313</w:t>
            </w:r>
          </w:p>
        </w:tc>
        <w:tc>
          <w:tcPr>
            <w:tcW w:w="701" w:type="pct"/>
            <w:shd w:val="clear" w:color="auto" w:fill="E6E7E9" w:themeFill="accent5" w:themeFillTint="33"/>
            <w:vAlign w:val="center"/>
          </w:tcPr>
          <w:p w14:paraId="1206D332" w14:textId="410978BB" w:rsidR="00350683" w:rsidRPr="00D17DA9" w:rsidRDefault="001B0DE0" w:rsidP="00350683">
            <w:pPr>
              <w:pStyle w:val="ListParagraph"/>
              <w:ind w:left="0"/>
              <w:jc w:val="center"/>
            </w:pPr>
            <w:r>
              <w:t>197</w:t>
            </w:r>
          </w:p>
        </w:tc>
        <w:tc>
          <w:tcPr>
            <w:tcW w:w="701" w:type="pct"/>
            <w:shd w:val="clear" w:color="auto" w:fill="E6E7E9" w:themeFill="accent5" w:themeFillTint="33"/>
            <w:vAlign w:val="center"/>
          </w:tcPr>
          <w:p w14:paraId="5D45816F" w14:textId="5BA36E42" w:rsidR="00350683" w:rsidRPr="00D17DA9" w:rsidRDefault="000E570B" w:rsidP="00350683">
            <w:pPr>
              <w:pStyle w:val="ListParagraph"/>
              <w:ind w:left="0"/>
              <w:jc w:val="center"/>
            </w:pPr>
            <w:r>
              <w:t>231</w:t>
            </w:r>
          </w:p>
        </w:tc>
      </w:tr>
      <w:tr w:rsidR="00350683" w:rsidRPr="00D17DA9" w14:paraId="41FC1ADB" w14:textId="77777777" w:rsidTr="00AD3C49">
        <w:trPr>
          <w:trHeight w:val="429"/>
        </w:trPr>
        <w:tc>
          <w:tcPr>
            <w:tcW w:w="2195" w:type="pct"/>
            <w:shd w:val="clear" w:color="auto" w:fill="E6E7E9" w:themeFill="accent5" w:themeFillTint="33"/>
            <w:vAlign w:val="center"/>
          </w:tcPr>
          <w:p w14:paraId="5F976270" w14:textId="77777777" w:rsidR="00350683" w:rsidRPr="00D17DA9" w:rsidRDefault="00350683" w:rsidP="00350683">
            <w:pPr>
              <w:pStyle w:val="ListParagraph"/>
              <w:ind w:left="0"/>
              <w:jc w:val="right"/>
            </w:pPr>
            <w:r w:rsidRPr="00D17DA9">
              <w:t>Rehabilitated (Status 26)</w:t>
            </w:r>
          </w:p>
        </w:tc>
        <w:tc>
          <w:tcPr>
            <w:tcW w:w="701" w:type="pct"/>
            <w:shd w:val="clear" w:color="auto" w:fill="E6E7E9" w:themeFill="accent5" w:themeFillTint="33"/>
            <w:vAlign w:val="center"/>
          </w:tcPr>
          <w:p w14:paraId="2BEAD641" w14:textId="75DE45DB" w:rsidR="00350683" w:rsidRPr="00D17DA9" w:rsidRDefault="00350683" w:rsidP="00350683">
            <w:pPr>
              <w:pStyle w:val="ListParagraph"/>
              <w:ind w:left="0"/>
              <w:jc w:val="center"/>
            </w:pPr>
            <w:r>
              <w:t>454</w:t>
            </w:r>
          </w:p>
        </w:tc>
        <w:tc>
          <w:tcPr>
            <w:tcW w:w="701" w:type="pct"/>
            <w:shd w:val="clear" w:color="auto" w:fill="E6E7E9" w:themeFill="accent5" w:themeFillTint="33"/>
            <w:vAlign w:val="center"/>
          </w:tcPr>
          <w:p w14:paraId="6B2A3E39" w14:textId="6B2AE681" w:rsidR="00350683" w:rsidRPr="00D17DA9" w:rsidRDefault="00350683" w:rsidP="00350683">
            <w:pPr>
              <w:pStyle w:val="ListParagraph"/>
              <w:ind w:left="0"/>
              <w:jc w:val="center"/>
            </w:pPr>
            <w:r>
              <w:t>169</w:t>
            </w:r>
          </w:p>
        </w:tc>
        <w:tc>
          <w:tcPr>
            <w:tcW w:w="701" w:type="pct"/>
            <w:shd w:val="clear" w:color="auto" w:fill="E6E7E9" w:themeFill="accent5" w:themeFillTint="33"/>
            <w:vAlign w:val="center"/>
          </w:tcPr>
          <w:p w14:paraId="1134029D" w14:textId="77C78AFB" w:rsidR="00350683" w:rsidRPr="00D17DA9" w:rsidRDefault="001B0DE0" w:rsidP="00350683">
            <w:pPr>
              <w:pStyle w:val="ListParagraph"/>
              <w:ind w:left="0"/>
              <w:jc w:val="center"/>
            </w:pPr>
            <w:r>
              <w:t>149</w:t>
            </w:r>
          </w:p>
        </w:tc>
        <w:tc>
          <w:tcPr>
            <w:tcW w:w="701" w:type="pct"/>
            <w:shd w:val="clear" w:color="auto" w:fill="E6E7E9" w:themeFill="accent5" w:themeFillTint="33"/>
            <w:vAlign w:val="center"/>
          </w:tcPr>
          <w:p w14:paraId="4DA849B7" w14:textId="3DDC186F" w:rsidR="00350683" w:rsidRPr="00D17DA9" w:rsidRDefault="00EC64A2" w:rsidP="00350683">
            <w:pPr>
              <w:pStyle w:val="ListParagraph"/>
              <w:ind w:left="0"/>
              <w:jc w:val="center"/>
            </w:pPr>
            <w:r>
              <w:t>177</w:t>
            </w:r>
          </w:p>
        </w:tc>
      </w:tr>
      <w:tr w:rsidR="00350683" w:rsidRPr="00D17DA9" w14:paraId="4FD9C47E" w14:textId="77777777" w:rsidTr="00AD3C49">
        <w:trPr>
          <w:trHeight w:val="429"/>
        </w:trPr>
        <w:tc>
          <w:tcPr>
            <w:tcW w:w="2195" w:type="pct"/>
            <w:shd w:val="clear" w:color="auto" w:fill="E6E7E9" w:themeFill="accent5" w:themeFillTint="33"/>
            <w:vAlign w:val="center"/>
          </w:tcPr>
          <w:p w14:paraId="7F9F2184" w14:textId="0C7415D5" w:rsidR="00350683" w:rsidRPr="00D17DA9" w:rsidRDefault="00350683" w:rsidP="00350683">
            <w:pPr>
              <w:pStyle w:val="ListParagraph"/>
              <w:ind w:left="0"/>
              <w:jc w:val="right"/>
            </w:pPr>
            <w:r w:rsidRPr="00D17DA9">
              <w:t>Other than Rehabilitated (Status 28)</w:t>
            </w:r>
          </w:p>
        </w:tc>
        <w:tc>
          <w:tcPr>
            <w:tcW w:w="701" w:type="pct"/>
            <w:shd w:val="clear" w:color="auto" w:fill="E6E7E9" w:themeFill="accent5" w:themeFillTint="33"/>
            <w:vAlign w:val="center"/>
          </w:tcPr>
          <w:p w14:paraId="37700ED9" w14:textId="67D9DE1E" w:rsidR="00350683" w:rsidRPr="00D17DA9" w:rsidRDefault="00350683" w:rsidP="00350683">
            <w:pPr>
              <w:pStyle w:val="ListParagraph"/>
              <w:ind w:left="0"/>
              <w:jc w:val="center"/>
            </w:pPr>
            <w:r>
              <w:t>117</w:t>
            </w:r>
          </w:p>
        </w:tc>
        <w:tc>
          <w:tcPr>
            <w:tcW w:w="701" w:type="pct"/>
            <w:shd w:val="clear" w:color="auto" w:fill="E6E7E9" w:themeFill="accent5" w:themeFillTint="33"/>
            <w:vAlign w:val="center"/>
          </w:tcPr>
          <w:p w14:paraId="60F66802" w14:textId="2C2B1D76" w:rsidR="00350683" w:rsidRPr="00D17DA9" w:rsidRDefault="00350683" w:rsidP="00350683">
            <w:pPr>
              <w:pStyle w:val="ListParagraph"/>
              <w:ind w:left="0"/>
              <w:jc w:val="center"/>
            </w:pPr>
            <w:r>
              <w:t>50</w:t>
            </w:r>
          </w:p>
        </w:tc>
        <w:tc>
          <w:tcPr>
            <w:tcW w:w="701" w:type="pct"/>
            <w:shd w:val="clear" w:color="auto" w:fill="E6E7E9" w:themeFill="accent5" w:themeFillTint="33"/>
            <w:vAlign w:val="center"/>
          </w:tcPr>
          <w:p w14:paraId="3C662093" w14:textId="076CF48D" w:rsidR="00350683" w:rsidRPr="00D17DA9" w:rsidRDefault="001B0DE0" w:rsidP="00350683">
            <w:pPr>
              <w:pStyle w:val="ListParagraph"/>
              <w:ind w:left="0"/>
              <w:jc w:val="center"/>
            </w:pPr>
            <w:r>
              <w:t>29</w:t>
            </w:r>
          </w:p>
        </w:tc>
        <w:tc>
          <w:tcPr>
            <w:tcW w:w="701" w:type="pct"/>
            <w:shd w:val="clear" w:color="auto" w:fill="E6E7E9" w:themeFill="accent5" w:themeFillTint="33"/>
            <w:vAlign w:val="center"/>
          </w:tcPr>
          <w:p w14:paraId="16D5BC9E" w14:textId="4B39B221" w:rsidR="00350683" w:rsidRPr="00D17DA9" w:rsidRDefault="00EC64A2" w:rsidP="00350683">
            <w:pPr>
              <w:pStyle w:val="ListParagraph"/>
              <w:ind w:left="0"/>
              <w:jc w:val="center"/>
            </w:pPr>
            <w:r>
              <w:t>32</w:t>
            </w:r>
          </w:p>
        </w:tc>
      </w:tr>
      <w:tr w:rsidR="00350683" w:rsidRPr="00D17DA9" w14:paraId="7B344A17" w14:textId="77777777" w:rsidTr="00AD3C49">
        <w:trPr>
          <w:trHeight w:val="429"/>
        </w:trPr>
        <w:tc>
          <w:tcPr>
            <w:tcW w:w="2195" w:type="pct"/>
            <w:shd w:val="clear" w:color="auto" w:fill="E6E7E9" w:themeFill="accent5" w:themeFillTint="33"/>
            <w:vAlign w:val="center"/>
          </w:tcPr>
          <w:p w14:paraId="7053E711" w14:textId="77777777" w:rsidR="00350683" w:rsidRPr="00D17DA9" w:rsidRDefault="00350683" w:rsidP="00350683">
            <w:pPr>
              <w:pStyle w:val="ListParagraph"/>
              <w:ind w:left="0"/>
              <w:jc w:val="right"/>
            </w:pPr>
            <w:r w:rsidRPr="00D17DA9">
              <w:t>Rehabilitation Rate</w:t>
            </w:r>
            <w:r w:rsidRPr="00D17DA9">
              <w:rPr>
                <w:color w:val="FF0000"/>
              </w:rPr>
              <w:t>*</w:t>
            </w:r>
          </w:p>
        </w:tc>
        <w:tc>
          <w:tcPr>
            <w:tcW w:w="701" w:type="pct"/>
            <w:shd w:val="clear" w:color="auto" w:fill="E6E7E9" w:themeFill="accent5" w:themeFillTint="33"/>
            <w:vAlign w:val="center"/>
          </w:tcPr>
          <w:p w14:paraId="07513C67" w14:textId="0D15F550" w:rsidR="00350683" w:rsidRPr="00D17DA9" w:rsidRDefault="00350683" w:rsidP="00350683">
            <w:pPr>
              <w:pStyle w:val="ListParagraph"/>
              <w:ind w:left="0"/>
              <w:jc w:val="center"/>
            </w:pPr>
            <w:r>
              <w:t>80%</w:t>
            </w:r>
          </w:p>
        </w:tc>
        <w:tc>
          <w:tcPr>
            <w:tcW w:w="701" w:type="pct"/>
            <w:shd w:val="clear" w:color="auto" w:fill="E6E7E9" w:themeFill="accent5" w:themeFillTint="33"/>
            <w:vAlign w:val="center"/>
          </w:tcPr>
          <w:p w14:paraId="5286F0B1" w14:textId="6DA8213B" w:rsidR="00350683" w:rsidRPr="00D17DA9" w:rsidRDefault="00350683" w:rsidP="00350683">
            <w:pPr>
              <w:pStyle w:val="ListParagraph"/>
              <w:ind w:left="0"/>
              <w:jc w:val="center"/>
            </w:pPr>
            <w:r>
              <w:t>7</w:t>
            </w:r>
            <w:r w:rsidR="00D9270C">
              <w:t>7</w:t>
            </w:r>
            <w:r>
              <w:t>%</w:t>
            </w:r>
          </w:p>
        </w:tc>
        <w:tc>
          <w:tcPr>
            <w:tcW w:w="701" w:type="pct"/>
            <w:shd w:val="clear" w:color="auto" w:fill="E6E7E9" w:themeFill="accent5" w:themeFillTint="33"/>
            <w:vAlign w:val="center"/>
          </w:tcPr>
          <w:p w14:paraId="545ECB8F" w14:textId="064CA791" w:rsidR="00350683" w:rsidRPr="00D17DA9" w:rsidRDefault="00EC64A2" w:rsidP="00350683">
            <w:pPr>
              <w:pStyle w:val="ListParagraph"/>
              <w:ind w:left="0"/>
              <w:jc w:val="center"/>
            </w:pPr>
            <w:r>
              <w:t>76%</w:t>
            </w:r>
          </w:p>
        </w:tc>
        <w:tc>
          <w:tcPr>
            <w:tcW w:w="701" w:type="pct"/>
            <w:shd w:val="clear" w:color="auto" w:fill="E6E7E9" w:themeFill="accent5" w:themeFillTint="33"/>
            <w:vAlign w:val="center"/>
          </w:tcPr>
          <w:p w14:paraId="5DD47A73" w14:textId="0BB9466A" w:rsidR="00350683" w:rsidRPr="00D17DA9" w:rsidRDefault="00EC64A2" w:rsidP="00350683">
            <w:pPr>
              <w:pStyle w:val="ListParagraph"/>
              <w:ind w:left="0"/>
              <w:jc w:val="center"/>
            </w:pPr>
            <w:r>
              <w:t>77%</w:t>
            </w:r>
          </w:p>
        </w:tc>
      </w:tr>
      <w:tr w:rsidR="00350683" w:rsidRPr="00D17DA9" w14:paraId="00FF5608" w14:textId="77777777" w:rsidTr="00AD3C49">
        <w:trPr>
          <w:trHeight w:val="429"/>
        </w:trPr>
        <w:tc>
          <w:tcPr>
            <w:tcW w:w="2195" w:type="pct"/>
            <w:vAlign w:val="center"/>
          </w:tcPr>
          <w:p w14:paraId="200B4CD8" w14:textId="77777777" w:rsidR="00350683" w:rsidRPr="00D17DA9" w:rsidRDefault="00350683" w:rsidP="00350683">
            <w:pPr>
              <w:pStyle w:val="ListParagraph"/>
              <w:ind w:left="0"/>
            </w:pPr>
            <w:r w:rsidRPr="00D17DA9">
              <w:t xml:space="preserve">Physical </w:t>
            </w:r>
          </w:p>
        </w:tc>
        <w:tc>
          <w:tcPr>
            <w:tcW w:w="701" w:type="pct"/>
            <w:vAlign w:val="center"/>
          </w:tcPr>
          <w:p w14:paraId="4C9A1D0D" w14:textId="6407506D" w:rsidR="00350683" w:rsidRPr="00D17DA9" w:rsidRDefault="00350683" w:rsidP="00350683">
            <w:pPr>
              <w:pStyle w:val="ListParagraph"/>
              <w:ind w:left="0"/>
              <w:jc w:val="center"/>
            </w:pPr>
            <w:r>
              <w:t>713</w:t>
            </w:r>
          </w:p>
        </w:tc>
        <w:tc>
          <w:tcPr>
            <w:tcW w:w="701" w:type="pct"/>
            <w:vAlign w:val="center"/>
          </w:tcPr>
          <w:p w14:paraId="4F5952F0" w14:textId="07A53F4A" w:rsidR="00350683" w:rsidRPr="00D17DA9" w:rsidRDefault="00350683" w:rsidP="00350683">
            <w:pPr>
              <w:pStyle w:val="ListParagraph"/>
              <w:ind w:left="0"/>
              <w:jc w:val="center"/>
            </w:pPr>
            <w:r>
              <w:t>462</w:t>
            </w:r>
          </w:p>
        </w:tc>
        <w:tc>
          <w:tcPr>
            <w:tcW w:w="701" w:type="pct"/>
            <w:vAlign w:val="center"/>
          </w:tcPr>
          <w:p w14:paraId="3DD9B505" w14:textId="281E1BA8" w:rsidR="00350683" w:rsidRPr="00D17DA9" w:rsidRDefault="001B0DE0" w:rsidP="00350683">
            <w:pPr>
              <w:pStyle w:val="ListParagraph"/>
              <w:ind w:left="0"/>
              <w:jc w:val="center"/>
            </w:pPr>
            <w:r>
              <w:t>567</w:t>
            </w:r>
          </w:p>
        </w:tc>
        <w:tc>
          <w:tcPr>
            <w:tcW w:w="701" w:type="pct"/>
            <w:vAlign w:val="center"/>
          </w:tcPr>
          <w:p w14:paraId="6C8FB0F0" w14:textId="7DDC7C2C" w:rsidR="00350683" w:rsidRPr="00D17DA9" w:rsidRDefault="000E570B" w:rsidP="00350683">
            <w:pPr>
              <w:pStyle w:val="ListParagraph"/>
              <w:ind w:left="0"/>
              <w:jc w:val="center"/>
            </w:pPr>
            <w:r>
              <w:t>550</w:t>
            </w:r>
          </w:p>
        </w:tc>
      </w:tr>
      <w:tr w:rsidR="00350683" w:rsidRPr="00D17DA9" w14:paraId="6C695323" w14:textId="77777777" w:rsidTr="00AD3C49">
        <w:trPr>
          <w:trHeight w:val="429"/>
        </w:trPr>
        <w:tc>
          <w:tcPr>
            <w:tcW w:w="2195" w:type="pct"/>
            <w:vAlign w:val="center"/>
          </w:tcPr>
          <w:p w14:paraId="5E942A60" w14:textId="77777777" w:rsidR="00350683" w:rsidRPr="00D17DA9" w:rsidRDefault="00350683" w:rsidP="00350683">
            <w:pPr>
              <w:pStyle w:val="ListParagraph"/>
              <w:ind w:left="0"/>
              <w:jc w:val="right"/>
            </w:pPr>
            <w:r w:rsidRPr="00D17DA9">
              <w:t>Rehabilitated (Status 26)</w:t>
            </w:r>
          </w:p>
        </w:tc>
        <w:tc>
          <w:tcPr>
            <w:tcW w:w="701" w:type="pct"/>
            <w:vAlign w:val="center"/>
          </w:tcPr>
          <w:p w14:paraId="29F390C4" w14:textId="6979BD9E" w:rsidR="00350683" w:rsidRPr="00D17DA9" w:rsidRDefault="00350683" w:rsidP="00350683">
            <w:pPr>
              <w:pStyle w:val="ListParagraph"/>
              <w:ind w:left="0"/>
              <w:jc w:val="center"/>
            </w:pPr>
            <w:r>
              <w:t>142</w:t>
            </w:r>
          </w:p>
        </w:tc>
        <w:tc>
          <w:tcPr>
            <w:tcW w:w="701" w:type="pct"/>
            <w:vAlign w:val="center"/>
          </w:tcPr>
          <w:p w14:paraId="00057052" w14:textId="7E6C3807" w:rsidR="00350683" w:rsidRPr="00D17DA9" w:rsidRDefault="00350683" w:rsidP="00350683">
            <w:pPr>
              <w:pStyle w:val="ListParagraph"/>
              <w:ind w:left="0"/>
              <w:jc w:val="center"/>
            </w:pPr>
            <w:r>
              <w:t>103</w:t>
            </w:r>
          </w:p>
        </w:tc>
        <w:tc>
          <w:tcPr>
            <w:tcW w:w="701" w:type="pct"/>
            <w:vAlign w:val="center"/>
          </w:tcPr>
          <w:p w14:paraId="477406B0" w14:textId="20633525" w:rsidR="00350683" w:rsidRPr="00D17DA9" w:rsidRDefault="001B0DE0" w:rsidP="00350683">
            <w:pPr>
              <w:pStyle w:val="ListParagraph"/>
              <w:ind w:left="0"/>
              <w:jc w:val="center"/>
            </w:pPr>
            <w:r>
              <w:t>134</w:t>
            </w:r>
          </w:p>
        </w:tc>
        <w:tc>
          <w:tcPr>
            <w:tcW w:w="701" w:type="pct"/>
            <w:vAlign w:val="center"/>
          </w:tcPr>
          <w:p w14:paraId="752A8AED" w14:textId="4735F3AD" w:rsidR="00350683" w:rsidRPr="00D17DA9" w:rsidRDefault="00253567" w:rsidP="00350683">
            <w:pPr>
              <w:pStyle w:val="ListParagraph"/>
              <w:ind w:left="0"/>
              <w:jc w:val="center"/>
            </w:pPr>
            <w:r>
              <w:t>140</w:t>
            </w:r>
          </w:p>
        </w:tc>
      </w:tr>
      <w:tr w:rsidR="00350683" w:rsidRPr="00D17DA9" w14:paraId="04C05DEE" w14:textId="77777777" w:rsidTr="00AD3C49">
        <w:trPr>
          <w:trHeight w:val="429"/>
        </w:trPr>
        <w:tc>
          <w:tcPr>
            <w:tcW w:w="2195" w:type="pct"/>
            <w:vAlign w:val="center"/>
          </w:tcPr>
          <w:p w14:paraId="1FA76386" w14:textId="77777777" w:rsidR="00350683" w:rsidRPr="00D17DA9" w:rsidRDefault="00350683" w:rsidP="00350683">
            <w:pPr>
              <w:pStyle w:val="ListParagraph"/>
              <w:ind w:left="0"/>
              <w:jc w:val="right"/>
            </w:pPr>
            <w:r w:rsidRPr="00D17DA9">
              <w:t>Other than Rehabilitated (Status 28)</w:t>
            </w:r>
          </w:p>
        </w:tc>
        <w:tc>
          <w:tcPr>
            <w:tcW w:w="701" w:type="pct"/>
            <w:vAlign w:val="center"/>
          </w:tcPr>
          <w:p w14:paraId="3FCAC598" w14:textId="18AE5863" w:rsidR="00350683" w:rsidRPr="00D17DA9" w:rsidRDefault="00350683" w:rsidP="00350683">
            <w:pPr>
              <w:pStyle w:val="ListParagraph"/>
              <w:ind w:left="0"/>
              <w:jc w:val="center"/>
            </w:pPr>
            <w:r>
              <w:t>210</w:t>
            </w:r>
          </w:p>
        </w:tc>
        <w:tc>
          <w:tcPr>
            <w:tcW w:w="701" w:type="pct"/>
            <w:vAlign w:val="center"/>
          </w:tcPr>
          <w:p w14:paraId="610B2BC3" w14:textId="73817A8B" w:rsidR="00350683" w:rsidRPr="00D17DA9" w:rsidRDefault="00350683" w:rsidP="00350683">
            <w:pPr>
              <w:pStyle w:val="ListParagraph"/>
              <w:ind w:left="0"/>
              <w:jc w:val="center"/>
            </w:pPr>
            <w:r>
              <w:t>215</w:t>
            </w:r>
          </w:p>
        </w:tc>
        <w:tc>
          <w:tcPr>
            <w:tcW w:w="701" w:type="pct"/>
            <w:vAlign w:val="center"/>
          </w:tcPr>
          <w:p w14:paraId="08D6FE6A" w14:textId="205D208F" w:rsidR="00350683" w:rsidRPr="00D17DA9" w:rsidRDefault="001B0DE0" w:rsidP="00350683">
            <w:pPr>
              <w:pStyle w:val="ListParagraph"/>
              <w:ind w:left="0"/>
              <w:jc w:val="center"/>
            </w:pPr>
            <w:r>
              <w:t>261</w:t>
            </w:r>
          </w:p>
        </w:tc>
        <w:tc>
          <w:tcPr>
            <w:tcW w:w="701" w:type="pct"/>
            <w:vAlign w:val="center"/>
          </w:tcPr>
          <w:p w14:paraId="73A1BE41" w14:textId="2E3B842A" w:rsidR="00350683" w:rsidRPr="00D17DA9" w:rsidRDefault="00253567" w:rsidP="00350683">
            <w:pPr>
              <w:pStyle w:val="ListParagraph"/>
              <w:ind w:left="0"/>
              <w:jc w:val="center"/>
            </w:pPr>
            <w:r>
              <w:t>267</w:t>
            </w:r>
          </w:p>
        </w:tc>
      </w:tr>
      <w:tr w:rsidR="00350683" w:rsidRPr="00D17DA9" w14:paraId="13C57E2C" w14:textId="77777777" w:rsidTr="00AD3C49">
        <w:trPr>
          <w:trHeight w:val="429"/>
        </w:trPr>
        <w:tc>
          <w:tcPr>
            <w:tcW w:w="2195" w:type="pct"/>
            <w:tcBorders>
              <w:bottom w:val="single" w:sz="4" w:space="0" w:color="auto"/>
            </w:tcBorders>
            <w:vAlign w:val="center"/>
          </w:tcPr>
          <w:p w14:paraId="62E02A28" w14:textId="77777777" w:rsidR="00350683" w:rsidRPr="00D17DA9" w:rsidRDefault="00350683" w:rsidP="00350683">
            <w:pPr>
              <w:pStyle w:val="ListParagraph"/>
              <w:ind w:left="0"/>
              <w:jc w:val="right"/>
            </w:pPr>
            <w:r w:rsidRPr="00D17DA9">
              <w:t>Rehabilitation Rate</w:t>
            </w:r>
            <w:r w:rsidRPr="00D17DA9">
              <w:rPr>
                <w:color w:val="FF0000"/>
              </w:rPr>
              <w:t>*</w:t>
            </w:r>
          </w:p>
        </w:tc>
        <w:tc>
          <w:tcPr>
            <w:tcW w:w="701" w:type="pct"/>
            <w:tcBorders>
              <w:bottom w:val="single" w:sz="4" w:space="0" w:color="auto"/>
            </w:tcBorders>
            <w:vAlign w:val="center"/>
          </w:tcPr>
          <w:p w14:paraId="40AA2ED6" w14:textId="4947299F" w:rsidR="00350683" w:rsidRPr="00D17DA9" w:rsidRDefault="00350683" w:rsidP="00350683">
            <w:pPr>
              <w:pStyle w:val="ListParagraph"/>
              <w:ind w:left="0"/>
              <w:jc w:val="center"/>
            </w:pPr>
            <w:r>
              <w:t>40%</w:t>
            </w:r>
          </w:p>
        </w:tc>
        <w:tc>
          <w:tcPr>
            <w:tcW w:w="701" w:type="pct"/>
            <w:tcBorders>
              <w:bottom w:val="single" w:sz="4" w:space="0" w:color="auto"/>
            </w:tcBorders>
            <w:vAlign w:val="center"/>
          </w:tcPr>
          <w:p w14:paraId="5BD39CDC" w14:textId="4A148DCE" w:rsidR="00350683" w:rsidRPr="00D17DA9" w:rsidRDefault="00350683" w:rsidP="00350683">
            <w:pPr>
              <w:pStyle w:val="ListParagraph"/>
              <w:ind w:left="0"/>
              <w:jc w:val="center"/>
            </w:pPr>
            <w:r>
              <w:t>32%</w:t>
            </w:r>
          </w:p>
        </w:tc>
        <w:tc>
          <w:tcPr>
            <w:tcW w:w="701" w:type="pct"/>
            <w:tcBorders>
              <w:bottom w:val="single" w:sz="4" w:space="0" w:color="auto"/>
            </w:tcBorders>
            <w:vAlign w:val="center"/>
          </w:tcPr>
          <w:p w14:paraId="6064D470" w14:textId="4F64A4B6" w:rsidR="00350683" w:rsidRPr="00D17DA9" w:rsidRDefault="00EC64A2" w:rsidP="00350683">
            <w:pPr>
              <w:pStyle w:val="ListParagraph"/>
              <w:ind w:left="0"/>
              <w:jc w:val="center"/>
            </w:pPr>
            <w:r>
              <w:t>23</w:t>
            </w:r>
            <w:r w:rsidR="00D9270C">
              <w:t>%</w:t>
            </w:r>
          </w:p>
        </w:tc>
        <w:tc>
          <w:tcPr>
            <w:tcW w:w="701" w:type="pct"/>
            <w:tcBorders>
              <w:bottom w:val="single" w:sz="4" w:space="0" w:color="auto"/>
            </w:tcBorders>
            <w:vAlign w:val="center"/>
          </w:tcPr>
          <w:p w14:paraId="4CBE314C" w14:textId="45210CF0" w:rsidR="00350683" w:rsidRPr="00D17DA9" w:rsidRDefault="00EC64A2" w:rsidP="00350683">
            <w:pPr>
              <w:pStyle w:val="ListParagraph"/>
              <w:ind w:left="0"/>
              <w:jc w:val="center"/>
            </w:pPr>
            <w:r>
              <w:t>25</w:t>
            </w:r>
            <w:r w:rsidR="00253567">
              <w:t>%</w:t>
            </w:r>
          </w:p>
        </w:tc>
      </w:tr>
      <w:tr w:rsidR="00350683" w:rsidRPr="00D17DA9" w14:paraId="7ED2EF95" w14:textId="77777777" w:rsidTr="00AD3C49">
        <w:trPr>
          <w:trHeight w:val="429"/>
        </w:trPr>
        <w:tc>
          <w:tcPr>
            <w:tcW w:w="2195" w:type="pct"/>
            <w:shd w:val="clear" w:color="auto" w:fill="E6E7E9" w:themeFill="accent5" w:themeFillTint="33"/>
            <w:vAlign w:val="center"/>
          </w:tcPr>
          <w:p w14:paraId="1A861C67" w14:textId="77777777" w:rsidR="00350683" w:rsidRPr="00D17DA9" w:rsidRDefault="00350683" w:rsidP="00350683">
            <w:pPr>
              <w:pStyle w:val="ListParagraph"/>
              <w:ind w:left="0"/>
            </w:pPr>
            <w:r w:rsidRPr="00D17DA9">
              <w:t>Mental Illness</w:t>
            </w:r>
          </w:p>
        </w:tc>
        <w:tc>
          <w:tcPr>
            <w:tcW w:w="701" w:type="pct"/>
            <w:shd w:val="clear" w:color="auto" w:fill="E6E7E9" w:themeFill="accent5" w:themeFillTint="33"/>
            <w:vAlign w:val="center"/>
          </w:tcPr>
          <w:p w14:paraId="01205CC1" w14:textId="1190F7E6" w:rsidR="00350683" w:rsidRPr="00D17DA9" w:rsidRDefault="00350683" w:rsidP="00350683">
            <w:pPr>
              <w:pStyle w:val="ListParagraph"/>
              <w:ind w:left="0"/>
              <w:jc w:val="center"/>
            </w:pPr>
            <w:r>
              <w:t>1,682</w:t>
            </w:r>
          </w:p>
        </w:tc>
        <w:tc>
          <w:tcPr>
            <w:tcW w:w="701" w:type="pct"/>
            <w:shd w:val="clear" w:color="auto" w:fill="E6E7E9" w:themeFill="accent5" w:themeFillTint="33"/>
            <w:vAlign w:val="center"/>
          </w:tcPr>
          <w:p w14:paraId="51930EBC" w14:textId="0182E0CA" w:rsidR="00350683" w:rsidRPr="00D17DA9" w:rsidRDefault="00350683" w:rsidP="00350683">
            <w:pPr>
              <w:pStyle w:val="ListParagraph"/>
              <w:ind w:left="0"/>
              <w:jc w:val="center"/>
            </w:pPr>
            <w:r>
              <w:t>1,245</w:t>
            </w:r>
          </w:p>
        </w:tc>
        <w:tc>
          <w:tcPr>
            <w:tcW w:w="701" w:type="pct"/>
            <w:shd w:val="clear" w:color="auto" w:fill="E6E7E9" w:themeFill="accent5" w:themeFillTint="33"/>
            <w:vAlign w:val="center"/>
          </w:tcPr>
          <w:p w14:paraId="2BB2A043" w14:textId="5738D5C2" w:rsidR="00350683" w:rsidRPr="00D17DA9" w:rsidRDefault="001B0DE0" w:rsidP="00350683">
            <w:pPr>
              <w:pStyle w:val="ListParagraph"/>
              <w:ind w:left="0"/>
              <w:jc w:val="center"/>
            </w:pPr>
            <w:r>
              <w:t>1,207</w:t>
            </w:r>
          </w:p>
        </w:tc>
        <w:tc>
          <w:tcPr>
            <w:tcW w:w="701" w:type="pct"/>
            <w:shd w:val="clear" w:color="auto" w:fill="E6E7E9" w:themeFill="accent5" w:themeFillTint="33"/>
            <w:vAlign w:val="center"/>
          </w:tcPr>
          <w:p w14:paraId="25FC5AA9" w14:textId="1460BD15" w:rsidR="00350683" w:rsidRPr="00D17DA9" w:rsidRDefault="000E570B" w:rsidP="00350683">
            <w:pPr>
              <w:pStyle w:val="ListParagraph"/>
              <w:ind w:left="0"/>
              <w:jc w:val="center"/>
            </w:pPr>
            <w:r>
              <w:t>1,104</w:t>
            </w:r>
          </w:p>
        </w:tc>
      </w:tr>
      <w:tr w:rsidR="00350683" w:rsidRPr="00D17DA9" w14:paraId="0F65C34D" w14:textId="77777777" w:rsidTr="00AD3C49">
        <w:trPr>
          <w:trHeight w:val="429"/>
        </w:trPr>
        <w:tc>
          <w:tcPr>
            <w:tcW w:w="2195" w:type="pct"/>
            <w:shd w:val="clear" w:color="auto" w:fill="E6E7E9" w:themeFill="accent5" w:themeFillTint="33"/>
            <w:vAlign w:val="center"/>
          </w:tcPr>
          <w:p w14:paraId="7D3E3351" w14:textId="77777777" w:rsidR="00350683" w:rsidRPr="00D17DA9" w:rsidRDefault="00350683" w:rsidP="00350683">
            <w:pPr>
              <w:pStyle w:val="ListParagraph"/>
              <w:ind w:left="0"/>
              <w:jc w:val="right"/>
            </w:pPr>
            <w:r w:rsidRPr="00D17DA9">
              <w:t>Rehabilitated (Status 26)</w:t>
            </w:r>
          </w:p>
        </w:tc>
        <w:tc>
          <w:tcPr>
            <w:tcW w:w="701" w:type="pct"/>
            <w:shd w:val="clear" w:color="auto" w:fill="E6E7E9" w:themeFill="accent5" w:themeFillTint="33"/>
            <w:vAlign w:val="center"/>
          </w:tcPr>
          <w:p w14:paraId="220D8C4E" w14:textId="14F65BA2" w:rsidR="00350683" w:rsidRPr="00D17DA9" w:rsidRDefault="00350683" w:rsidP="00350683">
            <w:pPr>
              <w:pStyle w:val="ListParagraph"/>
              <w:ind w:left="0"/>
              <w:jc w:val="center"/>
            </w:pPr>
            <w:r>
              <w:t>299</w:t>
            </w:r>
          </w:p>
        </w:tc>
        <w:tc>
          <w:tcPr>
            <w:tcW w:w="701" w:type="pct"/>
            <w:shd w:val="clear" w:color="auto" w:fill="E6E7E9" w:themeFill="accent5" w:themeFillTint="33"/>
            <w:vAlign w:val="center"/>
          </w:tcPr>
          <w:p w14:paraId="7CCC6246" w14:textId="4A261CCF" w:rsidR="00350683" w:rsidRPr="00D17DA9" w:rsidRDefault="00350683" w:rsidP="00350683">
            <w:pPr>
              <w:pStyle w:val="ListParagraph"/>
              <w:ind w:left="0"/>
              <w:jc w:val="center"/>
            </w:pPr>
            <w:r>
              <w:t>245</w:t>
            </w:r>
          </w:p>
        </w:tc>
        <w:tc>
          <w:tcPr>
            <w:tcW w:w="701" w:type="pct"/>
            <w:shd w:val="clear" w:color="auto" w:fill="E6E7E9" w:themeFill="accent5" w:themeFillTint="33"/>
            <w:vAlign w:val="center"/>
          </w:tcPr>
          <w:p w14:paraId="645A8FE3" w14:textId="5DB8F06D" w:rsidR="00350683" w:rsidRPr="00D17DA9" w:rsidRDefault="001B0DE0" w:rsidP="00350683">
            <w:pPr>
              <w:pStyle w:val="ListParagraph"/>
              <w:ind w:left="0"/>
              <w:jc w:val="center"/>
            </w:pPr>
            <w:r>
              <w:t>221</w:t>
            </w:r>
          </w:p>
        </w:tc>
        <w:tc>
          <w:tcPr>
            <w:tcW w:w="701" w:type="pct"/>
            <w:shd w:val="clear" w:color="auto" w:fill="E6E7E9" w:themeFill="accent5" w:themeFillTint="33"/>
            <w:vAlign w:val="center"/>
          </w:tcPr>
          <w:p w14:paraId="5643A4EF" w14:textId="0D0E7B1A" w:rsidR="00350683" w:rsidRPr="00D17DA9" w:rsidRDefault="00253567" w:rsidP="00350683">
            <w:pPr>
              <w:pStyle w:val="ListParagraph"/>
              <w:ind w:left="0"/>
              <w:jc w:val="center"/>
            </w:pPr>
            <w:r>
              <w:t>201</w:t>
            </w:r>
          </w:p>
        </w:tc>
      </w:tr>
      <w:tr w:rsidR="00350683" w:rsidRPr="00D17DA9" w14:paraId="609079E1" w14:textId="77777777" w:rsidTr="00AD3C49">
        <w:trPr>
          <w:trHeight w:val="429"/>
        </w:trPr>
        <w:tc>
          <w:tcPr>
            <w:tcW w:w="2195" w:type="pct"/>
            <w:shd w:val="clear" w:color="auto" w:fill="E6E7E9" w:themeFill="accent5" w:themeFillTint="33"/>
            <w:vAlign w:val="center"/>
          </w:tcPr>
          <w:p w14:paraId="4E022289" w14:textId="77777777" w:rsidR="00350683" w:rsidRPr="00D17DA9" w:rsidRDefault="00350683" w:rsidP="00350683">
            <w:pPr>
              <w:pStyle w:val="ListParagraph"/>
              <w:ind w:left="0"/>
              <w:jc w:val="right"/>
            </w:pPr>
            <w:r w:rsidRPr="00D17DA9">
              <w:t>Other than Rehabilitated (Status 28)</w:t>
            </w:r>
          </w:p>
        </w:tc>
        <w:tc>
          <w:tcPr>
            <w:tcW w:w="701" w:type="pct"/>
            <w:shd w:val="clear" w:color="auto" w:fill="E6E7E9" w:themeFill="accent5" w:themeFillTint="33"/>
            <w:vAlign w:val="center"/>
          </w:tcPr>
          <w:p w14:paraId="70057D0A" w14:textId="332C1711" w:rsidR="00350683" w:rsidRPr="00D17DA9" w:rsidRDefault="00350683" w:rsidP="00350683">
            <w:pPr>
              <w:pStyle w:val="ListParagraph"/>
              <w:ind w:left="0"/>
              <w:jc w:val="center"/>
            </w:pPr>
            <w:r>
              <w:t>598</w:t>
            </w:r>
          </w:p>
        </w:tc>
        <w:tc>
          <w:tcPr>
            <w:tcW w:w="701" w:type="pct"/>
            <w:shd w:val="clear" w:color="auto" w:fill="E6E7E9" w:themeFill="accent5" w:themeFillTint="33"/>
            <w:vAlign w:val="center"/>
          </w:tcPr>
          <w:p w14:paraId="1D9AD7AE" w14:textId="3D7DAB83" w:rsidR="00350683" w:rsidRPr="00D17DA9" w:rsidRDefault="00350683" w:rsidP="00350683">
            <w:pPr>
              <w:pStyle w:val="ListParagraph"/>
              <w:ind w:left="0"/>
              <w:jc w:val="center"/>
            </w:pPr>
            <w:r>
              <w:t>569</w:t>
            </w:r>
          </w:p>
        </w:tc>
        <w:tc>
          <w:tcPr>
            <w:tcW w:w="701" w:type="pct"/>
            <w:shd w:val="clear" w:color="auto" w:fill="E6E7E9" w:themeFill="accent5" w:themeFillTint="33"/>
            <w:vAlign w:val="center"/>
          </w:tcPr>
          <w:p w14:paraId="488F65B2" w14:textId="554366B7" w:rsidR="00350683" w:rsidRPr="00D17DA9" w:rsidRDefault="001B0DE0" w:rsidP="00350683">
            <w:pPr>
              <w:pStyle w:val="ListParagraph"/>
              <w:ind w:left="0"/>
              <w:jc w:val="center"/>
            </w:pPr>
            <w:r>
              <w:t>605</w:t>
            </w:r>
          </w:p>
        </w:tc>
        <w:tc>
          <w:tcPr>
            <w:tcW w:w="701" w:type="pct"/>
            <w:shd w:val="clear" w:color="auto" w:fill="E6E7E9" w:themeFill="accent5" w:themeFillTint="33"/>
            <w:vAlign w:val="center"/>
          </w:tcPr>
          <w:p w14:paraId="42F3B923" w14:textId="38B92E82" w:rsidR="00350683" w:rsidRPr="00D17DA9" w:rsidRDefault="00253567" w:rsidP="00350683">
            <w:pPr>
              <w:pStyle w:val="ListParagraph"/>
              <w:ind w:left="0"/>
              <w:jc w:val="center"/>
            </w:pPr>
            <w:r>
              <w:t>605</w:t>
            </w:r>
          </w:p>
        </w:tc>
      </w:tr>
      <w:tr w:rsidR="00350683" w:rsidRPr="00D17DA9" w14:paraId="08B1D89F" w14:textId="77777777" w:rsidTr="00AD3C49">
        <w:trPr>
          <w:trHeight w:val="429"/>
        </w:trPr>
        <w:tc>
          <w:tcPr>
            <w:tcW w:w="2195" w:type="pct"/>
            <w:shd w:val="clear" w:color="auto" w:fill="E6E7E9" w:themeFill="accent5" w:themeFillTint="33"/>
            <w:vAlign w:val="center"/>
          </w:tcPr>
          <w:p w14:paraId="21A09484" w14:textId="77777777" w:rsidR="00350683" w:rsidRPr="00D17DA9" w:rsidRDefault="00350683" w:rsidP="00350683">
            <w:pPr>
              <w:pStyle w:val="ListParagraph"/>
              <w:ind w:left="0"/>
              <w:jc w:val="right"/>
            </w:pPr>
            <w:r w:rsidRPr="00D17DA9">
              <w:t>Rehabilitation Rate</w:t>
            </w:r>
            <w:r w:rsidRPr="00D17DA9">
              <w:rPr>
                <w:color w:val="FF0000"/>
              </w:rPr>
              <w:t>*</w:t>
            </w:r>
          </w:p>
        </w:tc>
        <w:tc>
          <w:tcPr>
            <w:tcW w:w="701" w:type="pct"/>
            <w:shd w:val="clear" w:color="auto" w:fill="E6E7E9" w:themeFill="accent5" w:themeFillTint="33"/>
            <w:vAlign w:val="center"/>
          </w:tcPr>
          <w:p w14:paraId="330E61AE" w14:textId="19298D3F" w:rsidR="00350683" w:rsidRPr="00D17DA9" w:rsidRDefault="00350683" w:rsidP="00350683">
            <w:pPr>
              <w:pStyle w:val="ListParagraph"/>
              <w:ind w:left="0"/>
              <w:jc w:val="center"/>
            </w:pPr>
            <w:r>
              <w:t>33%</w:t>
            </w:r>
          </w:p>
        </w:tc>
        <w:tc>
          <w:tcPr>
            <w:tcW w:w="701" w:type="pct"/>
            <w:shd w:val="clear" w:color="auto" w:fill="E6E7E9" w:themeFill="accent5" w:themeFillTint="33"/>
            <w:vAlign w:val="center"/>
          </w:tcPr>
          <w:p w14:paraId="49C60D21" w14:textId="6A1C5664" w:rsidR="00350683" w:rsidRPr="00D17DA9" w:rsidRDefault="00350683" w:rsidP="00350683">
            <w:pPr>
              <w:pStyle w:val="ListParagraph"/>
              <w:ind w:left="0"/>
              <w:jc w:val="center"/>
            </w:pPr>
            <w:r>
              <w:t>30%</w:t>
            </w:r>
          </w:p>
        </w:tc>
        <w:tc>
          <w:tcPr>
            <w:tcW w:w="701" w:type="pct"/>
            <w:shd w:val="clear" w:color="auto" w:fill="E6E7E9" w:themeFill="accent5" w:themeFillTint="33"/>
            <w:vAlign w:val="center"/>
          </w:tcPr>
          <w:p w14:paraId="08FCDC31" w14:textId="7378A9A6" w:rsidR="00350683" w:rsidRPr="00D17DA9" w:rsidRDefault="00EC64A2" w:rsidP="00350683">
            <w:pPr>
              <w:pStyle w:val="ListParagraph"/>
              <w:ind w:left="0"/>
              <w:jc w:val="center"/>
            </w:pPr>
            <w:r>
              <w:t>18</w:t>
            </w:r>
            <w:r w:rsidR="00D9270C">
              <w:t>%</w:t>
            </w:r>
          </w:p>
        </w:tc>
        <w:tc>
          <w:tcPr>
            <w:tcW w:w="701" w:type="pct"/>
            <w:shd w:val="clear" w:color="auto" w:fill="E6E7E9" w:themeFill="accent5" w:themeFillTint="33"/>
            <w:vAlign w:val="center"/>
          </w:tcPr>
          <w:p w14:paraId="286E5562" w14:textId="16D4B11C" w:rsidR="00350683" w:rsidRPr="00D17DA9" w:rsidRDefault="00EC64A2" w:rsidP="00350683">
            <w:pPr>
              <w:pStyle w:val="ListParagraph"/>
              <w:ind w:left="0"/>
              <w:jc w:val="center"/>
            </w:pPr>
            <w:r>
              <w:t>18</w:t>
            </w:r>
            <w:r w:rsidR="00253567">
              <w:t>%</w:t>
            </w:r>
          </w:p>
        </w:tc>
      </w:tr>
      <w:tr w:rsidR="00350683" w:rsidRPr="00D17DA9" w14:paraId="412597C1" w14:textId="77777777" w:rsidTr="00AD3C49">
        <w:trPr>
          <w:trHeight w:val="429"/>
        </w:trPr>
        <w:tc>
          <w:tcPr>
            <w:tcW w:w="2195" w:type="pct"/>
            <w:vAlign w:val="center"/>
          </w:tcPr>
          <w:p w14:paraId="29D0096E" w14:textId="77777777" w:rsidR="00350683" w:rsidRPr="00D17DA9" w:rsidRDefault="00350683" w:rsidP="00350683">
            <w:pPr>
              <w:pStyle w:val="ListParagraph"/>
              <w:ind w:left="0"/>
            </w:pPr>
            <w:r w:rsidRPr="00D17DA9">
              <w:t xml:space="preserve">Cognitive </w:t>
            </w:r>
          </w:p>
        </w:tc>
        <w:tc>
          <w:tcPr>
            <w:tcW w:w="701" w:type="pct"/>
            <w:vAlign w:val="center"/>
          </w:tcPr>
          <w:p w14:paraId="69FE8048" w14:textId="5C2B367C" w:rsidR="00350683" w:rsidRPr="00D17DA9" w:rsidRDefault="00350683" w:rsidP="00350683">
            <w:pPr>
              <w:pStyle w:val="ListParagraph"/>
              <w:ind w:left="0"/>
              <w:jc w:val="center"/>
            </w:pPr>
            <w:r>
              <w:t>1,177</w:t>
            </w:r>
          </w:p>
        </w:tc>
        <w:tc>
          <w:tcPr>
            <w:tcW w:w="701" w:type="pct"/>
            <w:vAlign w:val="center"/>
          </w:tcPr>
          <w:p w14:paraId="638C4796" w14:textId="00D60C11" w:rsidR="00350683" w:rsidRPr="00D17DA9" w:rsidRDefault="00350683" w:rsidP="00350683">
            <w:pPr>
              <w:pStyle w:val="ListParagraph"/>
              <w:ind w:left="0"/>
              <w:jc w:val="center"/>
            </w:pPr>
            <w:r>
              <w:t>945</w:t>
            </w:r>
          </w:p>
        </w:tc>
        <w:tc>
          <w:tcPr>
            <w:tcW w:w="701" w:type="pct"/>
            <w:vAlign w:val="center"/>
          </w:tcPr>
          <w:p w14:paraId="4AE51CC0" w14:textId="74B910C2" w:rsidR="00350683" w:rsidRPr="00D17DA9" w:rsidRDefault="001B0DE0" w:rsidP="00350683">
            <w:pPr>
              <w:pStyle w:val="ListParagraph"/>
              <w:ind w:left="0"/>
              <w:jc w:val="center"/>
            </w:pPr>
            <w:r>
              <w:t>934</w:t>
            </w:r>
          </w:p>
        </w:tc>
        <w:tc>
          <w:tcPr>
            <w:tcW w:w="701" w:type="pct"/>
            <w:vAlign w:val="center"/>
          </w:tcPr>
          <w:p w14:paraId="2D06873F" w14:textId="062D10C6" w:rsidR="00350683" w:rsidRPr="00D17DA9" w:rsidRDefault="000E570B" w:rsidP="00350683">
            <w:pPr>
              <w:pStyle w:val="ListParagraph"/>
              <w:ind w:left="0"/>
              <w:jc w:val="center"/>
            </w:pPr>
            <w:r>
              <w:t>1,012</w:t>
            </w:r>
          </w:p>
        </w:tc>
      </w:tr>
      <w:tr w:rsidR="00350683" w:rsidRPr="00D17DA9" w14:paraId="16A7A152" w14:textId="77777777" w:rsidTr="00AD3C49">
        <w:trPr>
          <w:trHeight w:val="429"/>
        </w:trPr>
        <w:tc>
          <w:tcPr>
            <w:tcW w:w="2195" w:type="pct"/>
            <w:vAlign w:val="center"/>
          </w:tcPr>
          <w:p w14:paraId="5A3B9A35" w14:textId="77777777" w:rsidR="00350683" w:rsidRPr="00D17DA9" w:rsidRDefault="00350683" w:rsidP="00350683">
            <w:pPr>
              <w:pStyle w:val="ListParagraph"/>
              <w:ind w:left="0"/>
              <w:jc w:val="right"/>
            </w:pPr>
            <w:r w:rsidRPr="00D17DA9">
              <w:t>Rehabilitated (Status 26)</w:t>
            </w:r>
          </w:p>
        </w:tc>
        <w:tc>
          <w:tcPr>
            <w:tcW w:w="701" w:type="pct"/>
            <w:vAlign w:val="center"/>
          </w:tcPr>
          <w:p w14:paraId="68578D27" w14:textId="2E999390" w:rsidR="00350683" w:rsidRPr="00D17DA9" w:rsidRDefault="00350683" w:rsidP="00350683">
            <w:pPr>
              <w:pStyle w:val="ListParagraph"/>
              <w:ind w:left="0"/>
              <w:jc w:val="center"/>
            </w:pPr>
            <w:r>
              <w:t>270</w:t>
            </w:r>
          </w:p>
        </w:tc>
        <w:tc>
          <w:tcPr>
            <w:tcW w:w="701" w:type="pct"/>
            <w:vAlign w:val="center"/>
          </w:tcPr>
          <w:p w14:paraId="01CEF7E6" w14:textId="54BEB54F" w:rsidR="00350683" w:rsidRPr="00D17DA9" w:rsidRDefault="00350683" w:rsidP="00350683">
            <w:pPr>
              <w:pStyle w:val="ListParagraph"/>
              <w:ind w:left="0"/>
              <w:jc w:val="center"/>
            </w:pPr>
            <w:r>
              <w:t>239</w:t>
            </w:r>
          </w:p>
        </w:tc>
        <w:tc>
          <w:tcPr>
            <w:tcW w:w="701" w:type="pct"/>
            <w:vAlign w:val="center"/>
          </w:tcPr>
          <w:p w14:paraId="7F87C4B8" w14:textId="51562977" w:rsidR="00350683" w:rsidRPr="00D17DA9" w:rsidRDefault="001B0DE0" w:rsidP="00350683">
            <w:pPr>
              <w:pStyle w:val="ListParagraph"/>
              <w:ind w:left="0"/>
              <w:jc w:val="center"/>
            </w:pPr>
            <w:r>
              <w:t>233</w:t>
            </w:r>
          </w:p>
        </w:tc>
        <w:tc>
          <w:tcPr>
            <w:tcW w:w="701" w:type="pct"/>
            <w:vAlign w:val="center"/>
          </w:tcPr>
          <w:p w14:paraId="3B97CDF4" w14:textId="5FB2FB10" w:rsidR="00350683" w:rsidRPr="00D17DA9" w:rsidRDefault="0034780E" w:rsidP="00350683">
            <w:pPr>
              <w:pStyle w:val="ListParagraph"/>
              <w:ind w:left="0"/>
              <w:jc w:val="center"/>
            </w:pPr>
            <w:r>
              <w:t>246</w:t>
            </w:r>
          </w:p>
        </w:tc>
      </w:tr>
      <w:tr w:rsidR="00350683" w:rsidRPr="00D17DA9" w14:paraId="38BEDC23" w14:textId="77777777" w:rsidTr="00AD3C49">
        <w:trPr>
          <w:trHeight w:val="429"/>
        </w:trPr>
        <w:tc>
          <w:tcPr>
            <w:tcW w:w="2195" w:type="pct"/>
            <w:vAlign w:val="center"/>
          </w:tcPr>
          <w:p w14:paraId="37E4722C" w14:textId="77777777" w:rsidR="00350683" w:rsidRPr="00D17DA9" w:rsidRDefault="00350683" w:rsidP="00350683">
            <w:pPr>
              <w:pStyle w:val="ListParagraph"/>
              <w:ind w:left="0"/>
              <w:jc w:val="right"/>
            </w:pPr>
            <w:r w:rsidRPr="00D17DA9">
              <w:t>Other than Rehabilitated (Status 28)</w:t>
            </w:r>
          </w:p>
        </w:tc>
        <w:tc>
          <w:tcPr>
            <w:tcW w:w="701" w:type="pct"/>
            <w:vAlign w:val="center"/>
          </w:tcPr>
          <w:p w14:paraId="7C98B0A3" w14:textId="333E6D4E" w:rsidR="00350683" w:rsidRPr="00D17DA9" w:rsidRDefault="00350683" w:rsidP="00350683">
            <w:pPr>
              <w:pStyle w:val="ListParagraph"/>
              <w:ind w:left="0"/>
              <w:jc w:val="center"/>
            </w:pPr>
            <w:r>
              <w:t>406</w:t>
            </w:r>
          </w:p>
        </w:tc>
        <w:tc>
          <w:tcPr>
            <w:tcW w:w="701" w:type="pct"/>
            <w:vAlign w:val="center"/>
          </w:tcPr>
          <w:p w14:paraId="08BD5C86" w14:textId="7CF42425" w:rsidR="00350683" w:rsidRPr="00D17DA9" w:rsidRDefault="00350683" w:rsidP="00350683">
            <w:pPr>
              <w:pStyle w:val="ListParagraph"/>
              <w:ind w:left="0"/>
              <w:jc w:val="center"/>
            </w:pPr>
            <w:r>
              <w:t>418</w:t>
            </w:r>
          </w:p>
        </w:tc>
        <w:tc>
          <w:tcPr>
            <w:tcW w:w="701" w:type="pct"/>
            <w:vAlign w:val="center"/>
          </w:tcPr>
          <w:p w14:paraId="19F331A0" w14:textId="2D7C3E34" w:rsidR="00350683" w:rsidRPr="00D17DA9" w:rsidRDefault="001B0DE0" w:rsidP="00350683">
            <w:pPr>
              <w:pStyle w:val="ListParagraph"/>
              <w:ind w:left="0"/>
              <w:jc w:val="center"/>
            </w:pPr>
            <w:r>
              <w:t>466</w:t>
            </w:r>
          </w:p>
        </w:tc>
        <w:tc>
          <w:tcPr>
            <w:tcW w:w="701" w:type="pct"/>
            <w:vAlign w:val="center"/>
          </w:tcPr>
          <w:p w14:paraId="51FCE257" w14:textId="6B642594" w:rsidR="00350683" w:rsidRPr="00D17DA9" w:rsidRDefault="00253567" w:rsidP="00350683">
            <w:pPr>
              <w:pStyle w:val="ListParagraph"/>
              <w:ind w:left="0"/>
              <w:jc w:val="center"/>
            </w:pPr>
            <w:r>
              <w:t>566</w:t>
            </w:r>
          </w:p>
        </w:tc>
      </w:tr>
      <w:tr w:rsidR="00350683" w:rsidRPr="00D17DA9" w14:paraId="29D2BD12" w14:textId="77777777" w:rsidTr="00AD3C49">
        <w:trPr>
          <w:trHeight w:val="429"/>
        </w:trPr>
        <w:tc>
          <w:tcPr>
            <w:tcW w:w="2195" w:type="pct"/>
            <w:vAlign w:val="center"/>
          </w:tcPr>
          <w:p w14:paraId="0D100814" w14:textId="77777777" w:rsidR="00350683" w:rsidRPr="00D17DA9" w:rsidRDefault="00350683" w:rsidP="00350683">
            <w:pPr>
              <w:pStyle w:val="ListParagraph"/>
              <w:ind w:left="0"/>
              <w:jc w:val="right"/>
            </w:pPr>
            <w:r w:rsidRPr="00D17DA9">
              <w:t>Rehabilitation Rate</w:t>
            </w:r>
            <w:r w:rsidRPr="00D17DA9">
              <w:rPr>
                <w:color w:val="FF0000"/>
              </w:rPr>
              <w:t>*</w:t>
            </w:r>
          </w:p>
        </w:tc>
        <w:tc>
          <w:tcPr>
            <w:tcW w:w="701" w:type="pct"/>
            <w:vAlign w:val="center"/>
          </w:tcPr>
          <w:p w14:paraId="1F05CE12" w14:textId="3D1BA557" w:rsidR="00350683" w:rsidRPr="00D17DA9" w:rsidRDefault="00350683" w:rsidP="00350683">
            <w:pPr>
              <w:pStyle w:val="ListParagraph"/>
              <w:ind w:left="0"/>
              <w:jc w:val="center"/>
            </w:pPr>
            <w:r>
              <w:t>40%</w:t>
            </w:r>
          </w:p>
        </w:tc>
        <w:tc>
          <w:tcPr>
            <w:tcW w:w="701" w:type="pct"/>
            <w:vAlign w:val="center"/>
          </w:tcPr>
          <w:p w14:paraId="3CBF4E26" w14:textId="68A2C4DB" w:rsidR="00350683" w:rsidRPr="00D17DA9" w:rsidRDefault="00350683" w:rsidP="00350683">
            <w:pPr>
              <w:pStyle w:val="ListParagraph"/>
              <w:ind w:left="0"/>
              <w:jc w:val="center"/>
            </w:pPr>
            <w:r>
              <w:t>36%</w:t>
            </w:r>
          </w:p>
        </w:tc>
        <w:tc>
          <w:tcPr>
            <w:tcW w:w="701" w:type="pct"/>
            <w:vAlign w:val="center"/>
          </w:tcPr>
          <w:p w14:paraId="66653389" w14:textId="56790EE8" w:rsidR="00350683" w:rsidRPr="00D17DA9" w:rsidRDefault="00EC64A2" w:rsidP="00350683">
            <w:pPr>
              <w:pStyle w:val="ListParagraph"/>
              <w:ind w:left="0"/>
              <w:jc w:val="center"/>
            </w:pPr>
            <w:r>
              <w:t>25</w:t>
            </w:r>
            <w:r w:rsidR="00D9270C">
              <w:t>%</w:t>
            </w:r>
          </w:p>
        </w:tc>
        <w:tc>
          <w:tcPr>
            <w:tcW w:w="701" w:type="pct"/>
            <w:vAlign w:val="center"/>
          </w:tcPr>
          <w:p w14:paraId="3B12A72E" w14:textId="46D836F0" w:rsidR="00350683" w:rsidRPr="00D17DA9" w:rsidRDefault="00EC64A2" w:rsidP="00350683">
            <w:pPr>
              <w:pStyle w:val="ListParagraph"/>
              <w:ind w:left="0"/>
              <w:jc w:val="center"/>
            </w:pPr>
            <w:r>
              <w:t>24</w:t>
            </w:r>
            <w:r w:rsidR="00253567">
              <w:t>%</w:t>
            </w:r>
          </w:p>
        </w:tc>
      </w:tr>
    </w:tbl>
    <w:p w14:paraId="42285C9F" w14:textId="77777777" w:rsidR="00E336D4" w:rsidRPr="00E336D4" w:rsidRDefault="00E336D4" w:rsidP="00E336D4">
      <w:pPr>
        <w:tabs>
          <w:tab w:val="left" w:pos="720"/>
        </w:tabs>
        <w:spacing w:after="0" w:line="240" w:lineRule="auto"/>
        <w:ind w:left="720"/>
        <w:rPr>
          <w:b/>
          <w:color w:val="FF0000"/>
          <w:sz w:val="10"/>
          <w:szCs w:val="10"/>
        </w:rPr>
      </w:pPr>
    </w:p>
    <w:p w14:paraId="29E58A70" w14:textId="06E857DA" w:rsidR="00D564D6" w:rsidRPr="00D564D6" w:rsidRDefault="00D564D6" w:rsidP="00D564D6">
      <w:pPr>
        <w:tabs>
          <w:tab w:val="left" w:pos="720"/>
        </w:tabs>
        <w:ind w:left="720"/>
      </w:pPr>
      <w:r w:rsidRPr="00D17DA9">
        <w:rPr>
          <w:b/>
          <w:color w:val="FF0000"/>
        </w:rPr>
        <w:t>*</w:t>
      </w:r>
      <w:r w:rsidRPr="00D17DA9">
        <w:t>Rehabilitation Rate = Status 26 Closures/Status 26 + Status 28 Closures</w:t>
      </w:r>
    </w:p>
    <w:p w14:paraId="03B46DD3" w14:textId="070B9F21" w:rsidR="0070215D" w:rsidRPr="00010E2A" w:rsidRDefault="0070215D" w:rsidP="00010E2A">
      <w:pPr>
        <w:pStyle w:val="NoSpacing"/>
        <w:rPr>
          <w:b/>
        </w:rPr>
      </w:pPr>
    </w:p>
    <w:sectPr w:rsidR="0070215D" w:rsidRPr="00010E2A" w:rsidSect="00AE74EA">
      <w:footerReference w:type="default" r:id="rId28"/>
      <w:pgSz w:w="12240" w:h="15840"/>
      <w:pgMar w:top="1152" w:right="1080" w:bottom="1152" w:left="1080" w:header="720" w:footer="61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A9BD0" w14:textId="77777777" w:rsidR="00AE7851" w:rsidRDefault="00AE7851" w:rsidP="007538AA">
      <w:pPr>
        <w:spacing w:after="0" w:line="240" w:lineRule="auto"/>
      </w:pPr>
      <w:r>
        <w:separator/>
      </w:r>
    </w:p>
  </w:endnote>
  <w:endnote w:type="continuationSeparator" w:id="0">
    <w:p w14:paraId="74B2D19D" w14:textId="77777777" w:rsidR="00AE7851" w:rsidRDefault="00AE7851" w:rsidP="0075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685513"/>
      <w:docPartObj>
        <w:docPartGallery w:val="Page Numbers (Bottom of Page)"/>
        <w:docPartUnique/>
      </w:docPartObj>
    </w:sdtPr>
    <w:sdtContent>
      <w:sdt>
        <w:sdtPr>
          <w:id w:val="635458804"/>
          <w:docPartObj>
            <w:docPartGallery w:val="Page Numbers (Top of Page)"/>
            <w:docPartUnique/>
          </w:docPartObj>
        </w:sdtPr>
        <w:sdtContent>
          <w:p w14:paraId="3AF30647" w14:textId="33051798" w:rsidR="00AE7851" w:rsidRDefault="00AE7851">
            <w:pPr>
              <w:pStyle w:val="Footer"/>
              <w:jc w:val="center"/>
            </w:pPr>
            <w:r w:rsidRPr="007538AA">
              <w:rPr>
                <w:sz w:val="16"/>
                <w:szCs w:val="16"/>
              </w:rPr>
              <w:t xml:space="preserve">Page </w:t>
            </w:r>
            <w:r w:rsidRPr="007538AA">
              <w:rPr>
                <w:b/>
                <w:bCs/>
                <w:sz w:val="16"/>
                <w:szCs w:val="16"/>
              </w:rPr>
              <w:fldChar w:fldCharType="begin"/>
            </w:r>
            <w:r w:rsidRPr="007538AA">
              <w:rPr>
                <w:b/>
                <w:bCs/>
                <w:sz w:val="16"/>
                <w:szCs w:val="16"/>
              </w:rPr>
              <w:instrText xml:space="preserve"> PAGE </w:instrText>
            </w:r>
            <w:r w:rsidRPr="007538AA">
              <w:rPr>
                <w:b/>
                <w:bCs/>
                <w:sz w:val="16"/>
                <w:szCs w:val="16"/>
              </w:rPr>
              <w:fldChar w:fldCharType="separate"/>
            </w:r>
            <w:r>
              <w:rPr>
                <w:b/>
                <w:bCs/>
                <w:noProof/>
                <w:sz w:val="16"/>
                <w:szCs w:val="16"/>
              </w:rPr>
              <w:t>41</w:t>
            </w:r>
            <w:r w:rsidRPr="007538AA">
              <w:rPr>
                <w:b/>
                <w:bCs/>
                <w:sz w:val="16"/>
                <w:szCs w:val="16"/>
              </w:rPr>
              <w:fldChar w:fldCharType="end"/>
            </w:r>
            <w:r w:rsidRPr="007538AA">
              <w:rPr>
                <w:sz w:val="16"/>
                <w:szCs w:val="16"/>
              </w:rPr>
              <w:t xml:space="preserve"> of </w:t>
            </w:r>
            <w:r w:rsidRPr="007538AA">
              <w:rPr>
                <w:b/>
                <w:bCs/>
                <w:sz w:val="16"/>
                <w:szCs w:val="16"/>
              </w:rPr>
              <w:fldChar w:fldCharType="begin"/>
            </w:r>
            <w:r w:rsidRPr="007538AA">
              <w:rPr>
                <w:b/>
                <w:bCs/>
                <w:sz w:val="16"/>
                <w:szCs w:val="16"/>
              </w:rPr>
              <w:instrText xml:space="preserve"> NUMPAGES  </w:instrText>
            </w:r>
            <w:r w:rsidRPr="007538AA">
              <w:rPr>
                <w:b/>
                <w:bCs/>
                <w:sz w:val="16"/>
                <w:szCs w:val="16"/>
              </w:rPr>
              <w:fldChar w:fldCharType="separate"/>
            </w:r>
            <w:r>
              <w:rPr>
                <w:b/>
                <w:bCs/>
                <w:noProof/>
                <w:sz w:val="16"/>
                <w:szCs w:val="16"/>
              </w:rPr>
              <w:t>57</w:t>
            </w:r>
            <w:r w:rsidRPr="007538AA">
              <w:rPr>
                <w:b/>
                <w:bCs/>
                <w:sz w:val="16"/>
                <w:szCs w:val="16"/>
              </w:rPr>
              <w:fldChar w:fldCharType="end"/>
            </w:r>
          </w:p>
        </w:sdtContent>
      </w:sdt>
    </w:sdtContent>
  </w:sdt>
  <w:p w14:paraId="1844B706" w14:textId="77777777" w:rsidR="00AE7851" w:rsidRDefault="00AE7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93680" w14:textId="77777777" w:rsidR="00AE7851" w:rsidRDefault="00AE7851" w:rsidP="007538AA">
      <w:pPr>
        <w:spacing w:after="0" w:line="240" w:lineRule="auto"/>
      </w:pPr>
      <w:r>
        <w:separator/>
      </w:r>
    </w:p>
  </w:footnote>
  <w:footnote w:type="continuationSeparator" w:id="0">
    <w:p w14:paraId="465EE3D8" w14:textId="77777777" w:rsidR="00AE7851" w:rsidRDefault="00AE7851" w:rsidP="007538AA">
      <w:pPr>
        <w:spacing w:after="0" w:line="240" w:lineRule="auto"/>
      </w:pPr>
      <w:r>
        <w:continuationSeparator/>
      </w:r>
    </w:p>
  </w:footnote>
  <w:footnote w:id="1">
    <w:p w14:paraId="4D72E29C" w14:textId="77777777" w:rsidR="00AE7851" w:rsidRDefault="00AE7851">
      <w:pPr>
        <w:pStyle w:val="FootnoteText"/>
      </w:pPr>
      <w:r>
        <w:rPr>
          <w:rStyle w:val="FootnoteReference"/>
        </w:rPr>
        <w:footnoteRef/>
      </w:r>
      <w:r>
        <w:t xml:space="preserve"> Closures in Table 1 include </w:t>
      </w:r>
      <w:r w:rsidRPr="00612824">
        <w:rPr>
          <w:u w:val="single"/>
        </w:rPr>
        <w:t>all</w:t>
      </w:r>
      <w:r>
        <w:t xml:space="preserve"> types of closures, including successful closures, as well as cases where the individual was found not eligible, found their own employment, did not complete their VR plan, etc.</w:t>
      </w:r>
    </w:p>
  </w:footnote>
  <w:footnote w:id="2">
    <w:p w14:paraId="3ADBA973" w14:textId="25F2C255" w:rsidR="00AE7851" w:rsidRDefault="00AE7851" w:rsidP="002118F6">
      <w:pPr>
        <w:pStyle w:val="FootnoteText"/>
      </w:pPr>
      <w:r>
        <w:rPr>
          <w:rStyle w:val="FootnoteReference"/>
        </w:rPr>
        <w:footnoteRef/>
      </w:r>
      <w:r>
        <w:t xml:space="preserve"> For more information on the ACS, see</w:t>
      </w:r>
      <w:r w:rsidRPr="00EA52D9">
        <w:rPr>
          <w:color w:val="0066CC"/>
        </w:rPr>
        <w:t xml:space="preserve"> </w:t>
      </w:r>
      <w:hyperlink r:id="rId1" w:history="1">
        <w:r w:rsidRPr="00EA52D9">
          <w:rPr>
            <w:rStyle w:val="Hyperlink"/>
            <w:color w:val="0066CC"/>
          </w:rPr>
          <w:t>http://www.census.gov/acs</w:t>
        </w:r>
      </w:hyperlink>
    </w:p>
  </w:footnote>
  <w:footnote w:id="3">
    <w:p w14:paraId="3745B5B1" w14:textId="77777777" w:rsidR="00AE7851" w:rsidRDefault="00AE7851" w:rsidP="00C53D72">
      <w:pPr>
        <w:pStyle w:val="FootnoteText"/>
      </w:pPr>
      <w:r>
        <w:rPr>
          <w:rStyle w:val="FootnoteReference"/>
        </w:rPr>
        <w:footnoteRef/>
      </w:r>
      <w:r>
        <w:t xml:space="preserve"> Maine Department of Labor, Division of Vocational Rehabilitation Policy Manual 2010 Final Rules</w:t>
      </w:r>
    </w:p>
  </w:footnote>
  <w:footnote w:id="4">
    <w:p w14:paraId="0858171A" w14:textId="6ED26F36" w:rsidR="00AE7851" w:rsidRDefault="00AE7851" w:rsidP="00C53D72">
      <w:pPr>
        <w:pStyle w:val="FootnoteText"/>
      </w:pPr>
      <w:r>
        <w:rPr>
          <w:rStyle w:val="FootnoteReference"/>
        </w:rPr>
        <w:footnoteRef/>
      </w:r>
      <w:r>
        <w:t xml:space="preserve"> To compute this estimate, the assumption is that the proportion of all Maine SSI recipients (both aged and disabled) who are also eligible for SSDI (39%) is the same for disabled SSI recipients only.  There is a total of 36,860 SSI recipients with disabilities and 64,708 SSDI recipients with disabilities deducted from 14,398 SSI recipients with disabilities who are also eligible for SSDI for the overall total of 87,170 SSI and SSDI recipients in Maine with disabilities.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98"/>
    <w:multiLevelType w:val="hybridMultilevel"/>
    <w:tmpl w:val="39D621E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E45FD"/>
    <w:multiLevelType w:val="hybridMultilevel"/>
    <w:tmpl w:val="AE3E0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633F"/>
    <w:multiLevelType w:val="hybridMultilevel"/>
    <w:tmpl w:val="59E40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57E19"/>
    <w:multiLevelType w:val="hybridMultilevel"/>
    <w:tmpl w:val="8BBE6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12BFF"/>
    <w:multiLevelType w:val="hybridMultilevel"/>
    <w:tmpl w:val="0922E0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04FE4"/>
    <w:multiLevelType w:val="hybridMultilevel"/>
    <w:tmpl w:val="55CC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2527F"/>
    <w:multiLevelType w:val="hybridMultilevel"/>
    <w:tmpl w:val="563481C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A476F"/>
    <w:multiLevelType w:val="hybridMultilevel"/>
    <w:tmpl w:val="442CD336"/>
    <w:lvl w:ilvl="0" w:tplc="50AA111C">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78354B"/>
    <w:multiLevelType w:val="hybridMultilevel"/>
    <w:tmpl w:val="5A0AA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A5782"/>
    <w:multiLevelType w:val="hybridMultilevel"/>
    <w:tmpl w:val="D2C8DC78"/>
    <w:lvl w:ilvl="0" w:tplc="830E38B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E4F35"/>
    <w:multiLevelType w:val="hybridMultilevel"/>
    <w:tmpl w:val="EDFA4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6D14C1"/>
    <w:multiLevelType w:val="hybridMultilevel"/>
    <w:tmpl w:val="CFF47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1A56B36"/>
    <w:multiLevelType w:val="hybridMultilevel"/>
    <w:tmpl w:val="661CD316"/>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1813BF"/>
    <w:multiLevelType w:val="hybridMultilevel"/>
    <w:tmpl w:val="8AAA0F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0751ED"/>
    <w:multiLevelType w:val="hybridMultilevel"/>
    <w:tmpl w:val="1DCC6C8C"/>
    <w:lvl w:ilvl="0" w:tplc="CC8CC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AF6B96"/>
    <w:multiLevelType w:val="hybridMultilevel"/>
    <w:tmpl w:val="3CE68CA0"/>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449D7"/>
    <w:multiLevelType w:val="hybridMultilevel"/>
    <w:tmpl w:val="F6BACE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09035D"/>
    <w:multiLevelType w:val="hybridMultilevel"/>
    <w:tmpl w:val="67A0F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38058C"/>
    <w:multiLevelType w:val="hybridMultilevel"/>
    <w:tmpl w:val="10D8A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F140EC"/>
    <w:multiLevelType w:val="hybridMultilevel"/>
    <w:tmpl w:val="C96EF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3E1B3F"/>
    <w:multiLevelType w:val="hybridMultilevel"/>
    <w:tmpl w:val="FA44A0F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BE54EBA"/>
    <w:multiLevelType w:val="hybridMultilevel"/>
    <w:tmpl w:val="FD206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3E6046"/>
    <w:multiLevelType w:val="hybridMultilevel"/>
    <w:tmpl w:val="CF3E3A1C"/>
    <w:lvl w:ilvl="0" w:tplc="66207082">
      <w:start w:val="1"/>
      <w:numFmt w:val="upperRoman"/>
      <w:lvlText w:val="%1."/>
      <w:lvlJc w:val="left"/>
      <w:pPr>
        <w:ind w:left="720" w:hanging="720"/>
      </w:pPr>
      <w:rPr>
        <w:rFonts w:hint="default"/>
      </w:rPr>
    </w:lvl>
    <w:lvl w:ilvl="1" w:tplc="8CD8C018">
      <w:start w:val="1"/>
      <w:numFmt w:val="upperLetter"/>
      <w:lvlText w:val="%2."/>
      <w:lvlJc w:val="left"/>
      <w:pPr>
        <w:ind w:left="1080" w:hanging="360"/>
      </w:pPr>
      <w:rPr>
        <w:rFonts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524895"/>
    <w:multiLevelType w:val="hybridMultilevel"/>
    <w:tmpl w:val="3EA8297C"/>
    <w:lvl w:ilvl="0" w:tplc="E74865EE">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973359"/>
    <w:multiLevelType w:val="hybridMultilevel"/>
    <w:tmpl w:val="65BE8468"/>
    <w:lvl w:ilvl="0" w:tplc="0748CD2E">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1E5BF6"/>
    <w:multiLevelType w:val="hybridMultilevel"/>
    <w:tmpl w:val="4E48AD74"/>
    <w:lvl w:ilvl="0" w:tplc="04090001">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54202F"/>
    <w:multiLevelType w:val="hybridMultilevel"/>
    <w:tmpl w:val="BACE02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B9529BC"/>
    <w:multiLevelType w:val="hybridMultilevel"/>
    <w:tmpl w:val="A6A6E1F0"/>
    <w:lvl w:ilvl="0" w:tplc="710EA19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D2F91"/>
    <w:multiLevelType w:val="hybridMultilevel"/>
    <w:tmpl w:val="50D217E8"/>
    <w:lvl w:ilvl="0" w:tplc="72C08C0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961C93"/>
    <w:multiLevelType w:val="hybridMultilevel"/>
    <w:tmpl w:val="ED323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742C47"/>
    <w:multiLevelType w:val="hybridMultilevel"/>
    <w:tmpl w:val="BCBE7A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FB5A38"/>
    <w:multiLevelType w:val="hybridMultilevel"/>
    <w:tmpl w:val="5EAC7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1D69B7"/>
    <w:multiLevelType w:val="hybridMultilevel"/>
    <w:tmpl w:val="C374BF72"/>
    <w:lvl w:ilvl="0" w:tplc="F370A54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8903A0"/>
    <w:multiLevelType w:val="hybridMultilevel"/>
    <w:tmpl w:val="7FB85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A54CCD"/>
    <w:multiLevelType w:val="hybridMultilevel"/>
    <w:tmpl w:val="F7A41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36DBC"/>
    <w:multiLevelType w:val="hybridMultilevel"/>
    <w:tmpl w:val="2894447A"/>
    <w:lvl w:ilvl="0" w:tplc="21063E24">
      <w:start w:val="1"/>
      <w:numFmt w:val="upperLetter"/>
      <w:lvlText w:val="%1."/>
      <w:lvlJc w:val="left"/>
      <w:pPr>
        <w:tabs>
          <w:tab w:val="num" w:pos="1440"/>
        </w:tabs>
        <w:ind w:left="1800" w:hanging="360"/>
      </w:pPr>
      <w:rPr>
        <w:rFonts w:hint="default"/>
      </w:rPr>
    </w:lvl>
    <w:lvl w:ilvl="1" w:tplc="6A30239C">
      <w:start w:val="1"/>
      <w:numFmt w:val="decimal"/>
      <w:lvlText w:val="(%2)"/>
      <w:lvlJc w:val="left"/>
      <w:pPr>
        <w:tabs>
          <w:tab w:val="num" w:pos="2160"/>
        </w:tabs>
        <w:ind w:left="2160" w:hanging="720"/>
      </w:pPr>
      <w:rPr>
        <w:rFonts w:hint="default"/>
      </w:rPr>
    </w:lvl>
    <w:lvl w:ilvl="2" w:tplc="73E8E50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D655DD5"/>
    <w:multiLevelType w:val="hybridMultilevel"/>
    <w:tmpl w:val="72302054"/>
    <w:lvl w:ilvl="0" w:tplc="50E852BE">
      <w:start w:val="3"/>
      <w:numFmt w:val="upperLetter"/>
      <w:lvlText w:val="%1."/>
      <w:lvlJc w:val="left"/>
      <w:pPr>
        <w:tabs>
          <w:tab w:val="num" w:pos="1440"/>
        </w:tabs>
        <w:ind w:left="1800" w:hanging="360"/>
      </w:pPr>
      <w:rPr>
        <w:rFonts w:hint="default"/>
      </w:rPr>
    </w:lvl>
    <w:lvl w:ilvl="1" w:tplc="8104FF74">
      <w:start w:val="1"/>
      <w:numFmt w:val="decimal"/>
      <w:lvlText w:val="(%2)"/>
      <w:lvlJc w:val="left"/>
      <w:pPr>
        <w:tabs>
          <w:tab w:val="num" w:pos="1800"/>
        </w:tabs>
        <w:ind w:left="1800" w:hanging="720"/>
      </w:pPr>
      <w:rPr>
        <w:rFonts w:hint="default"/>
      </w:rPr>
    </w:lvl>
    <w:lvl w:ilvl="2" w:tplc="7ADA76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9A1BF2"/>
    <w:multiLevelType w:val="hybridMultilevel"/>
    <w:tmpl w:val="70FAB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5A666C"/>
    <w:multiLevelType w:val="hybridMultilevel"/>
    <w:tmpl w:val="96B079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38"/>
  </w:num>
  <w:num w:numId="3">
    <w:abstractNumId w:val="21"/>
  </w:num>
  <w:num w:numId="4">
    <w:abstractNumId w:val="13"/>
  </w:num>
  <w:num w:numId="5">
    <w:abstractNumId w:val="3"/>
  </w:num>
  <w:num w:numId="6">
    <w:abstractNumId w:val="32"/>
  </w:num>
  <w:num w:numId="7">
    <w:abstractNumId w:val="12"/>
  </w:num>
  <w:num w:numId="8">
    <w:abstractNumId w:val="31"/>
  </w:num>
  <w:num w:numId="9">
    <w:abstractNumId w:val="10"/>
  </w:num>
  <w:num w:numId="10">
    <w:abstractNumId w:val="29"/>
  </w:num>
  <w:num w:numId="11">
    <w:abstractNumId w:val="37"/>
  </w:num>
  <w:num w:numId="12">
    <w:abstractNumId w:val="35"/>
  </w:num>
  <w:num w:numId="13">
    <w:abstractNumId w:val="36"/>
  </w:num>
  <w:num w:numId="14">
    <w:abstractNumId w:val="33"/>
  </w:num>
  <w:num w:numId="15">
    <w:abstractNumId w:val="24"/>
  </w:num>
  <w:num w:numId="16">
    <w:abstractNumId w:val="14"/>
  </w:num>
  <w:num w:numId="17">
    <w:abstractNumId w:val="4"/>
  </w:num>
  <w:num w:numId="18">
    <w:abstractNumId w:val="16"/>
  </w:num>
  <w:num w:numId="19">
    <w:abstractNumId w:val="0"/>
  </w:num>
  <w:num w:numId="20">
    <w:abstractNumId w:val="30"/>
  </w:num>
  <w:num w:numId="21">
    <w:abstractNumId w:val="15"/>
  </w:num>
  <w:num w:numId="22">
    <w:abstractNumId w:val="19"/>
  </w:num>
  <w:num w:numId="23">
    <w:abstractNumId w:val="20"/>
  </w:num>
  <w:num w:numId="24">
    <w:abstractNumId w:val="5"/>
  </w:num>
  <w:num w:numId="25">
    <w:abstractNumId w:val="18"/>
  </w:num>
  <w:num w:numId="26">
    <w:abstractNumId w:val="17"/>
  </w:num>
  <w:num w:numId="27">
    <w:abstractNumId w:val="2"/>
  </w:num>
  <w:num w:numId="28">
    <w:abstractNumId w:val="25"/>
  </w:num>
  <w:num w:numId="29">
    <w:abstractNumId w:val="28"/>
  </w:num>
  <w:num w:numId="30">
    <w:abstractNumId w:val="26"/>
  </w:num>
  <w:num w:numId="31">
    <w:abstractNumId w:val="7"/>
  </w:num>
  <w:num w:numId="32">
    <w:abstractNumId w:val="23"/>
  </w:num>
  <w:num w:numId="33">
    <w:abstractNumId w:val="11"/>
  </w:num>
  <w:num w:numId="34">
    <w:abstractNumId w:val="27"/>
  </w:num>
  <w:num w:numId="35">
    <w:abstractNumId w:val="9"/>
  </w:num>
  <w:num w:numId="36">
    <w:abstractNumId w:val="1"/>
  </w:num>
  <w:num w:numId="37">
    <w:abstractNumId w:val="8"/>
  </w:num>
  <w:num w:numId="38">
    <w:abstractNumId w:val="6"/>
  </w:num>
  <w:num w:numId="3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31"/>
    <w:rsid w:val="00002AD7"/>
    <w:rsid w:val="00004624"/>
    <w:rsid w:val="00007223"/>
    <w:rsid w:val="00007658"/>
    <w:rsid w:val="00010E2A"/>
    <w:rsid w:val="00015F90"/>
    <w:rsid w:val="00024DB0"/>
    <w:rsid w:val="00026D8B"/>
    <w:rsid w:val="0004266D"/>
    <w:rsid w:val="000436CE"/>
    <w:rsid w:val="00043A00"/>
    <w:rsid w:val="00044ABC"/>
    <w:rsid w:val="00045F5D"/>
    <w:rsid w:val="00052450"/>
    <w:rsid w:val="000540BB"/>
    <w:rsid w:val="000563F9"/>
    <w:rsid w:val="00062FF5"/>
    <w:rsid w:val="00065D5F"/>
    <w:rsid w:val="000733BF"/>
    <w:rsid w:val="00091624"/>
    <w:rsid w:val="000973EB"/>
    <w:rsid w:val="000975CA"/>
    <w:rsid w:val="000A5B8A"/>
    <w:rsid w:val="000A6A93"/>
    <w:rsid w:val="000A7E2F"/>
    <w:rsid w:val="000B28E0"/>
    <w:rsid w:val="000B295B"/>
    <w:rsid w:val="000B5408"/>
    <w:rsid w:val="000C0030"/>
    <w:rsid w:val="000C29DB"/>
    <w:rsid w:val="000C4FEE"/>
    <w:rsid w:val="000D2846"/>
    <w:rsid w:val="000D3E07"/>
    <w:rsid w:val="000D41E4"/>
    <w:rsid w:val="000D6E44"/>
    <w:rsid w:val="000D7A6B"/>
    <w:rsid w:val="000E0D1D"/>
    <w:rsid w:val="000E1848"/>
    <w:rsid w:val="000E45E5"/>
    <w:rsid w:val="000E570B"/>
    <w:rsid w:val="000E7596"/>
    <w:rsid w:val="000F122D"/>
    <w:rsid w:val="001034FA"/>
    <w:rsid w:val="00104E65"/>
    <w:rsid w:val="00107CE7"/>
    <w:rsid w:val="00110D57"/>
    <w:rsid w:val="0011236B"/>
    <w:rsid w:val="001148E6"/>
    <w:rsid w:val="00116539"/>
    <w:rsid w:val="00126E13"/>
    <w:rsid w:val="00127C90"/>
    <w:rsid w:val="001364CB"/>
    <w:rsid w:val="00143071"/>
    <w:rsid w:val="001463F7"/>
    <w:rsid w:val="00151ACC"/>
    <w:rsid w:val="00152A99"/>
    <w:rsid w:val="001546EA"/>
    <w:rsid w:val="00157C5F"/>
    <w:rsid w:val="0016138A"/>
    <w:rsid w:val="00161C65"/>
    <w:rsid w:val="001625DD"/>
    <w:rsid w:val="001662DD"/>
    <w:rsid w:val="001672D8"/>
    <w:rsid w:val="00171C32"/>
    <w:rsid w:val="00174BD2"/>
    <w:rsid w:val="00174DF5"/>
    <w:rsid w:val="001750EC"/>
    <w:rsid w:val="001907A3"/>
    <w:rsid w:val="00192BCB"/>
    <w:rsid w:val="001934DD"/>
    <w:rsid w:val="00194A43"/>
    <w:rsid w:val="00194E86"/>
    <w:rsid w:val="001A758B"/>
    <w:rsid w:val="001B0DE0"/>
    <w:rsid w:val="001B5AC3"/>
    <w:rsid w:val="001B7410"/>
    <w:rsid w:val="001C3BE3"/>
    <w:rsid w:val="001C3EA8"/>
    <w:rsid w:val="001C458B"/>
    <w:rsid w:val="001C5D3F"/>
    <w:rsid w:val="001C61EC"/>
    <w:rsid w:val="001D131E"/>
    <w:rsid w:val="001D6D32"/>
    <w:rsid w:val="001E0064"/>
    <w:rsid w:val="001E2886"/>
    <w:rsid w:val="001E35E6"/>
    <w:rsid w:val="001E3FE1"/>
    <w:rsid w:val="001E68E0"/>
    <w:rsid w:val="001E75BF"/>
    <w:rsid w:val="001E7CA8"/>
    <w:rsid w:val="001F1A31"/>
    <w:rsid w:val="001F2D28"/>
    <w:rsid w:val="001F4465"/>
    <w:rsid w:val="002018A1"/>
    <w:rsid w:val="002063A3"/>
    <w:rsid w:val="00206CFC"/>
    <w:rsid w:val="00210293"/>
    <w:rsid w:val="002118F6"/>
    <w:rsid w:val="002141CA"/>
    <w:rsid w:val="00214FC6"/>
    <w:rsid w:val="0021515A"/>
    <w:rsid w:val="0022028C"/>
    <w:rsid w:val="00221BE2"/>
    <w:rsid w:val="00223029"/>
    <w:rsid w:val="00225BD4"/>
    <w:rsid w:val="00232485"/>
    <w:rsid w:val="00235C84"/>
    <w:rsid w:val="00236FBB"/>
    <w:rsid w:val="002413EE"/>
    <w:rsid w:val="0024241D"/>
    <w:rsid w:val="00244647"/>
    <w:rsid w:val="0025115F"/>
    <w:rsid w:val="00253567"/>
    <w:rsid w:val="0026089E"/>
    <w:rsid w:val="002611C0"/>
    <w:rsid w:val="00263BE8"/>
    <w:rsid w:val="00267CF7"/>
    <w:rsid w:val="00271097"/>
    <w:rsid w:val="0027220C"/>
    <w:rsid w:val="00276DC2"/>
    <w:rsid w:val="00280DCC"/>
    <w:rsid w:val="00283695"/>
    <w:rsid w:val="0028586C"/>
    <w:rsid w:val="00292A3A"/>
    <w:rsid w:val="00296C04"/>
    <w:rsid w:val="0029798F"/>
    <w:rsid w:val="002A0E7D"/>
    <w:rsid w:val="002A48D0"/>
    <w:rsid w:val="002A59B8"/>
    <w:rsid w:val="002A61D1"/>
    <w:rsid w:val="002A6B53"/>
    <w:rsid w:val="002A7675"/>
    <w:rsid w:val="002B0A3D"/>
    <w:rsid w:val="002B1985"/>
    <w:rsid w:val="002C13D5"/>
    <w:rsid w:val="002C2BB1"/>
    <w:rsid w:val="002E1D0A"/>
    <w:rsid w:val="002E2811"/>
    <w:rsid w:val="002E58CF"/>
    <w:rsid w:val="002E5987"/>
    <w:rsid w:val="00301CAC"/>
    <w:rsid w:val="003061C9"/>
    <w:rsid w:val="00307BBF"/>
    <w:rsid w:val="003155B9"/>
    <w:rsid w:val="0031600C"/>
    <w:rsid w:val="00316A6A"/>
    <w:rsid w:val="00316B96"/>
    <w:rsid w:val="00317F67"/>
    <w:rsid w:val="0032431B"/>
    <w:rsid w:val="0032462D"/>
    <w:rsid w:val="00330E4C"/>
    <w:rsid w:val="0033280A"/>
    <w:rsid w:val="00345719"/>
    <w:rsid w:val="003462B7"/>
    <w:rsid w:val="0034780E"/>
    <w:rsid w:val="00347C10"/>
    <w:rsid w:val="00350683"/>
    <w:rsid w:val="00352224"/>
    <w:rsid w:val="00356EDD"/>
    <w:rsid w:val="00360566"/>
    <w:rsid w:val="00362DF7"/>
    <w:rsid w:val="00364B6D"/>
    <w:rsid w:val="0036715D"/>
    <w:rsid w:val="00371829"/>
    <w:rsid w:val="00371CA3"/>
    <w:rsid w:val="0037234D"/>
    <w:rsid w:val="00377F15"/>
    <w:rsid w:val="003814E7"/>
    <w:rsid w:val="00382A85"/>
    <w:rsid w:val="003838D1"/>
    <w:rsid w:val="00386653"/>
    <w:rsid w:val="00387873"/>
    <w:rsid w:val="0039123C"/>
    <w:rsid w:val="003926D8"/>
    <w:rsid w:val="003958E2"/>
    <w:rsid w:val="0039738D"/>
    <w:rsid w:val="003A12F9"/>
    <w:rsid w:val="003A29FB"/>
    <w:rsid w:val="003A3D1B"/>
    <w:rsid w:val="003A4E25"/>
    <w:rsid w:val="003A7CFB"/>
    <w:rsid w:val="003B0511"/>
    <w:rsid w:val="003B08B8"/>
    <w:rsid w:val="003B0E48"/>
    <w:rsid w:val="003B25A3"/>
    <w:rsid w:val="003B4378"/>
    <w:rsid w:val="003C1977"/>
    <w:rsid w:val="003C33A6"/>
    <w:rsid w:val="003C744D"/>
    <w:rsid w:val="003D2BDE"/>
    <w:rsid w:val="003D4F3E"/>
    <w:rsid w:val="003D50AE"/>
    <w:rsid w:val="003D653B"/>
    <w:rsid w:val="003E1025"/>
    <w:rsid w:val="003E1268"/>
    <w:rsid w:val="003E1373"/>
    <w:rsid w:val="003E31EF"/>
    <w:rsid w:val="003E6FFD"/>
    <w:rsid w:val="003F1857"/>
    <w:rsid w:val="003F4539"/>
    <w:rsid w:val="003F5BF4"/>
    <w:rsid w:val="003F66DA"/>
    <w:rsid w:val="003F736E"/>
    <w:rsid w:val="0040344C"/>
    <w:rsid w:val="00403904"/>
    <w:rsid w:val="004041B8"/>
    <w:rsid w:val="00411536"/>
    <w:rsid w:val="00412505"/>
    <w:rsid w:val="00416E5E"/>
    <w:rsid w:val="00437293"/>
    <w:rsid w:val="004466E9"/>
    <w:rsid w:val="004547D9"/>
    <w:rsid w:val="00455FD4"/>
    <w:rsid w:val="00456DB6"/>
    <w:rsid w:val="00462FF9"/>
    <w:rsid w:val="00463571"/>
    <w:rsid w:val="0046422F"/>
    <w:rsid w:val="004700B8"/>
    <w:rsid w:val="004708EF"/>
    <w:rsid w:val="00483216"/>
    <w:rsid w:val="004834C4"/>
    <w:rsid w:val="0048557A"/>
    <w:rsid w:val="00486929"/>
    <w:rsid w:val="00490E78"/>
    <w:rsid w:val="00491D2A"/>
    <w:rsid w:val="00492E07"/>
    <w:rsid w:val="00494EFE"/>
    <w:rsid w:val="004A01B6"/>
    <w:rsid w:val="004A0834"/>
    <w:rsid w:val="004A27A8"/>
    <w:rsid w:val="004A28FB"/>
    <w:rsid w:val="004A455C"/>
    <w:rsid w:val="004A64FD"/>
    <w:rsid w:val="004A7E9F"/>
    <w:rsid w:val="004B1662"/>
    <w:rsid w:val="004B4396"/>
    <w:rsid w:val="004B4DC3"/>
    <w:rsid w:val="004B5150"/>
    <w:rsid w:val="004B7455"/>
    <w:rsid w:val="004C03E3"/>
    <w:rsid w:val="004C4B92"/>
    <w:rsid w:val="004C6B23"/>
    <w:rsid w:val="004C76D9"/>
    <w:rsid w:val="004D3432"/>
    <w:rsid w:val="004E26B0"/>
    <w:rsid w:val="004E3B17"/>
    <w:rsid w:val="004E4177"/>
    <w:rsid w:val="004F0A15"/>
    <w:rsid w:val="004F465C"/>
    <w:rsid w:val="004F4D91"/>
    <w:rsid w:val="004F7832"/>
    <w:rsid w:val="00503DA3"/>
    <w:rsid w:val="005043AB"/>
    <w:rsid w:val="00505244"/>
    <w:rsid w:val="00512B71"/>
    <w:rsid w:val="005139C0"/>
    <w:rsid w:val="00514248"/>
    <w:rsid w:val="005167E6"/>
    <w:rsid w:val="00520FE1"/>
    <w:rsid w:val="005211B3"/>
    <w:rsid w:val="00521922"/>
    <w:rsid w:val="00521BCC"/>
    <w:rsid w:val="0052275D"/>
    <w:rsid w:val="00525BF3"/>
    <w:rsid w:val="00537A0F"/>
    <w:rsid w:val="005413EB"/>
    <w:rsid w:val="005426A7"/>
    <w:rsid w:val="005466B7"/>
    <w:rsid w:val="00546BAA"/>
    <w:rsid w:val="005505BE"/>
    <w:rsid w:val="00552F5B"/>
    <w:rsid w:val="00556E61"/>
    <w:rsid w:val="0055714F"/>
    <w:rsid w:val="00565BD7"/>
    <w:rsid w:val="005702FA"/>
    <w:rsid w:val="00570F6F"/>
    <w:rsid w:val="00571CE6"/>
    <w:rsid w:val="00573DC7"/>
    <w:rsid w:val="00574CD3"/>
    <w:rsid w:val="00576CB1"/>
    <w:rsid w:val="0057786E"/>
    <w:rsid w:val="00577DB1"/>
    <w:rsid w:val="00580258"/>
    <w:rsid w:val="0058029A"/>
    <w:rsid w:val="00580B54"/>
    <w:rsid w:val="00581259"/>
    <w:rsid w:val="00590231"/>
    <w:rsid w:val="00592908"/>
    <w:rsid w:val="005A0575"/>
    <w:rsid w:val="005A5490"/>
    <w:rsid w:val="005B09DC"/>
    <w:rsid w:val="005B1BDA"/>
    <w:rsid w:val="005B1FE6"/>
    <w:rsid w:val="005B2211"/>
    <w:rsid w:val="005B647D"/>
    <w:rsid w:val="005B67D5"/>
    <w:rsid w:val="005C0CB7"/>
    <w:rsid w:val="005C1C6A"/>
    <w:rsid w:val="005C52EE"/>
    <w:rsid w:val="005C7E2A"/>
    <w:rsid w:val="005D1E87"/>
    <w:rsid w:val="005D376C"/>
    <w:rsid w:val="005D7D1F"/>
    <w:rsid w:val="005E2A03"/>
    <w:rsid w:val="005E2BCA"/>
    <w:rsid w:val="005E4E07"/>
    <w:rsid w:val="005E5937"/>
    <w:rsid w:val="005F13C5"/>
    <w:rsid w:val="005F5BC2"/>
    <w:rsid w:val="00605CE8"/>
    <w:rsid w:val="00611A4B"/>
    <w:rsid w:val="00612824"/>
    <w:rsid w:val="00612AA0"/>
    <w:rsid w:val="00614F38"/>
    <w:rsid w:val="00620D81"/>
    <w:rsid w:val="00622242"/>
    <w:rsid w:val="00622F47"/>
    <w:rsid w:val="0062344D"/>
    <w:rsid w:val="00624D02"/>
    <w:rsid w:val="00630873"/>
    <w:rsid w:val="00635E66"/>
    <w:rsid w:val="0064376E"/>
    <w:rsid w:val="0064484F"/>
    <w:rsid w:val="0065385D"/>
    <w:rsid w:val="006565C5"/>
    <w:rsid w:val="00660EC0"/>
    <w:rsid w:val="00661D4D"/>
    <w:rsid w:val="00663A94"/>
    <w:rsid w:val="006648FE"/>
    <w:rsid w:val="00664A62"/>
    <w:rsid w:val="006656CE"/>
    <w:rsid w:val="00665F38"/>
    <w:rsid w:val="00671AEE"/>
    <w:rsid w:val="006735C8"/>
    <w:rsid w:val="00676E76"/>
    <w:rsid w:val="00676FA7"/>
    <w:rsid w:val="00677A04"/>
    <w:rsid w:val="006826FC"/>
    <w:rsid w:val="00682EC6"/>
    <w:rsid w:val="00692938"/>
    <w:rsid w:val="00693A1A"/>
    <w:rsid w:val="006962F1"/>
    <w:rsid w:val="006A29BC"/>
    <w:rsid w:val="006B1AB1"/>
    <w:rsid w:val="006B2394"/>
    <w:rsid w:val="006B3CC4"/>
    <w:rsid w:val="006B6943"/>
    <w:rsid w:val="006C0C53"/>
    <w:rsid w:val="006C6D92"/>
    <w:rsid w:val="006D2B3F"/>
    <w:rsid w:val="006D794A"/>
    <w:rsid w:val="006E2BFB"/>
    <w:rsid w:val="006E40AB"/>
    <w:rsid w:val="006E4DDE"/>
    <w:rsid w:val="006E77FD"/>
    <w:rsid w:val="006F456D"/>
    <w:rsid w:val="006F4D19"/>
    <w:rsid w:val="006F5D1D"/>
    <w:rsid w:val="006F6605"/>
    <w:rsid w:val="0070215D"/>
    <w:rsid w:val="00704E36"/>
    <w:rsid w:val="007077B2"/>
    <w:rsid w:val="0071128C"/>
    <w:rsid w:val="00711ADE"/>
    <w:rsid w:val="00716214"/>
    <w:rsid w:val="00716C02"/>
    <w:rsid w:val="0071720A"/>
    <w:rsid w:val="007174F0"/>
    <w:rsid w:val="00720A7B"/>
    <w:rsid w:val="007219A9"/>
    <w:rsid w:val="007219C3"/>
    <w:rsid w:val="00721B35"/>
    <w:rsid w:val="00721D1E"/>
    <w:rsid w:val="0072528A"/>
    <w:rsid w:val="007253A1"/>
    <w:rsid w:val="00726C8B"/>
    <w:rsid w:val="0073022F"/>
    <w:rsid w:val="00734344"/>
    <w:rsid w:val="00737A94"/>
    <w:rsid w:val="0074402D"/>
    <w:rsid w:val="00745697"/>
    <w:rsid w:val="00746DC2"/>
    <w:rsid w:val="00747B0A"/>
    <w:rsid w:val="00750E33"/>
    <w:rsid w:val="007516CF"/>
    <w:rsid w:val="007538AA"/>
    <w:rsid w:val="0075461A"/>
    <w:rsid w:val="00755176"/>
    <w:rsid w:val="00756BE2"/>
    <w:rsid w:val="00757F39"/>
    <w:rsid w:val="0076215E"/>
    <w:rsid w:val="00764912"/>
    <w:rsid w:val="00765B00"/>
    <w:rsid w:val="00772668"/>
    <w:rsid w:val="007742C4"/>
    <w:rsid w:val="00774B85"/>
    <w:rsid w:val="00777B83"/>
    <w:rsid w:val="00783E89"/>
    <w:rsid w:val="00783F84"/>
    <w:rsid w:val="00784A2F"/>
    <w:rsid w:val="007855B5"/>
    <w:rsid w:val="0079428C"/>
    <w:rsid w:val="007A34C4"/>
    <w:rsid w:val="007B0AA8"/>
    <w:rsid w:val="007B5907"/>
    <w:rsid w:val="007B593E"/>
    <w:rsid w:val="007C3E06"/>
    <w:rsid w:val="007C5E9A"/>
    <w:rsid w:val="007D3E92"/>
    <w:rsid w:val="007D577E"/>
    <w:rsid w:val="007E2386"/>
    <w:rsid w:val="007E4A59"/>
    <w:rsid w:val="007E4AAB"/>
    <w:rsid w:val="007F16F1"/>
    <w:rsid w:val="007F26BE"/>
    <w:rsid w:val="007F3B0F"/>
    <w:rsid w:val="007F6E51"/>
    <w:rsid w:val="007F7792"/>
    <w:rsid w:val="008008BF"/>
    <w:rsid w:val="00801E08"/>
    <w:rsid w:val="00806889"/>
    <w:rsid w:val="0080713F"/>
    <w:rsid w:val="00807505"/>
    <w:rsid w:val="0080751A"/>
    <w:rsid w:val="00807E6B"/>
    <w:rsid w:val="00810149"/>
    <w:rsid w:val="0081157C"/>
    <w:rsid w:val="0082086E"/>
    <w:rsid w:val="00822CCF"/>
    <w:rsid w:val="00823D76"/>
    <w:rsid w:val="00830D31"/>
    <w:rsid w:val="00832180"/>
    <w:rsid w:val="00837FD4"/>
    <w:rsid w:val="00841781"/>
    <w:rsid w:val="00841ED3"/>
    <w:rsid w:val="008425A9"/>
    <w:rsid w:val="0084281E"/>
    <w:rsid w:val="008468B2"/>
    <w:rsid w:val="008471C4"/>
    <w:rsid w:val="00850ED9"/>
    <w:rsid w:val="00854BE3"/>
    <w:rsid w:val="00857997"/>
    <w:rsid w:val="00862B34"/>
    <w:rsid w:val="0086306C"/>
    <w:rsid w:val="0086493D"/>
    <w:rsid w:val="00867813"/>
    <w:rsid w:val="008722C9"/>
    <w:rsid w:val="00882FDD"/>
    <w:rsid w:val="00887E70"/>
    <w:rsid w:val="00896B03"/>
    <w:rsid w:val="008A2E71"/>
    <w:rsid w:val="008A347C"/>
    <w:rsid w:val="008A5A69"/>
    <w:rsid w:val="008B76F5"/>
    <w:rsid w:val="008C4AA2"/>
    <w:rsid w:val="008D4AD1"/>
    <w:rsid w:val="008D5C6F"/>
    <w:rsid w:val="008E4CCB"/>
    <w:rsid w:val="008E4DDF"/>
    <w:rsid w:val="008E6E0A"/>
    <w:rsid w:val="008E712F"/>
    <w:rsid w:val="008F2F64"/>
    <w:rsid w:val="008F3796"/>
    <w:rsid w:val="009033C2"/>
    <w:rsid w:val="00905462"/>
    <w:rsid w:val="00905D57"/>
    <w:rsid w:val="009068CB"/>
    <w:rsid w:val="009209EF"/>
    <w:rsid w:val="00922340"/>
    <w:rsid w:val="00924A65"/>
    <w:rsid w:val="00924FDC"/>
    <w:rsid w:val="00927E08"/>
    <w:rsid w:val="00932736"/>
    <w:rsid w:val="00936F73"/>
    <w:rsid w:val="00937E27"/>
    <w:rsid w:val="00945209"/>
    <w:rsid w:val="00945B8C"/>
    <w:rsid w:val="00954A6C"/>
    <w:rsid w:val="00954E6C"/>
    <w:rsid w:val="00961161"/>
    <w:rsid w:val="009673B5"/>
    <w:rsid w:val="009707E4"/>
    <w:rsid w:val="00971DE8"/>
    <w:rsid w:val="00973269"/>
    <w:rsid w:val="00974BD8"/>
    <w:rsid w:val="009769CE"/>
    <w:rsid w:val="009776F0"/>
    <w:rsid w:val="009816A6"/>
    <w:rsid w:val="00987E38"/>
    <w:rsid w:val="009917DE"/>
    <w:rsid w:val="009A06E7"/>
    <w:rsid w:val="009A3B85"/>
    <w:rsid w:val="009A5B77"/>
    <w:rsid w:val="009B1F26"/>
    <w:rsid w:val="009C14C8"/>
    <w:rsid w:val="009C344F"/>
    <w:rsid w:val="009C395A"/>
    <w:rsid w:val="009C4B71"/>
    <w:rsid w:val="009C739D"/>
    <w:rsid w:val="009D05FF"/>
    <w:rsid w:val="009D2E26"/>
    <w:rsid w:val="009D6A11"/>
    <w:rsid w:val="009E66C9"/>
    <w:rsid w:val="009F2230"/>
    <w:rsid w:val="009F62FE"/>
    <w:rsid w:val="00A00202"/>
    <w:rsid w:val="00A0033D"/>
    <w:rsid w:val="00A07821"/>
    <w:rsid w:val="00A079A3"/>
    <w:rsid w:val="00A12834"/>
    <w:rsid w:val="00A12F5A"/>
    <w:rsid w:val="00A13193"/>
    <w:rsid w:val="00A2298E"/>
    <w:rsid w:val="00A23B08"/>
    <w:rsid w:val="00A2629F"/>
    <w:rsid w:val="00A264F2"/>
    <w:rsid w:val="00A33AE9"/>
    <w:rsid w:val="00A36F79"/>
    <w:rsid w:val="00A370B0"/>
    <w:rsid w:val="00A41535"/>
    <w:rsid w:val="00A419A7"/>
    <w:rsid w:val="00A4240D"/>
    <w:rsid w:val="00A47328"/>
    <w:rsid w:val="00A54B0B"/>
    <w:rsid w:val="00A57C81"/>
    <w:rsid w:val="00A63033"/>
    <w:rsid w:val="00A7009D"/>
    <w:rsid w:val="00A71F57"/>
    <w:rsid w:val="00A72DDB"/>
    <w:rsid w:val="00A761FA"/>
    <w:rsid w:val="00A76FA0"/>
    <w:rsid w:val="00A81A51"/>
    <w:rsid w:val="00A83B8F"/>
    <w:rsid w:val="00A926DF"/>
    <w:rsid w:val="00A9474C"/>
    <w:rsid w:val="00A955DE"/>
    <w:rsid w:val="00A96BFE"/>
    <w:rsid w:val="00AB64FA"/>
    <w:rsid w:val="00AC052F"/>
    <w:rsid w:val="00AC210E"/>
    <w:rsid w:val="00AC4741"/>
    <w:rsid w:val="00AC63C2"/>
    <w:rsid w:val="00AC6AE1"/>
    <w:rsid w:val="00AC78FF"/>
    <w:rsid w:val="00AD0B1C"/>
    <w:rsid w:val="00AD146A"/>
    <w:rsid w:val="00AD3C49"/>
    <w:rsid w:val="00AD699B"/>
    <w:rsid w:val="00AE74EA"/>
    <w:rsid w:val="00AE7700"/>
    <w:rsid w:val="00AE7851"/>
    <w:rsid w:val="00AF1772"/>
    <w:rsid w:val="00AF7271"/>
    <w:rsid w:val="00B039BC"/>
    <w:rsid w:val="00B06735"/>
    <w:rsid w:val="00B07C79"/>
    <w:rsid w:val="00B129BB"/>
    <w:rsid w:val="00B134FA"/>
    <w:rsid w:val="00B138A3"/>
    <w:rsid w:val="00B1465C"/>
    <w:rsid w:val="00B16F29"/>
    <w:rsid w:val="00B21E29"/>
    <w:rsid w:val="00B22053"/>
    <w:rsid w:val="00B255CC"/>
    <w:rsid w:val="00B27749"/>
    <w:rsid w:val="00B27785"/>
    <w:rsid w:val="00B30B3E"/>
    <w:rsid w:val="00B320E4"/>
    <w:rsid w:val="00B33111"/>
    <w:rsid w:val="00B40096"/>
    <w:rsid w:val="00B45423"/>
    <w:rsid w:val="00B45ED3"/>
    <w:rsid w:val="00B47515"/>
    <w:rsid w:val="00B51B92"/>
    <w:rsid w:val="00B578AC"/>
    <w:rsid w:val="00B66AD0"/>
    <w:rsid w:val="00B7389A"/>
    <w:rsid w:val="00B73EEB"/>
    <w:rsid w:val="00B80CB4"/>
    <w:rsid w:val="00B82DD4"/>
    <w:rsid w:val="00B8327B"/>
    <w:rsid w:val="00B863A1"/>
    <w:rsid w:val="00B87E3E"/>
    <w:rsid w:val="00B935AE"/>
    <w:rsid w:val="00B939EC"/>
    <w:rsid w:val="00B9413B"/>
    <w:rsid w:val="00B94EAD"/>
    <w:rsid w:val="00B9622C"/>
    <w:rsid w:val="00B973B3"/>
    <w:rsid w:val="00BA0482"/>
    <w:rsid w:val="00BA0C96"/>
    <w:rsid w:val="00BA321F"/>
    <w:rsid w:val="00BB7056"/>
    <w:rsid w:val="00BC0C13"/>
    <w:rsid w:val="00BC43BE"/>
    <w:rsid w:val="00BC63A1"/>
    <w:rsid w:val="00BC7A51"/>
    <w:rsid w:val="00BD1926"/>
    <w:rsid w:val="00BD1F1F"/>
    <w:rsid w:val="00BD3395"/>
    <w:rsid w:val="00BD6837"/>
    <w:rsid w:val="00BE046A"/>
    <w:rsid w:val="00BE0781"/>
    <w:rsid w:val="00BE3810"/>
    <w:rsid w:val="00BE5DEF"/>
    <w:rsid w:val="00BE7A77"/>
    <w:rsid w:val="00BF36E8"/>
    <w:rsid w:val="00BF3F89"/>
    <w:rsid w:val="00BF4536"/>
    <w:rsid w:val="00C01837"/>
    <w:rsid w:val="00C020E0"/>
    <w:rsid w:val="00C05990"/>
    <w:rsid w:val="00C076B4"/>
    <w:rsid w:val="00C10512"/>
    <w:rsid w:val="00C1462C"/>
    <w:rsid w:val="00C2035B"/>
    <w:rsid w:val="00C3090C"/>
    <w:rsid w:val="00C31935"/>
    <w:rsid w:val="00C44BB8"/>
    <w:rsid w:val="00C462E2"/>
    <w:rsid w:val="00C50604"/>
    <w:rsid w:val="00C50A4E"/>
    <w:rsid w:val="00C53B00"/>
    <w:rsid w:val="00C53D72"/>
    <w:rsid w:val="00C54643"/>
    <w:rsid w:val="00C56BC5"/>
    <w:rsid w:val="00C64CC9"/>
    <w:rsid w:val="00C734E7"/>
    <w:rsid w:val="00C74252"/>
    <w:rsid w:val="00C74F3B"/>
    <w:rsid w:val="00C77744"/>
    <w:rsid w:val="00C82649"/>
    <w:rsid w:val="00C82F1F"/>
    <w:rsid w:val="00C915FF"/>
    <w:rsid w:val="00C956A9"/>
    <w:rsid w:val="00CA40F6"/>
    <w:rsid w:val="00CB01EF"/>
    <w:rsid w:val="00CC0075"/>
    <w:rsid w:val="00CC0569"/>
    <w:rsid w:val="00CC1408"/>
    <w:rsid w:val="00CC180B"/>
    <w:rsid w:val="00CC23DF"/>
    <w:rsid w:val="00CC2C21"/>
    <w:rsid w:val="00CC3376"/>
    <w:rsid w:val="00CC7158"/>
    <w:rsid w:val="00CD0045"/>
    <w:rsid w:val="00CD4199"/>
    <w:rsid w:val="00CD6A1C"/>
    <w:rsid w:val="00CD6AEC"/>
    <w:rsid w:val="00CD7166"/>
    <w:rsid w:val="00CE3CDD"/>
    <w:rsid w:val="00CE4D84"/>
    <w:rsid w:val="00CE4E26"/>
    <w:rsid w:val="00CE6EB8"/>
    <w:rsid w:val="00CF0CF4"/>
    <w:rsid w:val="00CF71CC"/>
    <w:rsid w:val="00D0064C"/>
    <w:rsid w:val="00D05DEA"/>
    <w:rsid w:val="00D06B97"/>
    <w:rsid w:val="00D124DB"/>
    <w:rsid w:val="00D13EBF"/>
    <w:rsid w:val="00D15141"/>
    <w:rsid w:val="00D16FB7"/>
    <w:rsid w:val="00D17DA9"/>
    <w:rsid w:val="00D2773C"/>
    <w:rsid w:val="00D37A0F"/>
    <w:rsid w:val="00D40706"/>
    <w:rsid w:val="00D416F7"/>
    <w:rsid w:val="00D45673"/>
    <w:rsid w:val="00D45C1C"/>
    <w:rsid w:val="00D47B8F"/>
    <w:rsid w:val="00D50B40"/>
    <w:rsid w:val="00D564D6"/>
    <w:rsid w:val="00D56F4F"/>
    <w:rsid w:val="00D61031"/>
    <w:rsid w:val="00D62D63"/>
    <w:rsid w:val="00D646B3"/>
    <w:rsid w:val="00D70EC6"/>
    <w:rsid w:val="00D73F15"/>
    <w:rsid w:val="00D765A1"/>
    <w:rsid w:val="00D76A11"/>
    <w:rsid w:val="00D775C8"/>
    <w:rsid w:val="00D80A30"/>
    <w:rsid w:val="00D8137D"/>
    <w:rsid w:val="00D82010"/>
    <w:rsid w:val="00D83583"/>
    <w:rsid w:val="00D86C84"/>
    <w:rsid w:val="00D913BD"/>
    <w:rsid w:val="00D913DF"/>
    <w:rsid w:val="00D9270C"/>
    <w:rsid w:val="00D96A99"/>
    <w:rsid w:val="00D97F82"/>
    <w:rsid w:val="00DB2A41"/>
    <w:rsid w:val="00DB3834"/>
    <w:rsid w:val="00DB6A53"/>
    <w:rsid w:val="00DC01AD"/>
    <w:rsid w:val="00DC521C"/>
    <w:rsid w:val="00DC6FD1"/>
    <w:rsid w:val="00DD4FA5"/>
    <w:rsid w:val="00DD6FF7"/>
    <w:rsid w:val="00DE3B66"/>
    <w:rsid w:val="00DE4085"/>
    <w:rsid w:val="00DF1ABC"/>
    <w:rsid w:val="00DF64B0"/>
    <w:rsid w:val="00DF6C8C"/>
    <w:rsid w:val="00E029BB"/>
    <w:rsid w:val="00E040E9"/>
    <w:rsid w:val="00E07170"/>
    <w:rsid w:val="00E0757B"/>
    <w:rsid w:val="00E1150D"/>
    <w:rsid w:val="00E11EC8"/>
    <w:rsid w:val="00E14A76"/>
    <w:rsid w:val="00E15285"/>
    <w:rsid w:val="00E17DCD"/>
    <w:rsid w:val="00E23A53"/>
    <w:rsid w:val="00E265E1"/>
    <w:rsid w:val="00E31796"/>
    <w:rsid w:val="00E336D4"/>
    <w:rsid w:val="00E35547"/>
    <w:rsid w:val="00E369AF"/>
    <w:rsid w:val="00E43107"/>
    <w:rsid w:val="00E45F68"/>
    <w:rsid w:val="00E52147"/>
    <w:rsid w:val="00E530D8"/>
    <w:rsid w:val="00E5674E"/>
    <w:rsid w:val="00E56E51"/>
    <w:rsid w:val="00E603CB"/>
    <w:rsid w:val="00E671C7"/>
    <w:rsid w:val="00E71E84"/>
    <w:rsid w:val="00E81FF1"/>
    <w:rsid w:val="00E82272"/>
    <w:rsid w:val="00E93744"/>
    <w:rsid w:val="00E94CD4"/>
    <w:rsid w:val="00E975FD"/>
    <w:rsid w:val="00EA30E6"/>
    <w:rsid w:val="00EA52D9"/>
    <w:rsid w:val="00EB0507"/>
    <w:rsid w:val="00EB06B9"/>
    <w:rsid w:val="00EB13BD"/>
    <w:rsid w:val="00EB5B0F"/>
    <w:rsid w:val="00EB5F71"/>
    <w:rsid w:val="00EB658B"/>
    <w:rsid w:val="00EC0582"/>
    <w:rsid w:val="00EC47AD"/>
    <w:rsid w:val="00EC64A2"/>
    <w:rsid w:val="00EC7CF8"/>
    <w:rsid w:val="00ED1C80"/>
    <w:rsid w:val="00EE1209"/>
    <w:rsid w:val="00EE162C"/>
    <w:rsid w:val="00EE1CDD"/>
    <w:rsid w:val="00EF0051"/>
    <w:rsid w:val="00EF01E0"/>
    <w:rsid w:val="00EF06FC"/>
    <w:rsid w:val="00EF1BEB"/>
    <w:rsid w:val="00EF2A99"/>
    <w:rsid w:val="00F0040B"/>
    <w:rsid w:val="00F016A2"/>
    <w:rsid w:val="00F04FD1"/>
    <w:rsid w:val="00F05DA6"/>
    <w:rsid w:val="00F1126B"/>
    <w:rsid w:val="00F127DF"/>
    <w:rsid w:val="00F167D7"/>
    <w:rsid w:val="00F1702E"/>
    <w:rsid w:val="00F17A82"/>
    <w:rsid w:val="00F20A4A"/>
    <w:rsid w:val="00F256EE"/>
    <w:rsid w:val="00F26BF7"/>
    <w:rsid w:val="00F27734"/>
    <w:rsid w:val="00F31E58"/>
    <w:rsid w:val="00F3670D"/>
    <w:rsid w:val="00F36CBE"/>
    <w:rsid w:val="00F433A9"/>
    <w:rsid w:val="00F45FEA"/>
    <w:rsid w:val="00F52202"/>
    <w:rsid w:val="00F53CC1"/>
    <w:rsid w:val="00F54F90"/>
    <w:rsid w:val="00F57BA6"/>
    <w:rsid w:val="00F613C4"/>
    <w:rsid w:val="00F63CEF"/>
    <w:rsid w:val="00F64295"/>
    <w:rsid w:val="00F647D7"/>
    <w:rsid w:val="00F64C33"/>
    <w:rsid w:val="00F6514C"/>
    <w:rsid w:val="00F67219"/>
    <w:rsid w:val="00F71D2A"/>
    <w:rsid w:val="00F85105"/>
    <w:rsid w:val="00F864C1"/>
    <w:rsid w:val="00F875EB"/>
    <w:rsid w:val="00F91C89"/>
    <w:rsid w:val="00F9304F"/>
    <w:rsid w:val="00F93C01"/>
    <w:rsid w:val="00F94AB4"/>
    <w:rsid w:val="00FA48B0"/>
    <w:rsid w:val="00FC3BFA"/>
    <w:rsid w:val="00FD1B89"/>
    <w:rsid w:val="00FD1EF3"/>
    <w:rsid w:val="00FD72ED"/>
    <w:rsid w:val="00FE02E8"/>
    <w:rsid w:val="00FE0BF2"/>
    <w:rsid w:val="00FE25D0"/>
    <w:rsid w:val="00FE2F94"/>
    <w:rsid w:val="00FE5E27"/>
    <w:rsid w:val="00FF46D4"/>
    <w:rsid w:val="00FF4A04"/>
    <w:rsid w:val="00FF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208701D"/>
  <w15:docId w15:val="{3C7430D8-4730-4020-BDC8-9E240D90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031"/>
    <w:pPr>
      <w:keepNext/>
      <w:keepLines/>
      <w:spacing w:before="480" w:after="0"/>
      <w:outlineLvl w:val="0"/>
    </w:pPr>
    <w:rPr>
      <w:rFonts w:asciiTheme="majorHAnsi" w:eastAsiaTheme="majorEastAsia" w:hAnsiTheme="majorHAnsi" w:cstheme="majorBidi"/>
      <w:b/>
      <w:bCs/>
      <w:color w:val="37435B" w:themeColor="accent1" w:themeShade="BF"/>
      <w:sz w:val="28"/>
      <w:szCs w:val="28"/>
    </w:rPr>
  </w:style>
  <w:style w:type="paragraph" w:styleId="Heading2">
    <w:name w:val="heading 2"/>
    <w:basedOn w:val="Normal"/>
    <w:next w:val="Normal"/>
    <w:link w:val="Heading2Char"/>
    <w:uiPriority w:val="1"/>
    <w:unhideWhenUsed/>
    <w:qFormat/>
    <w:rsid w:val="00004624"/>
    <w:pPr>
      <w:keepNext/>
      <w:keepLines/>
      <w:spacing w:before="200" w:after="0"/>
      <w:outlineLvl w:val="1"/>
    </w:pPr>
    <w:rPr>
      <w:rFonts w:asciiTheme="majorHAnsi" w:eastAsiaTheme="majorEastAsia" w:hAnsiTheme="majorHAnsi" w:cstheme="majorBidi"/>
      <w:b/>
      <w:bCs/>
      <w:color w:val="4A5A7A" w:themeColor="accent1"/>
      <w:sz w:val="26"/>
      <w:szCs w:val="26"/>
    </w:rPr>
  </w:style>
  <w:style w:type="paragraph" w:styleId="Heading3">
    <w:name w:val="heading 3"/>
    <w:basedOn w:val="Normal"/>
    <w:next w:val="Normal"/>
    <w:link w:val="Heading3Char"/>
    <w:uiPriority w:val="9"/>
    <w:semiHidden/>
    <w:unhideWhenUsed/>
    <w:qFormat/>
    <w:rsid w:val="00D96A99"/>
    <w:pPr>
      <w:keepNext/>
      <w:keepLines/>
      <w:spacing w:before="200" w:after="0"/>
      <w:outlineLvl w:val="2"/>
    </w:pPr>
    <w:rPr>
      <w:rFonts w:asciiTheme="majorHAnsi" w:eastAsiaTheme="majorEastAsia" w:hAnsiTheme="majorHAnsi" w:cstheme="majorBidi"/>
      <w:b/>
      <w:bCs/>
      <w:color w:val="4A5A7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103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61031"/>
    <w:rPr>
      <w:rFonts w:eastAsiaTheme="minorEastAsia"/>
      <w:lang w:eastAsia="ja-JP"/>
    </w:rPr>
  </w:style>
  <w:style w:type="paragraph" w:styleId="BalloonText">
    <w:name w:val="Balloon Text"/>
    <w:basedOn w:val="Normal"/>
    <w:link w:val="BalloonTextChar"/>
    <w:uiPriority w:val="99"/>
    <w:semiHidden/>
    <w:unhideWhenUsed/>
    <w:rsid w:val="00D6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31"/>
    <w:rPr>
      <w:rFonts w:ascii="Tahoma" w:hAnsi="Tahoma" w:cs="Tahoma"/>
      <w:sz w:val="16"/>
      <w:szCs w:val="16"/>
    </w:rPr>
  </w:style>
  <w:style w:type="character" w:customStyle="1" w:styleId="Heading1Char">
    <w:name w:val="Heading 1 Char"/>
    <w:basedOn w:val="DefaultParagraphFont"/>
    <w:link w:val="Heading1"/>
    <w:uiPriority w:val="9"/>
    <w:rsid w:val="00D61031"/>
    <w:rPr>
      <w:rFonts w:asciiTheme="majorHAnsi" w:eastAsiaTheme="majorEastAsia" w:hAnsiTheme="majorHAnsi" w:cstheme="majorBidi"/>
      <w:b/>
      <w:bCs/>
      <w:color w:val="37435B" w:themeColor="accent1" w:themeShade="BF"/>
      <w:sz w:val="28"/>
      <w:szCs w:val="28"/>
    </w:rPr>
  </w:style>
  <w:style w:type="paragraph" w:styleId="TOCHeading">
    <w:name w:val="TOC Heading"/>
    <w:basedOn w:val="Heading1"/>
    <w:next w:val="Normal"/>
    <w:uiPriority w:val="39"/>
    <w:unhideWhenUsed/>
    <w:qFormat/>
    <w:rsid w:val="00D61031"/>
    <w:pPr>
      <w:outlineLvl w:val="9"/>
    </w:pPr>
    <w:rPr>
      <w:lang w:eastAsia="ja-JP"/>
    </w:rPr>
  </w:style>
  <w:style w:type="paragraph" w:styleId="ListParagraph">
    <w:name w:val="List Paragraph"/>
    <w:basedOn w:val="Normal"/>
    <w:uiPriority w:val="34"/>
    <w:qFormat/>
    <w:rsid w:val="00D61031"/>
    <w:pPr>
      <w:ind w:left="720"/>
      <w:contextualSpacing/>
    </w:pPr>
  </w:style>
  <w:style w:type="paragraph" w:styleId="Header">
    <w:name w:val="header"/>
    <w:basedOn w:val="Normal"/>
    <w:link w:val="HeaderChar"/>
    <w:unhideWhenUsed/>
    <w:rsid w:val="007538AA"/>
    <w:pPr>
      <w:tabs>
        <w:tab w:val="center" w:pos="4680"/>
        <w:tab w:val="right" w:pos="9360"/>
      </w:tabs>
      <w:spacing w:after="0" w:line="240" w:lineRule="auto"/>
    </w:pPr>
  </w:style>
  <w:style w:type="character" w:customStyle="1" w:styleId="HeaderChar">
    <w:name w:val="Header Char"/>
    <w:basedOn w:val="DefaultParagraphFont"/>
    <w:link w:val="Header"/>
    <w:rsid w:val="007538AA"/>
  </w:style>
  <w:style w:type="paragraph" w:styleId="Footer">
    <w:name w:val="footer"/>
    <w:basedOn w:val="Normal"/>
    <w:link w:val="FooterChar"/>
    <w:uiPriority w:val="99"/>
    <w:unhideWhenUsed/>
    <w:rsid w:val="00753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8AA"/>
  </w:style>
  <w:style w:type="paragraph" w:styleId="FootnoteText">
    <w:name w:val="footnote text"/>
    <w:basedOn w:val="Normal"/>
    <w:link w:val="FootnoteTextChar"/>
    <w:uiPriority w:val="99"/>
    <w:semiHidden/>
    <w:unhideWhenUsed/>
    <w:rsid w:val="00954A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A6C"/>
    <w:rPr>
      <w:sz w:val="20"/>
      <w:szCs w:val="20"/>
    </w:rPr>
  </w:style>
  <w:style w:type="character" w:styleId="FootnoteReference">
    <w:name w:val="footnote reference"/>
    <w:basedOn w:val="DefaultParagraphFont"/>
    <w:uiPriority w:val="99"/>
    <w:unhideWhenUsed/>
    <w:rsid w:val="00954A6C"/>
    <w:rPr>
      <w:vertAlign w:val="superscript"/>
    </w:rPr>
  </w:style>
  <w:style w:type="character" w:styleId="Hyperlink">
    <w:name w:val="Hyperlink"/>
    <w:basedOn w:val="DefaultParagraphFont"/>
    <w:uiPriority w:val="99"/>
    <w:unhideWhenUsed/>
    <w:rsid w:val="00B1465C"/>
    <w:rPr>
      <w:color w:val="B5740B" w:themeColor="hyperlink"/>
      <w:u w:val="single"/>
    </w:rPr>
  </w:style>
  <w:style w:type="character" w:styleId="FollowedHyperlink">
    <w:name w:val="FollowedHyperlink"/>
    <w:basedOn w:val="DefaultParagraphFont"/>
    <w:uiPriority w:val="99"/>
    <w:semiHidden/>
    <w:unhideWhenUsed/>
    <w:rsid w:val="00B1465C"/>
    <w:rPr>
      <w:color w:val="7483A0" w:themeColor="followedHyperlink"/>
      <w:u w:val="single"/>
    </w:rPr>
  </w:style>
  <w:style w:type="table" w:styleId="TableGrid">
    <w:name w:val="Table Grid"/>
    <w:basedOn w:val="TableNormal"/>
    <w:uiPriority w:val="59"/>
    <w:rsid w:val="008F3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004624"/>
    <w:rPr>
      <w:rFonts w:asciiTheme="majorHAnsi" w:eastAsiaTheme="majorEastAsia" w:hAnsiTheme="majorHAnsi" w:cstheme="majorBidi"/>
      <w:b/>
      <w:bCs/>
      <w:color w:val="4A5A7A" w:themeColor="accent1"/>
      <w:sz w:val="26"/>
      <w:szCs w:val="26"/>
    </w:rPr>
  </w:style>
  <w:style w:type="paragraph" w:styleId="TOC1">
    <w:name w:val="toc 1"/>
    <w:basedOn w:val="Normal"/>
    <w:next w:val="Normal"/>
    <w:autoRedefine/>
    <w:uiPriority w:val="39"/>
    <w:unhideWhenUsed/>
    <w:qFormat/>
    <w:rsid w:val="00004624"/>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004624"/>
    <w:pPr>
      <w:spacing w:before="240" w:after="0"/>
    </w:pPr>
    <w:rPr>
      <w:b/>
      <w:bCs/>
      <w:sz w:val="20"/>
      <w:szCs w:val="20"/>
    </w:rPr>
  </w:style>
  <w:style w:type="paragraph" w:styleId="TOC3">
    <w:name w:val="toc 3"/>
    <w:basedOn w:val="Normal"/>
    <w:next w:val="Normal"/>
    <w:autoRedefine/>
    <w:uiPriority w:val="39"/>
    <w:unhideWhenUsed/>
    <w:qFormat/>
    <w:rsid w:val="009C344F"/>
    <w:pPr>
      <w:spacing w:after="0" w:line="360" w:lineRule="auto"/>
      <w:ind w:left="220"/>
      <w:jc w:val="center"/>
    </w:pPr>
    <w:rPr>
      <w:b/>
      <w:szCs w:val="20"/>
    </w:rPr>
  </w:style>
  <w:style w:type="paragraph" w:styleId="TOC4">
    <w:name w:val="toc 4"/>
    <w:basedOn w:val="Normal"/>
    <w:next w:val="Normal"/>
    <w:autoRedefine/>
    <w:uiPriority w:val="39"/>
    <w:unhideWhenUsed/>
    <w:rsid w:val="00004624"/>
    <w:pPr>
      <w:spacing w:after="0"/>
      <w:ind w:left="440"/>
    </w:pPr>
    <w:rPr>
      <w:sz w:val="20"/>
      <w:szCs w:val="20"/>
    </w:rPr>
  </w:style>
  <w:style w:type="paragraph" w:styleId="TOC5">
    <w:name w:val="toc 5"/>
    <w:basedOn w:val="Normal"/>
    <w:next w:val="Normal"/>
    <w:autoRedefine/>
    <w:uiPriority w:val="39"/>
    <w:unhideWhenUsed/>
    <w:rsid w:val="00004624"/>
    <w:pPr>
      <w:spacing w:after="0"/>
      <w:ind w:left="660"/>
    </w:pPr>
    <w:rPr>
      <w:sz w:val="20"/>
      <w:szCs w:val="20"/>
    </w:rPr>
  </w:style>
  <w:style w:type="paragraph" w:styleId="TOC6">
    <w:name w:val="toc 6"/>
    <w:basedOn w:val="Normal"/>
    <w:next w:val="Normal"/>
    <w:autoRedefine/>
    <w:uiPriority w:val="39"/>
    <w:unhideWhenUsed/>
    <w:rsid w:val="00004624"/>
    <w:pPr>
      <w:spacing w:after="0"/>
      <w:ind w:left="880"/>
    </w:pPr>
    <w:rPr>
      <w:sz w:val="20"/>
      <w:szCs w:val="20"/>
    </w:rPr>
  </w:style>
  <w:style w:type="paragraph" w:styleId="TOC7">
    <w:name w:val="toc 7"/>
    <w:basedOn w:val="Normal"/>
    <w:next w:val="Normal"/>
    <w:autoRedefine/>
    <w:uiPriority w:val="39"/>
    <w:unhideWhenUsed/>
    <w:rsid w:val="00004624"/>
    <w:pPr>
      <w:spacing w:after="0"/>
      <w:ind w:left="1100"/>
    </w:pPr>
    <w:rPr>
      <w:sz w:val="20"/>
      <w:szCs w:val="20"/>
    </w:rPr>
  </w:style>
  <w:style w:type="paragraph" w:styleId="TOC8">
    <w:name w:val="toc 8"/>
    <w:basedOn w:val="Normal"/>
    <w:next w:val="Normal"/>
    <w:autoRedefine/>
    <w:uiPriority w:val="39"/>
    <w:unhideWhenUsed/>
    <w:rsid w:val="00004624"/>
    <w:pPr>
      <w:spacing w:after="0"/>
      <w:ind w:left="1320"/>
    </w:pPr>
    <w:rPr>
      <w:sz w:val="20"/>
      <w:szCs w:val="20"/>
    </w:rPr>
  </w:style>
  <w:style w:type="paragraph" w:styleId="TOC9">
    <w:name w:val="toc 9"/>
    <w:basedOn w:val="Normal"/>
    <w:next w:val="Normal"/>
    <w:autoRedefine/>
    <w:uiPriority w:val="39"/>
    <w:unhideWhenUsed/>
    <w:rsid w:val="00004624"/>
    <w:pPr>
      <w:spacing w:after="0"/>
      <w:ind w:left="1540"/>
    </w:pPr>
    <w:rPr>
      <w:sz w:val="20"/>
      <w:szCs w:val="20"/>
    </w:rPr>
  </w:style>
  <w:style w:type="character" w:customStyle="1" w:styleId="Heading3Char">
    <w:name w:val="Heading 3 Char"/>
    <w:basedOn w:val="DefaultParagraphFont"/>
    <w:link w:val="Heading3"/>
    <w:uiPriority w:val="1"/>
    <w:rsid w:val="00D96A99"/>
    <w:rPr>
      <w:rFonts w:asciiTheme="majorHAnsi" w:eastAsiaTheme="majorEastAsia" w:hAnsiTheme="majorHAnsi" w:cstheme="majorBidi"/>
      <w:b/>
      <w:bCs/>
      <w:color w:val="4A5A7A" w:themeColor="accent1"/>
    </w:rPr>
  </w:style>
  <w:style w:type="paragraph" w:styleId="Bibliography">
    <w:name w:val="Bibliography"/>
    <w:basedOn w:val="Normal"/>
    <w:next w:val="Normal"/>
    <w:uiPriority w:val="37"/>
    <w:unhideWhenUsed/>
    <w:rsid w:val="00E336D4"/>
    <w:pPr>
      <w:spacing w:after="0" w:line="240" w:lineRule="auto"/>
      <w:ind w:left="720"/>
    </w:pPr>
  </w:style>
  <w:style w:type="paragraph" w:styleId="TableofFigures">
    <w:name w:val="table of figures"/>
    <w:next w:val="Normal"/>
    <w:autoRedefine/>
    <w:uiPriority w:val="99"/>
    <w:unhideWhenUsed/>
    <w:qFormat/>
    <w:rsid w:val="00BE7A77"/>
    <w:pPr>
      <w:tabs>
        <w:tab w:val="right" w:leader="dot" w:pos="10070"/>
      </w:tabs>
      <w:spacing w:after="0"/>
    </w:pPr>
    <w:rPr>
      <w:rFonts w:ascii="Calibri" w:hAnsi="Calibri"/>
      <w:b/>
      <w:bCs/>
      <w:smallCaps/>
      <w:szCs w:val="20"/>
    </w:rPr>
  </w:style>
  <w:style w:type="character" w:styleId="Mention">
    <w:name w:val="Mention"/>
    <w:basedOn w:val="DefaultParagraphFont"/>
    <w:uiPriority w:val="99"/>
    <w:semiHidden/>
    <w:unhideWhenUsed/>
    <w:rsid w:val="00580B5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250">
      <w:bodyDiv w:val="1"/>
      <w:marLeft w:val="0"/>
      <w:marRight w:val="0"/>
      <w:marTop w:val="0"/>
      <w:marBottom w:val="0"/>
      <w:divBdr>
        <w:top w:val="none" w:sz="0" w:space="0" w:color="auto"/>
        <w:left w:val="none" w:sz="0" w:space="0" w:color="auto"/>
        <w:bottom w:val="none" w:sz="0" w:space="0" w:color="auto"/>
        <w:right w:val="none" w:sz="0" w:space="0" w:color="auto"/>
      </w:divBdr>
    </w:div>
    <w:div w:id="62535881">
      <w:bodyDiv w:val="1"/>
      <w:marLeft w:val="0"/>
      <w:marRight w:val="0"/>
      <w:marTop w:val="0"/>
      <w:marBottom w:val="0"/>
      <w:divBdr>
        <w:top w:val="none" w:sz="0" w:space="0" w:color="auto"/>
        <w:left w:val="none" w:sz="0" w:space="0" w:color="auto"/>
        <w:bottom w:val="none" w:sz="0" w:space="0" w:color="auto"/>
        <w:right w:val="none" w:sz="0" w:space="0" w:color="auto"/>
      </w:divBdr>
    </w:div>
    <w:div w:id="111898539">
      <w:bodyDiv w:val="1"/>
      <w:marLeft w:val="0"/>
      <w:marRight w:val="0"/>
      <w:marTop w:val="0"/>
      <w:marBottom w:val="0"/>
      <w:divBdr>
        <w:top w:val="none" w:sz="0" w:space="0" w:color="auto"/>
        <w:left w:val="none" w:sz="0" w:space="0" w:color="auto"/>
        <w:bottom w:val="none" w:sz="0" w:space="0" w:color="auto"/>
        <w:right w:val="none" w:sz="0" w:space="0" w:color="auto"/>
      </w:divBdr>
    </w:div>
    <w:div w:id="160900700">
      <w:bodyDiv w:val="1"/>
      <w:marLeft w:val="0"/>
      <w:marRight w:val="0"/>
      <w:marTop w:val="0"/>
      <w:marBottom w:val="0"/>
      <w:divBdr>
        <w:top w:val="none" w:sz="0" w:space="0" w:color="auto"/>
        <w:left w:val="none" w:sz="0" w:space="0" w:color="auto"/>
        <w:bottom w:val="none" w:sz="0" w:space="0" w:color="auto"/>
        <w:right w:val="none" w:sz="0" w:space="0" w:color="auto"/>
      </w:divBdr>
    </w:div>
    <w:div w:id="280306961">
      <w:bodyDiv w:val="1"/>
      <w:marLeft w:val="0"/>
      <w:marRight w:val="0"/>
      <w:marTop w:val="0"/>
      <w:marBottom w:val="0"/>
      <w:divBdr>
        <w:top w:val="none" w:sz="0" w:space="0" w:color="auto"/>
        <w:left w:val="none" w:sz="0" w:space="0" w:color="auto"/>
        <w:bottom w:val="none" w:sz="0" w:space="0" w:color="auto"/>
        <w:right w:val="none" w:sz="0" w:space="0" w:color="auto"/>
      </w:divBdr>
    </w:div>
    <w:div w:id="589705070">
      <w:bodyDiv w:val="1"/>
      <w:marLeft w:val="0"/>
      <w:marRight w:val="0"/>
      <w:marTop w:val="0"/>
      <w:marBottom w:val="0"/>
      <w:divBdr>
        <w:top w:val="none" w:sz="0" w:space="0" w:color="auto"/>
        <w:left w:val="none" w:sz="0" w:space="0" w:color="auto"/>
        <w:bottom w:val="none" w:sz="0" w:space="0" w:color="auto"/>
        <w:right w:val="none" w:sz="0" w:space="0" w:color="auto"/>
      </w:divBdr>
    </w:div>
    <w:div w:id="715399530">
      <w:bodyDiv w:val="1"/>
      <w:marLeft w:val="0"/>
      <w:marRight w:val="0"/>
      <w:marTop w:val="0"/>
      <w:marBottom w:val="0"/>
      <w:divBdr>
        <w:top w:val="none" w:sz="0" w:space="0" w:color="auto"/>
        <w:left w:val="none" w:sz="0" w:space="0" w:color="auto"/>
        <w:bottom w:val="none" w:sz="0" w:space="0" w:color="auto"/>
        <w:right w:val="none" w:sz="0" w:space="0" w:color="auto"/>
      </w:divBdr>
    </w:div>
    <w:div w:id="798180771">
      <w:bodyDiv w:val="1"/>
      <w:marLeft w:val="0"/>
      <w:marRight w:val="0"/>
      <w:marTop w:val="0"/>
      <w:marBottom w:val="0"/>
      <w:divBdr>
        <w:top w:val="none" w:sz="0" w:space="0" w:color="auto"/>
        <w:left w:val="none" w:sz="0" w:space="0" w:color="auto"/>
        <w:bottom w:val="none" w:sz="0" w:space="0" w:color="auto"/>
        <w:right w:val="none" w:sz="0" w:space="0" w:color="auto"/>
      </w:divBdr>
    </w:div>
    <w:div w:id="1399791675">
      <w:bodyDiv w:val="1"/>
      <w:marLeft w:val="0"/>
      <w:marRight w:val="0"/>
      <w:marTop w:val="0"/>
      <w:marBottom w:val="0"/>
      <w:divBdr>
        <w:top w:val="none" w:sz="0" w:space="0" w:color="auto"/>
        <w:left w:val="none" w:sz="0" w:space="0" w:color="auto"/>
        <w:bottom w:val="none" w:sz="0" w:space="0" w:color="auto"/>
        <w:right w:val="none" w:sz="0" w:space="0" w:color="auto"/>
      </w:divBdr>
    </w:div>
    <w:div w:id="1652173069">
      <w:bodyDiv w:val="1"/>
      <w:marLeft w:val="0"/>
      <w:marRight w:val="0"/>
      <w:marTop w:val="0"/>
      <w:marBottom w:val="0"/>
      <w:divBdr>
        <w:top w:val="none" w:sz="0" w:space="0" w:color="auto"/>
        <w:left w:val="none" w:sz="0" w:space="0" w:color="auto"/>
        <w:bottom w:val="none" w:sz="0" w:space="0" w:color="auto"/>
        <w:right w:val="none" w:sz="0" w:space="0" w:color="auto"/>
      </w:divBdr>
    </w:div>
    <w:div w:id="1844851452">
      <w:bodyDiv w:val="1"/>
      <w:marLeft w:val="0"/>
      <w:marRight w:val="0"/>
      <w:marTop w:val="0"/>
      <w:marBottom w:val="0"/>
      <w:divBdr>
        <w:top w:val="none" w:sz="0" w:space="0" w:color="auto"/>
        <w:left w:val="none" w:sz="0" w:space="0" w:color="auto"/>
        <w:bottom w:val="none" w:sz="0" w:space="0" w:color="auto"/>
        <w:right w:val="none" w:sz="0" w:space="0" w:color="auto"/>
      </w:divBdr>
    </w:div>
    <w:div w:id="18650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4.xml"/><Relationship Id="rId3" Type="http://schemas.openxmlformats.org/officeDocument/2006/relationships/numbering" Target="numbering.xml"/><Relationship Id="rId21" Type="http://schemas.openxmlformats.org/officeDocument/2006/relationships/oleObject" Target="embeddings/Microsoft_Excel_97-2003_Worksheet.xls"/><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www.ssa.gov/policy/docs/statcomps/di_asr/2018/index.html"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ssa.gov/policy/docs/statcomps/ssi_sc/" TargetMode="External"/><Relationship Id="rId27" Type="http://schemas.openxmlformats.org/officeDocument/2006/relationships/chart" Target="charts/chart1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ac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Sheet1!$A$2</c:f>
              <c:strCache>
                <c:ptCount val="1"/>
                <c:pt idx="0">
                  <c:v>All Closures</c:v>
                </c:pt>
              </c:strCache>
            </c:strRef>
          </c:tx>
          <c:spPr>
            <a:ln w="12700">
              <a:solidFill>
                <a:schemeClr val="accent1"/>
              </a:solidFill>
              <a:prstDash val="dash"/>
            </a:ln>
          </c:spPr>
          <c:marker>
            <c:symbol val="square"/>
            <c:size val="5"/>
          </c:marker>
          <c:dPt>
            <c:idx val="1"/>
            <c:bubble3D val="0"/>
            <c:spPr>
              <a:ln w="12700">
                <a:solidFill>
                  <a:schemeClr val="accent1"/>
                </a:solidFill>
                <a:prstDash val="lgDash"/>
              </a:ln>
            </c:spPr>
            <c:extLst>
              <c:ext xmlns:c16="http://schemas.microsoft.com/office/drawing/2014/chart" uri="{C3380CC4-5D6E-409C-BE32-E72D297353CC}">
                <c16:uniqueId val="{00000001-6718-485B-92EB-DE358C8335A0}"/>
              </c:ext>
            </c:extLst>
          </c:dPt>
          <c:dPt>
            <c:idx val="2"/>
            <c:bubble3D val="0"/>
            <c:spPr>
              <a:ln w="12700">
                <a:solidFill>
                  <a:schemeClr val="accent1"/>
                </a:solidFill>
                <a:prstDash val="lgDash"/>
              </a:ln>
            </c:spPr>
            <c:extLst>
              <c:ext xmlns:c16="http://schemas.microsoft.com/office/drawing/2014/chart" uri="{C3380CC4-5D6E-409C-BE32-E72D297353CC}">
                <c16:uniqueId val="{00000003-6718-485B-92EB-DE358C8335A0}"/>
              </c:ext>
            </c:extLst>
          </c:dPt>
          <c:dPt>
            <c:idx val="3"/>
            <c:bubble3D val="0"/>
            <c:spPr>
              <a:ln w="12700">
                <a:solidFill>
                  <a:schemeClr val="accent1"/>
                </a:solidFill>
                <a:prstDash val="lgDash"/>
              </a:ln>
            </c:spPr>
            <c:extLst>
              <c:ext xmlns:c16="http://schemas.microsoft.com/office/drawing/2014/chart" uri="{C3380CC4-5D6E-409C-BE32-E72D297353CC}">
                <c16:uniqueId val="{00000005-6718-485B-92EB-DE358C8335A0}"/>
              </c:ext>
            </c:extLst>
          </c:dPt>
          <c:cat>
            <c:strRef>
              <c:f>Sheet1!$B$1:$E$1</c:f>
              <c:strCache>
                <c:ptCount val="4"/>
                <c:pt idx="0">
                  <c:v>FFY 2016</c:v>
                </c:pt>
                <c:pt idx="1">
                  <c:v>FFY 2017</c:v>
                </c:pt>
                <c:pt idx="2">
                  <c:v>FFY 2018</c:v>
                </c:pt>
                <c:pt idx="3">
                  <c:v>FFY 2019</c:v>
                </c:pt>
              </c:strCache>
            </c:strRef>
          </c:cat>
          <c:val>
            <c:numRef>
              <c:f>Sheet1!$B$2:$E$2</c:f>
              <c:numCache>
                <c:formatCode>#,##0</c:formatCode>
                <c:ptCount val="4"/>
                <c:pt idx="0">
                  <c:v>4852</c:v>
                </c:pt>
                <c:pt idx="1">
                  <c:v>3459</c:v>
                </c:pt>
                <c:pt idx="2">
                  <c:v>3393</c:v>
                </c:pt>
                <c:pt idx="3">
                  <c:v>3369</c:v>
                </c:pt>
              </c:numCache>
            </c:numRef>
          </c:val>
          <c:smooth val="0"/>
          <c:extLst>
            <c:ext xmlns:c16="http://schemas.microsoft.com/office/drawing/2014/chart" uri="{C3380CC4-5D6E-409C-BE32-E72D297353CC}">
              <c16:uniqueId val="{00000006-6718-485B-92EB-DE358C8335A0}"/>
            </c:ext>
          </c:extLst>
        </c:ser>
        <c:ser>
          <c:idx val="1"/>
          <c:order val="1"/>
          <c:tx>
            <c:strRef>
              <c:f>Sheet1!$A$3</c:f>
              <c:strCache>
                <c:ptCount val="1"/>
                <c:pt idx="0">
                  <c:v>New Applications Received</c:v>
                </c:pt>
              </c:strCache>
            </c:strRef>
          </c:tx>
          <c:spPr>
            <a:ln w="22225">
              <a:solidFill>
                <a:schemeClr val="accent2"/>
              </a:solidFill>
            </a:ln>
          </c:spPr>
          <c:marker>
            <c:symbol val="star"/>
            <c:size val="5"/>
          </c:marker>
          <c:cat>
            <c:strRef>
              <c:f>Sheet1!$B$1:$E$1</c:f>
              <c:strCache>
                <c:ptCount val="4"/>
                <c:pt idx="0">
                  <c:v>FFY 2016</c:v>
                </c:pt>
                <c:pt idx="1">
                  <c:v>FFY 2017</c:v>
                </c:pt>
                <c:pt idx="2">
                  <c:v>FFY 2018</c:v>
                </c:pt>
                <c:pt idx="3">
                  <c:v>FFY 2019</c:v>
                </c:pt>
              </c:strCache>
            </c:strRef>
          </c:cat>
          <c:val>
            <c:numRef>
              <c:f>Sheet1!$B$3:$E$3</c:f>
              <c:numCache>
                <c:formatCode>#,##0</c:formatCode>
                <c:ptCount val="4"/>
                <c:pt idx="0">
                  <c:v>3683</c:v>
                </c:pt>
                <c:pt idx="1">
                  <c:v>3608</c:v>
                </c:pt>
                <c:pt idx="2">
                  <c:v>3643</c:v>
                </c:pt>
                <c:pt idx="3">
                  <c:v>3601</c:v>
                </c:pt>
              </c:numCache>
            </c:numRef>
          </c:val>
          <c:smooth val="0"/>
          <c:extLst>
            <c:ext xmlns:c16="http://schemas.microsoft.com/office/drawing/2014/chart" uri="{C3380CC4-5D6E-409C-BE32-E72D297353CC}">
              <c16:uniqueId val="{00000007-6718-485B-92EB-DE358C8335A0}"/>
            </c:ext>
          </c:extLst>
        </c:ser>
        <c:ser>
          <c:idx val="2"/>
          <c:order val="2"/>
          <c:tx>
            <c:strRef>
              <c:f>Sheet1!$A$4</c:f>
              <c:strCache>
                <c:ptCount val="1"/>
                <c:pt idx="0">
                  <c:v>New Plans Developed</c:v>
                </c:pt>
              </c:strCache>
            </c:strRef>
          </c:tx>
          <c:spPr>
            <a:ln w="22225">
              <a:solidFill>
                <a:schemeClr val="accent4"/>
              </a:solidFill>
            </a:ln>
          </c:spPr>
          <c:marker>
            <c:symbol val="triangle"/>
            <c:size val="6"/>
          </c:marker>
          <c:cat>
            <c:strRef>
              <c:f>Sheet1!$B$1:$E$1</c:f>
              <c:strCache>
                <c:ptCount val="4"/>
                <c:pt idx="0">
                  <c:v>FFY 2016</c:v>
                </c:pt>
                <c:pt idx="1">
                  <c:v>FFY 2017</c:v>
                </c:pt>
                <c:pt idx="2">
                  <c:v>FFY 2018</c:v>
                </c:pt>
                <c:pt idx="3">
                  <c:v>FFY 2019</c:v>
                </c:pt>
              </c:strCache>
            </c:strRef>
          </c:cat>
          <c:val>
            <c:numRef>
              <c:f>Sheet1!$B$4:$E$4</c:f>
              <c:numCache>
                <c:formatCode>#,##0</c:formatCode>
                <c:ptCount val="4"/>
                <c:pt idx="0">
                  <c:v>2541</c:v>
                </c:pt>
                <c:pt idx="1">
                  <c:v>2473</c:v>
                </c:pt>
                <c:pt idx="2">
                  <c:v>2463</c:v>
                </c:pt>
                <c:pt idx="3">
                  <c:v>2385</c:v>
                </c:pt>
              </c:numCache>
            </c:numRef>
          </c:val>
          <c:smooth val="0"/>
          <c:extLst>
            <c:ext xmlns:c16="http://schemas.microsoft.com/office/drawing/2014/chart" uri="{C3380CC4-5D6E-409C-BE32-E72D297353CC}">
              <c16:uniqueId val="{00000008-6718-485B-92EB-DE358C8335A0}"/>
            </c:ext>
          </c:extLst>
        </c:ser>
        <c:dLbls>
          <c:showLegendKey val="0"/>
          <c:showVal val="0"/>
          <c:showCatName val="0"/>
          <c:showSerName val="0"/>
          <c:showPercent val="0"/>
          <c:showBubbleSize val="0"/>
        </c:dLbls>
        <c:marker val="1"/>
        <c:smooth val="0"/>
        <c:axId val="33904128"/>
        <c:axId val="33905664"/>
      </c:lineChart>
      <c:catAx>
        <c:axId val="33904128"/>
        <c:scaling>
          <c:orientation val="minMax"/>
        </c:scaling>
        <c:delete val="0"/>
        <c:axPos val="b"/>
        <c:numFmt formatCode="General" sourceLinked="0"/>
        <c:majorTickMark val="none"/>
        <c:minorTickMark val="none"/>
        <c:tickLblPos val="nextTo"/>
        <c:crossAx val="33905664"/>
        <c:crosses val="autoZero"/>
        <c:auto val="1"/>
        <c:lblAlgn val="ctr"/>
        <c:lblOffset val="100"/>
        <c:noMultiLvlLbl val="0"/>
      </c:catAx>
      <c:valAx>
        <c:axId val="33905664"/>
        <c:scaling>
          <c:orientation val="minMax"/>
          <c:max val="5000"/>
          <c:min val="500"/>
        </c:scaling>
        <c:delete val="0"/>
        <c:axPos val="l"/>
        <c:majorGridlines/>
        <c:title>
          <c:tx>
            <c:rich>
              <a:bodyPr/>
              <a:lstStyle/>
              <a:p>
                <a:pPr>
                  <a:defRPr/>
                </a:pPr>
                <a:r>
                  <a:rPr lang="en-US"/>
                  <a:t> Number</a:t>
                </a:r>
                <a:r>
                  <a:rPr lang="en-US" baseline="0"/>
                  <a:t> of People</a:t>
                </a:r>
                <a:endParaRPr lang="en-US"/>
              </a:p>
            </c:rich>
          </c:tx>
          <c:overlay val="0"/>
        </c:title>
        <c:numFmt formatCode="#,##0" sourceLinked="1"/>
        <c:majorTickMark val="out"/>
        <c:minorTickMark val="none"/>
        <c:tickLblPos val="nextTo"/>
        <c:crossAx val="33904128"/>
        <c:crosses val="autoZero"/>
        <c:crossBetween val="between"/>
        <c:majorUnit val="750"/>
        <c:minorUnit val="500"/>
      </c:valAx>
      <c:dTable>
        <c:showHorzBorder val="1"/>
        <c:showVertBorder val="1"/>
        <c:showOutline val="1"/>
        <c:showKeys val="1"/>
      </c:dTable>
      <c:spPr>
        <a:ln>
          <a:solidFill>
            <a:schemeClr val="bg1">
              <a:lumMod val="50000"/>
            </a:schemeClr>
          </a:solidFill>
        </a:ln>
      </c:spPr>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70107903178768"/>
          <c:y val="4.4057617797775277E-2"/>
          <c:w val="0.50271708223972"/>
          <c:h val="0.80809836270466195"/>
        </c:manualLayout>
      </c:layout>
      <c:lineChart>
        <c:grouping val="standard"/>
        <c:varyColors val="0"/>
        <c:ser>
          <c:idx val="0"/>
          <c:order val="0"/>
          <c:tx>
            <c:strRef>
              <c:f>Sheet1!$A$2</c:f>
              <c:strCache>
                <c:ptCount val="1"/>
                <c:pt idx="0">
                  <c:v>Job Placement &amp; Development</c:v>
                </c:pt>
              </c:strCache>
            </c:strRef>
          </c:tx>
          <c:spPr>
            <a:ln w="22225">
              <a:solidFill>
                <a:srgbClr val="404F6B"/>
              </a:solidFill>
            </a:ln>
          </c:spPr>
          <c:marker>
            <c:symbol val="circle"/>
            <c:size val="6"/>
          </c:marker>
          <c:cat>
            <c:strRef>
              <c:f>Sheet1!$B$1:$E$1</c:f>
              <c:strCache>
                <c:ptCount val="4"/>
                <c:pt idx="0">
                  <c:v>FFY 2016</c:v>
                </c:pt>
                <c:pt idx="1">
                  <c:v>FFY 2017</c:v>
                </c:pt>
                <c:pt idx="2">
                  <c:v>FFY 2018</c:v>
                </c:pt>
                <c:pt idx="3">
                  <c:v>FFY 2019</c:v>
                </c:pt>
              </c:strCache>
            </c:strRef>
          </c:cat>
          <c:val>
            <c:numRef>
              <c:f>Sheet1!$B$2:$E$2</c:f>
              <c:numCache>
                <c:formatCode>"$"#,##0</c:formatCode>
                <c:ptCount val="4"/>
                <c:pt idx="0">
                  <c:v>2239</c:v>
                </c:pt>
                <c:pt idx="1">
                  <c:v>1722</c:v>
                </c:pt>
                <c:pt idx="2">
                  <c:v>1973</c:v>
                </c:pt>
                <c:pt idx="3">
                  <c:v>1892</c:v>
                </c:pt>
              </c:numCache>
            </c:numRef>
          </c:val>
          <c:smooth val="0"/>
          <c:extLst>
            <c:ext xmlns:c16="http://schemas.microsoft.com/office/drawing/2014/chart" uri="{C3380CC4-5D6E-409C-BE32-E72D297353CC}">
              <c16:uniqueId val="{00000000-3864-4718-BB45-5C0EA650468C}"/>
            </c:ext>
          </c:extLst>
        </c:ser>
        <c:ser>
          <c:idx val="1"/>
          <c:order val="1"/>
          <c:tx>
            <c:strRef>
              <c:f>Sheet1!$A$3</c:f>
              <c:strCache>
                <c:ptCount val="1"/>
                <c:pt idx="0">
                  <c:v>College/University Training</c:v>
                </c:pt>
              </c:strCache>
            </c:strRef>
          </c:tx>
          <c:spPr>
            <a:ln w="22225"/>
          </c:spPr>
          <c:marker>
            <c:symbol val="square"/>
            <c:size val="5"/>
          </c:marker>
          <c:cat>
            <c:strRef>
              <c:f>Sheet1!$B$1:$E$1</c:f>
              <c:strCache>
                <c:ptCount val="4"/>
                <c:pt idx="0">
                  <c:v>FFY 2016</c:v>
                </c:pt>
                <c:pt idx="1">
                  <c:v>FFY 2017</c:v>
                </c:pt>
                <c:pt idx="2">
                  <c:v>FFY 2018</c:v>
                </c:pt>
                <c:pt idx="3">
                  <c:v>FFY 2019</c:v>
                </c:pt>
              </c:strCache>
            </c:strRef>
          </c:cat>
          <c:val>
            <c:numRef>
              <c:f>Sheet1!$B$3:$E$3</c:f>
              <c:numCache>
                <c:formatCode>"$"#,##0</c:formatCode>
                <c:ptCount val="4"/>
                <c:pt idx="0">
                  <c:v>767</c:v>
                </c:pt>
                <c:pt idx="1">
                  <c:v>819</c:v>
                </c:pt>
                <c:pt idx="2">
                  <c:v>770</c:v>
                </c:pt>
                <c:pt idx="3">
                  <c:v>709</c:v>
                </c:pt>
              </c:numCache>
            </c:numRef>
          </c:val>
          <c:smooth val="0"/>
          <c:extLst>
            <c:ext xmlns:c16="http://schemas.microsoft.com/office/drawing/2014/chart" uri="{C3380CC4-5D6E-409C-BE32-E72D297353CC}">
              <c16:uniqueId val="{00000001-3864-4718-BB45-5C0EA650468C}"/>
            </c:ext>
          </c:extLst>
        </c:ser>
        <c:ser>
          <c:idx val="2"/>
          <c:order val="2"/>
          <c:tx>
            <c:strRef>
              <c:f>Sheet1!$A$4</c:f>
              <c:strCache>
                <c:ptCount val="1"/>
                <c:pt idx="0">
                  <c:v>Assessment</c:v>
                </c:pt>
              </c:strCache>
            </c:strRef>
          </c:tx>
          <c:spPr>
            <a:ln w="22225">
              <a:solidFill>
                <a:schemeClr val="accent3"/>
              </a:solidFill>
            </a:ln>
          </c:spPr>
          <c:marker>
            <c:symbol val="triangle"/>
            <c:size val="5"/>
          </c:marker>
          <c:cat>
            <c:strRef>
              <c:f>Sheet1!$B$1:$E$1</c:f>
              <c:strCache>
                <c:ptCount val="4"/>
                <c:pt idx="0">
                  <c:v>FFY 2016</c:v>
                </c:pt>
                <c:pt idx="1">
                  <c:v>FFY 2017</c:v>
                </c:pt>
                <c:pt idx="2">
                  <c:v>FFY 2018</c:v>
                </c:pt>
                <c:pt idx="3">
                  <c:v>FFY 2019</c:v>
                </c:pt>
              </c:strCache>
            </c:strRef>
          </c:cat>
          <c:val>
            <c:numRef>
              <c:f>Sheet1!$B$4:$E$4</c:f>
              <c:numCache>
                <c:formatCode>"$"#,##0</c:formatCode>
                <c:ptCount val="4"/>
                <c:pt idx="0">
                  <c:v>729</c:v>
                </c:pt>
                <c:pt idx="1">
                  <c:v>605</c:v>
                </c:pt>
                <c:pt idx="2">
                  <c:v>632</c:v>
                </c:pt>
                <c:pt idx="3">
                  <c:v>555</c:v>
                </c:pt>
              </c:numCache>
            </c:numRef>
          </c:val>
          <c:smooth val="0"/>
          <c:extLst>
            <c:ext xmlns:c16="http://schemas.microsoft.com/office/drawing/2014/chart" uri="{C3380CC4-5D6E-409C-BE32-E72D297353CC}">
              <c16:uniqueId val="{00000002-3864-4718-BB45-5C0EA650468C}"/>
            </c:ext>
          </c:extLst>
        </c:ser>
        <c:ser>
          <c:idx val="3"/>
          <c:order val="3"/>
          <c:tx>
            <c:strRef>
              <c:f>Sheet1!$A$5</c:f>
              <c:strCache>
                <c:ptCount val="1"/>
                <c:pt idx="0">
                  <c:v>On-the-Job Supports</c:v>
                </c:pt>
              </c:strCache>
            </c:strRef>
          </c:tx>
          <c:spPr>
            <a:ln w="22225">
              <a:solidFill>
                <a:srgbClr val="0070C0"/>
              </a:solidFill>
            </a:ln>
          </c:spPr>
          <c:marker>
            <c:symbol val="x"/>
            <c:size val="5"/>
            <c:spPr>
              <a:ln w="22225">
                <a:solidFill>
                  <a:srgbClr val="0070C0"/>
                </a:solidFill>
              </a:ln>
            </c:spPr>
          </c:marker>
          <c:cat>
            <c:strRef>
              <c:f>Sheet1!$B$1:$E$1</c:f>
              <c:strCache>
                <c:ptCount val="4"/>
                <c:pt idx="0">
                  <c:v>FFY 2016</c:v>
                </c:pt>
                <c:pt idx="1">
                  <c:v>FFY 2017</c:v>
                </c:pt>
                <c:pt idx="2">
                  <c:v>FFY 2018</c:v>
                </c:pt>
                <c:pt idx="3">
                  <c:v>FFY 2019</c:v>
                </c:pt>
              </c:strCache>
            </c:strRef>
          </c:cat>
          <c:val>
            <c:numRef>
              <c:f>Sheet1!$B$5:$E$5</c:f>
              <c:numCache>
                <c:formatCode>"$"#,##0</c:formatCode>
                <c:ptCount val="4"/>
                <c:pt idx="0">
                  <c:v>536</c:v>
                </c:pt>
                <c:pt idx="1">
                  <c:v>641</c:v>
                </c:pt>
                <c:pt idx="2">
                  <c:v>648</c:v>
                </c:pt>
                <c:pt idx="3">
                  <c:v>744</c:v>
                </c:pt>
              </c:numCache>
            </c:numRef>
          </c:val>
          <c:smooth val="0"/>
          <c:extLst>
            <c:ext xmlns:c16="http://schemas.microsoft.com/office/drawing/2014/chart" uri="{C3380CC4-5D6E-409C-BE32-E72D297353CC}">
              <c16:uniqueId val="{00000003-3864-4718-BB45-5C0EA650468C}"/>
            </c:ext>
          </c:extLst>
        </c:ser>
        <c:ser>
          <c:idx val="4"/>
          <c:order val="4"/>
          <c:tx>
            <c:strRef>
              <c:f>Sheet1!$A$6</c:f>
              <c:strCache>
                <c:ptCount val="1"/>
                <c:pt idx="0">
                  <c:v>All Other Services</c:v>
                </c:pt>
              </c:strCache>
            </c:strRef>
          </c:tx>
          <c:spPr>
            <a:ln w="22225" cmpd="sng">
              <a:solidFill>
                <a:srgbClr val="FF0000"/>
              </a:solidFill>
              <a:prstDash val="solid"/>
            </a:ln>
          </c:spPr>
          <c:marker>
            <c:symbol val="star"/>
            <c:size val="7"/>
            <c:spPr>
              <a:ln>
                <a:solidFill>
                  <a:srgbClr val="FF0000"/>
                </a:solidFill>
              </a:ln>
            </c:spPr>
          </c:marker>
          <c:cat>
            <c:strRef>
              <c:f>Sheet1!$B$1:$E$1</c:f>
              <c:strCache>
                <c:ptCount val="4"/>
                <c:pt idx="0">
                  <c:v>FFY 2016</c:v>
                </c:pt>
                <c:pt idx="1">
                  <c:v>FFY 2017</c:v>
                </c:pt>
                <c:pt idx="2">
                  <c:v>FFY 2018</c:v>
                </c:pt>
                <c:pt idx="3">
                  <c:v>FFY 2019</c:v>
                </c:pt>
              </c:strCache>
            </c:strRef>
          </c:cat>
          <c:val>
            <c:numRef>
              <c:f>Sheet1!$B$6:$E$6</c:f>
              <c:numCache>
                <c:formatCode>"$"#,##0</c:formatCode>
                <c:ptCount val="4"/>
                <c:pt idx="0">
                  <c:v>2215</c:v>
                </c:pt>
                <c:pt idx="1">
                  <c:v>2641</c:v>
                </c:pt>
                <c:pt idx="2">
                  <c:v>873</c:v>
                </c:pt>
                <c:pt idx="3">
                  <c:v>923</c:v>
                </c:pt>
              </c:numCache>
            </c:numRef>
          </c:val>
          <c:smooth val="0"/>
          <c:extLst>
            <c:ext xmlns:c16="http://schemas.microsoft.com/office/drawing/2014/chart" uri="{C3380CC4-5D6E-409C-BE32-E72D297353CC}">
              <c16:uniqueId val="{00000004-3864-4718-BB45-5C0EA650468C}"/>
            </c:ext>
          </c:extLst>
        </c:ser>
        <c:ser>
          <c:idx val="5"/>
          <c:order val="5"/>
          <c:tx>
            <c:strRef>
              <c:f>Sheet1!$A$7</c:f>
              <c:strCache>
                <c:ptCount val="1"/>
                <c:pt idx="0">
                  <c:v>Hearing Aid</c:v>
                </c:pt>
              </c:strCache>
            </c:strRef>
          </c:tx>
          <c:spPr>
            <a:ln w="34925">
              <a:solidFill>
                <a:schemeClr val="tx1"/>
              </a:solidFill>
              <a:prstDash val="sysDot"/>
            </a:ln>
          </c:spPr>
          <c:marker>
            <c:symbol val="diamond"/>
            <c:size val="7"/>
            <c:spPr>
              <a:solidFill>
                <a:schemeClr val="tx1"/>
              </a:solidFill>
            </c:spPr>
          </c:marker>
          <c:cat>
            <c:strRef>
              <c:f>Sheet1!$B$1:$E$1</c:f>
              <c:strCache>
                <c:ptCount val="4"/>
                <c:pt idx="0">
                  <c:v>FFY 2016</c:v>
                </c:pt>
                <c:pt idx="1">
                  <c:v>FFY 2017</c:v>
                </c:pt>
                <c:pt idx="2">
                  <c:v>FFY 2018</c:v>
                </c:pt>
                <c:pt idx="3">
                  <c:v>FFY 2019</c:v>
                </c:pt>
              </c:strCache>
            </c:strRef>
          </c:cat>
          <c:val>
            <c:numRef>
              <c:f>Sheet1!$B$7:$E$7</c:f>
              <c:numCache>
                <c:formatCode>"$"#,##0</c:formatCode>
                <c:ptCount val="4"/>
                <c:pt idx="0">
                  <c:v>723</c:v>
                </c:pt>
                <c:pt idx="1">
                  <c:v>401</c:v>
                </c:pt>
                <c:pt idx="2">
                  <c:v>493</c:v>
                </c:pt>
                <c:pt idx="3">
                  <c:v>623</c:v>
                </c:pt>
              </c:numCache>
            </c:numRef>
          </c:val>
          <c:smooth val="0"/>
          <c:extLst>
            <c:ext xmlns:c16="http://schemas.microsoft.com/office/drawing/2014/chart" uri="{C3380CC4-5D6E-409C-BE32-E72D297353CC}">
              <c16:uniqueId val="{00000005-3864-4718-BB45-5C0EA650468C}"/>
            </c:ext>
          </c:extLst>
        </c:ser>
        <c:dLbls>
          <c:showLegendKey val="0"/>
          <c:showVal val="0"/>
          <c:showCatName val="0"/>
          <c:showSerName val="0"/>
          <c:showPercent val="0"/>
          <c:showBubbleSize val="0"/>
        </c:dLbls>
        <c:marker val="1"/>
        <c:smooth val="0"/>
        <c:axId val="42757120"/>
        <c:axId val="42763392"/>
      </c:lineChart>
      <c:catAx>
        <c:axId val="42757120"/>
        <c:scaling>
          <c:orientation val="minMax"/>
        </c:scaling>
        <c:delete val="0"/>
        <c:axPos val="b"/>
        <c:numFmt formatCode="General" sourceLinked="0"/>
        <c:majorTickMark val="out"/>
        <c:minorTickMark val="none"/>
        <c:tickLblPos val="nextTo"/>
        <c:crossAx val="42763392"/>
        <c:crosses val="autoZero"/>
        <c:auto val="1"/>
        <c:lblAlgn val="ctr"/>
        <c:lblOffset val="100"/>
        <c:noMultiLvlLbl val="0"/>
      </c:catAx>
      <c:valAx>
        <c:axId val="42763392"/>
        <c:scaling>
          <c:orientation val="minMax"/>
          <c:min val="250"/>
        </c:scaling>
        <c:delete val="0"/>
        <c:axPos val="l"/>
        <c:majorGridlines>
          <c:spPr>
            <a:ln>
              <a:noFill/>
            </a:ln>
          </c:spPr>
        </c:majorGridlines>
        <c:title>
          <c:tx>
            <c:rich>
              <a:bodyPr/>
              <a:lstStyle/>
              <a:p>
                <a:pPr>
                  <a:defRPr/>
                </a:pPr>
                <a:r>
                  <a:rPr lang="en-US"/>
                  <a:t>Total Costs</a:t>
                </a:r>
                <a:r>
                  <a:rPr lang="en-US" baseline="0"/>
                  <a:t>  (in 1000s)</a:t>
                </a:r>
                <a:endParaRPr lang="en-US"/>
              </a:p>
            </c:rich>
          </c:tx>
          <c:layout>
            <c:manualLayout>
              <c:xMode val="edge"/>
              <c:yMode val="edge"/>
              <c:x val="1.1574074074074073E-2"/>
              <c:y val="0.27715441819772529"/>
            </c:manualLayout>
          </c:layout>
          <c:overlay val="0"/>
        </c:title>
        <c:numFmt formatCode="&quot;$&quot;#,##0" sourceLinked="0"/>
        <c:majorTickMark val="out"/>
        <c:minorTickMark val="none"/>
        <c:tickLblPos val="nextTo"/>
        <c:crossAx val="42757120"/>
        <c:crosses val="autoZero"/>
        <c:crossBetween val="between"/>
        <c:majorUnit val="250"/>
      </c:valAx>
      <c:spPr>
        <a:ln>
          <a:noFill/>
        </a:ln>
      </c:spPr>
    </c:plotArea>
    <c:legend>
      <c:legendPos val="r"/>
      <c:layout>
        <c:manualLayout>
          <c:xMode val="edge"/>
          <c:yMode val="edge"/>
          <c:x val="0.65972222222222221"/>
          <c:y val="2.1506374203224599E-2"/>
          <c:w val="0.32175925925925924"/>
          <c:h val="0.83793963254593173"/>
        </c:manualLayout>
      </c:layout>
      <c:overlay val="0"/>
      <c:spPr>
        <a:solidFill>
          <a:schemeClr val="bg1">
            <a:lumMod val="95000"/>
          </a:schemeClr>
        </a:solidFill>
        <a:ln>
          <a:solidFill>
            <a:schemeClr val="bg1">
              <a:lumMod val="50000"/>
            </a:schemeClr>
          </a:solidFill>
        </a:ln>
      </c:spPr>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7402061497279728"/>
          <c:y val="0.1709620672415948"/>
          <c:w val="0.80162503693660814"/>
          <c:h val="0.730035085289785"/>
        </c:manualLayout>
      </c:layout>
      <c:lineChart>
        <c:grouping val="standard"/>
        <c:varyColors val="0"/>
        <c:ser>
          <c:idx val="0"/>
          <c:order val="0"/>
          <c:tx>
            <c:strRef>
              <c:f>Sheet1!$A$2</c:f>
              <c:strCache>
                <c:ptCount val="1"/>
                <c:pt idx="0">
                  <c:v>Successful Closures</c:v>
                </c:pt>
              </c:strCache>
            </c:strRef>
          </c:tx>
          <c:spPr>
            <a:ln w="12700">
              <a:solidFill>
                <a:schemeClr val="accent1"/>
              </a:solidFill>
              <a:prstDash val="dash"/>
            </a:ln>
          </c:spPr>
          <c:marker>
            <c:symbol val="square"/>
            <c:size val="5"/>
          </c:marker>
          <c:dPt>
            <c:idx val="1"/>
            <c:bubble3D val="0"/>
            <c:spPr>
              <a:ln w="12700">
                <a:solidFill>
                  <a:schemeClr val="accent1"/>
                </a:solidFill>
                <a:prstDash val="lgDash"/>
              </a:ln>
            </c:spPr>
            <c:extLst>
              <c:ext xmlns:c16="http://schemas.microsoft.com/office/drawing/2014/chart" uri="{C3380CC4-5D6E-409C-BE32-E72D297353CC}">
                <c16:uniqueId val="{00000001-5D52-497E-8300-78DB85B43AB8}"/>
              </c:ext>
            </c:extLst>
          </c:dPt>
          <c:dPt>
            <c:idx val="2"/>
            <c:bubble3D val="0"/>
            <c:spPr>
              <a:ln w="12700">
                <a:solidFill>
                  <a:schemeClr val="accent1"/>
                </a:solidFill>
                <a:prstDash val="lgDash"/>
              </a:ln>
            </c:spPr>
            <c:extLst>
              <c:ext xmlns:c16="http://schemas.microsoft.com/office/drawing/2014/chart" uri="{C3380CC4-5D6E-409C-BE32-E72D297353CC}">
                <c16:uniqueId val="{00000003-5D52-497E-8300-78DB85B43AB8}"/>
              </c:ext>
            </c:extLst>
          </c:dPt>
          <c:dPt>
            <c:idx val="3"/>
            <c:bubble3D val="0"/>
            <c:spPr>
              <a:ln w="12700">
                <a:solidFill>
                  <a:schemeClr val="accent1"/>
                </a:solidFill>
                <a:prstDash val="lgDash"/>
              </a:ln>
            </c:spPr>
            <c:extLst>
              <c:ext xmlns:c16="http://schemas.microsoft.com/office/drawing/2014/chart" uri="{C3380CC4-5D6E-409C-BE32-E72D297353CC}">
                <c16:uniqueId val="{00000005-5D52-497E-8300-78DB85B43AB8}"/>
              </c:ext>
            </c:extLst>
          </c:dPt>
          <c:dLbls>
            <c:spPr>
              <a:noFill/>
              <a:ln>
                <a:noFill/>
              </a:ln>
              <a:effectLst/>
            </c:spPr>
            <c:txPr>
              <a:bodyPr/>
              <a:lstStyle/>
              <a:p>
                <a:pPr>
                  <a:defRPr b="1">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Sheet1!$B$2:$E$2</c:f>
              <c:numCache>
                <c:formatCode>"$"#,##0</c:formatCode>
                <c:ptCount val="4"/>
                <c:pt idx="0">
                  <c:v>4696.1000000000004</c:v>
                </c:pt>
                <c:pt idx="1">
                  <c:v>4265.49</c:v>
                </c:pt>
                <c:pt idx="2">
                  <c:v>4837.1099999999997</c:v>
                </c:pt>
                <c:pt idx="3">
                  <c:v>4523</c:v>
                </c:pt>
              </c:numCache>
            </c:numRef>
          </c:val>
          <c:smooth val="0"/>
          <c:extLst>
            <c:ext xmlns:c16="http://schemas.microsoft.com/office/drawing/2014/chart" uri="{C3380CC4-5D6E-409C-BE32-E72D297353CC}">
              <c16:uniqueId val="{00000006-5D52-497E-8300-78DB85B43AB8}"/>
            </c:ext>
          </c:extLst>
        </c:ser>
        <c:ser>
          <c:idx val="1"/>
          <c:order val="1"/>
          <c:tx>
            <c:strRef>
              <c:f>Sheet1!$A$3</c:f>
              <c:strCache>
                <c:ptCount val="1"/>
                <c:pt idx="0">
                  <c:v>Unsuccessful Closures</c:v>
                </c:pt>
              </c:strCache>
            </c:strRef>
          </c:tx>
          <c:spPr>
            <a:ln w="22225">
              <a:solidFill>
                <a:schemeClr val="accent2"/>
              </a:solidFill>
            </a:ln>
          </c:spPr>
          <c:marker>
            <c:symbol val="star"/>
            <c:size val="5"/>
          </c:marker>
          <c:dLbls>
            <c:dLbl>
              <c:idx val="2"/>
              <c:layout>
                <c:manualLayout>
                  <c:x val="-4.9591698388694871E-2"/>
                  <c:y val="-4.00893638295213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A73-407D-B0E1-F8744FCF23E6}"/>
                </c:ext>
              </c:extLst>
            </c:dLbl>
            <c:dLbl>
              <c:idx val="3"/>
              <c:layout>
                <c:manualLayout>
                  <c:x val="-5.4006709426222384E-2"/>
                  <c:y val="-3.61211098612674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A73-407D-B0E1-F8744FCF23E6}"/>
                </c:ext>
              </c:extLst>
            </c:dLbl>
            <c:spPr>
              <a:noFill/>
              <a:ln>
                <a:noFill/>
              </a:ln>
              <a:effectLst/>
            </c:spPr>
            <c:txPr>
              <a:bodyPr/>
              <a:lstStyle/>
              <a:p>
                <a:pPr>
                  <a:defRPr b="1">
                    <a:solidFill>
                      <a:schemeClr val="accent2">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Sheet1!$B$3:$E$3</c:f>
              <c:numCache>
                <c:formatCode>"$"#,##0</c:formatCode>
                <c:ptCount val="4"/>
                <c:pt idx="0">
                  <c:v>2922.1</c:v>
                </c:pt>
                <c:pt idx="1">
                  <c:v>2138.59</c:v>
                </c:pt>
                <c:pt idx="2">
                  <c:v>2032.37</c:v>
                </c:pt>
                <c:pt idx="3">
                  <c:v>2088</c:v>
                </c:pt>
              </c:numCache>
            </c:numRef>
          </c:val>
          <c:smooth val="0"/>
          <c:extLst>
            <c:ext xmlns:c16="http://schemas.microsoft.com/office/drawing/2014/chart" uri="{C3380CC4-5D6E-409C-BE32-E72D297353CC}">
              <c16:uniqueId val="{00000007-5D52-497E-8300-78DB85B43AB8}"/>
            </c:ext>
          </c:extLst>
        </c:ser>
        <c:ser>
          <c:idx val="2"/>
          <c:order val="2"/>
          <c:tx>
            <c:strRef>
              <c:f>Sheet1!$A$4</c:f>
              <c:strCache>
                <c:ptCount val="1"/>
                <c:pt idx="0">
                  <c:v>All Closures</c:v>
                </c:pt>
              </c:strCache>
            </c:strRef>
          </c:tx>
          <c:spPr>
            <a:ln w="22225">
              <a:solidFill>
                <a:schemeClr val="accent4"/>
              </a:solidFill>
            </a:ln>
          </c:spPr>
          <c:marker>
            <c:symbol val="triangle"/>
            <c:size val="6"/>
          </c:marker>
          <c:dLbls>
            <c:dLbl>
              <c:idx val="2"/>
              <c:layout>
                <c:manualLayout>
                  <c:x val="-5.7317967704368158E-2"/>
                  <c:y val="-4.12598425196850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73-407D-B0E1-F8744FCF23E6}"/>
                </c:ext>
              </c:extLst>
            </c:dLbl>
            <c:dLbl>
              <c:idx val="3"/>
              <c:layout>
                <c:manualLayout>
                  <c:x val="-5.7317967704368082E-2"/>
                  <c:y val="-4.91963504561929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A73-407D-B0E1-F8744FCF23E6}"/>
                </c:ext>
              </c:extLst>
            </c:dLbl>
            <c:spPr>
              <a:noFill/>
              <a:ln>
                <a:noFill/>
              </a:ln>
              <a:effectLst/>
            </c:spPr>
            <c:txPr>
              <a:bodyPr/>
              <a:lstStyle/>
              <a:p>
                <a:pPr>
                  <a:defRPr b="1">
                    <a:solidFill>
                      <a:schemeClr val="accent3">
                        <a:lumMod val="50000"/>
                      </a:schemeClr>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Sheet1!$B$4:$E$4</c:f>
              <c:numCache>
                <c:formatCode>"$"#,##0</c:formatCode>
                <c:ptCount val="4"/>
                <c:pt idx="0">
                  <c:v>2020.5</c:v>
                </c:pt>
                <c:pt idx="1">
                  <c:v>1753.56</c:v>
                </c:pt>
                <c:pt idx="2">
                  <c:v>3047.91</c:v>
                </c:pt>
                <c:pt idx="3">
                  <c:v>2968</c:v>
                </c:pt>
              </c:numCache>
            </c:numRef>
          </c:val>
          <c:smooth val="0"/>
          <c:extLst>
            <c:ext xmlns:c16="http://schemas.microsoft.com/office/drawing/2014/chart" uri="{C3380CC4-5D6E-409C-BE32-E72D297353CC}">
              <c16:uniqueId val="{00000008-5D52-497E-8300-78DB85B43AB8}"/>
            </c:ext>
          </c:extLst>
        </c:ser>
        <c:dLbls>
          <c:showLegendKey val="0"/>
          <c:showVal val="0"/>
          <c:showCatName val="0"/>
          <c:showSerName val="0"/>
          <c:showPercent val="0"/>
          <c:showBubbleSize val="0"/>
        </c:dLbls>
        <c:marker val="1"/>
        <c:smooth val="0"/>
        <c:axId val="46154496"/>
        <c:axId val="46156032"/>
      </c:lineChart>
      <c:catAx>
        <c:axId val="46154496"/>
        <c:scaling>
          <c:orientation val="minMax"/>
        </c:scaling>
        <c:delete val="0"/>
        <c:axPos val="b"/>
        <c:numFmt formatCode="General" sourceLinked="0"/>
        <c:majorTickMark val="none"/>
        <c:minorTickMark val="none"/>
        <c:tickLblPos val="nextTo"/>
        <c:crossAx val="46156032"/>
        <c:crosses val="autoZero"/>
        <c:auto val="1"/>
        <c:lblAlgn val="ctr"/>
        <c:lblOffset val="100"/>
        <c:noMultiLvlLbl val="0"/>
      </c:catAx>
      <c:valAx>
        <c:axId val="46156032"/>
        <c:scaling>
          <c:orientation val="minMax"/>
          <c:max val="8000"/>
          <c:min val="0"/>
        </c:scaling>
        <c:delete val="0"/>
        <c:axPos val="l"/>
        <c:title>
          <c:tx>
            <c:rich>
              <a:bodyPr/>
              <a:lstStyle/>
              <a:p>
                <a:pPr>
                  <a:defRPr/>
                </a:pPr>
                <a:r>
                  <a:rPr lang="en-US"/>
                  <a:t>Average Cost</a:t>
                </a:r>
                <a:r>
                  <a:rPr lang="en-US" baseline="0"/>
                  <a:t> Per Person</a:t>
                </a:r>
                <a:endParaRPr lang="en-US"/>
              </a:p>
            </c:rich>
          </c:tx>
          <c:layout>
            <c:manualLayout>
              <c:xMode val="edge"/>
              <c:yMode val="edge"/>
              <c:x val="1.3243187710360744E-2"/>
              <c:y val="0.22700787401574804"/>
            </c:manualLayout>
          </c:layout>
          <c:overlay val="0"/>
        </c:title>
        <c:numFmt formatCode="&quot;$&quot;#,##0" sourceLinked="0"/>
        <c:majorTickMark val="out"/>
        <c:minorTickMark val="none"/>
        <c:tickLblPos val="nextTo"/>
        <c:crossAx val="46154496"/>
        <c:crosses val="autoZero"/>
        <c:crossBetween val="between"/>
        <c:majorUnit val="1000"/>
        <c:minorUnit val="5"/>
      </c:valAx>
      <c:spPr>
        <a:ln>
          <a:noFill/>
        </a:ln>
      </c:spPr>
    </c:plotArea>
    <c:legend>
      <c:legendPos val="t"/>
      <c:layout>
        <c:manualLayout>
          <c:xMode val="edge"/>
          <c:yMode val="edge"/>
          <c:x val="0"/>
          <c:y val="2.376654886318234E-2"/>
          <c:w val="0.99830164283461897"/>
          <c:h val="7.1628074095491004E-2"/>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6506706346746023E-2"/>
          <c:y val="4.9818948195614429E-2"/>
          <c:w val="0.57873032286786463"/>
          <c:h val="0.82951294705516754"/>
        </c:manualLayout>
      </c:layout>
      <c:barChart>
        <c:barDir val="col"/>
        <c:grouping val="stacked"/>
        <c:varyColors val="0"/>
        <c:ser>
          <c:idx val="0"/>
          <c:order val="0"/>
          <c:tx>
            <c:strRef>
              <c:f>Sheet1!$A$2</c:f>
              <c:strCache>
                <c:ptCount val="1"/>
                <c:pt idx="0">
                  <c:v>Region V (Aroostook)</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Open DVR Cases (n=1,970)</c:v>
                </c:pt>
                <c:pt idx="1">
                  <c:v>SSI Recipients (n=36,860)</c:v>
                </c:pt>
                <c:pt idx="2">
                  <c:v>SSDI Recipients (n=64,708)</c:v>
                </c:pt>
              </c:strCache>
            </c:strRef>
          </c:cat>
          <c:val>
            <c:numRef>
              <c:f>Sheet1!$B$2:$D$2</c:f>
              <c:numCache>
                <c:formatCode>0%</c:formatCode>
                <c:ptCount val="3"/>
                <c:pt idx="0">
                  <c:v>6.3E-2</c:v>
                </c:pt>
                <c:pt idx="1">
                  <c:v>7.0999999999999994E-2</c:v>
                </c:pt>
                <c:pt idx="2">
                  <c:v>6.5000000000000002E-2</c:v>
                </c:pt>
              </c:numCache>
            </c:numRef>
          </c:val>
          <c:extLst>
            <c:ext xmlns:c16="http://schemas.microsoft.com/office/drawing/2014/chart" uri="{C3380CC4-5D6E-409C-BE32-E72D297353CC}">
              <c16:uniqueId val="{00000000-0E18-4A81-AE39-E9AF739FA4B5}"/>
            </c:ext>
          </c:extLst>
        </c:ser>
        <c:ser>
          <c:idx val="1"/>
          <c:order val="1"/>
          <c:tx>
            <c:strRef>
              <c:f>Sheet1!$A$3</c:f>
              <c:strCache>
                <c:ptCount val="1"/>
                <c:pt idx="0">
                  <c:v>Region IV (Hancock, Penobscot, Piscataquis, Washington)</c:v>
                </c:pt>
              </c:strCache>
            </c:strRef>
          </c:tx>
          <c:invertIfNegative val="0"/>
          <c:dLbls>
            <c:spPr>
              <a:noFill/>
              <a:ln>
                <a:noFill/>
              </a:ln>
              <a:effectLst/>
            </c:spPr>
            <c:txPr>
              <a:bodyPr/>
              <a:lstStyle/>
              <a:p>
                <a:pPr>
                  <a:defRPr b="1">
                    <a:solidFill>
                      <a:sysClr val="windowText" lastClr="000000"/>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Open DVR Cases (n=1,970)</c:v>
                </c:pt>
                <c:pt idx="1">
                  <c:v>SSI Recipients (n=36,860)</c:v>
                </c:pt>
                <c:pt idx="2">
                  <c:v>SSDI Recipients (n=64,708)</c:v>
                </c:pt>
              </c:strCache>
            </c:strRef>
          </c:cat>
          <c:val>
            <c:numRef>
              <c:f>Sheet1!$B$3:$D$3</c:f>
              <c:numCache>
                <c:formatCode>0%</c:formatCode>
                <c:ptCount val="3"/>
                <c:pt idx="0">
                  <c:v>0.16300000000000001</c:v>
                </c:pt>
                <c:pt idx="1">
                  <c:v>0.23100000000000001</c:v>
                </c:pt>
                <c:pt idx="2">
                  <c:v>0.21099999999999999</c:v>
                </c:pt>
              </c:numCache>
            </c:numRef>
          </c:val>
          <c:extLst>
            <c:ext xmlns:c16="http://schemas.microsoft.com/office/drawing/2014/chart" uri="{C3380CC4-5D6E-409C-BE32-E72D297353CC}">
              <c16:uniqueId val="{00000001-0E18-4A81-AE39-E9AF739FA4B5}"/>
            </c:ext>
          </c:extLst>
        </c:ser>
        <c:ser>
          <c:idx val="2"/>
          <c:order val="2"/>
          <c:tx>
            <c:strRef>
              <c:f>Sheet1!$A$4</c:f>
              <c:strCache>
                <c:ptCount val="1"/>
                <c:pt idx="0">
                  <c:v>Region III (Kennebec, Knox, Lincoln, Somerset, Waldo)</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Open DVR Cases (n=1,970)</c:v>
                </c:pt>
                <c:pt idx="1">
                  <c:v>SSI Recipients (n=36,860)</c:v>
                </c:pt>
                <c:pt idx="2">
                  <c:v>SSDI Recipients (n=64,708)</c:v>
                </c:pt>
              </c:strCache>
            </c:strRef>
          </c:cat>
          <c:val>
            <c:numRef>
              <c:f>Sheet1!$B$4:$D$4</c:f>
              <c:numCache>
                <c:formatCode>0%</c:formatCode>
                <c:ptCount val="3"/>
                <c:pt idx="0">
                  <c:v>0.251</c:v>
                </c:pt>
                <c:pt idx="1">
                  <c:v>0.24299999999999999</c:v>
                </c:pt>
                <c:pt idx="2">
                  <c:v>0.23300000000000001</c:v>
                </c:pt>
              </c:numCache>
            </c:numRef>
          </c:val>
          <c:extLst>
            <c:ext xmlns:c16="http://schemas.microsoft.com/office/drawing/2014/chart" uri="{C3380CC4-5D6E-409C-BE32-E72D297353CC}">
              <c16:uniqueId val="{00000002-0E18-4A81-AE39-E9AF739FA4B5}"/>
            </c:ext>
          </c:extLst>
        </c:ser>
        <c:ser>
          <c:idx val="3"/>
          <c:order val="3"/>
          <c:tx>
            <c:strRef>
              <c:f>Sheet1!$A$5</c:f>
              <c:strCache>
                <c:ptCount val="1"/>
                <c:pt idx="0">
                  <c:v>Region II (Androscoggin, Franklin, Oxford, Sagadahoc)</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Open DVR Cases (n=1,970)</c:v>
                </c:pt>
                <c:pt idx="1">
                  <c:v>SSI Recipients (n=36,860)</c:v>
                </c:pt>
                <c:pt idx="2">
                  <c:v>SSDI Recipients (n=64,708)</c:v>
                </c:pt>
              </c:strCache>
            </c:strRef>
          </c:cat>
          <c:val>
            <c:numRef>
              <c:f>Sheet1!$B$5:$D$5</c:f>
              <c:numCache>
                <c:formatCode>0%</c:formatCode>
                <c:ptCount val="3"/>
                <c:pt idx="0">
                  <c:v>0.23200000000000001</c:v>
                </c:pt>
                <c:pt idx="1">
                  <c:v>0.21199999999999999</c:v>
                </c:pt>
                <c:pt idx="2">
                  <c:v>0.19700000000000001</c:v>
                </c:pt>
              </c:numCache>
            </c:numRef>
          </c:val>
          <c:extLst>
            <c:ext xmlns:c16="http://schemas.microsoft.com/office/drawing/2014/chart" uri="{C3380CC4-5D6E-409C-BE32-E72D297353CC}">
              <c16:uniqueId val="{00000003-0E18-4A81-AE39-E9AF739FA4B5}"/>
            </c:ext>
          </c:extLst>
        </c:ser>
        <c:ser>
          <c:idx val="4"/>
          <c:order val="4"/>
          <c:tx>
            <c:strRef>
              <c:f>Sheet1!$A$6</c:f>
              <c:strCache>
                <c:ptCount val="1"/>
                <c:pt idx="0">
                  <c:v>Region I (Cumberland and York)</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18-4A81-AE39-E9AF739FA4B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18-4A81-AE39-E9AF739FA4B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18-4A81-AE39-E9AF739FA4B5}"/>
                </c:ext>
              </c:extLst>
            </c:dLbl>
            <c:spPr>
              <a:noFill/>
              <a:ln>
                <a:noFill/>
              </a:ln>
              <a:effectLst/>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Open DVR Cases (n=1,970)</c:v>
                </c:pt>
                <c:pt idx="1">
                  <c:v>SSI Recipients (n=36,860)</c:v>
                </c:pt>
                <c:pt idx="2">
                  <c:v>SSDI Recipients (n=64,708)</c:v>
                </c:pt>
              </c:strCache>
            </c:strRef>
          </c:cat>
          <c:val>
            <c:numRef>
              <c:f>Sheet1!$B$6:$D$6</c:f>
              <c:numCache>
                <c:formatCode>0%</c:formatCode>
                <c:ptCount val="3"/>
                <c:pt idx="0">
                  <c:v>0.29099999999999998</c:v>
                </c:pt>
                <c:pt idx="1">
                  <c:v>0.24299999999999999</c:v>
                </c:pt>
                <c:pt idx="2">
                  <c:v>0.29399999999999998</c:v>
                </c:pt>
              </c:numCache>
            </c:numRef>
          </c:val>
          <c:extLst>
            <c:ext xmlns:c16="http://schemas.microsoft.com/office/drawing/2014/chart" uri="{C3380CC4-5D6E-409C-BE32-E72D297353CC}">
              <c16:uniqueId val="{00000007-0E18-4A81-AE39-E9AF739FA4B5}"/>
            </c:ext>
          </c:extLst>
        </c:ser>
        <c:dLbls>
          <c:showLegendKey val="0"/>
          <c:showVal val="0"/>
          <c:showCatName val="0"/>
          <c:showSerName val="0"/>
          <c:showPercent val="0"/>
          <c:showBubbleSize val="0"/>
        </c:dLbls>
        <c:gapWidth val="154"/>
        <c:overlap val="100"/>
        <c:serLines/>
        <c:axId val="46198784"/>
        <c:axId val="46200320"/>
      </c:barChart>
      <c:catAx>
        <c:axId val="46198784"/>
        <c:scaling>
          <c:orientation val="minMax"/>
        </c:scaling>
        <c:delete val="0"/>
        <c:axPos val="b"/>
        <c:numFmt formatCode="General" sourceLinked="0"/>
        <c:majorTickMark val="out"/>
        <c:minorTickMark val="none"/>
        <c:tickLblPos val="nextTo"/>
        <c:crossAx val="46200320"/>
        <c:crosses val="autoZero"/>
        <c:auto val="1"/>
        <c:lblAlgn val="ctr"/>
        <c:lblOffset val="100"/>
        <c:noMultiLvlLbl val="0"/>
      </c:catAx>
      <c:valAx>
        <c:axId val="46200320"/>
        <c:scaling>
          <c:orientation val="minMax"/>
          <c:max val="1.1000000000000001"/>
        </c:scaling>
        <c:delete val="0"/>
        <c:axPos val="l"/>
        <c:numFmt formatCode="0%" sourceLinked="0"/>
        <c:majorTickMark val="out"/>
        <c:minorTickMark val="none"/>
        <c:tickLblPos val="nextTo"/>
        <c:spPr>
          <a:ln w="9525">
            <a:solidFill>
              <a:schemeClr val="bg1">
                <a:lumMod val="50000"/>
              </a:schemeClr>
            </a:solidFill>
          </a:ln>
        </c:spPr>
        <c:crossAx val="46198784"/>
        <c:crosses val="autoZero"/>
        <c:crossBetween val="between"/>
        <c:majorUnit val="0.1"/>
      </c:valAx>
      <c:spPr>
        <a:ln>
          <a:noFill/>
        </a:ln>
      </c:spPr>
    </c:plotArea>
    <c:legend>
      <c:legendPos val="r"/>
      <c:layout>
        <c:manualLayout>
          <c:xMode val="edge"/>
          <c:yMode val="edge"/>
          <c:x val="0.65932509814949591"/>
          <c:y val="8.0403593042767202E-2"/>
          <c:w val="0.32762780199521013"/>
          <c:h val="0.74523073849984234"/>
        </c:manualLayout>
      </c:layout>
      <c:overlay val="0"/>
      <c:spPr>
        <a:solidFill>
          <a:schemeClr val="bg1">
            <a:lumMod val="95000"/>
          </a:schemeClr>
        </a:solidFill>
        <a:ln>
          <a:solidFill>
            <a:schemeClr val="bg1">
              <a:lumMod val="50000"/>
            </a:schemeClr>
          </a:solidFill>
        </a:ln>
      </c:spPr>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Visual Impairment</c:v>
                </c:pt>
              </c:strCache>
            </c:strRef>
          </c:tx>
          <c:spPr>
            <a:ln w="22225">
              <a:solidFill>
                <a:srgbClr val="404F6B"/>
              </a:solidFill>
            </a:ln>
          </c:spPr>
          <c:marker>
            <c:symbol val="circle"/>
            <c:size val="6"/>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Sheet1!$B$2:$F$2</c:f>
              <c:numCache>
                <c:formatCode>0.0%</c:formatCode>
                <c:ptCount val="5"/>
                <c:pt idx="0">
                  <c:v>2.0999999999999999E-3</c:v>
                </c:pt>
                <c:pt idx="1">
                  <c:v>1.6000000000000001E-3</c:v>
                </c:pt>
                <c:pt idx="2">
                  <c:v>1.4E-3</c:v>
                </c:pt>
                <c:pt idx="3">
                  <c:v>1E-3</c:v>
                </c:pt>
                <c:pt idx="4">
                  <c:v>2E-3</c:v>
                </c:pt>
              </c:numCache>
            </c:numRef>
          </c:val>
          <c:smooth val="0"/>
          <c:extLst>
            <c:ext xmlns:c16="http://schemas.microsoft.com/office/drawing/2014/chart" uri="{C3380CC4-5D6E-409C-BE32-E72D297353CC}">
              <c16:uniqueId val="{00000000-63E7-4188-8392-40CF987766C6}"/>
            </c:ext>
          </c:extLst>
        </c:ser>
        <c:ser>
          <c:idx val="1"/>
          <c:order val="1"/>
          <c:tx>
            <c:strRef>
              <c:f>Sheet1!$A$3</c:f>
              <c:strCache>
                <c:ptCount val="1"/>
                <c:pt idx="0">
                  <c:v>Traumatic Brain Injury</c:v>
                </c:pt>
              </c:strCache>
            </c:strRef>
          </c:tx>
          <c:spPr>
            <a:ln w="22225">
              <a:solidFill>
                <a:srgbClr val="FFCC00"/>
              </a:solidFill>
            </a:ln>
          </c:spPr>
          <c:marker>
            <c:symbol val="square"/>
            <c:size val="5"/>
            <c:spPr>
              <a:solidFill>
                <a:srgbClr val="FFCC00"/>
              </a:solidFill>
              <a:ln>
                <a:solidFill>
                  <a:srgbClr val="FFCC00"/>
                </a:solidFill>
              </a:ln>
            </c:spPr>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Sheet1!$B$3:$F$3</c:f>
              <c:numCache>
                <c:formatCode>0.0%</c:formatCode>
                <c:ptCount val="5"/>
                <c:pt idx="0">
                  <c:v>2.8E-3</c:v>
                </c:pt>
                <c:pt idx="1">
                  <c:v>2.7000000000000001E-3</c:v>
                </c:pt>
                <c:pt idx="2">
                  <c:v>2.3999999999999998E-3</c:v>
                </c:pt>
                <c:pt idx="3">
                  <c:v>2E-3</c:v>
                </c:pt>
                <c:pt idx="4">
                  <c:v>3.0000000000000001E-3</c:v>
                </c:pt>
              </c:numCache>
            </c:numRef>
          </c:val>
          <c:smooth val="0"/>
          <c:extLst>
            <c:ext xmlns:c16="http://schemas.microsoft.com/office/drawing/2014/chart" uri="{C3380CC4-5D6E-409C-BE32-E72D297353CC}">
              <c16:uniqueId val="{00000001-63E7-4188-8392-40CF987766C6}"/>
            </c:ext>
          </c:extLst>
        </c:ser>
        <c:ser>
          <c:idx val="2"/>
          <c:order val="2"/>
          <c:tx>
            <c:strRef>
              <c:f>Sheet1!$A$4</c:f>
              <c:strCache>
                <c:ptCount val="1"/>
                <c:pt idx="0">
                  <c:v>Hearing Impairment</c:v>
                </c:pt>
              </c:strCache>
            </c:strRef>
          </c:tx>
          <c:spPr>
            <a:ln w="22225">
              <a:solidFill>
                <a:schemeClr val="accent3"/>
              </a:solidFill>
            </a:ln>
          </c:spPr>
          <c:marker>
            <c:symbol val="triangle"/>
            <c:size val="5"/>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Sheet1!$B$4:$F$4</c:f>
              <c:numCache>
                <c:formatCode>0.0%</c:formatCode>
                <c:ptCount val="5"/>
                <c:pt idx="0">
                  <c:v>5.5999999999999999E-3</c:v>
                </c:pt>
                <c:pt idx="1">
                  <c:v>4.7000000000000002E-3</c:v>
                </c:pt>
                <c:pt idx="2">
                  <c:v>4.3E-3</c:v>
                </c:pt>
                <c:pt idx="3">
                  <c:v>4.0000000000000001E-3</c:v>
                </c:pt>
                <c:pt idx="4">
                  <c:v>2.7E-2</c:v>
                </c:pt>
              </c:numCache>
            </c:numRef>
          </c:val>
          <c:smooth val="0"/>
          <c:extLst>
            <c:ext xmlns:c16="http://schemas.microsoft.com/office/drawing/2014/chart" uri="{C3380CC4-5D6E-409C-BE32-E72D297353CC}">
              <c16:uniqueId val="{00000002-63E7-4188-8392-40CF987766C6}"/>
            </c:ext>
          </c:extLst>
        </c:ser>
        <c:ser>
          <c:idx val="3"/>
          <c:order val="3"/>
          <c:tx>
            <c:strRef>
              <c:f>Sheet1!$A$5</c:f>
              <c:strCache>
                <c:ptCount val="1"/>
                <c:pt idx="0">
                  <c:v>Intellectual Disability</c:v>
                </c:pt>
              </c:strCache>
            </c:strRef>
          </c:tx>
          <c:spPr>
            <a:ln w="22225">
              <a:solidFill>
                <a:srgbClr val="0070C0"/>
              </a:solidFill>
            </a:ln>
          </c:spPr>
          <c:marker>
            <c:symbol val="x"/>
            <c:size val="5"/>
            <c:spPr>
              <a:ln w="22225">
                <a:solidFill>
                  <a:srgbClr val="0070C0"/>
                </a:solidFill>
              </a:ln>
            </c:spPr>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Sheet1!$B$5:$F$5</c:f>
              <c:numCache>
                <c:formatCode>0.0%</c:formatCode>
                <c:ptCount val="5"/>
                <c:pt idx="0">
                  <c:v>3.4599999999999999E-2</c:v>
                </c:pt>
                <c:pt idx="1">
                  <c:v>3.4200000000000001E-2</c:v>
                </c:pt>
                <c:pt idx="2">
                  <c:v>3.1899999999999998E-2</c:v>
                </c:pt>
                <c:pt idx="3">
                  <c:v>3.4000000000000002E-2</c:v>
                </c:pt>
                <c:pt idx="4">
                  <c:v>0.10199999999999999</c:v>
                </c:pt>
              </c:numCache>
            </c:numRef>
          </c:val>
          <c:smooth val="0"/>
          <c:extLst>
            <c:ext xmlns:c16="http://schemas.microsoft.com/office/drawing/2014/chart" uri="{C3380CC4-5D6E-409C-BE32-E72D297353CC}">
              <c16:uniqueId val="{00000003-63E7-4188-8392-40CF987766C6}"/>
            </c:ext>
          </c:extLst>
        </c:ser>
        <c:ser>
          <c:idx val="4"/>
          <c:order val="4"/>
          <c:tx>
            <c:strRef>
              <c:f>Sheet1!$A$6</c:f>
              <c:strCache>
                <c:ptCount val="1"/>
                <c:pt idx="0">
                  <c:v>Speech &amp; Language Impairment</c:v>
                </c:pt>
              </c:strCache>
            </c:strRef>
          </c:tx>
          <c:spPr>
            <a:ln w="22225" cmpd="sng">
              <a:solidFill>
                <a:srgbClr val="FF0000"/>
              </a:solidFill>
              <a:prstDash val="solid"/>
            </a:ln>
          </c:spPr>
          <c:marker>
            <c:symbol val="star"/>
            <c:size val="7"/>
            <c:spPr>
              <a:ln>
                <a:solidFill>
                  <a:srgbClr val="FF0000"/>
                </a:solidFill>
              </a:ln>
            </c:spPr>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Sheet1!$B$6:$F$6</c:f>
              <c:numCache>
                <c:formatCode>0.0%</c:formatCode>
                <c:ptCount val="5"/>
                <c:pt idx="0">
                  <c:v>4.65E-2</c:v>
                </c:pt>
                <c:pt idx="1">
                  <c:v>4.4999999999999998E-2</c:v>
                </c:pt>
                <c:pt idx="2">
                  <c:v>4.2299999999999997E-2</c:v>
                </c:pt>
                <c:pt idx="3">
                  <c:v>3.5000000000000003E-2</c:v>
                </c:pt>
                <c:pt idx="4">
                  <c:v>2.9000000000000001E-2</c:v>
                </c:pt>
              </c:numCache>
            </c:numRef>
          </c:val>
          <c:smooth val="0"/>
          <c:extLst>
            <c:ext xmlns:c16="http://schemas.microsoft.com/office/drawing/2014/chart" uri="{C3380CC4-5D6E-409C-BE32-E72D297353CC}">
              <c16:uniqueId val="{00000004-63E7-4188-8392-40CF987766C6}"/>
            </c:ext>
          </c:extLst>
        </c:ser>
        <c:ser>
          <c:idx val="5"/>
          <c:order val="5"/>
          <c:tx>
            <c:strRef>
              <c:f>Sheet1!$A$7</c:f>
              <c:strCache>
                <c:ptCount val="1"/>
                <c:pt idx="0">
                  <c:v>Autism</c:v>
                </c:pt>
              </c:strCache>
            </c:strRef>
          </c:tx>
          <c:spPr>
            <a:ln w="34925">
              <a:solidFill>
                <a:schemeClr val="tx1"/>
              </a:solidFill>
              <a:prstDash val="sysDot"/>
            </a:ln>
          </c:spPr>
          <c:marker>
            <c:symbol val="diamond"/>
            <c:size val="7"/>
            <c:spPr>
              <a:solidFill>
                <a:schemeClr val="tx1"/>
              </a:solidFill>
              <a:ln>
                <a:solidFill>
                  <a:schemeClr val="tx1"/>
                </a:solidFill>
              </a:ln>
            </c:spPr>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Sheet1!$B$7:$F$7</c:f>
              <c:numCache>
                <c:formatCode>0.0%</c:formatCode>
                <c:ptCount val="5"/>
                <c:pt idx="0">
                  <c:v>7.7799999999999994E-2</c:v>
                </c:pt>
                <c:pt idx="1">
                  <c:v>8.2500000000000004E-2</c:v>
                </c:pt>
                <c:pt idx="2">
                  <c:v>8.7400000000000005E-2</c:v>
                </c:pt>
                <c:pt idx="3">
                  <c:v>9.1999999999999998E-2</c:v>
                </c:pt>
                <c:pt idx="4">
                  <c:v>0.251</c:v>
                </c:pt>
              </c:numCache>
            </c:numRef>
          </c:val>
          <c:smooth val="0"/>
          <c:extLst>
            <c:ext xmlns:c16="http://schemas.microsoft.com/office/drawing/2014/chart" uri="{C3380CC4-5D6E-409C-BE32-E72D297353CC}">
              <c16:uniqueId val="{00000005-63E7-4188-8392-40CF987766C6}"/>
            </c:ext>
          </c:extLst>
        </c:ser>
        <c:ser>
          <c:idx val="6"/>
          <c:order val="6"/>
          <c:tx>
            <c:strRef>
              <c:f>Sheet1!$A$8</c:f>
              <c:strCache>
                <c:ptCount val="1"/>
                <c:pt idx="0">
                  <c:v>Emotional Disability</c:v>
                </c:pt>
              </c:strCache>
            </c:strRef>
          </c:tx>
          <c:spPr>
            <a:ln w="22225" cmpd="sng">
              <a:solidFill>
                <a:srgbClr val="7030A0"/>
              </a:solidFill>
              <a:prstDash val="solid"/>
            </a:ln>
          </c:spPr>
          <c:marker>
            <c:symbol val="plus"/>
            <c:size val="8"/>
            <c:spPr>
              <a:noFill/>
              <a:ln w="15875">
                <a:solidFill>
                  <a:srgbClr val="7030A0"/>
                </a:solidFill>
              </a:ln>
            </c:spPr>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Sheet1!$B$8:$F$8</c:f>
              <c:numCache>
                <c:formatCode>0.0%</c:formatCode>
                <c:ptCount val="5"/>
                <c:pt idx="0">
                  <c:v>0.1105</c:v>
                </c:pt>
                <c:pt idx="1">
                  <c:v>0.1065</c:v>
                </c:pt>
                <c:pt idx="2">
                  <c:v>0.1048</c:v>
                </c:pt>
                <c:pt idx="3">
                  <c:v>0.108</c:v>
                </c:pt>
                <c:pt idx="4">
                  <c:v>0.25700000000000001</c:v>
                </c:pt>
              </c:numCache>
            </c:numRef>
          </c:val>
          <c:smooth val="0"/>
          <c:extLst>
            <c:ext xmlns:c16="http://schemas.microsoft.com/office/drawing/2014/chart" uri="{C3380CC4-5D6E-409C-BE32-E72D297353CC}">
              <c16:uniqueId val="{00000006-63E7-4188-8392-40CF987766C6}"/>
            </c:ext>
          </c:extLst>
        </c:ser>
        <c:ser>
          <c:idx val="7"/>
          <c:order val="7"/>
          <c:tx>
            <c:strRef>
              <c:f>Sheet1!$A$9</c:f>
              <c:strCache>
                <c:ptCount val="1"/>
                <c:pt idx="0">
                  <c:v>Multiple Disabilities</c:v>
                </c:pt>
              </c:strCache>
            </c:strRef>
          </c:tx>
          <c:spPr>
            <a:ln>
              <a:solidFill>
                <a:srgbClr val="00B050"/>
              </a:solidFill>
            </a:ln>
          </c:spPr>
          <c:marker>
            <c:symbol val="plus"/>
            <c:size val="7"/>
            <c:spPr>
              <a:solidFill>
                <a:srgbClr val="00B050"/>
              </a:solidFill>
            </c:spPr>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Sheet1!$B$9:$F$9</c:f>
              <c:numCache>
                <c:formatCode>0.0%</c:formatCode>
                <c:ptCount val="5"/>
                <c:pt idx="0">
                  <c:v>0.1158</c:v>
                </c:pt>
                <c:pt idx="1">
                  <c:v>0.10979999999999999</c:v>
                </c:pt>
                <c:pt idx="2">
                  <c:v>0.1106</c:v>
                </c:pt>
                <c:pt idx="3">
                  <c:v>0.115</c:v>
                </c:pt>
                <c:pt idx="4">
                  <c:v>0</c:v>
                </c:pt>
              </c:numCache>
            </c:numRef>
          </c:val>
          <c:smooth val="0"/>
          <c:extLst>
            <c:ext xmlns:c16="http://schemas.microsoft.com/office/drawing/2014/chart" uri="{C3380CC4-5D6E-409C-BE32-E72D297353CC}">
              <c16:uniqueId val="{00000007-63E7-4188-8392-40CF987766C6}"/>
            </c:ext>
          </c:extLst>
        </c:ser>
        <c:ser>
          <c:idx val="8"/>
          <c:order val="8"/>
          <c:tx>
            <c:strRef>
              <c:f>Sheet1!$A$10</c:f>
              <c:strCache>
                <c:ptCount val="1"/>
                <c:pt idx="0">
                  <c:v>Physical Impairment</c:v>
                </c:pt>
              </c:strCache>
            </c:strRef>
          </c:tx>
          <c:spPr>
            <a:ln>
              <a:solidFill>
                <a:srgbClr val="FFFF00"/>
              </a:solidFill>
            </a:ln>
          </c:spPr>
          <c:marker>
            <c:symbol val="circle"/>
            <c:size val="7"/>
            <c:spPr>
              <a:solidFill>
                <a:srgbClr val="FFFF00"/>
              </a:solidFill>
              <a:ln>
                <a:solidFill>
                  <a:schemeClr val="tx1"/>
                </a:solidFill>
              </a:ln>
            </c:spPr>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Sheet1!$B$10:$F$10</c:f>
              <c:numCache>
                <c:formatCode>0.0%</c:formatCode>
                <c:ptCount val="5"/>
                <c:pt idx="0">
                  <c:v>0.23749999999999999</c:v>
                </c:pt>
                <c:pt idx="1">
                  <c:v>0.24249999999999999</c:v>
                </c:pt>
                <c:pt idx="2">
                  <c:v>0.24379999999999999</c:v>
                </c:pt>
                <c:pt idx="3">
                  <c:v>0.23799999999999999</c:v>
                </c:pt>
                <c:pt idx="4">
                  <c:v>0.125</c:v>
                </c:pt>
              </c:numCache>
            </c:numRef>
          </c:val>
          <c:smooth val="0"/>
          <c:extLst>
            <c:ext xmlns:c16="http://schemas.microsoft.com/office/drawing/2014/chart" uri="{C3380CC4-5D6E-409C-BE32-E72D297353CC}">
              <c16:uniqueId val="{00000008-63E7-4188-8392-40CF987766C6}"/>
            </c:ext>
          </c:extLst>
        </c:ser>
        <c:ser>
          <c:idx val="9"/>
          <c:order val="9"/>
          <c:tx>
            <c:strRef>
              <c:f>Sheet1!$A$11</c:f>
              <c:strCache>
                <c:ptCount val="1"/>
                <c:pt idx="0">
                  <c:v>Learning Disability</c:v>
                </c:pt>
              </c:strCache>
            </c:strRef>
          </c:tx>
          <c:spPr>
            <a:ln>
              <a:solidFill>
                <a:srgbClr val="FF33CC"/>
              </a:solidFill>
            </a:ln>
          </c:spPr>
          <c:marker>
            <c:spPr>
              <a:solidFill>
                <a:srgbClr val="FF33CC"/>
              </a:solidFill>
              <a:ln>
                <a:solidFill>
                  <a:srgbClr val="FF33CC"/>
                </a:solidFill>
              </a:ln>
            </c:spPr>
          </c:marker>
          <c:cat>
            <c:strRef>
              <c:f>Sheet1!$B$1:$F$1</c:f>
              <c:strCache>
                <c:ptCount val="5"/>
                <c:pt idx="0">
                  <c:v>2012-2013 (n=8,950)</c:v>
                </c:pt>
                <c:pt idx="1">
                  <c:v>2013-2014 (n=8,969)</c:v>
                </c:pt>
                <c:pt idx="2">
                  <c:v>2014-2015 (n=9,178)</c:v>
                </c:pt>
                <c:pt idx="3">
                  <c:v>2015-2016 (n=9,338)</c:v>
                </c:pt>
                <c:pt idx="4">
                  <c:v>Current DVR Open Cases (n=2,077)</c:v>
                </c:pt>
              </c:strCache>
            </c:strRef>
          </c:cat>
          <c:val>
            <c:numRef>
              <c:f>Sheet1!$B$11:$F$11</c:f>
              <c:numCache>
                <c:formatCode>0.0%</c:formatCode>
                <c:ptCount val="5"/>
                <c:pt idx="0">
                  <c:v>0.3669</c:v>
                </c:pt>
                <c:pt idx="1">
                  <c:v>0.37040000000000001</c:v>
                </c:pt>
                <c:pt idx="2">
                  <c:v>0.371</c:v>
                </c:pt>
                <c:pt idx="3">
                  <c:v>0.371</c:v>
                </c:pt>
                <c:pt idx="4">
                  <c:v>0.20399999999999999</c:v>
                </c:pt>
              </c:numCache>
            </c:numRef>
          </c:val>
          <c:smooth val="0"/>
          <c:extLst>
            <c:ext xmlns:c16="http://schemas.microsoft.com/office/drawing/2014/chart" uri="{C3380CC4-5D6E-409C-BE32-E72D297353CC}">
              <c16:uniqueId val="{00000009-63E7-4188-8392-40CF987766C6}"/>
            </c:ext>
          </c:extLst>
        </c:ser>
        <c:dLbls>
          <c:showLegendKey val="0"/>
          <c:showVal val="0"/>
          <c:showCatName val="0"/>
          <c:showSerName val="0"/>
          <c:showPercent val="0"/>
          <c:showBubbleSize val="0"/>
        </c:dLbls>
        <c:marker val="1"/>
        <c:smooth val="0"/>
        <c:axId val="46366720"/>
        <c:axId val="46368640"/>
      </c:lineChart>
      <c:catAx>
        <c:axId val="46366720"/>
        <c:scaling>
          <c:orientation val="minMax"/>
        </c:scaling>
        <c:delete val="0"/>
        <c:axPos val="b"/>
        <c:numFmt formatCode="General" sourceLinked="0"/>
        <c:majorTickMark val="none"/>
        <c:minorTickMark val="none"/>
        <c:tickLblPos val="nextTo"/>
        <c:txPr>
          <a:bodyPr/>
          <a:lstStyle/>
          <a:p>
            <a:pPr>
              <a:defRPr sz="900"/>
            </a:pPr>
            <a:endParaRPr lang="en-US"/>
          </a:p>
        </c:txPr>
        <c:crossAx val="46368640"/>
        <c:crosses val="autoZero"/>
        <c:auto val="1"/>
        <c:lblAlgn val="ctr"/>
        <c:lblOffset val="100"/>
        <c:noMultiLvlLbl val="0"/>
      </c:catAx>
      <c:valAx>
        <c:axId val="46368640"/>
        <c:scaling>
          <c:orientation val="minMax"/>
          <c:max val="0.4"/>
        </c:scaling>
        <c:delete val="0"/>
        <c:axPos val="l"/>
        <c:majorGridlines>
          <c:spPr>
            <a:ln>
              <a:noFill/>
            </a:ln>
          </c:spPr>
        </c:majorGridlines>
        <c:title>
          <c:tx>
            <c:rich>
              <a:bodyPr/>
              <a:lstStyle/>
              <a:p>
                <a:pPr>
                  <a:defRPr sz="1000"/>
                </a:pPr>
                <a:r>
                  <a:rPr lang="en-US" sz="1000" baseline="0"/>
                  <a:t>Students with Disabilities by </a:t>
                </a:r>
              </a:p>
              <a:p>
                <a:pPr>
                  <a:defRPr sz="1000"/>
                </a:pPr>
                <a:r>
                  <a:rPr lang="en-US" sz="1000" baseline="0"/>
                  <a:t>School Year</a:t>
                </a:r>
              </a:p>
            </c:rich>
          </c:tx>
          <c:layout>
            <c:manualLayout>
              <c:xMode val="edge"/>
              <c:yMode val="edge"/>
              <c:x val="3.0303030303030304E-2"/>
              <c:y val="8.0662260967379079E-2"/>
            </c:manualLayout>
          </c:layout>
          <c:overlay val="0"/>
        </c:title>
        <c:numFmt formatCode="0.0%" sourceLinked="1"/>
        <c:majorTickMark val="none"/>
        <c:minorTickMark val="none"/>
        <c:tickLblPos val="nextTo"/>
        <c:crossAx val="46366720"/>
        <c:crosses val="autoZero"/>
        <c:crossBetween val="between"/>
        <c:majorUnit val="5.000000000000001E-2"/>
      </c:valAx>
      <c:dTable>
        <c:showHorzBorder val="1"/>
        <c:showVertBorder val="1"/>
        <c:showOutline val="1"/>
        <c:showKeys val="1"/>
      </c:dTable>
      <c:spPr>
        <a:ln>
          <a:noFill/>
        </a:ln>
      </c:spPr>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975885826771655"/>
          <c:y val="4.4057617797775277E-2"/>
          <c:w val="0.77709041304047521"/>
          <c:h val="0.72210598675165605"/>
        </c:manualLayout>
      </c:layout>
      <c:barChart>
        <c:barDir val="col"/>
        <c:grouping val="clustered"/>
        <c:varyColors val="0"/>
        <c:ser>
          <c:idx val="0"/>
          <c:order val="0"/>
          <c:tx>
            <c:strRef>
              <c:f>Sheet1!$A$2</c:f>
              <c:strCache>
                <c:ptCount val="1"/>
                <c:pt idx="0">
                  <c:v>Number of Students</c:v>
                </c:pt>
              </c:strCache>
            </c:strRef>
          </c:tx>
          <c:invertIfNegative val="0"/>
          <c:dLbls>
            <c:dLbl>
              <c:idx val="3"/>
              <c:layout>
                <c:manualLayout>
                  <c:x val="8.0408427840126275E-17"/>
                  <c:y val="0.2507172280548264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4F-4E79-936D-A1AE1EFECD75}"/>
                </c:ext>
              </c:extLst>
            </c:dLbl>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Region I</c:v>
                </c:pt>
                <c:pt idx="1">
                  <c:v>Region II</c:v>
                </c:pt>
                <c:pt idx="2">
                  <c:v>Region III</c:v>
                </c:pt>
                <c:pt idx="3">
                  <c:v>Region IV</c:v>
                </c:pt>
                <c:pt idx="4">
                  <c:v>Region V</c:v>
                </c:pt>
              </c:strCache>
            </c:strRef>
          </c:cat>
          <c:val>
            <c:numRef>
              <c:f>Sheet1!$B$2:$F$2</c:f>
              <c:numCache>
                <c:formatCode>#,##0</c:formatCode>
                <c:ptCount val="5"/>
                <c:pt idx="0">
                  <c:v>3280</c:v>
                </c:pt>
                <c:pt idx="1">
                  <c:v>1786</c:v>
                </c:pt>
                <c:pt idx="2">
                  <c:v>2141</c:v>
                </c:pt>
                <c:pt idx="3">
                  <c:v>1713</c:v>
                </c:pt>
                <c:pt idx="4">
                  <c:v>553</c:v>
                </c:pt>
              </c:numCache>
            </c:numRef>
          </c:val>
          <c:extLst>
            <c:ext xmlns:c16="http://schemas.microsoft.com/office/drawing/2014/chart" uri="{C3380CC4-5D6E-409C-BE32-E72D297353CC}">
              <c16:uniqueId val="{00000001-304F-4E79-936D-A1AE1EFECD75}"/>
            </c:ext>
          </c:extLst>
        </c:ser>
        <c:dLbls>
          <c:showLegendKey val="0"/>
          <c:showVal val="0"/>
          <c:showCatName val="0"/>
          <c:showSerName val="0"/>
          <c:showPercent val="0"/>
          <c:showBubbleSize val="0"/>
        </c:dLbls>
        <c:gapWidth val="126"/>
        <c:axId val="46299008"/>
        <c:axId val="46300544"/>
      </c:barChart>
      <c:lineChart>
        <c:grouping val="standard"/>
        <c:varyColors val="0"/>
        <c:ser>
          <c:idx val="1"/>
          <c:order val="1"/>
          <c:tx>
            <c:strRef>
              <c:f>Sheet1!$A$3</c:f>
              <c:strCache>
                <c:ptCount val="1"/>
                <c:pt idx="0">
                  <c:v>Number of Transition Counselors</c:v>
                </c:pt>
              </c:strCache>
            </c:strRef>
          </c:tx>
          <c:spPr>
            <a:ln w="69850"/>
          </c:spPr>
          <c:dLbls>
            <c:spPr>
              <a:noFill/>
              <a:ln>
                <a:noFill/>
              </a:ln>
              <a:effectLst/>
            </c:spPr>
            <c:txPr>
              <a:bodyPr/>
              <a:lstStyle/>
              <a:p>
                <a:pPr>
                  <a:defRPr sz="1000" b="1">
                    <a:solidFill>
                      <a:sysClr val="windowText" lastClr="000000"/>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Region I</c:v>
                </c:pt>
                <c:pt idx="1">
                  <c:v>Region II</c:v>
                </c:pt>
                <c:pt idx="2">
                  <c:v>Region III</c:v>
                </c:pt>
                <c:pt idx="3">
                  <c:v>Region IV</c:v>
                </c:pt>
                <c:pt idx="4">
                  <c:v>Region V</c:v>
                </c:pt>
              </c:strCache>
            </c:strRef>
          </c:cat>
          <c:val>
            <c:numRef>
              <c:f>Sheet1!$B$3:$F$3</c:f>
              <c:numCache>
                <c:formatCode>0</c:formatCode>
                <c:ptCount val="5"/>
                <c:pt idx="0">
                  <c:v>10</c:v>
                </c:pt>
                <c:pt idx="1">
                  <c:v>5</c:v>
                </c:pt>
                <c:pt idx="2">
                  <c:v>8</c:v>
                </c:pt>
                <c:pt idx="3">
                  <c:v>4</c:v>
                </c:pt>
                <c:pt idx="4">
                  <c:v>3</c:v>
                </c:pt>
              </c:numCache>
            </c:numRef>
          </c:val>
          <c:smooth val="0"/>
          <c:extLst>
            <c:ext xmlns:c16="http://schemas.microsoft.com/office/drawing/2014/chart" uri="{C3380CC4-5D6E-409C-BE32-E72D297353CC}">
              <c16:uniqueId val="{00000002-304F-4E79-936D-A1AE1EFECD75}"/>
            </c:ext>
          </c:extLst>
        </c:ser>
        <c:dLbls>
          <c:showLegendKey val="0"/>
          <c:showVal val="0"/>
          <c:showCatName val="0"/>
          <c:showSerName val="0"/>
          <c:showPercent val="0"/>
          <c:showBubbleSize val="0"/>
        </c:dLbls>
        <c:marker val="1"/>
        <c:smooth val="0"/>
        <c:axId val="46321024"/>
        <c:axId val="46319104"/>
      </c:lineChart>
      <c:catAx>
        <c:axId val="46299008"/>
        <c:scaling>
          <c:orientation val="minMax"/>
        </c:scaling>
        <c:delete val="0"/>
        <c:axPos val="b"/>
        <c:numFmt formatCode="General" sourceLinked="0"/>
        <c:majorTickMark val="out"/>
        <c:minorTickMark val="none"/>
        <c:tickLblPos val="nextTo"/>
        <c:crossAx val="46300544"/>
        <c:crosses val="autoZero"/>
        <c:auto val="1"/>
        <c:lblAlgn val="ctr"/>
        <c:lblOffset val="100"/>
        <c:noMultiLvlLbl val="0"/>
      </c:catAx>
      <c:valAx>
        <c:axId val="46300544"/>
        <c:scaling>
          <c:orientation val="minMax"/>
          <c:max val="4000"/>
        </c:scaling>
        <c:delete val="0"/>
        <c:axPos val="l"/>
        <c:majorGridlines/>
        <c:title>
          <c:tx>
            <c:rich>
              <a:bodyPr rot="-5400000" vert="horz"/>
              <a:lstStyle/>
              <a:p>
                <a:pPr>
                  <a:defRPr/>
                </a:pPr>
                <a:r>
                  <a:rPr lang="en-US"/>
                  <a:t>Number of Students</a:t>
                </a:r>
              </a:p>
            </c:rich>
          </c:tx>
          <c:layout>
            <c:manualLayout>
              <c:xMode val="edge"/>
              <c:yMode val="edge"/>
              <c:x val="1.1099445902595508E-2"/>
              <c:y val="0.22755905511811023"/>
            </c:manualLayout>
          </c:layout>
          <c:overlay val="0"/>
        </c:title>
        <c:numFmt formatCode="#,##0" sourceLinked="0"/>
        <c:majorTickMark val="out"/>
        <c:minorTickMark val="none"/>
        <c:tickLblPos val="nextTo"/>
        <c:crossAx val="46299008"/>
        <c:crosses val="autoZero"/>
        <c:crossBetween val="between"/>
        <c:majorUnit val="1000"/>
      </c:valAx>
      <c:valAx>
        <c:axId val="46319104"/>
        <c:scaling>
          <c:orientation val="minMax"/>
        </c:scaling>
        <c:delete val="0"/>
        <c:axPos val="r"/>
        <c:title>
          <c:tx>
            <c:rich>
              <a:bodyPr rot="5400000" vert="horz"/>
              <a:lstStyle/>
              <a:p>
                <a:pPr>
                  <a:defRPr/>
                </a:pPr>
                <a:r>
                  <a:rPr lang="en-US"/>
                  <a:t>Number</a:t>
                </a:r>
                <a:r>
                  <a:rPr lang="en-US" baseline="0"/>
                  <a:t> of Transition Counselors</a:t>
                </a:r>
                <a:endParaRPr lang="en-US"/>
              </a:p>
            </c:rich>
          </c:tx>
          <c:layout>
            <c:manualLayout>
              <c:xMode val="edge"/>
              <c:yMode val="edge"/>
              <c:x val="0.9540223097112861"/>
              <c:y val="0.12912687129386605"/>
            </c:manualLayout>
          </c:layout>
          <c:overlay val="0"/>
        </c:title>
        <c:numFmt formatCode="0" sourceLinked="1"/>
        <c:majorTickMark val="out"/>
        <c:minorTickMark val="none"/>
        <c:tickLblPos val="nextTo"/>
        <c:crossAx val="46321024"/>
        <c:crosses val="max"/>
        <c:crossBetween val="between"/>
      </c:valAx>
      <c:catAx>
        <c:axId val="46321024"/>
        <c:scaling>
          <c:orientation val="minMax"/>
        </c:scaling>
        <c:delete val="1"/>
        <c:axPos val="b"/>
        <c:numFmt formatCode="General" sourceLinked="1"/>
        <c:majorTickMark val="out"/>
        <c:minorTickMark val="none"/>
        <c:tickLblPos val="nextTo"/>
        <c:crossAx val="46319104"/>
        <c:crosses val="autoZero"/>
        <c:auto val="1"/>
        <c:lblAlgn val="ctr"/>
        <c:lblOffset val="100"/>
        <c:noMultiLvlLbl val="0"/>
      </c:catAx>
    </c:plotArea>
    <c:legend>
      <c:legendPos val="b"/>
      <c:layout>
        <c:manualLayout>
          <c:xMode val="edge"/>
          <c:yMode val="edge"/>
          <c:x val="0.11869854261638348"/>
          <c:y val="0.88272090988626417"/>
          <c:w val="0.63908101947782836"/>
          <c:h val="6.5104622338874304E-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Sheet1!$A$2</c:f>
              <c:strCache>
                <c:ptCount val="1"/>
                <c:pt idx="0">
                  <c:v>Average Expenditure</c:v>
                </c:pt>
              </c:strCache>
            </c:strRef>
          </c:tx>
          <c:invertIfNegative val="0"/>
          <c:cat>
            <c:strRef>
              <c:f>Sheet1!$B$1:$F$1</c:f>
              <c:strCache>
                <c:ptCount val="5"/>
                <c:pt idx="0">
                  <c:v>FFY 2015</c:v>
                </c:pt>
                <c:pt idx="1">
                  <c:v>FFY 2016</c:v>
                </c:pt>
                <c:pt idx="2">
                  <c:v>FFY 2017</c:v>
                </c:pt>
                <c:pt idx="3">
                  <c:v>FFY 2018</c:v>
                </c:pt>
                <c:pt idx="4">
                  <c:v>FFY 2019</c:v>
                </c:pt>
              </c:strCache>
            </c:strRef>
          </c:cat>
          <c:val>
            <c:numRef>
              <c:f>Sheet1!$B$2:$F$2</c:f>
              <c:numCache>
                <c:formatCode>"$"#,##0</c:formatCode>
                <c:ptCount val="5"/>
                <c:pt idx="0">
                  <c:v>1528</c:v>
                </c:pt>
                <c:pt idx="1">
                  <c:v>1681</c:v>
                </c:pt>
                <c:pt idx="2">
                  <c:v>1561</c:v>
                </c:pt>
                <c:pt idx="3">
                  <c:v>1827</c:v>
                </c:pt>
                <c:pt idx="4">
                  <c:v>1848</c:v>
                </c:pt>
              </c:numCache>
            </c:numRef>
          </c:val>
          <c:extLst>
            <c:ext xmlns:c16="http://schemas.microsoft.com/office/drawing/2014/chart" uri="{C3380CC4-5D6E-409C-BE32-E72D297353CC}">
              <c16:uniqueId val="{00000000-2AB2-4FE7-BFE3-46AB1B7A6DD0}"/>
            </c:ext>
          </c:extLst>
        </c:ser>
        <c:dLbls>
          <c:showLegendKey val="0"/>
          <c:showVal val="0"/>
          <c:showCatName val="0"/>
          <c:showSerName val="0"/>
          <c:showPercent val="0"/>
          <c:showBubbleSize val="0"/>
        </c:dLbls>
        <c:gapWidth val="150"/>
        <c:axId val="46580864"/>
        <c:axId val="46582400"/>
      </c:barChart>
      <c:lineChart>
        <c:grouping val="standard"/>
        <c:varyColors val="0"/>
        <c:ser>
          <c:idx val="1"/>
          <c:order val="1"/>
          <c:tx>
            <c:strRef>
              <c:f>Sheet1!$A$3</c:f>
              <c:strCache>
                <c:ptCount val="1"/>
                <c:pt idx="0">
                  <c:v>Participants Served</c:v>
                </c:pt>
              </c:strCache>
            </c:strRef>
          </c:tx>
          <c:cat>
            <c:strRef>
              <c:f>Sheet1!$B$1:$F$1</c:f>
              <c:strCache>
                <c:ptCount val="5"/>
                <c:pt idx="0">
                  <c:v>FFY 2015</c:v>
                </c:pt>
                <c:pt idx="1">
                  <c:v>FFY 2016</c:v>
                </c:pt>
                <c:pt idx="2">
                  <c:v>FFY 2017</c:v>
                </c:pt>
                <c:pt idx="3">
                  <c:v>FFY 2018</c:v>
                </c:pt>
                <c:pt idx="4">
                  <c:v>FFY 2019</c:v>
                </c:pt>
              </c:strCache>
            </c:strRef>
          </c:cat>
          <c:val>
            <c:numRef>
              <c:f>Sheet1!$B$3:$F$3</c:f>
              <c:numCache>
                <c:formatCode>0</c:formatCode>
                <c:ptCount val="5"/>
                <c:pt idx="0">
                  <c:v>631</c:v>
                </c:pt>
                <c:pt idx="1">
                  <c:v>612</c:v>
                </c:pt>
                <c:pt idx="2">
                  <c:v>253</c:v>
                </c:pt>
                <c:pt idx="3">
                  <c:v>289</c:v>
                </c:pt>
                <c:pt idx="4">
                  <c:v>352</c:v>
                </c:pt>
              </c:numCache>
            </c:numRef>
          </c:val>
          <c:smooth val="0"/>
          <c:extLst>
            <c:ext xmlns:c16="http://schemas.microsoft.com/office/drawing/2014/chart" uri="{C3380CC4-5D6E-409C-BE32-E72D297353CC}">
              <c16:uniqueId val="{00000001-2AB2-4FE7-BFE3-46AB1B7A6DD0}"/>
            </c:ext>
          </c:extLst>
        </c:ser>
        <c:dLbls>
          <c:showLegendKey val="0"/>
          <c:showVal val="0"/>
          <c:showCatName val="0"/>
          <c:showSerName val="0"/>
          <c:showPercent val="0"/>
          <c:showBubbleSize val="0"/>
        </c:dLbls>
        <c:marker val="1"/>
        <c:smooth val="0"/>
        <c:axId val="46586496"/>
        <c:axId val="46584576"/>
      </c:lineChart>
      <c:catAx>
        <c:axId val="46580864"/>
        <c:scaling>
          <c:orientation val="minMax"/>
        </c:scaling>
        <c:delete val="0"/>
        <c:axPos val="b"/>
        <c:numFmt formatCode="General" sourceLinked="0"/>
        <c:majorTickMark val="none"/>
        <c:minorTickMark val="none"/>
        <c:tickLblPos val="nextTo"/>
        <c:crossAx val="46582400"/>
        <c:crosses val="autoZero"/>
        <c:auto val="1"/>
        <c:lblAlgn val="ctr"/>
        <c:lblOffset val="100"/>
        <c:noMultiLvlLbl val="0"/>
      </c:catAx>
      <c:valAx>
        <c:axId val="46582400"/>
        <c:scaling>
          <c:orientation val="minMax"/>
          <c:max val="3000"/>
          <c:min val="0"/>
        </c:scaling>
        <c:delete val="0"/>
        <c:axPos val="l"/>
        <c:majorGridlines/>
        <c:title>
          <c:tx>
            <c:rich>
              <a:bodyPr/>
              <a:lstStyle/>
              <a:p>
                <a:pPr>
                  <a:defRPr/>
                </a:pPr>
                <a:r>
                  <a:rPr lang="en-US"/>
                  <a:t>Hearing Aid &amp;</a:t>
                </a:r>
                <a:r>
                  <a:rPr lang="en-US" baseline="0"/>
                  <a:t> Audiological Expenditures</a:t>
                </a:r>
              </a:p>
            </c:rich>
          </c:tx>
          <c:overlay val="0"/>
        </c:title>
        <c:numFmt formatCode="&quot;$&quot;#,##0" sourceLinked="0"/>
        <c:majorTickMark val="none"/>
        <c:minorTickMark val="none"/>
        <c:tickLblPos val="nextTo"/>
        <c:crossAx val="46580864"/>
        <c:crosses val="autoZero"/>
        <c:crossBetween val="between"/>
        <c:majorUnit val="500"/>
        <c:minorUnit val="4.0000000000000008E-2"/>
      </c:valAx>
      <c:valAx>
        <c:axId val="46584576"/>
        <c:scaling>
          <c:orientation val="minMax"/>
        </c:scaling>
        <c:delete val="0"/>
        <c:axPos val="r"/>
        <c:title>
          <c:tx>
            <c:rich>
              <a:bodyPr rot="5400000" vert="horz"/>
              <a:lstStyle/>
              <a:p>
                <a:pPr>
                  <a:defRPr/>
                </a:pPr>
                <a:r>
                  <a:rPr lang="en-US"/>
                  <a:t>Number</a:t>
                </a:r>
                <a:r>
                  <a:rPr lang="en-US" baseline="0"/>
                  <a:t> of Participants</a:t>
                </a:r>
                <a:endParaRPr lang="en-US"/>
              </a:p>
            </c:rich>
          </c:tx>
          <c:layout>
            <c:manualLayout>
              <c:xMode val="edge"/>
              <c:yMode val="edge"/>
              <c:x val="0.95091426071741036"/>
              <c:y val="0.19200256217972753"/>
            </c:manualLayout>
          </c:layout>
          <c:overlay val="0"/>
        </c:title>
        <c:numFmt formatCode="0" sourceLinked="1"/>
        <c:majorTickMark val="out"/>
        <c:minorTickMark val="none"/>
        <c:tickLblPos val="nextTo"/>
        <c:crossAx val="46586496"/>
        <c:crosses val="max"/>
        <c:crossBetween val="between"/>
      </c:valAx>
      <c:catAx>
        <c:axId val="46586496"/>
        <c:scaling>
          <c:orientation val="minMax"/>
        </c:scaling>
        <c:delete val="1"/>
        <c:axPos val="b"/>
        <c:numFmt formatCode="General" sourceLinked="1"/>
        <c:majorTickMark val="out"/>
        <c:minorTickMark val="none"/>
        <c:tickLblPos val="nextTo"/>
        <c:crossAx val="46584576"/>
        <c:crosses val="autoZero"/>
        <c:auto val="1"/>
        <c:lblAlgn val="ctr"/>
        <c:lblOffset val="100"/>
        <c:noMultiLvlLbl val="0"/>
      </c:catAx>
      <c:dTable>
        <c:showHorzBorder val="1"/>
        <c:showVertBorder val="1"/>
        <c:showOutline val="1"/>
        <c:showKeys val="1"/>
        <c:txPr>
          <a:bodyPr/>
          <a:lstStyle/>
          <a:p>
            <a:pPr rtl="0">
              <a:defRPr sz="1000"/>
            </a:pPr>
            <a:endParaRPr lang="en-US"/>
          </a:p>
        </c:txPr>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6506706346746023E-2"/>
          <c:y val="0.1578437775923171"/>
          <c:w val="0.89162102768649987"/>
          <c:h val="0.73731025557289209"/>
        </c:manualLayout>
      </c:layout>
      <c:barChart>
        <c:barDir val="col"/>
        <c:grouping val="stacked"/>
        <c:varyColors val="0"/>
        <c:ser>
          <c:idx val="0"/>
          <c:order val="0"/>
          <c:tx>
            <c:strRef>
              <c:f>Sheet1!$A$2</c:f>
              <c:strCache>
                <c:ptCount val="1"/>
                <c:pt idx="0">
                  <c:v>New Applicants (Status 02)</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(n=5,237)</c:v>
                </c:pt>
                <c:pt idx="1">
                  <c:v>FFY 2017                                                                             (n=5,307)</c:v>
                </c:pt>
                <c:pt idx="2">
                  <c:v>FFY 2018                                                                             (n=5,506)</c:v>
                </c:pt>
                <c:pt idx="3">
                  <c:v>FFY 2019                                                                             (n=5,645)</c:v>
                </c:pt>
              </c:strCache>
            </c:strRef>
          </c:cat>
          <c:val>
            <c:numRef>
              <c:f>Sheet1!$B$2:$E$2</c:f>
              <c:numCache>
                <c:formatCode>#,##0</c:formatCode>
                <c:ptCount val="4"/>
                <c:pt idx="0">
                  <c:v>552</c:v>
                </c:pt>
                <c:pt idx="1">
                  <c:v>470</c:v>
                </c:pt>
                <c:pt idx="2">
                  <c:v>538</c:v>
                </c:pt>
                <c:pt idx="3">
                  <c:v>579</c:v>
                </c:pt>
              </c:numCache>
            </c:numRef>
          </c:val>
          <c:extLst>
            <c:ext xmlns:c16="http://schemas.microsoft.com/office/drawing/2014/chart" uri="{C3380CC4-5D6E-409C-BE32-E72D297353CC}">
              <c16:uniqueId val="{00000000-C230-4095-8071-ACB921D03617}"/>
            </c:ext>
          </c:extLst>
        </c:ser>
        <c:ser>
          <c:idx val="1"/>
          <c:order val="1"/>
          <c:tx>
            <c:strRef>
              <c:f>Sheet1!$A$3</c:f>
              <c:strCache>
                <c:ptCount val="1"/>
                <c:pt idx="0">
                  <c:v>Trial Work/Extended Evaluation (Status 06)</c:v>
                </c:pt>
              </c:strCache>
            </c:strRef>
          </c:tx>
          <c:invertIfNegative val="0"/>
          <c:dLbls>
            <c:dLbl>
              <c:idx val="0"/>
              <c:layout>
                <c:manualLayout>
                  <c:x val="8.0927384076990377E-2"/>
                  <c:y val="-3.68672665916760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30-4095-8071-ACB921D03617}"/>
                </c:ext>
              </c:extLst>
            </c:dLbl>
            <c:dLbl>
              <c:idx val="1"/>
              <c:layout>
                <c:manualLayout>
                  <c:x val="7.217847769028872E-2"/>
                  <c:y val="-3.23466623123722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30-4095-8071-ACB921D03617}"/>
                </c:ext>
              </c:extLst>
            </c:dLbl>
            <c:dLbl>
              <c:idx val="2"/>
              <c:layout>
                <c:manualLayout>
                  <c:x val="6.9991251093613219E-2"/>
                  <c:y val="-3.39269083300071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30-4095-8071-ACB921D03617}"/>
                </c:ext>
              </c:extLst>
            </c:dLbl>
            <c:dLbl>
              <c:idx val="3"/>
              <c:layout>
                <c:manualLayout>
                  <c:x val="6.5616797900262466E-2"/>
                  <c:y val="-3.4980103293539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30-4095-8071-ACB921D03617}"/>
                </c:ext>
              </c:extLst>
            </c:dLbl>
            <c:spPr>
              <a:noFill/>
              <a:ln>
                <a:noFill/>
              </a:ln>
              <a:effectLst/>
            </c:spPr>
            <c:txPr>
              <a:bodyPr/>
              <a:lstStyle/>
              <a:p>
                <a:pPr>
                  <a:defRPr b="1">
                    <a:solidFill>
                      <a:schemeClr val="accent2"/>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(n=5,237)</c:v>
                </c:pt>
                <c:pt idx="1">
                  <c:v>FFY 2017                                                                             (n=5,307)</c:v>
                </c:pt>
                <c:pt idx="2">
                  <c:v>FFY 2018                                                                             (n=5,506)</c:v>
                </c:pt>
                <c:pt idx="3">
                  <c:v>FFY 2019                                                                             (n=5,645)</c:v>
                </c:pt>
              </c:strCache>
            </c:strRef>
          </c:cat>
          <c:val>
            <c:numRef>
              <c:f>Sheet1!$B$3:$E$3</c:f>
              <c:numCache>
                <c:formatCode>#,##0</c:formatCode>
                <c:ptCount val="4"/>
                <c:pt idx="0">
                  <c:v>1</c:v>
                </c:pt>
                <c:pt idx="1">
                  <c:v>0</c:v>
                </c:pt>
                <c:pt idx="2">
                  <c:v>0</c:v>
                </c:pt>
                <c:pt idx="3">
                  <c:v>0</c:v>
                </c:pt>
              </c:numCache>
            </c:numRef>
          </c:val>
          <c:extLst>
            <c:ext xmlns:c16="http://schemas.microsoft.com/office/drawing/2014/chart" uri="{C3380CC4-5D6E-409C-BE32-E72D297353CC}">
              <c16:uniqueId val="{00000005-C230-4095-8071-ACB921D03617}"/>
            </c:ext>
          </c:extLst>
        </c:ser>
        <c:ser>
          <c:idx val="2"/>
          <c:order val="2"/>
          <c:tx>
            <c:strRef>
              <c:f>Sheet1!$A$4</c:f>
              <c:strCache>
                <c:ptCount val="1"/>
                <c:pt idx="0">
                  <c:v>Plan Development (Status 10)</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(n=5,237)</c:v>
                </c:pt>
                <c:pt idx="1">
                  <c:v>FFY 2017                                                                             (n=5,307)</c:v>
                </c:pt>
                <c:pt idx="2">
                  <c:v>FFY 2018                                                                             (n=5,506)</c:v>
                </c:pt>
                <c:pt idx="3">
                  <c:v>FFY 2019                                                                             (n=5,645)</c:v>
                </c:pt>
              </c:strCache>
            </c:strRef>
          </c:cat>
          <c:val>
            <c:numRef>
              <c:f>Sheet1!$B$4:$E$4</c:f>
              <c:numCache>
                <c:formatCode>#,##0</c:formatCode>
                <c:ptCount val="4"/>
                <c:pt idx="0">
                  <c:v>1148</c:v>
                </c:pt>
                <c:pt idx="1">
                  <c:v>878</c:v>
                </c:pt>
                <c:pt idx="2">
                  <c:v>638</c:v>
                </c:pt>
                <c:pt idx="3">
                  <c:v>590</c:v>
                </c:pt>
              </c:numCache>
            </c:numRef>
          </c:val>
          <c:extLst>
            <c:ext xmlns:c16="http://schemas.microsoft.com/office/drawing/2014/chart" uri="{C3380CC4-5D6E-409C-BE32-E72D297353CC}">
              <c16:uniqueId val="{00000006-C230-4095-8071-ACB921D03617}"/>
            </c:ext>
          </c:extLst>
        </c:ser>
        <c:ser>
          <c:idx val="3"/>
          <c:order val="3"/>
          <c:tx>
            <c:strRef>
              <c:f>Sheet1!$A$5</c:f>
              <c:strCache>
                <c:ptCount val="1"/>
                <c:pt idx="0">
                  <c:v>Plan Implementation (Status 12-24)</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(n=5,237)</c:v>
                </c:pt>
                <c:pt idx="1">
                  <c:v>FFY 2017                                                                             (n=5,307)</c:v>
                </c:pt>
                <c:pt idx="2">
                  <c:v>FFY 2018                                                                             (n=5,506)</c:v>
                </c:pt>
                <c:pt idx="3">
                  <c:v>FFY 2019                                                                             (n=5,645)</c:v>
                </c:pt>
              </c:strCache>
            </c:strRef>
          </c:cat>
          <c:val>
            <c:numRef>
              <c:f>Sheet1!$B$5:$E$5</c:f>
              <c:numCache>
                <c:formatCode>#,##0</c:formatCode>
                <c:ptCount val="4"/>
                <c:pt idx="0">
                  <c:v>3536</c:v>
                </c:pt>
                <c:pt idx="1">
                  <c:v>3959</c:v>
                </c:pt>
                <c:pt idx="2">
                  <c:v>4330</c:v>
                </c:pt>
                <c:pt idx="3">
                  <c:v>4476</c:v>
                </c:pt>
              </c:numCache>
            </c:numRef>
          </c:val>
          <c:extLst>
            <c:ext xmlns:c16="http://schemas.microsoft.com/office/drawing/2014/chart" uri="{C3380CC4-5D6E-409C-BE32-E72D297353CC}">
              <c16:uniqueId val="{00000007-C230-4095-8071-ACB921D03617}"/>
            </c:ext>
          </c:extLst>
        </c:ser>
        <c:dLbls>
          <c:showLegendKey val="0"/>
          <c:showVal val="0"/>
          <c:showCatName val="0"/>
          <c:showSerName val="0"/>
          <c:showPercent val="0"/>
          <c:showBubbleSize val="0"/>
        </c:dLbls>
        <c:gapWidth val="154"/>
        <c:overlap val="100"/>
        <c:serLines/>
        <c:axId val="42955520"/>
        <c:axId val="42957056"/>
      </c:barChart>
      <c:catAx>
        <c:axId val="42955520"/>
        <c:scaling>
          <c:orientation val="minMax"/>
        </c:scaling>
        <c:delete val="0"/>
        <c:axPos val="b"/>
        <c:numFmt formatCode="General" sourceLinked="0"/>
        <c:majorTickMark val="out"/>
        <c:minorTickMark val="none"/>
        <c:tickLblPos val="nextTo"/>
        <c:crossAx val="42957056"/>
        <c:crosses val="autoZero"/>
        <c:auto val="1"/>
        <c:lblAlgn val="ctr"/>
        <c:lblOffset val="100"/>
        <c:noMultiLvlLbl val="0"/>
      </c:catAx>
      <c:valAx>
        <c:axId val="42957056"/>
        <c:scaling>
          <c:orientation val="minMax"/>
        </c:scaling>
        <c:delete val="0"/>
        <c:axPos val="l"/>
        <c:numFmt formatCode="#,##0" sourceLinked="1"/>
        <c:majorTickMark val="out"/>
        <c:minorTickMark val="none"/>
        <c:tickLblPos val="nextTo"/>
        <c:spPr>
          <a:ln w="9525">
            <a:solidFill>
              <a:schemeClr val="bg1">
                <a:lumMod val="50000"/>
              </a:schemeClr>
            </a:solidFill>
          </a:ln>
        </c:spPr>
        <c:crossAx val="42955520"/>
        <c:crosses val="autoZero"/>
        <c:crossBetween val="between"/>
      </c:valAx>
      <c:spPr>
        <a:ln>
          <a:noFill/>
        </a:ln>
      </c:spPr>
    </c:plotArea>
    <c:legend>
      <c:legendPos val="b"/>
      <c:layout>
        <c:manualLayout>
          <c:xMode val="edge"/>
          <c:yMode val="edge"/>
          <c:x val="0.13907626704142295"/>
          <c:y val="3.2893065786131576E-2"/>
          <c:w val="0.78527703722074116"/>
          <c:h val="0.11457237200188686"/>
        </c:manualLayout>
      </c:layout>
      <c:overlay val="0"/>
      <c:spPr>
        <a:solidFill>
          <a:schemeClr val="bg1"/>
        </a:solidFill>
      </c:spPr>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70107903178768"/>
          <c:y val="4.4057617797775277E-2"/>
          <c:w val="0.51400628996787456"/>
          <c:h val="0.80809836270466195"/>
        </c:manualLayout>
      </c:layout>
      <c:lineChart>
        <c:grouping val="standard"/>
        <c:varyColors val="0"/>
        <c:ser>
          <c:idx val="0"/>
          <c:order val="0"/>
          <c:tx>
            <c:strRef>
              <c:f>Sheet1!$A$2</c:f>
              <c:strCache>
                <c:ptCount val="1"/>
                <c:pt idx="0">
                  <c:v>Before IPE Services Developed (Status 10-30)</c:v>
                </c:pt>
              </c:strCache>
            </c:strRef>
          </c:tx>
          <c:spPr>
            <a:ln w="22225">
              <a:solidFill>
                <a:srgbClr val="404F6B"/>
              </a:solidFill>
            </a:ln>
          </c:spPr>
          <c:marker>
            <c:symbol val="circle"/>
            <c:size val="6"/>
          </c:marker>
          <c:dLbls>
            <c:dLbl>
              <c:idx val="3"/>
              <c:layout>
                <c:manualLayout>
                  <c:x val="-1.7171007834903537E-2"/>
                  <c:y val="-4.99208543673573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C3-4DB1-961B-E63109EBAC77}"/>
                </c:ext>
              </c:extLst>
            </c:dLbl>
            <c:spPr>
              <a:noFill/>
              <a:ln>
                <a:noFill/>
              </a:ln>
              <a:effectLst/>
            </c:spPr>
            <c:txPr>
              <a:bodyPr wrap="square" lIns="38100" tIns="19050" rIns="38100" bIns="19050" anchor="ctr">
                <a:spAutoFit/>
              </a:bodyPr>
              <a:lstStyle/>
              <a:p>
                <a:pPr>
                  <a:defRPr b="1" baseline="0">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(n=4,852)</c:v>
                </c:pt>
                <c:pt idx="1">
                  <c:v>FFY 2017 (n=3,459)</c:v>
                </c:pt>
                <c:pt idx="2">
                  <c:v>FFY 2018 (n=3,394)</c:v>
                </c:pt>
                <c:pt idx="3">
                  <c:v>FFY 2019 (n=3,396)</c:v>
                </c:pt>
              </c:strCache>
            </c:strRef>
          </c:cat>
          <c:val>
            <c:numRef>
              <c:f>Sheet1!$B$2:$E$2</c:f>
              <c:numCache>
                <c:formatCode>#,##0</c:formatCode>
                <c:ptCount val="4"/>
                <c:pt idx="0">
                  <c:v>1558</c:v>
                </c:pt>
                <c:pt idx="1">
                  <c:v>822</c:v>
                </c:pt>
                <c:pt idx="2">
                  <c:v>726</c:v>
                </c:pt>
                <c:pt idx="3">
                  <c:v>556</c:v>
                </c:pt>
              </c:numCache>
            </c:numRef>
          </c:val>
          <c:smooth val="0"/>
          <c:extLst>
            <c:ext xmlns:c16="http://schemas.microsoft.com/office/drawing/2014/chart" uri="{C3380CC4-5D6E-409C-BE32-E72D297353CC}">
              <c16:uniqueId val="{00000001-FBCD-4989-8168-3D1F9D83D773}"/>
            </c:ext>
          </c:extLst>
        </c:ser>
        <c:ser>
          <c:idx val="1"/>
          <c:order val="1"/>
          <c:tx>
            <c:strRef>
              <c:f>Sheet1!$A$3</c:f>
              <c:strCache>
                <c:ptCount val="1"/>
                <c:pt idx="0">
                  <c:v>Services Initiated without Employment (Status 28)</c:v>
                </c:pt>
              </c:strCache>
            </c:strRef>
          </c:tx>
          <c:spPr>
            <a:ln w="22225"/>
          </c:spPr>
          <c:marker>
            <c:symbol val="square"/>
            <c:size val="5"/>
          </c:marker>
          <c:dLbls>
            <c:dLbl>
              <c:idx val="2"/>
              <c:layout>
                <c:manualLayout>
                  <c:x val="-5.8450122048133012E-2"/>
                  <c:y val="-4.00179032879357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CD-4989-8168-3D1F9D83D773}"/>
                </c:ext>
              </c:extLst>
            </c:dLbl>
            <c:spPr>
              <a:noFill/>
              <a:ln>
                <a:noFill/>
              </a:ln>
              <a:effectLst/>
            </c:spPr>
            <c:txPr>
              <a:bodyPr wrap="square" lIns="38100" tIns="19050" rIns="38100" bIns="19050" anchor="ctr">
                <a:spAutoFit/>
              </a:bodyPr>
              <a:lstStyle/>
              <a:p>
                <a:pPr>
                  <a:defRPr b="1" baseline="0">
                    <a:solidFill>
                      <a:schemeClr val="accent2">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(n=4,852)</c:v>
                </c:pt>
                <c:pt idx="1">
                  <c:v>FFY 2017 (n=3,459)</c:v>
                </c:pt>
                <c:pt idx="2">
                  <c:v>FFY 2018 (n=3,394)</c:v>
                </c:pt>
                <c:pt idx="3">
                  <c:v>FFY 2019 (n=3,396)</c:v>
                </c:pt>
              </c:strCache>
            </c:strRef>
          </c:cat>
          <c:val>
            <c:numRef>
              <c:f>Sheet1!$B$3:$E$3</c:f>
              <c:numCache>
                <c:formatCode>#,##0</c:formatCode>
                <c:ptCount val="4"/>
                <c:pt idx="0">
                  <c:v>1335</c:v>
                </c:pt>
                <c:pt idx="1">
                  <c:v>1289</c:v>
                </c:pt>
                <c:pt idx="2">
                  <c:v>1360</c:v>
                </c:pt>
                <c:pt idx="3">
                  <c:v>1464</c:v>
                </c:pt>
              </c:numCache>
            </c:numRef>
          </c:val>
          <c:smooth val="0"/>
          <c:extLst>
            <c:ext xmlns:c16="http://schemas.microsoft.com/office/drawing/2014/chart" uri="{C3380CC4-5D6E-409C-BE32-E72D297353CC}">
              <c16:uniqueId val="{00000005-FBCD-4989-8168-3D1F9D83D773}"/>
            </c:ext>
          </c:extLst>
        </c:ser>
        <c:ser>
          <c:idx val="2"/>
          <c:order val="2"/>
          <c:tx>
            <c:strRef>
              <c:f>Sheet1!$A$4</c:f>
              <c:strCache>
                <c:ptCount val="1"/>
                <c:pt idx="0">
                  <c:v>Achieved Employment Outcomes (Status 26)</c:v>
                </c:pt>
              </c:strCache>
            </c:strRef>
          </c:tx>
          <c:spPr>
            <a:ln w="22225">
              <a:solidFill>
                <a:schemeClr val="accent3"/>
              </a:solidFill>
            </a:ln>
          </c:spPr>
          <c:marker>
            <c:symbol val="triangle"/>
            <c:size val="5"/>
          </c:marker>
          <c:dLbls>
            <c:dLbl>
              <c:idx val="2"/>
              <c:layout>
                <c:manualLayout>
                  <c:x val="-5.8450122048133012E-2"/>
                  <c:y val="3.1283344483900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BCD-4989-8168-3D1F9D83D773}"/>
                </c:ext>
              </c:extLst>
            </c:dLbl>
            <c:dLbl>
              <c:idx val="3"/>
              <c:layout>
                <c:manualLayout>
                  <c:x val="-4.7528547529435616E-3"/>
                  <c:y val="1.93998031885942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BCD-4989-8168-3D1F9D83D773}"/>
                </c:ext>
              </c:extLst>
            </c:dLbl>
            <c:spPr>
              <a:noFill/>
              <a:ln>
                <a:noFill/>
              </a:ln>
              <a:effectLst/>
            </c:spPr>
            <c:txPr>
              <a:bodyPr wrap="square" lIns="38100" tIns="19050" rIns="38100" bIns="19050" anchor="ctr">
                <a:spAutoFit/>
              </a:bodyPr>
              <a:lstStyle/>
              <a:p>
                <a:pPr>
                  <a:defRPr b="1">
                    <a:solidFill>
                      <a:schemeClr val="bg2">
                        <a:lumMod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Sheet1!$B$1:$E$1</c:f>
              <c:strCache>
                <c:ptCount val="4"/>
                <c:pt idx="0">
                  <c:v>FFY 2016 (n=4,852)</c:v>
                </c:pt>
                <c:pt idx="1">
                  <c:v>FFY 2017 (n=3,459)</c:v>
                </c:pt>
                <c:pt idx="2">
                  <c:v>FFY 2018 (n=3,394)</c:v>
                </c:pt>
                <c:pt idx="3">
                  <c:v>FFY 2019 (n=3,396)</c:v>
                </c:pt>
              </c:strCache>
            </c:strRef>
          </c:cat>
          <c:val>
            <c:numRef>
              <c:f>Sheet1!$B$4:$E$4</c:f>
              <c:numCache>
                <c:formatCode>#,##0</c:formatCode>
                <c:ptCount val="4"/>
                <c:pt idx="0">
                  <c:v>1166</c:v>
                </c:pt>
                <c:pt idx="1">
                  <c:v>758</c:v>
                </c:pt>
                <c:pt idx="2">
                  <c:v>737</c:v>
                </c:pt>
                <c:pt idx="3">
                  <c:v>767</c:v>
                </c:pt>
              </c:numCache>
            </c:numRef>
          </c:val>
          <c:smooth val="0"/>
          <c:extLst>
            <c:ext xmlns:c16="http://schemas.microsoft.com/office/drawing/2014/chart" uri="{C3380CC4-5D6E-409C-BE32-E72D297353CC}">
              <c16:uniqueId val="{0000000A-FBCD-4989-8168-3D1F9D83D773}"/>
            </c:ext>
          </c:extLst>
        </c:ser>
        <c:ser>
          <c:idx val="3"/>
          <c:order val="3"/>
          <c:tx>
            <c:strRef>
              <c:f>Sheet1!$A$5</c:f>
              <c:strCache>
                <c:ptCount val="1"/>
                <c:pt idx="0">
                  <c:v>As Applicant (Status 02-08)</c:v>
                </c:pt>
              </c:strCache>
            </c:strRef>
          </c:tx>
          <c:spPr>
            <a:ln w="22225">
              <a:solidFill>
                <a:srgbClr val="0070C0"/>
              </a:solidFill>
            </a:ln>
          </c:spPr>
          <c:marker>
            <c:symbol val="x"/>
            <c:size val="5"/>
            <c:spPr>
              <a:ln w="22225">
                <a:solidFill>
                  <a:srgbClr val="0070C0"/>
                </a:solidFill>
              </a:ln>
            </c:spPr>
          </c:marker>
          <c:dLbls>
            <c:spPr>
              <a:noFill/>
              <a:ln>
                <a:noFill/>
              </a:ln>
              <a:effectLst/>
            </c:spPr>
            <c:txPr>
              <a:bodyPr wrap="square" lIns="38100" tIns="19050" rIns="38100" bIns="19050" anchor="ctr">
                <a:spAutoFit/>
              </a:bodyPr>
              <a:lstStyle/>
              <a:p>
                <a:pPr>
                  <a:defRPr baseline="0">
                    <a:solidFill>
                      <a:srgbClr val="0070C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Sheet1!$B$1:$E$1</c:f>
              <c:strCache>
                <c:ptCount val="4"/>
                <c:pt idx="0">
                  <c:v>FFY 2016 (n=4,852)</c:v>
                </c:pt>
                <c:pt idx="1">
                  <c:v>FFY 2017 (n=3,459)</c:v>
                </c:pt>
                <c:pt idx="2">
                  <c:v>FFY 2018 (n=3,394)</c:v>
                </c:pt>
                <c:pt idx="3">
                  <c:v>FFY 2019 (n=3,396)</c:v>
                </c:pt>
              </c:strCache>
            </c:strRef>
          </c:cat>
          <c:val>
            <c:numRef>
              <c:f>Sheet1!$B$5:$E$5</c:f>
              <c:numCache>
                <c:formatCode>#,##0</c:formatCode>
                <c:ptCount val="4"/>
                <c:pt idx="0">
                  <c:v>782</c:v>
                </c:pt>
                <c:pt idx="1">
                  <c:v>583</c:v>
                </c:pt>
                <c:pt idx="2">
                  <c:v>553</c:v>
                </c:pt>
                <c:pt idx="3">
                  <c:v>586</c:v>
                </c:pt>
              </c:numCache>
            </c:numRef>
          </c:val>
          <c:smooth val="0"/>
          <c:extLst>
            <c:ext xmlns:c16="http://schemas.microsoft.com/office/drawing/2014/chart" uri="{C3380CC4-5D6E-409C-BE32-E72D297353CC}">
              <c16:uniqueId val="{0000000B-FBCD-4989-8168-3D1F9D83D773}"/>
            </c:ext>
          </c:extLst>
        </c:ser>
        <c:ser>
          <c:idx val="4"/>
          <c:order val="4"/>
          <c:tx>
            <c:strRef>
              <c:f>Sheet1!$A$6</c:f>
              <c:strCache>
                <c:ptCount val="1"/>
                <c:pt idx="0">
                  <c:v>From Trial Work/Extended Evaluation (Status 06-08)</c:v>
                </c:pt>
              </c:strCache>
            </c:strRef>
          </c:tx>
          <c:spPr>
            <a:ln w="22225" cmpd="sng">
              <a:solidFill>
                <a:srgbClr val="FF0000"/>
              </a:solidFill>
              <a:prstDash val="solid"/>
            </a:ln>
          </c:spPr>
          <c:marker>
            <c:symbol val="star"/>
            <c:size val="7"/>
            <c:spPr>
              <a:ln>
                <a:solidFill>
                  <a:srgbClr val="FF0000"/>
                </a:solidFill>
              </a:ln>
            </c:spPr>
          </c:marker>
          <c:dLbls>
            <c:spPr>
              <a:noFill/>
              <a:ln>
                <a:noFill/>
              </a:ln>
              <a:effectLst/>
            </c:spPr>
            <c:txPr>
              <a:bodyPr/>
              <a:lstStyle/>
              <a:p>
                <a:pPr>
                  <a:defRPr>
                    <a:solidFill>
                      <a:srgbClr val="FF000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(n=4,852)</c:v>
                </c:pt>
                <c:pt idx="1">
                  <c:v>FFY 2017 (n=3,459)</c:v>
                </c:pt>
                <c:pt idx="2">
                  <c:v>FFY 2018 (n=3,394)</c:v>
                </c:pt>
                <c:pt idx="3">
                  <c:v>FFY 2019 (n=3,396)</c:v>
                </c:pt>
              </c:strCache>
            </c:strRef>
          </c:cat>
          <c:val>
            <c:numRef>
              <c:f>Sheet1!$B$6:$E$6</c:f>
              <c:numCache>
                <c:formatCode>#,##0</c:formatCode>
                <c:ptCount val="4"/>
                <c:pt idx="0">
                  <c:v>10</c:v>
                </c:pt>
                <c:pt idx="1">
                  <c:v>4</c:v>
                </c:pt>
                <c:pt idx="2">
                  <c:v>0</c:v>
                </c:pt>
                <c:pt idx="3">
                  <c:v>0</c:v>
                </c:pt>
              </c:numCache>
            </c:numRef>
          </c:val>
          <c:smooth val="0"/>
          <c:extLst>
            <c:ext xmlns:c16="http://schemas.microsoft.com/office/drawing/2014/chart" uri="{C3380CC4-5D6E-409C-BE32-E72D297353CC}">
              <c16:uniqueId val="{0000000C-FBCD-4989-8168-3D1F9D83D773}"/>
            </c:ext>
          </c:extLst>
        </c:ser>
        <c:ser>
          <c:idx val="5"/>
          <c:order val="5"/>
          <c:tx>
            <c:strRef>
              <c:f>Sheet1!$A$7</c:f>
              <c:strCache>
                <c:ptCount val="1"/>
                <c:pt idx="0">
                  <c:v>Before Services Initiated (Status 12-30)</c:v>
                </c:pt>
              </c:strCache>
            </c:strRef>
          </c:tx>
          <c:spPr>
            <a:ln w="34925">
              <a:solidFill>
                <a:schemeClr val="tx1"/>
              </a:solidFill>
              <a:prstDash val="sysDot"/>
            </a:ln>
          </c:spPr>
          <c:marker>
            <c:symbol val="diamond"/>
            <c:size val="7"/>
            <c:spPr>
              <a:solidFill>
                <a:schemeClr val="tx1"/>
              </a:solidFill>
            </c:spPr>
          </c:marker>
          <c:cat>
            <c:strRef>
              <c:f>Sheet1!$B$1:$E$1</c:f>
              <c:strCache>
                <c:ptCount val="4"/>
                <c:pt idx="0">
                  <c:v>FFY 2016 (n=4,852)</c:v>
                </c:pt>
                <c:pt idx="1">
                  <c:v>FFY 2017 (n=3,459)</c:v>
                </c:pt>
                <c:pt idx="2">
                  <c:v>FFY 2018 (n=3,394)</c:v>
                </c:pt>
                <c:pt idx="3">
                  <c:v>FFY 2019 (n=3,396)</c:v>
                </c:pt>
              </c:strCache>
            </c:strRef>
          </c:cat>
          <c:val>
            <c:numRef>
              <c:f>Sheet1!$B$7:$E$7</c:f>
              <c:numCache>
                <c:formatCode>#,##0</c:formatCode>
                <c:ptCount val="4"/>
                <c:pt idx="0">
                  <c:v>1</c:v>
                </c:pt>
                <c:pt idx="1">
                  <c:v>3</c:v>
                </c:pt>
                <c:pt idx="2">
                  <c:v>5</c:v>
                </c:pt>
                <c:pt idx="3">
                  <c:v>8</c:v>
                </c:pt>
              </c:numCache>
            </c:numRef>
          </c:val>
          <c:smooth val="0"/>
          <c:extLst>
            <c:ext xmlns:c16="http://schemas.microsoft.com/office/drawing/2014/chart" uri="{C3380CC4-5D6E-409C-BE32-E72D297353CC}">
              <c16:uniqueId val="{00000010-FBCD-4989-8168-3D1F9D83D773}"/>
            </c:ext>
          </c:extLst>
        </c:ser>
        <c:ser>
          <c:idx val="6"/>
          <c:order val="6"/>
          <c:tx>
            <c:strRef>
              <c:f>Sheet1!$A$8</c:f>
              <c:strCache>
                <c:ptCount val="1"/>
                <c:pt idx="0">
                  <c:v>From OOS Waiting List (Status 38)</c:v>
                </c:pt>
              </c:strCache>
            </c:strRef>
          </c:tx>
          <c:spPr>
            <a:ln w="22225" cmpd="sng">
              <a:solidFill>
                <a:srgbClr val="7030A0"/>
              </a:solidFill>
              <a:prstDash val="solid"/>
            </a:ln>
          </c:spPr>
          <c:marker>
            <c:symbol val="plus"/>
            <c:size val="8"/>
            <c:spPr>
              <a:noFill/>
              <a:ln w="15875">
                <a:solidFill>
                  <a:srgbClr val="7030A0"/>
                </a:solidFill>
              </a:ln>
            </c:spPr>
          </c:marker>
          <c:cat>
            <c:strRef>
              <c:f>Sheet1!$B$1:$E$1</c:f>
              <c:strCache>
                <c:ptCount val="4"/>
                <c:pt idx="0">
                  <c:v>FFY 2016 (n=4,852)</c:v>
                </c:pt>
                <c:pt idx="1">
                  <c:v>FFY 2017 (n=3,459)</c:v>
                </c:pt>
                <c:pt idx="2">
                  <c:v>FFY 2018 (n=3,394)</c:v>
                </c:pt>
                <c:pt idx="3">
                  <c:v>FFY 2019 (n=3,396)</c:v>
                </c:pt>
              </c:strCache>
            </c:strRef>
          </c:cat>
          <c:val>
            <c:numRef>
              <c:f>Sheet1!$B$8:$E$8</c:f>
              <c:numCache>
                <c:formatCode>#,##0</c:formatCode>
                <c:ptCount val="4"/>
                <c:pt idx="0">
                  <c:v>0</c:v>
                </c:pt>
                <c:pt idx="1">
                  <c:v>0</c:v>
                </c:pt>
                <c:pt idx="2">
                  <c:v>13</c:v>
                </c:pt>
                <c:pt idx="3">
                  <c:v>15</c:v>
                </c:pt>
              </c:numCache>
            </c:numRef>
          </c:val>
          <c:smooth val="0"/>
          <c:extLst>
            <c:ext xmlns:c16="http://schemas.microsoft.com/office/drawing/2014/chart" uri="{C3380CC4-5D6E-409C-BE32-E72D297353CC}">
              <c16:uniqueId val="{00000015-FBCD-4989-8168-3D1F9D83D773}"/>
            </c:ext>
          </c:extLst>
        </c:ser>
        <c:dLbls>
          <c:showLegendKey val="0"/>
          <c:showVal val="0"/>
          <c:showCatName val="0"/>
          <c:showSerName val="0"/>
          <c:showPercent val="0"/>
          <c:showBubbleSize val="0"/>
        </c:dLbls>
        <c:marker val="1"/>
        <c:smooth val="0"/>
        <c:axId val="42685184"/>
        <c:axId val="42686720"/>
      </c:lineChart>
      <c:catAx>
        <c:axId val="42685184"/>
        <c:scaling>
          <c:orientation val="minMax"/>
        </c:scaling>
        <c:delete val="0"/>
        <c:axPos val="b"/>
        <c:numFmt formatCode="General" sourceLinked="0"/>
        <c:majorTickMark val="out"/>
        <c:minorTickMark val="none"/>
        <c:tickLblPos val="nextTo"/>
        <c:crossAx val="42686720"/>
        <c:crosses val="autoZero"/>
        <c:auto val="1"/>
        <c:lblAlgn val="ctr"/>
        <c:lblOffset val="100"/>
        <c:noMultiLvlLbl val="0"/>
      </c:catAx>
      <c:valAx>
        <c:axId val="42686720"/>
        <c:scaling>
          <c:orientation val="minMax"/>
          <c:max val="1800"/>
        </c:scaling>
        <c:delete val="0"/>
        <c:axPos val="l"/>
        <c:majorGridlines>
          <c:spPr>
            <a:ln>
              <a:noFill/>
            </a:ln>
          </c:spPr>
        </c:majorGridlines>
        <c:title>
          <c:tx>
            <c:rich>
              <a:bodyPr/>
              <a:lstStyle/>
              <a:p>
                <a:pPr>
                  <a:defRPr/>
                </a:pPr>
                <a:r>
                  <a:rPr lang="en-US"/>
                  <a:t>Number of Closures</a:t>
                </a:r>
              </a:p>
            </c:rich>
          </c:tx>
          <c:layout>
            <c:manualLayout>
              <c:xMode val="edge"/>
              <c:yMode val="edge"/>
              <c:x val="1.1574074074074073E-2"/>
              <c:y val="0.27715441819772529"/>
            </c:manualLayout>
          </c:layout>
          <c:overlay val="0"/>
        </c:title>
        <c:numFmt formatCode="#,##0" sourceLinked="1"/>
        <c:majorTickMark val="out"/>
        <c:minorTickMark val="none"/>
        <c:tickLblPos val="nextTo"/>
        <c:crossAx val="42685184"/>
        <c:crosses val="autoZero"/>
        <c:crossBetween val="between"/>
        <c:majorUnit val="200"/>
      </c:valAx>
      <c:spPr>
        <a:ln>
          <a:noFill/>
        </a:ln>
      </c:spPr>
    </c:plotArea>
    <c:legend>
      <c:legendPos val="r"/>
      <c:layout>
        <c:manualLayout>
          <c:xMode val="edge"/>
          <c:yMode val="edge"/>
          <c:x val="0.65972222222222221"/>
          <c:y val="2.1506374203224599E-2"/>
          <c:w val="0.32447291740372597"/>
          <c:h val="0.83793963254593173"/>
        </c:manualLayout>
      </c:layout>
      <c:overlay val="0"/>
      <c:spPr>
        <a:solidFill>
          <a:schemeClr val="bg1">
            <a:lumMod val="95000"/>
          </a:schemeClr>
        </a:solidFill>
        <a:ln>
          <a:solidFill>
            <a:schemeClr val="bg1">
              <a:lumMod val="50000"/>
            </a:schemeClr>
          </a:solidFill>
        </a:ln>
      </c:spPr>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611311606882474"/>
          <c:y val="0.2054299462567179"/>
          <c:w val="0.82842392096821227"/>
          <c:h val="0.6951587301587302"/>
        </c:manualLayout>
      </c:layout>
      <c:barChart>
        <c:barDir val="col"/>
        <c:grouping val="stacked"/>
        <c:varyColors val="0"/>
        <c:ser>
          <c:idx val="0"/>
          <c:order val="0"/>
          <c:tx>
            <c:strRef>
              <c:f>Sheet1!$A$2</c:f>
              <c:strCache>
                <c:ptCount val="1"/>
                <c:pt idx="0">
                  <c:v>Application to Eligibility (Status 02-04)</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Sheet1!$B$2:$E$2</c:f>
              <c:numCache>
                <c:formatCode>0</c:formatCode>
                <c:ptCount val="4"/>
                <c:pt idx="0">
                  <c:v>1</c:v>
                </c:pt>
                <c:pt idx="1">
                  <c:v>2</c:v>
                </c:pt>
                <c:pt idx="2">
                  <c:v>1</c:v>
                </c:pt>
                <c:pt idx="3">
                  <c:v>1</c:v>
                </c:pt>
              </c:numCache>
            </c:numRef>
          </c:val>
          <c:extLst>
            <c:ext xmlns:c16="http://schemas.microsoft.com/office/drawing/2014/chart" uri="{C3380CC4-5D6E-409C-BE32-E72D297353CC}">
              <c16:uniqueId val="{00000000-715D-4528-BB23-07F625B79D99}"/>
            </c:ext>
          </c:extLst>
        </c:ser>
        <c:ser>
          <c:idx val="1"/>
          <c:order val="1"/>
          <c:tx>
            <c:strRef>
              <c:f>Sheet1!$A$3</c:f>
              <c:strCache>
                <c:ptCount val="1"/>
                <c:pt idx="0">
                  <c:v>Eligibility to IPE (Status 04-12)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Sheet1!$B$3:$E$3</c:f>
              <c:numCache>
                <c:formatCode>0</c:formatCode>
                <c:ptCount val="4"/>
                <c:pt idx="0">
                  <c:v>4</c:v>
                </c:pt>
                <c:pt idx="1">
                  <c:v>4</c:v>
                </c:pt>
                <c:pt idx="2">
                  <c:v>3</c:v>
                </c:pt>
                <c:pt idx="3">
                  <c:v>2</c:v>
                </c:pt>
              </c:numCache>
            </c:numRef>
          </c:val>
          <c:extLst>
            <c:ext xmlns:c16="http://schemas.microsoft.com/office/drawing/2014/chart" uri="{C3380CC4-5D6E-409C-BE32-E72D297353CC}">
              <c16:uniqueId val="{00000001-715D-4528-BB23-07F625B79D99}"/>
            </c:ext>
          </c:extLst>
        </c:ser>
        <c:ser>
          <c:idx val="2"/>
          <c:order val="2"/>
          <c:tx>
            <c:strRef>
              <c:f>Sheet1!$A$4</c:f>
              <c:strCache>
                <c:ptCount val="1"/>
                <c:pt idx="0">
                  <c:v>IPE to Closure (Status 12-26)</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Sheet1!$B$4:$E$4</c:f>
              <c:numCache>
                <c:formatCode>0</c:formatCode>
                <c:ptCount val="4"/>
                <c:pt idx="0">
                  <c:v>15</c:v>
                </c:pt>
                <c:pt idx="1">
                  <c:v>17</c:v>
                </c:pt>
                <c:pt idx="2">
                  <c:v>17</c:v>
                </c:pt>
                <c:pt idx="3">
                  <c:v>19</c:v>
                </c:pt>
              </c:numCache>
            </c:numRef>
          </c:val>
          <c:extLst>
            <c:ext xmlns:c16="http://schemas.microsoft.com/office/drawing/2014/chart" uri="{C3380CC4-5D6E-409C-BE32-E72D297353CC}">
              <c16:uniqueId val="{00000002-715D-4528-BB23-07F625B79D99}"/>
            </c:ext>
          </c:extLst>
        </c:ser>
        <c:ser>
          <c:idx val="3"/>
          <c:order val="3"/>
          <c:tx>
            <c:strRef>
              <c:f>Sheet1!$A$5</c:f>
              <c:strCache>
                <c:ptCount val="1"/>
                <c:pt idx="0">
                  <c:v>Total</c:v>
                </c:pt>
              </c:strCache>
            </c:strRef>
          </c:tx>
          <c:spPr>
            <a:noFill/>
            <a:ln>
              <a:noFill/>
            </a:ln>
            <a:effectLst/>
          </c:spPr>
          <c:invertIfNegative val="0"/>
          <c:dLbls>
            <c:spPr>
              <a:noFill/>
              <a:ln>
                <a:noFill/>
              </a:ln>
              <a:effectLst/>
            </c:spPr>
            <c:txPr>
              <a:bodyPr wrap="square" lIns="38100" tIns="19050" rIns="38100" bIns="19050" anchor="ctr">
                <a:spAutoFit/>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Sheet1!$B$1:$E$1</c:f>
              <c:strCache>
                <c:ptCount val="4"/>
                <c:pt idx="0">
                  <c:v>FFY 2016</c:v>
                </c:pt>
                <c:pt idx="1">
                  <c:v>FFY 2017</c:v>
                </c:pt>
                <c:pt idx="2">
                  <c:v>FFY 2018</c:v>
                </c:pt>
                <c:pt idx="3">
                  <c:v>FFY 2019</c:v>
                </c:pt>
              </c:strCache>
            </c:strRef>
          </c:cat>
          <c:val>
            <c:numRef>
              <c:f>Sheet1!$B$5:$E$5</c:f>
              <c:numCache>
                <c:formatCode>0</c:formatCode>
                <c:ptCount val="4"/>
                <c:pt idx="0">
                  <c:v>22</c:v>
                </c:pt>
                <c:pt idx="1">
                  <c:v>23</c:v>
                </c:pt>
                <c:pt idx="2">
                  <c:v>23</c:v>
                </c:pt>
                <c:pt idx="3">
                  <c:v>23</c:v>
                </c:pt>
              </c:numCache>
            </c:numRef>
          </c:val>
          <c:extLst>
            <c:ext xmlns:c16="http://schemas.microsoft.com/office/drawing/2014/chart" uri="{C3380CC4-5D6E-409C-BE32-E72D297353CC}">
              <c16:uniqueId val="{00000005-715D-4528-BB23-07F625B79D99}"/>
            </c:ext>
          </c:extLst>
        </c:ser>
        <c:dLbls>
          <c:showLegendKey val="0"/>
          <c:showVal val="0"/>
          <c:showCatName val="0"/>
          <c:showSerName val="0"/>
          <c:showPercent val="0"/>
          <c:showBubbleSize val="0"/>
        </c:dLbls>
        <c:gapWidth val="150"/>
        <c:overlap val="100"/>
        <c:axId val="42727296"/>
        <c:axId val="42728832"/>
      </c:barChart>
      <c:catAx>
        <c:axId val="42727296"/>
        <c:scaling>
          <c:orientation val="minMax"/>
        </c:scaling>
        <c:delete val="0"/>
        <c:axPos val="b"/>
        <c:numFmt formatCode="General" sourceLinked="0"/>
        <c:majorTickMark val="out"/>
        <c:minorTickMark val="none"/>
        <c:tickLblPos val="nextTo"/>
        <c:crossAx val="42728832"/>
        <c:crosses val="autoZero"/>
        <c:auto val="1"/>
        <c:lblAlgn val="ctr"/>
        <c:lblOffset val="100"/>
        <c:noMultiLvlLbl val="0"/>
      </c:catAx>
      <c:valAx>
        <c:axId val="42728832"/>
        <c:scaling>
          <c:orientation val="minMax"/>
          <c:max val="36"/>
        </c:scaling>
        <c:delete val="0"/>
        <c:axPos val="l"/>
        <c:title>
          <c:tx>
            <c:rich>
              <a:bodyPr rot="-5400000" vert="horz"/>
              <a:lstStyle/>
              <a:p>
                <a:pPr>
                  <a:defRPr/>
                </a:pPr>
                <a:r>
                  <a:rPr lang="en-US"/>
                  <a:t>Average Number of Months</a:t>
                </a:r>
              </a:p>
            </c:rich>
          </c:tx>
          <c:layout>
            <c:manualLayout>
              <c:xMode val="edge"/>
              <c:yMode val="edge"/>
              <c:x val="1.8518518518518517E-2"/>
              <c:y val="0.31144169478815148"/>
            </c:manualLayout>
          </c:layout>
          <c:overlay val="0"/>
        </c:title>
        <c:numFmt formatCode="0" sourceLinked="0"/>
        <c:majorTickMark val="out"/>
        <c:minorTickMark val="none"/>
        <c:tickLblPos val="nextTo"/>
        <c:crossAx val="42727296"/>
        <c:crosses val="autoZero"/>
        <c:crossBetween val="between"/>
        <c:majorUnit val="6"/>
        <c:minorUnit val="0.4"/>
      </c:valAx>
      <c:spPr>
        <a:ln>
          <a:noFill/>
        </a:ln>
      </c:spPr>
    </c:plotArea>
    <c:legend>
      <c:legendPos val="t"/>
      <c:legendEntry>
        <c:idx val="3"/>
        <c:delete val="1"/>
      </c:legendEntry>
      <c:layout>
        <c:manualLayout>
          <c:xMode val="edge"/>
          <c:yMode val="edge"/>
          <c:x val="0.18317056722076408"/>
          <c:y val="1.5873015873015872E-2"/>
          <c:w val="0.65217738407699033"/>
          <c:h val="0.16930883639545058"/>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Sheet1!$A$2</c:f>
              <c:strCache>
                <c:ptCount val="1"/>
                <c:pt idx="0">
                  <c:v>Received IPE Services</c:v>
                </c:pt>
              </c:strCache>
            </c:strRef>
          </c:tx>
          <c:spPr>
            <a:ln w="12700">
              <a:solidFill>
                <a:schemeClr val="accent1"/>
              </a:solidFill>
              <a:prstDash val="dash"/>
            </a:ln>
          </c:spPr>
          <c:marker>
            <c:symbol val="square"/>
            <c:size val="5"/>
          </c:marker>
          <c:dPt>
            <c:idx val="1"/>
            <c:bubble3D val="0"/>
            <c:spPr>
              <a:ln w="12700">
                <a:solidFill>
                  <a:schemeClr val="accent1"/>
                </a:solidFill>
                <a:prstDash val="lgDash"/>
              </a:ln>
            </c:spPr>
            <c:extLst>
              <c:ext xmlns:c16="http://schemas.microsoft.com/office/drawing/2014/chart" uri="{C3380CC4-5D6E-409C-BE32-E72D297353CC}">
                <c16:uniqueId val="{00000001-3DAE-444E-AB9F-87169A6709B2}"/>
              </c:ext>
            </c:extLst>
          </c:dPt>
          <c:dPt>
            <c:idx val="2"/>
            <c:bubble3D val="0"/>
            <c:spPr>
              <a:ln w="12700">
                <a:solidFill>
                  <a:schemeClr val="accent1"/>
                </a:solidFill>
                <a:prstDash val="lgDash"/>
              </a:ln>
            </c:spPr>
            <c:extLst>
              <c:ext xmlns:c16="http://schemas.microsoft.com/office/drawing/2014/chart" uri="{C3380CC4-5D6E-409C-BE32-E72D297353CC}">
                <c16:uniqueId val="{00000003-3DAE-444E-AB9F-87169A6709B2}"/>
              </c:ext>
            </c:extLst>
          </c:dPt>
          <c:dPt>
            <c:idx val="3"/>
            <c:bubble3D val="0"/>
            <c:spPr>
              <a:ln w="12700">
                <a:solidFill>
                  <a:schemeClr val="accent1"/>
                </a:solidFill>
                <a:prstDash val="lgDash"/>
              </a:ln>
            </c:spPr>
            <c:extLst>
              <c:ext xmlns:c16="http://schemas.microsoft.com/office/drawing/2014/chart" uri="{C3380CC4-5D6E-409C-BE32-E72D297353CC}">
                <c16:uniqueId val="{00000005-3DAE-444E-AB9F-87169A6709B2}"/>
              </c:ext>
            </c:extLst>
          </c:dPt>
          <c:dLbls>
            <c:dLbl>
              <c:idx val="1"/>
              <c:layout>
                <c:manualLayout>
                  <c:x val="-5.6445916114790287E-2"/>
                  <c:y val="3.56142982127234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AE-444E-AB9F-87169A6709B2}"/>
                </c:ext>
              </c:extLst>
            </c:dLbl>
            <c:dLbl>
              <c:idx val="2"/>
              <c:layout>
                <c:manualLayout>
                  <c:x val="-2.9955849889624724E-2"/>
                  <c:y val="-2.81846019247594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AE-444E-AB9F-87169A6709B2}"/>
                </c:ext>
              </c:extLst>
            </c:dLbl>
            <c:dLbl>
              <c:idx val="3"/>
              <c:layout>
                <c:manualLayout>
                  <c:x val="-5.6732891832229583E-3"/>
                  <c:y val="-4.068241469816273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AE-444E-AB9F-87169A6709B2}"/>
                </c:ext>
              </c:extLst>
            </c:dLbl>
            <c:spPr>
              <a:noFill/>
              <a:ln>
                <a:noFill/>
              </a:ln>
              <a:effectLst/>
            </c:spPr>
            <c:txPr>
              <a:bodyPr/>
              <a:lstStyle/>
              <a:p>
                <a:pPr>
                  <a:defRPr b="1">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Sheet1!$B$2:$E$2</c:f>
              <c:numCache>
                <c:formatCode>#,##0</c:formatCode>
                <c:ptCount val="4"/>
                <c:pt idx="0">
                  <c:v>18</c:v>
                </c:pt>
                <c:pt idx="1">
                  <c:v>17</c:v>
                </c:pt>
                <c:pt idx="2">
                  <c:v>18</c:v>
                </c:pt>
                <c:pt idx="3">
                  <c:v>19</c:v>
                </c:pt>
              </c:numCache>
            </c:numRef>
          </c:val>
          <c:smooth val="0"/>
          <c:extLst>
            <c:ext xmlns:c16="http://schemas.microsoft.com/office/drawing/2014/chart" uri="{C3380CC4-5D6E-409C-BE32-E72D297353CC}">
              <c16:uniqueId val="{00000006-3DAE-444E-AB9F-87169A6709B2}"/>
            </c:ext>
          </c:extLst>
        </c:ser>
        <c:ser>
          <c:idx val="1"/>
          <c:order val="1"/>
          <c:tx>
            <c:strRef>
              <c:f>Sheet1!$A$3</c:f>
              <c:strCache>
                <c:ptCount val="1"/>
                <c:pt idx="0">
                  <c:v>Successful Closure</c:v>
                </c:pt>
              </c:strCache>
            </c:strRef>
          </c:tx>
          <c:spPr>
            <a:ln w="22225">
              <a:solidFill>
                <a:schemeClr val="accent2"/>
              </a:solidFill>
            </a:ln>
          </c:spPr>
          <c:marker>
            <c:symbol val="star"/>
            <c:size val="5"/>
          </c:marker>
          <c:dLbls>
            <c:spPr>
              <a:noFill/>
              <a:ln>
                <a:noFill/>
              </a:ln>
              <a:effectLst/>
            </c:spPr>
            <c:txPr>
              <a:bodyPr/>
              <a:lstStyle/>
              <a:p>
                <a:pPr>
                  <a:defRPr b="1">
                    <a:solidFill>
                      <a:schemeClr val="accent2">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Sheet1!$B$3:$E$3</c:f>
              <c:numCache>
                <c:formatCode>#,##0</c:formatCode>
                <c:ptCount val="4"/>
                <c:pt idx="0">
                  <c:v>22</c:v>
                </c:pt>
                <c:pt idx="1">
                  <c:v>23</c:v>
                </c:pt>
                <c:pt idx="2">
                  <c:v>23</c:v>
                </c:pt>
                <c:pt idx="3">
                  <c:v>23</c:v>
                </c:pt>
              </c:numCache>
            </c:numRef>
          </c:val>
          <c:smooth val="0"/>
          <c:extLst>
            <c:ext xmlns:c16="http://schemas.microsoft.com/office/drawing/2014/chart" uri="{C3380CC4-5D6E-409C-BE32-E72D297353CC}">
              <c16:uniqueId val="{00000007-3DAE-444E-AB9F-87169A6709B2}"/>
            </c:ext>
          </c:extLst>
        </c:ser>
        <c:ser>
          <c:idx val="2"/>
          <c:order val="2"/>
          <c:tx>
            <c:strRef>
              <c:f>Sheet1!$A$4</c:f>
              <c:strCache>
                <c:ptCount val="1"/>
                <c:pt idx="0">
                  <c:v>Closed Before IPE Developed</c:v>
                </c:pt>
              </c:strCache>
            </c:strRef>
          </c:tx>
          <c:spPr>
            <a:ln w="22225">
              <a:solidFill>
                <a:schemeClr val="accent4"/>
              </a:solidFill>
            </a:ln>
          </c:spPr>
          <c:marker>
            <c:symbol val="triangle"/>
            <c:size val="6"/>
          </c:marker>
          <c:dLbls>
            <c:spPr>
              <a:noFill/>
              <a:ln>
                <a:noFill/>
              </a:ln>
              <a:effectLst/>
            </c:spPr>
            <c:txPr>
              <a:bodyPr/>
              <a:lstStyle/>
              <a:p>
                <a:pPr>
                  <a:defRPr b="1">
                    <a:solidFill>
                      <a:schemeClr val="accent4"/>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Sheet1!$B$4:$E$4</c:f>
              <c:numCache>
                <c:formatCode>#,##0</c:formatCode>
                <c:ptCount val="4"/>
                <c:pt idx="0">
                  <c:v>13</c:v>
                </c:pt>
                <c:pt idx="1">
                  <c:v>8</c:v>
                </c:pt>
                <c:pt idx="2">
                  <c:v>7</c:v>
                </c:pt>
                <c:pt idx="3">
                  <c:v>6</c:v>
                </c:pt>
              </c:numCache>
            </c:numRef>
          </c:val>
          <c:smooth val="0"/>
          <c:extLst>
            <c:ext xmlns:c16="http://schemas.microsoft.com/office/drawing/2014/chart" uri="{C3380CC4-5D6E-409C-BE32-E72D297353CC}">
              <c16:uniqueId val="{00000008-3DAE-444E-AB9F-87169A6709B2}"/>
            </c:ext>
          </c:extLst>
        </c:ser>
        <c:dLbls>
          <c:showLegendKey val="0"/>
          <c:showVal val="0"/>
          <c:showCatName val="0"/>
          <c:showSerName val="0"/>
          <c:showPercent val="0"/>
          <c:showBubbleSize val="0"/>
        </c:dLbls>
        <c:marker val="1"/>
        <c:smooth val="0"/>
        <c:axId val="42885504"/>
        <c:axId val="42887040"/>
      </c:lineChart>
      <c:catAx>
        <c:axId val="42885504"/>
        <c:scaling>
          <c:orientation val="minMax"/>
        </c:scaling>
        <c:delete val="0"/>
        <c:axPos val="b"/>
        <c:numFmt formatCode="General" sourceLinked="0"/>
        <c:majorTickMark val="none"/>
        <c:minorTickMark val="none"/>
        <c:tickLblPos val="nextTo"/>
        <c:crossAx val="42887040"/>
        <c:crosses val="autoZero"/>
        <c:auto val="1"/>
        <c:lblAlgn val="ctr"/>
        <c:lblOffset val="100"/>
        <c:noMultiLvlLbl val="0"/>
      </c:catAx>
      <c:valAx>
        <c:axId val="42887040"/>
        <c:scaling>
          <c:orientation val="minMax"/>
          <c:max val="55"/>
          <c:min val="0"/>
        </c:scaling>
        <c:delete val="0"/>
        <c:axPos val="l"/>
        <c:title>
          <c:tx>
            <c:rich>
              <a:bodyPr/>
              <a:lstStyle/>
              <a:p>
                <a:pPr>
                  <a:defRPr/>
                </a:pPr>
                <a:r>
                  <a:rPr lang="en-US"/>
                  <a:t>Average</a:t>
                </a:r>
                <a:r>
                  <a:rPr lang="en-US" baseline="0"/>
                  <a:t> Number of Months</a:t>
                </a:r>
              </a:p>
              <a:p>
                <a:pPr>
                  <a:defRPr/>
                </a:pPr>
                <a:r>
                  <a:rPr lang="en-US" baseline="0"/>
                  <a:t>from Application to Closure</a:t>
                </a:r>
                <a:endParaRPr lang="en-US"/>
              </a:p>
            </c:rich>
          </c:tx>
          <c:layout>
            <c:manualLayout>
              <c:xMode val="edge"/>
              <c:yMode val="edge"/>
              <c:x val="3.5320088300220751E-2"/>
              <c:y val="0.19490938632670915"/>
            </c:manualLayout>
          </c:layout>
          <c:overlay val="0"/>
        </c:title>
        <c:numFmt formatCode="#,##0" sourceLinked="1"/>
        <c:majorTickMark val="out"/>
        <c:minorTickMark val="none"/>
        <c:tickLblPos val="nextTo"/>
        <c:crossAx val="42885504"/>
        <c:crosses val="autoZero"/>
        <c:crossBetween val="between"/>
        <c:majorUnit val="5"/>
        <c:minorUnit val="5"/>
      </c:valAx>
      <c:dTable>
        <c:showHorzBorder val="1"/>
        <c:showVertBorder val="1"/>
        <c:showOutline val="1"/>
        <c:showKeys val="1"/>
      </c:dTable>
      <c:spPr>
        <a:ln>
          <a:solidFill>
            <a:schemeClr val="bg1">
              <a:lumMod val="50000"/>
            </a:schemeClr>
          </a:solid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77376786235054E-2"/>
          <c:y val="4.4057617797775277E-2"/>
          <c:w val="0.84459299358413531"/>
          <c:h val="0.85653105861767276"/>
        </c:manualLayout>
      </c:layout>
      <c:lineChart>
        <c:grouping val="standard"/>
        <c:varyColors val="0"/>
        <c:ser>
          <c:idx val="0"/>
          <c:order val="0"/>
          <c:tx>
            <c:strRef>
              <c:f>Sheet1!$A$2</c:f>
              <c:strCache>
                <c:ptCount val="1"/>
                <c:pt idx="0">
                  <c:v>Hearing Loss</c:v>
                </c:pt>
              </c:strCache>
            </c:strRef>
          </c:tx>
          <c:marker>
            <c:symbol val="square"/>
            <c:size val="7"/>
          </c:marker>
          <c:dLbls>
            <c:dLbl>
              <c:idx val="0"/>
              <c:delete val="1"/>
              <c:extLst>
                <c:ext xmlns:c15="http://schemas.microsoft.com/office/drawing/2012/chart" uri="{CE6537A1-D6FC-4f65-9D91-7224C49458BB}"/>
                <c:ext xmlns:c16="http://schemas.microsoft.com/office/drawing/2014/chart" uri="{C3380CC4-5D6E-409C-BE32-E72D297353CC}">
                  <c16:uniqueId val="{00000000-9A8E-4CC7-B662-109582C40E83}"/>
                </c:ext>
              </c:extLst>
            </c:dLbl>
            <c:dLbl>
              <c:idx val="1"/>
              <c:delete val="1"/>
              <c:extLst>
                <c:ext xmlns:c15="http://schemas.microsoft.com/office/drawing/2012/chart" uri="{CE6537A1-D6FC-4f65-9D91-7224C49458BB}"/>
                <c:ext xmlns:c16="http://schemas.microsoft.com/office/drawing/2014/chart" uri="{C3380CC4-5D6E-409C-BE32-E72D297353CC}">
                  <c16:uniqueId val="{00000001-9A8E-4CC7-B662-109582C40E83}"/>
                </c:ext>
              </c:extLst>
            </c:dLbl>
            <c:dLbl>
              <c:idx val="2"/>
              <c:delete val="1"/>
              <c:extLst>
                <c:ext xmlns:c15="http://schemas.microsoft.com/office/drawing/2012/chart" uri="{CE6537A1-D6FC-4f65-9D91-7224C49458BB}"/>
                <c:ext xmlns:c16="http://schemas.microsoft.com/office/drawing/2014/chart" uri="{C3380CC4-5D6E-409C-BE32-E72D297353CC}">
                  <c16:uniqueId val="{00000002-9A8E-4CC7-B662-109582C40E83}"/>
                </c:ext>
              </c:extLst>
            </c:dLbl>
            <c:dLbl>
              <c:idx val="3"/>
              <c:layout>
                <c:manualLayout>
                  <c:x val="-8.245370370370371E-2"/>
                  <c:y val="5.1180477440319963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9A8E-4CC7-B662-109582C40E83}"/>
                </c:ext>
              </c:extLst>
            </c:dLbl>
            <c:spPr>
              <a:noFill/>
              <a:ln>
                <a:noFill/>
              </a:ln>
              <a:effectLst/>
            </c:spPr>
            <c:txPr>
              <a:bodyPr/>
              <a:lstStyle/>
              <a:p>
                <a:pPr>
                  <a:defRPr b="1">
                    <a:solidFill>
                      <a:schemeClr val="accent1"/>
                    </a:solidFill>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Sheet1!$B$2:$E$2</c:f>
              <c:numCache>
                <c:formatCode>0%</c:formatCode>
                <c:ptCount val="4"/>
                <c:pt idx="0">
                  <c:v>0.8</c:v>
                </c:pt>
                <c:pt idx="1">
                  <c:v>0.77200000000000002</c:v>
                </c:pt>
                <c:pt idx="2">
                  <c:v>0.75600000000000001</c:v>
                </c:pt>
                <c:pt idx="3">
                  <c:v>0.76700000000000002</c:v>
                </c:pt>
              </c:numCache>
            </c:numRef>
          </c:val>
          <c:smooth val="0"/>
          <c:extLst>
            <c:ext xmlns:c16="http://schemas.microsoft.com/office/drawing/2014/chart" uri="{C3380CC4-5D6E-409C-BE32-E72D297353CC}">
              <c16:uniqueId val="{00000004-9A8E-4CC7-B662-109582C40E83}"/>
            </c:ext>
          </c:extLst>
        </c:ser>
        <c:ser>
          <c:idx val="1"/>
          <c:order val="1"/>
          <c:tx>
            <c:strRef>
              <c:f>Sheet1!$A$3</c:f>
              <c:strCache>
                <c:ptCount val="1"/>
                <c:pt idx="0">
                  <c:v>Cognitive</c:v>
                </c:pt>
              </c:strCache>
            </c:strRef>
          </c:tx>
          <c:marker>
            <c:symbol val="star"/>
            <c:size val="9"/>
          </c:marker>
          <c:dLbls>
            <c:dLbl>
              <c:idx val="0"/>
              <c:delete val="1"/>
              <c:extLst>
                <c:ext xmlns:c15="http://schemas.microsoft.com/office/drawing/2012/chart" uri="{CE6537A1-D6FC-4f65-9D91-7224C49458BB}"/>
                <c:ext xmlns:c16="http://schemas.microsoft.com/office/drawing/2014/chart" uri="{C3380CC4-5D6E-409C-BE32-E72D297353CC}">
                  <c16:uniqueId val="{00000005-9A8E-4CC7-B662-109582C40E83}"/>
                </c:ext>
              </c:extLst>
            </c:dLbl>
            <c:dLbl>
              <c:idx val="1"/>
              <c:delete val="1"/>
              <c:extLst>
                <c:ext xmlns:c15="http://schemas.microsoft.com/office/drawing/2012/chart" uri="{CE6537A1-D6FC-4f65-9D91-7224C49458BB}"/>
                <c:ext xmlns:c16="http://schemas.microsoft.com/office/drawing/2014/chart" uri="{C3380CC4-5D6E-409C-BE32-E72D297353CC}">
                  <c16:uniqueId val="{00000006-9A8E-4CC7-B662-109582C40E83}"/>
                </c:ext>
              </c:extLst>
            </c:dLbl>
            <c:dLbl>
              <c:idx val="2"/>
              <c:delete val="1"/>
              <c:extLst>
                <c:ext xmlns:c15="http://schemas.microsoft.com/office/drawing/2012/chart" uri="{CE6537A1-D6FC-4f65-9D91-7224C49458BB}"/>
                <c:ext xmlns:c16="http://schemas.microsoft.com/office/drawing/2014/chart" uri="{C3380CC4-5D6E-409C-BE32-E72D297353CC}">
                  <c16:uniqueId val="{00000007-9A8E-4CC7-B662-109582C40E83}"/>
                </c:ext>
              </c:extLst>
            </c:dLbl>
            <c:dLbl>
              <c:idx val="3"/>
              <c:layout>
                <c:manualLayout>
                  <c:x val="-2.5364720034995795E-2"/>
                  <c:y val="-5.1994125734283289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9A8E-4CC7-B662-109582C40E83}"/>
                </c:ext>
              </c:extLst>
            </c:dLbl>
            <c:spPr>
              <a:noFill/>
              <a:ln>
                <a:noFill/>
              </a:ln>
              <a:effectLst/>
            </c:spPr>
            <c:txPr>
              <a:bodyPr/>
              <a:lstStyle/>
              <a:p>
                <a:pPr>
                  <a:defRPr b="1">
                    <a:solidFill>
                      <a:schemeClr val="accent2">
                        <a:lumMod val="75000"/>
                      </a:schemeClr>
                    </a:solidFill>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Sheet1!$B$3:$E$3</c:f>
              <c:numCache>
                <c:formatCode>0%</c:formatCode>
                <c:ptCount val="4"/>
                <c:pt idx="0">
                  <c:v>0.39900000000000002</c:v>
                </c:pt>
                <c:pt idx="1">
                  <c:v>0.36299999999999999</c:v>
                </c:pt>
                <c:pt idx="2">
                  <c:v>0.25</c:v>
                </c:pt>
                <c:pt idx="3">
                  <c:v>0.24</c:v>
                </c:pt>
              </c:numCache>
            </c:numRef>
          </c:val>
          <c:smooth val="0"/>
          <c:extLst>
            <c:ext xmlns:c16="http://schemas.microsoft.com/office/drawing/2014/chart" uri="{C3380CC4-5D6E-409C-BE32-E72D297353CC}">
              <c16:uniqueId val="{00000009-9A8E-4CC7-B662-109582C40E83}"/>
            </c:ext>
          </c:extLst>
        </c:ser>
        <c:ser>
          <c:idx val="2"/>
          <c:order val="2"/>
          <c:tx>
            <c:strRef>
              <c:f>Sheet1!$A$4</c:f>
              <c:strCache>
                <c:ptCount val="1"/>
                <c:pt idx="0">
                  <c:v>Physical</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A-9A8E-4CC7-B662-109582C40E83}"/>
                </c:ext>
              </c:extLst>
            </c:dLbl>
            <c:dLbl>
              <c:idx val="1"/>
              <c:delete val="1"/>
              <c:extLst>
                <c:ext xmlns:c15="http://schemas.microsoft.com/office/drawing/2012/chart" uri="{CE6537A1-D6FC-4f65-9D91-7224C49458BB}"/>
                <c:ext xmlns:c16="http://schemas.microsoft.com/office/drawing/2014/chart" uri="{C3380CC4-5D6E-409C-BE32-E72D297353CC}">
                  <c16:uniqueId val="{0000000B-9A8E-4CC7-B662-109582C40E83}"/>
                </c:ext>
              </c:extLst>
            </c:dLbl>
            <c:dLbl>
              <c:idx val="2"/>
              <c:delete val="1"/>
              <c:extLst>
                <c:ext xmlns:c15="http://schemas.microsoft.com/office/drawing/2012/chart" uri="{CE6537A1-D6FC-4f65-9D91-7224C49458BB}"/>
                <c:ext xmlns:c16="http://schemas.microsoft.com/office/drawing/2014/chart" uri="{C3380CC4-5D6E-409C-BE32-E72D297353CC}">
                  <c16:uniqueId val="{0000000C-9A8E-4CC7-B662-109582C40E83}"/>
                </c:ext>
              </c:extLst>
            </c:dLbl>
            <c:dLbl>
              <c:idx val="3"/>
              <c:layout>
                <c:manualLayout>
                  <c:x val="0"/>
                  <c:y val="7.9365079365077904E-3"/>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D-9A8E-4CC7-B662-109582C40E83}"/>
                </c:ext>
              </c:extLst>
            </c:dLbl>
            <c:spPr>
              <a:noFill/>
              <a:ln>
                <a:noFill/>
              </a:ln>
              <a:effectLst/>
            </c:spPr>
            <c:txPr>
              <a:bodyPr/>
              <a:lstStyle/>
              <a:p>
                <a:pPr>
                  <a:defRPr b="1">
                    <a:solidFill>
                      <a:schemeClr val="accent3"/>
                    </a:solidFill>
                  </a:defRPr>
                </a:pPr>
                <a:endParaRPr lang="en-US"/>
              </a:p>
            </c:txPr>
            <c:dLblPos val="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Sheet1!$B$4:$E$4</c:f>
              <c:numCache>
                <c:formatCode>0%</c:formatCode>
                <c:ptCount val="4"/>
                <c:pt idx="0">
                  <c:v>0.40300000000000002</c:v>
                </c:pt>
                <c:pt idx="1">
                  <c:v>0.32400000000000001</c:v>
                </c:pt>
                <c:pt idx="2">
                  <c:v>0.23</c:v>
                </c:pt>
                <c:pt idx="3">
                  <c:v>0.25</c:v>
                </c:pt>
              </c:numCache>
            </c:numRef>
          </c:val>
          <c:smooth val="0"/>
          <c:extLst>
            <c:ext xmlns:c16="http://schemas.microsoft.com/office/drawing/2014/chart" uri="{C3380CC4-5D6E-409C-BE32-E72D297353CC}">
              <c16:uniqueId val="{0000000E-9A8E-4CC7-B662-109582C40E83}"/>
            </c:ext>
          </c:extLst>
        </c:ser>
        <c:ser>
          <c:idx val="3"/>
          <c:order val="3"/>
          <c:tx>
            <c:strRef>
              <c:f>Sheet1!$A$5</c:f>
              <c:strCache>
                <c:ptCount val="1"/>
                <c:pt idx="0">
                  <c:v>Mental Illness</c:v>
                </c:pt>
              </c:strCache>
            </c:strRef>
          </c:tx>
          <c:spPr>
            <a:ln>
              <a:solidFill>
                <a:schemeClr val="accent6"/>
              </a:solidFill>
            </a:ln>
          </c:spPr>
          <c:marker>
            <c:symbol val="circle"/>
            <c:size val="7"/>
            <c:spPr>
              <a:solidFill>
                <a:schemeClr val="accent6"/>
              </a:solidFill>
              <a:ln>
                <a:solidFill>
                  <a:schemeClr val="accent6"/>
                </a:solidFill>
              </a:ln>
            </c:spPr>
          </c:marker>
          <c:dLbls>
            <c:dLbl>
              <c:idx val="0"/>
              <c:delete val="1"/>
              <c:extLst>
                <c:ext xmlns:c15="http://schemas.microsoft.com/office/drawing/2012/chart" uri="{CE6537A1-D6FC-4f65-9D91-7224C49458BB}"/>
                <c:ext xmlns:c16="http://schemas.microsoft.com/office/drawing/2014/chart" uri="{C3380CC4-5D6E-409C-BE32-E72D297353CC}">
                  <c16:uniqueId val="{0000000F-9A8E-4CC7-B662-109582C40E83}"/>
                </c:ext>
              </c:extLst>
            </c:dLbl>
            <c:dLbl>
              <c:idx val="1"/>
              <c:delete val="1"/>
              <c:extLst>
                <c:ext xmlns:c15="http://schemas.microsoft.com/office/drawing/2012/chart" uri="{CE6537A1-D6FC-4f65-9D91-7224C49458BB}"/>
                <c:ext xmlns:c16="http://schemas.microsoft.com/office/drawing/2014/chart" uri="{C3380CC4-5D6E-409C-BE32-E72D297353CC}">
                  <c16:uniqueId val="{00000010-9A8E-4CC7-B662-109582C40E83}"/>
                </c:ext>
              </c:extLst>
            </c:dLbl>
            <c:dLbl>
              <c:idx val="2"/>
              <c:delete val="1"/>
              <c:extLst>
                <c:ext xmlns:c15="http://schemas.microsoft.com/office/drawing/2012/chart" uri="{CE6537A1-D6FC-4f65-9D91-7224C49458BB}"/>
                <c:ext xmlns:c16="http://schemas.microsoft.com/office/drawing/2014/chart" uri="{C3380CC4-5D6E-409C-BE32-E72D297353CC}">
                  <c16:uniqueId val="{00000011-9A8E-4CC7-B662-109582C40E83}"/>
                </c:ext>
              </c:extLst>
            </c:dLbl>
            <c:dLbl>
              <c:idx val="3"/>
              <c:layout>
                <c:manualLayout>
                  <c:x val="-8.9363517060367451E-2"/>
                  <c:y val="3.968253968253968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2-9A8E-4CC7-B662-109582C40E83}"/>
                </c:ext>
              </c:extLst>
            </c:dLbl>
            <c:spPr>
              <a:noFill/>
              <a:ln>
                <a:noFill/>
              </a:ln>
              <a:effectLst/>
            </c:spPr>
            <c:txPr>
              <a:bodyPr/>
              <a:lstStyle/>
              <a:p>
                <a:pPr>
                  <a:defRPr b="1">
                    <a:solidFill>
                      <a:schemeClr val="accent6"/>
                    </a:solidFill>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c:v>
                </c:pt>
                <c:pt idx="1">
                  <c:v>FFY 2017</c:v>
                </c:pt>
                <c:pt idx="2">
                  <c:v>FFY 2018</c:v>
                </c:pt>
                <c:pt idx="3">
                  <c:v>FFY 2019</c:v>
                </c:pt>
              </c:strCache>
            </c:strRef>
          </c:cat>
          <c:val>
            <c:numRef>
              <c:f>Sheet1!$B$5:$E$5</c:f>
              <c:numCache>
                <c:formatCode>0%</c:formatCode>
                <c:ptCount val="4"/>
                <c:pt idx="0">
                  <c:v>0.33</c:v>
                </c:pt>
                <c:pt idx="1">
                  <c:v>0.30099999999999999</c:v>
                </c:pt>
                <c:pt idx="2">
                  <c:v>0.18</c:v>
                </c:pt>
                <c:pt idx="3">
                  <c:v>0.18</c:v>
                </c:pt>
              </c:numCache>
            </c:numRef>
          </c:val>
          <c:smooth val="0"/>
          <c:extLst>
            <c:ext xmlns:c16="http://schemas.microsoft.com/office/drawing/2014/chart" uri="{C3380CC4-5D6E-409C-BE32-E72D297353CC}">
              <c16:uniqueId val="{00000013-9A8E-4CC7-B662-109582C40E83}"/>
            </c:ext>
          </c:extLst>
        </c:ser>
        <c:dLbls>
          <c:showLegendKey val="0"/>
          <c:showVal val="0"/>
          <c:showCatName val="0"/>
          <c:showSerName val="0"/>
          <c:showPercent val="0"/>
          <c:showBubbleSize val="0"/>
        </c:dLbls>
        <c:marker val="1"/>
        <c:smooth val="0"/>
        <c:axId val="43064320"/>
        <c:axId val="43078400"/>
      </c:lineChart>
      <c:catAx>
        <c:axId val="43064320"/>
        <c:scaling>
          <c:orientation val="minMax"/>
        </c:scaling>
        <c:delete val="0"/>
        <c:axPos val="b"/>
        <c:numFmt formatCode="General" sourceLinked="0"/>
        <c:majorTickMark val="out"/>
        <c:minorTickMark val="none"/>
        <c:tickLblPos val="nextTo"/>
        <c:crossAx val="43078400"/>
        <c:crosses val="autoZero"/>
        <c:auto val="1"/>
        <c:lblAlgn val="ctr"/>
        <c:lblOffset val="100"/>
        <c:noMultiLvlLbl val="0"/>
      </c:catAx>
      <c:valAx>
        <c:axId val="43078400"/>
        <c:scaling>
          <c:orientation val="minMax"/>
          <c:max val="1"/>
          <c:min val="0"/>
        </c:scaling>
        <c:delete val="0"/>
        <c:axPos val="l"/>
        <c:majorGridlines/>
        <c:numFmt formatCode="0%" sourceLinked="0"/>
        <c:majorTickMark val="out"/>
        <c:minorTickMark val="none"/>
        <c:tickLblPos val="nextTo"/>
        <c:crossAx val="43064320"/>
        <c:crosses val="autoZero"/>
        <c:crossBetween val="between"/>
        <c:majorUnit val="0.2"/>
        <c:minorUnit val="1.0000000000000002E-2"/>
      </c:valAx>
      <c:spPr>
        <a:ln>
          <a:noFill/>
        </a:ln>
      </c:spPr>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8.346256197142024E-2"/>
          <c:y val="4.4057617797775277E-2"/>
          <c:w val="0.82826006124234475"/>
          <c:h val="0.73401074865641791"/>
        </c:manualLayout>
      </c:layout>
      <c:barChart>
        <c:barDir val="col"/>
        <c:grouping val="clustered"/>
        <c:varyColors val="0"/>
        <c:ser>
          <c:idx val="0"/>
          <c:order val="0"/>
          <c:tx>
            <c:strRef>
              <c:f>Sheet1!$A$2</c:f>
              <c:strCache>
                <c:ptCount val="1"/>
                <c:pt idx="0">
                  <c:v>Earnings at Application</c:v>
                </c:pt>
              </c:strCache>
            </c:strRef>
          </c:tx>
          <c:invertIfNegative val="0"/>
          <c:dLbls>
            <c:numFmt formatCode="&quot;$&quot;#,##0" sourceLinked="0"/>
            <c:spPr>
              <a:noFill/>
              <a:ln>
                <a:noFill/>
              </a:ln>
              <a:effectLst/>
            </c:spPr>
            <c:txPr>
              <a:bodyPr/>
              <a:lstStyle/>
              <a:p>
                <a:pPr>
                  <a:defRPr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(n=1,166)</c:v>
                </c:pt>
                <c:pt idx="1">
                  <c:v>FFY 2017 (n=758)</c:v>
                </c:pt>
                <c:pt idx="2">
                  <c:v>FFY 2018 (n=737)</c:v>
                </c:pt>
                <c:pt idx="3">
                  <c:v>FFY 2019 (n=767)</c:v>
                </c:pt>
              </c:strCache>
            </c:strRef>
          </c:cat>
          <c:val>
            <c:numRef>
              <c:f>Sheet1!$B$2:$E$2</c:f>
              <c:numCache>
                <c:formatCode>"$"#,##0.00</c:formatCode>
                <c:ptCount val="4"/>
                <c:pt idx="0">
                  <c:v>267.70999999999998</c:v>
                </c:pt>
                <c:pt idx="1">
                  <c:v>127.48</c:v>
                </c:pt>
                <c:pt idx="2">
                  <c:v>160.46</c:v>
                </c:pt>
                <c:pt idx="3">
                  <c:v>0</c:v>
                </c:pt>
              </c:numCache>
            </c:numRef>
          </c:val>
          <c:extLst>
            <c:ext xmlns:c16="http://schemas.microsoft.com/office/drawing/2014/chart" uri="{C3380CC4-5D6E-409C-BE32-E72D297353CC}">
              <c16:uniqueId val="{00000000-5505-4D69-82FB-576EEBF477E2}"/>
            </c:ext>
          </c:extLst>
        </c:ser>
        <c:ser>
          <c:idx val="1"/>
          <c:order val="1"/>
          <c:tx>
            <c:strRef>
              <c:f>Sheet1!$A$3</c:f>
              <c:strCache>
                <c:ptCount val="1"/>
                <c:pt idx="0">
                  <c:v>Earnings at Closure</c:v>
                </c:pt>
              </c:strCache>
            </c:strRef>
          </c:tx>
          <c:invertIfNegative val="0"/>
          <c:dLbls>
            <c:dLbl>
              <c:idx val="2"/>
              <c:layout>
                <c:manualLayout>
                  <c:x val="9.2592592592593437E-3"/>
                  <c:y val="8.41469816272965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9D-49AD-8BE8-7D5E7B271BCC}"/>
                </c:ext>
              </c:extLst>
            </c:dLbl>
            <c:numFmt formatCode="&quot;$&quot;#,##0" sourceLinked="0"/>
            <c:spPr>
              <a:noFill/>
              <a:ln>
                <a:noFill/>
              </a:ln>
              <a:effectLst/>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(n=1,166)</c:v>
                </c:pt>
                <c:pt idx="1">
                  <c:v>FFY 2017 (n=758)</c:v>
                </c:pt>
                <c:pt idx="2">
                  <c:v>FFY 2018 (n=737)</c:v>
                </c:pt>
                <c:pt idx="3">
                  <c:v>FFY 2019 (n=767)</c:v>
                </c:pt>
              </c:strCache>
            </c:strRef>
          </c:cat>
          <c:val>
            <c:numRef>
              <c:f>Sheet1!$B$3:$E$3</c:f>
              <c:numCache>
                <c:formatCode>"$"#,##0.00</c:formatCode>
                <c:ptCount val="4"/>
                <c:pt idx="0">
                  <c:v>425.71</c:v>
                </c:pt>
                <c:pt idx="1">
                  <c:v>342.94</c:v>
                </c:pt>
                <c:pt idx="2">
                  <c:v>397.15</c:v>
                </c:pt>
                <c:pt idx="3">
                  <c:v>411.63</c:v>
                </c:pt>
              </c:numCache>
            </c:numRef>
          </c:val>
          <c:extLst>
            <c:ext xmlns:c16="http://schemas.microsoft.com/office/drawing/2014/chart" uri="{C3380CC4-5D6E-409C-BE32-E72D297353CC}">
              <c16:uniqueId val="{00000001-5505-4D69-82FB-576EEBF477E2}"/>
            </c:ext>
          </c:extLst>
        </c:ser>
        <c:dLbls>
          <c:showLegendKey val="0"/>
          <c:showVal val="0"/>
          <c:showCatName val="0"/>
          <c:showSerName val="0"/>
          <c:showPercent val="0"/>
          <c:showBubbleSize val="0"/>
        </c:dLbls>
        <c:gapWidth val="51"/>
        <c:axId val="44478464"/>
        <c:axId val="44480000"/>
      </c:barChart>
      <c:lineChart>
        <c:grouping val="standard"/>
        <c:varyColors val="0"/>
        <c:ser>
          <c:idx val="2"/>
          <c:order val="2"/>
          <c:tx>
            <c:strRef>
              <c:f>Sheet1!$A$4</c:f>
              <c:strCache>
                <c:ptCount val="1"/>
                <c:pt idx="0">
                  <c:v>Percent Change from Application to Closure</c:v>
                </c:pt>
              </c:strCache>
            </c:strRef>
          </c:tx>
          <c:spPr>
            <a:ln w="25400"/>
          </c:spPr>
          <c:dLbls>
            <c:dLbl>
              <c:idx val="0"/>
              <c:layout>
                <c:manualLayout>
                  <c:x val="-9.2013888888888909E-2"/>
                  <c:y val="-3.21528558930134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05-4D69-82FB-576EEBF477E2}"/>
                </c:ext>
              </c:extLst>
            </c:dLbl>
            <c:dLbl>
              <c:idx val="1"/>
              <c:layout>
                <c:manualLayout>
                  <c:x val="-4.3402777777777818E-2"/>
                  <c:y val="-4.0097487814023246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6.5972222222222224E-2"/>
                      <c:h val="8.0178727659042631E-2"/>
                    </c:manualLayout>
                  </c15:layout>
                </c:ext>
                <c:ext xmlns:c16="http://schemas.microsoft.com/office/drawing/2014/chart" uri="{C3380CC4-5D6E-409C-BE32-E72D297353CC}">
                  <c16:uniqueId val="{00000000-BA0A-4267-8199-D68035141361}"/>
                </c:ext>
              </c:extLst>
            </c:dLbl>
            <c:dLbl>
              <c:idx val="2"/>
              <c:layout>
                <c:manualLayout>
                  <c:x val="-5.2662037037037035E-2"/>
                  <c:y val="-5.59623797025371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05-4D69-82FB-576EEBF477E2}"/>
                </c:ext>
              </c:extLst>
            </c:dLbl>
            <c:dLbl>
              <c:idx val="3"/>
              <c:layout>
                <c:manualLayout>
                  <c:x val="-4.0509259259259257E-3"/>
                  <c:y val="-4.375078115235595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05-4D69-82FB-576EEBF477E2}"/>
                </c:ext>
              </c:extLst>
            </c:dLbl>
            <c:spPr>
              <a:noFill/>
              <a:ln>
                <a:noFill/>
              </a:ln>
              <a:effectLst/>
            </c:spPr>
            <c:txPr>
              <a:bodyPr/>
              <a:lstStyle/>
              <a:p>
                <a:pPr>
                  <a:defRPr b="1">
                    <a:solidFill>
                      <a:schemeClr val="accent3"/>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FFY 2016 (n=1,166)</c:v>
                </c:pt>
                <c:pt idx="1">
                  <c:v>FFY 2017 (n=758)</c:v>
                </c:pt>
                <c:pt idx="2">
                  <c:v>FFY 2018 (n=737)</c:v>
                </c:pt>
                <c:pt idx="3">
                  <c:v>FFY 2019 (n=767)</c:v>
                </c:pt>
              </c:strCache>
            </c:strRef>
          </c:cat>
          <c:val>
            <c:numRef>
              <c:f>Sheet1!$B$4:$E$4</c:f>
              <c:numCache>
                <c:formatCode>0%</c:formatCode>
                <c:ptCount val="4"/>
                <c:pt idx="0">
                  <c:v>1.5901908781890852</c:v>
                </c:pt>
                <c:pt idx="1">
                  <c:v>2.6901474741135862</c:v>
                </c:pt>
                <c:pt idx="2">
                  <c:v>2.4750716689517636</c:v>
                </c:pt>
                <c:pt idx="3">
                  <c:v>0</c:v>
                </c:pt>
              </c:numCache>
            </c:numRef>
          </c:val>
          <c:smooth val="0"/>
          <c:extLst>
            <c:ext xmlns:c16="http://schemas.microsoft.com/office/drawing/2014/chart" uri="{C3380CC4-5D6E-409C-BE32-E72D297353CC}">
              <c16:uniqueId val="{00000005-5505-4D69-82FB-576EEBF477E2}"/>
            </c:ext>
          </c:extLst>
        </c:ser>
        <c:dLbls>
          <c:showLegendKey val="0"/>
          <c:showVal val="0"/>
          <c:showCatName val="0"/>
          <c:showSerName val="0"/>
          <c:showPercent val="0"/>
          <c:showBubbleSize val="0"/>
        </c:dLbls>
        <c:marker val="1"/>
        <c:smooth val="0"/>
        <c:axId val="345604792"/>
        <c:axId val="345584128"/>
      </c:lineChart>
      <c:catAx>
        <c:axId val="44478464"/>
        <c:scaling>
          <c:orientation val="minMax"/>
        </c:scaling>
        <c:delete val="0"/>
        <c:axPos val="b"/>
        <c:numFmt formatCode="General" sourceLinked="0"/>
        <c:majorTickMark val="out"/>
        <c:minorTickMark val="none"/>
        <c:tickLblPos val="nextTo"/>
        <c:crossAx val="44480000"/>
        <c:crosses val="autoZero"/>
        <c:auto val="1"/>
        <c:lblAlgn val="ctr"/>
        <c:lblOffset val="100"/>
        <c:noMultiLvlLbl val="0"/>
      </c:catAx>
      <c:valAx>
        <c:axId val="44480000"/>
        <c:scaling>
          <c:orientation val="minMax"/>
        </c:scaling>
        <c:delete val="0"/>
        <c:axPos val="l"/>
        <c:majorGridlines/>
        <c:numFmt formatCode="&quot;$&quot;#,##0" sourceLinked="0"/>
        <c:majorTickMark val="out"/>
        <c:minorTickMark val="none"/>
        <c:tickLblPos val="nextTo"/>
        <c:crossAx val="44478464"/>
        <c:crosses val="autoZero"/>
        <c:crossBetween val="between"/>
        <c:majorUnit val="100"/>
      </c:valAx>
      <c:valAx>
        <c:axId val="345584128"/>
        <c:scaling>
          <c:orientation val="minMax"/>
        </c:scaling>
        <c:delete val="0"/>
        <c:axPos val="r"/>
        <c:numFmt formatCode="0%" sourceLinked="1"/>
        <c:majorTickMark val="out"/>
        <c:minorTickMark val="none"/>
        <c:tickLblPos val="nextTo"/>
        <c:crossAx val="345604792"/>
        <c:crosses val="max"/>
        <c:crossBetween val="between"/>
      </c:valAx>
      <c:catAx>
        <c:axId val="345604792"/>
        <c:scaling>
          <c:orientation val="minMax"/>
        </c:scaling>
        <c:delete val="1"/>
        <c:axPos val="b"/>
        <c:numFmt formatCode="General" sourceLinked="1"/>
        <c:majorTickMark val="out"/>
        <c:minorTickMark val="none"/>
        <c:tickLblPos val="nextTo"/>
        <c:crossAx val="345584128"/>
        <c:crosses val="autoZero"/>
        <c:auto val="1"/>
        <c:lblAlgn val="ctr"/>
        <c:lblOffset val="100"/>
        <c:noMultiLvlLbl val="0"/>
      </c:catAx>
    </c:plotArea>
    <c:legend>
      <c:legendPos val="b"/>
      <c:layout>
        <c:manualLayout>
          <c:xMode val="edge"/>
          <c:yMode val="edge"/>
          <c:x val="6.8564085739282604E-3"/>
          <c:y val="0.88988595175603047"/>
          <c:w val="0.9"/>
          <c:h val="6.6964754405699295E-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8.346256197142024E-2"/>
          <c:y val="6.389888763904511E-2"/>
          <c:w val="0.82826006124234475"/>
          <c:h val="0.70226471691038617"/>
        </c:manualLayout>
      </c:layout>
      <c:barChart>
        <c:barDir val="col"/>
        <c:grouping val="clustered"/>
        <c:varyColors val="0"/>
        <c:ser>
          <c:idx val="0"/>
          <c:order val="0"/>
          <c:tx>
            <c:strRef>
              <c:f>Sheet1!$A$2</c:f>
              <c:strCache>
                <c:ptCount val="1"/>
                <c:pt idx="0">
                  <c:v>Average Weekly Wage</c:v>
                </c:pt>
              </c:strCache>
            </c:strRef>
          </c:tx>
          <c:invertIfNegative val="0"/>
          <c:dLbls>
            <c:numFmt formatCode="&quot;$&quot;#,##0" sourceLinked="0"/>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Cognitive (n=246)</c:v>
                </c:pt>
                <c:pt idx="1">
                  <c:v>Hearing Loss (n=177)</c:v>
                </c:pt>
                <c:pt idx="2">
                  <c:v>Mental Illness (n=201)</c:v>
                </c:pt>
                <c:pt idx="3">
                  <c:v>Physical (n=140)</c:v>
                </c:pt>
                <c:pt idx="4">
                  <c:v>Visual (n=3)</c:v>
                </c:pt>
              </c:strCache>
            </c:strRef>
          </c:cat>
          <c:val>
            <c:numRef>
              <c:f>Sheet1!$B$2:$F$2</c:f>
              <c:numCache>
                <c:formatCode>"$"#,##0.00</c:formatCode>
                <c:ptCount val="5"/>
                <c:pt idx="0">
                  <c:v>228.59</c:v>
                </c:pt>
                <c:pt idx="1">
                  <c:v>687.28</c:v>
                </c:pt>
                <c:pt idx="2">
                  <c:v>344.56</c:v>
                </c:pt>
                <c:pt idx="3">
                  <c:v>476.01</c:v>
                </c:pt>
                <c:pt idx="4">
                  <c:v>648.29999999999995</c:v>
                </c:pt>
              </c:numCache>
            </c:numRef>
          </c:val>
          <c:extLst>
            <c:ext xmlns:c16="http://schemas.microsoft.com/office/drawing/2014/chart" uri="{C3380CC4-5D6E-409C-BE32-E72D297353CC}">
              <c16:uniqueId val="{00000000-2CC0-4802-A7BB-A5D3ECE17B6A}"/>
            </c:ext>
          </c:extLst>
        </c:ser>
        <c:dLbls>
          <c:showLegendKey val="0"/>
          <c:showVal val="0"/>
          <c:showCatName val="0"/>
          <c:showSerName val="0"/>
          <c:showPercent val="0"/>
          <c:showBubbleSize val="0"/>
        </c:dLbls>
        <c:gapWidth val="126"/>
        <c:axId val="44506112"/>
        <c:axId val="44516096"/>
      </c:barChart>
      <c:lineChart>
        <c:grouping val="standard"/>
        <c:varyColors val="0"/>
        <c:ser>
          <c:idx val="1"/>
          <c:order val="1"/>
          <c:tx>
            <c:strRef>
              <c:f>Sheet1!$A$3</c:f>
              <c:strCache>
                <c:ptCount val="1"/>
                <c:pt idx="0">
                  <c:v>Average Hours Worked</c:v>
                </c:pt>
              </c:strCache>
            </c:strRef>
          </c:tx>
          <c:dLbls>
            <c:dLbl>
              <c:idx val="0"/>
              <c:layout>
                <c:manualLayout>
                  <c:x val="-4.9629629629629628E-2"/>
                  <c:y val="-6.7867141607299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C0-4802-A7BB-A5D3ECE17B6A}"/>
                </c:ext>
              </c:extLst>
            </c:dLbl>
            <c:dLbl>
              <c:idx val="1"/>
              <c:layout>
                <c:manualLayout>
                  <c:x val="-4.4999999999999998E-2"/>
                  <c:y val="-5.9930633670791149E-2"/>
                </c:manualLayout>
              </c:layout>
              <c:numFmt formatCode="General" sourceLinked="0"/>
              <c:spPr/>
              <c:txPr>
                <a:bodyPr/>
                <a:lstStyle/>
                <a:p>
                  <a:pPr>
                    <a:defRPr b="1">
                      <a:solidFill>
                        <a:sysClr val="windowText" lastClr="000000"/>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C0-4802-A7BB-A5D3ECE17B6A}"/>
                </c:ext>
              </c:extLst>
            </c:dLbl>
            <c:dLbl>
              <c:idx val="2"/>
              <c:layout>
                <c:manualLayout>
                  <c:x val="-4.9629629629629628E-2"/>
                  <c:y val="-4.80258717660292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C0-4802-A7BB-A5D3ECE17B6A}"/>
                </c:ext>
              </c:extLst>
            </c:dLbl>
            <c:dLbl>
              <c:idx val="4"/>
              <c:layout>
                <c:manualLayout>
                  <c:x val="-4.5000000000000172E-2"/>
                  <c:y val="-0.123422697162854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C0-4802-A7BB-A5D3ECE17B6A}"/>
                </c:ext>
              </c:extLst>
            </c:dLbl>
            <c:numFmt formatCode="General" sourceLinked="0"/>
            <c:spPr>
              <a:noFill/>
              <a:ln>
                <a:noFill/>
              </a:ln>
              <a:effectLst/>
            </c:spPr>
            <c:txPr>
              <a:bodyPr/>
              <a:lstStyle/>
              <a:p>
                <a:pPr>
                  <a:defRPr b="1">
                    <a:solidFill>
                      <a:sysClr val="windowText" lastClr="00000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Cognitive (n=246)</c:v>
                </c:pt>
                <c:pt idx="1">
                  <c:v>Hearing Loss (n=177)</c:v>
                </c:pt>
                <c:pt idx="2">
                  <c:v>Mental Illness (n=201)</c:v>
                </c:pt>
                <c:pt idx="3">
                  <c:v>Physical (n=140)</c:v>
                </c:pt>
                <c:pt idx="4">
                  <c:v>Visual (n=3)</c:v>
                </c:pt>
              </c:strCache>
            </c:strRef>
          </c:cat>
          <c:val>
            <c:numRef>
              <c:f>Sheet1!$B$3:$F$3</c:f>
              <c:numCache>
                <c:formatCode>0.0</c:formatCode>
                <c:ptCount val="5"/>
                <c:pt idx="0">
                  <c:v>22.4</c:v>
                </c:pt>
                <c:pt idx="1">
                  <c:v>34.799999999999997</c:v>
                </c:pt>
                <c:pt idx="2">
                  <c:v>26.1</c:v>
                </c:pt>
                <c:pt idx="3">
                  <c:v>27.9</c:v>
                </c:pt>
                <c:pt idx="4">
                  <c:v>26.7</c:v>
                </c:pt>
              </c:numCache>
            </c:numRef>
          </c:val>
          <c:smooth val="0"/>
          <c:extLst>
            <c:ext xmlns:c16="http://schemas.microsoft.com/office/drawing/2014/chart" uri="{C3380CC4-5D6E-409C-BE32-E72D297353CC}">
              <c16:uniqueId val="{00000005-2CC0-4802-A7BB-A5D3ECE17B6A}"/>
            </c:ext>
          </c:extLst>
        </c:ser>
        <c:dLbls>
          <c:showLegendKey val="0"/>
          <c:showVal val="0"/>
          <c:showCatName val="0"/>
          <c:showSerName val="0"/>
          <c:showPercent val="0"/>
          <c:showBubbleSize val="0"/>
        </c:dLbls>
        <c:marker val="1"/>
        <c:smooth val="0"/>
        <c:axId val="44527616"/>
        <c:axId val="44517632"/>
      </c:lineChart>
      <c:catAx>
        <c:axId val="44506112"/>
        <c:scaling>
          <c:orientation val="minMax"/>
        </c:scaling>
        <c:delete val="0"/>
        <c:axPos val="b"/>
        <c:numFmt formatCode="General" sourceLinked="0"/>
        <c:majorTickMark val="out"/>
        <c:minorTickMark val="none"/>
        <c:tickLblPos val="nextTo"/>
        <c:crossAx val="44516096"/>
        <c:crosses val="autoZero"/>
        <c:auto val="1"/>
        <c:lblAlgn val="ctr"/>
        <c:lblOffset val="100"/>
        <c:noMultiLvlLbl val="0"/>
      </c:catAx>
      <c:valAx>
        <c:axId val="44516096"/>
        <c:scaling>
          <c:orientation val="minMax"/>
        </c:scaling>
        <c:delete val="0"/>
        <c:axPos val="l"/>
        <c:majorGridlines/>
        <c:numFmt formatCode="&quot;$&quot;#,##0" sourceLinked="0"/>
        <c:majorTickMark val="out"/>
        <c:minorTickMark val="none"/>
        <c:tickLblPos val="nextTo"/>
        <c:crossAx val="44506112"/>
        <c:crosses val="autoZero"/>
        <c:crossBetween val="between"/>
      </c:valAx>
      <c:valAx>
        <c:axId val="44517632"/>
        <c:scaling>
          <c:orientation val="minMax"/>
        </c:scaling>
        <c:delete val="0"/>
        <c:axPos val="r"/>
        <c:numFmt formatCode="0.0" sourceLinked="1"/>
        <c:majorTickMark val="out"/>
        <c:minorTickMark val="none"/>
        <c:tickLblPos val="nextTo"/>
        <c:crossAx val="44527616"/>
        <c:crosses val="max"/>
        <c:crossBetween val="between"/>
      </c:valAx>
      <c:catAx>
        <c:axId val="44527616"/>
        <c:scaling>
          <c:orientation val="minMax"/>
        </c:scaling>
        <c:delete val="1"/>
        <c:axPos val="b"/>
        <c:numFmt formatCode="General" sourceLinked="1"/>
        <c:majorTickMark val="out"/>
        <c:minorTickMark val="none"/>
        <c:tickLblPos val="nextTo"/>
        <c:crossAx val="44517632"/>
        <c:crosses val="autoZero"/>
        <c:auto val="1"/>
        <c:lblAlgn val="ctr"/>
        <c:lblOffset val="100"/>
        <c:noMultiLvlLbl val="0"/>
      </c:catAx>
    </c:plotArea>
    <c:legend>
      <c:legendPos val="b"/>
      <c:layout>
        <c:manualLayout>
          <c:xMode val="edge"/>
          <c:yMode val="edge"/>
          <c:x val="6.8564085739282604E-3"/>
          <c:y val="0.90972722159730035"/>
          <c:w val="0.98165737095363081"/>
          <c:h val="9.0272778402699663E-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9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323692553459"/>
          <c:y val="0.26595310337980804"/>
          <c:w val="0.5793231074669204"/>
          <c:h val="0.56370308321388907"/>
        </c:manualLayout>
      </c:layout>
      <c:pie3DChart>
        <c:varyColors val="1"/>
        <c:ser>
          <c:idx val="0"/>
          <c:order val="0"/>
          <c:tx>
            <c:strRef>
              <c:f>Sheet1!$B$1</c:f>
              <c:strCache>
                <c:ptCount val="1"/>
                <c:pt idx="0">
                  <c:v>FFY 2019</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1BE1-4F4E-A415-978CF4FC23B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BE1-4F4E-A415-978CF4FC23B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1BE1-4F4E-A415-978CF4FC23B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BE1-4F4E-A415-978CF4FC23B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1BE1-4F4E-A415-978CF4FC23B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BE1-4F4E-A415-978CF4FC23B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BE1-4F4E-A415-978CF4FC23BB}"/>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1BE1-4F4E-A415-978CF4FC23BB}"/>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BE1-4F4E-A415-978CF4FC23BB}"/>
              </c:ext>
            </c:extLst>
          </c:dPt>
          <c:dPt>
            <c:idx val="9"/>
            <c:bubble3D val="0"/>
            <c:spPr>
              <a:solidFill>
                <a:schemeClr val="accent1">
                  <a:lumMod val="20000"/>
                  <a:lumOff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1BE1-4F4E-A415-978CF4FC23BB}"/>
              </c:ext>
            </c:extLst>
          </c:dPt>
          <c:dLbls>
            <c:dLbl>
              <c:idx val="0"/>
              <c:layout>
                <c:manualLayout>
                  <c:x val="7.3053642245877681E-2"/>
                  <c:y val="6.619385342789586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BE1-4F4E-A415-978CF4FC23BB}"/>
                </c:ext>
              </c:extLst>
            </c:dLbl>
            <c:dLbl>
              <c:idx val="1"/>
              <c:layout>
                <c:manualLayout>
                  <c:x val="-7.3053642245877695E-2"/>
                  <c:y val="8.82584712371946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BE1-4F4E-A415-978CF4FC23BB}"/>
                </c:ext>
              </c:extLst>
            </c:dLbl>
            <c:dLbl>
              <c:idx val="2"/>
              <c:layout>
                <c:manualLayout>
                  <c:x val="-2.5046963055729496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BE1-4F4E-A415-978CF4FC23BB}"/>
                </c:ext>
              </c:extLst>
            </c:dLbl>
            <c:dLbl>
              <c:idx val="3"/>
              <c:layout>
                <c:manualLayout>
                  <c:x val="-8.9751617616364021E-2"/>
                  <c:y val="-9.14105594956658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BE1-4F4E-A415-978CF4FC23BB}"/>
                </c:ext>
              </c:extLst>
            </c:dLbl>
            <c:dLbl>
              <c:idx val="4"/>
              <c:layout>
                <c:manualLayout>
                  <c:x val="6.2617407639323731E-3"/>
                  <c:y val="-0.1292356185973207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BE1-4F4E-A415-978CF4FC23BB}"/>
                </c:ext>
              </c:extLst>
            </c:dLbl>
            <c:dLbl>
              <c:idx val="5"/>
              <c:layout>
                <c:manualLayout>
                  <c:x val="-4.5919432268837407E-2"/>
                  <c:y val="-0.1071710007880220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BE1-4F4E-A415-978CF4FC23BB}"/>
                </c:ext>
              </c:extLst>
            </c:dLbl>
            <c:dLbl>
              <c:idx val="6"/>
              <c:layout>
                <c:manualLayout>
                  <c:x val="8.3489876852431647E-3"/>
                  <c:y val="-0.1103230890464933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BE1-4F4E-A415-978CF4FC23BB}"/>
                </c:ext>
              </c:extLst>
            </c:dLbl>
            <c:dLbl>
              <c:idx val="7"/>
              <c:layout>
                <c:manualLayout>
                  <c:x val="0.11062408682947178"/>
                  <c:y val="-0.1513002364066193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1BE1-4F4E-A415-978CF4FC23BB}"/>
                </c:ext>
              </c:extLst>
            </c:dLbl>
            <c:dLbl>
              <c:idx val="8"/>
              <c:layout>
                <c:manualLayout>
                  <c:x val="6.6791901481945318E-2"/>
                  <c:y val="-3.78250591016549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BE1-4F4E-A415-978CF4FC23BB}"/>
                </c:ext>
              </c:extLst>
            </c:dLbl>
            <c:dLbl>
              <c:idx val="9"/>
              <c:layout>
                <c:manualLayout>
                  <c:x val="7.5140889167188321E-2"/>
                  <c:y val="4.72813238770685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BE1-4F4E-A415-978CF4FC23B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Job Development &amp; Placement</c:v>
                </c:pt>
                <c:pt idx="1">
                  <c:v>All Other Service Groups </c:v>
                </c:pt>
                <c:pt idx="2">
                  <c:v>College/University Training</c:v>
                </c:pt>
                <c:pt idx="3">
                  <c:v>On-the-Job Supports</c:v>
                </c:pt>
                <c:pt idx="4">
                  <c:v>Assessment</c:v>
                </c:pt>
                <c:pt idx="5">
                  <c:v>Rehabilitation Technology</c:v>
                </c:pt>
                <c:pt idx="6">
                  <c:v>Occupational and Vocational &amp; Other Training</c:v>
                </c:pt>
                <c:pt idx="7">
                  <c:v>Hearing Aid</c:v>
                </c:pt>
                <c:pt idx="8">
                  <c:v>CRP Milestones</c:v>
                </c:pt>
                <c:pt idx="9">
                  <c:v>Transportation</c:v>
                </c:pt>
              </c:strCache>
            </c:strRef>
          </c:cat>
          <c:val>
            <c:numRef>
              <c:f>Sheet1!$B$2:$B$11</c:f>
              <c:numCache>
                <c:formatCode>0.0%</c:formatCode>
                <c:ptCount val="10"/>
                <c:pt idx="0">
                  <c:v>0.26476624303673857</c:v>
                </c:pt>
                <c:pt idx="1">
                  <c:v>0.17386014049666432</c:v>
                </c:pt>
                <c:pt idx="2">
                  <c:v>9.9231630940093393E-2</c:v>
                </c:pt>
                <c:pt idx="3">
                  <c:v>0.10412641069728287</c:v>
                </c:pt>
                <c:pt idx="4">
                  <c:v>7.7788734726565861E-2</c:v>
                </c:pt>
                <c:pt idx="5">
                  <c:v>7.2252577573168747E-2</c:v>
                </c:pt>
                <c:pt idx="6">
                  <c:v>7.6522494330507396E-2</c:v>
                </c:pt>
                <c:pt idx="7">
                  <c:v>8.7198563882007876E-2</c:v>
                </c:pt>
                <c:pt idx="8">
                  <c:v>1.3994065212103192E-4</c:v>
                </c:pt>
                <c:pt idx="9">
                  <c:v>4.4113263664849932E-2</c:v>
                </c:pt>
              </c:numCache>
            </c:numRef>
          </c:val>
          <c:extLst>
            <c:ext xmlns:c16="http://schemas.microsoft.com/office/drawing/2014/chart" uri="{C3380CC4-5D6E-409C-BE32-E72D297353CC}">
              <c16:uniqueId val="{0000000B-1BE1-4F4E-A415-978CF4FC23BB}"/>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ylar">
  <a:themeElements>
    <a:clrScheme name="Mylar">
      <a:dk1>
        <a:srgbClr val="000000"/>
      </a:dk1>
      <a:lt1>
        <a:srgbClr val="FFFFFF"/>
      </a:lt1>
      <a:dk2>
        <a:srgbClr val="656162"/>
      </a:dk2>
      <a:lt2>
        <a:srgbClr val="E0DACC"/>
      </a:lt2>
      <a:accent1>
        <a:srgbClr val="4A5A7A"/>
      </a:accent1>
      <a:accent2>
        <a:srgbClr val="F7BD40"/>
      </a:accent2>
      <a:accent3>
        <a:srgbClr val="975C00"/>
      </a:accent3>
      <a:accent4>
        <a:srgbClr val="754D41"/>
      </a:accent4>
      <a:accent5>
        <a:srgbClr val="838995"/>
      </a:accent5>
      <a:accent6>
        <a:srgbClr val="687B66"/>
      </a:accent6>
      <a:hlink>
        <a:srgbClr val="B5740B"/>
      </a:hlink>
      <a:folHlink>
        <a:srgbClr val="7483A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ylar">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effectStyle>
        <a:effectStyle>
          <a:effectLst>
            <a:innerShdw blurRad="50800" dist="25400" dir="13500000">
              <a:srgbClr val="000000">
                <a:alpha val="75000"/>
              </a:srgbClr>
            </a:innerShdw>
            <a:outerShdw blurRad="50800" dist="25400" dir="5400000" rotWithShape="0">
              <a:srgbClr val="000000">
                <a:alpha val="50000"/>
              </a:srgbClr>
            </a:outerShdw>
          </a:effectLst>
          <a:scene3d>
            <a:camera prst="orthographicFront">
              <a:rot lat="0" lon="0" rev="0"/>
            </a:camera>
            <a:lightRig rig="threePt" dir="tl"/>
          </a:scene3d>
          <a:sp3d prstMaterial="dkEdge">
            <a:bevelT w="25400" h="508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tint val="100000"/>
                <a:shade val="30000"/>
                <a:alpha val="100000"/>
                <a:satMod val="255000"/>
                <a:lumMod val="100000"/>
              </a:schemeClr>
            </a:gs>
          </a:gsLst>
          <a:path path="circle">
            <a:fillToRect l="50000" t="-80000" r="50000" b="180000"/>
          </a:path>
        </a:gradFill>
        <a:blipFill rotWithShape="1">
          <a:blip xmlns:r="http://schemas.openxmlformats.org/officeDocument/2006/relationships" r:embed="rId1">
            <a:duotone>
              <a:schemeClr val="phClr">
                <a:lumMod val="80000"/>
              </a:schemeClr>
              <a:schemeClr val="phClr">
                <a:tint val="50000"/>
                <a:lumMod val="1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report provides a comprehensive overview that describes the rehabilitation needs of individuals with disabilities residing within the state of Maine.  Information gathered for this assessment will guide DVR in its strategic plan and goal development for the next three fiscal years, 2018-2020.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Lis15</b:Tag>
    <b:SourceType>Report</b:SourceType>
    <b:Guid>{F0CB1C51-5170-4624-A21B-B845CAB0EAD3}</b:Guid>
    <b:Author>
      <b:Author>
        <b:NameList>
          <b:Person>
            <b:Last>Lisa A. Mills</b:Last>
            <b:First>PhD</b:First>
          </b:Person>
        </b:NameList>
      </b:Author>
    </b:Author>
    <b:Title>VISION QUEST 2015, Phase One: Landscape Assessment Policy Analysis &amp; Recommendations for the State of Maine</b:Title>
    <b:Year>2015</b:Year>
    <b:RefOrder>1</b:RefOrder>
  </b:Source>
  <b:Source>
    <b:Tag>Dan15</b:Tag>
    <b:SourceType>Report</b:SourceType>
    <b:Guid>{E5ADC3A7-3852-43A7-8A2A-8FA949CBA786}</b:Guid>
    <b:Author>
      <b:Author>
        <b:NameList>
          <b:Person>
            <b:Last>Dana Jefferson</b:Last>
            <b:First>Ph.D.,</b:First>
            <b:Middle>ICI UMass Boston and Ed Tos, J.D.</b:Middle>
          </b:Person>
        </b:NameList>
      </b:Author>
    </b:Author>
    <b:Title>Process Mapping</b:Title>
    <b:Year>2015</b:Year>
    <b:RefOrder>2</b:RefOrder>
  </b:Source>
  <b:Source>
    <b:Tag>CRW15</b:Tag>
    <b:SourceType>Report</b:SourceType>
    <b:Guid>{CAB7516F-F688-4CC5-A929-1285E0725D1A}</b:Guid>
    <b:Title>WIOA Plan Economic and Workforce Analysis</b:Title>
    <b:Year>2015</b:Year>
    <b:Author>
      <b:Author>
        <b:NameList>
          <b:Person>
            <b:Last>CRWI</b:Last>
          </b:Person>
        </b:NameList>
      </b:Author>
    </b:Author>
    <b:RefOrder>3</b:RefOrder>
  </b:Source>
  <b:Source>
    <b:Tag>Ame14</b:Tag>
    <b:SourceType>Report</b:SourceType>
    <b:Guid>{B924B34A-F3FB-457A-8D54-2FBAC7A97DA7}</b:Guid>
    <b:Author>
      <b:Author>
        <b:NameList>
          <b:Person>
            <b:Last>(ACS)</b:Last>
            <b:First>American</b:First>
            <b:Middle>Community Survey</b:Middle>
          </b:Person>
        </b:NameList>
      </b:Author>
    </b:Author>
    <b:Title>American Community Survey</b:Title>
    <b:Year>2010 - 2014</b:Year>
    <b:Publisher>U. S. Census Bureau</b:Publisher>
    <b:RefOrder>6</b:RefOrder>
  </b:Source>
  <b:Source>
    <b:Tag>Cen15</b:Tag>
    <b:SourceType>InternetSite</b:SourceType>
    <b:Guid>{1FEBEF57-F7C1-46E3-9030-0B19A102AA6D}</b:Guid>
    <b:Author>
      <b:Author>
        <b:NameList>
          <b:Person>
            <b:Last>Information</b:Last>
            <b:First>Center</b:First>
            <b:Middle>for Workforce Research and</b:Middle>
          </b:Person>
        </b:NameList>
      </b:Author>
    </b:Author>
    <b:Title>Maine Workers with Disabilities</b:Title>
    <b:Year>2015</b:Year>
    <b:YearAccessed>2016</b:YearAccessed>
    <b:MonthAccessed>January</b:MonthAccessed>
    <b:DayAccessed>30</b:DayAccessed>
    <b:URL>http://www.maine.gov/labor/cwri/disabilities/index.html</b:URL>
    <b:RefOrder>7</b:RefOrder>
  </b:Source>
  <b:Source>
    <b:Tag>Nat12</b:Tag>
    <b:SourceType>Report</b:SourceType>
    <b:Guid>{C4857893-0BD3-4D38-B171-630BD6B1DD2A}</b:Guid>
    <b:Author>
      <b:Author>
        <b:NameList>
          <b:Person>
            <b:Last>Statistics</b:Last>
            <b:First>National</b:First>
            <b:Middle>Center for Health</b:Middle>
          </b:Person>
        </b:NameList>
      </b:Author>
    </b:Author>
    <b:Title>Summary Health Statistics for U.S. Adults: National Health Interview Survey, 2012, tables 11, 12</b:Title>
    <b:Year>2012</b:Year>
    <b:Publisher>CDC</b:Publisher>
    <b:RefOrder>4</b:RefOrder>
  </b:Source>
  <b:Source>
    <b:Tag>Dav14</b:Tag>
    <b:SourceType>ArticleInAPeriodical</b:SourceType>
    <b:Guid>{C8764620-3571-4831-9E49-AA4EFB333E46}</b:Guid>
    <b:Title>WIOA: Will It Deliver on its Promise For Transition?</b:Title>
    <b:Year>2014</b:Year>
    <b:Author>
      <b:Author>
        <b:NameList>
          <b:Person>
            <b:Last>Hoff</b:Last>
            <b:First>David</b:First>
          </b:Person>
        </b:NameList>
      </b:Author>
    </b:Author>
    <b:PeriodicalTitle>APSE Connections</b:PeriodicalTitle>
    <b:Month>December</b:Month>
    <b:Pages>1 &amp; 2</b:Pages>
    <b:RefOrder>5</b:RefOrder>
  </b:Source>
  <b:Source>
    <b:Tag>Mai15</b:Tag>
    <b:SourceType>Report</b:SourceType>
    <b:Guid>{04BC9AD6-2E6D-4DCA-A404-76848FDC74E2}</b:Guid>
    <b:Author>
      <b:Author>
        <b:NameList>
          <b:Person>
            <b:Last>Labor</b:Last>
            <b:First>Maine</b:First>
            <b:Middle>Department of</b:Middle>
          </b:Person>
        </b:NameList>
      </b:Author>
    </b:Author>
    <b:Title>Maine Department of Labor Government Evaluation Act Report to the Joint Standing Committee on Labor December 2015</b:Title>
    <b:Year>2015</b:Year>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8CE41A-CAAD-49D4-8388-0AF18893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27</Pages>
  <Words>5206</Words>
  <Characters>29676</Characters>
  <Application>Microsoft Office Word</Application>
  <DocSecurity>0</DocSecurity>
  <Lines>247</Lines>
  <Paragraphs>69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Maine Division of Vocational Rehabilitation</vt:lpstr>
      <vt:lpstr>    </vt:lpstr>
      <vt:lpstr>    Social Security Recipients in Maine</vt:lpstr>
      <vt:lpstr>    Minority Populations in Maine</vt:lpstr>
      <vt:lpstr>    Students with Disabilities</vt:lpstr>
      <vt:lpstr>    Distribution of DVR Transition Counselors</vt:lpstr>
    </vt:vector>
  </TitlesOfParts>
  <Company>State of maine</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Vocational Rehabilitation</dc:title>
  <dc:subject>Comprehensive Statewide Needs Assessment - FFY 2018</dc:subject>
  <dc:creator>Blanchard, Dina</dc:creator>
  <cp:keywords/>
  <dc:description/>
  <cp:lastModifiedBy>Blanchard-O'Gara, Dina</cp:lastModifiedBy>
  <cp:revision>41</cp:revision>
  <cp:lastPrinted>2020-01-21T13:54:00Z</cp:lastPrinted>
  <dcterms:created xsi:type="dcterms:W3CDTF">2020-01-15T18:59:00Z</dcterms:created>
  <dcterms:modified xsi:type="dcterms:W3CDTF">2020-01-21T15:36:00Z</dcterms:modified>
</cp:coreProperties>
</file>