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A9E3" w14:textId="77777777" w:rsidR="00DF0ABA" w:rsidRDefault="00A31A85" w:rsidP="00625B7D">
      <w:pPr>
        <w:pStyle w:val="BodyText"/>
        <w:spacing w:after="0"/>
        <w:jc w:val="center"/>
        <w:rPr>
          <w:sz w:val="36"/>
          <w:szCs w:val="36"/>
        </w:rPr>
      </w:pPr>
      <w:r>
        <w:rPr>
          <w:sz w:val="36"/>
          <w:szCs w:val="36"/>
        </w:rPr>
        <w:t>Economic Impact Statement</w:t>
      </w:r>
    </w:p>
    <w:p w14:paraId="0FE247E1" w14:textId="77777777" w:rsidR="002F6F7B" w:rsidRDefault="008D6F4F" w:rsidP="002F6F7B">
      <w:pPr>
        <w:pStyle w:val="BodyText"/>
        <w:jc w:val="center"/>
        <w:rPr>
          <w:i/>
          <w:szCs w:val="24"/>
        </w:rPr>
      </w:pPr>
      <w:r>
        <w:rPr>
          <w:i/>
          <w:szCs w:val="24"/>
        </w:rPr>
        <w:t>(5 MRS</w:t>
      </w:r>
      <w:r w:rsidR="002F6F7B">
        <w:rPr>
          <w:i/>
          <w:szCs w:val="24"/>
        </w:rPr>
        <w:t xml:space="preserve"> §</w:t>
      </w:r>
      <w:r>
        <w:rPr>
          <w:i/>
          <w:szCs w:val="24"/>
        </w:rPr>
        <w:t xml:space="preserve"> </w:t>
      </w:r>
      <w:r w:rsidR="002F6F7B">
        <w:rPr>
          <w:i/>
          <w:szCs w:val="24"/>
        </w:rPr>
        <w:t>805</w:t>
      </w:r>
      <w:r w:rsidR="00A17621">
        <w:rPr>
          <w:i/>
          <w:szCs w:val="24"/>
        </w:rPr>
        <w:t>2(5-</w:t>
      </w:r>
      <w:r w:rsidR="002F6F7B">
        <w:rPr>
          <w:i/>
          <w:szCs w:val="24"/>
        </w:rPr>
        <w:t>A)</w:t>
      </w:r>
      <w:r w:rsidR="00A31A85">
        <w:rPr>
          <w:i/>
          <w:szCs w:val="24"/>
        </w:rPr>
        <w:t>)</w:t>
      </w:r>
    </w:p>
    <w:p w14:paraId="76EC311E" w14:textId="70C468BC" w:rsidR="002F6F7B" w:rsidRDefault="002F6F7B" w:rsidP="00B75C13">
      <w:pPr>
        <w:pStyle w:val="BodyText"/>
      </w:pPr>
      <w:r>
        <w:t>AGENCY:</w:t>
      </w:r>
      <w:r w:rsidR="001A6FDF">
        <w:t xml:space="preserve"> </w:t>
      </w:r>
      <w:bookmarkStart w:id="0" w:name="Text4"/>
      <w:r w:rsidR="00436301">
        <w:t xml:space="preserve">Department of Professional and Financial Regulation, Office of Professional and Occupational Regulation, </w:t>
      </w:r>
      <w:bookmarkEnd w:id="0"/>
      <w:r w:rsidR="00116422">
        <w:t>Board of Optometry.</w:t>
      </w:r>
    </w:p>
    <w:p w14:paraId="5290D3CC" w14:textId="78136270" w:rsidR="00116422" w:rsidRDefault="002F6F7B" w:rsidP="00B75C13">
      <w:pPr>
        <w:pStyle w:val="BodyText"/>
      </w:pPr>
      <w:r>
        <w:t xml:space="preserve">NAME, ADDRESS, PHONE NUMBER OF AGENCY CONTACT PERSON: </w:t>
      </w:r>
      <w:r w:rsidR="00116422">
        <w:t>Tina Carpentier</w:t>
      </w:r>
      <w:r w:rsidR="004B4074" w:rsidRPr="006025DC">
        <w:t xml:space="preserve">, Board </w:t>
      </w:r>
      <w:r w:rsidR="00116422">
        <w:t>Office Specialist II</w:t>
      </w:r>
      <w:r w:rsidR="004B4074" w:rsidRPr="006025DC">
        <w:t xml:space="preserve">, </w:t>
      </w:r>
      <w:r w:rsidR="00116422">
        <w:t>113</w:t>
      </w:r>
      <w:r w:rsidR="004B4074" w:rsidRPr="006025DC">
        <w:t xml:space="preserve"> State House Station, Augusta, ME  04333, tel. (207) 624-8</w:t>
      </w:r>
      <w:r w:rsidR="00116422">
        <w:t>691</w:t>
      </w:r>
    </w:p>
    <w:p w14:paraId="5AAC924F" w14:textId="77777777" w:rsidR="00116422" w:rsidRDefault="00116422" w:rsidP="0011642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0B25C611" w14:textId="77777777" w:rsidR="00116422" w:rsidRDefault="00116422" w:rsidP="00116422">
      <w:pPr>
        <w:tabs>
          <w:tab w:val="left" w:pos="-1440"/>
          <w:tab w:val="left" w:pos="-720"/>
          <w:tab w:val="left" w:pos="540"/>
          <w:tab w:val="left" w:pos="10440"/>
        </w:tabs>
        <w:ind w:left="540" w:right="360" w:hanging="540"/>
        <w:rPr>
          <w:rFonts w:ascii="CG Times" w:hAnsi="CG Times"/>
          <w:sz w:val="22"/>
        </w:rPr>
      </w:pPr>
      <w:r>
        <w:rPr>
          <w:rFonts w:ascii="CG Times" w:hAnsi="CG Times"/>
          <w:sz w:val="22"/>
        </w:rPr>
        <w:t>CHAPTER NUMBER AND RULE TITLE:</w:t>
      </w:r>
    </w:p>
    <w:p w14:paraId="3736AB5E" w14:textId="77777777" w:rsidR="00116422" w:rsidRDefault="00116422" w:rsidP="00116422">
      <w:pPr>
        <w:tabs>
          <w:tab w:val="left" w:pos="-1440"/>
          <w:tab w:val="left" w:pos="-720"/>
          <w:tab w:val="left" w:pos="540"/>
          <w:tab w:val="left" w:pos="10440"/>
        </w:tabs>
        <w:ind w:left="540" w:right="360" w:hanging="540"/>
        <w:rPr>
          <w:sz w:val="22"/>
          <w:szCs w:val="22"/>
        </w:rPr>
      </w:pPr>
    </w:p>
    <w:p w14:paraId="3CCC46AA" w14:textId="5A2B6961" w:rsidR="00116422" w:rsidRDefault="00116422" w:rsidP="00D81F30">
      <w:pPr>
        <w:tabs>
          <w:tab w:val="left" w:pos="-1440"/>
          <w:tab w:val="left" w:pos="-720"/>
          <w:tab w:val="left" w:pos="10440"/>
        </w:tabs>
        <w:ind w:left="990" w:right="360" w:hanging="990"/>
        <w:rPr>
          <w:sz w:val="22"/>
          <w:szCs w:val="22"/>
        </w:rPr>
      </w:pPr>
      <w:r>
        <w:rPr>
          <w:sz w:val="22"/>
          <w:szCs w:val="22"/>
        </w:rPr>
        <w:t xml:space="preserve">Chapter 1: </w:t>
      </w:r>
      <w:r w:rsidR="00D81F30">
        <w:rPr>
          <w:sz w:val="22"/>
          <w:szCs w:val="22"/>
        </w:rPr>
        <w:t xml:space="preserve">Examination; Approved Schools; License Renewal; Licensure by Endorsement; </w:t>
      </w:r>
      <w:r>
        <w:rPr>
          <w:sz w:val="22"/>
          <w:szCs w:val="22"/>
        </w:rPr>
        <w:t>Fees</w:t>
      </w:r>
      <w:r w:rsidR="00D81F30">
        <w:rPr>
          <w:sz w:val="22"/>
          <w:szCs w:val="22"/>
        </w:rPr>
        <w:t>; Continuing Education</w:t>
      </w:r>
      <w:r>
        <w:rPr>
          <w:sz w:val="22"/>
          <w:szCs w:val="22"/>
        </w:rPr>
        <w:t xml:space="preserve">, </w:t>
      </w:r>
    </w:p>
    <w:p w14:paraId="06EDB5C8" w14:textId="74A5226F" w:rsidR="00116422" w:rsidRDefault="00116422" w:rsidP="00116422">
      <w:pPr>
        <w:tabs>
          <w:tab w:val="left" w:pos="-1440"/>
          <w:tab w:val="left" w:pos="-720"/>
          <w:tab w:val="left" w:pos="540"/>
          <w:tab w:val="left" w:pos="10440"/>
        </w:tabs>
        <w:ind w:left="540" w:right="360" w:hanging="540"/>
        <w:rPr>
          <w:sz w:val="22"/>
          <w:szCs w:val="22"/>
        </w:rPr>
      </w:pPr>
      <w:r>
        <w:rPr>
          <w:sz w:val="22"/>
          <w:szCs w:val="22"/>
        </w:rPr>
        <w:t xml:space="preserve">Chapter </w:t>
      </w:r>
      <w:r w:rsidR="006316CB">
        <w:rPr>
          <w:sz w:val="22"/>
          <w:szCs w:val="22"/>
        </w:rPr>
        <w:t>2</w:t>
      </w:r>
      <w:r>
        <w:rPr>
          <w:sz w:val="22"/>
          <w:szCs w:val="22"/>
        </w:rPr>
        <w:t xml:space="preserve">: </w:t>
      </w:r>
      <w:r w:rsidR="00D81F30">
        <w:rPr>
          <w:sz w:val="22"/>
          <w:szCs w:val="22"/>
        </w:rPr>
        <w:t xml:space="preserve">Advisory Rulings </w:t>
      </w:r>
    </w:p>
    <w:p w14:paraId="482CACB8" w14:textId="3A0E6911" w:rsidR="00116422" w:rsidRDefault="00116422" w:rsidP="00116422">
      <w:pPr>
        <w:tabs>
          <w:tab w:val="left" w:pos="-1440"/>
          <w:tab w:val="left" w:pos="-720"/>
          <w:tab w:val="left" w:pos="540"/>
          <w:tab w:val="left" w:pos="10440"/>
        </w:tabs>
        <w:ind w:left="540" w:right="360" w:hanging="540"/>
        <w:rPr>
          <w:sz w:val="22"/>
          <w:szCs w:val="22"/>
        </w:rPr>
      </w:pPr>
      <w:r>
        <w:rPr>
          <w:sz w:val="22"/>
          <w:szCs w:val="22"/>
        </w:rPr>
        <w:t xml:space="preserve">Chapter </w:t>
      </w:r>
      <w:r w:rsidR="006316CB">
        <w:rPr>
          <w:sz w:val="22"/>
          <w:szCs w:val="22"/>
        </w:rPr>
        <w:t>3</w:t>
      </w:r>
      <w:r>
        <w:rPr>
          <w:sz w:val="22"/>
          <w:szCs w:val="22"/>
        </w:rPr>
        <w:t xml:space="preserve">: </w:t>
      </w:r>
      <w:r w:rsidR="00D81F30">
        <w:rPr>
          <w:sz w:val="22"/>
          <w:szCs w:val="22"/>
        </w:rPr>
        <w:t xml:space="preserve">Enforcement, Disciplinary Procedures and Appeals </w:t>
      </w:r>
    </w:p>
    <w:p w14:paraId="735D6E33" w14:textId="48936AA4" w:rsidR="00116422" w:rsidRDefault="00116422" w:rsidP="00116422">
      <w:pPr>
        <w:tabs>
          <w:tab w:val="left" w:pos="-1440"/>
          <w:tab w:val="left" w:pos="-720"/>
          <w:tab w:val="left" w:pos="540"/>
          <w:tab w:val="left" w:pos="10440"/>
        </w:tabs>
        <w:ind w:left="540" w:right="360" w:hanging="540"/>
        <w:rPr>
          <w:sz w:val="22"/>
          <w:szCs w:val="22"/>
        </w:rPr>
      </w:pPr>
      <w:r>
        <w:rPr>
          <w:sz w:val="22"/>
          <w:szCs w:val="22"/>
        </w:rPr>
        <w:t xml:space="preserve">Chapter </w:t>
      </w:r>
      <w:r w:rsidR="006316CB">
        <w:rPr>
          <w:sz w:val="22"/>
          <w:szCs w:val="22"/>
        </w:rPr>
        <w:t>4</w:t>
      </w:r>
      <w:r>
        <w:rPr>
          <w:sz w:val="22"/>
          <w:szCs w:val="22"/>
        </w:rPr>
        <w:t xml:space="preserve">: Telehealth Standards, </w:t>
      </w:r>
      <w:r w:rsidR="00D81F30">
        <w:rPr>
          <w:sz w:val="22"/>
          <w:szCs w:val="22"/>
        </w:rPr>
        <w:t>U</w:t>
      </w:r>
      <w:r>
        <w:rPr>
          <w:sz w:val="22"/>
          <w:szCs w:val="22"/>
        </w:rPr>
        <w:t>se</w:t>
      </w:r>
      <w:r w:rsidR="00D81F30">
        <w:rPr>
          <w:sz w:val="22"/>
          <w:szCs w:val="22"/>
        </w:rPr>
        <w:t>s</w:t>
      </w:r>
      <w:r>
        <w:rPr>
          <w:sz w:val="22"/>
          <w:szCs w:val="22"/>
        </w:rPr>
        <w:t xml:space="preserve"> and Limitations, </w:t>
      </w:r>
    </w:p>
    <w:p w14:paraId="2975D943" w14:textId="6F4AD1DD" w:rsidR="00116422" w:rsidRPr="006173A1" w:rsidRDefault="00116422" w:rsidP="00116422">
      <w:pPr>
        <w:tabs>
          <w:tab w:val="left" w:pos="-1440"/>
          <w:tab w:val="left" w:pos="-720"/>
          <w:tab w:val="left" w:pos="540"/>
          <w:tab w:val="left" w:pos="10440"/>
        </w:tabs>
        <w:ind w:left="540" w:right="360" w:hanging="540"/>
        <w:rPr>
          <w:sz w:val="22"/>
          <w:szCs w:val="22"/>
        </w:rPr>
      </w:pPr>
      <w:r>
        <w:rPr>
          <w:sz w:val="22"/>
          <w:szCs w:val="22"/>
        </w:rPr>
        <w:t xml:space="preserve">Chapter </w:t>
      </w:r>
      <w:r w:rsidR="006316CB">
        <w:rPr>
          <w:sz w:val="22"/>
          <w:szCs w:val="22"/>
        </w:rPr>
        <w:t>5</w:t>
      </w:r>
      <w:r>
        <w:rPr>
          <w:sz w:val="22"/>
          <w:szCs w:val="22"/>
        </w:rPr>
        <w:t xml:space="preserve">: Code of Ethics. </w:t>
      </w:r>
    </w:p>
    <w:p w14:paraId="199A9757" w14:textId="77777777" w:rsidR="00116422" w:rsidRDefault="00116422" w:rsidP="00B75C13">
      <w:pPr>
        <w:pStyle w:val="BodyText"/>
        <w:contextualSpacing/>
      </w:pPr>
    </w:p>
    <w:p w14:paraId="05989A6B" w14:textId="77777777" w:rsidR="00FC1F12" w:rsidRDefault="00FC1F12" w:rsidP="00B75C13">
      <w:pPr>
        <w:pStyle w:val="BodyText"/>
        <w:tabs>
          <w:tab w:val="right" w:leader="dot" w:pos="9360"/>
        </w:tabs>
        <w:spacing w:after="0"/>
      </w:pPr>
    </w:p>
    <w:p w14:paraId="4A689E89" w14:textId="7DA43A11" w:rsidR="007F0B51" w:rsidRDefault="00A17621" w:rsidP="00B75C13">
      <w:pPr>
        <w:pStyle w:val="BodyText"/>
        <w:tabs>
          <w:tab w:val="right" w:leader="dot" w:pos="9360"/>
        </w:tabs>
        <w:spacing w:after="0"/>
        <w:rPr>
          <w:noProof/>
        </w:rPr>
      </w:pPr>
      <w:r>
        <w:t>TYPES AND NUMBER OF SMALL BUSINESS</w:t>
      </w:r>
      <w:r w:rsidR="00D538A6">
        <w:t>ES</w:t>
      </w:r>
      <w:r>
        <w:t xml:space="preserve"> SUBJECT TO THE RULE: </w:t>
      </w:r>
      <w:r w:rsidR="00D538A6" w:rsidRPr="006F1821">
        <w:rPr>
          <w:noProof/>
        </w:rPr>
        <w:t xml:space="preserve">The </w:t>
      </w:r>
      <w:r w:rsidR="00116422">
        <w:rPr>
          <w:noProof/>
        </w:rPr>
        <w:t>Maine Board of Optometry</w:t>
      </w:r>
      <w:r w:rsidR="00E7271A">
        <w:t xml:space="preserve"> Licensing Board</w:t>
      </w:r>
      <w:r w:rsidR="00D538A6">
        <w:rPr>
          <w:noProof/>
        </w:rPr>
        <w:t xml:space="preserve"> </w:t>
      </w:r>
      <w:r w:rsidR="00E7271A">
        <w:rPr>
          <w:noProof/>
        </w:rPr>
        <w:t>(“</w:t>
      </w:r>
      <w:r w:rsidR="001D65B5">
        <w:rPr>
          <w:noProof/>
        </w:rPr>
        <w:t xml:space="preserve">board”) currently licenses </w:t>
      </w:r>
      <w:r w:rsidR="00116422">
        <w:rPr>
          <w:noProof/>
        </w:rPr>
        <w:t>251 licensees.</w:t>
      </w:r>
      <w:r w:rsidR="004B062C">
        <w:rPr>
          <w:noProof/>
        </w:rPr>
        <w:t xml:space="preserve">  </w:t>
      </w:r>
      <w:r w:rsidR="00D538A6" w:rsidRPr="006F1821">
        <w:rPr>
          <w:noProof/>
        </w:rPr>
        <w:t>Title 5 MRS §</w:t>
      </w:r>
      <w:r w:rsidR="00D538A6">
        <w:rPr>
          <w:noProof/>
        </w:rPr>
        <w:t xml:space="preserve"> </w:t>
      </w:r>
      <w:r w:rsidR="00D538A6" w:rsidRPr="006F1821">
        <w:rPr>
          <w:noProof/>
        </w:rPr>
        <w:t>8052(5-A) defines “small business” as businesses that have 20 or fewer employees.</w:t>
      </w:r>
      <w:r w:rsidR="00BE77A1">
        <w:rPr>
          <w:noProof/>
        </w:rPr>
        <w:t xml:space="preserve">  </w:t>
      </w:r>
      <w:r w:rsidR="00D538A6" w:rsidRPr="006F1821">
        <w:rPr>
          <w:noProof/>
        </w:rPr>
        <w:t xml:space="preserve">The board does not collect </w:t>
      </w:r>
      <w:r w:rsidR="00D538A6">
        <w:rPr>
          <w:noProof/>
        </w:rPr>
        <w:t>sufficient information</w:t>
      </w:r>
      <w:r w:rsidR="00D538A6" w:rsidRPr="006F1821">
        <w:rPr>
          <w:noProof/>
        </w:rPr>
        <w:t xml:space="preserve"> to</w:t>
      </w:r>
      <w:r w:rsidR="00526C91">
        <w:rPr>
          <w:noProof/>
        </w:rPr>
        <w:t xml:space="preserve"> </w:t>
      </w:r>
      <w:r w:rsidR="00D538A6" w:rsidRPr="006F1821">
        <w:rPr>
          <w:noProof/>
        </w:rPr>
        <w:t xml:space="preserve">reliably </w:t>
      </w:r>
      <w:r w:rsidR="00BE77A1">
        <w:rPr>
          <w:noProof/>
        </w:rPr>
        <w:t>estimate</w:t>
      </w:r>
      <w:r w:rsidR="00D538A6">
        <w:rPr>
          <w:noProof/>
        </w:rPr>
        <w:t xml:space="preserve"> the number of licensees </w:t>
      </w:r>
      <w:r w:rsidR="005A2337">
        <w:rPr>
          <w:noProof/>
        </w:rPr>
        <w:t>that</w:t>
      </w:r>
      <w:r w:rsidR="00D538A6">
        <w:rPr>
          <w:noProof/>
        </w:rPr>
        <w:t xml:space="preserve"> are </w:t>
      </w:r>
      <w:r w:rsidR="00D538A6" w:rsidRPr="006F1821">
        <w:rPr>
          <w:noProof/>
        </w:rPr>
        <w:t>small business</w:t>
      </w:r>
      <w:r w:rsidR="00D538A6">
        <w:rPr>
          <w:noProof/>
        </w:rPr>
        <w:t>es</w:t>
      </w:r>
      <w:r w:rsidR="00D538A6" w:rsidRPr="006F1821">
        <w:rPr>
          <w:noProof/>
        </w:rPr>
        <w:t xml:space="preserve"> as defined in 5 M</w:t>
      </w:r>
      <w:r w:rsidR="00BF05DB">
        <w:rPr>
          <w:noProof/>
        </w:rPr>
        <w:t>.</w:t>
      </w:r>
      <w:r w:rsidR="00D538A6" w:rsidRPr="006F1821">
        <w:rPr>
          <w:noProof/>
        </w:rPr>
        <w:t>R</w:t>
      </w:r>
      <w:r w:rsidR="00BF05DB">
        <w:rPr>
          <w:noProof/>
        </w:rPr>
        <w:t>.</w:t>
      </w:r>
      <w:r w:rsidR="00D538A6" w:rsidRPr="006F1821">
        <w:rPr>
          <w:noProof/>
        </w:rPr>
        <w:t>S</w:t>
      </w:r>
      <w:r w:rsidR="00BF05DB">
        <w:rPr>
          <w:noProof/>
        </w:rPr>
        <w:t>.</w:t>
      </w:r>
      <w:r w:rsidR="00D538A6" w:rsidRPr="006F1821">
        <w:rPr>
          <w:noProof/>
        </w:rPr>
        <w:t xml:space="preserve"> §</w:t>
      </w:r>
      <w:r w:rsidR="00D538A6">
        <w:rPr>
          <w:noProof/>
        </w:rPr>
        <w:t xml:space="preserve"> </w:t>
      </w:r>
      <w:r w:rsidR="00D538A6" w:rsidRPr="006F1821">
        <w:rPr>
          <w:noProof/>
        </w:rPr>
        <w:t>8052(5-A).</w:t>
      </w:r>
    </w:p>
    <w:p w14:paraId="42846108" w14:textId="77777777" w:rsidR="007F27F3" w:rsidRDefault="007F27F3" w:rsidP="00B75C13">
      <w:pPr>
        <w:pStyle w:val="BodyText"/>
        <w:tabs>
          <w:tab w:val="right" w:leader="dot" w:pos="9360"/>
        </w:tabs>
        <w:spacing w:after="0"/>
        <w:rPr>
          <w:noProof/>
        </w:rPr>
      </w:pPr>
    </w:p>
    <w:p w14:paraId="35A93071" w14:textId="048B0D93" w:rsidR="00EC7964" w:rsidRDefault="008153AB" w:rsidP="00B75C13">
      <w:pPr>
        <w:pStyle w:val="BodyText"/>
        <w:tabs>
          <w:tab w:val="right" w:leader="dot" w:pos="9360"/>
        </w:tabs>
        <w:spacing w:after="0"/>
        <w:rPr>
          <w:noProof/>
        </w:rPr>
      </w:pPr>
      <w:r>
        <w:rPr>
          <w:noProof/>
        </w:rPr>
        <w:t>PROJECTED REPORTING, RECORD-KEEPING AND OTHER ADMINISTRATIVE COSTS REQUIRED FOR COMPLIANCE WITH THE PROPOSED RULE, INCLUDING THE TYPE OF PROFESSIONAL SKILLS NECESSARY FOR PREPARATION OF THE REPORT OR RECORD:</w:t>
      </w:r>
    </w:p>
    <w:p w14:paraId="6D1A8C87" w14:textId="605F8C28" w:rsidR="00DB0754" w:rsidRPr="00283ACE" w:rsidRDefault="00EC7964" w:rsidP="00283ACE">
      <w:pPr>
        <w:pStyle w:val="Heading1"/>
        <w:spacing w:before="210"/>
        <w:ind w:left="0"/>
        <w:rPr>
          <w:u w:val="none"/>
        </w:rPr>
      </w:pPr>
      <w:r w:rsidRPr="00350C3D">
        <w:rPr>
          <w:u w:val="none"/>
        </w:rPr>
        <w:t xml:space="preserve">CHAPTER </w:t>
      </w:r>
      <w:r w:rsidR="006316CB">
        <w:rPr>
          <w:u w:val="none"/>
        </w:rPr>
        <w:t>4</w:t>
      </w:r>
      <w:r w:rsidR="00D81F30" w:rsidRPr="00350C3D">
        <w:rPr>
          <w:u w:val="none"/>
        </w:rPr>
        <w:t xml:space="preserve"> of the Proposed rules includes the requirement that if an optometrist uses telehealth where he or she is not in the same room as the patient and a technician is used in the provision of telehealth care, that the optometrist use a “Qualified Technician.  </w:t>
      </w:r>
      <w:r w:rsidR="00283ACE" w:rsidRPr="00350C3D">
        <w:rPr>
          <w:u w:val="none"/>
        </w:rPr>
        <w:t>In relevant part, a</w:t>
      </w:r>
      <w:r w:rsidR="00D81F30" w:rsidRPr="00350C3D">
        <w:rPr>
          <w:u w:val="none"/>
        </w:rPr>
        <w:t xml:space="preserve"> </w:t>
      </w:r>
      <w:r w:rsidR="00283ACE" w:rsidRPr="00350C3D">
        <w:rPr>
          <w:u w:val="none"/>
        </w:rPr>
        <w:t>Q</w:t>
      </w:r>
      <w:r w:rsidR="00D81F30" w:rsidRPr="00350C3D">
        <w:rPr>
          <w:u w:val="none"/>
        </w:rPr>
        <w:t xml:space="preserve">ualified </w:t>
      </w:r>
      <w:r w:rsidR="00283ACE" w:rsidRPr="00350C3D">
        <w:rPr>
          <w:u w:val="none"/>
        </w:rPr>
        <w:t>T</w:t>
      </w:r>
      <w:r w:rsidR="00D81F30" w:rsidRPr="00350C3D">
        <w:rPr>
          <w:u w:val="none"/>
        </w:rPr>
        <w:t xml:space="preserve">echnician is </w:t>
      </w:r>
      <w:r w:rsidR="00283ACE" w:rsidRPr="00350C3D">
        <w:rPr>
          <w:u w:val="none"/>
        </w:rPr>
        <w:t>defined as a technician who is</w:t>
      </w:r>
      <w:r w:rsidR="00283ACE">
        <w:t xml:space="preserve"> </w:t>
      </w:r>
      <w:r w:rsidR="00DB0754" w:rsidRPr="00283ACE">
        <w:rPr>
          <w:u w:val="none"/>
        </w:rPr>
        <w:t>certified by the Commission on Paraoptometric Certification (CPC) as a Certified Paraoptometric Assistant (CPOA) or higher level (Certified Paraoptometric</w:t>
      </w:r>
      <w:r w:rsidR="00DB0754" w:rsidRPr="00283ACE">
        <w:rPr>
          <w:spacing w:val="-5"/>
          <w:u w:val="none"/>
        </w:rPr>
        <w:t xml:space="preserve"> </w:t>
      </w:r>
      <w:r w:rsidR="00DB0754" w:rsidRPr="00283ACE">
        <w:rPr>
          <w:u w:val="none"/>
        </w:rPr>
        <w:t>Technician/CPOT),</w:t>
      </w:r>
      <w:r w:rsidR="00DB0754" w:rsidRPr="00283ACE">
        <w:rPr>
          <w:spacing w:val="-4"/>
          <w:u w:val="none"/>
        </w:rPr>
        <w:t xml:space="preserve"> </w:t>
      </w:r>
      <w:r w:rsidR="00DB0754" w:rsidRPr="00283ACE">
        <w:rPr>
          <w:u w:val="none"/>
        </w:rPr>
        <w:t>or</w:t>
      </w:r>
      <w:r w:rsidR="00DB0754" w:rsidRPr="00283ACE">
        <w:rPr>
          <w:spacing w:val="-6"/>
          <w:u w:val="none"/>
        </w:rPr>
        <w:t xml:space="preserve"> </w:t>
      </w:r>
      <w:r w:rsidR="00DB0754" w:rsidRPr="00283ACE">
        <w:rPr>
          <w:u w:val="none"/>
        </w:rPr>
        <w:t>certified</w:t>
      </w:r>
      <w:r w:rsidR="00DB0754" w:rsidRPr="00283ACE">
        <w:rPr>
          <w:spacing w:val="-4"/>
          <w:u w:val="none"/>
        </w:rPr>
        <w:t xml:space="preserve"> </w:t>
      </w:r>
      <w:r w:rsidR="00DB0754" w:rsidRPr="00283ACE">
        <w:rPr>
          <w:u w:val="none"/>
        </w:rPr>
        <w:t>by</w:t>
      </w:r>
      <w:r w:rsidR="00DB0754" w:rsidRPr="00283ACE">
        <w:rPr>
          <w:spacing w:val="-4"/>
          <w:u w:val="none"/>
        </w:rPr>
        <w:t xml:space="preserve"> </w:t>
      </w:r>
      <w:r w:rsidR="00DB0754" w:rsidRPr="00283ACE">
        <w:rPr>
          <w:u w:val="none"/>
        </w:rPr>
        <w:t>the</w:t>
      </w:r>
      <w:r w:rsidR="00DB0754" w:rsidRPr="00283ACE">
        <w:rPr>
          <w:spacing w:val="-4"/>
          <w:u w:val="none"/>
        </w:rPr>
        <w:t xml:space="preserve"> </w:t>
      </w:r>
      <w:r w:rsidR="00DB0754" w:rsidRPr="00283ACE">
        <w:rPr>
          <w:u w:val="none"/>
        </w:rPr>
        <w:t>Joint</w:t>
      </w:r>
      <w:r w:rsidR="00DB0754" w:rsidRPr="00283ACE">
        <w:rPr>
          <w:spacing w:val="-4"/>
          <w:u w:val="none"/>
        </w:rPr>
        <w:t xml:space="preserve"> </w:t>
      </w:r>
      <w:r w:rsidR="00DB0754" w:rsidRPr="00283ACE">
        <w:rPr>
          <w:u w:val="none"/>
        </w:rPr>
        <w:t>Commission</w:t>
      </w:r>
      <w:r w:rsidR="00DB0754" w:rsidRPr="00283ACE">
        <w:rPr>
          <w:spacing w:val="-4"/>
          <w:u w:val="none"/>
        </w:rPr>
        <w:t xml:space="preserve"> </w:t>
      </w:r>
      <w:r w:rsidR="00DB0754" w:rsidRPr="00283ACE">
        <w:rPr>
          <w:u w:val="none"/>
        </w:rPr>
        <w:t>on</w:t>
      </w:r>
      <w:r w:rsidR="00DB0754" w:rsidRPr="00283ACE">
        <w:rPr>
          <w:spacing w:val="-4"/>
          <w:u w:val="none"/>
        </w:rPr>
        <w:t xml:space="preserve"> </w:t>
      </w:r>
      <w:r w:rsidR="00DB0754" w:rsidRPr="00283ACE">
        <w:rPr>
          <w:u w:val="none"/>
        </w:rPr>
        <w:t>Allied</w:t>
      </w:r>
      <w:r w:rsidR="00DB0754" w:rsidRPr="00283ACE">
        <w:rPr>
          <w:spacing w:val="-4"/>
          <w:u w:val="none"/>
        </w:rPr>
        <w:t xml:space="preserve"> </w:t>
      </w:r>
      <w:r w:rsidR="00DB0754" w:rsidRPr="00283ACE">
        <w:rPr>
          <w:u w:val="none"/>
        </w:rPr>
        <w:t>Health</w:t>
      </w:r>
      <w:r w:rsidR="00DB0754" w:rsidRPr="00283ACE">
        <w:rPr>
          <w:spacing w:val="-4"/>
          <w:u w:val="none"/>
        </w:rPr>
        <w:t xml:space="preserve"> </w:t>
      </w:r>
      <w:r w:rsidR="00DB0754" w:rsidRPr="00283ACE">
        <w:rPr>
          <w:u w:val="none"/>
        </w:rPr>
        <w:t>Personnel in Ophthalmology (JCAHPO) as a Certified Ophthalmic Assistant (COA) or higher level (Certified Ophthalmic Technician/COT, Certified Ophthalmic Medical Technologist/COMT).</w:t>
      </w:r>
    </w:p>
    <w:p w14:paraId="2A96D94B" w14:textId="77777777" w:rsidR="00B41505" w:rsidRDefault="00B41505" w:rsidP="00B75C13">
      <w:pPr>
        <w:pStyle w:val="BodyText"/>
        <w:tabs>
          <w:tab w:val="right" w:leader="dot" w:pos="8640"/>
        </w:tabs>
        <w:spacing w:after="0"/>
      </w:pPr>
    </w:p>
    <w:p w14:paraId="7FF5F121" w14:textId="7BB443A1" w:rsidR="008153AB" w:rsidRPr="00DB0754" w:rsidRDefault="008153AB" w:rsidP="00DB0754">
      <w:pPr>
        <w:pStyle w:val="BodyText"/>
      </w:pPr>
      <w:r>
        <w:rPr>
          <w:szCs w:val="24"/>
        </w:rPr>
        <w:t>PROBABLE IMPACT ON AFFECTED SMALL BUSINESSES:</w:t>
      </w:r>
    </w:p>
    <w:p w14:paraId="19661145" w14:textId="1C6BBF2C" w:rsidR="00283ACE" w:rsidRDefault="00713566" w:rsidP="00C82864">
      <w:pPr>
        <w:pStyle w:val="BodyText"/>
      </w:pPr>
      <w:r>
        <w:rPr>
          <w:noProof/>
        </w:rPr>
        <w:t>D</w:t>
      </w:r>
      <w:r>
        <w:t>ue to the increasing practice of telehealth, ensuring a minimum level qualification of technicians is critical</w:t>
      </w:r>
      <w:r w:rsidRPr="00713566">
        <w:t xml:space="preserve"> </w:t>
      </w:r>
      <w:r>
        <w:t>where there is not a licensed optometrist on site</w:t>
      </w:r>
      <w:r w:rsidR="00350C3D">
        <w:t xml:space="preserve">.  </w:t>
      </w:r>
      <w:r w:rsidR="00304899">
        <w:t xml:space="preserve">The costs associated with </w:t>
      </w:r>
      <w:r w:rsidR="00C826B6">
        <w:t xml:space="preserve">the </w:t>
      </w:r>
      <w:r w:rsidR="00283ACE">
        <w:t>use of Qualified T</w:t>
      </w:r>
      <w:r w:rsidR="0065233F">
        <w:t>echnician</w:t>
      </w:r>
      <w:r w:rsidR="00C826B6">
        <w:t xml:space="preserve"> program</w:t>
      </w:r>
      <w:r w:rsidR="00283ACE">
        <w:t xml:space="preserve"> is incurred only by optometrists who wish to provide telehealth services when the optometrist is not in the same location as the patient and the </w:t>
      </w:r>
      <w:r w:rsidR="00350C3D">
        <w:lastRenderedPageBreak/>
        <w:t>o</w:t>
      </w:r>
      <w:r w:rsidR="00283ACE">
        <w:t xml:space="preserve">ptometrist uses a technician to assist in the provision of telehealth care.  This will not include every optometrist in Maine.  </w:t>
      </w:r>
    </w:p>
    <w:p w14:paraId="5B3972D4" w14:textId="583DA047" w:rsidR="00283ACE" w:rsidRDefault="00283ACE" w:rsidP="00C82864">
      <w:pPr>
        <w:pStyle w:val="BodyText"/>
      </w:pPr>
      <w:r>
        <w:t>For optometrists who wish</w:t>
      </w:r>
      <w:r w:rsidR="00195E0D">
        <w:t>es</w:t>
      </w:r>
      <w:r>
        <w:t xml:space="preserve"> to use a Qualified Technician, the cost of becoming certified</w:t>
      </w:r>
      <w:r w:rsidR="00304899">
        <w:t xml:space="preserve"> </w:t>
      </w:r>
      <w:r w:rsidR="0065233F">
        <w:t xml:space="preserve">could be covered by the </w:t>
      </w:r>
      <w:r w:rsidR="00350C3D">
        <w:t>o</w:t>
      </w:r>
      <w:r w:rsidR="0065233F">
        <w:t>ptometrist.</w:t>
      </w:r>
      <w:r w:rsidR="00C162DB">
        <w:t xml:space="preserve">  However, if a</w:t>
      </w:r>
      <w:r w:rsidR="0065233F">
        <w:t>n</w:t>
      </w:r>
      <w:r w:rsidR="00C162DB">
        <w:t xml:space="preserve"> </w:t>
      </w:r>
      <w:r w:rsidR="00350C3D">
        <w:t>o</w:t>
      </w:r>
      <w:r w:rsidR="0065233F">
        <w:t>ptometrist</w:t>
      </w:r>
      <w:r w:rsidR="00C162DB">
        <w:t xml:space="preserve"> is unable to cover the costs of training, that the costs </w:t>
      </w:r>
      <w:r w:rsidR="0065233F">
        <w:t>w</w:t>
      </w:r>
      <w:r w:rsidR="00C162DB">
        <w:t xml:space="preserve">ould fall to the </w:t>
      </w:r>
      <w:r w:rsidR="00E7271A">
        <w:t>individual</w:t>
      </w:r>
      <w:r w:rsidR="0065233F">
        <w:t xml:space="preserve"> technician.</w:t>
      </w:r>
      <w:r w:rsidR="00C162DB">
        <w:t xml:space="preserve"> </w:t>
      </w:r>
      <w:r w:rsidR="00C82864">
        <w:t>(technicians are not regulated with the State of Maine)</w:t>
      </w:r>
    </w:p>
    <w:p w14:paraId="39E3108E" w14:textId="6C994089" w:rsidR="00C82864" w:rsidRDefault="007C192A" w:rsidP="00C82864">
      <w:pPr>
        <w:pStyle w:val="BodyText"/>
        <w:rPr>
          <w:noProof/>
        </w:rPr>
      </w:pPr>
      <w:r>
        <w:t xml:space="preserve">Optometrists can elect to provide the training needed to their technicians or the optometrist or person seeking certification can take a training program.  </w:t>
      </w:r>
      <w:r w:rsidR="00EC7964">
        <w:t>Th</w:t>
      </w:r>
      <w:r w:rsidR="004C3504" w:rsidRPr="009C1FEF">
        <w:rPr>
          <w:noProof/>
        </w:rPr>
        <w:t xml:space="preserve">e cost of such a </w:t>
      </w:r>
      <w:r w:rsidR="00C5284B">
        <w:rPr>
          <w:noProof/>
        </w:rPr>
        <w:t xml:space="preserve">training </w:t>
      </w:r>
      <w:r w:rsidR="004C3504">
        <w:rPr>
          <w:noProof/>
        </w:rPr>
        <w:t>progam</w:t>
      </w:r>
      <w:r w:rsidR="00350C3D">
        <w:rPr>
          <w:noProof/>
        </w:rPr>
        <w:t xml:space="preserve"> and the certification examination</w:t>
      </w:r>
      <w:r w:rsidR="00EC7964">
        <w:rPr>
          <w:noProof/>
        </w:rPr>
        <w:t xml:space="preserve"> is</w:t>
      </w:r>
      <w:r w:rsidR="00350C3D">
        <w:rPr>
          <w:noProof/>
        </w:rPr>
        <w:t xml:space="preserve"> listed below.  </w:t>
      </w:r>
    </w:p>
    <w:p w14:paraId="184F581A" w14:textId="390B452D" w:rsidR="00350C3D" w:rsidRDefault="00350C3D" w:rsidP="00C82864">
      <w:pPr>
        <w:pStyle w:val="BodyText"/>
        <w:rPr>
          <w:noProof/>
        </w:rPr>
      </w:pPr>
      <w:r>
        <w:rPr>
          <w:noProof/>
        </w:rPr>
        <w:t>The cost relating to training to take the examination is as follows:</w:t>
      </w:r>
    </w:p>
    <w:p w14:paraId="1B043FDB" w14:textId="4F28260C" w:rsidR="00350C3D" w:rsidRDefault="00350C3D" w:rsidP="00350C3D">
      <w:pPr>
        <w:pStyle w:val="BodyText"/>
        <w:ind w:left="720"/>
        <w:rPr>
          <w:noProof/>
        </w:rPr>
      </w:pPr>
      <w:r>
        <w:rPr>
          <w:noProof/>
        </w:rPr>
        <w:t>Education requirement is either complete a course ranging from $2,000 to $5,000 or have at least 1000 hours working under an ophthalmologist.</w:t>
      </w:r>
    </w:p>
    <w:p w14:paraId="79817A28" w14:textId="304F9DB1" w:rsidR="007C192A" w:rsidRDefault="007C192A" w:rsidP="00350C3D">
      <w:pPr>
        <w:pStyle w:val="BodyText"/>
        <w:rPr>
          <w:noProof/>
        </w:rPr>
      </w:pPr>
      <w:r>
        <w:rPr>
          <w:noProof/>
        </w:rPr>
        <w:t>The cost for taking the certification exams are as follows:</w:t>
      </w:r>
    </w:p>
    <w:p w14:paraId="63B0A92D" w14:textId="4C7B33FD" w:rsidR="00EC7964" w:rsidRDefault="00EC7964" w:rsidP="00283ACE">
      <w:pPr>
        <w:pStyle w:val="BodyText"/>
        <w:numPr>
          <w:ilvl w:val="0"/>
          <w:numId w:val="8"/>
        </w:numPr>
        <w:rPr>
          <w:noProof/>
        </w:rPr>
      </w:pPr>
      <w:r w:rsidRPr="00EC7964">
        <w:rPr>
          <w:noProof/>
        </w:rPr>
        <w:t xml:space="preserve">Certified Paraoptometric (CPO) $290 </w:t>
      </w:r>
    </w:p>
    <w:p w14:paraId="44A3ECB3" w14:textId="15E363D1" w:rsidR="009D7F01" w:rsidRDefault="009D7F01" w:rsidP="00283ACE">
      <w:pPr>
        <w:pStyle w:val="BodyText"/>
        <w:numPr>
          <w:ilvl w:val="0"/>
          <w:numId w:val="8"/>
        </w:numPr>
        <w:rPr>
          <w:noProof/>
        </w:rPr>
      </w:pPr>
      <w:r>
        <w:rPr>
          <w:noProof/>
        </w:rPr>
        <w:t>Certified Ophthalmic Assistant (COA)  $300.00</w:t>
      </w:r>
    </w:p>
    <w:p w14:paraId="23AEFDF1" w14:textId="3015012C" w:rsidR="00EC7964" w:rsidRDefault="00EC7964" w:rsidP="00283ACE">
      <w:pPr>
        <w:pStyle w:val="BodyText"/>
        <w:numPr>
          <w:ilvl w:val="0"/>
          <w:numId w:val="8"/>
        </w:numPr>
        <w:rPr>
          <w:noProof/>
        </w:rPr>
      </w:pPr>
      <w:r w:rsidRPr="00EC7964">
        <w:rPr>
          <w:noProof/>
        </w:rPr>
        <w:t xml:space="preserve">Certified Paraoptometric Assistant (CPOA) $310 </w:t>
      </w:r>
    </w:p>
    <w:p w14:paraId="359B3215" w14:textId="28A58BF6" w:rsidR="00EC7964" w:rsidRDefault="00EC7964" w:rsidP="00283ACE">
      <w:pPr>
        <w:pStyle w:val="BodyText"/>
        <w:numPr>
          <w:ilvl w:val="0"/>
          <w:numId w:val="8"/>
        </w:numPr>
        <w:rPr>
          <w:noProof/>
        </w:rPr>
      </w:pPr>
      <w:r w:rsidRPr="00EC7964">
        <w:rPr>
          <w:noProof/>
        </w:rPr>
        <w:t xml:space="preserve">Certified Paraoptometric Technician Written (CPOT) $310 </w:t>
      </w:r>
    </w:p>
    <w:p w14:paraId="485054FB" w14:textId="4E89B38B" w:rsidR="00EC7964" w:rsidRDefault="00EC7964" w:rsidP="00283ACE">
      <w:pPr>
        <w:pStyle w:val="BodyText"/>
        <w:numPr>
          <w:ilvl w:val="0"/>
          <w:numId w:val="8"/>
        </w:numPr>
        <w:rPr>
          <w:noProof/>
        </w:rPr>
      </w:pPr>
      <w:r w:rsidRPr="00EC7964">
        <w:rPr>
          <w:noProof/>
        </w:rPr>
        <w:t xml:space="preserve">Certified Paraoptometric Technician Clinical (CPOT) $310 </w:t>
      </w:r>
    </w:p>
    <w:p w14:paraId="58F3C7FC" w14:textId="031D4350" w:rsidR="00EC7964" w:rsidRDefault="00EC7964" w:rsidP="00283ACE">
      <w:pPr>
        <w:pStyle w:val="BodyText"/>
        <w:numPr>
          <w:ilvl w:val="0"/>
          <w:numId w:val="8"/>
        </w:numPr>
        <w:rPr>
          <w:noProof/>
        </w:rPr>
      </w:pPr>
      <w:r w:rsidRPr="00EC7964">
        <w:rPr>
          <w:noProof/>
        </w:rPr>
        <w:t xml:space="preserve">Certified Paraoptometric Coder (CPOC) $290 </w:t>
      </w:r>
    </w:p>
    <w:p w14:paraId="6164F440" w14:textId="3F61B679" w:rsidR="00350C3D" w:rsidRDefault="00350C3D" w:rsidP="00350C3D">
      <w:pPr>
        <w:pStyle w:val="BodyText"/>
        <w:rPr>
          <w:noProof/>
        </w:rPr>
      </w:pPr>
      <w:r>
        <w:rPr>
          <w:noProof/>
        </w:rPr>
        <w:t>The annual renewal fee for certified technicians is $95.00</w:t>
      </w:r>
    </w:p>
    <w:p w14:paraId="724257D3" w14:textId="19CE39DE" w:rsidR="00713566" w:rsidRDefault="008153AB" w:rsidP="00B75C13">
      <w:pPr>
        <w:pStyle w:val="BodyText"/>
      </w:pPr>
      <w:r>
        <w:t>LESS INTRUSIVE OR LESS COSTLY, REASONABLE ALTERNATIVE METHODS OF ACHIEVING THE PURPOSES OF THE PROPOSED RULE:</w:t>
      </w:r>
      <w:r w:rsidR="006F0905">
        <w:t xml:space="preserve">  </w:t>
      </w:r>
      <w:r w:rsidR="007C192A">
        <w:t>There is no practical way of identifying the</w:t>
      </w:r>
      <w:r w:rsidR="00713566">
        <w:t xml:space="preserve"> existing</w:t>
      </w:r>
      <w:r w:rsidR="007C192A">
        <w:t xml:space="preserve"> </w:t>
      </w:r>
      <w:r w:rsidR="00713566">
        <w:t>training</w:t>
      </w:r>
      <w:r w:rsidR="007C192A">
        <w:t xml:space="preserve"> of technicians who assist the optometrists </w:t>
      </w:r>
      <w:r w:rsidR="00713566">
        <w:t xml:space="preserve">providing telehealth services.  Without the requirements in this rule, the Board has no control over technician hiring requirements for optometrists who want to provide telehealth services.  </w:t>
      </w:r>
      <w:r w:rsidR="00350C3D">
        <w:t xml:space="preserve">  </w:t>
      </w:r>
    </w:p>
    <w:p w14:paraId="302B3DA7" w14:textId="748F6F71" w:rsidR="008153AB" w:rsidRPr="00F36000" w:rsidRDefault="006F0905" w:rsidP="00B75C13">
      <w:pPr>
        <w:pStyle w:val="BodyText"/>
      </w:pPr>
      <w:r>
        <w:t xml:space="preserve">The Board has determined that </w:t>
      </w:r>
      <w:r w:rsidR="00713566">
        <w:t xml:space="preserve">it (and consumers) need assurance that technicians meet minimum qualification standards when an optometrist providing care is not on site.  To reduce costs, optometrists can provide the training which many commentors indicated that they already do.  Such in-house training would not remove the cost of the </w:t>
      </w:r>
      <w:r w:rsidR="003D0604">
        <w:t xml:space="preserve">certification </w:t>
      </w:r>
      <w:r w:rsidR="00713566">
        <w:t xml:space="preserve">examination or recertification.    </w:t>
      </w:r>
    </w:p>
    <w:sectPr w:rsidR="008153AB" w:rsidRPr="00F36000" w:rsidSect="004900E7">
      <w:headerReference w:type="default" r:id="rId7"/>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CA8CD" w14:textId="77777777" w:rsidR="009109A2" w:rsidRDefault="009109A2">
      <w:r>
        <w:separator/>
      </w:r>
    </w:p>
  </w:endnote>
  <w:endnote w:type="continuationSeparator" w:id="0">
    <w:p w14:paraId="683913BA" w14:textId="77777777" w:rsidR="009109A2" w:rsidRDefault="0091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BC6" w14:textId="77777777" w:rsidR="001A6FDF" w:rsidRDefault="001A6FDF" w:rsidP="00A31A85">
    <w:pPr>
      <w:pStyle w:val="Footer"/>
      <w:tabs>
        <w:tab w:val="clear" w:pos="4320"/>
        <w:tab w:val="clear" w:pos="8640"/>
        <w:tab w:val="center" w:pos="4680"/>
      </w:tabs>
    </w:pPr>
  </w:p>
  <w:p w14:paraId="52249976" w14:textId="77777777" w:rsidR="001A6FDF" w:rsidRDefault="001A6FDF" w:rsidP="00A31A85">
    <w:pPr>
      <w:pStyle w:val="Footer"/>
      <w:tabs>
        <w:tab w:val="clear" w:pos="4320"/>
        <w:tab w:val="clear" w:pos="8640"/>
        <w:tab w:val="cente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6CFF" w14:textId="77777777" w:rsidR="009109A2" w:rsidRDefault="009109A2">
      <w:r>
        <w:separator/>
      </w:r>
    </w:p>
  </w:footnote>
  <w:footnote w:type="continuationSeparator" w:id="0">
    <w:p w14:paraId="47B0A256" w14:textId="77777777" w:rsidR="009109A2" w:rsidRDefault="0091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8457" w14:textId="77777777" w:rsidR="001A6FDF" w:rsidRPr="00A31A85" w:rsidRDefault="003F6D6D" w:rsidP="003F6D6D">
    <w:pPr>
      <w:pStyle w:val="Header"/>
      <w:tabs>
        <w:tab w:val="clear" w:pos="4320"/>
        <w:tab w:val="clear" w:pos="8640"/>
        <w:tab w:val="right" w:pos="9360"/>
      </w:tabs>
      <w:jc w:val="right"/>
      <w:rPr>
        <w:rFonts w:ascii="Arial" w:hAnsi="Arial" w:cs="Arial"/>
        <w:i/>
        <w:sz w:val="20"/>
      </w:rPr>
    </w:pPr>
    <w:r>
      <w:rPr>
        <w:rFonts w:ascii="Arial" w:hAnsi="Arial" w:cs="Arial"/>
        <w:i/>
        <w:sz w:val="20"/>
      </w:rPr>
      <w:tab/>
      <w:t xml:space="preserve">Economic Impact Statement – Page </w:t>
    </w:r>
    <w:r w:rsidRPr="003F6D6D">
      <w:rPr>
        <w:rFonts w:ascii="Arial" w:hAnsi="Arial" w:cs="Arial"/>
        <w:i/>
        <w:sz w:val="20"/>
      </w:rPr>
      <w:fldChar w:fldCharType="begin"/>
    </w:r>
    <w:r w:rsidRPr="003F6D6D">
      <w:rPr>
        <w:rFonts w:ascii="Arial" w:hAnsi="Arial" w:cs="Arial"/>
        <w:i/>
        <w:sz w:val="20"/>
      </w:rPr>
      <w:instrText xml:space="preserve"> PAGE   \* MERGEFORMAT </w:instrText>
    </w:r>
    <w:r w:rsidRPr="003F6D6D">
      <w:rPr>
        <w:rFonts w:ascii="Arial" w:hAnsi="Arial" w:cs="Arial"/>
        <w:i/>
        <w:sz w:val="20"/>
      </w:rPr>
      <w:fldChar w:fldCharType="separate"/>
    </w:r>
    <w:r w:rsidR="00ED0125">
      <w:rPr>
        <w:rFonts w:ascii="Arial" w:hAnsi="Arial" w:cs="Arial"/>
        <w:i/>
        <w:noProof/>
        <w:sz w:val="20"/>
      </w:rPr>
      <w:t>2</w:t>
    </w:r>
    <w:r w:rsidRPr="003F6D6D">
      <w:rPr>
        <w:rFonts w:ascii="Arial" w:hAnsi="Arial" w:cs="Arial"/>
        <w:i/>
        <w:noProof/>
        <w:sz w:val="20"/>
      </w:rPr>
      <w:fldChar w:fldCharType="end"/>
    </w:r>
    <w:r w:rsidR="001A6FDF">
      <w:rPr>
        <w:rFonts w:ascii="Arial" w:hAnsi="Arial" w:cs="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AB2"/>
    <w:multiLevelType w:val="hybridMultilevel"/>
    <w:tmpl w:val="D9F8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971EC"/>
    <w:multiLevelType w:val="multilevel"/>
    <w:tmpl w:val="06A4FBAA"/>
    <w:lvl w:ilvl="0">
      <w:start w:val="1"/>
      <w:numFmt w:val="decimal"/>
      <w:pStyle w:val="NumberedParagraphs"/>
      <w:lvlText w:val="%1."/>
      <w:lvlJc w:val="right"/>
      <w:pPr>
        <w:tabs>
          <w:tab w:val="num" w:pos="864"/>
        </w:tabs>
        <w:ind w:left="0" w:firstLine="504"/>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07553CE"/>
    <w:multiLevelType w:val="hybridMultilevel"/>
    <w:tmpl w:val="8E6A0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D5688"/>
    <w:multiLevelType w:val="hybridMultilevel"/>
    <w:tmpl w:val="F0CE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5617"/>
    <w:multiLevelType w:val="hybridMultilevel"/>
    <w:tmpl w:val="14627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D9903EA"/>
    <w:multiLevelType w:val="hybridMultilevel"/>
    <w:tmpl w:val="BFC2E94A"/>
    <w:lvl w:ilvl="0" w:tplc="3B56B482">
      <w:start w:val="1"/>
      <w:numFmt w:val="decimal"/>
      <w:lvlText w:val="%1."/>
      <w:lvlJc w:val="left"/>
      <w:pPr>
        <w:ind w:left="1091" w:hanging="632"/>
        <w:jc w:val="right"/>
      </w:pPr>
      <w:rPr>
        <w:rFonts w:hint="default"/>
        <w:spacing w:val="0"/>
        <w:w w:val="88"/>
        <w:lang w:val="en-US" w:eastAsia="en-US" w:bidi="ar-SA"/>
      </w:rPr>
    </w:lvl>
    <w:lvl w:ilvl="1" w:tplc="6B947282">
      <w:numFmt w:val="bullet"/>
      <w:lvlText w:val="•"/>
      <w:lvlJc w:val="left"/>
      <w:pPr>
        <w:ind w:left="2094" w:hanging="632"/>
      </w:pPr>
      <w:rPr>
        <w:rFonts w:hint="default"/>
        <w:lang w:val="en-US" w:eastAsia="en-US" w:bidi="ar-SA"/>
      </w:rPr>
    </w:lvl>
    <w:lvl w:ilvl="2" w:tplc="75AE2734">
      <w:numFmt w:val="bullet"/>
      <w:lvlText w:val="•"/>
      <w:lvlJc w:val="left"/>
      <w:pPr>
        <w:ind w:left="3088" w:hanging="632"/>
      </w:pPr>
      <w:rPr>
        <w:rFonts w:hint="default"/>
        <w:lang w:val="en-US" w:eastAsia="en-US" w:bidi="ar-SA"/>
      </w:rPr>
    </w:lvl>
    <w:lvl w:ilvl="3" w:tplc="667AC31A">
      <w:numFmt w:val="bullet"/>
      <w:lvlText w:val="•"/>
      <w:lvlJc w:val="left"/>
      <w:pPr>
        <w:ind w:left="4082" w:hanging="632"/>
      </w:pPr>
      <w:rPr>
        <w:rFonts w:hint="default"/>
        <w:lang w:val="en-US" w:eastAsia="en-US" w:bidi="ar-SA"/>
      </w:rPr>
    </w:lvl>
    <w:lvl w:ilvl="4" w:tplc="757C8004">
      <w:numFmt w:val="bullet"/>
      <w:lvlText w:val="•"/>
      <w:lvlJc w:val="left"/>
      <w:pPr>
        <w:ind w:left="5076" w:hanging="632"/>
      </w:pPr>
      <w:rPr>
        <w:rFonts w:hint="default"/>
        <w:lang w:val="en-US" w:eastAsia="en-US" w:bidi="ar-SA"/>
      </w:rPr>
    </w:lvl>
    <w:lvl w:ilvl="5" w:tplc="809E938A">
      <w:numFmt w:val="bullet"/>
      <w:lvlText w:val="•"/>
      <w:lvlJc w:val="left"/>
      <w:pPr>
        <w:ind w:left="6070" w:hanging="632"/>
      </w:pPr>
      <w:rPr>
        <w:rFonts w:hint="default"/>
        <w:lang w:val="en-US" w:eastAsia="en-US" w:bidi="ar-SA"/>
      </w:rPr>
    </w:lvl>
    <w:lvl w:ilvl="6" w:tplc="90C8B0DC">
      <w:numFmt w:val="bullet"/>
      <w:lvlText w:val="•"/>
      <w:lvlJc w:val="left"/>
      <w:pPr>
        <w:ind w:left="7064" w:hanging="632"/>
      </w:pPr>
      <w:rPr>
        <w:rFonts w:hint="default"/>
        <w:lang w:val="en-US" w:eastAsia="en-US" w:bidi="ar-SA"/>
      </w:rPr>
    </w:lvl>
    <w:lvl w:ilvl="7" w:tplc="6E9CB284">
      <w:numFmt w:val="bullet"/>
      <w:lvlText w:val="•"/>
      <w:lvlJc w:val="left"/>
      <w:pPr>
        <w:ind w:left="8058" w:hanging="632"/>
      </w:pPr>
      <w:rPr>
        <w:rFonts w:hint="default"/>
        <w:lang w:val="en-US" w:eastAsia="en-US" w:bidi="ar-SA"/>
      </w:rPr>
    </w:lvl>
    <w:lvl w:ilvl="8" w:tplc="07BAC172">
      <w:numFmt w:val="bullet"/>
      <w:lvlText w:val="•"/>
      <w:lvlJc w:val="left"/>
      <w:pPr>
        <w:ind w:left="9052" w:hanging="632"/>
      </w:pPr>
      <w:rPr>
        <w:rFonts w:hint="default"/>
        <w:lang w:val="en-US" w:eastAsia="en-US" w:bidi="ar-SA"/>
      </w:rPr>
    </w:lvl>
  </w:abstractNum>
  <w:abstractNum w:abstractNumId="6" w15:restartNumberingAfterBreak="0">
    <w:nsid w:val="65AD675D"/>
    <w:multiLevelType w:val="hybridMultilevel"/>
    <w:tmpl w:val="2A22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843EB"/>
    <w:multiLevelType w:val="hybridMultilevel"/>
    <w:tmpl w:val="B15A3D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D7314EE"/>
    <w:multiLevelType w:val="hybridMultilevel"/>
    <w:tmpl w:val="24A88C8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54028656">
    <w:abstractNumId w:val="1"/>
  </w:num>
  <w:num w:numId="2" w16cid:durableId="901217490">
    <w:abstractNumId w:val="7"/>
  </w:num>
  <w:num w:numId="3" w16cid:durableId="1499424567">
    <w:abstractNumId w:val="6"/>
  </w:num>
  <w:num w:numId="4" w16cid:durableId="767386894">
    <w:abstractNumId w:val="8"/>
  </w:num>
  <w:num w:numId="5" w16cid:durableId="852956731">
    <w:abstractNumId w:val="4"/>
  </w:num>
  <w:num w:numId="6" w16cid:durableId="688990327">
    <w:abstractNumId w:val="5"/>
  </w:num>
  <w:num w:numId="7" w16cid:durableId="2123067696">
    <w:abstractNumId w:val="2"/>
  </w:num>
  <w:num w:numId="8" w16cid:durableId="1091700726">
    <w:abstractNumId w:val="0"/>
  </w:num>
  <w:num w:numId="9" w16cid:durableId="102178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70"/>
    <w:rsid w:val="00012B4E"/>
    <w:rsid w:val="00015135"/>
    <w:rsid w:val="00025C1F"/>
    <w:rsid w:val="0004130E"/>
    <w:rsid w:val="0004337F"/>
    <w:rsid w:val="00044756"/>
    <w:rsid w:val="000466CB"/>
    <w:rsid w:val="00050AA9"/>
    <w:rsid w:val="000628B2"/>
    <w:rsid w:val="00076A9B"/>
    <w:rsid w:val="000943A8"/>
    <w:rsid w:val="000B023F"/>
    <w:rsid w:val="000E18F6"/>
    <w:rsid w:val="000E22C1"/>
    <w:rsid w:val="000E7578"/>
    <w:rsid w:val="00111F18"/>
    <w:rsid w:val="00116422"/>
    <w:rsid w:val="00133BE5"/>
    <w:rsid w:val="0014193E"/>
    <w:rsid w:val="001553BB"/>
    <w:rsid w:val="00155729"/>
    <w:rsid w:val="00161EA3"/>
    <w:rsid w:val="00166DBB"/>
    <w:rsid w:val="001674F8"/>
    <w:rsid w:val="00175A24"/>
    <w:rsid w:val="00184905"/>
    <w:rsid w:val="00195E0D"/>
    <w:rsid w:val="001A6FDF"/>
    <w:rsid w:val="001B072C"/>
    <w:rsid w:val="001B5DAC"/>
    <w:rsid w:val="001B6751"/>
    <w:rsid w:val="001B71A2"/>
    <w:rsid w:val="001C2AA0"/>
    <w:rsid w:val="001D0C15"/>
    <w:rsid w:val="001D65B5"/>
    <w:rsid w:val="001E2C9B"/>
    <w:rsid w:val="00214D95"/>
    <w:rsid w:val="0022370E"/>
    <w:rsid w:val="00235A72"/>
    <w:rsid w:val="00240BEA"/>
    <w:rsid w:val="002539FC"/>
    <w:rsid w:val="002579EC"/>
    <w:rsid w:val="002722FB"/>
    <w:rsid w:val="002735BD"/>
    <w:rsid w:val="00283ACE"/>
    <w:rsid w:val="00284027"/>
    <w:rsid w:val="002915EB"/>
    <w:rsid w:val="00292239"/>
    <w:rsid w:val="002A4019"/>
    <w:rsid w:val="002B2441"/>
    <w:rsid w:val="002C6096"/>
    <w:rsid w:val="002D0162"/>
    <w:rsid w:val="002D0DE5"/>
    <w:rsid w:val="002D4191"/>
    <w:rsid w:val="002D5F85"/>
    <w:rsid w:val="002E31F0"/>
    <w:rsid w:val="002E5B8D"/>
    <w:rsid w:val="002E6BC3"/>
    <w:rsid w:val="002F6F7B"/>
    <w:rsid w:val="00304899"/>
    <w:rsid w:val="00317E97"/>
    <w:rsid w:val="003273F8"/>
    <w:rsid w:val="00341075"/>
    <w:rsid w:val="003443D3"/>
    <w:rsid w:val="00350C3D"/>
    <w:rsid w:val="00353636"/>
    <w:rsid w:val="00356B6F"/>
    <w:rsid w:val="00362163"/>
    <w:rsid w:val="00377B66"/>
    <w:rsid w:val="00381B8E"/>
    <w:rsid w:val="003A0F8D"/>
    <w:rsid w:val="003D0594"/>
    <w:rsid w:val="003D0604"/>
    <w:rsid w:val="003D4942"/>
    <w:rsid w:val="003E248D"/>
    <w:rsid w:val="003E57C7"/>
    <w:rsid w:val="003E755F"/>
    <w:rsid w:val="003F1824"/>
    <w:rsid w:val="003F6D6D"/>
    <w:rsid w:val="0041020C"/>
    <w:rsid w:val="00413B66"/>
    <w:rsid w:val="00413FAD"/>
    <w:rsid w:val="00416B54"/>
    <w:rsid w:val="00432982"/>
    <w:rsid w:val="00436301"/>
    <w:rsid w:val="00454099"/>
    <w:rsid w:val="00456445"/>
    <w:rsid w:val="00475C20"/>
    <w:rsid w:val="004900E7"/>
    <w:rsid w:val="004B062C"/>
    <w:rsid w:val="004B16EB"/>
    <w:rsid w:val="004B4074"/>
    <w:rsid w:val="004C3504"/>
    <w:rsid w:val="004D10FC"/>
    <w:rsid w:val="004D1894"/>
    <w:rsid w:val="004D3180"/>
    <w:rsid w:val="004F0253"/>
    <w:rsid w:val="004F40C7"/>
    <w:rsid w:val="005020FC"/>
    <w:rsid w:val="00522E66"/>
    <w:rsid w:val="00526C91"/>
    <w:rsid w:val="00540F71"/>
    <w:rsid w:val="005431E1"/>
    <w:rsid w:val="0054513D"/>
    <w:rsid w:val="005551DA"/>
    <w:rsid w:val="0056731B"/>
    <w:rsid w:val="0057361B"/>
    <w:rsid w:val="005762A9"/>
    <w:rsid w:val="00582B9F"/>
    <w:rsid w:val="00583902"/>
    <w:rsid w:val="005850C2"/>
    <w:rsid w:val="005971DE"/>
    <w:rsid w:val="005A2337"/>
    <w:rsid w:val="005A628A"/>
    <w:rsid w:val="005C0391"/>
    <w:rsid w:val="005C329E"/>
    <w:rsid w:val="006116D0"/>
    <w:rsid w:val="00621837"/>
    <w:rsid w:val="00623D0D"/>
    <w:rsid w:val="006240BF"/>
    <w:rsid w:val="00625B7D"/>
    <w:rsid w:val="006316CB"/>
    <w:rsid w:val="006330FB"/>
    <w:rsid w:val="00633A39"/>
    <w:rsid w:val="006423EB"/>
    <w:rsid w:val="00644AB3"/>
    <w:rsid w:val="0065233F"/>
    <w:rsid w:val="00654864"/>
    <w:rsid w:val="006560F1"/>
    <w:rsid w:val="00665859"/>
    <w:rsid w:val="00675BB0"/>
    <w:rsid w:val="0069356D"/>
    <w:rsid w:val="006968AD"/>
    <w:rsid w:val="0069796C"/>
    <w:rsid w:val="006A036A"/>
    <w:rsid w:val="006A2BA4"/>
    <w:rsid w:val="006A4DC4"/>
    <w:rsid w:val="006B343D"/>
    <w:rsid w:val="006B3E78"/>
    <w:rsid w:val="006B710F"/>
    <w:rsid w:val="006C2D17"/>
    <w:rsid w:val="006F0905"/>
    <w:rsid w:val="006F0A0E"/>
    <w:rsid w:val="006F1821"/>
    <w:rsid w:val="006F5584"/>
    <w:rsid w:val="006F5E11"/>
    <w:rsid w:val="00702B38"/>
    <w:rsid w:val="00703155"/>
    <w:rsid w:val="00705DDD"/>
    <w:rsid w:val="00711AA2"/>
    <w:rsid w:val="00713566"/>
    <w:rsid w:val="00713B8F"/>
    <w:rsid w:val="00714989"/>
    <w:rsid w:val="00715E7E"/>
    <w:rsid w:val="00715F00"/>
    <w:rsid w:val="00724AA1"/>
    <w:rsid w:val="00725C56"/>
    <w:rsid w:val="007570BD"/>
    <w:rsid w:val="007632D5"/>
    <w:rsid w:val="0076764E"/>
    <w:rsid w:val="007679DD"/>
    <w:rsid w:val="00770F46"/>
    <w:rsid w:val="00777759"/>
    <w:rsid w:val="00787606"/>
    <w:rsid w:val="007919D3"/>
    <w:rsid w:val="007A53F8"/>
    <w:rsid w:val="007C151F"/>
    <w:rsid w:val="007C192A"/>
    <w:rsid w:val="007C1C12"/>
    <w:rsid w:val="007C4B5A"/>
    <w:rsid w:val="007D7C87"/>
    <w:rsid w:val="007E2314"/>
    <w:rsid w:val="007F0B51"/>
    <w:rsid w:val="007F27F3"/>
    <w:rsid w:val="007F58CB"/>
    <w:rsid w:val="008052B6"/>
    <w:rsid w:val="008153AB"/>
    <w:rsid w:val="00845011"/>
    <w:rsid w:val="0086389B"/>
    <w:rsid w:val="008748A0"/>
    <w:rsid w:val="0088529F"/>
    <w:rsid w:val="00890647"/>
    <w:rsid w:val="00891C36"/>
    <w:rsid w:val="00893B71"/>
    <w:rsid w:val="0089526C"/>
    <w:rsid w:val="008A69CE"/>
    <w:rsid w:val="008B1637"/>
    <w:rsid w:val="008B559C"/>
    <w:rsid w:val="008C1FA3"/>
    <w:rsid w:val="008C3FB0"/>
    <w:rsid w:val="008D6F4F"/>
    <w:rsid w:val="008D7000"/>
    <w:rsid w:val="008E59A4"/>
    <w:rsid w:val="008F2296"/>
    <w:rsid w:val="009109A2"/>
    <w:rsid w:val="00931FCF"/>
    <w:rsid w:val="00944C31"/>
    <w:rsid w:val="0095055F"/>
    <w:rsid w:val="00956A47"/>
    <w:rsid w:val="00996842"/>
    <w:rsid w:val="009977E8"/>
    <w:rsid w:val="009C0AF1"/>
    <w:rsid w:val="009C1FEF"/>
    <w:rsid w:val="009D12E0"/>
    <w:rsid w:val="009D23EA"/>
    <w:rsid w:val="009D3339"/>
    <w:rsid w:val="009D7F01"/>
    <w:rsid w:val="009E7BE4"/>
    <w:rsid w:val="009F422B"/>
    <w:rsid w:val="009F53C2"/>
    <w:rsid w:val="00A029BB"/>
    <w:rsid w:val="00A17621"/>
    <w:rsid w:val="00A17EB5"/>
    <w:rsid w:val="00A319F6"/>
    <w:rsid w:val="00A31A85"/>
    <w:rsid w:val="00A3208A"/>
    <w:rsid w:val="00A3449E"/>
    <w:rsid w:val="00A36FD3"/>
    <w:rsid w:val="00A776F5"/>
    <w:rsid w:val="00A81ECC"/>
    <w:rsid w:val="00A82DD7"/>
    <w:rsid w:val="00A85C2C"/>
    <w:rsid w:val="00AA17FB"/>
    <w:rsid w:val="00AA4A57"/>
    <w:rsid w:val="00AB5212"/>
    <w:rsid w:val="00AC1888"/>
    <w:rsid w:val="00AC3467"/>
    <w:rsid w:val="00AC429B"/>
    <w:rsid w:val="00AD065A"/>
    <w:rsid w:val="00AD4B82"/>
    <w:rsid w:val="00AE2901"/>
    <w:rsid w:val="00AF1205"/>
    <w:rsid w:val="00B016C6"/>
    <w:rsid w:val="00B066F3"/>
    <w:rsid w:val="00B07992"/>
    <w:rsid w:val="00B14838"/>
    <w:rsid w:val="00B2176D"/>
    <w:rsid w:val="00B24A90"/>
    <w:rsid w:val="00B271DA"/>
    <w:rsid w:val="00B322B6"/>
    <w:rsid w:val="00B41505"/>
    <w:rsid w:val="00B421B7"/>
    <w:rsid w:val="00B436AF"/>
    <w:rsid w:val="00B75C13"/>
    <w:rsid w:val="00B8540C"/>
    <w:rsid w:val="00B8556E"/>
    <w:rsid w:val="00B94063"/>
    <w:rsid w:val="00B945A0"/>
    <w:rsid w:val="00B96E2E"/>
    <w:rsid w:val="00BA28EE"/>
    <w:rsid w:val="00BB5C4C"/>
    <w:rsid w:val="00BC3377"/>
    <w:rsid w:val="00BC5502"/>
    <w:rsid w:val="00BD41D2"/>
    <w:rsid w:val="00BD788A"/>
    <w:rsid w:val="00BE60BE"/>
    <w:rsid w:val="00BE77A1"/>
    <w:rsid w:val="00BF05DB"/>
    <w:rsid w:val="00BF3917"/>
    <w:rsid w:val="00BF7316"/>
    <w:rsid w:val="00C0661D"/>
    <w:rsid w:val="00C070CF"/>
    <w:rsid w:val="00C162DB"/>
    <w:rsid w:val="00C4451C"/>
    <w:rsid w:val="00C447DA"/>
    <w:rsid w:val="00C517BD"/>
    <w:rsid w:val="00C5284B"/>
    <w:rsid w:val="00C625DF"/>
    <w:rsid w:val="00C6557E"/>
    <w:rsid w:val="00C77354"/>
    <w:rsid w:val="00C826B6"/>
    <w:rsid w:val="00C82864"/>
    <w:rsid w:val="00C964CC"/>
    <w:rsid w:val="00C966E5"/>
    <w:rsid w:val="00CC1783"/>
    <w:rsid w:val="00CC69F5"/>
    <w:rsid w:val="00CD441B"/>
    <w:rsid w:val="00CD5CFF"/>
    <w:rsid w:val="00D51BCF"/>
    <w:rsid w:val="00D538A6"/>
    <w:rsid w:val="00D55B27"/>
    <w:rsid w:val="00D66762"/>
    <w:rsid w:val="00D7282E"/>
    <w:rsid w:val="00D72C44"/>
    <w:rsid w:val="00D75915"/>
    <w:rsid w:val="00D81F30"/>
    <w:rsid w:val="00D86399"/>
    <w:rsid w:val="00DA45FC"/>
    <w:rsid w:val="00DB02ED"/>
    <w:rsid w:val="00DB0754"/>
    <w:rsid w:val="00DB675D"/>
    <w:rsid w:val="00DC0594"/>
    <w:rsid w:val="00DC5B9D"/>
    <w:rsid w:val="00DC77B7"/>
    <w:rsid w:val="00DD3E30"/>
    <w:rsid w:val="00DD6C87"/>
    <w:rsid w:val="00DD7409"/>
    <w:rsid w:val="00DE7EB9"/>
    <w:rsid w:val="00DF03B4"/>
    <w:rsid w:val="00DF0ABA"/>
    <w:rsid w:val="00E34EA2"/>
    <w:rsid w:val="00E35068"/>
    <w:rsid w:val="00E45CE3"/>
    <w:rsid w:val="00E50B12"/>
    <w:rsid w:val="00E514FC"/>
    <w:rsid w:val="00E605E3"/>
    <w:rsid w:val="00E6093C"/>
    <w:rsid w:val="00E60B70"/>
    <w:rsid w:val="00E66D35"/>
    <w:rsid w:val="00E67AF4"/>
    <w:rsid w:val="00E7271A"/>
    <w:rsid w:val="00EB60D6"/>
    <w:rsid w:val="00EB7469"/>
    <w:rsid w:val="00EC0EF1"/>
    <w:rsid w:val="00EC39D0"/>
    <w:rsid w:val="00EC7964"/>
    <w:rsid w:val="00ED0125"/>
    <w:rsid w:val="00ED56B0"/>
    <w:rsid w:val="00EE4E4C"/>
    <w:rsid w:val="00F02663"/>
    <w:rsid w:val="00F07FFA"/>
    <w:rsid w:val="00F107B8"/>
    <w:rsid w:val="00F133F9"/>
    <w:rsid w:val="00F31869"/>
    <w:rsid w:val="00F32088"/>
    <w:rsid w:val="00F36000"/>
    <w:rsid w:val="00F4727E"/>
    <w:rsid w:val="00F53021"/>
    <w:rsid w:val="00F57682"/>
    <w:rsid w:val="00F627B8"/>
    <w:rsid w:val="00F66CDD"/>
    <w:rsid w:val="00F76BC9"/>
    <w:rsid w:val="00F857D1"/>
    <w:rsid w:val="00F922A2"/>
    <w:rsid w:val="00F94959"/>
    <w:rsid w:val="00FB5F1E"/>
    <w:rsid w:val="00FC1F12"/>
    <w:rsid w:val="00FD037B"/>
    <w:rsid w:val="00FD1D05"/>
    <w:rsid w:val="00FD3A0F"/>
    <w:rsid w:val="00FE7D73"/>
    <w:rsid w:val="00FF2673"/>
    <w:rsid w:val="00FF4204"/>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DF33F"/>
  <w15:docId w15:val="{CA9C9A29-F891-4E0B-B679-0CA1CA02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7F3"/>
    <w:rPr>
      <w:sz w:val="24"/>
    </w:rPr>
  </w:style>
  <w:style w:type="paragraph" w:styleId="Heading1">
    <w:name w:val="heading 1"/>
    <w:basedOn w:val="Normal"/>
    <w:link w:val="Heading1Char"/>
    <w:uiPriority w:val="9"/>
    <w:qFormat/>
    <w:rsid w:val="007F27F3"/>
    <w:pPr>
      <w:widowControl w:val="0"/>
      <w:autoSpaceDE w:val="0"/>
      <w:autoSpaceDN w:val="0"/>
      <w:ind w:left="460"/>
      <w:outlineLvl w:val="0"/>
    </w:pPr>
    <w:rPr>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styleId="BodyTextFirstIndent">
    <w:name w:val="Body Text First Indent"/>
    <w:basedOn w:val="BodyText"/>
    <w:pPr>
      <w:ind w:firstLine="360"/>
    </w:pPr>
  </w:style>
  <w:style w:type="paragraph" w:customStyle="1" w:styleId="cc">
    <w:name w:val="cc:"/>
    <w:basedOn w:val="Normal"/>
    <w:pPr>
      <w:tabs>
        <w:tab w:val="left" w:pos="360"/>
      </w:tabs>
    </w:pPr>
  </w:style>
  <w:style w:type="paragraph" w:styleId="Closing">
    <w:name w:val="Closing"/>
    <w:basedOn w:val="Normal"/>
    <w:pPr>
      <w:ind w:left="5760"/>
    </w:pPr>
  </w:style>
  <w:style w:type="paragraph" w:customStyle="1" w:styleId="SigLastLine">
    <w:name w:val="Sig Last Line"/>
    <w:basedOn w:val="Closing"/>
    <w:next w:val="cc"/>
    <w:pPr>
      <w:spacing w:after="240"/>
    </w:pPr>
  </w:style>
  <w:style w:type="paragraph" w:customStyle="1" w:styleId="NumberedParagraphs">
    <w:name w:val="Numbered Paragraphs"/>
    <w:basedOn w:val="Normal"/>
    <w:pPr>
      <w:numPr>
        <w:numId w:val="1"/>
      </w:numPr>
      <w:tabs>
        <w:tab w:val="clear" w:pos="864"/>
        <w:tab w:val="num" w:pos="720"/>
      </w:tabs>
      <w:spacing w:after="240"/>
    </w:pPr>
    <w:rPr>
      <w:rFonts w:eastAsia="Times"/>
    </w:rPr>
  </w:style>
  <w:style w:type="paragraph" w:styleId="FootnoteText">
    <w:name w:val="footnote text"/>
    <w:basedOn w:val="Normal"/>
    <w:semiHidden/>
    <w:rsid w:val="00166DBB"/>
    <w:rPr>
      <w:sz w:val="20"/>
    </w:rPr>
  </w:style>
  <w:style w:type="character" w:styleId="FootnoteReference">
    <w:name w:val="footnote reference"/>
    <w:semiHidden/>
    <w:rsid w:val="00166DBB"/>
    <w:rPr>
      <w:vertAlign w:val="superscript"/>
    </w:rPr>
  </w:style>
  <w:style w:type="paragraph" w:styleId="Header">
    <w:name w:val="header"/>
    <w:basedOn w:val="Normal"/>
    <w:rsid w:val="00A31A85"/>
    <w:pPr>
      <w:tabs>
        <w:tab w:val="center" w:pos="4320"/>
        <w:tab w:val="right" w:pos="8640"/>
      </w:tabs>
    </w:pPr>
  </w:style>
  <w:style w:type="paragraph" w:styleId="Footer">
    <w:name w:val="footer"/>
    <w:basedOn w:val="Normal"/>
    <w:rsid w:val="00A31A85"/>
    <w:pPr>
      <w:tabs>
        <w:tab w:val="center" w:pos="4320"/>
        <w:tab w:val="right" w:pos="8640"/>
      </w:tabs>
    </w:pPr>
  </w:style>
  <w:style w:type="character" w:styleId="PageNumber">
    <w:name w:val="page number"/>
    <w:basedOn w:val="DefaultParagraphFont"/>
    <w:rsid w:val="00A31A85"/>
  </w:style>
  <w:style w:type="table" w:styleId="TableGrid">
    <w:name w:val="Table Grid"/>
    <w:basedOn w:val="TableNormal"/>
    <w:rsid w:val="003E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1C12"/>
    <w:rPr>
      <w:color w:val="0000FF" w:themeColor="hyperlink"/>
      <w:u w:val="single"/>
    </w:rPr>
  </w:style>
  <w:style w:type="paragraph" w:styleId="ListParagraph">
    <w:name w:val="List Paragraph"/>
    <w:basedOn w:val="Normal"/>
    <w:uiPriority w:val="1"/>
    <w:qFormat/>
    <w:rsid w:val="009E7BE4"/>
    <w:pPr>
      <w:widowControl w:val="0"/>
      <w:autoSpaceDE w:val="0"/>
      <w:autoSpaceDN w:val="0"/>
      <w:ind w:left="1180" w:hanging="721"/>
    </w:pPr>
    <w:rPr>
      <w:sz w:val="22"/>
      <w:szCs w:val="22"/>
      <w:u w:val="single" w:color="000000"/>
    </w:rPr>
  </w:style>
  <w:style w:type="character" w:customStyle="1" w:styleId="Heading1Char">
    <w:name w:val="Heading 1 Char"/>
    <w:basedOn w:val="DefaultParagraphFont"/>
    <w:link w:val="Heading1"/>
    <w:uiPriority w:val="9"/>
    <w:rsid w:val="007F27F3"/>
    <w:rPr>
      <w:sz w:val="24"/>
      <w:szCs w:val="24"/>
      <w:u w:val="single" w:color="000000"/>
    </w:rPr>
  </w:style>
  <w:style w:type="paragraph" w:styleId="Revision">
    <w:name w:val="Revision"/>
    <w:hidden/>
    <w:uiPriority w:val="99"/>
    <w:semiHidden/>
    <w:rsid w:val="00D81F30"/>
    <w:rPr>
      <w:sz w:val="24"/>
    </w:rPr>
  </w:style>
  <w:style w:type="character" w:styleId="CommentReference">
    <w:name w:val="annotation reference"/>
    <w:basedOn w:val="DefaultParagraphFont"/>
    <w:rsid w:val="00713566"/>
    <w:rPr>
      <w:sz w:val="16"/>
      <w:szCs w:val="16"/>
    </w:rPr>
  </w:style>
  <w:style w:type="paragraph" w:styleId="CommentText">
    <w:name w:val="annotation text"/>
    <w:basedOn w:val="Normal"/>
    <w:link w:val="CommentTextChar"/>
    <w:rsid w:val="00713566"/>
    <w:rPr>
      <w:sz w:val="20"/>
    </w:rPr>
  </w:style>
  <w:style w:type="character" w:customStyle="1" w:styleId="CommentTextChar">
    <w:name w:val="Comment Text Char"/>
    <w:basedOn w:val="DefaultParagraphFont"/>
    <w:link w:val="CommentText"/>
    <w:rsid w:val="00713566"/>
  </w:style>
  <w:style w:type="paragraph" w:styleId="CommentSubject">
    <w:name w:val="annotation subject"/>
    <w:basedOn w:val="CommentText"/>
    <w:next w:val="CommentText"/>
    <w:link w:val="CommentSubjectChar"/>
    <w:rsid w:val="00713566"/>
    <w:rPr>
      <w:b/>
      <w:bCs/>
    </w:rPr>
  </w:style>
  <w:style w:type="character" w:customStyle="1" w:styleId="CommentSubjectChar">
    <w:name w:val="Comment Subject Char"/>
    <w:basedOn w:val="CommentTextChar"/>
    <w:link w:val="CommentSubject"/>
    <w:rsid w:val="00713566"/>
    <w:rPr>
      <w:b/>
      <w:bCs/>
    </w:rPr>
  </w:style>
  <w:style w:type="character" w:customStyle="1" w:styleId="BodyTextChar">
    <w:name w:val="Body Text Char"/>
    <w:basedOn w:val="DefaultParagraphFont"/>
    <w:link w:val="BodyText"/>
    <w:rsid w:val="009D7F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doherty\Desktop\Economic%20Impact%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Economic Impact Statement.dot</Template>
  <TotalTime>12</TotalTime>
  <Pages>2</Pages>
  <Words>657</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Rule-Making Fact Sheet</vt:lpstr>
    </vt:vector>
  </TitlesOfParts>
  <Company>State of Maine</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Fact Sheet</dc:title>
  <dc:creator>Doherty, Holly</dc:creator>
  <cp:lastModifiedBy>Carpentier, Tina</cp:lastModifiedBy>
  <cp:revision>4</cp:revision>
  <cp:lastPrinted>2007-09-18T20:09:00Z</cp:lastPrinted>
  <dcterms:created xsi:type="dcterms:W3CDTF">2024-09-09T12:02:00Z</dcterms:created>
  <dcterms:modified xsi:type="dcterms:W3CDTF">2024-09-09T15:38:00Z</dcterms:modified>
</cp:coreProperties>
</file>