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CCFA" w14:textId="77777777" w:rsidR="00237575" w:rsidRPr="009D2B1E" w:rsidRDefault="00A73A6A">
      <w:pPr>
        <w:spacing w:before="79"/>
        <w:ind w:left="120"/>
        <w:jc w:val="both"/>
        <w:rPr>
          <w:rFonts w:eastAsiaTheme="minorHAnsi"/>
          <w:color w:val="000000"/>
          <w:sz w:val="24"/>
          <w:szCs w:val="24"/>
          <w14:ligatures w14:val="standardContextual"/>
        </w:rPr>
      </w:pPr>
      <w:bookmarkStart w:id="0" w:name="_Hlk181780973"/>
      <w:r w:rsidRPr="009D2B1E">
        <w:rPr>
          <w:rFonts w:eastAsiaTheme="minorHAnsi"/>
          <w:color w:val="000000"/>
          <w:sz w:val="24"/>
          <w:szCs w:val="24"/>
          <w14:ligatures w14:val="standardContextual"/>
        </w:rPr>
        <w:t>02      DEPARTMENT OF PROFESSIONAL AND FINANCIAL REGULATION</w:t>
      </w:r>
    </w:p>
    <w:p w14:paraId="58D355A8" w14:textId="77777777" w:rsidR="00237575" w:rsidRPr="009D2B1E" w:rsidRDefault="00237575">
      <w:pPr>
        <w:pStyle w:val="BodyText"/>
        <w:rPr>
          <w:rFonts w:eastAsiaTheme="minorHAnsi"/>
          <w:color w:val="000000"/>
          <w14:ligatures w14:val="standardContextual"/>
        </w:rPr>
      </w:pPr>
    </w:p>
    <w:p w14:paraId="3E89E8C5" w14:textId="32F5B08C" w:rsidR="00237575" w:rsidRPr="009D2B1E" w:rsidRDefault="00E01856" w:rsidP="001462C7">
      <w:pPr>
        <w:tabs>
          <w:tab w:val="left" w:pos="839"/>
        </w:tabs>
        <w:spacing w:line="259" w:lineRule="auto"/>
        <w:ind w:left="720" w:hanging="600"/>
        <w:rPr>
          <w:rFonts w:eastAsiaTheme="minorHAnsi"/>
          <w:color w:val="000000"/>
          <w:sz w:val="24"/>
          <w:szCs w:val="24"/>
          <w14:ligatures w14:val="standardContextual"/>
        </w:rPr>
      </w:pPr>
      <w:r w:rsidRPr="009D2B1E">
        <w:rPr>
          <w:rFonts w:eastAsiaTheme="minorHAnsi"/>
          <w:color w:val="000000"/>
          <w:sz w:val="24"/>
          <w:szCs w:val="24"/>
          <w14:ligatures w14:val="standardContextual"/>
        </w:rPr>
        <w:t>371</w:t>
      </w:r>
      <w:r w:rsidR="00A73A6A" w:rsidRPr="009D2B1E">
        <w:rPr>
          <w:rFonts w:eastAsiaTheme="minorHAnsi"/>
          <w:color w:val="000000"/>
          <w:sz w:val="24"/>
          <w:szCs w:val="24"/>
          <w14:ligatures w14:val="standardContextual"/>
        </w:rPr>
        <w:tab/>
      </w:r>
      <w:r w:rsidR="1C34672F" w:rsidRPr="009D2B1E">
        <w:rPr>
          <w:rFonts w:eastAsiaTheme="minorHAnsi"/>
          <w:color w:val="000000"/>
          <w:sz w:val="24"/>
          <w:szCs w:val="24"/>
          <w14:ligatures w14:val="standardContextual"/>
        </w:rPr>
        <w:t xml:space="preserve">OFFICE OF PROFESSIONAL AND OCCPUATIONAL REGULATION </w:t>
      </w:r>
    </w:p>
    <w:p w14:paraId="4BB3A622" w14:textId="77777777" w:rsidR="00237575" w:rsidRPr="009D2B1E" w:rsidRDefault="00237575">
      <w:pPr>
        <w:pStyle w:val="BodyText"/>
        <w:rPr>
          <w:rFonts w:eastAsiaTheme="minorHAnsi"/>
          <w:color w:val="000000"/>
          <w14:ligatures w14:val="standardContextual"/>
        </w:rPr>
      </w:pPr>
    </w:p>
    <w:p w14:paraId="123EB360" w14:textId="557720AD" w:rsidR="001462C7" w:rsidRPr="009D2B1E" w:rsidRDefault="001462C7">
      <w:pPr>
        <w:pStyle w:val="BodyText"/>
        <w:rPr>
          <w:rFonts w:eastAsiaTheme="minorHAnsi"/>
          <w:color w:val="000000"/>
          <w14:ligatures w14:val="standardContextual"/>
        </w:rPr>
      </w:pPr>
      <w:r w:rsidRPr="009D2B1E">
        <w:rPr>
          <w:rFonts w:eastAsiaTheme="minorHAnsi"/>
          <w:color w:val="000000"/>
          <w14:ligatures w14:val="standardContextual"/>
        </w:rPr>
        <w:tab/>
      </w:r>
      <w:r w:rsidR="00B90687" w:rsidRPr="009D2B1E">
        <w:rPr>
          <w:rFonts w:eastAsiaTheme="minorHAnsi"/>
          <w:color w:val="000000"/>
          <w14:ligatures w14:val="standardContextual"/>
        </w:rPr>
        <w:t>MAINE BOARD OF OPTOMETRY</w:t>
      </w:r>
      <w:r w:rsidR="00E01856" w:rsidRPr="009D2B1E">
        <w:rPr>
          <w:rFonts w:eastAsiaTheme="minorHAnsi"/>
          <w:color w:val="000000"/>
          <w14:ligatures w14:val="standardContextual"/>
        </w:rPr>
        <w:t xml:space="preserve"> LICENSING BOARD</w:t>
      </w:r>
    </w:p>
    <w:p w14:paraId="333AEE8C" w14:textId="77777777" w:rsidR="001462C7" w:rsidRPr="009D2B1E" w:rsidRDefault="001462C7">
      <w:pPr>
        <w:pStyle w:val="BodyText"/>
        <w:rPr>
          <w:rFonts w:eastAsiaTheme="minorHAnsi"/>
          <w:color w:val="000000"/>
          <w14:ligatures w14:val="standardContextual"/>
        </w:rPr>
      </w:pPr>
    </w:p>
    <w:p w14:paraId="45F934A7" w14:textId="77777777" w:rsidR="00237575" w:rsidRPr="009D2B1E" w:rsidRDefault="00A73A6A" w:rsidP="001462C7">
      <w:pPr>
        <w:ind w:firstLine="720"/>
        <w:rPr>
          <w:rFonts w:eastAsiaTheme="minorHAnsi"/>
          <w:color w:val="000000"/>
          <w:sz w:val="24"/>
          <w:szCs w:val="24"/>
          <w14:ligatures w14:val="standardContextual"/>
        </w:rPr>
      </w:pPr>
      <w:r w:rsidRPr="009D2B1E">
        <w:rPr>
          <w:rFonts w:eastAsiaTheme="minorHAnsi"/>
          <w:color w:val="000000"/>
          <w:sz w:val="24"/>
          <w:szCs w:val="24"/>
          <w14:ligatures w14:val="standardContextual"/>
        </w:rPr>
        <w:t>BASIS STATEMENT AND SUMMARY AND RESPONSES TO COMMENTS</w:t>
      </w:r>
    </w:p>
    <w:p w14:paraId="0465BD65" w14:textId="77777777" w:rsidR="00237575" w:rsidRPr="009D2B1E" w:rsidRDefault="00237575">
      <w:pPr>
        <w:pStyle w:val="BodyText"/>
        <w:rPr>
          <w:rFonts w:eastAsiaTheme="minorHAnsi"/>
          <w:color w:val="000000"/>
          <w14:ligatures w14:val="standardContextual"/>
        </w:rPr>
      </w:pPr>
    </w:p>
    <w:p w14:paraId="0244F3AC" w14:textId="1A8842EE" w:rsidR="00B90687" w:rsidRPr="009D2B1E" w:rsidRDefault="1C34672F" w:rsidP="00B90687">
      <w:pPr>
        <w:pStyle w:val="BodyText"/>
        <w:ind w:right="114"/>
        <w:jc w:val="both"/>
        <w:rPr>
          <w:rFonts w:eastAsiaTheme="minorHAnsi"/>
          <w:color w:val="000000"/>
          <w14:ligatures w14:val="standardContextual"/>
        </w:rPr>
      </w:pPr>
      <w:r w:rsidRPr="009D2B1E">
        <w:rPr>
          <w:rFonts w:eastAsiaTheme="minorHAnsi"/>
          <w:color w:val="000000"/>
          <w14:ligatures w14:val="standardContextual"/>
        </w:rPr>
        <w:t xml:space="preserve">Basis Statement: </w:t>
      </w:r>
      <w:r w:rsidR="00B90687" w:rsidRPr="009D2B1E">
        <w:rPr>
          <w:rFonts w:eastAsiaTheme="minorHAnsi"/>
          <w:color w:val="000000"/>
          <w14:ligatures w14:val="standardContextual"/>
        </w:rPr>
        <w:t>The Maine State Board of Optometry was established to protect the public through the regulation of the practice of optometry in the State of Maine so as to maintain high professional standards. The primary responsibilities of the Board are to examine and license qualified applicants to practice the profession of optometry and to hold the title of Optometrist in the State of Maine</w:t>
      </w:r>
      <w:r w:rsidR="00DE38C2" w:rsidRPr="009D2B1E">
        <w:rPr>
          <w:rFonts w:eastAsiaTheme="minorHAnsi"/>
          <w:color w:val="000000"/>
          <w14:ligatures w14:val="standardContextual"/>
        </w:rPr>
        <w:t xml:space="preserve">. </w:t>
      </w:r>
    </w:p>
    <w:p w14:paraId="641B0CF6" w14:textId="77777777" w:rsidR="00B90687" w:rsidRPr="009D2B1E" w:rsidRDefault="00B90687" w:rsidP="4131C206">
      <w:pPr>
        <w:pStyle w:val="DefaultText"/>
        <w:jc w:val="both"/>
        <w:rPr>
          <w:rFonts w:ascii="Times New Roman" w:eastAsiaTheme="minorHAnsi" w:hAnsi="Times New Roman"/>
          <w:color w:val="000000"/>
          <w:szCs w:val="24"/>
          <w14:ligatures w14:val="standardContextual"/>
        </w:rPr>
      </w:pPr>
    </w:p>
    <w:p w14:paraId="6691975D" w14:textId="235FEDBF"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The Board is undergoing a review of all existing chapters including application for examination, licens</w:t>
      </w:r>
      <w:r w:rsidR="0020341A">
        <w:rPr>
          <w:rFonts w:ascii="Times New Roman" w:eastAsiaTheme="minorHAnsi" w:hAnsi="Times New Roman"/>
          <w:color w:val="000000"/>
          <w:szCs w:val="24"/>
          <w14:ligatures w14:val="standardContextual"/>
        </w:rPr>
        <w:t>ur</w:t>
      </w:r>
      <w:r w:rsidRPr="009D2B1E">
        <w:rPr>
          <w:rFonts w:ascii="Times New Roman" w:eastAsiaTheme="minorHAnsi" w:hAnsi="Times New Roman"/>
          <w:color w:val="000000"/>
          <w:szCs w:val="24"/>
          <w14:ligatures w14:val="standardContextual"/>
        </w:rPr>
        <w:t>e</w:t>
      </w:r>
      <w:r w:rsidR="0020341A">
        <w:rPr>
          <w:rFonts w:ascii="Times New Roman" w:eastAsiaTheme="minorHAnsi" w:hAnsi="Times New Roman"/>
          <w:color w:val="000000"/>
          <w:szCs w:val="24"/>
          <w14:ligatures w14:val="standardContextual"/>
        </w:rPr>
        <w:t xml:space="preserve"> by</w:t>
      </w:r>
      <w:r w:rsidRPr="009D2B1E">
        <w:rPr>
          <w:rFonts w:ascii="Times New Roman" w:eastAsiaTheme="minorHAnsi" w:hAnsi="Times New Roman"/>
          <w:color w:val="000000"/>
          <w:szCs w:val="24"/>
          <w14:ligatures w14:val="standardContextual"/>
        </w:rPr>
        <w:t xml:space="preserve"> endorsement, telehealth standards, license renewal requirements, fees, ethics, and continuing education.  Such broad rulemaking is required because the Governor signed a full repeal and </w:t>
      </w:r>
      <w:proofErr w:type="gramStart"/>
      <w:r w:rsidRPr="009D2B1E">
        <w:rPr>
          <w:rFonts w:ascii="Times New Roman" w:eastAsiaTheme="minorHAnsi" w:hAnsi="Times New Roman"/>
          <w:color w:val="000000"/>
          <w:szCs w:val="24"/>
          <w14:ligatures w14:val="standardContextual"/>
        </w:rPr>
        <w:t>replace of</w:t>
      </w:r>
      <w:proofErr w:type="gramEnd"/>
      <w:r w:rsidRPr="009D2B1E">
        <w:rPr>
          <w:rFonts w:ascii="Times New Roman" w:eastAsiaTheme="minorHAnsi" w:hAnsi="Times New Roman"/>
          <w:color w:val="000000"/>
          <w:szCs w:val="24"/>
          <w14:ligatures w14:val="standardContextual"/>
        </w:rPr>
        <w:t xml:space="preserve"> the laws as enacted by the 131st legislative sessions and the new law needs clarifying rules. Rulemaking authority is conferred by 32 M.R.S. § 19204.</w:t>
      </w:r>
    </w:p>
    <w:p w14:paraId="7A68C9B6"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5465C190" w14:textId="77777777" w:rsidR="00CA2921"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To provide context </w:t>
      </w:r>
      <w:proofErr w:type="gramStart"/>
      <w:r w:rsidRPr="009D2B1E">
        <w:rPr>
          <w:rFonts w:ascii="Times New Roman" w:eastAsiaTheme="minorHAnsi" w:hAnsi="Times New Roman"/>
          <w:color w:val="000000"/>
          <w:szCs w:val="24"/>
          <w14:ligatures w14:val="standardContextual"/>
        </w:rPr>
        <w:t>to</w:t>
      </w:r>
      <w:proofErr w:type="gramEnd"/>
      <w:r w:rsidRPr="009D2B1E">
        <w:rPr>
          <w:rFonts w:ascii="Times New Roman" w:eastAsiaTheme="minorHAnsi" w:hAnsi="Times New Roman"/>
          <w:color w:val="000000"/>
          <w:szCs w:val="24"/>
          <w14:ligatures w14:val="standardContextual"/>
        </w:rPr>
        <w:t xml:space="preserve"> the current filing, the Board currently has three </w:t>
      </w:r>
      <w:proofErr w:type="gramStart"/>
      <w:r w:rsidRPr="009D2B1E">
        <w:rPr>
          <w:rFonts w:ascii="Times New Roman" w:eastAsiaTheme="minorHAnsi" w:hAnsi="Times New Roman"/>
          <w:color w:val="000000"/>
          <w:szCs w:val="24"/>
          <w14:ligatures w14:val="standardContextual"/>
        </w:rPr>
        <w:t>rules</w:t>
      </w:r>
      <w:proofErr w:type="gramEnd"/>
      <w:r w:rsidRPr="009D2B1E">
        <w:rPr>
          <w:rFonts w:ascii="Times New Roman" w:eastAsiaTheme="minorHAnsi" w:hAnsi="Times New Roman"/>
          <w:color w:val="000000"/>
          <w:szCs w:val="24"/>
          <w14:ligatures w14:val="standardContextual"/>
        </w:rPr>
        <w:t xml:space="preserve"> chapters:</w:t>
      </w:r>
    </w:p>
    <w:p w14:paraId="210F3FC8" w14:textId="1B101E43"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  </w:t>
      </w:r>
    </w:p>
    <w:p w14:paraId="610EAE73" w14:textId="77777777" w:rsid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02  382   State Board of Optometry</w:t>
      </w:r>
    </w:p>
    <w:p w14:paraId="74B4AF90" w14:textId="77777777" w:rsidR="00CA2921" w:rsidRPr="009D2B1E" w:rsidRDefault="00CA2921" w:rsidP="009D2B1E">
      <w:pPr>
        <w:pStyle w:val="DefaultText"/>
        <w:jc w:val="both"/>
        <w:rPr>
          <w:rFonts w:ascii="Times New Roman" w:eastAsiaTheme="minorHAnsi" w:hAnsi="Times New Roman"/>
          <w:color w:val="000000"/>
          <w:szCs w:val="24"/>
          <w14:ligatures w14:val="standardContextual"/>
        </w:rPr>
      </w:pPr>
    </w:p>
    <w:p w14:paraId="0B4766F8"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hyperlink r:id="rId10" w:history="1">
        <w:r w:rsidRPr="009D2B1E">
          <w:rPr>
            <w:rFonts w:ascii="Times New Roman" w:eastAsiaTheme="minorHAnsi" w:hAnsi="Times New Roman"/>
            <w:color w:val="000000"/>
            <w14:ligatures w14:val="standardContextual"/>
          </w:rPr>
          <w:t>Ch. 1</w:t>
        </w:r>
      </w:hyperlink>
      <w:r w:rsidRPr="009D2B1E">
        <w:rPr>
          <w:rFonts w:ascii="Times New Roman" w:eastAsiaTheme="minorHAnsi" w:hAnsi="Times New Roman"/>
          <w:color w:val="000000"/>
          <w:szCs w:val="24"/>
          <w14:ligatures w14:val="standardContextual"/>
        </w:rPr>
        <w:t>     Examination; Approved Schools; License Renewal; Fees; Continuing Education</w:t>
      </w:r>
    </w:p>
    <w:p w14:paraId="4D45EEDE"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hyperlink r:id="rId11" w:history="1">
        <w:r w:rsidRPr="009D2B1E">
          <w:rPr>
            <w:rFonts w:ascii="Times New Roman" w:eastAsiaTheme="minorHAnsi" w:hAnsi="Times New Roman"/>
            <w:color w:val="000000"/>
            <w14:ligatures w14:val="standardContextual"/>
          </w:rPr>
          <w:t>Ch. 2</w:t>
        </w:r>
      </w:hyperlink>
      <w:r w:rsidRPr="009D2B1E">
        <w:rPr>
          <w:rFonts w:ascii="Times New Roman" w:eastAsiaTheme="minorHAnsi" w:hAnsi="Times New Roman"/>
          <w:color w:val="000000"/>
          <w:szCs w:val="24"/>
          <w14:ligatures w14:val="standardContextual"/>
        </w:rPr>
        <w:t>     Rules of Practice</w:t>
      </w:r>
    </w:p>
    <w:p w14:paraId="0EE98C06"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hyperlink r:id="rId12" w:history="1">
        <w:r w:rsidRPr="009D2B1E">
          <w:rPr>
            <w:rFonts w:ascii="Times New Roman" w:eastAsiaTheme="minorHAnsi" w:hAnsi="Times New Roman"/>
            <w:color w:val="000000"/>
            <w14:ligatures w14:val="standardContextual"/>
          </w:rPr>
          <w:t>Ch. 3</w:t>
        </w:r>
      </w:hyperlink>
      <w:r w:rsidRPr="009D2B1E">
        <w:rPr>
          <w:rFonts w:ascii="Times New Roman" w:eastAsiaTheme="minorHAnsi" w:hAnsi="Times New Roman"/>
          <w:color w:val="000000"/>
          <w:szCs w:val="24"/>
          <w14:ligatures w14:val="standardContextual"/>
        </w:rPr>
        <w:t>     Enforcement, Disciplinary Procedures, and Appeal</w:t>
      </w:r>
    </w:p>
    <w:p w14:paraId="30AD7FB2"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666FCBFD" w14:textId="323070CF"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The board </w:t>
      </w:r>
      <w:r w:rsidR="0020341A">
        <w:rPr>
          <w:rFonts w:ascii="Times New Roman" w:eastAsiaTheme="minorHAnsi" w:hAnsi="Times New Roman"/>
          <w:color w:val="000000"/>
          <w:szCs w:val="24"/>
          <w14:ligatures w14:val="standardContextual"/>
        </w:rPr>
        <w:t>voted</w:t>
      </w:r>
      <w:r w:rsidR="0020341A" w:rsidRPr="0020341A">
        <w:rPr>
          <w:rFonts w:ascii="Times New Roman" w:eastAsiaTheme="minorHAnsi" w:hAnsi="Times New Roman"/>
          <w:color w:val="000000"/>
          <w:szCs w:val="24"/>
          <w14:ligatures w14:val="standardContextual"/>
        </w:rPr>
        <w:t xml:space="preserve"> </w:t>
      </w:r>
      <w:r w:rsidR="0020341A">
        <w:rPr>
          <w:rFonts w:ascii="Times New Roman" w:eastAsiaTheme="minorHAnsi" w:hAnsi="Times New Roman"/>
          <w:color w:val="000000"/>
          <w:szCs w:val="24"/>
          <w14:ligatures w14:val="standardContextual"/>
        </w:rPr>
        <w:t xml:space="preserve">on </w:t>
      </w:r>
      <w:r w:rsidR="0020341A" w:rsidRPr="009D2B1E">
        <w:rPr>
          <w:rFonts w:ascii="Times New Roman" w:eastAsiaTheme="minorHAnsi" w:hAnsi="Times New Roman"/>
          <w:color w:val="000000"/>
          <w:szCs w:val="24"/>
          <w14:ligatures w14:val="standardContextual"/>
        </w:rPr>
        <w:t>July 24, 2024</w:t>
      </w:r>
      <w:r w:rsidR="0020341A">
        <w:rPr>
          <w:rFonts w:ascii="Times New Roman" w:eastAsiaTheme="minorHAnsi" w:hAnsi="Times New Roman"/>
          <w:color w:val="000000"/>
          <w:szCs w:val="24"/>
          <w14:ligatures w14:val="standardContextual"/>
        </w:rPr>
        <w:t xml:space="preserve">, to propose rules and </w:t>
      </w:r>
      <w:r w:rsidRPr="009D2B1E">
        <w:rPr>
          <w:rFonts w:ascii="Times New Roman" w:eastAsiaTheme="minorHAnsi" w:hAnsi="Times New Roman"/>
          <w:color w:val="000000"/>
          <w:szCs w:val="24"/>
          <w14:ligatures w14:val="standardContextual"/>
        </w:rPr>
        <w:t xml:space="preserve">first received oral comments </w:t>
      </w:r>
      <w:r w:rsidR="00391AE9">
        <w:rPr>
          <w:rFonts w:ascii="Times New Roman" w:eastAsiaTheme="minorHAnsi" w:hAnsi="Times New Roman"/>
          <w:color w:val="000000"/>
          <w:szCs w:val="24"/>
          <w14:ligatures w14:val="standardContextual"/>
        </w:rPr>
        <w:t xml:space="preserve">on </w:t>
      </w:r>
      <w:r w:rsidR="0020341A">
        <w:rPr>
          <w:rFonts w:ascii="Times New Roman" w:eastAsiaTheme="minorHAnsi" w:hAnsi="Times New Roman"/>
          <w:color w:val="000000"/>
          <w:szCs w:val="24"/>
          <w14:ligatures w14:val="standardContextual"/>
        </w:rPr>
        <w:t xml:space="preserve">such </w:t>
      </w:r>
      <w:r w:rsidR="00391AE9">
        <w:rPr>
          <w:rFonts w:ascii="Times New Roman" w:eastAsiaTheme="minorHAnsi" w:hAnsi="Times New Roman"/>
          <w:color w:val="000000"/>
          <w:szCs w:val="24"/>
          <w14:ligatures w14:val="standardContextual"/>
        </w:rPr>
        <w:t xml:space="preserve">rule changes </w:t>
      </w:r>
      <w:r w:rsidRPr="009D2B1E">
        <w:rPr>
          <w:rFonts w:ascii="Times New Roman" w:eastAsiaTheme="minorHAnsi" w:hAnsi="Times New Roman"/>
          <w:color w:val="000000"/>
          <w:szCs w:val="24"/>
          <w14:ligatures w14:val="standardContextual"/>
        </w:rPr>
        <w:t xml:space="preserve">at its public hearing on August 9, 2024, at 1:00 p.m., and continued to accept written comments through 5:00 pm on August 20, 2024.  The board held a public meeting on August 30, 2024, to discuss and make changes to the proposed rule based on the comments, oral and written.  </w:t>
      </w:r>
    </w:p>
    <w:p w14:paraId="69F18F69"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73179B90" w14:textId="4237AC4D"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The changes to the </w:t>
      </w:r>
      <w:r w:rsidR="00391AE9">
        <w:rPr>
          <w:rFonts w:ascii="Times New Roman" w:eastAsiaTheme="minorHAnsi" w:hAnsi="Times New Roman"/>
          <w:color w:val="000000"/>
          <w:szCs w:val="24"/>
          <w14:ligatures w14:val="standardContextual"/>
        </w:rPr>
        <w:t xml:space="preserve">originally proposed </w:t>
      </w:r>
      <w:r w:rsidRPr="009D2B1E">
        <w:rPr>
          <w:rFonts w:ascii="Times New Roman" w:eastAsiaTheme="minorHAnsi" w:hAnsi="Times New Roman"/>
          <w:color w:val="000000"/>
          <w:szCs w:val="24"/>
          <w14:ligatures w14:val="standardContextual"/>
        </w:rPr>
        <w:t xml:space="preserve">rules </w:t>
      </w:r>
      <w:r w:rsidR="002B6E8C">
        <w:rPr>
          <w:rFonts w:ascii="Times New Roman" w:eastAsiaTheme="minorHAnsi" w:hAnsi="Times New Roman"/>
          <w:color w:val="000000"/>
          <w:szCs w:val="24"/>
          <w14:ligatures w14:val="standardContextual"/>
        </w:rPr>
        <w:t xml:space="preserve">were </w:t>
      </w:r>
      <w:r w:rsidRPr="009D2B1E">
        <w:rPr>
          <w:rFonts w:ascii="Times New Roman" w:eastAsiaTheme="minorHAnsi" w:hAnsi="Times New Roman"/>
          <w:color w:val="000000"/>
          <w:szCs w:val="24"/>
          <w14:ligatures w14:val="standardContextual"/>
        </w:rPr>
        <w:t xml:space="preserve">substantial so </w:t>
      </w:r>
      <w:r w:rsidR="007D0A87">
        <w:rPr>
          <w:rFonts w:ascii="Times New Roman" w:eastAsiaTheme="minorHAnsi" w:hAnsi="Times New Roman"/>
          <w:color w:val="000000"/>
          <w:szCs w:val="24"/>
          <w14:ligatures w14:val="standardContextual"/>
        </w:rPr>
        <w:t xml:space="preserve">on August 30, 2024, </w:t>
      </w:r>
      <w:r w:rsidRPr="009D2B1E">
        <w:rPr>
          <w:rFonts w:ascii="Times New Roman" w:eastAsiaTheme="minorHAnsi" w:hAnsi="Times New Roman"/>
          <w:color w:val="000000"/>
          <w:szCs w:val="24"/>
          <w14:ligatures w14:val="standardContextual"/>
        </w:rPr>
        <w:t xml:space="preserve">the Board voted to send </w:t>
      </w:r>
      <w:r w:rsidR="0020341A">
        <w:rPr>
          <w:rFonts w:ascii="Times New Roman" w:eastAsiaTheme="minorHAnsi" w:hAnsi="Times New Roman"/>
          <w:color w:val="000000"/>
          <w:szCs w:val="24"/>
          <w14:ligatures w14:val="standardContextual"/>
        </w:rPr>
        <w:t xml:space="preserve">revised proposed rules </w:t>
      </w:r>
      <w:r w:rsidRPr="009D2B1E">
        <w:rPr>
          <w:rFonts w:ascii="Times New Roman" w:eastAsiaTheme="minorHAnsi" w:hAnsi="Times New Roman"/>
          <w:color w:val="000000"/>
          <w:szCs w:val="24"/>
          <w14:ligatures w14:val="standardContextual"/>
        </w:rPr>
        <w:t>out for additional public comment.  Because of the confusion and the Board’s desire for complete clarity, it offer</w:t>
      </w:r>
      <w:r w:rsidR="0020341A">
        <w:rPr>
          <w:rFonts w:ascii="Times New Roman" w:eastAsiaTheme="minorHAnsi" w:hAnsi="Times New Roman"/>
          <w:color w:val="000000"/>
          <w:szCs w:val="24"/>
          <w14:ligatures w14:val="standardContextual"/>
        </w:rPr>
        <w:t>ed</w:t>
      </w:r>
      <w:r w:rsidRPr="009D2B1E">
        <w:rPr>
          <w:rFonts w:ascii="Times New Roman" w:eastAsiaTheme="minorHAnsi" w:hAnsi="Times New Roman"/>
          <w:color w:val="000000"/>
          <w:szCs w:val="24"/>
          <w14:ligatures w14:val="standardContextual"/>
        </w:rPr>
        <w:t xml:space="preserve"> a </w:t>
      </w:r>
      <w:proofErr w:type="gramStart"/>
      <w:r w:rsidRPr="009D2B1E">
        <w:rPr>
          <w:rFonts w:ascii="Times New Roman" w:eastAsiaTheme="minorHAnsi" w:hAnsi="Times New Roman"/>
          <w:color w:val="000000"/>
          <w:szCs w:val="24"/>
          <w14:ligatures w14:val="standardContextual"/>
        </w:rPr>
        <w:t>repeal</w:t>
      </w:r>
      <w:proofErr w:type="gramEnd"/>
      <w:r w:rsidRPr="009D2B1E">
        <w:rPr>
          <w:rFonts w:ascii="Times New Roman" w:eastAsiaTheme="minorHAnsi" w:hAnsi="Times New Roman"/>
          <w:color w:val="000000"/>
          <w:szCs w:val="24"/>
          <w14:ligatures w14:val="standardContextual"/>
        </w:rPr>
        <w:t xml:space="preserve"> and replace approach to better clarify what is new.  The Board accordingly propose</w:t>
      </w:r>
      <w:r w:rsidR="0020341A">
        <w:rPr>
          <w:rFonts w:ascii="Times New Roman" w:eastAsiaTheme="minorHAnsi" w:hAnsi="Times New Roman"/>
          <w:color w:val="000000"/>
          <w:szCs w:val="24"/>
          <w14:ligatures w14:val="standardContextual"/>
        </w:rPr>
        <w:t>d</w:t>
      </w:r>
      <w:r w:rsidRPr="009D2B1E">
        <w:rPr>
          <w:rFonts w:ascii="Times New Roman" w:eastAsiaTheme="minorHAnsi" w:hAnsi="Times New Roman"/>
          <w:color w:val="000000"/>
          <w:szCs w:val="24"/>
          <w14:ligatures w14:val="standardContextual"/>
        </w:rPr>
        <w:t xml:space="preserve"> rules that reflect a </w:t>
      </w:r>
      <w:proofErr w:type="gramStart"/>
      <w:r w:rsidRPr="009D2B1E">
        <w:rPr>
          <w:rFonts w:ascii="Times New Roman" w:eastAsiaTheme="minorHAnsi" w:hAnsi="Times New Roman"/>
          <w:color w:val="000000"/>
          <w:szCs w:val="24"/>
          <w14:ligatures w14:val="standardContextual"/>
        </w:rPr>
        <w:t>repeal</w:t>
      </w:r>
      <w:proofErr w:type="gramEnd"/>
      <w:r w:rsidRPr="009D2B1E">
        <w:rPr>
          <w:rFonts w:ascii="Times New Roman" w:eastAsiaTheme="minorHAnsi" w:hAnsi="Times New Roman"/>
          <w:color w:val="000000"/>
          <w:szCs w:val="24"/>
          <w14:ligatures w14:val="standardContextual"/>
        </w:rPr>
        <w:t xml:space="preserve"> and replacement of the existing three chapters.  </w:t>
      </w:r>
    </w:p>
    <w:p w14:paraId="3B7045DE"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07ABBBC5" w14:textId="6CD9CF7A"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In the revised proposed rules, chapters 1, 2, and 3 are repealed and replaced with the following clean version of new chapters </w:t>
      </w:r>
      <w:r w:rsidR="002B6E8C">
        <w:rPr>
          <w:rFonts w:ascii="Times New Roman" w:eastAsiaTheme="minorHAnsi" w:hAnsi="Times New Roman"/>
          <w:color w:val="000000"/>
          <w:szCs w:val="24"/>
          <w14:ligatures w14:val="standardContextual"/>
        </w:rPr>
        <w:t xml:space="preserve">1 – 5 </w:t>
      </w:r>
      <w:r w:rsidRPr="009D2B1E">
        <w:rPr>
          <w:rFonts w:ascii="Times New Roman" w:eastAsiaTheme="minorHAnsi" w:hAnsi="Times New Roman"/>
          <w:color w:val="000000"/>
          <w:szCs w:val="24"/>
          <w14:ligatures w14:val="standardContextual"/>
        </w:rPr>
        <w:t xml:space="preserve">which are </w:t>
      </w:r>
      <w:r w:rsidR="0020341A">
        <w:rPr>
          <w:rFonts w:ascii="Times New Roman" w:eastAsiaTheme="minorHAnsi" w:hAnsi="Times New Roman"/>
          <w:color w:val="000000"/>
          <w:szCs w:val="24"/>
          <w14:ligatures w14:val="standardContextual"/>
        </w:rPr>
        <w:t xml:space="preserve">identified </w:t>
      </w:r>
      <w:r w:rsidRPr="009D2B1E">
        <w:rPr>
          <w:rFonts w:ascii="Times New Roman" w:eastAsiaTheme="minorHAnsi" w:hAnsi="Times New Roman"/>
          <w:color w:val="000000"/>
          <w:szCs w:val="24"/>
          <w14:ligatures w14:val="standardContextual"/>
        </w:rPr>
        <w:t>as follows:</w:t>
      </w:r>
    </w:p>
    <w:p w14:paraId="2C727620"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1488DF99" w14:textId="10E4969B"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Chapter 1: Initial Licensure and Renewal, Licensure by Endorsement, Fees, Continuing Education</w:t>
      </w:r>
    </w:p>
    <w:p w14:paraId="61F6B165"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50004E1A"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Chapter 2: Advisory Rulings</w:t>
      </w:r>
    </w:p>
    <w:p w14:paraId="36C11031"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2796EBFD"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lastRenderedPageBreak/>
        <w:t>Chapter 3: Enforcement, Disciplinary Procedures, and Appeals</w:t>
      </w:r>
    </w:p>
    <w:p w14:paraId="63E807A0"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5779603D"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Chapter 4: Telehealth Standards, use and Limitations, </w:t>
      </w:r>
    </w:p>
    <w:p w14:paraId="666DD934"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1F327FF3"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Chapter 5: Code of Ethics. </w:t>
      </w:r>
    </w:p>
    <w:p w14:paraId="6F6361DE" w14:textId="77777777" w:rsidR="009D2B1E" w:rsidRPr="009D2B1E" w:rsidRDefault="009D2B1E" w:rsidP="009D2B1E">
      <w:pPr>
        <w:pStyle w:val="DefaultText"/>
        <w:jc w:val="both"/>
        <w:rPr>
          <w:rFonts w:ascii="Times New Roman" w:eastAsiaTheme="minorHAnsi" w:hAnsi="Times New Roman"/>
          <w:color w:val="000000"/>
          <w:szCs w:val="24"/>
          <w14:ligatures w14:val="standardContextual"/>
        </w:rPr>
      </w:pPr>
    </w:p>
    <w:p w14:paraId="72E74465" w14:textId="7D369F20" w:rsidR="00E01856" w:rsidRDefault="00E01856" w:rsidP="00E01856">
      <w:pPr>
        <w:pStyle w:val="Default"/>
        <w:jc w:val="both"/>
      </w:pPr>
      <w:r w:rsidRPr="005D5D51">
        <w:t xml:space="preserve">Notice of the </w:t>
      </w:r>
      <w:r w:rsidR="002B6E8C">
        <w:t xml:space="preserve">second </w:t>
      </w:r>
      <w:r w:rsidRPr="005D5D51">
        <w:t xml:space="preserve">proposed rulemaking was published in the Maine Secretary of State weekly notice on </w:t>
      </w:r>
      <w:r w:rsidR="00770C11">
        <w:t>September 25</w:t>
      </w:r>
      <w:r w:rsidR="00674620" w:rsidRPr="005D5D51">
        <w:t>, 2024</w:t>
      </w:r>
      <w:r w:rsidRPr="005D5D51">
        <w:t xml:space="preserve">, in the Portland Press Herald, the Kennebec Journal, the Bangor Daily News, and the Sun Journal on </w:t>
      </w:r>
      <w:r w:rsidR="00770C11">
        <w:t>September 25</w:t>
      </w:r>
      <w:r w:rsidRPr="005D5D51">
        <w:t xml:space="preserve">, 2024, and uploaded to the </w:t>
      </w:r>
      <w:r w:rsidR="00674620" w:rsidRPr="005D5D51">
        <w:t>Optometry</w:t>
      </w:r>
      <w:r w:rsidRPr="005D5D51">
        <w:t xml:space="preserve"> Licensing Board webpage on </w:t>
      </w:r>
      <w:r w:rsidR="00770C11">
        <w:t>September 24</w:t>
      </w:r>
      <w:r w:rsidR="001B17A9" w:rsidRPr="005D5D51">
        <w:t>,</w:t>
      </w:r>
      <w:r w:rsidRPr="005D5D51">
        <w:t xml:space="preserve"> 2024.   </w:t>
      </w:r>
    </w:p>
    <w:p w14:paraId="1C1B0C52" w14:textId="77777777" w:rsidR="0020341A" w:rsidRDefault="0020341A" w:rsidP="00E01856">
      <w:pPr>
        <w:pStyle w:val="Default"/>
        <w:jc w:val="both"/>
      </w:pPr>
    </w:p>
    <w:p w14:paraId="3719D294" w14:textId="2E9E252B" w:rsidR="0020341A" w:rsidRPr="00AF48FF" w:rsidRDefault="0020341A" w:rsidP="0020341A">
      <w:pPr>
        <w:pStyle w:val="DefaultText"/>
        <w:jc w:val="both"/>
        <w:rPr>
          <w:rFonts w:ascii="Times New Roman" w:eastAsiaTheme="minorHAnsi" w:hAnsi="Times New Roman"/>
          <w:color w:val="000000"/>
          <w:szCs w:val="24"/>
          <w14:ligatures w14:val="standardContextual"/>
        </w:rPr>
      </w:pPr>
      <w:r w:rsidRPr="009D2B1E">
        <w:rPr>
          <w:rFonts w:ascii="Times New Roman" w:eastAsiaTheme="minorHAnsi" w:hAnsi="Times New Roman"/>
          <w:color w:val="000000"/>
          <w:szCs w:val="24"/>
          <w14:ligatures w14:val="standardContextual"/>
        </w:rPr>
        <w:t xml:space="preserve">Changes from </w:t>
      </w:r>
      <w:proofErr w:type="gramStart"/>
      <w:r w:rsidRPr="009D2B1E">
        <w:rPr>
          <w:rFonts w:ascii="Times New Roman" w:eastAsiaTheme="minorHAnsi" w:hAnsi="Times New Roman"/>
          <w:color w:val="000000"/>
          <w:szCs w:val="24"/>
          <w14:ligatures w14:val="standardContextual"/>
        </w:rPr>
        <w:t>the July</w:t>
      </w:r>
      <w:proofErr w:type="gramEnd"/>
      <w:r w:rsidRPr="009D2B1E">
        <w:rPr>
          <w:rFonts w:ascii="Times New Roman" w:eastAsiaTheme="minorHAnsi" w:hAnsi="Times New Roman"/>
          <w:color w:val="000000"/>
          <w:szCs w:val="24"/>
          <w14:ligatures w14:val="standardContextual"/>
        </w:rPr>
        <w:t xml:space="preserve"> 24, 2024, published rules </w:t>
      </w:r>
      <w:r>
        <w:rPr>
          <w:rFonts w:ascii="Times New Roman" w:eastAsiaTheme="minorHAnsi" w:hAnsi="Times New Roman"/>
          <w:color w:val="000000"/>
          <w:szCs w:val="24"/>
          <w14:ligatures w14:val="standardContextual"/>
        </w:rPr>
        <w:t xml:space="preserve">were published </w:t>
      </w:r>
      <w:r w:rsidRPr="009D2B1E">
        <w:rPr>
          <w:rFonts w:ascii="Times New Roman" w:eastAsiaTheme="minorHAnsi" w:hAnsi="Times New Roman"/>
          <w:color w:val="000000"/>
          <w:szCs w:val="24"/>
          <w14:ligatures w14:val="standardContextual"/>
        </w:rPr>
        <w:t xml:space="preserve">in bold red text so it </w:t>
      </w:r>
      <w:r>
        <w:rPr>
          <w:rFonts w:ascii="Times New Roman" w:eastAsiaTheme="minorHAnsi" w:hAnsi="Times New Roman"/>
          <w:color w:val="000000"/>
          <w:szCs w:val="24"/>
          <w14:ligatures w14:val="standardContextual"/>
        </w:rPr>
        <w:t xml:space="preserve">would be </w:t>
      </w:r>
      <w:r w:rsidRPr="009D2B1E">
        <w:rPr>
          <w:rFonts w:ascii="Times New Roman" w:eastAsiaTheme="minorHAnsi" w:hAnsi="Times New Roman"/>
          <w:color w:val="000000"/>
          <w:szCs w:val="24"/>
          <w14:ligatures w14:val="standardContextual"/>
        </w:rPr>
        <w:t xml:space="preserve">obvious </w:t>
      </w:r>
      <w:r w:rsidRPr="00AF48FF">
        <w:rPr>
          <w:rFonts w:ascii="Times New Roman" w:eastAsiaTheme="minorHAnsi" w:hAnsi="Times New Roman"/>
          <w:color w:val="000000"/>
          <w:szCs w:val="24"/>
          <w14:ligatures w14:val="standardContextual"/>
        </w:rPr>
        <w:t xml:space="preserve">to the public what the changes are.  </w:t>
      </w:r>
    </w:p>
    <w:p w14:paraId="2B6DC8CA" w14:textId="77777777" w:rsidR="00AF48FF" w:rsidRPr="00AF48FF" w:rsidRDefault="00AF48FF" w:rsidP="0020341A">
      <w:pPr>
        <w:pStyle w:val="DefaultText"/>
        <w:jc w:val="both"/>
        <w:rPr>
          <w:rFonts w:ascii="Times New Roman" w:eastAsiaTheme="minorHAnsi" w:hAnsi="Times New Roman"/>
          <w:color w:val="000000"/>
          <w:szCs w:val="24"/>
          <w14:ligatures w14:val="standardContextual"/>
        </w:rPr>
      </w:pPr>
    </w:p>
    <w:p w14:paraId="3D8C248D" w14:textId="0B42529B" w:rsidR="00AF48FF" w:rsidRPr="00AF48FF" w:rsidRDefault="00AF48FF" w:rsidP="0020341A">
      <w:pPr>
        <w:pStyle w:val="DefaultText"/>
        <w:jc w:val="both"/>
        <w:rPr>
          <w:rFonts w:ascii="Times New Roman" w:eastAsiaTheme="minorHAnsi" w:hAnsi="Times New Roman"/>
          <w:color w:val="000000"/>
          <w:szCs w:val="24"/>
          <w14:ligatures w14:val="standardContextual"/>
        </w:rPr>
      </w:pPr>
      <w:r w:rsidRPr="00AF48FF">
        <w:rPr>
          <w:rFonts w:ascii="Times New Roman" w:hAnsi="Times New Roman"/>
        </w:rPr>
        <w:t>The Board accept</w:t>
      </w:r>
      <w:r>
        <w:rPr>
          <w:rFonts w:ascii="Times New Roman" w:hAnsi="Times New Roman"/>
        </w:rPr>
        <w:t>ed</w:t>
      </w:r>
      <w:r w:rsidRPr="00AF48FF">
        <w:rPr>
          <w:rFonts w:ascii="Times New Roman" w:hAnsi="Times New Roman"/>
        </w:rPr>
        <w:t xml:space="preserve"> written comments </w:t>
      </w:r>
      <w:r>
        <w:rPr>
          <w:rFonts w:ascii="Times New Roman" w:hAnsi="Times New Roman"/>
        </w:rPr>
        <w:t xml:space="preserve">on the second proposed rules </w:t>
      </w:r>
      <w:r w:rsidRPr="00AF48FF">
        <w:rPr>
          <w:rFonts w:ascii="Times New Roman" w:hAnsi="Times New Roman"/>
        </w:rPr>
        <w:t>through 5:00 pm on October 25, 2024</w:t>
      </w:r>
    </w:p>
    <w:p w14:paraId="2D37C643" w14:textId="77777777" w:rsidR="00E01856" w:rsidRPr="00AF48FF" w:rsidRDefault="00E01856" w:rsidP="00E01856">
      <w:pPr>
        <w:pStyle w:val="Default"/>
        <w:jc w:val="both"/>
      </w:pPr>
    </w:p>
    <w:p w14:paraId="4E45F694" w14:textId="6960D3A1" w:rsidR="00237575" w:rsidRPr="00AF48FF" w:rsidRDefault="00A73A6A" w:rsidP="00EA4EFF">
      <w:pPr>
        <w:jc w:val="both"/>
        <w:rPr>
          <w:rFonts w:eastAsiaTheme="minorHAnsi"/>
          <w:color w:val="000000"/>
          <w:sz w:val="24"/>
          <w:szCs w:val="24"/>
          <w14:ligatures w14:val="standardContextual"/>
        </w:rPr>
      </w:pPr>
      <w:r w:rsidRPr="00AF48FF">
        <w:rPr>
          <w:rFonts w:eastAsiaTheme="minorHAnsi"/>
          <w:color w:val="000000"/>
          <w:sz w:val="24"/>
          <w:szCs w:val="24"/>
          <w14:ligatures w14:val="standardContextual"/>
        </w:rPr>
        <w:t>Summary of Comments and Responses</w:t>
      </w:r>
      <w:r w:rsidR="004E3C8C">
        <w:rPr>
          <w:rFonts w:eastAsiaTheme="minorHAnsi"/>
          <w:color w:val="000000"/>
          <w:sz w:val="24"/>
          <w:szCs w:val="24"/>
          <w14:ligatures w14:val="standardContextual"/>
        </w:rPr>
        <w:t xml:space="preserve"> on second proposed rules</w:t>
      </w:r>
      <w:r w:rsidRPr="00AF48FF">
        <w:rPr>
          <w:rFonts w:eastAsiaTheme="minorHAnsi"/>
          <w:color w:val="000000"/>
          <w:sz w:val="24"/>
          <w:szCs w:val="24"/>
          <w14:ligatures w14:val="standardContextual"/>
        </w:rPr>
        <w:t>:</w:t>
      </w:r>
    </w:p>
    <w:p w14:paraId="6D117D81" w14:textId="77777777" w:rsidR="00237575" w:rsidRPr="00AF48FF" w:rsidRDefault="00237575" w:rsidP="00EA4EFF">
      <w:pPr>
        <w:pStyle w:val="BodyText"/>
        <w:spacing w:before="2"/>
        <w:rPr>
          <w:rFonts w:eastAsiaTheme="minorHAnsi"/>
          <w:color w:val="000000"/>
          <w14:ligatures w14:val="standardContextual"/>
        </w:rPr>
      </w:pPr>
    </w:p>
    <w:p w14:paraId="468626D5" w14:textId="06F60B62" w:rsidR="00485632" w:rsidRPr="009D2B1E" w:rsidRDefault="00485632" w:rsidP="00EA4EFF">
      <w:pPr>
        <w:pStyle w:val="BodyText"/>
        <w:spacing w:before="90"/>
        <w:rPr>
          <w:rFonts w:eastAsiaTheme="minorHAnsi"/>
          <w14:ligatures w14:val="standardContextual"/>
        </w:rPr>
      </w:pPr>
      <w:r w:rsidRPr="009D2B1E">
        <w:rPr>
          <w:rFonts w:eastAsiaTheme="minorHAnsi"/>
          <w14:ligatures w14:val="standardContextual"/>
        </w:rPr>
        <w:t xml:space="preserve">The Board received </w:t>
      </w:r>
      <w:r w:rsidR="00770C11" w:rsidRPr="009D2B1E">
        <w:rPr>
          <w:rFonts w:eastAsiaTheme="minorHAnsi"/>
          <w14:ligatures w14:val="standardContextual"/>
        </w:rPr>
        <w:t>three</w:t>
      </w:r>
      <w:r w:rsidR="00E01856" w:rsidRPr="009D2B1E">
        <w:rPr>
          <w:rFonts w:eastAsiaTheme="minorHAnsi"/>
          <w14:ligatures w14:val="standardContextual"/>
        </w:rPr>
        <w:t xml:space="preserve"> </w:t>
      </w:r>
      <w:r w:rsidR="000E13FE" w:rsidRPr="009D2B1E">
        <w:rPr>
          <w:rFonts w:eastAsiaTheme="minorHAnsi"/>
          <w14:ligatures w14:val="standardContextual"/>
        </w:rPr>
        <w:t>(</w:t>
      </w:r>
      <w:r w:rsidR="00770C11" w:rsidRPr="009D2B1E">
        <w:rPr>
          <w:rFonts w:eastAsiaTheme="minorHAnsi"/>
          <w14:ligatures w14:val="standardContextual"/>
        </w:rPr>
        <w:t>3</w:t>
      </w:r>
      <w:r w:rsidR="00E01856" w:rsidRPr="009D2B1E">
        <w:rPr>
          <w:rFonts w:eastAsiaTheme="minorHAnsi"/>
          <w14:ligatures w14:val="standardContextual"/>
        </w:rPr>
        <w:t>)</w:t>
      </w:r>
      <w:r w:rsidRPr="009D2B1E">
        <w:rPr>
          <w:rFonts w:eastAsiaTheme="minorHAnsi"/>
          <w14:ligatures w14:val="standardContextual"/>
        </w:rPr>
        <w:t xml:space="preserve"> </w:t>
      </w:r>
      <w:r w:rsidR="00CA2921">
        <w:rPr>
          <w:rFonts w:eastAsiaTheme="minorHAnsi"/>
          <w14:ligatures w14:val="standardContextual"/>
        </w:rPr>
        <w:t xml:space="preserve">written </w:t>
      </w:r>
      <w:r w:rsidRPr="009D2B1E">
        <w:rPr>
          <w:rFonts w:eastAsiaTheme="minorHAnsi"/>
          <w14:ligatures w14:val="standardContextual"/>
        </w:rPr>
        <w:t>comments on the proposed</w:t>
      </w:r>
      <w:r w:rsidR="00CA2921">
        <w:rPr>
          <w:rFonts w:eastAsiaTheme="minorHAnsi"/>
          <w14:ligatures w14:val="standardContextual"/>
        </w:rPr>
        <w:t xml:space="preserve"> </w:t>
      </w:r>
      <w:proofErr w:type="gramStart"/>
      <w:r w:rsidR="00CA2921">
        <w:rPr>
          <w:rFonts w:eastAsiaTheme="minorHAnsi"/>
          <w14:ligatures w14:val="standardContextual"/>
        </w:rPr>
        <w:t>repeal</w:t>
      </w:r>
      <w:proofErr w:type="gramEnd"/>
      <w:r w:rsidR="00CA2921">
        <w:rPr>
          <w:rFonts w:eastAsiaTheme="minorHAnsi"/>
          <w14:ligatures w14:val="standardContextual"/>
        </w:rPr>
        <w:t xml:space="preserve"> and replace of</w:t>
      </w:r>
      <w:r w:rsidRPr="009D2B1E">
        <w:rPr>
          <w:rFonts w:eastAsiaTheme="minorHAnsi"/>
          <w14:ligatures w14:val="standardContextual"/>
        </w:rPr>
        <w:t xml:space="preserve"> rule(s). </w:t>
      </w:r>
      <w:r w:rsidRPr="009D2B1E">
        <w:rPr>
          <w:rFonts w:eastAsiaTheme="minorHAnsi"/>
          <w14:ligatures w14:val="standardContextual"/>
        </w:rPr>
        <w:br/>
      </w:r>
    </w:p>
    <w:p w14:paraId="105491D0" w14:textId="7954ECBA" w:rsidR="00E01856" w:rsidRDefault="002C1597" w:rsidP="00D85D89">
      <w:pPr>
        <w:pStyle w:val="BodyText"/>
        <w:numPr>
          <w:ilvl w:val="0"/>
          <w:numId w:val="16"/>
        </w:numPr>
        <w:spacing w:before="90"/>
        <w:rPr>
          <w:rFonts w:eastAsiaTheme="minorHAnsi"/>
          <w:color w:val="000000"/>
          <w14:ligatures w14:val="standardContextual"/>
        </w:rPr>
      </w:pPr>
      <w:r w:rsidRPr="009D2B1E">
        <w:rPr>
          <w:rFonts w:eastAsiaTheme="minorHAnsi"/>
          <w:color w:val="000000"/>
          <w14:ligatures w14:val="standardContextual"/>
        </w:rPr>
        <w:t>Maine Optometric Association,</w:t>
      </w:r>
      <w:r w:rsidR="00770C11" w:rsidRPr="009D2B1E">
        <w:rPr>
          <w:rFonts w:eastAsiaTheme="minorHAnsi"/>
          <w:color w:val="000000"/>
          <w14:ligatures w14:val="standardContextual"/>
        </w:rPr>
        <w:t xml:space="preserve"> </w:t>
      </w:r>
      <w:r w:rsidR="002B6E8C">
        <w:rPr>
          <w:rFonts w:eastAsiaTheme="minorHAnsi"/>
          <w:color w:val="000000"/>
          <w14:ligatures w14:val="standardContextual"/>
        </w:rPr>
        <w:t xml:space="preserve">by </w:t>
      </w:r>
      <w:r w:rsidR="00770C11" w:rsidRPr="009D2B1E">
        <w:rPr>
          <w:rFonts w:eastAsiaTheme="minorHAnsi"/>
          <w:color w:val="000000"/>
          <w14:ligatures w14:val="standardContextual"/>
        </w:rPr>
        <w:t>Bruce Gerrity</w:t>
      </w:r>
      <w:r w:rsidR="00C245C7" w:rsidRPr="009D2B1E">
        <w:rPr>
          <w:rFonts w:eastAsiaTheme="minorHAnsi"/>
          <w:color w:val="000000"/>
          <w14:ligatures w14:val="standardContextual"/>
        </w:rPr>
        <w:t xml:space="preserve"> (</w:t>
      </w:r>
      <w:r w:rsidR="002B6E8C">
        <w:rPr>
          <w:rFonts w:eastAsiaTheme="minorHAnsi"/>
          <w:color w:val="000000"/>
          <w14:ligatures w14:val="standardContextual"/>
        </w:rPr>
        <w:t xml:space="preserve">attorney, </w:t>
      </w:r>
      <w:proofErr w:type="spellStart"/>
      <w:r w:rsidR="00C245C7" w:rsidRPr="009D2B1E">
        <w:rPr>
          <w:rFonts w:eastAsiaTheme="minorHAnsi"/>
          <w:color w:val="000000"/>
          <w14:ligatures w14:val="standardContextual"/>
        </w:rPr>
        <w:t>PretiF</w:t>
      </w:r>
      <w:r w:rsidR="00827040" w:rsidRPr="009D2B1E">
        <w:rPr>
          <w:rFonts w:eastAsiaTheme="minorHAnsi"/>
          <w:color w:val="000000"/>
          <w14:ligatures w14:val="standardContextual"/>
        </w:rPr>
        <w:t>l</w:t>
      </w:r>
      <w:r w:rsidR="00C245C7" w:rsidRPr="009D2B1E">
        <w:rPr>
          <w:rFonts w:eastAsiaTheme="minorHAnsi"/>
          <w:color w:val="000000"/>
          <w14:ligatures w14:val="standardContextual"/>
        </w:rPr>
        <w:t>aherty</w:t>
      </w:r>
      <w:proofErr w:type="spellEnd"/>
      <w:r w:rsidR="002B6E8C">
        <w:rPr>
          <w:rFonts w:eastAsiaTheme="minorHAnsi"/>
          <w:color w:val="000000"/>
          <w14:ligatures w14:val="standardContextual"/>
        </w:rPr>
        <w:t xml:space="preserve">) </w:t>
      </w:r>
      <w:r w:rsidR="00E01856" w:rsidRPr="009D2B1E">
        <w:rPr>
          <w:rFonts w:eastAsiaTheme="minorHAnsi"/>
          <w:color w:val="000000"/>
          <w14:ligatures w14:val="standardContextual"/>
        </w:rPr>
        <w:t>(</w:t>
      </w:r>
      <w:r w:rsidR="00770C11" w:rsidRPr="009D2B1E">
        <w:rPr>
          <w:rFonts w:eastAsiaTheme="minorHAnsi"/>
          <w:color w:val="000000"/>
          <w14:ligatures w14:val="standardContextual"/>
        </w:rPr>
        <w:t>written</w:t>
      </w:r>
      <w:r w:rsidR="00E01856" w:rsidRPr="009D2B1E">
        <w:rPr>
          <w:rFonts w:eastAsiaTheme="minorHAnsi"/>
          <w:color w:val="000000"/>
          <w14:ligatures w14:val="standardContextual"/>
        </w:rPr>
        <w:t xml:space="preserve"> comment provided </w:t>
      </w:r>
      <w:r w:rsidR="00770C11" w:rsidRPr="009D2B1E">
        <w:rPr>
          <w:rFonts w:eastAsiaTheme="minorHAnsi"/>
          <w:color w:val="000000"/>
          <w14:ligatures w14:val="standardContextual"/>
        </w:rPr>
        <w:t>October 25</w:t>
      </w:r>
      <w:r w:rsidR="00E01856" w:rsidRPr="009D2B1E">
        <w:rPr>
          <w:rFonts w:eastAsiaTheme="minorHAnsi"/>
          <w:color w:val="000000"/>
          <w14:ligatures w14:val="standardContextual"/>
        </w:rPr>
        <w:t>, 2024</w:t>
      </w:r>
      <w:r w:rsidR="00554DB5" w:rsidRPr="009D2B1E">
        <w:rPr>
          <w:rFonts w:eastAsiaTheme="minorHAnsi"/>
          <w:color w:val="000000"/>
          <w14:ligatures w14:val="standardContextual"/>
        </w:rPr>
        <w:t>)</w:t>
      </w:r>
      <w:r w:rsidR="00E01856" w:rsidRPr="009D2B1E">
        <w:rPr>
          <w:rFonts w:eastAsiaTheme="minorHAnsi"/>
          <w:color w:val="000000"/>
          <w14:ligatures w14:val="standardContextual"/>
        </w:rPr>
        <w:t xml:space="preserve"> </w:t>
      </w:r>
    </w:p>
    <w:p w14:paraId="5B3506D7" w14:textId="77777777" w:rsidR="00D85D89" w:rsidRDefault="00D85D89" w:rsidP="00D85D89">
      <w:pPr>
        <w:pStyle w:val="BodyText"/>
        <w:spacing w:before="90"/>
        <w:ind w:left="720"/>
        <w:rPr>
          <w:rFonts w:eastAsiaTheme="minorHAnsi"/>
          <w:color w:val="000000"/>
          <w14:ligatures w14:val="standardContextual"/>
        </w:rPr>
      </w:pPr>
    </w:p>
    <w:p w14:paraId="2BE03B73" w14:textId="54993AED" w:rsidR="002B6E8C" w:rsidRDefault="00D85D89" w:rsidP="00D85D89">
      <w:pPr>
        <w:pStyle w:val="BodyText"/>
        <w:spacing w:before="90"/>
        <w:ind w:left="720"/>
        <w:rPr>
          <w:rFonts w:eastAsiaTheme="minorHAnsi"/>
          <w:color w:val="000000"/>
          <w14:ligatures w14:val="standardContextual"/>
        </w:rPr>
      </w:pPr>
      <w:r w:rsidRPr="00D85D89">
        <w:rPr>
          <w:rFonts w:eastAsiaTheme="minorHAnsi"/>
          <w:color w:val="000000"/>
          <w14:ligatures w14:val="standardContextual"/>
        </w:rPr>
        <w:t xml:space="preserve">MOA </w:t>
      </w:r>
      <w:r w:rsidR="002B6E8C">
        <w:rPr>
          <w:rFonts w:eastAsiaTheme="minorHAnsi"/>
          <w:color w:val="000000"/>
          <w14:ligatures w14:val="standardContextual"/>
        </w:rPr>
        <w:t xml:space="preserve">made a number of comments wherein it agrees with the proposed changes and the Board </w:t>
      </w:r>
      <w:r w:rsidR="007D0A87">
        <w:rPr>
          <w:rFonts w:eastAsiaTheme="minorHAnsi"/>
          <w:color w:val="000000"/>
          <w14:ligatures w14:val="standardContextual"/>
        </w:rPr>
        <w:t xml:space="preserve">thanks MOA but </w:t>
      </w:r>
      <w:r w:rsidR="002B6E8C">
        <w:rPr>
          <w:rFonts w:eastAsiaTheme="minorHAnsi"/>
          <w:color w:val="000000"/>
          <w14:ligatures w14:val="standardContextual"/>
        </w:rPr>
        <w:t xml:space="preserve">does not list such comments.  </w:t>
      </w:r>
    </w:p>
    <w:p w14:paraId="3745F519" w14:textId="77777777" w:rsidR="002B6E8C" w:rsidRDefault="002B6E8C" w:rsidP="00D85D89">
      <w:pPr>
        <w:pStyle w:val="BodyText"/>
        <w:spacing w:before="90"/>
        <w:ind w:left="720"/>
        <w:rPr>
          <w:rFonts w:eastAsiaTheme="minorHAnsi"/>
          <w:color w:val="000000"/>
          <w14:ligatures w14:val="standardContextual"/>
        </w:rPr>
      </w:pPr>
    </w:p>
    <w:p w14:paraId="78812308" w14:textId="14E8CB99" w:rsidR="002B6E8C" w:rsidRDefault="002B6E8C" w:rsidP="00D85D89">
      <w:pPr>
        <w:pStyle w:val="BodyText"/>
        <w:spacing w:before="90"/>
        <w:ind w:left="720"/>
        <w:rPr>
          <w:rFonts w:eastAsiaTheme="minorHAnsi"/>
          <w:color w:val="000000"/>
          <w14:ligatures w14:val="standardContextual"/>
        </w:rPr>
      </w:pPr>
      <w:r>
        <w:rPr>
          <w:rFonts w:eastAsiaTheme="minorHAnsi"/>
          <w:color w:val="000000"/>
          <w14:ligatures w14:val="standardContextual"/>
        </w:rPr>
        <w:t>Chapter 4, Telehealth Standards, Uses, and Limitations</w:t>
      </w:r>
    </w:p>
    <w:p w14:paraId="1EA8F6C4" w14:textId="77777777" w:rsidR="007D0A87" w:rsidRDefault="002B6E8C" w:rsidP="00644E88">
      <w:pPr>
        <w:widowControl/>
        <w:adjustRightInd w:val="0"/>
        <w:ind w:left="720"/>
        <w:rPr>
          <w:rFonts w:eastAsiaTheme="minorHAnsi"/>
          <w:color w:val="000000"/>
          <w14:ligatures w14:val="standardContextual"/>
        </w:rPr>
      </w:pPr>
      <w:r>
        <w:rPr>
          <w:rFonts w:eastAsiaTheme="minorHAnsi"/>
          <w:color w:val="000000"/>
          <w14:ligatures w14:val="standardContextual"/>
        </w:rPr>
        <w:t>MOA commented in section 6</w:t>
      </w:r>
      <w:r w:rsidR="00777344">
        <w:rPr>
          <w:rFonts w:eastAsiaTheme="minorHAnsi"/>
          <w:color w:val="000000"/>
          <w14:ligatures w14:val="standardContextual"/>
        </w:rPr>
        <w:t>(A)</w:t>
      </w:r>
      <w:r>
        <w:rPr>
          <w:rFonts w:eastAsiaTheme="minorHAnsi"/>
          <w:color w:val="000000"/>
          <w14:ligatures w14:val="standardContextual"/>
        </w:rPr>
        <w:t>, Informed Co</w:t>
      </w:r>
      <w:r w:rsidR="00777344">
        <w:rPr>
          <w:rFonts w:eastAsiaTheme="minorHAnsi"/>
          <w:color w:val="000000"/>
          <w14:ligatures w14:val="standardContextual"/>
        </w:rPr>
        <w:t>n</w:t>
      </w:r>
      <w:r>
        <w:rPr>
          <w:rFonts w:eastAsiaTheme="minorHAnsi"/>
          <w:color w:val="000000"/>
          <w14:ligatures w14:val="standardContextual"/>
        </w:rPr>
        <w:t>sent, that the appropriate informed consent also include the license num</w:t>
      </w:r>
      <w:r w:rsidR="00777344">
        <w:rPr>
          <w:rFonts w:eastAsiaTheme="minorHAnsi"/>
          <w:color w:val="000000"/>
          <w14:ligatures w14:val="standardContextual"/>
        </w:rPr>
        <w:t>b</w:t>
      </w:r>
      <w:r>
        <w:rPr>
          <w:rFonts w:eastAsiaTheme="minorHAnsi"/>
          <w:color w:val="000000"/>
          <w14:ligatures w14:val="standardContextual"/>
        </w:rPr>
        <w:t xml:space="preserve">er </w:t>
      </w:r>
      <w:r w:rsidR="00777344">
        <w:rPr>
          <w:rFonts w:eastAsiaTheme="minorHAnsi"/>
          <w:color w:val="000000"/>
          <w14:ligatures w14:val="standardContextual"/>
        </w:rPr>
        <w:t xml:space="preserve">or identifier of any out of state provide who becomes involved in a patient’s telehealth care.  </w:t>
      </w:r>
    </w:p>
    <w:p w14:paraId="0724895E" w14:textId="77777777" w:rsidR="007D0A87" w:rsidRDefault="007D0A87" w:rsidP="00644E88">
      <w:pPr>
        <w:widowControl/>
        <w:adjustRightInd w:val="0"/>
        <w:ind w:left="720"/>
        <w:rPr>
          <w:rFonts w:eastAsiaTheme="minorHAnsi"/>
          <w:color w:val="000000"/>
          <w14:ligatures w14:val="standardContextual"/>
        </w:rPr>
      </w:pPr>
    </w:p>
    <w:p w14:paraId="293C0614" w14:textId="77777777" w:rsidR="007D0A87" w:rsidRDefault="00777344" w:rsidP="00644E88">
      <w:pPr>
        <w:widowControl/>
        <w:adjustRightInd w:val="0"/>
        <w:ind w:left="720"/>
        <w:rPr>
          <w:rFonts w:eastAsiaTheme="minorHAnsi"/>
          <w:color w:val="000000"/>
          <w:sz w:val="24"/>
          <w:szCs w:val="24"/>
          <w14:ligatures w14:val="standardContextual"/>
        </w:rPr>
      </w:pPr>
      <w:r>
        <w:rPr>
          <w:rFonts w:eastAsiaTheme="minorHAnsi"/>
          <w:color w:val="000000"/>
          <w14:ligatures w14:val="standardContextual"/>
        </w:rPr>
        <w:t xml:space="preserve">MOA also commented in section 7, requesting that a clause be added “in accordance </w:t>
      </w:r>
      <w:r w:rsidRPr="00082F86">
        <w:rPr>
          <w:rFonts w:eastAsiaTheme="minorHAnsi"/>
          <w:color w:val="000000"/>
          <w:sz w:val="24"/>
          <w:szCs w:val="24"/>
          <w14:ligatures w14:val="standardContextual"/>
        </w:rPr>
        <w:t xml:space="preserve">with the educational standards of any professional certifications of any degree set forth in section 2(8). </w:t>
      </w:r>
    </w:p>
    <w:p w14:paraId="453EB3D5" w14:textId="77777777" w:rsidR="007D0A87" w:rsidRDefault="007D0A87" w:rsidP="00644E88">
      <w:pPr>
        <w:widowControl/>
        <w:adjustRightInd w:val="0"/>
        <w:ind w:left="720"/>
        <w:rPr>
          <w:rFonts w:eastAsiaTheme="minorHAnsi"/>
          <w:color w:val="000000"/>
          <w:sz w:val="24"/>
          <w:szCs w:val="24"/>
          <w14:ligatures w14:val="standardContextual"/>
        </w:rPr>
      </w:pPr>
    </w:p>
    <w:p w14:paraId="79BEA2B3" w14:textId="40829938" w:rsidR="007D0A87" w:rsidRDefault="00725CAB" w:rsidP="00644E88">
      <w:pPr>
        <w:widowControl/>
        <w:adjustRightInd w:val="0"/>
        <w:ind w:left="720"/>
        <w:rPr>
          <w:rFonts w:eastAsiaTheme="minorHAnsi"/>
          <w:color w:val="000000"/>
          <w:sz w:val="24"/>
          <w:szCs w:val="24"/>
          <w14:ligatures w14:val="standardContextual"/>
        </w:rPr>
      </w:pPr>
      <w:r>
        <w:rPr>
          <w:rFonts w:eastAsiaTheme="minorHAnsi"/>
          <w:color w:val="000000"/>
          <w:sz w:val="24"/>
          <w:szCs w:val="24"/>
          <w14:ligatures w14:val="standardContextual"/>
        </w:rPr>
        <w:t xml:space="preserve">MOA commented in Section 10 that </w:t>
      </w:r>
      <w:r w:rsidRPr="00082F86">
        <w:rPr>
          <w:rFonts w:eastAsiaTheme="minorHAnsi"/>
          <w:sz w:val="24"/>
          <w:szCs w:val="24"/>
        </w:rPr>
        <w:t>any Optometrist or other healthcare provider</w:t>
      </w:r>
      <w:r>
        <w:rPr>
          <w:rFonts w:eastAsiaTheme="minorHAnsi"/>
          <w:sz w:val="24"/>
          <w:szCs w:val="24"/>
        </w:rPr>
        <w:t xml:space="preserve"> </w:t>
      </w:r>
      <w:r w:rsidRPr="00082F86">
        <w:rPr>
          <w:rFonts w:eastAsiaTheme="minorHAnsi"/>
          <w:sz w:val="24"/>
          <w:szCs w:val="24"/>
        </w:rPr>
        <w:t xml:space="preserve">forward </w:t>
      </w:r>
      <w:r w:rsidR="00644E88">
        <w:rPr>
          <w:rFonts w:eastAsiaTheme="minorHAnsi"/>
          <w:sz w:val="24"/>
          <w:szCs w:val="24"/>
        </w:rPr>
        <w:t>c</w:t>
      </w:r>
      <w:r w:rsidRPr="00082F86">
        <w:rPr>
          <w:rFonts w:eastAsiaTheme="minorHAnsi"/>
          <w:sz w:val="24"/>
          <w:szCs w:val="24"/>
        </w:rPr>
        <w:t>omplete records of their care to the optometrist with whom</w:t>
      </w:r>
      <w:r>
        <w:rPr>
          <w:rFonts w:eastAsiaTheme="minorHAnsi"/>
          <w:sz w:val="24"/>
          <w:szCs w:val="24"/>
        </w:rPr>
        <w:t xml:space="preserve"> </w:t>
      </w:r>
      <w:r w:rsidRPr="00082F86">
        <w:rPr>
          <w:rFonts w:eastAsiaTheme="minorHAnsi"/>
          <w:sz w:val="24"/>
          <w:szCs w:val="24"/>
        </w:rPr>
        <w:t>the patient has an optometric-patient relationship as set forth in</w:t>
      </w:r>
      <w:r>
        <w:rPr>
          <w:rFonts w:eastAsiaTheme="minorHAnsi"/>
          <w:sz w:val="24"/>
          <w:szCs w:val="24"/>
        </w:rPr>
        <w:t xml:space="preserve"> </w:t>
      </w:r>
      <w:r w:rsidRPr="00082F86">
        <w:rPr>
          <w:rFonts w:eastAsiaTheme="minorHAnsi"/>
          <w:sz w:val="24"/>
          <w:szCs w:val="24"/>
        </w:rPr>
        <w:t>section 2(5) of this chapter. This should include any records related</w:t>
      </w:r>
      <w:r w:rsidR="00644E88">
        <w:rPr>
          <w:rFonts w:eastAsiaTheme="minorHAnsi"/>
          <w:sz w:val="24"/>
          <w:szCs w:val="24"/>
        </w:rPr>
        <w:t xml:space="preserve"> </w:t>
      </w:r>
      <w:r w:rsidRPr="00082F86">
        <w:rPr>
          <w:rFonts w:eastAsiaTheme="minorHAnsi"/>
          <w:sz w:val="24"/>
          <w:szCs w:val="24"/>
        </w:rPr>
        <w:t xml:space="preserve">to the provision of eye ware, particularly contacts, as contact </w:t>
      </w:r>
      <w:proofErr w:type="gramStart"/>
      <w:r w:rsidRPr="00082F86">
        <w:rPr>
          <w:rFonts w:eastAsiaTheme="minorHAnsi"/>
          <w:sz w:val="24"/>
          <w:szCs w:val="24"/>
        </w:rPr>
        <w:t>lens</w:t>
      </w:r>
      <w:proofErr w:type="gramEnd"/>
      <w:r w:rsidR="00644E88">
        <w:rPr>
          <w:rFonts w:eastAsiaTheme="minorHAnsi"/>
          <w:sz w:val="24"/>
          <w:szCs w:val="24"/>
        </w:rPr>
        <w:t xml:space="preserve"> </w:t>
      </w:r>
      <w:r w:rsidRPr="00082F86">
        <w:rPr>
          <w:rFonts w:eastAsiaTheme="minorHAnsi"/>
          <w:sz w:val="24"/>
          <w:szCs w:val="24"/>
        </w:rPr>
        <w:t>can have a direct impact on the health of a patient’s eyes. Having a</w:t>
      </w:r>
      <w:r w:rsidR="00644E88">
        <w:rPr>
          <w:rFonts w:eastAsiaTheme="minorHAnsi"/>
          <w:sz w:val="24"/>
          <w:szCs w:val="24"/>
        </w:rPr>
        <w:t xml:space="preserve"> </w:t>
      </w:r>
      <w:r w:rsidRPr="00082F86">
        <w:rPr>
          <w:rFonts w:eastAsiaTheme="minorHAnsi"/>
          <w:sz w:val="24"/>
          <w:szCs w:val="24"/>
        </w:rPr>
        <w:t xml:space="preserve">complete record of eye ware is a crucial element of a </w:t>
      </w:r>
      <w:r w:rsidR="00644E88">
        <w:rPr>
          <w:rFonts w:eastAsiaTheme="minorHAnsi"/>
          <w:sz w:val="24"/>
          <w:szCs w:val="24"/>
        </w:rPr>
        <w:t>c</w:t>
      </w:r>
      <w:r w:rsidRPr="00082F86">
        <w:rPr>
          <w:rFonts w:eastAsiaTheme="minorHAnsi"/>
          <w:sz w:val="24"/>
          <w:szCs w:val="24"/>
        </w:rPr>
        <w:t>omplete</w:t>
      </w:r>
      <w:r w:rsidR="00644E88">
        <w:rPr>
          <w:rFonts w:eastAsiaTheme="minorHAnsi"/>
          <w:sz w:val="24"/>
          <w:szCs w:val="24"/>
        </w:rPr>
        <w:t xml:space="preserve"> </w:t>
      </w:r>
      <w:r w:rsidRPr="00082F86">
        <w:rPr>
          <w:rFonts w:eastAsiaTheme="minorHAnsi"/>
          <w:sz w:val="24"/>
          <w:szCs w:val="24"/>
        </w:rPr>
        <w:t>patient record</w:t>
      </w:r>
      <w:r w:rsidR="00644E88">
        <w:rPr>
          <w:rFonts w:eastAsiaTheme="minorHAnsi"/>
          <w:sz w:val="24"/>
          <w:szCs w:val="24"/>
        </w:rPr>
        <w:t xml:space="preserve">.  </w:t>
      </w:r>
      <w:r w:rsidR="00777344" w:rsidRPr="00725CAB">
        <w:rPr>
          <w:rFonts w:eastAsiaTheme="minorHAnsi"/>
          <w:color w:val="000000"/>
          <w:sz w:val="24"/>
          <w:szCs w:val="24"/>
          <w14:ligatures w14:val="standardContextual"/>
        </w:rPr>
        <w:t xml:space="preserve"> </w:t>
      </w:r>
    </w:p>
    <w:p w14:paraId="57669765" w14:textId="77777777" w:rsidR="007D0A87" w:rsidRDefault="007D0A87" w:rsidP="00644E88">
      <w:pPr>
        <w:widowControl/>
        <w:adjustRightInd w:val="0"/>
        <w:ind w:left="720"/>
        <w:rPr>
          <w:rFonts w:eastAsiaTheme="minorHAnsi"/>
          <w:color w:val="000000"/>
          <w:sz w:val="24"/>
          <w:szCs w:val="24"/>
          <w14:ligatures w14:val="standardContextual"/>
        </w:rPr>
      </w:pPr>
    </w:p>
    <w:p w14:paraId="58A23C4C" w14:textId="2FC5EECA" w:rsidR="00D54A46" w:rsidRPr="00D54A46" w:rsidRDefault="00644E88" w:rsidP="00644E88">
      <w:pPr>
        <w:widowControl/>
        <w:adjustRightInd w:val="0"/>
        <w:ind w:left="720"/>
        <w:rPr>
          <w:rFonts w:eastAsiaTheme="minorHAnsi"/>
          <w:color w:val="000000"/>
          <w:sz w:val="24"/>
          <w:szCs w:val="24"/>
          <w14:ligatures w14:val="standardContextual"/>
        </w:rPr>
      </w:pPr>
      <w:r>
        <w:rPr>
          <w:rFonts w:eastAsiaTheme="minorHAnsi"/>
          <w:color w:val="000000"/>
          <w:sz w:val="24"/>
          <w:szCs w:val="24"/>
          <w14:ligatures w14:val="standardContextual"/>
        </w:rPr>
        <w:lastRenderedPageBreak/>
        <w:t xml:space="preserve">MOA commented on section 17 Prescribing Based Solely on an Internet Request, Internet Questionnaire or a Telephonic Interview Prohibited, asking that </w:t>
      </w:r>
      <w:r w:rsidR="00C15F70">
        <w:rPr>
          <w:rFonts w:eastAsiaTheme="minorHAnsi"/>
          <w:color w:val="000000"/>
          <w:sz w:val="24"/>
          <w:szCs w:val="24"/>
          <w14:ligatures w14:val="standardContextual"/>
        </w:rPr>
        <w:t>“</w:t>
      </w:r>
      <w:r>
        <w:rPr>
          <w:rFonts w:eastAsiaTheme="minorHAnsi"/>
          <w:color w:val="000000"/>
          <w:sz w:val="24"/>
          <w:szCs w:val="24"/>
          <w14:ligatures w14:val="standardContextual"/>
        </w:rPr>
        <w:t xml:space="preserve">other health care </w:t>
      </w:r>
      <w:r w:rsidRPr="00D54A46">
        <w:rPr>
          <w:rFonts w:eastAsiaTheme="minorHAnsi"/>
          <w:color w:val="000000"/>
          <w:sz w:val="24"/>
          <w:szCs w:val="24"/>
          <w14:ligatures w14:val="standardContextual"/>
        </w:rPr>
        <w:t xml:space="preserve">providers” be stricken. </w:t>
      </w:r>
    </w:p>
    <w:p w14:paraId="52BDD370" w14:textId="2562C166" w:rsidR="00644E88" w:rsidRPr="00D54A46" w:rsidRDefault="00644E88" w:rsidP="00D54A46">
      <w:pPr>
        <w:widowControl/>
        <w:adjustRightInd w:val="0"/>
        <w:ind w:left="720"/>
        <w:rPr>
          <w:rFonts w:eastAsiaTheme="minorHAnsi"/>
          <w:color w:val="000000"/>
          <w:sz w:val="24"/>
          <w:szCs w:val="24"/>
          <w14:ligatures w14:val="standardContextual"/>
        </w:rPr>
      </w:pPr>
      <w:r w:rsidRPr="00D54A46">
        <w:rPr>
          <w:rFonts w:eastAsiaTheme="minorHAnsi"/>
          <w:color w:val="000000"/>
          <w:sz w:val="24"/>
          <w:szCs w:val="24"/>
          <w14:ligatures w14:val="standardContextual"/>
        </w:rPr>
        <w:t xml:space="preserve"> </w:t>
      </w:r>
    </w:p>
    <w:p w14:paraId="0EE97D42" w14:textId="1B208395" w:rsidR="00644E88" w:rsidRPr="00D54A46" w:rsidRDefault="00644E88" w:rsidP="00644E88">
      <w:pPr>
        <w:widowControl/>
        <w:adjustRightInd w:val="0"/>
        <w:ind w:left="720"/>
        <w:rPr>
          <w:rFonts w:eastAsiaTheme="minorHAnsi"/>
          <w:color w:val="000000"/>
          <w:sz w:val="24"/>
          <w:szCs w:val="24"/>
          <w14:ligatures w14:val="standardContextual"/>
        </w:rPr>
      </w:pPr>
      <w:r w:rsidRPr="00D54A46">
        <w:rPr>
          <w:rFonts w:eastAsiaTheme="minorHAnsi"/>
          <w:color w:val="000000"/>
          <w:sz w:val="24"/>
          <w:szCs w:val="24"/>
          <w14:ligatures w14:val="standardContextual"/>
        </w:rPr>
        <w:t>The board thanks MOA and does not accept these comments, having previously discussed the issues and settled on the language, some of which inherently addresses MOA concerns</w:t>
      </w:r>
      <w:r w:rsidR="007D0A87">
        <w:rPr>
          <w:rFonts w:eastAsiaTheme="minorHAnsi"/>
          <w:color w:val="000000"/>
          <w:sz w:val="24"/>
          <w:szCs w:val="24"/>
          <w14:ligatures w14:val="standardContextual"/>
        </w:rPr>
        <w:t xml:space="preserve"> or is addressed by current practice</w:t>
      </w:r>
      <w:r w:rsidRPr="00D54A46">
        <w:rPr>
          <w:rFonts w:eastAsiaTheme="minorHAnsi"/>
          <w:color w:val="000000"/>
          <w:sz w:val="24"/>
          <w:szCs w:val="24"/>
          <w14:ligatures w14:val="standardContextual"/>
        </w:rPr>
        <w:t xml:space="preserve">.  </w:t>
      </w:r>
    </w:p>
    <w:bookmarkEnd w:id="0"/>
    <w:p w14:paraId="79540758" w14:textId="77777777" w:rsidR="00AD3DC4" w:rsidRPr="00D54A46" w:rsidRDefault="00AD3DC4" w:rsidP="00C245C7">
      <w:pPr>
        <w:pStyle w:val="Default"/>
      </w:pPr>
    </w:p>
    <w:p w14:paraId="3C7B52CC" w14:textId="77777777" w:rsidR="005D5D51" w:rsidRPr="005D5D51" w:rsidRDefault="005D5D51" w:rsidP="005D5D51">
      <w:pPr>
        <w:pStyle w:val="Default"/>
        <w:ind w:left="720"/>
      </w:pPr>
    </w:p>
    <w:p w14:paraId="6499EEA1" w14:textId="0FFA88E3" w:rsidR="00AD3DC4" w:rsidRPr="005D5D51" w:rsidRDefault="00CD7D37" w:rsidP="00C245C7">
      <w:pPr>
        <w:pStyle w:val="Default"/>
      </w:pPr>
      <w:r>
        <w:t>2</w:t>
      </w:r>
      <w:r w:rsidR="00AD3DC4" w:rsidRPr="005D5D51">
        <w:t xml:space="preserve">. </w:t>
      </w:r>
      <w:r w:rsidR="00AD3DC4" w:rsidRPr="009D2B1E">
        <w:t>National Association of Retail Optical Companies</w:t>
      </w:r>
      <w:r w:rsidR="00082F86">
        <w:t xml:space="preserve"> (</w:t>
      </w:r>
      <w:r w:rsidR="007D0A87">
        <w:t>“</w:t>
      </w:r>
      <w:r w:rsidR="00082F86">
        <w:t>NAROC”)</w:t>
      </w:r>
      <w:r w:rsidR="005D5D51" w:rsidRPr="005D5D51">
        <w:t xml:space="preserve">  </w:t>
      </w:r>
      <w:r w:rsidR="00AD3DC4" w:rsidRPr="005D5D51">
        <w:t>(written comment</w:t>
      </w:r>
      <w:r w:rsidR="007D0A87">
        <w:t>s</w:t>
      </w:r>
      <w:r w:rsidR="00AD3DC4" w:rsidRPr="005D5D51">
        <w:t xml:space="preserve"> provided </w:t>
      </w:r>
      <w:r>
        <w:t>October 24 and 25</w:t>
      </w:r>
      <w:r w:rsidR="00AD3DC4" w:rsidRPr="005D5D51">
        <w:t xml:space="preserve">, 2024) </w:t>
      </w:r>
    </w:p>
    <w:p w14:paraId="48306573" w14:textId="77777777" w:rsidR="00AD3DC4" w:rsidRDefault="00AD3DC4" w:rsidP="00C245C7">
      <w:pPr>
        <w:pStyle w:val="Default"/>
      </w:pPr>
    </w:p>
    <w:p w14:paraId="6C4454E9" w14:textId="77777777" w:rsidR="00082F86" w:rsidRDefault="00082F86" w:rsidP="00082F86">
      <w:pPr>
        <w:pStyle w:val="BodyText"/>
        <w:spacing w:before="90"/>
        <w:ind w:left="720"/>
        <w:rPr>
          <w:rFonts w:eastAsiaTheme="minorHAnsi"/>
          <w:color w:val="000000"/>
          <w14:ligatures w14:val="standardContextual"/>
        </w:rPr>
      </w:pPr>
      <w:r>
        <w:rPr>
          <w:rFonts w:eastAsiaTheme="minorHAnsi"/>
          <w:color w:val="000000"/>
          <w14:ligatures w14:val="standardContextual"/>
        </w:rPr>
        <w:t>Chapter 4, Telehealth Standards, Uses, and Limitations</w:t>
      </w:r>
    </w:p>
    <w:p w14:paraId="1FB92547" w14:textId="77777777" w:rsidR="00555A2A" w:rsidRDefault="00082F86" w:rsidP="008B50D0">
      <w:pPr>
        <w:pStyle w:val="Default"/>
        <w:ind w:left="720"/>
      </w:pPr>
      <w:r>
        <w:t xml:space="preserve">NAROC commented on the </w:t>
      </w:r>
      <w:r w:rsidR="0066621A" w:rsidRPr="0066621A">
        <w:t>definition of a</w:t>
      </w:r>
      <w:r>
        <w:t xml:space="preserve"> </w:t>
      </w:r>
      <w:r w:rsidR="0066621A" w:rsidRPr="0066621A">
        <w:t>“</w:t>
      </w:r>
      <w:r>
        <w:t>Q</w:t>
      </w:r>
      <w:r w:rsidR="0066621A" w:rsidRPr="0066621A">
        <w:t xml:space="preserve">ualified Technician” in “Section 2. Definitions” and </w:t>
      </w:r>
      <w:r>
        <w:t xml:space="preserve">asked that the Board </w:t>
      </w:r>
      <w:r w:rsidR="0066621A" w:rsidRPr="0066621A">
        <w:t>reword as suggest</w:t>
      </w:r>
      <w:r>
        <w:t xml:space="preserve">ed.  NAROC </w:t>
      </w:r>
      <w:r w:rsidR="00C15F70">
        <w:t>argues</w:t>
      </w:r>
      <w:r w:rsidR="00E068A8">
        <w:t xml:space="preserve"> that requiring certification of technicians who are providing services to patients when the optometrist is not in the same office as the patient is overly burdensome and requires an unnecessary layer of administrative oversight.  </w:t>
      </w:r>
    </w:p>
    <w:p w14:paraId="220498DF" w14:textId="77777777" w:rsidR="00555A2A" w:rsidRDefault="00555A2A" w:rsidP="008B50D0">
      <w:pPr>
        <w:pStyle w:val="Default"/>
        <w:ind w:left="720"/>
      </w:pPr>
    </w:p>
    <w:p w14:paraId="6591D5C7" w14:textId="45A40589" w:rsidR="008B50D0" w:rsidRDefault="00E068A8" w:rsidP="008B50D0">
      <w:pPr>
        <w:pStyle w:val="Default"/>
        <w:ind w:left="720"/>
      </w:pPr>
      <w:r>
        <w:t xml:space="preserve">The </w:t>
      </w:r>
      <w:r w:rsidR="00555A2A">
        <w:t>B</w:t>
      </w:r>
      <w:r>
        <w:t xml:space="preserve">oard </w:t>
      </w:r>
      <w:r w:rsidR="00555A2A">
        <w:t>thanks NAROC and does not accept this comment.  T</w:t>
      </w:r>
      <w:r>
        <w:t xml:space="preserve">he requirement of certification is only in the context of telehealth and is important to assure a level of </w:t>
      </w:r>
      <w:r w:rsidR="00F857FE">
        <w:t xml:space="preserve">technician training and </w:t>
      </w:r>
      <w:r>
        <w:t xml:space="preserve">knowledge since the </w:t>
      </w:r>
      <w:r w:rsidR="00F857FE">
        <w:t xml:space="preserve">optometrist </w:t>
      </w:r>
      <w:r>
        <w:t xml:space="preserve">is not in the same physical location as the </w:t>
      </w:r>
      <w:proofErr w:type="gramStart"/>
      <w:r>
        <w:t>patient</w:t>
      </w:r>
      <w:proofErr w:type="gramEnd"/>
      <w:r w:rsidR="00F857FE">
        <w:t xml:space="preserve"> but the technician is</w:t>
      </w:r>
      <w:r>
        <w:t xml:space="preserve">.  </w:t>
      </w:r>
    </w:p>
    <w:p w14:paraId="404C0732" w14:textId="77777777" w:rsidR="0042237A" w:rsidRDefault="0042237A" w:rsidP="008B50D0">
      <w:pPr>
        <w:pStyle w:val="Default"/>
        <w:ind w:left="720"/>
      </w:pPr>
    </w:p>
    <w:p w14:paraId="43CE896E" w14:textId="40753C46" w:rsidR="008B50D0" w:rsidRDefault="008B50D0" w:rsidP="008B50D0">
      <w:pPr>
        <w:pStyle w:val="Default"/>
        <w:ind w:left="720"/>
      </w:pPr>
      <w:r>
        <w:t>NAROC argues that</w:t>
      </w:r>
      <w:r w:rsidR="0066621A" w:rsidRPr="0066621A">
        <w:t xml:space="preserve"> the Board should allow its licensees to determine the necessary training and</w:t>
      </w:r>
      <w:r>
        <w:t xml:space="preserve"> </w:t>
      </w:r>
      <w:r w:rsidR="0066621A" w:rsidRPr="0066621A">
        <w:t>telehealth protocols and retain internal evidence of such training</w:t>
      </w:r>
      <w:r>
        <w:t xml:space="preserve">, pointing out that if harm arises, the Board can prosecute against the optometrist’s license.  The Board </w:t>
      </w:r>
      <w:r w:rsidR="00F857FE">
        <w:t xml:space="preserve">thanks NAROC but </w:t>
      </w:r>
      <w:r w:rsidR="0042237A">
        <w:t>does not accept</w:t>
      </w:r>
      <w:r>
        <w:t xml:space="preserve"> this </w:t>
      </w:r>
      <w:r w:rsidR="00F857FE">
        <w:t xml:space="preserve">comment, </w:t>
      </w:r>
      <w:r>
        <w:t>recognizing that its duty is to the safety and welfare of the public</w:t>
      </w:r>
      <w:r w:rsidR="00F857FE">
        <w:t xml:space="preserve"> and shouldn’t wait for harm to arise due to inadequately trained assistants</w:t>
      </w:r>
      <w:r>
        <w:t>.</w:t>
      </w:r>
    </w:p>
    <w:p w14:paraId="3E0AE44B" w14:textId="77777777" w:rsidR="008B50D0" w:rsidRDefault="008B50D0" w:rsidP="008B50D0">
      <w:pPr>
        <w:pStyle w:val="Default"/>
        <w:ind w:left="720"/>
      </w:pPr>
    </w:p>
    <w:p w14:paraId="7632D7CE" w14:textId="6C962BA9" w:rsidR="00EE3640" w:rsidRDefault="008B50D0" w:rsidP="00694782">
      <w:pPr>
        <w:pStyle w:val="Default"/>
        <w:ind w:left="720"/>
      </w:pPr>
      <w:r>
        <w:t xml:space="preserve">NAROC argues that optometrists should be able to train their own assistants and that the training is not necessarily applicable to the tasks performed by assistants.   </w:t>
      </w:r>
      <w:r w:rsidR="00EE3640">
        <w:t xml:space="preserve">The Board </w:t>
      </w:r>
      <w:r w:rsidR="00F857FE">
        <w:t>thanks NAROC and agrees.  I</w:t>
      </w:r>
      <w:r w:rsidR="00EE3640">
        <w:t xml:space="preserve">f the optometrist adequately trains the assistant, the assistant may take the test without paying for a course.  </w:t>
      </w:r>
    </w:p>
    <w:p w14:paraId="2F208229" w14:textId="77777777" w:rsidR="00EE3640" w:rsidRDefault="00EE3640" w:rsidP="00694782">
      <w:pPr>
        <w:pStyle w:val="Default"/>
        <w:ind w:left="720"/>
      </w:pPr>
    </w:p>
    <w:p w14:paraId="340F20D1" w14:textId="5815D141" w:rsidR="00694782" w:rsidRDefault="008B50D0" w:rsidP="00694782">
      <w:pPr>
        <w:pStyle w:val="Default"/>
        <w:ind w:left="720"/>
      </w:pPr>
      <w:r>
        <w:t xml:space="preserve">NAROC also argues that the certification process is costly and that it takes time to take the training prior to certification so the effective date of this portion of the rule should be delayed </w:t>
      </w:r>
      <w:r w:rsidRPr="0066621A">
        <w:t>at least one year into the future to allow personnel to study for and take the required</w:t>
      </w:r>
      <w:r>
        <w:t xml:space="preserve"> </w:t>
      </w:r>
      <w:r w:rsidRPr="0066621A">
        <w:t>test(s), which are only offered four times a year for assistants and two times per year for</w:t>
      </w:r>
      <w:r>
        <w:t xml:space="preserve"> </w:t>
      </w:r>
      <w:r w:rsidRPr="0066621A">
        <w:t>technicians, and only in one or two locations throughout the state.</w:t>
      </w:r>
      <w:r w:rsidR="00EE3640">
        <w:t xml:space="preserve">  </w:t>
      </w:r>
      <w:r w:rsidR="00694782">
        <w:t>NAROC suggests that an Economic Impact Statement be filed. The Board thanks NAROC</w:t>
      </w:r>
      <w:r w:rsidR="00EE3640">
        <w:t xml:space="preserve">, and </w:t>
      </w:r>
      <w:r w:rsidR="00694782">
        <w:t>agrees</w:t>
      </w:r>
      <w:r w:rsidR="00EE3640">
        <w:t xml:space="preserve">, having </w:t>
      </w:r>
      <w:r w:rsidR="00694782">
        <w:t xml:space="preserve">filed an economic impact statement.  It </w:t>
      </w:r>
      <w:r w:rsidR="00EE3640">
        <w:t xml:space="preserve">does not </w:t>
      </w:r>
      <w:r w:rsidR="0042237A">
        <w:t xml:space="preserve">otherwise </w:t>
      </w:r>
      <w:r w:rsidR="00EE3640">
        <w:t xml:space="preserve">accept NAROC comment in this area, disagreeing </w:t>
      </w:r>
      <w:r w:rsidR="00694782">
        <w:t xml:space="preserve">that the Economic Impact Statement underestimates the </w:t>
      </w:r>
      <w:r w:rsidR="00694782" w:rsidRPr="006D32A5">
        <w:t>impact on optometric practices and the state</w:t>
      </w:r>
      <w:r w:rsidR="00694782">
        <w:t>s</w:t>
      </w:r>
      <w:r w:rsidR="00EE3640">
        <w:t xml:space="preserve"> is</w:t>
      </w:r>
      <w:r w:rsidR="00694782" w:rsidRPr="006D32A5">
        <w:t xml:space="preserve"> understated.</w:t>
      </w:r>
      <w:r w:rsidR="00694782">
        <w:t xml:space="preserve">  NAROC argues that it is unlikely that the expense to get a person certified is a one-time expense.  The Board </w:t>
      </w:r>
      <w:r w:rsidR="00694782">
        <w:lastRenderedPageBreak/>
        <w:t xml:space="preserve">cannot estimate turnover since that is purely speculative, nor can the Board </w:t>
      </w:r>
      <w:r w:rsidR="00676D64">
        <w:t xml:space="preserve">quantify how many </w:t>
      </w:r>
      <w:r w:rsidR="00694782">
        <w:t xml:space="preserve">assistants </w:t>
      </w:r>
      <w:r w:rsidR="00676D64">
        <w:t xml:space="preserve">in the state </w:t>
      </w:r>
      <w:r w:rsidR="00694782">
        <w:t xml:space="preserve">are already certified.  The Board agrees with NAROC that </w:t>
      </w:r>
      <w:r w:rsidR="00694782" w:rsidRPr="006D32A5">
        <w:t>the initial estimate is likely accurate for a single assistant</w:t>
      </w:r>
      <w:r w:rsidR="00694782">
        <w:t xml:space="preserve">.  </w:t>
      </w:r>
    </w:p>
    <w:p w14:paraId="436AD01C" w14:textId="77777777" w:rsidR="00694782" w:rsidRPr="006D32A5" w:rsidRDefault="00694782" w:rsidP="00694782">
      <w:pPr>
        <w:pStyle w:val="Default"/>
        <w:ind w:left="360"/>
      </w:pPr>
    </w:p>
    <w:p w14:paraId="7DEF5656" w14:textId="580982F4" w:rsidR="000848BC" w:rsidRDefault="00694782" w:rsidP="000848BC">
      <w:pPr>
        <w:pStyle w:val="Default"/>
        <w:ind w:left="720"/>
      </w:pPr>
      <w:r>
        <w:t>NAROC argues that t</w:t>
      </w:r>
      <w:r w:rsidRPr="006D32A5">
        <w:t>here should be</w:t>
      </w:r>
      <w:r>
        <w:t xml:space="preserve"> </w:t>
      </w:r>
      <w:r w:rsidRPr="006D32A5">
        <w:t>no distinction between the</w:t>
      </w:r>
      <w:r w:rsidR="00EE3640">
        <w:t xml:space="preserve"> assistants used providing</w:t>
      </w:r>
      <w:r w:rsidRPr="006D32A5">
        <w:t xml:space="preserve"> in-person and the telehealth models, just as there is no distinction</w:t>
      </w:r>
      <w:r>
        <w:t xml:space="preserve"> </w:t>
      </w:r>
      <w:r w:rsidRPr="006D32A5">
        <w:t>between the standard of care involved in the two models.</w:t>
      </w:r>
      <w:r>
        <w:t xml:space="preserve">  </w:t>
      </w:r>
      <w:r w:rsidR="00676D64">
        <w:t>T</w:t>
      </w:r>
      <w:r>
        <w:t xml:space="preserve">he Board </w:t>
      </w:r>
      <w:r w:rsidR="000848BC">
        <w:t xml:space="preserve">does not accept </w:t>
      </w:r>
      <w:r>
        <w:t xml:space="preserve">this </w:t>
      </w:r>
      <w:r w:rsidR="00EE3640">
        <w:t xml:space="preserve">comment because </w:t>
      </w:r>
      <w:r>
        <w:t xml:space="preserve">in telehealth where the patient and optometrist are in different locations, the assistant </w:t>
      </w:r>
      <w:r w:rsidR="00EE3640">
        <w:t xml:space="preserve">providing service in telehealth should have </w:t>
      </w:r>
      <w:r>
        <w:t>a basic level of knowledge</w:t>
      </w:r>
      <w:r w:rsidR="00EE3640">
        <w:t xml:space="preserve"> when providing </w:t>
      </w:r>
      <w:r>
        <w:t>service to the patient.</w:t>
      </w:r>
      <w:r w:rsidR="000848BC">
        <w:t xml:space="preserve">  </w:t>
      </w:r>
    </w:p>
    <w:p w14:paraId="1DBCEB3A" w14:textId="01F5A051" w:rsidR="00EE3640" w:rsidRDefault="00EE3640" w:rsidP="0042237A">
      <w:pPr>
        <w:pStyle w:val="Default"/>
      </w:pPr>
    </w:p>
    <w:p w14:paraId="2A73339F" w14:textId="183DD925" w:rsidR="00EE3640" w:rsidRDefault="00EE3640" w:rsidP="00694782">
      <w:pPr>
        <w:pStyle w:val="Default"/>
        <w:ind w:left="720"/>
      </w:pPr>
      <w:r>
        <w:t>The Board thanks NAROC and declines the NAROC request</w:t>
      </w:r>
      <w:r w:rsidR="000848BC">
        <w:t>s</w:t>
      </w:r>
      <w:r>
        <w:t xml:space="preserve"> to </w:t>
      </w:r>
      <w:r w:rsidR="00676D64">
        <w:t xml:space="preserve">(1) </w:t>
      </w:r>
      <w:r>
        <w:t>revise its economic impact statement,</w:t>
      </w:r>
      <w:r w:rsidR="00676D64">
        <w:t xml:space="preserve"> (2)</w:t>
      </w:r>
      <w:r>
        <w:t xml:space="preserve"> </w:t>
      </w:r>
      <w:r w:rsidR="000848BC">
        <w:t xml:space="preserve">adopt the NAROC definition, and </w:t>
      </w:r>
      <w:r w:rsidR="00676D64">
        <w:t xml:space="preserve">(3) </w:t>
      </w:r>
      <w:r w:rsidR="000848BC">
        <w:t>delay implementation of this rule</w:t>
      </w:r>
      <w:r>
        <w:t xml:space="preserve">.  </w:t>
      </w:r>
    </w:p>
    <w:p w14:paraId="59055E8C" w14:textId="771E7F70" w:rsidR="00694782" w:rsidRDefault="00694782" w:rsidP="008B50D0">
      <w:pPr>
        <w:pStyle w:val="Default"/>
        <w:ind w:left="720"/>
      </w:pPr>
    </w:p>
    <w:p w14:paraId="6E7D648B" w14:textId="16B542ED" w:rsidR="00CD7D37" w:rsidRDefault="0066621A" w:rsidP="00C245C7">
      <w:pPr>
        <w:pStyle w:val="Default"/>
      </w:pPr>
      <w:r>
        <w:t>3</w:t>
      </w:r>
      <w:r w:rsidR="004948CB" w:rsidRPr="005D5D51">
        <w:t xml:space="preserve">. </w:t>
      </w:r>
      <w:r w:rsidR="002C1597" w:rsidRPr="005D5D51">
        <w:t xml:space="preserve">  </w:t>
      </w:r>
      <w:r w:rsidR="004948CB" w:rsidRPr="009D2B1E">
        <w:t>American Telemedicine Association’s Action</w:t>
      </w:r>
      <w:r w:rsidR="004948CB" w:rsidRPr="005D5D51">
        <w:t xml:space="preserve">, </w:t>
      </w:r>
      <w:r w:rsidR="005D5D51">
        <w:t xml:space="preserve">(“ATAA”) </w:t>
      </w:r>
      <w:r w:rsidR="00CD7D37">
        <w:t xml:space="preserve">(written </w:t>
      </w:r>
      <w:r w:rsidR="002C1597" w:rsidRPr="005D5D51">
        <w:t>comme</w:t>
      </w:r>
      <w:r w:rsidR="00CD7D37">
        <w:t>nt provided October 22, 2024)</w:t>
      </w:r>
    </w:p>
    <w:p w14:paraId="7AB59F12" w14:textId="77777777" w:rsidR="00CD7D37" w:rsidRPr="00CD7D37" w:rsidRDefault="00CD7D37" w:rsidP="00CD7D37">
      <w:pPr>
        <w:pStyle w:val="Default"/>
      </w:pPr>
    </w:p>
    <w:p w14:paraId="00AC99F7" w14:textId="1DEA1763" w:rsidR="0021419B" w:rsidRDefault="000848BC" w:rsidP="00034E81">
      <w:pPr>
        <w:pStyle w:val="Default"/>
        <w:ind w:left="720"/>
      </w:pPr>
      <w:r>
        <w:t xml:space="preserve">ATAA provided multiple comments expressing appreciation for changes made in following earlier comments on the rules.  The Board thanks ATAA but does not list such comments.  </w:t>
      </w:r>
      <w:r w:rsidRPr="00CD7D37">
        <w:t xml:space="preserve"> </w:t>
      </w:r>
      <w:r w:rsidR="00034E81">
        <w:t xml:space="preserve"> </w:t>
      </w:r>
    </w:p>
    <w:p w14:paraId="74646B8B" w14:textId="77777777" w:rsidR="0042237A" w:rsidRPr="00CD7D37" w:rsidRDefault="0042237A" w:rsidP="00034E81">
      <w:pPr>
        <w:pStyle w:val="Default"/>
        <w:ind w:left="720"/>
      </w:pPr>
    </w:p>
    <w:p w14:paraId="5F25EA68" w14:textId="1C24FD0D" w:rsidR="009D56E3" w:rsidRPr="005D5D51" w:rsidRDefault="00034E81" w:rsidP="00034E81">
      <w:pPr>
        <w:pStyle w:val="Default"/>
        <w:ind w:left="720"/>
      </w:pPr>
      <w:r>
        <w:t xml:space="preserve">ATA suggested that </w:t>
      </w:r>
      <w:r w:rsidR="00CD7D37" w:rsidRPr="00CD7D37">
        <w:t xml:space="preserve">the </w:t>
      </w:r>
      <w:bookmarkStart w:id="1" w:name="_Hlk181810490"/>
      <w:r w:rsidR="00CD7D37" w:rsidRPr="00CD7D37">
        <w:t xml:space="preserve">qualified technician section </w:t>
      </w:r>
      <w:r>
        <w:t xml:space="preserve">was </w:t>
      </w:r>
      <w:r w:rsidR="00CD7D37" w:rsidRPr="00CD7D37">
        <w:t>amended to make it clear that a Qualified Technician is not required whenever optometrists utilize telehealth to deliver care.</w:t>
      </w:r>
      <w:r>
        <w:t xml:space="preserve">  </w:t>
      </w:r>
      <w:bookmarkEnd w:id="1"/>
      <w:r w:rsidR="005D5D51" w:rsidRPr="005D5D51">
        <w:t xml:space="preserve">With respect to </w:t>
      </w:r>
      <w:r w:rsidR="0021419B">
        <w:t>th</w:t>
      </w:r>
      <w:r>
        <w:t>is</w:t>
      </w:r>
      <w:r w:rsidR="0021419B">
        <w:t xml:space="preserve"> comment</w:t>
      </w:r>
      <w:r w:rsidR="005D5D51" w:rsidRPr="005D5D51">
        <w:t xml:space="preserve"> of ATAA’s, the Board thanks ATAA and </w:t>
      </w:r>
      <w:r w:rsidR="00946572">
        <w:t xml:space="preserve">does not </w:t>
      </w:r>
      <w:r w:rsidR="005D5D51" w:rsidRPr="005D5D51">
        <w:t xml:space="preserve">accept this comment.  </w:t>
      </w:r>
      <w:r>
        <w:t xml:space="preserve">Qualified Technicians are required when the optometrist is providing telehealth to a patient </w:t>
      </w:r>
      <w:r w:rsidR="00676D64">
        <w:t xml:space="preserve">who is </w:t>
      </w:r>
      <w:r>
        <w:t xml:space="preserve">in a different location </w:t>
      </w:r>
      <w:proofErr w:type="gramStart"/>
      <w:r>
        <w:t>from</w:t>
      </w:r>
      <w:proofErr w:type="gramEnd"/>
      <w:r>
        <w:t xml:space="preserve"> the optometrist, and the optometrist uses the services of a Qualified Technician who is at the same location as the patient. </w:t>
      </w:r>
    </w:p>
    <w:p w14:paraId="21F5124C" w14:textId="77777777" w:rsidR="009D2B1E" w:rsidRDefault="009D2B1E" w:rsidP="005D5D51">
      <w:pPr>
        <w:pStyle w:val="Default"/>
        <w:ind w:left="360"/>
      </w:pPr>
    </w:p>
    <w:sectPr w:rsidR="009D2B1E" w:rsidSect="00EA4EFF">
      <w:headerReference w:type="default" r:id="rId13"/>
      <w:footerReference w:type="default" r:id="rId1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DD3CD" w14:textId="77777777" w:rsidR="008D1130" w:rsidRDefault="008D1130" w:rsidP="00A73A6A">
      <w:r>
        <w:separator/>
      </w:r>
    </w:p>
  </w:endnote>
  <w:endnote w:type="continuationSeparator" w:id="0">
    <w:p w14:paraId="4E40437A" w14:textId="77777777" w:rsidR="008D1130" w:rsidRDefault="008D1130" w:rsidP="00A7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374165"/>
      <w:docPartObj>
        <w:docPartGallery w:val="Page Numbers (Bottom of Page)"/>
        <w:docPartUnique/>
      </w:docPartObj>
    </w:sdtPr>
    <w:sdtEndPr>
      <w:rPr>
        <w:noProof/>
      </w:rPr>
    </w:sdtEndPr>
    <w:sdtContent>
      <w:p w14:paraId="0D47A928" w14:textId="2297618C" w:rsidR="00A73A6A" w:rsidRDefault="00A73A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A1538" w14:textId="77777777" w:rsidR="00A73A6A" w:rsidRDefault="00A7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6A22" w14:textId="77777777" w:rsidR="008D1130" w:rsidRDefault="008D1130" w:rsidP="00A73A6A">
      <w:r>
        <w:separator/>
      </w:r>
    </w:p>
  </w:footnote>
  <w:footnote w:type="continuationSeparator" w:id="0">
    <w:p w14:paraId="5694C388" w14:textId="77777777" w:rsidR="008D1130" w:rsidRDefault="008D1130" w:rsidP="00A7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B409" w14:textId="6BD6A8C9" w:rsidR="00757716" w:rsidRDefault="00757716">
    <w:pPr>
      <w:pStyle w:val="Header"/>
    </w:pPr>
    <w:r>
      <w:t xml:space="preserve"> </w:t>
    </w:r>
    <w:r w:rsidR="00A95957">
      <w:t xml:space="preserve"> </w:t>
    </w:r>
    <w:r w:rsidR="00A95957">
      <w:tab/>
    </w:r>
    <w:r w:rsidR="00A95957">
      <w:tab/>
      <w:t>1</w:t>
    </w:r>
    <w:r w:rsidR="007F45F4">
      <w:t>0</w:t>
    </w:r>
    <w:r w:rsidR="00A95957">
      <w:t>/</w:t>
    </w:r>
    <w:r w:rsidR="007F45F4">
      <w:t>25</w:t>
    </w:r>
    <w:r w:rsidR="00A95957">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C85"/>
    <w:multiLevelType w:val="hybridMultilevel"/>
    <w:tmpl w:val="FDF08D6A"/>
    <w:lvl w:ilvl="0" w:tplc="A8A8C586">
      <w:start w:val="1"/>
      <w:numFmt w:val="bullet"/>
      <w:lvlText w:val=""/>
      <w:lvlJc w:val="left"/>
      <w:pPr>
        <w:ind w:left="720" w:hanging="360"/>
      </w:pPr>
      <w:rPr>
        <w:rFonts w:ascii="Symbol" w:hAnsi="Symbol"/>
      </w:rPr>
    </w:lvl>
    <w:lvl w:ilvl="1" w:tplc="51E40C76">
      <w:start w:val="1"/>
      <w:numFmt w:val="bullet"/>
      <w:lvlText w:val=""/>
      <w:lvlJc w:val="left"/>
      <w:pPr>
        <w:ind w:left="720" w:hanging="360"/>
      </w:pPr>
      <w:rPr>
        <w:rFonts w:ascii="Symbol" w:hAnsi="Symbol"/>
      </w:rPr>
    </w:lvl>
    <w:lvl w:ilvl="2" w:tplc="5C8243D2">
      <w:start w:val="1"/>
      <w:numFmt w:val="bullet"/>
      <w:lvlText w:val=""/>
      <w:lvlJc w:val="left"/>
      <w:pPr>
        <w:ind w:left="720" w:hanging="360"/>
      </w:pPr>
      <w:rPr>
        <w:rFonts w:ascii="Symbol" w:hAnsi="Symbol"/>
      </w:rPr>
    </w:lvl>
    <w:lvl w:ilvl="3" w:tplc="5ACE0730">
      <w:start w:val="1"/>
      <w:numFmt w:val="bullet"/>
      <w:lvlText w:val=""/>
      <w:lvlJc w:val="left"/>
      <w:pPr>
        <w:ind w:left="720" w:hanging="360"/>
      </w:pPr>
      <w:rPr>
        <w:rFonts w:ascii="Symbol" w:hAnsi="Symbol"/>
      </w:rPr>
    </w:lvl>
    <w:lvl w:ilvl="4" w:tplc="FB06CE92">
      <w:start w:val="1"/>
      <w:numFmt w:val="bullet"/>
      <w:lvlText w:val=""/>
      <w:lvlJc w:val="left"/>
      <w:pPr>
        <w:ind w:left="720" w:hanging="360"/>
      </w:pPr>
      <w:rPr>
        <w:rFonts w:ascii="Symbol" w:hAnsi="Symbol"/>
      </w:rPr>
    </w:lvl>
    <w:lvl w:ilvl="5" w:tplc="4B625F8C">
      <w:start w:val="1"/>
      <w:numFmt w:val="bullet"/>
      <w:lvlText w:val=""/>
      <w:lvlJc w:val="left"/>
      <w:pPr>
        <w:ind w:left="720" w:hanging="360"/>
      </w:pPr>
      <w:rPr>
        <w:rFonts w:ascii="Symbol" w:hAnsi="Symbol"/>
      </w:rPr>
    </w:lvl>
    <w:lvl w:ilvl="6" w:tplc="08EEF8DC">
      <w:start w:val="1"/>
      <w:numFmt w:val="bullet"/>
      <w:lvlText w:val=""/>
      <w:lvlJc w:val="left"/>
      <w:pPr>
        <w:ind w:left="720" w:hanging="360"/>
      </w:pPr>
      <w:rPr>
        <w:rFonts w:ascii="Symbol" w:hAnsi="Symbol"/>
      </w:rPr>
    </w:lvl>
    <w:lvl w:ilvl="7" w:tplc="D40A1508">
      <w:start w:val="1"/>
      <w:numFmt w:val="bullet"/>
      <w:lvlText w:val=""/>
      <w:lvlJc w:val="left"/>
      <w:pPr>
        <w:ind w:left="720" w:hanging="360"/>
      </w:pPr>
      <w:rPr>
        <w:rFonts w:ascii="Symbol" w:hAnsi="Symbol"/>
      </w:rPr>
    </w:lvl>
    <w:lvl w:ilvl="8" w:tplc="29F61822">
      <w:start w:val="1"/>
      <w:numFmt w:val="bullet"/>
      <w:lvlText w:val=""/>
      <w:lvlJc w:val="left"/>
      <w:pPr>
        <w:ind w:left="720" w:hanging="360"/>
      </w:pPr>
      <w:rPr>
        <w:rFonts w:ascii="Symbol" w:hAnsi="Symbol"/>
      </w:rPr>
    </w:lvl>
  </w:abstractNum>
  <w:abstractNum w:abstractNumId="1" w15:restartNumberingAfterBreak="0">
    <w:nsid w:val="07575396"/>
    <w:multiLevelType w:val="hybridMultilevel"/>
    <w:tmpl w:val="E30AB4DA"/>
    <w:lvl w:ilvl="0" w:tplc="B6A09E92">
      <w:start w:val="1"/>
      <w:numFmt w:val="bullet"/>
      <w:lvlText w:val=""/>
      <w:lvlJc w:val="left"/>
      <w:pPr>
        <w:ind w:left="720" w:hanging="360"/>
      </w:pPr>
      <w:rPr>
        <w:rFonts w:ascii="Symbol" w:hAnsi="Symbol"/>
      </w:rPr>
    </w:lvl>
    <w:lvl w:ilvl="1" w:tplc="CB306776">
      <w:start w:val="1"/>
      <w:numFmt w:val="bullet"/>
      <w:lvlText w:val=""/>
      <w:lvlJc w:val="left"/>
      <w:pPr>
        <w:ind w:left="720" w:hanging="360"/>
      </w:pPr>
      <w:rPr>
        <w:rFonts w:ascii="Symbol" w:hAnsi="Symbol"/>
      </w:rPr>
    </w:lvl>
    <w:lvl w:ilvl="2" w:tplc="865E599C">
      <w:start w:val="1"/>
      <w:numFmt w:val="bullet"/>
      <w:lvlText w:val=""/>
      <w:lvlJc w:val="left"/>
      <w:pPr>
        <w:ind w:left="720" w:hanging="360"/>
      </w:pPr>
      <w:rPr>
        <w:rFonts w:ascii="Symbol" w:hAnsi="Symbol"/>
      </w:rPr>
    </w:lvl>
    <w:lvl w:ilvl="3" w:tplc="0792AADC">
      <w:start w:val="1"/>
      <w:numFmt w:val="bullet"/>
      <w:lvlText w:val=""/>
      <w:lvlJc w:val="left"/>
      <w:pPr>
        <w:ind w:left="720" w:hanging="360"/>
      </w:pPr>
      <w:rPr>
        <w:rFonts w:ascii="Symbol" w:hAnsi="Symbol"/>
      </w:rPr>
    </w:lvl>
    <w:lvl w:ilvl="4" w:tplc="42843EBC">
      <w:start w:val="1"/>
      <w:numFmt w:val="bullet"/>
      <w:lvlText w:val=""/>
      <w:lvlJc w:val="left"/>
      <w:pPr>
        <w:ind w:left="720" w:hanging="360"/>
      </w:pPr>
      <w:rPr>
        <w:rFonts w:ascii="Symbol" w:hAnsi="Symbol"/>
      </w:rPr>
    </w:lvl>
    <w:lvl w:ilvl="5" w:tplc="210AD030">
      <w:start w:val="1"/>
      <w:numFmt w:val="bullet"/>
      <w:lvlText w:val=""/>
      <w:lvlJc w:val="left"/>
      <w:pPr>
        <w:ind w:left="720" w:hanging="360"/>
      </w:pPr>
      <w:rPr>
        <w:rFonts w:ascii="Symbol" w:hAnsi="Symbol"/>
      </w:rPr>
    </w:lvl>
    <w:lvl w:ilvl="6" w:tplc="7C9495AA">
      <w:start w:val="1"/>
      <w:numFmt w:val="bullet"/>
      <w:lvlText w:val=""/>
      <w:lvlJc w:val="left"/>
      <w:pPr>
        <w:ind w:left="720" w:hanging="360"/>
      </w:pPr>
      <w:rPr>
        <w:rFonts w:ascii="Symbol" w:hAnsi="Symbol"/>
      </w:rPr>
    </w:lvl>
    <w:lvl w:ilvl="7" w:tplc="0D56F99E">
      <w:start w:val="1"/>
      <w:numFmt w:val="bullet"/>
      <w:lvlText w:val=""/>
      <w:lvlJc w:val="left"/>
      <w:pPr>
        <w:ind w:left="720" w:hanging="360"/>
      </w:pPr>
      <w:rPr>
        <w:rFonts w:ascii="Symbol" w:hAnsi="Symbol"/>
      </w:rPr>
    </w:lvl>
    <w:lvl w:ilvl="8" w:tplc="CF5E0462">
      <w:start w:val="1"/>
      <w:numFmt w:val="bullet"/>
      <w:lvlText w:val=""/>
      <w:lvlJc w:val="left"/>
      <w:pPr>
        <w:ind w:left="720" w:hanging="360"/>
      </w:pPr>
      <w:rPr>
        <w:rFonts w:ascii="Symbol" w:hAnsi="Symbol"/>
      </w:rPr>
    </w:lvl>
  </w:abstractNum>
  <w:abstractNum w:abstractNumId="2" w15:restartNumberingAfterBreak="0">
    <w:nsid w:val="0B1B3B07"/>
    <w:multiLevelType w:val="hybridMultilevel"/>
    <w:tmpl w:val="A710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B51A0"/>
    <w:multiLevelType w:val="hybridMultilevel"/>
    <w:tmpl w:val="458A20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C72A0"/>
    <w:multiLevelType w:val="hybridMultilevel"/>
    <w:tmpl w:val="4D5AEFC8"/>
    <w:lvl w:ilvl="0" w:tplc="8D4E87F4">
      <w:start w:val="1"/>
      <w:numFmt w:val="bullet"/>
      <w:lvlText w:val=""/>
      <w:lvlJc w:val="left"/>
      <w:pPr>
        <w:ind w:left="720" w:hanging="360"/>
      </w:pPr>
      <w:rPr>
        <w:rFonts w:ascii="Symbol" w:hAnsi="Symbol"/>
      </w:rPr>
    </w:lvl>
    <w:lvl w:ilvl="1" w:tplc="044C162C">
      <w:start w:val="1"/>
      <w:numFmt w:val="bullet"/>
      <w:lvlText w:val=""/>
      <w:lvlJc w:val="left"/>
      <w:pPr>
        <w:ind w:left="720" w:hanging="360"/>
      </w:pPr>
      <w:rPr>
        <w:rFonts w:ascii="Symbol" w:hAnsi="Symbol"/>
      </w:rPr>
    </w:lvl>
    <w:lvl w:ilvl="2" w:tplc="D632B5F6">
      <w:start w:val="1"/>
      <w:numFmt w:val="bullet"/>
      <w:lvlText w:val=""/>
      <w:lvlJc w:val="left"/>
      <w:pPr>
        <w:ind w:left="720" w:hanging="360"/>
      </w:pPr>
      <w:rPr>
        <w:rFonts w:ascii="Symbol" w:hAnsi="Symbol"/>
      </w:rPr>
    </w:lvl>
    <w:lvl w:ilvl="3" w:tplc="2A265FC4">
      <w:start w:val="1"/>
      <w:numFmt w:val="bullet"/>
      <w:lvlText w:val=""/>
      <w:lvlJc w:val="left"/>
      <w:pPr>
        <w:ind w:left="720" w:hanging="360"/>
      </w:pPr>
      <w:rPr>
        <w:rFonts w:ascii="Symbol" w:hAnsi="Symbol"/>
      </w:rPr>
    </w:lvl>
    <w:lvl w:ilvl="4" w:tplc="5E28B338">
      <w:start w:val="1"/>
      <w:numFmt w:val="bullet"/>
      <w:lvlText w:val=""/>
      <w:lvlJc w:val="left"/>
      <w:pPr>
        <w:ind w:left="720" w:hanging="360"/>
      </w:pPr>
      <w:rPr>
        <w:rFonts w:ascii="Symbol" w:hAnsi="Symbol"/>
      </w:rPr>
    </w:lvl>
    <w:lvl w:ilvl="5" w:tplc="DAAA394C">
      <w:start w:val="1"/>
      <w:numFmt w:val="bullet"/>
      <w:lvlText w:val=""/>
      <w:lvlJc w:val="left"/>
      <w:pPr>
        <w:ind w:left="720" w:hanging="360"/>
      </w:pPr>
      <w:rPr>
        <w:rFonts w:ascii="Symbol" w:hAnsi="Symbol"/>
      </w:rPr>
    </w:lvl>
    <w:lvl w:ilvl="6" w:tplc="71B491C4">
      <w:start w:val="1"/>
      <w:numFmt w:val="bullet"/>
      <w:lvlText w:val=""/>
      <w:lvlJc w:val="left"/>
      <w:pPr>
        <w:ind w:left="720" w:hanging="360"/>
      </w:pPr>
      <w:rPr>
        <w:rFonts w:ascii="Symbol" w:hAnsi="Symbol"/>
      </w:rPr>
    </w:lvl>
    <w:lvl w:ilvl="7" w:tplc="B26C5A46">
      <w:start w:val="1"/>
      <w:numFmt w:val="bullet"/>
      <w:lvlText w:val=""/>
      <w:lvlJc w:val="left"/>
      <w:pPr>
        <w:ind w:left="720" w:hanging="360"/>
      </w:pPr>
      <w:rPr>
        <w:rFonts w:ascii="Symbol" w:hAnsi="Symbol"/>
      </w:rPr>
    </w:lvl>
    <w:lvl w:ilvl="8" w:tplc="859E82AA">
      <w:start w:val="1"/>
      <w:numFmt w:val="bullet"/>
      <w:lvlText w:val=""/>
      <w:lvlJc w:val="left"/>
      <w:pPr>
        <w:ind w:left="720" w:hanging="360"/>
      </w:pPr>
      <w:rPr>
        <w:rFonts w:ascii="Symbol" w:hAnsi="Symbol"/>
      </w:rPr>
    </w:lvl>
  </w:abstractNum>
  <w:abstractNum w:abstractNumId="5" w15:restartNumberingAfterBreak="0">
    <w:nsid w:val="2E970A8E"/>
    <w:multiLevelType w:val="hybridMultilevel"/>
    <w:tmpl w:val="3EE8B064"/>
    <w:lvl w:ilvl="0" w:tplc="91AA9F8C">
      <w:start w:val="1"/>
      <w:numFmt w:val="upperLetter"/>
      <w:lvlText w:val="%1 "/>
      <w:lvlJc w:val="left"/>
      <w:pPr>
        <w:ind w:left="2260" w:hanging="360"/>
      </w:pPr>
    </w:lvl>
    <w:lvl w:ilvl="1" w:tplc="41EEA4E8">
      <w:start w:val="1"/>
      <w:numFmt w:val="upperLetter"/>
      <w:lvlText w:val="%2 "/>
      <w:lvlJc w:val="left"/>
      <w:pPr>
        <w:ind w:left="2260" w:hanging="360"/>
      </w:pPr>
    </w:lvl>
    <w:lvl w:ilvl="2" w:tplc="C1BE0CF4">
      <w:start w:val="1"/>
      <w:numFmt w:val="upperLetter"/>
      <w:lvlText w:val="%3 "/>
      <w:lvlJc w:val="left"/>
      <w:pPr>
        <w:ind w:left="2260" w:hanging="360"/>
      </w:pPr>
    </w:lvl>
    <w:lvl w:ilvl="3" w:tplc="4FB8A584">
      <w:start w:val="1"/>
      <w:numFmt w:val="upperLetter"/>
      <w:lvlText w:val="%4 "/>
      <w:lvlJc w:val="left"/>
      <w:pPr>
        <w:ind w:left="2260" w:hanging="360"/>
      </w:pPr>
    </w:lvl>
    <w:lvl w:ilvl="4" w:tplc="3B966258">
      <w:start w:val="1"/>
      <w:numFmt w:val="upperLetter"/>
      <w:lvlText w:val="%5 "/>
      <w:lvlJc w:val="left"/>
      <w:pPr>
        <w:ind w:left="2260" w:hanging="360"/>
      </w:pPr>
    </w:lvl>
    <w:lvl w:ilvl="5" w:tplc="440CFDC6">
      <w:start w:val="1"/>
      <w:numFmt w:val="upperLetter"/>
      <w:lvlText w:val="%6 "/>
      <w:lvlJc w:val="left"/>
      <w:pPr>
        <w:ind w:left="2260" w:hanging="360"/>
      </w:pPr>
    </w:lvl>
    <w:lvl w:ilvl="6" w:tplc="3DFA072A">
      <w:start w:val="1"/>
      <w:numFmt w:val="upperLetter"/>
      <w:lvlText w:val="%7 "/>
      <w:lvlJc w:val="left"/>
      <w:pPr>
        <w:ind w:left="2260" w:hanging="360"/>
      </w:pPr>
    </w:lvl>
    <w:lvl w:ilvl="7" w:tplc="1116D9E6">
      <w:start w:val="1"/>
      <w:numFmt w:val="upperLetter"/>
      <w:lvlText w:val="%8 "/>
      <w:lvlJc w:val="left"/>
      <w:pPr>
        <w:ind w:left="2260" w:hanging="360"/>
      </w:pPr>
    </w:lvl>
    <w:lvl w:ilvl="8" w:tplc="D3084F68">
      <w:start w:val="1"/>
      <w:numFmt w:val="upperLetter"/>
      <w:lvlText w:val="%9 "/>
      <w:lvlJc w:val="left"/>
      <w:pPr>
        <w:ind w:left="2260" w:hanging="360"/>
      </w:pPr>
    </w:lvl>
  </w:abstractNum>
  <w:abstractNum w:abstractNumId="6" w15:restartNumberingAfterBreak="0">
    <w:nsid w:val="312635EB"/>
    <w:multiLevelType w:val="hybridMultilevel"/>
    <w:tmpl w:val="48402064"/>
    <w:lvl w:ilvl="0" w:tplc="DEFADEB8">
      <w:start w:val="1"/>
      <w:numFmt w:val="upperLetter"/>
      <w:lvlText w:val="%1 "/>
      <w:lvlJc w:val="left"/>
      <w:pPr>
        <w:ind w:left="2780" w:hanging="360"/>
      </w:pPr>
    </w:lvl>
    <w:lvl w:ilvl="1" w:tplc="C6BE0AAA">
      <w:start w:val="1"/>
      <w:numFmt w:val="upperLetter"/>
      <w:lvlText w:val="%2 "/>
      <w:lvlJc w:val="left"/>
      <w:pPr>
        <w:ind w:left="2780" w:hanging="360"/>
      </w:pPr>
    </w:lvl>
    <w:lvl w:ilvl="2" w:tplc="84C4D8E0">
      <w:start w:val="1"/>
      <w:numFmt w:val="upperLetter"/>
      <w:lvlText w:val="%3 "/>
      <w:lvlJc w:val="left"/>
      <w:pPr>
        <w:ind w:left="2780" w:hanging="360"/>
      </w:pPr>
    </w:lvl>
    <w:lvl w:ilvl="3" w:tplc="BB2AC24C">
      <w:start w:val="1"/>
      <w:numFmt w:val="upperLetter"/>
      <w:lvlText w:val="%4 "/>
      <w:lvlJc w:val="left"/>
      <w:pPr>
        <w:ind w:left="2780" w:hanging="360"/>
      </w:pPr>
    </w:lvl>
    <w:lvl w:ilvl="4" w:tplc="5B9E2C86">
      <w:start w:val="1"/>
      <w:numFmt w:val="upperLetter"/>
      <w:lvlText w:val="%5 "/>
      <w:lvlJc w:val="left"/>
      <w:pPr>
        <w:ind w:left="2780" w:hanging="360"/>
      </w:pPr>
    </w:lvl>
    <w:lvl w:ilvl="5" w:tplc="89A61FCA">
      <w:start w:val="1"/>
      <w:numFmt w:val="upperLetter"/>
      <w:lvlText w:val="%6 "/>
      <w:lvlJc w:val="left"/>
      <w:pPr>
        <w:ind w:left="2780" w:hanging="360"/>
      </w:pPr>
    </w:lvl>
    <w:lvl w:ilvl="6" w:tplc="F0C6792C">
      <w:start w:val="1"/>
      <w:numFmt w:val="upperLetter"/>
      <w:lvlText w:val="%7 "/>
      <w:lvlJc w:val="left"/>
      <w:pPr>
        <w:ind w:left="2780" w:hanging="360"/>
      </w:pPr>
    </w:lvl>
    <w:lvl w:ilvl="7" w:tplc="1E0E4692">
      <w:start w:val="1"/>
      <w:numFmt w:val="upperLetter"/>
      <w:lvlText w:val="%8 "/>
      <w:lvlJc w:val="left"/>
      <w:pPr>
        <w:ind w:left="2780" w:hanging="360"/>
      </w:pPr>
    </w:lvl>
    <w:lvl w:ilvl="8" w:tplc="AA249BC4">
      <w:start w:val="1"/>
      <w:numFmt w:val="upperLetter"/>
      <w:lvlText w:val="%9 "/>
      <w:lvlJc w:val="left"/>
      <w:pPr>
        <w:ind w:left="2780" w:hanging="360"/>
      </w:pPr>
    </w:lvl>
  </w:abstractNum>
  <w:abstractNum w:abstractNumId="7" w15:restartNumberingAfterBreak="0">
    <w:nsid w:val="32175B8B"/>
    <w:multiLevelType w:val="hybridMultilevel"/>
    <w:tmpl w:val="796E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5478"/>
    <w:multiLevelType w:val="hybridMultilevel"/>
    <w:tmpl w:val="458A20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656701"/>
    <w:multiLevelType w:val="hybridMultilevel"/>
    <w:tmpl w:val="DF5A10AE"/>
    <w:lvl w:ilvl="0" w:tplc="5EBEF588">
      <w:start w:val="1"/>
      <w:numFmt w:val="bullet"/>
      <w:lvlText w:val=""/>
      <w:lvlJc w:val="left"/>
      <w:pPr>
        <w:ind w:left="720" w:hanging="360"/>
      </w:pPr>
      <w:rPr>
        <w:rFonts w:ascii="Symbol" w:hAnsi="Symbol"/>
      </w:rPr>
    </w:lvl>
    <w:lvl w:ilvl="1" w:tplc="E26A8A92">
      <w:start w:val="1"/>
      <w:numFmt w:val="bullet"/>
      <w:lvlText w:val=""/>
      <w:lvlJc w:val="left"/>
      <w:pPr>
        <w:ind w:left="720" w:hanging="360"/>
      </w:pPr>
      <w:rPr>
        <w:rFonts w:ascii="Symbol" w:hAnsi="Symbol"/>
      </w:rPr>
    </w:lvl>
    <w:lvl w:ilvl="2" w:tplc="A9CEE14C">
      <w:start w:val="1"/>
      <w:numFmt w:val="bullet"/>
      <w:lvlText w:val=""/>
      <w:lvlJc w:val="left"/>
      <w:pPr>
        <w:ind w:left="720" w:hanging="360"/>
      </w:pPr>
      <w:rPr>
        <w:rFonts w:ascii="Symbol" w:hAnsi="Symbol"/>
      </w:rPr>
    </w:lvl>
    <w:lvl w:ilvl="3" w:tplc="C6A67B70">
      <w:start w:val="1"/>
      <w:numFmt w:val="bullet"/>
      <w:lvlText w:val=""/>
      <w:lvlJc w:val="left"/>
      <w:pPr>
        <w:ind w:left="720" w:hanging="360"/>
      </w:pPr>
      <w:rPr>
        <w:rFonts w:ascii="Symbol" w:hAnsi="Symbol"/>
      </w:rPr>
    </w:lvl>
    <w:lvl w:ilvl="4" w:tplc="173CD9C6">
      <w:start w:val="1"/>
      <w:numFmt w:val="bullet"/>
      <w:lvlText w:val=""/>
      <w:lvlJc w:val="left"/>
      <w:pPr>
        <w:ind w:left="720" w:hanging="360"/>
      </w:pPr>
      <w:rPr>
        <w:rFonts w:ascii="Symbol" w:hAnsi="Symbol"/>
      </w:rPr>
    </w:lvl>
    <w:lvl w:ilvl="5" w:tplc="40B6D544">
      <w:start w:val="1"/>
      <w:numFmt w:val="bullet"/>
      <w:lvlText w:val=""/>
      <w:lvlJc w:val="left"/>
      <w:pPr>
        <w:ind w:left="720" w:hanging="360"/>
      </w:pPr>
      <w:rPr>
        <w:rFonts w:ascii="Symbol" w:hAnsi="Symbol"/>
      </w:rPr>
    </w:lvl>
    <w:lvl w:ilvl="6" w:tplc="248C6A36">
      <w:start w:val="1"/>
      <w:numFmt w:val="bullet"/>
      <w:lvlText w:val=""/>
      <w:lvlJc w:val="left"/>
      <w:pPr>
        <w:ind w:left="720" w:hanging="360"/>
      </w:pPr>
      <w:rPr>
        <w:rFonts w:ascii="Symbol" w:hAnsi="Symbol"/>
      </w:rPr>
    </w:lvl>
    <w:lvl w:ilvl="7" w:tplc="FE78D8C6">
      <w:start w:val="1"/>
      <w:numFmt w:val="bullet"/>
      <w:lvlText w:val=""/>
      <w:lvlJc w:val="left"/>
      <w:pPr>
        <w:ind w:left="720" w:hanging="360"/>
      </w:pPr>
      <w:rPr>
        <w:rFonts w:ascii="Symbol" w:hAnsi="Symbol"/>
      </w:rPr>
    </w:lvl>
    <w:lvl w:ilvl="8" w:tplc="A2C25CD4">
      <w:start w:val="1"/>
      <w:numFmt w:val="bullet"/>
      <w:lvlText w:val=""/>
      <w:lvlJc w:val="left"/>
      <w:pPr>
        <w:ind w:left="720" w:hanging="360"/>
      </w:pPr>
      <w:rPr>
        <w:rFonts w:ascii="Symbol" w:hAnsi="Symbol"/>
      </w:rPr>
    </w:lvl>
  </w:abstractNum>
  <w:abstractNum w:abstractNumId="10" w15:restartNumberingAfterBreak="0">
    <w:nsid w:val="649731C2"/>
    <w:multiLevelType w:val="hybridMultilevel"/>
    <w:tmpl w:val="458A2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1214D"/>
    <w:multiLevelType w:val="hybridMultilevel"/>
    <w:tmpl w:val="5AB2DC0A"/>
    <w:lvl w:ilvl="0" w:tplc="093A5E60">
      <w:start w:val="1"/>
      <w:numFmt w:val="upperLetter"/>
      <w:lvlText w:val="%1 "/>
      <w:lvlJc w:val="left"/>
      <w:pPr>
        <w:ind w:left="2260" w:hanging="360"/>
      </w:pPr>
    </w:lvl>
    <w:lvl w:ilvl="1" w:tplc="09AED626">
      <w:start w:val="1"/>
      <w:numFmt w:val="upperLetter"/>
      <w:lvlText w:val="%2 "/>
      <w:lvlJc w:val="left"/>
      <w:pPr>
        <w:ind w:left="2260" w:hanging="360"/>
      </w:pPr>
    </w:lvl>
    <w:lvl w:ilvl="2" w:tplc="EB4C6DB0">
      <w:start w:val="1"/>
      <w:numFmt w:val="upperLetter"/>
      <w:lvlText w:val="%3 "/>
      <w:lvlJc w:val="left"/>
      <w:pPr>
        <w:ind w:left="2260" w:hanging="360"/>
      </w:pPr>
    </w:lvl>
    <w:lvl w:ilvl="3" w:tplc="9408A11A">
      <w:start w:val="1"/>
      <w:numFmt w:val="upperLetter"/>
      <w:lvlText w:val="%4 "/>
      <w:lvlJc w:val="left"/>
      <w:pPr>
        <w:ind w:left="2260" w:hanging="360"/>
      </w:pPr>
    </w:lvl>
    <w:lvl w:ilvl="4" w:tplc="E9D88F62">
      <w:start w:val="1"/>
      <w:numFmt w:val="upperLetter"/>
      <w:lvlText w:val="%5 "/>
      <w:lvlJc w:val="left"/>
      <w:pPr>
        <w:ind w:left="2260" w:hanging="360"/>
      </w:pPr>
    </w:lvl>
    <w:lvl w:ilvl="5" w:tplc="10560852">
      <w:start w:val="1"/>
      <w:numFmt w:val="upperLetter"/>
      <w:lvlText w:val="%6 "/>
      <w:lvlJc w:val="left"/>
      <w:pPr>
        <w:ind w:left="2260" w:hanging="360"/>
      </w:pPr>
    </w:lvl>
    <w:lvl w:ilvl="6" w:tplc="962CA268">
      <w:start w:val="1"/>
      <w:numFmt w:val="upperLetter"/>
      <w:lvlText w:val="%7 "/>
      <w:lvlJc w:val="left"/>
      <w:pPr>
        <w:ind w:left="2260" w:hanging="360"/>
      </w:pPr>
    </w:lvl>
    <w:lvl w:ilvl="7" w:tplc="FC2A5BF6">
      <w:start w:val="1"/>
      <w:numFmt w:val="upperLetter"/>
      <w:lvlText w:val="%8 "/>
      <w:lvlJc w:val="left"/>
      <w:pPr>
        <w:ind w:left="2260" w:hanging="360"/>
      </w:pPr>
    </w:lvl>
    <w:lvl w:ilvl="8" w:tplc="6B8691D0">
      <w:start w:val="1"/>
      <w:numFmt w:val="upperLetter"/>
      <w:lvlText w:val="%9 "/>
      <w:lvlJc w:val="left"/>
      <w:pPr>
        <w:ind w:left="2260" w:hanging="360"/>
      </w:pPr>
    </w:lvl>
  </w:abstractNum>
  <w:abstractNum w:abstractNumId="12" w15:restartNumberingAfterBreak="0">
    <w:nsid w:val="6D5639A8"/>
    <w:multiLevelType w:val="hybridMultilevel"/>
    <w:tmpl w:val="FB36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16509"/>
    <w:multiLevelType w:val="hybridMultilevel"/>
    <w:tmpl w:val="290AE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61A91"/>
    <w:multiLevelType w:val="hybridMultilevel"/>
    <w:tmpl w:val="AA0C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2F7C03"/>
    <w:multiLevelType w:val="hybridMultilevel"/>
    <w:tmpl w:val="A590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58816">
    <w:abstractNumId w:val="14"/>
  </w:num>
  <w:num w:numId="2" w16cid:durableId="339477764">
    <w:abstractNumId w:val="2"/>
  </w:num>
  <w:num w:numId="3" w16cid:durableId="1746562939">
    <w:abstractNumId w:val="10"/>
  </w:num>
  <w:num w:numId="4" w16cid:durableId="726146869">
    <w:abstractNumId w:val="13"/>
  </w:num>
  <w:num w:numId="5" w16cid:durableId="63988173">
    <w:abstractNumId w:val="3"/>
  </w:num>
  <w:num w:numId="6" w16cid:durableId="1603997516">
    <w:abstractNumId w:val="8"/>
  </w:num>
  <w:num w:numId="7" w16cid:durableId="1123160132">
    <w:abstractNumId w:val="7"/>
  </w:num>
  <w:num w:numId="8" w16cid:durableId="1520580160">
    <w:abstractNumId w:val="15"/>
  </w:num>
  <w:num w:numId="9" w16cid:durableId="581181330">
    <w:abstractNumId w:val="4"/>
  </w:num>
  <w:num w:numId="10" w16cid:durableId="507604025">
    <w:abstractNumId w:val="0"/>
  </w:num>
  <w:num w:numId="11" w16cid:durableId="816531489">
    <w:abstractNumId w:val="1"/>
  </w:num>
  <w:num w:numId="12" w16cid:durableId="760371131">
    <w:abstractNumId w:val="11"/>
  </w:num>
  <w:num w:numId="13" w16cid:durableId="662926988">
    <w:abstractNumId w:val="6"/>
  </w:num>
  <w:num w:numId="14" w16cid:durableId="1400203191">
    <w:abstractNumId w:val="5"/>
  </w:num>
  <w:num w:numId="15" w16cid:durableId="1194727631">
    <w:abstractNumId w:val="9"/>
  </w:num>
  <w:num w:numId="16" w16cid:durableId="500891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2NDQ0t7QwsTAwtTRV0lEKTi0uzszPAykwrwUAjf1wICwAAAA="/>
  </w:docVars>
  <w:rsids>
    <w:rsidRoot w:val="00237575"/>
    <w:rsid w:val="00024346"/>
    <w:rsid w:val="0003233D"/>
    <w:rsid w:val="00034E81"/>
    <w:rsid w:val="0005586B"/>
    <w:rsid w:val="00056182"/>
    <w:rsid w:val="000732ED"/>
    <w:rsid w:val="00081B14"/>
    <w:rsid w:val="00082F86"/>
    <w:rsid w:val="000848BC"/>
    <w:rsid w:val="00086A80"/>
    <w:rsid w:val="000E13FE"/>
    <w:rsid w:val="000E2827"/>
    <w:rsid w:val="000FD31F"/>
    <w:rsid w:val="001036E9"/>
    <w:rsid w:val="001141C7"/>
    <w:rsid w:val="001353A3"/>
    <w:rsid w:val="001462C7"/>
    <w:rsid w:val="00177EDB"/>
    <w:rsid w:val="001B17A9"/>
    <w:rsid w:val="001E073E"/>
    <w:rsid w:val="001F33DC"/>
    <w:rsid w:val="001F4D36"/>
    <w:rsid w:val="001F6040"/>
    <w:rsid w:val="0020341A"/>
    <w:rsid w:val="0021419B"/>
    <w:rsid w:val="00237575"/>
    <w:rsid w:val="00241466"/>
    <w:rsid w:val="00241552"/>
    <w:rsid w:val="00257054"/>
    <w:rsid w:val="00270246"/>
    <w:rsid w:val="00292046"/>
    <w:rsid w:val="002B3DB8"/>
    <w:rsid w:val="002B4145"/>
    <w:rsid w:val="002B6E8C"/>
    <w:rsid w:val="002C1597"/>
    <w:rsid w:val="002C2288"/>
    <w:rsid w:val="002C4D97"/>
    <w:rsid w:val="002F3E49"/>
    <w:rsid w:val="002F7F75"/>
    <w:rsid w:val="00312220"/>
    <w:rsid w:val="0032345E"/>
    <w:rsid w:val="0035391D"/>
    <w:rsid w:val="003722D7"/>
    <w:rsid w:val="00391AE9"/>
    <w:rsid w:val="003A72A6"/>
    <w:rsid w:val="003E26E8"/>
    <w:rsid w:val="003F5C62"/>
    <w:rsid w:val="00400D89"/>
    <w:rsid w:val="0042237A"/>
    <w:rsid w:val="00436707"/>
    <w:rsid w:val="004572D2"/>
    <w:rsid w:val="00470D12"/>
    <w:rsid w:val="0047284C"/>
    <w:rsid w:val="004820E4"/>
    <w:rsid w:val="00485632"/>
    <w:rsid w:val="004919F8"/>
    <w:rsid w:val="004948CB"/>
    <w:rsid w:val="004971BA"/>
    <w:rsid w:val="004A72CE"/>
    <w:rsid w:val="004C190B"/>
    <w:rsid w:val="004C555D"/>
    <w:rsid w:val="004D0481"/>
    <w:rsid w:val="004E3C8C"/>
    <w:rsid w:val="00522B1A"/>
    <w:rsid w:val="00523B7F"/>
    <w:rsid w:val="005471A2"/>
    <w:rsid w:val="00551472"/>
    <w:rsid w:val="00554DB5"/>
    <w:rsid w:val="00555A2A"/>
    <w:rsid w:val="00555D79"/>
    <w:rsid w:val="005608CD"/>
    <w:rsid w:val="005646A9"/>
    <w:rsid w:val="0059155D"/>
    <w:rsid w:val="005979CB"/>
    <w:rsid w:val="005A31AC"/>
    <w:rsid w:val="005C064D"/>
    <w:rsid w:val="005C2433"/>
    <w:rsid w:val="005D5D51"/>
    <w:rsid w:val="005F378D"/>
    <w:rsid w:val="005F5410"/>
    <w:rsid w:val="0062178C"/>
    <w:rsid w:val="00632341"/>
    <w:rsid w:val="006401CC"/>
    <w:rsid w:val="006441FA"/>
    <w:rsid w:val="00644E88"/>
    <w:rsid w:val="00652CB0"/>
    <w:rsid w:val="0066621A"/>
    <w:rsid w:val="00674620"/>
    <w:rsid w:val="00676D64"/>
    <w:rsid w:val="00677573"/>
    <w:rsid w:val="00694782"/>
    <w:rsid w:val="006A138A"/>
    <w:rsid w:val="006A16EE"/>
    <w:rsid w:val="006C0029"/>
    <w:rsid w:val="006C5651"/>
    <w:rsid w:val="006D32A5"/>
    <w:rsid w:val="006D4F32"/>
    <w:rsid w:val="006F4725"/>
    <w:rsid w:val="00704512"/>
    <w:rsid w:val="00710BDD"/>
    <w:rsid w:val="00714F95"/>
    <w:rsid w:val="0071780A"/>
    <w:rsid w:val="00721C03"/>
    <w:rsid w:val="00725CAB"/>
    <w:rsid w:val="0074425A"/>
    <w:rsid w:val="00751CA7"/>
    <w:rsid w:val="00757716"/>
    <w:rsid w:val="00765747"/>
    <w:rsid w:val="00770C11"/>
    <w:rsid w:val="00777344"/>
    <w:rsid w:val="00780632"/>
    <w:rsid w:val="00794754"/>
    <w:rsid w:val="007A1B22"/>
    <w:rsid w:val="007A4922"/>
    <w:rsid w:val="007C26DD"/>
    <w:rsid w:val="007D0A87"/>
    <w:rsid w:val="007F45F4"/>
    <w:rsid w:val="0081106E"/>
    <w:rsid w:val="00814122"/>
    <w:rsid w:val="00827040"/>
    <w:rsid w:val="0083669A"/>
    <w:rsid w:val="00885B4D"/>
    <w:rsid w:val="008B50D0"/>
    <w:rsid w:val="008C3B99"/>
    <w:rsid w:val="008D1130"/>
    <w:rsid w:val="008E2D4B"/>
    <w:rsid w:val="008F3EA8"/>
    <w:rsid w:val="00905F01"/>
    <w:rsid w:val="00926A39"/>
    <w:rsid w:val="00946572"/>
    <w:rsid w:val="00946EC2"/>
    <w:rsid w:val="00952C48"/>
    <w:rsid w:val="00954193"/>
    <w:rsid w:val="00960A4A"/>
    <w:rsid w:val="009667ED"/>
    <w:rsid w:val="009756D2"/>
    <w:rsid w:val="00976669"/>
    <w:rsid w:val="0099510B"/>
    <w:rsid w:val="009A24ED"/>
    <w:rsid w:val="009A74C7"/>
    <w:rsid w:val="009C57DB"/>
    <w:rsid w:val="009D2B1E"/>
    <w:rsid w:val="009D56E3"/>
    <w:rsid w:val="009E125F"/>
    <w:rsid w:val="009E2173"/>
    <w:rsid w:val="009F3283"/>
    <w:rsid w:val="00A24816"/>
    <w:rsid w:val="00A37024"/>
    <w:rsid w:val="00A60806"/>
    <w:rsid w:val="00A637C7"/>
    <w:rsid w:val="00A643D9"/>
    <w:rsid w:val="00A66288"/>
    <w:rsid w:val="00A73A6A"/>
    <w:rsid w:val="00A76EE8"/>
    <w:rsid w:val="00A95509"/>
    <w:rsid w:val="00A95957"/>
    <w:rsid w:val="00AB1449"/>
    <w:rsid w:val="00AD2A57"/>
    <w:rsid w:val="00AD3DC4"/>
    <w:rsid w:val="00AD4FD6"/>
    <w:rsid w:val="00AF10B4"/>
    <w:rsid w:val="00AF48FF"/>
    <w:rsid w:val="00AF5046"/>
    <w:rsid w:val="00B34921"/>
    <w:rsid w:val="00B42D07"/>
    <w:rsid w:val="00B55361"/>
    <w:rsid w:val="00B566F1"/>
    <w:rsid w:val="00B817BC"/>
    <w:rsid w:val="00B850D5"/>
    <w:rsid w:val="00B85FCE"/>
    <w:rsid w:val="00B87EC4"/>
    <w:rsid w:val="00B90687"/>
    <w:rsid w:val="00BA0F51"/>
    <w:rsid w:val="00BA275D"/>
    <w:rsid w:val="00BD2AAE"/>
    <w:rsid w:val="00BD3EC1"/>
    <w:rsid w:val="00C030BD"/>
    <w:rsid w:val="00C15F70"/>
    <w:rsid w:val="00C23C9B"/>
    <w:rsid w:val="00C245C7"/>
    <w:rsid w:val="00C5718D"/>
    <w:rsid w:val="00C57996"/>
    <w:rsid w:val="00C6406D"/>
    <w:rsid w:val="00C84EA6"/>
    <w:rsid w:val="00C93060"/>
    <w:rsid w:val="00CA2921"/>
    <w:rsid w:val="00CA3062"/>
    <w:rsid w:val="00CA41AC"/>
    <w:rsid w:val="00CB41FF"/>
    <w:rsid w:val="00CC0841"/>
    <w:rsid w:val="00CD7D37"/>
    <w:rsid w:val="00CF6A93"/>
    <w:rsid w:val="00D54A46"/>
    <w:rsid w:val="00D72BC1"/>
    <w:rsid w:val="00D76F6A"/>
    <w:rsid w:val="00D85D89"/>
    <w:rsid w:val="00D91A70"/>
    <w:rsid w:val="00DA02FD"/>
    <w:rsid w:val="00DE38C2"/>
    <w:rsid w:val="00E01856"/>
    <w:rsid w:val="00E03C47"/>
    <w:rsid w:val="00E068A8"/>
    <w:rsid w:val="00E36180"/>
    <w:rsid w:val="00E872DC"/>
    <w:rsid w:val="00E873AD"/>
    <w:rsid w:val="00E87508"/>
    <w:rsid w:val="00E97D38"/>
    <w:rsid w:val="00EA4EFF"/>
    <w:rsid w:val="00EA60CF"/>
    <w:rsid w:val="00EC6C2D"/>
    <w:rsid w:val="00EC7DAD"/>
    <w:rsid w:val="00ED7B4B"/>
    <w:rsid w:val="00EE3640"/>
    <w:rsid w:val="00F11F4B"/>
    <w:rsid w:val="00F15AE1"/>
    <w:rsid w:val="00F208EA"/>
    <w:rsid w:val="00F27AB1"/>
    <w:rsid w:val="00F573E1"/>
    <w:rsid w:val="00F57617"/>
    <w:rsid w:val="00F73BCC"/>
    <w:rsid w:val="00F75FA0"/>
    <w:rsid w:val="00F857FE"/>
    <w:rsid w:val="00F931C9"/>
    <w:rsid w:val="00FA05EC"/>
    <w:rsid w:val="00FB4859"/>
    <w:rsid w:val="00FB6A02"/>
    <w:rsid w:val="00FC2207"/>
    <w:rsid w:val="00FC50C3"/>
    <w:rsid w:val="00FF61C1"/>
    <w:rsid w:val="01B13326"/>
    <w:rsid w:val="06157CF7"/>
    <w:rsid w:val="0D23412F"/>
    <w:rsid w:val="1497BDE6"/>
    <w:rsid w:val="162BA0C1"/>
    <w:rsid w:val="16338E47"/>
    <w:rsid w:val="186AB933"/>
    <w:rsid w:val="18BB3415"/>
    <w:rsid w:val="19949031"/>
    <w:rsid w:val="19C12DFE"/>
    <w:rsid w:val="1C34672F"/>
    <w:rsid w:val="1E3EA02C"/>
    <w:rsid w:val="1E949F21"/>
    <w:rsid w:val="28B82F82"/>
    <w:rsid w:val="298152D3"/>
    <w:rsid w:val="2CB8F395"/>
    <w:rsid w:val="31212DE2"/>
    <w:rsid w:val="318ECC35"/>
    <w:rsid w:val="3458CEA4"/>
    <w:rsid w:val="35EF0F5F"/>
    <w:rsid w:val="377E3870"/>
    <w:rsid w:val="392C3FC7"/>
    <w:rsid w:val="3C0DE194"/>
    <w:rsid w:val="3D908998"/>
    <w:rsid w:val="3DBD0EC3"/>
    <w:rsid w:val="40E152B7"/>
    <w:rsid w:val="4131C206"/>
    <w:rsid w:val="44E47E47"/>
    <w:rsid w:val="4894C67D"/>
    <w:rsid w:val="4C7C6233"/>
    <w:rsid w:val="4E9A7055"/>
    <w:rsid w:val="514FD356"/>
    <w:rsid w:val="54877418"/>
    <w:rsid w:val="5AC0907D"/>
    <w:rsid w:val="5D72B039"/>
    <w:rsid w:val="63E1F1BD"/>
    <w:rsid w:val="6C69B1BD"/>
    <w:rsid w:val="713CE768"/>
    <w:rsid w:val="7695EE5A"/>
    <w:rsid w:val="785C5F58"/>
    <w:rsid w:val="79B9B9F7"/>
    <w:rsid w:val="7A3D1B0D"/>
    <w:rsid w:val="7C47C169"/>
    <w:rsid w:val="7C5F8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202F"/>
  <w15:docId w15:val="{786FBE4E-BD11-45E9-930F-DAFD8A73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B906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Text">
    <w:name w:val="Default Text"/>
    <w:basedOn w:val="Normal"/>
    <w:rsid w:val="00A60806"/>
    <w:pPr>
      <w:widowControl/>
      <w:autoSpaceDE/>
      <w:autoSpaceDN/>
    </w:pPr>
    <w:rPr>
      <w:rFonts w:ascii="Arial" w:hAnsi="Arial"/>
      <w:sz w:val="24"/>
      <w:szCs w:val="20"/>
    </w:rPr>
  </w:style>
  <w:style w:type="paragraph" w:styleId="Header">
    <w:name w:val="header"/>
    <w:basedOn w:val="Normal"/>
    <w:link w:val="HeaderChar"/>
    <w:uiPriority w:val="99"/>
    <w:unhideWhenUsed/>
    <w:rsid w:val="00A73A6A"/>
    <w:pPr>
      <w:tabs>
        <w:tab w:val="center" w:pos="4680"/>
        <w:tab w:val="right" w:pos="9360"/>
      </w:tabs>
    </w:pPr>
  </w:style>
  <w:style w:type="character" w:customStyle="1" w:styleId="HeaderChar">
    <w:name w:val="Header Char"/>
    <w:basedOn w:val="DefaultParagraphFont"/>
    <w:link w:val="Header"/>
    <w:uiPriority w:val="99"/>
    <w:rsid w:val="00A73A6A"/>
    <w:rPr>
      <w:rFonts w:ascii="Times New Roman" w:eastAsia="Times New Roman" w:hAnsi="Times New Roman" w:cs="Times New Roman"/>
    </w:rPr>
  </w:style>
  <w:style w:type="paragraph" w:styleId="Footer">
    <w:name w:val="footer"/>
    <w:basedOn w:val="Normal"/>
    <w:link w:val="FooterChar"/>
    <w:uiPriority w:val="99"/>
    <w:unhideWhenUsed/>
    <w:rsid w:val="00A73A6A"/>
    <w:pPr>
      <w:tabs>
        <w:tab w:val="center" w:pos="4680"/>
        <w:tab w:val="right" w:pos="9360"/>
      </w:tabs>
    </w:pPr>
  </w:style>
  <w:style w:type="character" w:customStyle="1" w:styleId="FooterChar">
    <w:name w:val="Footer Char"/>
    <w:basedOn w:val="DefaultParagraphFont"/>
    <w:link w:val="Footer"/>
    <w:uiPriority w:val="99"/>
    <w:rsid w:val="00A73A6A"/>
    <w:rPr>
      <w:rFonts w:ascii="Times New Roman" w:eastAsia="Times New Roman" w:hAnsi="Times New Roman" w:cs="Times New Roman"/>
    </w:rPr>
  </w:style>
  <w:style w:type="character" w:styleId="Hyperlink">
    <w:name w:val="Hyperlink"/>
    <w:basedOn w:val="DefaultParagraphFont"/>
    <w:uiPriority w:val="99"/>
    <w:unhideWhenUsed/>
    <w:rsid w:val="00A73A6A"/>
    <w:rPr>
      <w:color w:val="0563C1"/>
      <w:u w:val="single"/>
    </w:rPr>
  </w:style>
  <w:style w:type="character" w:customStyle="1" w:styleId="normaltextrun">
    <w:name w:val="normaltextrun"/>
    <w:basedOn w:val="DefaultParagraphFont"/>
    <w:rsid w:val="00485632"/>
  </w:style>
  <w:style w:type="character" w:customStyle="1" w:styleId="eop">
    <w:name w:val="eop"/>
    <w:basedOn w:val="DefaultParagraphFont"/>
    <w:rsid w:val="00485632"/>
  </w:style>
  <w:style w:type="paragraph" w:customStyle="1" w:styleId="Default">
    <w:name w:val="Default"/>
    <w:rsid w:val="00E01856"/>
    <w:pPr>
      <w:widowControl/>
      <w:adjustRightInd w:val="0"/>
    </w:pPr>
    <w:rPr>
      <w:rFonts w:ascii="Times New Roman" w:hAnsi="Times New Roman" w:cs="Times New Roman"/>
      <w:color w:val="000000"/>
      <w:sz w:val="24"/>
      <w:szCs w:val="24"/>
      <w14:ligatures w14:val="standardContextual"/>
    </w:rPr>
  </w:style>
  <w:style w:type="character" w:styleId="CommentReference">
    <w:name w:val="annotation reference"/>
    <w:basedOn w:val="DefaultParagraphFont"/>
    <w:uiPriority w:val="99"/>
    <w:semiHidden/>
    <w:unhideWhenUsed/>
    <w:rsid w:val="00E01856"/>
    <w:rPr>
      <w:sz w:val="16"/>
      <w:szCs w:val="16"/>
    </w:rPr>
  </w:style>
  <w:style w:type="paragraph" w:styleId="CommentText">
    <w:name w:val="annotation text"/>
    <w:basedOn w:val="Normal"/>
    <w:link w:val="CommentTextChar"/>
    <w:uiPriority w:val="99"/>
    <w:unhideWhenUsed/>
    <w:rsid w:val="00E01856"/>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01856"/>
    <w:rPr>
      <w:kern w:val="2"/>
      <w:sz w:val="20"/>
      <w:szCs w:val="20"/>
      <w14:ligatures w14:val="standardContextual"/>
    </w:rPr>
  </w:style>
  <w:style w:type="character" w:customStyle="1" w:styleId="Heading2Char">
    <w:name w:val="Heading 2 Char"/>
    <w:basedOn w:val="DefaultParagraphFont"/>
    <w:link w:val="Heading2"/>
    <w:uiPriority w:val="9"/>
    <w:semiHidden/>
    <w:rsid w:val="00B90687"/>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946EC2"/>
    <w:rPr>
      <w:rFonts w:ascii="Times New Roman" w:eastAsia="Times New Roman" w:hAnsi="Times New Roman" w:cs="Times New Roman"/>
      <w:sz w:val="24"/>
      <w:szCs w:val="24"/>
    </w:rPr>
  </w:style>
  <w:style w:type="paragraph" w:styleId="Revision">
    <w:name w:val="Revision"/>
    <w:hidden/>
    <w:uiPriority w:val="99"/>
    <w:semiHidden/>
    <w:rsid w:val="0083669A"/>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A24ED"/>
    <w:pPr>
      <w:widowControl w:val="0"/>
      <w:autoSpaceDE w:val="0"/>
      <w:autoSpaceDN w:val="0"/>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9A24ED"/>
    <w:rPr>
      <w:rFonts w:ascii="Times New Roman" w:eastAsia="Times New Roman" w:hAnsi="Times New Roman" w:cs="Times New Roman"/>
      <w:b/>
      <w:bCs/>
      <w:kern w:val="2"/>
      <w:sz w:val="20"/>
      <w:szCs w:val="20"/>
      <w14:ligatures w14:val="standardContextual"/>
    </w:rPr>
  </w:style>
  <w:style w:type="character" w:styleId="UnresolvedMention">
    <w:name w:val="Unresolved Mention"/>
    <w:basedOn w:val="DefaultParagraphFont"/>
    <w:uiPriority w:val="99"/>
    <w:semiHidden/>
    <w:unhideWhenUsed/>
    <w:rsid w:val="009A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4051">
      <w:bodyDiv w:val="1"/>
      <w:marLeft w:val="0"/>
      <w:marRight w:val="0"/>
      <w:marTop w:val="0"/>
      <w:marBottom w:val="0"/>
      <w:divBdr>
        <w:top w:val="none" w:sz="0" w:space="0" w:color="auto"/>
        <w:left w:val="none" w:sz="0" w:space="0" w:color="auto"/>
        <w:bottom w:val="none" w:sz="0" w:space="0" w:color="auto"/>
        <w:right w:val="none" w:sz="0" w:space="0" w:color="auto"/>
      </w:divBdr>
    </w:div>
    <w:div w:id="526717624">
      <w:bodyDiv w:val="1"/>
      <w:marLeft w:val="0"/>
      <w:marRight w:val="0"/>
      <w:marTop w:val="0"/>
      <w:marBottom w:val="0"/>
      <w:divBdr>
        <w:top w:val="none" w:sz="0" w:space="0" w:color="auto"/>
        <w:left w:val="none" w:sz="0" w:space="0" w:color="auto"/>
        <w:bottom w:val="none" w:sz="0" w:space="0" w:color="auto"/>
        <w:right w:val="none" w:sz="0" w:space="0" w:color="auto"/>
      </w:divBdr>
    </w:div>
    <w:div w:id="1305888942">
      <w:bodyDiv w:val="1"/>
      <w:marLeft w:val="0"/>
      <w:marRight w:val="0"/>
      <w:marTop w:val="0"/>
      <w:marBottom w:val="0"/>
      <w:divBdr>
        <w:top w:val="none" w:sz="0" w:space="0" w:color="auto"/>
        <w:left w:val="none" w:sz="0" w:space="0" w:color="auto"/>
        <w:bottom w:val="none" w:sz="0" w:space="0" w:color="auto"/>
        <w:right w:val="none" w:sz="0" w:space="0" w:color="auto"/>
      </w:divBdr>
    </w:div>
    <w:div w:id="1425372032">
      <w:bodyDiv w:val="1"/>
      <w:marLeft w:val="0"/>
      <w:marRight w:val="0"/>
      <w:marTop w:val="0"/>
      <w:marBottom w:val="0"/>
      <w:divBdr>
        <w:top w:val="none" w:sz="0" w:space="0" w:color="auto"/>
        <w:left w:val="none" w:sz="0" w:space="0" w:color="auto"/>
        <w:bottom w:val="none" w:sz="0" w:space="0" w:color="auto"/>
        <w:right w:val="none" w:sz="0" w:space="0" w:color="auto"/>
      </w:divBdr>
    </w:div>
    <w:div w:id="1525241502">
      <w:bodyDiv w:val="1"/>
      <w:marLeft w:val="0"/>
      <w:marRight w:val="0"/>
      <w:marTop w:val="0"/>
      <w:marBottom w:val="0"/>
      <w:divBdr>
        <w:top w:val="none" w:sz="0" w:space="0" w:color="auto"/>
        <w:left w:val="none" w:sz="0" w:space="0" w:color="auto"/>
        <w:bottom w:val="none" w:sz="0" w:space="0" w:color="auto"/>
        <w:right w:val="none" w:sz="0" w:space="0" w:color="auto"/>
      </w:divBdr>
    </w:div>
    <w:div w:id="187041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www.maine.gov%2Fsos%2Fcec%2Frules%2F02%2F382%2F382c003.doc&amp;data=05%7C02%7CElizabeth.Stivers%40maine.gov%7Cc5638fd743524501c82908dcd269fc97%7C413fa8ab207d4b629bcdea1a8f2f864e%7C0%7C0%7C638616600417073727%7CUnknown%7CTWFpbGZsb3d8eyJWIjoiMC4wLjAwMDAiLCJQIjoiV2luMzIiLCJBTiI6Ik1haWwiLCJXVCI6Mn0%3D%7C0%7C%7C%7C&amp;sdata=rJUJnEH8KBPOWJE8TxJ2VzHvm1oPGPsqAaDSf7aWrX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maine.gov%2Fsos%2Fcec%2Frules%2F02%2F382%2F382c002.doc&amp;data=05%7C02%7CElizabeth.Stivers%40maine.gov%7Cc5638fd743524501c82908dcd269fc97%7C413fa8ab207d4b629bcdea1a8f2f864e%7C0%7C0%7C638616600417067233%7CUnknown%7CTWFpbGZsb3d8eyJWIjoiMC4wLjAwMDAiLCJQIjoiV2luMzIiLCJBTiI6Ik1haWwiLCJXVCI6Mn0%3D%7C0%7C%7C%7C&amp;sdata=k%2Fa9JjVVQZUBquVdkWMWoFoPjAESm8BU6O1w2RLz5GU%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cc02.safelinks.protection.outlook.com/?url=https%3A%2F%2Fwww.maine.gov%2Fsos%2Fcec%2Frules%2F02%2F382%2F382c001.docx&amp;data=05%7C02%7CElizabeth.Stivers%40maine.gov%7Cc5638fd743524501c82908dcd269fc97%7C413fa8ab207d4b629bcdea1a8f2f864e%7C0%7C0%7C638616600417059732%7CUnknown%7CTWFpbGZsb3d8eyJWIjoiMC4wLjAwMDAiLCJQIjoiV2luMzIiLCJBTiI6Ik1haWwiLCJXVCI6Mn0%3D%7C0%7C%7C%7C&amp;sdata=yj8DpcCHjIs5SbI4EydHM89gYw1mEkrP6iCadq9MBv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5" ma:contentTypeDescription="Create a new document." ma:contentTypeScope="" ma:versionID="a2444450fa2ccfca8a95d7999682640c">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23e89ce1c739779809f5f4e2dceaed2a"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SharedWithUsers xmlns="c7d2f26b-8073-4476-9c98-80858cc8e538">
      <UserInfo>
        <DisplayName>Wright, Candice B</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51746-651C-4729-A6D2-FD7BA7A0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FC51F-4D6B-4EE3-A254-82129DEA5B75}">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FD0B0A03-951B-4063-A52D-CC4B49EC7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Racine, Kristin</dc:creator>
  <cp:lastModifiedBy>Carpentier, Tina</cp:lastModifiedBy>
  <cp:revision>7</cp:revision>
  <cp:lastPrinted>2024-11-13T14:08:00Z</cp:lastPrinted>
  <dcterms:created xsi:type="dcterms:W3CDTF">2024-11-07T13:46:00Z</dcterms:created>
  <dcterms:modified xsi:type="dcterms:W3CDTF">2024-11-13T14:09:00Z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21 for Word</vt:lpwstr>
  </property>
  <property fmtid="{D5CDD505-2E9C-101B-9397-08002B2CF9AE}" pid="4" name="LastSaved">
    <vt:filetime>2021-06-25T00:00:00Z</vt:filetime>
  </property>
  <property fmtid="{D5CDD505-2E9C-101B-9397-08002B2CF9AE}" pid="5" name="ContentTypeId">
    <vt:lpwstr>0x01010015AD52B1920C0E41A1A07923C04EC993</vt:lpwstr>
  </property>
  <property fmtid="{D5CDD505-2E9C-101B-9397-08002B2CF9AE}" pid="6" name="MediaServiceImageTags">
    <vt:lpwstr/>
  </property>
</Properties>
</file>