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B86F" w14:textId="77777777" w:rsidR="00513BCA" w:rsidRPr="00103697" w:rsidRDefault="00C162ED" w:rsidP="00513BCA">
      <w:pPr>
        <w:jc w:val="center"/>
        <w:rPr>
          <w:b/>
          <w:bCs/>
          <w:sz w:val="28"/>
          <w:szCs w:val="28"/>
        </w:rPr>
      </w:pPr>
      <w:smartTag w:uri="urn:schemas-microsoft-com:office:smarttags" w:element="State">
        <w:smartTag w:uri="urn:schemas-microsoft-com:office:smarttags" w:element="place">
          <w:r w:rsidRPr="00103697">
            <w:rPr>
              <w:b/>
              <w:bCs/>
              <w:sz w:val="28"/>
              <w:szCs w:val="28"/>
            </w:rPr>
            <w:t>Maine</w:t>
          </w:r>
        </w:smartTag>
      </w:smartTag>
      <w:r w:rsidRPr="00103697">
        <w:rPr>
          <w:b/>
          <w:bCs/>
          <w:sz w:val="28"/>
          <w:szCs w:val="28"/>
        </w:rPr>
        <w:t xml:space="preserve"> Bureau of Insurance</w:t>
      </w:r>
      <w:r w:rsidRPr="00103697">
        <w:rPr>
          <w:b/>
          <w:bCs/>
          <w:sz w:val="28"/>
          <w:szCs w:val="28"/>
        </w:rPr>
        <w:br/>
      </w:r>
      <w:r w:rsidR="00E26F87" w:rsidRPr="00103697">
        <w:rPr>
          <w:b/>
          <w:bCs/>
          <w:sz w:val="28"/>
          <w:szCs w:val="28"/>
          <w:u w:val="single"/>
        </w:rPr>
        <w:t>Initial</w:t>
      </w:r>
      <w:r w:rsidR="00E26F87" w:rsidRPr="00103697">
        <w:rPr>
          <w:b/>
          <w:bCs/>
          <w:sz w:val="28"/>
          <w:szCs w:val="28"/>
        </w:rPr>
        <w:t xml:space="preserve"> </w:t>
      </w:r>
      <w:r w:rsidRPr="00103697">
        <w:rPr>
          <w:b/>
          <w:bCs/>
          <w:sz w:val="28"/>
          <w:szCs w:val="28"/>
        </w:rPr>
        <w:t xml:space="preserve">Rate Filing </w:t>
      </w:r>
      <w:r w:rsidR="00513BCA" w:rsidRPr="00103697">
        <w:rPr>
          <w:b/>
          <w:bCs/>
          <w:sz w:val="28"/>
          <w:szCs w:val="28"/>
        </w:rPr>
        <w:t>Review Requirements Checklist</w:t>
      </w:r>
      <w:r w:rsidR="00513BCA" w:rsidRPr="00103697">
        <w:rPr>
          <w:b/>
          <w:bCs/>
          <w:sz w:val="28"/>
          <w:szCs w:val="28"/>
        </w:rPr>
        <w:br/>
      </w:r>
      <w:r w:rsidR="000D0890" w:rsidRPr="00103697">
        <w:rPr>
          <w:b/>
          <w:bCs/>
          <w:sz w:val="28"/>
          <w:szCs w:val="28"/>
        </w:rPr>
        <w:t xml:space="preserve">for New </w:t>
      </w:r>
      <w:r w:rsidR="00513BCA" w:rsidRPr="00103697">
        <w:rPr>
          <w:b/>
          <w:bCs/>
          <w:sz w:val="28"/>
          <w:szCs w:val="28"/>
        </w:rPr>
        <w:t>Long Term Care Insurance</w:t>
      </w:r>
      <w:r w:rsidR="000D0890" w:rsidRPr="00103697">
        <w:rPr>
          <w:b/>
          <w:bCs/>
          <w:sz w:val="28"/>
          <w:szCs w:val="28"/>
        </w:rPr>
        <w:t xml:space="preserve"> Polic</w:t>
      </w:r>
      <w:r w:rsidR="00136943" w:rsidRPr="00103697">
        <w:rPr>
          <w:b/>
          <w:bCs/>
          <w:sz w:val="28"/>
          <w:szCs w:val="28"/>
        </w:rPr>
        <w:t>y Forms</w:t>
      </w:r>
    </w:p>
    <w:p w14:paraId="65BC7820" w14:textId="77777777" w:rsidR="00513BCA" w:rsidRPr="00103697" w:rsidRDefault="00513BCA" w:rsidP="00513BCA">
      <w:pPr>
        <w:jc w:val="center"/>
        <w:rPr>
          <w:b/>
          <w:bCs/>
          <w:sz w:val="28"/>
          <w:szCs w:val="28"/>
        </w:rPr>
      </w:pPr>
      <w:r w:rsidRPr="00103697">
        <w:rPr>
          <w:b/>
          <w:bCs/>
          <w:sz w:val="28"/>
          <w:szCs w:val="28"/>
        </w:rPr>
        <w:t>Subject to Tit</w:t>
      </w:r>
      <w:r w:rsidR="00806E43" w:rsidRPr="00103697">
        <w:rPr>
          <w:b/>
          <w:bCs/>
          <w:sz w:val="28"/>
          <w:szCs w:val="28"/>
        </w:rPr>
        <w:t xml:space="preserve">le 24-A M.R.S.A. Chapter </w:t>
      </w:r>
      <w:r w:rsidRPr="00103697">
        <w:rPr>
          <w:b/>
          <w:bCs/>
          <w:sz w:val="28"/>
          <w:szCs w:val="28"/>
        </w:rPr>
        <w:t>68A</w:t>
      </w:r>
      <w:r w:rsidR="00DF0C6C" w:rsidRPr="00103697">
        <w:rPr>
          <w:b/>
          <w:bCs/>
          <w:sz w:val="28"/>
          <w:szCs w:val="28"/>
        </w:rPr>
        <w:t xml:space="preserve"> and Rule 425</w:t>
      </w:r>
    </w:p>
    <w:p w14:paraId="0A5962DB" w14:textId="77777777" w:rsidR="00513BCA" w:rsidRPr="00103697" w:rsidRDefault="00513BCA" w:rsidP="00513BCA">
      <w:pPr>
        <w:tabs>
          <w:tab w:val="left" w:pos="720"/>
          <w:tab w:val="left" w:pos="1440"/>
          <w:tab w:val="left" w:pos="2160"/>
          <w:tab w:val="left" w:pos="2880"/>
          <w:tab w:val="left" w:pos="3600"/>
        </w:tabs>
        <w:ind w:left="720" w:hanging="720"/>
        <w:jc w:val="center"/>
        <w:rPr>
          <w:b/>
          <w:sz w:val="28"/>
          <w:szCs w:val="28"/>
        </w:rPr>
      </w:pPr>
      <w:r w:rsidRPr="00103697">
        <w:rPr>
          <w:b/>
          <w:sz w:val="28"/>
          <w:szCs w:val="28"/>
        </w:rPr>
        <w:t xml:space="preserve">Long Term </w:t>
      </w:r>
      <w:r w:rsidR="00324A6A" w:rsidRPr="00103697">
        <w:rPr>
          <w:b/>
          <w:sz w:val="28"/>
          <w:szCs w:val="28"/>
        </w:rPr>
        <w:t>Care Insurance Policies Issued On or After</w:t>
      </w:r>
      <w:r w:rsidRPr="00103697">
        <w:rPr>
          <w:b/>
          <w:sz w:val="28"/>
          <w:szCs w:val="28"/>
        </w:rPr>
        <w:t xml:space="preserve"> October 1, 2004.</w:t>
      </w:r>
    </w:p>
    <w:p w14:paraId="22322F5F" w14:textId="77777777" w:rsidR="00FC195E" w:rsidRDefault="00513BCA" w:rsidP="00513BCA">
      <w:pPr>
        <w:jc w:val="center"/>
        <w:rPr>
          <w:b/>
          <w:sz w:val="28"/>
          <w:szCs w:val="28"/>
        </w:rPr>
      </w:pPr>
      <w:r w:rsidRPr="00103697">
        <w:rPr>
          <w:b/>
          <w:sz w:val="28"/>
          <w:szCs w:val="28"/>
        </w:rPr>
        <w:t>LTC03G &amp; LTC03I</w:t>
      </w:r>
    </w:p>
    <w:p w14:paraId="7A5011BF" w14:textId="77777777" w:rsidR="00E46994" w:rsidRDefault="00E46994" w:rsidP="00513BCA">
      <w:pPr>
        <w:jc w:val="center"/>
        <w:rPr>
          <w:b/>
          <w:sz w:val="28"/>
          <w:szCs w:val="28"/>
        </w:rPr>
      </w:pPr>
    </w:p>
    <w:p w14:paraId="6CC5BC1A" w14:textId="77777777" w:rsidR="00E46994" w:rsidRPr="00103697" w:rsidRDefault="00E46994" w:rsidP="00E46994">
      <w:pPr>
        <w:rPr>
          <w:b/>
          <w:sz w:val="28"/>
          <w:szCs w:val="28"/>
        </w:rPr>
      </w:pPr>
    </w:p>
    <w:tbl>
      <w:tblPr>
        <w:tblpPr w:leftFromText="180" w:rightFromText="180" w:vertAnchor="text" w:horzAnchor="margin" w:tblpY="222"/>
        <w:tblW w:w="1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2310"/>
        <w:gridCol w:w="2090"/>
        <w:gridCol w:w="3190"/>
        <w:gridCol w:w="3624"/>
        <w:gridCol w:w="6"/>
        <w:gridCol w:w="1866"/>
        <w:gridCol w:w="6"/>
        <w:gridCol w:w="13"/>
      </w:tblGrid>
      <w:tr w:rsidR="00754D6B" w14:paraId="7A21AEAE" w14:textId="77777777" w:rsidTr="002109C7">
        <w:trPr>
          <w:gridAfter w:val="2"/>
          <w:wAfter w:w="19" w:type="dxa"/>
          <w:trHeight w:val="1434"/>
        </w:trPr>
        <w:tc>
          <w:tcPr>
            <w:tcW w:w="438" w:type="dxa"/>
            <w:shd w:val="clear" w:color="auto" w:fill="auto"/>
          </w:tcPr>
          <w:p w14:paraId="78CE2B0D" w14:textId="77777777" w:rsidR="00754D6B" w:rsidRPr="002109C7" w:rsidRDefault="00754D6B" w:rsidP="002109C7">
            <w:pPr>
              <w:ind w:left="-110" w:right="-119"/>
              <w:jc w:val="center"/>
              <w:rPr>
                <w:b/>
                <w:sz w:val="8"/>
                <w:szCs w:val="8"/>
              </w:rPr>
            </w:pPr>
          </w:p>
          <w:p w14:paraId="18568A6F" w14:textId="77777777" w:rsidR="008B4A98" w:rsidRPr="002109C7" w:rsidRDefault="008B4A98" w:rsidP="002109C7">
            <w:pPr>
              <w:jc w:val="center"/>
              <w:rPr>
                <w:b/>
                <w:sz w:val="16"/>
                <w:szCs w:val="16"/>
              </w:rPr>
            </w:pPr>
            <w:r w:rsidRPr="002109C7">
              <w:rPr>
                <w:b/>
                <w:sz w:val="16"/>
                <w:szCs w:val="16"/>
              </w:rPr>
              <w:t>S</w:t>
            </w:r>
          </w:p>
          <w:p w14:paraId="4B098FC7" w14:textId="77777777" w:rsidR="000B11F0" w:rsidRPr="002109C7" w:rsidRDefault="000B11F0" w:rsidP="002109C7">
            <w:pPr>
              <w:jc w:val="center"/>
              <w:rPr>
                <w:b/>
                <w:sz w:val="16"/>
                <w:szCs w:val="16"/>
              </w:rPr>
            </w:pPr>
            <w:r w:rsidRPr="002109C7">
              <w:rPr>
                <w:b/>
                <w:sz w:val="16"/>
                <w:szCs w:val="16"/>
              </w:rPr>
              <w:t>E</w:t>
            </w:r>
          </w:p>
          <w:p w14:paraId="48DD9BC3" w14:textId="77777777" w:rsidR="000B11F0" w:rsidRPr="002109C7" w:rsidRDefault="000B11F0" w:rsidP="002109C7">
            <w:pPr>
              <w:jc w:val="center"/>
              <w:rPr>
                <w:b/>
                <w:sz w:val="16"/>
                <w:szCs w:val="16"/>
              </w:rPr>
            </w:pPr>
            <w:r w:rsidRPr="002109C7">
              <w:rPr>
                <w:b/>
                <w:sz w:val="16"/>
                <w:szCs w:val="16"/>
              </w:rPr>
              <w:t>C</w:t>
            </w:r>
          </w:p>
          <w:p w14:paraId="78AD52D7" w14:textId="77777777" w:rsidR="000B11F0" w:rsidRPr="002109C7" w:rsidRDefault="000B11F0" w:rsidP="002109C7">
            <w:pPr>
              <w:jc w:val="center"/>
              <w:rPr>
                <w:b/>
                <w:sz w:val="16"/>
                <w:szCs w:val="16"/>
              </w:rPr>
            </w:pPr>
            <w:r w:rsidRPr="002109C7">
              <w:rPr>
                <w:b/>
                <w:sz w:val="16"/>
                <w:szCs w:val="16"/>
              </w:rPr>
              <w:t>T</w:t>
            </w:r>
          </w:p>
          <w:p w14:paraId="2C4FFB7E" w14:textId="77777777" w:rsidR="000B11F0" w:rsidRPr="002109C7" w:rsidRDefault="000B11F0" w:rsidP="002109C7">
            <w:pPr>
              <w:jc w:val="center"/>
              <w:rPr>
                <w:b/>
                <w:sz w:val="16"/>
                <w:szCs w:val="16"/>
              </w:rPr>
            </w:pPr>
            <w:r w:rsidRPr="002109C7">
              <w:rPr>
                <w:b/>
                <w:sz w:val="16"/>
                <w:szCs w:val="16"/>
              </w:rPr>
              <w:t>I</w:t>
            </w:r>
          </w:p>
          <w:p w14:paraId="136FCE25" w14:textId="77777777" w:rsidR="000B11F0" w:rsidRPr="002109C7" w:rsidRDefault="000B11F0" w:rsidP="002109C7">
            <w:pPr>
              <w:jc w:val="center"/>
              <w:rPr>
                <w:b/>
                <w:sz w:val="16"/>
                <w:szCs w:val="16"/>
              </w:rPr>
            </w:pPr>
            <w:r w:rsidRPr="002109C7">
              <w:rPr>
                <w:b/>
                <w:sz w:val="16"/>
                <w:szCs w:val="16"/>
              </w:rPr>
              <w:t>O</w:t>
            </w:r>
          </w:p>
          <w:p w14:paraId="43440BDA" w14:textId="77777777" w:rsidR="000B11F0" w:rsidRPr="002109C7" w:rsidRDefault="000B11F0" w:rsidP="002109C7">
            <w:pPr>
              <w:jc w:val="center"/>
              <w:rPr>
                <w:b/>
                <w:sz w:val="16"/>
                <w:szCs w:val="16"/>
              </w:rPr>
            </w:pPr>
            <w:r w:rsidRPr="002109C7">
              <w:rPr>
                <w:b/>
                <w:sz w:val="16"/>
                <w:szCs w:val="16"/>
              </w:rPr>
              <w:t>N</w:t>
            </w:r>
          </w:p>
        </w:tc>
        <w:tc>
          <w:tcPr>
            <w:tcW w:w="2310" w:type="dxa"/>
            <w:shd w:val="clear" w:color="auto" w:fill="auto"/>
          </w:tcPr>
          <w:p w14:paraId="24877CB2" w14:textId="77777777" w:rsidR="00754D6B" w:rsidRPr="002109C7" w:rsidRDefault="00754D6B" w:rsidP="002109C7">
            <w:pPr>
              <w:jc w:val="center"/>
              <w:rPr>
                <w:rFonts w:cs="Arial"/>
                <w:b/>
                <w:sz w:val="24"/>
                <w:szCs w:val="24"/>
              </w:rPr>
            </w:pPr>
          </w:p>
          <w:p w14:paraId="7CC76B9D" w14:textId="77777777" w:rsidR="00754D6B" w:rsidRPr="002109C7" w:rsidRDefault="00754D6B" w:rsidP="002109C7">
            <w:pPr>
              <w:jc w:val="center"/>
              <w:rPr>
                <w:rFonts w:cs="Arial"/>
                <w:b/>
                <w:sz w:val="24"/>
                <w:szCs w:val="24"/>
              </w:rPr>
            </w:pPr>
            <w:r w:rsidRPr="002109C7">
              <w:rPr>
                <w:rFonts w:cs="Arial"/>
                <w:b/>
                <w:sz w:val="24"/>
                <w:szCs w:val="24"/>
              </w:rPr>
              <w:t>REVIEW REQUIREMENTS</w:t>
            </w:r>
          </w:p>
          <w:p w14:paraId="097853A9" w14:textId="77777777" w:rsidR="00614914" w:rsidRPr="002109C7" w:rsidRDefault="00614914" w:rsidP="002109C7">
            <w:pPr>
              <w:jc w:val="center"/>
              <w:rPr>
                <w:rFonts w:cs="Arial"/>
              </w:rPr>
            </w:pPr>
            <w:r w:rsidRPr="002109C7">
              <w:rPr>
                <w:rFonts w:cs="Arial"/>
                <w:b/>
              </w:rPr>
              <w:t>(</w:t>
            </w:r>
            <w:hyperlink r:id="rId8" w:history="1">
              <w:r w:rsidRPr="002109C7">
                <w:rPr>
                  <w:rStyle w:val="Hyperlink"/>
                  <w:rFonts w:cs="Arial"/>
                  <w:b/>
                </w:rPr>
                <w:t>RULE 425</w:t>
              </w:r>
            </w:hyperlink>
            <w:r w:rsidRPr="002109C7">
              <w:rPr>
                <w:rFonts w:cs="Arial"/>
                <w:b/>
              </w:rPr>
              <w:t>)</w:t>
            </w:r>
          </w:p>
        </w:tc>
        <w:tc>
          <w:tcPr>
            <w:tcW w:w="2090" w:type="dxa"/>
            <w:shd w:val="clear" w:color="auto" w:fill="auto"/>
          </w:tcPr>
          <w:p w14:paraId="682E23FA" w14:textId="77777777" w:rsidR="00754D6B" w:rsidRPr="002109C7" w:rsidRDefault="00754D6B" w:rsidP="002109C7">
            <w:pPr>
              <w:rPr>
                <w:rFonts w:cs="Arial"/>
                <w:b/>
                <w:snapToGrid w:val="0"/>
                <w:color w:val="000000"/>
                <w:sz w:val="24"/>
                <w:szCs w:val="24"/>
              </w:rPr>
            </w:pPr>
          </w:p>
          <w:p w14:paraId="4D2726C1" w14:textId="77777777" w:rsidR="00035AE5" w:rsidRPr="002109C7" w:rsidRDefault="00035AE5" w:rsidP="002109C7">
            <w:pPr>
              <w:rPr>
                <w:rFonts w:cs="Arial"/>
                <w:b/>
                <w:snapToGrid w:val="0"/>
                <w:color w:val="000000"/>
                <w:sz w:val="24"/>
                <w:szCs w:val="24"/>
              </w:rPr>
            </w:pPr>
          </w:p>
          <w:p w14:paraId="72069A65" w14:textId="77777777" w:rsidR="00754D6B" w:rsidRPr="002109C7" w:rsidRDefault="00754D6B" w:rsidP="002109C7">
            <w:pPr>
              <w:jc w:val="center"/>
              <w:rPr>
                <w:rFonts w:cs="Arial"/>
                <w:b/>
                <w:snapToGrid w:val="0"/>
                <w:color w:val="000000"/>
                <w:sz w:val="24"/>
                <w:szCs w:val="24"/>
              </w:rPr>
            </w:pPr>
            <w:r w:rsidRPr="002109C7">
              <w:rPr>
                <w:rFonts w:cs="Arial"/>
                <w:b/>
                <w:snapToGrid w:val="0"/>
                <w:color w:val="000000"/>
                <w:sz w:val="24"/>
                <w:szCs w:val="24"/>
              </w:rPr>
              <w:t>REFERENCE</w:t>
            </w:r>
          </w:p>
        </w:tc>
        <w:tc>
          <w:tcPr>
            <w:tcW w:w="6814" w:type="dxa"/>
            <w:gridSpan w:val="2"/>
            <w:shd w:val="clear" w:color="auto" w:fill="auto"/>
          </w:tcPr>
          <w:p w14:paraId="025DFE32" w14:textId="77777777" w:rsidR="00035AE5" w:rsidRPr="002109C7" w:rsidRDefault="00035AE5" w:rsidP="00035AE5">
            <w:pPr>
              <w:rPr>
                <w:b/>
                <w:sz w:val="24"/>
                <w:szCs w:val="24"/>
              </w:rPr>
            </w:pPr>
          </w:p>
          <w:p w14:paraId="6AED6E0C" w14:textId="77777777" w:rsidR="00035AE5" w:rsidRPr="002109C7" w:rsidRDefault="00035AE5" w:rsidP="00035AE5">
            <w:pPr>
              <w:rPr>
                <w:b/>
                <w:sz w:val="24"/>
                <w:szCs w:val="24"/>
              </w:rPr>
            </w:pPr>
          </w:p>
          <w:p w14:paraId="31A3B0CF" w14:textId="77777777" w:rsidR="00754D6B" w:rsidRPr="002109C7" w:rsidRDefault="00754D6B" w:rsidP="00035AE5">
            <w:pPr>
              <w:rPr>
                <w:b/>
                <w:sz w:val="24"/>
                <w:szCs w:val="24"/>
              </w:rPr>
            </w:pPr>
            <w:r w:rsidRPr="002109C7">
              <w:rPr>
                <w:b/>
                <w:sz w:val="24"/>
                <w:szCs w:val="24"/>
              </w:rPr>
              <w:t>DESCRIPTION OF REVIEW STANDARDS REQUIREM</w:t>
            </w:r>
            <w:r w:rsidR="00C27D95" w:rsidRPr="002109C7">
              <w:rPr>
                <w:b/>
                <w:sz w:val="24"/>
                <w:szCs w:val="24"/>
              </w:rPr>
              <w:t>ENT</w:t>
            </w:r>
          </w:p>
        </w:tc>
        <w:tc>
          <w:tcPr>
            <w:tcW w:w="1872" w:type="dxa"/>
            <w:gridSpan w:val="2"/>
            <w:shd w:val="clear" w:color="auto" w:fill="auto"/>
          </w:tcPr>
          <w:p w14:paraId="6FC2B5B6" w14:textId="77777777" w:rsidR="005412C5" w:rsidRPr="002109C7" w:rsidRDefault="005412C5" w:rsidP="002109C7">
            <w:pPr>
              <w:ind w:left="-108"/>
              <w:jc w:val="center"/>
              <w:rPr>
                <w:b/>
                <w:sz w:val="16"/>
                <w:szCs w:val="16"/>
              </w:rPr>
            </w:pPr>
          </w:p>
          <w:p w14:paraId="1BC1F005" w14:textId="77777777" w:rsidR="00754D6B" w:rsidRPr="002109C7" w:rsidRDefault="00A51E7D" w:rsidP="002109C7">
            <w:pPr>
              <w:ind w:left="-108"/>
              <w:jc w:val="center"/>
              <w:rPr>
                <w:b/>
                <w:sz w:val="24"/>
                <w:szCs w:val="24"/>
              </w:rPr>
            </w:pPr>
            <w:r w:rsidRPr="002109C7">
              <w:rPr>
                <w:b/>
                <w:sz w:val="24"/>
                <w:szCs w:val="24"/>
              </w:rPr>
              <w:t xml:space="preserve">SPECIFIC </w:t>
            </w:r>
            <w:r w:rsidR="00754D6B" w:rsidRPr="002109C7">
              <w:rPr>
                <w:b/>
                <w:sz w:val="24"/>
                <w:szCs w:val="24"/>
              </w:rPr>
              <w:t>LOCATION OF COMPLIANCE IN FILING</w:t>
            </w:r>
          </w:p>
        </w:tc>
      </w:tr>
      <w:tr w:rsidR="00754D6B" w14:paraId="67FAD2E2" w14:textId="77777777" w:rsidTr="002109C7">
        <w:trPr>
          <w:gridAfter w:val="2"/>
          <w:wAfter w:w="19" w:type="dxa"/>
          <w:trHeight w:val="2509"/>
        </w:trPr>
        <w:tc>
          <w:tcPr>
            <w:tcW w:w="438" w:type="dxa"/>
            <w:shd w:val="clear" w:color="auto" w:fill="auto"/>
          </w:tcPr>
          <w:p w14:paraId="79373242" w14:textId="77777777" w:rsidR="00224EB1" w:rsidRPr="002109C7" w:rsidRDefault="00224EB1" w:rsidP="002109C7">
            <w:pPr>
              <w:ind w:left="-110" w:right="-236"/>
              <w:rPr>
                <w:rFonts w:cs="Arial"/>
                <w:b/>
                <w:sz w:val="6"/>
                <w:szCs w:val="6"/>
              </w:rPr>
            </w:pPr>
          </w:p>
          <w:p w14:paraId="5590014A" w14:textId="77777777" w:rsidR="00754D6B" w:rsidRPr="002109C7" w:rsidRDefault="00754D6B" w:rsidP="002109C7">
            <w:pPr>
              <w:rPr>
                <w:rFonts w:cs="Arial"/>
                <w:b/>
              </w:rPr>
            </w:pPr>
            <w:r w:rsidRPr="002109C7">
              <w:rPr>
                <w:rFonts w:cs="Arial"/>
                <w:b/>
              </w:rPr>
              <w:t>A.</w:t>
            </w:r>
          </w:p>
        </w:tc>
        <w:tc>
          <w:tcPr>
            <w:tcW w:w="2310" w:type="dxa"/>
            <w:shd w:val="clear" w:color="auto" w:fill="auto"/>
          </w:tcPr>
          <w:p w14:paraId="108E62B4" w14:textId="77777777" w:rsidR="00224EB1" w:rsidRPr="002109C7" w:rsidRDefault="00224EB1" w:rsidP="002109C7">
            <w:pPr>
              <w:ind w:left="-109"/>
              <w:rPr>
                <w:rFonts w:cs="Arial"/>
                <w:b/>
                <w:sz w:val="6"/>
                <w:szCs w:val="6"/>
              </w:rPr>
            </w:pPr>
          </w:p>
          <w:p w14:paraId="416D5FAB" w14:textId="77777777" w:rsidR="00754D6B" w:rsidRPr="002109C7" w:rsidRDefault="00224EB1" w:rsidP="002109C7">
            <w:pPr>
              <w:ind w:left="2" w:right="-108"/>
              <w:rPr>
                <w:rFonts w:cs="Arial"/>
                <w:b/>
              </w:rPr>
            </w:pPr>
            <w:r w:rsidRPr="002109C7">
              <w:rPr>
                <w:rFonts w:cs="Arial"/>
                <w:b/>
              </w:rPr>
              <w:t xml:space="preserve">General </w:t>
            </w:r>
            <w:r w:rsidR="003A220F" w:rsidRPr="002109C7">
              <w:rPr>
                <w:rFonts w:cs="Arial"/>
                <w:b/>
                <w:u w:val="single"/>
              </w:rPr>
              <w:t>Initial</w:t>
            </w:r>
            <w:r w:rsidR="003A220F" w:rsidRPr="002109C7">
              <w:rPr>
                <w:rFonts w:cs="Arial"/>
                <w:b/>
              </w:rPr>
              <w:t xml:space="preserve"> </w:t>
            </w:r>
            <w:r w:rsidR="00754D6B" w:rsidRPr="002109C7">
              <w:rPr>
                <w:rFonts w:cs="Arial"/>
                <w:b/>
              </w:rPr>
              <w:t xml:space="preserve">Rate Filing Requirements: </w:t>
            </w:r>
          </w:p>
          <w:p w14:paraId="1BFBF984" w14:textId="77777777" w:rsidR="00754D6B" w:rsidRPr="002109C7" w:rsidRDefault="00754D6B" w:rsidP="002109C7">
            <w:pPr>
              <w:rPr>
                <w:rFonts w:cs="Arial"/>
                <w:sz w:val="20"/>
                <w:szCs w:val="20"/>
              </w:rPr>
            </w:pPr>
          </w:p>
          <w:p w14:paraId="2CA000FD" w14:textId="77777777" w:rsidR="00697BD3" w:rsidRPr="002109C7" w:rsidRDefault="00697BD3" w:rsidP="00795823">
            <w:pPr>
              <w:rPr>
                <w:rFonts w:cs="Arial"/>
                <w:sz w:val="20"/>
                <w:szCs w:val="20"/>
              </w:rPr>
            </w:pPr>
          </w:p>
        </w:tc>
        <w:tc>
          <w:tcPr>
            <w:tcW w:w="2090" w:type="dxa"/>
            <w:shd w:val="clear" w:color="auto" w:fill="auto"/>
          </w:tcPr>
          <w:p w14:paraId="1152C10E" w14:textId="77777777" w:rsidR="00697BD3" w:rsidRPr="002109C7" w:rsidRDefault="00F20663" w:rsidP="002109C7">
            <w:pPr>
              <w:pStyle w:val="NormalWeb"/>
              <w:ind w:left="-108" w:right="-102"/>
              <w:rPr>
                <w:rFonts w:ascii="Arial" w:hAnsi="Arial" w:cs="Arial"/>
                <w:sz w:val="22"/>
                <w:szCs w:val="22"/>
              </w:rPr>
            </w:pPr>
            <w:hyperlink r:id="rId9" w:history="1">
              <w:r w:rsidR="00C31B0B" w:rsidRPr="002109C7">
                <w:rPr>
                  <w:rStyle w:val="Hyperlink"/>
                  <w:rFonts w:ascii="Arial" w:hAnsi="Arial" w:cs="Arial"/>
                  <w:sz w:val="20"/>
                  <w:szCs w:val="20"/>
                </w:rPr>
                <w:t>24-A M.R.S.A.</w:t>
              </w:r>
              <w:r w:rsidR="00CF7AED" w:rsidRPr="002109C7">
                <w:rPr>
                  <w:rStyle w:val="Hyperlink"/>
                  <w:rFonts w:ascii="Arial" w:hAnsi="Arial" w:cs="Arial"/>
                  <w:sz w:val="20"/>
                  <w:szCs w:val="20"/>
                </w:rPr>
                <w:t xml:space="preserve"> §2736</w:t>
              </w:r>
            </w:hyperlink>
            <w:r w:rsidR="003B7589" w:rsidRPr="002109C7">
              <w:rPr>
                <w:rFonts w:ascii="Arial" w:hAnsi="Arial" w:cs="Arial"/>
                <w:sz w:val="20"/>
                <w:szCs w:val="20"/>
              </w:rPr>
              <w:t>,</w:t>
            </w:r>
            <w:r w:rsidR="009A7451" w:rsidRPr="002109C7">
              <w:rPr>
                <w:rFonts w:ascii="Arial" w:hAnsi="Arial" w:cs="Arial"/>
                <w:sz w:val="20"/>
                <w:szCs w:val="20"/>
              </w:rPr>
              <w:t xml:space="preserve"> </w:t>
            </w:r>
            <w:hyperlink r:id="rId10" w:history="1">
              <w:r w:rsidR="009A7451" w:rsidRPr="002109C7">
                <w:rPr>
                  <w:rStyle w:val="Hyperlink"/>
                  <w:rFonts w:ascii="Arial" w:hAnsi="Arial" w:cs="Arial"/>
                  <w:sz w:val="20"/>
                  <w:szCs w:val="20"/>
                </w:rPr>
                <w:t>24-A</w:t>
              </w:r>
              <w:r w:rsidR="00C31B0B" w:rsidRPr="002109C7">
                <w:rPr>
                  <w:rStyle w:val="Hyperlink"/>
                  <w:rFonts w:ascii="Arial" w:hAnsi="Arial" w:cs="Arial"/>
                  <w:sz w:val="20"/>
                  <w:szCs w:val="20"/>
                </w:rPr>
                <w:t xml:space="preserve"> M.R.S.A.</w:t>
              </w:r>
              <w:r w:rsidR="009A7451" w:rsidRPr="002109C7">
                <w:rPr>
                  <w:rStyle w:val="Hyperlink"/>
                  <w:rFonts w:ascii="Arial" w:hAnsi="Arial" w:cs="Arial"/>
                  <w:sz w:val="20"/>
                  <w:szCs w:val="20"/>
                </w:rPr>
                <w:t xml:space="preserve"> §</w:t>
              </w:r>
              <w:r w:rsidR="000F636D" w:rsidRPr="002109C7">
                <w:rPr>
                  <w:rStyle w:val="Hyperlink"/>
                  <w:rFonts w:ascii="Arial" w:hAnsi="Arial" w:cs="Arial"/>
                  <w:sz w:val="20"/>
                  <w:szCs w:val="20"/>
                </w:rPr>
                <w:t xml:space="preserve"> </w:t>
              </w:r>
              <w:r w:rsidR="00B56C97" w:rsidRPr="002109C7">
                <w:rPr>
                  <w:rStyle w:val="Hyperlink"/>
                  <w:rFonts w:ascii="Arial" w:hAnsi="Arial" w:cs="Arial"/>
                  <w:sz w:val="20"/>
                  <w:szCs w:val="20"/>
                </w:rPr>
                <w:t>2701,</w:t>
              </w:r>
              <w:r w:rsidR="00C31B0B" w:rsidRPr="002109C7">
                <w:rPr>
                  <w:rStyle w:val="Hyperlink"/>
                  <w:rFonts w:ascii="Arial" w:hAnsi="Arial" w:cs="Arial"/>
                  <w:sz w:val="20"/>
                  <w:szCs w:val="20"/>
                </w:rPr>
                <w:t xml:space="preserve">                      </w:t>
              </w:r>
              <w:r w:rsidR="00B56C97" w:rsidRPr="002109C7">
                <w:rPr>
                  <w:rStyle w:val="Hyperlink"/>
                  <w:rFonts w:ascii="Arial" w:hAnsi="Arial" w:cs="Arial"/>
                  <w:sz w:val="20"/>
                  <w:szCs w:val="20"/>
                </w:rPr>
                <w:t xml:space="preserve">       </w:t>
              </w:r>
              <w:r w:rsidR="009A7451" w:rsidRPr="002109C7">
                <w:rPr>
                  <w:rStyle w:val="Hyperlink"/>
                  <w:rFonts w:ascii="Arial" w:hAnsi="Arial" w:cs="Arial"/>
                  <w:sz w:val="20"/>
                  <w:szCs w:val="20"/>
                </w:rPr>
                <w:t>2.A.</w:t>
              </w:r>
              <w:r w:rsidR="005749C9" w:rsidRPr="002109C7">
                <w:rPr>
                  <w:rStyle w:val="Hyperlink"/>
                  <w:rFonts w:ascii="Arial" w:hAnsi="Arial" w:cs="Arial"/>
                  <w:sz w:val="20"/>
                  <w:szCs w:val="20"/>
                </w:rPr>
                <w:t>,</w:t>
              </w:r>
            </w:hyperlink>
            <w:r w:rsidR="009A7451" w:rsidRPr="002109C7">
              <w:rPr>
                <w:rFonts w:ascii="Arial" w:hAnsi="Arial" w:cs="Arial"/>
                <w:sz w:val="20"/>
                <w:szCs w:val="20"/>
              </w:rPr>
              <w:t xml:space="preserve"> </w:t>
            </w:r>
            <w:r w:rsidR="00896723" w:rsidRPr="002109C7">
              <w:rPr>
                <w:rFonts w:ascii="Arial" w:hAnsi="Arial" w:cs="Arial"/>
                <w:sz w:val="20"/>
                <w:szCs w:val="20"/>
              </w:rPr>
              <w:t xml:space="preserve"> </w:t>
            </w:r>
            <w:r w:rsidR="009A7451" w:rsidRPr="002109C7">
              <w:rPr>
                <w:rFonts w:ascii="Arial" w:hAnsi="Arial" w:cs="Arial"/>
                <w:sz w:val="20"/>
                <w:szCs w:val="20"/>
              </w:rPr>
              <w:t>&amp;</w:t>
            </w:r>
            <w:r w:rsidR="00C31B0B" w:rsidRPr="002109C7">
              <w:rPr>
                <w:rFonts w:ascii="Arial" w:hAnsi="Arial" w:cs="Arial"/>
                <w:sz w:val="20"/>
                <w:szCs w:val="20"/>
              </w:rPr>
              <w:t xml:space="preserve">                             </w:t>
            </w:r>
            <w:hyperlink r:id="rId11" w:history="1">
              <w:r w:rsidR="00C31B0B" w:rsidRPr="002109C7">
                <w:rPr>
                  <w:rStyle w:val="Hyperlink"/>
                  <w:rFonts w:ascii="Arial" w:hAnsi="Arial" w:cs="Arial"/>
                  <w:sz w:val="20"/>
                  <w:szCs w:val="20"/>
                </w:rPr>
                <w:t>24-A M.R.S.A.</w:t>
              </w:r>
              <w:r w:rsidR="009A7451" w:rsidRPr="002109C7">
                <w:rPr>
                  <w:rStyle w:val="Hyperlink"/>
                  <w:rFonts w:ascii="Arial" w:hAnsi="Arial" w:cs="Arial"/>
                  <w:sz w:val="20"/>
                  <w:szCs w:val="20"/>
                </w:rPr>
                <w:t xml:space="preserve"> §</w:t>
              </w:r>
              <w:r w:rsidR="000F636D" w:rsidRPr="002109C7">
                <w:rPr>
                  <w:rStyle w:val="Hyperlink"/>
                  <w:rFonts w:ascii="Arial" w:hAnsi="Arial" w:cs="Arial"/>
                  <w:sz w:val="20"/>
                  <w:szCs w:val="20"/>
                </w:rPr>
                <w:t xml:space="preserve"> </w:t>
              </w:r>
              <w:r w:rsidR="009A7451" w:rsidRPr="002109C7">
                <w:rPr>
                  <w:rStyle w:val="Hyperlink"/>
                  <w:rFonts w:ascii="Arial" w:hAnsi="Arial" w:cs="Arial"/>
                  <w:sz w:val="20"/>
                  <w:szCs w:val="20"/>
                </w:rPr>
                <w:t>2839</w:t>
              </w:r>
            </w:hyperlink>
          </w:p>
        </w:tc>
        <w:tc>
          <w:tcPr>
            <w:tcW w:w="6814" w:type="dxa"/>
            <w:gridSpan w:val="2"/>
            <w:shd w:val="clear" w:color="auto" w:fill="auto"/>
          </w:tcPr>
          <w:p w14:paraId="2EC4F314" w14:textId="77777777" w:rsidR="005E7ADB" w:rsidRPr="002109C7" w:rsidRDefault="005E7ADB" w:rsidP="008270A0">
            <w:pPr>
              <w:rPr>
                <w:b/>
                <w:sz w:val="4"/>
                <w:szCs w:val="4"/>
              </w:rPr>
            </w:pPr>
          </w:p>
          <w:p w14:paraId="54AE1A8F" w14:textId="77777777" w:rsidR="00E46994" w:rsidRPr="002109C7" w:rsidRDefault="008270A0" w:rsidP="002109C7">
            <w:pPr>
              <w:rPr>
                <w:b/>
                <w:sz w:val="20"/>
                <w:szCs w:val="20"/>
              </w:rPr>
            </w:pPr>
            <w:r w:rsidRPr="002109C7">
              <w:rPr>
                <w:b/>
                <w:sz w:val="20"/>
                <w:szCs w:val="20"/>
              </w:rPr>
              <w:t xml:space="preserve">Notice: This “Rule 425” </w:t>
            </w:r>
            <w:r w:rsidRPr="002109C7">
              <w:rPr>
                <w:b/>
                <w:sz w:val="20"/>
                <w:szCs w:val="20"/>
                <w:u w:val="single"/>
              </w:rPr>
              <w:t>Initial</w:t>
            </w:r>
            <w:r w:rsidRPr="002109C7">
              <w:rPr>
                <w:b/>
                <w:sz w:val="20"/>
                <w:szCs w:val="20"/>
              </w:rPr>
              <w:t xml:space="preserve"> rate filing checklist applies to </w:t>
            </w:r>
            <w:r w:rsidRPr="002109C7">
              <w:rPr>
                <w:b/>
                <w:i/>
                <w:sz w:val="20"/>
                <w:szCs w:val="20"/>
              </w:rPr>
              <w:t>all</w:t>
            </w:r>
            <w:r w:rsidRPr="002109C7">
              <w:rPr>
                <w:b/>
                <w:sz w:val="20"/>
                <w:szCs w:val="20"/>
              </w:rPr>
              <w:t xml:space="preserve"> </w:t>
            </w:r>
            <w:r w:rsidRPr="002109C7">
              <w:rPr>
                <w:b/>
                <w:i/>
                <w:sz w:val="20"/>
                <w:szCs w:val="20"/>
              </w:rPr>
              <w:t xml:space="preserve">initial </w:t>
            </w:r>
            <w:r w:rsidRPr="002109C7">
              <w:rPr>
                <w:b/>
                <w:sz w:val="20"/>
                <w:szCs w:val="20"/>
              </w:rPr>
              <w:t>rate filings for LTC policies issued on and after October 1, 2004</w:t>
            </w:r>
            <w:r w:rsidR="000D0890" w:rsidRPr="002109C7">
              <w:rPr>
                <w:b/>
                <w:sz w:val="20"/>
                <w:szCs w:val="20"/>
              </w:rPr>
              <w:t xml:space="preserve">, </w:t>
            </w:r>
            <w:r w:rsidR="000D0890" w:rsidRPr="002109C7">
              <w:rPr>
                <w:b/>
                <w:i/>
                <w:sz w:val="20"/>
                <w:szCs w:val="20"/>
              </w:rPr>
              <w:t>for new forms</w:t>
            </w:r>
            <w:r w:rsidRPr="002109C7">
              <w:rPr>
                <w:b/>
                <w:sz w:val="20"/>
                <w:szCs w:val="20"/>
              </w:rPr>
              <w:t>.</w:t>
            </w:r>
          </w:p>
          <w:p w14:paraId="363DC70D" w14:textId="77777777" w:rsidR="008270A0" w:rsidRPr="002109C7" w:rsidRDefault="008270A0" w:rsidP="002109C7">
            <w:pPr>
              <w:ind w:left="-108"/>
              <w:rPr>
                <w:sz w:val="8"/>
                <w:szCs w:val="8"/>
              </w:rPr>
            </w:pPr>
          </w:p>
          <w:p w14:paraId="7B0A1529" w14:textId="77777777" w:rsidR="00AD6044" w:rsidRPr="002109C7" w:rsidRDefault="00754D6B" w:rsidP="002109C7">
            <w:pPr>
              <w:ind w:left="2"/>
              <w:rPr>
                <w:sz w:val="20"/>
                <w:szCs w:val="20"/>
              </w:rPr>
            </w:pPr>
            <w:r w:rsidRPr="002109C7">
              <w:rPr>
                <w:sz w:val="20"/>
                <w:szCs w:val="20"/>
              </w:rPr>
              <w:t>A</w:t>
            </w:r>
            <w:r w:rsidR="00324A6A" w:rsidRPr="002109C7">
              <w:rPr>
                <w:sz w:val="20"/>
                <w:szCs w:val="20"/>
              </w:rPr>
              <w:t xml:space="preserve"> </w:t>
            </w:r>
            <w:r w:rsidRPr="002109C7">
              <w:rPr>
                <w:sz w:val="20"/>
                <w:szCs w:val="20"/>
              </w:rPr>
              <w:t xml:space="preserve">Long Term Care insurance policy rate filing must be submitted whenever a new policy, rider, or endorsement form that affects benefits is submitted for </w:t>
            </w:r>
            <w:r w:rsidR="005E7ADB" w:rsidRPr="002109C7">
              <w:rPr>
                <w:sz w:val="20"/>
                <w:szCs w:val="20"/>
              </w:rPr>
              <w:t xml:space="preserve">approval. Rates </w:t>
            </w:r>
            <w:r w:rsidR="00AD6044" w:rsidRPr="002109C7">
              <w:rPr>
                <w:sz w:val="20"/>
                <w:szCs w:val="20"/>
              </w:rPr>
              <w:t>must be filed with the form rather than separately</w:t>
            </w:r>
            <w:r w:rsidR="000A4DE2" w:rsidRPr="002109C7">
              <w:rPr>
                <w:sz w:val="20"/>
                <w:szCs w:val="20"/>
              </w:rPr>
              <w:t xml:space="preserve">.  </w:t>
            </w:r>
            <w:r w:rsidR="00AD6044" w:rsidRPr="002109C7">
              <w:rPr>
                <w:sz w:val="20"/>
                <w:szCs w:val="20"/>
              </w:rPr>
              <w:t xml:space="preserve">The rate filing must include all </w:t>
            </w:r>
            <w:r w:rsidR="008270A0" w:rsidRPr="002109C7">
              <w:rPr>
                <w:sz w:val="20"/>
                <w:szCs w:val="20"/>
              </w:rPr>
              <w:t>initial rates</w:t>
            </w:r>
            <w:r w:rsidR="008F2AAA" w:rsidRPr="002109C7">
              <w:rPr>
                <w:sz w:val="20"/>
                <w:szCs w:val="20"/>
              </w:rPr>
              <w:t xml:space="preserve"> and</w:t>
            </w:r>
            <w:r w:rsidR="008270A0" w:rsidRPr="002109C7">
              <w:rPr>
                <w:sz w:val="20"/>
                <w:szCs w:val="20"/>
              </w:rPr>
              <w:t xml:space="preserve"> </w:t>
            </w:r>
            <w:r w:rsidR="00AD6044" w:rsidRPr="002109C7">
              <w:rPr>
                <w:sz w:val="20"/>
                <w:szCs w:val="20"/>
              </w:rPr>
              <w:t>rating formulas</w:t>
            </w:r>
            <w:r w:rsidR="00AD6044" w:rsidRPr="002109C7">
              <w:rPr>
                <w:color w:val="FF00FF"/>
                <w:sz w:val="20"/>
                <w:szCs w:val="20"/>
              </w:rPr>
              <w:t>.</w:t>
            </w:r>
            <w:r w:rsidR="00AD6044" w:rsidRPr="002109C7">
              <w:rPr>
                <w:sz w:val="20"/>
                <w:szCs w:val="20"/>
              </w:rPr>
              <w:t xml:space="preserve">  </w:t>
            </w:r>
          </w:p>
          <w:p w14:paraId="4CDAC51F" w14:textId="77777777" w:rsidR="00E46994" w:rsidRPr="002109C7" w:rsidRDefault="00E46994" w:rsidP="002109C7">
            <w:pPr>
              <w:ind w:left="-108"/>
              <w:rPr>
                <w:sz w:val="6"/>
                <w:szCs w:val="6"/>
              </w:rPr>
            </w:pPr>
          </w:p>
          <w:p w14:paraId="7FC92095" w14:textId="77777777" w:rsidR="00B56C97" w:rsidRPr="002109C7" w:rsidRDefault="00B20E5A" w:rsidP="002109C7">
            <w:pPr>
              <w:rPr>
                <w:rFonts w:cs="Arial"/>
                <w:sz w:val="20"/>
                <w:szCs w:val="20"/>
              </w:rPr>
            </w:pPr>
            <w:r w:rsidRPr="002109C7">
              <w:rPr>
                <w:rFonts w:cs="Arial"/>
                <w:sz w:val="20"/>
                <w:szCs w:val="20"/>
              </w:rPr>
              <w:t>The filing must be clearly identified as either a group or an individual rate filing.</w:t>
            </w:r>
          </w:p>
          <w:p w14:paraId="61F3EAAA" w14:textId="77777777" w:rsidR="00E46994" w:rsidRPr="002109C7" w:rsidRDefault="00E46994" w:rsidP="002109C7">
            <w:pPr>
              <w:ind w:left="-108"/>
              <w:rPr>
                <w:rFonts w:cs="Arial"/>
                <w:color w:val="FF0000"/>
                <w:sz w:val="6"/>
                <w:szCs w:val="6"/>
              </w:rPr>
            </w:pPr>
          </w:p>
          <w:p w14:paraId="657E6362" w14:textId="77777777" w:rsidR="005E7ADB" w:rsidRPr="002109C7" w:rsidRDefault="00B56C97" w:rsidP="00E46994">
            <w:pPr>
              <w:rPr>
                <w:rFonts w:cs="Arial"/>
                <w:sz w:val="6"/>
                <w:szCs w:val="6"/>
              </w:rPr>
            </w:pPr>
            <w:r w:rsidRPr="002109C7">
              <w:rPr>
                <w:rFonts w:cs="Arial"/>
                <w:sz w:val="20"/>
                <w:szCs w:val="20"/>
              </w:rPr>
              <w:t>The Superintendent may request additional information as necessar</w:t>
            </w:r>
            <w:r w:rsidR="0017789A" w:rsidRPr="002109C7">
              <w:rPr>
                <w:rFonts w:cs="Arial"/>
                <w:sz w:val="16"/>
                <w:szCs w:val="16"/>
              </w:rPr>
              <w:t>y.</w:t>
            </w:r>
          </w:p>
        </w:tc>
        <w:tc>
          <w:tcPr>
            <w:tcW w:w="1872" w:type="dxa"/>
            <w:gridSpan w:val="2"/>
            <w:shd w:val="pct15" w:color="auto" w:fill="auto"/>
          </w:tcPr>
          <w:p w14:paraId="3CB78875" w14:textId="77777777" w:rsidR="00E36E2C" w:rsidRPr="002109C7" w:rsidRDefault="00E36E2C" w:rsidP="002109C7">
            <w:pPr>
              <w:rPr>
                <w:color w:val="008000"/>
                <w:sz w:val="20"/>
                <w:szCs w:val="20"/>
              </w:rPr>
            </w:pPr>
          </w:p>
        </w:tc>
      </w:tr>
      <w:tr w:rsidR="00754D6B" w14:paraId="5B42ECC3" w14:textId="77777777" w:rsidTr="002109C7">
        <w:trPr>
          <w:gridAfter w:val="2"/>
          <w:wAfter w:w="19" w:type="dxa"/>
          <w:trHeight w:val="1214"/>
        </w:trPr>
        <w:tc>
          <w:tcPr>
            <w:tcW w:w="438" w:type="dxa"/>
            <w:shd w:val="clear" w:color="auto" w:fill="auto"/>
          </w:tcPr>
          <w:p w14:paraId="1C7914E6" w14:textId="77777777" w:rsidR="00502CA9" w:rsidRPr="002109C7" w:rsidRDefault="00502CA9" w:rsidP="002109C7">
            <w:pPr>
              <w:ind w:left="-110"/>
              <w:rPr>
                <w:rFonts w:cs="Arial"/>
                <w:b/>
                <w:sz w:val="6"/>
                <w:szCs w:val="6"/>
              </w:rPr>
            </w:pPr>
          </w:p>
          <w:p w14:paraId="6C238B80" w14:textId="77777777" w:rsidR="00754D6B" w:rsidRPr="002109C7" w:rsidRDefault="00754D6B" w:rsidP="002109C7">
            <w:pPr>
              <w:rPr>
                <w:rFonts w:cs="Arial"/>
                <w:b/>
              </w:rPr>
            </w:pPr>
            <w:r w:rsidRPr="002109C7">
              <w:rPr>
                <w:rFonts w:cs="Arial"/>
                <w:b/>
              </w:rPr>
              <w:t>B.</w:t>
            </w:r>
          </w:p>
        </w:tc>
        <w:tc>
          <w:tcPr>
            <w:tcW w:w="2310" w:type="dxa"/>
            <w:shd w:val="clear" w:color="auto" w:fill="auto"/>
          </w:tcPr>
          <w:p w14:paraId="2AABA670" w14:textId="77777777" w:rsidR="00224EB1" w:rsidRPr="002109C7" w:rsidRDefault="00224EB1" w:rsidP="002109C7">
            <w:pPr>
              <w:ind w:left="-108"/>
              <w:rPr>
                <w:rFonts w:cs="Arial"/>
                <w:b/>
                <w:sz w:val="6"/>
                <w:szCs w:val="6"/>
              </w:rPr>
            </w:pPr>
          </w:p>
          <w:p w14:paraId="161CD0C3" w14:textId="77777777" w:rsidR="00754D6B" w:rsidRPr="002109C7" w:rsidRDefault="00B20E5A" w:rsidP="002109C7">
            <w:pPr>
              <w:ind w:right="-108"/>
              <w:rPr>
                <w:rFonts w:cs="Arial"/>
                <w:b/>
              </w:rPr>
            </w:pPr>
            <w:r w:rsidRPr="002109C7">
              <w:rPr>
                <w:rFonts w:cs="Arial"/>
                <w:b/>
              </w:rPr>
              <w:t xml:space="preserve">Electronic (SERFF) </w:t>
            </w:r>
            <w:r w:rsidR="00754D6B" w:rsidRPr="002109C7">
              <w:rPr>
                <w:rFonts w:cs="Arial"/>
                <w:b/>
              </w:rPr>
              <w:t>Filing Requirements:</w:t>
            </w:r>
          </w:p>
        </w:tc>
        <w:tc>
          <w:tcPr>
            <w:tcW w:w="2090" w:type="dxa"/>
            <w:shd w:val="clear" w:color="auto" w:fill="auto"/>
          </w:tcPr>
          <w:p w14:paraId="6A81738C" w14:textId="77777777" w:rsidR="005E7ADB" w:rsidRPr="002109C7" w:rsidRDefault="005E7ADB" w:rsidP="002109C7">
            <w:pPr>
              <w:ind w:left="-108"/>
              <w:rPr>
                <w:rFonts w:cs="Arial"/>
                <w:sz w:val="4"/>
                <w:szCs w:val="4"/>
              </w:rPr>
            </w:pPr>
          </w:p>
          <w:p w14:paraId="033AB03C" w14:textId="77777777" w:rsidR="00B56C97" w:rsidRPr="002109C7" w:rsidRDefault="00F20663" w:rsidP="002109C7">
            <w:pPr>
              <w:ind w:left="-108"/>
              <w:rPr>
                <w:sz w:val="20"/>
                <w:szCs w:val="20"/>
              </w:rPr>
            </w:pPr>
            <w:hyperlink r:id="rId12" w:history="1">
              <w:r w:rsidR="00DC43CB" w:rsidRPr="002109C7">
                <w:rPr>
                  <w:rStyle w:val="Hyperlink"/>
                  <w:rFonts w:cs="Arial"/>
                  <w:sz w:val="20"/>
                  <w:szCs w:val="20"/>
                </w:rPr>
                <w:t>24-A M.R.S.A. §2736</w:t>
              </w:r>
            </w:hyperlink>
            <w:r w:rsidR="00DC43CB" w:rsidRPr="002109C7">
              <w:rPr>
                <w:rFonts w:cs="Arial"/>
                <w:sz w:val="20"/>
                <w:szCs w:val="20"/>
              </w:rPr>
              <w:t xml:space="preserve">, </w:t>
            </w:r>
          </w:p>
          <w:p w14:paraId="7D879043" w14:textId="77777777" w:rsidR="00B56C97" w:rsidRPr="002109C7" w:rsidRDefault="00B56C97" w:rsidP="008270A0">
            <w:pPr>
              <w:rPr>
                <w:rFonts w:cs="Arial"/>
                <w:sz w:val="20"/>
                <w:szCs w:val="20"/>
              </w:rPr>
            </w:pPr>
          </w:p>
          <w:p w14:paraId="54B64976" w14:textId="77777777" w:rsidR="00405EBD" w:rsidRPr="002109C7" w:rsidRDefault="00405EBD" w:rsidP="002109C7">
            <w:pPr>
              <w:ind w:left="-108"/>
              <w:rPr>
                <w:sz w:val="8"/>
                <w:szCs w:val="8"/>
              </w:rPr>
            </w:pPr>
          </w:p>
        </w:tc>
        <w:tc>
          <w:tcPr>
            <w:tcW w:w="6814" w:type="dxa"/>
            <w:gridSpan w:val="2"/>
            <w:shd w:val="clear" w:color="auto" w:fill="auto"/>
          </w:tcPr>
          <w:p w14:paraId="702D0CA8" w14:textId="77777777" w:rsidR="005E7ADB" w:rsidRPr="002109C7" w:rsidRDefault="005E7ADB" w:rsidP="002109C7">
            <w:pPr>
              <w:ind w:left="-108"/>
              <w:rPr>
                <w:sz w:val="4"/>
                <w:szCs w:val="4"/>
              </w:rPr>
            </w:pPr>
          </w:p>
          <w:p w14:paraId="0B4B6C3D" w14:textId="77777777" w:rsidR="00405EBD" w:rsidRPr="002109C7" w:rsidRDefault="00D874AC" w:rsidP="00B20E5A">
            <w:pPr>
              <w:rPr>
                <w:sz w:val="20"/>
                <w:szCs w:val="20"/>
              </w:rPr>
            </w:pPr>
            <w:r w:rsidRPr="002109C7">
              <w:rPr>
                <w:sz w:val="20"/>
                <w:szCs w:val="20"/>
              </w:rPr>
              <w:t>A</w:t>
            </w:r>
            <w:r w:rsidR="000B1DE5" w:rsidRPr="002109C7">
              <w:rPr>
                <w:sz w:val="20"/>
                <w:szCs w:val="20"/>
              </w:rPr>
              <w:t xml:space="preserve">ll </w:t>
            </w:r>
            <w:r w:rsidR="008270A0" w:rsidRPr="002109C7">
              <w:rPr>
                <w:sz w:val="20"/>
                <w:szCs w:val="20"/>
              </w:rPr>
              <w:t xml:space="preserve">filings </w:t>
            </w:r>
            <w:r w:rsidR="000B1DE5" w:rsidRPr="002109C7">
              <w:rPr>
                <w:sz w:val="20"/>
                <w:szCs w:val="20"/>
              </w:rPr>
              <w:t>must be filed electronically, using the NAIC System for Electronic Rate and Form Filing (SERFF)</w:t>
            </w:r>
            <w:r w:rsidR="00405EBD" w:rsidRPr="002109C7">
              <w:rPr>
                <w:sz w:val="20"/>
                <w:szCs w:val="20"/>
              </w:rPr>
              <w:t>.</w:t>
            </w:r>
          </w:p>
          <w:p w14:paraId="67842684" w14:textId="77777777" w:rsidR="001A4D84" w:rsidRPr="002109C7" w:rsidRDefault="001A4D84" w:rsidP="002109C7">
            <w:pPr>
              <w:ind w:left="-108"/>
              <w:rPr>
                <w:sz w:val="6"/>
                <w:szCs w:val="6"/>
              </w:rPr>
            </w:pPr>
          </w:p>
          <w:p w14:paraId="53C6854C" w14:textId="77777777" w:rsidR="00E46994" w:rsidRPr="002109C7" w:rsidRDefault="00B20E5A" w:rsidP="008270A0">
            <w:pPr>
              <w:rPr>
                <w:rFonts w:cs="Arial"/>
                <w:sz w:val="20"/>
                <w:szCs w:val="20"/>
              </w:rPr>
            </w:pPr>
            <w:r w:rsidRPr="002109C7">
              <w:rPr>
                <w:sz w:val="20"/>
                <w:szCs w:val="20"/>
              </w:rPr>
              <w:t>See</w:t>
            </w:r>
            <w:r w:rsidR="00405EBD" w:rsidRPr="002109C7">
              <w:rPr>
                <w:sz w:val="20"/>
                <w:szCs w:val="20"/>
              </w:rPr>
              <w:t>:</w:t>
            </w:r>
            <w:r w:rsidRPr="002109C7">
              <w:rPr>
                <w:sz w:val="20"/>
                <w:szCs w:val="20"/>
              </w:rPr>
              <w:t xml:space="preserve"> </w:t>
            </w:r>
            <w:hyperlink r:id="rId13" w:history="1">
              <w:r w:rsidRPr="002109C7">
                <w:rPr>
                  <w:rStyle w:val="Hyperlink"/>
                  <w:sz w:val="20"/>
                  <w:szCs w:val="20"/>
                </w:rPr>
                <w:t>http://www.serff.com</w:t>
              </w:r>
            </w:hyperlink>
            <w:r w:rsidRPr="002109C7">
              <w:rPr>
                <w:sz w:val="20"/>
                <w:szCs w:val="20"/>
              </w:rPr>
              <w:t>.</w:t>
            </w:r>
            <w:r w:rsidR="008270A0" w:rsidRPr="002109C7">
              <w:rPr>
                <w:rFonts w:cs="Arial"/>
                <w:sz w:val="20"/>
                <w:szCs w:val="20"/>
              </w:rPr>
              <w:t>If the filing is found to be in compliance with the applicable requirements, the SERFF record will show the rates to be “Approved,” and the record will be closed.</w:t>
            </w:r>
          </w:p>
          <w:p w14:paraId="01F48B4E" w14:textId="77777777" w:rsidR="00E46994" w:rsidRPr="002109C7" w:rsidRDefault="00E46994" w:rsidP="002109C7">
            <w:pPr>
              <w:ind w:left="-108"/>
              <w:rPr>
                <w:rFonts w:cs="Arial"/>
                <w:sz w:val="6"/>
                <w:szCs w:val="6"/>
              </w:rPr>
            </w:pPr>
          </w:p>
        </w:tc>
        <w:tc>
          <w:tcPr>
            <w:tcW w:w="1872" w:type="dxa"/>
            <w:gridSpan w:val="2"/>
            <w:shd w:val="pct15" w:color="auto" w:fill="auto"/>
          </w:tcPr>
          <w:p w14:paraId="1D90E8E2" w14:textId="77777777" w:rsidR="005F7668" w:rsidRPr="002109C7" w:rsidRDefault="005F7668" w:rsidP="002109C7">
            <w:pPr>
              <w:rPr>
                <w:color w:val="FF6600"/>
                <w:sz w:val="20"/>
                <w:szCs w:val="20"/>
              </w:rPr>
            </w:pPr>
          </w:p>
        </w:tc>
      </w:tr>
      <w:tr w:rsidR="002C347B" w14:paraId="1F22EE27" w14:textId="77777777" w:rsidTr="002109C7">
        <w:trPr>
          <w:trHeight w:val="157"/>
        </w:trPr>
        <w:tc>
          <w:tcPr>
            <w:tcW w:w="438" w:type="dxa"/>
            <w:shd w:val="clear" w:color="auto" w:fill="auto"/>
          </w:tcPr>
          <w:p w14:paraId="3181CA56" w14:textId="77777777" w:rsidR="00D1076E" w:rsidRPr="002109C7" w:rsidRDefault="00D1076E" w:rsidP="002109C7">
            <w:pPr>
              <w:tabs>
                <w:tab w:val="left" w:pos="332"/>
              </w:tabs>
              <w:ind w:left="-110"/>
              <w:rPr>
                <w:rFonts w:cs="Arial"/>
                <w:b/>
                <w:sz w:val="4"/>
                <w:szCs w:val="4"/>
              </w:rPr>
            </w:pPr>
          </w:p>
          <w:p w14:paraId="5B3C0262" w14:textId="77777777" w:rsidR="002C347B" w:rsidRPr="002109C7" w:rsidRDefault="002C347B" w:rsidP="002109C7">
            <w:pPr>
              <w:tabs>
                <w:tab w:val="left" w:pos="332"/>
              </w:tabs>
              <w:rPr>
                <w:rFonts w:cs="Arial"/>
                <w:b/>
              </w:rPr>
            </w:pPr>
            <w:r w:rsidRPr="002109C7">
              <w:rPr>
                <w:rFonts w:cs="Arial"/>
                <w:b/>
              </w:rPr>
              <w:t>C.</w:t>
            </w:r>
          </w:p>
          <w:p w14:paraId="28344BD6" w14:textId="77777777" w:rsidR="00224EB1" w:rsidRPr="002109C7" w:rsidRDefault="00224EB1" w:rsidP="002109C7">
            <w:pPr>
              <w:tabs>
                <w:tab w:val="left" w:pos="332"/>
              </w:tabs>
              <w:ind w:left="-110"/>
              <w:rPr>
                <w:rFonts w:cs="Arial"/>
                <w:b/>
                <w:sz w:val="4"/>
                <w:szCs w:val="4"/>
              </w:rPr>
            </w:pPr>
          </w:p>
        </w:tc>
        <w:tc>
          <w:tcPr>
            <w:tcW w:w="13105" w:type="dxa"/>
            <w:gridSpan w:val="8"/>
            <w:shd w:val="clear" w:color="auto" w:fill="auto"/>
          </w:tcPr>
          <w:p w14:paraId="794E093C" w14:textId="77777777" w:rsidR="002C347B" w:rsidRPr="002109C7" w:rsidRDefault="002C347B" w:rsidP="002109C7">
            <w:pPr>
              <w:ind w:left="-108"/>
              <w:rPr>
                <w:rFonts w:cs="Arial"/>
                <w:b/>
                <w:sz w:val="4"/>
                <w:szCs w:val="4"/>
              </w:rPr>
            </w:pPr>
          </w:p>
          <w:p w14:paraId="41C5415A" w14:textId="77777777" w:rsidR="002C347B" w:rsidRPr="002109C7" w:rsidRDefault="002C347B" w:rsidP="002109C7">
            <w:pPr>
              <w:rPr>
                <w:rFonts w:cs="Arial"/>
                <w:color w:val="FF0000"/>
              </w:rPr>
            </w:pPr>
            <w:r w:rsidRPr="002109C7">
              <w:rPr>
                <w:rFonts w:cs="Arial"/>
                <w:b/>
              </w:rPr>
              <w:t>Additional Filing Requirements</w:t>
            </w:r>
            <w:r w:rsidR="001F1417" w:rsidRPr="002109C7">
              <w:rPr>
                <w:rFonts w:cs="Arial"/>
                <w:b/>
              </w:rPr>
              <w:t xml:space="preserve"> </w:t>
            </w:r>
            <w:r w:rsidR="001F1417" w:rsidRPr="002109C7">
              <w:rPr>
                <w:rFonts w:cs="Arial"/>
              </w:rPr>
              <w:t>(</w:t>
            </w:r>
            <w:r w:rsidRPr="002109C7">
              <w:rPr>
                <w:rFonts w:cs="Arial"/>
              </w:rPr>
              <w:t>every rate submission must contain the following):</w:t>
            </w:r>
          </w:p>
          <w:p w14:paraId="4768EB98" w14:textId="77777777" w:rsidR="002C347B" w:rsidRPr="002109C7" w:rsidRDefault="002C347B" w:rsidP="002109C7">
            <w:pPr>
              <w:ind w:left="-108"/>
              <w:rPr>
                <w:sz w:val="4"/>
                <w:szCs w:val="4"/>
              </w:rPr>
            </w:pPr>
          </w:p>
        </w:tc>
      </w:tr>
      <w:tr w:rsidR="00754D6B" w14:paraId="3C68C557" w14:textId="77777777" w:rsidTr="002109C7">
        <w:trPr>
          <w:gridAfter w:val="1"/>
          <w:wAfter w:w="13" w:type="dxa"/>
          <w:trHeight w:val="539"/>
        </w:trPr>
        <w:tc>
          <w:tcPr>
            <w:tcW w:w="438" w:type="dxa"/>
            <w:shd w:val="clear" w:color="auto" w:fill="auto"/>
          </w:tcPr>
          <w:p w14:paraId="1A171008" w14:textId="77777777" w:rsidR="00754D6B" w:rsidRPr="002109C7" w:rsidRDefault="00754D6B" w:rsidP="002109C7">
            <w:pPr>
              <w:rPr>
                <w:sz w:val="20"/>
                <w:szCs w:val="20"/>
              </w:rPr>
            </w:pPr>
          </w:p>
        </w:tc>
        <w:tc>
          <w:tcPr>
            <w:tcW w:w="2310" w:type="dxa"/>
            <w:shd w:val="clear" w:color="auto" w:fill="auto"/>
          </w:tcPr>
          <w:p w14:paraId="01CECFC9" w14:textId="77777777" w:rsidR="00754D6B" w:rsidRPr="002109C7" w:rsidRDefault="00E87B8A" w:rsidP="002109C7">
            <w:pPr>
              <w:ind w:left="-108" w:right="-108"/>
              <w:rPr>
                <w:rFonts w:cs="Arial"/>
                <w:b/>
                <w:sz w:val="20"/>
                <w:szCs w:val="20"/>
              </w:rPr>
            </w:pPr>
            <w:r w:rsidRPr="002109C7">
              <w:rPr>
                <w:rFonts w:cs="Arial"/>
                <w:b/>
                <w:sz w:val="20"/>
                <w:szCs w:val="20"/>
              </w:rPr>
              <w:t xml:space="preserve">  </w:t>
            </w:r>
            <w:r w:rsidR="00754D6B" w:rsidRPr="002109C7">
              <w:rPr>
                <w:rFonts w:cs="Arial"/>
                <w:b/>
                <w:sz w:val="20"/>
                <w:szCs w:val="20"/>
              </w:rPr>
              <w:t>1.</w:t>
            </w:r>
            <w:r w:rsidR="003E5ADC" w:rsidRPr="002109C7">
              <w:rPr>
                <w:rFonts w:cs="Arial"/>
                <w:b/>
                <w:sz w:val="20"/>
                <w:szCs w:val="20"/>
              </w:rPr>
              <w:t xml:space="preserve"> </w:t>
            </w:r>
            <w:r w:rsidR="008270A0" w:rsidRPr="002109C7">
              <w:rPr>
                <w:rFonts w:cs="Arial"/>
                <w:b/>
                <w:sz w:val="20"/>
                <w:szCs w:val="20"/>
              </w:rPr>
              <w:t>Carrier</w:t>
            </w:r>
            <w:r w:rsidR="00754D6B" w:rsidRPr="002109C7">
              <w:rPr>
                <w:rFonts w:cs="Arial"/>
                <w:b/>
                <w:sz w:val="20"/>
                <w:szCs w:val="20"/>
              </w:rPr>
              <w:t xml:space="preserve"> Information: </w:t>
            </w:r>
          </w:p>
        </w:tc>
        <w:tc>
          <w:tcPr>
            <w:tcW w:w="2090" w:type="dxa"/>
            <w:shd w:val="clear" w:color="auto" w:fill="auto"/>
          </w:tcPr>
          <w:p w14:paraId="7606136E" w14:textId="77777777" w:rsidR="00754D6B" w:rsidRPr="002109C7" w:rsidRDefault="00F20663" w:rsidP="002109C7">
            <w:pPr>
              <w:pStyle w:val="NormalWeb"/>
              <w:ind w:right="-102"/>
              <w:rPr>
                <w:rFonts w:ascii="Arial" w:hAnsi="Arial" w:cs="Arial"/>
                <w:sz w:val="20"/>
                <w:szCs w:val="20"/>
              </w:rPr>
            </w:pPr>
            <w:hyperlink r:id="rId14" w:history="1">
              <w:r w:rsidR="00C31B0B" w:rsidRPr="002109C7">
                <w:rPr>
                  <w:rStyle w:val="Hyperlink"/>
                  <w:rFonts w:ascii="Arial" w:hAnsi="Arial" w:cs="Arial"/>
                  <w:sz w:val="20"/>
                  <w:szCs w:val="20"/>
                </w:rPr>
                <w:t>24-A M.R.S.A.</w:t>
              </w:r>
              <w:r w:rsidR="00CF7AED" w:rsidRPr="002109C7">
                <w:rPr>
                  <w:rStyle w:val="Hyperlink"/>
                  <w:rFonts w:ascii="Arial" w:hAnsi="Arial" w:cs="Arial"/>
                  <w:sz w:val="20"/>
                  <w:szCs w:val="20"/>
                </w:rPr>
                <w:t xml:space="preserve"> §</w:t>
              </w:r>
              <w:r w:rsidR="000F636D" w:rsidRPr="002109C7">
                <w:rPr>
                  <w:rStyle w:val="Hyperlink"/>
                  <w:rFonts w:ascii="Arial" w:hAnsi="Arial" w:cs="Arial"/>
                  <w:sz w:val="20"/>
                  <w:szCs w:val="20"/>
                </w:rPr>
                <w:t xml:space="preserve"> </w:t>
              </w:r>
              <w:r w:rsidR="00CF7AED" w:rsidRPr="002109C7">
                <w:rPr>
                  <w:rStyle w:val="Hyperlink"/>
                  <w:rFonts w:ascii="Arial" w:hAnsi="Arial" w:cs="Arial"/>
                  <w:sz w:val="20"/>
                  <w:szCs w:val="20"/>
                </w:rPr>
                <w:t>2736</w:t>
              </w:r>
            </w:hyperlink>
          </w:p>
        </w:tc>
        <w:tc>
          <w:tcPr>
            <w:tcW w:w="6820" w:type="dxa"/>
            <w:gridSpan w:val="3"/>
            <w:shd w:val="clear" w:color="auto" w:fill="auto"/>
          </w:tcPr>
          <w:p w14:paraId="622452C1" w14:textId="77777777" w:rsidR="008270A0" w:rsidRPr="002109C7" w:rsidRDefault="008270A0" w:rsidP="008270A0">
            <w:pPr>
              <w:rPr>
                <w:rFonts w:cs="Arial"/>
                <w:sz w:val="20"/>
                <w:szCs w:val="20"/>
              </w:rPr>
            </w:pPr>
            <w:r w:rsidRPr="002109C7">
              <w:rPr>
                <w:rFonts w:cs="Arial"/>
                <w:sz w:val="20"/>
                <w:szCs w:val="20"/>
              </w:rPr>
              <w:t>The name and address of the carrier, and the name, title, email address and direct phone number of the person responsible for the filing, must be provided in the SERFF “Filing Contact Information” section.</w:t>
            </w:r>
          </w:p>
          <w:p w14:paraId="2687A755" w14:textId="77777777" w:rsidR="00C50ECC" w:rsidRPr="002109C7" w:rsidRDefault="00C50ECC" w:rsidP="002109C7">
            <w:pPr>
              <w:ind w:left="-108"/>
              <w:rPr>
                <w:rFonts w:cs="Arial"/>
                <w:sz w:val="4"/>
                <w:szCs w:val="4"/>
              </w:rPr>
            </w:pPr>
          </w:p>
        </w:tc>
        <w:tc>
          <w:tcPr>
            <w:tcW w:w="1872" w:type="dxa"/>
            <w:gridSpan w:val="2"/>
            <w:shd w:val="clear" w:color="auto" w:fill="auto"/>
          </w:tcPr>
          <w:p w14:paraId="3D2B2CF7" w14:textId="77777777" w:rsidR="003D31D9" w:rsidRPr="002109C7" w:rsidRDefault="00B20E5A" w:rsidP="002109C7">
            <w:pPr>
              <w:ind w:left="-108"/>
              <w:rPr>
                <w:i/>
                <w:sz w:val="20"/>
                <w:szCs w:val="20"/>
              </w:rPr>
            </w:pPr>
            <w:r w:rsidRPr="002109C7">
              <w:rPr>
                <w:i/>
                <w:sz w:val="20"/>
                <w:szCs w:val="20"/>
              </w:rPr>
              <w:t>Location, page:</w:t>
            </w:r>
          </w:p>
        </w:tc>
      </w:tr>
      <w:tr w:rsidR="00754D6B" w14:paraId="2A25B325" w14:textId="77777777" w:rsidTr="002109C7">
        <w:trPr>
          <w:gridAfter w:val="1"/>
          <w:wAfter w:w="13" w:type="dxa"/>
          <w:trHeight w:val="183"/>
        </w:trPr>
        <w:tc>
          <w:tcPr>
            <w:tcW w:w="438" w:type="dxa"/>
            <w:shd w:val="clear" w:color="auto" w:fill="auto"/>
          </w:tcPr>
          <w:p w14:paraId="1A676AA2" w14:textId="77777777" w:rsidR="00754D6B" w:rsidRPr="002109C7" w:rsidRDefault="00754D6B" w:rsidP="002109C7">
            <w:pPr>
              <w:rPr>
                <w:sz w:val="20"/>
                <w:szCs w:val="20"/>
              </w:rPr>
            </w:pPr>
          </w:p>
        </w:tc>
        <w:tc>
          <w:tcPr>
            <w:tcW w:w="2310" w:type="dxa"/>
            <w:shd w:val="clear" w:color="auto" w:fill="auto"/>
          </w:tcPr>
          <w:p w14:paraId="0C727C08" w14:textId="77777777" w:rsidR="00754D6B" w:rsidRPr="002109C7" w:rsidRDefault="00E87B8A" w:rsidP="002109C7">
            <w:pPr>
              <w:tabs>
                <w:tab w:val="left" w:pos="318"/>
                <w:tab w:val="left" w:pos="720"/>
                <w:tab w:val="left" w:pos="2078"/>
                <w:tab w:val="left" w:pos="2880"/>
                <w:tab w:val="left" w:pos="3600"/>
              </w:tabs>
              <w:ind w:left="222" w:hanging="330"/>
              <w:rPr>
                <w:rFonts w:cs="Arial"/>
                <w:b/>
                <w:sz w:val="20"/>
                <w:szCs w:val="20"/>
              </w:rPr>
            </w:pPr>
            <w:r w:rsidRPr="002109C7">
              <w:rPr>
                <w:rFonts w:cs="Arial"/>
                <w:b/>
                <w:sz w:val="20"/>
                <w:szCs w:val="20"/>
              </w:rPr>
              <w:t xml:space="preserve">  </w:t>
            </w:r>
            <w:r w:rsidR="00754D6B" w:rsidRPr="002109C7">
              <w:rPr>
                <w:rFonts w:cs="Arial"/>
                <w:b/>
                <w:sz w:val="20"/>
                <w:szCs w:val="20"/>
              </w:rPr>
              <w:t>2. Scope and Purpose of Filing:</w:t>
            </w:r>
          </w:p>
        </w:tc>
        <w:tc>
          <w:tcPr>
            <w:tcW w:w="2090" w:type="dxa"/>
            <w:shd w:val="clear" w:color="auto" w:fill="auto"/>
          </w:tcPr>
          <w:p w14:paraId="1F0CF4B5" w14:textId="77777777" w:rsidR="00754D6B" w:rsidRPr="002109C7" w:rsidRDefault="00F20663" w:rsidP="002109C7">
            <w:pPr>
              <w:pStyle w:val="NormalWeb"/>
              <w:ind w:right="-102"/>
              <w:rPr>
                <w:rFonts w:ascii="Arial" w:hAnsi="Arial" w:cs="Arial"/>
                <w:sz w:val="20"/>
                <w:szCs w:val="20"/>
              </w:rPr>
            </w:pPr>
            <w:hyperlink r:id="rId15" w:history="1">
              <w:r w:rsidR="00C31B0B" w:rsidRPr="002109C7">
                <w:rPr>
                  <w:rStyle w:val="Hyperlink"/>
                  <w:rFonts w:ascii="Arial" w:hAnsi="Arial" w:cs="Arial"/>
                  <w:sz w:val="20"/>
                  <w:szCs w:val="20"/>
                </w:rPr>
                <w:t>24-A M.R.S.A.</w:t>
              </w:r>
              <w:r w:rsidR="000D512A" w:rsidRPr="002109C7">
                <w:rPr>
                  <w:rStyle w:val="Hyperlink"/>
                  <w:rFonts w:ascii="Arial" w:hAnsi="Arial" w:cs="Arial"/>
                  <w:sz w:val="20"/>
                  <w:szCs w:val="20"/>
                </w:rPr>
                <w:t xml:space="preserve"> §</w:t>
              </w:r>
              <w:r w:rsidR="000F636D" w:rsidRPr="002109C7">
                <w:rPr>
                  <w:rStyle w:val="Hyperlink"/>
                  <w:rFonts w:ascii="Arial" w:hAnsi="Arial" w:cs="Arial"/>
                  <w:sz w:val="20"/>
                  <w:szCs w:val="20"/>
                </w:rPr>
                <w:t xml:space="preserve"> </w:t>
              </w:r>
              <w:r w:rsidR="000D512A" w:rsidRPr="002109C7">
                <w:rPr>
                  <w:rStyle w:val="Hyperlink"/>
                  <w:rFonts w:ascii="Arial" w:hAnsi="Arial" w:cs="Arial"/>
                  <w:sz w:val="20"/>
                  <w:szCs w:val="20"/>
                </w:rPr>
                <w:t>2736</w:t>
              </w:r>
            </w:hyperlink>
          </w:p>
        </w:tc>
        <w:tc>
          <w:tcPr>
            <w:tcW w:w="6820" w:type="dxa"/>
            <w:gridSpan w:val="3"/>
            <w:shd w:val="clear" w:color="auto" w:fill="auto"/>
          </w:tcPr>
          <w:p w14:paraId="4F148744" w14:textId="77777777" w:rsidR="001123EE" w:rsidRPr="002109C7" w:rsidRDefault="00754D6B" w:rsidP="002109C7">
            <w:pPr>
              <w:rPr>
                <w:rFonts w:cs="Arial"/>
                <w:sz w:val="20"/>
                <w:szCs w:val="20"/>
              </w:rPr>
            </w:pPr>
            <w:r w:rsidRPr="002109C7">
              <w:rPr>
                <w:rFonts w:cs="Arial"/>
                <w:sz w:val="20"/>
                <w:szCs w:val="20"/>
              </w:rPr>
              <w:t xml:space="preserve">Specify </w:t>
            </w:r>
            <w:r w:rsidR="008F2AAA" w:rsidRPr="002109C7">
              <w:rPr>
                <w:rFonts w:cs="Arial"/>
                <w:sz w:val="20"/>
                <w:szCs w:val="20"/>
              </w:rPr>
              <w:t xml:space="preserve">that </w:t>
            </w:r>
            <w:r w:rsidRPr="002109C7">
              <w:rPr>
                <w:rFonts w:cs="Arial"/>
                <w:sz w:val="20"/>
                <w:szCs w:val="20"/>
              </w:rPr>
              <w:t>this is a new form and rate filing</w:t>
            </w:r>
            <w:r w:rsidRPr="002109C7">
              <w:rPr>
                <w:rFonts w:cs="Arial"/>
                <w:color w:val="FF00FF"/>
                <w:sz w:val="20"/>
                <w:szCs w:val="20"/>
              </w:rPr>
              <w:t>.</w:t>
            </w:r>
          </w:p>
          <w:p w14:paraId="6196086E" w14:textId="77777777" w:rsidR="007279E8" w:rsidRPr="002109C7" w:rsidRDefault="007279E8" w:rsidP="002109C7">
            <w:pPr>
              <w:ind w:left="-108"/>
              <w:rPr>
                <w:rFonts w:cs="Arial"/>
                <w:sz w:val="4"/>
                <w:szCs w:val="4"/>
              </w:rPr>
            </w:pPr>
          </w:p>
        </w:tc>
        <w:tc>
          <w:tcPr>
            <w:tcW w:w="1872" w:type="dxa"/>
            <w:gridSpan w:val="2"/>
            <w:shd w:val="clear" w:color="auto" w:fill="auto"/>
          </w:tcPr>
          <w:p w14:paraId="53CE3DCD" w14:textId="77777777" w:rsidR="003D31D9" w:rsidRPr="002109C7" w:rsidRDefault="00B20E5A" w:rsidP="002109C7">
            <w:pPr>
              <w:ind w:left="-108"/>
              <w:rPr>
                <w:i/>
                <w:sz w:val="20"/>
                <w:szCs w:val="20"/>
              </w:rPr>
            </w:pPr>
            <w:r w:rsidRPr="002109C7">
              <w:rPr>
                <w:i/>
                <w:sz w:val="20"/>
                <w:szCs w:val="20"/>
              </w:rPr>
              <w:t>Location, page:</w:t>
            </w:r>
          </w:p>
        </w:tc>
      </w:tr>
      <w:tr w:rsidR="007C6AD8" w14:paraId="0C33B761" w14:textId="77777777" w:rsidTr="002109C7">
        <w:trPr>
          <w:gridAfter w:val="1"/>
          <w:wAfter w:w="13" w:type="dxa"/>
          <w:trHeight w:val="821"/>
        </w:trPr>
        <w:tc>
          <w:tcPr>
            <w:tcW w:w="438" w:type="dxa"/>
            <w:shd w:val="clear" w:color="auto" w:fill="auto"/>
          </w:tcPr>
          <w:p w14:paraId="03566BD6" w14:textId="77777777" w:rsidR="007C6AD8" w:rsidRDefault="007C6AD8" w:rsidP="002109C7"/>
        </w:tc>
        <w:tc>
          <w:tcPr>
            <w:tcW w:w="2310" w:type="dxa"/>
            <w:shd w:val="clear" w:color="auto" w:fill="auto"/>
          </w:tcPr>
          <w:p w14:paraId="2573989B" w14:textId="77777777" w:rsidR="007C6AD8" w:rsidRPr="002109C7" w:rsidRDefault="007C6AD8" w:rsidP="002109C7">
            <w:pPr>
              <w:ind w:left="222" w:hanging="332"/>
              <w:rPr>
                <w:rFonts w:cs="Arial"/>
                <w:b/>
                <w:sz w:val="20"/>
                <w:szCs w:val="20"/>
              </w:rPr>
            </w:pPr>
            <w:r w:rsidRPr="002109C7">
              <w:rPr>
                <w:rFonts w:cs="Arial"/>
                <w:sz w:val="20"/>
                <w:szCs w:val="20"/>
              </w:rPr>
              <w:t xml:space="preserve">  </w:t>
            </w:r>
            <w:r w:rsidRPr="002109C7">
              <w:rPr>
                <w:rFonts w:cs="Arial"/>
                <w:b/>
                <w:sz w:val="20"/>
                <w:szCs w:val="20"/>
              </w:rPr>
              <w:t>3. Form Number(s) and Description of Benefits:</w:t>
            </w:r>
          </w:p>
          <w:p w14:paraId="5EB23E0F" w14:textId="77777777" w:rsidR="007C6AD8" w:rsidRDefault="007C6AD8" w:rsidP="002109C7">
            <w:pPr>
              <w:ind w:left="222" w:hanging="332"/>
            </w:pPr>
          </w:p>
        </w:tc>
        <w:tc>
          <w:tcPr>
            <w:tcW w:w="2090" w:type="dxa"/>
            <w:shd w:val="clear" w:color="auto" w:fill="auto"/>
          </w:tcPr>
          <w:p w14:paraId="7703B7C9" w14:textId="77777777" w:rsidR="007C6AD8" w:rsidRPr="002109C7" w:rsidRDefault="00F20663" w:rsidP="002109C7">
            <w:pPr>
              <w:pStyle w:val="NormalWeb"/>
              <w:ind w:right="-102"/>
              <w:rPr>
                <w:rFonts w:ascii="Arial" w:hAnsi="Arial" w:cs="Arial"/>
                <w:sz w:val="20"/>
                <w:szCs w:val="20"/>
              </w:rPr>
            </w:pPr>
            <w:hyperlink r:id="rId16" w:history="1">
              <w:r w:rsidR="00C31B0B" w:rsidRPr="002109C7">
                <w:rPr>
                  <w:rStyle w:val="Hyperlink"/>
                  <w:rFonts w:ascii="Arial" w:hAnsi="Arial" w:cs="Arial"/>
                  <w:sz w:val="20"/>
                  <w:szCs w:val="20"/>
                </w:rPr>
                <w:t>24-A M.R.S.A.</w:t>
              </w:r>
              <w:r w:rsidR="007C6AD8" w:rsidRPr="002109C7">
                <w:rPr>
                  <w:rStyle w:val="Hyperlink"/>
                  <w:rFonts w:ascii="Arial" w:hAnsi="Arial" w:cs="Arial"/>
                  <w:sz w:val="20"/>
                  <w:szCs w:val="20"/>
                </w:rPr>
                <w:t xml:space="preserve"> § 2736</w:t>
              </w:r>
            </w:hyperlink>
          </w:p>
          <w:p w14:paraId="64AEA143" w14:textId="77777777" w:rsidR="007C6AD8" w:rsidRPr="002109C7" w:rsidRDefault="007C6AD8" w:rsidP="002109C7">
            <w:pPr>
              <w:pStyle w:val="NormalWeb"/>
              <w:rPr>
                <w:rFonts w:ascii="Arial" w:hAnsi="Arial" w:cs="Arial"/>
                <w:sz w:val="20"/>
                <w:szCs w:val="20"/>
              </w:rPr>
            </w:pPr>
          </w:p>
        </w:tc>
        <w:tc>
          <w:tcPr>
            <w:tcW w:w="6820" w:type="dxa"/>
            <w:gridSpan w:val="3"/>
            <w:shd w:val="clear" w:color="auto" w:fill="auto"/>
          </w:tcPr>
          <w:p w14:paraId="1A6D824D" w14:textId="77777777" w:rsidR="007C6AD8" w:rsidRPr="002109C7" w:rsidRDefault="007C6AD8" w:rsidP="002109C7">
            <w:pPr>
              <w:ind w:firstLine="2"/>
              <w:rPr>
                <w:rFonts w:cs="Arial"/>
                <w:sz w:val="20"/>
                <w:szCs w:val="20"/>
              </w:rPr>
            </w:pPr>
            <w:r w:rsidRPr="002109C7">
              <w:rPr>
                <w:rFonts w:cs="Arial"/>
                <w:sz w:val="20"/>
                <w:szCs w:val="20"/>
              </w:rPr>
              <w:t>Include a brief description of the benefits provided by each policy form and any attached riders or endorsements and provide the following:</w:t>
            </w:r>
          </w:p>
          <w:p w14:paraId="762C7A38" w14:textId="77777777" w:rsidR="007C6AD8" w:rsidRPr="002109C7" w:rsidRDefault="007C6AD8" w:rsidP="002109C7">
            <w:pPr>
              <w:ind w:hanging="108"/>
              <w:rPr>
                <w:rFonts w:cs="Arial"/>
                <w:sz w:val="4"/>
                <w:szCs w:val="4"/>
              </w:rPr>
            </w:pPr>
          </w:p>
          <w:p w14:paraId="2359A3AB" w14:textId="77777777" w:rsidR="007C6AD8" w:rsidRPr="002109C7" w:rsidRDefault="007C6AD8" w:rsidP="002109C7">
            <w:pPr>
              <w:ind w:left="222" w:firstLine="2"/>
              <w:rPr>
                <w:sz w:val="20"/>
                <w:szCs w:val="20"/>
              </w:rPr>
            </w:pPr>
            <w:r w:rsidRPr="002109C7">
              <w:rPr>
                <w:sz w:val="20"/>
                <w:szCs w:val="20"/>
              </w:rPr>
              <w:t>1. Form number(s)</w:t>
            </w:r>
          </w:p>
          <w:p w14:paraId="40E88B32" w14:textId="77777777" w:rsidR="007C6AD8" w:rsidRPr="002109C7" w:rsidRDefault="007C6AD8" w:rsidP="002109C7">
            <w:pPr>
              <w:ind w:left="222" w:hanging="330"/>
              <w:rPr>
                <w:sz w:val="2"/>
                <w:szCs w:val="2"/>
              </w:rPr>
            </w:pPr>
          </w:p>
          <w:p w14:paraId="3430E038" w14:textId="77777777" w:rsidR="007C6AD8" w:rsidRPr="002109C7" w:rsidRDefault="007C6AD8" w:rsidP="002109C7">
            <w:pPr>
              <w:ind w:left="222" w:firstLine="2"/>
              <w:rPr>
                <w:sz w:val="20"/>
                <w:szCs w:val="20"/>
              </w:rPr>
            </w:pPr>
            <w:r w:rsidRPr="002109C7">
              <w:rPr>
                <w:sz w:val="20"/>
                <w:szCs w:val="20"/>
              </w:rPr>
              <w:t>2. Issue age range</w:t>
            </w:r>
          </w:p>
          <w:p w14:paraId="5216A321" w14:textId="77777777" w:rsidR="007C6AD8" w:rsidRPr="002109C7" w:rsidRDefault="007C6AD8" w:rsidP="002109C7">
            <w:pPr>
              <w:ind w:left="222" w:hanging="330"/>
              <w:rPr>
                <w:sz w:val="2"/>
                <w:szCs w:val="2"/>
              </w:rPr>
            </w:pPr>
          </w:p>
          <w:p w14:paraId="497CFA36" w14:textId="77777777" w:rsidR="007C6AD8" w:rsidRPr="002109C7" w:rsidRDefault="007C6AD8" w:rsidP="002109C7">
            <w:pPr>
              <w:ind w:left="222" w:firstLine="2"/>
              <w:rPr>
                <w:sz w:val="20"/>
                <w:szCs w:val="20"/>
              </w:rPr>
            </w:pPr>
            <w:r w:rsidRPr="002109C7">
              <w:rPr>
                <w:sz w:val="20"/>
                <w:szCs w:val="20"/>
              </w:rPr>
              <w:t>3. Attained age or issue age rates</w:t>
            </w:r>
          </w:p>
          <w:p w14:paraId="5A97BF8F" w14:textId="77777777" w:rsidR="007C6AD8" w:rsidRPr="002109C7" w:rsidRDefault="007C6AD8" w:rsidP="002109C7">
            <w:pPr>
              <w:ind w:left="222" w:hanging="330"/>
              <w:rPr>
                <w:sz w:val="2"/>
                <w:szCs w:val="2"/>
              </w:rPr>
            </w:pPr>
          </w:p>
          <w:p w14:paraId="0A9CB7E7" w14:textId="77777777" w:rsidR="007C6AD8" w:rsidRPr="002109C7" w:rsidRDefault="007C6AD8" w:rsidP="002109C7">
            <w:pPr>
              <w:tabs>
                <w:tab w:val="left" w:pos="2880"/>
              </w:tabs>
              <w:ind w:left="222" w:firstLine="2"/>
              <w:rPr>
                <w:sz w:val="20"/>
                <w:szCs w:val="20"/>
              </w:rPr>
            </w:pPr>
            <w:r w:rsidRPr="002109C7">
              <w:rPr>
                <w:sz w:val="20"/>
                <w:szCs w:val="20"/>
              </w:rPr>
              <w:t>4. Benefit periods</w:t>
            </w:r>
            <w:r w:rsidRPr="002109C7">
              <w:rPr>
                <w:sz w:val="20"/>
                <w:szCs w:val="20"/>
              </w:rPr>
              <w:tab/>
            </w:r>
          </w:p>
          <w:p w14:paraId="3947E26C" w14:textId="77777777" w:rsidR="007C6AD8" w:rsidRPr="002109C7" w:rsidRDefault="007C6AD8" w:rsidP="002109C7">
            <w:pPr>
              <w:ind w:left="222" w:hanging="330"/>
              <w:rPr>
                <w:sz w:val="2"/>
                <w:szCs w:val="2"/>
              </w:rPr>
            </w:pPr>
          </w:p>
          <w:p w14:paraId="15C62A58" w14:textId="77777777" w:rsidR="007C6AD8" w:rsidRPr="002109C7" w:rsidRDefault="007C6AD8" w:rsidP="002109C7">
            <w:pPr>
              <w:ind w:left="222" w:firstLine="2"/>
              <w:rPr>
                <w:sz w:val="20"/>
                <w:szCs w:val="20"/>
              </w:rPr>
            </w:pPr>
            <w:r w:rsidRPr="002109C7">
              <w:rPr>
                <w:sz w:val="20"/>
                <w:szCs w:val="20"/>
              </w:rPr>
              <w:t>5. Elimination periods</w:t>
            </w:r>
          </w:p>
          <w:p w14:paraId="6E533507" w14:textId="77777777" w:rsidR="007C6AD8" w:rsidRPr="002109C7" w:rsidRDefault="007C6AD8" w:rsidP="002109C7">
            <w:pPr>
              <w:ind w:left="222" w:hanging="330"/>
              <w:rPr>
                <w:sz w:val="2"/>
                <w:szCs w:val="2"/>
              </w:rPr>
            </w:pPr>
          </w:p>
          <w:p w14:paraId="09263D31" w14:textId="77777777" w:rsidR="007C6AD8" w:rsidRPr="002109C7" w:rsidRDefault="007C6AD8" w:rsidP="002109C7">
            <w:pPr>
              <w:ind w:left="222" w:firstLine="2"/>
              <w:rPr>
                <w:sz w:val="20"/>
                <w:szCs w:val="20"/>
              </w:rPr>
            </w:pPr>
            <w:r w:rsidRPr="002109C7">
              <w:rPr>
                <w:sz w:val="20"/>
                <w:szCs w:val="20"/>
              </w:rPr>
              <w:t>6. Rate guarantees</w:t>
            </w:r>
          </w:p>
          <w:p w14:paraId="1B0626CB" w14:textId="77777777" w:rsidR="007C6AD8" w:rsidRPr="002109C7" w:rsidRDefault="007C6AD8" w:rsidP="002109C7">
            <w:pPr>
              <w:ind w:left="222" w:hanging="330"/>
              <w:rPr>
                <w:sz w:val="2"/>
                <w:szCs w:val="2"/>
              </w:rPr>
            </w:pPr>
          </w:p>
          <w:p w14:paraId="560AF0BE" w14:textId="77777777" w:rsidR="007C6AD8" w:rsidRPr="002109C7" w:rsidRDefault="007C6AD8" w:rsidP="002109C7">
            <w:pPr>
              <w:ind w:left="222" w:firstLine="2"/>
              <w:rPr>
                <w:sz w:val="20"/>
                <w:szCs w:val="20"/>
              </w:rPr>
            </w:pPr>
            <w:r w:rsidRPr="002109C7">
              <w:rPr>
                <w:sz w:val="20"/>
                <w:szCs w:val="20"/>
              </w:rPr>
              <w:t>7. Premium classifications</w:t>
            </w:r>
          </w:p>
          <w:p w14:paraId="7CC28F4C" w14:textId="77777777" w:rsidR="007C6AD8" w:rsidRPr="002109C7" w:rsidRDefault="007C6AD8" w:rsidP="002109C7">
            <w:pPr>
              <w:ind w:left="222" w:hanging="330"/>
              <w:rPr>
                <w:sz w:val="2"/>
                <w:szCs w:val="2"/>
              </w:rPr>
            </w:pPr>
          </w:p>
          <w:p w14:paraId="4F00547D" w14:textId="77777777" w:rsidR="00CA23C9" w:rsidRPr="002109C7" w:rsidRDefault="00475A03" w:rsidP="002109C7">
            <w:pPr>
              <w:ind w:left="222" w:firstLine="2"/>
              <w:rPr>
                <w:sz w:val="20"/>
                <w:szCs w:val="20"/>
              </w:rPr>
            </w:pPr>
            <w:r w:rsidRPr="002109C7">
              <w:rPr>
                <w:sz w:val="20"/>
                <w:szCs w:val="20"/>
              </w:rPr>
              <w:t>8. Renewal clause</w:t>
            </w:r>
          </w:p>
          <w:p w14:paraId="5AB61F3E" w14:textId="77777777" w:rsidR="00806E43" w:rsidRPr="002109C7" w:rsidRDefault="00806E43" w:rsidP="002109C7">
            <w:pPr>
              <w:ind w:left="-108"/>
              <w:rPr>
                <w:sz w:val="4"/>
                <w:szCs w:val="4"/>
              </w:rPr>
            </w:pPr>
          </w:p>
        </w:tc>
        <w:tc>
          <w:tcPr>
            <w:tcW w:w="1872" w:type="dxa"/>
            <w:gridSpan w:val="2"/>
            <w:shd w:val="clear" w:color="auto" w:fill="auto"/>
          </w:tcPr>
          <w:p w14:paraId="17D97394" w14:textId="77777777" w:rsidR="007C6AD8" w:rsidRPr="002109C7" w:rsidRDefault="00B20E5A" w:rsidP="002109C7">
            <w:pPr>
              <w:ind w:left="-108"/>
              <w:rPr>
                <w:i/>
                <w:sz w:val="20"/>
                <w:szCs w:val="20"/>
              </w:rPr>
            </w:pPr>
            <w:r w:rsidRPr="002109C7">
              <w:rPr>
                <w:i/>
                <w:sz w:val="20"/>
                <w:szCs w:val="20"/>
              </w:rPr>
              <w:t>Location, page:</w:t>
            </w:r>
          </w:p>
        </w:tc>
      </w:tr>
      <w:tr w:rsidR="007D2A4C" w14:paraId="44267580" w14:textId="77777777" w:rsidTr="002109C7">
        <w:trPr>
          <w:gridAfter w:val="1"/>
          <w:wAfter w:w="13" w:type="dxa"/>
          <w:trHeight w:val="269"/>
        </w:trPr>
        <w:tc>
          <w:tcPr>
            <w:tcW w:w="438" w:type="dxa"/>
            <w:shd w:val="clear" w:color="auto" w:fill="auto"/>
          </w:tcPr>
          <w:p w14:paraId="370ECA13" w14:textId="77777777" w:rsidR="007D2A4C" w:rsidRDefault="007D2A4C" w:rsidP="002109C7"/>
        </w:tc>
        <w:tc>
          <w:tcPr>
            <w:tcW w:w="2310" w:type="dxa"/>
            <w:shd w:val="clear" w:color="auto" w:fill="auto"/>
          </w:tcPr>
          <w:p w14:paraId="4D6AF978" w14:textId="77777777" w:rsidR="007D2A4C" w:rsidRPr="002109C7" w:rsidRDefault="007D2A4C" w:rsidP="002109C7">
            <w:pPr>
              <w:ind w:left="222" w:hanging="332"/>
              <w:rPr>
                <w:rFonts w:cs="Arial"/>
                <w:b/>
                <w:sz w:val="20"/>
                <w:szCs w:val="20"/>
              </w:rPr>
            </w:pPr>
            <w:r w:rsidRPr="002109C7">
              <w:rPr>
                <w:rFonts w:cs="Arial"/>
                <w:b/>
                <w:sz w:val="20"/>
                <w:szCs w:val="20"/>
              </w:rPr>
              <w:t xml:space="preserve">  4. Date(s) of Issue:</w:t>
            </w:r>
          </w:p>
        </w:tc>
        <w:tc>
          <w:tcPr>
            <w:tcW w:w="2090" w:type="dxa"/>
            <w:shd w:val="clear" w:color="auto" w:fill="auto"/>
          </w:tcPr>
          <w:p w14:paraId="1BF13DC6" w14:textId="77777777" w:rsidR="007D2A4C" w:rsidRPr="002109C7" w:rsidRDefault="00F20663" w:rsidP="002109C7">
            <w:pPr>
              <w:pStyle w:val="NormalWeb"/>
              <w:ind w:right="-102"/>
              <w:rPr>
                <w:rFonts w:ascii="Arial" w:hAnsi="Arial" w:cs="Arial"/>
                <w:sz w:val="20"/>
                <w:szCs w:val="20"/>
              </w:rPr>
            </w:pPr>
            <w:hyperlink r:id="rId17" w:history="1">
              <w:r w:rsidR="007D2A4C" w:rsidRPr="002109C7">
                <w:rPr>
                  <w:rStyle w:val="Hyperlink"/>
                  <w:rFonts w:ascii="Arial" w:hAnsi="Arial" w:cs="Arial"/>
                  <w:sz w:val="20"/>
                  <w:szCs w:val="20"/>
                </w:rPr>
                <w:t>24-A M.R.S.A. § 2736</w:t>
              </w:r>
            </w:hyperlink>
          </w:p>
        </w:tc>
        <w:tc>
          <w:tcPr>
            <w:tcW w:w="6820" w:type="dxa"/>
            <w:gridSpan w:val="3"/>
            <w:shd w:val="clear" w:color="auto" w:fill="auto"/>
          </w:tcPr>
          <w:p w14:paraId="10DB8BDB" w14:textId="77777777" w:rsidR="007D2A4C" w:rsidRPr="002109C7" w:rsidRDefault="007D2A4C" w:rsidP="002109C7">
            <w:pPr>
              <w:rPr>
                <w:rFonts w:cs="Arial"/>
                <w:sz w:val="20"/>
                <w:szCs w:val="20"/>
              </w:rPr>
            </w:pPr>
            <w:r w:rsidRPr="002109C7">
              <w:rPr>
                <w:rFonts w:cs="Arial"/>
                <w:sz w:val="20"/>
                <w:szCs w:val="20"/>
              </w:rPr>
              <w:t xml:space="preserve">State the period during which the policy form will be/was issued in </w:t>
            </w:r>
            <w:smartTag w:uri="urn:schemas-microsoft-com:office:smarttags" w:element="place">
              <w:smartTag w:uri="urn:schemas-microsoft-com:office:smarttags" w:element="State">
                <w:r w:rsidRPr="002109C7">
                  <w:rPr>
                    <w:rFonts w:cs="Arial"/>
                    <w:sz w:val="20"/>
                    <w:szCs w:val="20"/>
                  </w:rPr>
                  <w:t>Maine</w:t>
                </w:r>
              </w:smartTag>
            </w:smartTag>
            <w:r w:rsidRPr="002109C7">
              <w:rPr>
                <w:rFonts w:cs="Arial"/>
                <w:sz w:val="20"/>
                <w:szCs w:val="20"/>
              </w:rPr>
              <w:t>.</w:t>
            </w:r>
          </w:p>
        </w:tc>
        <w:tc>
          <w:tcPr>
            <w:tcW w:w="1872" w:type="dxa"/>
            <w:gridSpan w:val="2"/>
            <w:shd w:val="clear" w:color="auto" w:fill="auto"/>
          </w:tcPr>
          <w:p w14:paraId="51910981" w14:textId="77777777" w:rsidR="007D2A4C" w:rsidRPr="002109C7" w:rsidRDefault="00B20E5A" w:rsidP="002109C7">
            <w:pPr>
              <w:ind w:left="-108"/>
              <w:rPr>
                <w:i/>
                <w:sz w:val="20"/>
                <w:szCs w:val="20"/>
              </w:rPr>
            </w:pPr>
            <w:r w:rsidRPr="002109C7">
              <w:rPr>
                <w:i/>
                <w:sz w:val="20"/>
                <w:szCs w:val="20"/>
              </w:rPr>
              <w:t>Location, page:</w:t>
            </w:r>
          </w:p>
        </w:tc>
      </w:tr>
      <w:tr w:rsidR="000272D7" w14:paraId="06446D54" w14:textId="77777777" w:rsidTr="002109C7">
        <w:trPr>
          <w:gridAfter w:val="1"/>
          <w:wAfter w:w="13" w:type="dxa"/>
          <w:trHeight w:val="377"/>
        </w:trPr>
        <w:tc>
          <w:tcPr>
            <w:tcW w:w="438" w:type="dxa"/>
            <w:shd w:val="clear" w:color="auto" w:fill="auto"/>
          </w:tcPr>
          <w:p w14:paraId="12768EF6" w14:textId="77777777" w:rsidR="000272D7" w:rsidRDefault="000272D7" w:rsidP="002109C7"/>
        </w:tc>
        <w:tc>
          <w:tcPr>
            <w:tcW w:w="2310" w:type="dxa"/>
            <w:shd w:val="clear" w:color="auto" w:fill="auto"/>
          </w:tcPr>
          <w:p w14:paraId="69573693" w14:textId="77777777" w:rsidR="000272D7" w:rsidRPr="002109C7" w:rsidRDefault="000272D7" w:rsidP="002109C7">
            <w:pPr>
              <w:ind w:left="222" w:hanging="221"/>
              <w:rPr>
                <w:rFonts w:cs="Arial"/>
                <w:b/>
                <w:sz w:val="20"/>
                <w:szCs w:val="20"/>
              </w:rPr>
            </w:pPr>
            <w:r w:rsidRPr="002109C7">
              <w:rPr>
                <w:rFonts w:cs="Arial"/>
                <w:b/>
                <w:sz w:val="20"/>
                <w:szCs w:val="20"/>
              </w:rPr>
              <w:t>5. Proposed Effective Date and Duration of Rates:</w:t>
            </w:r>
          </w:p>
        </w:tc>
        <w:tc>
          <w:tcPr>
            <w:tcW w:w="2090" w:type="dxa"/>
            <w:shd w:val="clear" w:color="auto" w:fill="auto"/>
          </w:tcPr>
          <w:p w14:paraId="51D5A2FB" w14:textId="77777777" w:rsidR="000272D7" w:rsidRPr="002109C7" w:rsidRDefault="00F20663" w:rsidP="002109C7">
            <w:pPr>
              <w:pStyle w:val="NormalWeb"/>
              <w:ind w:right="-102"/>
              <w:rPr>
                <w:rFonts w:ascii="Arial" w:hAnsi="Arial" w:cs="Arial"/>
                <w:sz w:val="20"/>
                <w:szCs w:val="20"/>
              </w:rPr>
            </w:pPr>
            <w:hyperlink r:id="rId18" w:history="1">
              <w:r w:rsidR="000272D7" w:rsidRPr="002109C7">
                <w:rPr>
                  <w:rStyle w:val="Hyperlink"/>
                  <w:rFonts w:ascii="Arial" w:hAnsi="Arial" w:cs="Arial"/>
                  <w:sz w:val="20"/>
                  <w:szCs w:val="20"/>
                </w:rPr>
                <w:t>24-A M.R.S.A. § 2736</w:t>
              </w:r>
            </w:hyperlink>
          </w:p>
        </w:tc>
        <w:tc>
          <w:tcPr>
            <w:tcW w:w="6820" w:type="dxa"/>
            <w:gridSpan w:val="3"/>
            <w:shd w:val="clear" w:color="auto" w:fill="auto"/>
          </w:tcPr>
          <w:p w14:paraId="0BDA6183" w14:textId="77777777" w:rsidR="000272D7" w:rsidRPr="002109C7" w:rsidRDefault="000272D7" w:rsidP="007D2A4C">
            <w:pPr>
              <w:rPr>
                <w:rFonts w:cs="Arial"/>
                <w:sz w:val="20"/>
                <w:szCs w:val="20"/>
              </w:rPr>
            </w:pPr>
            <w:r w:rsidRPr="002109C7">
              <w:rPr>
                <w:rFonts w:cs="Arial"/>
                <w:sz w:val="20"/>
                <w:szCs w:val="20"/>
              </w:rPr>
              <w:t>State the proposed effective date, the method of implementation of the proposed rate (e.g., next anniversary or next premium due date), and the period of time the proposed rates are intended to be in effect.</w:t>
            </w:r>
          </w:p>
          <w:p w14:paraId="53DB8866" w14:textId="77777777" w:rsidR="000272D7" w:rsidRPr="002109C7" w:rsidRDefault="000272D7" w:rsidP="002109C7">
            <w:pPr>
              <w:ind w:left="-108"/>
              <w:rPr>
                <w:rFonts w:cs="Arial"/>
                <w:sz w:val="4"/>
                <w:szCs w:val="4"/>
              </w:rPr>
            </w:pPr>
          </w:p>
        </w:tc>
        <w:tc>
          <w:tcPr>
            <w:tcW w:w="1872" w:type="dxa"/>
            <w:gridSpan w:val="2"/>
            <w:shd w:val="clear" w:color="auto" w:fill="auto"/>
          </w:tcPr>
          <w:p w14:paraId="280C9888" w14:textId="77777777" w:rsidR="000272D7" w:rsidRPr="002109C7" w:rsidRDefault="00B20E5A" w:rsidP="002109C7">
            <w:pPr>
              <w:ind w:left="-108"/>
              <w:rPr>
                <w:i/>
                <w:sz w:val="20"/>
                <w:szCs w:val="20"/>
              </w:rPr>
            </w:pPr>
            <w:r w:rsidRPr="002109C7">
              <w:rPr>
                <w:i/>
                <w:sz w:val="20"/>
                <w:szCs w:val="20"/>
              </w:rPr>
              <w:t>Location, page:</w:t>
            </w:r>
          </w:p>
        </w:tc>
      </w:tr>
      <w:tr w:rsidR="0066234F" w14:paraId="54343455" w14:textId="77777777" w:rsidTr="00EE76E1">
        <w:trPr>
          <w:gridAfter w:val="1"/>
          <w:wAfter w:w="13" w:type="dxa"/>
          <w:trHeight w:val="872"/>
        </w:trPr>
        <w:tc>
          <w:tcPr>
            <w:tcW w:w="438" w:type="dxa"/>
            <w:shd w:val="clear" w:color="auto" w:fill="auto"/>
          </w:tcPr>
          <w:p w14:paraId="0A22F3C7" w14:textId="77777777" w:rsidR="0066234F" w:rsidRDefault="0066234F" w:rsidP="002109C7"/>
        </w:tc>
        <w:tc>
          <w:tcPr>
            <w:tcW w:w="2310" w:type="dxa"/>
            <w:shd w:val="clear" w:color="auto" w:fill="auto"/>
          </w:tcPr>
          <w:p w14:paraId="79EEDEF9" w14:textId="77777777" w:rsidR="0066234F" w:rsidRPr="002109C7" w:rsidRDefault="0066234F" w:rsidP="002109C7">
            <w:pPr>
              <w:ind w:left="222" w:hanging="221"/>
              <w:rPr>
                <w:rFonts w:cs="Arial"/>
                <w:b/>
                <w:sz w:val="20"/>
                <w:szCs w:val="20"/>
              </w:rPr>
            </w:pPr>
            <w:r w:rsidRPr="002109C7">
              <w:rPr>
                <w:rFonts w:cs="Arial"/>
                <w:b/>
                <w:sz w:val="20"/>
                <w:szCs w:val="20"/>
              </w:rPr>
              <w:t>6. Confidentiality:</w:t>
            </w:r>
          </w:p>
        </w:tc>
        <w:tc>
          <w:tcPr>
            <w:tcW w:w="2090" w:type="dxa"/>
            <w:shd w:val="clear" w:color="auto" w:fill="auto"/>
          </w:tcPr>
          <w:p w14:paraId="5BECF3D0" w14:textId="77777777" w:rsidR="0066234F" w:rsidRPr="002109C7" w:rsidRDefault="00F20663" w:rsidP="00280FAF">
            <w:pPr>
              <w:rPr>
                <w:rFonts w:cs="Arial"/>
                <w:color w:val="0000FF"/>
                <w:sz w:val="20"/>
                <w:szCs w:val="20"/>
              </w:rPr>
            </w:pPr>
            <w:hyperlink r:id="rId19" w:history="1">
              <w:r w:rsidR="0064010A" w:rsidRPr="002109C7">
                <w:rPr>
                  <w:rStyle w:val="Hyperlink"/>
                  <w:sz w:val="20"/>
                  <w:szCs w:val="20"/>
                </w:rPr>
                <w:t xml:space="preserve">Title 24-A, </w:t>
              </w:r>
              <w:r w:rsidR="0064010A" w:rsidRPr="002109C7">
                <w:rPr>
                  <w:rStyle w:val="Hyperlink"/>
                  <w:rFonts w:cs="Arial"/>
                  <w:sz w:val="20"/>
                  <w:szCs w:val="20"/>
                </w:rPr>
                <w:t>§</w:t>
              </w:r>
              <w:r w:rsidR="0064010A" w:rsidRPr="002109C7">
                <w:rPr>
                  <w:rStyle w:val="Hyperlink"/>
                  <w:sz w:val="20"/>
                  <w:szCs w:val="20"/>
                </w:rPr>
                <w:t xml:space="preserve"> 2736</w:t>
              </w:r>
            </w:hyperlink>
          </w:p>
        </w:tc>
        <w:tc>
          <w:tcPr>
            <w:tcW w:w="6820" w:type="dxa"/>
            <w:gridSpan w:val="3"/>
            <w:shd w:val="clear" w:color="auto" w:fill="auto"/>
          </w:tcPr>
          <w:p w14:paraId="2C52480F" w14:textId="77777777" w:rsidR="0066234F" w:rsidRPr="002109C7" w:rsidRDefault="0066234F" w:rsidP="002109C7">
            <w:pPr>
              <w:ind w:left="-108"/>
              <w:rPr>
                <w:color w:val="FF0000"/>
                <w:sz w:val="4"/>
                <w:szCs w:val="4"/>
              </w:rPr>
            </w:pPr>
          </w:p>
          <w:p w14:paraId="6BA32497" w14:textId="4C01ECD7" w:rsidR="0066234F" w:rsidRPr="002109C7" w:rsidRDefault="00B7513A" w:rsidP="002109C7">
            <w:pPr>
              <w:pStyle w:val="NormalWeb"/>
              <w:spacing w:before="0" w:beforeAutospacing="0" w:after="0" w:afterAutospacing="0"/>
              <w:rPr>
                <w:rFonts w:ascii="Arial" w:hAnsi="Arial" w:cs="Arial"/>
                <w:color w:val="FF0000"/>
                <w:sz w:val="20"/>
                <w:szCs w:val="20"/>
              </w:rPr>
            </w:pPr>
            <w:r w:rsidRPr="002109C7">
              <w:rPr>
                <w:rFonts w:ascii="Arial" w:hAnsi="Arial" w:cs="Arial"/>
                <w:sz w:val="20"/>
                <w:szCs w:val="20"/>
              </w:rPr>
              <w:t>Eligible</w:t>
            </w:r>
            <w:r w:rsidR="0066234F" w:rsidRPr="002109C7">
              <w:rPr>
                <w:rFonts w:ascii="Arial" w:hAnsi="Arial" w:cs="Arial"/>
                <w:sz w:val="20"/>
                <w:szCs w:val="20"/>
              </w:rPr>
              <w:t xml:space="preserve"> confidential information should be clearly identified as described in the </w:t>
            </w:r>
            <w:hyperlink r:id="rId20" w:history="1">
              <w:r w:rsidR="0066234F" w:rsidRPr="002109C7">
                <w:rPr>
                  <w:rStyle w:val="Hyperlink"/>
                  <w:rFonts w:ascii="Arial" w:hAnsi="Arial" w:cs="Arial"/>
                  <w:i/>
                  <w:sz w:val="20"/>
                  <w:szCs w:val="20"/>
                </w:rPr>
                <w:t>confidentiality protocol</w:t>
              </w:r>
            </w:hyperlink>
            <w:r w:rsidR="0066234F" w:rsidRPr="002109C7">
              <w:rPr>
                <w:rFonts w:ascii="Arial" w:hAnsi="Arial" w:cs="Arial"/>
                <w:i/>
                <w:sz w:val="20"/>
                <w:szCs w:val="20"/>
              </w:rPr>
              <w:t>,</w:t>
            </w:r>
            <w:r w:rsidR="0066234F" w:rsidRPr="002109C7">
              <w:rPr>
                <w:rFonts w:ascii="Arial" w:hAnsi="Arial" w:cs="Arial"/>
                <w:sz w:val="20"/>
                <w:szCs w:val="20"/>
              </w:rPr>
              <w:t xml:space="preserve"> available on the Bureau of Insurance website</w:t>
            </w:r>
            <w:r w:rsidR="00EE12CD">
              <w:rPr>
                <w:rFonts w:ascii="Arial" w:hAnsi="Arial" w:cs="Arial"/>
                <w:sz w:val="20"/>
                <w:szCs w:val="20"/>
              </w:rPr>
              <w:t>.</w:t>
            </w:r>
          </w:p>
        </w:tc>
        <w:tc>
          <w:tcPr>
            <w:tcW w:w="1872" w:type="dxa"/>
            <w:gridSpan w:val="2"/>
            <w:tcBorders>
              <w:bottom w:val="single" w:sz="4" w:space="0" w:color="auto"/>
            </w:tcBorders>
            <w:shd w:val="clear" w:color="auto" w:fill="auto"/>
          </w:tcPr>
          <w:p w14:paraId="6CBF9716" w14:textId="77777777" w:rsidR="0066234F" w:rsidRPr="002109C7" w:rsidRDefault="00280FAF" w:rsidP="002109C7">
            <w:pPr>
              <w:ind w:left="-108"/>
              <w:rPr>
                <w:sz w:val="20"/>
                <w:szCs w:val="20"/>
              </w:rPr>
            </w:pPr>
            <w:r w:rsidRPr="002109C7">
              <w:rPr>
                <w:i/>
                <w:sz w:val="20"/>
                <w:szCs w:val="20"/>
              </w:rPr>
              <w:t>Location, page</w:t>
            </w:r>
            <w:r w:rsidR="00EE12CD">
              <w:rPr>
                <w:i/>
                <w:sz w:val="20"/>
                <w:szCs w:val="20"/>
              </w:rPr>
              <w:t>:</w:t>
            </w:r>
          </w:p>
          <w:p w14:paraId="0D1405EE" w14:textId="77777777" w:rsidR="0066234F" w:rsidRPr="002109C7" w:rsidRDefault="0066234F" w:rsidP="0066234F">
            <w:pPr>
              <w:rPr>
                <w:sz w:val="20"/>
                <w:szCs w:val="20"/>
              </w:rPr>
            </w:pPr>
          </w:p>
        </w:tc>
      </w:tr>
      <w:tr w:rsidR="000E55CD" w14:paraId="67BD90EC" w14:textId="77777777" w:rsidTr="002109C7">
        <w:trPr>
          <w:gridAfter w:val="1"/>
          <w:wAfter w:w="13" w:type="dxa"/>
          <w:trHeight w:val="150"/>
        </w:trPr>
        <w:tc>
          <w:tcPr>
            <w:tcW w:w="438" w:type="dxa"/>
            <w:shd w:val="clear" w:color="auto" w:fill="auto"/>
          </w:tcPr>
          <w:p w14:paraId="71C8758C" w14:textId="77777777" w:rsidR="000E55CD" w:rsidRDefault="000E55CD" w:rsidP="002109C7"/>
        </w:tc>
        <w:tc>
          <w:tcPr>
            <w:tcW w:w="2310" w:type="dxa"/>
            <w:shd w:val="clear" w:color="auto" w:fill="auto"/>
          </w:tcPr>
          <w:p w14:paraId="32525F71" w14:textId="77777777" w:rsidR="000E55CD" w:rsidRPr="002109C7" w:rsidRDefault="007173C8" w:rsidP="002109C7">
            <w:pPr>
              <w:ind w:left="222" w:hanging="221"/>
              <w:rPr>
                <w:rFonts w:cs="Arial"/>
                <w:sz w:val="20"/>
                <w:szCs w:val="20"/>
              </w:rPr>
            </w:pPr>
            <w:r w:rsidRPr="002109C7">
              <w:rPr>
                <w:rFonts w:cs="Arial"/>
                <w:b/>
                <w:sz w:val="20"/>
                <w:szCs w:val="20"/>
              </w:rPr>
              <w:t>7</w:t>
            </w:r>
            <w:r w:rsidR="000E55CD" w:rsidRPr="002109C7">
              <w:rPr>
                <w:rFonts w:cs="Arial"/>
                <w:b/>
                <w:sz w:val="20"/>
                <w:szCs w:val="20"/>
              </w:rPr>
              <w:t>.</w:t>
            </w:r>
            <w:r w:rsidR="000E55CD" w:rsidRPr="002109C7">
              <w:rPr>
                <w:rFonts w:cs="Arial"/>
                <w:sz w:val="20"/>
                <w:szCs w:val="20"/>
              </w:rPr>
              <w:t xml:space="preserve"> </w:t>
            </w:r>
            <w:r w:rsidR="000E55CD" w:rsidRPr="002109C7">
              <w:rPr>
                <w:rFonts w:cs="Arial"/>
                <w:b/>
                <w:sz w:val="20"/>
                <w:szCs w:val="20"/>
              </w:rPr>
              <w:t>Supporting Information:</w:t>
            </w:r>
          </w:p>
        </w:tc>
        <w:tc>
          <w:tcPr>
            <w:tcW w:w="2090" w:type="dxa"/>
            <w:shd w:val="clear" w:color="auto" w:fill="auto"/>
          </w:tcPr>
          <w:p w14:paraId="1D2434F7" w14:textId="77777777" w:rsidR="000E55CD" w:rsidRPr="002109C7" w:rsidRDefault="00F20663" w:rsidP="002109C7">
            <w:pPr>
              <w:pStyle w:val="NormalWeb"/>
              <w:ind w:right="-102"/>
              <w:rPr>
                <w:rFonts w:ascii="Arial" w:hAnsi="Arial" w:cs="Arial"/>
                <w:sz w:val="20"/>
                <w:szCs w:val="20"/>
              </w:rPr>
            </w:pPr>
            <w:hyperlink r:id="rId21" w:history="1">
              <w:r w:rsidR="000E55CD" w:rsidRPr="002109C7">
                <w:rPr>
                  <w:rStyle w:val="Hyperlink"/>
                  <w:rFonts w:ascii="Arial" w:hAnsi="Arial" w:cs="Arial"/>
                  <w:sz w:val="20"/>
                  <w:szCs w:val="20"/>
                </w:rPr>
                <w:t>24-A M.R.S.A. § 2736</w:t>
              </w:r>
            </w:hyperlink>
          </w:p>
        </w:tc>
        <w:tc>
          <w:tcPr>
            <w:tcW w:w="6820" w:type="dxa"/>
            <w:gridSpan w:val="3"/>
            <w:shd w:val="clear" w:color="auto" w:fill="auto"/>
          </w:tcPr>
          <w:p w14:paraId="1110A314" w14:textId="77777777" w:rsidR="000E55CD" w:rsidRPr="002109C7" w:rsidRDefault="000E55CD" w:rsidP="002109C7">
            <w:pPr>
              <w:tabs>
                <w:tab w:val="left" w:pos="552"/>
                <w:tab w:val="left" w:pos="720"/>
                <w:tab w:val="left" w:pos="1440"/>
                <w:tab w:val="left" w:pos="2880"/>
                <w:tab w:val="left" w:pos="3600"/>
                <w:tab w:val="left" w:pos="4320"/>
              </w:tabs>
              <w:rPr>
                <w:rFonts w:cs="Arial"/>
                <w:sz w:val="20"/>
                <w:szCs w:val="20"/>
              </w:rPr>
            </w:pPr>
            <w:r w:rsidRPr="002109C7">
              <w:rPr>
                <w:rFonts w:cs="Arial"/>
                <w:sz w:val="20"/>
                <w:szCs w:val="20"/>
              </w:rPr>
              <w:t>The filing must include sufficient supporting information to demonstrate that the rates are not excessive, inadequate, or unfairly discriminatory.</w:t>
            </w:r>
            <w:r w:rsidR="00EC41DB" w:rsidRPr="002109C7">
              <w:rPr>
                <w:rFonts w:cs="Arial"/>
                <w:sz w:val="20"/>
                <w:szCs w:val="20"/>
              </w:rPr>
              <w:t xml:space="preserve">  [</w:t>
            </w:r>
            <w:r w:rsidR="00EC41DB" w:rsidRPr="002109C7">
              <w:rPr>
                <w:sz w:val="20"/>
                <w:szCs w:val="20"/>
              </w:rPr>
              <w:t xml:space="preserve">See </w:t>
            </w:r>
            <w:r w:rsidR="00EC41DB" w:rsidRPr="002109C7">
              <w:rPr>
                <w:rFonts w:cs="Arial"/>
                <w:sz w:val="20"/>
                <w:szCs w:val="20"/>
              </w:rPr>
              <w:t>§</w:t>
            </w:r>
            <w:r w:rsidR="00EC41DB" w:rsidRPr="002109C7">
              <w:rPr>
                <w:sz w:val="20"/>
                <w:szCs w:val="20"/>
              </w:rPr>
              <w:t xml:space="preserve">D and/or </w:t>
            </w:r>
            <w:r w:rsidR="00EC41DB" w:rsidRPr="002109C7">
              <w:rPr>
                <w:rFonts w:cs="Arial"/>
                <w:sz w:val="20"/>
                <w:szCs w:val="20"/>
              </w:rPr>
              <w:t>§</w:t>
            </w:r>
            <w:r w:rsidR="00EC41DB" w:rsidRPr="002109C7">
              <w:rPr>
                <w:sz w:val="20"/>
                <w:szCs w:val="20"/>
              </w:rPr>
              <w:t>E, below.]</w:t>
            </w:r>
          </w:p>
          <w:p w14:paraId="464CE459" w14:textId="77777777" w:rsidR="000E55CD" w:rsidRPr="002109C7" w:rsidRDefault="000E55CD" w:rsidP="002109C7">
            <w:pPr>
              <w:tabs>
                <w:tab w:val="left" w:pos="552"/>
                <w:tab w:val="left" w:pos="720"/>
                <w:tab w:val="left" w:pos="1440"/>
                <w:tab w:val="left" w:pos="2880"/>
                <w:tab w:val="left" w:pos="3600"/>
                <w:tab w:val="left" w:pos="4320"/>
              </w:tabs>
              <w:ind w:left="-108"/>
              <w:rPr>
                <w:rFonts w:cs="Arial"/>
                <w:color w:val="FF0000"/>
                <w:sz w:val="4"/>
                <w:szCs w:val="4"/>
              </w:rPr>
            </w:pPr>
          </w:p>
        </w:tc>
        <w:tc>
          <w:tcPr>
            <w:tcW w:w="1872" w:type="dxa"/>
            <w:gridSpan w:val="2"/>
            <w:shd w:val="clear" w:color="auto" w:fill="auto"/>
          </w:tcPr>
          <w:p w14:paraId="0EE0F903" w14:textId="77777777" w:rsidR="000E55CD" w:rsidRPr="002109C7" w:rsidRDefault="00B533DD" w:rsidP="002109C7">
            <w:pPr>
              <w:ind w:left="-108"/>
              <w:rPr>
                <w:i/>
                <w:sz w:val="20"/>
                <w:szCs w:val="20"/>
              </w:rPr>
            </w:pPr>
            <w:r w:rsidRPr="002109C7">
              <w:rPr>
                <w:i/>
                <w:sz w:val="20"/>
                <w:szCs w:val="20"/>
              </w:rPr>
              <w:t>Location, page, if applicable:</w:t>
            </w:r>
          </w:p>
        </w:tc>
      </w:tr>
      <w:tr w:rsidR="000E55CD" w14:paraId="7994FFDC" w14:textId="77777777" w:rsidTr="002109C7">
        <w:trPr>
          <w:gridAfter w:val="1"/>
          <w:wAfter w:w="13" w:type="dxa"/>
          <w:trHeight w:val="150"/>
        </w:trPr>
        <w:tc>
          <w:tcPr>
            <w:tcW w:w="438" w:type="dxa"/>
            <w:shd w:val="clear" w:color="auto" w:fill="auto"/>
          </w:tcPr>
          <w:p w14:paraId="6E6DADB6" w14:textId="77777777" w:rsidR="000E55CD" w:rsidRDefault="000E55CD" w:rsidP="002109C7"/>
        </w:tc>
        <w:tc>
          <w:tcPr>
            <w:tcW w:w="2310" w:type="dxa"/>
            <w:shd w:val="clear" w:color="auto" w:fill="auto"/>
          </w:tcPr>
          <w:p w14:paraId="00AE0240" w14:textId="77777777" w:rsidR="000E55CD" w:rsidRPr="002109C7" w:rsidRDefault="007173C8" w:rsidP="002109C7">
            <w:pPr>
              <w:ind w:left="221" w:hanging="330"/>
              <w:rPr>
                <w:rFonts w:cs="Arial"/>
                <w:color w:val="FF0000"/>
                <w:sz w:val="20"/>
                <w:szCs w:val="20"/>
              </w:rPr>
            </w:pPr>
            <w:r w:rsidRPr="002109C7">
              <w:rPr>
                <w:rFonts w:cs="Arial"/>
                <w:b/>
                <w:sz w:val="20"/>
                <w:szCs w:val="20"/>
              </w:rPr>
              <w:t xml:space="preserve"> 8</w:t>
            </w:r>
            <w:r w:rsidR="000E55CD" w:rsidRPr="002109C7">
              <w:rPr>
                <w:rFonts w:cs="Arial"/>
                <w:b/>
                <w:sz w:val="20"/>
                <w:szCs w:val="20"/>
              </w:rPr>
              <w:t>. Additional Information</w:t>
            </w:r>
          </w:p>
        </w:tc>
        <w:tc>
          <w:tcPr>
            <w:tcW w:w="2090" w:type="dxa"/>
            <w:shd w:val="clear" w:color="auto" w:fill="auto"/>
          </w:tcPr>
          <w:p w14:paraId="2E9910B7" w14:textId="77777777" w:rsidR="000E55CD" w:rsidRPr="002109C7" w:rsidRDefault="00F20663" w:rsidP="002109C7">
            <w:pPr>
              <w:pStyle w:val="NormalWeb"/>
              <w:ind w:right="-102"/>
              <w:rPr>
                <w:rFonts w:ascii="Arial" w:hAnsi="Arial" w:cs="Arial"/>
                <w:sz w:val="20"/>
                <w:szCs w:val="20"/>
              </w:rPr>
            </w:pPr>
            <w:hyperlink r:id="rId22" w:history="1">
              <w:r w:rsidR="000E55CD" w:rsidRPr="002109C7">
                <w:rPr>
                  <w:rStyle w:val="Hyperlink"/>
                  <w:rFonts w:ascii="Arial" w:hAnsi="Arial" w:cs="Arial"/>
                  <w:sz w:val="20"/>
                  <w:szCs w:val="20"/>
                </w:rPr>
                <w:t>24-A M.R.S.A. § 2736</w:t>
              </w:r>
            </w:hyperlink>
          </w:p>
        </w:tc>
        <w:tc>
          <w:tcPr>
            <w:tcW w:w="6820" w:type="dxa"/>
            <w:gridSpan w:val="3"/>
            <w:shd w:val="clear" w:color="auto" w:fill="auto"/>
          </w:tcPr>
          <w:p w14:paraId="4123108D" w14:textId="77777777" w:rsidR="000E55CD" w:rsidRPr="002109C7" w:rsidRDefault="000E55CD" w:rsidP="002109C7">
            <w:pPr>
              <w:tabs>
                <w:tab w:val="left" w:pos="552"/>
                <w:tab w:val="left" w:pos="720"/>
                <w:tab w:val="left" w:pos="1440"/>
                <w:tab w:val="left" w:pos="2880"/>
                <w:tab w:val="left" w:pos="3600"/>
                <w:tab w:val="left" w:pos="4320"/>
              </w:tabs>
              <w:rPr>
                <w:rFonts w:cs="Arial"/>
                <w:color w:val="FF0000"/>
                <w:sz w:val="20"/>
                <w:szCs w:val="20"/>
              </w:rPr>
            </w:pPr>
            <w:r w:rsidRPr="002109C7">
              <w:rPr>
                <w:rFonts w:cs="Arial"/>
                <w:sz w:val="20"/>
                <w:szCs w:val="20"/>
              </w:rPr>
              <w:t>Any additional information that the Superintendent deems necessary.</w:t>
            </w:r>
          </w:p>
        </w:tc>
        <w:tc>
          <w:tcPr>
            <w:tcW w:w="1872" w:type="dxa"/>
            <w:gridSpan w:val="2"/>
            <w:shd w:val="pct15" w:color="auto" w:fill="auto"/>
          </w:tcPr>
          <w:p w14:paraId="793ECEEB" w14:textId="77777777" w:rsidR="000E55CD" w:rsidRPr="002109C7" w:rsidRDefault="000E55CD" w:rsidP="002109C7">
            <w:pPr>
              <w:ind w:left="-108"/>
              <w:rPr>
                <w:i/>
                <w:sz w:val="20"/>
                <w:szCs w:val="20"/>
              </w:rPr>
            </w:pPr>
          </w:p>
        </w:tc>
      </w:tr>
      <w:tr w:rsidR="000E55CD" w14:paraId="6605BF00" w14:textId="77777777" w:rsidTr="002109C7">
        <w:trPr>
          <w:gridAfter w:val="1"/>
          <w:wAfter w:w="13" w:type="dxa"/>
          <w:trHeight w:val="51"/>
        </w:trPr>
        <w:tc>
          <w:tcPr>
            <w:tcW w:w="438" w:type="dxa"/>
            <w:shd w:val="clear" w:color="auto" w:fill="auto"/>
          </w:tcPr>
          <w:p w14:paraId="642889BD" w14:textId="77777777" w:rsidR="000E55CD" w:rsidRDefault="000E55CD" w:rsidP="002109C7"/>
        </w:tc>
        <w:tc>
          <w:tcPr>
            <w:tcW w:w="2310" w:type="dxa"/>
            <w:shd w:val="clear" w:color="auto" w:fill="auto"/>
          </w:tcPr>
          <w:p w14:paraId="02390A61" w14:textId="77777777" w:rsidR="000E55CD" w:rsidRPr="002109C7" w:rsidRDefault="007173C8" w:rsidP="002109C7">
            <w:pPr>
              <w:ind w:left="221" w:hanging="330"/>
              <w:rPr>
                <w:rFonts w:cs="Arial"/>
                <w:color w:val="FF0000"/>
                <w:sz w:val="20"/>
                <w:szCs w:val="20"/>
              </w:rPr>
            </w:pPr>
            <w:r w:rsidRPr="002109C7">
              <w:rPr>
                <w:rFonts w:cs="Arial"/>
                <w:b/>
                <w:sz w:val="20"/>
                <w:szCs w:val="20"/>
              </w:rPr>
              <w:t xml:space="preserve"> 9</w:t>
            </w:r>
            <w:r w:rsidR="000E55CD" w:rsidRPr="002109C7">
              <w:rPr>
                <w:rFonts w:cs="Arial"/>
                <w:b/>
                <w:sz w:val="20"/>
                <w:szCs w:val="20"/>
              </w:rPr>
              <w:t>. Non-compliant Filing:</w:t>
            </w:r>
          </w:p>
        </w:tc>
        <w:tc>
          <w:tcPr>
            <w:tcW w:w="2090" w:type="dxa"/>
            <w:shd w:val="clear" w:color="auto" w:fill="auto"/>
          </w:tcPr>
          <w:p w14:paraId="614FE23C" w14:textId="77777777" w:rsidR="000E55CD" w:rsidRPr="002109C7" w:rsidRDefault="00F20663" w:rsidP="002109C7">
            <w:pPr>
              <w:pStyle w:val="NormalWeb"/>
              <w:ind w:right="-102"/>
              <w:rPr>
                <w:rFonts w:ascii="Arial" w:hAnsi="Arial" w:cs="Arial"/>
                <w:sz w:val="20"/>
                <w:szCs w:val="20"/>
              </w:rPr>
            </w:pPr>
            <w:hyperlink r:id="rId23" w:history="1">
              <w:r w:rsidR="000E55CD" w:rsidRPr="002109C7">
                <w:rPr>
                  <w:rStyle w:val="Hyperlink"/>
                  <w:rFonts w:ascii="Arial" w:hAnsi="Arial" w:cs="Arial"/>
                  <w:sz w:val="20"/>
                  <w:szCs w:val="20"/>
                </w:rPr>
                <w:t>24-A M.R.S.A. § 2736</w:t>
              </w:r>
            </w:hyperlink>
          </w:p>
        </w:tc>
        <w:tc>
          <w:tcPr>
            <w:tcW w:w="6820" w:type="dxa"/>
            <w:gridSpan w:val="3"/>
            <w:shd w:val="clear" w:color="auto" w:fill="auto"/>
          </w:tcPr>
          <w:p w14:paraId="50A6FE13" w14:textId="77777777" w:rsidR="000E55CD" w:rsidRPr="002109C7" w:rsidRDefault="000E55CD" w:rsidP="0066234F">
            <w:pPr>
              <w:rPr>
                <w:rFonts w:cs="Arial"/>
                <w:sz w:val="20"/>
                <w:szCs w:val="24"/>
              </w:rPr>
            </w:pPr>
            <w:r w:rsidRPr="002109C7">
              <w:rPr>
                <w:rFonts w:cs="Arial"/>
                <w:sz w:val="20"/>
                <w:szCs w:val="24"/>
              </w:rPr>
              <w:t>If the Bureau requests additional information or finds the rates not to be in compliance with the applicable requirements,</w:t>
            </w:r>
            <w:r w:rsidR="00CF094A" w:rsidRPr="002109C7">
              <w:rPr>
                <w:rFonts w:cs="Arial"/>
                <w:sz w:val="20"/>
                <w:szCs w:val="24"/>
              </w:rPr>
              <w:t xml:space="preserve"> </w:t>
            </w:r>
            <w:r w:rsidR="004361E0" w:rsidRPr="002109C7">
              <w:rPr>
                <w:rFonts w:cs="Arial"/>
                <w:sz w:val="20"/>
                <w:szCs w:val="24"/>
              </w:rPr>
              <w:t>the form</w:t>
            </w:r>
            <w:r w:rsidR="00CF094A" w:rsidRPr="002109C7">
              <w:rPr>
                <w:rFonts w:cs="Arial"/>
                <w:sz w:val="20"/>
                <w:szCs w:val="24"/>
              </w:rPr>
              <w:t xml:space="preserve"> may not be sold in </w:t>
            </w:r>
            <w:smartTag w:uri="urn:schemas-microsoft-com:office:smarttags" w:element="State">
              <w:smartTag w:uri="urn:schemas-microsoft-com:office:smarttags" w:element="place">
                <w:r w:rsidR="00CF094A" w:rsidRPr="002109C7">
                  <w:rPr>
                    <w:rFonts w:cs="Arial"/>
                    <w:sz w:val="20"/>
                    <w:szCs w:val="24"/>
                  </w:rPr>
                  <w:t>Maine</w:t>
                </w:r>
              </w:smartTag>
            </w:smartTag>
            <w:r w:rsidR="004361E0" w:rsidRPr="002109C7">
              <w:rPr>
                <w:rFonts w:cs="Arial"/>
                <w:sz w:val="20"/>
                <w:szCs w:val="24"/>
              </w:rPr>
              <w:t xml:space="preserve"> until the rates are found to be acceptable</w:t>
            </w:r>
            <w:r w:rsidRPr="002109C7">
              <w:rPr>
                <w:rFonts w:cs="Arial"/>
                <w:sz w:val="20"/>
                <w:szCs w:val="24"/>
              </w:rPr>
              <w:t>.</w:t>
            </w:r>
          </w:p>
        </w:tc>
        <w:tc>
          <w:tcPr>
            <w:tcW w:w="1872" w:type="dxa"/>
            <w:gridSpan w:val="2"/>
            <w:shd w:val="pct15" w:color="auto" w:fill="auto"/>
          </w:tcPr>
          <w:p w14:paraId="316E0D6C" w14:textId="77777777" w:rsidR="000E55CD" w:rsidRPr="002109C7" w:rsidRDefault="000E55CD" w:rsidP="002109C7">
            <w:pPr>
              <w:ind w:left="-108"/>
              <w:rPr>
                <w:i/>
                <w:sz w:val="20"/>
                <w:szCs w:val="20"/>
              </w:rPr>
            </w:pPr>
          </w:p>
        </w:tc>
      </w:tr>
      <w:tr w:rsidR="000E55CD" w14:paraId="0E4A441F" w14:textId="77777777" w:rsidTr="002109C7">
        <w:trPr>
          <w:gridAfter w:val="1"/>
          <w:wAfter w:w="13" w:type="dxa"/>
          <w:trHeight w:val="50"/>
        </w:trPr>
        <w:tc>
          <w:tcPr>
            <w:tcW w:w="438" w:type="dxa"/>
            <w:shd w:val="clear" w:color="auto" w:fill="auto"/>
          </w:tcPr>
          <w:p w14:paraId="057D49E1" w14:textId="77777777" w:rsidR="000E55CD" w:rsidRDefault="000E55CD" w:rsidP="002109C7"/>
        </w:tc>
        <w:tc>
          <w:tcPr>
            <w:tcW w:w="2310" w:type="dxa"/>
            <w:shd w:val="clear" w:color="auto" w:fill="auto"/>
          </w:tcPr>
          <w:p w14:paraId="3287FF47" w14:textId="77777777" w:rsidR="000E55CD" w:rsidRPr="002109C7" w:rsidRDefault="007173C8" w:rsidP="002109C7">
            <w:pPr>
              <w:ind w:left="222" w:hanging="330"/>
              <w:rPr>
                <w:rFonts w:cs="Arial"/>
                <w:color w:val="FF0000"/>
                <w:sz w:val="20"/>
                <w:szCs w:val="20"/>
              </w:rPr>
            </w:pPr>
            <w:r w:rsidRPr="002109C7">
              <w:rPr>
                <w:rFonts w:cs="Arial"/>
                <w:b/>
                <w:sz w:val="20"/>
                <w:szCs w:val="20"/>
              </w:rPr>
              <w:t>10</w:t>
            </w:r>
            <w:r w:rsidR="000B2A6F" w:rsidRPr="002109C7">
              <w:rPr>
                <w:rFonts w:cs="Arial"/>
                <w:b/>
                <w:sz w:val="20"/>
                <w:szCs w:val="20"/>
              </w:rPr>
              <w:t>.</w:t>
            </w:r>
            <w:r w:rsidR="000B2A6F" w:rsidRPr="002109C7">
              <w:rPr>
                <w:rFonts w:cs="Arial"/>
                <w:sz w:val="20"/>
                <w:szCs w:val="20"/>
              </w:rPr>
              <w:t xml:space="preserve"> </w:t>
            </w:r>
            <w:r w:rsidR="000B2A6F" w:rsidRPr="002109C7">
              <w:rPr>
                <w:rFonts w:cs="Arial"/>
                <w:b/>
                <w:sz w:val="20"/>
                <w:szCs w:val="20"/>
              </w:rPr>
              <w:t>Actuarial Certification:</w:t>
            </w:r>
          </w:p>
        </w:tc>
        <w:tc>
          <w:tcPr>
            <w:tcW w:w="2090" w:type="dxa"/>
            <w:shd w:val="clear" w:color="auto" w:fill="auto"/>
          </w:tcPr>
          <w:p w14:paraId="265905A9" w14:textId="77777777" w:rsidR="000E55CD" w:rsidRPr="002109C7" w:rsidRDefault="00F20663" w:rsidP="002109C7">
            <w:pPr>
              <w:pStyle w:val="NormalWeb"/>
              <w:ind w:right="-102"/>
              <w:rPr>
                <w:rFonts w:ascii="Arial" w:hAnsi="Arial" w:cs="Arial"/>
                <w:sz w:val="20"/>
                <w:szCs w:val="20"/>
              </w:rPr>
            </w:pPr>
            <w:hyperlink r:id="rId24" w:history="1">
              <w:r w:rsidR="000B2A6F" w:rsidRPr="002109C7">
                <w:rPr>
                  <w:rStyle w:val="Hyperlink"/>
                  <w:rFonts w:ascii="Arial" w:hAnsi="Arial" w:cs="Arial"/>
                  <w:sz w:val="20"/>
                  <w:szCs w:val="20"/>
                </w:rPr>
                <w:t>Rule 425, § 10. B.(2)</w:t>
              </w:r>
            </w:hyperlink>
            <w:r w:rsidR="000B2A6F" w:rsidRPr="002109C7">
              <w:rPr>
                <w:rFonts w:ascii="Arial" w:hAnsi="Arial" w:cs="Arial"/>
                <w:sz w:val="20"/>
                <w:szCs w:val="20"/>
              </w:rPr>
              <w:t xml:space="preserve"> </w:t>
            </w:r>
            <w:hyperlink r:id="rId25" w:history="1">
              <w:r w:rsidR="000B2A6F" w:rsidRPr="002109C7">
                <w:rPr>
                  <w:rStyle w:val="Hyperlink"/>
                  <w:rFonts w:ascii="Arial" w:hAnsi="Arial" w:cs="Arial"/>
                  <w:sz w:val="20"/>
                  <w:szCs w:val="20"/>
                </w:rPr>
                <w:t>Rule 425, § 20. B.(2)</w:t>
              </w:r>
            </w:hyperlink>
          </w:p>
        </w:tc>
        <w:tc>
          <w:tcPr>
            <w:tcW w:w="6820" w:type="dxa"/>
            <w:gridSpan w:val="3"/>
            <w:shd w:val="clear" w:color="auto" w:fill="auto"/>
          </w:tcPr>
          <w:p w14:paraId="403AE715" w14:textId="77777777" w:rsidR="000B2A6F" w:rsidRPr="002109C7" w:rsidRDefault="000B2A6F" w:rsidP="000B2A6F">
            <w:pPr>
              <w:rPr>
                <w:rFonts w:cs="Arial"/>
                <w:sz w:val="20"/>
                <w:szCs w:val="20"/>
              </w:rPr>
            </w:pPr>
            <w:r w:rsidRPr="002109C7">
              <w:rPr>
                <w:rFonts w:cs="Arial"/>
                <w:sz w:val="20"/>
                <w:szCs w:val="20"/>
              </w:rPr>
              <w:t xml:space="preserve">There must be certification by a qualified actuary that, to the best of the actuary’s knowledge and judgment, the entire rate filing is in compliance with the applicable laws of the State of </w:t>
            </w:r>
            <w:smartTag w:uri="urn:schemas-microsoft-com:office:smarttags" w:element="place">
              <w:smartTag w:uri="urn:schemas-microsoft-com:office:smarttags" w:element="State">
                <w:r w:rsidRPr="002109C7">
                  <w:rPr>
                    <w:rFonts w:cs="Arial"/>
                    <w:sz w:val="20"/>
                    <w:szCs w:val="20"/>
                  </w:rPr>
                  <w:t>Maine</w:t>
                </w:r>
              </w:smartTag>
            </w:smartTag>
            <w:r w:rsidRPr="002109C7">
              <w:rPr>
                <w:rFonts w:cs="Arial"/>
                <w:sz w:val="20"/>
                <w:szCs w:val="20"/>
              </w:rPr>
              <w:t xml:space="preserve"> and with the rules of the Bureau of Insurance.  “Qualified actuary,” as used herein, means a </w:t>
            </w:r>
            <w:r w:rsidR="00EE12CD">
              <w:rPr>
                <w:rFonts w:cs="Arial"/>
                <w:sz w:val="20"/>
                <w:szCs w:val="20"/>
              </w:rPr>
              <w:t>m</w:t>
            </w:r>
            <w:r w:rsidRPr="002109C7">
              <w:rPr>
                <w:rFonts w:cs="Arial"/>
                <w:sz w:val="20"/>
                <w:szCs w:val="20"/>
              </w:rPr>
              <w:t xml:space="preserve">ember in good standing of the </w:t>
            </w:r>
            <w:smartTag w:uri="urn:schemas-microsoft-com:office:smarttags" w:element="PersonName">
              <w:r w:rsidRPr="002109C7">
                <w:rPr>
                  <w:rFonts w:cs="Arial"/>
                  <w:sz w:val="20"/>
                  <w:szCs w:val="20"/>
                </w:rPr>
                <w:t>American Academy of Actuaries</w:t>
              </w:r>
            </w:smartTag>
            <w:r w:rsidRPr="002109C7">
              <w:rPr>
                <w:rFonts w:cs="Arial"/>
                <w:sz w:val="20"/>
                <w:szCs w:val="20"/>
              </w:rPr>
              <w:t>.</w:t>
            </w:r>
          </w:p>
          <w:p w14:paraId="2EBFDD6F" w14:textId="77777777" w:rsidR="000E55CD" w:rsidRPr="002109C7" w:rsidRDefault="000E55CD" w:rsidP="002109C7">
            <w:pPr>
              <w:tabs>
                <w:tab w:val="left" w:pos="552"/>
                <w:tab w:val="left" w:pos="720"/>
                <w:tab w:val="left" w:pos="1440"/>
                <w:tab w:val="left" w:pos="2880"/>
                <w:tab w:val="left" w:pos="3600"/>
                <w:tab w:val="left" w:pos="4320"/>
              </w:tabs>
              <w:ind w:left="-110"/>
              <w:rPr>
                <w:rFonts w:cs="Arial"/>
                <w:color w:val="FF0000"/>
                <w:sz w:val="4"/>
                <w:szCs w:val="4"/>
              </w:rPr>
            </w:pPr>
          </w:p>
        </w:tc>
        <w:tc>
          <w:tcPr>
            <w:tcW w:w="1872" w:type="dxa"/>
            <w:gridSpan w:val="2"/>
            <w:shd w:val="clear" w:color="auto" w:fill="auto"/>
          </w:tcPr>
          <w:p w14:paraId="119EA5C5" w14:textId="77777777" w:rsidR="000E55CD" w:rsidRPr="002109C7" w:rsidRDefault="00B20E5A" w:rsidP="002109C7">
            <w:pPr>
              <w:ind w:left="-108"/>
              <w:rPr>
                <w:i/>
                <w:sz w:val="20"/>
                <w:szCs w:val="20"/>
              </w:rPr>
            </w:pPr>
            <w:r w:rsidRPr="002109C7">
              <w:rPr>
                <w:i/>
                <w:sz w:val="20"/>
                <w:szCs w:val="20"/>
              </w:rPr>
              <w:t>Location, page:</w:t>
            </w:r>
          </w:p>
        </w:tc>
      </w:tr>
      <w:tr w:rsidR="0096612B" w14:paraId="3AD3D64A" w14:textId="77777777" w:rsidTr="002109C7">
        <w:trPr>
          <w:trHeight w:val="242"/>
        </w:trPr>
        <w:tc>
          <w:tcPr>
            <w:tcW w:w="438" w:type="dxa"/>
            <w:tcBorders>
              <w:bottom w:val="single" w:sz="4" w:space="0" w:color="auto"/>
            </w:tcBorders>
            <w:shd w:val="clear" w:color="auto" w:fill="auto"/>
          </w:tcPr>
          <w:p w14:paraId="52240CA9" w14:textId="77777777" w:rsidR="00D1076E" w:rsidRPr="002109C7" w:rsidRDefault="00D1076E" w:rsidP="002109C7">
            <w:pPr>
              <w:ind w:left="-110" w:right="-108"/>
              <w:rPr>
                <w:rFonts w:cs="Arial"/>
                <w:b/>
                <w:sz w:val="4"/>
                <w:szCs w:val="4"/>
              </w:rPr>
            </w:pPr>
          </w:p>
          <w:p w14:paraId="4C06A076" w14:textId="77777777" w:rsidR="0096612B" w:rsidRPr="002109C7" w:rsidRDefault="0096612B" w:rsidP="002109C7">
            <w:pPr>
              <w:ind w:right="-108"/>
              <w:rPr>
                <w:rFonts w:cs="Arial"/>
                <w:b/>
              </w:rPr>
            </w:pPr>
            <w:r w:rsidRPr="002109C7">
              <w:rPr>
                <w:rFonts w:cs="Arial"/>
                <w:b/>
              </w:rPr>
              <w:t>D.</w:t>
            </w:r>
          </w:p>
          <w:p w14:paraId="3546AC61" w14:textId="77777777" w:rsidR="00D1076E" w:rsidRPr="002109C7" w:rsidRDefault="00D1076E" w:rsidP="002109C7">
            <w:pPr>
              <w:ind w:left="-110" w:right="-120"/>
              <w:rPr>
                <w:rFonts w:cs="Arial"/>
                <w:b/>
                <w:sz w:val="4"/>
                <w:szCs w:val="4"/>
              </w:rPr>
            </w:pPr>
          </w:p>
        </w:tc>
        <w:tc>
          <w:tcPr>
            <w:tcW w:w="13105" w:type="dxa"/>
            <w:gridSpan w:val="8"/>
            <w:shd w:val="clear" w:color="auto" w:fill="auto"/>
          </w:tcPr>
          <w:p w14:paraId="734FD316" w14:textId="77777777" w:rsidR="004750DE" w:rsidRPr="002109C7" w:rsidRDefault="004750DE" w:rsidP="002109C7">
            <w:pPr>
              <w:ind w:left="-108"/>
              <w:rPr>
                <w:rFonts w:cs="Arial"/>
                <w:b/>
                <w:sz w:val="4"/>
                <w:szCs w:val="4"/>
              </w:rPr>
            </w:pPr>
          </w:p>
          <w:p w14:paraId="5861E8A1" w14:textId="77777777" w:rsidR="0096612B" w:rsidRPr="002109C7" w:rsidRDefault="0096612B" w:rsidP="002109C7">
            <w:pPr>
              <w:rPr>
                <w:rFonts w:cs="Arial"/>
                <w:color w:val="FF0000"/>
              </w:rPr>
            </w:pPr>
            <w:r w:rsidRPr="002109C7">
              <w:rPr>
                <w:rFonts w:cs="Arial"/>
                <w:b/>
              </w:rPr>
              <w:t xml:space="preserve">Initial Rate Filing Procedures: </w:t>
            </w:r>
            <w:hyperlink r:id="rId26" w:history="1">
              <w:r w:rsidRPr="002109C7">
                <w:rPr>
                  <w:rStyle w:val="Hyperlink"/>
                  <w:rFonts w:cs="Arial"/>
                </w:rPr>
                <w:t>Rule 425, § 10</w:t>
              </w:r>
            </w:hyperlink>
          </w:p>
          <w:p w14:paraId="3F264939" w14:textId="77777777" w:rsidR="0096612B" w:rsidRPr="002109C7" w:rsidRDefault="0096612B" w:rsidP="002109C7">
            <w:pPr>
              <w:ind w:left="-108"/>
              <w:rPr>
                <w:sz w:val="4"/>
                <w:szCs w:val="4"/>
              </w:rPr>
            </w:pPr>
          </w:p>
        </w:tc>
      </w:tr>
      <w:tr w:rsidR="005279C2" w14:paraId="69A7F0A7" w14:textId="77777777" w:rsidTr="002109C7">
        <w:trPr>
          <w:gridAfter w:val="1"/>
          <w:wAfter w:w="13" w:type="dxa"/>
          <w:trHeight w:val="503"/>
        </w:trPr>
        <w:tc>
          <w:tcPr>
            <w:tcW w:w="438" w:type="dxa"/>
            <w:shd w:val="clear" w:color="auto" w:fill="auto"/>
          </w:tcPr>
          <w:p w14:paraId="6BD0B2C4" w14:textId="77777777" w:rsidR="005279C2" w:rsidRPr="002109C7" w:rsidRDefault="005279C2" w:rsidP="002109C7">
            <w:pPr>
              <w:ind w:left="-110"/>
              <w:rPr>
                <w:rFonts w:cs="Arial"/>
                <w:b/>
                <w:sz w:val="20"/>
                <w:szCs w:val="20"/>
              </w:rPr>
            </w:pPr>
          </w:p>
        </w:tc>
        <w:tc>
          <w:tcPr>
            <w:tcW w:w="2310" w:type="dxa"/>
            <w:shd w:val="clear" w:color="auto" w:fill="auto"/>
          </w:tcPr>
          <w:p w14:paraId="4066F9E5" w14:textId="77777777" w:rsidR="005279C2" w:rsidRPr="002109C7" w:rsidRDefault="005279C2" w:rsidP="002109C7">
            <w:pPr>
              <w:ind w:left="2" w:right="-108" w:hanging="110"/>
              <w:rPr>
                <w:rFonts w:cs="Arial"/>
                <w:sz w:val="20"/>
                <w:szCs w:val="20"/>
              </w:rPr>
            </w:pPr>
            <w:r w:rsidRPr="002109C7">
              <w:rPr>
                <w:rFonts w:cs="Arial"/>
                <w:b/>
                <w:sz w:val="20"/>
                <w:szCs w:val="20"/>
              </w:rPr>
              <w:t>1. Applicability:</w:t>
            </w:r>
          </w:p>
        </w:tc>
        <w:tc>
          <w:tcPr>
            <w:tcW w:w="2090" w:type="dxa"/>
            <w:shd w:val="clear" w:color="auto" w:fill="auto"/>
          </w:tcPr>
          <w:p w14:paraId="498DA739" w14:textId="77777777" w:rsidR="005279C2" w:rsidRPr="002109C7" w:rsidRDefault="00F20663" w:rsidP="002109C7">
            <w:pPr>
              <w:pStyle w:val="NormalWeb"/>
              <w:rPr>
                <w:rFonts w:ascii="Arial" w:hAnsi="Arial" w:cs="Arial"/>
                <w:sz w:val="20"/>
                <w:szCs w:val="20"/>
              </w:rPr>
            </w:pPr>
            <w:hyperlink r:id="rId27" w:history="1">
              <w:r w:rsidR="005279C2" w:rsidRPr="002109C7">
                <w:rPr>
                  <w:rStyle w:val="Hyperlink"/>
                  <w:rFonts w:ascii="Arial" w:hAnsi="Arial" w:cs="Arial"/>
                  <w:sz w:val="20"/>
                  <w:szCs w:val="20"/>
                </w:rPr>
                <w:t>Rule 425, § 10. A.</w:t>
              </w:r>
            </w:hyperlink>
          </w:p>
        </w:tc>
        <w:tc>
          <w:tcPr>
            <w:tcW w:w="6820" w:type="dxa"/>
            <w:gridSpan w:val="3"/>
            <w:shd w:val="clear" w:color="auto" w:fill="auto"/>
          </w:tcPr>
          <w:p w14:paraId="5A551829" w14:textId="77777777" w:rsidR="005279C2" w:rsidRPr="002109C7" w:rsidRDefault="005279C2" w:rsidP="002109C7">
            <w:pPr>
              <w:ind w:left="222" w:hanging="220"/>
              <w:rPr>
                <w:rFonts w:cs="Arial"/>
                <w:color w:val="FF0000"/>
                <w:sz w:val="20"/>
                <w:szCs w:val="20"/>
              </w:rPr>
            </w:pPr>
            <w:r w:rsidRPr="002109C7">
              <w:rPr>
                <w:rFonts w:cs="Arial"/>
                <w:sz w:val="20"/>
                <w:szCs w:val="20"/>
              </w:rPr>
              <w:t>A. This section applies to any long term care policy issued in this state on or after October 1, 2004.</w:t>
            </w:r>
          </w:p>
          <w:p w14:paraId="0D8CD0AA" w14:textId="77777777" w:rsidR="005279C2" w:rsidRPr="002109C7" w:rsidRDefault="005279C2" w:rsidP="002109C7">
            <w:pPr>
              <w:ind w:left="-108"/>
              <w:rPr>
                <w:rFonts w:cs="Arial"/>
                <w:sz w:val="6"/>
                <w:szCs w:val="6"/>
              </w:rPr>
            </w:pPr>
          </w:p>
        </w:tc>
        <w:tc>
          <w:tcPr>
            <w:tcW w:w="1872" w:type="dxa"/>
            <w:gridSpan w:val="2"/>
            <w:tcBorders>
              <w:bottom w:val="single" w:sz="4" w:space="0" w:color="auto"/>
            </w:tcBorders>
            <w:shd w:val="pct15" w:color="auto" w:fill="auto"/>
          </w:tcPr>
          <w:p w14:paraId="6E2DAF38" w14:textId="77777777" w:rsidR="005279C2" w:rsidRPr="002109C7" w:rsidRDefault="005279C2" w:rsidP="002109C7">
            <w:pPr>
              <w:rPr>
                <w:sz w:val="20"/>
                <w:szCs w:val="20"/>
              </w:rPr>
            </w:pPr>
          </w:p>
        </w:tc>
      </w:tr>
      <w:tr w:rsidR="005279C2" w14:paraId="60D73BD6" w14:textId="77777777" w:rsidTr="002109C7">
        <w:trPr>
          <w:gridAfter w:val="1"/>
          <w:wAfter w:w="13" w:type="dxa"/>
          <w:trHeight w:val="2150"/>
        </w:trPr>
        <w:tc>
          <w:tcPr>
            <w:tcW w:w="438" w:type="dxa"/>
            <w:shd w:val="clear" w:color="auto" w:fill="auto"/>
          </w:tcPr>
          <w:p w14:paraId="6AC81380" w14:textId="77777777" w:rsidR="005279C2" w:rsidRPr="002109C7" w:rsidRDefault="005279C2" w:rsidP="002109C7">
            <w:pPr>
              <w:ind w:left="-110"/>
              <w:rPr>
                <w:rFonts w:cs="Arial"/>
                <w:b/>
                <w:sz w:val="20"/>
                <w:szCs w:val="20"/>
              </w:rPr>
            </w:pPr>
          </w:p>
        </w:tc>
        <w:tc>
          <w:tcPr>
            <w:tcW w:w="2310" w:type="dxa"/>
            <w:shd w:val="clear" w:color="auto" w:fill="auto"/>
          </w:tcPr>
          <w:p w14:paraId="18A117BA" w14:textId="77777777" w:rsidR="005279C2" w:rsidRPr="002109C7" w:rsidRDefault="005279C2" w:rsidP="002109C7">
            <w:pPr>
              <w:ind w:left="2" w:right="-108" w:hanging="110"/>
              <w:rPr>
                <w:rFonts w:cs="Arial"/>
                <w:b/>
                <w:sz w:val="20"/>
                <w:szCs w:val="20"/>
              </w:rPr>
            </w:pPr>
            <w:r w:rsidRPr="002109C7">
              <w:rPr>
                <w:rFonts w:cs="Arial"/>
                <w:b/>
                <w:sz w:val="20"/>
                <w:szCs w:val="20"/>
              </w:rPr>
              <w:t>2.</w:t>
            </w:r>
            <w:r w:rsidRPr="002109C7">
              <w:rPr>
                <w:rFonts w:cs="Arial"/>
                <w:sz w:val="20"/>
                <w:szCs w:val="20"/>
              </w:rPr>
              <w:t xml:space="preserve"> </w:t>
            </w:r>
            <w:r w:rsidRPr="002109C7">
              <w:rPr>
                <w:rFonts w:cs="Arial"/>
                <w:b/>
                <w:sz w:val="20"/>
                <w:szCs w:val="20"/>
              </w:rPr>
              <w:t>Timeliness of Filing, Actuarial Certification, and other Requirements:</w:t>
            </w:r>
          </w:p>
        </w:tc>
        <w:tc>
          <w:tcPr>
            <w:tcW w:w="2090" w:type="dxa"/>
            <w:shd w:val="clear" w:color="auto" w:fill="auto"/>
          </w:tcPr>
          <w:p w14:paraId="771808B8" w14:textId="77777777" w:rsidR="005279C2" w:rsidRPr="002109C7" w:rsidRDefault="00F20663" w:rsidP="002109C7">
            <w:pPr>
              <w:pStyle w:val="NormalWeb"/>
              <w:rPr>
                <w:rFonts w:ascii="Arial" w:hAnsi="Arial" w:cs="Arial"/>
                <w:sz w:val="20"/>
                <w:szCs w:val="20"/>
              </w:rPr>
            </w:pPr>
            <w:hyperlink r:id="rId28" w:history="1">
              <w:r w:rsidR="005279C2" w:rsidRPr="002109C7">
                <w:rPr>
                  <w:rStyle w:val="Hyperlink"/>
                  <w:rFonts w:ascii="Arial" w:hAnsi="Arial" w:cs="Arial"/>
                  <w:sz w:val="20"/>
                  <w:szCs w:val="20"/>
                </w:rPr>
                <w:t>Rule 425, § 10. B.</w:t>
              </w:r>
            </w:hyperlink>
          </w:p>
        </w:tc>
        <w:tc>
          <w:tcPr>
            <w:tcW w:w="6820" w:type="dxa"/>
            <w:gridSpan w:val="3"/>
            <w:shd w:val="clear" w:color="auto" w:fill="auto"/>
          </w:tcPr>
          <w:p w14:paraId="701365FD" w14:textId="77777777" w:rsidR="005279C2" w:rsidRPr="002109C7" w:rsidRDefault="005279C2" w:rsidP="002109C7">
            <w:pPr>
              <w:tabs>
                <w:tab w:val="left" w:pos="540"/>
              </w:tabs>
              <w:spacing w:line="240" w:lineRule="atLeast"/>
              <w:ind w:left="222" w:hanging="222"/>
              <w:rPr>
                <w:rFonts w:cs="Arial"/>
                <w:sz w:val="20"/>
                <w:szCs w:val="20"/>
              </w:rPr>
            </w:pPr>
            <w:r w:rsidRPr="002109C7">
              <w:rPr>
                <w:rFonts w:cs="Arial"/>
                <w:sz w:val="20"/>
                <w:szCs w:val="20"/>
              </w:rPr>
              <w:t xml:space="preserve">B. At least </w:t>
            </w:r>
            <w:r w:rsidRPr="002109C7">
              <w:rPr>
                <w:rFonts w:cs="Arial"/>
                <w:b/>
                <w:sz w:val="20"/>
                <w:szCs w:val="20"/>
              </w:rPr>
              <w:t>30</w:t>
            </w:r>
            <w:r w:rsidRPr="002109C7">
              <w:rPr>
                <w:rFonts w:cs="Arial"/>
                <w:sz w:val="20"/>
                <w:szCs w:val="20"/>
              </w:rPr>
              <w:t xml:space="preserve"> days before making a</w:t>
            </w:r>
            <w:r w:rsidRPr="002109C7">
              <w:rPr>
                <w:rFonts w:cs="Arial"/>
                <w:color w:val="FF0000"/>
                <w:sz w:val="20"/>
                <w:szCs w:val="20"/>
              </w:rPr>
              <w:t xml:space="preserve"> </w:t>
            </w:r>
            <w:r w:rsidRPr="002109C7">
              <w:rPr>
                <w:rFonts w:cs="Arial"/>
                <w:sz w:val="20"/>
                <w:szCs w:val="20"/>
              </w:rPr>
              <w:t>long-term care insurance form available for sale, an insurer shall provide the superintendent with the information requested in B.(1), B.(2), and sub-§ D. 3</w:t>
            </w:r>
            <w:r w:rsidR="00D14C86" w:rsidRPr="002109C7">
              <w:rPr>
                <w:rFonts w:cs="Arial"/>
                <w:sz w:val="20"/>
                <w:szCs w:val="20"/>
              </w:rPr>
              <w:t>,</w:t>
            </w:r>
            <w:r w:rsidRPr="002109C7">
              <w:rPr>
                <w:rFonts w:cs="Arial"/>
                <w:sz w:val="20"/>
                <w:szCs w:val="20"/>
              </w:rPr>
              <w:t xml:space="preserve"> below.</w:t>
            </w:r>
          </w:p>
          <w:p w14:paraId="333C9186" w14:textId="77777777" w:rsidR="005279C2" w:rsidRPr="002109C7" w:rsidRDefault="005279C2" w:rsidP="002109C7">
            <w:pPr>
              <w:ind w:left="-108"/>
              <w:rPr>
                <w:sz w:val="4"/>
                <w:szCs w:val="4"/>
              </w:rPr>
            </w:pPr>
          </w:p>
          <w:p w14:paraId="35A789D6" w14:textId="77777777" w:rsidR="005279C2" w:rsidRPr="002109C7" w:rsidRDefault="005279C2" w:rsidP="002109C7">
            <w:pPr>
              <w:tabs>
                <w:tab w:val="left" w:pos="540"/>
              </w:tabs>
              <w:spacing w:line="240" w:lineRule="atLeast"/>
              <w:ind w:left="222"/>
              <w:rPr>
                <w:rFonts w:cs="Arial"/>
                <w:sz w:val="20"/>
                <w:szCs w:val="20"/>
              </w:rPr>
            </w:pPr>
            <w:r w:rsidRPr="002109C7">
              <w:rPr>
                <w:rFonts w:cs="Arial"/>
                <w:sz w:val="20"/>
                <w:szCs w:val="20"/>
              </w:rPr>
              <w:t xml:space="preserve">(1) A copy of the disclosure documents required under </w:t>
            </w:r>
            <w:hyperlink r:id="rId29" w:history="1">
              <w:r w:rsidRPr="002109C7">
                <w:rPr>
                  <w:rStyle w:val="Hyperlink"/>
                  <w:rFonts w:cs="Arial"/>
                  <w:sz w:val="20"/>
                  <w:szCs w:val="20"/>
                </w:rPr>
                <w:t>Rule 425, §9</w:t>
              </w:r>
            </w:hyperlink>
            <w:r w:rsidRPr="002109C7">
              <w:rPr>
                <w:rFonts w:cs="Arial"/>
                <w:sz w:val="20"/>
                <w:szCs w:val="20"/>
              </w:rPr>
              <w:t xml:space="preserve">;   </w:t>
            </w:r>
          </w:p>
          <w:p w14:paraId="775FAD82" w14:textId="77777777" w:rsidR="005279C2" w:rsidRPr="002109C7" w:rsidRDefault="005279C2" w:rsidP="002109C7">
            <w:pPr>
              <w:ind w:left="-108"/>
              <w:rPr>
                <w:sz w:val="4"/>
                <w:szCs w:val="4"/>
              </w:rPr>
            </w:pPr>
          </w:p>
          <w:p w14:paraId="2C903B1B" w14:textId="77777777" w:rsidR="005279C2" w:rsidRPr="002109C7" w:rsidRDefault="005279C2" w:rsidP="002109C7">
            <w:pPr>
              <w:tabs>
                <w:tab w:val="left" w:pos="540"/>
              </w:tabs>
              <w:spacing w:line="240" w:lineRule="atLeast"/>
              <w:ind w:left="222"/>
              <w:rPr>
                <w:rFonts w:cs="Arial"/>
                <w:sz w:val="20"/>
                <w:szCs w:val="20"/>
              </w:rPr>
            </w:pPr>
            <w:r w:rsidRPr="002109C7">
              <w:rPr>
                <w:rFonts w:cs="Arial"/>
                <w:sz w:val="20"/>
                <w:szCs w:val="20"/>
              </w:rPr>
              <w:t>(2) An actuarial certification consisting of at least:</w:t>
            </w:r>
          </w:p>
          <w:p w14:paraId="34383D6C" w14:textId="77777777" w:rsidR="005279C2" w:rsidRPr="002109C7" w:rsidRDefault="005279C2" w:rsidP="002109C7">
            <w:pPr>
              <w:ind w:left="-108"/>
              <w:rPr>
                <w:sz w:val="4"/>
                <w:szCs w:val="4"/>
              </w:rPr>
            </w:pPr>
          </w:p>
          <w:p w14:paraId="6C991E11" w14:textId="77777777" w:rsidR="00D14C86" w:rsidRPr="002109C7" w:rsidRDefault="005279C2" w:rsidP="002109C7">
            <w:pPr>
              <w:tabs>
                <w:tab w:val="left" w:pos="662"/>
                <w:tab w:val="left" w:pos="882"/>
              </w:tabs>
              <w:spacing w:line="240" w:lineRule="atLeast"/>
              <w:ind w:left="882" w:hanging="330"/>
              <w:rPr>
                <w:rFonts w:cs="Arial"/>
                <w:sz w:val="20"/>
                <w:szCs w:val="20"/>
              </w:rPr>
            </w:pPr>
            <w:r w:rsidRPr="002109C7">
              <w:rPr>
                <w:rFonts w:cs="Arial"/>
                <w:sz w:val="20"/>
                <w:szCs w:val="20"/>
              </w:rPr>
              <w:t>(a) A statement that the initial premium rate schedule is sufficient to cover anticipated costs under moderately adverse experience, and that the premium rate schedule is reasonably expected to be sustainable over the life of the form with no fut</w:t>
            </w:r>
            <w:r w:rsidR="00D14C86" w:rsidRPr="002109C7">
              <w:rPr>
                <w:rFonts w:cs="Arial"/>
                <w:sz w:val="20"/>
                <w:szCs w:val="20"/>
              </w:rPr>
              <w:t>ure premium increase anticipated;</w:t>
            </w:r>
          </w:p>
          <w:p w14:paraId="4923571B" w14:textId="77777777" w:rsidR="005279C2" w:rsidRPr="002109C7" w:rsidRDefault="005279C2" w:rsidP="002109C7">
            <w:pPr>
              <w:tabs>
                <w:tab w:val="left" w:pos="882"/>
              </w:tabs>
              <w:spacing w:line="240" w:lineRule="atLeast"/>
              <w:ind w:left="882" w:hanging="330"/>
              <w:rPr>
                <w:rFonts w:cs="Arial"/>
                <w:sz w:val="20"/>
                <w:szCs w:val="20"/>
              </w:rPr>
            </w:pPr>
            <w:r w:rsidRPr="002109C7">
              <w:rPr>
                <w:rFonts w:cs="Arial"/>
                <w:sz w:val="20"/>
                <w:szCs w:val="20"/>
              </w:rPr>
              <w:t>(b) A statement that the policy design and coverage provided have been review</w:t>
            </w:r>
            <w:r w:rsidR="00D14C86" w:rsidRPr="002109C7">
              <w:rPr>
                <w:rFonts w:cs="Arial"/>
                <w:sz w:val="20"/>
                <w:szCs w:val="20"/>
              </w:rPr>
              <w:t>ed and taken into consideration;</w:t>
            </w:r>
          </w:p>
          <w:p w14:paraId="6BD1740F" w14:textId="77777777" w:rsidR="005279C2" w:rsidRPr="002109C7" w:rsidRDefault="005279C2" w:rsidP="002109C7">
            <w:pPr>
              <w:ind w:left="-108"/>
              <w:rPr>
                <w:sz w:val="4"/>
                <w:szCs w:val="4"/>
              </w:rPr>
            </w:pPr>
          </w:p>
          <w:p w14:paraId="5D5E47B4" w14:textId="77777777" w:rsidR="005279C2" w:rsidRPr="002109C7" w:rsidRDefault="005279C2" w:rsidP="002109C7">
            <w:pPr>
              <w:tabs>
                <w:tab w:val="left" w:pos="882"/>
              </w:tabs>
              <w:spacing w:line="240" w:lineRule="atLeast"/>
              <w:ind w:left="882" w:hanging="330"/>
              <w:rPr>
                <w:rFonts w:cs="Arial"/>
                <w:sz w:val="20"/>
                <w:szCs w:val="20"/>
              </w:rPr>
            </w:pPr>
            <w:r w:rsidRPr="002109C7">
              <w:rPr>
                <w:rFonts w:cs="Arial"/>
                <w:sz w:val="20"/>
                <w:szCs w:val="20"/>
              </w:rPr>
              <w:t>(c) A statement that the underwriting and claims adjudication processes have been review</w:t>
            </w:r>
            <w:r w:rsidR="00D14C86" w:rsidRPr="002109C7">
              <w:rPr>
                <w:rFonts w:cs="Arial"/>
                <w:sz w:val="20"/>
                <w:szCs w:val="20"/>
              </w:rPr>
              <w:t>ed and taken into consideration;</w:t>
            </w:r>
          </w:p>
          <w:p w14:paraId="04F19FBB" w14:textId="77777777" w:rsidR="005279C2" w:rsidRPr="002109C7" w:rsidRDefault="005279C2" w:rsidP="002109C7">
            <w:pPr>
              <w:ind w:left="-108"/>
              <w:rPr>
                <w:sz w:val="4"/>
                <w:szCs w:val="4"/>
              </w:rPr>
            </w:pPr>
          </w:p>
          <w:p w14:paraId="52D965A7" w14:textId="77777777" w:rsidR="007714E5" w:rsidRDefault="00652D7B" w:rsidP="005B671D">
            <w:pPr>
              <w:spacing w:line="240" w:lineRule="atLeast"/>
              <w:ind w:left="901" w:hanging="360"/>
              <w:rPr>
                <w:sz w:val="20"/>
                <w:szCs w:val="20"/>
              </w:rPr>
            </w:pPr>
            <w:r w:rsidRPr="00652D7B">
              <w:rPr>
                <w:sz w:val="20"/>
                <w:szCs w:val="20"/>
              </w:rPr>
              <w:t>(d) A statement that the premiums contain a margin for moderately adverse experience that is not less than 10% of lifetime claims, or a justification for a lower margin meeting the requirements of clause (</w:t>
            </w:r>
            <w:proofErr w:type="spellStart"/>
            <w:r w:rsidRPr="00652D7B">
              <w:rPr>
                <w:sz w:val="20"/>
                <w:szCs w:val="20"/>
              </w:rPr>
              <w:t>i</w:t>
            </w:r>
            <w:proofErr w:type="spellEnd"/>
            <w:r w:rsidRPr="00652D7B">
              <w:rPr>
                <w:sz w:val="20"/>
                <w:szCs w:val="20"/>
              </w:rPr>
              <w:t xml:space="preserve">): </w:t>
            </w:r>
          </w:p>
          <w:p w14:paraId="7E839879" w14:textId="6C5C9A7B" w:rsidR="007714E5" w:rsidRDefault="00652D7B" w:rsidP="002109C7">
            <w:pPr>
              <w:spacing w:line="240" w:lineRule="atLeast"/>
              <w:ind w:left="1432" w:hanging="330"/>
              <w:rPr>
                <w:sz w:val="20"/>
                <w:szCs w:val="20"/>
              </w:rPr>
            </w:pPr>
            <w:r w:rsidRPr="00652D7B">
              <w:rPr>
                <w:sz w:val="20"/>
                <w:szCs w:val="20"/>
              </w:rPr>
              <w:t>(</w:t>
            </w:r>
            <w:proofErr w:type="spellStart"/>
            <w:r w:rsidRPr="00652D7B">
              <w:rPr>
                <w:sz w:val="20"/>
                <w:szCs w:val="20"/>
              </w:rPr>
              <w:t>i</w:t>
            </w:r>
            <w:proofErr w:type="spellEnd"/>
            <w:r w:rsidRPr="00652D7B">
              <w:rPr>
                <w:sz w:val="20"/>
                <w:szCs w:val="20"/>
              </w:rPr>
              <w:t>) A composite margin that is less than 10% may be justified for long-term care benefits provided through a life insurance policy or annuity contract rather than a stand</w:t>
            </w:r>
            <w:r w:rsidR="003660C9">
              <w:rPr>
                <w:sz w:val="20"/>
                <w:szCs w:val="20"/>
              </w:rPr>
              <w:t>-</w:t>
            </w:r>
            <w:r w:rsidRPr="00652D7B">
              <w:rPr>
                <w:sz w:val="20"/>
                <w:szCs w:val="20"/>
              </w:rPr>
              <w:t xml:space="preserve">alone long-term care policy, or in other extraordinary circumstances. The actuarial certification must include the proposed amount, full justification of the proposed amount, and methods to monitor developing experience to evaluate the validity of the lower margin on an ongoing basis. For products that combine long-term care with other types of benefits, the justification shall address margins and volatility for the entirety of the product. </w:t>
            </w:r>
          </w:p>
          <w:p w14:paraId="5266C745" w14:textId="791D9254" w:rsidR="00652D7B" w:rsidRPr="002109C7" w:rsidRDefault="00652D7B" w:rsidP="002109C7">
            <w:pPr>
              <w:spacing w:line="240" w:lineRule="atLeast"/>
              <w:ind w:left="1432" w:hanging="330"/>
              <w:rPr>
                <w:sz w:val="20"/>
                <w:szCs w:val="20"/>
              </w:rPr>
            </w:pPr>
            <w:r w:rsidRPr="00652D7B">
              <w:rPr>
                <w:sz w:val="20"/>
                <w:szCs w:val="20"/>
              </w:rPr>
              <w:t>(ii) A greater margin may be appropriate in circumstances where the company lacks sufficient credible experience to support the assumptions used to determine its premium rates, or for participating policies where policyholders receive distributions based on favorable claims experience.</w:t>
            </w:r>
          </w:p>
          <w:p w14:paraId="02986349" w14:textId="77777777" w:rsidR="005279C2" w:rsidRPr="002109C7" w:rsidRDefault="005279C2" w:rsidP="002109C7">
            <w:pPr>
              <w:ind w:left="-108"/>
              <w:rPr>
                <w:sz w:val="4"/>
                <w:szCs w:val="4"/>
              </w:rPr>
            </w:pPr>
          </w:p>
          <w:p w14:paraId="2B25AA22" w14:textId="368C9FA5" w:rsidR="005279C2" w:rsidRDefault="005279C2" w:rsidP="002109C7">
            <w:pPr>
              <w:ind w:left="882" w:hanging="220"/>
              <w:rPr>
                <w:rFonts w:cs="Arial"/>
                <w:sz w:val="20"/>
                <w:szCs w:val="20"/>
              </w:rPr>
            </w:pPr>
            <w:r w:rsidRPr="002109C7">
              <w:rPr>
                <w:rFonts w:cs="Arial"/>
                <w:sz w:val="20"/>
                <w:szCs w:val="20"/>
              </w:rPr>
              <w:t xml:space="preserve">(e) A statement that the premium rate schedule is not less than the premium rate schedule for existing similar policy forms also available from the insurer, except for reasonable differences </w:t>
            </w:r>
            <w:r w:rsidRPr="002109C7">
              <w:rPr>
                <w:rFonts w:cs="Arial"/>
                <w:sz w:val="20"/>
                <w:szCs w:val="20"/>
              </w:rPr>
              <w:lastRenderedPageBreak/>
              <w:t>attributable to benefits; or a comparison of the premium schedules for similar policy forms that are currently available from the insurer with an explanation of the differences.</w:t>
            </w:r>
          </w:p>
          <w:p w14:paraId="648EE30A" w14:textId="77777777" w:rsidR="00DD4CDB" w:rsidRDefault="00DD4CDB" w:rsidP="002109C7">
            <w:pPr>
              <w:ind w:left="882" w:hanging="220"/>
              <w:rPr>
                <w:rFonts w:cs="Arial"/>
                <w:sz w:val="20"/>
                <w:szCs w:val="20"/>
              </w:rPr>
            </w:pPr>
            <w:r w:rsidRPr="00DD4CDB">
              <w:rPr>
                <w:rFonts w:cs="Arial"/>
                <w:sz w:val="20"/>
                <w:szCs w:val="20"/>
              </w:rPr>
              <w:t xml:space="preserve">(f) A statement that reserve requirements have been reviewed and considered. Support for this statement shall include: </w:t>
            </w:r>
          </w:p>
          <w:p w14:paraId="5120DF46" w14:textId="77777777" w:rsidR="00DD4CDB" w:rsidRDefault="00DD4CDB" w:rsidP="002109C7">
            <w:pPr>
              <w:ind w:left="882" w:hanging="220"/>
              <w:rPr>
                <w:rFonts w:cs="Arial"/>
                <w:sz w:val="20"/>
                <w:szCs w:val="20"/>
              </w:rPr>
            </w:pPr>
            <w:r w:rsidRPr="00DD4CDB">
              <w:rPr>
                <w:rFonts w:cs="Arial"/>
                <w:sz w:val="20"/>
                <w:szCs w:val="20"/>
              </w:rPr>
              <w:t>(</w:t>
            </w:r>
            <w:proofErr w:type="spellStart"/>
            <w:r w:rsidRPr="00DD4CDB">
              <w:rPr>
                <w:rFonts w:cs="Arial"/>
                <w:sz w:val="20"/>
                <w:szCs w:val="20"/>
              </w:rPr>
              <w:t>i</w:t>
            </w:r>
            <w:proofErr w:type="spellEnd"/>
            <w:r w:rsidRPr="00DD4CDB">
              <w:rPr>
                <w:rFonts w:cs="Arial"/>
                <w:sz w:val="20"/>
                <w:szCs w:val="20"/>
              </w:rPr>
              <w:t xml:space="preserve">) Sufficient detail or sample calculations to provide a complete depiction of the reserve amounts to be held; and </w:t>
            </w:r>
          </w:p>
          <w:p w14:paraId="4BD554E8" w14:textId="5303BAC4" w:rsidR="00DD4CDB" w:rsidRPr="002109C7" w:rsidRDefault="00DD4CDB" w:rsidP="002109C7">
            <w:pPr>
              <w:ind w:left="882" w:hanging="220"/>
              <w:rPr>
                <w:rFonts w:cs="Arial"/>
                <w:sz w:val="20"/>
                <w:szCs w:val="20"/>
              </w:rPr>
            </w:pPr>
            <w:r w:rsidRPr="00DD4CDB">
              <w:rPr>
                <w:rFonts w:cs="Arial"/>
                <w:sz w:val="20"/>
                <w:szCs w:val="20"/>
              </w:rPr>
              <w:t>(ii) A statement that the difference between the gross premium and the net valuation premium for renewal years is sufficient to cover expected renewal expenses; or if such a statement cannot be made, a complete description of the situations where this does not occur. An aggregate distribution of anticipated issues may be used as long as the underlying gross premiums maintain a reasonably consistent relationship.</w:t>
            </w:r>
          </w:p>
          <w:p w14:paraId="5EFCA02F" w14:textId="77777777" w:rsidR="005279C2" w:rsidRPr="002109C7" w:rsidRDefault="005279C2" w:rsidP="002109C7">
            <w:pPr>
              <w:ind w:left="-108"/>
              <w:rPr>
                <w:rFonts w:cs="Arial"/>
                <w:sz w:val="4"/>
                <w:szCs w:val="4"/>
              </w:rPr>
            </w:pPr>
          </w:p>
        </w:tc>
        <w:tc>
          <w:tcPr>
            <w:tcW w:w="1872" w:type="dxa"/>
            <w:gridSpan w:val="2"/>
            <w:shd w:val="clear" w:color="auto" w:fill="auto"/>
          </w:tcPr>
          <w:p w14:paraId="1C9A2702" w14:textId="77777777" w:rsidR="005279C2" w:rsidRPr="002109C7" w:rsidRDefault="001A4D84" w:rsidP="002109C7">
            <w:pPr>
              <w:ind w:left="-108"/>
              <w:rPr>
                <w:sz w:val="20"/>
                <w:szCs w:val="20"/>
              </w:rPr>
            </w:pPr>
            <w:r w:rsidRPr="002109C7">
              <w:rPr>
                <w:i/>
                <w:sz w:val="20"/>
                <w:szCs w:val="20"/>
              </w:rPr>
              <w:lastRenderedPageBreak/>
              <w:t>Location, page, if applicable:</w:t>
            </w:r>
          </w:p>
        </w:tc>
      </w:tr>
      <w:tr w:rsidR="005279C2" w14:paraId="6B932A82" w14:textId="77777777" w:rsidTr="002109C7">
        <w:trPr>
          <w:gridAfter w:val="1"/>
          <w:wAfter w:w="13" w:type="dxa"/>
          <w:trHeight w:val="105"/>
        </w:trPr>
        <w:tc>
          <w:tcPr>
            <w:tcW w:w="438" w:type="dxa"/>
            <w:tcBorders>
              <w:bottom w:val="single" w:sz="4" w:space="0" w:color="auto"/>
            </w:tcBorders>
            <w:shd w:val="clear" w:color="auto" w:fill="auto"/>
          </w:tcPr>
          <w:p w14:paraId="3C1F5EDA" w14:textId="77777777" w:rsidR="005279C2" w:rsidRPr="002109C7" w:rsidRDefault="005279C2" w:rsidP="002109C7">
            <w:pPr>
              <w:ind w:left="-110"/>
              <w:rPr>
                <w:rFonts w:cs="Arial"/>
                <w:b/>
                <w:sz w:val="20"/>
                <w:szCs w:val="20"/>
              </w:rPr>
            </w:pPr>
          </w:p>
        </w:tc>
        <w:tc>
          <w:tcPr>
            <w:tcW w:w="2310" w:type="dxa"/>
            <w:tcBorders>
              <w:bottom w:val="single" w:sz="4" w:space="0" w:color="auto"/>
            </w:tcBorders>
            <w:shd w:val="clear" w:color="auto" w:fill="auto"/>
          </w:tcPr>
          <w:p w14:paraId="1A86B06F" w14:textId="77777777" w:rsidR="005279C2" w:rsidRPr="002109C7" w:rsidRDefault="005279C2" w:rsidP="002109C7">
            <w:pPr>
              <w:ind w:left="112" w:right="-108" w:hanging="220"/>
              <w:rPr>
                <w:rFonts w:cs="Arial"/>
                <w:b/>
                <w:sz w:val="20"/>
                <w:szCs w:val="20"/>
              </w:rPr>
            </w:pPr>
            <w:r w:rsidRPr="002109C7">
              <w:rPr>
                <w:rFonts w:cs="Arial"/>
                <w:b/>
                <w:sz w:val="20"/>
                <w:szCs w:val="20"/>
              </w:rPr>
              <w:t>3. Additional Information:</w:t>
            </w:r>
          </w:p>
        </w:tc>
        <w:tc>
          <w:tcPr>
            <w:tcW w:w="2090" w:type="dxa"/>
            <w:tcBorders>
              <w:bottom w:val="single" w:sz="4" w:space="0" w:color="auto"/>
            </w:tcBorders>
            <w:shd w:val="clear" w:color="auto" w:fill="auto"/>
          </w:tcPr>
          <w:p w14:paraId="3C2B40A1" w14:textId="77777777" w:rsidR="005279C2" w:rsidRPr="002109C7" w:rsidRDefault="00F20663" w:rsidP="002109C7">
            <w:pPr>
              <w:pStyle w:val="NormalWeb"/>
              <w:ind w:left="2"/>
              <w:rPr>
                <w:rFonts w:ascii="Arial" w:hAnsi="Arial" w:cs="Arial"/>
                <w:sz w:val="20"/>
                <w:szCs w:val="20"/>
              </w:rPr>
            </w:pPr>
            <w:hyperlink r:id="rId30" w:history="1">
              <w:r w:rsidR="005279C2" w:rsidRPr="002109C7">
                <w:rPr>
                  <w:rStyle w:val="Hyperlink"/>
                  <w:rFonts w:ascii="Arial" w:hAnsi="Arial" w:cs="Arial"/>
                  <w:sz w:val="20"/>
                  <w:szCs w:val="20"/>
                </w:rPr>
                <w:t>Rule 425, § 10. C.</w:t>
              </w:r>
            </w:hyperlink>
            <w:r w:rsidR="005279C2" w:rsidRPr="002109C7">
              <w:rPr>
                <w:rFonts w:ascii="Arial" w:hAnsi="Arial" w:cs="Arial"/>
                <w:sz w:val="20"/>
                <w:szCs w:val="20"/>
              </w:rPr>
              <w:t xml:space="preserve"> </w:t>
            </w:r>
          </w:p>
          <w:p w14:paraId="625B4411" w14:textId="77777777" w:rsidR="005279C2" w:rsidRPr="002109C7" w:rsidRDefault="005279C2" w:rsidP="002109C7">
            <w:pPr>
              <w:pStyle w:val="NormalWeb"/>
              <w:ind w:left="2"/>
              <w:rPr>
                <w:rFonts w:ascii="Arial" w:hAnsi="Arial" w:cs="Arial"/>
                <w:sz w:val="20"/>
                <w:szCs w:val="20"/>
              </w:rPr>
            </w:pPr>
          </w:p>
          <w:p w14:paraId="624F2960" w14:textId="77777777" w:rsidR="005279C2" w:rsidRPr="002109C7" w:rsidRDefault="005279C2" w:rsidP="002109C7">
            <w:pPr>
              <w:pStyle w:val="NormalWeb"/>
              <w:ind w:left="2"/>
              <w:rPr>
                <w:rFonts w:ascii="Arial" w:hAnsi="Arial" w:cs="Arial"/>
                <w:sz w:val="20"/>
                <w:szCs w:val="20"/>
              </w:rPr>
            </w:pPr>
          </w:p>
          <w:p w14:paraId="11F3229E" w14:textId="77777777" w:rsidR="005279C2" w:rsidRPr="002109C7" w:rsidRDefault="005279C2" w:rsidP="002109C7">
            <w:pPr>
              <w:pStyle w:val="NormalWeb"/>
              <w:ind w:left="2"/>
              <w:rPr>
                <w:rFonts w:ascii="Arial" w:hAnsi="Arial" w:cs="Arial"/>
                <w:sz w:val="20"/>
                <w:szCs w:val="20"/>
              </w:rPr>
            </w:pPr>
          </w:p>
          <w:p w14:paraId="3783B99A" w14:textId="77777777" w:rsidR="005279C2" w:rsidRPr="002109C7" w:rsidRDefault="005279C2" w:rsidP="002109C7">
            <w:pPr>
              <w:pStyle w:val="NormalWeb"/>
              <w:rPr>
                <w:rFonts w:ascii="Arial" w:hAnsi="Arial" w:cs="Arial"/>
                <w:sz w:val="20"/>
                <w:szCs w:val="20"/>
              </w:rPr>
            </w:pPr>
          </w:p>
        </w:tc>
        <w:tc>
          <w:tcPr>
            <w:tcW w:w="6820" w:type="dxa"/>
            <w:gridSpan w:val="3"/>
            <w:tcBorders>
              <w:bottom w:val="single" w:sz="4" w:space="0" w:color="auto"/>
            </w:tcBorders>
            <w:shd w:val="clear" w:color="auto" w:fill="auto"/>
          </w:tcPr>
          <w:p w14:paraId="5374173F" w14:textId="77777777" w:rsidR="005279C2" w:rsidRPr="002109C7" w:rsidRDefault="001B3507" w:rsidP="002109C7">
            <w:pPr>
              <w:tabs>
                <w:tab w:val="left" w:pos="540"/>
                <w:tab w:val="left" w:pos="1440"/>
              </w:tabs>
              <w:spacing w:line="240" w:lineRule="atLeast"/>
              <w:ind w:left="552" w:hanging="550"/>
              <w:rPr>
                <w:rFonts w:cs="Arial"/>
                <w:sz w:val="20"/>
                <w:szCs w:val="20"/>
              </w:rPr>
            </w:pPr>
            <w:r w:rsidRPr="002109C7">
              <w:rPr>
                <w:rFonts w:cs="Arial"/>
                <w:sz w:val="20"/>
                <w:szCs w:val="20"/>
              </w:rPr>
              <w:t xml:space="preserve">C. </w:t>
            </w:r>
            <w:r w:rsidR="005279C2" w:rsidRPr="002109C7">
              <w:rPr>
                <w:rFonts w:cs="Arial"/>
                <w:sz w:val="20"/>
                <w:szCs w:val="20"/>
              </w:rPr>
              <w:t xml:space="preserve">The superintendent </w:t>
            </w:r>
            <w:r w:rsidR="003A220F" w:rsidRPr="002109C7">
              <w:rPr>
                <w:rFonts w:cs="Arial"/>
                <w:sz w:val="20"/>
                <w:szCs w:val="20"/>
              </w:rPr>
              <w:t xml:space="preserve">requires </w:t>
            </w:r>
            <w:r w:rsidR="005279C2" w:rsidRPr="002109C7">
              <w:rPr>
                <w:rFonts w:cs="Arial"/>
                <w:sz w:val="20"/>
                <w:szCs w:val="20"/>
              </w:rPr>
              <w:t>an actuarial demonstration that benefits are reasonable in relation to premiums.</w:t>
            </w:r>
          </w:p>
          <w:p w14:paraId="27AC9E9C" w14:textId="77777777" w:rsidR="005279C2" w:rsidRPr="002109C7" w:rsidRDefault="005279C2" w:rsidP="002109C7">
            <w:pPr>
              <w:ind w:left="-108"/>
              <w:rPr>
                <w:sz w:val="4"/>
                <w:szCs w:val="4"/>
              </w:rPr>
            </w:pPr>
          </w:p>
          <w:p w14:paraId="244D8E88" w14:textId="77777777" w:rsidR="005279C2" w:rsidRPr="002109C7" w:rsidRDefault="00B536B3" w:rsidP="002109C7">
            <w:pPr>
              <w:tabs>
                <w:tab w:val="left" w:pos="552"/>
                <w:tab w:val="left" w:pos="720"/>
                <w:tab w:val="left" w:pos="1440"/>
                <w:tab w:val="left" w:pos="2160"/>
                <w:tab w:val="left" w:pos="3600"/>
                <w:tab w:val="left" w:pos="4320"/>
              </w:tabs>
              <w:ind w:left="552" w:hanging="330"/>
              <w:rPr>
                <w:rFonts w:cs="Arial"/>
                <w:sz w:val="20"/>
                <w:szCs w:val="20"/>
              </w:rPr>
            </w:pPr>
            <w:r w:rsidRPr="002109C7">
              <w:rPr>
                <w:sz w:val="20"/>
                <w:szCs w:val="20"/>
              </w:rPr>
              <w:t>(1</w:t>
            </w:r>
            <w:r w:rsidR="005279C2" w:rsidRPr="002109C7">
              <w:rPr>
                <w:sz w:val="20"/>
                <w:szCs w:val="20"/>
              </w:rPr>
              <w:t xml:space="preserve">) </w:t>
            </w:r>
            <w:r w:rsidR="005279C2" w:rsidRPr="002109C7">
              <w:rPr>
                <w:rFonts w:cs="Arial"/>
                <w:sz w:val="20"/>
                <w:szCs w:val="20"/>
              </w:rPr>
              <w:t xml:space="preserve">The filing must include sufficient supporting information to demonstrate that the rates are not excessive, inadequate, or unfairly discriminatory.  At a minimum, the filing must include an analysis of projected experience with respect to morbidity, mortality, lapsation, and all other relevant factors. </w:t>
            </w:r>
          </w:p>
          <w:p w14:paraId="4E61B24D" w14:textId="77777777" w:rsidR="005279C2" w:rsidRPr="002109C7" w:rsidRDefault="005279C2" w:rsidP="002109C7">
            <w:pPr>
              <w:ind w:left="-108"/>
              <w:rPr>
                <w:sz w:val="4"/>
                <w:szCs w:val="4"/>
              </w:rPr>
            </w:pPr>
          </w:p>
          <w:p w14:paraId="150204F9" w14:textId="77777777" w:rsidR="005279C2" w:rsidRPr="002109C7" w:rsidRDefault="005279C2" w:rsidP="002109C7">
            <w:pPr>
              <w:ind w:left="882" w:hanging="330"/>
              <w:rPr>
                <w:sz w:val="20"/>
                <w:szCs w:val="20"/>
              </w:rPr>
            </w:pPr>
            <w:r w:rsidRPr="002109C7">
              <w:rPr>
                <w:sz w:val="20"/>
                <w:szCs w:val="20"/>
              </w:rPr>
              <w:t>(a)</w:t>
            </w:r>
            <w:r w:rsidRPr="002109C7">
              <w:rPr>
                <w:color w:val="0000FF"/>
                <w:sz w:val="20"/>
                <w:szCs w:val="20"/>
              </w:rPr>
              <w:t xml:space="preserve"> </w:t>
            </w:r>
            <w:r w:rsidRPr="002109C7">
              <w:rPr>
                <w:sz w:val="20"/>
                <w:szCs w:val="20"/>
              </w:rPr>
              <w:t>The insurer must provide the present value of expected premiums and expected claims over the life of the policy.</w:t>
            </w:r>
          </w:p>
          <w:p w14:paraId="09858580" w14:textId="77777777" w:rsidR="005279C2" w:rsidRPr="002109C7" w:rsidRDefault="005279C2" w:rsidP="002109C7">
            <w:pPr>
              <w:ind w:left="-108"/>
              <w:rPr>
                <w:sz w:val="4"/>
                <w:szCs w:val="4"/>
              </w:rPr>
            </w:pPr>
          </w:p>
          <w:p w14:paraId="625F2616" w14:textId="77777777" w:rsidR="005279C2" w:rsidRPr="002109C7" w:rsidRDefault="005279C2" w:rsidP="002109C7">
            <w:pPr>
              <w:tabs>
                <w:tab w:val="left" w:pos="720"/>
                <w:tab w:val="left" w:pos="882"/>
                <w:tab w:val="left" w:pos="1440"/>
                <w:tab w:val="left" w:pos="2160"/>
                <w:tab w:val="left" w:pos="3600"/>
                <w:tab w:val="left" w:pos="4320"/>
              </w:tabs>
              <w:ind w:left="882" w:hanging="330"/>
              <w:rPr>
                <w:rFonts w:cs="Arial"/>
                <w:color w:val="FF0000"/>
                <w:sz w:val="20"/>
                <w:szCs w:val="20"/>
              </w:rPr>
            </w:pPr>
            <w:r w:rsidRPr="002109C7">
              <w:rPr>
                <w:sz w:val="20"/>
                <w:szCs w:val="20"/>
              </w:rPr>
              <w:t>(b)</w:t>
            </w:r>
            <w:r w:rsidRPr="002109C7">
              <w:rPr>
                <w:rFonts w:cs="Arial"/>
                <w:sz w:val="20"/>
                <w:szCs w:val="20"/>
              </w:rPr>
              <w:t xml:space="preserve"> The projected experience must include the definitions of each component and </w:t>
            </w:r>
            <w:r w:rsidRPr="002109C7">
              <w:rPr>
                <w:sz w:val="20"/>
                <w:szCs w:val="20"/>
              </w:rPr>
              <w:t>the methodology and assumptions employed in rating this block of business.</w:t>
            </w:r>
          </w:p>
          <w:p w14:paraId="774508BC" w14:textId="77777777" w:rsidR="005279C2" w:rsidRPr="002109C7" w:rsidRDefault="005279C2" w:rsidP="002109C7">
            <w:pPr>
              <w:ind w:left="-108"/>
              <w:rPr>
                <w:sz w:val="4"/>
                <w:szCs w:val="4"/>
              </w:rPr>
            </w:pPr>
          </w:p>
          <w:p w14:paraId="2E6CFFF8" w14:textId="77777777" w:rsidR="005279C2" w:rsidRPr="002109C7" w:rsidRDefault="005279C2" w:rsidP="002109C7">
            <w:pPr>
              <w:ind w:left="882" w:hanging="330"/>
              <w:rPr>
                <w:sz w:val="20"/>
                <w:szCs w:val="20"/>
              </w:rPr>
            </w:pPr>
            <w:r w:rsidRPr="002109C7">
              <w:rPr>
                <w:sz w:val="20"/>
                <w:szCs w:val="20"/>
              </w:rPr>
              <w:t>(c) The filing must also include a comparison of the proposed rates with those of a similar plan currently sold by the company, if such is available.</w:t>
            </w:r>
          </w:p>
          <w:p w14:paraId="26A4A7AF" w14:textId="77777777" w:rsidR="005279C2" w:rsidRPr="002109C7" w:rsidRDefault="005279C2" w:rsidP="002109C7">
            <w:pPr>
              <w:ind w:left="-108"/>
              <w:rPr>
                <w:sz w:val="4"/>
                <w:szCs w:val="4"/>
              </w:rPr>
            </w:pPr>
          </w:p>
          <w:p w14:paraId="15C1AF35" w14:textId="77777777" w:rsidR="005279C2" w:rsidRPr="002109C7" w:rsidRDefault="00B536B3" w:rsidP="002109C7">
            <w:pPr>
              <w:tabs>
                <w:tab w:val="left" w:pos="552"/>
                <w:tab w:val="left" w:pos="1440"/>
              </w:tabs>
              <w:spacing w:line="240" w:lineRule="atLeast"/>
              <w:ind w:left="552" w:hanging="324"/>
              <w:rPr>
                <w:rFonts w:cs="Arial"/>
                <w:sz w:val="20"/>
                <w:szCs w:val="20"/>
              </w:rPr>
            </w:pPr>
            <w:r w:rsidRPr="002109C7">
              <w:rPr>
                <w:rFonts w:cs="Arial"/>
                <w:sz w:val="20"/>
                <w:szCs w:val="20"/>
              </w:rPr>
              <w:t>(2</w:t>
            </w:r>
            <w:r w:rsidR="005279C2" w:rsidRPr="002109C7">
              <w:rPr>
                <w:rFonts w:cs="Arial"/>
                <w:sz w:val="20"/>
                <w:szCs w:val="20"/>
              </w:rPr>
              <w:t xml:space="preserve">) Additional information may be requested by the Superintendent.  The 30-day period of </w:t>
            </w:r>
            <w:hyperlink r:id="rId31" w:history="1">
              <w:r w:rsidR="005279C2" w:rsidRPr="002109C7">
                <w:rPr>
                  <w:rStyle w:val="Hyperlink"/>
                  <w:rFonts w:cs="Arial"/>
                  <w:sz w:val="20"/>
                  <w:szCs w:val="20"/>
                </w:rPr>
                <w:t>Rule 425, §10. B.</w:t>
              </w:r>
            </w:hyperlink>
            <w:r w:rsidR="005279C2" w:rsidRPr="002109C7">
              <w:rPr>
                <w:rFonts w:cs="Arial"/>
                <w:sz w:val="20"/>
                <w:szCs w:val="20"/>
              </w:rPr>
              <w:t xml:space="preserve"> shall begin when the insurer provides such additional requested information.</w:t>
            </w:r>
          </w:p>
          <w:p w14:paraId="426B346F" w14:textId="77777777" w:rsidR="005279C2" w:rsidRPr="002109C7" w:rsidRDefault="005279C2" w:rsidP="002109C7">
            <w:pPr>
              <w:ind w:left="112" w:hanging="220"/>
              <w:rPr>
                <w:rFonts w:cs="Arial"/>
                <w:sz w:val="4"/>
                <w:szCs w:val="4"/>
              </w:rPr>
            </w:pPr>
          </w:p>
        </w:tc>
        <w:tc>
          <w:tcPr>
            <w:tcW w:w="1872" w:type="dxa"/>
            <w:gridSpan w:val="2"/>
            <w:tcBorders>
              <w:bottom w:val="single" w:sz="4" w:space="0" w:color="auto"/>
            </w:tcBorders>
            <w:shd w:val="clear" w:color="auto" w:fill="auto"/>
          </w:tcPr>
          <w:p w14:paraId="25C7584C" w14:textId="77777777" w:rsidR="005279C2" w:rsidRPr="002109C7" w:rsidRDefault="001A4D84" w:rsidP="002109C7">
            <w:pPr>
              <w:ind w:left="-108"/>
              <w:rPr>
                <w:sz w:val="20"/>
                <w:szCs w:val="20"/>
              </w:rPr>
            </w:pPr>
            <w:r w:rsidRPr="002109C7">
              <w:rPr>
                <w:i/>
                <w:sz w:val="20"/>
                <w:szCs w:val="20"/>
              </w:rPr>
              <w:t>Location, page, if applicable:</w:t>
            </w:r>
          </w:p>
        </w:tc>
      </w:tr>
      <w:tr w:rsidR="00EB3481" w14:paraId="7383E65C" w14:textId="77777777" w:rsidTr="002109C7">
        <w:trPr>
          <w:trHeight w:val="54"/>
        </w:trPr>
        <w:tc>
          <w:tcPr>
            <w:tcW w:w="438" w:type="dxa"/>
            <w:shd w:val="clear" w:color="auto" w:fill="auto"/>
          </w:tcPr>
          <w:p w14:paraId="07D2A156" w14:textId="77777777" w:rsidR="00EB3481" w:rsidRPr="002109C7" w:rsidRDefault="00EB3481" w:rsidP="002109C7">
            <w:pPr>
              <w:ind w:left="-110"/>
              <w:rPr>
                <w:rFonts w:cs="Arial"/>
                <w:b/>
                <w:sz w:val="4"/>
                <w:szCs w:val="4"/>
              </w:rPr>
            </w:pPr>
          </w:p>
          <w:p w14:paraId="36840722" w14:textId="77777777" w:rsidR="00EB3481" w:rsidRPr="002109C7" w:rsidRDefault="00ED6B08" w:rsidP="002109C7">
            <w:pPr>
              <w:rPr>
                <w:rFonts w:cs="Arial"/>
                <w:b/>
              </w:rPr>
            </w:pPr>
            <w:r w:rsidRPr="002109C7">
              <w:rPr>
                <w:rFonts w:cs="Arial"/>
                <w:b/>
              </w:rPr>
              <w:t>E</w:t>
            </w:r>
            <w:r w:rsidR="00EB3481" w:rsidRPr="002109C7">
              <w:rPr>
                <w:rFonts w:cs="Arial"/>
                <w:b/>
              </w:rPr>
              <w:t>.</w:t>
            </w:r>
          </w:p>
        </w:tc>
        <w:tc>
          <w:tcPr>
            <w:tcW w:w="13105" w:type="dxa"/>
            <w:gridSpan w:val="8"/>
            <w:shd w:val="clear" w:color="auto" w:fill="auto"/>
          </w:tcPr>
          <w:p w14:paraId="0212613F" w14:textId="77777777" w:rsidR="00EB3481" w:rsidRPr="002109C7" w:rsidRDefault="00EB3481" w:rsidP="002109C7">
            <w:pPr>
              <w:ind w:left="-108"/>
              <w:rPr>
                <w:rFonts w:cs="Arial"/>
                <w:b/>
                <w:sz w:val="4"/>
                <w:szCs w:val="4"/>
              </w:rPr>
            </w:pPr>
          </w:p>
          <w:p w14:paraId="162962B7" w14:textId="77777777" w:rsidR="00EB3481" w:rsidRPr="002109C7" w:rsidRDefault="00EB3481" w:rsidP="002109C7">
            <w:pPr>
              <w:ind w:left="208" w:hanging="316"/>
              <w:rPr>
                <w:rFonts w:cs="Arial"/>
                <w:b/>
                <w:sz w:val="20"/>
                <w:szCs w:val="20"/>
              </w:rPr>
            </w:pPr>
            <w:r w:rsidRPr="002109C7">
              <w:rPr>
                <w:b/>
                <w:sz w:val="20"/>
                <w:szCs w:val="20"/>
              </w:rPr>
              <w:t>Disclosing Rating Practices to Applicants:</w:t>
            </w:r>
          </w:p>
          <w:p w14:paraId="4CBCBC22" w14:textId="77777777" w:rsidR="00EB3481" w:rsidRPr="002109C7" w:rsidRDefault="00EB3481" w:rsidP="002109C7">
            <w:pPr>
              <w:ind w:left="208" w:firstLine="14"/>
              <w:rPr>
                <w:rFonts w:cs="Arial"/>
                <w:sz w:val="20"/>
                <w:szCs w:val="20"/>
              </w:rPr>
            </w:pPr>
            <w:r w:rsidRPr="002109C7">
              <w:rPr>
                <w:sz w:val="20"/>
                <w:szCs w:val="20"/>
              </w:rPr>
              <w:t xml:space="preserve">The filer must review </w:t>
            </w:r>
            <w:hyperlink r:id="rId32" w:history="1">
              <w:r w:rsidRPr="002109C7">
                <w:rPr>
                  <w:rStyle w:val="Hyperlink"/>
                  <w:sz w:val="20"/>
                  <w:szCs w:val="20"/>
                </w:rPr>
                <w:t xml:space="preserve">Rule 425, </w:t>
              </w:r>
              <w:r w:rsidRPr="002109C7">
                <w:rPr>
                  <w:rStyle w:val="Hyperlink"/>
                  <w:rFonts w:cs="Arial"/>
                  <w:sz w:val="20"/>
                  <w:szCs w:val="20"/>
                </w:rPr>
                <w:t>§</w:t>
              </w:r>
              <w:r w:rsidRPr="002109C7">
                <w:rPr>
                  <w:rStyle w:val="Hyperlink"/>
                  <w:sz w:val="20"/>
                  <w:szCs w:val="20"/>
                </w:rPr>
                <w:t xml:space="preserve"> 9</w:t>
              </w:r>
            </w:hyperlink>
            <w:r w:rsidRPr="002109C7">
              <w:rPr>
                <w:sz w:val="20"/>
                <w:szCs w:val="20"/>
              </w:rPr>
              <w:t>, and ensure that the requirements contained therein are satisfied as necessary.</w:t>
            </w:r>
          </w:p>
          <w:p w14:paraId="7F8A30ED" w14:textId="77777777" w:rsidR="00EB3481" w:rsidRPr="002109C7" w:rsidRDefault="00EB3481" w:rsidP="002109C7">
            <w:pPr>
              <w:rPr>
                <w:rFonts w:cs="Arial"/>
                <w:color w:val="FF0000"/>
                <w:sz w:val="4"/>
                <w:szCs w:val="4"/>
              </w:rPr>
            </w:pPr>
          </w:p>
        </w:tc>
      </w:tr>
      <w:tr w:rsidR="00EB3481" w14:paraId="3E92D788" w14:textId="77777777" w:rsidTr="002109C7">
        <w:trPr>
          <w:trHeight w:val="117"/>
        </w:trPr>
        <w:tc>
          <w:tcPr>
            <w:tcW w:w="438" w:type="dxa"/>
            <w:shd w:val="clear" w:color="auto" w:fill="auto"/>
          </w:tcPr>
          <w:p w14:paraId="262957C7" w14:textId="77777777" w:rsidR="00EB3481" w:rsidRPr="002109C7" w:rsidRDefault="00EB3481" w:rsidP="002109C7">
            <w:pPr>
              <w:ind w:left="-110"/>
              <w:rPr>
                <w:rFonts w:cs="Arial"/>
                <w:b/>
                <w:sz w:val="4"/>
                <w:szCs w:val="4"/>
              </w:rPr>
            </w:pPr>
          </w:p>
          <w:p w14:paraId="1B19269E" w14:textId="77777777" w:rsidR="00EB3481" w:rsidRPr="002109C7" w:rsidRDefault="00ED6B08" w:rsidP="002109C7">
            <w:pPr>
              <w:rPr>
                <w:rFonts w:cs="Arial"/>
                <w:b/>
              </w:rPr>
            </w:pPr>
            <w:r w:rsidRPr="002109C7">
              <w:rPr>
                <w:rFonts w:cs="Arial"/>
                <w:b/>
              </w:rPr>
              <w:t>F</w:t>
            </w:r>
            <w:r w:rsidR="00EB3481" w:rsidRPr="002109C7">
              <w:rPr>
                <w:rFonts w:cs="Arial"/>
                <w:b/>
              </w:rPr>
              <w:t>.</w:t>
            </w:r>
          </w:p>
        </w:tc>
        <w:tc>
          <w:tcPr>
            <w:tcW w:w="13105" w:type="dxa"/>
            <w:gridSpan w:val="8"/>
            <w:shd w:val="clear" w:color="auto" w:fill="auto"/>
          </w:tcPr>
          <w:p w14:paraId="2EEB2D27" w14:textId="77777777" w:rsidR="00EB3481" w:rsidRPr="002109C7" w:rsidRDefault="00EB3481" w:rsidP="002109C7">
            <w:pPr>
              <w:ind w:left="208" w:hanging="206"/>
              <w:rPr>
                <w:b/>
                <w:sz w:val="4"/>
                <w:szCs w:val="4"/>
              </w:rPr>
            </w:pPr>
          </w:p>
          <w:p w14:paraId="0F2FFC06" w14:textId="77777777" w:rsidR="00EB3481" w:rsidRPr="002109C7" w:rsidRDefault="00EB3481" w:rsidP="002109C7">
            <w:pPr>
              <w:ind w:left="208" w:hanging="206"/>
              <w:rPr>
                <w:b/>
                <w:sz w:val="4"/>
                <w:szCs w:val="4"/>
              </w:rPr>
            </w:pPr>
          </w:p>
          <w:p w14:paraId="3EE43744" w14:textId="77777777" w:rsidR="00EB3481" w:rsidRPr="002109C7" w:rsidRDefault="00EB3481" w:rsidP="002109C7">
            <w:pPr>
              <w:ind w:left="-108" w:firstLine="14"/>
              <w:rPr>
                <w:b/>
                <w:sz w:val="20"/>
                <w:szCs w:val="20"/>
              </w:rPr>
            </w:pPr>
            <w:r w:rsidRPr="002109C7">
              <w:rPr>
                <w:b/>
                <w:sz w:val="20"/>
                <w:szCs w:val="20"/>
              </w:rPr>
              <w:t>Required Offer of Nonforfeiture Benefit; Contingent Nonforfeiture Benefit Upon Lapse:</w:t>
            </w:r>
          </w:p>
          <w:p w14:paraId="5428F150" w14:textId="77777777" w:rsidR="00EB3481" w:rsidRPr="002109C7" w:rsidRDefault="00A366FE" w:rsidP="002109C7">
            <w:pPr>
              <w:ind w:left="-108" w:firstLine="330"/>
              <w:rPr>
                <w:sz w:val="20"/>
                <w:szCs w:val="20"/>
              </w:rPr>
            </w:pPr>
            <w:r w:rsidRPr="002109C7">
              <w:rPr>
                <w:sz w:val="20"/>
                <w:szCs w:val="20"/>
              </w:rPr>
              <w:t xml:space="preserve">The filer must review </w:t>
            </w:r>
            <w:hyperlink r:id="rId33" w:history="1">
              <w:r w:rsidRPr="002109C7">
                <w:rPr>
                  <w:rStyle w:val="Hyperlink"/>
                  <w:sz w:val="20"/>
                  <w:szCs w:val="20"/>
                </w:rPr>
                <w:t>Rule 42</w:t>
              </w:r>
              <w:r w:rsidR="00EB3481" w:rsidRPr="002109C7">
                <w:rPr>
                  <w:rStyle w:val="Hyperlink"/>
                  <w:sz w:val="20"/>
                  <w:szCs w:val="20"/>
                </w:rPr>
                <w:t xml:space="preserve">5, </w:t>
              </w:r>
              <w:r w:rsidR="00EB3481" w:rsidRPr="002109C7">
                <w:rPr>
                  <w:rStyle w:val="Hyperlink"/>
                  <w:rFonts w:cs="Arial"/>
                  <w:sz w:val="20"/>
                  <w:szCs w:val="20"/>
                </w:rPr>
                <w:t>§</w:t>
              </w:r>
              <w:r w:rsidR="00EB3481" w:rsidRPr="002109C7">
                <w:rPr>
                  <w:rStyle w:val="Hyperlink"/>
                  <w:sz w:val="20"/>
                  <w:szCs w:val="20"/>
                </w:rPr>
                <w:t xml:space="preserve"> 26</w:t>
              </w:r>
            </w:hyperlink>
            <w:r w:rsidR="00EB3481" w:rsidRPr="002109C7">
              <w:rPr>
                <w:sz w:val="20"/>
                <w:szCs w:val="20"/>
              </w:rPr>
              <w:t>, and ensure that the requirements contained therein are satisfied as necessary.</w:t>
            </w:r>
          </w:p>
          <w:p w14:paraId="41BE5A16" w14:textId="77777777" w:rsidR="00EB3481" w:rsidRPr="002109C7" w:rsidRDefault="00EB3481" w:rsidP="002109C7">
            <w:pPr>
              <w:ind w:left="208" w:hanging="206"/>
              <w:rPr>
                <w:b/>
                <w:sz w:val="4"/>
                <w:szCs w:val="4"/>
              </w:rPr>
            </w:pPr>
          </w:p>
        </w:tc>
      </w:tr>
      <w:tr w:rsidR="00CF094A" w14:paraId="3FDF3EF1" w14:textId="77777777" w:rsidTr="002109C7">
        <w:trPr>
          <w:trHeight w:val="117"/>
        </w:trPr>
        <w:tc>
          <w:tcPr>
            <w:tcW w:w="438" w:type="dxa"/>
            <w:shd w:val="pct12" w:color="auto" w:fill="auto"/>
          </w:tcPr>
          <w:p w14:paraId="22635892" w14:textId="77777777" w:rsidR="00CF094A" w:rsidRPr="002109C7" w:rsidRDefault="00CF094A" w:rsidP="002109C7">
            <w:pPr>
              <w:rPr>
                <w:rFonts w:cs="Arial"/>
                <w:b/>
                <w:sz w:val="20"/>
                <w:szCs w:val="20"/>
              </w:rPr>
            </w:pPr>
          </w:p>
        </w:tc>
        <w:tc>
          <w:tcPr>
            <w:tcW w:w="7590" w:type="dxa"/>
            <w:gridSpan w:val="3"/>
            <w:shd w:val="clear" w:color="auto" w:fill="auto"/>
          </w:tcPr>
          <w:p w14:paraId="58499C8C" w14:textId="77777777" w:rsidR="000B1DE5" w:rsidRPr="002109C7" w:rsidRDefault="000B1DE5" w:rsidP="002109C7">
            <w:pPr>
              <w:ind w:left="208" w:hanging="316"/>
              <w:rPr>
                <w:b/>
                <w:sz w:val="6"/>
                <w:szCs w:val="6"/>
              </w:rPr>
            </w:pPr>
          </w:p>
          <w:p w14:paraId="1B0799F4" w14:textId="77777777" w:rsidR="00CF094A" w:rsidRPr="002109C7" w:rsidRDefault="00CF094A" w:rsidP="002109C7">
            <w:pPr>
              <w:ind w:left="208" w:hanging="316"/>
              <w:rPr>
                <w:b/>
                <w:sz w:val="24"/>
                <w:szCs w:val="24"/>
              </w:rPr>
            </w:pPr>
            <w:r w:rsidRPr="002109C7">
              <w:rPr>
                <w:b/>
                <w:sz w:val="24"/>
                <w:szCs w:val="24"/>
              </w:rPr>
              <w:t>Completed by:</w:t>
            </w:r>
          </w:p>
          <w:p w14:paraId="0DA9D91F" w14:textId="77777777" w:rsidR="000B1DE5" w:rsidRPr="002109C7" w:rsidRDefault="000B1DE5" w:rsidP="002109C7">
            <w:pPr>
              <w:ind w:left="208" w:hanging="316"/>
              <w:rPr>
                <w:b/>
                <w:sz w:val="6"/>
                <w:szCs w:val="6"/>
              </w:rPr>
            </w:pPr>
          </w:p>
        </w:tc>
        <w:tc>
          <w:tcPr>
            <w:tcW w:w="3630" w:type="dxa"/>
            <w:gridSpan w:val="2"/>
            <w:shd w:val="clear" w:color="auto" w:fill="auto"/>
          </w:tcPr>
          <w:p w14:paraId="47FB2592" w14:textId="77777777" w:rsidR="000B1DE5" w:rsidRPr="002109C7" w:rsidRDefault="000B1DE5" w:rsidP="002109C7">
            <w:pPr>
              <w:ind w:left="208" w:hanging="316"/>
              <w:rPr>
                <w:b/>
                <w:sz w:val="6"/>
                <w:szCs w:val="6"/>
              </w:rPr>
            </w:pPr>
          </w:p>
          <w:p w14:paraId="08DD2B6F" w14:textId="77777777" w:rsidR="00CF094A" w:rsidRPr="002109C7" w:rsidRDefault="00CF094A" w:rsidP="002109C7">
            <w:pPr>
              <w:ind w:left="208" w:hanging="316"/>
              <w:rPr>
                <w:b/>
                <w:sz w:val="24"/>
                <w:szCs w:val="24"/>
              </w:rPr>
            </w:pPr>
            <w:r w:rsidRPr="002109C7">
              <w:rPr>
                <w:b/>
                <w:sz w:val="24"/>
                <w:szCs w:val="24"/>
              </w:rPr>
              <w:t>Date:</w:t>
            </w:r>
          </w:p>
          <w:p w14:paraId="27D7E930" w14:textId="77777777" w:rsidR="000B1DE5" w:rsidRPr="002109C7" w:rsidRDefault="000B1DE5" w:rsidP="002109C7">
            <w:pPr>
              <w:ind w:left="208" w:hanging="316"/>
              <w:rPr>
                <w:b/>
                <w:sz w:val="6"/>
                <w:szCs w:val="6"/>
              </w:rPr>
            </w:pPr>
          </w:p>
        </w:tc>
        <w:tc>
          <w:tcPr>
            <w:tcW w:w="1885" w:type="dxa"/>
            <w:gridSpan w:val="3"/>
            <w:shd w:val="pct12" w:color="auto" w:fill="auto"/>
          </w:tcPr>
          <w:p w14:paraId="2119A231" w14:textId="77777777" w:rsidR="000B1DE5" w:rsidRPr="002109C7" w:rsidRDefault="000B1DE5" w:rsidP="002109C7">
            <w:pPr>
              <w:ind w:left="208" w:hanging="316"/>
              <w:jc w:val="right"/>
              <w:rPr>
                <w:sz w:val="6"/>
                <w:szCs w:val="6"/>
              </w:rPr>
            </w:pPr>
          </w:p>
          <w:p w14:paraId="6F6FFDC7" w14:textId="3BF9E757" w:rsidR="00CF094A" w:rsidRPr="00B7513A" w:rsidRDefault="00514E90" w:rsidP="002109C7">
            <w:pPr>
              <w:ind w:left="208" w:hanging="316"/>
              <w:jc w:val="center"/>
            </w:pPr>
            <w:r w:rsidRPr="00B7513A">
              <w:t xml:space="preserve">Rev. </w:t>
            </w:r>
            <w:r w:rsidR="00CC653A">
              <w:t>10</w:t>
            </w:r>
            <w:r w:rsidR="003330EB">
              <w:t>/26/22</w:t>
            </w:r>
          </w:p>
          <w:p w14:paraId="36679C2D" w14:textId="77777777" w:rsidR="000B1DE5" w:rsidRPr="002109C7" w:rsidRDefault="000B1DE5" w:rsidP="002109C7">
            <w:pPr>
              <w:ind w:left="208" w:hanging="316"/>
              <w:jc w:val="right"/>
              <w:rPr>
                <w:sz w:val="6"/>
                <w:szCs w:val="6"/>
              </w:rPr>
            </w:pPr>
          </w:p>
        </w:tc>
      </w:tr>
    </w:tbl>
    <w:p w14:paraId="04747E54" w14:textId="3F506361" w:rsidR="00981DA8" w:rsidRPr="00F20663" w:rsidRDefault="00981DA8" w:rsidP="005B671D">
      <w:pPr>
        <w:tabs>
          <w:tab w:val="left" w:pos="7815"/>
        </w:tabs>
        <w:rPr>
          <w:sz w:val="2"/>
          <w:szCs w:val="2"/>
        </w:rPr>
      </w:pPr>
    </w:p>
    <w:sectPr w:rsidR="00981DA8" w:rsidRPr="00F20663" w:rsidSect="00730E36">
      <w:footerReference w:type="default" r:id="rId34"/>
      <w:pgSz w:w="15840" w:h="12240" w:orient="landscape"/>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A27E" w14:textId="77777777" w:rsidR="00F81FBC" w:rsidRDefault="00F81FBC" w:rsidP="00FE404F">
      <w:r>
        <w:separator/>
      </w:r>
    </w:p>
  </w:endnote>
  <w:endnote w:type="continuationSeparator" w:id="0">
    <w:p w14:paraId="39D93C71" w14:textId="77777777" w:rsidR="00F81FBC" w:rsidRDefault="00F81FBC" w:rsidP="00FE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E92C" w14:textId="77777777" w:rsidR="005A2D60" w:rsidRDefault="005A2D60" w:rsidP="007157AA">
    <w:pPr>
      <w:pStyle w:val="Footer"/>
      <w:jc w:val="center"/>
    </w:pPr>
    <w:r>
      <w:t xml:space="preserve">Page </w:t>
    </w:r>
    <w:r>
      <w:fldChar w:fldCharType="begin"/>
    </w:r>
    <w:r>
      <w:instrText xml:space="preserve"> PAGE </w:instrText>
    </w:r>
    <w:r>
      <w:fldChar w:fldCharType="separate"/>
    </w:r>
    <w:r w:rsidR="00386952">
      <w:rPr>
        <w:noProof/>
      </w:rPr>
      <w:t>1</w:t>
    </w:r>
    <w:r>
      <w:fldChar w:fldCharType="end"/>
    </w:r>
    <w:r>
      <w:t xml:space="preserve"> of </w:t>
    </w:r>
    <w:r w:rsidR="00F20663">
      <w:fldChar w:fldCharType="begin"/>
    </w:r>
    <w:r w:rsidR="00F20663">
      <w:instrText xml:space="preserve"> NUMPAGES </w:instrText>
    </w:r>
    <w:r w:rsidR="00F20663">
      <w:fldChar w:fldCharType="separate"/>
    </w:r>
    <w:r w:rsidR="00386952">
      <w:rPr>
        <w:noProof/>
      </w:rPr>
      <w:t>4</w:t>
    </w:r>
    <w:r w:rsidR="00F20663">
      <w:rPr>
        <w:noProof/>
      </w:rPr>
      <w:fldChar w:fldCharType="end"/>
    </w:r>
  </w:p>
  <w:p w14:paraId="60C314CC" w14:textId="77777777" w:rsidR="005A2D60" w:rsidRPr="003271EF" w:rsidRDefault="005A2D60" w:rsidP="007157AA">
    <w:pPr>
      <w:pStyle w:val="Footer"/>
      <w:jc w:val="center"/>
      <w:rPr>
        <w:color w:val="FFFFFF"/>
      </w:rPr>
    </w:pPr>
    <w:r w:rsidRPr="003271EF">
      <w:rPr>
        <w:color w:val="FFFFFF"/>
      </w:rPr>
      <w:fldChar w:fldCharType="begin"/>
    </w:r>
    <w:r w:rsidRPr="003271EF">
      <w:rPr>
        <w:color w:val="FFFFFF"/>
      </w:rPr>
      <w:instrText xml:space="preserve"> FILENAME </w:instrText>
    </w:r>
    <w:r w:rsidRPr="003271EF">
      <w:rPr>
        <w:color w:val="FFFFFF"/>
      </w:rPr>
      <w:fldChar w:fldCharType="separate"/>
    </w:r>
    <w:r w:rsidR="00867C1E">
      <w:rPr>
        <w:noProof/>
        <w:color w:val="FFFFFF"/>
      </w:rPr>
      <w:t>LTC Rule 425 Initial Rate Filing Checklist 11-0316 (policies issued 10-01-04 and after) Final.doc</w:t>
    </w:r>
    <w:r w:rsidRPr="003271EF">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9FDE" w14:textId="77777777" w:rsidR="00F81FBC" w:rsidRDefault="00F81FBC" w:rsidP="00FE404F">
      <w:r>
        <w:separator/>
      </w:r>
    </w:p>
  </w:footnote>
  <w:footnote w:type="continuationSeparator" w:id="0">
    <w:p w14:paraId="142B63F3" w14:textId="77777777" w:rsidR="00F81FBC" w:rsidRDefault="00F81FBC" w:rsidP="00FE4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97"/>
    <w:multiLevelType w:val="hybridMultilevel"/>
    <w:tmpl w:val="32E27F44"/>
    <w:lvl w:ilvl="0" w:tplc="FFFFFFFF">
      <w:start w:val="1"/>
      <w:numFmt w:val="decimal"/>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EA4665"/>
    <w:multiLevelType w:val="singleLevel"/>
    <w:tmpl w:val="A5C8675E"/>
    <w:lvl w:ilvl="0">
      <w:start w:val="1"/>
      <w:numFmt w:val="decimal"/>
      <w:lvlText w:val="(%1)"/>
      <w:lvlJc w:val="left"/>
      <w:pPr>
        <w:tabs>
          <w:tab w:val="num" w:pos="2160"/>
        </w:tabs>
        <w:ind w:left="2160" w:hanging="720"/>
      </w:pPr>
      <w:rPr>
        <w:rFonts w:hint="default"/>
      </w:rPr>
    </w:lvl>
  </w:abstractNum>
  <w:abstractNum w:abstractNumId="2" w15:restartNumberingAfterBreak="0">
    <w:nsid w:val="060E6FFC"/>
    <w:multiLevelType w:val="singleLevel"/>
    <w:tmpl w:val="F0F2F850"/>
    <w:lvl w:ilvl="0">
      <w:start w:val="1"/>
      <w:numFmt w:val="decimal"/>
      <w:lvlText w:val="(%1)"/>
      <w:lvlJc w:val="left"/>
      <w:pPr>
        <w:tabs>
          <w:tab w:val="num" w:pos="2160"/>
        </w:tabs>
        <w:ind w:left="2160" w:hanging="720"/>
      </w:pPr>
      <w:rPr>
        <w:rFonts w:hint="default"/>
      </w:rPr>
    </w:lvl>
  </w:abstractNum>
  <w:abstractNum w:abstractNumId="3" w15:restartNumberingAfterBreak="0">
    <w:nsid w:val="064D799E"/>
    <w:multiLevelType w:val="singleLevel"/>
    <w:tmpl w:val="F53CC6D0"/>
    <w:lvl w:ilvl="0">
      <w:start w:val="1"/>
      <w:numFmt w:val="decimal"/>
      <w:lvlText w:val="(%1)"/>
      <w:lvlJc w:val="left"/>
      <w:pPr>
        <w:tabs>
          <w:tab w:val="num" w:pos="2160"/>
        </w:tabs>
        <w:ind w:left="2160" w:hanging="720"/>
      </w:pPr>
      <w:rPr>
        <w:rFonts w:hint="default"/>
      </w:rPr>
    </w:lvl>
  </w:abstractNum>
  <w:abstractNum w:abstractNumId="4" w15:restartNumberingAfterBreak="0">
    <w:nsid w:val="0FBE2E76"/>
    <w:multiLevelType w:val="hybridMultilevel"/>
    <w:tmpl w:val="1E4A82EE"/>
    <w:lvl w:ilvl="0" w:tplc="FFFFFFFF">
      <w:start w:val="1"/>
      <w:numFmt w:val="decimal"/>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 w15:restartNumberingAfterBreak="0">
    <w:nsid w:val="156046D6"/>
    <w:multiLevelType w:val="singleLevel"/>
    <w:tmpl w:val="999A1F00"/>
    <w:lvl w:ilvl="0">
      <w:start w:val="1"/>
      <w:numFmt w:val="decimal"/>
      <w:lvlText w:val="(%1)"/>
      <w:lvlJc w:val="left"/>
      <w:pPr>
        <w:tabs>
          <w:tab w:val="num" w:pos="2160"/>
        </w:tabs>
        <w:ind w:left="2160" w:hanging="720"/>
      </w:pPr>
      <w:rPr>
        <w:rFonts w:hint="default"/>
      </w:rPr>
    </w:lvl>
  </w:abstractNum>
  <w:abstractNum w:abstractNumId="6" w15:restartNumberingAfterBreak="0">
    <w:nsid w:val="18360EC3"/>
    <w:multiLevelType w:val="singleLevel"/>
    <w:tmpl w:val="F41ED0F4"/>
    <w:lvl w:ilvl="0">
      <w:start w:val="1"/>
      <w:numFmt w:val="upperLetter"/>
      <w:lvlText w:val="%1."/>
      <w:lvlJc w:val="left"/>
      <w:pPr>
        <w:tabs>
          <w:tab w:val="num" w:pos="1440"/>
        </w:tabs>
        <w:ind w:left="1440" w:hanging="720"/>
      </w:pPr>
      <w:rPr>
        <w:rFonts w:hint="default"/>
      </w:rPr>
    </w:lvl>
  </w:abstractNum>
  <w:abstractNum w:abstractNumId="7" w15:restartNumberingAfterBreak="0">
    <w:nsid w:val="18620F07"/>
    <w:multiLevelType w:val="singleLevel"/>
    <w:tmpl w:val="6FCA0572"/>
    <w:lvl w:ilvl="0">
      <w:start w:val="1"/>
      <w:numFmt w:val="lowerLetter"/>
      <w:lvlText w:val="(%1)"/>
      <w:lvlJc w:val="left"/>
      <w:pPr>
        <w:tabs>
          <w:tab w:val="num" w:pos="2940"/>
        </w:tabs>
        <w:ind w:left="2940" w:hanging="780"/>
      </w:pPr>
      <w:rPr>
        <w:rFonts w:hint="default"/>
      </w:rPr>
    </w:lvl>
  </w:abstractNum>
  <w:abstractNum w:abstractNumId="8" w15:restartNumberingAfterBreak="0">
    <w:nsid w:val="1CEB12F2"/>
    <w:multiLevelType w:val="hybridMultilevel"/>
    <w:tmpl w:val="418C0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910BB"/>
    <w:multiLevelType w:val="singleLevel"/>
    <w:tmpl w:val="244E400C"/>
    <w:lvl w:ilvl="0">
      <w:start w:val="1"/>
      <w:numFmt w:val="decimal"/>
      <w:lvlText w:val="(%1)"/>
      <w:lvlJc w:val="left"/>
      <w:pPr>
        <w:tabs>
          <w:tab w:val="num" w:pos="2160"/>
        </w:tabs>
        <w:ind w:left="2160" w:hanging="720"/>
      </w:pPr>
      <w:rPr>
        <w:rFonts w:hint="default"/>
      </w:rPr>
    </w:lvl>
  </w:abstractNum>
  <w:abstractNum w:abstractNumId="10" w15:restartNumberingAfterBreak="0">
    <w:nsid w:val="2018769F"/>
    <w:multiLevelType w:val="hybridMultilevel"/>
    <w:tmpl w:val="08120DDE"/>
    <w:lvl w:ilvl="0" w:tplc="04090001">
      <w:start w:val="1"/>
      <w:numFmt w:val="bullet"/>
      <w:lvlText w:val=""/>
      <w:lvlJc w:val="left"/>
      <w:pPr>
        <w:tabs>
          <w:tab w:val="num" w:pos="942"/>
        </w:tabs>
        <w:ind w:left="942" w:hanging="360"/>
      </w:pPr>
      <w:rPr>
        <w:rFonts w:ascii="Symbol" w:hAnsi="Symbo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11" w15:restartNumberingAfterBreak="0">
    <w:nsid w:val="2B44063A"/>
    <w:multiLevelType w:val="singleLevel"/>
    <w:tmpl w:val="3126F3A0"/>
    <w:lvl w:ilvl="0">
      <w:start w:val="1"/>
      <w:numFmt w:val="lowerLetter"/>
      <w:lvlText w:val="(%1)"/>
      <w:lvlJc w:val="left"/>
      <w:pPr>
        <w:tabs>
          <w:tab w:val="num" w:pos="2880"/>
        </w:tabs>
        <w:ind w:left="2880" w:hanging="720"/>
      </w:pPr>
      <w:rPr>
        <w:rFonts w:hint="default"/>
      </w:rPr>
    </w:lvl>
  </w:abstractNum>
  <w:abstractNum w:abstractNumId="12" w15:restartNumberingAfterBreak="0">
    <w:nsid w:val="2C5C064D"/>
    <w:multiLevelType w:val="singleLevel"/>
    <w:tmpl w:val="E65AA0E2"/>
    <w:lvl w:ilvl="0">
      <w:start w:val="1"/>
      <w:numFmt w:val="decimal"/>
      <w:lvlText w:val="(%1)"/>
      <w:lvlJc w:val="left"/>
      <w:pPr>
        <w:tabs>
          <w:tab w:val="num" w:pos="2160"/>
        </w:tabs>
        <w:ind w:left="2160" w:hanging="720"/>
      </w:pPr>
      <w:rPr>
        <w:rFonts w:hint="default"/>
      </w:rPr>
    </w:lvl>
  </w:abstractNum>
  <w:abstractNum w:abstractNumId="13" w15:restartNumberingAfterBreak="0">
    <w:nsid w:val="2FF80C4A"/>
    <w:multiLevelType w:val="multilevel"/>
    <w:tmpl w:val="31A2A4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3FD3E81"/>
    <w:multiLevelType w:val="multilevel"/>
    <w:tmpl w:val="14FC5A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AAA5974"/>
    <w:multiLevelType w:val="hybridMultilevel"/>
    <w:tmpl w:val="AC7C88CA"/>
    <w:lvl w:ilvl="0" w:tplc="CC3A4BFE">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3C787FB6"/>
    <w:multiLevelType w:val="singleLevel"/>
    <w:tmpl w:val="70969B02"/>
    <w:lvl w:ilvl="0">
      <w:start w:val="1"/>
      <w:numFmt w:val="lowerRoman"/>
      <w:lvlText w:val="(%1)"/>
      <w:lvlJc w:val="left"/>
      <w:pPr>
        <w:tabs>
          <w:tab w:val="num" w:pos="3600"/>
        </w:tabs>
        <w:ind w:left="3600" w:hanging="720"/>
      </w:pPr>
      <w:rPr>
        <w:rFonts w:hint="default"/>
      </w:rPr>
    </w:lvl>
  </w:abstractNum>
  <w:abstractNum w:abstractNumId="17" w15:restartNumberingAfterBreak="0">
    <w:nsid w:val="3DA2318C"/>
    <w:multiLevelType w:val="multilevel"/>
    <w:tmpl w:val="02B057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17B3ACB"/>
    <w:multiLevelType w:val="hybridMultilevel"/>
    <w:tmpl w:val="552E319E"/>
    <w:lvl w:ilvl="0" w:tplc="FFFFFFFF">
      <w:start w:val="4"/>
      <w:numFmt w:val="lowerLetter"/>
      <w:lvlText w:val="(%1)"/>
      <w:lvlJc w:val="left"/>
      <w:pPr>
        <w:tabs>
          <w:tab w:val="num" w:pos="2880"/>
        </w:tabs>
        <w:ind w:left="28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3D60655"/>
    <w:multiLevelType w:val="singleLevel"/>
    <w:tmpl w:val="10280B72"/>
    <w:lvl w:ilvl="0">
      <w:start w:val="1"/>
      <w:numFmt w:val="lowerLetter"/>
      <w:lvlText w:val="(%1)"/>
      <w:lvlJc w:val="left"/>
      <w:pPr>
        <w:tabs>
          <w:tab w:val="num" w:pos="3600"/>
        </w:tabs>
        <w:ind w:left="3600" w:hanging="720"/>
      </w:pPr>
      <w:rPr>
        <w:rFonts w:hint="default"/>
      </w:rPr>
    </w:lvl>
  </w:abstractNum>
  <w:abstractNum w:abstractNumId="20" w15:restartNumberingAfterBreak="0">
    <w:nsid w:val="54EF22AE"/>
    <w:multiLevelType w:val="singleLevel"/>
    <w:tmpl w:val="3F724C38"/>
    <w:lvl w:ilvl="0">
      <w:start w:val="1"/>
      <w:numFmt w:val="lowerLetter"/>
      <w:lvlText w:val="(%1)"/>
      <w:lvlJc w:val="left"/>
      <w:pPr>
        <w:tabs>
          <w:tab w:val="num" w:pos="1380"/>
        </w:tabs>
        <w:ind w:left="1380" w:hanging="720"/>
      </w:pPr>
      <w:rPr>
        <w:rFonts w:hint="default"/>
      </w:rPr>
    </w:lvl>
  </w:abstractNum>
  <w:abstractNum w:abstractNumId="21" w15:restartNumberingAfterBreak="0">
    <w:nsid w:val="563210C9"/>
    <w:multiLevelType w:val="singleLevel"/>
    <w:tmpl w:val="3B5CBC20"/>
    <w:lvl w:ilvl="0">
      <w:start w:val="1"/>
      <w:numFmt w:val="lowerLetter"/>
      <w:lvlText w:val="(%1)"/>
      <w:lvlJc w:val="left"/>
      <w:pPr>
        <w:tabs>
          <w:tab w:val="num" w:pos="2880"/>
        </w:tabs>
        <w:ind w:left="2880" w:hanging="720"/>
      </w:pPr>
      <w:rPr>
        <w:rFonts w:hint="default"/>
      </w:rPr>
    </w:lvl>
  </w:abstractNum>
  <w:abstractNum w:abstractNumId="22" w15:restartNumberingAfterBreak="0">
    <w:nsid w:val="58AB511D"/>
    <w:multiLevelType w:val="hybridMultilevel"/>
    <w:tmpl w:val="2F3EB62C"/>
    <w:lvl w:ilvl="0" w:tplc="9160735C">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59346BDB"/>
    <w:multiLevelType w:val="hybridMultilevel"/>
    <w:tmpl w:val="078E4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87AED"/>
    <w:multiLevelType w:val="singleLevel"/>
    <w:tmpl w:val="31C0DCC4"/>
    <w:lvl w:ilvl="0">
      <w:start w:val="1"/>
      <w:numFmt w:val="lowerRoman"/>
      <w:lvlText w:val="(%1)"/>
      <w:lvlJc w:val="left"/>
      <w:pPr>
        <w:tabs>
          <w:tab w:val="num" w:pos="3600"/>
        </w:tabs>
        <w:ind w:left="3600" w:hanging="720"/>
      </w:pPr>
      <w:rPr>
        <w:rFonts w:hint="default"/>
      </w:rPr>
    </w:lvl>
  </w:abstractNum>
  <w:abstractNum w:abstractNumId="25" w15:restartNumberingAfterBreak="0">
    <w:nsid w:val="694C47BB"/>
    <w:multiLevelType w:val="singleLevel"/>
    <w:tmpl w:val="0DAA6DC8"/>
    <w:lvl w:ilvl="0">
      <w:start w:val="1"/>
      <w:numFmt w:val="decimal"/>
      <w:lvlText w:val="(%1)"/>
      <w:lvlJc w:val="left"/>
      <w:pPr>
        <w:tabs>
          <w:tab w:val="num" w:pos="2160"/>
        </w:tabs>
        <w:ind w:left="2160" w:hanging="720"/>
      </w:pPr>
      <w:rPr>
        <w:rFonts w:hint="default"/>
      </w:rPr>
    </w:lvl>
  </w:abstractNum>
  <w:abstractNum w:abstractNumId="26" w15:restartNumberingAfterBreak="0">
    <w:nsid w:val="6F600B2D"/>
    <w:multiLevelType w:val="singleLevel"/>
    <w:tmpl w:val="E8269F38"/>
    <w:lvl w:ilvl="0">
      <w:start w:val="1"/>
      <w:numFmt w:val="upperLetter"/>
      <w:lvlText w:val="%1."/>
      <w:lvlJc w:val="left"/>
      <w:pPr>
        <w:tabs>
          <w:tab w:val="num" w:pos="1440"/>
        </w:tabs>
        <w:ind w:left="1440" w:hanging="720"/>
      </w:pPr>
      <w:rPr>
        <w:rFonts w:hint="default"/>
      </w:rPr>
    </w:lvl>
  </w:abstractNum>
  <w:abstractNum w:abstractNumId="27" w15:restartNumberingAfterBreak="0">
    <w:nsid w:val="72184A7B"/>
    <w:multiLevelType w:val="singleLevel"/>
    <w:tmpl w:val="0E485A5A"/>
    <w:lvl w:ilvl="0">
      <w:start w:val="1"/>
      <w:numFmt w:val="decimal"/>
      <w:lvlText w:val="(%1)"/>
      <w:lvlJc w:val="left"/>
      <w:pPr>
        <w:tabs>
          <w:tab w:val="num" w:pos="2160"/>
        </w:tabs>
        <w:ind w:left="2160" w:hanging="720"/>
      </w:pPr>
      <w:rPr>
        <w:rFonts w:hint="default"/>
      </w:rPr>
    </w:lvl>
  </w:abstractNum>
  <w:abstractNum w:abstractNumId="28" w15:restartNumberingAfterBreak="0">
    <w:nsid w:val="73E60180"/>
    <w:multiLevelType w:val="singleLevel"/>
    <w:tmpl w:val="8C806E62"/>
    <w:lvl w:ilvl="0">
      <w:start w:val="1"/>
      <w:numFmt w:val="lowerRoman"/>
      <w:lvlText w:val="(%1)"/>
      <w:lvlJc w:val="left"/>
      <w:pPr>
        <w:tabs>
          <w:tab w:val="num" w:pos="3580"/>
        </w:tabs>
        <w:ind w:left="3580" w:hanging="720"/>
      </w:pPr>
      <w:rPr>
        <w:rFonts w:hint="default"/>
      </w:rPr>
    </w:lvl>
  </w:abstractNum>
  <w:abstractNum w:abstractNumId="29" w15:restartNumberingAfterBreak="0">
    <w:nsid w:val="768B0DF0"/>
    <w:multiLevelType w:val="singleLevel"/>
    <w:tmpl w:val="AA32DECC"/>
    <w:lvl w:ilvl="0">
      <w:start w:val="1"/>
      <w:numFmt w:val="lowerLetter"/>
      <w:lvlText w:val="(%1)"/>
      <w:lvlJc w:val="left"/>
      <w:pPr>
        <w:tabs>
          <w:tab w:val="num" w:pos="2880"/>
        </w:tabs>
        <w:ind w:left="2880" w:hanging="720"/>
      </w:pPr>
      <w:rPr>
        <w:rFonts w:hint="default"/>
      </w:rPr>
    </w:lvl>
  </w:abstractNum>
  <w:abstractNum w:abstractNumId="30" w15:restartNumberingAfterBreak="0">
    <w:nsid w:val="7E08431D"/>
    <w:multiLevelType w:val="singleLevel"/>
    <w:tmpl w:val="FC502500"/>
    <w:lvl w:ilvl="0">
      <w:start w:val="1"/>
      <w:numFmt w:val="lowerLetter"/>
      <w:lvlText w:val="(%1)"/>
      <w:lvlJc w:val="left"/>
      <w:pPr>
        <w:tabs>
          <w:tab w:val="num" w:pos="2880"/>
        </w:tabs>
        <w:ind w:left="2880" w:hanging="720"/>
      </w:pPr>
      <w:rPr>
        <w:rFonts w:hint="default"/>
      </w:rPr>
    </w:lvl>
  </w:abstractNum>
  <w:num w:numId="1">
    <w:abstractNumId w:val="22"/>
  </w:num>
  <w:num w:numId="2">
    <w:abstractNumId w:val="15"/>
  </w:num>
  <w:num w:numId="3">
    <w:abstractNumId w:val="17"/>
  </w:num>
  <w:num w:numId="4">
    <w:abstractNumId w:val="14"/>
  </w:num>
  <w:num w:numId="5">
    <w:abstractNumId w:val="13"/>
  </w:num>
  <w:num w:numId="6">
    <w:abstractNumId w:val="6"/>
  </w:num>
  <w:num w:numId="7">
    <w:abstractNumId w:val="12"/>
  </w:num>
  <w:num w:numId="8">
    <w:abstractNumId w:val="20"/>
  </w:num>
  <w:num w:numId="9">
    <w:abstractNumId w:val="16"/>
  </w:num>
  <w:num w:numId="10">
    <w:abstractNumId w:val="18"/>
  </w:num>
  <w:num w:numId="11">
    <w:abstractNumId w:val="1"/>
  </w:num>
  <w:num w:numId="12">
    <w:abstractNumId w:val="29"/>
  </w:num>
  <w:num w:numId="13">
    <w:abstractNumId w:val="11"/>
  </w:num>
  <w:num w:numId="14">
    <w:abstractNumId w:val="28"/>
  </w:num>
  <w:num w:numId="15">
    <w:abstractNumId w:val="2"/>
  </w:num>
  <w:num w:numId="16">
    <w:abstractNumId w:val="21"/>
  </w:num>
  <w:num w:numId="17">
    <w:abstractNumId w:val="7"/>
  </w:num>
  <w:num w:numId="18">
    <w:abstractNumId w:val="5"/>
  </w:num>
  <w:num w:numId="19">
    <w:abstractNumId w:val="19"/>
  </w:num>
  <w:num w:numId="20">
    <w:abstractNumId w:val="3"/>
  </w:num>
  <w:num w:numId="21">
    <w:abstractNumId w:val="4"/>
  </w:num>
  <w:num w:numId="22">
    <w:abstractNumId w:val="0"/>
  </w:num>
  <w:num w:numId="23">
    <w:abstractNumId w:val="26"/>
  </w:num>
  <w:num w:numId="24">
    <w:abstractNumId w:val="25"/>
  </w:num>
  <w:num w:numId="25">
    <w:abstractNumId w:val="30"/>
  </w:num>
  <w:num w:numId="26">
    <w:abstractNumId w:val="24"/>
  </w:num>
  <w:num w:numId="27">
    <w:abstractNumId w:val="27"/>
  </w:num>
  <w:num w:numId="28">
    <w:abstractNumId w:val="9"/>
  </w:num>
  <w:num w:numId="29">
    <w:abstractNumId w:val="8"/>
  </w:num>
  <w:num w:numId="30">
    <w:abstractNumId w:val="2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ED"/>
    <w:rsid w:val="0000043F"/>
    <w:rsid w:val="0000396D"/>
    <w:rsid w:val="00016077"/>
    <w:rsid w:val="00016364"/>
    <w:rsid w:val="00016935"/>
    <w:rsid w:val="000179F2"/>
    <w:rsid w:val="000213C7"/>
    <w:rsid w:val="00022099"/>
    <w:rsid w:val="00024450"/>
    <w:rsid w:val="00024B10"/>
    <w:rsid w:val="000272D7"/>
    <w:rsid w:val="000319B3"/>
    <w:rsid w:val="000319F8"/>
    <w:rsid w:val="00035AE5"/>
    <w:rsid w:val="00036A7F"/>
    <w:rsid w:val="00041B72"/>
    <w:rsid w:val="0004566E"/>
    <w:rsid w:val="000512C0"/>
    <w:rsid w:val="00062BA4"/>
    <w:rsid w:val="00074F51"/>
    <w:rsid w:val="0007642B"/>
    <w:rsid w:val="00076521"/>
    <w:rsid w:val="00081201"/>
    <w:rsid w:val="00081F03"/>
    <w:rsid w:val="0008631E"/>
    <w:rsid w:val="000916C3"/>
    <w:rsid w:val="00094B64"/>
    <w:rsid w:val="00097C4F"/>
    <w:rsid w:val="000A01B8"/>
    <w:rsid w:val="000A4C47"/>
    <w:rsid w:val="000A4DE2"/>
    <w:rsid w:val="000B11F0"/>
    <w:rsid w:val="000B1DE5"/>
    <w:rsid w:val="000B2A6F"/>
    <w:rsid w:val="000C21F5"/>
    <w:rsid w:val="000C2A58"/>
    <w:rsid w:val="000C3897"/>
    <w:rsid w:val="000C40E5"/>
    <w:rsid w:val="000C5E81"/>
    <w:rsid w:val="000C7D19"/>
    <w:rsid w:val="000D0890"/>
    <w:rsid w:val="000D2751"/>
    <w:rsid w:val="000D34CA"/>
    <w:rsid w:val="000D3E80"/>
    <w:rsid w:val="000D512A"/>
    <w:rsid w:val="000D5898"/>
    <w:rsid w:val="000E1819"/>
    <w:rsid w:val="000E5339"/>
    <w:rsid w:val="000E55CD"/>
    <w:rsid w:val="000E5666"/>
    <w:rsid w:val="000F056A"/>
    <w:rsid w:val="000F2387"/>
    <w:rsid w:val="000F358C"/>
    <w:rsid w:val="000F39EB"/>
    <w:rsid w:val="000F3AF8"/>
    <w:rsid w:val="000F4F30"/>
    <w:rsid w:val="000F62B6"/>
    <w:rsid w:val="000F636D"/>
    <w:rsid w:val="001002C6"/>
    <w:rsid w:val="00102050"/>
    <w:rsid w:val="00103697"/>
    <w:rsid w:val="00105D24"/>
    <w:rsid w:val="001103E7"/>
    <w:rsid w:val="001106CA"/>
    <w:rsid w:val="001123EE"/>
    <w:rsid w:val="0011287B"/>
    <w:rsid w:val="00113AA7"/>
    <w:rsid w:val="00117B80"/>
    <w:rsid w:val="00120CD3"/>
    <w:rsid w:val="00122801"/>
    <w:rsid w:val="001229A9"/>
    <w:rsid w:val="00122C90"/>
    <w:rsid w:val="00122E63"/>
    <w:rsid w:val="00130034"/>
    <w:rsid w:val="00136943"/>
    <w:rsid w:val="0013736F"/>
    <w:rsid w:val="00137741"/>
    <w:rsid w:val="00141639"/>
    <w:rsid w:val="001434FC"/>
    <w:rsid w:val="00146175"/>
    <w:rsid w:val="001515CC"/>
    <w:rsid w:val="00152426"/>
    <w:rsid w:val="001530DB"/>
    <w:rsid w:val="00157C0F"/>
    <w:rsid w:val="00167799"/>
    <w:rsid w:val="0017093B"/>
    <w:rsid w:val="00170EC1"/>
    <w:rsid w:val="001755E8"/>
    <w:rsid w:val="001758CD"/>
    <w:rsid w:val="001768F3"/>
    <w:rsid w:val="0017789A"/>
    <w:rsid w:val="00180283"/>
    <w:rsid w:val="0018110C"/>
    <w:rsid w:val="00190663"/>
    <w:rsid w:val="00191EF6"/>
    <w:rsid w:val="001A0927"/>
    <w:rsid w:val="001A439E"/>
    <w:rsid w:val="001A4D84"/>
    <w:rsid w:val="001A4E39"/>
    <w:rsid w:val="001A53D1"/>
    <w:rsid w:val="001B01B3"/>
    <w:rsid w:val="001B3507"/>
    <w:rsid w:val="001B5941"/>
    <w:rsid w:val="001B63A9"/>
    <w:rsid w:val="001B68A4"/>
    <w:rsid w:val="001B720A"/>
    <w:rsid w:val="001C1FD0"/>
    <w:rsid w:val="001C33D8"/>
    <w:rsid w:val="001C3E4C"/>
    <w:rsid w:val="001C52DC"/>
    <w:rsid w:val="001C7E0F"/>
    <w:rsid w:val="001D270B"/>
    <w:rsid w:val="001D5252"/>
    <w:rsid w:val="001D65B8"/>
    <w:rsid w:val="001D7A58"/>
    <w:rsid w:val="001E0A25"/>
    <w:rsid w:val="001E12DA"/>
    <w:rsid w:val="001E1C60"/>
    <w:rsid w:val="001E4E81"/>
    <w:rsid w:val="001F0CE5"/>
    <w:rsid w:val="001F1417"/>
    <w:rsid w:val="001F510B"/>
    <w:rsid w:val="00206227"/>
    <w:rsid w:val="002069A5"/>
    <w:rsid w:val="002109C7"/>
    <w:rsid w:val="0021174D"/>
    <w:rsid w:val="002118F5"/>
    <w:rsid w:val="00221564"/>
    <w:rsid w:val="00224EB1"/>
    <w:rsid w:val="00226273"/>
    <w:rsid w:val="00230F6B"/>
    <w:rsid w:val="00236551"/>
    <w:rsid w:val="0023694E"/>
    <w:rsid w:val="00246C15"/>
    <w:rsid w:val="00247064"/>
    <w:rsid w:val="00247712"/>
    <w:rsid w:val="00247B74"/>
    <w:rsid w:val="00247EDD"/>
    <w:rsid w:val="00252472"/>
    <w:rsid w:val="00266A92"/>
    <w:rsid w:val="0026794E"/>
    <w:rsid w:val="002711E8"/>
    <w:rsid w:val="002803CB"/>
    <w:rsid w:val="00280612"/>
    <w:rsid w:val="00280EAA"/>
    <w:rsid w:val="00280FAF"/>
    <w:rsid w:val="00282C73"/>
    <w:rsid w:val="00285A79"/>
    <w:rsid w:val="00294345"/>
    <w:rsid w:val="00294BE6"/>
    <w:rsid w:val="00296591"/>
    <w:rsid w:val="002A031B"/>
    <w:rsid w:val="002A283C"/>
    <w:rsid w:val="002A7B4E"/>
    <w:rsid w:val="002B131B"/>
    <w:rsid w:val="002B16B4"/>
    <w:rsid w:val="002B2F9A"/>
    <w:rsid w:val="002B397B"/>
    <w:rsid w:val="002B7676"/>
    <w:rsid w:val="002C347B"/>
    <w:rsid w:val="002C754E"/>
    <w:rsid w:val="002D2BA7"/>
    <w:rsid w:val="002D4BA9"/>
    <w:rsid w:val="002D61BC"/>
    <w:rsid w:val="002D61D0"/>
    <w:rsid w:val="002E2805"/>
    <w:rsid w:val="002E6FC2"/>
    <w:rsid w:val="002F11D6"/>
    <w:rsid w:val="002F161E"/>
    <w:rsid w:val="002F5AAB"/>
    <w:rsid w:val="002F607B"/>
    <w:rsid w:val="00300BD7"/>
    <w:rsid w:val="003024B7"/>
    <w:rsid w:val="003034D8"/>
    <w:rsid w:val="003040DA"/>
    <w:rsid w:val="003049EF"/>
    <w:rsid w:val="003057A2"/>
    <w:rsid w:val="00306E34"/>
    <w:rsid w:val="00310DDC"/>
    <w:rsid w:val="00312ABE"/>
    <w:rsid w:val="00312BBE"/>
    <w:rsid w:val="00315E78"/>
    <w:rsid w:val="00317B4A"/>
    <w:rsid w:val="00322778"/>
    <w:rsid w:val="00323412"/>
    <w:rsid w:val="00324A6A"/>
    <w:rsid w:val="003271EF"/>
    <w:rsid w:val="003330EB"/>
    <w:rsid w:val="00335795"/>
    <w:rsid w:val="003401C4"/>
    <w:rsid w:val="00340E8A"/>
    <w:rsid w:val="00343EF2"/>
    <w:rsid w:val="00344E35"/>
    <w:rsid w:val="00345492"/>
    <w:rsid w:val="00346AEE"/>
    <w:rsid w:val="003511A0"/>
    <w:rsid w:val="003546EE"/>
    <w:rsid w:val="003552C0"/>
    <w:rsid w:val="003563EC"/>
    <w:rsid w:val="0036136B"/>
    <w:rsid w:val="003621D2"/>
    <w:rsid w:val="0036413F"/>
    <w:rsid w:val="00364867"/>
    <w:rsid w:val="003649E2"/>
    <w:rsid w:val="00365C35"/>
    <w:rsid w:val="003660C9"/>
    <w:rsid w:val="00370996"/>
    <w:rsid w:val="003732E9"/>
    <w:rsid w:val="003749AE"/>
    <w:rsid w:val="00376C34"/>
    <w:rsid w:val="00380BE6"/>
    <w:rsid w:val="0038145F"/>
    <w:rsid w:val="00381A16"/>
    <w:rsid w:val="00382C56"/>
    <w:rsid w:val="00386952"/>
    <w:rsid w:val="00391F3F"/>
    <w:rsid w:val="003923F9"/>
    <w:rsid w:val="00392CBE"/>
    <w:rsid w:val="003A0743"/>
    <w:rsid w:val="003A220F"/>
    <w:rsid w:val="003A7563"/>
    <w:rsid w:val="003B1FDB"/>
    <w:rsid w:val="003B6A79"/>
    <w:rsid w:val="003B6D72"/>
    <w:rsid w:val="003B6DFC"/>
    <w:rsid w:val="003B7589"/>
    <w:rsid w:val="003C4E3C"/>
    <w:rsid w:val="003C51E8"/>
    <w:rsid w:val="003C5DB8"/>
    <w:rsid w:val="003D0E92"/>
    <w:rsid w:val="003D16D8"/>
    <w:rsid w:val="003D3070"/>
    <w:rsid w:val="003D31D9"/>
    <w:rsid w:val="003D4CFA"/>
    <w:rsid w:val="003D5A96"/>
    <w:rsid w:val="003E07C6"/>
    <w:rsid w:val="003E1492"/>
    <w:rsid w:val="003E1E62"/>
    <w:rsid w:val="003E2200"/>
    <w:rsid w:val="003E249A"/>
    <w:rsid w:val="003E2FB5"/>
    <w:rsid w:val="003E3DD2"/>
    <w:rsid w:val="003E5ADC"/>
    <w:rsid w:val="003E6882"/>
    <w:rsid w:val="003E7D59"/>
    <w:rsid w:val="003F3554"/>
    <w:rsid w:val="003F3AF6"/>
    <w:rsid w:val="003F4928"/>
    <w:rsid w:val="003F7006"/>
    <w:rsid w:val="00400032"/>
    <w:rsid w:val="004001DE"/>
    <w:rsid w:val="004019E8"/>
    <w:rsid w:val="00402B0C"/>
    <w:rsid w:val="00405386"/>
    <w:rsid w:val="00405EBD"/>
    <w:rsid w:val="00411CD7"/>
    <w:rsid w:val="00414A83"/>
    <w:rsid w:val="0041500D"/>
    <w:rsid w:val="004162F8"/>
    <w:rsid w:val="004176F3"/>
    <w:rsid w:val="00423ACC"/>
    <w:rsid w:val="0042530C"/>
    <w:rsid w:val="00425393"/>
    <w:rsid w:val="004259C4"/>
    <w:rsid w:val="00425D34"/>
    <w:rsid w:val="00427131"/>
    <w:rsid w:val="00427F83"/>
    <w:rsid w:val="00431E07"/>
    <w:rsid w:val="00433D20"/>
    <w:rsid w:val="00436048"/>
    <w:rsid w:val="004361E0"/>
    <w:rsid w:val="004375F8"/>
    <w:rsid w:val="00437995"/>
    <w:rsid w:val="00441DB5"/>
    <w:rsid w:val="00443A5A"/>
    <w:rsid w:val="00446345"/>
    <w:rsid w:val="00446CC4"/>
    <w:rsid w:val="00450EBE"/>
    <w:rsid w:val="00452367"/>
    <w:rsid w:val="00456BDA"/>
    <w:rsid w:val="004577D0"/>
    <w:rsid w:val="00457CD5"/>
    <w:rsid w:val="00462095"/>
    <w:rsid w:val="004630D8"/>
    <w:rsid w:val="00464295"/>
    <w:rsid w:val="00464F12"/>
    <w:rsid w:val="00470044"/>
    <w:rsid w:val="00472A90"/>
    <w:rsid w:val="004750DE"/>
    <w:rsid w:val="004758E1"/>
    <w:rsid w:val="00475A03"/>
    <w:rsid w:val="00476993"/>
    <w:rsid w:val="004802F6"/>
    <w:rsid w:val="00481845"/>
    <w:rsid w:val="00485279"/>
    <w:rsid w:val="00486AC7"/>
    <w:rsid w:val="00491DED"/>
    <w:rsid w:val="00497AF5"/>
    <w:rsid w:val="00497E1E"/>
    <w:rsid w:val="004A31A1"/>
    <w:rsid w:val="004A720D"/>
    <w:rsid w:val="004B19F8"/>
    <w:rsid w:val="004B2DA1"/>
    <w:rsid w:val="004B36DD"/>
    <w:rsid w:val="004B4812"/>
    <w:rsid w:val="004B487E"/>
    <w:rsid w:val="004B4AE0"/>
    <w:rsid w:val="004B6E47"/>
    <w:rsid w:val="004C3E03"/>
    <w:rsid w:val="004C667F"/>
    <w:rsid w:val="004D0DBB"/>
    <w:rsid w:val="004D17E1"/>
    <w:rsid w:val="004D1E90"/>
    <w:rsid w:val="004D2289"/>
    <w:rsid w:val="004D4D24"/>
    <w:rsid w:val="004D61BA"/>
    <w:rsid w:val="004E3058"/>
    <w:rsid w:val="004E33F3"/>
    <w:rsid w:val="004F0483"/>
    <w:rsid w:val="004F3DD7"/>
    <w:rsid w:val="004F4459"/>
    <w:rsid w:val="004F4592"/>
    <w:rsid w:val="004F5107"/>
    <w:rsid w:val="004F796F"/>
    <w:rsid w:val="00500589"/>
    <w:rsid w:val="00502284"/>
    <w:rsid w:val="005028AD"/>
    <w:rsid w:val="00502CA9"/>
    <w:rsid w:val="00504560"/>
    <w:rsid w:val="005062E9"/>
    <w:rsid w:val="00506F54"/>
    <w:rsid w:val="0051009D"/>
    <w:rsid w:val="00513BCA"/>
    <w:rsid w:val="00514503"/>
    <w:rsid w:val="00514E90"/>
    <w:rsid w:val="00520204"/>
    <w:rsid w:val="00525329"/>
    <w:rsid w:val="00525689"/>
    <w:rsid w:val="005279C2"/>
    <w:rsid w:val="005341BE"/>
    <w:rsid w:val="00540578"/>
    <w:rsid w:val="005412C5"/>
    <w:rsid w:val="0054376C"/>
    <w:rsid w:val="00543AEA"/>
    <w:rsid w:val="005447DB"/>
    <w:rsid w:val="0054584B"/>
    <w:rsid w:val="00547391"/>
    <w:rsid w:val="00551D53"/>
    <w:rsid w:val="00552779"/>
    <w:rsid w:val="00554A6F"/>
    <w:rsid w:val="00560C0D"/>
    <w:rsid w:val="00565381"/>
    <w:rsid w:val="00565AEA"/>
    <w:rsid w:val="005673FD"/>
    <w:rsid w:val="005749C9"/>
    <w:rsid w:val="00581B83"/>
    <w:rsid w:val="00582D54"/>
    <w:rsid w:val="00583887"/>
    <w:rsid w:val="00584B82"/>
    <w:rsid w:val="00585558"/>
    <w:rsid w:val="0059541D"/>
    <w:rsid w:val="00597489"/>
    <w:rsid w:val="005A243C"/>
    <w:rsid w:val="005A248F"/>
    <w:rsid w:val="005A2D60"/>
    <w:rsid w:val="005A7302"/>
    <w:rsid w:val="005A7F32"/>
    <w:rsid w:val="005B0798"/>
    <w:rsid w:val="005B08B5"/>
    <w:rsid w:val="005B23C4"/>
    <w:rsid w:val="005B3320"/>
    <w:rsid w:val="005B671D"/>
    <w:rsid w:val="005C0737"/>
    <w:rsid w:val="005C1A43"/>
    <w:rsid w:val="005C1A75"/>
    <w:rsid w:val="005C3363"/>
    <w:rsid w:val="005C615C"/>
    <w:rsid w:val="005D0797"/>
    <w:rsid w:val="005D10CB"/>
    <w:rsid w:val="005D2DF2"/>
    <w:rsid w:val="005D3391"/>
    <w:rsid w:val="005D342F"/>
    <w:rsid w:val="005D6078"/>
    <w:rsid w:val="005D7FD8"/>
    <w:rsid w:val="005E39D7"/>
    <w:rsid w:val="005E48A1"/>
    <w:rsid w:val="005E69F7"/>
    <w:rsid w:val="005E7140"/>
    <w:rsid w:val="005E75DD"/>
    <w:rsid w:val="005E7ADB"/>
    <w:rsid w:val="005F0C5D"/>
    <w:rsid w:val="005F13D3"/>
    <w:rsid w:val="005F190B"/>
    <w:rsid w:val="005F2A5E"/>
    <w:rsid w:val="005F2FCD"/>
    <w:rsid w:val="005F37C6"/>
    <w:rsid w:val="005F41EF"/>
    <w:rsid w:val="005F420F"/>
    <w:rsid w:val="005F7668"/>
    <w:rsid w:val="00602732"/>
    <w:rsid w:val="00604529"/>
    <w:rsid w:val="006114C6"/>
    <w:rsid w:val="00614914"/>
    <w:rsid w:val="00616207"/>
    <w:rsid w:val="006170CD"/>
    <w:rsid w:val="006320CA"/>
    <w:rsid w:val="00633178"/>
    <w:rsid w:val="0064010A"/>
    <w:rsid w:val="0064052C"/>
    <w:rsid w:val="00640FF2"/>
    <w:rsid w:val="00641033"/>
    <w:rsid w:val="00641A92"/>
    <w:rsid w:val="00644A72"/>
    <w:rsid w:val="0064598C"/>
    <w:rsid w:val="006463AF"/>
    <w:rsid w:val="00646EBC"/>
    <w:rsid w:val="00647DE3"/>
    <w:rsid w:val="00650AB0"/>
    <w:rsid w:val="0065184B"/>
    <w:rsid w:val="006522E5"/>
    <w:rsid w:val="00652D7B"/>
    <w:rsid w:val="00653420"/>
    <w:rsid w:val="006539A2"/>
    <w:rsid w:val="0065655A"/>
    <w:rsid w:val="00656DAE"/>
    <w:rsid w:val="00660B16"/>
    <w:rsid w:val="0066234F"/>
    <w:rsid w:val="00662A0D"/>
    <w:rsid w:val="00665271"/>
    <w:rsid w:val="006654D2"/>
    <w:rsid w:val="00666E97"/>
    <w:rsid w:val="006707A0"/>
    <w:rsid w:val="006730D2"/>
    <w:rsid w:val="00682477"/>
    <w:rsid w:val="00682C2A"/>
    <w:rsid w:val="00686EB1"/>
    <w:rsid w:val="00687849"/>
    <w:rsid w:val="00691A13"/>
    <w:rsid w:val="006941BD"/>
    <w:rsid w:val="0069487C"/>
    <w:rsid w:val="00694D68"/>
    <w:rsid w:val="00695CDD"/>
    <w:rsid w:val="00697BD3"/>
    <w:rsid w:val="006A0A7B"/>
    <w:rsid w:val="006A47ED"/>
    <w:rsid w:val="006A6B71"/>
    <w:rsid w:val="006B230B"/>
    <w:rsid w:val="006B232C"/>
    <w:rsid w:val="006B2D68"/>
    <w:rsid w:val="006B613E"/>
    <w:rsid w:val="006B6864"/>
    <w:rsid w:val="006C13A7"/>
    <w:rsid w:val="006C1877"/>
    <w:rsid w:val="006C28FA"/>
    <w:rsid w:val="006C2D90"/>
    <w:rsid w:val="006C4CC0"/>
    <w:rsid w:val="006C5BF4"/>
    <w:rsid w:val="006D695C"/>
    <w:rsid w:val="006D6B32"/>
    <w:rsid w:val="006D6F45"/>
    <w:rsid w:val="006D79AD"/>
    <w:rsid w:val="006E2065"/>
    <w:rsid w:val="006E5078"/>
    <w:rsid w:val="006E7A7E"/>
    <w:rsid w:val="006F11C7"/>
    <w:rsid w:val="006F254E"/>
    <w:rsid w:val="006F2738"/>
    <w:rsid w:val="006F3B94"/>
    <w:rsid w:val="006F4FBA"/>
    <w:rsid w:val="00700072"/>
    <w:rsid w:val="00701058"/>
    <w:rsid w:val="00702CB7"/>
    <w:rsid w:val="00703E76"/>
    <w:rsid w:val="0070448E"/>
    <w:rsid w:val="0070464D"/>
    <w:rsid w:val="00704A8D"/>
    <w:rsid w:val="007065BD"/>
    <w:rsid w:val="0070749F"/>
    <w:rsid w:val="007111B8"/>
    <w:rsid w:val="0071333E"/>
    <w:rsid w:val="0071395C"/>
    <w:rsid w:val="00714877"/>
    <w:rsid w:val="007157AA"/>
    <w:rsid w:val="00716A85"/>
    <w:rsid w:val="00716C81"/>
    <w:rsid w:val="00716E0D"/>
    <w:rsid w:val="007173C8"/>
    <w:rsid w:val="0071769A"/>
    <w:rsid w:val="00717820"/>
    <w:rsid w:val="00720560"/>
    <w:rsid w:val="00722411"/>
    <w:rsid w:val="00725953"/>
    <w:rsid w:val="007267D1"/>
    <w:rsid w:val="00727962"/>
    <w:rsid w:val="007279E8"/>
    <w:rsid w:val="00730E36"/>
    <w:rsid w:val="00731349"/>
    <w:rsid w:val="007316DB"/>
    <w:rsid w:val="00731A43"/>
    <w:rsid w:val="00732871"/>
    <w:rsid w:val="00734851"/>
    <w:rsid w:val="00740702"/>
    <w:rsid w:val="00746423"/>
    <w:rsid w:val="00754D6B"/>
    <w:rsid w:val="0075590B"/>
    <w:rsid w:val="00771236"/>
    <w:rsid w:val="007714E5"/>
    <w:rsid w:val="00773B64"/>
    <w:rsid w:val="00774C12"/>
    <w:rsid w:val="00780E9C"/>
    <w:rsid w:val="00785918"/>
    <w:rsid w:val="00785CAC"/>
    <w:rsid w:val="00790472"/>
    <w:rsid w:val="007913A6"/>
    <w:rsid w:val="007913CA"/>
    <w:rsid w:val="0079157B"/>
    <w:rsid w:val="0079215A"/>
    <w:rsid w:val="00792C43"/>
    <w:rsid w:val="00795823"/>
    <w:rsid w:val="00796261"/>
    <w:rsid w:val="007A227B"/>
    <w:rsid w:val="007A35B9"/>
    <w:rsid w:val="007A56A6"/>
    <w:rsid w:val="007A68EA"/>
    <w:rsid w:val="007B0338"/>
    <w:rsid w:val="007B1545"/>
    <w:rsid w:val="007B3D58"/>
    <w:rsid w:val="007B4297"/>
    <w:rsid w:val="007B4EC0"/>
    <w:rsid w:val="007B5918"/>
    <w:rsid w:val="007B6D9A"/>
    <w:rsid w:val="007B6F0B"/>
    <w:rsid w:val="007C198F"/>
    <w:rsid w:val="007C2BCE"/>
    <w:rsid w:val="007C331F"/>
    <w:rsid w:val="007C3AFF"/>
    <w:rsid w:val="007C5EAD"/>
    <w:rsid w:val="007C69AD"/>
    <w:rsid w:val="007C6AD8"/>
    <w:rsid w:val="007C7B33"/>
    <w:rsid w:val="007D21B4"/>
    <w:rsid w:val="007D23FA"/>
    <w:rsid w:val="007D2A4C"/>
    <w:rsid w:val="007D5EEA"/>
    <w:rsid w:val="007E1FAA"/>
    <w:rsid w:val="007E2FB6"/>
    <w:rsid w:val="007E5076"/>
    <w:rsid w:val="007F5772"/>
    <w:rsid w:val="007F77D1"/>
    <w:rsid w:val="00802635"/>
    <w:rsid w:val="008026A3"/>
    <w:rsid w:val="00803047"/>
    <w:rsid w:val="00804A0D"/>
    <w:rsid w:val="00804B9B"/>
    <w:rsid w:val="00806984"/>
    <w:rsid w:val="00806E43"/>
    <w:rsid w:val="0081342C"/>
    <w:rsid w:val="00813EDB"/>
    <w:rsid w:val="00816CC7"/>
    <w:rsid w:val="00820E5F"/>
    <w:rsid w:val="00821796"/>
    <w:rsid w:val="008217BE"/>
    <w:rsid w:val="008265EC"/>
    <w:rsid w:val="008270A0"/>
    <w:rsid w:val="0083493E"/>
    <w:rsid w:val="00836242"/>
    <w:rsid w:val="00836412"/>
    <w:rsid w:val="008368F9"/>
    <w:rsid w:val="00836E00"/>
    <w:rsid w:val="00841546"/>
    <w:rsid w:val="00843B01"/>
    <w:rsid w:val="00844570"/>
    <w:rsid w:val="008470DE"/>
    <w:rsid w:val="008514C5"/>
    <w:rsid w:val="00851E98"/>
    <w:rsid w:val="0085668D"/>
    <w:rsid w:val="00863E99"/>
    <w:rsid w:val="00865BAF"/>
    <w:rsid w:val="00867C1E"/>
    <w:rsid w:val="00871CF4"/>
    <w:rsid w:val="00872C60"/>
    <w:rsid w:val="008739F3"/>
    <w:rsid w:val="00875F5C"/>
    <w:rsid w:val="00877FC3"/>
    <w:rsid w:val="00882B76"/>
    <w:rsid w:val="00884FDF"/>
    <w:rsid w:val="008877D4"/>
    <w:rsid w:val="008932A7"/>
    <w:rsid w:val="00893544"/>
    <w:rsid w:val="008961D7"/>
    <w:rsid w:val="00896723"/>
    <w:rsid w:val="00897063"/>
    <w:rsid w:val="008A284A"/>
    <w:rsid w:val="008A2CF8"/>
    <w:rsid w:val="008A6A3A"/>
    <w:rsid w:val="008A7B88"/>
    <w:rsid w:val="008B122F"/>
    <w:rsid w:val="008B4A98"/>
    <w:rsid w:val="008B5CCD"/>
    <w:rsid w:val="008B5DFE"/>
    <w:rsid w:val="008C08AD"/>
    <w:rsid w:val="008C0E10"/>
    <w:rsid w:val="008C4103"/>
    <w:rsid w:val="008C6D36"/>
    <w:rsid w:val="008D5BA8"/>
    <w:rsid w:val="008D77C6"/>
    <w:rsid w:val="008E180C"/>
    <w:rsid w:val="008E58F9"/>
    <w:rsid w:val="008E5F2F"/>
    <w:rsid w:val="008E7B5A"/>
    <w:rsid w:val="008F0D53"/>
    <w:rsid w:val="008F2362"/>
    <w:rsid w:val="008F2AAA"/>
    <w:rsid w:val="008F5607"/>
    <w:rsid w:val="00905084"/>
    <w:rsid w:val="00906407"/>
    <w:rsid w:val="00906F5C"/>
    <w:rsid w:val="0091027B"/>
    <w:rsid w:val="0092291F"/>
    <w:rsid w:val="00922984"/>
    <w:rsid w:val="009244EE"/>
    <w:rsid w:val="0093271B"/>
    <w:rsid w:val="009365D2"/>
    <w:rsid w:val="009417EE"/>
    <w:rsid w:val="00944CC0"/>
    <w:rsid w:val="00950D34"/>
    <w:rsid w:val="00954386"/>
    <w:rsid w:val="00954649"/>
    <w:rsid w:val="009569C9"/>
    <w:rsid w:val="00957412"/>
    <w:rsid w:val="00961E57"/>
    <w:rsid w:val="00962D43"/>
    <w:rsid w:val="009660FC"/>
    <w:rsid w:val="0096612B"/>
    <w:rsid w:val="00971A70"/>
    <w:rsid w:val="00972548"/>
    <w:rsid w:val="00973ABE"/>
    <w:rsid w:val="00975D05"/>
    <w:rsid w:val="0097672B"/>
    <w:rsid w:val="009777C4"/>
    <w:rsid w:val="009811F2"/>
    <w:rsid w:val="00981DA8"/>
    <w:rsid w:val="00984EA8"/>
    <w:rsid w:val="00992457"/>
    <w:rsid w:val="00992558"/>
    <w:rsid w:val="00995870"/>
    <w:rsid w:val="009A03CD"/>
    <w:rsid w:val="009A5774"/>
    <w:rsid w:val="009A6F31"/>
    <w:rsid w:val="009A7451"/>
    <w:rsid w:val="009B1228"/>
    <w:rsid w:val="009B1A55"/>
    <w:rsid w:val="009B3654"/>
    <w:rsid w:val="009B4834"/>
    <w:rsid w:val="009B7322"/>
    <w:rsid w:val="009B74AC"/>
    <w:rsid w:val="009C2B5F"/>
    <w:rsid w:val="009C707A"/>
    <w:rsid w:val="009C74C9"/>
    <w:rsid w:val="009C7F24"/>
    <w:rsid w:val="009D0FDB"/>
    <w:rsid w:val="009D1982"/>
    <w:rsid w:val="009D7103"/>
    <w:rsid w:val="009D7FA0"/>
    <w:rsid w:val="009E1CE4"/>
    <w:rsid w:val="009E2DF8"/>
    <w:rsid w:val="009E4408"/>
    <w:rsid w:val="009E5B62"/>
    <w:rsid w:val="009F0255"/>
    <w:rsid w:val="009F065D"/>
    <w:rsid w:val="009F0F21"/>
    <w:rsid w:val="009F3578"/>
    <w:rsid w:val="009F38AA"/>
    <w:rsid w:val="009F56C3"/>
    <w:rsid w:val="009F6DC6"/>
    <w:rsid w:val="009F7A25"/>
    <w:rsid w:val="00A01995"/>
    <w:rsid w:val="00A01C76"/>
    <w:rsid w:val="00A0521C"/>
    <w:rsid w:val="00A05451"/>
    <w:rsid w:val="00A107BF"/>
    <w:rsid w:val="00A11A8A"/>
    <w:rsid w:val="00A12D99"/>
    <w:rsid w:val="00A13915"/>
    <w:rsid w:val="00A164B7"/>
    <w:rsid w:val="00A210D5"/>
    <w:rsid w:val="00A2184D"/>
    <w:rsid w:val="00A24C7D"/>
    <w:rsid w:val="00A302F3"/>
    <w:rsid w:val="00A30E4D"/>
    <w:rsid w:val="00A3198C"/>
    <w:rsid w:val="00A321D6"/>
    <w:rsid w:val="00A366FE"/>
    <w:rsid w:val="00A41C52"/>
    <w:rsid w:val="00A51E71"/>
    <w:rsid w:val="00A51E7D"/>
    <w:rsid w:val="00A5737F"/>
    <w:rsid w:val="00A6080E"/>
    <w:rsid w:val="00A6453F"/>
    <w:rsid w:val="00A7193E"/>
    <w:rsid w:val="00A719BF"/>
    <w:rsid w:val="00A72262"/>
    <w:rsid w:val="00A754FE"/>
    <w:rsid w:val="00A81145"/>
    <w:rsid w:val="00A815E6"/>
    <w:rsid w:val="00A82C7C"/>
    <w:rsid w:val="00A835FD"/>
    <w:rsid w:val="00A84BF2"/>
    <w:rsid w:val="00A852E0"/>
    <w:rsid w:val="00A8700D"/>
    <w:rsid w:val="00A91444"/>
    <w:rsid w:val="00A91BFB"/>
    <w:rsid w:val="00A932E9"/>
    <w:rsid w:val="00A935A0"/>
    <w:rsid w:val="00AA018F"/>
    <w:rsid w:val="00AA0810"/>
    <w:rsid w:val="00AA44B4"/>
    <w:rsid w:val="00AB0C8F"/>
    <w:rsid w:val="00AB32D6"/>
    <w:rsid w:val="00AB4AA9"/>
    <w:rsid w:val="00AB6324"/>
    <w:rsid w:val="00AB72BE"/>
    <w:rsid w:val="00AB79F0"/>
    <w:rsid w:val="00AC403D"/>
    <w:rsid w:val="00AC7457"/>
    <w:rsid w:val="00AD2929"/>
    <w:rsid w:val="00AD4FEA"/>
    <w:rsid w:val="00AD5B99"/>
    <w:rsid w:val="00AD6044"/>
    <w:rsid w:val="00AD770B"/>
    <w:rsid w:val="00AD7D8C"/>
    <w:rsid w:val="00AE159F"/>
    <w:rsid w:val="00AE6270"/>
    <w:rsid w:val="00AE627E"/>
    <w:rsid w:val="00AF05A0"/>
    <w:rsid w:val="00AF6EA9"/>
    <w:rsid w:val="00B0213F"/>
    <w:rsid w:val="00B04B6B"/>
    <w:rsid w:val="00B06525"/>
    <w:rsid w:val="00B0685D"/>
    <w:rsid w:val="00B06A52"/>
    <w:rsid w:val="00B06E59"/>
    <w:rsid w:val="00B079A7"/>
    <w:rsid w:val="00B11AF1"/>
    <w:rsid w:val="00B129C4"/>
    <w:rsid w:val="00B17562"/>
    <w:rsid w:val="00B17706"/>
    <w:rsid w:val="00B17A46"/>
    <w:rsid w:val="00B20E5A"/>
    <w:rsid w:val="00B21212"/>
    <w:rsid w:val="00B22AB1"/>
    <w:rsid w:val="00B2772D"/>
    <w:rsid w:val="00B3452E"/>
    <w:rsid w:val="00B414F5"/>
    <w:rsid w:val="00B423DB"/>
    <w:rsid w:val="00B444DB"/>
    <w:rsid w:val="00B45F1D"/>
    <w:rsid w:val="00B47DA8"/>
    <w:rsid w:val="00B50606"/>
    <w:rsid w:val="00B533DD"/>
    <w:rsid w:val="00B536B3"/>
    <w:rsid w:val="00B53C41"/>
    <w:rsid w:val="00B54093"/>
    <w:rsid w:val="00B5410A"/>
    <w:rsid w:val="00B55E51"/>
    <w:rsid w:val="00B56C97"/>
    <w:rsid w:val="00B632C9"/>
    <w:rsid w:val="00B63965"/>
    <w:rsid w:val="00B65547"/>
    <w:rsid w:val="00B670EF"/>
    <w:rsid w:val="00B73602"/>
    <w:rsid w:val="00B7513A"/>
    <w:rsid w:val="00B75805"/>
    <w:rsid w:val="00B77A7E"/>
    <w:rsid w:val="00B82233"/>
    <w:rsid w:val="00B827C5"/>
    <w:rsid w:val="00B834D4"/>
    <w:rsid w:val="00B84228"/>
    <w:rsid w:val="00B85513"/>
    <w:rsid w:val="00B867D1"/>
    <w:rsid w:val="00B874B7"/>
    <w:rsid w:val="00B94277"/>
    <w:rsid w:val="00B9500A"/>
    <w:rsid w:val="00B9516A"/>
    <w:rsid w:val="00BA097F"/>
    <w:rsid w:val="00BA28E9"/>
    <w:rsid w:val="00BA6C21"/>
    <w:rsid w:val="00BB12B2"/>
    <w:rsid w:val="00BB1339"/>
    <w:rsid w:val="00BB46C4"/>
    <w:rsid w:val="00BB48B5"/>
    <w:rsid w:val="00BB4925"/>
    <w:rsid w:val="00BB66FC"/>
    <w:rsid w:val="00BC3CA7"/>
    <w:rsid w:val="00BC454C"/>
    <w:rsid w:val="00BC7869"/>
    <w:rsid w:val="00BD044B"/>
    <w:rsid w:val="00BD2CDE"/>
    <w:rsid w:val="00BD4906"/>
    <w:rsid w:val="00BD4E40"/>
    <w:rsid w:val="00BD5C3B"/>
    <w:rsid w:val="00BD60A9"/>
    <w:rsid w:val="00BE2C9D"/>
    <w:rsid w:val="00BE399C"/>
    <w:rsid w:val="00BF0668"/>
    <w:rsid w:val="00BF11D9"/>
    <w:rsid w:val="00BF23A0"/>
    <w:rsid w:val="00BF486E"/>
    <w:rsid w:val="00BF6EFB"/>
    <w:rsid w:val="00C005D2"/>
    <w:rsid w:val="00C024B3"/>
    <w:rsid w:val="00C025A7"/>
    <w:rsid w:val="00C11E77"/>
    <w:rsid w:val="00C13B2D"/>
    <w:rsid w:val="00C162ED"/>
    <w:rsid w:val="00C20B99"/>
    <w:rsid w:val="00C22159"/>
    <w:rsid w:val="00C27D95"/>
    <w:rsid w:val="00C31B0B"/>
    <w:rsid w:val="00C32A77"/>
    <w:rsid w:val="00C371B1"/>
    <w:rsid w:val="00C37D6C"/>
    <w:rsid w:val="00C435E7"/>
    <w:rsid w:val="00C43F46"/>
    <w:rsid w:val="00C50B56"/>
    <w:rsid w:val="00C50ECC"/>
    <w:rsid w:val="00C560E0"/>
    <w:rsid w:val="00C60B87"/>
    <w:rsid w:val="00C61246"/>
    <w:rsid w:val="00C61801"/>
    <w:rsid w:val="00C63370"/>
    <w:rsid w:val="00C64D60"/>
    <w:rsid w:val="00C656EC"/>
    <w:rsid w:val="00C74685"/>
    <w:rsid w:val="00C7546E"/>
    <w:rsid w:val="00C7690D"/>
    <w:rsid w:val="00C81B1B"/>
    <w:rsid w:val="00C8201B"/>
    <w:rsid w:val="00C8748C"/>
    <w:rsid w:val="00C91316"/>
    <w:rsid w:val="00C93400"/>
    <w:rsid w:val="00C95A1D"/>
    <w:rsid w:val="00C9688F"/>
    <w:rsid w:val="00CA23C9"/>
    <w:rsid w:val="00CA332A"/>
    <w:rsid w:val="00CA7F67"/>
    <w:rsid w:val="00CB1943"/>
    <w:rsid w:val="00CB4EED"/>
    <w:rsid w:val="00CB7394"/>
    <w:rsid w:val="00CC3736"/>
    <w:rsid w:val="00CC653A"/>
    <w:rsid w:val="00CC7637"/>
    <w:rsid w:val="00CD733D"/>
    <w:rsid w:val="00CD7566"/>
    <w:rsid w:val="00CE0AE3"/>
    <w:rsid w:val="00CE0F34"/>
    <w:rsid w:val="00CE5B0E"/>
    <w:rsid w:val="00CE7CFA"/>
    <w:rsid w:val="00CF094A"/>
    <w:rsid w:val="00CF1594"/>
    <w:rsid w:val="00CF2DE9"/>
    <w:rsid w:val="00CF37A5"/>
    <w:rsid w:val="00CF65FB"/>
    <w:rsid w:val="00CF7AED"/>
    <w:rsid w:val="00D03BF6"/>
    <w:rsid w:val="00D1076E"/>
    <w:rsid w:val="00D10C09"/>
    <w:rsid w:val="00D11EF2"/>
    <w:rsid w:val="00D1292E"/>
    <w:rsid w:val="00D12A5E"/>
    <w:rsid w:val="00D130C7"/>
    <w:rsid w:val="00D1398A"/>
    <w:rsid w:val="00D146F2"/>
    <w:rsid w:val="00D14C86"/>
    <w:rsid w:val="00D20C15"/>
    <w:rsid w:val="00D23C22"/>
    <w:rsid w:val="00D247E8"/>
    <w:rsid w:val="00D301F4"/>
    <w:rsid w:val="00D30D02"/>
    <w:rsid w:val="00D312D6"/>
    <w:rsid w:val="00D344E0"/>
    <w:rsid w:val="00D35C1F"/>
    <w:rsid w:val="00D44508"/>
    <w:rsid w:val="00D471AE"/>
    <w:rsid w:val="00D47E62"/>
    <w:rsid w:val="00D51906"/>
    <w:rsid w:val="00D519EE"/>
    <w:rsid w:val="00D521C5"/>
    <w:rsid w:val="00D5787C"/>
    <w:rsid w:val="00D60D36"/>
    <w:rsid w:val="00D62BBE"/>
    <w:rsid w:val="00D62CC1"/>
    <w:rsid w:val="00D6358A"/>
    <w:rsid w:val="00D6472C"/>
    <w:rsid w:val="00D72A75"/>
    <w:rsid w:val="00D73CD2"/>
    <w:rsid w:val="00D73E21"/>
    <w:rsid w:val="00D73EE4"/>
    <w:rsid w:val="00D760F4"/>
    <w:rsid w:val="00D7625E"/>
    <w:rsid w:val="00D7754D"/>
    <w:rsid w:val="00D77C0B"/>
    <w:rsid w:val="00D80B15"/>
    <w:rsid w:val="00D81CB6"/>
    <w:rsid w:val="00D83898"/>
    <w:rsid w:val="00D83973"/>
    <w:rsid w:val="00D85A99"/>
    <w:rsid w:val="00D874AC"/>
    <w:rsid w:val="00D93552"/>
    <w:rsid w:val="00D95378"/>
    <w:rsid w:val="00D96032"/>
    <w:rsid w:val="00D963AA"/>
    <w:rsid w:val="00D97903"/>
    <w:rsid w:val="00DA0C92"/>
    <w:rsid w:val="00DA5B27"/>
    <w:rsid w:val="00DA794F"/>
    <w:rsid w:val="00DB1FF1"/>
    <w:rsid w:val="00DB20CE"/>
    <w:rsid w:val="00DB439D"/>
    <w:rsid w:val="00DB53D7"/>
    <w:rsid w:val="00DC0F8F"/>
    <w:rsid w:val="00DC43CB"/>
    <w:rsid w:val="00DC639E"/>
    <w:rsid w:val="00DC7791"/>
    <w:rsid w:val="00DC7868"/>
    <w:rsid w:val="00DC7B52"/>
    <w:rsid w:val="00DC7E3C"/>
    <w:rsid w:val="00DD12D6"/>
    <w:rsid w:val="00DD4838"/>
    <w:rsid w:val="00DD4CDB"/>
    <w:rsid w:val="00DF020A"/>
    <w:rsid w:val="00DF0C6C"/>
    <w:rsid w:val="00DF5CBC"/>
    <w:rsid w:val="00E00E4B"/>
    <w:rsid w:val="00E02A45"/>
    <w:rsid w:val="00E02F10"/>
    <w:rsid w:val="00E11EA3"/>
    <w:rsid w:val="00E1581E"/>
    <w:rsid w:val="00E25BE2"/>
    <w:rsid w:val="00E26F87"/>
    <w:rsid w:val="00E273AA"/>
    <w:rsid w:val="00E27A0A"/>
    <w:rsid w:val="00E30339"/>
    <w:rsid w:val="00E31F08"/>
    <w:rsid w:val="00E33261"/>
    <w:rsid w:val="00E3337A"/>
    <w:rsid w:val="00E3420E"/>
    <w:rsid w:val="00E36566"/>
    <w:rsid w:val="00E365E6"/>
    <w:rsid w:val="00E36E2C"/>
    <w:rsid w:val="00E40171"/>
    <w:rsid w:val="00E4267F"/>
    <w:rsid w:val="00E45061"/>
    <w:rsid w:val="00E46749"/>
    <w:rsid w:val="00E46994"/>
    <w:rsid w:val="00E46F3F"/>
    <w:rsid w:val="00E52E18"/>
    <w:rsid w:val="00E55091"/>
    <w:rsid w:val="00E551D5"/>
    <w:rsid w:val="00E576B7"/>
    <w:rsid w:val="00E60F63"/>
    <w:rsid w:val="00E61342"/>
    <w:rsid w:val="00E64BB8"/>
    <w:rsid w:val="00E7170F"/>
    <w:rsid w:val="00E728F0"/>
    <w:rsid w:val="00E74335"/>
    <w:rsid w:val="00E74EF6"/>
    <w:rsid w:val="00E762BF"/>
    <w:rsid w:val="00E763A3"/>
    <w:rsid w:val="00E80513"/>
    <w:rsid w:val="00E81AF1"/>
    <w:rsid w:val="00E82AE5"/>
    <w:rsid w:val="00E83DF8"/>
    <w:rsid w:val="00E87B8A"/>
    <w:rsid w:val="00E93F1E"/>
    <w:rsid w:val="00E94108"/>
    <w:rsid w:val="00E94B47"/>
    <w:rsid w:val="00E978CD"/>
    <w:rsid w:val="00E97929"/>
    <w:rsid w:val="00E97D4C"/>
    <w:rsid w:val="00EA0A26"/>
    <w:rsid w:val="00EA138F"/>
    <w:rsid w:val="00EA28FB"/>
    <w:rsid w:val="00EA3487"/>
    <w:rsid w:val="00EA675D"/>
    <w:rsid w:val="00EB0D78"/>
    <w:rsid w:val="00EB3481"/>
    <w:rsid w:val="00EB35A7"/>
    <w:rsid w:val="00EC0D1C"/>
    <w:rsid w:val="00EC3913"/>
    <w:rsid w:val="00EC41DB"/>
    <w:rsid w:val="00EC42E6"/>
    <w:rsid w:val="00ED4F4B"/>
    <w:rsid w:val="00ED6B08"/>
    <w:rsid w:val="00EE12CD"/>
    <w:rsid w:val="00EE42C2"/>
    <w:rsid w:val="00EE4B9E"/>
    <w:rsid w:val="00EE4CC3"/>
    <w:rsid w:val="00EE510C"/>
    <w:rsid w:val="00EE6E04"/>
    <w:rsid w:val="00EE76E1"/>
    <w:rsid w:val="00EE7828"/>
    <w:rsid w:val="00EF0BA5"/>
    <w:rsid w:val="00EF20A7"/>
    <w:rsid w:val="00EF2677"/>
    <w:rsid w:val="00EF79F7"/>
    <w:rsid w:val="00F00ACA"/>
    <w:rsid w:val="00F02689"/>
    <w:rsid w:val="00F108AD"/>
    <w:rsid w:val="00F205AA"/>
    <w:rsid w:val="00F20663"/>
    <w:rsid w:val="00F206CD"/>
    <w:rsid w:val="00F2492D"/>
    <w:rsid w:val="00F25239"/>
    <w:rsid w:val="00F329CB"/>
    <w:rsid w:val="00F32C38"/>
    <w:rsid w:val="00F33E3B"/>
    <w:rsid w:val="00F37DEE"/>
    <w:rsid w:val="00F40A09"/>
    <w:rsid w:val="00F41255"/>
    <w:rsid w:val="00F42284"/>
    <w:rsid w:val="00F42A43"/>
    <w:rsid w:val="00F4349A"/>
    <w:rsid w:val="00F463EF"/>
    <w:rsid w:val="00F47B2D"/>
    <w:rsid w:val="00F50903"/>
    <w:rsid w:val="00F66C6A"/>
    <w:rsid w:val="00F67EAA"/>
    <w:rsid w:val="00F715C6"/>
    <w:rsid w:val="00F73652"/>
    <w:rsid w:val="00F7486B"/>
    <w:rsid w:val="00F75899"/>
    <w:rsid w:val="00F76280"/>
    <w:rsid w:val="00F76C13"/>
    <w:rsid w:val="00F76EF5"/>
    <w:rsid w:val="00F81FBC"/>
    <w:rsid w:val="00F823F0"/>
    <w:rsid w:val="00F854C3"/>
    <w:rsid w:val="00F86475"/>
    <w:rsid w:val="00F907EF"/>
    <w:rsid w:val="00F90871"/>
    <w:rsid w:val="00F94FC2"/>
    <w:rsid w:val="00FA0668"/>
    <w:rsid w:val="00FA372D"/>
    <w:rsid w:val="00FA6927"/>
    <w:rsid w:val="00FA738C"/>
    <w:rsid w:val="00FB13BD"/>
    <w:rsid w:val="00FB3207"/>
    <w:rsid w:val="00FB440F"/>
    <w:rsid w:val="00FC195E"/>
    <w:rsid w:val="00FC5BC5"/>
    <w:rsid w:val="00FC74DE"/>
    <w:rsid w:val="00FD7358"/>
    <w:rsid w:val="00FE3B83"/>
    <w:rsid w:val="00FE404F"/>
    <w:rsid w:val="00FE6B10"/>
    <w:rsid w:val="00FE7456"/>
    <w:rsid w:val="00FE7A23"/>
    <w:rsid w:val="00FF0558"/>
    <w:rsid w:val="00FF42A0"/>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6B21EFE"/>
  <w15:docId w15:val="{A64D66C2-8079-4A5A-9D5A-23D48ACD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rsid w:val="00C162ED"/>
    <w:pPr>
      <w:keepNext/>
      <w:jc w:val="center"/>
      <w:outlineLvl w:val="0"/>
    </w:pPr>
    <w:rPr>
      <w:b/>
      <w:snapToGrid w:val="0"/>
      <w:color w:val="000000"/>
      <w:sz w:val="21"/>
      <w:szCs w:val="20"/>
    </w:rPr>
  </w:style>
  <w:style w:type="paragraph" w:styleId="Heading2">
    <w:name w:val="heading 2"/>
    <w:basedOn w:val="Normal"/>
    <w:next w:val="Normal"/>
    <w:qFormat/>
    <w:rsid w:val="001D5252"/>
    <w:pPr>
      <w:keepNext/>
      <w:spacing w:before="240" w:after="60"/>
      <w:outlineLvl w:val="1"/>
    </w:pPr>
    <w:rPr>
      <w:rFonts w:cs="Arial"/>
      <w:b/>
      <w:bCs/>
      <w:i/>
      <w:iCs/>
      <w:sz w:val="28"/>
      <w:szCs w:val="28"/>
    </w:rPr>
  </w:style>
  <w:style w:type="paragraph" w:styleId="Heading3">
    <w:name w:val="heading 3"/>
    <w:basedOn w:val="Normal"/>
    <w:next w:val="Normal"/>
    <w:qFormat/>
    <w:rsid w:val="00C162E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62ED"/>
    <w:rPr>
      <w:color w:val="0000FF"/>
      <w:u w:val="single"/>
    </w:rPr>
  </w:style>
  <w:style w:type="paragraph" w:styleId="NormalWeb">
    <w:name w:val="Normal (Web)"/>
    <w:basedOn w:val="Normal"/>
    <w:rsid w:val="00C162ED"/>
    <w:pPr>
      <w:spacing w:before="100" w:beforeAutospacing="1" w:after="100" w:afterAutospacing="1"/>
    </w:pPr>
    <w:rPr>
      <w:rFonts w:ascii="Times New Roman" w:hAnsi="Times New Roman"/>
      <w:sz w:val="24"/>
      <w:szCs w:val="24"/>
    </w:rPr>
  </w:style>
  <w:style w:type="character" w:styleId="FollowedHyperlink">
    <w:name w:val="FollowedHyperlink"/>
    <w:rsid w:val="00431E07"/>
    <w:rPr>
      <w:color w:val="800080"/>
      <w:u w:val="single"/>
    </w:rPr>
  </w:style>
  <w:style w:type="character" w:styleId="CommentReference">
    <w:name w:val="annotation reference"/>
    <w:semiHidden/>
    <w:rsid w:val="00F76280"/>
    <w:rPr>
      <w:sz w:val="16"/>
      <w:szCs w:val="16"/>
    </w:rPr>
  </w:style>
  <w:style w:type="paragraph" w:styleId="CommentText">
    <w:name w:val="annotation text"/>
    <w:basedOn w:val="Normal"/>
    <w:semiHidden/>
    <w:rsid w:val="00F76280"/>
    <w:rPr>
      <w:rFonts w:ascii="Times New Roman" w:hAnsi="Times New Roman"/>
      <w:sz w:val="20"/>
      <w:szCs w:val="20"/>
    </w:rPr>
  </w:style>
  <w:style w:type="paragraph" w:styleId="BalloonText">
    <w:name w:val="Balloon Text"/>
    <w:basedOn w:val="Normal"/>
    <w:semiHidden/>
    <w:rsid w:val="00F76280"/>
    <w:rPr>
      <w:rFonts w:ascii="Tahoma" w:hAnsi="Tahoma" w:cs="Tahoma"/>
      <w:sz w:val="16"/>
      <w:szCs w:val="16"/>
    </w:rPr>
  </w:style>
  <w:style w:type="paragraph" w:styleId="CommentSubject">
    <w:name w:val="annotation subject"/>
    <w:basedOn w:val="CommentText"/>
    <w:next w:val="CommentText"/>
    <w:semiHidden/>
    <w:rsid w:val="00E64BB8"/>
    <w:rPr>
      <w:rFonts w:ascii="Arial" w:hAnsi="Arial"/>
      <w:b/>
      <w:bCs/>
    </w:rPr>
  </w:style>
  <w:style w:type="character" w:customStyle="1" w:styleId="underline1">
    <w:name w:val="underline1"/>
    <w:rsid w:val="00BE399C"/>
    <w:rPr>
      <w:u w:val="single"/>
    </w:rPr>
  </w:style>
  <w:style w:type="paragraph" w:styleId="Header">
    <w:name w:val="header"/>
    <w:basedOn w:val="Normal"/>
    <w:rsid w:val="007157AA"/>
    <w:pPr>
      <w:tabs>
        <w:tab w:val="center" w:pos="4320"/>
        <w:tab w:val="right" w:pos="8640"/>
      </w:tabs>
    </w:pPr>
  </w:style>
  <w:style w:type="paragraph" w:styleId="Footer">
    <w:name w:val="footer"/>
    <w:basedOn w:val="Normal"/>
    <w:rsid w:val="007157AA"/>
    <w:pPr>
      <w:tabs>
        <w:tab w:val="center" w:pos="4320"/>
        <w:tab w:val="right" w:pos="8640"/>
      </w:tabs>
    </w:pPr>
  </w:style>
  <w:style w:type="character" w:styleId="Strong">
    <w:name w:val="Strong"/>
    <w:qFormat/>
    <w:rsid w:val="005F2FCD"/>
    <w:rPr>
      <w:b/>
      <w:bCs/>
    </w:rPr>
  </w:style>
  <w:style w:type="paragraph" w:styleId="BodyTextIndent">
    <w:name w:val="Body Text Indent"/>
    <w:basedOn w:val="Normal"/>
    <w:rsid w:val="00230F6B"/>
    <w:pPr>
      <w:spacing w:line="240" w:lineRule="atLeast"/>
      <w:ind w:left="1440" w:hanging="720"/>
      <w:jc w:val="both"/>
    </w:pPr>
    <w:rPr>
      <w:rFonts w:ascii="Times New Roman" w:hAnsi="Times New Roman"/>
      <w:sz w:val="24"/>
      <w:szCs w:val="20"/>
    </w:rPr>
  </w:style>
  <w:style w:type="paragraph" w:styleId="BodyText">
    <w:name w:val="Body Text"/>
    <w:basedOn w:val="Normal"/>
    <w:rsid w:val="00230F6B"/>
    <w:pPr>
      <w:spacing w:line="240" w:lineRule="atLeast"/>
      <w:jc w:val="both"/>
    </w:pPr>
    <w:rPr>
      <w:rFonts w:ascii="Times New Roman" w:hAnsi="Times New Roman"/>
      <w:sz w:val="24"/>
      <w:szCs w:val="20"/>
    </w:rPr>
  </w:style>
  <w:style w:type="paragraph" w:styleId="BodyText2">
    <w:name w:val="Body Text 2"/>
    <w:basedOn w:val="Normal"/>
    <w:rsid w:val="00230F6B"/>
    <w:pPr>
      <w:spacing w:after="120" w:line="480" w:lineRule="auto"/>
    </w:pPr>
    <w:rPr>
      <w:rFonts w:ascii="Courier" w:hAnsi="Courier"/>
      <w:sz w:val="20"/>
      <w:szCs w:val="20"/>
    </w:rPr>
  </w:style>
  <w:style w:type="paragraph" w:styleId="BodyText3">
    <w:name w:val="Body Text 3"/>
    <w:basedOn w:val="Normal"/>
    <w:rsid w:val="00230F6B"/>
    <w:pPr>
      <w:spacing w:after="120"/>
    </w:pPr>
    <w:rPr>
      <w:rFonts w:ascii="Courier" w:hAnsi="Courier"/>
      <w:sz w:val="16"/>
      <w:szCs w:val="16"/>
    </w:rPr>
  </w:style>
  <w:style w:type="paragraph" w:styleId="BodyTextIndent3">
    <w:name w:val="Body Text Indent 3"/>
    <w:basedOn w:val="Normal"/>
    <w:rsid w:val="001D5252"/>
    <w:pPr>
      <w:spacing w:after="120"/>
      <w:ind w:left="360"/>
    </w:pPr>
    <w:rPr>
      <w:sz w:val="16"/>
      <w:szCs w:val="16"/>
    </w:rPr>
  </w:style>
  <w:style w:type="paragraph" w:styleId="BodyTextIndent2">
    <w:name w:val="Body Text Indent 2"/>
    <w:basedOn w:val="Normal"/>
    <w:rsid w:val="001D5252"/>
    <w:pPr>
      <w:spacing w:after="120" w:line="480" w:lineRule="auto"/>
      <w:ind w:left="360"/>
    </w:pPr>
  </w:style>
  <w:style w:type="paragraph" w:customStyle="1" w:styleId="a4Paragraph">
    <w:name w:val="a4Paragraph"/>
    <w:basedOn w:val="Normal"/>
    <w:rsid w:val="001D5252"/>
    <w:pPr>
      <w:tabs>
        <w:tab w:val="left" w:pos="1"/>
        <w:tab w:val="left" w:pos="720"/>
        <w:tab w:val="left" w:pos="1440"/>
        <w:tab w:val="left" w:pos="2160"/>
        <w:tab w:val="left" w:pos="2880"/>
        <w:tab w:val="left" w:pos="3600"/>
        <w:tab w:val="left" w:pos="4320"/>
        <w:tab w:val="left" w:pos="5040"/>
        <w:tab w:val="left" w:pos="5760"/>
        <w:tab w:val="left" w:pos="6480"/>
      </w:tabs>
      <w:ind w:left="2160"/>
    </w:pPr>
    <w:rPr>
      <w:rFonts w:ascii="Times New" w:hAnsi="Times New"/>
      <w:sz w:val="24"/>
      <w:szCs w:val="20"/>
    </w:rPr>
  </w:style>
  <w:style w:type="paragraph" w:customStyle="1" w:styleId="Normal10pt">
    <w:name w:val="Normal + 10 pt"/>
    <w:basedOn w:val="Normal"/>
    <w:link w:val="Normal10ptChar"/>
    <w:rsid w:val="00973ABE"/>
    <w:pPr>
      <w:shd w:val="pct15" w:color="auto" w:fill="auto"/>
    </w:pPr>
    <w:rPr>
      <w:sz w:val="20"/>
      <w:szCs w:val="24"/>
    </w:rPr>
  </w:style>
  <w:style w:type="character" w:customStyle="1" w:styleId="Normal10ptChar">
    <w:name w:val="Normal + 10 pt Char"/>
    <w:link w:val="Normal10pt"/>
    <w:rsid w:val="00973ABE"/>
    <w:rPr>
      <w:rFonts w:ascii="Arial" w:hAnsi="Arial"/>
      <w:szCs w:val="24"/>
      <w:lang w:val="en-US" w:eastAsia="en-US" w:bidi="ar-SA"/>
    </w:rPr>
  </w:style>
  <w:style w:type="character" w:styleId="PageNumber">
    <w:name w:val="page number"/>
    <w:basedOn w:val="DefaultParagraphFont"/>
    <w:rsid w:val="00E1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02/031/031c425.doc" TargetMode="External"/><Relationship Id="rId13" Type="http://schemas.openxmlformats.org/officeDocument/2006/relationships/hyperlink" Target="http://www.serff.com" TargetMode="External"/><Relationship Id="rId18" Type="http://schemas.openxmlformats.org/officeDocument/2006/relationships/hyperlink" Target="http://janus.state.me.us/legis/statutes/24-A/title24-Asec2736.html" TargetMode="External"/><Relationship Id="rId26" Type="http://schemas.openxmlformats.org/officeDocument/2006/relationships/hyperlink" Target="http://www.maine.gov/sos/cec/rules/02/031/031c425.docx" TargetMode="External"/><Relationship Id="rId3" Type="http://schemas.openxmlformats.org/officeDocument/2006/relationships/styles" Target="styles.xml"/><Relationship Id="rId21" Type="http://schemas.openxmlformats.org/officeDocument/2006/relationships/hyperlink" Target="http://janus.state.me.us/legis/statutes/24-A/title24-Asec2736.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janus.state.me.us/legis/statutes/24-A/title24-Asec2736.html" TargetMode="External"/><Relationship Id="rId17" Type="http://schemas.openxmlformats.org/officeDocument/2006/relationships/hyperlink" Target="http://janus.state.me.us/legis/statutes/24-A/title24-Asec2736.html" TargetMode="External"/><Relationship Id="rId25" Type="http://schemas.openxmlformats.org/officeDocument/2006/relationships/hyperlink" Target="http://www.maine.gov/sos/cec/rules/02/031/031c425.docx" TargetMode="External"/><Relationship Id="rId33" Type="http://schemas.openxmlformats.org/officeDocument/2006/relationships/hyperlink" Target="http://www.maine.gov/sos/cec/rules/02/031/031c425.docx" TargetMode="External"/><Relationship Id="rId2" Type="http://schemas.openxmlformats.org/officeDocument/2006/relationships/numbering" Target="numbering.xml"/><Relationship Id="rId16" Type="http://schemas.openxmlformats.org/officeDocument/2006/relationships/hyperlink" Target="http://janus.state.me.us/legis/statutes/24-A/title24-Asec2736.html" TargetMode="External"/><Relationship Id="rId20" Type="http://schemas.openxmlformats.org/officeDocument/2006/relationships/hyperlink" Target="https://www.maine.gov/pfr/insurance/licensees/confidential-treatment" TargetMode="External"/><Relationship Id="rId29" Type="http://schemas.openxmlformats.org/officeDocument/2006/relationships/hyperlink" Target="http://www.maine.gov/sos/cec/rules/02/031/031c42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nus.state.me.us/legis/statutes/24-A/title24-Asec2839.html" TargetMode="External"/><Relationship Id="rId24" Type="http://schemas.openxmlformats.org/officeDocument/2006/relationships/hyperlink" Target="http://www.maine.gov/sos/cec/rules/02/031/031c425.docx" TargetMode="External"/><Relationship Id="rId32" Type="http://schemas.openxmlformats.org/officeDocument/2006/relationships/hyperlink" Target="http://www.maine.gov/sos/cec/rules/02/031/031c425.docx" TargetMode="External"/><Relationship Id="rId5" Type="http://schemas.openxmlformats.org/officeDocument/2006/relationships/webSettings" Target="webSettings.xml"/><Relationship Id="rId15" Type="http://schemas.openxmlformats.org/officeDocument/2006/relationships/hyperlink" Target="http://janus.state.me.us/legis/statutes/24-A/title24-Asec2736.html" TargetMode="External"/><Relationship Id="rId23" Type="http://schemas.openxmlformats.org/officeDocument/2006/relationships/hyperlink" Target="http://janus.state.me.us/legis/statutes/24-A/title24-Asec2736.html" TargetMode="External"/><Relationship Id="rId28" Type="http://schemas.openxmlformats.org/officeDocument/2006/relationships/hyperlink" Target="http://www.maine.gov/sos/cec/rules/02/031/031c425.docx" TargetMode="External"/><Relationship Id="rId36" Type="http://schemas.openxmlformats.org/officeDocument/2006/relationships/theme" Target="theme/theme1.xml"/><Relationship Id="rId10" Type="http://schemas.openxmlformats.org/officeDocument/2006/relationships/hyperlink" Target="http://janus.state.me.us/legis/statutes/24-A/title24-Asec2701.html" TargetMode="External"/><Relationship Id="rId19" Type="http://schemas.openxmlformats.org/officeDocument/2006/relationships/hyperlink" Target="http://www.mainelegislature.org/legis/statutes/24-A/title24-Asec2736.html" TargetMode="External"/><Relationship Id="rId31" Type="http://schemas.openxmlformats.org/officeDocument/2006/relationships/hyperlink" Target="http://www.maine.gov/sos/cec/rules/02/031/031c425.docx" TargetMode="External"/><Relationship Id="rId4" Type="http://schemas.openxmlformats.org/officeDocument/2006/relationships/settings" Target="settings.xml"/><Relationship Id="rId9" Type="http://schemas.openxmlformats.org/officeDocument/2006/relationships/hyperlink" Target="http://janus.state.me.us/legis/statutes/24-A/title24-Asec2736.html" TargetMode="External"/><Relationship Id="rId14" Type="http://schemas.openxmlformats.org/officeDocument/2006/relationships/hyperlink" Target="http://janus.state.me.us/legis/statutes/24-A/title24-Asec2736.html" TargetMode="External"/><Relationship Id="rId22" Type="http://schemas.openxmlformats.org/officeDocument/2006/relationships/hyperlink" Target="http://janus.state.me.us/legis/statutes/24-A/title24-Asec2736.html" TargetMode="External"/><Relationship Id="rId27" Type="http://schemas.openxmlformats.org/officeDocument/2006/relationships/hyperlink" Target="http://www.maine.gov/sos/cec/rules/02/031/031c425.docx" TargetMode="External"/><Relationship Id="rId30" Type="http://schemas.openxmlformats.org/officeDocument/2006/relationships/hyperlink" Target="http://www.maine.gov/sos/cec/rules/02/031/031c425.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10B6-3AFD-4D5A-B345-4AAD2872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1380</Words>
  <Characters>9653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WB 9/16/04 DRAFT  Maine Bureau of Insurance</vt:lpstr>
    </vt:vector>
  </TitlesOfParts>
  <Company>Dept of Professional and Financial Regulation</Company>
  <LinksUpToDate>false</LinksUpToDate>
  <CharactersWithSpaces>11011</CharactersWithSpaces>
  <SharedDoc>false</SharedDoc>
  <HLinks>
    <vt:vector size="156" baseType="variant">
      <vt:variant>
        <vt:i4>7209008</vt:i4>
      </vt:variant>
      <vt:variant>
        <vt:i4>75</vt:i4>
      </vt:variant>
      <vt:variant>
        <vt:i4>0</vt:i4>
      </vt:variant>
      <vt:variant>
        <vt:i4>5</vt:i4>
      </vt:variant>
      <vt:variant>
        <vt:lpwstr>http://www.maine.gov/sos/cec/rules/02/031/031c425.docx</vt:lpwstr>
      </vt:variant>
      <vt:variant>
        <vt:lpwstr/>
      </vt:variant>
      <vt:variant>
        <vt:i4>7209008</vt:i4>
      </vt:variant>
      <vt:variant>
        <vt:i4>72</vt:i4>
      </vt:variant>
      <vt:variant>
        <vt:i4>0</vt:i4>
      </vt:variant>
      <vt:variant>
        <vt:i4>5</vt:i4>
      </vt:variant>
      <vt:variant>
        <vt:lpwstr>http://www.maine.gov/sos/cec/rules/02/031/031c425.docx</vt:lpwstr>
      </vt:variant>
      <vt:variant>
        <vt:lpwstr/>
      </vt:variant>
      <vt:variant>
        <vt:i4>7209008</vt:i4>
      </vt:variant>
      <vt:variant>
        <vt:i4>69</vt:i4>
      </vt:variant>
      <vt:variant>
        <vt:i4>0</vt:i4>
      </vt:variant>
      <vt:variant>
        <vt:i4>5</vt:i4>
      </vt:variant>
      <vt:variant>
        <vt:lpwstr>http://www.maine.gov/sos/cec/rules/02/031/031c425.docx</vt:lpwstr>
      </vt:variant>
      <vt:variant>
        <vt:lpwstr/>
      </vt:variant>
      <vt:variant>
        <vt:i4>7209008</vt:i4>
      </vt:variant>
      <vt:variant>
        <vt:i4>66</vt:i4>
      </vt:variant>
      <vt:variant>
        <vt:i4>0</vt:i4>
      </vt:variant>
      <vt:variant>
        <vt:i4>5</vt:i4>
      </vt:variant>
      <vt:variant>
        <vt:lpwstr>http://www.maine.gov/sos/cec/rules/02/031/031c425.docx</vt:lpwstr>
      </vt:variant>
      <vt:variant>
        <vt:lpwstr/>
      </vt:variant>
      <vt:variant>
        <vt:i4>7209008</vt:i4>
      </vt:variant>
      <vt:variant>
        <vt:i4>63</vt:i4>
      </vt:variant>
      <vt:variant>
        <vt:i4>0</vt:i4>
      </vt:variant>
      <vt:variant>
        <vt:i4>5</vt:i4>
      </vt:variant>
      <vt:variant>
        <vt:lpwstr>http://www.maine.gov/sos/cec/rules/02/031/031c425.docx</vt:lpwstr>
      </vt:variant>
      <vt:variant>
        <vt:lpwstr/>
      </vt:variant>
      <vt:variant>
        <vt:i4>7209008</vt:i4>
      </vt:variant>
      <vt:variant>
        <vt:i4>60</vt:i4>
      </vt:variant>
      <vt:variant>
        <vt:i4>0</vt:i4>
      </vt:variant>
      <vt:variant>
        <vt:i4>5</vt:i4>
      </vt:variant>
      <vt:variant>
        <vt:lpwstr>http://www.maine.gov/sos/cec/rules/02/031/031c425.docx</vt:lpwstr>
      </vt:variant>
      <vt:variant>
        <vt:lpwstr/>
      </vt:variant>
      <vt:variant>
        <vt:i4>7209008</vt:i4>
      </vt:variant>
      <vt:variant>
        <vt:i4>57</vt:i4>
      </vt:variant>
      <vt:variant>
        <vt:i4>0</vt:i4>
      </vt:variant>
      <vt:variant>
        <vt:i4>5</vt:i4>
      </vt:variant>
      <vt:variant>
        <vt:lpwstr>http://www.maine.gov/sos/cec/rules/02/031/031c425.docx</vt:lpwstr>
      </vt:variant>
      <vt:variant>
        <vt:lpwstr/>
      </vt:variant>
      <vt:variant>
        <vt:i4>7209008</vt:i4>
      </vt:variant>
      <vt:variant>
        <vt:i4>54</vt:i4>
      </vt:variant>
      <vt:variant>
        <vt:i4>0</vt:i4>
      </vt:variant>
      <vt:variant>
        <vt:i4>5</vt:i4>
      </vt:variant>
      <vt:variant>
        <vt:lpwstr>http://www.maine.gov/sos/cec/rules/02/031/031c425.docx</vt:lpwstr>
      </vt:variant>
      <vt:variant>
        <vt:lpwstr/>
      </vt:variant>
      <vt:variant>
        <vt:i4>7209008</vt:i4>
      </vt:variant>
      <vt:variant>
        <vt:i4>51</vt:i4>
      </vt:variant>
      <vt:variant>
        <vt:i4>0</vt:i4>
      </vt:variant>
      <vt:variant>
        <vt:i4>5</vt:i4>
      </vt:variant>
      <vt:variant>
        <vt:lpwstr>http://www.maine.gov/sos/cec/rules/02/031/031c425.docx</vt:lpwstr>
      </vt:variant>
      <vt:variant>
        <vt:lpwstr/>
      </vt:variant>
      <vt:variant>
        <vt:i4>7209008</vt:i4>
      </vt:variant>
      <vt:variant>
        <vt:i4>48</vt:i4>
      </vt:variant>
      <vt:variant>
        <vt:i4>0</vt:i4>
      </vt:variant>
      <vt:variant>
        <vt:i4>5</vt:i4>
      </vt:variant>
      <vt:variant>
        <vt:lpwstr>http://www.maine.gov/sos/cec/rules/02/031/031c425.docx</vt:lpwstr>
      </vt:variant>
      <vt:variant>
        <vt:lpwstr/>
      </vt:variant>
      <vt:variant>
        <vt:i4>7929912</vt:i4>
      </vt:variant>
      <vt:variant>
        <vt:i4>45</vt:i4>
      </vt:variant>
      <vt:variant>
        <vt:i4>0</vt:i4>
      </vt:variant>
      <vt:variant>
        <vt:i4>5</vt:i4>
      </vt:variant>
      <vt:variant>
        <vt:lpwstr>http://janus.state.me.us/legis/statutes/24-A/title24-Asec2736.html</vt:lpwstr>
      </vt:variant>
      <vt:variant>
        <vt:lpwstr/>
      </vt:variant>
      <vt:variant>
        <vt:i4>7929912</vt:i4>
      </vt:variant>
      <vt:variant>
        <vt:i4>42</vt:i4>
      </vt:variant>
      <vt:variant>
        <vt:i4>0</vt:i4>
      </vt:variant>
      <vt:variant>
        <vt:i4>5</vt:i4>
      </vt:variant>
      <vt:variant>
        <vt:lpwstr>http://janus.state.me.us/legis/statutes/24-A/title24-Asec2736.html</vt:lpwstr>
      </vt:variant>
      <vt:variant>
        <vt:lpwstr/>
      </vt:variant>
      <vt:variant>
        <vt:i4>7929912</vt:i4>
      </vt:variant>
      <vt:variant>
        <vt:i4>39</vt:i4>
      </vt:variant>
      <vt:variant>
        <vt:i4>0</vt:i4>
      </vt:variant>
      <vt:variant>
        <vt:i4>5</vt:i4>
      </vt:variant>
      <vt:variant>
        <vt:lpwstr>http://janus.state.me.us/legis/statutes/24-A/title24-Asec2736.html</vt:lpwstr>
      </vt:variant>
      <vt:variant>
        <vt:lpwstr/>
      </vt:variant>
      <vt:variant>
        <vt:i4>5701689</vt:i4>
      </vt:variant>
      <vt:variant>
        <vt:i4>36</vt:i4>
      </vt:variant>
      <vt:variant>
        <vt:i4>0</vt:i4>
      </vt:variant>
      <vt:variant>
        <vt:i4>5</vt:i4>
      </vt:variant>
      <vt:variant>
        <vt:lpwstr>http://www.maine.gov/pfr/insurance/confidential_treatment.html</vt:lpwstr>
      </vt:variant>
      <vt:variant>
        <vt:lpwstr/>
      </vt:variant>
      <vt:variant>
        <vt:i4>4522064</vt:i4>
      </vt:variant>
      <vt:variant>
        <vt:i4>33</vt:i4>
      </vt:variant>
      <vt:variant>
        <vt:i4>0</vt:i4>
      </vt:variant>
      <vt:variant>
        <vt:i4>5</vt:i4>
      </vt:variant>
      <vt:variant>
        <vt:lpwstr>http://www.mainelegislature.org/legis/statutes/24-A/title24-Asec2736.html</vt:lpwstr>
      </vt:variant>
      <vt:variant>
        <vt:lpwstr/>
      </vt:variant>
      <vt:variant>
        <vt:i4>7929912</vt:i4>
      </vt:variant>
      <vt:variant>
        <vt:i4>30</vt:i4>
      </vt:variant>
      <vt:variant>
        <vt:i4>0</vt:i4>
      </vt:variant>
      <vt:variant>
        <vt:i4>5</vt:i4>
      </vt:variant>
      <vt:variant>
        <vt:lpwstr>http://janus.state.me.us/legis/statutes/24-A/title24-Asec2736.html</vt:lpwstr>
      </vt:variant>
      <vt:variant>
        <vt:lpwstr/>
      </vt:variant>
      <vt:variant>
        <vt:i4>7929912</vt:i4>
      </vt:variant>
      <vt:variant>
        <vt:i4>27</vt:i4>
      </vt:variant>
      <vt:variant>
        <vt:i4>0</vt:i4>
      </vt:variant>
      <vt:variant>
        <vt:i4>5</vt:i4>
      </vt:variant>
      <vt:variant>
        <vt:lpwstr>http://janus.state.me.us/legis/statutes/24-A/title24-Asec2736.html</vt:lpwstr>
      </vt:variant>
      <vt:variant>
        <vt:lpwstr/>
      </vt:variant>
      <vt:variant>
        <vt:i4>7929912</vt:i4>
      </vt:variant>
      <vt:variant>
        <vt:i4>24</vt:i4>
      </vt:variant>
      <vt:variant>
        <vt:i4>0</vt:i4>
      </vt:variant>
      <vt:variant>
        <vt:i4>5</vt:i4>
      </vt:variant>
      <vt:variant>
        <vt:lpwstr>http://janus.state.me.us/legis/statutes/24-A/title24-Asec2736.html</vt:lpwstr>
      </vt:variant>
      <vt:variant>
        <vt:lpwstr/>
      </vt:variant>
      <vt:variant>
        <vt:i4>7929912</vt:i4>
      </vt:variant>
      <vt:variant>
        <vt:i4>21</vt:i4>
      </vt:variant>
      <vt:variant>
        <vt:i4>0</vt:i4>
      </vt:variant>
      <vt:variant>
        <vt:i4>5</vt:i4>
      </vt:variant>
      <vt:variant>
        <vt:lpwstr>http://janus.state.me.us/legis/statutes/24-A/title24-Asec2736.html</vt:lpwstr>
      </vt:variant>
      <vt:variant>
        <vt:lpwstr/>
      </vt:variant>
      <vt:variant>
        <vt:i4>7929912</vt:i4>
      </vt:variant>
      <vt:variant>
        <vt:i4>18</vt:i4>
      </vt:variant>
      <vt:variant>
        <vt:i4>0</vt:i4>
      </vt:variant>
      <vt:variant>
        <vt:i4>5</vt:i4>
      </vt:variant>
      <vt:variant>
        <vt:lpwstr>http://janus.state.me.us/legis/statutes/24-A/title24-Asec2736.html</vt:lpwstr>
      </vt:variant>
      <vt:variant>
        <vt:lpwstr/>
      </vt:variant>
      <vt:variant>
        <vt:i4>4325394</vt:i4>
      </vt:variant>
      <vt:variant>
        <vt:i4>15</vt:i4>
      </vt:variant>
      <vt:variant>
        <vt:i4>0</vt:i4>
      </vt:variant>
      <vt:variant>
        <vt:i4>5</vt:i4>
      </vt:variant>
      <vt:variant>
        <vt:lpwstr>http://www.serff.com/</vt:lpwstr>
      </vt:variant>
      <vt:variant>
        <vt:lpwstr/>
      </vt:variant>
      <vt:variant>
        <vt:i4>7929912</vt:i4>
      </vt:variant>
      <vt:variant>
        <vt:i4>12</vt:i4>
      </vt:variant>
      <vt:variant>
        <vt:i4>0</vt:i4>
      </vt:variant>
      <vt:variant>
        <vt:i4>5</vt:i4>
      </vt:variant>
      <vt:variant>
        <vt:lpwstr>http://janus.state.me.us/legis/statutes/24-A/title24-Asec2736.html</vt:lpwstr>
      </vt:variant>
      <vt:variant>
        <vt:lpwstr/>
      </vt:variant>
      <vt:variant>
        <vt:i4>7929912</vt:i4>
      </vt:variant>
      <vt:variant>
        <vt:i4>9</vt:i4>
      </vt:variant>
      <vt:variant>
        <vt:i4>0</vt:i4>
      </vt:variant>
      <vt:variant>
        <vt:i4>5</vt:i4>
      </vt:variant>
      <vt:variant>
        <vt:lpwstr>http://janus.state.me.us/legis/statutes/24-A/title24-Asec2839.html</vt:lpwstr>
      </vt:variant>
      <vt:variant>
        <vt:lpwstr/>
      </vt:variant>
      <vt:variant>
        <vt:i4>7995455</vt:i4>
      </vt:variant>
      <vt:variant>
        <vt:i4>6</vt:i4>
      </vt:variant>
      <vt:variant>
        <vt:i4>0</vt:i4>
      </vt:variant>
      <vt:variant>
        <vt:i4>5</vt:i4>
      </vt:variant>
      <vt:variant>
        <vt:lpwstr>http://janus.state.me.us/legis/statutes/24-A/title24-Asec2701.html</vt:lpwstr>
      </vt:variant>
      <vt:variant>
        <vt:lpwstr/>
      </vt:variant>
      <vt:variant>
        <vt:i4>7929912</vt:i4>
      </vt:variant>
      <vt:variant>
        <vt:i4>3</vt:i4>
      </vt:variant>
      <vt:variant>
        <vt:i4>0</vt:i4>
      </vt:variant>
      <vt:variant>
        <vt:i4>5</vt:i4>
      </vt:variant>
      <vt:variant>
        <vt:lpwstr>http://janus.state.me.us/legis/statutes/24-A/title24-Asec2736.html</vt:lpwstr>
      </vt:variant>
      <vt:variant>
        <vt:lpwstr/>
      </vt:variant>
      <vt:variant>
        <vt:i4>1441875</vt:i4>
      </vt:variant>
      <vt:variant>
        <vt:i4>0</vt:i4>
      </vt:variant>
      <vt:variant>
        <vt:i4>0</vt:i4>
      </vt:variant>
      <vt:variant>
        <vt:i4>5</vt:i4>
      </vt:variant>
      <vt:variant>
        <vt:lpwstr>http://www.maine.gov/sos/cec/rules/02/031/031c425.doc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9/16/04 DRAFT  Maine Bureau of Insurance</dc:title>
  <dc:creator>nancy.n.network</dc:creator>
  <dc:description>FROM THIS POINT ON, THE RULE REQUIREMENTS NUMBERS MATCH THOSE IN RULE 425</dc:description>
  <cp:lastModifiedBy>Winters, Joshua D</cp:lastModifiedBy>
  <cp:revision>2</cp:revision>
  <cp:lastPrinted>2011-03-16T19:01:00Z</cp:lastPrinted>
  <dcterms:created xsi:type="dcterms:W3CDTF">2022-10-27T12:22:00Z</dcterms:created>
  <dcterms:modified xsi:type="dcterms:W3CDTF">2022-10-27T12:22:00Z</dcterms:modified>
</cp:coreProperties>
</file>