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DAA" w:rsidRDefault="00F649C9" w:rsidP="00D12DAA">
      <w:pPr>
        <w:jc w:val="center"/>
        <w:rPr>
          <w:b/>
          <w:bCs/>
          <w:sz w:val="28"/>
          <w:szCs w:val="28"/>
        </w:rPr>
      </w:pPr>
      <w:bookmarkStart w:id="0" w:name="_GoBack"/>
      <w:bookmarkEnd w:id="0"/>
      <w:smartTag w:uri="urn:schemas-microsoft-com:office:smarttags" w:element="place">
        <w:smartTag w:uri="urn:schemas-microsoft-com:office:smarttags" w:element="State">
          <w:r w:rsidRPr="0027007D">
            <w:rPr>
              <w:b/>
              <w:bCs/>
              <w:sz w:val="28"/>
              <w:szCs w:val="28"/>
            </w:rPr>
            <w:t>Maine</w:t>
          </w:r>
        </w:smartTag>
      </w:smartTag>
      <w:r w:rsidRPr="0027007D">
        <w:rPr>
          <w:b/>
          <w:bCs/>
          <w:sz w:val="28"/>
          <w:szCs w:val="28"/>
        </w:rPr>
        <w:t xml:space="preserve"> Bureau of Insurance</w:t>
      </w:r>
      <w:r w:rsidRPr="0027007D">
        <w:rPr>
          <w:b/>
          <w:bCs/>
          <w:sz w:val="28"/>
          <w:szCs w:val="28"/>
        </w:rPr>
        <w:br/>
      </w:r>
      <w:r>
        <w:rPr>
          <w:b/>
          <w:bCs/>
          <w:sz w:val="28"/>
          <w:szCs w:val="28"/>
        </w:rPr>
        <w:t xml:space="preserve">Rate Filing </w:t>
      </w:r>
      <w:r w:rsidRPr="0027007D">
        <w:rPr>
          <w:b/>
          <w:bCs/>
          <w:sz w:val="28"/>
          <w:szCs w:val="28"/>
        </w:rPr>
        <w:t>Review Requirements Checklist</w:t>
      </w:r>
      <w:r w:rsidRPr="0027007D">
        <w:rPr>
          <w:b/>
          <w:bCs/>
          <w:sz w:val="28"/>
          <w:szCs w:val="28"/>
        </w:rPr>
        <w:br/>
      </w:r>
      <w:r w:rsidR="00D12DAA">
        <w:rPr>
          <w:b/>
          <w:bCs/>
          <w:sz w:val="28"/>
          <w:szCs w:val="28"/>
        </w:rPr>
        <w:t>Credit Insurance</w:t>
      </w:r>
    </w:p>
    <w:p w:rsidR="00D12DAA" w:rsidRPr="004B69B5" w:rsidRDefault="00D12DAA" w:rsidP="00D12DAA">
      <w:pPr>
        <w:jc w:val="center"/>
        <w:rPr>
          <w:b/>
          <w:sz w:val="28"/>
          <w:szCs w:val="28"/>
        </w:rPr>
      </w:pPr>
      <w:r w:rsidRPr="004B69B5">
        <w:rPr>
          <w:b/>
          <w:bCs/>
          <w:sz w:val="28"/>
          <w:szCs w:val="28"/>
        </w:rPr>
        <w:t>Insurance Subject to Title 24-</w:t>
      </w:r>
      <w:proofErr w:type="gramStart"/>
      <w:r w:rsidRPr="004B69B5">
        <w:rPr>
          <w:b/>
          <w:bCs/>
          <w:sz w:val="28"/>
          <w:szCs w:val="28"/>
        </w:rPr>
        <w:t>A</w:t>
      </w:r>
      <w:proofErr w:type="gramEnd"/>
      <w:r w:rsidRPr="004B69B5">
        <w:rPr>
          <w:b/>
          <w:bCs/>
          <w:sz w:val="28"/>
          <w:szCs w:val="28"/>
        </w:rPr>
        <w:t xml:space="preserve"> M.R.S.A. Chapter 37</w:t>
      </w:r>
    </w:p>
    <w:p w:rsidR="004A31A1" w:rsidRPr="00753EEF" w:rsidRDefault="00D12DAA" w:rsidP="00C162ED">
      <w:pPr>
        <w:jc w:val="center"/>
        <w:rPr>
          <w:b/>
          <w:sz w:val="28"/>
          <w:szCs w:val="28"/>
        </w:rPr>
      </w:pPr>
      <w:r>
        <w:rPr>
          <w:b/>
          <w:bCs/>
          <w:sz w:val="28"/>
          <w:szCs w:val="28"/>
        </w:rPr>
        <w:t>CR02G &amp; CR04G</w:t>
      </w:r>
    </w:p>
    <w:tbl>
      <w:tblPr>
        <w:tblpPr w:leftFromText="180" w:rightFromText="180" w:vertAnchor="text" w:horzAnchor="margin" w:tblpX="204" w:tblpY="572"/>
        <w:tblW w:w="13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2200"/>
        <w:gridCol w:w="2090"/>
        <w:gridCol w:w="3080"/>
        <w:gridCol w:w="3740"/>
        <w:gridCol w:w="1760"/>
      </w:tblGrid>
      <w:tr w:rsidR="00431E07" w:rsidTr="00D947D1">
        <w:trPr>
          <w:trHeight w:val="1070"/>
        </w:trPr>
        <w:tc>
          <w:tcPr>
            <w:tcW w:w="548" w:type="dxa"/>
            <w:shd w:val="clear" w:color="auto" w:fill="auto"/>
          </w:tcPr>
          <w:p w:rsidR="00B03F5F" w:rsidRPr="00D947D1" w:rsidRDefault="00B03F5F" w:rsidP="00D947D1">
            <w:pPr>
              <w:ind w:right="-108"/>
              <w:jc w:val="center"/>
              <w:rPr>
                <w:b/>
                <w:sz w:val="6"/>
                <w:szCs w:val="6"/>
              </w:rPr>
            </w:pPr>
          </w:p>
          <w:p w:rsidR="00C162ED" w:rsidRPr="00D947D1" w:rsidRDefault="00B03F5F" w:rsidP="00D947D1">
            <w:pPr>
              <w:jc w:val="center"/>
              <w:rPr>
                <w:b/>
                <w:sz w:val="16"/>
                <w:szCs w:val="16"/>
              </w:rPr>
            </w:pPr>
            <w:r w:rsidRPr="00D947D1">
              <w:rPr>
                <w:b/>
                <w:sz w:val="16"/>
                <w:szCs w:val="16"/>
              </w:rPr>
              <w:t>S</w:t>
            </w:r>
          </w:p>
          <w:p w:rsidR="00B03F5F" w:rsidRPr="00D947D1" w:rsidRDefault="00B03F5F" w:rsidP="00D947D1">
            <w:pPr>
              <w:jc w:val="center"/>
              <w:rPr>
                <w:b/>
                <w:sz w:val="16"/>
                <w:szCs w:val="16"/>
              </w:rPr>
            </w:pPr>
            <w:r w:rsidRPr="00D947D1">
              <w:rPr>
                <w:b/>
                <w:sz w:val="16"/>
                <w:szCs w:val="16"/>
              </w:rPr>
              <w:t>E</w:t>
            </w:r>
          </w:p>
          <w:p w:rsidR="00B03F5F" w:rsidRPr="00D947D1" w:rsidRDefault="00B03F5F" w:rsidP="00D947D1">
            <w:pPr>
              <w:jc w:val="center"/>
              <w:rPr>
                <w:b/>
                <w:sz w:val="16"/>
                <w:szCs w:val="16"/>
              </w:rPr>
            </w:pPr>
            <w:r w:rsidRPr="00D947D1">
              <w:rPr>
                <w:b/>
                <w:sz w:val="16"/>
                <w:szCs w:val="16"/>
              </w:rPr>
              <w:t>C</w:t>
            </w:r>
          </w:p>
          <w:p w:rsidR="00B03F5F" w:rsidRPr="00D947D1" w:rsidRDefault="00B03F5F" w:rsidP="00D947D1">
            <w:pPr>
              <w:jc w:val="center"/>
              <w:rPr>
                <w:b/>
                <w:sz w:val="16"/>
                <w:szCs w:val="16"/>
              </w:rPr>
            </w:pPr>
            <w:r w:rsidRPr="00D947D1">
              <w:rPr>
                <w:b/>
                <w:sz w:val="16"/>
                <w:szCs w:val="16"/>
              </w:rPr>
              <w:t>T</w:t>
            </w:r>
          </w:p>
          <w:p w:rsidR="00B03F5F" w:rsidRPr="00D947D1" w:rsidRDefault="00B03F5F" w:rsidP="00D947D1">
            <w:pPr>
              <w:jc w:val="center"/>
              <w:rPr>
                <w:b/>
                <w:sz w:val="16"/>
                <w:szCs w:val="16"/>
              </w:rPr>
            </w:pPr>
            <w:r w:rsidRPr="00D947D1">
              <w:rPr>
                <w:b/>
                <w:sz w:val="16"/>
                <w:szCs w:val="16"/>
              </w:rPr>
              <w:t>I</w:t>
            </w:r>
          </w:p>
          <w:p w:rsidR="00B03F5F" w:rsidRPr="00D947D1" w:rsidRDefault="00B03F5F" w:rsidP="00D947D1">
            <w:pPr>
              <w:jc w:val="center"/>
              <w:rPr>
                <w:b/>
                <w:sz w:val="16"/>
                <w:szCs w:val="16"/>
              </w:rPr>
            </w:pPr>
            <w:r w:rsidRPr="00D947D1">
              <w:rPr>
                <w:b/>
                <w:sz w:val="16"/>
                <w:szCs w:val="16"/>
              </w:rPr>
              <w:t>O</w:t>
            </w:r>
          </w:p>
          <w:p w:rsidR="00B03F5F" w:rsidRPr="00D947D1" w:rsidRDefault="00B03F5F" w:rsidP="00D947D1">
            <w:pPr>
              <w:jc w:val="center"/>
              <w:rPr>
                <w:b/>
                <w:sz w:val="18"/>
                <w:szCs w:val="18"/>
              </w:rPr>
            </w:pPr>
            <w:r w:rsidRPr="00D947D1">
              <w:rPr>
                <w:b/>
                <w:sz w:val="16"/>
                <w:szCs w:val="16"/>
              </w:rPr>
              <w:t>N</w:t>
            </w:r>
          </w:p>
        </w:tc>
        <w:tc>
          <w:tcPr>
            <w:tcW w:w="2200" w:type="dxa"/>
            <w:shd w:val="clear" w:color="auto" w:fill="auto"/>
          </w:tcPr>
          <w:p w:rsidR="00F37DEE" w:rsidRPr="00D947D1" w:rsidRDefault="00F37DEE" w:rsidP="00D947D1">
            <w:pPr>
              <w:jc w:val="center"/>
              <w:rPr>
                <w:rFonts w:cs="Arial"/>
                <w:b/>
                <w:sz w:val="24"/>
                <w:szCs w:val="24"/>
              </w:rPr>
            </w:pPr>
          </w:p>
          <w:p w:rsidR="00C162ED" w:rsidRPr="00D947D1" w:rsidRDefault="00C162ED" w:rsidP="00D947D1">
            <w:pPr>
              <w:jc w:val="center"/>
              <w:rPr>
                <w:rFonts w:cs="Arial"/>
                <w:sz w:val="24"/>
                <w:szCs w:val="24"/>
              </w:rPr>
            </w:pPr>
            <w:r w:rsidRPr="00D947D1">
              <w:rPr>
                <w:rFonts w:cs="Arial"/>
                <w:b/>
                <w:sz w:val="24"/>
                <w:szCs w:val="24"/>
              </w:rPr>
              <w:t>REVIEW REQUIREMENTS</w:t>
            </w:r>
          </w:p>
        </w:tc>
        <w:tc>
          <w:tcPr>
            <w:tcW w:w="2090" w:type="dxa"/>
            <w:shd w:val="clear" w:color="auto" w:fill="auto"/>
          </w:tcPr>
          <w:p w:rsidR="00F37DEE" w:rsidRPr="00D947D1" w:rsidRDefault="00F37DEE" w:rsidP="00D947D1">
            <w:pPr>
              <w:rPr>
                <w:rFonts w:cs="Arial"/>
                <w:b/>
                <w:snapToGrid w:val="0"/>
                <w:color w:val="000000"/>
                <w:sz w:val="24"/>
                <w:szCs w:val="24"/>
              </w:rPr>
            </w:pPr>
          </w:p>
          <w:p w:rsidR="00707872" w:rsidRPr="00D947D1" w:rsidRDefault="00707872" w:rsidP="00D947D1">
            <w:pPr>
              <w:jc w:val="center"/>
              <w:rPr>
                <w:rFonts w:cs="Arial"/>
                <w:b/>
                <w:snapToGrid w:val="0"/>
                <w:color w:val="000000"/>
                <w:sz w:val="24"/>
                <w:szCs w:val="24"/>
              </w:rPr>
            </w:pPr>
          </w:p>
          <w:p w:rsidR="00C162ED" w:rsidRPr="00D947D1" w:rsidRDefault="00C162ED" w:rsidP="00D947D1">
            <w:pPr>
              <w:jc w:val="center"/>
              <w:rPr>
                <w:rFonts w:cs="Arial"/>
                <w:b/>
                <w:snapToGrid w:val="0"/>
                <w:color w:val="000000"/>
                <w:sz w:val="24"/>
                <w:szCs w:val="24"/>
              </w:rPr>
            </w:pPr>
            <w:r w:rsidRPr="00D947D1">
              <w:rPr>
                <w:rFonts w:cs="Arial"/>
                <w:b/>
                <w:snapToGrid w:val="0"/>
                <w:color w:val="000000"/>
                <w:sz w:val="24"/>
                <w:szCs w:val="24"/>
              </w:rPr>
              <w:t>REFERENCE</w:t>
            </w:r>
          </w:p>
          <w:p w:rsidR="00C162ED" w:rsidRDefault="00C162ED" w:rsidP="00D947D1"/>
        </w:tc>
        <w:tc>
          <w:tcPr>
            <w:tcW w:w="6820" w:type="dxa"/>
            <w:gridSpan w:val="2"/>
            <w:shd w:val="clear" w:color="auto" w:fill="auto"/>
          </w:tcPr>
          <w:p w:rsidR="00AB1649" w:rsidRPr="00D947D1" w:rsidRDefault="00AB1649" w:rsidP="00AB1649">
            <w:pPr>
              <w:rPr>
                <w:sz w:val="24"/>
                <w:szCs w:val="24"/>
              </w:rPr>
            </w:pPr>
          </w:p>
          <w:p w:rsidR="00AB1649" w:rsidRPr="00D947D1" w:rsidRDefault="00AB1649" w:rsidP="00AB1649">
            <w:pPr>
              <w:rPr>
                <w:sz w:val="24"/>
                <w:szCs w:val="24"/>
              </w:rPr>
            </w:pPr>
          </w:p>
          <w:p w:rsidR="00C162ED" w:rsidRPr="00D947D1" w:rsidRDefault="00C162ED" w:rsidP="00D947D1">
            <w:pPr>
              <w:jc w:val="center"/>
              <w:rPr>
                <w:b/>
                <w:sz w:val="24"/>
                <w:szCs w:val="24"/>
              </w:rPr>
            </w:pPr>
            <w:r w:rsidRPr="00D947D1">
              <w:rPr>
                <w:b/>
                <w:sz w:val="24"/>
                <w:szCs w:val="24"/>
              </w:rPr>
              <w:t>DESCRIPTION OF REVIEW S</w:t>
            </w:r>
            <w:r w:rsidR="00707872" w:rsidRPr="00D947D1">
              <w:rPr>
                <w:b/>
                <w:sz w:val="24"/>
                <w:szCs w:val="24"/>
              </w:rPr>
              <w:t>TANDARDS REQUIREMENT</w:t>
            </w:r>
          </w:p>
          <w:p w:rsidR="000117B2" w:rsidRPr="00D947D1" w:rsidRDefault="000117B2" w:rsidP="00D947D1">
            <w:pPr>
              <w:jc w:val="center"/>
              <w:rPr>
                <w:b/>
                <w:sz w:val="24"/>
                <w:szCs w:val="24"/>
              </w:rPr>
            </w:pPr>
          </w:p>
        </w:tc>
        <w:tc>
          <w:tcPr>
            <w:tcW w:w="1760" w:type="dxa"/>
            <w:shd w:val="clear" w:color="auto" w:fill="auto"/>
          </w:tcPr>
          <w:p w:rsidR="00C162ED" w:rsidRPr="00D947D1" w:rsidRDefault="00990B55" w:rsidP="00D947D1">
            <w:pPr>
              <w:pStyle w:val="Heading3"/>
              <w:ind w:left="-108"/>
              <w:jc w:val="center"/>
              <w:rPr>
                <w:sz w:val="24"/>
                <w:szCs w:val="24"/>
              </w:rPr>
            </w:pPr>
            <w:r w:rsidRPr="00D947D1">
              <w:rPr>
                <w:sz w:val="24"/>
                <w:szCs w:val="24"/>
              </w:rPr>
              <w:t>SPECIF</w:t>
            </w:r>
            <w:r w:rsidR="00707872" w:rsidRPr="00D947D1">
              <w:rPr>
                <w:sz w:val="24"/>
                <w:szCs w:val="24"/>
              </w:rPr>
              <w:t xml:space="preserve">IC </w:t>
            </w:r>
            <w:r w:rsidR="00D60D36" w:rsidRPr="00D947D1">
              <w:rPr>
                <w:sz w:val="24"/>
                <w:szCs w:val="24"/>
              </w:rPr>
              <w:t xml:space="preserve">LOCATION OF COMPLIANCE </w:t>
            </w:r>
            <w:r w:rsidR="00062BA4" w:rsidRPr="00D947D1">
              <w:rPr>
                <w:sz w:val="24"/>
                <w:szCs w:val="24"/>
              </w:rPr>
              <w:t>IN FILING</w:t>
            </w:r>
          </w:p>
        </w:tc>
      </w:tr>
      <w:tr w:rsidR="00431E07" w:rsidTr="00D947D1">
        <w:trPr>
          <w:trHeight w:val="1372"/>
        </w:trPr>
        <w:tc>
          <w:tcPr>
            <w:tcW w:w="548" w:type="dxa"/>
            <w:shd w:val="clear" w:color="auto" w:fill="auto"/>
          </w:tcPr>
          <w:p w:rsidR="00C162ED" w:rsidRPr="00D947D1" w:rsidRDefault="00804B9B" w:rsidP="00D947D1">
            <w:pPr>
              <w:rPr>
                <w:rFonts w:cs="Arial"/>
                <w:b/>
                <w:sz w:val="24"/>
                <w:szCs w:val="24"/>
              </w:rPr>
            </w:pPr>
            <w:r w:rsidRPr="00D947D1">
              <w:rPr>
                <w:rFonts w:cs="Arial"/>
                <w:b/>
                <w:sz w:val="24"/>
                <w:szCs w:val="24"/>
              </w:rPr>
              <w:t>A</w:t>
            </w:r>
            <w:r w:rsidR="00431E07" w:rsidRPr="00D947D1">
              <w:rPr>
                <w:rFonts w:cs="Arial"/>
                <w:b/>
                <w:sz w:val="24"/>
                <w:szCs w:val="24"/>
              </w:rPr>
              <w:t>.</w:t>
            </w:r>
          </w:p>
        </w:tc>
        <w:tc>
          <w:tcPr>
            <w:tcW w:w="2200" w:type="dxa"/>
            <w:shd w:val="clear" w:color="auto" w:fill="auto"/>
          </w:tcPr>
          <w:p w:rsidR="00C162ED" w:rsidRPr="00D947D1" w:rsidRDefault="00400032" w:rsidP="00AB1649">
            <w:pPr>
              <w:rPr>
                <w:b/>
                <w:sz w:val="20"/>
                <w:szCs w:val="20"/>
              </w:rPr>
            </w:pPr>
            <w:r w:rsidRPr="00D947D1">
              <w:rPr>
                <w:b/>
                <w:sz w:val="20"/>
                <w:szCs w:val="20"/>
              </w:rPr>
              <w:t>Genera</w:t>
            </w:r>
            <w:r w:rsidR="005E7140" w:rsidRPr="00D947D1">
              <w:rPr>
                <w:b/>
                <w:sz w:val="20"/>
                <w:szCs w:val="20"/>
              </w:rPr>
              <w:t>l</w:t>
            </w:r>
            <w:r w:rsidRPr="00D947D1">
              <w:rPr>
                <w:b/>
                <w:sz w:val="20"/>
                <w:szCs w:val="20"/>
              </w:rPr>
              <w:t xml:space="preserve"> </w:t>
            </w:r>
            <w:r w:rsidR="00804B9B" w:rsidRPr="00D947D1">
              <w:rPr>
                <w:b/>
                <w:sz w:val="20"/>
                <w:szCs w:val="20"/>
              </w:rPr>
              <w:t xml:space="preserve">Rate Filing </w:t>
            </w:r>
            <w:r w:rsidR="00306E84" w:rsidRPr="00D947D1">
              <w:rPr>
                <w:b/>
                <w:sz w:val="20"/>
                <w:szCs w:val="20"/>
              </w:rPr>
              <w:t>Requirements:</w:t>
            </w:r>
          </w:p>
        </w:tc>
        <w:tc>
          <w:tcPr>
            <w:tcW w:w="2090" w:type="dxa"/>
            <w:shd w:val="clear" w:color="auto" w:fill="auto"/>
          </w:tcPr>
          <w:p w:rsidR="00062BA4" w:rsidRPr="00D947D1" w:rsidRDefault="0038683E" w:rsidP="00306E84">
            <w:pPr>
              <w:pStyle w:val="NormalWeb"/>
              <w:rPr>
                <w:rFonts w:ascii="Arial" w:hAnsi="Arial" w:cs="Arial"/>
                <w:sz w:val="20"/>
                <w:szCs w:val="20"/>
              </w:rPr>
            </w:pPr>
            <w:hyperlink r:id="rId8" w:history="1">
              <w:r w:rsidR="00804F20" w:rsidRPr="00D947D1">
                <w:rPr>
                  <w:rStyle w:val="Hyperlink"/>
                  <w:rFonts w:ascii="Arial" w:hAnsi="Arial" w:cs="Arial"/>
                  <w:sz w:val="20"/>
                  <w:szCs w:val="20"/>
                </w:rPr>
                <w:t>Tit</w:t>
              </w:r>
              <w:r w:rsidR="00804F20" w:rsidRPr="00D947D1">
                <w:rPr>
                  <w:rStyle w:val="Hyperlink"/>
                  <w:rFonts w:ascii="Arial" w:hAnsi="Arial" w:cs="Arial"/>
                  <w:sz w:val="20"/>
                  <w:szCs w:val="20"/>
                </w:rPr>
                <w:t>l</w:t>
              </w:r>
              <w:r w:rsidR="00804F20" w:rsidRPr="00D947D1">
                <w:rPr>
                  <w:rStyle w:val="Hyperlink"/>
                  <w:rFonts w:ascii="Arial" w:hAnsi="Arial" w:cs="Arial"/>
                  <w:sz w:val="20"/>
                  <w:szCs w:val="20"/>
                </w:rPr>
                <w:t>e</w:t>
              </w:r>
              <w:r w:rsidR="00804F20" w:rsidRPr="00D947D1">
                <w:rPr>
                  <w:rStyle w:val="Hyperlink"/>
                  <w:rFonts w:ascii="Arial" w:hAnsi="Arial" w:cs="Arial"/>
                  <w:sz w:val="20"/>
                  <w:szCs w:val="20"/>
                </w:rPr>
                <w:t xml:space="preserve"> </w:t>
              </w:r>
              <w:r w:rsidRPr="00D947D1">
                <w:rPr>
                  <w:rStyle w:val="Hyperlink"/>
                  <w:rFonts w:ascii="Arial" w:hAnsi="Arial" w:cs="Arial"/>
                  <w:sz w:val="20"/>
                  <w:szCs w:val="20"/>
                </w:rPr>
                <w:t>24-A, § 2858</w:t>
              </w:r>
              <w:r w:rsidR="0020470A" w:rsidRPr="00D947D1">
                <w:rPr>
                  <w:rStyle w:val="Hyperlink"/>
                  <w:rFonts w:ascii="Arial" w:hAnsi="Arial" w:cs="Arial"/>
                  <w:sz w:val="20"/>
                  <w:szCs w:val="20"/>
                </w:rPr>
                <w:t>,</w:t>
              </w:r>
              <w:r w:rsidRPr="00D947D1">
                <w:rPr>
                  <w:rStyle w:val="Hyperlink"/>
                  <w:rFonts w:ascii="Arial" w:hAnsi="Arial" w:cs="Arial"/>
                  <w:sz w:val="20"/>
                  <w:szCs w:val="20"/>
                </w:rPr>
                <w:t xml:space="preserve"> 2</w:t>
              </w:r>
            </w:hyperlink>
            <w:r w:rsidR="0020470A" w:rsidRPr="00D947D1">
              <w:rPr>
                <w:rFonts w:ascii="Arial" w:hAnsi="Arial" w:cs="Arial"/>
                <w:sz w:val="20"/>
                <w:szCs w:val="20"/>
              </w:rPr>
              <w:t>;</w:t>
            </w:r>
            <w:r w:rsidR="0020470A" w:rsidRPr="00D947D1">
              <w:rPr>
                <w:rFonts w:ascii="Arial" w:hAnsi="Arial" w:cs="Arial"/>
                <w:color w:val="FF0000"/>
                <w:sz w:val="20"/>
                <w:szCs w:val="20"/>
              </w:rPr>
              <w:t xml:space="preserve"> </w:t>
            </w:r>
            <w:hyperlink r:id="rId9" w:history="1">
              <w:r w:rsidR="0020470A" w:rsidRPr="00D947D1">
                <w:rPr>
                  <w:rStyle w:val="Hyperlink"/>
                  <w:rFonts w:ascii="Arial" w:hAnsi="Arial" w:cs="Arial"/>
                  <w:sz w:val="20"/>
                  <w:szCs w:val="20"/>
                </w:rPr>
                <w:t>Rule</w:t>
              </w:r>
              <w:r w:rsidR="0020470A" w:rsidRPr="00D947D1">
                <w:rPr>
                  <w:rStyle w:val="Hyperlink"/>
                  <w:rFonts w:ascii="Arial" w:hAnsi="Arial" w:cs="Arial"/>
                  <w:sz w:val="20"/>
                  <w:szCs w:val="20"/>
                </w:rPr>
                <w:t xml:space="preserve"> </w:t>
              </w:r>
              <w:r w:rsidR="0020470A" w:rsidRPr="00D947D1">
                <w:rPr>
                  <w:rStyle w:val="Hyperlink"/>
                  <w:rFonts w:ascii="Arial" w:hAnsi="Arial" w:cs="Arial"/>
                  <w:sz w:val="20"/>
                  <w:szCs w:val="20"/>
                </w:rPr>
                <w:t>2</w:t>
              </w:r>
              <w:r w:rsidR="0020470A" w:rsidRPr="00D947D1">
                <w:rPr>
                  <w:rStyle w:val="Hyperlink"/>
                  <w:rFonts w:ascii="Arial" w:hAnsi="Arial" w:cs="Arial"/>
                  <w:sz w:val="20"/>
                  <w:szCs w:val="20"/>
                </w:rPr>
                <w:t>2</w:t>
              </w:r>
              <w:r w:rsidR="0020470A" w:rsidRPr="00D947D1">
                <w:rPr>
                  <w:rStyle w:val="Hyperlink"/>
                  <w:rFonts w:ascii="Arial" w:hAnsi="Arial" w:cs="Arial"/>
                  <w:sz w:val="20"/>
                  <w:szCs w:val="20"/>
                </w:rPr>
                <w:t>0</w:t>
              </w:r>
            </w:hyperlink>
            <w:r w:rsidR="0020470A" w:rsidRPr="00D947D1">
              <w:rPr>
                <w:rFonts w:ascii="Arial" w:hAnsi="Arial" w:cs="Arial"/>
                <w:sz w:val="20"/>
                <w:szCs w:val="20"/>
              </w:rPr>
              <w:t>;</w:t>
            </w:r>
          </w:p>
        </w:tc>
        <w:tc>
          <w:tcPr>
            <w:tcW w:w="6820" w:type="dxa"/>
            <w:gridSpan w:val="2"/>
            <w:shd w:val="clear" w:color="auto" w:fill="auto"/>
          </w:tcPr>
          <w:p w:rsidR="00FA6D6C" w:rsidRPr="00D947D1" w:rsidRDefault="00D124D6" w:rsidP="00AB1649">
            <w:pPr>
              <w:rPr>
                <w:sz w:val="20"/>
                <w:szCs w:val="20"/>
              </w:rPr>
            </w:pPr>
            <w:r w:rsidRPr="00D947D1">
              <w:rPr>
                <w:sz w:val="20"/>
                <w:szCs w:val="20"/>
              </w:rPr>
              <w:t xml:space="preserve">Every individual and/or group policy, rider, or endorsement form affecting </w:t>
            </w:r>
            <w:r w:rsidR="00D12DAA" w:rsidRPr="00D947D1">
              <w:rPr>
                <w:sz w:val="20"/>
                <w:szCs w:val="20"/>
              </w:rPr>
              <w:t>credit</w:t>
            </w:r>
            <w:r w:rsidR="00743FBA" w:rsidRPr="00D947D1">
              <w:rPr>
                <w:sz w:val="20"/>
                <w:szCs w:val="20"/>
              </w:rPr>
              <w:t xml:space="preserve"> policy </w:t>
            </w:r>
            <w:r w:rsidRPr="00D947D1">
              <w:rPr>
                <w:sz w:val="20"/>
                <w:szCs w:val="20"/>
              </w:rPr>
              <w:t>benefits which is submitted for approval must be ac</w:t>
            </w:r>
            <w:r w:rsidR="00FA6D6C" w:rsidRPr="00D947D1">
              <w:rPr>
                <w:sz w:val="20"/>
                <w:szCs w:val="20"/>
              </w:rPr>
              <w:t>companied by a rate filing.</w:t>
            </w:r>
          </w:p>
          <w:p w:rsidR="00FA6D6C" w:rsidRPr="00D947D1" w:rsidRDefault="00FA6D6C" w:rsidP="00D947D1">
            <w:pPr>
              <w:ind w:left="-108"/>
              <w:rPr>
                <w:sz w:val="4"/>
                <w:szCs w:val="4"/>
              </w:rPr>
            </w:pPr>
          </w:p>
          <w:p w:rsidR="00AB1649" w:rsidRPr="00D947D1" w:rsidRDefault="00743FBA" w:rsidP="00AB1649">
            <w:pPr>
              <w:rPr>
                <w:sz w:val="20"/>
                <w:szCs w:val="20"/>
              </w:rPr>
            </w:pPr>
            <w:r w:rsidRPr="00D947D1">
              <w:rPr>
                <w:sz w:val="20"/>
                <w:szCs w:val="20"/>
              </w:rPr>
              <w:t>I</w:t>
            </w:r>
            <w:r w:rsidR="00D124D6" w:rsidRPr="00D947D1">
              <w:rPr>
                <w:sz w:val="20"/>
                <w:szCs w:val="20"/>
              </w:rPr>
              <w:t>f the form does not require a change in the premium</w:t>
            </w:r>
            <w:r w:rsidRPr="00D947D1">
              <w:rPr>
                <w:sz w:val="20"/>
                <w:szCs w:val="20"/>
              </w:rPr>
              <w:t xml:space="preserve"> rates</w:t>
            </w:r>
            <w:r w:rsidR="00D124D6" w:rsidRPr="00D947D1">
              <w:rPr>
                <w:sz w:val="20"/>
                <w:szCs w:val="20"/>
              </w:rPr>
              <w:t xml:space="preserve">, the submission must include </w:t>
            </w:r>
            <w:r w:rsidR="00D12DAA" w:rsidRPr="00D947D1">
              <w:rPr>
                <w:sz w:val="20"/>
                <w:szCs w:val="20"/>
              </w:rPr>
              <w:t>a statement that there is no</w:t>
            </w:r>
            <w:r w:rsidR="00D124D6" w:rsidRPr="00D947D1">
              <w:rPr>
                <w:sz w:val="20"/>
                <w:szCs w:val="20"/>
              </w:rPr>
              <w:t xml:space="preserve"> effect on the </w:t>
            </w:r>
            <w:r w:rsidR="00D12DAA" w:rsidRPr="00D947D1">
              <w:rPr>
                <w:sz w:val="20"/>
                <w:szCs w:val="20"/>
              </w:rPr>
              <w:t>rates</w:t>
            </w:r>
            <w:r w:rsidR="00D124D6" w:rsidRPr="00D947D1">
              <w:rPr>
                <w:sz w:val="20"/>
                <w:szCs w:val="20"/>
              </w:rPr>
              <w:t>. The rate filing must include all rates, rating formula</w:t>
            </w:r>
            <w:r w:rsidR="0020470A" w:rsidRPr="00D947D1">
              <w:rPr>
                <w:sz w:val="20"/>
                <w:szCs w:val="20"/>
              </w:rPr>
              <w:t>s</w:t>
            </w:r>
            <w:r w:rsidR="00D124D6" w:rsidRPr="00D947D1">
              <w:rPr>
                <w:sz w:val="20"/>
                <w:szCs w:val="20"/>
              </w:rPr>
              <w:t xml:space="preserve"> and revisions. </w:t>
            </w:r>
            <w:r w:rsidR="00E63101" w:rsidRPr="00D947D1">
              <w:rPr>
                <w:sz w:val="20"/>
                <w:szCs w:val="20"/>
              </w:rPr>
              <w:t xml:space="preserve"> </w:t>
            </w:r>
            <w:r w:rsidR="00D124D6" w:rsidRPr="00D947D1">
              <w:rPr>
                <w:sz w:val="20"/>
                <w:szCs w:val="20"/>
              </w:rPr>
              <w:t>Rates must be filed with the form rather than separately.</w:t>
            </w:r>
          </w:p>
          <w:p w:rsidR="00FA6D6C" w:rsidRPr="00D947D1" w:rsidRDefault="00FA6D6C" w:rsidP="00D947D1">
            <w:pPr>
              <w:ind w:left="-108"/>
              <w:rPr>
                <w:sz w:val="4"/>
                <w:szCs w:val="4"/>
              </w:rPr>
            </w:pPr>
          </w:p>
        </w:tc>
        <w:tc>
          <w:tcPr>
            <w:tcW w:w="1760" w:type="dxa"/>
            <w:shd w:val="pct12" w:color="auto" w:fill="auto"/>
          </w:tcPr>
          <w:p w:rsidR="005327E9" w:rsidRPr="00D947D1" w:rsidRDefault="005327E9" w:rsidP="00D947D1">
            <w:pPr>
              <w:rPr>
                <w:sz w:val="20"/>
                <w:szCs w:val="20"/>
              </w:rPr>
            </w:pPr>
          </w:p>
        </w:tc>
      </w:tr>
      <w:tr w:rsidR="00D92071" w:rsidTr="00D947D1">
        <w:trPr>
          <w:trHeight w:val="1414"/>
        </w:trPr>
        <w:tc>
          <w:tcPr>
            <w:tcW w:w="548" w:type="dxa"/>
            <w:shd w:val="clear" w:color="auto" w:fill="auto"/>
          </w:tcPr>
          <w:p w:rsidR="00D92071" w:rsidRPr="00D947D1" w:rsidRDefault="00D92071" w:rsidP="00D947D1">
            <w:pPr>
              <w:rPr>
                <w:rFonts w:cs="Arial"/>
                <w:b/>
                <w:sz w:val="24"/>
                <w:szCs w:val="24"/>
              </w:rPr>
            </w:pPr>
            <w:r w:rsidRPr="00D947D1">
              <w:rPr>
                <w:rFonts w:cs="Arial"/>
                <w:b/>
                <w:sz w:val="24"/>
                <w:szCs w:val="24"/>
              </w:rPr>
              <w:t>B.</w:t>
            </w:r>
          </w:p>
        </w:tc>
        <w:tc>
          <w:tcPr>
            <w:tcW w:w="2200" w:type="dxa"/>
            <w:shd w:val="clear" w:color="auto" w:fill="auto"/>
          </w:tcPr>
          <w:p w:rsidR="00D92071" w:rsidRPr="00D947D1" w:rsidRDefault="00D92071" w:rsidP="00D947D1">
            <w:pPr>
              <w:rPr>
                <w:rFonts w:cs="Arial"/>
                <w:b/>
                <w:sz w:val="20"/>
                <w:szCs w:val="20"/>
              </w:rPr>
            </w:pPr>
            <w:r w:rsidRPr="00D947D1">
              <w:rPr>
                <w:rFonts w:cs="Arial"/>
                <w:b/>
                <w:sz w:val="20"/>
                <w:szCs w:val="20"/>
              </w:rPr>
              <w:t>Electronic (SERFF) and Paper Filing Requirements:</w:t>
            </w:r>
          </w:p>
        </w:tc>
        <w:tc>
          <w:tcPr>
            <w:tcW w:w="2090" w:type="dxa"/>
            <w:shd w:val="clear" w:color="auto" w:fill="auto"/>
          </w:tcPr>
          <w:p w:rsidR="00121343" w:rsidRPr="00D947D1" w:rsidRDefault="00121343" w:rsidP="00BF3A73">
            <w:pPr>
              <w:rPr>
                <w:rStyle w:val="Hyperlink"/>
                <w:rFonts w:cs="Arial"/>
                <w:sz w:val="20"/>
                <w:szCs w:val="20"/>
              </w:rPr>
            </w:pPr>
            <w:r w:rsidRPr="00D947D1">
              <w:rPr>
                <w:rFonts w:cs="Arial"/>
                <w:sz w:val="20"/>
                <w:szCs w:val="20"/>
              </w:rPr>
              <w:fldChar w:fldCharType="begin"/>
            </w:r>
            <w:r w:rsidRPr="00D947D1">
              <w:rPr>
                <w:rFonts w:cs="Arial"/>
                <w:sz w:val="20"/>
                <w:szCs w:val="20"/>
              </w:rPr>
              <w:instrText xml:space="preserve"> HYPERLINK "http://www.mainelegislature.org/legis/statutes/24-A/title24-Asec2736.html" </w:instrText>
            </w:r>
            <w:r w:rsidR="00C26066" w:rsidRPr="00D947D1">
              <w:rPr>
                <w:rFonts w:cs="Arial"/>
                <w:sz w:val="20"/>
                <w:szCs w:val="20"/>
              </w:rPr>
            </w:r>
            <w:r w:rsidRPr="00D947D1">
              <w:rPr>
                <w:rFonts w:cs="Arial"/>
                <w:sz w:val="20"/>
                <w:szCs w:val="20"/>
              </w:rPr>
              <w:fldChar w:fldCharType="separate"/>
            </w:r>
            <w:r w:rsidRPr="00D947D1">
              <w:rPr>
                <w:rStyle w:val="Hyperlink"/>
                <w:rFonts w:cs="Arial"/>
                <w:sz w:val="20"/>
                <w:szCs w:val="20"/>
              </w:rPr>
              <w:t>Title 24-A,</w:t>
            </w:r>
            <w:r w:rsidRPr="00D947D1">
              <w:rPr>
                <w:rStyle w:val="Hyperlink"/>
                <w:rFonts w:cs="Arial"/>
                <w:sz w:val="20"/>
                <w:szCs w:val="20"/>
              </w:rPr>
              <w:t xml:space="preserve"> </w:t>
            </w:r>
            <w:r w:rsidRPr="00D947D1">
              <w:rPr>
                <w:rStyle w:val="Hyperlink"/>
                <w:rFonts w:cs="Arial"/>
                <w:sz w:val="20"/>
                <w:szCs w:val="20"/>
              </w:rPr>
              <w:t>§</w:t>
            </w:r>
            <w:r w:rsidRPr="00D947D1">
              <w:rPr>
                <w:rStyle w:val="Hyperlink"/>
                <w:rFonts w:cs="Arial"/>
                <w:sz w:val="20"/>
                <w:szCs w:val="20"/>
              </w:rPr>
              <w:t xml:space="preserve"> </w:t>
            </w:r>
            <w:r w:rsidRPr="00D947D1">
              <w:rPr>
                <w:rStyle w:val="Hyperlink"/>
                <w:rFonts w:cs="Arial"/>
                <w:sz w:val="20"/>
                <w:szCs w:val="20"/>
              </w:rPr>
              <w:t>2736</w:t>
            </w:r>
          </w:p>
          <w:p w:rsidR="00551E90" w:rsidRDefault="00121343" w:rsidP="00B81D46">
            <w:r>
              <w:fldChar w:fldCharType="end"/>
            </w:r>
            <w:hyperlink r:id="rId10" w:history="1">
              <w:r w:rsidR="00B81D46" w:rsidRPr="00D947D1">
                <w:rPr>
                  <w:rStyle w:val="Hyperlink"/>
                  <w:sz w:val="20"/>
                  <w:szCs w:val="20"/>
                </w:rPr>
                <w:t xml:space="preserve">Title 24-A, </w:t>
              </w:r>
              <w:r w:rsidR="00B81D46" w:rsidRPr="00D947D1">
                <w:rPr>
                  <w:rStyle w:val="Hyperlink"/>
                  <w:rFonts w:cs="Arial"/>
                  <w:sz w:val="20"/>
                  <w:szCs w:val="20"/>
                </w:rPr>
                <w:t>§</w:t>
              </w:r>
              <w:r w:rsidR="00B81D46" w:rsidRPr="00D947D1">
                <w:rPr>
                  <w:rStyle w:val="Hyperlink"/>
                  <w:sz w:val="20"/>
                  <w:szCs w:val="20"/>
                </w:rPr>
                <w:t xml:space="preserve"> 2839</w:t>
              </w:r>
            </w:hyperlink>
          </w:p>
          <w:p w:rsidR="00B81D46" w:rsidRPr="00D947D1" w:rsidRDefault="00B81D46" w:rsidP="00D947D1">
            <w:pPr>
              <w:pStyle w:val="NormalWeb"/>
              <w:spacing w:before="0" w:beforeAutospacing="0" w:after="0" w:afterAutospacing="0"/>
              <w:rPr>
                <w:rFonts w:ascii="Arial" w:hAnsi="Arial" w:cs="Arial"/>
                <w:color w:val="FF0000"/>
                <w:sz w:val="20"/>
                <w:szCs w:val="20"/>
              </w:rPr>
            </w:pPr>
          </w:p>
        </w:tc>
        <w:tc>
          <w:tcPr>
            <w:tcW w:w="6820" w:type="dxa"/>
            <w:gridSpan w:val="2"/>
            <w:shd w:val="clear" w:color="auto" w:fill="auto"/>
          </w:tcPr>
          <w:p w:rsidR="00BF3A73" w:rsidRPr="00D947D1" w:rsidRDefault="00161428" w:rsidP="00D947D1">
            <w:pPr>
              <w:rPr>
                <w:sz w:val="20"/>
                <w:szCs w:val="20"/>
              </w:rPr>
            </w:pPr>
            <w:r w:rsidRPr="00D947D1">
              <w:rPr>
                <w:sz w:val="20"/>
                <w:szCs w:val="20"/>
              </w:rPr>
              <w:t>Effective September 12, 2009, all f</w:t>
            </w:r>
            <w:r w:rsidR="0020470A" w:rsidRPr="00D947D1">
              <w:rPr>
                <w:sz w:val="20"/>
                <w:szCs w:val="20"/>
              </w:rPr>
              <w:t>ilings</w:t>
            </w:r>
            <w:r w:rsidR="00E63101" w:rsidRPr="00D947D1">
              <w:rPr>
                <w:sz w:val="20"/>
                <w:szCs w:val="20"/>
              </w:rPr>
              <w:t xml:space="preserve"> must</w:t>
            </w:r>
            <w:r w:rsidR="00D92071" w:rsidRPr="00D947D1">
              <w:rPr>
                <w:sz w:val="20"/>
                <w:szCs w:val="20"/>
              </w:rPr>
              <w:t xml:space="preserve"> be filed electronically, using the NAIC System for Electronic Rate and </w:t>
            </w:r>
            <w:r w:rsidR="00E63101" w:rsidRPr="00D947D1">
              <w:rPr>
                <w:sz w:val="20"/>
                <w:szCs w:val="20"/>
              </w:rPr>
              <w:t>Form Filing (SERFF)</w:t>
            </w:r>
            <w:r w:rsidR="00D92071" w:rsidRPr="00D947D1">
              <w:rPr>
                <w:sz w:val="20"/>
                <w:szCs w:val="20"/>
              </w:rPr>
              <w:t>.</w:t>
            </w:r>
          </w:p>
          <w:p w:rsidR="00D92071" w:rsidRPr="00D947D1" w:rsidRDefault="00BF3A73" w:rsidP="00D947D1">
            <w:pPr>
              <w:rPr>
                <w:sz w:val="20"/>
                <w:szCs w:val="20"/>
              </w:rPr>
            </w:pPr>
            <w:r w:rsidRPr="00D947D1">
              <w:rPr>
                <w:sz w:val="20"/>
                <w:szCs w:val="20"/>
              </w:rPr>
              <w:t>See</w:t>
            </w:r>
            <w:r w:rsidR="0020470A" w:rsidRPr="00D947D1">
              <w:rPr>
                <w:sz w:val="20"/>
                <w:szCs w:val="20"/>
              </w:rPr>
              <w:t xml:space="preserve"> </w:t>
            </w:r>
            <w:hyperlink r:id="rId11" w:history="1">
              <w:r w:rsidR="00E63101" w:rsidRPr="00D947D1">
                <w:rPr>
                  <w:rStyle w:val="Hyperlink"/>
                  <w:sz w:val="20"/>
                  <w:szCs w:val="20"/>
                </w:rPr>
                <w:t>http://www.serff.com</w:t>
              </w:r>
            </w:hyperlink>
            <w:r w:rsidR="00E63101" w:rsidRPr="00D947D1">
              <w:rPr>
                <w:sz w:val="20"/>
                <w:szCs w:val="20"/>
              </w:rPr>
              <w:t xml:space="preserve"> </w:t>
            </w:r>
          </w:p>
          <w:p w:rsidR="0091592F" w:rsidRPr="00D947D1" w:rsidRDefault="0091592F" w:rsidP="00D947D1">
            <w:pPr>
              <w:ind w:left="-108" w:right="-328"/>
              <w:rPr>
                <w:sz w:val="6"/>
                <w:szCs w:val="6"/>
              </w:rPr>
            </w:pPr>
          </w:p>
          <w:p w:rsidR="00AB1649" w:rsidRPr="00D947D1" w:rsidRDefault="0091592F" w:rsidP="00D947D1">
            <w:pPr>
              <w:rPr>
                <w:rFonts w:cs="Arial"/>
                <w:sz w:val="20"/>
                <w:szCs w:val="20"/>
              </w:rPr>
            </w:pPr>
            <w:r w:rsidRPr="00D947D1">
              <w:rPr>
                <w:rFonts w:cs="Arial"/>
                <w:sz w:val="20"/>
                <w:szCs w:val="20"/>
              </w:rPr>
              <w:t xml:space="preserve">If </w:t>
            </w:r>
            <w:r w:rsidR="00E63101" w:rsidRPr="00D947D1">
              <w:rPr>
                <w:rFonts w:cs="Arial"/>
                <w:sz w:val="20"/>
                <w:szCs w:val="20"/>
              </w:rPr>
              <w:t>the</w:t>
            </w:r>
            <w:r w:rsidRPr="00D947D1">
              <w:rPr>
                <w:rFonts w:cs="Arial"/>
                <w:sz w:val="20"/>
                <w:szCs w:val="20"/>
              </w:rPr>
              <w:t xml:space="preserve"> filing is found to be in compliance with the applicable requirements, the SERFF record will show the rates to be </w:t>
            </w:r>
            <w:r w:rsidR="0038683E" w:rsidRPr="00D947D1">
              <w:rPr>
                <w:rFonts w:cs="Arial"/>
                <w:sz w:val="20"/>
                <w:szCs w:val="20"/>
              </w:rPr>
              <w:t>“A</w:t>
            </w:r>
            <w:r w:rsidRPr="00D947D1">
              <w:rPr>
                <w:rFonts w:cs="Arial"/>
                <w:sz w:val="20"/>
                <w:szCs w:val="20"/>
              </w:rPr>
              <w:t>cceptable,”</w:t>
            </w:r>
            <w:r w:rsidR="00161428" w:rsidRPr="00D947D1">
              <w:rPr>
                <w:rFonts w:cs="Arial"/>
                <w:color w:val="FF0000"/>
                <w:sz w:val="20"/>
                <w:szCs w:val="20"/>
              </w:rPr>
              <w:t xml:space="preserve"> </w:t>
            </w:r>
            <w:r w:rsidRPr="00D947D1">
              <w:rPr>
                <w:rFonts w:cs="Arial"/>
                <w:sz w:val="20"/>
                <w:szCs w:val="20"/>
              </w:rPr>
              <w:t>and the</w:t>
            </w:r>
            <w:r w:rsidR="00990B55" w:rsidRPr="00D947D1">
              <w:rPr>
                <w:rFonts w:cs="Arial"/>
                <w:sz w:val="20"/>
                <w:szCs w:val="20"/>
              </w:rPr>
              <w:t xml:space="preserve"> </w:t>
            </w:r>
            <w:r w:rsidR="00E63101" w:rsidRPr="00D947D1">
              <w:rPr>
                <w:rFonts w:cs="Arial"/>
                <w:sz w:val="20"/>
                <w:szCs w:val="20"/>
              </w:rPr>
              <w:t xml:space="preserve">record </w:t>
            </w:r>
            <w:r w:rsidRPr="00D947D1">
              <w:rPr>
                <w:rFonts w:cs="Arial"/>
                <w:sz w:val="20"/>
                <w:szCs w:val="20"/>
              </w:rPr>
              <w:t>will be closed.</w:t>
            </w:r>
          </w:p>
          <w:p w:rsidR="0020470A" w:rsidRPr="00D947D1" w:rsidRDefault="0020470A" w:rsidP="00D947D1">
            <w:pPr>
              <w:ind w:left="-108"/>
              <w:rPr>
                <w:sz w:val="4"/>
                <w:szCs w:val="4"/>
              </w:rPr>
            </w:pPr>
          </w:p>
        </w:tc>
        <w:tc>
          <w:tcPr>
            <w:tcW w:w="1760" w:type="dxa"/>
            <w:shd w:val="pct12" w:color="auto" w:fill="auto"/>
          </w:tcPr>
          <w:p w:rsidR="00BD45D1" w:rsidRPr="00D947D1" w:rsidRDefault="00BD45D1" w:rsidP="00D947D1">
            <w:pPr>
              <w:rPr>
                <w:color w:val="FF0000"/>
                <w:sz w:val="20"/>
                <w:szCs w:val="20"/>
              </w:rPr>
            </w:pPr>
          </w:p>
        </w:tc>
      </w:tr>
      <w:tr w:rsidR="00D92071" w:rsidTr="00D947D1">
        <w:trPr>
          <w:trHeight w:val="1070"/>
        </w:trPr>
        <w:tc>
          <w:tcPr>
            <w:tcW w:w="548" w:type="dxa"/>
            <w:shd w:val="clear" w:color="auto" w:fill="auto"/>
          </w:tcPr>
          <w:p w:rsidR="00D92071" w:rsidRPr="00D947D1" w:rsidRDefault="00D92071" w:rsidP="00D947D1">
            <w:pPr>
              <w:rPr>
                <w:rFonts w:cs="Arial"/>
                <w:b/>
                <w:sz w:val="24"/>
                <w:szCs w:val="24"/>
              </w:rPr>
            </w:pPr>
            <w:r w:rsidRPr="00D947D1">
              <w:rPr>
                <w:rFonts w:cs="Arial"/>
                <w:b/>
                <w:sz w:val="24"/>
                <w:szCs w:val="24"/>
              </w:rPr>
              <w:t>C.</w:t>
            </w:r>
          </w:p>
        </w:tc>
        <w:tc>
          <w:tcPr>
            <w:tcW w:w="2200" w:type="dxa"/>
            <w:shd w:val="clear" w:color="auto" w:fill="auto"/>
          </w:tcPr>
          <w:p w:rsidR="00D92071" w:rsidRPr="00D947D1" w:rsidRDefault="00D92071" w:rsidP="00D947D1">
            <w:pPr>
              <w:rPr>
                <w:rFonts w:cs="Arial"/>
                <w:b/>
                <w:sz w:val="20"/>
                <w:szCs w:val="20"/>
              </w:rPr>
            </w:pPr>
            <w:r w:rsidRPr="00D947D1">
              <w:rPr>
                <w:rFonts w:cs="Arial"/>
                <w:b/>
                <w:sz w:val="20"/>
                <w:szCs w:val="20"/>
              </w:rPr>
              <w:t>Timeliness and Completeness of Filings; Non-compliant filings:</w:t>
            </w:r>
          </w:p>
        </w:tc>
        <w:tc>
          <w:tcPr>
            <w:tcW w:w="2090" w:type="dxa"/>
            <w:shd w:val="clear" w:color="auto" w:fill="auto"/>
          </w:tcPr>
          <w:p w:rsidR="00D92071" w:rsidRPr="00D947D1" w:rsidRDefault="000C3971" w:rsidP="00D947D1">
            <w:pPr>
              <w:pStyle w:val="NormalWeb"/>
              <w:spacing w:before="0" w:beforeAutospacing="0" w:after="0" w:afterAutospacing="0"/>
              <w:ind w:right="-108"/>
              <w:rPr>
                <w:rFonts w:ascii="Arial" w:hAnsi="Arial" w:cs="Arial"/>
                <w:sz w:val="20"/>
                <w:szCs w:val="20"/>
              </w:rPr>
            </w:pPr>
            <w:hyperlink r:id="rId12" w:history="1">
              <w:r w:rsidR="000232A3" w:rsidRPr="00D947D1">
                <w:rPr>
                  <w:rStyle w:val="Hyperlink"/>
                  <w:rFonts w:ascii="Arial" w:hAnsi="Arial" w:cs="Arial"/>
                  <w:sz w:val="20"/>
                  <w:szCs w:val="20"/>
                </w:rPr>
                <w:t>Title</w:t>
              </w:r>
              <w:r w:rsidR="000232A3" w:rsidRPr="00D947D1">
                <w:rPr>
                  <w:rStyle w:val="Hyperlink"/>
                  <w:rFonts w:ascii="Arial" w:hAnsi="Arial" w:cs="Arial"/>
                  <w:sz w:val="20"/>
                  <w:szCs w:val="20"/>
                </w:rPr>
                <w:t xml:space="preserve"> </w:t>
              </w:r>
              <w:r w:rsidR="000232A3" w:rsidRPr="00D947D1">
                <w:rPr>
                  <w:rStyle w:val="Hyperlink"/>
                  <w:rFonts w:ascii="Arial" w:hAnsi="Arial" w:cs="Arial"/>
                  <w:sz w:val="20"/>
                  <w:szCs w:val="20"/>
                </w:rPr>
                <w:t>24-A</w:t>
              </w:r>
              <w:r w:rsidRPr="00D947D1">
                <w:rPr>
                  <w:rStyle w:val="Hyperlink"/>
                  <w:rFonts w:ascii="Arial" w:hAnsi="Arial" w:cs="Arial"/>
                  <w:sz w:val="20"/>
                  <w:szCs w:val="20"/>
                </w:rPr>
                <w:t>,</w:t>
              </w:r>
              <w:r w:rsidR="000232A3" w:rsidRPr="00D947D1">
                <w:rPr>
                  <w:rStyle w:val="Hyperlink"/>
                  <w:rFonts w:ascii="Arial" w:hAnsi="Arial" w:cs="Arial"/>
                  <w:sz w:val="20"/>
                  <w:szCs w:val="20"/>
                </w:rPr>
                <w:t xml:space="preserve"> </w:t>
              </w:r>
              <w:r w:rsidR="00CA7808" w:rsidRPr="00D947D1">
                <w:rPr>
                  <w:rStyle w:val="Hyperlink"/>
                  <w:rFonts w:ascii="Arial" w:hAnsi="Arial" w:cs="Arial"/>
                  <w:sz w:val="20"/>
                  <w:szCs w:val="20"/>
                </w:rPr>
                <w:t xml:space="preserve">§ </w:t>
              </w:r>
              <w:r w:rsidR="00CA7808" w:rsidRPr="00D947D1">
                <w:rPr>
                  <w:rStyle w:val="Hyperlink"/>
                  <w:rFonts w:ascii="Arial" w:hAnsi="Arial" w:cs="Arial"/>
                  <w:sz w:val="20"/>
                  <w:szCs w:val="20"/>
                </w:rPr>
                <w:t>2</w:t>
              </w:r>
              <w:r w:rsidR="00CA7808" w:rsidRPr="00D947D1">
                <w:rPr>
                  <w:rStyle w:val="Hyperlink"/>
                  <w:rFonts w:ascii="Arial" w:hAnsi="Arial" w:cs="Arial"/>
                  <w:sz w:val="20"/>
                  <w:szCs w:val="20"/>
                </w:rPr>
                <w:t>7</w:t>
              </w:r>
              <w:r w:rsidR="00CA7808" w:rsidRPr="00D947D1">
                <w:rPr>
                  <w:rStyle w:val="Hyperlink"/>
                  <w:rFonts w:ascii="Arial" w:hAnsi="Arial" w:cs="Arial"/>
                  <w:sz w:val="20"/>
                  <w:szCs w:val="20"/>
                </w:rPr>
                <w:t>3</w:t>
              </w:r>
              <w:r w:rsidR="00CA7808" w:rsidRPr="00D947D1">
                <w:rPr>
                  <w:rStyle w:val="Hyperlink"/>
                  <w:rFonts w:ascii="Arial" w:hAnsi="Arial" w:cs="Arial"/>
                  <w:sz w:val="20"/>
                  <w:szCs w:val="20"/>
                </w:rPr>
                <w:t>6</w:t>
              </w:r>
            </w:hyperlink>
          </w:p>
        </w:tc>
        <w:tc>
          <w:tcPr>
            <w:tcW w:w="6820" w:type="dxa"/>
            <w:gridSpan w:val="2"/>
            <w:shd w:val="clear" w:color="auto" w:fill="auto"/>
          </w:tcPr>
          <w:p w:rsidR="00AB1649" w:rsidRPr="00D947D1" w:rsidRDefault="00D92071" w:rsidP="00AB1649">
            <w:pPr>
              <w:rPr>
                <w:rFonts w:cs="Arial"/>
                <w:sz w:val="20"/>
                <w:szCs w:val="20"/>
              </w:rPr>
            </w:pPr>
            <w:r w:rsidRPr="00D947D1">
              <w:rPr>
                <w:rFonts w:cs="Arial"/>
                <w:sz w:val="20"/>
                <w:szCs w:val="20"/>
              </w:rPr>
              <w:t>The filing must be received by the Bureau at least 60</w:t>
            </w:r>
            <w:r w:rsidR="00560B45" w:rsidRPr="00D947D1">
              <w:rPr>
                <w:rFonts w:cs="Arial"/>
                <w:sz w:val="20"/>
                <w:szCs w:val="20"/>
              </w:rPr>
              <w:t xml:space="preserve"> </w:t>
            </w:r>
            <w:r w:rsidRPr="00D947D1">
              <w:rPr>
                <w:rFonts w:cs="Arial"/>
                <w:sz w:val="20"/>
                <w:szCs w:val="20"/>
              </w:rPr>
              <w:t>days before the implementation date</w:t>
            </w:r>
            <w:r w:rsidR="00CA7808" w:rsidRPr="00D947D1">
              <w:rPr>
                <w:rFonts w:cs="Arial"/>
                <w:sz w:val="20"/>
                <w:szCs w:val="20"/>
              </w:rPr>
              <w:t>, unless the Superintendent waives this requirement</w:t>
            </w:r>
            <w:r w:rsidRPr="00D947D1">
              <w:rPr>
                <w:rFonts w:cs="Arial"/>
                <w:sz w:val="20"/>
                <w:szCs w:val="20"/>
              </w:rPr>
              <w:t xml:space="preserve">. </w:t>
            </w:r>
            <w:r w:rsidR="00306E84" w:rsidRPr="00D947D1">
              <w:rPr>
                <w:rFonts w:cs="Arial"/>
                <w:sz w:val="20"/>
                <w:szCs w:val="20"/>
              </w:rPr>
              <w:t xml:space="preserve"> </w:t>
            </w:r>
            <w:r w:rsidR="00CA7808" w:rsidRPr="00D947D1">
              <w:rPr>
                <w:rFonts w:cs="Arial"/>
                <w:sz w:val="20"/>
                <w:szCs w:val="20"/>
              </w:rPr>
              <w:t xml:space="preserve">The Superintendent may request additional information as necessary.  </w:t>
            </w:r>
            <w:r w:rsidRPr="00D947D1">
              <w:rPr>
                <w:rFonts w:cs="Arial"/>
                <w:sz w:val="20"/>
                <w:szCs w:val="20"/>
              </w:rPr>
              <w:t>If the Bureau requests additional information or finds rates not to be in compliance, rates approved previously must continue to be used.</w:t>
            </w:r>
          </w:p>
          <w:p w:rsidR="00FA6D6C" w:rsidRPr="00D947D1" w:rsidRDefault="00FA6D6C" w:rsidP="00D947D1">
            <w:pPr>
              <w:ind w:left="-108"/>
              <w:rPr>
                <w:rFonts w:cs="Arial"/>
                <w:sz w:val="4"/>
                <w:szCs w:val="4"/>
              </w:rPr>
            </w:pPr>
          </w:p>
        </w:tc>
        <w:tc>
          <w:tcPr>
            <w:tcW w:w="1760" w:type="dxa"/>
            <w:shd w:val="pct12" w:color="auto" w:fill="auto"/>
          </w:tcPr>
          <w:p w:rsidR="00D92071" w:rsidRPr="00D947D1" w:rsidRDefault="00D92071" w:rsidP="00D947D1">
            <w:pPr>
              <w:rPr>
                <w:color w:val="FF6600"/>
                <w:sz w:val="20"/>
                <w:szCs w:val="20"/>
              </w:rPr>
            </w:pPr>
          </w:p>
        </w:tc>
      </w:tr>
      <w:tr w:rsidR="00A1261A" w:rsidTr="00D947D1">
        <w:trPr>
          <w:trHeight w:val="170"/>
        </w:trPr>
        <w:tc>
          <w:tcPr>
            <w:tcW w:w="548" w:type="dxa"/>
            <w:shd w:val="clear" w:color="auto" w:fill="auto"/>
          </w:tcPr>
          <w:p w:rsidR="00A1261A" w:rsidRPr="00D947D1" w:rsidRDefault="00A1261A" w:rsidP="00D947D1">
            <w:pPr>
              <w:rPr>
                <w:rFonts w:cs="Arial"/>
                <w:b/>
                <w:sz w:val="24"/>
                <w:szCs w:val="24"/>
              </w:rPr>
            </w:pPr>
            <w:r w:rsidRPr="00D947D1">
              <w:rPr>
                <w:rFonts w:cs="Arial"/>
                <w:b/>
                <w:sz w:val="24"/>
                <w:szCs w:val="24"/>
              </w:rPr>
              <w:t>D.</w:t>
            </w:r>
          </w:p>
        </w:tc>
        <w:tc>
          <w:tcPr>
            <w:tcW w:w="2200" w:type="dxa"/>
            <w:shd w:val="clear" w:color="auto" w:fill="auto"/>
          </w:tcPr>
          <w:p w:rsidR="00A1261A" w:rsidRPr="00D947D1" w:rsidRDefault="00A1261A" w:rsidP="00D947D1">
            <w:pPr>
              <w:rPr>
                <w:rFonts w:cs="Arial"/>
                <w:b/>
                <w:sz w:val="20"/>
                <w:szCs w:val="20"/>
              </w:rPr>
            </w:pPr>
            <w:r w:rsidRPr="00D947D1">
              <w:rPr>
                <w:rFonts w:cs="Arial"/>
                <w:b/>
                <w:sz w:val="20"/>
                <w:szCs w:val="20"/>
              </w:rPr>
              <w:t>Additional Rate Filing Requirements:</w:t>
            </w:r>
          </w:p>
          <w:p w:rsidR="00990B55" w:rsidRPr="00D947D1" w:rsidRDefault="00990B55" w:rsidP="00D947D1">
            <w:pPr>
              <w:ind w:left="-108"/>
              <w:rPr>
                <w:rFonts w:cs="Arial"/>
                <w:b/>
                <w:sz w:val="4"/>
                <w:szCs w:val="4"/>
              </w:rPr>
            </w:pPr>
          </w:p>
        </w:tc>
        <w:tc>
          <w:tcPr>
            <w:tcW w:w="2090" w:type="dxa"/>
            <w:shd w:val="clear" w:color="auto" w:fill="auto"/>
          </w:tcPr>
          <w:p w:rsidR="00A1261A" w:rsidRPr="00D947D1" w:rsidRDefault="00A1261A" w:rsidP="00D947D1">
            <w:pPr>
              <w:pStyle w:val="NormalWeb"/>
              <w:ind w:left="2"/>
              <w:rPr>
                <w:rFonts w:ascii="Arial" w:hAnsi="Arial" w:cs="Arial"/>
                <w:sz w:val="20"/>
                <w:szCs w:val="20"/>
              </w:rPr>
            </w:pPr>
            <w:hyperlink r:id="rId13" w:history="1">
              <w:r w:rsidRPr="00D947D1">
                <w:rPr>
                  <w:rStyle w:val="Hyperlink"/>
                  <w:rFonts w:ascii="Arial" w:hAnsi="Arial" w:cs="Arial"/>
                  <w:sz w:val="20"/>
                  <w:szCs w:val="20"/>
                </w:rPr>
                <w:t xml:space="preserve">Rule </w:t>
              </w:r>
              <w:r w:rsidRPr="00D947D1">
                <w:rPr>
                  <w:rStyle w:val="Hyperlink"/>
                  <w:rFonts w:ascii="Arial" w:hAnsi="Arial" w:cs="Arial"/>
                  <w:sz w:val="20"/>
                  <w:szCs w:val="20"/>
                </w:rPr>
                <w:t>2</w:t>
              </w:r>
              <w:r w:rsidRPr="00D947D1">
                <w:rPr>
                  <w:rStyle w:val="Hyperlink"/>
                  <w:rFonts w:ascii="Arial" w:hAnsi="Arial" w:cs="Arial"/>
                  <w:sz w:val="20"/>
                  <w:szCs w:val="20"/>
                </w:rPr>
                <w:t>20</w:t>
              </w:r>
            </w:hyperlink>
          </w:p>
        </w:tc>
        <w:tc>
          <w:tcPr>
            <w:tcW w:w="6820" w:type="dxa"/>
            <w:gridSpan w:val="2"/>
            <w:shd w:val="clear" w:color="auto" w:fill="auto"/>
          </w:tcPr>
          <w:p w:rsidR="006F7044" w:rsidRPr="00D947D1" w:rsidRDefault="006F7044" w:rsidP="00D947D1">
            <w:pPr>
              <w:rPr>
                <w:sz w:val="20"/>
                <w:szCs w:val="20"/>
              </w:rPr>
            </w:pPr>
            <w:r w:rsidRPr="00D947D1">
              <w:rPr>
                <w:sz w:val="20"/>
                <w:szCs w:val="20"/>
              </w:rPr>
              <w:t xml:space="preserve">Rule </w:t>
            </w:r>
            <w:r w:rsidR="00B35450" w:rsidRPr="00D947D1">
              <w:rPr>
                <w:sz w:val="20"/>
                <w:szCs w:val="20"/>
              </w:rPr>
              <w:t xml:space="preserve">220 </w:t>
            </w:r>
            <w:r w:rsidRPr="00D947D1">
              <w:rPr>
                <w:sz w:val="20"/>
                <w:szCs w:val="20"/>
              </w:rPr>
              <w:t>a</w:t>
            </w:r>
            <w:r w:rsidR="00B35450" w:rsidRPr="00D947D1">
              <w:rPr>
                <w:sz w:val="20"/>
                <w:szCs w:val="20"/>
              </w:rPr>
              <w:t>pplies to all insurance</w:t>
            </w:r>
            <w:r w:rsidRPr="00D947D1">
              <w:rPr>
                <w:sz w:val="20"/>
                <w:szCs w:val="20"/>
              </w:rPr>
              <w:t xml:space="preserve"> subject to Title 24-A M.R.S.A., </w:t>
            </w:r>
            <w:r w:rsidR="00B35450" w:rsidRPr="00D947D1">
              <w:rPr>
                <w:sz w:val="20"/>
                <w:szCs w:val="20"/>
              </w:rPr>
              <w:t xml:space="preserve">Ch. </w:t>
            </w:r>
            <w:r w:rsidRPr="00D947D1">
              <w:rPr>
                <w:sz w:val="20"/>
                <w:szCs w:val="20"/>
              </w:rPr>
              <w:t xml:space="preserve">37, except that </w:t>
            </w:r>
            <w:r w:rsidRPr="00D947D1">
              <w:rPr>
                <w:rFonts w:cs="Arial"/>
                <w:sz w:val="20"/>
                <w:szCs w:val="20"/>
              </w:rPr>
              <w:t>§§</w:t>
            </w:r>
            <w:r w:rsidRPr="00D947D1">
              <w:rPr>
                <w:sz w:val="20"/>
                <w:szCs w:val="20"/>
              </w:rPr>
              <w:t xml:space="preserve"> 9, 10,</w:t>
            </w:r>
            <w:r w:rsidR="00B35450" w:rsidRPr="00D947D1">
              <w:rPr>
                <w:sz w:val="20"/>
                <w:szCs w:val="20"/>
              </w:rPr>
              <w:t xml:space="preserve"> &amp;</w:t>
            </w:r>
            <w:r w:rsidRPr="00D947D1">
              <w:rPr>
                <w:sz w:val="20"/>
                <w:szCs w:val="20"/>
              </w:rPr>
              <w:t xml:space="preserve"> 13 do not apply to noncontributory credit insurance.</w:t>
            </w:r>
          </w:p>
          <w:p w:rsidR="00966CF6" w:rsidRPr="00D947D1" w:rsidRDefault="00966CF6" w:rsidP="00D947D1">
            <w:pPr>
              <w:ind w:left="-108"/>
              <w:rPr>
                <w:rFonts w:cs="Arial"/>
                <w:sz w:val="4"/>
                <w:szCs w:val="4"/>
              </w:rPr>
            </w:pPr>
          </w:p>
          <w:p w:rsidR="00A1261A" w:rsidRPr="00D947D1" w:rsidRDefault="00A1261A" w:rsidP="00D947D1">
            <w:pPr>
              <w:rPr>
                <w:rFonts w:cs="Arial"/>
                <w:b/>
                <w:sz w:val="20"/>
                <w:szCs w:val="20"/>
              </w:rPr>
            </w:pPr>
            <w:r w:rsidRPr="00D947D1">
              <w:rPr>
                <w:rFonts w:cs="Arial"/>
                <w:b/>
                <w:sz w:val="20"/>
                <w:szCs w:val="20"/>
              </w:rPr>
              <w:t>Every rate submission must contain the following:</w:t>
            </w:r>
          </w:p>
          <w:p w:rsidR="00A1261A" w:rsidRPr="00D947D1" w:rsidRDefault="00A1261A" w:rsidP="00D947D1">
            <w:pPr>
              <w:ind w:left="-108"/>
              <w:rPr>
                <w:sz w:val="4"/>
                <w:szCs w:val="4"/>
              </w:rPr>
            </w:pPr>
          </w:p>
        </w:tc>
        <w:tc>
          <w:tcPr>
            <w:tcW w:w="1760" w:type="dxa"/>
            <w:shd w:val="pct12" w:color="auto" w:fill="auto"/>
          </w:tcPr>
          <w:p w:rsidR="00A1261A" w:rsidRDefault="00A1261A" w:rsidP="00D947D1"/>
        </w:tc>
      </w:tr>
      <w:tr w:rsidR="00A1261A" w:rsidTr="00D947D1">
        <w:trPr>
          <w:trHeight w:val="350"/>
        </w:trPr>
        <w:tc>
          <w:tcPr>
            <w:tcW w:w="548" w:type="dxa"/>
            <w:shd w:val="clear" w:color="auto" w:fill="auto"/>
          </w:tcPr>
          <w:p w:rsidR="00A1261A" w:rsidRDefault="00A1261A" w:rsidP="00D947D1"/>
        </w:tc>
        <w:tc>
          <w:tcPr>
            <w:tcW w:w="2200" w:type="dxa"/>
            <w:shd w:val="clear" w:color="auto" w:fill="auto"/>
          </w:tcPr>
          <w:p w:rsidR="00A1261A" w:rsidRPr="00D947D1" w:rsidRDefault="00A1261A" w:rsidP="00D947D1">
            <w:pPr>
              <w:ind w:left="220" w:hanging="328"/>
              <w:rPr>
                <w:rFonts w:cs="Arial"/>
                <w:sz w:val="20"/>
                <w:szCs w:val="20"/>
              </w:rPr>
            </w:pPr>
            <w:r w:rsidRPr="00D947D1">
              <w:rPr>
                <w:rFonts w:cs="Arial"/>
                <w:b/>
                <w:sz w:val="20"/>
                <w:szCs w:val="20"/>
              </w:rPr>
              <w:t xml:space="preserve"> </w:t>
            </w:r>
            <w:r w:rsidR="002747B3" w:rsidRPr="00D947D1">
              <w:rPr>
                <w:rFonts w:cs="Arial"/>
                <w:b/>
                <w:sz w:val="20"/>
                <w:szCs w:val="20"/>
              </w:rPr>
              <w:t xml:space="preserve"> </w:t>
            </w:r>
            <w:r w:rsidRPr="00D947D1">
              <w:rPr>
                <w:rFonts w:cs="Arial"/>
                <w:b/>
                <w:sz w:val="20"/>
                <w:szCs w:val="20"/>
              </w:rPr>
              <w:t>1.</w:t>
            </w:r>
            <w:r w:rsidRPr="00D947D1">
              <w:rPr>
                <w:rFonts w:cs="Arial"/>
                <w:sz w:val="20"/>
                <w:szCs w:val="20"/>
              </w:rPr>
              <w:t xml:space="preserve"> </w:t>
            </w:r>
            <w:r w:rsidRPr="00D947D1">
              <w:rPr>
                <w:rFonts w:cs="Arial"/>
                <w:b/>
                <w:sz w:val="20"/>
                <w:szCs w:val="20"/>
              </w:rPr>
              <w:t>Carrier Information:</w:t>
            </w:r>
            <w:r w:rsidRPr="00D947D1">
              <w:rPr>
                <w:rFonts w:cs="Arial"/>
                <w:sz w:val="20"/>
                <w:szCs w:val="20"/>
              </w:rPr>
              <w:t xml:space="preserve"> </w:t>
            </w:r>
          </w:p>
        </w:tc>
        <w:tc>
          <w:tcPr>
            <w:tcW w:w="2090" w:type="dxa"/>
            <w:shd w:val="clear" w:color="auto" w:fill="auto"/>
          </w:tcPr>
          <w:p w:rsidR="00A1261A" w:rsidRPr="00D947D1" w:rsidRDefault="000C3971" w:rsidP="00D947D1">
            <w:pPr>
              <w:pStyle w:val="NormalWeb"/>
              <w:ind w:left="2" w:right="-108"/>
              <w:rPr>
                <w:rFonts w:ascii="Arial" w:hAnsi="Arial" w:cs="Arial"/>
                <w:sz w:val="20"/>
                <w:szCs w:val="20"/>
              </w:rPr>
            </w:pPr>
            <w:hyperlink r:id="rId14" w:history="1">
              <w:r w:rsidRPr="00D947D1">
                <w:rPr>
                  <w:rStyle w:val="Hyperlink"/>
                  <w:rFonts w:ascii="Arial" w:hAnsi="Arial" w:cs="Arial"/>
                  <w:sz w:val="20"/>
                  <w:szCs w:val="20"/>
                </w:rPr>
                <w:t>Title 24-A, § 2736</w:t>
              </w:r>
            </w:hyperlink>
          </w:p>
          <w:p w:rsidR="000C3971" w:rsidRPr="00D947D1" w:rsidRDefault="000C3971" w:rsidP="00D947D1">
            <w:pPr>
              <w:pStyle w:val="NormalWeb"/>
              <w:ind w:left="2"/>
              <w:rPr>
                <w:rFonts w:ascii="Arial" w:hAnsi="Arial" w:cs="Arial"/>
                <w:sz w:val="20"/>
                <w:szCs w:val="20"/>
              </w:rPr>
            </w:pPr>
          </w:p>
        </w:tc>
        <w:tc>
          <w:tcPr>
            <w:tcW w:w="6820" w:type="dxa"/>
            <w:gridSpan w:val="2"/>
            <w:shd w:val="clear" w:color="auto" w:fill="auto"/>
          </w:tcPr>
          <w:p w:rsidR="002747B3" w:rsidRPr="00D947D1" w:rsidRDefault="002747B3" w:rsidP="002747B3">
            <w:pPr>
              <w:rPr>
                <w:rFonts w:cs="Arial"/>
                <w:sz w:val="20"/>
                <w:szCs w:val="20"/>
              </w:rPr>
            </w:pPr>
            <w:r w:rsidRPr="00D947D1">
              <w:rPr>
                <w:rFonts w:cs="Arial"/>
                <w:sz w:val="20"/>
                <w:szCs w:val="20"/>
              </w:rPr>
              <w:t>The name and address of the carrier, and the name, title, email address, and direct phone number of the person responsible for the filing, must be provided in the SERFF “Filing Contact Information” section.</w:t>
            </w:r>
          </w:p>
          <w:p w:rsidR="00A1261A" w:rsidRPr="00D947D1" w:rsidRDefault="00A1261A" w:rsidP="00D947D1">
            <w:pPr>
              <w:ind w:left="-108"/>
              <w:rPr>
                <w:rFonts w:cs="Arial"/>
                <w:sz w:val="10"/>
                <w:szCs w:val="10"/>
              </w:rPr>
            </w:pPr>
          </w:p>
        </w:tc>
        <w:tc>
          <w:tcPr>
            <w:tcW w:w="1760" w:type="dxa"/>
            <w:shd w:val="pct12" w:color="auto" w:fill="auto"/>
          </w:tcPr>
          <w:p w:rsidR="00A1261A" w:rsidRDefault="00A1261A" w:rsidP="00D947D1">
            <w:pPr>
              <w:ind w:left="-108"/>
            </w:pPr>
          </w:p>
        </w:tc>
      </w:tr>
      <w:tr w:rsidR="00A1261A" w:rsidTr="00D947D1">
        <w:trPr>
          <w:trHeight w:val="272"/>
        </w:trPr>
        <w:tc>
          <w:tcPr>
            <w:tcW w:w="548" w:type="dxa"/>
            <w:shd w:val="clear" w:color="auto" w:fill="auto"/>
          </w:tcPr>
          <w:p w:rsidR="00A1261A" w:rsidRPr="00D947D1" w:rsidRDefault="00A1261A" w:rsidP="00D947D1">
            <w:pPr>
              <w:rPr>
                <w:sz w:val="20"/>
                <w:szCs w:val="20"/>
              </w:rPr>
            </w:pPr>
          </w:p>
        </w:tc>
        <w:tc>
          <w:tcPr>
            <w:tcW w:w="2200" w:type="dxa"/>
            <w:shd w:val="clear" w:color="auto" w:fill="auto"/>
          </w:tcPr>
          <w:p w:rsidR="00A1261A" w:rsidRPr="00D947D1" w:rsidRDefault="00A1261A" w:rsidP="00D947D1">
            <w:pPr>
              <w:tabs>
                <w:tab w:val="left" w:pos="318"/>
                <w:tab w:val="left" w:pos="720"/>
                <w:tab w:val="left" w:pos="2078"/>
                <w:tab w:val="left" w:pos="2880"/>
                <w:tab w:val="left" w:pos="3600"/>
              </w:tabs>
              <w:ind w:left="208" w:hanging="316"/>
              <w:rPr>
                <w:rFonts w:cs="Arial"/>
                <w:sz w:val="20"/>
                <w:szCs w:val="20"/>
              </w:rPr>
            </w:pPr>
            <w:r w:rsidRPr="00D947D1">
              <w:rPr>
                <w:rFonts w:cs="Arial"/>
                <w:b/>
                <w:sz w:val="20"/>
                <w:szCs w:val="20"/>
              </w:rPr>
              <w:t xml:space="preserve"> </w:t>
            </w:r>
            <w:r w:rsidR="002747B3" w:rsidRPr="00D947D1">
              <w:rPr>
                <w:rFonts w:cs="Arial"/>
                <w:b/>
                <w:sz w:val="20"/>
                <w:szCs w:val="20"/>
              </w:rPr>
              <w:t xml:space="preserve"> </w:t>
            </w:r>
            <w:r w:rsidRPr="00D947D1">
              <w:rPr>
                <w:rFonts w:cs="Arial"/>
                <w:b/>
                <w:sz w:val="20"/>
                <w:szCs w:val="20"/>
              </w:rPr>
              <w:t>2.</w:t>
            </w:r>
            <w:r w:rsidRPr="00D947D1">
              <w:rPr>
                <w:rFonts w:cs="Arial"/>
                <w:sz w:val="20"/>
                <w:szCs w:val="20"/>
              </w:rPr>
              <w:t xml:space="preserve"> </w:t>
            </w:r>
            <w:r w:rsidRPr="00D947D1">
              <w:rPr>
                <w:rFonts w:cs="Arial"/>
                <w:b/>
                <w:sz w:val="20"/>
                <w:szCs w:val="20"/>
              </w:rPr>
              <w:t>Scope and Purpose of Filing:</w:t>
            </w:r>
          </w:p>
        </w:tc>
        <w:tc>
          <w:tcPr>
            <w:tcW w:w="2090" w:type="dxa"/>
            <w:shd w:val="clear" w:color="auto" w:fill="auto"/>
          </w:tcPr>
          <w:p w:rsidR="00A1261A" w:rsidRPr="00D947D1" w:rsidRDefault="000C3971" w:rsidP="00D947D1">
            <w:pPr>
              <w:pStyle w:val="NormalWeb"/>
              <w:ind w:right="-108"/>
              <w:rPr>
                <w:rFonts w:ascii="Arial" w:hAnsi="Arial" w:cs="Arial"/>
                <w:sz w:val="20"/>
                <w:szCs w:val="20"/>
              </w:rPr>
            </w:pPr>
            <w:hyperlink r:id="rId15" w:history="1">
              <w:r w:rsidRPr="00D947D1">
                <w:rPr>
                  <w:rStyle w:val="Hyperlink"/>
                  <w:rFonts w:ascii="Arial" w:hAnsi="Arial" w:cs="Arial"/>
                  <w:sz w:val="20"/>
                  <w:szCs w:val="20"/>
                </w:rPr>
                <w:t>Title 24-A, § 2736</w:t>
              </w:r>
            </w:hyperlink>
          </w:p>
        </w:tc>
        <w:tc>
          <w:tcPr>
            <w:tcW w:w="6820" w:type="dxa"/>
            <w:gridSpan w:val="2"/>
            <w:shd w:val="clear" w:color="auto" w:fill="auto"/>
          </w:tcPr>
          <w:p w:rsidR="00A1261A" w:rsidRPr="00D947D1" w:rsidRDefault="00A1261A" w:rsidP="00D947D1">
            <w:pPr>
              <w:tabs>
                <w:tab w:val="left" w:pos="720"/>
                <w:tab w:val="left" w:pos="1440"/>
              </w:tabs>
              <w:rPr>
                <w:sz w:val="20"/>
                <w:szCs w:val="20"/>
              </w:rPr>
            </w:pPr>
            <w:r w:rsidRPr="00D947D1">
              <w:rPr>
                <w:rFonts w:cs="Arial"/>
                <w:sz w:val="20"/>
                <w:szCs w:val="20"/>
              </w:rPr>
              <w:t>Specify whether this is a new form and rate filing, a rate revision, or a justification of an existing rate.  Include the policy type and form number.</w:t>
            </w:r>
          </w:p>
          <w:p w:rsidR="00A1261A" w:rsidRPr="00D947D1" w:rsidRDefault="00A1261A" w:rsidP="00D947D1">
            <w:pPr>
              <w:tabs>
                <w:tab w:val="left" w:pos="720"/>
                <w:tab w:val="left" w:pos="1440"/>
              </w:tabs>
              <w:ind w:left="-108"/>
              <w:rPr>
                <w:rFonts w:cs="Arial"/>
                <w:sz w:val="10"/>
                <w:szCs w:val="10"/>
              </w:rPr>
            </w:pPr>
          </w:p>
        </w:tc>
        <w:tc>
          <w:tcPr>
            <w:tcW w:w="1760" w:type="dxa"/>
            <w:shd w:val="clear" w:color="auto" w:fill="auto"/>
          </w:tcPr>
          <w:p w:rsidR="00A1261A" w:rsidRPr="00D947D1" w:rsidRDefault="00E63101" w:rsidP="00D947D1">
            <w:pPr>
              <w:ind w:left="-108"/>
              <w:rPr>
                <w:color w:val="FF6600"/>
                <w:sz w:val="20"/>
                <w:szCs w:val="20"/>
              </w:rPr>
            </w:pPr>
            <w:r w:rsidRPr="00D947D1">
              <w:rPr>
                <w:i/>
                <w:sz w:val="20"/>
                <w:szCs w:val="20"/>
              </w:rPr>
              <w:t>Location, page:</w:t>
            </w:r>
          </w:p>
        </w:tc>
      </w:tr>
      <w:tr w:rsidR="003B67A8" w:rsidTr="00D947D1">
        <w:trPr>
          <w:trHeight w:val="596"/>
        </w:trPr>
        <w:tc>
          <w:tcPr>
            <w:tcW w:w="548" w:type="dxa"/>
            <w:shd w:val="clear" w:color="auto" w:fill="auto"/>
          </w:tcPr>
          <w:p w:rsidR="003B67A8" w:rsidRPr="00D947D1" w:rsidRDefault="003B67A8" w:rsidP="00D947D1">
            <w:pPr>
              <w:rPr>
                <w:sz w:val="20"/>
                <w:szCs w:val="20"/>
              </w:rPr>
            </w:pPr>
          </w:p>
        </w:tc>
        <w:tc>
          <w:tcPr>
            <w:tcW w:w="2200" w:type="dxa"/>
            <w:shd w:val="clear" w:color="auto" w:fill="auto"/>
          </w:tcPr>
          <w:p w:rsidR="003B67A8" w:rsidRPr="00D947D1" w:rsidRDefault="003B67A8"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3. Basis of        premiums:</w:t>
            </w:r>
          </w:p>
        </w:tc>
        <w:tc>
          <w:tcPr>
            <w:tcW w:w="2090" w:type="dxa"/>
            <w:shd w:val="clear" w:color="auto" w:fill="auto"/>
          </w:tcPr>
          <w:p w:rsidR="003B67A8" w:rsidRPr="00D947D1" w:rsidRDefault="003B67A8" w:rsidP="00D947D1">
            <w:pPr>
              <w:pStyle w:val="NormalWeb"/>
              <w:rPr>
                <w:rFonts w:ascii="Arial" w:hAnsi="Arial" w:cs="Arial"/>
                <w:sz w:val="20"/>
                <w:szCs w:val="20"/>
              </w:rPr>
            </w:pPr>
            <w:hyperlink r:id="rId16" w:history="1">
              <w:r w:rsidRPr="00D947D1">
                <w:rPr>
                  <w:rStyle w:val="Hyperlink"/>
                  <w:rFonts w:ascii="Arial" w:hAnsi="Arial" w:cs="Arial"/>
                  <w:sz w:val="20"/>
                  <w:szCs w:val="20"/>
                </w:rPr>
                <w:t>Rule 220, § 8</w:t>
              </w:r>
            </w:hyperlink>
          </w:p>
        </w:tc>
        <w:tc>
          <w:tcPr>
            <w:tcW w:w="6820" w:type="dxa"/>
            <w:gridSpan w:val="2"/>
            <w:shd w:val="clear" w:color="auto" w:fill="auto"/>
          </w:tcPr>
          <w:p w:rsidR="003B67A8" w:rsidRPr="00D947D1" w:rsidRDefault="003B67A8" w:rsidP="001647E9">
            <w:pPr>
              <w:rPr>
                <w:rFonts w:cs="Arial"/>
                <w:sz w:val="20"/>
                <w:szCs w:val="20"/>
              </w:rPr>
            </w:pPr>
            <w:r w:rsidRPr="00D947D1">
              <w:rPr>
                <w:rFonts w:cs="Arial"/>
                <w:sz w:val="20"/>
                <w:szCs w:val="20"/>
              </w:rPr>
              <w:t xml:space="preserve">If a single insurance charge is made to the debtor, whether or not the charge is financed, a single premium must be used. </w:t>
            </w:r>
          </w:p>
          <w:p w:rsidR="003B67A8" w:rsidRPr="00D947D1" w:rsidRDefault="003B67A8" w:rsidP="00D947D1">
            <w:pPr>
              <w:ind w:left="-108"/>
              <w:rPr>
                <w:rFonts w:cs="Arial"/>
                <w:sz w:val="6"/>
                <w:szCs w:val="6"/>
              </w:rPr>
            </w:pPr>
          </w:p>
          <w:p w:rsidR="003B67A8" w:rsidRPr="00D947D1" w:rsidRDefault="003B67A8" w:rsidP="001647E9">
            <w:pPr>
              <w:rPr>
                <w:rFonts w:cs="Arial"/>
                <w:sz w:val="20"/>
                <w:szCs w:val="20"/>
              </w:rPr>
            </w:pPr>
            <w:r w:rsidRPr="00D947D1">
              <w:rPr>
                <w:rFonts w:cs="Arial"/>
                <w:sz w:val="20"/>
                <w:szCs w:val="20"/>
              </w:rPr>
              <w:t>Premiums for credit insurance provided in connection with open-end credit transactions shall be calculated on the basis of the balance upon which a finance charge may be imposed, including any principal amounts upon which no finance charge is actually imposed, plus any earned finance or insurance charges which are uncollected or delinquent.</w:t>
            </w:r>
          </w:p>
          <w:p w:rsidR="003B67A8" w:rsidRPr="00D947D1" w:rsidRDefault="003B67A8" w:rsidP="00D947D1">
            <w:pPr>
              <w:ind w:left="-108"/>
              <w:rPr>
                <w:rFonts w:cs="Arial"/>
                <w:sz w:val="4"/>
                <w:szCs w:val="4"/>
              </w:rPr>
            </w:pPr>
          </w:p>
          <w:p w:rsidR="003B67A8" w:rsidRPr="00D947D1" w:rsidRDefault="003B67A8" w:rsidP="001647E9">
            <w:pPr>
              <w:rPr>
                <w:rFonts w:cs="Arial"/>
                <w:sz w:val="20"/>
                <w:szCs w:val="20"/>
              </w:rPr>
            </w:pPr>
            <w:r w:rsidRPr="00D947D1">
              <w:rPr>
                <w:rFonts w:cs="Arial"/>
                <w:sz w:val="20"/>
                <w:szCs w:val="20"/>
              </w:rPr>
              <w:t>In no event shall any anticipated delinquency value be included in the amount on which the insurance premiums are calculated.</w:t>
            </w:r>
          </w:p>
          <w:p w:rsidR="003B67A8" w:rsidRPr="00D947D1" w:rsidRDefault="003B67A8" w:rsidP="00D947D1">
            <w:pPr>
              <w:tabs>
                <w:tab w:val="left" w:pos="720"/>
                <w:tab w:val="left" w:pos="1440"/>
              </w:tabs>
              <w:ind w:left="-108"/>
              <w:rPr>
                <w:rFonts w:cs="Arial"/>
                <w:sz w:val="8"/>
                <w:szCs w:val="8"/>
              </w:rPr>
            </w:pPr>
          </w:p>
        </w:tc>
        <w:tc>
          <w:tcPr>
            <w:tcW w:w="1760" w:type="dxa"/>
            <w:shd w:val="pct12" w:color="auto" w:fill="auto"/>
          </w:tcPr>
          <w:p w:rsidR="003B67A8" w:rsidRPr="00D947D1" w:rsidRDefault="003B67A8" w:rsidP="00D947D1">
            <w:pPr>
              <w:ind w:left="-108"/>
              <w:rPr>
                <w:color w:val="FF6600"/>
                <w:sz w:val="20"/>
                <w:szCs w:val="20"/>
              </w:rPr>
            </w:pPr>
          </w:p>
        </w:tc>
      </w:tr>
      <w:tr w:rsidR="003B67A8" w:rsidTr="00D947D1">
        <w:trPr>
          <w:trHeight w:val="592"/>
        </w:trPr>
        <w:tc>
          <w:tcPr>
            <w:tcW w:w="548" w:type="dxa"/>
            <w:shd w:val="clear" w:color="auto" w:fill="auto"/>
          </w:tcPr>
          <w:p w:rsidR="003B67A8" w:rsidRPr="00D947D1" w:rsidRDefault="003B67A8" w:rsidP="00D947D1">
            <w:pPr>
              <w:rPr>
                <w:sz w:val="20"/>
                <w:szCs w:val="20"/>
              </w:rPr>
            </w:pPr>
          </w:p>
        </w:tc>
        <w:tc>
          <w:tcPr>
            <w:tcW w:w="2200" w:type="dxa"/>
            <w:shd w:val="clear" w:color="auto" w:fill="auto"/>
          </w:tcPr>
          <w:p w:rsidR="003B67A8" w:rsidRPr="00D947D1" w:rsidRDefault="003B67A8"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4. Prima Facie Credit Life Insurance Rates:</w:t>
            </w:r>
          </w:p>
        </w:tc>
        <w:tc>
          <w:tcPr>
            <w:tcW w:w="2090" w:type="dxa"/>
            <w:shd w:val="clear" w:color="auto" w:fill="auto"/>
          </w:tcPr>
          <w:p w:rsidR="003B67A8" w:rsidRPr="00D947D1" w:rsidRDefault="003B67A8" w:rsidP="00D947D1">
            <w:pPr>
              <w:pStyle w:val="NormalWeb"/>
              <w:rPr>
                <w:rFonts w:ascii="Arial" w:hAnsi="Arial" w:cs="Arial"/>
                <w:sz w:val="20"/>
                <w:szCs w:val="20"/>
              </w:rPr>
            </w:pPr>
            <w:hyperlink r:id="rId17" w:history="1">
              <w:r w:rsidRPr="00D947D1">
                <w:rPr>
                  <w:rStyle w:val="Hyperlink"/>
                  <w:rFonts w:ascii="Arial" w:hAnsi="Arial" w:cs="Arial"/>
                  <w:sz w:val="20"/>
                  <w:szCs w:val="20"/>
                </w:rPr>
                <w:t>Rule 220, § 9</w:t>
              </w:r>
            </w:hyperlink>
          </w:p>
        </w:tc>
        <w:tc>
          <w:tcPr>
            <w:tcW w:w="6820" w:type="dxa"/>
            <w:gridSpan w:val="2"/>
            <w:shd w:val="clear" w:color="auto" w:fill="auto"/>
          </w:tcPr>
          <w:p w:rsidR="003B67A8" w:rsidRPr="00D947D1" w:rsidRDefault="003B67A8" w:rsidP="003B67A8">
            <w:pPr>
              <w:rPr>
                <w:rFonts w:cs="Arial"/>
                <w:sz w:val="20"/>
                <w:szCs w:val="20"/>
              </w:rPr>
            </w:pPr>
            <w:r w:rsidRPr="00D947D1">
              <w:rPr>
                <w:rFonts w:cs="Arial"/>
                <w:sz w:val="20"/>
                <w:szCs w:val="20"/>
              </w:rPr>
              <w:t>Credit life insurance benefits shall be deemed prima facie reasonable in relation to the premiums charged if the schedule of premium rates filed with such forms does not exceed the premium rate standard set forth in Rule 220, § 9.</w:t>
            </w:r>
          </w:p>
          <w:p w:rsidR="003B67A8" w:rsidRPr="00D947D1" w:rsidRDefault="003B67A8" w:rsidP="00D947D1">
            <w:pPr>
              <w:ind w:left="-108"/>
              <w:rPr>
                <w:rFonts w:cs="Arial"/>
                <w:sz w:val="8"/>
                <w:szCs w:val="8"/>
              </w:rPr>
            </w:pPr>
          </w:p>
        </w:tc>
        <w:tc>
          <w:tcPr>
            <w:tcW w:w="1760" w:type="dxa"/>
            <w:shd w:val="pct12" w:color="auto" w:fill="auto"/>
          </w:tcPr>
          <w:p w:rsidR="003B67A8" w:rsidRPr="00D947D1" w:rsidRDefault="003B67A8" w:rsidP="00D947D1">
            <w:pPr>
              <w:ind w:left="-108"/>
              <w:rPr>
                <w:color w:val="FF6600"/>
                <w:sz w:val="20"/>
                <w:szCs w:val="20"/>
              </w:rPr>
            </w:pPr>
          </w:p>
        </w:tc>
      </w:tr>
      <w:tr w:rsidR="003B67A8" w:rsidTr="00D947D1">
        <w:trPr>
          <w:trHeight w:val="592"/>
        </w:trPr>
        <w:tc>
          <w:tcPr>
            <w:tcW w:w="548" w:type="dxa"/>
            <w:shd w:val="clear" w:color="auto" w:fill="auto"/>
          </w:tcPr>
          <w:p w:rsidR="003B67A8" w:rsidRPr="00D947D1" w:rsidRDefault="003B67A8" w:rsidP="00D947D1">
            <w:pPr>
              <w:rPr>
                <w:sz w:val="20"/>
                <w:szCs w:val="20"/>
              </w:rPr>
            </w:pPr>
          </w:p>
        </w:tc>
        <w:tc>
          <w:tcPr>
            <w:tcW w:w="2200" w:type="dxa"/>
            <w:shd w:val="clear" w:color="auto" w:fill="auto"/>
          </w:tcPr>
          <w:p w:rsidR="003B67A8" w:rsidRPr="00D947D1" w:rsidRDefault="003B67A8"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5.  Prima Facie Credit Accident and Health Insurance Rates:</w:t>
            </w:r>
          </w:p>
        </w:tc>
        <w:tc>
          <w:tcPr>
            <w:tcW w:w="2090" w:type="dxa"/>
            <w:shd w:val="clear" w:color="auto" w:fill="auto"/>
          </w:tcPr>
          <w:p w:rsidR="003B67A8" w:rsidRPr="00D947D1" w:rsidRDefault="003B67A8" w:rsidP="00D947D1">
            <w:pPr>
              <w:pStyle w:val="NormalWeb"/>
              <w:rPr>
                <w:rFonts w:ascii="Arial" w:hAnsi="Arial" w:cs="Arial"/>
                <w:sz w:val="20"/>
                <w:szCs w:val="20"/>
              </w:rPr>
            </w:pPr>
            <w:hyperlink r:id="rId18" w:history="1">
              <w:r w:rsidRPr="00D947D1">
                <w:rPr>
                  <w:rStyle w:val="Hyperlink"/>
                  <w:rFonts w:ascii="Arial" w:hAnsi="Arial" w:cs="Arial"/>
                  <w:sz w:val="20"/>
                  <w:szCs w:val="20"/>
                </w:rPr>
                <w:t>Rule 220, § 10</w:t>
              </w:r>
            </w:hyperlink>
          </w:p>
        </w:tc>
        <w:tc>
          <w:tcPr>
            <w:tcW w:w="6820" w:type="dxa"/>
            <w:gridSpan w:val="2"/>
            <w:shd w:val="clear" w:color="auto" w:fill="auto"/>
          </w:tcPr>
          <w:p w:rsidR="003B67A8" w:rsidRPr="00D947D1" w:rsidRDefault="003B67A8" w:rsidP="003B67A8">
            <w:pPr>
              <w:rPr>
                <w:rFonts w:cs="Arial"/>
                <w:sz w:val="20"/>
                <w:szCs w:val="20"/>
              </w:rPr>
            </w:pPr>
            <w:r w:rsidRPr="00D947D1">
              <w:rPr>
                <w:rFonts w:cs="Arial"/>
                <w:sz w:val="20"/>
                <w:szCs w:val="20"/>
              </w:rPr>
              <w:t>Credit Accident and Health insurance benefits shall be deemed prima facie reasonable in relation to the premiums charged if the schedule of premium rates filed with such forms does not exceed the premium rate standard set forth in Rule 220, § 10.</w:t>
            </w:r>
          </w:p>
          <w:p w:rsidR="003B67A8" w:rsidRPr="00D947D1" w:rsidRDefault="003B67A8" w:rsidP="00D947D1">
            <w:pPr>
              <w:ind w:left="-108"/>
              <w:rPr>
                <w:rFonts w:cs="Arial"/>
                <w:sz w:val="6"/>
                <w:szCs w:val="6"/>
              </w:rPr>
            </w:pPr>
          </w:p>
        </w:tc>
        <w:tc>
          <w:tcPr>
            <w:tcW w:w="1760" w:type="dxa"/>
            <w:shd w:val="pct12" w:color="auto" w:fill="auto"/>
          </w:tcPr>
          <w:p w:rsidR="003B67A8" w:rsidRPr="00D947D1" w:rsidRDefault="003B67A8" w:rsidP="00D947D1">
            <w:pPr>
              <w:ind w:left="-108"/>
              <w:rPr>
                <w:color w:val="FF6600"/>
                <w:sz w:val="20"/>
                <w:szCs w:val="20"/>
              </w:rPr>
            </w:pPr>
          </w:p>
        </w:tc>
      </w:tr>
      <w:tr w:rsidR="003C7AC1" w:rsidTr="00D947D1">
        <w:trPr>
          <w:trHeight w:val="369"/>
        </w:trPr>
        <w:tc>
          <w:tcPr>
            <w:tcW w:w="548" w:type="dxa"/>
            <w:shd w:val="clear" w:color="auto" w:fill="auto"/>
          </w:tcPr>
          <w:p w:rsidR="003C7AC1" w:rsidRPr="00D947D1" w:rsidRDefault="003C7AC1" w:rsidP="00D947D1">
            <w:pPr>
              <w:rPr>
                <w:sz w:val="20"/>
                <w:szCs w:val="20"/>
              </w:rPr>
            </w:pPr>
          </w:p>
        </w:tc>
        <w:tc>
          <w:tcPr>
            <w:tcW w:w="2200" w:type="dxa"/>
            <w:shd w:val="clear" w:color="auto" w:fill="auto"/>
          </w:tcPr>
          <w:p w:rsidR="003C7AC1" w:rsidRPr="00D947D1" w:rsidRDefault="003C7AC1"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6. Critical period Disability Coverage:</w:t>
            </w:r>
          </w:p>
          <w:p w:rsidR="00753EEF" w:rsidRPr="00D947D1" w:rsidRDefault="00753EEF" w:rsidP="00D947D1">
            <w:pPr>
              <w:tabs>
                <w:tab w:val="left" w:pos="318"/>
                <w:tab w:val="left" w:pos="720"/>
                <w:tab w:val="left" w:pos="2078"/>
                <w:tab w:val="left" w:pos="2880"/>
                <w:tab w:val="left" w:pos="3600"/>
              </w:tabs>
              <w:ind w:left="208" w:hanging="316"/>
              <w:rPr>
                <w:rFonts w:cs="Arial"/>
                <w:b/>
                <w:sz w:val="10"/>
                <w:szCs w:val="10"/>
              </w:rPr>
            </w:pPr>
          </w:p>
        </w:tc>
        <w:tc>
          <w:tcPr>
            <w:tcW w:w="2090" w:type="dxa"/>
            <w:shd w:val="clear" w:color="auto" w:fill="auto"/>
          </w:tcPr>
          <w:p w:rsidR="003C7AC1" w:rsidRPr="00D947D1" w:rsidRDefault="003C7AC1" w:rsidP="00D947D1">
            <w:pPr>
              <w:pStyle w:val="NormalWeb"/>
              <w:ind w:right="2"/>
              <w:rPr>
                <w:rFonts w:ascii="Arial" w:hAnsi="Arial" w:cs="Arial"/>
                <w:sz w:val="20"/>
                <w:szCs w:val="20"/>
              </w:rPr>
            </w:pPr>
            <w:hyperlink r:id="rId19" w:history="1">
              <w:r w:rsidRPr="00D947D1">
                <w:rPr>
                  <w:rStyle w:val="Hyperlink"/>
                  <w:rFonts w:ascii="Arial" w:hAnsi="Arial" w:cs="Arial"/>
                  <w:sz w:val="20"/>
                  <w:szCs w:val="20"/>
                </w:rPr>
                <w:t>Rule 220, §10, D</w:t>
              </w:r>
            </w:hyperlink>
          </w:p>
        </w:tc>
        <w:tc>
          <w:tcPr>
            <w:tcW w:w="6820" w:type="dxa"/>
            <w:gridSpan w:val="2"/>
            <w:shd w:val="clear" w:color="auto" w:fill="auto"/>
          </w:tcPr>
          <w:p w:rsidR="003C7AC1" w:rsidRPr="00D947D1" w:rsidRDefault="003C7AC1" w:rsidP="001647E9">
            <w:pPr>
              <w:rPr>
                <w:rFonts w:cs="Arial"/>
                <w:sz w:val="20"/>
                <w:szCs w:val="20"/>
              </w:rPr>
            </w:pPr>
            <w:r w:rsidRPr="00D947D1">
              <w:rPr>
                <w:rFonts w:cs="Arial"/>
                <w:sz w:val="20"/>
                <w:szCs w:val="20"/>
              </w:rPr>
              <w:t>For critical period disability coverage, the prima facie single premium rates are those shown in Appendix B.</w:t>
            </w:r>
          </w:p>
        </w:tc>
        <w:tc>
          <w:tcPr>
            <w:tcW w:w="1760" w:type="dxa"/>
            <w:shd w:val="pct12" w:color="auto" w:fill="auto"/>
          </w:tcPr>
          <w:p w:rsidR="003C7AC1" w:rsidRPr="00D947D1" w:rsidRDefault="003C7AC1" w:rsidP="00D947D1">
            <w:pPr>
              <w:ind w:left="-108"/>
              <w:rPr>
                <w:color w:val="FF6600"/>
                <w:sz w:val="20"/>
                <w:szCs w:val="20"/>
              </w:rPr>
            </w:pPr>
          </w:p>
        </w:tc>
      </w:tr>
      <w:tr w:rsidR="003C7AC1" w:rsidTr="00D947D1">
        <w:trPr>
          <w:trHeight w:val="368"/>
        </w:trPr>
        <w:tc>
          <w:tcPr>
            <w:tcW w:w="548" w:type="dxa"/>
            <w:shd w:val="clear" w:color="auto" w:fill="auto"/>
          </w:tcPr>
          <w:p w:rsidR="003C7AC1" w:rsidRPr="00D947D1" w:rsidRDefault="003C7AC1" w:rsidP="00D947D1">
            <w:pPr>
              <w:rPr>
                <w:sz w:val="20"/>
                <w:szCs w:val="20"/>
              </w:rPr>
            </w:pPr>
          </w:p>
        </w:tc>
        <w:tc>
          <w:tcPr>
            <w:tcW w:w="2200" w:type="dxa"/>
            <w:shd w:val="clear" w:color="auto" w:fill="auto"/>
          </w:tcPr>
          <w:p w:rsidR="003C7AC1" w:rsidRPr="00D947D1" w:rsidRDefault="003C7AC1"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7. Closed-end loans:</w:t>
            </w:r>
          </w:p>
        </w:tc>
        <w:tc>
          <w:tcPr>
            <w:tcW w:w="2090" w:type="dxa"/>
            <w:shd w:val="clear" w:color="auto" w:fill="auto"/>
          </w:tcPr>
          <w:p w:rsidR="003C7AC1" w:rsidRPr="00D947D1" w:rsidRDefault="003C7AC1" w:rsidP="00D947D1">
            <w:pPr>
              <w:pStyle w:val="NormalWeb"/>
              <w:ind w:right="2"/>
              <w:rPr>
                <w:rFonts w:ascii="Arial" w:hAnsi="Arial" w:cs="Arial"/>
                <w:sz w:val="20"/>
                <w:szCs w:val="20"/>
              </w:rPr>
            </w:pPr>
            <w:hyperlink r:id="rId20" w:history="1">
              <w:r w:rsidR="00370571" w:rsidRPr="00D947D1">
                <w:rPr>
                  <w:rStyle w:val="Hyperlink"/>
                  <w:rFonts w:ascii="Arial" w:hAnsi="Arial" w:cs="Arial"/>
                  <w:sz w:val="20"/>
                  <w:szCs w:val="20"/>
                </w:rPr>
                <w:t>Rule 220, §§ 9, D(9) &amp; 10, F</w:t>
              </w:r>
              <w:r w:rsidRPr="00D947D1">
                <w:rPr>
                  <w:rStyle w:val="Hyperlink"/>
                  <w:rFonts w:ascii="Arial" w:hAnsi="Arial" w:cs="Arial"/>
                  <w:sz w:val="20"/>
                  <w:szCs w:val="20"/>
                </w:rPr>
                <w:t>(8)</w:t>
              </w:r>
            </w:hyperlink>
            <w:r w:rsidRPr="00D947D1">
              <w:rPr>
                <w:rFonts w:ascii="Arial" w:hAnsi="Arial" w:cs="Arial"/>
                <w:sz w:val="20"/>
                <w:szCs w:val="20"/>
              </w:rPr>
              <w:t xml:space="preserve">; </w:t>
            </w:r>
            <w:hyperlink r:id="rId21" w:history="1">
              <w:r w:rsidRPr="00D947D1">
                <w:rPr>
                  <w:rStyle w:val="Hyperlink"/>
                  <w:rFonts w:ascii="Arial" w:hAnsi="Arial" w:cs="Arial"/>
                  <w:sz w:val="20"/>
                  <w:szCs w:val="20"/>
                </w:rPr>
                <w:t>Title</w:t>
              </w:r>
              <w:r w:rsidRPr="00D947D1">
                <w:rPr>
                  <w:rStyle w:val="Hyperlink"/>
                  <w:rFonts w:ascii="Arial" w:hAnsi="Arial" w:cs="Arial"/>
                  <w:sz w:val="20"/>
                  <w:szCs w:val="20"/>
                </w:rPr>
                <w:t xml:space="preserve"> </w:t>
              </w:r>
              <w:r w:rsidRPr="00D947D1">
                <w:rPr>
                  <w:rStyle w:val="Hyperlink"/>
                  <w:rFonts w:ascii="Arial" w:hAnsi="Arial" w:cs="Arial"/>
                  <w:sz w:val="20"/>
                  <w:szCs w:val="20"/>
                </w:rPr>
                <w:t>24</w:t>
              </w:r>
              <w:r w:rsidRPr="00D947D1">
                <w:rPr>
                  <w:rStyle w:val="Hyperlink"/>
                  <w:rFonts w:ascii="Arial" w:hAnsi="Arial" w:cs="Arial"/>
                  <w:sz w:val="20"/>
                  <w:szCs w:val="20"/>
                </w:rPr>
                <w:t>-</w:t>
              </w:r>
              <w:r w:rsidRPr="00D947D1">
                <w:rPr>
                  <w:rStyle w:val="Hyperlink"/>
                  <w:rFonts w:ascii="Arial" w:hAnsi="Arial" w:cs="Arial"/>
                  <w:sz w:val="20"/>
                  <w:szCs w:val="20"/>
                </w:rPr>
                <w:t>A, §2859</w:t>
              </w:r>
            </w:hyperlink>
          </w:p>
        </w:tc>
        <w:tc>
          <w:tcPr>
            <w:tcW w:w="6820" w:type="dxa"/>
            <w:gridSpan w:val="2"/>
            <w:shd w:val="clear" w:color="auto" w:fill="auto"/>
          </w:tcPr>
          <w:p w:rsidR="003C7AC1" w:rsidRPr="00D947D1" w:rsidRDefault="003C7AC1" w:rsidP="003C7AC1">
            <w:pPr>
              <w:rPr>
                <w:rFonts w:cs="Arial"/>
                <w:sz w:val="20"/>
                <w:szCs w:val="20"/>
              </w:rPr>
            </w:pPr>
            <w:r w:rsidRPr="00D947D1">
              <w:rPr>
                <w:rFonts w:cs="Arial"/>
                <w:sz w:val="20"/>
                <w:szCs w:val="20"/>
              </w:rPr>
              <w:t>Upward deviations shall not be applied to debtors with closed-end loans whose coverage is already in force on the effective date of the deviation. Downward deviations need not be applied to debtors with closed-end loans whose coverage is already in force on the effective date of the deviation.</w:t>
            </w:r>
          </w:p>
          <w:p w:rsidR="00753EEF" w:rsidRPr="00D947D1" w:rsidRDefault="00753EEF" w:rsidP="00D947D1">
            <w:pPr>
              <w:ind w:left="-108"/>
              <w:rPr>
                <w:rFonts w:cs="Arial"/>
                <w:sz w:val="8"/>
                <w:szCs w:val="8"/>
              </w:rPr>
            </w:pPr>
          </w:p>
        </w:tc>
        <w:tc>
          <w:tcPr>
            <w:tcW w:w="1760" w:type="dxa"/>
            <w:shd w:val="pct12" w:color="auto" w:fill="auto"/>
          </w:tcPr>
          <w:p w:rsidR="003C7AC1" w:rsidRPr="00D947D1" w:rsidRDefault="003C7AC1" w:rsidP="00D947D1">
            <w:pPr>
              <w:ind w:left="-108"/>
              <w:rPr>
                <w:color w:val="FF6600"/>
                <w:sz w:val="20"/>
                <w:szCs w:val="20"/>
              </w:rPr>
            </w:pPr>
          </w:p>
        </w:tc>
      </w:tr>
      <w:tr w:rsidR="005B5A73" w:rsidTr="00D947D1">
        <w:trPr>
          <w:trHeight w:val="118"/>
        </w:trPr>
        <w:tc>
          <w:tcPr>
            <w:tcW w:w="548" w:type="dxa"/>
            <w:shd w:val="clear" w:color="auto" w:fill="auto"/>
          </w:tcPr>
          <w:p w:rsidR="005B5A73" w:rsidRPr="00D947D1" w:rsidRDefault="005B5A73" w:rsidP="00D947D1">
            <w:pPr>
              <w:rPr>
                <w:sz w:val="20"/>
                <w:szCs w:val="20"/>
              </w:rPr>
            </w:pPr>
          </w:p>
        </w:tc>
        <w:tc>
          <w:tcPr>
            <w:tcW w:w="2200" w:type="dxa"/>
            <w:shd w:val="clear" w:color="auto" w:fill="auto"/>
          </w:tcPr>
          <w:p w:rsidR="005B5A73" w:rsidRPr="00D947D1" w:rsidRDefault="003C7AC1"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8</w:t>
            </w:r>
            <w:r w:rsidR="005B5A73" w:rsidRPr="00D947D1">
              <w:rPr>
                <w:rFonts w:cs="Arial"/>
                <w:b/>
                <w:sz w:val="20"/>
                <w:szCs w:val="20"/>
              </w:rPr>
              <w:t>. Evidence of individual insurability:</w:t>
            </w:r>
          </w:p>
        </w:tc>
        <w:tc>
          <w:tcPr>
            <w:tcW w:w="2090" w:type="dxa"/>
            <w:shd w:val="clear" w:color="auto" w:fill="auto"/>
          </w:tcPr>
          <w:p w:rsidR="005B5A73" w:rsidRPr="00D947D1" w:rsidRDefault="006C3CEB" w:rsidP="00D947D1">
            <w:pPr>
              <w:pStyle w:val="NormalWeb"/>
              <w:ind w:right="-108"/>
              <w:rPr>
                <w:rFonts w:ascii="Arial" w:hAnsi="Arial" w:cs="Arial"/>
                <w:sz w:val="20"/>
                <w:szCs w:val="20"/>
              </w:rPr>
            </w:pPr>
            <w:hyperlink r:id="rId22" w:history="1">
              <w:r w:rsidR="005B5A73" w:rsidRPr="00D947D1">
                <w:rPr>
                  <w:rStyle w:val="Hyperlink"/>
                  <w:rFonts w:ascii="Arial" w:hAnsi="Arial" w:cs="Arial"/>
                  <w:sz w:val="20"/>
                  <w:szCs w:val="20"/>
                </w:rPr>
                <w:t>Rule 220, §§ 9</w:t>
              </w:r>
              <w:r w:rsidRPr="00D947D1">
                <w:rPr>
                  <w:rStyle w:val="Hyperlink"/>
                  <w:rFonts w:ascii="Arial" w:hAnsi="Arial" w:cs="Arial"/>
                  <w:sz w:val="20"/>
                  <w:szCs w:val="20"/>
                </w:rPr>
                <w:t xml:space="preserve">. </w:t>
              </w:r>
              <w:r w:rsidR="00B35450" w:rsidRPr="00D947D1">
                <w:rPr>
                  <w:rStyle w:val="Hyperlink"/>
                  <w:rFonts w:ascii="Arial" w:hAnsi="Arial" w:cs="Arial"/>
                  <w:sz w:val="20"/>
                  <w:szCs w:val="20"/>
                </w:rPr>
                <w:t>E</w:t>
              </w:r>
              <w:r w:rsidR="005B5A73" w:rsidRPr="00D947D1">
                <w:rPr>
                  <w:rStyle w:val="Hyperlink"/>
                  <w:rFonts w:ascii="Arial" w:hAnsi="Arial" w:cs="Arial"/>
                  <w:sz w:val="20"/>
                  <w:szCs w:val="20"/>
                </w:rPr>
                <w:t xml:space="preserve"> &amp; 10</w:t>
              </w:r>
              <w:r w:rsidRPr="00D947D1">
                <w:rPr>
                  <w:rStyle w:val="Hyperlink"/>
                  <w:rFonts w:ascii="Arial" w:hAnsi="Arial" w:cs="Arial"/>
                  <w:sz w:val="20"/>
                  <w:szCs w:val="20"/>
                </w:rPr>
                <w:t>. H</w:t>
              </w:r>
            </w:hyperlink>
          </w:p>
        </w:tc>
        <w:tc>
          <w:tcPr>
            <w:tcW w:w="6820" w:type="dxa"/>
            <w:gridSpan w:val="2"/>
            <w:shd w:val="clear" w:color="auto" w:fill="auto"/>
          </w:tcPr>
          <w:p w:rsidR="005B5A73" w:rsidRPr="00D947D1" w:rsidRDefault="005B5A73" w:rsidP="005B5A73">
            <w:pPr>
              <w:rPr>
                <w:rFonts w:cs="Arial"/>
                <w:sz w:val="20"/>
                <w:szCs w:val="20"/>
              </w:rPr>
            </w:pPr>
            <w:r w:rsidRPr="00D947D1">
              <w:rPr>
                <w:rFonts w:cs="Arial"/>
                <w:sz w:val="20"/>
                <w:szCs w:val="20"/>
              </w:rPr>
              <w:t>If the credit insurance requires evidence of individual insurability, a 10% reduction in the prima facie rate is required unless deviated rates based on experience are in use. No reduction is required if the death benefit exceeds $25,000 or for credit health if the monthly benefit exceeds $1,000. The Bureau may consider a different reduction if the insurer can provide support for the difference.</w:t>
            </w:r>
          </w:p>
          <w:p w:rsidR="005B5A73" w:rsidRPr="00D947D1" w:rsidRDefault="005B5A73" w:rsidP="00D947D1">
            <w:pPr>
              <w:ind w:left="-108"/>
              <w:rPr>
                <w:rFonts w:cs="Arial"/>
                <w:sz w:val="8"/>
                <w:szCs w:val="8"/>
              </w:rPr>
            </w:pPr>
          </w:p>
        </w:tc>
        <w:tc>
          <w:tcPr>
            <w:tcW w:w="1760" w:type="dxa"/>
            <w:shd w:val="pct12" w:color="auto" w:fill="auto"/>
          </w:tcPr>
          <w:p w:rsidR="005B5A73" w:rsidRPr="00D947D1" w:rsidRDefault="005B5A73" w:rsidP="00D947D1">
            <w:pPr>
              <w:ind w:left="-108"/>
              <w:rPr>
                <w:color w:val="FF6600"/>
                <w:sz w:val="20"/>
                <w:szCs w:val="20"/>
              </w:rPr>
            </w:pPr>
          </w:p>
        </w:tc>
      </w:tr>
      <w:tr w:rsidR="005B5A73" w:rsidTr="00D947D1">
        <w:trPr>
          <w:trHeight w:val="117"/>
        </w:trPr>
        <w:tc>
          <w:tcPr>
            <w:tcW w:w="548" w:type="dxa"/>
            <w:shd w:val="clear" w:color="auto" w:fill="auto"/>
          </w:tcPr>
          <w:p w:rsidR="005B5A73" w:rsidRPr="00D947D1" w:rsidRDefault="005B5A73" w:rsidP="00D947D1">
            <w:pPr>
              <w:rPr>
                <w:sz w:val="20"/>
                <w:szCs w:val="20"/>
              </w:rPr>
            </w:pPr>
          </w:p>
        </w:tc>
        <w:tc>
          <w:tcPr>
            <w:tcW w:w="2200" w:type="dxa"/>
            <w:shd w:val="clear" w:color="auto" w:fill="auto"/>
          </w:tcPr>
          <w:p w:rsidR="005B5A73" w:rsidRPr="00D947D1" w:rsidRDefault="005B5A73"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 xml:space="preserve">  9. Refund Formulas:</w:t>
            </w:r>
          </w:p>
        </w:tc>
        <w:tc>
          <w:tcPr>
            <w:tcW w:w="2090" w:type="dxa"/>
            <w:shd w:val="clear" w:color="auto" w:fill="auto"/>
          </w:tcPr>
          <w:p w:rsidR="005B5A73" w:rsidRPr="00D947D1" w:rsidRDefault="003C7AC1" w:rsidP="00D947D1">
            <w:pPr>
              <w:pStyle w:val="NormalWeb"/>
              <w:ind w:right="-108"/>
              <w:rPr>
                <w:rFonts w:ascii="Arial" w:hAnsi="Arial" w:cs="Arial"/>
                <w:sz w:val="20"/>
                <w:szCs w:val="20"/>
              </w:rPr>
            </w:pPr>
            <w:hyperlink r:id="rId23" w:history="1">
              <w:r w:rsidR="005B5A73" w:rsidRPr="00D947D1">
                <w:rPr>
                  <w:rStyle w:val="Hyperlink"/>
                  <w:rFonts w:ascii="Arial" w:hAnsi="Arial" w:cs="Arial"/>
                  <w:sz w:val="20"/>
                  <w:szCs w:val="20"/>
                </w:rPr>
                <w:t>Rule 220,</w:t>
              </w:r>
              <w:r w:rsidR="005B5A73" w:rsidRPr="00D947D1">
                <w:rPr>
                  <w:rStyle w:val="Hyperlink"/>
                  <w:rFonts w:ascii="Arial" w:hAnsi="Arial" w:cs="Arial"/>
                  <w:sz w:val="20"/>
                  <w:szCs w:val="20"/>
                </w:rPr>
                <w:t xml:space="preserve"> </w:t>
              </w:r>
              <w:r w:rsidR="005B5A73" w:rsidRPr="00D947D1">
                <w:rPr>
                  <w:rStyle w:val="Hyperlink"/>
                  <w:rFonts w:ascii="Arial" w:hAnsi="Arial" w:cs="Arial"/>
                  <w:sz w:val="20"/>
                  <w:szCs w:val="20"/>
                </w:rPr>
                <w:t>§ 11</w:t>
              </w:r>
              <w:r w:rsidRPr="00D947D1">
                <w:rPr>
                  <w:rStyle w:val="Hyperlink"/>
                  <w:rFonts w:ascii="Arial" w:hAnsi="Arial" w:cs="Arial"/>
                  <w:sz w:val="20"/>
                  <w:szCs w:val="20"/>
                </w:rPr>
                <w:t>, D</w:t>
              </w:r>
            </w:hyperlink>
          </w:p>
        </w:tc>
        <w:tc>
          <w:tcPr>
            <w:tcW w:w="6820" w:type="dxa"/>
            <w:gridSpan w:val="2"/>
            <w:shd w:val="clear" w:color="auto" w:fill="auto"/>
          </w:tcPr>
          <w:p w:rsidR="005B5A73" w:rsidRPr="00D947D1" w:rsidRDefault="005B5A73" w:rsidP="00D947D1">
            <w:pPr>
              <w:tabs>
                <w:tab w:val="left" w:pos="720"/>
                <w:tab w:val="left" w:pos="1440"/>
              </w:tabs>
              <w:rPr>
                <w:rFonts w:cs="Arial"/>
                <w:sz w:val="20"/>
                <w:szCs w:val="20"/>
              </w:rPr>
            </w:pPr>
            <w:r w:rsidRPr="00D947D1">
              <w:rPr>
                <w:rFonts w:cs="Arial"/>
                <w:sz w:val="20"/>
                <w:szCs w:val="20"/>
              </w:rPr>
              <w:t>The following formulas for computing refunds of credit insurance premiums are hereby declared acceptable to the Superintendent for the kinds of coverage specified. Other refund formulas which any insurer desires to use must be filed with and approved by the Superintendent prior to use.</w:t>
            </w:r>
          </w:p>
          <w:p w:rsidR="005B5A73" w:rsidRPr="00D947D1" w:rsidRDefault="005B5A73" w:rsidP="00D947D1">
            <w:pPr>
              <w:tabs>
                <w:tab w:val="left" w:pos="720"/>
                <w:tab w:val="left" w:pos="1440"/>
              </w:tabs>
              <w:ind w:left="-108"/>
              <w:rPr>
                <w:rFonts w:cs="Arial"/>
                <w:sz w:val="4"/>
                <w:szCs w:val="4"/>
              </w:rPr>
            </w:pPr>
          </w:p>
          <w:p w:rsidR="005B5A73" w:rsidRPr="00D947D1" w:rsidRDefault="005B5A73" w:rsidP="00D947D1">
            <w:pPr>
              <w:tabs>
                <w:tab w:val="left" w:pos="720"/>
                <w:tab w:val="left" w:pos="1440"/>
              </w:tabs>
              <w:ind w:left="332" w:hanging="330"/>
              <w:rPr>
                <w:rFonts w:cs="Arial"/>
                <w:sz w:val="20"/>
                <w:szCs w:val="20"/>
              </w:rPr>
            </w:pPr>
            <w:r w:rsidRPr="00D947D1">
              <w:rPr>
                <w:rFonts w:cs="Arial"/>
                <w:sz w:val="20"/>
                <w:szCs w:val="20"/>
              </w:rPr>
              <w:t>(1) Monthly premium credit accident and health and monthly premium credit life refunds shall be either the full monthly premium or nothing, according to subsection F.</w:t>
            </w:r>
          </w:p>
          <w:p w:rsidR="005B5A73" w:rsidRPr="00D947D1" w:rsidRDefault="005B5A73" w:rsidP="00D947D1">
            <w:pPr>
              <w:tabs>
                <w:tab w:val="left" w:pos="720"/>
                <w:tab w:val="left" w:pos="1440"/>
              </w:tabs>
              <w:ind w:left="-108"/>
              <w:rPr>
                <w:rFonts w:cs="Arial"/>
                <w:sz w:val="4"/>
                <w:szCs w:val="4"/>
              </w:rPr>
            </w:pPr>
          </w:p>
          <w:p w:rsidR="005B5A73" w:rsidRPr="00D947D1" w:rsidRDefault="005B5A73" w:rsidP="00D947D1">
            <w:pPr>
              <w:tabs>
                <w:tab w:val="left" w:pos="720"/>
                <w:tab w:val="left" w:pos="1440"/>
              </w:tabs>
              <w:ind w:left="332" w:hanging="330"/>
              <w:rPr>
                <w:rFonts w:cs="Arial"/>
                <w:sz w:val="20"/>
                <w:szCs w:val="20"/>
              </w:rPr>
            </w:pPr>
            <w:r w:rsidRPr="00D947D1">
              <w:rPr>
                <w:rFonts w:cs="Arial"/>
                <w:sz w:val="20"/>
                <w:szCs w:val="20"/>
              </w:rPr>
              <w:t>(2) Single premium credit life and credit accident and health refunds shall be calculated on the “Rule of Anticipation” method.</w:t>
            </w:r>
          </w:p>
          <w:p w:rsidR="005B5A73" w:rsidRPr="00D947D1" w:rsidRDefault="005B5A73" w:rsidP="00D947D1">
            <w:pPr>
              <w:tabs>
                <w:tab w:val="left" w:pos="720"/>
                <w:tab w:val="left" w:pos="1440"/>
              </w:tabs>
              <w:ind w:left="-108"/>
              <w:rPr>
                <w:rFonts w:cs="Arial"/>
                <w:sz w:val="4"/>
                <w:szCs w:val="4"/>
              </w:rPr>
            </w:pPr>
          </w:p>
          <w:p w:rsidR="005B5A73" w:rsidRPr="00D947D1" w:rsidRDefault="005B5A73" w:rsidP="00D947D1">
            <w:pPr>
              <w:tabs>
                <w:tab w:val="left" w:pos="720"/>
                <w:tab w:val="left" w:pos="1440"/>
              </w:tabs>
              <w:ind w:left="332" w:hanging="330"/>
              <w:rPr>
                <w:rFonts w:cs="Arial"/>
                <w:sz w:val="20"/>
                <w:szCs w:val="20"/>
              </w:rPr>
            </w:pPr>
            <w:r w:rsidRPr="00D947D1">
              <w:rPr>
                <w:rFonts w:cs="Arial"/>
                <w:sz w:val="20"/>
                <w:szCs w:val="20"/>
              </w:rPr>
              <w:t>(3) For purposes of this rule, the “Rule of Anticipation” provides a refund equal to the premium cost of scheduled benefits subsequent to the date of cancellation or termination, computed at the schedule of premium rates in effect on the date of issue of the coverage.</w:t>
            </w:r>
          </w:p>
          <w:p w:rsidR="005B5A73" w:rsidRPr="00D947D1" w:rsidRDefault="005B5A73" w:rsidP="00D947D1">
            <w:pPr>
              <w:tabs>
                <w:tab w:val="left" w:pos="720"/>
                <w:tab w:val="left" w:pos="1440"/>
              </w:tabs>
              <w:ind w:left="332"/>
              <w:rPr>
                <w:rFonts w:cs="Arial"/>
                <w:sz w:val="4"/>
                <w:szCs w:val="4"/>
              </w:rPr>
            </w:pPr>
          </w:p>
          <w:p w:rsidR="005B5A73" w:rsidRPr="00D947D1" w:rsidRDefault="005B5A73" w:rsidP="00D947D1">
            <w:pPr>
              <w:tabs>
                <w:tab w:val="left" w:pos="720"/>
                <w:tab w:val="left" w:pos="1440"/>
              </w:tabs>
              <w:ind w:left="332"/>
              <w:rPr>
                <w:rFonts w:cs="Arial"/>
                <w:sz w:val="20"/>
                <w:szCs w:val="20"/>
              </w:rPr>
            </w:pPr>
            <w:r w:rsidRPr="00D947D1">
              <w:rPr>
                <w:rFonts w:cs="Arial"/>
                <w:sz w:val="20"/>
                <w:szCs w:val="20"/>
              </w:rPr>
              <w:t>The refund calculations should utilize the 15 day rule. No refund of less than $5 need be made.</w:t>
            </w:r>
          </w:p>
          <w:p w:rsidR="005B5A73" w:rsidRPr="00D947D1" w:rsidRDefault="005B5A73" w:rsidP="00D947D1">
            <w:pPr>
              <w:ind w:left="-108"/>
              <w:rPr>
                <w:rFonts w:cs="Arial"/>
                <w:sz w:val="4"/>
                <w:szCs w:val="4"/>
              </w:rPr>
            </w:pPr>
          </w:p>
        </w:tc>
        <w:tc>
          <w:tcPr>
            <w:tcW w:w="1760" w:type="dxa"/>
            <w:shd w:val="pct12" w:color="auto" w:fill="auto"/>
          </w:tcPr>
          <w:p w:rsidR="005B5A73" w:rsidRPr="00D947D1" w:rsidRDefault="005B5A73" w:rsidP="00D947D1">
            <w:pPr>
              <w:ind w:left="-108"/>
              <w:rPr>
                <w:color w:val="FF6600"/>
                <w:sz w:val="20"/>
                <w:szCs w:val="20"/>
              </w:rPr>
            </w:pPr>
          </w:p>
        </w:tc>
      </w:tr>
      <w:tr w:rsidR="005B5A73" w:rsidTr="00D947D1">
        <w:trPr>
          <w:trHeight w:val="117"/>
        </w:trPr>
        <w:tc>
          <w:tcPr>
            <w:tcW w:w="548" w:type="dxa"/>
            <w:shd w:val="clear" w:color="auto" w:fill="auto"/>
          </w:tcPr>
          <w:p w:rsidR="005B5A73" w:rsidRPr="00D947D1" w:rsidRDefault="005B5A73" w:rsidP="00D947D1">
            <w:pPr>
              <w:rPr>
                <w:sz w:val="20"/>
                <w:szCs w:val="20"/>
              </w:rPr>
            </w:pPr>
          </w:p>
        </w:tc>
        <w:tc>
          <w:tcPr>
            <w:tcW w:w="2200" w:type="dxa"/>
            <w:shd w:val="clear" w:color="auto" w:fill="auto"/>
          </w:tcPr>
          <w:p w:rsidR="005B5A73" w:rsidRPr="00D947D1" w:rsidRDefault="006F7044"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10. Rate Revisions Annual Reporting Requirement:</w:t>
            </w:r>
          </w:p>
        </w:tc>
        <w:tc>
          <w:tcPr>
            <w:tcW w:w="2090" w:type="dxa"/>
            <w:shd w:val="clear" w:color="auto" w:fill="auto"/>
          </w:tcPr>
          <w:p w:rsidR="005B5A73" w:rsidRPr="00D947D1" w:rsidRDefault="006F7044" w:rsidP="00D947D1">
            <w:pPr>
              <w:pStyle w:val="NormalWeb"/>
              <w:rPr>
                <w:rFonts w:ascii="Arial" w:hAnsi="Arial" w:cs="Arial"/>
                <w:sz w:val="20"/>
                <w:szCs w:val="20"/>
              </w:rPr>
            </w:pPr>
            <w:hyperlink r:id="rId24" w:history="1">
              <w:r w:rsidRPr="00D947D1">
                <w:rPr>
                  <w:rStyle w:val="Hyperlink"/>
                  <w:rFonts w:ascii="Arial" w:hAnsi="Arial" w:cs="Arial"/>
                  <w:sz w:val="20"/>
                  <w:szCs w:val="20"/>
                </w:rPr>
                <w:t>Rule 220, § 13</w:t>
              </w:r>
            </w:hyperlink>
          </w:p>
        </w:tc>
        <w:tc>
          <w:tcPr>
            <w:tcW w:w="6820" w:type="dxa"/>
            <w:gridSpan w:val="2"/>
            <w:shd w:val="clear" w:color="auto" w:fill="auto"/>
          </w:tcPr>
          <w:p w:rsidR="006F7044" w:rsidRPr="00D947D1" w:rsidRDefault="006F7044" w:rsidP="00D947D1">
            <w:pPr>
              <w:tabs>
                <w:tab w:val="left" w:pos="720"/>
                <w:tab w:val="left" w:pos="1440"/>
              </w:tabs>
              <w:rPr>
                <w:rFonts w:cs="Arial"/>
                <w:sz w:val="20"/>
                <w:szCs w:val="20"/>
              </w:rPr>
            </w:pPr>
            <w:r w:rsidRPr="00D947D1">
              <w:rPr>
                <w:rFonts w:cs="Arial"/>
                <w:sz w:val="20"/>
                <w:szCs w:val="20"/>
              </w:rPr>
              <w:t xml:space="preserve">Each insurer doing a credit life and/or credit accident and health insurance business in the State of Maine shall file annually, prior to June 1, reports of its credit life insurance and credit accident and health insurance experience in this State on forms prescribed by the Superintendent and attached to this Rule as Appendix A. </w:t>
            </w:r>
          </w:p>
          <w:p w:rsidR="005B5A73" w:rsidRPr="00D947D1" w:rsidRDefault="005B5A73" w:rsidP="00D947D1">
            <w:pPr>
              <w:ind w:left="-108"/>
              <w:rPr>
                <w:rFonts w:cs="Arial"/>
                <w:sz w:val="4"/>
                <w:szCs w:val="4"/>
              </w:rPr>
            </w:pPr>
          </w:p>
        </w:tc>
        <w:tc>
          <w:tcPr>
            <w:tcW w:w="1760" w:type="dxa"/>
            <w:shd w:val="pct12" w:color="auto" w:fill="auto"/>
          </w:tcPr>
          <w:p w:rsidR="005B5A73" w:rsidRPr="00D947D1" w:rsidRDefault="005B5A73" w:rsidP="00D947D1">
            <w:pPr>
              <w:ind w:left="-108"/>
              <w:rPr>
                <w:color w:val="FF6600"/>
                <w:sz w:val="20"/>
                <w:szCs w:val="20"/>
              </w:rPr>
            </w:pPr>
          </w:p>
        </w:tc>
      </w:tr>
      <w:tr w:rsidR="005B5A73" w:rsidTr="00D947D1">
        <w:trPr>
          <w:trHeight w:val="117"/>
        </w:trPr>
        <w:tc>
          <w:tcPr>
            <w:tcW w:w="548" w:type="dxa"/>
            <w:shd w:val="clear" w:color="auto" w:fill="auto"/>
          </w:tcPr>
          <w:p w:rsidR="005B5A73" w:rsidRPr="00D947D1" w:rsidRDefault="005B5A73" w:rsidP="00D947D1">
            <w:pPr>
              <w:rPr>
                <w:sz w:val="20"/>
                <w:szCs w:val="20"/>
              </w:rPr>
            </w:pPr>
          </w:p>
        </w:tc>
        <w:tc>
          <w:tcPr>
            <w:tcW w:w="2200" w:type="dxa"/>
            <w:shd w:val="clear" w:color="auto" w:fill="auto"/>
          </w:tcPr>
          <w:p w:rsidR="005B5A73" w:rsidRPr="00D947D1" w:rsidRDefault="006F7044" w:rsidP="00D947D1">
            <w:pPr>
              <w:tabs>
                <w:tab w:val="left" w:pos="318"/>
                <w:tab w:val="left" w:pos="720"/>
                <w:tab w:val="left" w:pos="2078"/>
                <w:tab w:val="left" w:pos="2880"/>
                <w:tab w:val="left" w:pos="3600"/>
              </w:tabs>
              <w:ind w:left="208" w:hanging="316"/>
              <w:rPr>
                <w:rFonts w:cs="Arial"/>
                <w:b/>
                <w:sz w:val="20"/>
                <w:szCs w:val="20"/>
              </w:rPr>
            </w:pPr>
            <w:r w:rsidRPr="00D947D1">
              <w:rPr>
                <w:b/>
                <w:sz w:val="20"/>
                <w:szCs w:val="20"/>
              </w:rPr>
              <w:t>11. Actuarial Certification:</w:t>
            </w:r>
          </w:p>
        </w:tc>
        <w:tc>
          <w:tcPr>
            <w:tcW w:w="2090" w:type="dxa"/>
            <w:shd w:val="clear" w:color="auto" w:fill="auto"/>
          </w:tcPr>
          <w:p w:rsidR="005B5A73" w:rsidRPr="00D947D1" w:rsidRDefault="006F7044" w:rsidP="00D947D1">
            <w:pPr>
              <w:pStyle w:val="NormalWeb"/>
              <w:rPr>
                <w:rFonts w:ascii="Arial" w:hAnsi="Arial" w:cs="Arial"/>
                <w:sz w:val="20"/>
                <w:szCs w:val="20"/>
              </w:rPr>
            </w:pPr>
            <w:hyperlink r:id="rId25" w:history="1">
              <w:r w:rsidRPr="00D947D1">
                <w:rPr>
                  <w:rStyle w:val="Hyperlink"/>
                  <w:rFonts w:ascii="Arial" w:hAnsi="Arial" w:cs="Arial"/>
                  <w:sz w:val="20"/>
                  <w:szCs w:val="20"/>
                </w:rPr>
                <w:t>Rule 220, § 14</w:t>
              </w:r>
            </w:hyperlink>
          </w:p>
        </w:tc>
        <w:tc>
          <w:tcPr>
            <w:tcW w:w="6820" w:type="dxa"/>
            <w:gridSpan w:val="2"/>
            <w:shd w:val="clear" w:color="auto" w:fill="auto"/>
          </w:tcPr>
          <w:p w:rsidR="006F7044" w:rsidRPr="00D947D1" w:rsidRDefault="006F7044" w:rsidP="006F7044">
            <w:pPr>
              <w:rPr>
                <w:rFonts w:cs="Arial"/>
                <w:sz w:val="20"/>
                <w:szCs w:val="20"/>
              </w:rPr>
            </w:pPr>
            <w:r w:rsidRPr="00D947D1">
              <w:rPr>
                <w:rFonts w:cs="Arial"/>
                <w:sz w:val="20"/>
                <w:szCs w:val="20"/>
              </w:rPr>
              <w:t xml:space="preserve">Include a certification by a qualified actuary that, to the best of the actuary’s knowledge and judgment, the entire rate filing is in compliance with the applicable requirements of the State of </w:t>
            </w:r>
            <w:smartTag w:uri="urn:schemas-microsoft-com:office:smarttags" w:element="place">
              <w:smartTag w:uri="urn:schemas-microsoft-com:office:smarttags" w:element="State">
                <w:r w:rsidRPr="00D947D1">
                  <w:rPr>
                    <w:rFonts w:cs="Arial"/>
                    <w:sz w:val="20"/>
                    <w:szCs w:val="20"/>
                  </w:rPr>
                  <w:t>Maine</w:t>
                </w:r>
              </w:smartTag>
            </w:smartTag>
            <w:r w:rsidRPr="00D947D1">
              <w:rPr>
                <w:rFonts w:cs="Arial"/>
                <w:sz w:val="20"/>
                <w:szCs w:val="20"/>
              </w:rPr>
              <w:t xml:space="preserve"> and with the rules of the Bureau of Insurance.  “Qualified actuary,” as used herein, means a member in good standing of the American Academy of Actuaries.</w:t>
            </w:r>
          </w:p>
          <w:p w:rsidR="005B5A73" w:rsidRPr="00D947D1" w:rsidRDefault="005B5A73" w:rsidP="00D947D1">
            <w:pPr>
              <w:ind w:left="-108"/>
              <w:rPr>
                <w:rFonts w:cs="Arial"/>
                <w:sz w:val="4"/>
                <w:szCs w:val="4"/>
              </w:rPr>
            </w:pPr>
          </w:p>
        </w:tc>
        <w:tc>
          <w:tcPr>
            <w:tcW w:w="1760" w:type="dxa"/>
            <w:shd w:val="clear" w:color="auto" w:fill="auto"/>
          </w:tcPr>
          <w:p w:rsidR="005B5A73" w:rsidRPr="00D947D1" w:rsidRDefault="006F7044" w:rsidP="00D947D1">
            <w:pPr>
              <w:ind w:left="-108"/>
              <w:rPr>
                <w:color w:val="FF6600"/>
                <w:sz w:val="20"/>
                <w:szCs w:val="20"/>
              </w:rPr>
            </w:pPr>
            <w:r w:rsidRPr="00D947D1">
              <w:rPr>
                <w:i/>
                <w:sz w:val="20"/>
                <w:szCs w:val="20"/>
              </w:rPr>
              <w:t>Location, page:</w:t>
            </w:r>
          </w:p>
        </w:tc>
      </w:tr>
      <w:tr w:rsidR="001647E9" w:rsidTr="00D947D1">
        <w:trPr>
          <w:trHeight w:val="594"/>
        </w:trPr>
        <w:tc>
          <w:tcPr>
            <w:tcW w:w="548" w:type="dxa"/>
            <w:shd w:val="clear" w:color="auto" w:fill="auto"/>
          </w:tcPr>
          <w:p w:rsidR="001647E9" w:rsidRPr="00D947D1" w:rsidRDefault="001647E9" w:rsidP="00D947D1">
            <w:pPr>
              <w:rPr>
                <w:sz w:val="20"/>
                <w:szCs w:val="20"/>
              </w:rPr>
            </w:pPr>
          </w:p>
        </w:tc>
        <w:tc>
          <w:tcPr>
            <w:tcW w:w="2200" w:type="dxa"/>
            <w:shd w:val="clear" w:color="auto" w:fill="auto"/>
          </w:tcPr>
          <w:p w:rsidR="001647E9" w:rsidRPr="00D947D1" w:rsidRDefault="006F7044" w:rsidP="00D947D1">
            <w:pPr>
              <w:tabs>
                <w:tab w:val="left" w:pos="318"/>
                <w:tab w:val="left" w:pos="720"/>
                <w:tab w:val="left" w:pos="2078"/>
                <w:tab w:val="left" w:pos="2880"/>
                <w:tab w:val="left" w:pos="3600"/>
              </w:tabs>
              <w:ind w:left="208" w:hanging="316"/>
              <w:rPr>
                <w:rFonts w:cs="Arial"/>
                <w:b/>
                <w:sz w:val="20"/>
                <w:szCs w:val="20"/>
              </w:rPr>
            </w:pPr>
            <w:r w:rsidRPr="00D947D1">
              <w:rPr>
                <w:rFonts w:cs="Arial"/>
                <w:b/>
                <w:sz w:val="20"/>
                <w:szCs w:val="20"/>
              </w:rPr>
              <w:t>12. Commission Schedule:</w:t>
            </w:r>
          </w:p>
        </w:tc>
        <w:tc>
          <w:tcPr>
            <w:tcW w:w="2090" w:type="dxa"/>
            <w:shd w:val="clear" w:color="auto" w:fill="auto"/>
          </w:tcPr>
          <w:p w:rsidR="001647E9" w:rsidRPr="00D947D1" w:rsidRDefault="006F7044" w:rsidP="00D947D1">
            <w:pPr>
              <w:pStyle w:val="NormalWeb"/>
              <w:rPr>
                <w:rFonts w:ascii="Arial" w:hAnsi="Arial" w:cs="Arial"/>
                <w:sz w:val="20"/>
                <w:szCs w:val="20"/>
              </w:rPr>
            </w:pPr>
            <w:hyperlink r:id="rId26" w:history="1">
              <w:r w:rsidRPr="00D947D1">
                <w:rPr>
                  <w:rStyle w:val="Hyperlink"/>
                  <w:rFonts w:ascii="Arial" w:hAnsi="Arial" w:cs="Arial"/>
                  <w:sz w:val="20"/>
                  <w:szCs w:val="20"/>
                </w:rPr>
                <w:t>Rule 220, § 15</w:t>
              </w:r>
            </w:hyperlink>
            <w:r w:rsidR="00CB056E" w:rsidRPr="00D947D1">
              <w:rPr>
                <w:rFonts w:ascii="Arial" w:hAnsi="Arial" w:cs="Arial"/>
                <w:sz w:val="20"/>
                <w:szCs w:val="20"/>
              </w:rPr>
              <w:t xml:space="preserve">; </w:t>
            </w:r>
            <w:hyperlink r:id="rId27" w:history="1">
              <w:r w:rsidRPr="00D947D1">
                <w:rPr>
                  <w:rStyle w:val="Hyperlink"/>
                  <w:rFonts w:ascii="Arial" w:hAnsi="Arial" w:cs="Arial"/>
                  <w:bCs/>
                  <w:sz w:val="20"/>
                  <w:szCs w:val="20"/>
                </w:rPr>
                <w:t>Title</w:t>
              </w:r>
              <w:r w:rsidRPr="00D947D1">
                <w:rPr>
                  <w:rStyle w:val="Hyperlink"/>
                  <w:rFonts w:ascii="Arial" w:hAnsi="Arial" w:cs="Arial"/>
                  <w:bCs/>
                  <w:sz w:val="20"/>
                  <w:szCs w:val="20"/>
                </w:rPr>
                <w:t xml:space="preserve"> </w:t>
              </w:r>
              <w:r w:rsidRPr="00D947D1">
                <w:rPr>
                  <w:rStyle w:val="Hyperlink"/>
                  <w:rFonts w:ascii="Arial" w:hAnsi="Arial" w:cs="Arial"/>
                  <w:bCs/>
                  <w:sz w:val="20"/>
                  <w:szCs w:val="20"/>
                </w:rPr>
                <w:t>24-A, § 2860-A</w:t>
              </w:r>
            </w:hyperlink>
          </w:p>
        </w:tc>
        <w:tc>
          <w:tcPr>
            <w:tcW w:w="6820" w:type="dxa"/>
            <w:gridSpan w:val="2"/>
            <w:shd w:val="clear" w:color="auto" w:fill="auto"/>
          </w:tcPr>
          <w:p w:rsidR="006F7044" w:rsidRDefault="006F7044" w:rsidP="00D947D1">
            <w:pPr>
              <w:ind w:left="2"/>
            </w:pPr>
            <w:r w:rsidRPr="00D947D1">
              <w:rPr>
                <w:rFonts w:cs="Arial"/>
                <w:sz w:val="20"/>
                <w:szCs w:val="20"/>
              </w:rPr>
              <w:t>Commissions payable to any Creditor, who is a Licensed Credit Insurance Agent, can not exceed 5% of Premium, and Fees payable to a Lender for handling or processing the Life or Disability Insurance can not exceed 10% of the Prima Facie Premium</w:t>
            </w:r>
            <w:r w:rsidRPr="002867F4">
              <w:t>.</w:t>
            </w:r>
          </w:p>
          <w:p w:rsidR="001647E9" w:rsidRPr="00D947D1" w:rsidRDefault="001647E9" w:rsidP="00D947D1">
            <w:pPr>
              <w:tabs>
                <w:tab w:val="left" w:pos="720"/>
                <w:tab w:val="left" w:pos="1440"/>
              </w:tabs>
              <w:ind w:left="-108"/>
              <w:rPr>
                <w:rFonts w:cs="Arial"/>
                <w:sz w:val="4"/>
                <w:szCs w:val="4"/>
              </w:rPr>
            </w:pPr>
          </w:p>
        </w:tc>
        <w:tc>
          <w:tcPr>
            <w:tcW w:w="1760" w:type="dxa"/>
            <w:shd w:val="pct12" w:color="auto" w:fill="auto"/>
          </w:tcPr>
          <w:p w:rsidR="001647E9" w:rsidRPr="00D947D1" w:rsidRDefault="001647E9" w:rsidP="00D947D1">
            <w:pPr>
              <w:ind w:left="-108"/>
              <w:rPr>
                <w:color w:val="FF6600"/>
                <w:sz w:val="20"/>
                <w:szCs w:val="20"/>
              </w:rPr>
            </w:pPr>
          </w:p>
        </w:tc>
      </w:tr>
      <w:tr w:rsidR="00A1261A" w:rsidTr="00D947D1">
        <w:trPr>
          <w:trHeight w:val="881"/>
        </w:trPr>
        <w:tc>
          <w:tcPr>
            <w:tcW w:w="548" w:type="dxa"/>
            <w:shd w:val="clear" w:color="auto" w:fill="auto"/>
          </w:tcPr>
          <w:p w:rsidR="00A1261A" w:rsidRDefault="00A1261A" w:rsidP="00D947D1"/>
        </w:tc>
        <w:tc>
          <w:tcPr>
            <w:tcW w:w="2200" w:type="dxa"/>
            <w:shd w:val="clear" w:color="auto" w:fill="auto"/>
          </w:tcPr>
          <w:p w:rsidR="00A1261A" w:rsidRPr="00D947D1" w:rsidRDefault="006F7044" w:rsidP="00D947D1">
            <w:pPr>
              <w:ind w:left="222" w:hanging="330"/>
              <w:rPr>
                <w:rFonts w:cs="Arial"/>
                <w:sz w:val="20"/>
                <w:szCs w:val="20"/>
              </w:rPr>
            </w:pPr>
            <w:r w:rsidRPr="00D947D1">
              <w:rPr>
                <w:rFonts w:cs="Arial"/>
                <w:b/>
                <w:sz w:val="20"/>
                <w:szCs w:val="20"/>
              </w:rPr>
              <w:t>13</w:t>
            </w:r>
            <w:r w:rsidR="00A1261A" w:rsidRPr="00D947D1">
              <w:rPr>
                <w:rFonts w:cs="Arial"/>
                <w:b/>
                <w:sz w:val="20"/>
                <w:szCs w:val="20"/>
              </w:rPr>
              <w:t xml:space="preserve">. </w:t>
            </w:r>
            <w:r w:rsidRPr="00D947D1">
              <w:rPr>
                <w:rFonts w:cs="Arial"/>
                <w:b/>
                <w:sz w:val="20"/>
                <w:szCs w:val="20"/>
              </w:rPr>
              <w:t>Confidentiality of Filings:</w:t>
            </w:r>
          </w:p>
        </w:tc>
        <w:tc>
          <w:tcPr>
            <w:tcW w:w="2090" w:type="dxa"/>
            <w:shd w:val="clear" w:color="auto" w:fill="auto"/>
          </w:tcPr>
          <w:p w:rsidR="00A1261A" w:rsidRPr="00D947D1" w:rsidRDefault="003C7AC1" w:rsidP="00D947D1">
            <w:pPr>
              <w:pStyle w:val="NormalWeb"/>
              <w:tabs>
                <w:tab w:val="left" w:pos="1652"/>
              </w:tabs>
              <w:ind w:right="-108"/>
              <w:rPr>
                <w:rFonts w:ascii="Arial" w:hAnsi="Arial" w:cs="Arial"/>
                <w:sz w:val="20"/>
                <w:szCs w:val="20"/>
              </w:rPr>
            </w:pPr>
            <w:hyperlink r:id="rId28" w:history="1">
              <w:r w:rsidRPr="00D947D1">
                <w:rPr>
                  <w:rStyle w:val="Hyperlink"/>
                  <w:rFonts w:ascii="Arial" w:hAnsi="Arial" w:cs="Arial"/>
                  <w:sz w:val="20"/>
                  <w:szCs w:val="20"/>
                </w:rPr>
                <w:t>Title 24-A,</w:t>
              </w:r>
              <w:r w:rsidR="000C3971" w:rsidRPr="00D947D1">
                <w:rPr>
                  <w:rStyle w:val="Hyperlink"/>
                  <w:rFonts w:ascii="Arial" w:hAnsi="Arial" w:cs="Arial"/>
                  <w:sz w:val="20"/>
                  <w:szCs w:val="20"/>
                </w:rPr>
                <w:t xml:space="preserve"> </w:t>
              </w:r>
              <w:r w:rsidR="006F7044" w:rsidRPr="00D947D1">
                <w:rPr>
                  <w:rStyle w:val="Hyperlink"/>
                  <w:rFonts w:ascii="Arial" w:hAnsi="Arial" w:cs="Arial"/>
                  <w:sz w:val="20"/>
                  <w:szCs w:val="20"/>
                </w:rPr>
                <w:t>§</w:t>
              </w:r>
              <w:r w:rsidRPr="00D947D1">
                <w:rPr>
                  <w:rStyle w:val="Hyperlink"/>
                  <w:rFonts w:ascii="Arial" w:hAnsi="Arial" w:cs="Arial"/>
                  <w:sz w:val="20"/>
                  <w:szCs w:val="20"/>
                </w:rPr>
                <w:t xml:space="preserve"> </w:t>
              </w:r>
              <w:r w:rsidR="006F7044" w:rsidRPr="00D947D1">
                <w:rPr>
                  <w:rStyle w:val="Hyperlink"/>
                  <w:rFonts w:ascii="Arial" w:hAnsi="Arial" w:cs="Arial"/>
                  <w:sz w:val="20"/>
                  <w:szCs w:val="20"/>
                </w:rPr>
                <w:t>2</w:t>
              </w:r>
              <w:r w:rsidR="006F7044" w:rsidRPr="00D947D1">
                <w:rPr>
                  <w:rStyle w:val="Hyperlink"/>
                  <w:rFonts w:ascii="Arial" w:hAnsi="Arial" w:cs="Arial"/>
                  <w:sz w:val="20"/>
                  <w:szCs w:val="20"/>
                </w:rPr>
                <w:t>736</w:t>
              </w:r>
            </w:hyperlink>
          </w:p>
        </w:tc>
        <w:tc>
          <w:tcPr>
            <w:tcW w:w="6820" w:type="dxa"/>
            <w:gridSpan w:val="2"/>
            <w:shd w:val="clear" w:color="auto" w:fill="auto"/>
          </w:tcPr>
          <w:p w:rsidR="006F7044" w:rsidRPr="00D947D1" w:rsidRDefault="006F7044" w:rsidP="006F7044">
            <w:pPr>
              <w:rPr>
                <w:rFonts w:cs="Arial"/>
                <w:sz w:val="20"/>
                <w:szCs w:val="20"/>
              </w:rPr>
            </w:pPr>
            <w:r w:rsidRPr="00D947D1">
              <w:rPr>
                <w:rFonts w:cs="Arial"/>
                <w:sz w:val="20"/>
                <w:szCs w:val="20"/>
              </w:rPr>
              <w:t>A filing and supporting information are public</w:t>
            </w:r>
            <w:r w:rsidRPr="00D947D1">
              <w:rPr>
                <w:rFonts w:cs="Arial"/>
                <w:color w:val="FF6600"/>
                <w:sz w:val="20"/>
                <w:szCs w:val="20"/>
              </w:rPr>
              <w:t xml:space="preserve"> </w:t>
            </w:r>
            <w:r w:rsidRPr="00D947D1">
              <w:rPr>
                <w:rFonts w:cs="Arial"/>
                <w:sz w:val="20"/>
                <w:szCs w:val="20"/>
              </w:rPr>
              <w:t>records within the meaning of</w:t>
            </w:r>
            <w:r w:rsidRPr="00D947D1">
              <w:rPr>
                <w:rFonts w:cs="Arial"/>
                <w:color w:val="FF6600"/>
                <w:sz w:val="20"/>
                <w:szCs w:val="20"/>
              </w:rPr>
              <w:t xml:space="preserve"> </w:t>
            </w:r>
            <w:hyperlink r:id="rId29" w:history="1">
              <w:r w:rsidRPr="00D947D1">
                <w:rPr>
                  <w:rStyle w:val="Hyperlink"/>
                  <w:rFonts w:cs="Arial"/>
                  <w:sz w:val="20"/>
                  <w:szCs w:val="20"/>
                </w:rPr>
                <w:t xml:space="preserve">Title 1, </w:t>
              </w:r>
              <w:r w:rsidRPr="00D947D1">
                <w:rPr>
                  <w:rStyle w:val="Hyperlink"/>
                  <w:rFonts w:cs="Arial"/>
                  <w:sz w:val="20"/>
                  <w:szCs w:val="20"/>
                </w:rPr>
                <w:t>§</w:t>
              </w:r>
              <w:r w:rsidRPr="00D947D1">
                <w:rPr>
                  <w:rStyle w:val="Hyperlink"/>
                  <w:rFonts w:cs="Arial"/>
                  <w:sz w:val="20"/>
                  <w:szCs w:val="20"/>
                </w:rPr>
                <w:t>4</w:t>
              </w:r>
              <w:r w:rsidRPr="00D947D1">
                <w:rPr>
                  <w:rStyle w:val="Hyperlink"/>
                  <w:rFonts w:cs="Arial"/>
                  <w:sz w:val="20"/>
                  <w:szCs w:val="20"/>
                </w:rPr>
                <w:t>0</w:t>
              </w:r>
              <w:r w:rsidRPr="00D947D1">
                <w:rPr>
                  <w:rStyle w:val="Hyperlink"/>
                  <w:rFonts w:cs="Arial"/>
                  <w:sz w:val="20"/>
                  <w:szCs w:val="20"/>
                </w:rPr>
                <w:t>2</w:t>
              </w:r>
              <w:r w:rsidR="00CB056E" w:rsidRPr="00D947D1">
                <w:rPr>
                  <w:rStyle w:val="Hyperlink"/>
                  <w:rFonts w:cs="Arial"/>
                  <w:sz w:val="20"/>
                  <w:szCs w:val="20"/>
                </w:rPr>
                <w:t>, 3</w:t>
              </w:r>
            </w:hyperlink>
            <w:r w:rsidRPr="00D947D1">
              <w:rPr>
                <w:rFonts w:cs="Arial"/>
                <w:color w:val="FF6600"/>
                <w:sz w:val="20"/>
                <w:szCs w:val="20"/>
              </w:rPr>
              <w:t xml:space="preserve"> </w:t>
            </w:r>
            <w:r w:rsidRPr="00D947D1">
              <w:rPr>
                <w:rFonts w:cs="Arial"/>
                <w:sz w:val="20"/>
                <w:szCs w:val="20"/>
              </w:rPr>
              <w:t xml:space="preserve">and become part of the official record of any hearing held pursuant to </w:t>
            </w:r>
            <w:r w:rsidR="00CB056E" w:rsidRPr="00D947D1">
              <w:rPr>
                <w:rFonts w:cs="Arial"/>
                <w:color w:val="FF6600"/>
                <w:sz w:val="20"/>
                <w:szCs w:val="20"/>
              </w:rPr>
              <w:fldChar w:fldCharType="begin"/>
            </w:r>
            <w:r w:rsidR="00CB056E" w:rsidRPr="00D947D1">
              <w:rPr>
                <w:rFonts w:cs="Arial"/>
                <w:color w:val="FF6600"/>
                <w:sz w:val="20"/>
                <w:szCs w:val="20"/>
              </w:rPr>
              <w:instrText xml:space="preserve"> HYPERLINK "http://www.mainelegislature.org/legis/statutes/24-A/title24-Asec2736-A.html" </w:instrText>
            </w:r>
            <w:r w:rsidR="00B01356" w:rsidRPr="00D947D1">
              <w:rPr>
                <w:rFonts w:cs="Arial"/>
                <w:color w:val="FF6600"/>
                <w:sz w:val="20"/>
                <w:szCs w:val="20"/>
              </w:rPr>
            </w:r>
            <w:r w:rsidR="00CB056E" w:rsidRPr="00D947D1">
              <w:rPr>
                <w:rFonts w:cs="Arial"/>
                <w:color w:val="FF6600"/>
                <w:sz w:val="20"/>
                <w:szCs w:val="20"/>
              </w:rPr>
              <w:fldChar w:fldCharType="separate"/>
            </w:r>
            <w:r w:rsidR="00CB056E" w:rsidRPr="00D947D1">
              <w:rPr>
                <w:rStyle w:val="Hyperlink"/>
                <w:rFonts w:cs="Arial"/>
                <w:sz w:val="20"/>
                <w:szCs w:val="20"/>
              </w:rPr>
              <w:t>Title 24-A,</w:t>
            </w:r>
            <w:r w:rsidRPr="00D947D1">
              <w:rPr>
                <w:rStyle w:val="Hyperlink"/>
                <w:rFonts w:cs="Arial"/>
                <w:sz w:val="20"/>
                <w:szCs w:val="20"/>
              </w:rPr>
              <w:t xml:space="preserve"> </w:t>
            </w:r>
            <w:r w:rsidRPr="00D947D1">
              <w:rPr>
                <w:rStyle w:val="Hyperlink"/>
                <w:rFonts w:cs="Arial"/>
                <w:sz w:val="20"/>
                <w:szCs w:val="20"/>
              </w:rPr>
              <w:t>§2736</w:t>
            </w:r>
            <w:r w:rsidR="00CB056E" w:rsidRPr="00D947D1">
              <w:rPr>
                <w:rStyle w:val="Hyperlink"/>
                <w:rFonts w:cs="Arial"/>
                <w:sz w:val="20"/>
                <w:szCs w:val="20"/>
              </w:rPr>
              <w:t>-A</w:t>
            </w:r>
            <w:r w:rsidR="00CB056E" w:rsidRPr="00D947D1">
              <w:rPr>
                <w:rFonts w:cs="Arial"/>
                <w:color w:val="FF6600"/>
                <w:sz w:val="20"/>
                <w:szCs w:val="20"/>
              </w:rPr>
              <w:fldChar w:fldCharType="end"/>
            </w:r>
            <w:r w:rsidRPr="00D947D1">
              <w:rPr>
                <w:rFonts w:cs="Arial"/>
                <w:color w:val="FF6600"/>
                <w:sz w:val="20"/>
                <w:szCs w:val="20"/>
              </w:rPr>
              <w:t>.</w:t>
            </w:r>
            <w:r w:rsidR="00CB056E" w:rsidRPr="00D947D1">
              <w:rPr>
                <w:rFonts w:cs="Arial"/>
                <w:color w:val="FF6600"/>
                <w:sz w:val="20"/>
                <w:szCs w:val="20"/>
              </w:rPr>
              <w:t xml:space="preserve"> </w:t>
            </w:r>
            <w:r w:rsidRPr="00D947D1">
              <w:rPr>
                <w:rFonts w:cs="Arial"/>
                <w:color w:val="FF6600"/>
                <w:sz w:val="20"/>
                <w:szCs w:val="20"/>
              </w:rPr>
              <w:t xml:space="preserve"> </w:t>
            </w:r>
            <w:r w:rsidRPr="00D947D1">
              <w:rPr>
                <w:rFonts w:cs="Arial"/>
                <w:sz w:val="20"/>
                <w:szCs w:val="20"/>
              </w:rPr>
              <w:t xml:space="preserve">A filing may be prepared in a manner that protects the confidentially of proprietary information by following the </w:t>
            </w:r>
            <w:hyperlink r:id="rId30" w:history="1">
              <w:r w:rsidRPr="00D947D1">
                <w:rPr>
                  <w:rStyle w:val="Hyperlink"/>
                  <w:rFonts w:cs="Arial"/>
                  <w:i/>
                  <w:sz w:val="20"/>
                  <w:szCs w:val="20"/>
                </w:rPr>
                <w:t>confidentiality protocol</w:t>
              </w:r>
            </w:hyperlink>
            <w:r w:rsidRPr="00D947D1">
              <w:rPr>
                <w:rFonts w:cs="Arial"/>
                <w:color w:val="0000FF"/>
                <w:sz w:val="20"/>
                <w:szCs w:val="20"/>
              </w:rPr>
              <w:t>,</w:t>
            </w:r>
            <w:r w:rsidRPr="00D947D1">
              <w:rPr>
                <w:rFonts w:cs="Arial"/>
                <w:sz w:val="20"/>
                <w:szCs w:val="20"/>
              </w:rPr>
              <w:t xml:space="preserve"> available on the Bureau of Insurance website.</w:t>
            </w:r>
          </w:p>
          <w:p w:rsidR="008F5BF2" w:rsidRPr="00D947D1" w:rsidRDefault="008F5BF2" w:rsidP="00D947D1">
            <w:pPr>
              <w:ind w:left="-108"/>
              <w:rPr>
                <w:sz w:val="4"/>
                <w:szCs w:val="4"/>
              </w:rPr>
            </w:pPr>
          </w:p>
        </w:tc>
        <w:tc>
          <w:tcPr>
            <w:tcW w:w="1760" w:type="dxa"/>
            <w:shd w:val="pct12" w:color="auto" w:fill="auto"/>
          </w:tcPr>
          <w:p w:rsidR="00A1261A" w:rsidRPr="00D947D1" w:rsidRDefault="00A1261A" w:rsidP="00D947D1">
            <w:pPr>
              <w:rPr>
                <w:sz w:val="20"/>
                <w:szCs w:val="20"/>
              </w:rPr>
            </w:pPr>
          </w:p>
        </w:tc>
      </w:tr>
      <w:tr w:rsidR="005A5624" w:rsidTr="00D947D1">
        <w:trPr>
          <w:trHeight w:val="152"/>
        </w:trPr>
        <w:tc>
          <w:tcPr>
            <w:tcW w:w="548" w:type="dxa"/>
            <w:shd w:val="pct12" w:color="auto" w:fill="auto"/>
          </w:tcPr>
          <w:p w:rsidR="005A5624" w:rsidRPr="00D947D1" w:rsidRDefault="005A5624" w:rsidP="00D947D1">
            <w:pPr>
              <w:rPr>
                <w:rFonts w:cs="Arial"/>
                <w:b/>
                <w:sz w:val="24"/>
                <w:szCs w:val="24"/>
              </w:rPr>
            </w:pPr>
          </w:p>
        </w:tc>
        <w:tc>
          <w:tcPr>
            <w:tcW w:w="7370" w:type="dxa"/>
            <w:gridSpan w:val="3"/>
            <w:shd w:val="clear" w:color="auto" w:fill="auto"/>
          </w:tcPr>
          <w:p w:rsidR="005A5624" w:rsidRPr="00D947D1" w:rsidRDefault="005A5624" w:rsidP="00D947D1">
            <w:pPr>
              <w:rPr>
                <w:rFonts w:cs="Arial"/>
                <w:b/>
                <w:sz w:val="24"/>
                <w:szCs w:val="24"/>
              </w:rPr>
            </w:pPr>
            <w:r w:rsidRPr="00D947D1">
              <w:rPr>
                <w:rFonts w:cs="Arial"/>
                <w:b/>
                <w:sz w:val="24"/>
                <w:szCs w:val="24"/>
              </w:rPr>
              <w:t>Completed by:</w:t>
            </w:r>
          </w:p>
        </w:tc>
        <w:tc>
          <w:tcPr>
            <w:tcW w:w="3740" w:type="dxa"/>
            <w:shd w:val="clear" w:color="auto" w:fill="auto"/>
          </w:tcPr>
          <w:p w:rsidR="005A5624" w:rsidRPr="00D947D1" w:rsidRDefault="005A5624" w:rsidP="00D947D1">
            <w:pPr>
              <w:rPr>
                <w:rFonts w:cs="Arial"/>
                <w:b/>
                <w:sz w:val="24"/>
                <w:szCs w:val="24"/>
              </w:rPr>
            </w:pPr>
            <w:r w:rsidRPr="00D947D1">
              <w:rPr>
                <w:rFonts w:cs="Arial"/>
                <w:b/>
                <w:sz w:val="24"/>
                <w:szCs w:val="24"/>
              </w:rPr>
              <w:t>Date:</w:t>
            </w:r>
          </w:p>
        </w:tc>
        <w:tc>
          <w:tcPr>
            <w:tcW w:w="1760" w:type="dxa"/>
            <w:shd w:val="pct12" w:color="auto" w:fill="auto"/>
          </w:tcPr>
          <w:p w:rsidR="006F1988" w:rsidRPr="00D947D1" w:rsidRDefault="006F1988" w:rsidP="00D947D1">
            <w:pPr>
              <w:jc w:val="center"/>
              <w:rPr>
                <w:rFonts w:cs="Arial"/>
                <w:sz w:val="3"/>
                <w:szCs w:val="3"/>
              </w:rPr>
            </w:pPr>
          </w:p>
          <w:p w:rsidR="005A5624" w:rsidRPr="00497D66" w:rsidRDefault="00C95526" w:rsidP="00087320">
            <w:pPr>
              <w:jc w:val="center"/>
            </w:pPr>
            <w:r w:rsidRPr="00D947D1">
              <w:rPr>
                <w:rFonts w:cs="Arial"/>
              </w:rPr>
              <w:t xml:space="preserve">Rev. </w:t>
            </w:r>
            <w:r w:rsidR="00087320">
              <w:rPr>
                <w:rFonts w:cs="Arial"/>
              </w:rPr>
              <w:t>4</w:t>
            </w:r>
            <w:r w:rsidR="007053E8" w:rsidRPr="00D947D1">
              <w:rPr>
                <w:rFonts w:cs="Arial"/>
              </w:rPr>
              <w:t>/</w:t>
            </w:r>
            <w:r w:rsidR="00087320">
              <w:rPr>
                <w:rFonts w:cs="Arial"/>
              </w:rPr>
              <w:t>28</w:t>
            </w:r>
            <w:r w:rsidR="00CF777E" w:rsidRPr="00D947D1">
              <w:rPr>
                <w:rFonts w:cs="Arial"/>
              </w:rPr>
              <w:t>/201</w:t>
            </w:r>
            <w:r w:rsidR="00087320">
              <w:rPr>
                <w:rFonts w:cs="Arial"/>
              </w:rPr>
              <w:t>6</w:t>
            </w:r>
          </w:p>
        </w:tc>
      </w:tr>
    </w:tbl>
    <w:p w:rsidR="00E63101" w:rsidRDefault="00E63101" w:rsidP="009B4834"/>
    <w:sectPr w:rsidR="00E63101" w:rsidSect="00122C09">
      <w:footerReference w:type="default" r:id="rId31"/>
      <w:pgSz w:w="15840" w:h="12240" w:orient="landscape"/>
      <w:pgMar w:top="1440"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FCF" w:rsidRDefault="00775FCF" w:rsidP="00FE404F">
      <w:r>
        <w:separator/>
      </w:r>
    </w:p>
  </w:endnote>
  <w:endnote w:type="continuationSeparator" w:id="0">
    <w:p w:rsidR="00775FCF" w:rsidRDefault="00775FCF" w:rsidP="00FE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9EE" w:rsidRDefault="00C939EE" w:rsidP="007157AA">
    <w:pPr>
      <w:pStyle w:val="Footer"/>
      <w:jc w:val="center"/>
    </w:pPr>
    <w:r>
      <w:t xml:space="preserve">Page </w:t>
    </w:r>
    <w:r>
      <w:fldChar w:fldCharType="begin"/>
    </w:r>
    <w:r>
      <w:instrText xml:space="preserve"> PAGE </w:instrText>
    </w:r>
    <w:r>
      <w:fldChar w:fldCharType="separate"/>
    </w:r>
    <w:r w:rsidR="00207B30">
      <w:rPr>
        <w:noProof/>
      </w:rPr>
      <w:t>1</w:t>
    </w:r>
    <w:r>
      <w:fldChar w:fldCharType="end"/>
    </w:r>
    <w:r>
      <w:t xml:space="preserve"> of </w:t>
    </w:r>
    <w:r>
      <w:fldChar w:fldCharType="begin"/>
    </w:r>
    <w:r>
      <w:instrText xml:space="preserve"> NUMPAGES </w:instrText>
    </w:r>
    <w:r>
      <w:fldChar w:fldCharType="separate"/>
    </w:r>
    <w:r w:rsidR="00207B30">
      <w:rPr>
        <w:noProof/>
      </w:rPr>
      <w:t>3</w:t>
    </w:r>
    <w:r>
      <w:fldChar w:fldCharType="end"/>
    </w:r>
  </w:p>
  <w:p w:rsidR="00C939EE" w:rsidRPr="00BE542A" w:rsidRDefault="00C939EE" w:rsidP="007157AA">
    <w:pPr>
      <w:pStyle w:val="Footer"/>
      <w:jc w:val="center"/>
      <w:rPr>
        <w:color w:val="FFFFFF"/>
      </w:rPr>
    </w:pPr>
    <w:r w:rsidRPr="00BE542A">
      <w:rPr>
        <w:color w:val="FFFFFF"/>
      </w:rPr>
      <w:fldChar w:fldCharType="begin"/>
    </w:r>
    <w:r w:rsidRPr="00BE542A">
      <w:rPr>
        <w:color w:val="FFFFFF"/>
      </w:rPr>
      <w:instrText xml:space="preserve"> FILENAME </w:instrText>
    </w:r>
    <w:r w:rsidRPr="00BE542A">
      <w:rPr>
        <w:color w:val="FFFFFF"/>
      </w:rPr>
      <w:fldChar w:fldCharType="separate"/>
    </w:r>
    <w:r>
      <w:rPr>
        <w:noProof/>
        <w:color w:val="FFFFFF"/>
      </w:rPr>
      <w:t>Credit Ins. Rate Filing Checklist 2010-0816-Final.doc</w:t>
    </w:r>
    <w:r w:rsidRPr="00BE542A">
      <w:rPr>
        <w:color w:val="FFFFF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FCF" w:rsidRDefault="00775FCF" w:rsidP="00FE404F">
      <w:r>
        <w:separator/>
      </w:r>
    </w:p>
  </w:footnote>
  <w:footnote w:type="continuationSeparator" w:id="0">
    <w:p w:rsidR="00775FCF" w:rsidRDefault="00775FCF" w:rsidP="00FE4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3D0"/>
    <w:multiLevelType w:val="singleLevel"/>
    <w:tmpl w:val="723609B6"/>
    <w:lvl w:ilvl="0">
      <w:start w:val="1"/>
      <w:numFmt w:val="upperLetter"/>
      <w:lvlText w:val="%1."/>
      <w:legacy w:legacy="1" w:legacySpace="0" w:legacyIndent="360"/>
      <w:lvlJc w:val="left"/>
      <w:pPr>
        <w:ind w:left="360" w:hanging="360"/>
      </w:pPr>
      <w:rPr>
        <w:rFonts w:ascii="Times New Roman" w:hAnsi="Times New Roman" w:hint="default"/>
      </w:rPr>
    </w:lvl>
  </w:abstractNum>
  <w:abstractNum w:abstractNumId="1">
    <w:nsid w:val="2FF80C4A"/>
    <w:multiLevelType w:val="multilevel"/>
    <w:tmpl w:val="31A2A4F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33FD3E81"/>
    <w:multiLevelType w:val="multilevel"/>
    <w:tmpl w:val="14FC5A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3AAA5974"/>
    <w:multiLevelType w:val="hybridMultilevel"/>
    <w:tmpl w:val="AC7C88CA"/>
    <w:lvl w:ilvl="0" w:tplc="CC3A4BFE">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3DA2318C"/>
    <w:multiLevelType w:val="multilevel"/>
    <w:tmpl w:val="02B0577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nsid w:val="58AB511D"/>
    <w:multiLevelType w:val="hybridMultilevel"/>
    <w:tmpl w:val="2F3EB62C"/>
    <w:lvl w:ilvl="0" w:tplc="9160735C">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ED"/>
    <w:rsid w:val="0000043F"/>
    <w:rsid w:val="00000B20"/>
    <w:rsid w:val="0000387D"/>
    <w:rsid w:val="000117B2"/>
    <w:rsid w:val="00016F2C"/>
    <w:rsid w:val="000232A3"/>
    <w:rsid w:val="00023F92"/>
    <w:rsid w:val="00032EFB"/>
    <w:rsid w:val="0004566E"/>
    <w:rsid w:val="000473E7"/>
    <w:rsid w:val="000512C0"/>
    <w:rsid w:val="00062BA4"/>
    <w:rsid w:val="0006561D"/>
    <w:rsid w:val="00065D8C"/>
    <w:rsid w:val="00066F00"/>
    <w:rsid w:val="000704B7"/>
    <w:rsid w:val="00074EAF"/>
    <w:rsid w:val="0008097D"/>
    <w:rsid w:val="000835A6"/>
    <w:rsid w:val="00085A36"/>
    <w:rsid w:val="00087320"/>
    <w:rsid w:val="000916C3"/>
    <w:rsid w:val="000A01B8"/>
    <w:rsid w:val="000B4C6D"/>
    <w:rsid w:val="000C2A58"/>
    <w:rsid w:val="000C3971"/>
    <w:rsid w:val="000C40E5"/>
    <w:rsid w:val="000C5E81"/>
    <w:rsid w:val="000C7B3A"/>
    <w:rsid w:val="000C7D19"/>
    <w:rsid w:val="000D1C89"/>
    <w:rsid w:val="000D6E0E"/>
    <w:rsid w:val="000E29DD"/>
    <w:rsid w:val="000E5666"/>
    <w:rsid w:val="000F056A"/>
    <w:rsid w:val="000F0A89"/>
    <w:rsid w:val="000F2387"/>
    <w:rsid w:val="000F62B6"/>
    <w:rsid w:val="00102050"/>
    <w:rsid w:val="00103F1B"/>
    <w:rsid w:val="001063E3"/>
    <w:rsid w:val="00117B80"/>
    <w:rsid w:val="00121343"/>
    <w:rsid w:val="00122C09"/>
    <w:rsid w:val="00126731"/>
    <w:rsid w:val="0013736F"/>
    <w:rsid w:val="00137882"/>
    <w:rsid w:val="001400DF"/>
    <w:rsid w:val="00141639"/>
    <w:rsid w:val="001515CC"/>
    <w:rsid w:val="00155E3A"/>
    <w:rsid w:val="00155E81"/>
    <w:rsid w:val="00161428"/>
    <w:rsid w:val="001647E9"/>
    <w:rsid w:val="00167C9C"/>
    <w:rsid w:val="001755E8"/>
    <w:rsid w:val="001758CD"/>
    <w:rsid w:val="001768F3"/>
    <w:rsid w:val="0019628C"/>
    <w:rsid w:val="001A439E"/>
    <w:rsid w:val="001B63A9"/>
    <w:rsid w:val="001B68A4"/>
    <w:rsid w:val="001C33D8"/>
    <w:rsid w:val="001C396D"/>
    <w:rsid w:val="001C5253"/>
    <w:rsid w:val="001C72F6"/>
    <w:rsid w:val="001D441B"/>
    <w:rsid w:val="001D7A58"/>
    <w:rsid w:val="001E4E81"/>
    <w:rsid w:val="001F0756"/>
    <w:rsid w:val="0020470A"/>
    <w:rsid w:val="00207B30"/>
    <w:rsid w:val="00227FF3"/>
    <w:rsid w:val="00232A22"/>
    <w:rsid w:val="00252472"/>
    <w:rsid w:val="00257043"/>
    <w:rsid w:val="002635D8"/>
    <w:rsid w:val="0026438C"/>
    <w:rsid w:val="002747B3"/>
    <w:rsid w:val="00280612"/>
    <w:rsid w:val="00280EAA"/>
    <w:rsid w:val="00281129"/>
    <w:rsid w:val="00282C73"/>
    <w:rsid w:val="0028377A"/>
    <w:rsid w:val="00285A79"/>
    <w:rsid w:val="00293DC0"/>
    <w:rsid w:val="00293E96"/>
    <w:rsid w:val="00294345"/>
    <w:rsid w:val="00296530"/>
    <w:rsid w:val="002A031B"/>
    <w:rsid w:val="002A0A89"/>
    <w:rsid w:val="002B1EC1"/>
    <w:rsid w:val="002B2F9A"/>
    <w:rsid w:val="002B616C"/>
    <w:rsid w:val="002C1868"/>
    <w:rsid w:val="002C3348"/>
    <w:rsid w:val="002C389E"/>
    <w:rsid w:val="002C3947"/>
    <w:rsid w:val="002C754E"/>
    <w:rsid w:val="003057A2"/>
    <w:rsid w:val="00306E84"/>
    <w:rsid w:val="00317B4A"/>
    <w:rsid w:val="00343EF2"/>
    <w:rsid w:val="00344E35"/>
    <w:rsid w:val="00346F5D"/>
    <w:rsid w:val="003506EF"/>
    <w:rsid w:val="003621D2"/>
    <w:rsid w:val="003632DF"/>
    <w:rsid w:val="00367F2B"/>
    <w:rsid w:val="00370571"/>
    <w:rsid w:val="00376C34"/>
    <w:rsid w:val="003818D9"/>
    <w:rsid w:val="00382C56"/>
    <w:rsid w:val="00383EDB"/>
    <w:rsid w:val="0038683E"/>
    <w:rsid w:val="00387888"/>
    <w:rsid w:val="00391F3F"/>
    <w:rsid w:val="00392CBE"/>
    <w:rsid w:val="00394C39"/>
    <w:rsid w:val="003A0743"/>
    <w:rsid w:val="003A2448"/>
    <w:rsid w:val="003A4864"/>
    <w:rsid w:val="003A781D"/>
    <w:rsid w:val="003B67A8"/>
    <w:rsid w:val="003B7647"/>
    <w:rsid w:val="003C353B"/>
    <w:rsid w:val="003C7AC1"/>
    <w:rsid w:val="003D2B88"/>
    <w:rsid w:val="003E1E62"/>
    <w:rsid w:val="003F3810"/>
    <w:rsid w:val="00400032"/>
    <w:rsid w:val="004019E8"/>
    <w:rsid w:val="00402B0C"/>
    <w:rsid w:val="00405E97"/>
    <w:rsid w:val="00422E4F"/>
    <w:rsid w:val="00424C59"/>
    <w:rsid w:val="00431B3F"/>
    <w:rsid w:val="00431E07"/>
    <w:rsid w:val="00433578"/>
    <w:rsid w:val="004375F8"/>
    <w:rsid w:val="00447796"/>
    <w:rsid w:val="00447B69"/>
    <w:rsid w:val="004552F1"/>
    <w:rsid w:val="00456BDA"/>
    <w:rsid w:val="004577D0"/>
    <w:rsid w:val="00463760"/>
    <w:rsid w:val="00485279"/>
    <w:rsid w:val="004949CA"/>
    <w:rsid w:val="00497D66"/>
    <w:rsid w:val="004A31A1"/>
    <w:rsid w:val="004B2DA1"/>
    <w:rsid w:val="004B6C07"/>
    <w:rsid w:val="004B6E47"/>
    <w:rsid w:val="004C07B3"/>
    <w:rsid w:val="004C667F"/>
    <w:rsid w:val="004D0DBB"/>
    <w:rsid w:val="004E6ABC"/>
    <w:rsid w:val="004F4592"/>
    <w:rsid w:val="004F52A6"/>
    <w:rsid w:val="005002EA"/>
    <w:rsid w:val="00500589"/>
    <w:rsid w:val="00502F87"/>
    <w:rsid w:val="00523544"/>
    <w:rsid w:val="00524B5B"/>
    <w:rsid w:val="00527462"/>
    <w:rsid w:val="005327E9"/>
    <w:rsid w:val="005341BE"/>
    <w:rsid w:val="0054584B"/>
    <w:rsid w:val="00551E90"/>
    <w:rsid w:val="0055715A"/>
    <w:rsid w:val="005579DD"/>
    <w:rsid w:val="00560B45"/>
    <w:rsid w:val="00563EDC"/>
    <w:rsid w:val="00564439"/>
    <w:rsid w:val="005722F3"/>
    <w:rsid w:val="00574BF8"/>
    <w:rsid w:val="0058045D"/>
    <w:rsid w:val="0059147E"/>
    <w:rsid w:val="005930D8"/>
    <w:rsid w:val="00594823"/>
    <w:rsid w:val="0059541D"/>
    <w:rsid w:val="0059588B"/>
    <w:rsid w:val="005A2F54"/>
    <w:rsid w:val="005A5624"/>
    <w:rsid w:val="005A7F32"/>
    <w:rsid w:val="005B0798"/>
    <w:rsid w:val="005B23C4"/>
    <w:rsid w:val="005B5A73"/>
    <w:rsid w:val="005B7369"/>
    <w:rsid w:val="005D3391"/>
    <w:rsid w:val="005D6078"/>
    <w:rsid w:val="005E39D7"/>
    <w:rsid w:val="005E64DE"/>
    <w:rsid w:val="005E7140"/>
    <w:rsid w:val="005F190B"/>
    <w:rsid w:val="0061102D"/>
    <w:rsid w:val="00626113"/>
    <w:rsid w:val="0063233F"/>
    <w:rsid w:val="00632D71"/>
    <w:rsid w:val="00636355"/>
    <w:rsid w:val="00640C6D"/>
    <w:rsid w:val="00641E1B"/>
    <w:rsid w:val="006439CD"/>
    <w:rsid w:val="00652096"/>
    <w:rsid w:val="00655EB7"/>
    <w:rsid w:val="00682477"/>
    <w:rsid w:val="00686EB1"/>
    <w:rsid w:val="00696026"/>
    <w:rsid w:val="006A47ED"/>
    <w:rsid w:val="006A5927"/>
    <w:rsid w:val="006A60E4"/>
    <w:rsid w:val="006A7DF2"/>
    <w:rsid w:val="006B2055"/>
    <w:rsid w:val="006B613E"/>
    <w:rsid w:val="006B6864"/>
    <w:rsid w:val="006C28FA"/>
    <w:rsid w:val="006C3CEB"/>
    <w:rsid w:val="006C7C03"/>
    <w:rsid w:val="006D7C0C"/>
    <w:rsid w:val="006E2065"/>
    <w:rsid w:val="006E59F3"/>
    <w:rsid w:val="006F1988"/>
    <w:rsid w:val="006F19ED"/>
    <w:rsid w:val="006F4FBA"/>
    <w:rsid w:val="006F7044"/>
    <w:rsid w:val="00702CB7"/>
    <w:rsid w:val="00703E76"/>
    <w:rsid w:val="007053E8"/>
    <w:rsid w:val="00707872"/>
    <w:rsid w:val="007111B8"/>
    <w:rsid w:val="007157AA"/>
    <w:rsid w:val="00715E25"/>
    <w:rsid w:val="007170F2"/>
    <w:rsid w:val="00722F2A"/>
    <w:rsid w:val="007243E7"/>
    <w:rsid w:val="00731349"/>
    <w:rsid w:val="00732871"/>
    <w:rsid w:val="00734851"/>
    <w:rsid w:val="00743FBA"/>
    <w:rsid w:val="0074700B"/>
    <w:rsid w:val="007512D0"/>
    <w:rsid w:val="007530B5"/>
    <w:rsid w:val="00753EEF"/>
    <w:rsid w:val="00757788"/>
    <w:rsid w:val="00775FCF"/>
    <w:rsid w:val="0077760A"/>
    <w:rsid w:val="00780E9C"/>
    <w:rsid w:val="00785CAC"/>
    <w:rsid w:val="0079157B"/>
    <w:rsid w:val="007A3AF5"/>
    <w:rsid w:val="007A56A6"/>
    <w:rsid w:val="007A68EA"/>
    <w:rsid w:val="007B4297"/>
    <w:rsid w:val="007B4EC0"/>
    <w:rsid w:val="007C198F"/>
    <w:rsid w:val="007D5EEA"/>
    <w:rsid w:val="007E29F6"/>
    <w:rsid w:val="007E615D"/>
    <w:rsid w:val="007F29C2"/>
    <w:rsid w:val="007F64FF"/>
    <w:rsid w:val="00802C62"/>
    <w:rsid w:val="00804A0D"/>
    <w:rsid w:val="00804B9B"/>
    <w:rsid w:val="00804F20"/>
    <w:rsid w:val="00806984"/>
    <w:rsid w:val="00807FBE"/>
    <w:rsid w:val="00841546"/>
    <w:rsid w:val="00844199"/>
    <w:rsid w:val="008514C5"/>
    <w:rsid w:val="00856167"/>
    <w:rsid w:val="00872C60"/>
    <w:rsid w:val="00880C94"/>
    <w:rsid w:val="00884970"/>
    <w:rsid w:val="008877D4"/>
    <w:rsid w:val="0089292E"/>
    <w:rsid w:val="008932A7"/>
    <w:rsid w:val="008A22D4"/>
    <w:rsid w:val="008A7B88"/>
    <w:rsid w:val="008B0234"/>
    <w:rsid w:val="008B573E"/>
    <w:rsid w:val="008B5F37"/>
    <w:rsid w:val="008C0782"/>
    <w:rsid w:val="008D0D3F"/>
    <w:rsid w:val="008D6ADD"/>
    <w:rsid w:val="008D74BD"/>
    <w:rsid w:val="008E2B78"/>
    <w:rsid w:val="008E2B9A"/>
    <w:rsid w:val="008F5BF2"/>
    <w:rsid w:val="0091592F"/>
    <w:rsid w:val="009417EE"/>
    <w:rsid w:val="00954386"/>
    <w:rsid w:val="00957412"/>
    <w:rsid w:val="00961E57"/>
    <w:rsid w:val="00965A13"/>
    <w:rsid w:val="00966CF6"/>
    <w:rsid w:val="00972548"/>
    <w:rsid w:val="009777C4"/>
    <w:rsid w:val="00981009"/>
    <w:rsid w:val="009811F2"/>
    <w:rsid w:val="00983AEC"/>
    <w:rsid w:val="00990B55"/>
    <w:rsid w:val="00993855"/>
    <w:rsid w:val="009A6B84"/>
    <w:rsid w:val="009B05CB"/>
    <w:rsid w:val="009B1A55"/>
    <w:rsid w:val="009B4741"/>
    <w:rsid w:val="009B4834"/>
    <w:rsid w:val="009C2B5F"/>
    <w:rsid w:val="009C6E2F"/>
    <w:rsid w:val="009C7F24"/>
    <w:rsid w:val="009D5209"/>
    <w:rsid w:val="009E2DF8"/>
    <w:rsid w:val="009F01FA"/>
    <w:rsid w:val="009F6DC6"/>
    <w:rsid w:val="00A01C76"/>
    <w:rsid w:val="00A05451"/>
    <w:rsid w:val="00A07F37"/>
    <w:rsid w:val="00A1261A"/>
    <w:rsid w:val="00A210D5"/>
    <w:rsid w:val="00A2184D"/>
    <w:rsid w:val="00A24C7D"/>
    <w:rsid w:val="00A30E4D"/>
    <w:rsid w:val="00A321D6"/>
    <w:rsid w:val="00A37F47"/>
    <w:rsid w:val="00A6080E"/>
    <w:rsid w:val="00A63BEC"/>
    <w:rsid w:val="00A665D0"/>
    <w:rsid w:val="00A83947"/>
    <w:rsid w:val="00A84BF2"/>
    <w:rsid w:val="00A852E0"/>
    <w:rsid w:val="00A86966"/>
    <w:rsid w:val="00A932E9"/>
    <w:rsid w:val="00AA0A4A"/>
    <w:rsid w:val="00AB1649"/>
    <w:rsid w:val="00AB1DB6"/>
    <w:rsid w:val="00AB79F0"/>
    <w:rsid w:val="00AC462C"/>
    <w:rsid w:val="00AC6A81"/>
    <w:rsid w:val="00AC7402"/>
    <w:rsid w:val="00AC7457"/>
    <w:rsid w:val="00AE6270"/>
    <w:rsid w:val="00B01356"/>
    <w:rsid w:val="00B03F5F"/>
    <w:rsid w:val="00B0685D"/>
    <w:rsid w:val="00B1431C"/>
    <w:rsid w:val="00B143AA"/>
    <w:rsid w:val="00B24F78"/>
    <w:rsid w:val="00B35450"/>
    <w:rsid w:val="00B43404"/>
    <w:rsid w:val="00B5410A"/>
    <w:rsid w:val="00B72A61"/>
    <w:rsid w:val="00B734F9"/>
    <w:rsid w:val="00B761D2"/>
    <w:rsid w:val="00B8065B"/>
    <w:rsid w:val="00B81D46"/>
    <w:rsid w:val="00B81FB2"/>
    <w:rsid w:val="00B84228"/>
    <w:rsid w:val="00B85BF9"/>
    <w:rsid w:val="00B971EA"/>
    <w:rsid w:val="00BA7377"/>
    <w:rsid w:val="00BB053D"/>
    <w:rsid w:val="00BC3CA7"/>
    <w:rsid w:val="00BC7869"/>
    <w:rsid w:val="00BD45D1"/>
    <w:rsid w:val="00BD60A9"/>
    <w:rsid w:val="00BD63BA"/>
    <w:rsid w:val="00BE163A"/>
    <w:rsid w:val="00BE2C9D"/>
    <w:rsid w:val="00BE399C"/>
    <w:rsid w:val="00BE542A"/>
    <w:rsid w:val="00BF0668"/>
    <w:rsid w:val="00BF234C"/>
    <w:rsid w:val="00BF3A73"/>
    <w:rsid w:val="00C063AE"/>
    <w:rsid w:val="00C162ED"/>
    <w:rsid w:val="00C22C38"/>
    <w:rsid w:val="00C26066"/>
    <w:rsid w:val="00C371B1"/>
    <w:rsid w:val="00C51335"/>
    <w:rsid w:val="00C51CE1"/>
    <w:rsid w:val="00C64D60"/>
    <w:rsid w:val="00C656EC"/>
    <w:rsid w:val="00C75870"/>
    <w:rsid w:val="00C77809"/>
    <w:rsid w:val="00C81B1B"/>
    <w:rsid w:val="00C8748C"/>
    <w:rsid w:val="00C93400"/>
    <w:rsid w:val="00C939EE"/>
    <w:rsid w:val="00C95526"/>
    <w:rsid w:val="00CA7808"/>
    <w:rsid w:val="00CB01AE"/>
    <w:rsid w:val="00CB056E"/>
    <w:rsid w:val="00CB0821"/>
    <w:rsid w:val="00CB7394"/>
    <w:rsid w:val="00CC6854"/>
    <w:rsid w:val="00CD4005"/>
    <w:rsid w:val="00CE0AE3"/>
    <w:rsid w:val="00CE434A"/>
    <w:rsid w:val="00CE6A05"/>
    <w:rsid w:val="00CF1594"/>
    <w:rsid w:val="00CF1ACD"/>
    <w:rsid w:val="00CF777E"/>
    <w:rsid w:val="00D10C09"/>
    <w:rsid w:val="00D11EF2"/>
    <w:rsid w:val="00D124D6"/>
    <w:rsid w:val="00D12DAA"/>
    <w:rsid w:val="00D146F2"/>
    <w:rsid w:val="00D15947"/>
    <w:rsid w:val="00D23C22"/>
    <w:rsid w:val="00D247E8"/>
    <w:rsid w:val="00D25D35"/>
    <w:rsid w:val="00D2624D"/>
    <w:rsid w:val="00D344E0"/>
    <w:rsid w:val="00D43872"/>
    <w:rsid w:val="00D44508"/>
    <w:rsid w:val="00D608CA"/>
    <w:rsid w:val="00D60D36"/>
    <w:rsid w:val="00D62BBE"/>
    <w:rsid w:val="00D64FC7"/>
    <w:rsid w:val="00D66735"/>
    <w:rsid w:val="00D71620"/>
    <w:rsid w:val="00D7490B"/>
    <w:rsid w:val="00D80B15"/>
    <w:rsid w:val="00D81076"/>
    <w:rsid w:val="00D81CB6"/>
    <w:rsid w:val="00D83898"/>
    <w:rsid w:val="00D85A99"/>
    <w:rsid w:val="00D92071"/>
    <w:rsid w:val="00D947D1"/>
    <w:rsid w:val="00DA1C2C"/>
    <w:rsid w:val="00DB7561"/>
    <w:rsid w:val="00DC3262"/>
    <w:rsid w:val="00DC7E3C"/>
    <w:rsid w:val="00DD0582"/>
    <w:rsid w:val="00DD4838"/>
    <w:rsid w:val="00DE6442"/>
    <w:rsid w:val="00DF4814"/>
    <w:rsid w:val="00E04012"/>
    <w:rsid w:val="00E142B1"/>
    <w:rsid w:val="00E31A30"/>
    <w:rsid w:val="00E32200"/>
    <w:rsid w:val="00E36566"/>
    <w:rsid w:val="00E57AAF"/>
    <w:rsid w:val="00E60BA2"/>
    <w:rsid w:val="00E61342"/>
    <w:rsid w:val="00E63101"/>
    <w:rsid w:val="00E64BB8"/>
    <w:rsid w:val="00E728F0"/>
    <w:rsid w:val="00E969DF"/>
    <w:rsid w:val="00E97D4C"/>
    <w:rsid w:val="00EA28FB"/>
    <w:rsid w:val="00EA5857"/>
    <w:rsid w:val="00EB3455"/>
    <w:rsid w:val="00EB457D"/>
    <w:rsid w:val="00EC63D1"/>
    <w:rsid w:val="00EE1E3C"/>
    <w:rsid w:val="00EF20A7"/>
    <w:rsid w:val="00EF2677"/>
    <w:rsid w:val="00F00ACA"/>
    <w:rsid w:val="00F02689"/>
    <w:rsid w:val="00F1099B"/>
    <w:rsid w:val="00F165A4"/>
    <w:rsid w:val="00F206CD"/>
    <w:rsid w:val="00F20D39"/>
    <w:rsid w:val="00F25239"/>
    <w:rsid w:val="00F3236D"/>
    <w:rsid w:val="00F37DEE"/>
    <w:rsid w:val="00F42273"/>
    <w:rsid w:val="00F43B23"/>
    <w:rsid w:val="00F463EF"/>
    <w:rsid w:val="00F469CD"/>
    <w:rsid w:val="00F47B2D"/>
    <w:rsid w:val="00F50903"/>
    <w:rsid w:val="00F63432"/>
    <w:rsid w:val="00F649C9"/>
    <w:rsid w:val="00F73CD0"/>
    <w:rsid w:val="00F7486B"/>
    <w:rsid w:val="00F76280"/>
    <w:rsid w:val="00F823F0"/>
    <w:rsid w:val="00F829E0"/>
    <w:rsid w:val="00F854C3"/>
    <w:rsid w:val="00F87DAC"/>
    <w:rsid w:val="00F94FC2"/>
    <w:rsid w:val="00FA3D0E"/>
    <w:rsid w:val="00FA6A96"/>
    <w:rsid w:val="00FA6D6C"/>
    <w:rsid w:val="00FD2522"/>
    <w:rsid w:val="00FD7358"/>
    <w:rsid w:val="00FE144E"/>
    <w:rsid w:val="00FE404F"/>
    <w:rsid w:val="00FE7A23"/>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paragraph" w:styleId="BodyTextIndent2">
    <w:name w:val="Body Text Indent 2"/>
    <w:basedOn w:val="Normal"/>
    <w:rsid w:val="00BD63BA"/>
    <w:pPr>
      <w:tabs>
        <w:tab w:val="left" w:pos="0"/>
        <w:tab w:val="left" w:pos="720"/>
        <w:tab w:val="left" w:pos="1440"/>
      </w:tabs>
      <w:ind w:left="2160" w:hanging="2160"/>
      <w:jc w:val="both"/>
    </w:pPr>
    <w:rPr>
      <w:rFonts w:ascii="Times New Roman" w:hAnsi="Times New Roman"/>
      <w:sz w:val="24"/>
      <w:szCs w:val="20"/>
    </w:rPr>
  </w:style>
  <w:style w:type="paragraph" w:styleId="BodyText2">
    <w:name w:val="Body Text 2"/>
    <w:basedOn w:val="Normal"/>
    <w:rsid w:val="00BD63BA"/>
    <w:pPr>
      <w:tabs>
        <w:tab w:val="left" w:pos="2880"/>
      </w:tabs>
      <w:ind w:left="2880" w:hanging="720"/>
      <w:jc w:val="both"/>
    </w:pPr>
    <w:rPr>
      <w:rFonts w:ascii="Times New Roman" w:hAnsi="Times New Roman"/>
      <w:sz w:val="24"/>
      <w:szCs w:val="20"/>
    </w:rPr>
  </w:style>
  <w:style w:type="character" w:styleId="Strong">
    <w:name w:val="Strong"/>
    <w:qFormat/>
    <w:rsid w:val="00F634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paragraph" w:styleId="Heading1">
    <w:name w:val="heading 1"/>
    <w:basedOn w:val="Normal"/>
    <w:next w:val="Normal"/>
    <w:qFormat/>
    <w:rsid w:val="00C162ED"/>
    <w:pPr>
      <w:keepNext/>
      <w:jc w:val="center"/>
      <w:outlineLvl w:val="0"/>
    </w:pPr>
    <w:rPr>
      <w:b/>
      <w:snapToGrid w:val="0"/>
      <w:color w:val="000000"/>
      <w:sz w:val="21"/>
      <w:szCs w:val="20"/>
    </w:rPr>
  </w:style>
  <w:style w:type="paragraph" w:styleId="Heading3">
    <w:name w:val="heading 3"/>
    <w:basedOn w:val="Normal"/>
    <w:next w:val="Normal"/>
    <w:qFormat/>
    <w:rsid w:val="00C162ED"/>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1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162ED"/>
    <w:rPr>
      <w:color w:val="0000FF"/>
      <w:u w:val="single"/>
    </w:rPr>
  </w:style>
  <w:style w:type="paragraph" w:styleId="NormalWeb">
    <w:name w:val="Normal (Web)"/>
    <w:basedOn w:val="Normal"/>
    <w:rsid w:val="00C162ED"/>
    <w:pPr>
      <w:spacing w:before="100" w:beforeAutospacing="1" w:after="100" w:afterAutospacing="1"/>
    </w:pPr>
    <w:rPr>
      <w:rFonts w:ascii="Times New Roman" w:hAnsi="Times New Roman"/>
      <w:sz w:val="24"/>
      <w:szCs w:val="24"/>
    </w:rPr>
  </w:style>
  <w:style w:type="character" w:styleId="FollowedHyperlink">
    <w:name w:val="FollowedHyperlink"/>
    <w:rsid w:val="00431E07"/>
    <w:rPr>
      <w:color w:val="800080"/>
      <w:u w:val="single"/>
    </w:rPr>
  </w:style>
  <w:style w:type="character" w:styleId="CommentReference">
    <w:name w:val="annotation reference"/>
    <w:semiHidden/>
    <w:rsid w:val="00F76280"/>
    <w:rPr>
      <w:sz w:val="16"/>
      <w:szCs w:val="16"/>
    </w:rPr>
  </w:style>
  <w:style w:type="paragraph" w:styleId="CommentText">
    <w:name w:val="annotation text"/>
    <w:basedOn w:val="Normal"/>
    <w:semiHidden/>
    <w:rsid w:val="00F76280"/>
    <w:rPr>
      <w:rFonts w:ascii="Times New Roman" w:hAnsi="Times New Roman"/>
      <w:sz w:val="20"/>
      <w:szCs w:val="20"/>
    </w:rPr>
  </w:style>
  <w:style w:type="paragraph" w:styleId="BalloonText">
    <w:name w:val="Balloon Text"/>
    <w:basedOn w:val="Normal"/>
    <w:semiHidden/>
    <w:rsid w:val="00F76280"/>
    <w:rPr>
      <w:rFonts w:ascii="Tahoma" w:hAnsi="Tahoma" w:cs="Tahoma"/>
      <w:sz w:val="16"/>
      <w:szCs w:val="16"/>
    </w:rPr>
  </w:style>
  <w:style w:type="paragraph" w:styleId="CommentSubject">
    <w:name w:val="annotation subject"/>
    <w:basedOn w:val="CommentText"/>
    <w:next w:val="CommentText"/>
    <w:semiHidden/>
    <w:rsid w:val="00E64BB8"/>
    <w:rPr>
      <w:rFonts w:ascii="Arial" w:hAnsi="Arial"/>
      <w:b/>
      <w:bCs/>
    </w:rPr>
  </w:style>
  <w:style w:type="character" w:customStyle="1" w:styleId="underline1">
    <w:name w:val="underline1"/>
    <w:rsid w:val="00BE399C"/>
    <w:rPr>
      <w:u w:val="single"/>
    </w:rPr>
  </w:style>
  <w:style w:type="paragraph" w:styleId="Header">
    <w:name w:val="header"/>
    <w:basedOn w:val="Normal"/>
    <w:rsid w:val="007157AA"/>
    <w:pPr>
      <w:tabs>
        <w:tab w:val="center" w:pos="4320"/>
        <w:tab w:val="right" w:pos="8640"/>
      </w:tabs>
    </w:pPr>
  </w:style>
  <w:style w:type="paragraph" w:styleId="Footer">
    <w:name w:val="footer"/>
    <w:basedOn w:val="Normal"/>
    <w:rsid w:val="007157AA"/>
    <w:pPr>
      <w:tabs>
        <w:tab w:val="center" w:pos="4320"/>
        <w:tab w:val="right" w:pos="8640"/>
      </w:tabs>
    </w:pPr>
  </w:style>
  <w:style w:type="paragraph" w:styleId="BodyTextIndent2">
    <w:name w:val="Body Text Indent 2"/>
    <w:basedOn w:val="Normal"/>
    <w:rsid w:val="00BD63BA"/>
    <w:pPr>
      <w:tabs>
        <w:tab w:val="left" w:pos="0"/>
        <w:tab w:val="left" w:pos="720"/>
        <w:tab w:val="left" w:pos="1440"/>
      </w:tabs>
      <w:ind w:left="2160" w:hanging="2160"/>
      <w:jc w:val="both"/>
    </w:pPr>
    <w:rPr>
      <w:rFonts w:ascii="Times New Roman" w:hAnsi="Times New Roman"/>
      <w:sz w:val="24"/>
      <w:szCs w:val="20"/>
    </w:rPr>
  </w:style>
  <w:style w:type="paragraph" w:styleId="BodyText2">
    <w:name w:val="Body Text 2"/>
    <w:basedOn w:val="Normal"/>
    <w:rsid w:val="00BD63BA"/>
    <w:pPr>
      <w:tabs>
        <w:tab w:val="left" w:pos="2880"/>
      </w:tabs>
      <w:ind w:left="2880" w:hanging="720"/>
      <w:jc w:val="both"/>
    </w:pPr>
    <w:rPr>
      <w:rFonts w:ascii="Times New Roman" w:hAnsi="Times New Roman"/>
      <w:sz w:val="24"/>
      <w:szCs w:val="20"/>
    </w:rPr>
  </w:style>
  <w:style w:type="character" w:styleId="Strong">
    <w:name w:val="Strong"/>
    <w:qFormat/>
    <w:rsid w:val="00F63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inelegislature.org/legis/statutes/24-A/title24-Asec2858.html" TargetMode="External"/><Relationship Id="rId13" Type="http://schemas.openxmlformats.org/officeDocument/2006/relationships/hyperlink" Target="http://www.maine.gov/sos/cec/rules/02/031/031c220.doc" TargetMode="External"/><Relationship Id="rId18" Type="http://schemas.openxmlformats.org/officeDocument/2006/relationships/hyperlink" Target="http://www.maine.gov/sos/cec/rules/02/031/031c220.doc" TargetMode="External"/><Relationship Id="rId26" Type="http://schemas.openxmlformats.org/officeDocument/2006/relationships/hyperlink" Target="http://www.maine.gov/sos/cec/rules/02/031/031c220.doc" TargetMode="External"/><Relationship Id="rId3" Type="http://schemas.microsoft.com/office/2007/relationships/stylesWithEffects" Target="stylesWithEffects.xml"/><Relationship Id="rId21" Type="http://schemas.openxmlformats.org/officeDocument/2006/relationships/hyperlink" Target="http://janus.state.me.us/legis/statutes/24-A/title24-Asec2859.html" TargetMode="External"/><Relationship Id="rId7" Type="http://schemas.openxmlformats.org/officeDocument/2006/relationships/endnotes" Target="endnotes.xml"/><Relationship Id="rId12" Type="http://schemas.openxmlformats.org/officeDocument/2006/relationships/hyperlink" Target="http://www.mainelegislature.org/legis/statutes/24-A/title24-Asec2736.html" TargetMode="External"/><Relationship Id="rId17" Type="http://schemas.openxmlformats.org/officeDocument/2006/relationships/hyperlink" Target="http://www.maine.gov/sos/cec/rules/02/031/031c220.doc" TargetMode="External"/><Relationship Id="rId25" Type="http://schemas.openxmlformats.org/officeDocument/2006/relationships/hyperlink" Target="http://www.maine.gov/sos/cec/rules/02/031/031c220.doc"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ine.gov/sos/cec/rules/02/031/031c220.doc" TargetMode="External"/><Relationship Id="rId20" Type="http://schemas.openxmlformats.org/officeDocument/2006/relationships/hyperlink" Target="http://www.maine.gov/sos/cec/rules/02/031/031c220.doc" TargetMode="External"/><Relationship Id="rId29" Type="http://schemas.openxmlformats.org/officeDocument/2006/relationships/hyperlink" Target="http://www.mainelegislature.org/legis/statutes/1/title1sec402.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erff.com" TargetMode="External"/><Relationship Id="rId24" Type="http://schemas.openxmlformats.org/officeDocument/2006/relationships/hyperlink" Target="http://www.maine.gov/sos/cec/rules/02/031/031c220.do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elegislature.org/legis/statutes/24-A/title24-Asec2736.html" TargetMode="External"/><Relationship Id="rId23" Type="http://schemas.openxmlformats.org/officeDocument/2006/relationships/hyperlink" Target="http://www.maine.gov/sos/cec/rules/02/031/031c220.doc" TargetMode="External"/><Relationship Id="rId28" Type="http://schemas.openxmlformats.org/officeDocument/2006/relationships/hyperlink" Target="http://www.mainelegislature.org/legis/statutes/24-A/title24-Asec2736.html" TargetMode="External"/><Relationship Id="rId10" Type="http://schemas.openxmlformats.org/officeDocument/2006/relationships/hyperlink" Target="http://www.mainelegislature.org/legis/statutes/24-A/title24-Asec2839.html" TargetMode="External"/><Relationship Id="rId19" Type="http://schemas.openxmlformats.org/officeDocument/2006/relationships/hyperlink" Target="http://www.maine.gov/sos/cec/rules/02/031/031c220.do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02/031/031c220.doc" TargetMode="External"/><Relationship Id="rId14" Type="http://schemas.openxmlformats.org/officeDocument/2006/relationships/hyperlink" Target="http://www.mainelegislature.org/legis/statutes/24-A/title24-Asec2736.html" TargetMode="External"/><Relationship Id="rId22" Type="http://schemas.openxmlformats.org/officeDocument/2006/relationships/hyperlink" Target="http://www.maine.gov/sos/cec/rules/02/031/031c220.doc" TargetMode="External"/><Relationship Id="rId27" Type="http://schemas.openxmlformats.org/officeDocument/2006/relationships/hyperlink" Target="http://janus.state.me.us/legis/statutes/24-A/title24-Asec2860-A.html" TargetMode="External"/><Relationship Id="rId30" Type="http://schemas.openxmlformats.org/officeDocument/2006/relationships/hyperlink" Target="http://www.state.me.us/pfr/insurance/company/confidential_treatmen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WB 9/16/04 DRAFT  Maine Bureau of Insurance</vt:lpstr>
    </vt:vector>
  </TitlesOfParts>
  <Company>Dept of Professional and Financial Regulation</Company>
  <LinksUpToDate>false</LinksUpToDate>
  <CharactersWithSpaces>9210</CharactersWithSpaces>
  <SharedDoc>false</SharedDoc>
  <HLinks>
    <vt:vector size="150" baseType="variant">
      <vt:variant>
        <vt:i4>1704058</vt:i4>
      </vt:variant>
      <vt:variant>
        <vt:i4>72</vt:i4>
      </vt:variant>
      <vt:variant>
        <vt:i4>0</vt:i4>
      </vt:variant>
      <vt:variant>
        <vt:i4>5</vt:i4>
      </vt:variant>
      <vt:variant>
        <vt:lpwstr>http://www.state.me.us/pfr/insurance/company/confidential_treatment.htm</vt:lpwstr>
      </vt:variant>
      <vt:variant>
        <vt:lpwstr/>
      </vt:variant>
      <vt:variant>
        <vt:i4>2359421</vt:i4>
      </vt:variant>
      <vt:variant>
        <vt:i4>69</vt:i4>
      </vt:variant>
      <vt:variant>
        <vt:i4>0</vt:i4>
      </vt:variant>
      <vt:variant>
        <vt:i4>5</vt:i4>
      </vt:variant>
      <vt:variant>
        <vt:lpwstr>http://www.mainelegislature.org/legis/statutes/24-A/title24-Asec2736-A.html</vt:lpwstr>
      </vt:variant>
      <vt:variant>
        <vt:lpwstr/>
      </vt:variant>
      <vt:variant>
        <vt:i4>3735670</vt:i4>
      </vt:variant>
      <vt:variant>
        <vt:i4>66</vt:i4>
      </vt:variant>
      <vt:variant>
        <vt:i4>0</vt:i4>
      </vt:variant>
      <vt:variant>
        <vt:i4>5</vt:i4>
      </vt:variant>
      <vt:variant>
        <vt:lpwstr>http://www.mainelegislature.org/legis/statutes/1/title1sec402.html</vt:lpwstr>
      </vt:variant>
      <vt:variant>
        <vt:lpwstr/>
      </vt:variant>
      <vt:variant>
        <vt:i4>4522064</vt:i4>
      </vt:variant>
      <vt:variant>
        <vt:i4>63</vt:i4>
      </vt:variant>
      <vt:variant>
        <vt:i4>0</vt:i4>
      </vt:variant>
      <vt:variant>
        <vt:i4>5</vt:i4>
      </vt:variant>
      <vt:variant>
        <vt:lpwstr>http://www.mainelegislature.org/legis/statutes/24-A/title24-Asec2736.html</vt:lpwstr>
      </vt:variant>
      <vt:variant>
        <vt:lpwstr/>
      </vt:variant>
      <vt:variant>
        <vt:i4>5308496</vt:i4>
      </vt:variant>
      <vt:variant>
        <vt:i4>60</vt:i4>
      </vt:variant>
      <vt:variant>
        <vt:i4>0</vt:i4>
      </vt:variant>
      <vt:variant>
        <vt:i4>5</vt:i4>
      </vt:variant>
      <vt:variant>
        <vt:lpwstr>http://janus.state.me.us/legis/statutes/24-A/title24-Asec2860-A.html</vt:lpwstr>
      </vt:variant>
      <vt:variant>
        <vt:lpwstr/>
      </vt:variant>
      <vt:variant>
        <vt:i4>1441872</vt:i4>
      </vt:variant>
      <vt:variant>
        <vt:i4>57</vt:i4>
      </vt:variant>
      <vt:variant>
        <vt:i4>0</vt:i4>
      </vt:variant>
      <vt:variant>
        <vt:i4>5</vt:i4>
      </vt:variant>
      <vt:variant>
        <vt:lpwstr>http://www.maine.gov/sos/cec/rules/02/031/031c220.doc</vt:lpwstr>
      </vt:variant>
      <vt:variant>
        <vt:lpwstr/>
      </vt:variant>
      <vt:variant>
        <vt:i4>1441872</vt:i4>
      </vt:variant>
      <vt:variant>
        <vt:i4>54</vt:i4>
      </vt:variant>
      <vt:variant>
        <vt:i4>0</vt:i4>
      </vt:variant>
      <vt:variant>
        <vt:i4>5</vt:i4>
      </vt:variant>
      <vt:variant>
        <vt:lpwstr>http://www.maine.gov/sos/cec/rules/02/031/031c220.doc</vt:lpwstr>
      </vt:variant>
      <vt:variant>
        <vt:lpwstr/>
      </vt:variant>
      <vt:variant>
        <vt:i4>1441872</vt:i4>
      </vt:variant>
      <vt:variant>
        <vt:i4>51</vt:i4>
      </vt:variant>
      <vt:variant>
        <vt:i4>0</vt:i4>
      </vt:variant>
      <vt:variant>
        <vt:i4>5</vt:i4>
      </vt:variant>
      <vt:variant>
        <vt:lpwstr>http://www.maine.gov/sos/cec/rules/02/031/031c220.doc</vt:lpwstr>
      </vt:variant>
      <vt:variant>
        <vt:lpwstr/>
      </vt:variant>
      <vt:variant>
        <vt:i4>1441872</vt:i4>
      </vt:variant>
      <vt:variant>
        <vt:i4>48</vt:i4>
      </vt:variant>
      <vt:variant>
        <vt:i4>0</vt:i4>
      </vt:variant>
      <vt:variant>
        <vt:i4>5</vt:i4>
      </vt:variant>
      <vt:variant>
        <vt:lpwstr>http://www.maine.gov/sos/cec/rules/02/031/031c220.doc</vt:lpwstr>
      </vt:variant>
      <vt:variant>
        <vt:lpwstr/>
      </vt:variant>
      <vt:variant>
        <vt:i4>1441872</vt:i4>
      </vt:variant>
      <vt:variant>
        <vt:i4>45</vt:i4>
      </vt:variant>
      <vt:variant>
        <vt:i4>0</vt:i4>
      </vt:variant>
      <vt:variant>
        <vt:i4>5</vt:i4>
      </vt:variant>
      <vt:variant>
        <vt:lpwstr>http://www.maine.gov/sos/cec/rules/02/031/031c220.doc</vt:lpwstr>
      </vt:variant>
      <vt:variant>
        <vt:lpwstr/>
      </vt:variant>
      <vt:variant>
        <vt:i4>8323128</vt:i4>
      </vt:variant>
      <vt:variant>
        <vt:i4>42</vt:i4>
      </vt:variant>
      <vt:variant>
        <vt:i4>0</vt:i4>
      </vt:variant>
      <vt:variant>
        <vt:i4>5</vt:i4>
      </vt:variant>
      <vt:variant>
        <vt:lpwstr>http://janus.state.me.us/legis/statutes/24-A/title24-Asec2859.html</vt:lpwstr>
      </vt:variant>
      <vt:variant>
        <vt:lpwstr/>
      </vt:variant>
      <vt:variant>
        <vt:i4>1441872</vt:i4>
      </vt:variant>
      <vt:variant>
        <vt:i4>39</vt:i4>
      </vt:variant>
      <vt:variant>
        <vt:i4>0</vt:i4>
      </vt:variant>
      <vt:variant>
        <vt:i4>5</vt:i4>
      </vt:variant>
      <vt:variant>
        <vt:lpwstr>http://www.maine.gov/sos/cec/rules/02/031/031c220.doc</vt:lpwstr>
      </vt:variant>
      <vt:variant>
        <vt:lpwstr/>
      </vt:variant>
      <vt:variant>
        <vt:i4>1441872</vt:i4>
      </vt:variant>
      <vt:variant>
        <vt:i4>36</vt:i4>
      </vt:variant>
      <vt:variant>
        <vt:i4>0</vt:i4>
      </vt:variant>
      <vt:variant>
        <vt:i4>5</vt:i4>
      </vt:variant>
      <vt:variant>
        <vt:lpwstr>http://www.maine.gov/sos/cec/rules/02/031/031c220.doc</vt:lpwstr>
      </vt:variant>
      <vt:variant>
        <vt:lpwstr/>
      </vt:variant>
      <vt:variant>
        <vt:i4>1441872</vt:i4>
      </vt:variant>
      <vt:variant>
        <vt:i4>33</vt:i4>
      </vt:variant>
      <vt:variant>
        <vt:i4>0</vt:i4>
      </vt:variant>
      <vt:variant>
        <vt:i4>5</vt:i4>
      </vt:variant>
      <vt:variant>
        <vt:lpwstr>http://www.maine.gov/sos/cec/rules/02/031/031c220.doc</vt:lpwstr>
      </vt:variant>
      <vt:variant>
        <vt:lpwstr/>
      </vt:variant>
      <vt:variant>
        <vt:i4>1441872</vt:i4>
      </vt:variant>
      <vt:variant>
        <vt:i4>30</vt:i4>
      </vt:variant>
      <vt:variant>
        <vt:i4>0</vt:i4>
      </vt:variant>
      <vt:variant>
        <vt:i4>5</vt:i4>
      </vt:variant>
      <vt:variant>
        <vt:lpwstr>http://www.maine.gov/sos/cec/rules/02/031/031c220.doc</vt:lpwstr>
      </vt:variant>
      <vt:variant>
        <vt:lpwstr/>
      </vt:variant>
      <vt:variant>
        <vt:i4>1441872</vt:i4>
      </vt:variant>
      <vt:variant>
        <vt:i4>27</vt:i4>
      </vt:variant>
      <vt:variant>
        <vt:i4>0</vt:i4>
      </vt:variant>
      <vt:variant>
        <vt:i4>5</vt:i4>
      </vt:variant>
      <vt:variant>
        <vt:lpwstr>http://www.maine.gov/sos/cec/rules/02/031/031c220.doc</vt:lpwstr>
      </vt:variant>
      <vt:variant>
        <vt:lpwstr/>
      </vt:variant>
      <vt:variant>
        <vt:i4>4522064</vt:i4>
      </vt:variant>
      <vt:variant>
        <vt:i4>24</vt:i4>
      </vt:variant>
      <vt:variant>
        <vt:i4>0</vt:i4>
      </vt:variant>
      <vt:variant>
        <vt:i4>5</vt:i4>
      </vt:variant>
      <vt:variant>
        <vt:lpwstr>http://www.mainelegislature.org/legis/statutes/24-A/title24-Asec2736.html</vt:lpwstr>
      </vt:variant>
      <vt:variant>
        <vt:lpwstr/>
      </vt:variant>
      <vt:variant>
        <vt:i4>4522064</vt:i4>
      </vt:variant>
      <vt:variant>
        <vt:i4>21</vt:i4>
      </vt:variant>
      <vt:variant>
        <vt:i4>0</vt:i4>
      </vt:variant>
      <vt:variant>
        <vt:i4>5</vt:i4>
      </vt:variant>
      <vt:variant>
        <vt:lpwstr>http://www.mainelegislature.org/legis/statutes/24-A/title24-Asec2736.html</vt:lpwstr>
      </vt:variant>
      <vt:variant>
        <vt:lpwstr/>
      </vt:variant>
      <vt:variant>
        <vt:i4>1441872</vt:i4>
      </vt:variant>
      <vt:variant>
        <vt:i4>18</vt:i4>
      </vt:variant>
      <vt:variant>
        <vt:i4>0</vt:i4>
      </vt:variant>
      <vt:variant>
        <vt:i4>5</vt:i4>
      </vt:variant>
      <vt:variant>
        <vt:lpwstr>http://www.maine.gov/sos/cec/rules/02/031/031c220.doc</vt:lpwstr>
      </vt:variant>
      <vt:variant>
        <vt:lpwstr/>
      </vt:variant>
      <vt:variant>
        <vt:i4>4522064</vt:i4>
      </vt:variant>
      <vt:variant>
        <vt:i4>15</vt:i4>
      </vt:variant>
      <vt:variant>
        <vt:i4>0</vt:i4>
      </vt:variant>
      <vt:variant>
        <vt:i4>5</vt:i4>
      </vt:variant>
      <vt:variant>
        <vt:lpwstr>http://www.mainelegislature.org/legis/statutes/24-A/title24-Asec2736.html</vt:lpwstr>
      </vt:variant>
      <vt:variant>
        <vt:lpwstr/>
      </vt:variant>
      <vt:variant>
        <vt:i4>4325394</vt:i4>
      </vt:variant>
      <vt:variant>
        <vt:i4>12</vt:i4>
      </vt:variant>
      <vt:variant>
        <vt:i4>0</vt:i4>
      </vt:variant>
      <vt:variant>
        <vt:i4>5</vt:i4>
      </vt:variant>
      <vt:variant>
        <vt:lpwstr>http://www.serff.com/</vt:lpwstr>
      </vt:variant>
      <vt:variant>
        <vt:lpwstr/>
      </vt:variant>
      <vt:variant>
        <vt:i4>4522064</vt:i4>
      </vt:variant>
      <vt:variant>
        <vt:i4>9</vt:i4>
      </vt:variant>
      <vt:variant>
        <vt:i4>0</vt:i4>
      </vt:variant>
      <vt:variant>
        <vt:i4>5</vt:i4>
      </vt:variant>
      <vt:variant>
        <vt:lpwstr>http://www.mainelegislature.org/legis/statutes/24-A/title24-Asec2839.html</vt:lpwstr>
      </vt:variant>
      <vt:variant>
        <vt:lpwstr/>
      </vt:variant>
      <vt:variant>
        <vt:i4>4522064</vt:i4>
      </vt:variant>
      <vt:variant>
        <vt:i4>6</vt:i4>
      </vt:variant>
      <vt:variant>
        <vt:i4>0</vt:i4>
      </vt:variant>
      <vt:variant>
        <vt:i4>5</vt:i4>
      </vt:variant>
      <vt:variant>
        <vt:lpwstr>http://www.mainelegislature.org/legis/statutes/24-A/title24-Asec2736.html</vt:lpwstr>
      </vt:variant>
      <vt:variant>
        <vt:lpwstr/>
      </vt:variant>
      <vt:variant>
        <vt:i4>1441872</vt:i4>
      </vt:variant>
      <vt:variant>
        <vt:i4>3</vt:i4>
      </vt:variant>
      <vt:variant>
        <vt:i4>0</vt:i4>
      </vt:variant>
      <vt:variant>
        <vt:i4>5</vt:i4>
      </vt:variant>
      <vt:variant>
        <vt:lpwstr>http://www.maine.gov/sos/cec/rules/02/031/031c220.doc</vt:lpwstr>
      </vt:variant>
      <vt:variant>
        <vt:lpwstr/>
      </vt:variant>
      <vt:variant>
        <vt:i4>4456534</vt:i4>
      </vt:variant>
      <vt:variant>
        <vt:i4>0</vt:i4>
      </vt:variant>
      <vt:variant>
        <vt:i4>0</vt:i4>
      </vt:variant>
      <vt:variant>
        <vt:i4>5</vt:i4>
      </vt:variant>
      <vt:variant>
        <vt:lpwstr>http://www.mainelegislature.org/legis/statutes/24-A/title24-Asec2858.html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9/16/04 DRAFT  Maine Bureau of Insurance</dc:title>
  <dc:creator>nancy.n.network</dc:creator>
  <cp:lastModifiedBy>Garboski, Barbra L</cp:lastModifiedBy>
  <cp:revision>2</cp:revision>
  <cp:lastPrinted>2010-08-13T15:41:00Z</cp:lastPrinted>
  <dcterms:created xsi:type="dcterms:W3CDTF">2016-08-02T20:10:00Z</dcterms:created>
  <dcterms:modified xsi:type="dcterms:W3CDTF">2016-08-02T20:10:00Z</dcterms:modified>
</cp:coreProperties>
</file>